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706D3" w:rsidP="00AC2883">
            <w:pPr>
              <w:pStyle w:val="Sessiontc"/>
              <w:spacing w:line="240" w:lineRule="auto"/>
            </w:pPr>
            <w:r>
              <w:t>Comité technique</w:t>
            </w:r>
          </w:p>
          <w:p w:rsidR="00EB4E9C" w:rsidRPr="00DC3802" w:rsidRDefault="00A706D3" w:rsidP="00A706D3">
            <w:pPr>
              <w:pStyle w:val="Sessiontcplacedate"/>
              <w:rPr>
                <w:sz w:val="22"/>
              </w:rPr>
            </w:pPr>
            <w:r>
              <w:t>Cinquante-troisième s</w:t>
            </w:r>
            <w:r w:rsidR="00EB4E9C" w:rsidRPr="00DA4973">
              <w:t>ession</w:t>
            </w:r>
            <w:r w:rsidR="00EB4E9C" w:rsidRPr="00DA4973">
              <w:br/>
              <w:t>Gen</w:t>
            </w:r>
            <w:r>
              <w:t>è</w:t>
            </w:r>
            <w:r w:rsidR="00EB4E9C" w:rsidRPr="00DA4973">
              <w:t>v</w:t>
            </w:r>
            <w:r>
              <w:t>e</w:t>
            </w:r>
            <w:r w:rsidR="00EB4E9C" w:rsidRPr="00DA4973">
              <w:t xml:space="preserve">, </w:t>
            </w:r>
            <w:r>
              <w:t xml:space="preserve">3-5 avril </w:t>
            </w:r>
            <w:r w:rsidR="00EB4E9C" w:rsidRPr="00DA4973">
              <w:t>2017</w:t>
            </w:r>
          </w:p>
        </w:tc>
        <w:tc>
          <w:tcPr>
            <w:tcW w:w="3127" w:type="dxa"/>
          </w:tcPr>
          <w:p w:rsidR="00EB4E9C" w:rsidRPr="007737EF" w:rsidRDefault="00EB4E9C" w:rsidP="003C7FBE">
            <w:pPr>
              <w:pStyle w:val="Doccode"/>
              <w:rPr>
                <w:lang w:val="fr-FR"/>
              </w:rPr>
            </w:pPr>
            <w:r w:rsidRPr="007737EF">
              <w:rPr>
                <w:lang w:val="fr-FR"/>
              </w:rPr>
              <w:t>TC/53/</w:t>
            </w:r>
            <w:r w:rsidR="007737EF">
              <w:rPr>
                <w:lang w:val="fr-FR"/>
              </w:rPr>
              <w:t>10</w:t>
            </w:r>
          </w:p>
          <w:p w:rsidR="00EB4E9C" w:rsidRPr="003C7FBE" w:rsidRDefault="00EB4E9C" w:rsidP="003C7FBE">
            <w:pPr>
              <w:pStyle w:val="Docoriginal"/>
            </w:pPr>
            <w:r w:rsidRPr="00AC2883">
              <w:t>Original</w:t>
            </w:r>
            <w:proofErr w:type="gramStart"/>
            <w:r w:rsidRPr="00AC2883">
              <w:t>:</w:t>
            </w:r>
            <w:r w:rsidRPr="000E636A">
              <w:rPr>
                <w:b w:val="0"/>
                <w:spacing w:val="0"/>
              </w:rPr>
              <w:t xml:space="preserve">  </w:t>
            </w:r>
            <w:r w:rsidR="00A706D3">
              <w:rPr>
                <w:b w:val="0"/>
                <w:spacing w:val="0"/>
              </w:rPr>
              <w:t>anglais</w:t>
            </w:r>
            <w:proofErr w:type="gramEnd"/>
          </w:p>
          <w:p w:rsidR="00EB4E9C" w:rsidRPr="007C1D92" w:rsidRDefault="00EB4E9C" w:rsidP="007737EF">
            <w:pPr>
              <w:pStyle w:val="Docoriginal"/>
            </w:pPr>
            <w:r w:rsidRPr="00AC2883">
              <w:t>Date</w:t>
            </w:r>
            <w:proofErr w:type="gramStart"/>
            <w:r w:rsidRPr="00AC2883">
              <w:t>:</w:t>
            </w:r>
            <w:r w:rsidR="007737EF">
              <w:rPr>
                <w:b w:val="0"/>
                <w:spacing w:val="0"/>
              </w:rPr>
              <w:t xml:space="preserve">  28</w:t>
            </w:r>
            <w:proofErr w:type="gramEnd"/>
            <w:r w:rsidR="007737EF">
              <w:rPr>
                <w:b w:val="0"/>
                <w:spacing w:val="0"/>
              </w:rPr>
              <w:t xml:space="preserve"> mars</w:t>
            </w:r>
            <w:r w:rsidRPr="000E636A">
              <w:rPr>
                <w:b w:val="0"/>
                <w:spacing w:val="0"/>
              </w:rPr>
              <w:t xml:space="preserve"> 2017</w:t>
            </w:r>
          </w:p>
        </w:tc>
      </w:tr>
    </w:tbl>
    <w:p w:rsidR="000D7780" w:rsidRPr="006A644A" w:rsidRDefault="007737EF" w:rsidP="006A644A">
      <w:pPr>
        <w:pStyle w:val="Titleofdoc0"/>
      </w:pPr>
      <w:bookmarkStart w:id="0" w:name="TitleOfDoc"/>
      <w:bookmarkEnd w:id="0"/>
      <w:r w:rsidRPr="007737EF">
        <w:t>Rapport sur les faits nouveaux intervenus au sein de l’UPOV, y compris certaines questions examinées lors des dernières sessions du Comité administratif et juridique, du Comité consultatif et du Conseil</w:t>
      </w:r>
    </w:p>
    <w:p w:rsidR="006A644A" w:rsidRPr="006A644A" w:rsidRDefault="00AE0EF1" w:rsidP="006A644A">
      <w:pPr>
        <w:pStyle w:val="preparedby1"/>
        <w:jc w:val="left"/>
      </w:pPr>
      <w:bookmarkStart w:id="1" w:name="Prepared"/>
      <w:bookmarkEnd w:id="1"/>
      <w:r w:rsidRPr="000C4E25">
        <w:t xml:space="preserve">Document </w:t>
      </w:r>
      <w:r w:rsidR="00A706D3">
        <w:t>établi par le Bureau de l’Union</w:t>
      </w:r>
    </w:p>
    <w:p w:rsidR="00050E16" w:rsidRPr="006A644A" w:rsidRDefault="00A706D3" w:rsidP="006A644A">
      <w:pPr>
        <w:pStyle w:val="Disclaimer"/>
      </w:pPr>
      <w:r w:rsidRPr="00A706D3">
        <w:t>Avertissement : le présent document ne représente pas les principes ou les orientations de l’UPOV</w:t>
      </w:r>
    </w:p>
    <w:p w:rsidR="007737EF" w:rsidRPr="0048127F" w:rsidRDefault="007737EF" w:rsidP="007737EF">
      <w:pPr>
        <w:pStyle w:val="Heading1"/>
        <w:rPr>
          <w:lang w:val="fr-FR" w:eastAsia="ja-JP"/>
        </w:rPr>
      </w:pPr>
      <w:bookmarkStart w:id="2" w:name="_Toc477969396"/>
      <w:bookmarkStart w:id="3" w:name="_Toc478652704"/>
      <w:r w:rsidRPr="0048127F">
        <w:rPr>
          <w:lang w:val="fr-FR" w:eastAsia="ja-JP"/>
        </w:rPr>
        <w:t>Résumé</w:t>
      </w:r>
      <w:bookmarkEnd w:id="2"/>
      <w:bookmarkEnd w:id="3"/>
    </w:p>
    <w:p w:rsidR="007737EF" w:rsidRPr="0048127F" w:rsidRDefault="007737EF" w:rsidP="007737EF">
      <w:pPr>
        <w:rPr>
          <w:rFonts w:cs="Arial"/>
          <w:snapToGrid w:val="0"/>
        </w:rPr>
      </w:pPr>
    </w:p>
    <w:p w:rsidR="007737EF" w:rsidRPr="0048127F" w:rsidRDefault="007737EF" w:rsidP="007737EF">
      <w:pPr>
        <w:rPr>
          <w:rFonts w:cs="Arial"/>
          <w:snapToGrid w:val="0"/>
        </w:rPr>
      </w:pPr>
      <w:r w:rsidRPr="0048127F">
        <w:rPr>
          <w:rFonts w:cs="Arial"/>
          <w:snapToGrid w:val="0"/>
        </w:rPr>
        <w:fldChar w:fldCharType="begin"/>
      </w:r>
      <w:r w:rsidRPr="0048127F">
        <w:rPr>
          <w:rFonts w:cs="Arial"/>
          <w:snapToGrid w:val="0"/>
        </w:rPr>
        <w:instrText xml:space="preserve"> AUTONUM  </w:instrText>
      </w:r>
      <w:r w:rsidRPr="0048127F">
        <w:rPr>
          <w:rFonts w:cs="Arial"/>
          <w:snapToGrid w:val="0"/>
        </w:rPr>
        <w:fldChar w:fldCharType="end"/>
      </w:r>
      <w:r w:rsidRPr="0048127F">
        <w:rPr>
          <w:rFonts w:cs="Arial"/>
          <w:snapToGrid w:val="0"/>
        </w:rPr>
        <w:tab/>
        <w:t>L’objet du présent document est de faire rapport sur les faits nouveaux intervenus au sein de l’UPOV depuis la cinquante</w:t>
      </w:r>
      <w:r w:rsidRPr="0048127F">
        <w:rPr>
          <w:rFonts w:cs="Arial"/>
          <w:snapToGrid w:val="0"/>
        </w:rPr>
        <w:noBreakHyphen/>
        <w:t>deuxième session du Comité technique (TC) et qui ne relèvent pas de points précis de l’ordre du jour de la cinquante</w:t>
      </w:r>
      <w:r w:rsidRPr="0048127F">
        <w:rPr>
          <w:rFonts w:cs="Arial"/>
          <w:snapToGrid w:val="0"/>
        </w:rPr>
        <w:noBreakHyphen/>
        <w:t>troisième session du TC, y compris certaines questions examinées lors des dernières sessions du Comité administratif et juridique (CAJ), du Comité consultatif et du Conseil.</w:t>
      </w:r>
    </w:p>
    <w:p w:rsidR="007737EF" w:rsidRPr="0048127F" w:rsidRDefault="007737EF" w:rsidP="007737EF">
      <w:pPr>
        <w:rPr>
          <w:rFonts w:cs="Arial"/>
          <w:snapToGrid w:val="0"/>
        </w:rPr>
      </w:pPr>
    </w:p>
    <w:p w:rsidR="007737EF" w:rsidRDefault="007737EF" w:rsidP="007737EF">
      <w:pPr>
        <w:rPr>
          <w:rFonts w:cs="Arial"/>
          <w:snapToGrid w:val="0"/>
        </w:rPr>
      </w:pPr>
      <w:r w:rsidRPr="0048127F">
        <w:rPr>
          <w:rFonts w:cs="Arial"/>
          <w:snapToGrid w:val="0"/>
        </w:rPr>
        <w:fldChar w:fldCharType="begin"/>
      </w:r>
      <w:r w:rsidRPr="0048127F">
        <w:rPr>
          <w:rFonts w:cs="Arial"/>
          <w:snapToGrid w:val="0"/>
        </w:rPr>
        <w:instrText xml:space="preserve"> AUTONUM  </w:instrText>
      </w:r>
      <w:r w:rsidRPr="0048127F">
        <w:rPr>
          <w:rFonts w:cs="Arial"/>
          <w:snapToGrid w:val="0"/>
        </w:rPr>
        <w:fldChar w:fldCharType="end"/>
      </w:r>
      <w:r w:rsidRPr="0048127F">
        <w:rPr>
          <w:rFonts w:cs="Arial"/>
          <w:snapToGrid w:val="0"/>
        </w:rPr>
        <w:tab/>
      </w:r>
      <w:r w:rsidRPr="0048127F">
        <w:t>Le Comité technique (TC) est invité à</w:t>
      </w:r>
      <w:r w:rsidRPr="0048127F">
        <w:rPr>
          <w:rFonts w:cs="Arial"/>
          <w:snapToGrid w:val="0"/>
        </w:rPr>
        <w:t xml:space="preserve"> </w:t>
      </w:r>
      <w:r w:rsidR="0001407B" w:rsidRPr="0048127F">
        <w:rPr>
          <w:rFonts w:cs="Arial"/>
          <w:snapToGrid w:val="0"/>
        </w:rPr>
        <w:t>prendre note</w:t>
      </w:r>
      <w:r w:rsidRPr="0048127F">
        <w:rPr>
          <w:rFonts w:cs="Arial"/>
          <w:snapToGrid w:val="0"/>
        </w:rPr>
        <w:t>:</w:t>
      </w:r>
    </w:p>
    <w:p w:rsidR="007737EF" w:rsidRDefault="007737EF" w:rsidP="007737EF">
      <w:pPr>
        <w:rPr>
          <w:rFonts w:cs="Arial"/>
          <w:snapToGrid w:val="0"/>
        </w:rPr>
      </w:pPr>
    </w:p>
    <w:p w:rsidR="007737EF" w:rsidRPr="0048127F" w:rsidRDefault="007737EF" w:rsidP="007737EF">
      <w:pPr>
        <w:rPr>
          <w:rFonts w:cs="Arial"/>
          <w:snapToGrid w:val="0"/>
        </w:rPr>
      </w:pPr>
      <w:r>
        <w:rPr>
          <w:rFonts w:cs="Arial"/>
          <w:snapToGrid w:val="0"/>
        </w:rPr>
        <w:tab/>
      </w:r>
      <w:r w:rsidRPr="0048127F">
        <w:rPr>
          <w:rFonts w:cs="Arial"/>
          <w:snapToGrid w:val="0"/>
        </w:rPr>
        <w:t>(a)</w:t>
      </w:r>
      <w:r w:rsidRPr="0048127F">
        <w:rPr>
          <w:rFonts w:cs="Arial"/>
          <w:snapToGrid w:val="0"/>
        </w:rPr>
        <w:tab/>
        <w:t xml:space="preserve">des faits nouveaux intervenus au sein de l’UPOV depuis </w:t>
      </w:r>
      <w:r w:rsidR="0001407B" w:rsidRPr="0048127F">
        <w:rPr>
          <w:rFonts w:cs="Arial"/>
          <w:snapToGrid w:val="0"/>
        </w:rPr>
        <w:t>s</w:t>
      </w:r>
      <w:r w:rsidRPr="0048127F">
        <w:rPr>
          <w:rFonts w:cs="Arial"/>
          <w:snapToGrid w:val="0"/>
        </w:rPr>
        <w:t>a cinquante</w:t>
      </w:r>
      <w:r w:rsidRPr="0048127F">
        <w:rPr>
          <w:rFonts w:cs="Arial"/>
          <w:snapToGrid w:val="0"/>
        </w:rPr>
        <w:noBreakHyphen/>
        <w:t xml:space="preserve">deuxième session et qui ne relèvent pas de points précis de l’ordre du jour de </w:t>
      </w:r>
      <w:r w:rsidR="0001407B" w:rsidRPr="0048127F">
        <w:rPr>
          <w:rFonts w:cs="Arial"/>
          <w:snapToGrid w:val="0"/>
        </w:rPr>
        <w:t>s</w:t>
      </w:r>
      <w:r w:rsidRPr="0048127F">
        <w:rPr>
          <w:rFonts w:cs="Arial"/>
          <w:snapToGrid w:val="0"/>
        </w:rPr>
        <w:t>a cinquante</w:t>
      </w:r>
      <w:r w:rsidRPr="0048127F">
        <w:rPr>
          <w:rFonts w:cs="Arial"/>
          <w:snapToGrid w:val="0"/>
        </w:rPr>
        <w:noBreakHyphen/>
        <w:t>troisième</w:t>
      </w:r>
      <w:r w:rsidR="0001407B" w:rsidRPr="0048127F">
        <w:rPr>
          <w:rFonts w:cs="Arial"/>
          <w:snapToGrid w:val="0"/>
        </w:rPr>
        <w:t> session</w:t>
      </w:r>
      <w:r w:rsidRPr="0048127F">
        <w:rPr>
          <w:rFonts w:cs="Arial"/>
          <w:snapToGrid w:val="0"/>
        </w:rPr>
        <w:t>, y compris certaines questions examinées lors des dernières sessions du Comité administratif et juridique (CAJ), du Comité consultatif et du Conseil</w:t>
      </w:r>
      <w:r w:rsidR="0001407B" w:rsidRPr="0048127F">
        <w:rPr>
          <w:rFonts w:cs="Arial"/>
          <w:snapToGrid w:val="0"/>
        </w:rPr>
        <w:t>, dont il est fait rapport aux paragraphes 4 à 47 du présent document;  et</w:t>
      </w:r>
    </w:p>
    <w:p w:rsidR="0001407B" w:rsidRPr="0048127F" w:rsidRDefault="0001407B" w:rsidP="007737EF">
      <w:pPr>
        <w:rPr>
          <w:rFonts w:cs="Arial"/>
          <w:snapToGrid w:val="0"/>
        </w:rPr>
      </w:pPr>
    </w:p>
    <w:p w:rsidR="007737EF" w:rsidRPr="009A6348" w:rsidRDefault="0001407B" w:rsidP="007737EF">
      <w:pPr>
        <w:rPr>
          <w:rFonts w:cs="Arial"/>
          <w:snapToGrid w:val="0"/>
        </w:rPr>
      </w:pPr>
      <w:r w:rsidRPr="0048127F">
        <w:rPr>
          <w:rFonts w:cs="Arial"/>
          <w:snapToGrid w:val="0"/>
        </w:rPr>
        <w:tab/>
        <w:t>(b)</w:t>
      </w:r>
      <w:r w:rsidRPr="0048127F">
        <w:rPr>
          <w:rFonts w:cs="Arial"/>
          <w:snapToGrid w:val="0"/>
        </w:rPr>
        <w:tab/>
        <w:t xml:space="preserve">qu’un </w:t>
      </w:r>
      <w:r w:rsidR="007737EF" w:rsidRPr="0048127F">
        <w:rPr>
          <w:rFonts w:cs="Arial"/>
          <w:snapToGrid w:val="0"/>
        </w:rPr>
        <w:t>exposé résumant les points traités dans le présent document sera présenté au TC à sa cinquante</w:t>
      </w:r>
      <w:r w:rsidR="007737EF" w:rsidRPr="0048127F">
        <w:rPr>
          <w:rFonts w:cs="Arial"/>
          <w:snapToGrid w:val="0"/>
        </w:rPr>
        <w:noBreakHyphen/>
      </w:r>
      <w:r w:rsidRPr="0048127F">
        <w:rPr>
          <w:rFonts w:cs="Arial"/>
          <w:snapToGrid w:val="0"/>
        </w:rPr>
        <w:t>troisième </w:t>
      </w:r>
      <w:r w:rsidR="007737EF" w:rsidRPr="0048127F">
        <w:t>session</w:t>
      </w:r>
      <w:r w:rsidR="007737EF" w:rsidRPr="0048127F">
        <w:rPr>
          <w:rFonts w:cs="Arial"/>
          <w:snapToGrid w:val="0"/>
        </w:rPr>
        <w:t>.  Cet exposé fera l’objet d’un additif au présent document (en anglais</w:t>
      </w:r>
      <w:r w:rsidR="007737EF" w:rsidRPr="009A6348">
        <w:rPr>
          <w:rFonts w:cs="Arial"/>
          <w:snapToGrid w:val="0"/>
        </w:rPr>
        <w:t xml:space="preserve"> seulement).</w:t>
      </w:r>
    </w:p>
    <w:p w:rsidR="007737EF" w:rsidRPr="009A6348" w:rsidRDefault="007737EF" w:rsidP="007737EF">
      <w:pPr>
        <w:rPr>
          <w:rFonts w:cs="Arial"/>
        </w:rPr>
      </w:pPr>
    </w:p>
    <w:p w:rsidR="007737EF" w:rsidRPr="009A6348" w:rsidRDefault="007737EF" w:rsidP="007737EF">
      <w:pPr>
        <w:jc w:val="left"/>
        <w:rPr>
          <w:rFonts w:cs="Arial"/>
          <w:u w:val="single"/>
        </w:rPr>
      </w:pPr>
    </w:p>
    <w:p w:rsidR="007737EF" w:rsidRPr="009A6348" w:rsidRDefault="007737EF" w:rsidP="007737EF">
      <w:pPr>
        <w:jc w:val="left"/>
        <w:rPr>
          <w:rFonts w:cs="Arial"/>
          <w:u w:val="single"/>
        </w:rPr>
      </w:pPr>
      <w:r w:rsidRPr="009A6348">
        <w:rPr>
          <w:rFonts w:cs="Arial"/>
          <w:u w:val="single"/>
        </w:rPr>
        <w:br w:type="page"/>
      </w:r>
    </w:p>
    <w:p w:rsidR="001F65A2" w:rsidRPr="00973306" w:rsidRDefault="001F65A2" w:rsidP="001F65A2">
      <w:pPr>
        <w:keepNext/>
        <w:spacing w:line="360" w:lineRule="auto"/>
      </w:pPr>
      <w:r w:rsidRPr="0048127F">
        <w:lastRenderedPageBreak/>
        <w:fldChar w:fldCharType="begin"/>
      </w:r>
      <w:r w:rsidRPr="0048127F">
        <w:instrText xml:space="preserve"> AUTONUM  </w:instrText>
      </w:r>
      <w:r w:rsidRPr="0048127F">
        <w:fldChar w:fldCharType="end"/>
      </w:r>
      <w:r w:rsidRPr="0048127F">
        <w:tab/>
        <w:t>Le présent document est structuré comme suit :</w:t>
      </w:r>
    </w:p>
    <w:p w:rsidR="007737EF" w:rsidRPr="009A6348" w:rsidRDefault="007737EF" w:rsidP="007737EF">
      <w:pPr>
        <w:jc w:val="left"/>
        <w:rPr>
          <w:rFonts w:cs="Arial"/>
        </w:rPr>
      </w:pPr>
    </w:p>
    <w:bookmarkStart w:id="4" w:name="_GoBack"/>
    <w:bookmarkEnd w:id="4"/>
    <w:p w:rsidR="00B75EED" w:rsidRDefault="007737EF">
      <w:pPr>
        <w:pStyle w:val="TOC1"/>
        <w:rPr>
          <w:rFonts w:asciiTheme="minorHAnsi" w:eastAsiaTheme="minorEastAsia" w:hAnsiTheme="minorHAnsi" w:cstheme="minorBidi"/>
          <w:caps w:val="0"/>
          <w:noProof/>
          <w:sz w:val="22"/>
          <w:szCs w:val="22"/>
        </w:rPr>
      </w:pPr>
      <w:r w:rsidRPr="009A6348">
        <w:rPr>
          <w:rFonts w:cs="Arial"/>
          <w:lang w:val="fr-FR"/>
        </w:rPr>
        <w:fldChar w:fldCharType="begin"/>
      </w:r>
      <w:r w:rsidRPr="009A6348">
        <w:rPr>
          <w:rFonts w:cs="Arial"/>
          <w:lang w:val="fr-FR"/>
        </w:rPr>
        <w:instrText xml:space="preserve"> TOC \o "1-3" \h \z \u </w:instrText>
      </w:r>
      <w:r w:rsidRPr="009A6348">
        <w:rPr>
          <w:rFonts w:cs="Arial"/>
          <w:lang w:val="fr-FR"/>
        </w:rPr>
        <w:fldChar w:fldCharType="separate"/>
      </w:r>
      <w:hyperlink w:anchor="_Toc478652704" w:history="1">
        <w:r w:rsidR="00B75EED" w:rsidRPr="00DE3017">
          <w:rPr>
            <w:rStyle w:val="Hyperlink"/>
            <w:noProof/>
            <w:lang w:val="fr-FR" w:eastAsia="ja-JP"/>
          </w:rPr>
          <w:t>Résumé</w:t>
        </w:r>
        <w:r w:rsidR="00B75EED">
          <w:rPr>
            <w:noProof/>
            <w:webHidden/>
          </w:rPr>
          <w:tab/>
        </w:r>
        <w:r w:rsidR="00B75EED">
          <w:rPr>
            <w:noProof/>
            <w:webHidden/>
          </w:rPr>
          <w:fldChar w:fldCharType="begin"/>
        </w:r>
        <w:r w:rsidR="00B75EED">
          <w:rPr>
            <w:noProof/>
            <w:webHidden/>
          </w:rPr>
          <w:instrText xml:space="preserve"> PAGEREF _Toc478652704 \h </w:instrText>
        </w:r>
        <w:r w:rsidR="00B75EED">
          <w:rPr>
            <w:noProof/>
            <w:webHidden/>
          </w:rPr>
        </w:r>
        <w:r w:rsidR="00B75EED">
          <w:rPr>
            <w:noProof/>
            <w:webHidden/>
          </w:rPr>
          <w:fldChar w:fldCharType="separate"/>
        </w:r>
        <w:r w:rsidR="00B75EED">
          <w:rPr>
            <w:noProof/>
            <w:webHidden/>
          </w:rPr>
          <w:t>1</w:t>
        </w:r>
        <w:r w:rsidR="00B75EED">
          <w:rPr>
            <w:noProof/>
            <w:webHidden/>
          </w:rPr>
          <w:fldChar w:fldCharType="end"/>
        </w:r>
      </w:hyperlink>
    </w:p>
    <w:p w:rsidR="00B75EED" w:rsidRDefault="00B75EED">
      <w:pPr>
        <w:pStyle w:val="TOC1"/>
        <w:rPr>
          <w:rFonts w:asciiTheme="minorHAnsi" w:eastAsiaTheme="minorEastAsia" w:hAnsiTheme="minorHAnsi" w:cstheme="minorBidi"/>
          <w:caps w:val="0"/>
          <w:noProof/>
          <w:sz w:val="22"/>
          <w:szCs w:val="22"/>
        </w:rPr>
      </w:pPr>
      <w:hyperlink w:anchor="_Toc478652705" w:history="1">
        <w:r w:rsidRPr="00DE3017">
          <w:rPr>
            <w:rStyle w:val="Hyperlink"/>
            <w:noProof/>
            <w:lang w:val="fr-FR"/>
          </w:rPr>
          <w:t>Composition</w:t>
        </w:r>
        <w:r>
          <w:rPr>
            <w:noProof/>
            <w:webHidden/>
          </w:rPr>
          <w:tab/>
        </w:r>
        <w:r>
          <w:rPr>
            <w:noProof/>
            <w:webHidden/>
          </w:rPr>
          <w:fldChar w:fldCharType="begin"/>
        </w:r>
        <w:r>
          <w:rPr>
            <w:noProof/>
            <w:webHidden/>
          </w:rPr>
          <w:instrText xml:space="preserve"> PAGEREF _Toc478652705 \h </w:instrText>
        </w:r>
        <w:r>
          <w:rPr>
            <w:noProof/>
            <w:webHidden/>
          </w:rPr>
        </w:r>
        <w:r>
          <w:rPr>
            <w:noProof/>
            <w:webHidden/>
          </w:rPr>
          <w:fldChar w:fldCharType="separate"/>
        </w:r>
        <w:r>
          <w:rPr>
            <w:noProof/>
            <w:webHidden/>
          </w:rPr>
          <w:t>3</w:t>
        </w:r>
        <w:r>
          <w:rPr>
            <w:noProof/>
            <w:webHidden/>
          </w:rPr>
          <w:fldChar w:fldCharType="end"/>
        </w:r>
      </w:hyperlink>
    </w:p>
    <w:p w:rsidR="00B75EED" w:rsidRDefault="00B75EED">
      <w:pPr>
        <w:pStyle w:val="TOC2"/>
        <w:rPr>
          <w:rFonts w:asciiTheme="minorHAnsi" w:eastAsiaTheme="minorEastAsia" w:hAnsiTheme="minorHAnsi" w:cstheme="minorBidi"/>
          <w:smallCaps w:val="0"/>
          <w:noProof/>
          <w:sz w:val="22"/>
          <w:szCs w:val="22"/>
        </w:rPr>
      </w:pPr>
      <w:hyperlink w:anchor="_Toc478652706" w:history="1">
        <w:r w:rsidRPr="00DE3017">
          <w:rPr>
            <w:rStyle w:val="Hyperlink"/>
            <w:noProof/>
          </w:rPr>
          <w:t>Membres de l’Union</w:t>
        </w:r>
        <w:r>
          <w:rPr>
            <w:noProof/>
            <w:webHidden/>
          </w:rPr>
          <w:tab/>
        </w:r>
        <w:r>
          <w:rPr>
            <w:noProof/>
            <w:webHidden/>
          </w:rPr>
          <w:fldChar w:fldCharType="begin"/>
        </w:r>
        <w:r>
          <w:rPr>
            <w:noProof/>
            <w:webHidden/>
          </w:rPr>
          <w:instrText xml:space="preserve"> PAGEREF _Toc478652706 \h </w:instrText>
        </w:r>
        <w:r>
          <w:rPr>
            <w:noProof/>
            <w:webHidden/>
          </w:rPr>
        </w:r>
        <w:r>
          <w:rPr>
            <w:noProof/>
            <w:webHidden/>
          </w:rPr>
          <w:fldChar w:fldCharType="separate"/>
        </w:r>
        <w:r>
          <w:rPr>
            <w:noProof/>
            <w:webHidden/>
          </w:rPr>
          <w:t>3</w:t>
        </w:r>
        <w:r>
          <w:rPr>
            <w:noProof/>
            <w:webHidden/>
          </w:rPr>
          <w:fldChar w:fldCharType="end"/>
        </w:r>
      </w:hyperlink>
    </w:p>
    <w:p w:rsidR="00B75EED" w:rsidRDefault="00B75EED">
      <w:pPr>
        <w:pStyle w:val="TOC2"/>
        <w:rPr>
          <w:rFonts w:asciiTheme="minorHAnsi" w:eastAsiaTheme="minorEastAsia" w:hAnsiTheme="minorHAnsi" w:cstheme="minorBidi"/>
          <w:smallCaps w:val="0"/>
          <w:noProof/>
          <w:sz w:val="22"/>
          <w:szCs w:val="22"/>
        </w:rPr>
      </w:pPr>
      <w:hyperlink w:anchor="_Toc478652707" w:history="1">
        <w:r w:rsidRPr="00DE3017">
          <w:rPr>
            <w:rStyle w:val="Hyperlink"/>
            <w:noProof/>
          </w:rPr>
          <w:t>Situation par rapport aux divers actes de la Convention</w:t>
        </w:r>
        <w:r>
          <w:rPr>
            <w:noProof/>
            <w:webHidden/>
          </w:rPr>
          <w:tab/>
        </w:r>
        <w:r>
          <w:rPr>
            <w:noProof/>
            <w:webHidden/>
          </w:rPr>
          <w:fldChar w:fldCharType="begin"/>
        </w:r>
        <w:r>
          <w:rPr>
            <w:noProof/>
            <w:webHidden/>
          </w:rPr>
          <w:instrText xml:space="preserve"> PAGEREF _Toc478652707 \h </w:instrText>
        </w:r>
        <w:r>
          <w:rPr>
            <w:noProof/>
            <w:webHidden/>
          </w:rPr>
        </w:r>
        <w:r>
          <w:rPr>
            <w:noProof/>
            <w:webHidden/>
          </w:rPr>
          <w:fldChar w:fldCharType="separate"/>
        </w:r>
        <w:r>
          <w:rPr>
            <w:noProof/>
            <w:webHidden/>
          </w:rPr>
          <w:t>3</w:t>
        </w:r>
        <w:r>
          <w:rPr>
            <w:noProof/>
            <w:webHidden/>
          </w:rPr>
          <w:fldChar w:fldCharType="end"/>
        </w:r>
      </w:hyperlink>
    </w:p>
    <w:p w:rsidR="00B75EED" w:rsidRDefault="00B75EED">
      <w:pPr>
        <w:pStyle w:val="TOC1"/>
        <w:rPr>
          <w:rFonts w:asciiTheme="minorHAnsi" w:eastAsiaTheme="minorEastAsia" w:hAnsiTheme="minorHAnsi" w:cstheme="minorBidi"/>
          <w:caps w:val="0"/>
          <w:noProof/>
          <w:sz w:val="22"/>
          <w:szCs w:val="22"/>
        </w:rPr>
      </w:pPr>
      <w:hyperlink w:anchor="_Toc478652708" w:history="1">
        <w:r w:rsidRPr="00DE3017">
          <w:rPr>
            <w:rStyle w:val="Hyperlink"/>
            <w:noProof/>
            <w:lang w:val="fr-FR"/>
          </w:rPr>
          <w:t>StatistiQUEs sur la Protection des obtentions végétales</w:t>
        </w:r>
        <w:r>
          <w:rPr>
            <w:noProof/>
            <w:webHidden/>
          </w:rPr>
          <w:tab/>
        </w:r>
        <w:r>
          <w:rPr>
            <w:noProof/>
            <w:webHidden/>
          </w:rPr>
          <w:fldChar w:fldCharType="begin"/>
        </w:r>
        <w:r>
          <w:rPr>
            <w:noProof/>
            <w:webHidden/>
          </w:rPr>
          <w:instrText xml:space="preserve"> PAGEREF _Toc478652708 \h </w:instrText>
        </w:r>
        <w:r>
          <w:rPr>
            <w:noProof/>
            <w:webHidden/>
          </w:rPr>
        </w:r>
        <w:r>
          <w:rPr>
            <w:noProof/>
            <w:webHidden/>
          </w:rPr>
          <w:fldChar w:fldCharType="separate"/>
        </w:r>
        <w:r>
          <w:rPr>
            <w:noProof/>
            <w:webHidden/>
          </w:rPr>
          <w:t>3</w:t>
        </w:r>
        <w:r>
          <w:rPr>
            <w:noProof/>
            <w:webHidden/>
          </w:rPr>
          <w:fldChar w:fldCharType="end"/>
        </w:r>
      </w:hyperlink>
    </w:p>
    <w:p w:rsidR="00B75EED" w:rsidRDefault="00B75EED">
      <w:pPr>
        <w:pStyle w:val="TOC2"/>
        <w:rPr>
          <w:rFonts w:asciiTheme="minorHAnsi" w:eastAsiaTheme="minorEastAsia" w:hAnsiTheme="minorHAnsi" w:cstheme="minorBidi"/>
          <w:smallCaps w:val="0"/>
          <w:noProof/>
          <w:sz w:val="22"/>
          <w:szCs w:val="22"/>
        </w:rPr>
      </w:pPr>
      <w:hyperlink w:anchor="_Toc478652709" w:history="1">
        <w:r w:rsidRPr="00DE3017">
          <w:rPr>
            <w:rStyle w:val="Hyperlink"/>
            <w:rFonts w:eastAsia="MS Mincho"/>
            <w:noProof/>
            <w:lang w:eastAsia="ja-JP"/>
          </w:rPr>
          <w:t>Liste des taxons protégés par les membres de l’Union</w:t>
        </w:r>
        <w:r>
          <w:rPr>
            <w:noProof/>
            <w:webHidden/>
          </w:rPr>
          <w:tab/>
        </w:r>
        <w:r>
          <w:rPr>
            <w:noProof/>
            <w:webHidden/>
          </w:rPr>
          <w:fldChar w:fldCharType="begin"/>
        </w:r>
        <w:r>
          <w:rPr>
            <w:noProof/>
            <w:webHidden/>
          </w:rPr>
          <w:instrText xml:space="preserve"> PAGEREF _Toc478652709 \h </w:instrText>
        </w:r>
        <w:r>
          <w:rPr>
            <w:noProof/>
            <w:webHidden/>
          </w:rPr>
        </w:r>
        <w:r>
          <w:rPr>
            <w:noProof/>
            <w:webHidden/>
          </w:rPr>
          <w:fldChar w:fldCharType="separate"/>
        </w:r>
        <w:r>
          <w:rPr>
            <w:noProof/>
            <w:webHidden/>
          </w:rPr>
          <w:t>3</w:t>
        </w:r>
        <w:r>
          <w:rPr>
            <w:noProof/>
            <w:webHidden/>
          </w:rPr>
          <w:fldChar w:fldCharType="end"/>
        </w:r>
      </w:hyperlink>
    </w:p>
    <w:p w:rsidR="00B75EED" w:rsidRDefault="00B75EED">
      <w:pPr>
        <w:pStyle w:val="TOC2"/>
        <w:rPr>
          <w:rFonts w:asciiTheme="minorHAnsi" w:eastAsiaTheme="minorEastAsia" w:hAnsiTheme="minorHAnsi" w:cstheme="minorBidi"/>
          <w:smallCaps w:val="0"/>
          <w:noProof/>
          <w:sz w:val="22"/>
          <w:szCs w:val="22"/>
        </w:rPr>
      </w:pPr>
      <w:hyperlink w:anchor="_Toc478652710" w:history="1">
        <w:r w:rsidRPr="00DE3017">
          <w:rPr>
            <w:rStyle w:val="Hyperlink"/>
            <w:noProof/>
          </w:rPr>
          <w:t>Statistiques sur la protection des obtentions végétales</w:t>
        </w:r>
        <w:r>
          <w:rPr>
            <w:noProof/>
            <w:webHidden/>
          </w:rPr>
          <w:tab/>
        </w:r>
        <w:r>
          <w:rPr>
            <w:noProof/>
            <w:webHidden/>
          </w:rPr>
          <w:fldChar w:fldCharType="begin"/>
        </w:r>
        <w:r>
          <w:rPr>
            <w:noProof/>
            <w:webHidden/>
          </w:rPr>
          <w:instrText xml:space="preserve"> PAGEREF _Toc478652710 \h </w:instrText>
        </w:r>
        <w:r>
          <w:rPr>
            <w:noProof/>
            <w:webHidden/>
          </w:rPr>
        </w:r>
        <w:r>
          <w:rPr>
            <w:noProof/>
            <w:webHidden/>
          </w:rPr>
          <w:fldChar w:fldCharType="separate"/>
        </w:r>
        <w:r>
          <w:rPr>
            <w:noProof/>
            <w:webHidden/>
          </w:rPr>
          <w:t>3</w:t>
        </w:r>
        <w:r>
          <w:rPr>
            <w:noProof/>
            <w:webHidden/>
          </w:rPr>
          <w:fldChar w:fldCharType="end"/>
        </w:r>
      </w:hyperlink>
    </w:p>
    <w:p w:rsidR="00B75EED" w:rsidRDefault="00B75EED">
      <w:pPr>
        <w:pStyle w:val="TOC2"/>
        <w:rPr>
          <w:rFonts w:asciiTheme="minorHAnsi" w:eastAsiaTheme="minorEastAsia" w:hAnsiTheme="minorHAnsi" w:cstheme="minorBidi"/>
          <w:smallCaps w:val="0"/>
          <w:noProof/>
          <w:sz w:val="22"/>
          <w:szCs w:val="22"/>
        </w:rPr>
      </w:pPr>
      <w:hyperlink w:anchor="_Toc478652711" w:history="1">
        <w:r w:rsidRPr="00DE3017">
          <w:rPr>
            <w:rStyle w:val="Hyperlink"/>
            <w:noProof/>
          </w:rPr>
          <w:t>Coopération en matière d’examen des obtentions végétales</w:t>
        </w:r>
        <w:r>
          <w:rPr>
            <w:noProof/>
            <w:webHidden/>
          </w:rPr>
          <w:tab/>
        </w:r>
        <w:r>
          <w:rPr>
            <w:noProof/>
            <w:webHidden/>
          </w:rPr>
          <w:fldChar w:fldCharType="begin"/>
        </w:r>
        <w:r>
          <w:rPr>
            <w:noProof/>
            <w:webHidden/>
          </w:rPr>
          <w:instrText xml:space="preserve"> PAGEREF _Toc478652711 \h </w:instrText>
        </w:r>
        <w:r>
          <w:rPr>
            <w:noProof/>
            <w:webHidden/>
          </w:rPr>
        </w:r>
        <w:r>
          <w:rPr>
            <w:noProof/>
            <w:webHidden/>
          </w:rPr>
          <w:fldChar w:fldCharType="separate"/>
        </w:r>
        <w:r>
          <w:rPr>
            <w:noProof/>
            <w:webHidden/>
          </w:rPr>
          <w:t>4</w:t>
        </w:r>
        <w:r>
          <w:rPr>
            <w:noProof/>
            <w:webHidden/>
          </w:rPr>
          <w:fldChar w:fldCharType="end"/>
        </w:r>
      </w:hyperlink>
    </w:p>
    <w:p w:rsidR="00B75EED" w:rsidRDefault="00B75EED">
      <w:pPr>
        <w:pStyle w:val="TOC1"/>
        <w:rPr>
          <w:rFonts w:asciiTheme="minorHAnsi" w:eastAsiaTheme="minorEastAsia" w:hAnsiTheme="minorHAnsi" w:cstheme="minorBidi"/>
          <w:caps w:val="0"/>
          <w:noProof/>
          <w:sz w:val="22"/>
          <w:szCs w:val="22"/>
        </w:rPr>
      </w:pPr>
      <w:hyperlink w:anchor="_Toc478652712" w:history="1">
        <w:r w:rsidRPr="00DE3017">
          <w:rPr>
            <w:rStyle w:val="Hyperlink"/>
            <w:noProof/>
            <w:lang w:val="fr-FR"/>
          </w:rPr>
          <w:t>Rapport annuel du Secrétaire général pour 2015;  Rapport sur l’exécution du programme pour l’exercice biennal 2014</w:t>
        </w:r>
        <w:r w:rsidRPr="00DE3017">
          <w:rPr>
            <w:rStyle w:val="Hyperlink"/>
            <w:noProof/>
            <w:lang w:val="fr-FR"/>
          </w:rPr>
          <w:noBreakHyphen/>
          <w:t>2015</w:t>
        </w:r>
        <w:r>
          <w:rPr>
            <w:noProof/>
            <w:webHidden/>
          </w:rPr>
          <w:tab/>
        </w:r>
        <w:r>
          <w:rPr>
            <w:noProof/>
            <w:webHidden/>
          </w:rPr>
          <w:fldChar w:fldCharType="begin"/>
        </w:r>
        <w:r>
          <w:rPr>
            <w:noProof/>
            <w:webHidden/>
          </w:rPr>
          <w:instrText xml:space="preserve"> PAGEREF _Toc478652712 \h </w:instrText>
        </w:r>
        <w:r>
          <w:rPr>
            <w:noProof/>
            <w:webHidden/>
          </w:rPr>
        </w:r>
        <w:r>
          <w:rPr>
            <w:noProof/>
            <w:webHidden/>
          </w:rPr>
          <w:fldChar w:fldCharType="separate"/>
        </w:r>
        <w:r>
          <w:rPr>
            <w:noProof/>
            <w:webHidden/>
          </w:rPr>
          <w:t>4</w:t>
        </w:r>
        <w:r>
          <w:rPr>
            <w:noProof/>
            <w:webHidden/>
          </w:rPr>
          <w:fldChar w:fldCharType="end"/>
        </w:r>
      </w:hyperlink>
    </w:p>
    <w:p w:rsidR="00B75EED" w:rsidRDefault="00B75EED">
      <w:pPr>
        <w:pStyle w:val="TOC1"/>
        <w:rPr>
          <w:rFonts w:asciiTheme="minorHAnsi" w:eastAsiaTheme="minorEastAsia" w:hAnsiTheme="minorHAnsi" w:cstheme="minorBidi"/>
          <w:caps w:val="0"/>
          <w:noProof/>
          <w:sz w:val="22"/>
          <w:szCs w:val="22"/>
        </w:rPr>
      </w:pPr>
      <w:hyperlink w:anchor="_Toc478652713" w:history="1">
        <w:r w:rsidRPr="00DE3017">
          <w:rPr>
            <w:rStyle w:val="Hyperlink"/>
            <w:rFonts w:cs="Arial"/>
            <w:noProof/>
            <w:lang w:val="fr-FR"/>
          </w:rPr>
          <w:t>Rapport d’évaluation par la Division de la supervision interne de l’OMPI</w:t>
        </w:r>
        <w:r>
          <w:rPr>
            <w:noProof/>
            <w:webHidden/>
          </w:rPr>
          <w:tab/>
        </w:r>
        <w:r>
          <w:rPr>
            <w:noProof/>
            <w:webHidden/>
          </w:rPr>
          <w:fldChar w:fldCharType="begin"/>
        </w:r>
        <w:r>
          <w:rPr>
            <w:noProof/>
            <w:webHidden/>
          </w:rPr>
          <w:instrText xml:space="preserve"> PAGEREF _Toc478652713 \h </w:instrText>
        </w:r>
        <w:r>
          <w:rPr>
            <w:noProof/>
            <w:webHidden/>
          </w:rPr>
        </w:r>
        <w:r>
          <w:rPr>
            <w:noProof/>
            <w:webHidden/>
          </w:rPr>
          <w:fldChar w:fldCharType="separate"/>
        </w:r>
        <w:r>
          <w:rPr>
            <w:noProof/>
            <w:webHidden/>
          </w:rPr>
          <w:t>4</w:t>
        </w:r>
        <w:r>
          <w:rPr>
            <w:noProof/>
            <w:webHidden/>
          </w:rPr>
          <w:fldChar w:fldCharType="end"/>
        </w:r>
      </w:hyperlink>
    </w:p>
    <w:p w:rsidR="00B75EED" w:rsidRDefault="00B75EED">
      <w:pPr>
        <w:pStyle w:val="TOC1"/>
        <w:rPr>
          <w:rFonts w:asciiTheme="minorHAnsi" w:eastAsiaTheme="minorEastAsia" w:hAnsiTheme="minorHAnsi" w:cstheme="minorBidi"/>
          <w:caps w:val="0"/>
          <w:noProof/>
          <w:sz w:val="22"/>
          <w:szCs w:val="22"/>
        </w:rPr>
      </w:pPr>
      <w:hyperlink w:anchor="_Toc478652714" w:history="1">
        <w:r w:rsidRPr="00DE3017">
          <w:rPr>
            <w:rStyle w:val="Hyperlink"/>
            <w:noProof/>
            <w:lang w:val="fr-FR"/>
          </w:rPr>
          <w:t>sessions des organes de l’UPOV</w:t>
        </w:r>
        <w:r>
          <w:rPr>
            <w:noProof/>
            <w:webHidden/>
          </w:rPr>
          <w:tab/>
        </w:r>
        <w:r>
          <w:rPr>
            <w:noProof/>
            <w:webHidden/>
          </w:rPr>
          <w:fldChar w:fldCharType="begin"/>
        </w:r>
        <w:r>
          <w:rPr>
            <w:noProof/>
            <w:webHidden/>
          </w:rPr>
          <w:instrText xml:space="preserve"> PAGEREF _Toc478652714 \h </w:instrText>
        </w:r>
        <w:r>
          <w:rPr>
            <w:noProof/>
            <w:webHidden/>
          </w:rPr>
        </w:r>
        <w:r>
          <w:rPr>
            <w:noProof/>
            <w:webHidden/>
          </w:rPr>
          <w:fldChar w:fldCharType="separate"/>
        </w:r>
        <w:r>
          <w:rPr>
            <w:noProof/>
            <w:webHidden/>
          </w:rPr>
          <w:t>4</w:t>
        </w:r>
        <w:r>
          <w:rPr>
            <w:noProof/>
            <w:webHidden/>
          </w:rPr>
          <w:fldChar w:fldCharType="end"/>
        </w:r>
      </w:hyperlink>
    </w:p>
    <w:p w:rsidR="00B75EED" w:rsidRDefault="00B75EED">
      <w:pPr>
        <w:pStyle w:val="TOC2"/>
        <w:rPr>
          <w:rFonts w:asciiTheme="minorHAnsi" w:eastAsiaTheme="minorEastAsia" w:hAnsiTheme="minorHAnsi" w:cstheme="minorBidi"/>
          <w:smallCaps w:val="0"/>
          <w:noProof/>
          <w:sz w:val="22"/>
          <w:szCs w:val="22"/>
        </w:rPr>
      </w:pPr>
      <w:hyperlink w:anchor="_Toc478652715" w:history="1">
        <w:r w:rsidRPr="00DE3017">
          <w:rPr>
            <w:rStyle w:val="Hyperlink"/>
            <w:noProof/>
          </w:rPr>
          <w:t>Président et vice</w:t>
        </w:r>
        <w:r w:rsidRPr="00DE3017">
          <w:rPr>
            <w:rStyle w:val="Hyperlink"/>
            <w:noProof/>
          </w:rPr>
          <w:noBreakHyphen/>
          <w:t>président du Conseil de l’UPOV</w:t>
        </w:r>
        <w:r>
          <w:rPr>
            <w:noProof/>
            <w:webHidden/>
          </w:rPr>
          <w:tab/>
        </w:r>
        <w:r>
          <w:rPr>
            <w:noProof/>
            <w:webHidden/>
          </w:rPr>
          <w:fldChar w:fldCharType="begin"/>
        </w:r>
        <w:r>
          <w:rPr>
            <w:noProof/>
            <w:webHidden/>
          </w:rPr>
          <w:instrText xml:space="preserve"> PAGEREF _Toc478652715 \h </w:instrText>
        </w:r>
        <w:r>
          <w:rPr>
            <w:noProof/>
            <w:webHidden/>
          </w:rPr>
        </w:r>
        <w:r>
          <w:rPr>
            <w:noProof/>
            <w:webHidden/>
          </w:rPr>
          <w:fldChar w:fldCharType="separate"/>
        </w:r>
        <w:r>
          <w:rPr>
            <w:noProof/>
            <w:webHidden/>
          </w:rPr>
          <w:t>4</w:t>
        </w:r>
        <w:r>
          <w:rPr>
            <w:noProof/>
            <w:webHidden/>
          </w:rPr>
          <w:fldChar w:fldCharType="end"/>
        </w:r>
      </w:hyperlink>
    </w:p>
    <w:p w:rsidR="00B75EED" w:rsidRDefault="00B75EED">
      <w:pPr>
        <w:pStyle w:val="TOC2"/>
        <w:rPr>
          <w:rFonts w:asciiTheme="minorHAnsi" w:eastAsiaTheme="minorEastAsia" w:hAnsiTheme="minorHAnsi" w:cstheme="minorBidi"/>
          <w:smallCaps w:val="0"/>
          <w:noProof/>
          <w:sz w:val="22"/>
          <w:szCs w:val="22"/>
        </w:rPr>
      </w:pPr>
      <w:hyperlink w:anchor="_Toc478652716" w:history="1">
        <w:r w:rsidRPr="00DE3017">
          <w:rPr>
            <w:rStyle w:val="Hyperlink"/>
            <w:noProof/>
          </w:rPr>
          <w:t>Président et vice-président du Comité administratif et juridique</w:t>
        </w:r>
        <w:r>
          <w:rPr>
            <w:noProof/>
            <w:webHidden/>
          </w:rPr>
          <w:tab/>
        </w:r>
        <w:r>
          <w:rPr>
            <w:noProof/>
            <w:webHidden/>
          </w:rPr>
          <w:fldChar w:fldCharType="begin"/>
        </w:r>
        <w:r>
          <w:rPr>
            <w:noProof/>
            <w:webHidden/>
          </w:rPr>
          <w:instrText xml:space="preserve"> PAGEREF _Toc478652716 \h </w:instrText>
        </w:r>
        <w:r>
          <w:rPr>
            <w:noProof/>
            <w:webHidden/>
          </w:rPr>
        </w:r>
        <w:r>
          <w:rPr>
            <w:noProof/>
            <w:webHidden/>
          </w:rPr>
          <w:fldChar w:fldCharType="separate"/>
        </w:r>
        <w:r>
          <w:rPr>
            <w:noProof/>
            <w:webHidden/>
          </w:rPr>
          <w:t>4</w:t>
        </w:r>
        <w:r>
          <w:rPr>
            <w:noProof/>
            <w:webHidden/>
          </w:rPr>
          <w:fldChar w:fldCharType="end"/>
        </w:r>
      </w:hyperlink>
    </w:p>
    <w:p w:rsidR="00B75EED" w:rsidRDefault="00B75EED">
      <w:pPr>
        <w:pStyle w:val="TOC2"/>
        <w:rPr>
          <w:rFonts w:asciiTheme="minorHAnsi" w:eastAsiaTheme="minorEastAsia" w:hAnsiTheme="minorHAnsi" w:cstheme="minorBidi"/>
          <w:smallCaps w:val="0"/>
          <w:noProof/>
          <w:sz w:val="22"/>
          <w:szCs w:val="22"/>
        </w:rPr>
      </w:pPr>
      <w:hyperlink w:anchor="_Toc478652717" w:history="1">
        <w:r w:rsidRPr="00DE3017">
          <w:rPr>
            <w:rStyle w:val="Hyperlink"/>
            <w:noProof/>
          </w:rPr>
          <w:t>Président et vice-président du Comité technique</w:t>
        </w:r>
        <w:r>
          <w:rPr>
            <w:noProof/>
            <w:webHidden/>
          </w:rPr>
          <w:tab/>
        </w:r>
        <w:r>
          <w:rPr>
            <w:noProof/>
            <w:webHidden/>
          </w:rPr>
          <w:fldChar w:fldCharType="begin"/>
        </w:r>
        <w:r>
          <w:rPr>
            <w:noProof/>
            <w:webHidden/>
          </w:rPr>
          <w:instrText xml:space="preserve"> PAGEREF _Toc478652717 \h </w:instrText>
        </w:r>
        <w:r>
          <w:rPr>
            <w:noProof/>
            <w:webHidden/>
          </w:rPr>
        </w:r>
        <w:r>
          <w:rPr>
            <w:noProof/>
            <w:webHidden/>
          </w:rPr>
          <w:fldChar w:fldCharType="separate"/>
        </w:r>
        <w:r>
          <w:rPr>
            <w:noProof/>
            <w:webHidden/>
          </w:rPr>
          <w:t>5</w:t>
        </w:r>
        <w:r>
          <w:rPr>
            <w:noProof/>
            <w:webHidden/>
          </w:rPr>
          <w:fldChar w:fldCharType="end"/>
        </w:r>
      </w:hyperlink>
    </w:p>
    <w:p w:rsidR="00B75EED" w:rsidRDefault="00B75EED">
      <w:pPr>
        <w:pStyle w:val="TOC2"/>
        <w:rPr>
          <w:rFonts w:asciiTheme="minorHAnsi" w:eastAsiaTheme="minorEastAsia" w:hAnsiTheme="minorHAnsi" w:cstheme="minorBidi"/>
          <w:smallCaps w:val="0"/>
          <w:noProof/>
          <w:sz w:val="22"/>
          <w:szCs w:val="22"/>
        </w:rPr>
      </w:pPr>
      <w:hyperlink w:anchor="_Toc478652718" w:history="1">
        <w:r w:rsidRPr="00DE3017">
          <w:rPr>
            <w:rStyle w:val="Hyperlink"/>
            <w:noProof/>
          </w:rPr>
          <w:t>Calendrier des réunions</w:t>
        </w:r>
        <w:r>
          <w:rPr>
            <w:noProof/>
            <w:webHidden/>
          </w:rPr>
          <w:tab/>
        </w:r>
        <w:r>
          <w:rPr>
            <w:noProof/>
            <w:webHidden/>
          </w:rPr>
          <w:fldChar w:fldCharType="begin"/>
        </w:r>
        <w:r>
          <w:rPr>
            <w:noProof/>
            <w:webHidden/>
          </w:rPr>
          <w:instrText xml:space="preserve"> PAGEREF _Toc478652718 \h </w:instrText>
        </w:r>
        <w:r>
          <w:rPr>
            <w:noProof/>
            <w:webHidden/>
          </w:rPr>
        </w:r>
        <w:r>
          <w:rPr>
            <w:noProof/>
            <w:webHidden/>
          </w:rPr>
          <w:fldChar w:fldCharType="separate"/>
        </w:r>
        <w:r>
          <w:rPr>
            <w:noProof/>
            <w:webHidden/>
          </w:rPr>
          <w:t>5</w:t>
        </w:r>
        <w:r>
          <w:rPr>
            <w:noProof/>
            <w:webHidden/>
          </w:rPr>
          <w:fldChar w:fldCharType="end"/>
        </w:r>
      </w:hyperlink>
    </w:p>
    <w:p w:rsidR="00B75EED" w:rsidRDefault="00B75EED">
      <w:pPr>
        <w:pStyle w:val="TOC1"/>
        <w:rPr>
          <w:rFonts w:asciiTheme="minorHAnsi" w:eastAsiaTheme="minorEastAsia" w:hAnsiTheme="minorHAnsi" w:cstheme="minorBidi"/>
          <w:caps w:val="0"/>
          <w:noProof/>
          <w:sz w:val="22"/>
          <w:szCs w:val="22"/>
        </w:rPr>
      </w:pPr>
      <w:hyperlink w:anchor="_Toc478652719" w:history="1">
        <w:r w:rsidRPr="00DE3017">
          <w:rPr>
            <w:rStyle w:val="Hyperlink"/>
            <w:noProof/>
            <w:lang w:val="fr-FR"/>
          </w:rPr>
          <w:t>Collection UPOV</w:t>
        </w:r>
        <w:r>
          <w:rPr>
            <w:noProof/>
            <w:webHidden/>
          </w:rPr>
          <w:tab/>
        </w:r>
        <w:r>
          <w:rPr>
            <w:noProof/>
            <w:webHidden/>
          </w:rPr>
          <w:fldChar w:fldCharType="begin"/>
        </w:r>
        <w:r>
          <w:rPr>
            <w:noProof/>
            <w:webHidden/>
          </w:rPr>
          <w:instrText xml:space="preserve"> PAGEREF _Toc478652719 \h </w:instrText>
        </w:r>
        <w:r>
          <w:rPr>
            <w:noProof/>
            <w:webHidden/>
          </w:rPr>
        </w:r>
        <w:r>
          <w:rPr>
            <w:noProof/>
            <w:webHidden/>
          </w:rPr>
          <w:fldChar w:fldCharType="separate"/>
        </w:r>
        <w:r>
          <w:rPr>
            <w:noProof/>
            <w:webHidden/>
          </w:rPr>
          <w:t>6</w:t>
        </w:r>
        <w:r>
          <w:rPr>
            <w:noProof/>
            <w:webHidden/>
          </w:rPr>
          <w:fldChar w:fldCharType="end"/>
        </w:r>
      </w:hyperlink>
    </w:p>
    <w:p w:rsidR="00B75EED" w:rsidRDefault="00B75EED">
      <w:pPr>
        <w:pStyle w:val="TOC2"/>
        <w:rPr>
          <w:rFonts w:asciiTheme="minorHAnsi" w:eastAsiaTheme="minorEastAsia" w:hAnsiTheme="minorHAnsi" w:cstheme="minorBidi"/>
          <w:smallCaps w:val="0"/>
          <w:noProof/>
          <w:sz w:val="22"/>
          <w:szCs w:val="22"/>
        </w:rPr>
      </w:pPr>
      <w:hyperlink w:anchor="_Toc478652720" w:history="1">
        <w:r w:rsidRPr="00DE3017">
          <w:rPr>
            <w:rStyle w:val="Hyperlink"/>
            <w:noProof/>
          </w:rPr>
          <w:t>Adoption de documents</w:t>
        </w:r>
        <w:r>
          <w:rPr>
            <w:noProof/>
            <w:webHidden/>
          </w:rPr>
          <w:tab/>
        </w:r>
        <w:r>
          <w:rPr>
            <w:noProof/>
            <w:webHidden/>
          </w:rPr>
          <w:fldChar w:fldCharType="begin"/>
        </w:r>
        <w:r>
          <w:rPr>
            <w:noProof/>
            <w:webHidden/>
          </w:rPr>
          <w:instrText xml:space="preserve"> PAGEREF _Toc478652720 \h </w:instrText>
        </w:r>
        <w:r>
          <w:rPr>
            <w:noProof/>
            <w:webHidden/>
          </w:rPr>
        </w:r>
        <w:r>
          <w:rPr>
            <w:noProof/>
            <w:webHidden/>
          </w:rPr>
          <w:fldChar w:fldCharType="separate"/>
        </w:r>
        <w:r>
          <w:rPr>
            <w:noProof/>
            <w:webHidden/>
          </w:rPr>
          <w:t>6</w:t>
        </w:r>
        <w:r>
          <w:rPr>
            <w:noProof/>
            <w:webHidden/>
          </w:rPr>
          <w:fldChar w:fldCharType="end"/>
        </w:r>
      </w:hyperlink>
    </w:p>
    <w:p w:rsidR="00B75EED" w:rsidRDefault="00B75EED">
      <w:pPr>
        <w:pStyle w:val="TOC2"/>
        <w:rPr>
          <w:rFonts w:asciiTheme="minorHAnsi" w:eastAsiaTheme="minorEastAsia" w:hAnsiTheme="minorHAnsi" w:cstheme="minorBidi"/>
          <w:smallCaps w:val="0"/>
          <w:noProof/>
          <w:sz w:val="22"/>
          <w:szCs w:val="22"/>
        </w:rPr>
      </w:pPr>
      <w:hyperlink w:anchor="_Toc478652721" w:history="1">
        <w:r w:rsidRPr="00DE3017">
          <w:rPr>
            <w:rStyle w:val="Hyperlink"/>
            <w:noProof/>
          </w:rPr>
          <w:t>Questions devant être examinées par le Comité administratif et juridique</w:t>
        </w:r>
        <w:r>
          <w:rPr>
            <w:noProof/>
            <w:webHidden/>
          </w:rPr>
          <w:tab/>
        </w:r>
        <w:r>
          <w:rPr>
            <w:noProof/>
            <w:webHidden/>
          </w:rPr>
          <w:fldChar w:fldCharType="begin"/>
        </w:r>
        <w:r>
          <w:rPr>
            <w:noProof/>
            <w:webHidden/>
          </w:rPr>
          <w:instrText xml:space="preserve"> PAGEREF _Toc478652721 \h </w:instrText>
        </w:r>
        <w:r>
          <w:rPr>
            <w:noProof/>
            <w:webHidden/>
          </w:rPr>
        </w:r>
        <w:r>
          <w:rPr>
            <w:noProof/>
            <w:webHidden/>
          </w:rPr>
          <w:fldChar w:fldCharType="separate"/>
        </w:r>
        <w:r>
          <w:rPr>
            <w:noProof/>
            <w:webHidden/>
          </w:rPr>
          <w:t>6</w:t>
        </w:r>
        <w:r>
          <w:rPr>
            <w:noProof/>
            <w:webHidden/>
          </w:rPr>
          <w:fldChar w:fldCharType="end"/>
        </w:r>
      </w:hyperlink>
    </w:p>
    <w:p w:rsidR="00B75EED" w:rsidRDefault="00B75EED">
      <w:pPr>
        <w:pStyle w:val="TOC1"/>
        <w:rPr>
          <w:rFonts w:asciiTheme="minorHAnsi" w:eastAsiaTheme="minorEastAsia" w:hAnsiTheme="minorHAnsi" w:cstheme="minorBidi"/>
          <w:caps w:val="0"/>
          <w:noProof/>
          <w:sz w:val="22"/>
          <w:szCs w:val="22"/>
        </w:rPr>
      </w:pPr>
      <w:hyperlink w:anchor="_Toc478652722" w:history="1">
        <w:r w:rsidRPr="00DE3017">
          <w:rPr>
            <w:rStyle w:val="Hyperlink"/>
            <w:noProof/>
            <w:lang w:val="fr-FR"/>
          </w:rPr>
          <w:t>Observateurs auprès des organes de l’UPOV</w:t>
        </w:r>
        <w:r>
          <w:rPr>
            <w:noProof/>
            <w:webHidden/>
          </w:rPr>
          <w:tab/>
        </w:r>
        <w:r>
          <w:rPr>
            <w:noProof/>
            <w:webHidden/>
          </w:rPr>
          <w:fldChar w:fldCharType="begin"/>
        </w:r>
        <w:r>
          <w:rPr>
            <w:noProof/>
            <w:webHidden/>
          </w:rPr>
          <w:instrText xml:space="preserve"> PAGEREF _Toc478652722 \h </w:instrText>
        </w:r>
        <w:r>
          <w:rPr>
            <w:noProof/>
            <w:webHidden/>
          </w:rPr>
        </w:r>
        <w:r>
          <w:rPr>
            <w:noProof/>
            <w:webHidden/>
          </w:rPr>
          <w:fldChar w:fldCharType="separate"/>
        </w:r>
        <w:r>
          <w:rPr>
            <w:noProof/>
            <w:webHidden/>
          </w:rPr>
          <w:t>7</w:t>
        </w:r>
        <w:r>
          <w:rPr>
            <w:noProof/>
            <w:webHidden/>
          </w:rPr>
          <w:fldChar w:fldCharType="end"/>
        </w:r>
      </w:hyperlink>
    </w:p>
    <w:p w:rsidR="00B75EED" w:rsidRDefault="00B75EED">
      <w:pPr>
        <w:pStyle w:val="TOC1"/>
        <w:rPr>
          <w:rFonts w:asciiTheme="minorHAnsi" w:eastAsiaTheme="minorEastAsia" w:hAnsiTheme="minorHAnsi" w:cstheme="minorBidi"/>
          <w:caps w:val="0"/>
          <w:noProof/>
          <w:sz w:val="22"/>
          <w:szCs w:val="22"/>
        </w:rPr>
      </w:pPr>
      <w:hyperlink w:anchor="_Toc478652723" w:history="1">
        <w:r w:rsidRPr="00DE3017">
          <w:rPr>
            <w:rStyle w:val="Hyperlink"/>
            <w:noProof/>
            <w:lang w:val="fr-FR"/>
          </w:rPr>
          <w:t>Stratégie de communication</w:t>
        </w:r>
        <w:r>
          <w:rPr>
            <w:noProof/>
            <w:webHidden/>
          </w:rPr>
          <w:tab/>
        </w:r>
        <w:r>
          <w:rPr>
            <w:noProof/>
            <w:webHidden/>
          </w:rPr>
          <w:fldChar w:fldCharType="begin"/>
        </w:r>
        <w:r>
          <w:rPr>
            <w:noProof/>
            <w:webHidden/>
          </w:rPr>
          <w:instrText xml:space="preserve"> PAGEREF _Toc478652723 \h </w:instrText>
        </w:r>
        <w:r>
          <w:rPr>
            <w:noProof/>
            <w:webHidden/>
          </w:rPr>
        </w:r>
        <w:r>
          <w:rPr>
            <w:noProof/>
            <w:webHidden/>
          </w:rPr>
          <w:fldChar w:fldCharType="separate"/>
        </w:r>
        <w:r>
          <w:rPr>
            <w:noProof/>
            <w:webHidden/>
          </w:rPr>
          <w:t>7</w:t>
        </w:r>
        <w:r>
          <w:rPr>
            <w:noProof/>
            <w:webHidden/>
          </w:rPr>
          <w:fldChar w:fldCharType="end"/>
        </w:r>
      </w:hyperlink>
    </w:p>
    <w:p w:rsidR="00B75EED" w:rsidRDefault="00B75EED">
      <w:pPr>
        <w:pStyle w:val="TOC2"/>
        <w:rPr>
          <w:rFonts w:asciiTheme="minorHAnsi" w:eastAsiaTheme="minorEastAsia" w:hAnsiTheme="minorHAnsi" w:cstheme="minorBidi"/>
          <w:smallCaps w:val="0"/>
          <w:noProof/>
          <w:sz w:val="22"/>
          <w:szCs w:val="22"/>
        </w:rPr>
      </w:pPr>
      <w:hyperlink w:anchor="_Toc478652724" w:history="1">
        <w:r w:rsidRPr="00DE3017">
          <w:rPr>
            <w:rStyle w:val="Hyperlink"/>
            <w:noProof/>
          </w:rPr>
          <w:t>Nouveau logo de l’UPOV et mise à jour du site web</w:t>
        </w:r>
        <w:r>
          <w:rPr>
            <w:noProof/>
            <w:webHidden/>
          </w:rPr>
          <w:tab/>
        </w:r>
        <w:r>
          <w:rPr>
            <w:noProof/>
            <w:webHidden/>
          </w:rPr>
          <w:fldChar w:fldCharType="begin"/>
        </w:r>
        <w:r>
          <w:rPr>
            <w:noProof/>
            <w:webHidden/>
          </w:rPr>
          <w:instrText xml:space="preserve"> PAGEREF _Toc478652724 \h </w:instrText>
        </w:r>
        <w:r>
          <w:rPr>
            <w:noProof/>
            <w:webHidden/>
          </w:rPr>
        </w:r>
        <w:r>
          <w:rPr>
            <w:noProof/>
            <w:webHidden/>
          </w:rPr>
          <w:fldChar w:fldCharType="separate"/>
        </w:r>
        <w:r>
          <w:rPr>
            <w:noProof/>
            <w:webHidden/>
          </w:rPr>
          <w:t>7</w:t>
        </w:r>
        <w:r>
          <w:rPr>
            <w:noProof/>
            <w:webHidden/>
          </w:rPr>
          <w:fldChar w:fldCharType="end"/>
        </w:r>
      </w:hyperlink>
    </w:p>
    <w:p w:rsidR="00B75EED" w:rsidRDefault="00B75EED">
      <w:pPr>
        <w:pStyle w:val="TOC2"/>
        <w:rPr>
          <w:rFonts w:asciiTheme="minorHAnsi" w:eastAsiaTheme="minorEastAsia" w:hAnsiTheme="minorHAnsi" w:cstheme="minorBidi"/>
          <w:smallCaps w:val="0"/>
          <w:noProof/>
          <w:sz w:val="22"/>
          <w:szCs w:val="22"/>
        </w:rPr>
      </w:pPr>
      <w:hyperlink w:anchor="_Toc478652725" w:history="1">
        <w:r w:rsidRPr="00DE3017">
          <w:rPr>
            <w:rStyle w:val="Hyperlink"/>
            <w:noProof/>
          </w:rPr>
          <w:t>Questions fréquemment posées (FAQ)</w:t>
        </w:r>
        <w:r>
          <w:rPr>
            <w:noProof/>
            <w:webHidden/>
          </w:rPr>
          <w:tab/>
        </w:r>
        <w:r>
          <w:rPr>
            <w:noProof/>
            <w:webHidden/>
          </w:rPr>
          <w:fldChar w:fldCharType="begin"/>
        </w:r>
        <w:r>
          <w:rPr>
            <w:noProof/>
            <w:webHidden/>
          </w:rPr>
          <w:instrText xml:space="preserve"> PAGEREF _Toc478652725 \h </w:instrText>
        </w:r>
        <w:r>
          <w:rPr>
            <w:noProof/>
            <w:webHidden/>
          </w:rPr>
        </w:r>
        <w:r>
          <w:rPr>
            <w:noProof/>
            <w:webHidden/>
          </w:rPr>
          <w:fldChar w:fldCharType="separate"/>
        </w:r>
        <w:r>
          <w:rPr>
            <w:noProof/>
            <w:webHidden/>
          </w:rPr>
          <w:t>7</w:t>
        </w:r>
        <w:r>
          <w:rPr>
            <w:noProof/>
            <w:webHidden/>
          </w:rPr>
          <w:fldChar w:fldCharType="end"/>
        </w:r>
      </w:hyperlink>
    </w:p>
    <w:p w:rsidR="00B75EED" w:rsidRDefault="00B75EED">
      <w:pPr>
        <w:pStyle w:val="TOC2"/>
        <w:rPr>
          <w:rFonts w:asciiTheme="minorHAnsi" w:eastAsiaTheme="minorEastAsia" w:hAnsiTheme="minorHAnsi" w:cstheme="minorBidi"/>
          <w:smallCaps w:val="0"/>
          <w:noProof/>
          <w:sz w:val="22"/>
          <w:szCs w:val="22"/>
        </w:rPr>
      </w:pPr>
      <w:hyperlink w:anchor="_Toc478652726" w:history="1">
        <w:r w:rsidRPr="00DE3017">
          <w:rPr>
            <w:rStyle w:val="Hyperlink"/>
            <w:noProof/>
          </w:rPr>
          <w:t>Avantages du système UPOV</w:t>
        </w:r>
        <w:r>
          <w:rPr>
            <w:noProof/>
            <w:webHidden/>
          </w:rPr>
          <w:tab/>
        </w:r>
        <w:r>
          <w:rPr>
            <w:noProof/>
            <w:webHidden/>
          </w:rPr>
          <w:fldChar w:fldCharType="begin"/>
        </w:r>
        <w:r>
          <w:rPr>
            <w:noProof/>
            <w:webHidden/>
          </w:rPr>
          <w:instrText xml:space="preserve"> PAGEREF _Toc478652726 \h </w:instrText>
        </w:r>
        <w:r>
          <w:rPr>
            <w:noProof/>
            <w:webHidden/>
          </w:rPr>
        </w:r>
        <w:r>
          <w:rPr>
            <w:noProof/>
            <w:webHidden/>
          </w:rPr>
          <w:fldChar w:fldCharType="separate"/>
        </w:r>
        <w:r>
          <w:rPr>
            <w:noProof/>
            <w:webHidden/>
          </w:rPr>
          <w:t>7</w:t>
        </w:r>
        <w:r>
          <w:rPr>
            <w:noProof/>
            <w:webHidden/>
          </w:rPr>
          <w:fldChar w:fldCharType="end"/>
        </w:r>
      </w:hyperlink>
    </w:p>
    <w:p w:rsidR="00B75EED" w:rsidRDefault="00B75EED">
      <w:pPr>
        <w:pStyle w:val="TOC2"/>
        <w:rPr>
          <w:rFonts w:asciiTheme="minorHAnsi" w:eastAsiaTheme="minorEastAsia" w:hAnsiTheme="minorHAnsi" w:cstheme="minorBidi"/>
          <w:smallCaps w:val="0"/>
          <w:noProof/>
          <w:sz w:val="22"/>
          <w:szCs w:val="22"/>
        </w:rPr>
      </w:pPr>
      <w:hyperlink w:anchor="_Toc478652727" w:history="1">
        <w:r w:rsidRPr="00DE3017">
          <w:rPr>
            <w:rStyle w:val="Hyperlink"/>
            <w:noProof/>
          </w:rPr>
          <w:t>Cours d’enseignement à distance</w:t>
        </w:r>
        <w:r>
          <w:rPr>
            <w:noProof/>
            <w:webHidden/>
          </w:rPr>
          <w:tab/>
        </w:r>
        <w:r>
          <w:rPr>
            <w:noProof/>
            <w:webHidden/>
          </w:rPr>
          <w:fldChar w:fldCharType="begin"/>
        </w:r>
        <w:r>
          <w:rPr>
            <w:noProof/>
            <w:webHidden/>
          </w:rPr>
          <w:instrText xml:space="preserve"> PAGEREF _Toc478652727 \h </w:instrText>
        </w:r>
        <w:r>
          <w:rPr>
            <w:noProof/>
            <w:webHidden/>
          </w:rPr>
        </w:r>
        <w:r>
          <w:rPr>
            <w:noProof/>
            <w:webHidden/>
          </w:rPr>
          <w:fldChar w:fldCharType="separate"/>
        </w:r>
        <w:r>
          <w:rPr>
            <w:noProof/>
            <w:webHidden/>
          </w:rPr>
          <w:t>8</w:t>
        </w:r>
        <w:r>
          <w:rPr>
            <w:noProof/>
            <w:webHidden/>
          </w:rPr>
          <w:fldChar w:fldCharType="end"/>
        </w:r>
      </w:hyperlink>
    </w:p>
    <w:p w:rsidR="00B75EED" w:rsidRDefault="00B75EED">
      <w:pPr>
        <w:pStyle w:val="TOC1"/>
        <w:rPr>
          <w:rFonts w:asciiTheme="minorHAnsi" w:eastAsiaTheme="minorEastAsia" w:hAnsiTheme="minorHAnsi" w:cstheme="minorBidi"/>
          <w:caps w:val="0"/>
          <w:noProof/>
          <w:sz w:val="22"/>
          <w:szCs w:val="22"/>
        </w:rPr>
      </w:pPr>
      <w:hyperlink w:anchor="_Toc478652728" w:history="1">
        <w:r w:rsidRPr="00DE3017">
          <w:rPr>
            <w:rStyle w:val="Hyperlink"/>
            <w:noProof/>
            <w:snapToGrid w:val="0"/>
            <w:lang w:val="fr-FR"/>
          </w:rPr>
          <w:t>formulaire de demande électronique</w:t>
        </w:r>
        <w:r w:rsidRPr="00DE3017">
          <w:rPr>
            <w:rStyle w:val="Hyperlink"/>
            <w:noProof/>
            <w:lang w:val="fr-FR"/>
          </w:rPr>
          <w:t xml:space="preserve"> de l’UPOV</w:t>
        </w:r>
        <w:r>
          <w:rPr>
            <w:noProof/>
            <w:webHidden/>
          </w:rPr>
          <w:tab/>
        </w:r>
        <w:r>
          <w:rPr>
            <w:noProof/>
            <w:webHidden/>
          </w:rPr>
          <w:fldChar w:fldCharType="begin"/>
        </w:r>
        <w:r>
          <w:rPr>
            <w:noProof/>
            <w:webHidden/>
          </w:rPr>
          <w:instrText xml:space="preserve"> PAGEREF _Toc478652728 \h </w:instrText>
        </w:r>
        <w:r>
          <w:rPr>
            <w:noProof/>
            <w:webHidden/>
          </w:rPr>
        </w:r>
        <w:r>
          <w:rPr>
            <w:noProof/>
            <w:webHidden/>
          </w:rPr>
          <w:fldChar w:fldCharType="separate"/>
        </w:r>
        <w:r>
          <w:rPr>
            <w:noProof/>
            <w:webHidden/>
          </w:rPr>
          <w:t>8</w:t>
        </w:r>
        <w:r>
          <w:rPr>
            <w:noProof/>
            <w:webHidden/>
          </w:rPr>
          <w:fldChar w:fldCharType="end"/>
        </w:r>
      </w:hyperlink>
    </w:p>
    <w:p w:rsidR="00B75EED" w:rsidRDefault="00B75EED">
      <w:pPr>
        <w:pStyle w:val="TOC1"/>
        <w:rPr>
          <w:rFonts w:asciiTheme="minorHAnsi" w:eastAsiaTheme="minorEastAsia" w:hAnsiTheme="minorHAnsi" w:cstheme="minorBidi"/>
          <w:caps w:val="0"/>
          <w:noProof/>
          <w:sz w:val="22"/>
          <w:szCs w:val="22"/>
        </w:rPr>
      </w:pPr>
      <w:hyperlink w:anchor="_Toc478652729" w:history="1">
        <w:r w:rsidRPr="00DE3017">
          <w:rPr>
            <w:rStyle w:val="Hyperlink"/>
            <w:noProof/>
            <w:lang w:val="fr-FR"/>
          </w:rPr>
          <w:t>SYSTÈME INTERNATIONAL DE COOPÉRATION (ISC)</w:t>
        </w:r>
        <w:r>
          <w:rPr>
            <w:noProof/>
            <w:webHidden/>
          </w:rPr>
          <w:tab/>
        </w:r>
        <w:r>
          <w:rPr>
            <w:noProof/>
            <w:webHidden/>
          </w:rPr>
          <w:fldChar w:fldCharType="begin"/>
        </w:r>
        <w:r>
          <w:rPr>
            <w:noProof/>
            <w:webHidden/>
          </w:rPr>
          <w:instrText xml:space="preserve"> PAGEREF _Toc478652729 \h </w:instrText>
        </w:r>
        <w:r>
          <w:rPr>
            <w:noProof/>
            <w:webHidden/>
          </w:rPr>
        </w:r>
        <w:r>
          <w:rPr>
            <w:noProof/>
            <w:webHidden/>
          </w:rPr>
          <w:fldChar w:fldCharType="separate"/>
        </w:r>
        <w:r>
          <w:rPr>
            <w:noProof/>
            <w:webHidden/>
          </w:rPr>
          <w:t>8</w:t>
        </w:r>
        <w:r>
          <w:rPr>
            <w:noProof/>
            <w:webHidden/>
          </w:rPr>
          <w:fldChar w:fldCharType="end"/>
        </w:r>
      </w:hyperlink>
    </w:p>
    <w:p w:rsidR="00B75EED" w:rsidRDefault="00B75EED">
      <w:pPr>
        <w:pStyle w:val="TOC3"/>
        <w:rPr>
          <w:rFonts w:asciiTheme="minorHAnsi" w:eastAsiaTheme="minorEastAsia" w:hAnsiTheme="minorHAnsi" w:cstheme="minorBidi"/>
          <w:noProof/>
          <w:sz w:val="22"/>
          <w:szCs w:val="22"/>
          <w:lang w:val="en-US"/>
        </w:rPr>
      </w:pPr>
      <w:hyperlink w:anchor="_Toc478652730" w:history="1">
        <w:r w:rsidRPr="00DE3017">
          <w:rPr>
            <w:rStyle w:val="Hyperlink"/>
            <w:noProof/>
            <w:snapToGrid w:val="0"/>
          </w:rPr>
          <w:t>Objectif</w:t>
        </w:r>
        <w:r>
          <w:rPr>
            <w:noProof/>
            <w:webHidden/>
          </w:rPr>
          <w:tab/>
        </w:r>
        <w:r>
          <w:rPr>
            <w:noProof/>
            <w:webHidden/>
          </w:rPr>
          <w:fldChar w:fldCharType="begin"/>
        </w:r>
        <w:r>
          <w:rPr>
            <w:noProof/>
            <w:webHidden/>
          </w:rPr>
          <w:instrText xml:space="preserve"> PAGEREF _Toc478652730 \h </w:instrText>
        </w:r>
        <w:r>
          <w:rPr>
            <w:noProof/>
            <w:webHidden/>
          </w:rPr>
        </w:r>
        <w:r>
          <w:rPr>
            <w:noProof/>
            <w:webHidden/>
          </w:rPr>
          <w:fldChar w:fldCharType="separate"/>
        </w:r>
        <w:r>
          <w:rPr>
            <w:noProof/>
            <w:webHidden/>
          </w:rPr>
          <w:t>8</w:t>
        </w:r>
        <w:r>
          <w:rPr>
            <w:noProof/>
            <w:webHidden/>
          </w:rPr>
          <w:fldChar w:fldCharType="end"/>
        </w:r>
      </w:hyperlink>
    </w:p>
    <w:p w:rsidR="00B75EED" w:rsidRDefault="00B75EED">
      <w:pPr>
        <w:pStyle w:val="TOC3"/>
        <w:rPr>
          <w:rFonts w:asciiTheme="minorHAnsi" w:eastAsiaTheme="minorEastAsia" w:hAnsiTheme="minorHAnsi" w:cstheme="minorBidi"/>
          <w:noProof/>
          <w:sz w:val="22"/>
          <w:szCs w:val="22"/>
          <w:lang w:val="en-US"/>
        </w:rPr>
      </w:pPr>
      <w:hyperlink w:anchor="_Toc478652731" w:history="1">
        <w:r w:rsidRPr="00DE3017">
          <w:rPr>
            <w:rStyle w:val="Hyperlink"/>
            <w:noProof/>
            <w:snapToGrid w:val="0"/>
          </w:rPr>
          <w:t>Composition</w:t>
        </w:r>
        <w:r>
          <w:rPr>
            <w:noProof/>
            <w:webHidden/>
          </w:rPr>
          <w:tab/>
        </w:r>
        <w:r>
          <w:rPr>
            <w:noProof/>
            <w:webHidden/>
          </w:rPr>
          <w:fldChar w:fldCharType="begin"/>
        </w:r>
        <w:r>
          <w:rPr>
            <w:noProof/>
            <w:webHidden/>
          </w:rPr>
          <w:instrText xml:space="preserve"> PAGEREF _Toc478652731 \h </w:instrText>
        </w:r>
        <w:r>
          <w:rPr>
            <w:noProof/>
            <w:webHidden/>
          </w:rPr>
        </w:r>
        <w:r>
          <w:rPr>
            <w:noProof/>
            <w:webHidden/>
          </w:rPr>
          <w:fldChar w:fldCharType="separate"/>
        </w:r>
        <w:r>
          <w:rPr>
            <w:noProof/>
            <w:webHidden/>
          </w:rPr>
          <w:t>9</w:t>
        </w:r>
        <w:r>
          <w:rPr>
            <w:noProof/>
            <w:webHidden/>
          </w:rPr>
          <w:fldChar w:fldCharType="end"/>
        </w:r>
      </w:hyperlink>
    </w:p>
    <w:p w:rsidR="00B75EED" w:rsidRDefault="00B75EED">
      <w:pPr>
        <w:pStyle w:val="TOC1"/>
        <w:rPr>
          <w:rFonts w:asciiTheme="minorHAnsi" w:eastAsiaTheme="minorEastAsia" w:hAnsiTheme="minorHAnsi" w:cstheme="minorBidi"/>
          <w:caps w:val="0"/>
          <w:noProof/>
          <w:sz w:val="22"/>
          <w:szCs w:val="22"/>
        </w:rPr>
      </w:pPr>
      <w:hyperlink w:anchor="_Toc478652732" w:history="1">
        <w:r w:rsidRPr="00DE3017">
          <w:rPr>
            <w:rStyle w:val="Hyperlink"/>
            <w:noProof/>
            <w:lang w:val="fr-FR"/>
          </w:rPr>
          <w:t>RAPPORT AVEC LE TRAITÉ INTERNATIONAL SUR LES RESSOURCES PHYTOGÉNÉTIQUES POUR L’ALIMENTATION ET L’AGRICULTURE (ITPGRFA)</w:t>
        </w:r>
        <w:r>
          <w:rPr>
            <w:noProof/>
            <w:webHidden/>
          </w:rPr>
          <w:tab/>
        </w:r>
        <w:r>
          <w:rPr>
            <w:noProof/>
            <w:webHidden/>
          </w:rPr>
          <w:fldChar w:fldCharType="begin"/>
        </w:r>
        <w:r>
          <w:rPr>
            <w:noProof/>
            <w:webHidden/>
          </w:rPr>
          <w:instrText xml:space="preserve"> PAGEREF _Toc478652732 \h </w:instrText>
        </w:r>
        <w:r>
          <w:rPr>
            <w:noProof/>
            <w:webHidden/>
          </w:rPr>
        </w:r>
        <w:r>
          <w:rPr>
            <w:noProof/>
            <w:webHidden/>
          </w:rPr>
          <w:fldChar w:fldCharType="separate"/>
        </w:r>
        <w:r>
          <w:rPr>
            <w:noProof/>
            <w:webHidden/>
          </w:rPr>
          <w:t>10</w:t>
        </w:r>
        <w:r>
          <w:rPr>
            <w:noProof/>
            <w:webHidden/>
          </w:rPr>
          <w:fldChar w:fldCharType="end"/>
        </w:r>
      </w:hyperlink>
    </w:p>
    <w:p w:rsidR="00B75EED" w:rsidRDefault="00B75EED">
      <w:pPr>
        <w:pStyle w:val="TOC1"/>
        <w:rPr>
          <w:rFonts w:asciiTheme="minorHAnsi" w:eastAsiaTheme="minorEastAsia" w:hAnsiTheme="minorHAnsi" w:cstheme="minorBidi"/>
          <w:caps w:val="0"/>
          <w:noProof/>
          <w:sz w:val="22"/>
          <w:szCs w:val="22"/>
        </w:rPr>
      </w:pPr>
      <w:hyperlink w:anchor="_Toc478652733" w:history="1">
        <w:r w:rsidRPr="00DE3017">
          <w:rPr>
            <w:rStyle w:val="Hyperlink"/>
            <w:noProof/>
            <w:lang w:val="fr-FR"/>
          </w:rPr>
          <w:t>Séminaire sur le matériel de reproduction ou de multiplication végétative et le produit de la récolte dans le contexte de la Convention UPOV</w:t>
        </w:r>
        <w:r>
          <w:rPr>
            <w:noProof/>
            <w:webHidden/>
          </w:rPr>
          <w:tab/>
        </w:r>
        <w:r>
          <w:rPr>
            <w:noProof/>
            <w:webHidden/>
          </w:rPr>
          <w:fldChar w:fldCharType="begin"/>
        </w:r>
        <w:r>
          <w:rPr>
            <w:noProof/>
            <w:webHidden/>
          </w:rPr>
          <w:instrText xml:space="preserve"> PAGEREF _Toc478652733 \h </w:instrText>
        </w:r>
        <w:r>
          <w:rPr>
            <w:noProof/>
            <w:webHidden/>
          </w:rPr>
        </w:r>
        <w:r>
          <w:rPr>
            <w:noProof/>
            <w:webHidden/>
          </w:rPr>
          <w:fldChar w:fldCharType="separate"/>
        </w:r>
        <w:r>
          <w:rPr>
            <w:noProof/>
            <w:webHidden/>
          </w:rPr>
          <w:t>11</w:t>
        </w:r>
        <w:r>
          <w:rPr>
            <w:noProof/>
            <w:webHidden/>
          </w:rPr>
          <w:fldChar w:fldCharType="end"/>
        </w:r>
      </w:hyperlink>
    </w:p>
    <w:p w:rsidR="007737EF" w:rsidRPr="009A6348" w:rsidRDefault="007737EF" w:rsidP="007737EF">
      <w:pPr>
        <w:rPr>
          <w:rFonts w:cs="Arial"/>
        </w:rPr>
      </w:pPr>
      <w:r w:rsidRPr="009A6348">
        <w:rPr>
          <w:rFonts w:cs="Arial"/>
        </w:rPr>
        <w:fldChar w:fldCharType="end"/>
      </w:r>
    </w:p>
    <w:p w:rsidR="007737EF" w:rsidRPr="009A6348" w:rsidRDefault="007737EF" w:rsidP="007737EF">
      <w:pPr>
        <w:jc w:val="left"/>
        <w:rPr>
          <w:rFonts w:cs="Arial"/>
          <w:caps/>
        </w:rPr>
      </w:pPr>
      <w:r w:rsidRPr="009A6348">
        <w:rPr>
          <w:rFonts w:cs="Arial"/>
        </w:rPr>
        <w:br w:type="page"/>
      </w:r>
    </w:p>
    <w:p w:rsidR="007737EF" w:rsidRPr="007737EF" w:rsidRDefault="007737EF" w:rsidP="007737EF">
      <w:pPr>
        <w:pStyle w:val="Heading1"/>
        <w:rPr>
          <w:lang w:val="fr-FR"/>
        </w:rPr>
      </w:pPr>
      <w:bookmarkStart w:id="5" w:name="_Toc478652705"/>
      <w:r w:rsidRPr="007737EF">
        <w:rPr>
          <w:lang w:val="fr-FR"/>
        </w:rPr>
        <w:lastRenderedPageBreak/>
        <w:t>Composition</w:t>
      </w:r>
      <w:bookmarkEnd w:id="5"/>
    </w:p>
    <w:p w:rsidR="007737EF" w:rsidRPr="009A6348" w:rsidRDefault="007737EF" w:rsidP="007737EF">
      <w:pPr>
        <w:rPr>
          <w:rFonts w:cs="Arial"/>
        </w:rPr>
      </w:pPr>
    </w:p>
    <w:p w:rsidR="007737EF" w:rsidRPr="007737EF" w:rsidRDefault="007737EF" w:rsidP="007737EF">
      <w:pPr>
        <w:pStyle w:val="Heading2"/>
      </w:pPr>
      <w:bookmarkStart w:id="6" w:name="_Toc478652706"/>
      <w:r w:rsidRPr="007737EF">
        <w:t>Membres de l’Union</w:t>
      </w:r>
      <w:bookmarkEnd w:id="6"/>
    </w:p>
    <w:p w:rsidR="007737EF" w:rsidRPr="009A6348" w:rsidRDefault="007737EF" w:rsidP="007737EF">
      <w:pPr>
        <w:rPr>
          <w:rFonts w:cs="Arial"/>
        </w:rPr>
      </w:pPr>
    </w:p>
    <w:p w:rsidR="007737EF" w:rsidRPr="009A6348" w:rsidRDefault="007737EF" w:rsidP="007737EF">
      <w:pPr>
        <w:rPr>
          <w:rFonts w:cs="Arial"/>
        </w:rPr>
      </w:pPr>
      <w:r w:rsidRPr="0048127F">
        <w:rPr>
          <w:rFonts w:cs="Arial"/>
        </w:rPr>
        <w:fldChar w:fldCharType="begin"/>
      </w:r>
      <w:r w:rsidRPr="0048127F">
        <w:rPr>
          <w:rFonts w:cs="Arial"/>
        </w:rPr>
        <w:instrText xml:space="preserve"> AUTONUM  </w:instrText>
      </w:r>
      <w:r w:rsidRPr="0048127F">
        <w:rPr>
          <w:rFonts w:cs="Arial"/>
        </w:rPr>
        <w:fldChar w:fldCharType="end"/>
      </w:r>
      <w:r w:rsidR="0001407B" w:rsidRPr="0048127F">
        <w:rPr>
          <w:rFonts w:cs="Arial"/>
        </w:rPr>
        <w:tab/>
        <w:t>Au 28</w:t>
      </w:r>
      <w:r w:rsidRPr="0048127F">
        <w:rPr>
          <w:rFonts w:cs="Arial"/>
        </w:rPr>
        <w:t> mars 201</w:t>
      </w:r>
      <w:r w:rsidR="0001407B" w:rsidRPr="0048127F">
        <w:rPr>
          <w:rFonts w:cs="Arial"/>
        </w:rPr>
        <w:t>7</w:t>
      </w:r>
      <w:r w:rsidRPr="0048127F">
        <w:rPr>
          <w:rFonts w:cs="Arial"/>
        </w:rPr>
        <w:t xml:space="preserve">, les </w:t>
      </w:r>
      <w:r w:rsidR="0001407B" w:rsidRPr="0048127F">
        <w:rPr>
          <w:rFonts w:cs="Arial"/>
        </w:rPr>
        <w:t xml:space="preserve">74 </w:t>
      </w:r>
      <w:r w:rsidRPr="0048127F">
        <w:rPr>
          <w:rFonts w:cs="Arial"/>
        </w:rPr>
        <w:t>membres de l’UPOV étaient les suivants :</w:t>
      </w:r>
    </w:p>
    <w:p w:rsidR="007737EF" w:rsidRPr="009A6348" w:rsidRDefault="007737EF" w:rsidP="007737EF">
      <w:pPr>
        <w:rPr>
          <w:rFonts w:cs="Arial"/>
        </w:rPr>
      </w:pPr>
    </w:p>
    <w:p w:rsidR="007737EF" w:rsidRPr="009A6348" w:rsidRDefault="007737EF" w:rsidP="007737EF">
      <w:pPr>
        <w:ind w:left="567" w:right="9"/>
        <w:rPr>
          <w:rFonts w:cs="Arial"/>
        </w:rPr>
      </w:pPr>
      <w:r w:rsidRPr="009A6348">
        <w:rPr>
          <w:rFonts w:cs="Arial"/>
        </w:rPr>
        <w:t xml:space="preserve">Albanie, Afrique du Sud, Allemagne, Argentine, Australie, Autriche, Azerbaïdjan, </w:t>
      </w:r>
      <w:proofErr w:type="spellStart"/>
      <w:r w:rsidRPr="009A6348">
        <w:rPr>
          <w:rFonts w:cs="Arial"/>
        </w:rPr>
        <w:t>Bélarus</w:t>
      </w:r>
      <w:proofErr w:type="spellEnd"/>
      <w:r w:rsidRPr="009A6348">
        <w:rPr>
          <w:rFonts w:cs="Arial"/>
        </w:rPr>
        <w:t>, Belgique, Bolivie (État plurinational de), Brésil, Bulgarie, Canada, Chili, Chine, Colombie, Costa Rica, Croatie, Danemark, Équateur, Espagne, Estonie, États</w:t>
      </w:r>
      <w:r w:rsidRPr="009A6348">
        <w:rPr>
          <w:rFonts w:cs="Arial"/>
        </w:rPr>
        <w:noBreakHyphen/>
        <w:t>Unis d’Amérique, ex</w:t>
      </w:r>
      <w:r w:rsidRPr="009A6348">
        <w:rPr>
          <w:rFonts w:cs="Arial"/>
        </w:rPr>
        <w:noBreakHyphen/>
        <w:t>République yougoslave de Macédoine, Fédération de Russie, Finlande, France, Géorgie, Hongrie, Irlande, Islande, Israël, Italie, Japon, Jordanie, Kenya, Kirghizistan, Lettonie, Lituanie, Maroc, Mexique, Monténégro, Nicaragua, Norvège, Nouvelle</w:t>
      </w:r>
      <w:r w:rsidRPr="009A6348">
        <w:rPr>
          <w:rFonts w:cs="Arial"/>
        </w:rPr>
        <w:noBreakHyphen/>
        <w:t>Zélande, Oman, Organisation africaine de la propriété intellectuelle, Ouzbékistan, Panama, Paraguay, Pays</w:t>
      </w:r>
      <w:r w:rsidRPr="009A6348">
        <w:rPr>
          <w:rFonts w:cs="Arial"/>
        </w:rPr>
        <w:noBreakHyphen/>
        <w:t>Bas, Pérou, Pologne, Portugal, République de Corée, République de Moldova, République dominicaine, République tchèque, République</w:t>
      </w:r>
      <w:r w:rsidRPr="009A6348">
        <w:rPr>
          <w:rFonts w:cs="Arial"/>
        </w:rPr>
        <w:noBreakHyphen/>
        <w:t>Unie de Tanzanie</w:t>
      </w:r>
      <w:r w:rsidR="0037638B">
        <w:rPr>
          <w:rFonts w:cs="Arial"/>
        </w:rPr>
        <w:t>,</w:t>
      </w:r>
      <w:r w:rsidRPr="009A6348">
        <w:rPr>
          <w:rFonts w:cs="Arial"/>
        </w:rPr>
        <w:t xml:space="preserve"> Roumanie, Royaume</w:t>
      </w:r>
      <w:r w:rsidRPr="009A6348">
        <w:rPr>
          <w:rFonts w:cs="Arial"/>
        </w:rPr>
        <w:noBreakHyphen/>
        <w:t>Uni, Serbie, Singapour, Slovaquie, Slovénie, Suède, Suisse, Trinité</w:t>
      </w:r>
      <w:r w:rsidRPr="009A6348">
        <w:rPr>
          <w:rFonts w:cs="Arial"/>
        </w:rPr>
        <w:noBreakHyphen/>
        <w:t>et</w:t>
      </w:r>
      <w:r w:rsidRPr="009A6348">
        <w:rPr>
          <w:rFonts w:cs="Arial"/>
        </w:rPr>
        <w:noBreakHyphen/>
        <w:t>Tobago, Tunisie, Turquie, Ukraine, Union européenne, Uruguay et Viet Nam.</w:t>
      </w:r>
    </w:p>
    <w:p w:rsidR="007737EF" w:rsidRPr="009A6348" w:rsidRDefault="007737EF" w:rsidP="007737EF">
      <w:pPr>
        <w:rPr>
          <w:rFonts w:cs="Arial"/>
        </w:rPr>
      </w:pPr>
    </w:p>
    <w:p w:rsidR="007737EF" w:rsidRPr="007737EF" w:rsidRDefault="007737EF" w:rsidP="007737EF">
      <w:pPr>
        <w:pStyle w:val="Heading2"/>
      </w:pPr>
      <w:bookmarkStart w:id="7" w:name="_Toc478652707"/>
      <w:r w:rsidRPr="007737EF">
        <w:t>Situation par rapport aux divers actes de la Convention</w:t>
      </w:r>
      <w:bookmarkEnd w:id="7"/>
    </w:p>
    <w:p w:rsidR="007737EF" w:rsidRPr="009A6348" w:rsidRDefault="007737EF" w:rsidP="007737EF">
      <w:pPr>
        <w:keepNext/>
        <w:rPr>
          <w:rFonts w:cs="Arial"/>
        </w:rPr>
      </w:pPr>
    </w:p>
    <w:p w:rsidR="007737EF" w:rsidRPr="009A6348" w:rsidRDefault="007737EF" w:rsidP="00A33E60">
      <w:pPr>
        <w:autoSpaceDE w:val="0"/>
        <w:autoSpaceDN w:val="0"/>
        <w:adjustRightInd w:val="0"/>
        <w:jc w:val="left"/>
        <w:rPr>
          <w:rFonts w:cs="Arial"/>
        </w:rPr>
      </w:pPr>
      <w:r w:rsidRPr="009A6348">
        <w:rPr>
          <w:rFonts w:cs="Arial"/>
        </w:rPr>
        <w:fldChar w:fldCharType="begin"/>
      </w:r>
      <w:r w:rsidRPr="009A6348">
        <w:rPr>
          <w:rFonts w:cs="Arial"/>
        </w:rPr>
        <w:instrText xml:space="preserve"> AUTONUM  </w:instrText>
      </w:r>
      <w:r w:rsidRPr="009A6348">
        <w:rPr>
          <w:rFonts w:cs="Arial"/>
        </w:rPr>
        <w:fldChar w:fldCharType="end"/>
      </w:r>
      <w:r w:rsidR="0001407B">
        <w:rPr>
          <w:rFonts w:cs="Arial"/>
        </w:rPr>
        <w:tab/>
      </w:r>
      <w:r w:rsidR="00A33E60" w:rsidRPr="00A33E60">
        <w:rPr>
          <w:rFonts w:cs="Arial"/>
        </w:rPr>
        <w:t>L</w:t>
      </w:r>
      <w:r w:rsidRPr="00A33E60">
        <w:rPr>
          <w:rFonts w:cs="Arial"/>
        </w:rPr>
        <w:t xml:space="preserve">e </w:t>
      </w:r>
      <w:r w:rsidR="0001407B" w:rsidRPr="00A33E60">
        <w:rPr>
          <w:rFonts w:cs="Arial"/>
        </w:rPr>
        <w:t>Kenya</w:t>
      </w:r>
      <w:r w:rsidRPr="00A33E60">
        <w:rPr>
          <w:rFonts w:cs="Arial"/>
        </w:rPr>
        <w:t xml:space="preserve">, qui était déjà membre de l’UPOV, a déposé son </w:t>
      </w:r>
      <w:r w:rsidR="00121037" w:rsidRPr="00A33E60">
        <w:rPr>
          <w:rFonts w:cs="Arial"/>
        </w:rPr>
        <w:t>instrument d’adhésion</w:t>
      </w:r>
      <w:r w:rsidRPr="00A33E60">
        <w:rPr>
          <w:rFonts w:cs="Arial"/>
        </w:rPr>
        <w:t xml:space="preserve"> à l’Acte de 1991 de la Convention internationale pour la protection des obtentions végétales</w:t>
      </w:r>
      <w:r w:rsidR="00A33E60" w:rsidRPr="00A33E60">
        <w:rPr>
          <w:rFonts w:cs="Arial"/>
        </w:rPr>
        <w:t xml:space="preserve"> le 11 avril 2016.  Le Kenya est, depuis le 11 mai 2016, lié par cet acte.</w:t>
      </w:r>
    </w:p>
    <w:p w:rsidR="007737EF" w:rsidRPr="009A6348" w:rsidRDefault="007737EF" w:rsidP="007737EF">
      <w:pPr>
        <w:rPr>
          <w:rFonts w:cs="Arial"/>
        </w:rPr>
      </w:pPr>
    </w:p>
    <w:p w:rsidR="007737EF" w:rsidRPr="0048127F" w:rsidRDefault="007737EF" w:rsidP="007737EF">
      <w:pPr>
        <w:rPr>
          <w:rFonts w:cs="Arial"/>
        </w:rPr>
      </w:pPr>
      <w:r w:rsidRPr="009A6348">
        <w:rPr>
          <w:rFonts w:cs="Arial"/>
        </w:rPr>
        <w:fldChar w:fldCharType="begin"/>
      </w:r>
      <w:r w:rsidRPr="009A6348">
        <w:rPr>
          <w:rFonts w:cs="Arial"/>
        </w:rPr>
        <w:instrText xml:space="preserve"> AUTONUM  </w:instrText>
      </w:r>
      <w:r w:rsidRPr="009A6348">
        <w:rPr>
          <w:rFonts w:cs="Arial"/>
        </w:rPr>
        <w:fldChar w:fldCharType="end"/>
      </w:r>
      <w:r w:rsidR="00121037">
        <w:rPr>
          <w:rFonts w:cs="Arial"/>
        </w:rPr>
        <w:tab/>
        <w:t>A</w:t>
      </w:r>
      <w:r w:rsidR="00121037" w:rsidRPr="0048127F">
        <w:rPr>
          <w:rFonts w:cs="Arial"/>
        </w:rPr>
        <w:t>u 28</w:t>
      </w:r>
      <w:r w:rsidRPr="0048127F">
        <w:rPr>
          <w:rFonts w:cs="Arial"/>
        </w:rPr>
        <w:t> mars 201</w:t>
      </w:r>
      <w:r w:rsidR="00121037" w:rsidRPr="0048127F">
        <w:rPr>
          <w:rFonts w:cs="Arial"/>
        </w:rPr>
        <w:t>7</w:t>
      </w:r>
      <w:r w:rsidR="00760A51" w:rsidRPr="0048127F">
        <w:rPr>
          <w:rFonts w:cs="Arial"/>
        </w:rPr>
        <w:t xml:space="preserve"> (voir </w:t>
      </w:r>
      <w:hyperlink r:id="rId10" w:history="1">
        <w:r w:rsidR="00760A51" w:rsidRPr="0048127F">
          <w:rPr>
            <w:rStyle w:val="Hyperlink"/>
            <w:rFonts w:cs="Arial"/>
          </w:rPr>
          <w:t>http://www.upov.int/members/fr/</w:t>
        </w:r>
      </w:hyperlink>
      <w:r w:rsidR="00760A51" w:rsidRPr="0048127F">
        <w:rPr>
          <w:rFonts w:cs="Arial"/>
        </w:rPr>
        <w:t>) :</w:t>
      </w:r>
    </w:p>
    <w:p w:rsidR="007737EF" w:rsidRPr="0048127F" w:rsidRDefault="007737EF" w:rsidP="007737EF">
      <w:pPr>
        <w:rPr>
          <w:rFonts w:cs="Arial"/>
        </w:rPr>
      </w:pPr>
    </w:p>
    <w:p w:rsidR="007737EF" w:rsidRPr="0048127F" w:rsidRDefault="007737EF" w:rsidP="007737EF">
      <w:pPr>
        <w:pStyle w:val="ListParagraph"/>
        <w:numPr>
          <w:ilvl w:val="0"/>
          <w:numId w:val="13"/>
        </w:numPr>
        <w:rPr>
          <w:rFonts w:cs="Arial"/>
          <w:lang w:val="fr-FR"/>
        </w:rPr>
      </w:pPr>
      <w:r w:rsidRPr="0048127F">
        <w:rPr>
          <w:rFonts w:cs="Arial"/>
          <w:lang w:val="fr-FR"/>
        </w:rPr>
        <w:t>5</w:t>
      </w:r>
      <w:r w:rsidR="00121037" w:rsidRPr="0048127F">
        <w:rPr>
          <w:rFonts w:cs="Arial"/>
          <w:lang w:val="fr-FR"/>
        </w:rPr>
        <w:t>6</w:t>
      </w:r>
      <w:r w:rsidRPr="0048127F">
        <w:rPr>
          <w:rFonts w:cs="Arial"/>
          <w:lang w:val="fr-FR"/>
        </w:rPr>
        <w:t xml:space="preserve"> membres étaient liés par l’Acte de 1991</w:t>
      </w:r>
    </w:p>
    <w:p w:rsidR="007737EF" w:rsidRPr="009A6348" w:rsidRDefault="007737EF" w:rsidP="007737EF">
      <w:pPr>
        <w:pStyle w:val="ListParagraph"/>
        <w:numPr>
          <w:ilvl w:val="0"/>
          <w:numId w:val="13"/>
        </w:numPr>
        <w:rPr>
          <w:rFonts w:cs="Arial"/>
          <w:lang w:val="fr-FR"/>
        </w:rPr>
      </w:pPr>
      <w:r w:rsidRPr="0048127F">
        <w:rPr>
          <w:rFonts w:cs="Arial"/>
          <w:lang w:val="fr-FR"/>
        </w:rPr>
        <w:t>1</w:t>
      </w:r>
      <w:r w:rsidR="00121037" w:rsidRPr="0048127F">
        <w:rPr>
          <w:rFonts w:cs="Arial"/>
          <w:lang w:val="fr-FR"/>
        </w:rPr>
        <w:t>7</w:t>
      </w:r>
      <w:r w:rsidRPr="0048127F">
        <w:rPr>
          <w:rFonts w:cs="Arial"/>
          <w:lang w:val="fr-FR"/>
        </w:rPr>
        <w:t xml:space="preserve"> membres étai</w:t>
      </w:r>
      <w:r w:rsidRPr="009A6348">
        <w:rPr>
          <w:rFonts w:cs="Arial"/>
          <w:lang w:val="fr-FR"/>
        </w:rPr>
        <w:t>ent liés par l’Acte de 1978</w:t>
      </w:r>
    </w:p>
    <w:p w:rsidR="007737EF" w:rsidRPr="009A6348" w:rsidRDefault="007737EF" w:rsidP="007737EF">
      <w:pPr>
        <w:pStyle w:val="ListParagraph"/>
        <w:numPr>
          <w:ilvl w:val="0"/>
          <w:numId w:val="13"/>
        </w:numPr>
        <w:rPr>
          <w:rFonts w:cs="Arial"/>
          <w:lang w:val="fr-FR"/>
        </w:rPr>
      </w:pPr>
      <w:r w:rsidRPr="009A6348">
        <w:rPr>
          <w:rFonts w:cs="Arial"/>
          <w:lang w:val="fr-FR"/>
        </w:rPr>
        <w:t>un membre était lié par la Convention de 1961 modifiée par l’Acte de 1972;</w:t>
      </w:r>
    </w:p>
    <w:p w:rsidR="007737EF" w:rsidRPr="009A6348" w:rsidRDefault="007737EF" w:rsidP="007737EF">
      <w:pPr>
        <w:rPr>
          <w:rFonts w:cs="Arial"/>
        </w:rPr>
      </w:pPr>
    </w:p>
    <w:p w:rsidR="00121037" w:rsidRDefault="00121037" w:rsidP="007737EF">
      <w:pPr>
        <w:pStyle w:val="Heading1"/>
        <w:rPr>
          <w:lang w:val="fr-FR"/>
        </w:rPr>
      </w:pPr>
    </w:p>
    <w:p w:rsidR="007737EF" w:rsidRPr="007737EF" w:rsidRDefault="007737EF" w:rsidP="007737EF">
      <w:pPr>
        <w:pStyle w:val="Heading1"/>
        <w:rPr>
          <w:lang w:val="fr-FR"/>
        </w:rPr>
      </w:pPr>
      <w:bookmarkStart w:id="8" w:name="_Toc478652708"/>
      <w:r w:rsidRPr="007737EF">
        <w:rPr>
          <w:lang w:val="fr-FR"/>
        </w:rPr>
        <w:t>StatistiQUEs sur la Protection des obtentions végétales</w:t>
      </w:r>
      <w:bookmarkEnd w:id="8"/>
    </w:p>
    <w:p w:rsidR="007737EF" w:rsidRPr="009A6348" w:rsidRDefault="007737EF" w:rsidP="007737EF">
      <w:pPr>
        <w:keepNext/>
        <w:rPr>
          <w:rFonts w:cs="Arial"/>
        </w:rPr>
      </w:pPr>
    </w:p>
    <w:p w:rsidR="007737EF" w:rsidRPr="007737EF" w:rsidRDefault="007737EF" w:rsidP="007737EF">
      <w:pPr>
        <w:pStyle w:val="Heading2"/>
        <w:rPr>
          <w:rFonts w:eastAsia="MS Mincho"/>
          <w:lang w:eastAsia="ja-JP"/>
        </w:rPr>
      </w:pPr>
      <w:bookmarkStart w:id="9" w:name="_Toc381174858"/>
      <w:bookmarkStart w:id="10" w:name="_Toc478652709"/>
      <w:r w:rsidRPr="007737EF">
        <w:rPr>
          <w:rFonts w:eastAsia="MS Mincho"/>
          <w:lang w:eastAsia="ja-JP"/>
        </w:rPr>
        <w:t>Liste des taxons protégés par les membres de l’Union</w:t>
      </w:r>
      <w:bookmarkEnd w:id="10"/>
    </w:p>
    <w:p w:rsidR="007737EF" w:rsidRPr="0048127F" w:rsidRDefault="00121037" w:rsidP="007737EF">
      <w:pPr>
        <w:keepNext/>
        <w:autoSpaceDE w:val="0"/>
        <w:autoSpaceDN w:val="0"/>
        <w:adjustRightInd w:val="0"/>
        <w:rPr>
          <w:rFonts w:eastAsia="MS Mincho" w:cs="Arial"/>
          <w:lang w:eastAsia="ja-JP"/>
        </w:rPr>
      </w:pPr>
      <w:r>
        <w:rPr>
          <w:rFonts w:eastAsia="MS Mincho" w:cs="Arial"/>
          <w:lang w:eastAsia="ja-JP"/>
        </w:rPr>
        <w:t>(</w:t>
      </w:r>
      <w:proofErr w:type="gramStart"/>
      <w:r>
        <w:rPr>
          <w:rFonts w:eastAsia="MS Mincho" w:cs="Arial"/>
          <w:lang w:eastAsia="ja-JP"/>
        </w:rPr>
        <w:t>voir</w:t>
      </w:r>
      <w:proofErr w:type="gramEnd"/>
      <w:r>
        <w:rPr>
          <w:rFonts w:eastAsia="MS Mincho" w:cs="Arial"/>
          <w:lang w:eastAsia="ja-JP"/>
        </w:rPr>
        <w:t xml:space="preserve"> le documen</w:t>
      </w:r>
      <w:r w:rsidRPr="0048127F">
        <w:rPr>
          <w:rFonts w:eastAsia="MS Mincho" w:cs="Arial"/>
          <w:lang w:eastAsia="ja-JP"/>
        </w:rPr>
        <w:t>t C/50</w:t>
      </w:r>
      <w:r w:rsidR="007737EF" w:rsidRPr="0048127F">
        <w:rPr>
          <w:rFonts w:eastAsia="MS Mincho" w:cs="Arial"/>
          <w:lang w:eastAsia="ja-JP"/>
        </w:rPr>
        <w:t>/6</w:t>
      </w:r>
      <w:r w:rsidRPr="0048127F">
        <w:rPr>
          <w:rFonts w:eastAsia="MS Mincho" w:cs="Arial"/>
          <w:lang w:eastAsia="ja-JP"/>
        </w:rPr>
        <w:t xml:space="preserve"> Corr.</w:t>
      </w:r>
      <w:r w:rsidR="007737EF" w:rsidRPr="0048127F">
        <w:rPr>
          <w:rFonts w:eastAsia="MS Mincho" w:cs="Arial"/>
          <w:lang w:eastAsia="ja-JP"/>
        </w:rPr>
        <w:t xml:space="preserve"> “Liste des taxons protégés par les membres de l’Union”)</w:t>
      </w:r>
    </w:p>
    <w:p w:rsidR="007737EF" w:rsidRPr="0048127F" w:rsidRDefault="007737EF" w:rsidP="007737EF">
      <w:pPr>
        <w:keepNext/>
        <w:autoSpaceDE w:val="0"/>
        <w:autoSpaceDN w:val="0"/>
        <w:adjustRightInd w:val="0"/>
        <w:rPr>
          <w:rFonts w:eastAsia="MS Mincho" w:cs="Arial"/>
          <w:lang w:eastAsia="ja-JP"/>
        </w:rPr>
      </w:pPr>
    </w:p>
    <w:p w:rsidR="007737EF" w:rsidRDefault="007737EF" w:rsidP="007737EF">
      <w:pPr>
        <w:autoSpaceDE w:val="0"/>
        <w:autoSpaceDN w:val="0"/>
        <w:adjustRightInd w:val="0"/>
        <w:rPr>
          <w:rFonts w:cs="Arial"/>
        </w:rPr>
      </w:pPr>
      <w:r w:rsidRPr="0048127F">
        <w:rPr>
          <w:rFonts w:eastAsia="MS Mincho" w:cs="Arial"/>
          <w:lang w:eastAsia="ja-JP"/>
        </w:rPr>
        <w:fldChar w:fldCharType="begin"/>
      </w:r>
      <w:r w:rsidRPr="0048127F">
        <w:rPr>
          <w:rFonts w:eastAsia="MS Mincho" w:cs="Arial"/>
          <w:lang w:eastAsia="ja-JP"/>
        </w:rPr>
        <w:instrText xml:space="preserve"> AUTONUM  </w:instrText>
      </w:r>
      <w:r w:rsidRPr="0048127F">
        <w:rPr>
          <w:rFonts w:eastAsia="MS Mincho" w:cs="Arial"/>
          <w:lang w:eastAsia="ja-JP"/>
        </w:rPr>
        <w:fldChar w:fldCharType="end"/>
      </w:r>
      <w:r w:rsidR="001F65A2" w:rsidRPr="0048127F">
        <w:rPr>
          <w:rFonts w:eastAsia="MS Mincho" w:cs="Arial"/>
          <w:lang w:eastAsia="ja-JP"/>
        </w:rPr>
        <w:tab/>
        <w:t>Au total, 61</w:t>
      </w:r>
      <w:r w:rsidRPr="0048127F">
        <w:rPr>
          <w:rFonts w:eastAsia="MS Mincho" w:cs="Arial"/>
          <w:lang w:eastAsia="ja-JP"/>
        </w:rPr>
        <w:t xml:space="preserve"> membres de l’Union assurent désormais la protection de tous le</w:t>
      </w:r>
      <w:r w:rsidR="001F65A2" w:rsidRPr="0048127F">
        <w:rPr>
          <w:rFonts w:eastAsia="MS Mincho" w:cs="Arial"/>
          <w:lang w:eastAsia="ja-JP"/>
        </w:rPr>
        <w:t>s genres et espèces végétaux (59</w:t>
      </w:r>
      <w:r w:rsidRPr="0048127F">
        <w:rPr>
          <w:rFonts w:eastAsia="MS Mincho" w:cs="Arial"/>
          <w:lang w:eastAsia="ja-JP"/>
        </w:rPr>
        <w:t xml:space="preserve"> membres e</w:t>
      </w:r>
      <w:r w:rsidR="001F65A2" w:rsidRPr="0048127F">
        <w:rPr>
          <w:rFonts w:eastAsia="MS Mincho" w:cs="Arial"/>
          <w:lang w:eastAsia="ja-JP"/>
        </w:rPr>
        <w:t>n 2015</w:t>
      </w:r>
      <w:r w:rsidRPr="0048127F">
        <w:rPr>
          <w:rFonts w:eastAsia="MS Mincho" w:cs="Arial"/>
          <w:lang w:eastAsia="ja-JP"/>
        </w:rPr>
        <w:t>) parmi lesquels 1</w:t>
      </w:r>
      <w:r w:rsidR="001F65A2" w:rsidRPr="0048127F">
        <w:rPr>
          <w:rFonts w:eastAsia="MS Mincho" w:cs="Arial"/>
          <w:lang w:eastAsia="ja-JP"/>
        </w:rPr>
        <w:t>3</w:t>
      </w:r>
      <w:r w:rsidRPr="0048127F">
        <w:rPr>
          <w:rFonts w:eastAsia="MS Mincho" w:cs="Arial"/>
          <w:lang w:eastAsia="ja-JP"/>
        </w:rPr>
        <w:t xml:space="preserve"> membres de l’Union assurent la protection d’un nombre limité de genres et d’espèces végétaux.</w:t>
      </w:r>
      <w:r w:rsidRPr="0048127F">
        <w:t xml:space="preserve">  </w:t>
      </w:r>
      <w:r w:rsidRPr="0048127F">
        <w:rPr>
          <w:rFonts w:cs="Arial"/>
        </w:rPr>
        <w:t>De ces 1</w:t>
      </w:r>
      <w:r w:rsidR="001F65A2" w:rsidRPr="0048127F">
        <w:rPr>
          <w:rFonts w:cs="Arial"/>
        </w:rPr>
        <w:t>3</w:t>
      </w:r>
      <w:r w:rsidRPr="0048127F">
        <w:rPr>
          <w:rFonts w:cs="Arial"/>
        </w:rPr>
        <w:t xml:space="preserve">, </w:t>
      </w:r>
      <w:r w:rsidR="001F65A2" w:rsidRPr="0048127F">
        <w:rPr>
          <w:rFonts w:cs="Arial"/>
        </w:rPr>
        <w:t>cinq</w:t>
      </w:r>
      <w:r w:rsidRPr="0048127F">
        <w:rPr>
          <w:rFonts w:cs="Arial"/>
        </w:rPr>
        <w:t> membres (Brésil</w:t>
      </w:r>
      <w:r w:rsidR="001F65A2" w:rsidRPr="0048127F">
        <w:rPr>
          <w:rFonts w:cs="Arial"/>
        </w:rPr>
        <w:t xml:space="preserve">, Chine, Maroc, Afrique du Sud </w:t>
      </w:r>
      <w:r w:rsidRPr="0048127F">
        <w:rPr>
          <w:rFonts w:cs="Arial"/>
        </w:rPr>
        <w:t xml:space="preserve">et </w:t>
      </w:r>
      <w:r w:rsidR="001F65A2" w:rsidRPr="0048127F">
        <w:rPr>
          <w:rFonts w:cs="Arial"/>
        </w:rPr>
        <w:t>Turquie</w:t>
      </w:r>
      <w:r w:rsidRPr="0048127F">
        <w:rPr>
          <w:rFonts w:cs="Arial"/>
        </w:rPr>
        <w:t>) ont conféré en 201</w:t>
      </w:r>
      <w:r w:rsidR="001F65A2" w:rsidRPr="0048127F">
        <w:rPr>
          <w:rFonts w:cs="Arial"/>
        </w:rPr>
        <w:t>6</w:t>
      </w:r>
      <w:r w:rsidRPr="0048127F">
        <w:rPr>
          <w:rFonts w:cs="Arial"/>
        </w:rPr>
        <w:t xml:space="preserve"> une p</w:t>
      </w:r>
      <w:r w:rsidRPr="009A6348">
        <w:rPr>
          <w:rFonts w:cs="Arial"/>
        </w:rPr>
        <w:t>rotection à des genres et espèces végétaux additionnels.</w:t>
      </w:r>
    </w:p>
    <w:p w:rsidR="00121037" w:rsidRPr="009A6348" w:rsidRDefault="00121037" w:rsidP="007737EF">
      <w:pPr>
        <w:autoSpaceDE w:val="0"/>
        <w:autoSpaceDN w:val="0"/>
        <w:adjustRightInd w:val="0"/>
        <w:rPr>
          <w:rFonts w:cs="Arial"/>
        </w:rPr>
      </w:pPr>
    </w:p>
    <w:p w:rsidR="007737EF" w:rsidRPr="007737EF" w:rsidRDefault="007737EF" w:rsidP="007737EF">
      <w:pPr>
        <w:pStyle w:val="Heading2"/>
      </w:pPr>
      <w:bookmarkStart w:id="11" w:name="_Toc478652710"/>
      <w:r w:rsidRPr="007737EF">
        <w:t>Statistiques sur la protection des obtentions végétales</w:t>
      </w:r>
      <w:bookmarkEnd w:id="11"/>
    </w:p>
    <w:p w:rsidR="007737EF" w:rsidRPr="009A6348" w:rsidRDefault="00787EFC" w:rsidP="007737EF">
      <w:pPr>
        <w:keepNext/>
        <w:autoSpaceDE w:val="0"/>
        <w:autoSpaceDN w:val="0"/>
        <w:adjustRightInd w:val="0"/>
        <w:rPr>
          <w:rFonts w:eastAsia="MS Mincho" w:cs="Arial"/>
          <w:lang w:eastAsia="ja-JP"/>
        </w:rPr>
      </w:pPr>
      <w:r>
        <w:rPr>
          <w:rFonts w:eastAsia="MS Mincho" w:cs="Arial"/>
          <w:lang w:eastAsia="ja-JP"/>
        </w:rPr>
        <w:t>(</w:t>
      </w:r>
      <w:proofErr w:type="gramStart"/>
      <w:r>
        <w:rPr>
          <w:rFonts w:eastAsia="MS Mincho" w:cs="Arial"/>
          <w:lang w:eastAsia="ja-JP"/>
        </w:rPr>
        <w:t>voir</w:t>
      </w:r>
      <w:proofErr w:type="gramEnd"/>
      <w:r>
        <w:rPr>
          <w:rFonts w:eastAsia="MS Mincho" w:cs="Arial"/>
          <w:lang w:eastAsia="ja-JP"/>
        </w:rPr>
        <w:t xml:space="preserve"> le docume</w:t>
      </w:r>
      <w:r w:rsidRPr="0048127F">
        <w:rPr>
          <w:rFonts w:eastAsia="MS Mincho" w:cs="Arial"/>
          <w:lang w:eastAsia="ja-JP"/>
        </w:rPr>
        <w:t>nt C/50</w:t>
      </w:r>
      <w:r w:rsidR="007737EF" w:rsidRPr="0048127F">
        <w:rPr>
          <w:rFonts w:eastAsia="MS Mincho" w:cs="Arial"/>
          <w:lang w:eastAsia="ja-JP"/>
        </w:rPr>
        <w:t>/7 “Statistiques sur la protection des obtentions végétales pour la période 201</w:t>
      </w:r>
      <w:r w:rsidR="00E50ABB" w:rsidRPr="0048127F">
        <w:rPr>
          <w:rFonts w:eastAsia="MS Mincho" w:cs="Arial"/>
          <w:lang w:eastAsia="ja-JP"/>
        </w:rPr>
        <w:t>1</w:t>
      </w:r>
      <w:r w:rsidR="007737EF" w:rsidRPr="0048127F">
        <w:rPr>
          <w:rFonts w:eastAsia="MS Mincho" w:cs="Arial"/>
          <w:lang w:eastAsia="ja-JP"/>
        </w:rPr>
        <w:noBreakHyphen/>
        <w:t>201</w:t>
      </w:r>
      <w:r w:rsidR="00E50ABB" w:rsidRPr="0048127F">
        <w:rPr>
          <w:rFonts w:eastAsia="MS Mincho" w:cs="Arial"/>
          <w:lang w:eastAsia="ja-JP"/>
        </w:rPr>
        <w:t>5</w:t>
      </w:r>
      <w:r w:rsidR="007737EF" w:rsidRPr="0048127F">
        <w:rPr>
          <w:rFonts w:eastAsia="MS Mincho" w:cs="Arial"/>
          <w:lang w:eastAsia="ja-JP"/>
        </w:rPr>
        <w:t>”)</w:t>
      </w:r>
    </w:p>
    <w:p w:rsidR="007737EF" w:rsidRPr="009A6348" w:rsidRDefault="007737EF" w:rsidP="007737EF">
      <w:pPr>
        <w:autoSpaceDE w:val="0"/>
        <w:autoSpaceDN w:val="0"/>
        <w:adjustRightInd w:val="0"/>
        <w:rPr>
          <w:rFonts w:cs="Arial"/>
        </w:rPr>
      </w:pPr>
    </w:p>
    <w:p w:rsidR="007737EF" w:rsidRDefault="007737EF" w:rsidP="007737EF">
      <w:pPr>
        <w:autoSpaceDE w:val="0"/>
        <w:autoSpaceDN w:val="0"/>
        <w:adjustRightInd w:val="0"/>
        <w:rPr>
          <w:rFonts w:cs="Arial"/>
        </w:rPr>
      </w:pPr>
      <w:r w:rsidRPr="009A6348">
        <w:rPr>
          <w:rFonts w:cs="Arial"/>
        </w:rPr>
        <w:fldChar w:fldCharType="begin"/>
      </w:r>
      <w:r w:rsidRPr="009A6348">
        <w:rPr>
          <w:rFonts w:cs="Arial"/>
        </w:rPr>
        <w:instrText xml:space="preserve"> AUTONUM  </w:instrText>
      </w:r>
      <w:r w:rsidRPr="009A6348">
        <w:rPr>
          <w:rFonts w:cs="Arial"/>
        </w:rPr>
        <w:fldChar w:fldCharType="end"/>
      </w:r>
      <w:r w:rsidR="001F65A2">
        <w:rPr>
          <w:rFonts w:cs="Arial"/>
        </w:rPr>
        <w:tab/>
        <w:t>En 2015</w:t>
      </w:r>
      <w:r w:rsidRPr="009A6348">
        <w:rPr>
          <w:rFonts w:cs="Arial"/>
        </w:rPr>
        <w:t xml:space="preserve">, </w:t>
      </w:r>
      <w:r w:rsidR="001F65A2">
        <w:rPr>
          <w:rFonts w:cs="Arial"/>
        </w:rPr>
        <w:t>l</w:t>
      </w:r>
      <w:r w:rsidRPr="009A6348">
        <w:rPr>
          <w:rFonts w:cs="Arial"/>
        </w:rPr>
        <w:t>e n</w:t>
      </w:r>
      <w:r w:rsidRPr="0048127F">
        <w:rPr>
          <w:rFonts w:cs="Arial"/>
        </w:rPr>
        <w:t xml:space="preserve">ombre de demandes de protection d’obtentions végétales a </w:t>
      </w:r>
      <w:r w:rsidR="001F65A2" w:rsidRPr="0048127F">
        <w:rPr>
          <w:rFonts w:cs="Arial"/>
        </w:rPr>
        <w:t>diminué</w:t>
      </w:r>
      <w:r w:rsidRPr="0048127F">
        <w:rPr>
          <w:rFonts w:cs="Arial"/>
        </w:rPr>
        <w:t xml:space="preserve"> de </w:t>
      </w:r>
      <w:r w:rsidR="001F65A2" w:rsidRPr="0048127F">
        <w:rPr>
          <w:rFonts w:cs="Arial"/>
        </w:rPr>
        <w:t>3,2</w:t>
      </w:r>
      <w:r w:rsidRPr="0048127F">
        <w:rPr>
          <w:rFonts w:cs="Arial"/>
        </w:rPr>
        <w:t>% (15 </w:t>
      </w:r>
      <w:r w:rsidR="001F65A2" w:rsidRPr="0048127F">
        <w:rPr>
          <w:rFonts w:cs="Arial"/>
        </w:rPr>
        <w:t>017</w:t>
      </w:r>
      <w:r w:rsidRPr="0048127F">
        <w:rPr>
          <w:rFonts w:cs="Arial"/>
        </w:rPr>
        <w:t xml:space="preserve"> en 201</w:t>
      </w:r>
      <w:r w:rsidR="001F65A2" w:rsidRPr="0048127F">
        <w:rPr>
          <w:rFonts w:cs="Arial"/>
        </w:rPr>
        <w:t>5</w:t>
      </w:r>
      <w:r w:rsidRPr="0048127F">
        <w:rPr>
          <w:rFonts w:cs="Arial"/>
        </w:rPr>
        <w:t>;  1</w:t>
      </w:r>
      <w:r w:rsidR="001F65A2" w:rsidRPr="0048127F">
        <w:rPr>
          <w:rFonts w:cs="Arial"/>
        </w:rPr>
        <w:t>5 511</w:t>
      </w:r>
      <w:r w:rsidRPr="0048127F">
        <w:rPr>
          <w:rFonts w:cs="Arial"/>
        </w:rPr>
        <w:t xml:space="preserve"> en 201</w:t>
      </w:r>
      <w:r w:rsidR="001F65A2" w:rsidRPr="0048127F">
        <w:rPr>
          <w:rFonts w:cs="Arial"/>
        </w:rPr>
        <w:t>4</w:t>
      </w:r>
      <w:r w:rsidRPr="0048127F">
        <w:rPr>
          <w:rFonts w:cs="Arial"/>
        </w:rPr>
        <w:t>), ce qui représente une augmentation de 2,</w:t>
      </w:r>
      <w:r w:rsidR="007455C2" w:rsidRPr="0048127F">
        <w:rPr>
          <w:rFonts w:cs="Arial"/>
        </w:rPr>
        <w:t>9</w:t>
      </w:r>
      <w:r w:rsidRPr="0048127F">
        <w:rPr>
          <w:rFonts w:cs="Arial"/>
        </w:rPr>
        <w:t>% du nombre de demandes déposées par des résidents (</w:t>
      </w:r>
      <w:r w:rsidR="007455C2" w:rsidRPr="0048127F">
        <w:rPr>
          <w:rFonts w:cs="Arial"/>
        </w:rPr>
        <w:t>10 061 en 2015; 9 778 en 2014</w:t>
      </w:r>
      <w:r w:rsidRPr="0048127F">
        <w:rPr>
          <w:rFonts w:cs="Arial"/>
        </w:rPr>
        <w:t xml:space="preserve">) et une </w:t>
      </w:r>
      <w:r w:rsidR="007455C2" w:rsidRPr="0048127F">
        <w:rPr>
          <w:rFonts w:cs="Arial"/>
        </w:rPr>
        <w:t>diminution de 13</w:t>
      </w:r>
      <w:r w:rsidRPr="0048127F">
        <w:rPr>
          <w:rFonts w:cs="Arial"/>
        </w:rPr>
        <w:t>,</w:t>
      </w:r>
      <w:r w:rsidR="007455C2" w:rsidRPr="0048127F">
        <w:rPr>
          <w:rFonts w:cs="Arial"/>
        </w:rPr>
        <w:t>6</w:t>
      </w:r>
      <w:r w:rsidRPr="0048127F">
        <w:rPr>
          <w:rFonts w:cs="Arial"/>
        </w:rPr>
        <w:t>% du nombre de demandes d</w:t>
      </w:r>
      <w:r w:rsidR="007455C2" w:rsidRPr="0048127F">
        <w:rPr>
          <w:rFonts w:cs="Arial"/>
        </w:rPr>
        <w:t>éposées par des non</w:t>
      </w:r>
      <w:r w:rsidR="007455C2" w:rsidRPr="0048127F">
        <w:rPr>
          <w:rFonts w:cs="Arial"/>
        </w:rPr>
        <w:noBreakHyphen/>
        <w:t>résidents (</w:t>
      </w:r>
      <w:r w:rsidR="007455C2" w:rsidRPr="0048127F">
        <w:t>4 956 en 2015; 5 733 en 2014</w:t>
      </w:r>
      <w:r w:rsidRPr="0048127F">
        <w:rPr>
          <w:rFonts w:cs="Arial"/>
        </w:rPr>
        <w:t>).</w:t>
      </w:r>
      <w:r w:rsidRPr="0048127F">
        <w:t xml:space="preserve"> </w:t>
      </w:r>
      <w:r w:rsidRPr="0048127F">
        <w:rPr>
          <w:rFonts w:cs="Arial"/>
        </w:rPr>
        <w:t xml:space="preserve"> Le nombre de titres d</w:t>
      </w:r>
      <w:r w:rsidR="007455C2" w:rsidRPr="0048127F">
        <w:rPr>
          <w:rFonts w:cs="Arial"/>
        </w:rPr>
        <w:t xml:space="preserve">élivrés a augmenté, passant de </w:t>
      </w:r>
      <w:r w:rsidR="007455C2" w:rsidRPr="0048127F">
        <w:t xml:space="preserve">11 566 en 2014 à 12 409 en 2015 </w:t>
      </w:r>
      <w:r w:rsidRPr="0048127F">
        <w:rPr>
          <w:rFonts w:cs="Arial"/>
        </w:rPr>
        <w:t xml:space="preserve">(soit une augmentation de </w:t>
      </w:r>
      <w:r w:rsidR="007455C2" w:rsidRPr="0048127F">
        <w:rPr>
          <w:rFonts w:cs="Arial"/>
        </w:rPr>
        <w:t>7</w:t>
      </w:r>
      <w:r w:rsidRPr="0048127F">
        <w:rPr>
          <w:rFonts w:cs="Arial"/>
        </w:rPr>
        <w:t>,</w:t>
      </w:r>
      <w:r w:rsidR="007455C2" w:rsidRPr="0048127F">
        <w:rPr>
          <w:rFonts w:cs="Arial"/>
        </w:rPr>
        <w:t>3</w:t>
      </w:r>
      <w:r w:rsidRPr="0048127F">
        <w:rPr>
          <w:rFonts w:cs="Arial"/>
        </w:rPr>
        <w:t>%).</w:t>
      </w:r>
    </w:p>
    <w:p w:rsidR="001F65A2" w:rsidRDefault="001F65A2" w:rsidP="007737EF">
      <w:pPr>
        <w:autoSpaceDE w:val="0"/>
        <w:autoSpaceDN w:val="0"/>
        <w:adjustRightInd w:val="0"/>
        <w:rPr>
          <w:rFonts w:cs="Arial"/>
        </w:rPr>
      </w:pPr>
    </w:p>
    <w:p w:rsidR="007737EF" w:rsidRPr="009A6348" w:rsidRDefault="007737EF" w:rsidP="007737EF">
      <w:pPr>
        <w:autoSpaceDE w:val="0"/>
        <w:autoSpaceDN w:val="0"/>
        <w:adjustRightInd w:val="0"/>
        <w:rPr>
          <w:rFonts w:cs="Arial"/>
        </w:rPr>
      </w:pPr>
      <w:r w:rsidRPr="009A6348">
        <w:rPr>
          <w:rFonts w:cs="Arial"/>
        </w:rPr>
        <w:fldChar w:fldCharType="begin"/>
      </w:r>
      <w:r w:rsidRPr="009A6348">
        <w:rPr>
          <w:rFonts w:cs="Arial"/>
        </w:rPr>
        <w:instrText xml:space="preserve"> AUTONUM  </w:instrText>
      </w:r>
      <w:r w:rsidRPr="009A6348">
        <w:rPr>
          <w:rFonts w:cs="Arial"/>
        </w:rPr>
        <w:fldChar w:fldCharType="end"/>
      </w:r>
      <w:r w:rsidRPr="009A6348">
        <w:rPr>
          <w:rFonts w:cs="Arial"/>
        </w:rPr>
        <w:tab/>
        <w:t>Le tota</w:t>
      </w:r>
      <w:r w:rsidRPr="0048127F">
        <w:rPr>
          <w:rFonts w:cs="Arial"/>
        </w:rPr>
        <w:t>l de 10</w:t>
      </w:r>
      <w:r w:rsidR="007455C2" w:rsidRPr="0048127F">
        <w:rPr>
          <w:rFonts w:cs="Arial"/>
        </w:rPr>
        <w:t>7 232</w:t>
      </w:r>
      <w:r w:rsidRPr="0048127F">
        <w:rPr>
          <w:rFonts w:cs="Arial"/>
        </w:rPr>
        <w:t xml:space="preserve"> titres en vigueur en 201</w:t>
      </w:r>
      <w:r w:rsidR="007455C2" w:rsidRPr="0048127F">
        <w:rPr>
          <w:rFonts w:cs="Arial"/>
        </w:rPr>
        <w:t>5</w:t>
      </w:r>
      <w:r w:rsidRPr="0048127F">
        <w:rPr>
          <w:rFonts w:cs="Arial"/>
        </w:rPr>
        <w:t xml:space="preserve"> représente une augmentation de </w:t>
      </w:r>
      <w:r w:rsidR="007455C2" w:rsidRPr="0048127F">
        <w:rPr>
          <w:rFonts w:cs="Arial"/>
        </w:rPr>
        <w:t>0</w:t>
      </w:r>
      <w:r w:rsidRPr="0048127F">
        <w:rPr>
          <w:rFonts w:cs="Arial"/>
        </w:rPr>
        <w:t>,</w:t>
      </w:r>
      <w:r w:rsidR="007455C2" w:rsidRPr="0048127F">
        <w:rPr>
          <w:rFonts w:cs="Arial"/>
        </w:rPr>
        <w:t>6</w:t>
      </w:r>
      <w:r w:rsidRPr="0048127F">
        <w:rPr>
          <w:rFonts w:cs="Arial"/>
        </w:rPr>
        <w:t xml:space="preserve">% </w:t>
      </w:r>
      <w:r w:rsidR="007455C2" w:rsidRPr="0048127F">
        <w:rPr>
          <w:rFonts w:cs="Arial"/>
        </w:rPr>
        <w:t>par rapport aux chiffres de 2014</w:t>
      </w:r>
      <w:r w:rsidRPr="0048127F">
        <w:rPr>
          <w:rFonts w:cs="Arial"/>
        </w:rPr>
        <w:t xml:space="preserve"> (10</w:t>
      </w:r>
      <w:r w:rsidR="007455C2" w:rsidRPr="0048127F">
        <w:rPr>
          <w:rFonts w:cs="Arial"/>
        </w:rPr>
        <w:t>6 575</w:t>
      </w:r>
      <w:r w:rsidRPr="0048127F">
        <w:rPr>
          <w:rFonts w:cs="Arial"/>
        </w:rPr>
        <w:t>).</w:t>
      </w:r>
    </w:p>
    <w:p w:rsidR="007737EF" w:rsidRDefault="007737EF" w:rsidP="007737EF">
      <w:pPr>
        <w:autoSpaceDE w:val="0"/>
        <w:autoSpaceDN w:val="0"/>
        <w:adjustRightInd w:val="0"/>
        <w:rPr>
          <w:rFonts w:cs="Arial"/>
        </w:rPr>
      </w:pPr>
    </w:p>
    <w:p w:rsidR="00074B4C" w:rsidRPr="00CD2195" w:rsidRDefault="00074B4C" w:rsidP="00A33E60">
      <w:pPr>
        <w:autoSpaceDE w:val="0"/>
        <w:autoSpaceDN w:val="0"/>
        <w:adjustRightInd w:val="0"/>
        <w:rPr>
          <w:highlight w:val="magenta"/>
        </w:rPr>
      </w:pPr>
      <w:r w:rsidRPr="00A33E60">
        <w:fldChar w:fldCharType="begin"/>
      </w:r>
      <w:r w:rsidRPr="00A33E60">
        <w:instrText xml:space="preserve"> AUTONUM  </w:instrText>
      </w:r>
      <w:r w:rsidRPr="00A33E60">
        <w:fldChar w:fldCharType="end"/>
      </w:r>
      <w:r w:rsidRPr="00A33E60">
        <w:tab/>
      </w:r>
      <w:r w:rsidR="00A33E60" w:rsidRPr="00A33E60">
        <w:rPr>
          <w:rFonts w:cs="Arial"/>
        </w:rPr>
        <w:t xml:space="preserve">Le Comité consultatif </w:t>
      </w:r>
      <w:r w:rsidR="00D14D5E">
        <w:rPr>
          <w:rFonts w:cs="Arial"/>
        </w:rPr>
        <w:t xml:space="preserve">a </w:t>
      </w:r>
      <w:r w:rsidR="00CD2195">
        <w:rPr>
          <w:rFonts w:cs="Arial"/>
        </w:rPr>
        <w:t>indiqu</w:t>
      </w:r>
      <w:r w:rsidR="00D14D5E">
        <w:rPr>
          <w:rFonts w:cs="Arial"/>
        </w:rPr>
        <w:t>é</w:t>
      </w:r>
      <w:r w:rsidR="00A33E60" w:rsidRPr="00A33E60">
        <w:rPr>
          <w:rFonts w:cs="Arial"/>
        </w:rPr>
        <w:t xml:space="preserve"> que, lorsque des différences importantes apparaissent entre les</w:t>
      </w:r>
      <w:r w:rsidR="00A33E60">
        <w:rPr>
          <w:rFonts w:cs="Arial"/>
        </w:rPr>
        <w:t xml:space="preserve"> </w:t>
      </w:r>
      <w:r w:rsidR="00A33E60" w:rsidRPr="00A33E60">
        <w:rPr>
          <w:rFonts w:cs="Arial"/>
        </w:rPr>
        <w:t>données de la base de données PLUTO et les données du document C/50/7, le Bureau de l’Union</w:t>
      </w:r>
      <w:r w:rsidR="00A33E60">
        <w:rPr>
          <w:rFonts w:cs="Arial"/>
        </w:rPr>
        <w:t xml:space="preserve"> </w:t>
      </w:r>
      <w:r w:rsidR="00A33E60" w:rsidRPr="00A33E60">
        <w:rPr>
          <w:rFonts w:cs="Arial"/>
        </w:rPr>
        <w:t>consultera les membres de l’Union concernés</w:t>
      </w:r>
      <w:r w:rsidR="0048127F">
        <w:rPr>
          <w:snapToGrid w:val="0"/>
          <w:lang w:eastAsia="ja-JP"/>
        </w:rPr>
        <w:t>.</w:t>
      </w:r>
    </w:p>
    <w:p w:rsidR="00074B4C" w:rsidRPr="00CD2195" w:rsidRDefault="00074B4C" w:rsidP="00074B4C">
      <w:pPr>
        <w:ind w:left="567" w:hanging="567"/>
        <w:jc w:val="left"/>
        <w:rPr>
          <w:rFonts w:cs="Arial"/>
          <w:highlight w:val="magenta"/>
        </w:rPr>
      </w:pPr>
    </w:p>
    <w:p w:rsidR="00074B4C" w:rsidRPr="00A33E60" w:rsidRDefault="00074B4C" w:rsidP="0048127F">
      <w:pPr>
        <w:autoSpaceDE w:val="0"/>
        <w:autoSpaceDN w:val="0"/>
        <w:adjustRightInd w:val="0"/>
        <w:rPr>
          <w:highlight w:val="magenta"/>
        </w:rPr>
      </w:pPr>
      <w:r w:rsidRPr="00A33E60">
        <w:fldChar w:fldCharType="begin"/>
      </w:r>
      <w:r w:rsidRPr="00A33E60">
        <w:instrText xml:space="preserve"> AUTONUM  </w:instrText>
      </w:r>
      <w:r w:rsidRPr="00A33E60">
        <w:fldChar w:fldCharType="end"/>
      </w:r>
      <w:r w:rsidRPr="00A33E60">
        <w:tab/>
      </w:r>
      <w:r w:rsidR="00A33E60" w:rsidRPr="00A33E60">
        <w:rPr>
          <w:rFonts w:cs="Arial"/>
        </w:rPr>
        <w:t xml:space="preserve">Le Comité consultatif </w:t>
      </w:r>
      <w:r w:rsidR="00D14D5E">
        <w:rPr>
          <w:rFonts w:cs="Arial"/>
        </w:rPr>
        <w:t>a indiqué</w:t>
      </w:r>
      <w:r w:rsidR="00D14D5E" w:rsidRPr="00A33E60">
        <w:rPr>
          <w:rFonts w:cs="Arial"/>
        </w:rPr>
        <w:t xml:space="preserve"> </w:t>
      </w:r>
      <w:r w:rsidR="00A33E60" w:rsidRPr="00A33E60">
        <w:rPr>
          <w:rFonts w:cs="Arial"/>
        </w:rPr>
        <w:t>que le Bureau de l’Union examinera les causes des différences entre les</w:t>
      </w:r>
      <w:r w:rsidR="00CD2195">
        <w:rPr>
          <w:rFonts w:cs="Arial"/>
        </w:rPr>
        <w:t xml:space="preserve"> </w:t>
      </w:r>
      <w:r w:rsidR="00A33E60" w:rsidRPr="00A33E60">
        <w:rPr>
          <w:rFonts w:cs="Arial"/>
        </w:rPr>
        <w:t>années en ce qui concerne l’exhaustivité des données figurant dans la base de données PLUTO, en termes</w:t>
      </w:r>
      <w:r w:rsidR="00CD2195">
        <w:rPr>
          <w:rFonts w:cs="Arial"/>
        </w:rPr>
        <w:t xml:space="preserve"> </w:t>
      </w:r>
      <w:r w:rsidR="00A33E60" w:rsidRPr="00A33E60">
        <w:rPr>
          <w:rFonts w:cs="Arial"/>
        </w:rPr>
        <w:t>de membres de l’Union contributeurs</w:t>
      </w:r>
      <w:r w:rsidR="0048127F">
        <w:rPr>
          <w:rFonts w:cs="Arial"/>
          <w:color w:val="FF0000"/>
        </w:rPr>
        <w:t>.</w:t>
      </w:r>
    </w:p>
    <w:p w:rsidR="00074B4C" w:rsidRPr="00A33E60" w:rsidRDefault="00074B4C" w:rsidP="00074B4C">
      <w:pPr>
        <w:rPr>
          <w:highlight w:val="magenta"/>
        </w:rPr>
      </w:pPr>
    </w:p>
    <w:p w:rsidR="00074B4C" w:rsidRPr="00074B4C" w:rsidRDefault="00074B4C" w:rsidP="00B2547F">
      <w:pPr>
        <w:autoSpaceDE w:val="0"/>
        <w:autoSpaceDN w:val="0"/>
        <w:adjustRightInd w:val="0"/>
      </w:pPr>
      <w:r w:rsidRPr="00CD2195">
        <w:fldChar w:fldCharType="begin"/>
      </w:r>
      <w:r w:rsidRPr="00CD2195">
        <w:instrText xml:space="preserve"> AUTONUM  </w:instrText>
      </w:r>
      <w:r w:rsidRPr="00CD2195">
        <w:fldChar w:fldCharType="end"/>
      </w:r>
      <w:r w:rsidRPr="00CD2195">
        <w:tab/>
      </w:r>
      <w:r w:rsidR="00CD2195" w:rsidRPr="00CD2195">
        <w:rPr>
          <w:rFonts w:cs="Arial"/>
        </w:rPr>
        <w:t xml:space="preserve">Le Comité consultatif </w:t>
      </w:r>
      <w:r w:rsidR="00D14D5E">
        <w:rPr>
          <w:rFonts w:cs="Arial"/>
        </w:rPr>
        <w:t xml:space="preserve">a pris </w:t>
      </w:r>
      <w:r w:rsidR="00CD2195">
        <w:rPr>
          <w:rFonts w:cs="Arial"/>
        </w:rPr>
        <w:t xml:space="preserve">note du fait que </w:t>
      </w:r>
      <w:r w:rsidR="00CD2195" w:rsidRPr="00CD2195">
        <w:rPr>
          <w:rFonts w:cs="Arial"/>
        </w:rPr>
        <w:t>l’analyse statistique figurant dans le document CC/92/12 devrait figurer</w:t>
      </w:r>
      <w:r w:rsidR="00CD2195">
        <w:rPr>
          <w:rFonts w:cs="Arial"/>
        </w:rPr>
        <w:t xml:space="preserve"> </w:t>
      </w:r>
      <w:r w:rsidR="00CD2195" w:rsidRPr="00CD2195">
        <w:rPr>
          <w:rFonts w:cs="Arial"/>
        </w:rPr>
        <w:t>dans les versions futures du document C</w:t>
      </w:r>
      <w:proofErr w:type="gramStart"/>
      <w:r w:rsidR="00CD2195" w:rsidRPr="00CD2195">
        <w:rPr>
          <w:rFonts w:cs="Arial"/>
        </w:rPr>
        <w:t>/[</w:t>
      </w:r>
      <w:proofErr w:type="gramEnd"/>
      <w:r w:rsidR="00CD2195" w:rsidRPr="00CD2195">
        <w:rPr>
          <w:rFonts w:cs="Arial"/>
        </w:rPr>
        <w:t>session]/7 “Statistiques sur la protection des obtentions végétales</w:t>
      </w:r>
      <w:r w:rsidR="00CD2195">
        <w:rPr>
          <w:rFonts w:cs="Arial"/>
        </w:rPr>
        <w:t xml:space="preserve"> </w:t>
      </w:r>
      <w:r w:rsidR="00CD2195" w:rsidRPr="00CD2195">
        <w:rPr>
          <w:rFonts w:cs="Arial"/>
        </w:rPr>
        <w:t>pour la période [</w:t>
      </w:r>
      <w:proofErr w:type="spellStart"/>
      <w:r w:rsidR="00CD2195" w:rsidRPr="00CD2195">
        <w:rPr>
          <w:rFonts w:cs="Arial"/>
        </w:rPr>
        <w:t>xxxx</w:t>
      </w:r>
      <w:proofErr w:type="spellEnd"/>
      <w:r w:rsidR="00CD2195" w:rsidRPr="00CD2195">
        <w:rPr>
          <w:rFonts w:cs="Arial"/>
        </w:rPr>
        <w:t>] [</w:t>
      </w:r>
      <w:proofErr w:type="spellStart"/>
      <w:r w:rsidR="00CD2195" w:rsidRPr="00CD2195">
        <w:rPr>
          <w:rFonts w:cs="Arial"/>
        </w:rPr>
        <w:t>xxxx</w:t>
      </w:r>
      <w:proofErr w:type="spellEnd"/>
      <w:r w:rsidR="00CD2195" w:rsidRPr="00CD2195">
        <w:rPr>
          <w:rFonts w:cs="Arial"/>
        </w:rPr>
        <w:t>]”.</w:t>
      </w:r>
    </w:p>
    <w:p w:rsidR="007737EF" w:rsidRPr="007737EF" w:rsidRDefault="007737EF" w:rsidP="007737EF">
      <w:pPr>
        <w:pStyle w:val="Heading2"/>
      </w:pPr>
      <w:bookmarkStart w:id="12" w:name="_Toc478652711"/>
      <w:r w:rsidRPr="007737EF">
        <w:lastRenderedPageBreak/>
        <w:t>Coopération en matière d’examen des obtentions végétales</w:t>
      </w:r>
      <w:bookmarkEnd w:id="12"/>
    </w:p>
    <w:p w:rsidR="007737EF" w:rsidRPr="009A6348" w:rsidRDefault="007737EF" w:rsidP="007737EF">
      <w:pPr>
        <w:autoSpaceDE w:val="0"/>
        <w:autoSpaceDN w:val="0"/>
        <w:adjustRightInd w:val="0"/>
        <w:rPr>
          <w:rFonts w:cs="Arial"/>
        </w:rPr>
      </w:pPr>
    </w:p>
    <w:p w:rsidR="007737EF" w:rsidRPr="009A6348" w:rsidRDefault="007737EF" w:rsidP="007737EF">
      <w:pPr>
        <w:autoSpaceDE w:val="0"/>
        <w:autoSpaceDN w:val="0"/>
        <w:adjustRightInd w:val="0"/>
        <w:rPr>
          <w:rFonts w:eastAsia="MS Mincho" w:cs="Arial"/>
          <w:highlight w:val="cyan"/>
          <w:lang w:eastAsia="ja-JP"/>
        </w:rPr>
      </w:pPr>
      <w:r w:rsidRPr="009A6348">
        <w:rPr>
          <w:rFonts w:cs="Arial"/>
        </w:rPr>
        <w:fldChar w:fldCharType="begin"/>
      </w:r>
      <w:r w:rsidRPr="009A6348">
        <w:rPr>
          <w:rFonts w:cs="Arial"/>
        </w:rPr>
        <w:instrText xml:space="preserve"> AUTONUM  </w:instrText>
      </w:r>
      <w:r w:rsidRPr="009A6348">
        <w:rPr>
          <w:rFonts w:cs="Arial"/>
        </w:rPr>
        <w:fldChar w:fldCharType="end"/>
      </w:r>
      <w:r w:rsidRPr="009A6348">
        <w:rPr>
          <w:rFonts w:cs="Arial"/>
        </w:rPr>
        <w:tab/>
        <w:t>En 2015, le nombre de genres et espèces végétaux faisant l’objet d’accords entre membres de l’Union à des fins de coopération en matière d’examen de la distinction, de l’homogénéité et de la stab</w:t>
      </w:r>
      <w:r w:rsidR="00CD2195">
        <w:rPr>
          <w:rFonts w:cs="Arial"/>
        </w:rPr>
        <w:t xml:space="preserve">ilité s’est élevé au total à </w:t>
      </w:r>
      <w:r w:rsidR="00CD2195" w:rsidRPr="00B2547F">
        <w:rPr>
          <w:rFonts w:cs="Arial"/>
        </w:rPr>
        <w:t>2 031</w:t>
      </w:r>
      <w:r w:rsidRPr="00B2547F">
        <w:rPr>
          <w:rFonts w:cs="Arial"/>
        </w:rPr>
        <w:t>, contre 2</w:t>
      </w:r>
      <w:r w:rsidR="00CD2195" w:rsidRPr="00B2547F">
        <w:rPr>
          <w:rFonts w:cs="Arial"/>
        </w:rPr>
        <w:t xml:space="preserve"> </w:t>
      </w:r>
      <w:r w:rsidRPr="00B2547F">
        <w:rPr>
          <w:rFonts w:cs="Arial"/>
        </w:rPr>
        <w:t>00</w:t>
      </w:r>
      <w:r w:rsidR="00CD2195" w:rsidRPr="00B2547F">
        <w:rPr>
          <w:rFonts w:cs="Arial"/>
        </w:rPr>
        <w:t>2</w:t>
      </w:r>
      <w:r w:rsidRPr="00B2547F">
        <w:rPr>
          <w:rFonts w:cs="Arial"/>
        </w:rPr>
        <w:t xml:space="preserve"> en 201</w:t>
      </w:r>
      <w:r w:rsidR="00CD2195" w:rsidRPr="00B2547F">
        <w:rPr>
          <w:rFonts w:cs="Arial"/>
        </w:rPr>
        <w:t>4</w:t>
      </w:r>
      <w:r w:rsidRPr="00B2547F">
        <w:rPr>
          <w:rFonts w:cs="Arial"/>
        </w:rPr>
        <w:t>.</w:t>
      </w:r>
    </w:p>
    <w:p w:rsidR="007737EF" w:rsidRPr="007737EF" w:rsidRDefault="007737EF" w:rsidP="007737EF">
      <w:pPr>
        <w:pStyle w:val="Heading2"/>
        <w:rPr>
          <w:rFonts w:eastAsia="MS Mincho"/>
          <w:highlight w:val="cyan"/>
          <w:lang w:eastAsia="ja-JP"/>
        </w:rPr>
      </w:pPr>
    </w:p>
    <w:bookmarkEnd w:id="9"/>
    <w:p w:rsidR="007737EF" w:rsidRDefault="007737EF" w:rsidP="007737EF">
      <w:pPr>
        <w:rPr>
          <w:rFonts w:cs="Arial"/>
        </w:rPr>
      </w:pPr>
    </w:p>
    <w:p w:rsidR="007133F0" w:rsidRPr="00B2547F" w:rsidRDefault="007133F0" w:rsidP="007133F0">
      <w:pPr>
        <w:pStyle w:val="Heading1"/>
        <w:rPr>
          <w:lang w:val="fr-FR"/>
        </w:rPr>
      </w:pPr>
      <w:bookmarkStart w:id="13" w:name="_Toc478652712"/>
      <w:r w:rsidRPr="00B2547F">
        <w:rPr>
          <w:lang w:val="fr-FR"/>
        </w:rPr>
        <w:t>Rapport annuel du Secrétaire général pour 2015;  Rapport sur l’exécution du programme pour l’exercice biennal 2014</w:t>
      </w:r>
      <w:r w:rsidRPr="00B2547F">
        <w:rPr>
          <w:lang w:val="fr-FR"/>
        </w:rPr>
        <w:noBreakHyphen/>
        <w:t>2015</w:t>
      </w:r>
      <w:bookmarkEnd w:id="13"/>
    </w:p>
    <w:p w:rsidR="007133F0" w:rsidRPr="00B2547F" w:rsidRDefault="007133F0" w:rsidP="007133F0"/>
    <w:p w:rsidR="007133F0" w:rsidRPr="00B2547F" w:rsidRDefault="007133F0" w:rsidP="007133F0">
      <w:pPr>
        <w:spacing w:after="240"/>
      </w:pPr>
      <w:r w:rsidRPr="00B2547F">
        <w:rPr>
          <w:rFonts w:cs="Arial"/>
        </w:rPr>
        <w:fldChar w:fldCharType="begin"/>
      </w:r>
      <w:r w:rsidRPr="00B2547F">
        <w:rPr>
          <w:rFonts w:cs="Arial"/>
        </w:rPr>
        <w:instrText xml:space="preserve"> AUTONUM  </w:instrText>
      </w:r>
      <w:r w:rsidRPr="00B2547F">
        <w:rPr>
          <w:rFonts w:cs="Arial"/>
        </w:rPr>
        <w:fldChar w:fldCharType="end"/>
      </w:r>
      <w:r w:rsidRPr="00B2547F">
        <w:rPr>
          <w:rFonts w:cs="Arial"/>
        </w:rPr>
        <w:tab/>
      </w:r>
      <w:r w:rsidRPr="00B2547F">
        <w:rPr>
          <w:rFonts w:cs="Arial"/>
          <w:snapToGrid w:val="0"/>
        </w:rPr>
        <w:t xml:space="preserve">Le Conseil </w:t>
      </w:r>
      <w:r w:rsidR="00D14D5E" w:rsidRPr="00B2547F">
        <w:rPr>
          <w:rFonts w:cs="Arial"/>
          <w:snapToGrid w:val="0"/>
        </w:rPr>
        <w:t xml:space="preserve">a pris </w:t>
      </w:r>
      <w:r w:rsidRPr="00B2547F">
        <w:rPr>
          <w:rFonts w:cs="Arial"/>
          <w:snapToGrid w:val="0"/>
        </w:rPr>
        <w:t>note du rapport du Secrétaire général sur les activités de l’Union en 2015 et des résultats et indicateurs d’exécution pour 2015, qui figurent dans le document C/50/2</w:t>
      </w:r>
      <w:r w:rsidR="00AE7FAC" w:rsidRPr="00B2547F">
        <w:rPr>
          <w:rFonts w:cs="Arial"/>
          <w:snapToGrid w:val="0"/>
        </w:rPr>
        <w:t xml:space="preserve"> </w:t>
      </w:r>
      <w:r w:rsidR="00AE7FAC" w:rsidRPr="00B2547F">
        <w:t>“Rapport annuel du secrétaire général pour 2015”</w:t>
      </w:r>
      <w:r w:rsidRPr="00B2547F">
        <w:rPr>
          <w:rFonts w:cs="Arial"/>
          <w:snapToGrid w:val="0"/>
        </w:rPr>
        <w:t>.</w:t>
      </w:r>
    </w:p>
    <w:p w:rsidR="007133F0" w:rsidRPr="007133F0" w:rsidRDefault="007133F0" w:rsidP="007133F0">
      <w:r w:rsidRPr="00B2547F">
        <w:rPr>
          <w:rFonts w:cs="Arial"/>
          <w:snapToGrid w:val="0"/>
        </w:rPr>
        <w:fldChar w:fldCharType="begin"/>
      </w:r>
      <w:r w:rsidRPr="00B2547F">
        <w:rPr>
          <w:rFonts w:cs="Arial"/>
          <w:snapToGrid w:val="0"/>
        </w:rPr>
        <w:instrText xml:space="preserve"> AUTONUM  </w:instrText>
      </w:r>
      <w:r w:rsidRPr="00B2547F">
        <w:rPr>
          <w:rFonts w:cs="Arial"/>
          <w:snapToGrid w:val="0"/>
        </w:rPr>
        <w:fldChar w:fldCharType="end"/>
      </w:r>
      <w:r w:rsidRPr="00B2547F">
        <w:rPr>
          <w:rFonts w:cs="Arial"/>
          <w:snapToGrid w:val="0"/>
        </w:rPr>
        <w:tab/>
        <w:t xml:space="preserve">Le Conseil </w:t>
      </w:r>
      <w:r w:rsidR="00D14D5E" w:rsidRPr="00B2547F">
        <w:rPr>
          <w:rFonts w:cs="Arial"/>
          <w:snapToGrid w:val="0"/>
        </w:rPr>
        <w:t xml:space="preserve">a pris </w:t>
      </w:r>
      <w:r w:rsidRPr="00B2547F">
        <w:rPr>
          <w:rFonts w:cs="Arial"/>
          <w:snapToGrid w:val="0"/>
        </w:rPr>
        <w:t>note du rapport sur l’exécution du programme pour l’exercice biennal 2014</w:t>
      </w:r>
      <w:r w:rsidRPr="00B2547F">
        <w:rPr>
          <w:rFonts w:cs="Arial"/>
          <w:snapToGrid w:val="0"/>
        </w:rPr>
        <w:noBreakHyphen/>
        <w:t>2015, qui figure dans le document C/50/12</w:t>
      </w:r>
      <w:r w:rsidR="00AE7FAC" w:rsidRPr="00B2547F">
        <w:rPr>
          <w:rFonts w:cs="Arial"/>
          <w:snapToGrid w:val="0"/>
        </w:rPr>
        <w:t xml:space="preserve"> </w:t>
      </w:r>
      <w:r w:rsidR="00AE7FAC" w:rsidRPr="00B2547F">
        <w:t>“Rapport sur l’exécution du programme au cours de l’exercice biennal 2014-2015”</w:t>
      </w:r>
      <w:r w:rsidRPr="00B2547F">
        <w:rPr>
          <w:rFonts w:cs="Arial"/>
          <w:snapToGrid w:val="0"/>
        </w:rPr>
        <w:t>.</w:t>
      </w:r>
    </w:p>
    <w:p w:rsidR="007133F0" w:rsidRPr="007133F0" w:rsidRDefault="007133F0" w:rsidP="007133F0"/>
    <w:p w:rsidR="007133F0" w:rsidRPr="007133F0" w:rsidRDefault="007133F0" w:rsidP="007133F0"/>
    <w:p w:rsidR="00D14D5E" w:rsidRDefault="00D14D5E" w:rsidP="007737EF">
      <w:pPr>
        <w:pStyle w:val="Heading1"/>
        <w:rPr>
          <w:lang w:val="fr-FR"/>
        </w:rPr>
      </w:pPr>
      <w:bookmarkStart w:id="14" w:name="_Toc478652713"/>
      <w:r w:rsidRPr="00D14D5E">
        <w:rPr>
          <w:rFonts w:cs="Arial"/>
          <w:lang w:val="fr-FR"/>
        </w:rPr>
        <w:t>Rapport d’évaluation par la Division de la supervision interne de l’OMPI</w:t>
      </w:r>
      <w:bookmarkEnd w:id="14"/>
      <w:r w:rsidRPr="007737EF">
        <w:rPr>
          <w:lang w:val="fr-FR"/>
        </w:rPr>
        <w:t xml:space="preserve"> </w:t>
      </w:r>
    </w:p>
    <w:p w:rsidR="007737EF" w:rsidRPr="009A6348" w:rsidRDefault="007737EF" w:rsidP="007737EF"/>
    <w:p w:rsidR="007133F0" w:rsidRPr="007133F0" w:rsidRDefault="007133F0" w:rsidP="00D14D5E">
      <w:pPr>
        <w:autoSpaceDE w:val="0"/>
        <w:autoSpaceDN w:val="0"/>
        <w:adjustRightInd w:val="0"/>
        <w:rPr>
          <w:rFonts w:cs="Arial"/>
          <w:sz w:val="19"/>
          <w:szCs w:val="19"/>
        </w:rPr>
      </w:pPr>
      <w:r w:rsidRPr="00454EC9">
        <w:fldChar w:fldCharType="begin"/>
      </w:r>
      <w:r w:rsidRPr="007133F0">
        <w:instrText xml:space="preserve"> AUTONUM  </w:instrText>
      </w:r>
      <w:r w:rsidRPr="00454EC9">
        <w:fldChar w:fldCharType="end"/>
      </w:r>
      <w:r w:rsidRPr="007133F0">
        <w:tab/>
      </w:r>
      <w:r w:rsidRPr="007133F0">
        <w:rPr>
          <w:rFonts w:cs="Arial"/>
          <w:sz w:val="19"/>
          <w:szCs w:val="19"/>
        </w:rPr>
        <w:t xml:space="preserve">À sa quatre-vingt-douzième session, tenue à Genève le 27 octobre 2016, </w:t>
      </w:r>
      <w:r>
        <w:t>l</w:t>
      </w:r>
      <w:r w:rsidRPr="009A6348">
        <w:t>e Comité consultatif</w:t>
      </w:r>
      <w:r w:rsidR="00D14D5E">
        <w:t xml:space="preserve"> </w:t>
      </w:r>
      <w:r w:rsidR="00D14D5E" w:rsidRPr="00D14D5E">
        <w:rPr>
          <w:rFonts w:cs="Arial"/>
        </w:rPr>
        <w:t xml:space="preserve">examine le </w:t>
      </w:r>
      <w:r w:rsidR="00D14D5E">
        <w:rPr>
          <w:rFonts w:cs="Arial"/>
        </w:rPr>
        <w:t xml:space="preserve">rapport d’évaluation de la DSI </w:t>
      </w:r>
      <w:r w:rsidR="00D14D5E" w:rsidRPr="00D14D5E">
        <w:rPr>
          <w:rFonts w:cs="Arial"/>
        </w:rPr>
        <w:t xml:space="preserve">et un exposé présenté par M. </w:t>
      </w:r>
      <w:proofErr w:type="spellStart"/>
      <w:r w:rsidR="00D14D5E" w:rsidRPr="00D14D5E">
        <w:rPr>
          <w:rFonts w:cs="Arial"/>
        </w:rPr>
        <w:t>Tuncay</w:t>
      </w:r>
      <w:proofErr w:type="spellEnd"/>
      <w:r w:rsidR="00D14D5E" w:rsidRPr="00D14D5E">
        <w:rPr>
          <w:rFonts w:cs="Arial"/>
        </w:rPr>
        <w:t xml:space="preserve"> </w:t>
      </w:r>
      <w:proofErr w:type="spellStart"/>
      <w:r w:rsidR="00D14D5E" w:rsidRPr="00D14D5E">
        <w:rPr>
          <w:rFonts w:cs="Arial"/>
        </w:rPr>
        <w:t>Efendioglu</w:t>
      </w:r>
      <w:proofErr w:type="spellEnd"/>
      <w:r w:rsidR="00D14D5E" w:rsidRPr="00D14D5E">
        <w:rPr>
          <w:rFonts w:cs="Arial"/>
        </w:rPr>
        <w:t>, directeur par intérim de la Division de la</w:t>
      </w:r>
      <w:r w:rsidR="00D14D5E">
        <w:rPr>
          <w:rFonts w:cs="Arial"/>
        </w:rPr>
        <w:t xml:space="preserve"> </w:t>
      </w:r>
      <w:r w:rsidR="00D14D5E" w:rsidRPr="00D14D5E">
        <w:rPr>
          <w:rFonts w:cs="Arial"/>
        </w:rPr>
        <w:t>supervision interne (DSI).</w:t>
      </w:r>
    </w:p>
    <w:p w:rsidR="007133F0" w:rsidRDefault="007133F0" w:rsidP="007133F0">
      <w:pPr>
        <w:rPr>
          <w:rFonts w:cs="Arial"/>
          <w:sz w:val="19"/>
          <w:szCs w:val="19"/>
        </w:rPr>
      </w:pPr>
    </w:p>
    <w:p w:rsidR="00D14D5E" w:rsidRPr="00D14D5E" w:rsidRDefault="007133F0" w:rsidP="00D14D5E">
      <w:pPr>
        <w:autoSpaceDE w:val="0"/>
        <w:autoSpaceDN w:val="0"/>
        <w:adjustRightInd w:val="0"/>
        <w:jc w:val="left"/>
        <w:rPr>
          <w:rFonts w:cs="Arial"/>
        </w:rPr>
      </w:pPr>
      <w:r w:rsidRPr="00454EC9">
        <w:fldChar w:fldCharType="begin"/>
      </w:r>
      <w:r w:rsidRPr="00D14D5E">
        <w:instrText xml:space="preserve"> AUTONUM  </w:instrText>
      </w:r>
      <w:r w:rsidRPr="00454EC9">
        <w:fldChar w:fldCharType="end"/>
      </w:r>
      <w:r w:rsidRPr="00D14D5E">
        <w:tab/>
      </w:r>
      <w:r w:rsidR="00D14D5E" w:rsidRPr="00D14D5E">
        <w:rPr>
          <w:rFonts w:cs="Arial"/>
        </w:rPr>
        <w:t>Le Comité consultatif fait observer que le rapport d’évaluation de la DSI sera publié sur le site Web de</w:t>
      </w:r>
    </w:p>
    <w:p w:rsidR="007133F0" w:rsidRPr="00D14D5E" w:rsidRDefault="00D14D5E" w:rsidP="00D14D5E">
      <w:proofErr w:type="gramStart"/>
      <w:r w:rsidRPr="00D14D5E">
        <w:rPr>
          <w:rFonts w:cs="Arial"/>
        </w:rPr>
        <w:t>l’UPOV</w:t>
      </w:r>
      <w:proofErr w:type="gramEnd"/>
      <w:r w:rsidRPr="00D14D5E">
        <w:rPr>
          <w:rFonts w:cs="Arial"/>
        </w:rPr>
        <w:t xml:space="preserve"> après la cinquantième session ordinaire du Conseil</w:t>
      </w:r>
      <w:r w:rsidR="007133F0" w:rsidRPr="00D14D5E">
        <w:t>.</w:t>
      </w:r>
    </w:p>
    <w:p w:rsidR="007133F0" w:rsidRPr="00D14D5E" w:rsidRDefault="007133F0" w:rsidP="007133F0"/>
    <w:p w:rsidR="007133F0" w:rsidRPr="00FF2AE3" w:rsidRDefault="007133F0" w:rsidP="00D14D5E">
      <w:pPr>
        <w:autoSpaceDE w:val="0"/>
        <w:autoSpaceDN w:val="0"/>
        <w:adjustRightInd w:val="0"/>
      </w:pPr>
      <w:r w:rsidRPr="00454EC9">
        <w:fldChar w:fldCharType="begin"/>
      </w:r>
      <w:r w:rsidRPr="00D14D5E">
        <w:instrText xml:space="preserve"> AUTONUM  </w:instrText>
      </w:r>
      <w:r w:rsidRPr="00454EC9">
        <w:fldChar w:fldCharType="end"/>
      </w:r>
      <w:r w:rsidRPr="00D14D5E">
        <w:tab/>
      </w:r>
      <w:r w:rsidR="00D14D5E" w:rsidRPr="00D14D5E">
        <w:rPr>
          <w:rFonts w:cs="Arial"/>
        </w:rPr>
        <w:t>En réponse aux recommandations formulées dans le rapport d’évaluation de la DSI, le Comité</w:t>
      </w:r>
      <w:r w:rsidR="00D14D5E">
        <w:rPr>
          <w:rFonts w:cs="Arial"/>
        </w:rPr>
        <w:t xml:space="preserve"> </w:t>
      </w:r>
      <w:r w:rsidR="00D14D5E" w:rsidRPr="00D14D5E">
        <w:rPr>
          <w:rFonts w:cs="Arial"/>
        </w:rPr>
        <w:t>consultatif approuve la proposition faite par le Bureau de l’Union d’élaborer un plan d’action stratégique, qui</w:t>
      </w:r>
      <w:r w:rsidR="005618ED">
        <w:rPr>
          <w:rFonts w:cs="Arial"/>
        </w:rPr>
        <w:t xml:space="preserve"> sera</w:t>
      </w:r>
      <w:r w:rsidR="00D14D5E" w:rsidRPr="00D14D5E">
        <w:rPr>
          <w:rFonts w:cs="Arial"/>
        </w:rPr>
        <w:t xml:space="preserve"> présenté au Comité consultatif en octobre/novembre 2017</w:t>
      </w:r>
      <w:r w:rsidRPr="00D14D5E">
        <w:t>.</w:t>
      </w:r>
    </w:p>
    <w:p w:rsidR="007133F0" w:rsidRPr="00FF2AE3" w:rsidRDefault="007133F0" w:rsidP="007133F0"/>
    <w:p w:rsidR="007133F0" w:rsidRPr="00D14D5E" w:rsidRDefault="007133F0" w:rsidP="007133F0">
      <w:r w:rsidRPr="00454EC9">
        <w:fldChar w:fldCharType="begin"/>
      </w:r>
      <w:r w:rsidRPr="00D14D5E">
        <w:instrText xml:space="preserve"> AUTONUM  </w:instrText>
      </w:r>
      <w:r w:rsidRPr="00454EC9">
        <w:fldChar w:fldCharType="end"/>
      </w:r>
      <w:r w:rsidRPr="00D14D5E">
        <w:tab/>
      </w:r>
      <w:r w:rsidR="00D14D5E" w:rsidRPr="00D14D5E">
        <w:rPr>
          <w:rFonts w:cs="Arial"/>
        </w:rPr>
        <w:t xml:space="preserve">Le Comité consultatif </w:t>
      </w:r>
      <w:r w:rsidR="00B2547F">
        <w:rPr>
          <w:rFonts w:cs="Arial"/>
        </w:rPr>
        <w:t>a exprimé</w:t>
      </w:r>
      <w:r w:rsidR="00D14D5E" w:rsidRPr="00D14D5E">
        <w:rPr>
          <w:rFonts w:cs="Arial"/>
        </w:rPr>
        <w:t xml:space="preserve"> ses remerciements à la DSI de l’OMPI pour le rapport d’évaluation</w:t>
      </w:r>
      <w:r w:rsidRPr="00D14D5E">
        <w:t>.</w:t>
      </w:r>
    </w:p>
    <w:p w:rsidR="007133F0" w:rsidRPr="00D14D5E" w:rsidRDefault="007133F0" w:rsidP="007133F0"/>
    <w:p w:rsidR="007133F0" w:rsidRPr="00D14D5E" w:rsidRDefault="007133F0" w:rsidP="00B2547F">
      <w:pPr>
        <w:autoSpaceDE w:val="0"/>
        <w:autoSpaceDN w:val="0"/>
        <w:adjustRightInd w:val="0"/>
        <w:rPr>
          <w:rFonts w:cs="Arial"/>
          <w:spacing w:val="-2"/>
        </w:rPr>
      </w:pPr>
      <w:r w:rsidRPr="00454EC9">
        <w:fldChar w:fldCharType="begin"/>
      </w:r>
      <w:r w:rsidRPr="00D14D5E">
        <w:instrText xml:space="preserve"> AUTONUM  </w:instrText>
      </w:r>
      <w:r w:rsidRPr="00454EC9">
        <w:fldChar w:fldCharType="end"/>
      </w:r>
      <w:r w:rsidRPr="00D14D5E">
        <w:tab/>
      </w:r>
      <w:r w:rsidR="00D14D5E" w:rsidRPr="00D14D5E">
        <w:rPr>
          <w:rFonts w:cs="Arial"/>
        </w:rPr>
        <w:t xml:space="preserve">Le Comité consultatif </w:t>
      </w:r>
      <w:r w:rsidR="00B2547F">
        <w:rPr>
          <w:rFonts w:cs="Arial"/>
        </w:rPr>
        <w:t xml:space="preserve">a </w:t>
      </w:r>
      <w:r w:rsidR="00D14D5E" w:rsidRPr="00D14D5E">
        <w:rPr>
          <w:rFonts w:cs="Arial"/>
        </w:rPr>
        <w:t>not</w:t>
      </w:r>
      <w:r w:rsidR="00B2547F">
        <w:rPr>
          <w:rFonts w:cs="Arial"/>
        </w:rPr>
        <w:t>é</w:t>
      </w:r>
      <w:r w:rsidR="00D14D5E" w:rsidRPr="00D14D5E">
        <w:rPr>
          <w:rFonts w:cs="Arial"/>
        </w:rPr>
        <w:t xml:space="preserve"> que les conclusions du Comité consultatif relatives au rapport d’évaluation</w:t>
      </w:r>
      <w:r w:rsidR="00B2547F">
        <w:rPr>
          <w:rFonts w:cs="Arial"/>
        </w:rPr>
        <w:t xml:space="preserve"> </w:t>
      </w:r>
      <w:r w:rsidR="00D14D5E" w:rsidRPr="00D14D5E">
        <w:rPr>
          <w:rFonts w:cs="Arial"/>
        </w:rPr>
        <w:t>de la DSI seront présentées au Conseil à sa cinquantième session ordinaire, qui se tiendra à Genève le</w:t>
      </w:r>
      <w:r w:rsidR="00B2547F">
        <w:rPr>
          <w:rFonts w:cs="Arial"/>
        </w:rPr>
        <w:t xml:space="preserve"> </w:t>
      </w:r>
      <w:r w:rsidR="00D14D5E" w:rsidRPr="00D14D5E">
        <w:rPr>
          <w:rFonts w:cs="Arial"/>
        </w:rPr>
        <w:t>28 octobre 2016</w:t>
      </w:r>
      <w:r w:rsidR="00D14D5E">
        <w:rPr>
          <w:rFonts w:cs="Arial"/>
        </w:rPr>
        <w:t>.</w:t>
      </w:r>
    </w:p>
    <w:p w:rsidR="007133F0" w:rsidRPr="00D14D5E" w:rsidRDefault="007133F0" w:rsidP="007737EF">
      <w:pPr>
        <w:rPr>
          <w:rFonts w:cs="Arial"/>
          <w:spacing w:val="-2"/>
        </w:rPr>
      </w:pPr>
    </w:p>
    <w:p w:rsidR="007133F0" w:rsidRPr="00D14D5E" w:rsidRDefault="007133F0" w:rsidP="007737EF">
      <w:pPr>
        <w:rPr>
          <w:rFonts w:cs="Arial"/>
          <w:spacing w:val="-2"/>
        </w:rPr>
      </w:pPr>
    </w:p>
    <w:p w:rsidR="007737EF" w:rsidRPr="007737EF" w:rsidRDefault="007737EF" w:rsidP="007737EF">
      <w:pPr>
        <w:pStyle w:val="Heading1"/>
        <w:rPr>
          <w:lang w:val="fr-FR"/>
        </w:rPr>
      </w:pPr>
      <w:bookmarkStart w:id="15" w:name="_Toc478652714"/>
      <w:r w:rsidRPr="007737EF">
        <w:rPr>
          <w:lang w:val="fr-FR"/>
        </w:rPr>
        <w:t>sessions des organes de l’UPOV</w:t>
      </w:r>
      <w:bookmarkEnd w:id="15"/>
    </w:p>
    <w:p w:rsidR="007737EF" w:rsidRPr="007737EF" w:rsidRDefault="007737EF" w:rsidP="007737EF">
      <w:pPr>
        <w:pStyle w:val="Heading1"/>
        <w:rPr>
          <w:lang w:val="fr-FR"/>
        </w:rPr>
      </w:pPr>
    </w:p>
    <w:p w:rsidR="007737EF" w:rsidRPr="0049153F" w:rsidRDefault="007737EF" w:rsidP="007737EF">
      <w:pPr>
        <w:pStyle w:val="Heading2"/>
      </w:pPr>
      <w:bookmarkStart w:id="16" w:name="_Toc478652715"/>
      <w:r w:rsidRPr="007737EF">
        <w:t>Président et vice</w:t>
      </w:r>
      <w:r w:rsidRPr="007737EF">
        <w:noBreakHyphen/>
        <w:t>président du Conseil de l’UPOV</w:t>
      </w:r>
      <w:bookmarkEnd w:id="16"/>
    </w:p>
    <w:p w:rsidR="007737EF" w:rsidRPr="009A6348" w:rsidRDefault="007737EF" w:rsidP="007737EF">
      <w:pPr>
        <w:keepNext/>
        <w:autoSpaceDE w:val="0"/>
        <w:autoSpaceDN w:val="0"/>
        <w:adjustRightInd w:val="0"/>
        <w:jc w:val="left"/>
        <w:rPr>
          <w:rFonts w:cs="Arial"/>
        </w:rPr>
      </w:pPr>
    </w:p>
    <w:p w:rsidR="007737EF" w:rsidRPr="009A6348" w:rsidRDefault="007737EF" w:rsidP="007737EF">
      <w:pPr>
        <w:autoSpaceDE w:val="0"/>
        <w:autoSpaceDN w:val="0"/>
        <w:adjustRightInd w:val="0"/>
        <w:rPr>
          <w:rFonts w:cs="Arial"/>
        </w:rPr>
      </w:pPr>
      <w:r w:rsidRPr="009A6348">
        <w:rPr>
          <w:rFonts w:cs="Arial"/>
        </w:rPr>
        <w:fldChar w:fldCharType="begin"/>
      </w:r>
      <w:r w:rsidRPr="009A6348">
        <w:rPr>
          <w:rFonts w:cs="Arial"/>
        </w:rPr>
        <w:instrText xml:space="preserve"> AUTONUM  </w:instrText>
      </w:r>
      <w:r w:rsidRPr="009A6348">
        <w:rPr>
          <w:rFonts w:cs="Arial"/>
        </w:rPr>
        <w:fldChar w:fldCharType="end"/>
      </w:r>
      <w:r w:rsidRPr="009A6348">
        <w:rPr>
          <w:rFonts w:cs="Arial"/>
        </w:rPr>
        <w:tab/>
        <w:t xml:space="preserve">À sa </w:t>
      </w:r>
      <w:r w:rsidR="0049153F">
        <w:t>c</w:t>
      </w:r>
      <w:r w:rsidR="0049153F" w:rsidRPr="00FE4EEE">
        <w:t>inquantième session ordinaire</w:t>
      </w:r>
      <w:r w:rsidRPr="009A6348">
        <w:rPr>
          <w:rFonts w:cs="Arial"/>
        </w:rPr>
        <w:t>, le Conseil a élu, dans chaque cas pour un mandat de trois ans prenant fin avec la cinquante</w:t>
      </w:r>
      <w:r w:rsidRPr="009A6348">
        <w:rPr>
          <w:rFonts w:cs="Arial"/>
        </w:rPr>
        <w:noBreakHyphen/>
      </w:r>
      <w:r w:rsidR="0049153F" w:rsidRPr="0049153F">
        <w:rPr>
          <w:rFonts w:cs="Arial"/>
          <w:snapToGrid w:val="0"/>
        </w:rPr>
        <w:t xml:space="preserve"> </w:t>
      </w:r>
      <w:r w:rsidR="0049153F" w:rsidRPr="00FE4EEE">
        <w:rPr>
          <w:rFonts w:cs="Arial"/>
          <w:snapToGrid w:val="0"/>
        </w:rPr>
        <w:t>troisième </w:t>
      </w:r>
      <w:r w:rsidRPr="009A6348">
        <w:rPr>
          <w:rFonts w:cs="Arial"/>
        </w:rPr>
        <w:t>session ordinaire du Conseil, en 201</w:t>
      </w:r>
      <w:r w:rsidR="0049153F">
        <w:rPr>
          <w:rFonts w:cs="Arial"/>
        </w:rPr>
        <w:t>9</w:t>
      </w:r>
      <w:r w:rsidRPr="009A6348">
        <w:rPr>
          <w:rFonts w:cs="Arial"/>
        </w:rPr>
        <w:t> :</w:t>
      </w:r>
    </w:p>
    <w:p w:rsidR="007737EF" w:rsidRPr="009A6348" w:rsidRDefault="0049153F" w:rsidP="0049153F">
      <w:pPr>
        <w:tabs>
          <w:tab w:val="left" w:pos="1230"/>
        </w:tabs>
        <w:autoSpaceDE w:val="0"/>
        <w:autoSpaceDN w:val="0"/>
        <w:adjustRightInd w:val="0"/>
        <w:jc w:val="left"/>
        <w:rPr>
          <w:rFonts w:cs="Arial"/>
        </w:rPr>
      </w:pPr>
      <w:r>
        <w:rPr>
          <w:rFonts w:cs="Arial"/>
        </w:rPr>
        <w:tab/>
      </w:r>
    </w:p>
    <w:p w:rsidR="007737EF" w:rsidRPr="009A6348" w:rsidRDefault="007737EF" w:rsidP="007737EF">
      <w:pPr>
        <w:autoSpaceDE w:val="0"/>
        <w:autoSpaceDN w:val="0"/>
        <w:adjustRightInd w:val="0"/>
        <w:ind w:left="567"/>
        <w:jc w:val="left"/>
        <w:rPr>
          <w:rFonts w:cs="Arial"/>
        </w:rPr>
      </w:pPr>
      <w:r w:rsidRPr="009A6348">
        <w:rPr>
          <w:rFonts w:cs="Arial"/>
        </w:rPr>
        <w:t>a)</w:t>
      </w:r>
      <w:r w:rsidRPr="009A6348">
        <w:rPr>
          <w:rFonts w:cs="Arial"/>
        </w:rPr>
        <w:tab/>
      </w:r>
      <w:r w:rsidR="0049153F" w:rsidRPr="00FE4EEE">
        <w:t>M. Raimundo Lavignolle (Argentine), président du Conseil</w:t>
      </w:r>
      <w:r w:rsidRPr="009A6348">
        <w:rPr>
          <w:rFonts w:cs="Arial"/>
        </w:rPr>
        <w:t>;</w:t>
      </w:r>
    </w:p>
    <w:p w:rsidR="007737EF" w:rsidRPr="009A6348" w:rsidRDefault="007737EF" w:rsidP="007737EF">
      <w:pPr>
        <w:autoSpaceDE w:val="0"/>
        <w:autoSpaceDN w:val="0"/>
        <w:adjustRightInd w:val="0"/>
        <w:ind w:left="567"/>
        <w:jc w:val="left"/>
        <w:rPr>
          <w:rFonts w:cs="Arial"/>
        </w:rPr>
      </w:pPr>
      <w:r w:rsidRPr="009A6348">
        <w:rPr>
          <w:rFonts w:cs="Arial"/>
        </w:rPr>
        <w:t>b)</w:t>
      </w:r>
      <w:r w:rsidRPr="009A6348">
        <w:rPr>
          <w:rFonts w:cs="Arial"/>
        </w:rPr>
        <w:tab/>
      </w:r>
      <w:r w:rsidR="0049153F" w:rsidRPr="00FE4EEE">
        <w:t>M. Marien Valstar (Pays</w:t>
      </w:r>
      <w:r w:rsidR="0049153F" w:rsidRPr="00FE4EEE">
        <w:noBreakHyphen/>
        <w:t>Bas), vice</w:t>
      </w:r>
      <w:r w:rsidR="0049153F" w:rsidRPr="00FE4EEE">
        <w:noBreakHyphen/>
        <w:t>président du Conseil</w:t>
      </w:r>
      <w:r w:rsidRPr="009A6348">
        <w:rPr>
          <w:rFonts w:cs="Arial"/>
        </w:rPr>
        <w:t>.</w:t>
      </w:r>
    </w:p>
    <w:p w:rsidR="007737EF" w:rsidRDefault="007737EF" w:rsidP="007737EF">
      <w:pPr>
        <w:autoSpaceDE w:val="0"/>
        <w:autoSpaceDN w:val="0"/>
        <w:adjustRightInd w:val="0"/>
        <w:jc w:val="left"/>
        <w:rPr>
          <w:rFonts w:cs="Arial"/>
        </w:rPr>
      </w:pPr>
    </w:p>
    <w:p w:rsidR="0049153F" w:rsidRPr="0049153F" w:rsidRDefault="0049153F" w:rsidP="0049153F">
      <w:pPr>
        <w:pStyle w:val="Heading2"/>
      </w:pPr>
      <w:bookmarkStart w:id="17" w:name="_Toc478652716"/>
      <w:r w:rsidRPr="0049153F">
        <w:t>Président et vice-président du Comité administratif et juridique</w:t>
      </w:r>
      <w:bookmarkEnd w:id="17"/>
    </w:p>
    <w:p w:rsidR="0049153F" w:rsidRDefault="0049153F" w:rsidP="007737EF">
      <w:pPr>
        <w:autoSpaceDE w:val="0"/>
        <w:autoSpaceDN w:val="0"/>
        <w:adjustRightInd w:val="0"/>
        <w:jc w:val="left"/>
        <w:rPr>
          <w:rFonts w:cs="Arial"/>
        </w:rPr>
      </w:pPr>
    </w:p>
    <w:p w:rsidR="0049153F" w:rsidRPr="009A6348" w:rsidRDefault="0049153F" w:rsidP="0049153F">
      <w:pPr>
        <w:autoSpaceDE w:val="0"/>
        <w:autoSpaceDN w:val="0"/>
        <w:adjustRightInd w:val="0"/>
        <w:rPr>
          <w:rFonts w:cs="Arial"/>
        </w:rPr>
      </w:pPr>
      <w:r w:rsidRPr="009A6348">
        <w:rPr>
          <w:rFonts w:cs="Arial"/>
        </w:rPr>
        <w:fldChar w:fldCharType="begin"/>
      </w:r>
      <w:r w:rsidRPr="009A6348">
        <w:rPr>
          <w:rFonts w:cs="Arial"/>
        </w:rPr>
        <w:instrText xml:space="preserve"> AUTONUM  </w:instrText>
      </w:r>
      <w:r w:rsidRPr="009A6348">
        <w:rPr>
          <w:rFonts w:cs="Arial"/>
        </w:rPr>
        <w:fldChar w:fldCharType="end"/>
      </w:r>
      <w:r w:rsidRPr="009A6348">
        <w:rPr>
          <w:rFonts w:cs="Arial"/>
        </w:rPr>
        <w:tab/>
        <w:t xml:space="preserve">À sa </w:t>
      </w:r>
      <w:r>
        <w:t>c</w:t>
      </w:r>
      <w:r w:rsidRPr="00FE4EEE">
        <w:t>inquantième session ordinaire</w:t>
      </w:r>
      <w:r w:rsidRPr="009A6348">
        <w:rPr>
          <w:rFonts w:cs="Arial"/>
        </w:rPr>
        <w:t>, le Conseil a élu, dans chaque cas pour un mandat de trois ans prenant fin avec la cinquante</w:t>
      </w:r>
      <w:r w:rsidRPr="009A6348">
        <w:rPr>
          <w:rFonts w:cs="Arial"/>
        </w:rPr>
        <w:noBreakHyphen/>
      </w:r>
      <w:r w:rsidRPr="0049153F">
        <w:rPr>
          <w:rFonts w:cs="Arial"/>
          <w:snapToGrid w:val="0"/>
        </w:rPr>
        <w:t xml:space="preserve"> </w:t>
      </w:r>
      <w:r w:rsidRPr="00FE4EEE">
        <w:rPr>
          <w:rFonts w:cs="Arial"/>
          <w:snapToGrid w:val="0"/>
        </w:rPr>
        <w:t>troisième </w:t>
      </w:r>
      <w:r w:rsidRPr="009A6348">
        <w:rPr>
          <w:rFonts w:cs="Arial"/>
        </w:rPr>
        <w:t>session ordinaire du Conseil, en 201</w:t>
      </w:r>
      <w:r>
        <w:rPr>
          <w:rFonts w:cs="Arial"/>
        </w:rPr>
        <w:t>9</w:t>
      </w:r>
      <w:r w:rsidRPr="009A6348">
        <w:rPr>
          <w:rFonts w:cs="Arial"/>
        </w:rPr>
        <w:t> :</w:t>
      </w:r>
    </w:p>
    <w:p w:rsidR="0049153F" w:rsidRPr="009A6348" w:rsidRDefault="0049153F" w:rsidP="0049153F">
      <w:pPr>
        <w:tabs>
          <w:tab w:val="left" w:pos="1230"/>
        </w:tabs>
        <w:autoSpaceDE w:val="0"/>
        <w:autoSpaceDN w:val="0"/>
        <w:adjustRightInd w:val="0"/>
        <w:jc w:val="left"/>
        <w:rPr>
          <w:rFonts w:cs="Arial"/>
        </w:rPr>
      </w:pPr>
      <w:r>
        <w:rPr>
          <w:rFonts w:cs="Arial"/>
        </w:rPr>
        <w:tab/>
      </w:r>
    </w:p>
    <w:p w:rsidR="0049153F" w:rsidRPr="009A6348" w:rsidRDefault="0049153F" w:rsidP="0049153F">
      <w:pPr>
        <w:autoSpaceDE w:val="0"/>
        <w:autoSpaceDN w:val="0"/>
        <w:adjustRightInd w:val="0"/>
        <w:ind w:left="567"/>
        <w:jc w:val="left"/>
        <w:rPr>
          <w:rFonts w:cs="Arial"/>
        </w:rPr>
      </w:pPr>
      <w:r w:rsidRPr="009A6348">
        <w:rPr>
          <w:rFonts w:cs="Arial"/>
        </w:rPr>
        <w:t>a)</w:t>
      </w:r>
      <w:r w:rsidRPr="009A6348">
        <w:rPr>
          <w:rFonts w:cs="Arial"/>
        </w:rPr>
        <w:tab/>
      </w:r>
      <w:r w:rsidRPr="00FE4EEE">
        <w:t>M. </w:t>
      </w:r>
      <w:r w:rsidRPr="00FB34A2">
        <w:t>Anthony Parker (Canada)</w:t>
      </w:r>
      <w:r w:rsidRPr="00FE4EEE">
        <w:t xml:space="preserve">, </w:t>
      </w:r>
      <w:r w:rsidRPr="0037638B">
        <w:rPr>
          <w:rFonts w:cs="Arial"/>
          <w:sz w:val="19"/>
          <w:szCs w:val="19"/>
        </w:rPr>
        <w:t>président du Comité administratif et juridique</w:t>
      </w:r>
      <w:r w:rsidRPr="009A6348">
        <w:rPr>
          <w:rFonts w:cs="Arial"/>
        </w:rPr>
        <w:t>;</w:t>
      </w:r>
    </w:p>
    <w:p w:rsidR="0049153F" w:rsidRDefault="0049153F" w:rsidP="0037638B">
      <w:pPr>
        <w:autoSpaceDE w:val="0"/>
        <w:autoSpaceDN w:val="0"/>
        <w:adjustRightInd w:val="0"/>
        <w:ind w:left="1134" w:hanging="567"/>
        <w:jc w:val="left"/>
        <w:rPr>
          <w:rFonts w:cs="Arial"/>
          <w:sz w:val="19"/>
          <w:szCs w:val="19"/>
        </w:rPr>
      </w:pPr>
      <w:r w:rsidRPr="009A6348">
        <w:rPr>
          <w:rFonts w:cs="Arial"/>
        </w:rPr>
        <w:t>b)</w:t>
      </w:r>
      <w:r w:rsidRPr="009A6348">
        <w:rPr>
          <w:rFonts w:cs="Arial"/>
        </w:rPr>
        <w:tab/>
      </w:r>
      <w:r w:rsidRPr="00FE4EEE">
        <w:t>M. </w:t>
      </w:r>
      <w:r w:rsidRPr="00B03035">
        <w:rPr>
          <w:spacing w:val="-4"/>
        </w:rPr>
        <w:t xml:space="preserve">Patrick </w:t>
      </w:r>
      <w:proofErr w:type="spellStart"/>
      <w:r w:rsidRPr="00B03035">
        <w:rPr>
          <w:spacing w:val="-4"/>
        </w:rPr>
        <w:t>Ngwediagi</w:t>
      </w:r>
      <w:proofErr w:type="spellEnd"/>
      <w:r w:rsidRPr="00B03035">
        <w:rPr>
          <w:spacing w:val="-4"/>
        </w:rPr>
        <w:t xml:space="preserve"> (</w:t>
      </w:r>
      <w:r w:rsidR="0037638B" w:rsidRPr="0037638B">
        <w:rPr>
          <w:spacing w:val="-4"/>
        </w:rPr>
        <w:t>République Unie de Tanzanie</w:t>
      </w:r>
      <w:r w:rsidRPr="00B03035">
        <w:rPr>
          <w:spacing w:val="-4"/>
        </w:rPr>
        <w:t>)</w:t>
      </w:r>
      <w:r w:rsidRPr="00FE4EEE">
        <w:t xml:space="preserve">, </w:t>
      </w:r>
      <w:r w:rsidR="0037638B" w:rsidRPr="0037638B">
        <w:rPr>
          <w:rFonts w:cs="Arial"/>
          <w:sz w:val="19"/>
          <w:szCs w:val="19"/>
        </w:rPr>
        <w:t>vice-président du Comité administratif et juridique</w:t>
      </w:r>
      <w:r w:rsidR="0037638B">
        <w:rPr>
          <w:rFonts w:cs="Arial"/>
          <w:sz w:val="19"/>
          <w:szCs w:val="19"/>
        </w:rPr>
        <w:t>.</w:t>
      </w:r>
    </w:p>
    <w:p w:rsidR="00B2547F" w:rsidRDefault="00B2547F" w:rsidP="0049153F">
      <w:pPr>
        <w:autoSpaceDE w:val="0"/>
        <w:autoSpaceDN w:val="0"/>
        <w:adjustRightInd w:val="0"/>
        <w:jc w:val="left"/>
        <w:rPr>
          <w:rFonts w:cs="Arial"/>
          <w:sz w:val="19"/>
          <w:szCs w:val="19"/>
        </w:rPr>
      </w:pPr>
      <w:r>
        <w:rPr>
          <w:rFonts w:cs="Arial"/>
          <w:sz w:val="19"/>
          <w:szCs w:val="19"/>
        </w:rPr>
        <w:br w:type="page"/>
      </w:r>
    </w:p>
    <w:p w:rsidR="0037638B" w:rsidRPr="0049153F" w:rsidRDefault="0037638B" w:rsidP="0037638B">
      <w:pPr>
        <w:pStyle w:val="Heading2"/>
      </w:pPr>
      <w:bookmarkStart w:id="18" w:name="_Toc478652717"/>
      <w:r w:rsidRPr="0049153F">
        <w:lastRenderedPageBreak/>
        <w:t xml:space="preserve">Président et vice-président du </w:t>
      </w:r>
      <w:r w:rsidRPr="0037638B">
        <w:t>Comité technique</w:t>
      </w:r>
      <w:bookmarkEnd w:id="18"/>
    </w:p>
    <w:p w:rsidR="0037638B" w:rsidRDefault="0037638B" w:rsidP="0049153F">
      <w:pPr>
        <w:autoSpaceDE w:val="0"/>
        <w:autoSpaceDN w:val="0"/>
        <w:adjustRightInd w:val="0"/>
        <w:jc w:val="left"/>
        <w:rPr>
          <w:rFonts w:cs="Arial"/>
          <w:sz w:val="19"/>
          <w:szCs w:val="19"/>
        </w:rPr>
      </w:pPr>
    </w:p>
    <w:p w:rsidR="0037638B" w:rsidRPr="009A6348" w:rsidRDefault="0037638B" w:rsidP="0037638B">
      <w:pPr>
        <w:autoSpaceDE w:val="0"/>
        <w:autoSpaceDN w:val="0"/>
        <w:adjustRightInd w:val="0"/>
        <w:rPr>
          <w:rFonts w:cs="Arial"/>
        </w:rPr>
      </w:pPr>
      <w:r w:rsidRPr="009A6348">
        <w:rPr>
          <w:rFonts w:cs="Arial"/>
        </w:rPr>
        <w:fldChar w:fldCharType="begin"/>
      </w:r>
      <w:r w:rsidRPr="009A6348">
        <w:rPr>
          <w:rFonts w:cs="Arial"/>
        </w:rPr>
        <w:instrText xml:space="preserve"> AUTONUM  </w:instrText>
      </w:r>
      <w:r w:rsidRPr="009A6348">
        <w:rPr>
          <w:rFonts w:cs="Arial"/>
        </w:rPr>
        <w:fldChar w:fldCharType="end"/>
      </w:r>
      <w:r w:rsidRPr="009A6348">
        <w:rPr>
          <w:rFonts w:cs="Arial"/>
        </w:rPr>
        <w:tab/>
        <w:t xml:space="preserve">À sa </w:t>
      </w:r>
      <w:r>
        <w:t>c</w:t>
      </w:r>
      <w:r w:rsidRPr="00FE4EEE">
        <w:t>inquantième session ordinaire</w:t>
      </w:r>
      <w:r w:rsidRPr="009A6348">
        <w:rPr>
          <w:rFonts w:cs="Arial"/>
        </w:rPr>
        <w:t>, le Conseil a élu, dans chaque cas pour un mandat de trois ans prenant fin avec la cinquante</w:t>
      </w:r>
      <w:r w:rsidRPr="009A6348">
        <w:rPr>
          <w:rFonts w:cs="Arial"/>
        </w:rPr>
        <w:noBreakHyphen/>
      </w:r>
      <w:r w:rsidRPr="0049153F">
        <w:rPr>
          <w:rFonts w:cs="Arial"/>
          <w:snapToGrid w:val="0"/>
        </w:rPr>
        <w:t xml:space="preserve"> </w:t>
      </w:r>
      <w:r w:rsidRPr="00FE4EEE">
        <w:rPr>
          <w:rFonts w:cs="Arial"/>
          <w:snapToGrid w:val="0"/>
        </w:rPr>
        <w:t>troisième </w:t>
      </w:r>
      <w:r w:rsidRPr="009A6348">
        <w:rPr>
          <w:rFonts w:cs="Arial"/>
        </w:rPr>
        <w:t>session ordinaire du Conseil, en 201</w:t>
      </w:r>
      <w:r>
        <w:rPr>
          <w:rFonts w:cs="Arial"/>
        </w:rPr>
        <w:t>9</w:t>
      </w:r>
      <w:r w:rsidRPr="009A6348">
        <w:rPr>
          <w:rFonts w:cs="Arial"/>
        </w:rPr>
        <w:t> :</w:t>
      </w:r>
    </w:p>
    <w:p w:rsidR="0037638B" w:rsidRPr="009A6348" w:rsidRDefault="0037638B" w:rsidP="0037638B">
      <w:pPr>
        <w:tabs>
          <w:tab w:val="left" w:pos="1230"/>
        </w:tabs>
        <w:autoSpaceDE w:val="0"/>
        <w:autoSpaceDN w:val="0"/>
        <w:adjustRightInd w:val="0"/>
        <w:jc w:val="left"/>
        <w:rPr>
          <w:rFonts w:cs="Arial"/>
        </w:rPr>
      </w:pPr>
      <w:r>
        <w:rPr>
          <w:rFonts w:cs="Arial"/>
        </w:rPr>
        <w:tab/>
      </w:r>
    </w:p>
    <w:p w:rsidR="0037638B" w:rsidRPr="0037638B" w:rsidRDefault="0037638B" w:rsidP="0037638B">
      <w:pPr>
        <w:autoSpaceDE w:val="0"/>
        <w:autoSpaceDN w:val="0"/>
        <w:adjustRightInd w:val="0"/>
        <w:ind w:left="567"/>
        <w:jc w:val="left"/>
        <w:rPr>
          <w:rFonts w:cs="Arial"/>
        </w:rPr>
      </w:pPr>
      <w:r w:rsidRPr="009A6348">
        <w:rPr>
          <w:rFonts w:cs="Arial"/>
        </w:rPr>
        <w:t>a)</w:t>
      </w:r>
      <w:r w:rsidRPr="009A6348">
        <w:rPr>
          <w:rFonts w:cs="Arial"/>
        </w:rPr>
        <w:tab/>
      </w:r>
      <w:r w:rsidRPr="0037638B">
        <w:t>Mr. Kees van Ettekoven</w:t>
      </w:r>
      <w:r w:rsidRPr="00FB34A2">
        <w:t xml:space="preserve"> (</w:t>
      </w:r>
      <w:r w:rsidRPr="009A6348">
        <w:rPr>
          <w:rFonts w:cs="Arial"/>
        </w:rPr>
        <w:t>Pays</w:t>
      </w:r>
      <w:r w:rsidRPr="009A6348">
        <w:rPr>
          <w:rFonts w:cs="Arial"/>
        </w:rPr>
        <w:noBreakHyphen/>
        <w:t>Bas</w:t>
      </w:r>
      <w:r w:rsidRPr="00FB34A2">
        <w:t>)</w:t>
      </w:r>
      <w:r w:rsidRPr="00FE4EEE">
        <w:t xml:space="preserve">, </w:t>
      </w:r>
      <w:r w:rsidRPr="0037638B">
        <w:rPr>
          <w:rFonts w:cs="Arial"/>
          <w:sz w:val="19"/>
          <w:szCs w:val="19"/>
        </w:rPr>
        <w:t>président du Comité technique; et</w:t>
      </w:r>
    </w:p>
    <w:p w:rsidR="0037638B" w:rsidRPr="0037638B" w:rsidRDefault="0037638B" w:rsidP="0037638B">
      <w:pPr>
        <w:autoSpaceDE w:val="0"/>
        <w:autoSpaceDN w:val="0"/>
        <w:adjustRightInd w:val="0"/>
        <w:ind w:left="567"/>
        <w:jc w:val="left"/>
        <w:rPr>
          <w:rFonts w:cs="Arial"/>
        </w:rPr>
      </w:pPr>
      <w:r w:rsidRPr="009A6348">
        <w:rPr>
          <w:rFonts w:cs="Arial"/>
        </w:rPr>
        <w:t>b)</w:t>
      </w:r>
      <w:r w:rsidRPr="009A6348">
        <w:rPr>
          <w:rFonts w:cs="Arial"/>
        </w:rPr>
        <w:tab/>
      </w:r>
      <w:r>
        <w:t>Mr. Nik Hulse (Australie)</w:t>
      </w:r>
      <w:r w:rsidRPr="00FE4EEE">
        <w:t xml:space="preserve">, </w:t>
      </w:r>
      <w:r w:rsidRPr="0037638B">
        <w:rPr>
          <w:rFonts w:cs="Arial"/>
          <w:sz w:val="19"/>
          <w:szCs w:val="19"/>
        </w:rPr>
        <w:t>vice-président du Comité technique</w:t>
      </w:r>
      <w:r>
        <w:rPr>
          <w:rFonts w:cs="Arial"/>
          <w:sz w:val="19"/>
          <w:szCs w:val="19"/>
        </w:rPr>
        <w:t>.</w:t>
      </w:r>
    </w:p>
    <w:p w:rsidR="0049153F" w:rsidRDefault="0049153F" w:rsidP="007737EF">
      <w:pPr>
        <w:autoSpaceDE w:val="0"/>
        <w:autoSpaceDN w:val="0"/>
        <w:adjustRightInd w:val="0"/>
        <w:jc w:val="left"/>
        <w:rPr>
          <w:rFonts w:cs="Arial"/>
        </w:rPr>
      </w:pPr>
    </w:p>
    <w:p w:rsidR="007737EF" w:rsidRPr="007737EF" w:rsidRDefault="007737EF" w:rsidP="007737EF">
      <w:pPr>
        <w:pStyle w:val="Heading2"/>
      </w:pPr>
      <w:bookmarkStart w:id="19" w:name="_Toc478652718"/>
      <w:r w:rsidRPr="007737EF">
        <w:t>Calendrier des réunions</w:t>
      </w:r>
      <w:bookmarkEnd w:id="19"/>
    </w:p>
    <w:p w:rsidR="007737EF" w:rsidRPr="009A6348" w:rsidRDefault="007737EF" w:rsidP="007737EF">
      <w:pPr>
        <w:rPr>
          <w:rFonts w:cs="Arial"/>
        </w:rPr>
      </w:pPr>
    </w:p>
    <w:p w:rsidR="00787EFC" w:rsidRDefault="007737EF" w:rsidP="007737EF">
      <w:pPr>
        <w:rPr>
          <w:rFonts w:eastAsia="MS Mincho" w:cs="Arial"/>
          <w:lang w:eastAsia="ja-JP"/>
        </w:rPr>
      </w:pPr>
      <w:r w:rsidRPr="009A6348">
        <w:fldChar w:fldCharType="begin"/>
      </w:r>
      <w:r w:rsidRPr="009A6348">
        <w:instrText xml:space="preserve"> AUTONUM  </w:instrText>
      </w:r>
      <w:r w:rsidRPr="009A6348">
        <w:fldChar w:fldCharType="end"/>
      </w:r>
      <w:r w:rsidRPr="009A6348">
        <w:tab/>
      </w:r>
      <w:r w:rsidR="00787EFC" w:rsidRPr="00B2547F">
        <w:t xml:space="preserve">Les </w:t>
      </w:r>
      <w:r w:rsidR="00787EFC" w:rsidRPr="00B2547F">
        <w:rPr>
          <w:rFonts w:cs="Arial"/>
          <w:snapToGrid w:val="0"/>
        </w:rPr>
        <w:t xml:space="preserve">faits nouveaux </w:t>
      </w:r>
      <w:r w:rsidR="00070FFC" w:rsidRPr="00B2547F">
        <w:rPr>
          <w:rFonts w:cs="Arial"/>
          <w:snapToGrid w:val="0"/>
        </w:rPr>
        <w:t xml:space="preserve">intervenus </w:t>
      </w:r>
      <w:r w:rsidR="00787EFC" w:rsidRPr="00B2547F">
        <w:t xml:space="preserve">concernant l’organisation des réunions de l’UPOV sont présentés dans le document TC/53/14 </w:t>
      </w:r>
      <w:r w:rsidR="00787EFC" w:rsidRPr="00B2547F">
        <w:rPr>
          <w:rFonts w:eastAsia="MS Mincho" w:cs="Arial"/>
          <w:lang w:eastAsia="ja-JP"/>
        </w:rPr>
        <w:t>“</w:t>
      </w:r>
      <w:r w:rsidR="00787EFC" w:rsidRPr="00B2547F">
        <w:t>Organisation des sessions de l’UPOV</w:t>
      </w:r>
      <w:r w:rsidR="00787EFC" w:rsidRPr="00B2547F">
        <w:rPr>
          <w:rFonts w:eastAsia="MS Mincho" w:cs="Arial"/>
          <w:lang w:eastAsia="ja-JP"/>
        </w:rPr>
        <w:t>”.</w:t>
      </w:r>
    </w:p>
    <w:p w:rsidR="00787EFC" w:rsidRDefault="00787EFC" w:rsidP="007737EF">
      <w:pPr>
        <w:rPr>
          <w:rFonts w:eastAsia="MS Mincho" w:cs="Arial"/>
          <w:lang w:eastAsia="ja-JP"/>
        </w:rPr>
      </w:pPr>
    </w:p>
    <w:p w:rsidR="00787EFC" w:rsidRDefault="00787EFC" w:rsidP="007737EF">
      <w:r>
        <w:rPr>
          <w:rFonts w:eastAsia="MS Mincho" w:cs="Arial"/>
          <w:lang w:eastAsia="ja-JP"/>
        </w:rPr>
        <w:t>Le calendrier des réunions en 2017 est le suivant :</w:t>
      </w:r>
    </w:p>
    <w:p w:rsidR="00787EFC" w:rsidRDefault="00787EFC" w:rsidP="007737EF"/>
    <w:p w:rsidR="00787EFC" w:rsidRPr="00787EFC" w:rsidRDefault="00787EFC" w:rsidP="00787EFC">
      <w:pPr>
        <w:ind w:firstLine="567"/>
        <w:rPr>
          <w:rFonts w:cs="Arial"/>
          <w:i/>
        </w:rPr>
      </w:pPr>
      <w:r w:rsidRPr="00787EFC">
        <w:rPr>
          <w:rFonts w:cs="Arial"/>
          <w:i/>
        </w:rPr>
        <w:t>Conseil</w:t>
      </w:r>
    </w:p>
    <w:p w:rsidR="00787EFC" w:rsidRPr="002F59BF" w:rsidRDefault="00787EFC" w:rsidP="00787EFC">
      <w:pPr>
        <w:tabs>
          <w:tab w:val="left" w:pos="567"/>
        </w:tabs>
        <w:ind w:left="1985" w:hanging="1985"/>
        <w:rPr>
          <w:szCs w:val="24"/>
        </w:rPr>
      </w:pPr>
      <w:r w:rsidRPr="002F59BF">
        <w:rPr>
          <w:szCs w:val="24"/>
        </w:rPr>
        <w:tab/>
      </w:r>
      <w:proofErr w:type="gramStart"/>
      <w:r w:rsidRPr="002F59BF">
        <w:rPr>
          <w:szCs w:val="24"/>
        </w:rPr>
        <w:t>C(</w:t>
      </w:r>
      <w:proofErr w:type="spellStart"/>
      <w:proofErr w:type="gramEnd"/>
      <w:r w:rsidRPr="002F59BF">
        <w:rPr>
          <w:szCs w:val="24"/>
        </w:rPr>
        <w:t>Extr</w:t>
      </w:r>
      <w:proofErr w:type="spellEnd"/>
      <w:r w:rsidRPr="002F59BF">
        <w:rPr>
          <w:szCs w:val="24"/>
        </w:rPr>
        <w:t>.)/34</w:t>
      </w:r>
      <w:r w:rsidRPr="002F59BF">
        <w:rPr>
          <w:szCs w:val="24"/>
        </w:rPr>
        <w:tab/>
      </w:r>
      <w:r>
        <w:rPr>
          <w:szCs w:val="24"/>
        </w:rPr>
        <w:t>6</w:t>
      </w:r>
      <w:r w:rsidRPr="002F59BF">
        <w:rPr>
          <w:szCs w:val="24"/>
        </w:rPr>
        <w:t> avril (après-midi) (session extraordinaire)</w:t>
      </w:r>
    </w:p>
    <w:p w:rsidR="00787EFC" w:rsidRPr="002F59BF" w:rsidRDefault="00787EFC" w:rsidP="00787EFC">
      <w:pPr>
        <w:tabs>
          <w:tab w:val="left" w:pos="567"/>
        </w:tabs>
        <w:ind w:left="1985" w:hanging="1985"/>
        <w:rPr>
          <w:szCs w:val="24"/>
        </w:rPr>
      </w:pPr>
      <w:r w:rsidRPr="002F59BF">
        <w:rPr>
          <w:szCs w:val="24"/>
        </w:rPr>
        <w:tab/>
        <w:t>C/51</w:t>
      </w:r>
      <w:r w:rsidRPr="002F59BF">
        <w:rPr>
          <w:szCs w:val="24"/>
        </w:rPr>
        <w:tab/>
        <w:t>26 octobre</w:t>
      </w:r>
    </w:p>
    <w:p w:rsidR="00787EFC" w:rsidRPr="002F59BF" w:rsidRDefault="00787EFC" w:rsidP="00787EFC">
      <w:pPr>
        <w:spacing w:after="60"/>
        <w:ind w:left="1701" w:hanging="1701"/>
      </w:pPr>
    </w:p>
    <w:p w:rsidR="00787EFC" w:rsidRPr="00787EFC" w:rsidRDefault="00787EFC" w:rsidP="00787EFC">
      <w:pPr>
        <w:ind w:left="1701" w:hanging="1134"/>
        <w:rPr>
          <w:rFonts w:cs="Arial"/>
          <w:i/>
        </w:rPr>
      </w:pPr>
      <w:r w:rsidRPr="00787EFC">
        <w:rPr>
          <w:rFonts w:cs="Arial"/>
          <w:i/>
        </w:rPr>
        <w:t>Comité consultatif</w:t>
      </w:r>
    </w:p>
    <w:p w:rsidR="00787EFC" w:rsidRPr="002F59BF" w:rsidRDefault="00787EFC" w:rsidP="00787EFC">
      <w:pPr>
        <w:tabs>
          <w:tab w:val="left" w:pos="567"/>
        </w:tabs>
        <w:ind w:left="1985" w:hanging="1985"/>
        <w:rPr>
          <w:szCs w:val="24"/>
        </w:rPr>
      </w:pPr>
      <w:r w:rsidRPr="002F59BF">
        <w:rPr>
          <w:szCs w:val="24"/>
        </w:rPr>
        <w:tab/>
        <w:t>CC/93</w:t>
      </w:r>
      <w:r w:rsidRPr="002F59BF">
        <w:rPr>
          <w:szCs w:val="24"/>
        </w:rPr>
        <w:tab/>
      </w:r>
      <w:r>
        <w:rPr>
          <w:szCs w:val="24"/>
        </w:rPr>
        <w:t>6</w:t>
      </w:r>
      <w:r w:rsidRPr="002F59BF">
        <w:rPr>
          <w:szCs w:val="24"/>
        </w:rPr>
        <w:t> avril (matin)</w:t>
      </w:r>
    </w:p>
    <w:p w:rsidR="00787EFC" w:rsidRPr="00116A9F" w:rsidRDefault="00787EFC" w:rsidP="00787EFC">
      <w:pPr>
        <w:tabs>
          <w:tab w:val="left" w:pos="567"/>
        </w:tabs>
        <w:ind w:left="1985"/>
        <w:jc w:val="left"/>
        <w:rPr>
          <w:szCs w:val="24"/>
        </w:rPr>
      </w:pPr>
      <w:r w:rsidRPr="00116A9F">
        <w:rPr>
          <w:szCs w:val="24"/>
        </w:rPr>
        <w:t>(Groupe de travail sur un éventuel système international de coopération (WG-ISC/2)</w:t>
      </w:r>
      <w:proofErr w:type="gramStart"/>
      <w:r w:rsidRPr="00116A9F">
        <w:rPr>
          <w:szCs w:val="24"/>
        </w:rPr>
        <w:t xml:space="preserve">:  </w:t>
      </w:r>
      <w:proofErr w:type="gramEnd"/>
      <w:r w:rsidRPr="00116A9F">
        <w:rPr>
          <w:szCs w:val="24"/>
        </w:rPr>
        <w:br/>
        <w:t>5 avril (après-midi))</w:t>
      </w:r>
    </w:p>
    <w:p w:rsidR="00787EFC" w:rsidRPr="002F59BF" w:rsidRDefault="00787EFC" w:rsidP="00787EFC">
      <w:pPr>
        <w:tabs>
          <w:tab w:val="left" w:pos="567"/>
        </w:tabs>
        <w:ind w:left="1985" w:hanging="1985"/>
        <w:rPr>
          <w:szCs w:val="24"/>
        </w:rPr>
      </w:pPr>
      <w:r w:rsidRPr="002F59BF">
        <w:rPr>
          <w:szCs w:val="24"/>
        </w:rPr>
        <w:tab/>
        <w:t>CC/94</w:t>
      </w:r>
      <w:r w:rsidRPr="002F59BF">
        <w:rPr>
          <w:szCs w:val="24"/>
        </w:rPr>
        <w:tab/>
        <w:t>25 octobre</w:t>
      </w:r>
    </w:p>
    <w:p w:rsidR="00787EFC" w:rsidRPr="002F59BF" w:rsidRDefault="00787EFC" w:rsidP="00787EFC">
      <w:pPr>
        <w:spacing w:after="60"/>
        <w:ind w:left="1701" w:hanging="1701"/>
      </w:pPr>
    </w:p>
    <w:p w:rsidR="00787EFC" w:rsidRPr="00787EFC" w:rsidRDefault="00787EFC" w:rsidP="00787EFC">
      <w:pPr>
        <w:ind w:left="1701" w:hanging="1134"/>
        <w:rPr>
          <w:rFonts w:cs="Arial"/>
          <w:i/>
        </w:rPr>
      </w:pPr>
      <w:r w:rsidRPr="00787EFC">
        <w:rPr>
          <w:rFonts w:cs="Arial"/>
          <w:i/>
        </w:rPr>
        <w:t>Comité administratif et juridique</w:t>
      </w:r>
    </w:p>
    <w:p w:rsidR="00787EFC" w:rsidRDefault="00787EFC" w:rsidP="00787EFC">
      <w:pPr>
        <w:tabs>
          <w:tab w:val="left" w:pos="567"/>
        </w:tabs>
        <w:ind w:left="1985" w:hanging="1985"/>
        <w:rPr>
          <w:szCs w:val="24"/>
        </w:rPr>
      </w:pPr>
      <w:r w:rsidRPr="002F59BF">
        <w:rPr>
          <w:szCs w:val="24"/>
        </w:rPr>
        <w:tab/>
        <w:t>CAJ/7</w:t>
      </w:r>
      <w:r>
        <w:rPr>
          <w:szCs w:val="24"/>
        </w:rPr>
        <w:t>4</w:t>
      </w:r>
      <w:r w:rsidRPr="002F59BF">
        <w:rPr>
          <w:szCs w:val="24"/>
        </w:rPr>
        <w:tab/>
        <w:t>23 et 24 octobre</w:t>
      </w:r>
    </w:p>
    <w:p w:rsidR="00787EFC" w:rsidRPr="00116A9F" w:rsidRDefault="00787EFC" w:rsidP="00787EFC">
      <w:pPr>
        <w:tabs>
          <w:tab w:val="left" w:pos="567"/>
        </w:tabs>
        <w:ind w:left="1985"/>
        <w:rPr>
          <w:szCs w:val="24"/>
        </w:rPr>
      </w:pPr>
      <w:r w:rsidRPr="00116A9F">
        <w:rPr>
          <w:szCs w:val="24"/>
        </w:rPr>
        <w:t>(Groupe de travail sur les dénominations variétales (WG-DEN/3)</w:t>
      </w:r>
      <w:proofErr w:type="gramStart"/>
      <w:r w:rsidRPr="00116A9F">
        <w:rPr>
          <w:szCs w:val="24"/>
        </w:rPr>
        <w:t>:  7</w:t>
      </w:r>
      <w:proofErr w:type="gramEnd"/>
      <w:r w:rsidRPr="00116A9F">
        <w:rPr>
          <w:szCs w:val="24"/>
        </w:rPr>
        <w:t xml:space="preserve"> avril (matin))</w:t>
      </w:r>
    </w:p>
    <w:p w:rsidR="00787EFC" w:rsidRPr="00116A9F" w:rsidRDefault="00787EFC" w:rsidP="00787EFC">
      <w:pPr>
        <w:tabs>
          <w:tab w:val="left" w:pos="567"/>
        </w:tabs>
        <w:ind w:left="1985"/>
        <w:jc w:val="left"/>
        <w:rPr>
          <w:szCs w:val="24"/>
        </w:rPr>
      </w:pPr>
      <w:r w:rsidRPr="00116A9F">
        <w:rPr>
          <w:szCs w:val="24"/>
        </w:rPr>
        <w:t>(Réunion sur l’élaboration d’un prototype de formulaire électronique (EAF/9): 7 avril (après-midi))</w:t>
      </w:r>
    </w:p>
    <w:p w:rsidR="00787EFC" w:rsidRPr="002F59BF" w:rsidRDefault="00787EFC" w:rsidP="00787EFC">
      <w:pPr>
        <w:ind w:left="1985" w:hanging="1985"/>
      </w:pPr>
    </w:p>
    <w:p w:rsidR="00787EFC" w:rsidRPr="00787EFC" w:rsidRDefault="00787EFC" w:rsidP="00787EFC">
      <w:pPr>
        <w:ind w:left="1701" w:hanging="1134"/>
        <w:rPr>
          <w:rFonts w:cs="Arial"/>
          <w:i/>
        </w:rPr>
      </w:pPr>
      <w:r w:rsidRPr="00787EFC">
        <w:rPr>
          <w:rFonts w:cs="Arial"/>
          <w:i/>
        </w:rPr>
        <w:t>Comité technique</w:t>
      </w:r>
    </w:p>
    <w:p w:rsidR="00787EFC" w:rsidRPr="002F59BF" w:rsidRDefault="00787EFC" w:rsidP="00787EFC">
      <w:pPr>
        <w:tabs>
          <w:tab w:val="left" w:pos="567"/>
        </w:tabs>
        <w:ind w:left="1985" w:hanging="1985"/>
        <w:rPr>
          <w:szCs w:val="24"/>
        </w:rPr>
      </w:pPr>
      <w:r w:rsidRPr="002F59BF">
        <w:rPr>
          <w:szCs w:val="24"/>
        </w:rPr>
        <w:tab/>
        <w:t>TC/53</w:t>
      </w:r>
      <w:r w:rsidRPr="002F59BF">
        <w:rPr>
          <w:szCs w:val="24"/>
        </w:rPr>
        <w:tab/>
        <w:t>3 – 5 avril</w:t>
      </w:r>
      <w:r>
        <w:rPr>
          <w:szCs w:val="24"/>
        </w:rPr>
        <w:t xml:space="preserve"> (matin)</w:t>
      </w:r>
    </w:p>
    <w:p w:rsidR="00787EFC" w:rsidRPr="002F59BF" w:rsidRDefault="00787EFC" w:rsidP="00787EFC">
      <w:pPr>
        <w:tabs>
          <w:tab w:val="left" w:pos="567"/>
        </w:tabs>
        <w:ind w:left="1985" w:hanging="1985"/>
        <w:rPr>
          <w:szCs w:val="24"/>
        </w:rPr>
      </w:pPr>
      <w:r w:rsidRPr="002F59BF">
        <w:rPr>
          <w:b/>
          <w:szCs w:val="24"/>
        </w:rPr>
        <w:tab/>
      </w:r>
      <w:r w:rsidRPr="002F59BF">
        <w:rPr>
          <w:b/>
          <w:szCs w:val="24"/>
        </w:rPr>
        <w:tab/>
      </w:r>
      <w:r w:rsidRPr="002F59BF">
        <w:rPr>
          <w:szCs w:val="24"/>
        </w:rPr>
        <w:t>(Comité de rédaction : (11 et 12 janvier), 3 avril (soir), 4 avril (soir))</w:t>
      </w:r>
    </w:p>
    <w:p w:rsidR="00787EFC" w:rsidRPr="002F59BF" w:rsidRDefault="00787EFC" w:rsidP="00787EFC">
      <w:pPr>
        <w:spacing w:after="60"/>
        <w:ind w:left="1701" w:hanging="1701"/>
      </w:pPr>
    </w:p>
    <w:p w:rsidR="00787EFC" w:rsidRPr="00787EFC" w:rsidRDefault="00787EFC" w:rsidP="00787EFC">
      <w:pPr>
        <w:ind w:left="1701" w:hanging="1134"/>
        <w:rPr>
          <w:rFonts w:cs="Arial"/>
          <w:i/>
        </w:rPr>
      </w:pPr>
      <w:r w:rsidRPr="00787EFC">
        <w:rPr>
          <w:rFonts w:cs="Arial"/>
          <w:i/>
        </w:rPr>
        <w:t>Groupe de travail technique sur les plantes agricoles (TWA)</w:t>
      </w:r>
    </w:p>
    <w:p w:rsidR="00787EFC" w:rsidRPr="002F59BF" w:rsidRDefault="00787EFC" w:rsidP="00787EFC">
      <w:pPr>
        <w:tabs>
          <w:tab w:val="left" w:pos="567"/>
        </w:tabs>
        <w:ind w:left="1985" w:hanging="1985"/>
        <w:rPr>
          <w:szCs w:val="24"/>
        </w:rPr>
      </w:pPr>
      <w:r w:rsidRPr="002F59BF">
        <w:rPr>
          <w:szCs w:val="24"/>
        </w:rPr>
        <w:tab/>
        <w:t>TWA/46</w:t>
      </w:r>
      <w:r w:rsidRPr="002F59BF">
        <w:rPr>
          <w:szCs w:val="24"/>
        </w:rPr>
        <w:tab/>
        <w:t>19 – 23 juin, Hanovre (Allemagne)</w:t>
      </w:r>
    </w:p>
    <w:p w:rsidR="00787EFC" w:rsidRPr="002F59BF" w:rsidRDefault="00787EFC" w:rsidP="00787EFC">
      <w:pPr>
        <w:tabs>
          <w:tab w:val="left" w:pos="567"/>
        </w:tabs>
        <w:ind w:left="1985" w:hanging="1985"/>
        <w:rPr>
          <w:szCs w:val="24"/>
        </w:rPr>
      </w:pPr>
      <w:r w:rsidRPr="002F59BF">
        <w:rPr>
          <w:szCs w:val="24"/>
        </w:rPr>
        <w:tab/>
      </w:r>
      <w:r w:rsidRPr="002F59BF">
        <w:rPr>
          <w:szCs w:val="24"/>
        </w:rPr>
        <w:tab/>
        <w:t>(</w:t>
      </w:r>
      <w:proofErr w:type="gramStart"/>
      <w:r w:rsidRPr="002F59BF">
        <w:rPr>
          <w:szCs w:val="24"/>
        </w:rPr>
        <w:t>atelier</w:t>
      </w:r>
      <w:proofErr w:type="gramEnd"/>
      <w:r w:rsidRPr="002F59BF">
        <w:rPr>
          <w:szCs w:val="24"/>
        </w:rPr>
        <w:t xml:space="preserve"> préparatoire le 18 juin)</w:t>
      </w:r>
    </w:p>
    <w:p w:rsidR="00787EFC" w:rsidRPr="002F59BF" w:rsidRDefault="00787EFC" w:rsidP="00787EFC">
      <w:pPr>
        <w:spacing w:after="60"/>
        <w:ind w:left="1701" w:hanging="1701"/>
      </w:pPr>
    </w:p>
    <w:p w:rsidR="00787EFC" w:rsidRPr="00787EFC" w:rsidRDefault="00787EFC" w:rsidP="00787EFC">
      <w:pPr>
        <w:ind w:left="1701" w:hanging="1134"/>
        <w:rPr>
          <w:rFonts w:cs="Arial"/>
          <w:i/>
        </w:rPr>
      </w:pPr>
      <w:r w:rsidRPr="00787EFC">
        <w:rPr>
          <w:rFonts w:cs="Arial"/>
          <w:i/>
        </w:rPr>
        <w:t>Groupe de travail technique sur les systèmes d’automatisation et les programmes d’ordinateur (TWC)</w:t>
      </w:r>
    </w:p>
    <w:p w:rsidR="00787EFC" w:rsidRPr="002F59BF" w:rsidRDefault="00787EFC" w:rsidP="00787EFC">
      <w:pPr>
        <w:tabs>
          <w:tab w:val="left" w:pos="567"/>
        </w:tabs>
        <w:ind w:left="1985" w:hanging="1985"/>
        <w:rPr>
          <w:szCs w:val="24"/>
        </w:rPr>
      </w:pPr>
      <w:r w:rsidRPr="002F59BF">
        <w:rPr>
          <w:szCs w:val="24"/>
        </w:rPr>
        <w:tab/>
        <w:t>TWC/35</w:t>
      </w:r>
      <w:r w:rsidRPr="002F59BF">
        <w:rPr>
          <w:szCs w:val="24"/>
        </w:rPr>
        <w:tab/>
        <w:t>14 – 17 novembre, Buenos Aires (Argentine)</w:t>
      </w:r>
    </w:p>
    <w:p w:rsidR="00787EFC" w:rsidRPr="002F59BF" w:rsidRDefault="00787EFC" w:rsidP="00787EFC">
      <w:pPr>
        <w:tabs>
          <w:tab w:val="left" w:pos="567"/>
        </w:tabs>
        <w:ind w:left="1985" w:hanging="1985"/>
        <w:rPr>
          <w:szCs w:val="24"/>
        </w:rPr>
      </w:pPr>
      <w:r w:rsidRPr="002F59BF">
        <w:rPr>
          <w:szCs w:val="24"/>
        </w:rPr>
        <w:tab/>
      </w:r>
      <w:r w:rsidRPr="002F59BF">
        <w:rPr>
          <w:szCs w:val="24"/>
        </w:rPr>
        <w:tab/>
        <w:t>(</w:t>
      </w:r>
      <w:proofErr w:type="gramStart"/>
      <w:r w:rsidRPr="002F59BF">
        <w:rPr>
          <w:szCs w:val="24"/>
        </w:rPr>
        <w:t>atelier</w:t>
      </w:r>
      <w:proofErr w:type="gramEnd"/>
      <w:r w:rsidRPr="002F59BF">
        <w:rPr>
          <w:szCs w:val="24"/>
        </w:rPr>
        <w:t xml:space="preserve"> préparatoire le 13 novembre)</w:t>
      </w:r>
    </w:p>
    <w:p w:rsidR="00787EFC" w:rsidRPr="002F59BF" w:rsidRDefault="00787EFC" w:rsidP="00787EFC">
      <w:pPr>
        <w:spacing w:after="60"/>
        <w:ind w:left="1701" w:hanging="1701"/>
      </w:pPr>
    </w:p>
    <w:p w:rsidR="00787EFC" w:rsidRPr="00787EFC" w:rsidRDefault="00787EFC" w:rsidP="00787EFC">
      <w:pPr>
        <w:ind w:left="1701" w:hanging="1134"/>
        <w:rPr>
          <w:rFonts w:cs="Arial"/>
          <w:i/>
        </w:rPr>
      </w:pPr>
      <w:r w:rsidRPr="00787EFC">
        <w:rPr>
          <w:rFonts w:cs="Arial"/>
          <w:i/>
        </w:rPr>
        <w:t>Groupe de travail technique sur les plantes fruitières (TWF)</w:t>
      </w:r>
    </w:p>
    <w:p w:rsidR="00787EFC" w:rsidRPr="002F59BF" w:rsidRDefault="00787EFC" w:rsidP="00787EFC">
      <w:pPr>
        <w:tabs>
          <w:tab w:val="left" w:pos="567"/>
        </w:tabs>
        <w:ind w:left="1985" w:hanging="1985"/>
      </w:pPr>
      <w:r w:rsidRPr="002F59BF">
        <w:tab/>
        <w:t xml:space="preserve">TWF/48 </w:t>
      </w:r>
      <w:r w:rsidRPr="002F59BF">
        <w:tab/>
        <w:t>18 – 22 septembre, Kelowna, Colombie-Britannique (Canada)</w:t>
      </w:r>
    </w:p>
    <w:p w:rsidR="00787EFC" w:rsidRPr="002F59BF" w:rsidRDefault="00787EFC" w:rsidP="00787EFC">
      <w:pPr>
        <w:ind w:left="1985" w:hanging="1985"/>
      </w:pPr>
      <w:r w:rsidRPr="002F59BF">
        <w:tab/>
        <w:t>(</w:t>
      </w:r>
      <w:proofErr w:type="gramStart"/>
      <w:r w:rsidRPr="002F59BF">
        <w:t>atelier</w:t>
      </w:r>
      <w:proofErr w:type="gramEnd"/>
      <w:r w:rsidRPr="002F59BF">
        <w:t xml:space="preserve"> préparatoire le 17 septembre)</w:t>
      </w:r>
    </w:p>
    <w:p w:rsidR="00787EFC" w:rsidRPr="002F59BF" w:rsidRDefault="00787EFC" w:rsidP="00787EFC">
      <w:pPr>
        <w:spacing w:after="60"/>
        <w:ind w:left="1701" w:hanging="1701"/>
      </w:pPr>
    </w:p>
    <w:p w:rsidR="00787EFC" w:rsidRPr="00787EFC" w:rsidRDefault="00787EFC" w:rsidP="00787EFC">
      <w:pPr>
        <w:ind w:left="1701" w:hanging="1134"/>
        <w:rPr>
          <w:rFonts w:cs="Arial"/>
          <w:i/>
        </w:rPr>
      </w:pPr>
      <w:r w:rsidRPr="00787EFC">
        <w:rPr>
          <w:rFonts w:cs="Arial"/>
          <w:i/>
        </w:rPr>
        <w:t>Groupe de travail technique sur les plantes ornementales et les arbres forestiers (TWO)</w:t>
      </w:r>
    </w:p>
    <w:p w:rsidR="00787EFC" w:rsidRPr="002F59BF" w:rsidRDefault="00787EFC" w:rsidP="00787EFC">
      <w:pPr>
        <w:tabs>
          <w:tab w:val="left" w:pos="567"/>
        </w:tabs>
        <w:ind w:left="1985" w:hanging="1985"/>
      </w:pPr>
      <w:r w:rsidRPr="002F59BF">
        <w:tab/>
        <w:t xml:space="preserve">TWO/50 </w:t>
      </w:r>
      <w:r w:rsidRPr="002F59BF">
        <w:tab/>
      </w:r>
      <w:r w:rsidRPr="002F59BF">
        <w:rPr>
          <w:rFonts w:cs="Arial"/>
        </w:rPr>
        <w:t>11 – 15 septembre</w:t>
      </w:r>
      <w:r w:rsidRPr="002F59BF">
        <w:t xml:space="preserve">, </w:t>
      </w:r>
      <w:r w:rsidRPr="002F59BF">
        <w:rPr>
          <w:rFonts w:cs="Arial"/>
        </w:rPr>
        <w:t>Victoria, Colombie-Britannique (Canada)</w:t>
      </w:r>
    </w:p>
    <w:p w:rsidR="00787EFC" w:rsidRPr="002F59BF" w:rsidRDefault="00787EFC" w:rsidP="00787EFC">
      <w:pPr>
        <w:ind w:left="1985" w:hanging="1985"/>
      </w:pPr>
      <w:r w:rsidRPr="002F59BF">
        <w:tab/>
        <w:t>(</w:t>
      </w:r>
      <w:proofErr w:type="gramStart"/>
      <w:r w:rsidRPr="002F59BF">
        <w:t>atelier</w:t>
      </w:r>
      <w:proofErr w:type="gramEnd"/>
      <w:r w:rsidRPr="002F59BF">
        <w:t xml:space="preserve"> préparatoire le 10 septembre)</w:t>
      </w:r>
    </w:p>
    <w:p w:rsidR="00787EFC" w:rsidRPr="002F59BF" w:rsidRDefault="00787EFC" w:rsidP="00787EFC">
      <w:pPr>
        <w:spacing w:after="60"/>
        <w:ind w:left="1701" w:hanging="1701"/>
      </w:pPr>
    </w:p>
    <w:p w:rsidR="00787EFC" w:rsidRPr="00787EFC" w:rsidRDefault="00787EFC" w:rsidP="00787EFC">
      <w:pPr>
        <w:ind w:left="1701" w:hanging="1134"/>
        <w:rPr>
          <w:rFonts w:cs="Arial"/>
          <w:i/>
        </w:rPr>
      </w:pPr>
      <w:r w:rsidRPr="00787EFC">
        <w:rPr>
          <w:rFonts w:cs="Arial"/>
          <w:i/>
        </w:rPr>
        <w:t>Groupe de travail technique sur les plantes potagères (TWV)</w:t>
      </w:r>
    </w:p>
    <w:p w:rsidR="00787EFC" w:rsidRPr="002F59BF" w:rsidRDefault="00787EFC" w:rsidP="00787EFC">
      <w:pPr>
        <w:tabs>
          <w:tab w:val="left" w:pos="567"/>
        </w:tabs>
        <w:ind w:left="1985" w:hanging="1985"/>
      </w:pPr>
      <w:r w:rsidRPr="002F59BF">
        <w:tab/>
        <w:t xml:space="preserve">TWV/51 </w:t>
      </w:r>
      <w:r w:rsidRPr="002F59BF">
        <w:tab/>
        <w:t xml:space="preserve">3 – 7 juillet, </w:t>
      </w:r>
      <w:proofErr w:type="spellStart"/>
      <w:r w:rsidRPr="002F59BF">
        <w:t>Roelofarendsveen</w:t>
      </w:r>
      <w:proofErr w:type="spellEnd"/>
      <w:r w:rsidRPr="002F59BF">
        <w:t xml:space="preserve"> (Pays-Bas)</w:t>
      </w:r>
    </w:p>
    <w:p w:rsidR="00787EFC" w:rsidRPr="002F59BF" w:rsidRDefault="00787EFC" w:rsidP="00787EFC">
      <w:pPr>
        <w:ind w:left="1985" w:hanging="1985"/>
      </w:pPr>
      <w:r w:rsidRPr="002F59BF">
        <w:tab/>
        <w:t>(</w:t>
      </w:r>
      <w:proofErr w:type="gramStart"/>
      <w:r w:rsidRPr="002F59BF">
        <w:t>atelier</w:t>
      </w:r>
      <w:proofErr w:type="gramEnd"/>
      <w:r w:rsidRPr="002F59BF">
        <w:t xml:space="preserve"> préparatoire le 2 juillet)</w:t>
      </w:r>
    </w:p>
    <w:p w:rsidR="00787EFC" w:rsidRPr="002F59BF" w:rsidRDefault="00787EFC" w:rsidP="00787EFC">
      <w:pPr>
        <w:spacing w:after="60"/>
        <w:ind w:left="1701" w:hanging="1701"/>
      </w:pPr>
    </w:p>
    <w:p w:rsidR="00787EFC" w:rsidRPr="00787EFC" w:rsidRDefault="00787EFC" w:rsidP="00787EFC">
      <w:pPr>
        <w:ind w:left="567"/>
        <w:rPr>
          <w:rFonts w:cs="Arial"/>
          <w:i/>
          <w:spacing w:val="-4"/>
        </w:rPr>
      </w:pPr>
      <w:r w:rsidRPr="00787EFC">
        <w:rPr>
          <w:rFonts w:cs="Arial"/>
          <w:i/>
          <w:spacing w:val="-4"/>
        </w:rPr>
        <w:t>Groupe de travail sur les techniques biochimiques et moléculaires, notamment les profils d’ADN (BMT)</w:t>
      </w:r>
    </w:p>
    <w:p w:rsidR="00787EFC" w:rsidRPr="002F59BF" w:rsidRDefault="00787EFC" w:rsidP="00787EFC">
      <w:pPr>
        <w:tabs>
          <w:tab w:val="left" w:pos="567"/>
        </w:tabs>
        <w:ind w:left="1985" w:hanging="1985"/>
        <w:rPr>
          <w:rFonts w:cs="Arial"/>
        </w:rPr>
      </w:pPr>
      <w:r w:rsidRPr="002F59BF">
        <w:rPr>
          <w:rFonts w:cs="Arial"/>
        </w:rPr>
        <w:tab/>
        <w:t>BMT/16</w:t>
      </w:r>
      <w:r w:rsidRPr="002F59BF">
        <w:rPr>
          <w:rFonts w:cs="Arial"/>
        </w:rPr>
        <w:tab/>
      </w:r>
      <w:r>
        <w:rPr>
          <w:rFonts w:cs="Arial"/>
        </w:rPr>
        <w:t>7</w:t>
      </w:r>
      <w:r w:rsidRPr="002F59BF">
        <w:rPr>
          <w:rFonts w:cs="Arial"/>
          <w:lang w:eastAsia="ja-JP"/>
        </w:rPr>
        <w:t xml:space="preserve"> – </w:t>
      </w:r>
      <w:r>
        <w:rPr>
          <w:rFonts w:cs="Arial"/>
          <w:lang w:eastAsia="ja-JP"/>
        </w:rPr>
        <w:t>10</w:t>
      </w:r>
      <w:r w:rsidRPr="002F59BF">
        <w:rPr>
          <w:rFonts w:cs="Arial"/>
          <w:lang w:eastAsia="ja-JP"/>
        </w:rPr>
        <w:t> </w:t>
      </w:r>
      <w:r>
        <w:rPr>
          <w:rFonts w:cs="Arial"/>
          <w:lang w:eastAsia="ja-JP"/>
        </w:rPr>
        <w:t>nov</w:t>
      </w:r>
      <w:r w:rsidRPr="002F59BF">
        <w:rPr>
          <w:rFonts w:cs="Arial"/>
          <w:lang w:eastAsia="ja-JP"/>
        </w:rPr>
        <w:t>embre</w:t>
      </w:r>
      <w:r w:rsidRPr="002F59BF">
        <w:rPr>
          <w:rFonts w:cs="Arial"/>
        </w:rPr>
        <w:t>, La Rochelle (France)</w:t>
      </w:r>
    </w:p>
    <w:p w:rsidR="00787EFC" w:rsidRPr="002F59BF" w:rsidRDefault="00787EFC" w:rsidP="00787EFC">
      <w:pPr>
        <w:ind w:left="1985" w:hanging="1985"/>
      </w:pPr>
      <w:r w:rsidRPr="002F59BF">
        <w:tab/>
        <w:t>(</w:t>
      </w:r>
      <w:proofErr w:type="gramStart"/>
      <w:r w:rsidRPr="002F59BF">
        <w:t>atelier</w:t>
      </w:r>
      <w:proofErr w:type="gramEnd"/>
      <w:r w:rsidRPr="002F59BF">
        <w:t xml:space="preserve"> préparatoire le </w:t>
      </w:r>
      <w:r>
        <w:t>6</w:t>
      </w:r>
      <w:r w:rsidRPr="002F59BF">
        <w:rPr>
          <w:lang w:eastAsia="ja-JP"/>
        </w:rPr>
        <w:t> </w:t>
      </w:r>
      <w:r>
        <w:rPr>
          <w:lang w:eastAsia="ja-JP"/>
        </w:rPr>
        <w:t>nov</w:t>
      </w:r>
      <w:r w:rsidRPr="002F59BF">
        <w:rPr>
          <w:lang w:eastAsia="ja-JP"/>
        </w:rPr>
        <w:t>embre</w:t>
      </w:r>
      <w:r w:rsidRPr="002F59BF">
        <w:t>)</w:t>
      </w:r>
    </w:p>
    <w:p w:rsidR="00B2547F" w:rsidRDefault="00B2547F" w:rsidP="007737EF">
      <w:pPr>
        <w:pStyle w:val="Heading1"/>
        <w:rPr>
          <w:lang w:val="fr-FR"/>
        </w:rPr>
      </w:pPr>
      <w:r>
        <w:rPr>
          <w:lang w:val="fr-FR"/>
        </w:rPr>
        <w:br w:type="page"/>
      </w:r>
    </w:p>
    <w:p w:rsidR="007737EF" w:rsidRPr="007737EF" w:rsidRDefault="007737EF" w:rsidP="007737EF">
      <w:pPr>
        <w:pStyle w:val="Heading1"/>
        <w:rPr>
          <w:lang w:val="fr-FR"/>
        </w:rPr>
      </w:pPr>
      <w:bookmarkStart w:id="20" w:name="_Toc478652719"/>
      <w:r w:rsidRPr="007737EF">
        <w:rPr>
          <w:lang w:val="fr-FR"/>
        </w:rPr>
        <w:lastRenderedPageBreak/>
        <w:t>Collection UPOV</w:t>
      </w:r>
      <w:bookmarkEnd w:id="20"/>
    </w:p>
    <w:p w:rsidR="007737EF" w:rsidRPr="009A6348" w:rsidRDefault="007737EF" w:rsidP="007737EF">
      <w:pPr>
        <w:rPr>
          <w:rFonts w:cs="Arial"/>
        </w:rPr>
      </w:pPr>
      <w:r w:rsidRPr="009A6348">
        <w:rPr>
          <w:rFonts w:cs="Arial"/>
        </w:rPr>
        <w:t>(</w:t>
      </w:r>
      <w:proofErr w:type="gramStart"/>
      <w:r w:rsidRPr="009A6348">
        <w:rPr>
          <w:rFonts w:cs="Arial"/>
        </w:rPr>
        <w:t>voir</w:t>
      </w:r>
      <w:proofErr w:type="gramEnd"/>
      <w:r w:rsidRPr="009A6348">
        <w:rPr>
          <w:rFonts w:cs="Arial"/>
        </w:rPr>
        <w:t xml:space="preserve"> </w:t>
      </w:r>
      <w:hyperlink r:id="rId11" w:history="1">
        <w:r w:rsidRPr="00E619C6">
          <w:rPr>
            <w:rStyle w:val="Hyperlink"/>
          </w:rPr>
          <w:t>http://www.upov.int/upov_collection/fr/</w:t>
        </w:r>
      </w:hyperlink>
      <w:r w:rsidRPr="009A6348">
        <w:rPr>
          <w:rFonts w:cs="Arial"/>
        </w:rPr>
        <w:t>)</w:t>
      </w:r>
    </w:p>
    <w:p w:rsidR="007737EF" w:rsidRPr="009A6348" w:rsidRDefault="007737EF" w:rsidP="007737EF">
      <w:pPr>
        <w:rPr>
          <w:rFonts w:cs="Arial"/>
        </w:rPr>
      </w:pPr>
    </w:p>
    <w:p w:rsidR="007737EF" w:rsidRPr="007737EF" w:rsidRDefault="007737EF" w:rsidP="007737EF">
      <w:pPr>
        <w:pStyle w:val="Heading2"/>
      </w:pPr>
      <w:bookmarkStart w:id="21" w:name="_Toc478652720"/>
      <w:r w:rsidRPr="007737EF">
        <w:t>Adoption de documents</w:t>
      </w:r>
      <w:bookmarkEnd w:id="21"/>
    </w:p>
    <w:p w:rsidR="007737EF" w:rsidRPr="009A6348" w:rsidRDefault="007737EF" w:rsidP="007737EF">
      <w:pPr>
        <w:rPr>
          <w:rFonts w:cs="Arial"/>
        </w:rPr>
      </w:pPr>
    </w:p>
    <w:p w:rsidR="007737EF" w:rsidRDefault="007737EF" w:rsidP="007737EF">
      <w:pPr>
        <w:autoSpaceDE w:val="0"/>
        <w:autoSpaceDN w:val="0"/>
        <w:adjustRightInd w:val="0"/>
        <w:jc w:val="left"/>
        <w:rPr>
          <w:rFonts w:cs="Arial"/>
        </w:rPr>
      </w:pPr>
      <w:r w:rsidRPr="009A6348">
        <w:rPr>
          <w:rFonts w:cs="Arial"/>
        </w:rPr>
        <w:fldChar w:fldCharType="begin"/>
      </w:r>
      <w:r w:rsidRPr="009A6348">
        <w:rPr>
          <w:rFonts w:cs="Arial"/>
        </w:rPr>
        <w:instrText xml:space="preserve"> AUTONUM  </w:instrText>
      </w:r>
      <w:r w:rsidRPr="009A6348">
        <w:rPr>
          <w:rFonts w:cs="Arial"/>
        </w:rPr>
        <w:fldChar w:fldCharType="end"/>
      </w:r>
      <w:r w:rsidRPr="009A6348">
        <w:rPr>
          <w:rFonts w:cs="Arial"/>
        </w:rPr>
        <w:tab/>
        <w:t xml:space="preserve">À sa </w:t>
      </w:r>
      <w:r w:rsidR="000A706F">
        <w:rPr>
          <w:rFonts w:cs="Arial"/>
        </w:rPr>
        <w:t>c</w:t>
      </w:r>
      <w:r w:rsidR="000A706F" w:rsidRPr="002F59BF">
        <w:t>inquantième session ordinaire</w:t>
      </w:r>
      <w:r w:rsidRPr="009A6348">
        <w:rPr>
          <w:rFonts w:cs="Arial"/>
        </w:rPr>
        <w:t>, le Conseil a adopté la révision des documents suivants :</w:t>
      </w:r>
    </w:p>
    <w:p w:rsidR="00B2547F" w:rsidRPr="009A6348" w:rsidRDefault="00B2547F" w:rsidP="007737EF">
      <w:pPr>
        <w:autoSpaceDE w:val="0"/>
        <w:autoSpaceDN w:val="0"/>
        <w:adjustRightInd w:val="0"/>
        <w:jc w:val="left"/>
        <w:rPr>
          <w:rFonts w:cs="Arial"/>
        </w:rPr>
      </w:pPr>
    </w:p>
    <w:p w:rsidR="000A706F" w:rsidRPr="000A706F" w:rsidRDefault="000A706F" w:rsidP="000A706F">
      <w:pPr>
        <w:ind w:left="360"/>
        <w:rPr>
          <w:bCs/>
          <w:snapToGrid w:val="0"/>
          <w:szCs w:val="24"/>
        </w:rPr>
      </w:pPr>
      <w:r w:rsidRPr="000A706F">
        <w:rPr>
          <w:bCs/>
          <w:snapToGrid w:val="0"/>
          <w:szCs w:val="24"/>
        </w:rPr>
        <w:t>(a)</w:t>
      </w:r>
      <w:r w:rsidRPr="000A706F">
        <w:rPr>
          <w:bCs/>
          <w:snapToGrid w:val="0"/>
          <w:szCs w:val="24"/>
        </w:rPr>
        <w:tab/>
      </w:r>
      <w:r>
        <w:rPr>
          <w:bCs/>
          <w:snapToGrid w:val="0"/>
          <w:szCs w:val="24"/>
        </w:rPr>
        <w:t>D</w:t>
      </w:r>
      <w:r w:rsidRPr="000A706F">
        <w:rPr>
          <w:bCs/>
          <w:snapToGrid w:val="0"/>
          <w:szCs w:val="24"/>
        </w:rPr>
        <w:t>ocuments</w:t>
      </w:r>
      <w:r>
        <w:rPr>
          <w:bCs/>
          <w:snapToGrid w:val="0"/>
          <w:szCs w:val="24"/>
        </w:rPr>
        <w:t xml:space="preserve"> </w:t>
      </w:r>
      <w:r w:rsidRPr="000A706F">
        <w:rPr>
          <w:bCs/>
          <w:snapToGrid w:val="0"/>
          <w:szCs w:val="24"/>
        </w:rPr>
        <w:t>TGP:</w:t>
      </w:r>
    </w:p>
    <w:p w:rsidR="000A706F" w:rsidRPr="000A706F" w:rsidRDefault="000A706F" w:rsidP="000A706F">
      <w:pPr>
        <w:ind w:left="360"/>
        <w:rPr>
          <w:bCs/>
          <w:snapToGrid w:val="0"/>
          <w:szCs w:val="24"/>
        </w:rPr>
      </w:pPr>
    </w:p>
    <w:p w:rsidR="000A706F" w:rsidRPr="000A706F" w:rsidRDefault="000A706F" w:rsidP="000A706F">
      <w:pPr>
        <w:ind w:left="1134"/>
        <w:rPr>
          <w:bCs/>
          <w:snapToGrid w:val="0"/>
          <w:szCs w:val="24"/>
        </w:rPr>
      </w:pPr>
      <w:r w:rsidRPr="000A706F">
        <w:rPr>
          <w:bCs/>
          <w:snapToGrid w:val="0"/>
          <w:szCs w:val="24"/>
        </w:rPr>
        <w:t xml:space="preserve">TGP/7 </w:t>
      </w:r>
      <w:r w:rsidRPr="000A706F">
        <w:rPr>
          <w:bCs/>
          <w:snapToGrid w:val="0"/>
          <w:szCs w:val="24"/>
        </w:rPr>
        <w:tab/>
      </w:r>
      <w:r>
        <w:t>Élaboration des principes directeurs d'examen</w:t>
      </w:r>
    </w:p>
    <w:p w:rsidR="000A706F" w:rsidRPr="000A706F" w:rsidRDefault="000A706F" w:rsidP="000A706F">
      <w:pPr>
        <w:ind w:left="2268" w:hanging="1134"/>
        <w:rPr>
          <w:bCs/>
          <w:snapToGrid w:val="0"/>
          <w:szCs w:val="24"/>
        </w:rPr>
      </w:pPr>
      <w:r w:rsidRPr="000A706F">
        <w:rPr>
          <w:bCs/>
          <w:snapToGrid w:val="0"/>
          <w:szCs w:val="24"/>
        </w:rPr>
        <w:t xml:space="preserve">TGP/8 </w:t>
      </w:r>
      <w:r w:rsidRPr="000A706F">
        <w:rPr>
          <w:bCs/>
          <w:snapToGrid w:val="0"/>
          <w:szCs w:val="24"/>
        </w:rPr>
        <w:tab/>
      </w:r>
      <w:r>
        <w:t>Protocole d'essai et techniques utilisés dans l'examen de la distinction, de l'homogénéité et de la stabilité</w:t>
      </w:r>
    </w:p>
    <w:p w:rsidR="000A706F" w:rsidRPr="000A706F" w:rsidRDefault="000A706F" w:rsidP="000A706F">
      <w:pPr>
        <w:ind w:left="360"/>
        <w:rPr>
          <w:bCs/>
          <w:snapToGrid w:val="0"/>
          <w:szCs w:val="24"/>
        </w:rPr>
      </w:pPr>
    </w:p>
    <w:p w:rsidR="000A706F" w:rsidRPr="000A706F" w:rsidRDefault="000A706F" w:rsidP="000A706F">
      <w:pPr>
        <w:keepNext/>
        <w:ind w:left="360"/>
        <w:rPr>
          <w:bCs/>
          <w:snapToGrid w:val="0"/>
          <w:szCs w:val="24"/>
        </w:rPr>
      </w:pPr>
      <w:r w:rsidRPr="000A706F">
        <w:rPr>
          <w:bCs/>
          <w:snapToGrid w:val="0"/>
          <w:szCs w:val="24"/>
        </w:rPr>
        <w:t>(b)</w:t>
      </w:r>
      <w:r w:rsidRPr="000A706F">
        <w:rPr>
          <w:bCs/>
          <w:snapToGrid w:val="0"/>
          <w:szCs w:val="24"/>
        </w:rPr>
        <w:tab/>
      </w:r>
      <w:r>
        <w:rPr>
          <w:bCs/>
          <w:snapToGrid w:val="0"/>
          <w:szCs w:val="24"/>
        </w:rPr>
        <w:t>D</w:t>
      </w:r>
      <w:r w:rsidRPr="000A706F">
        <w:rPr>
          <w:bCs/>
          <w:snapToGrid w:val="0"/>
          <w:szCs w:val="24"/>
        </w:rPr>
        <w:t>ocuments</w:t>
      </w:r>
      <w:r>
        <w:rPr>
          <w:bCs/>
          <w:snapToGrid w:val="0"/>
          <w:szCs w:val="24"/>
        </w:rPr>
        <w:t xml:space="preserve"> d’</w:t>
      </w:r>
      <w:r w:rsidR="00070FFC">
        <w:rPr>
          <w:bCs/>
          <w:snapToGrid w:val="0"/>
          <w:szCs w:val="24"/>
        </w:rPr>
        <w:t>i</w:t>
      </w:r>
      <w:r w:rsidRPr="000A706F">
        <w:rPr>
          <w:bCs/>
          <w:snapToGrid w:val="0"/>
          <w:szCs w:val="24"/>
        </w:rPr>
        <w:t>nformation:</w:t>
      </w:r>
    </w:p>
    <w:p w:rsidR="000A706F" w:rsidRPr="000A706F" w:rsidRDefault="000A706F" w:rsidP="000A706F">
      <w:pPr>
        <w:keepNext/>
        <w:ind w:left="360"/>
        <w:rPr>
          <w:bCs/>
          <w:snapToGrid w:val="0"/>
          <w:szCs w:val="24"/>
        </w:rPr>
      </w:pPr>
    </w:p>
    <w:p w:rsidR="000A706F" w:rsidRPr="000A706F" w:rsidRDefault="000A706F" w:rsidP="000A706F">
      <w:pPr>
        <w:ind w:left="1134"/>
        <w:rPr>
          <w:kern w:val="28"/>
        </w:rPr>
      </w:pPr>
      <w:r w:rsidRPr="000A706F">
        <w:rPr>
          <w:bCs/>
          <w:snapToGrid w:val="0"/>
          <w:szCs w:val="24"/>
        </w:rPr>
        <w:t>UPOV/INF/16</w:t>
      </w:r>
      <w:r w:rsidRPr="000A706F">
        <w:rPr>
          <w:bCs/>
          <w:snapToGrid w:val="0"/>
          <w:szCs w:val="24"/>
        </w:rPr>
        <w:tab/>
      </w:r>
      <w:r>
        <w:t>Logiciels échangeables</w:t>
      </w:r>
      <w:r w:rsidRPr="000A706F">
        <w:rPr>
          <w:bCs/>
          <w:snapToGrid w:val="0"/>
          <w:spacing w:val="-4"/>
          <w:szCs w:val="24"/>
        </w:rPr>
        <w:t xml:space="preserve"> </w:t>
      </w:r>
    </w:p>
    <w:p w:rsidR="000A706F" w:rsidRDefault="000A706F" w:rsidP="000A706F">
      <w:pPr>
        <w:ind w:left="1134"/>
        <w:rPr>
          <w:bCs/>
          <w:snapToGrid w:val="0"/>
          <w:spacing w:val="-4"/>
          <w:szCs w:val="24"/>
        </w:rPr>
      </w:pPr>
      <w:r w:rsidRPr="000A706F">
        <w:rPr>
          <w:bCs/>
          <w:snapToGrid w:val="0"/>
          <w:szCs w:val="24"/>
        </w:rPr>
        <w:t>UPOV/INF/22</w:t>
      </w:r>
      <w:r w:rsidRPr="000A706F">
        <w:rPr>
          <w:bCs/>
          <w:snapToGrid w:val="0"/>
          <w:szCs w:val="24"/>
        </w:rPr>
        <w:tab/>
      </w:r>
      <w:r>
        <w:t>Logiciels et équipements utilisés par les membres de l'Union</w:t>
      </w:r>
    </w:p>
    <w:p w:rsidR="007737EF" w:rsidRDefault="007737EF" w:rsidP="007737EF">
      <w:pPr>
        <w:pStyle w:val="Default"/>
        <w:rPr>
          <w:color w:val="auto"/>
          <w:sz w:val="20"/>
          <w:szCs w:val="20"/>
          <w:lang w:val="fr-FR"/>
        </w:rPr>
      </w:pPr>
    </w:p>
    <w:p w:rsidR="007737EF" w:rsidRPr="00A95BC3" w:rsidRDefault="007737EF" w:rsidP="007737EF">
      <w:pPr>
        <w:rPr>
          <w:rFonts w:cs="Arial"/>
          <w:spacing w:val="-4"/>
        </w:rPr>
      </w:pPr>
      <w:r w:rsidRPr="009A6348">
        <w:rPr>
          <w:rFonts w:cs="Arial"/>
        </w:rPr>
        <w:fldChar w:fldCharType="begin"/>
      </w:r>
      <w:r w:rsidRPr="009A6348">
        <w:rPr>
          <w:rFonts w:cs="Arial"/>
        </w:rPr>
        <w:instrText xml:space="preserve"> AUTONUM  </w:instrText>
      </w:r>
      <w:r w:rsidRPr="009A6348">
        <w:rPr>
          <w:rFonts w:cs="Arial"/>
        </w:rPr>
        <w:fldChar w:fldCharType="end"/>
      </w:r>
      <w:r w:rsidRPr="009A6348">
        <w:rPr>
          <w:rFonts w:cs="Arial"/>
        </w:rPr>
        <w:tab/>
      </w:r>
      <w:r w:rsidRPr="00A95BC3">
        <w:rPr>
          <w:rFonts w:cs="Arial"/>
          <w:spacing w:val="-4"/>
        </w:rPr>
        <w:t xml:space="preserve">Tous les documents adoptés </w:t>
      </w:r>
      <w:r w:rsidR="00070FFC">
        <w:rPr>
          <w:rFonts w:cs="Arial"/>
          <w:spacing w:val="-4"/>
        </w:rPr>
        <w:t>sont</w:t>
      </w:r>
      <w:r w:rsidRPr="00A95BC3">
        <w:rPr>
          <w:rFonts w:cs="Arial"/>
          <w:spacing w:val="-4"/>
        </w:rPr>
        <w:t xml:space="preserve"> ajoutés à la Collection UPOV</w:t>
      </w:r>
      <w:r w:rsidR="000A706F" w:rsidRPr="00A95BC3">
        <w:rPr>
          <w:rFonts w:cs="Arial"/>
          <w:spacing w:val="-4"/>
        </w:rPr>
        <w:t xml:space="preserve"> (</w:t>
      </w:r>
      <w:r w:rsidR="007D4CA3">
        <w:rPr>
          <w:rFonts w:cs="Arial"/>
          <w:spacing w:val="-4"/>
        </w:rPr>
        <w:t>voir</w:t>
      </w:r>
      <w:r w:rsidR="007035BA">
        <w:rPr>
          <w:rFonts w:cs="Arial"/>
          <w:spacing w:val="-4"/>
        </w:rPr>
        <w:t> </w:t>
      </w:r>
      <w:hyperlink r:id="rId12" w:history="1">
        <w:r w:rsidR="000A706F" w:rsidRPr="00A95BC3">
          <w:rPr>
            <w:rStyle w:val="Hyperlink"/>
            <w:rFonts w:cs="Arial"/>
            <w:spacing w:val="-4"/>
          </w:rPr>
          <w:t>http://www.upov.int/upov_collection/fr/</w:t>
        </w:r>
      </w:hyperlink>
      <w:r w:rsidR="000A706F" w:rsidRPr="00A95BC3">
        <w:rPr>
          <w:rFonts w:cs="Arial"/>
          <w:spacing w:val="-4"/>
        </w:rPr>
        <w:t>)</w:t>
      </w:r>
      <w:r w:rsidRPr="00A95BC3">
        <w:rPr>
          <w:rFonts w:cs="Arial"/>
          <w:spacing w:val="-4"/>
        </w:rPr>
        <w:t>.</w:t>
      </w:r>
    </w:p>
    <w:p w:rsidR="007737EF" w:rsidRDefault="007737EF" w:rsidP="007737EF">
      <w:pPr>
        <w:rPr>
          <w:rFonts w:cs="Arial"/>
        </w:rPr>
      </w:pPr>
    </w:p>
    <w:p w:rsidR="00A95BC3" w:rsidRDefault="00070FFC" w:rsidP="007737EF">
      <w:r w:rsidRPr="009A6348">
        <w:rPr>
          <w:rFonts w:cs="Arial"/>
        </w:rPr>
        <w:fldChar w:fldCharType="begin"/>
      </w:r>
      <w:r w:rsidRPr="009A6348">
        <w:rPr>
          <w:rFonts w:cs="Arial"/>
        </w:rPr>
        <w:instrText xml:space="preserve"> AUTONUM  </w:instrText>
      </w:r>
      <w:r w:rsidRPr="009A6348">
        <w:rPr>
          <w:rFonts w:cs="Arial"/>
        </w:rPr>
        <w:fldChar w:fldCharType="end"/>
      </w:r>
      <w:r w:rsidRPr="009A6348">
        <w:rPr>
          <w:rFonts w:cs="Arial"/>
        </w:rPr>
        <w:tab/>
      </w:r>
      <w:r w:rsidRPr="007035BA">
        <w:rPr>
          <w:rFonts w:cs="Arial"/>
        </w:rPr>
        <w:t>Les d</w:t>
      </w:r>
      <w:r w:rsidRPr="007035BA">
        <w:t xml:space="preserve">ocuments suivants seront </w:t>
      </w:r>
      <w:r w:rsidR="00D960F8" w:rsidRPr="007035BA">
        <w:t>examinés par le Conseil pour adoption</w:t>
      </w:r>
      <w:r w:rsidRPr="007035BA">
        <w:t>, à</w:t>
      </w:r>
      <w:r>
        <w:t xml:space="preserve"> sa t</w:t>
      </w:r>
      <w:r w:rsidRPr="00D263CF">
        <w:t>rente-troisième session extraordinaire</w:t>
      </w:r>
      <w:r>
        <w:t>, qui se tiendra à Genève le 6 avril 2017 :</w:t>
      </w:r>
    </w:p>
    <w:p w:rsidR="00070FFC" w:rsidRDefault="00070FFC" w:rsidP="007737EF"/>
    <w:p w:rsidR="00070FFC" w:rsidRPr="002D0CAF" w:rsidRDefault="00070FFC" w:rsidP="00070FFC">
      <w:pPr>
        <w:ind w:left="2552" w:hanging="1985"/>
        <w:jc w:val="left"/>
      </w:pPr>
      <w:r w:rsidRPr="002D0CAF">
        <w:t>UPOV/EXN/EDV/2</w:t>
      </w:r>
      <w:r w:rsidRPr="002D0CAF">
        <w:tab/>
        <w:t>Notes explicatives sur les variétés essent</w:t>
      </w:r>
      <w:r>
        <w:t>iellement dérivées selon l’Acte </w:t>
      </w:r>
      <w:r w:rsidRPr="002D0CAF">
        <w:t>de 1991 de la Convention UPOV (révision</w:t>
      </w:r>
      <w:proofErr w:type="gramStart"/>
      <w:r w:rsidRPr="002D0CAF">
        <w:t>)</w:t>
      </w:r>
      <w:proofErr w:type="gramEnd"/>
      <w:r w:rsidRPr="002D0CAF">
        <w:br/>
        <w:t>(document UPOV/EXN/EDV/2 </w:t>
      </w:r>
      <w:proofErr w:type="spellStart"/>
      <w:r w:rsidRPr="002D0CAF">
        <w:t>Draft</w:t>
      </w:r>
      <w:proofErr w:type="spellEnd"/>
      <w:r w:rsidRPr="002D0CAF">
        <w:t> 8)</w:t>
      </w:r>
    </w:p>
    <w:p w:rsidR="00070FFC" w:rsidRPr="002D0CAF" w:rsidRDefault="00070FFC" w:rsidP="00070FFC">
      <w:pPr>
        <w:ind w:left="2552" w:hanging="1985"/>
        <w:jc w:val="left"/>
      </w:pPr>
    </w:p>
    <w:p w:rsidR="00070FFC" w:rsidRPr="002D0CAF" w:rsidRDefault="00070FFC" w:rsidP="00070FFC">
      <w:pPr>
        <w:ind w:left="2552" w:hanging="1985"/>
        <w:jc w:val="left"/>
      </w:pPr>
      <w:r w:rsidRPr="002D0CAF">
        <w:t>UPOV/EXN/PPM/1</w:t>
      </w:r>
      <w:r w:rsidRPr="002D0CAF">
        <w:tab/>
        <w:t>Notes explicatives sur le matériel de reproduction ou de multiplication selon la</w:t>
      </w:r>
    </w:p>
    <w:p w:rsidR="00070FFC" w:rsidRPr="002D0CAF" w:rsidRDefault="00070FFC" w:rsidP="00070FFC">
      <w:pPr>
        <w:ind w:left="2552"/>
        <w:jc w:val="left"/>
      </w:pPr>
      <w:r w:rsidRPr="002D0CAF">
        <w:t xml:space="preserve">Convention UPOV </w:t>
      </w:r>
      <w:r w:rsidRPr="002D0CAF">
        <w:br/>
        <w:t>(document UPOV/EXN/PPM/1 </w:t>
      </w:r>
      <w:proofErr w:type="spellStart"/>
      <w:r w:rsidRPr="002D0CAF">
        <w:t>Draft</w:t>
      </w:r>
      <w:proofErr w:type="spellEnd"/>
      <w:r w:rsidRPr="002D0CAF">
        <w:t> 7)</w:t>
      </w:r>
    </w:p>
    <w:p w:rsidR="00070FFC" w:rsidRPr="002D0CAF" w:rsidRDefault="00070FFC" w:rsidP="00070FFC">
      <w:pPr>
        <w:ind w:left="2552" w:hanging="1985"/>
        <w:jc w:val="left"/>
      </w:pPr>
    </w:p>
    <w:p w:rsidR="00070FFC" w:rsidRPr="001D2F53" w:rsidRDefault="00070FFC" w:rsidP="00070FFC">
      <w:pPr>
        <w:ind w:left="2552" w:hanging="1985"/>
        <w:jc w:val="left"/>
      </w:pPr>
      <w:r w:rsidRPr="001D2F53">
        <w:t>UPOV/INF/6/5</w:t>
      </w:r>
      <w:r w:rsidRPr="001D2F53">
        <w:tab/>
        <w:t>Orientations en vue de la rédaction de lois fondées sur l’Acte de 1991 de la Convention UPOV (révision</w:t>
      </w:r>
      <w:proofErr w:type="gramStart"/>
      <w:r w:rsidRPr="001D2F53">
        <w:t>)</w:t>
      </w:r>
      <w:proofErr w:type="gramEnd"/>
      <w:r w:rsidRPr="001D2F53">
        <w:br/>
        <w:t>(document C(</w:t>
      </w:r>
      <w:proofErr w:type="spellStart"/>
      <w:r w:rsidRPr="001D2F53">
        <w:t>Extr</w:t>
      </w:r>
      <w:proofErr w:type="spellEnd"/>
      <w:r w:rsidRPr="001D2F53">
        <w:t>.)/34/2, Annex</w:t>
      </w:r>
      <w:r>
        <w:t>e</w:t>
      </w:r>
      <w:r w:rsidRPr="001D2F53">
        <w:t>)</w:t>
      </w:r>
    </w:p>
    <w:p w:rsidR="00070FFC" w:rsidRPr="001D2F53" w:rsidRDefault="00070FFC" w:rsidP="00070FFC">
      <w:pPr>
        <w:ind w:left="2552" w:hanging="1985"/>
        <w:jc w:val="left"/>
      </w:pPr>
    </w:p>
    <w:p w:rsidR="00070FFC" w:rsidRPr="002D0CAF" w:rsidRDefault="00070FFC" w:rsidP="00070FFC">
      <w:pPr>
        <w:ind w:left="2552" w:hanging="1985"/>
        <w:jc w:val="left"/>
      </w:pPr>
      <w:r w:rsidRPr="002D0CAF">
        <w:t>UPOV/INF</w:t>
      </w:r>
      <w:r w:rsidRPr="002D0CAF">
        <w:noBreakHyphen/>
        <w:t>EXN/10</w:t>
      </w:r>
      <w:r w:rsidRPr="002D0CAF">
        <w:tab/>
        <w:t>Liste des documents UPOV/INF</w:t>
      </w:r>
      <w:r w:rsidRPr="002D0CAF">
        <w:noBreakHyphen/>
        <w:t xml:space="preserve">EXN et date de la version la plus récente de ces documents </w:t>
      </w:r>
      <w:r>
        <w:t>(révision</w:t>
      </w:r>
      <w:proofErr w:type="gramStart"/>
      <w:r>
        <w:t>)</w:t>
      </w:r>
      <w:proofErr w:type="gramEnd"/>
      <w:r w:rsidRPr="002D0CAF">
        <w:br/>
        <w:t>(document UPOV/INF</w:t>
      </w:r>
      <w:r w:rsidRPr="002D0CAF">
        <w:noBreakHyphen/>
        <w:t>EXN/10 </w:t>
      </w:r>
      <w:proofErr w:type="spellStart"/>
      <w:r w:rsidRPr="002D0CAF">
        <w:t>Draft</w:t>
      </w:r>
      <w:proofErr w:type="spellEnd"/>
      <w:r w:rsidRPr="002D0CAF">
        <w:t> 1)</w:t>
      </w:r>
    </w:p>
    <w:p w:rsidR="00070FFC" w:rsidRDefault="00070FFC" w:rsidP="007737EF"/>
    <w:p w:rsidR="00325BF4" w:rsidRPr="008F3AFB" w:rsidRDefault="00D960F8" w:rsidP="00D960F8">
      <w:pPr>
        <w:pStyle w:val="Heading2"/>
      </w:pPr>
      <w:bookmarkStart w:id="22" w:name="_Toc478464903"/>
      <w:bookmarkStart w:id="23" w:name="_Toc478652721"/>
      <w:r>
        <w:t>Q</w:t>
      </w:r>
      <w:r w:rsidRPr="00563EA2">
        <w:t xml:space="preserve">uestions devant être examinées par </w:t>
      </w:r>
      <w:r>
        <w:t>l</w:t>
      </w:r>
      <w:r w:rsidRPr="007035BA">
        <w:t>e</w:t>
      </w:r>
      <w:r w:rsidR="00325BF4" w:rsidRPr="007035BA">
        <w:t xml:space="preserve"> </w:t>
      </w:r>
      <w:bookmarkEnd w:id="22"/>
      <w:r w:rsidR="00325BF4" w:rsidRPr="007035BA">
        <w:t>Comi</w:t>
      </w:r>
      <w:r w:rsidR="00325BF4" w:rsidRPr="008F3AFB">
        <w:t>té administratif et juridique</w:t>
      </w:r>
      <w:bookmarkEnd w:id="23"/>
    </w:p>
    <w:p w:rsidR="00325BF4" w:rsidRPr="008F3AFB" w:rsidRDefault="00325BF4" w:rsidP="007737EF"/>
    <w:p w:rsidR="00325BF4" w:rsidRDefault="00325BF4" w:rsidP="007737EF">
      <w:r w:rsidRPr="00454EC9">
        <w:fldChar w:fldCharType="begin"/>
      </w:r>
      <w:r w:rsidRPr="00454EC9">
        <w:instrText xml:space="preserve"> AUTONUM  </w:instrText>
      </w:r>
      <w:r w:rsidRPr="00454EC9">
        <w:fldChar w:fldCharType="end"/>
      </w:r>
      <w:r w:rsidRPr="00454EC9">
        <w:tab/>
      </w:r>
      <w:r w:rsidRPr="00F14EDF">
        <w:t>Le</w:t>
      </w:r>
      <w:r>
        <w:t xml:space="preserve">s </w:t>
      </w:r>
      <w:r w:rsidRPr="00735AC0">
        <w:t>questions</w:t>
      </w:r>
      <w:r>
        <w:t xml:space="preserve"> suivantes seront </w:t>
      </w:r>
      <w:r w:rsidR="00D960F8" w:rsidRPr="00563EA2">
        <w:t xml:space="preserve">examinées </w:t>
      </w:r>
      <w:r>
        <w:t xml:space="preserve">par le </w:t>
      </w:r>
      <w:r w:rsidRPr="0037638B">
        <w:rPr>
          <w:rFonts w:cs="Arial"/>
          <w:sz w:val="19"/>
          <w:szCs w:val="19"/>
        </w:rPr>
        <w:t>Comité administratif et juridique</w:t>
      </w:r>
      <w:r>
        <w:t xml:space="preserve">, à sa </w:t>
      </w:r>
      <w:r w:rsidRPr="00F14EDF">
        <w:t>soixante</w:t>
      </w:r>
      <w:r w:rsidRPr="00F14EDF">
        <w:noBreakHyphen/>
        <w:t>quatorzième session</w:t>
      </w:r>
      <w:r>
        <w:t>, qui se tiendra à Genève le</w:t>
      </w:r>
      <w:r w:rsidR="008F3AFB">
        <w:t>s</w:t>
      </w:r>
      <w:r>
        <w:t xml:space="preserve"> 23 et 24 octobre 2017 :</w:t>
      </w:r>
    </w:p>
    <w:p w:rsidR="008F3AFB" w:rsidRDefault="008F3AFB" w:rsidP="007737EF"/>
    <w:p w:rsidR="008F3AFB" w:rsidRPr="00F14EDF" w:rsidRDefault="008F3AFB" w:rsidP="008F3AFB">
      <w:pPr>
        <w:spacing w:after="120"/>
        <w:ind w:left="1701" w:hanging="567"/>
        <w:rPr>
          <w:kern w:val="28"/>
        </w:rPr>
      </w:pPr>
      <w:r>
        <w:rPr>
          <w:kern w:val="28"/>
        </w:rPr>
        <w:t>a)</w:t>
      </w:r>
      <w:r w:rsidRPr="00F14EDF">
        <w:rPr>
          <w:kern w:val="28"/>
        </w:rPr>
        <w:tab/>
        <w:t>Révision éventuelle du document UPOV/EXN/EDV/2 “Notes explicatives sur les variétés essentiellement dérivées en vertu de l’Acte de 1991 de la Convention UPOV” (révision)</w:t>
      </w:r>
    </w:p>
    <w:p w:rsidR="008F3AFB" w:rsidRPr="00F14EDF" w:rsidRDefault="008F3AFB" w:rsidP="008F3AFB">
      <w:pPr>
        <w:spacing w:after="120"/>
        <w:ind w:left="1701" w:hanging="567"/>
      </w:pPr>
      <w:r>
        <w:t>b</w:t>
      </w:r>
      <w:r w:rsidRPr="00F14EDF">
        <w:t>)</w:t>
      </w:r>
      <w:r w:rsidRPr="00F14EDF">
        <w:tab/>
        <w:t>Révision éventuelle du document UPOV/EXN/CAL/1 “Notes explicatives sur les conditions et limitations relatives à l’autorisation de l’obtenteur à l’égard du matériel de reproduction ou de multiplication selon la Convention UPOV”</w:t>
      </w:r>
    </w:p>
    <w:p w:rsidR="008F3AFB" w:rsidRPr="00F14EDF" w:rsidRDefault="008F3AFB" w:rsidP="008F3AFB">
      <w:pPr>
        <w:spacing w:after="120"/>
        <w:ind w:left="1701" w:hanging="567"/>
      </w:pPr>
      <w:r w:rsidRPr="00F14EDF">
        <w:t>c)</w:t>
      </w:r>
      <w:r w:rsidRPr="00F14EDF">
        <w:tab/>
        <w:t>Révision éventuelle du document UPOV/EXN/PRP/2 “Notes explicatives sur la protection provisoire selon la Convention UPOV”</w:t>
      </w:r>
    </w:p>
    <w:p w:rsidR="00325BF4" w:rsidRDefault="00325BF4" w:rsidP="007737EF"/>
    <w:p w:rsidR="00070FFC" w:rsidRDefault="00325BF4" w:rsidP="007737EF">
      <w:r w:rsidRPr="00454EC9">
        <w:fldChar w:fldCharType="begin"/>
      </w:r>
      <w:r w:rsidRPr="00454EC9">
        <w:instrText xml:space="preserve"> AUTONUM  </w:instrText>
      </w:r>
      <w:r w:rsidRPr="00454EC9">
        <w:fldChar w:fldCharType="end"/>
      </w:r>
      <w:r w:rsidRPr="00454EC9">
        <w:tab/>
      </w:r>
      <w:r>
        <w:t>À sa soixante</w:t>
      </w:r>
      <w:r>
        <w:noBreakHyphen/>
        <w:t>treizième </w:t>
      </w:r>
      <w:r w:rsidRPr="007C274E">
        <w:t>session</w:t>
      </w:r>
      <w:r>
        <w:t>, le</w:t>
      </w:r>
      <w:r w:rsidRPr="00F14EDF">
        <w:t xml:space="preserve"> </w:t>
      </w:r>
      <w:r w:rsidRPr="0037638B">
        <w:rPr>
          <w:rFonts w:cs="Arial"/>
          <w:sz w:val="19"/>
          <w:szCs w:val="19"/>
        </w:rPr>
        <w:t>Comité administratif et juridique</w:t>
      </w:r>
      <w:r w:rsidRPr="00F14EDF">
        <w:t xml:space="preserve"> </w:t>
      </w:r>
      <w:r w:rsidR="00B75EED">
        <w:t>est</w:t>
      </w:r>
      <w:r>
        <w:t xml:space="preserve"> convenu </w:t>
      </w:r>
      <w:r w:rsidRPr="00F14EDF">
        <w:t>de continuer de reporter l’élaboration d’un projet de révision du document UPOV/INF/5 “Bulletin type de l’UPOV de la protection des obtentions végétales” (révision) (document UPOV/INF/5/1</w:t>
      </w:r>
      <w:r>
        <w:t> </w:t>
      </w:r>
      <w:proofErr w:type="spellStart"/>
      <w:r w:rsidRPr="00F14EDF">
        <w:t>Draft</w:t>
      </w:r>
      <w:proofErr w:type="spellEnd"/>
      <w:r>
        <w:t> </w:t>
      </w:r>
      <w:r w:rsidRPr="00F14EDF">
        <w:t>1) en attendant l’avancement des travaux concernant l’élaboration d’un prototype de formulaire électronique (voir le document CAJ/73/4 “Formulaire de demande électronique”)</w:t>
      </w:r>
      <w:r>
        <w:t>.</w:t>
      </w:r>
    </w:p>
    <w:p w:rsidR="00325BF4" w:rsidRDefault="00325BF4" w:rsidP="007737EF"/>
    <w:p w:rsidR="00325BF4" w:rsidRDefault="00325BF4" w:rsidP="007737EF"/>
    <w:p w:rsidR="00325BF4" w:rsidRDefault="008F3AFB" w:rsidP="007035BA">
      <w:pPr>
        <w:pStyle w:val="Heading1"/>
        <w:rPr>
          <w:lang w:val="fr-FR"/>
        </w:rPr>
      </w:pPr>
      <w:bookmarkStart w:id="24" w:name="_Toc478652722"/>
      <w:r w:rsidRPr="0048127F">
        <w:rPr>
          <w:lang w:val="fr-FR"/>
        </w:rPr>
        <w:lastRenderedPageBreak/>
        <w:t>Observateurs auprès des organes de l’UPOV</w:t>
      </w:r>
      <w:bookmarkEnd w:id="24"/>
    </w:p>
    <w:p w:rsidR="007035BA" w:rsidRPr="007035BA" w:rsidRDefault="007035BA" w:rsidP="007035BA"/>
    <w:p w:rsidR="00141C91" w:rsidRDefault="008F3AFB" w:rsidP="007737EF">
      <w:pPr>
        <w:rPr>
          <w:rFonts w:cs="Arial"/>
        </w:rPr>
      </w:pPr>
      <w:r w:rsidRPr="009A6348">
        <w:fldChar w:fldCharType="begin"/>
      </w:r>
      <w:r w:rsidRPr="009A6348">
        <w:instrText xml:space="preserve"> AUTONUM  </w:instrText>
      </w:r>
      <w:r w:rsidRPr="009A6348">
        <w:fldChar w:fldCharType="end"/>
      </w:r>
      <w:r w:rsidRPr="009A6348">
        <w:tab/>
      </w:r>
      <w:r w:rsidR="007035BA" w:rsidRPr="007133F0">
        <w:rPr>
          <w:rFonts w:cs="Arial"/>
          <w:sz w:val="19"/>
          <w:szCs w:val="19"/>
        </w:rPr>
        <w:t>À sa quatre-vingt-douzième session</w:t>
      </w:r>
      <w:r w:rsidR="007035BA">
        <w:rPr>
          <w:rFonts w:cs="Arial"/>
        </w:rPr>
        <w:t>, l</w:t>
      </w:r>
      <w:r w:rsidRPr="008F3AFB">
        <w:rPr>
          <w:rFonts w:cs="Arial"/>
        </w:rPr>
        <w:t xml:space="preserve">e Comité consultatif </w:t>
      </w:r>
      <w:r w:rsidR="00141C91">
        <w:rPr>
          <w:rFonts w:cs="Arial"/>
        </w:rPr>
        <w:t xml:space="preserve">a pris </w:t>
      </w:r>
      <w:r w:rsidRPr="008F3AFB">
        <w:rPr>
          <w:rFonts w:cs="Arial"/>
        </w:rPr>
        <w:t>note des invitations spéciales envoyées aux experts</w:t>
      </w:r>
      <w:r w:rsidR="007035BA">
        <w:rPr>
          <w:rFonts w:cs="Arial"/>
        </w:rPr>
        <w:t>.</w:t>
      </w:r>
    </w:p>
    <w:p w:rsidR="007035BA" w:rsidRDefault="007035BA" w:rsidP="007737EF"/>
    <w:p w:rsidR="00141C91" w:rsidRPr="00141C91" w:rsidRDefault="00141C91" w:rsidP="007035BA">
      <w:pPr>
        <w:autoSpaceDE w:val="0"/>
        <w:autoSpaceDN w:val="0"/>
        <w:adjustRightInd w:val="0"/>
      </w:pPr>
      <w:r w:rsidRPr="009A6348">
        <w:fldChar w:fldCharType="begin"/>
      </w:r>
      <w:r w:rsidRPr="009A6348">
        <w:instrText xml:space="preserve"> AUTONUM  </w:instrText>
      </w:r>
      <w:r w:rsidRPr="009A6348">
        <w:fldChar w:fldCharType="end"/>
      </w:r>
      <w:r w:rsidRPr="009A6348">
        <w:tab/>
      </w:r>
      <w:r w:rsidR="007035BA">
        <w:t>À</w:t>
      </w:r>
      <w:r w:rsidR="007035BA" w:rsidRPr="00141C91">
        <w:rPr>
          <w:rFonts w:cs="Arial"/>
        </w:rPr>
        <w:t xml:space="preserve"> sa quatre-vingt-douzième session,</w:t>
      </w:r>
      <w:r w:rsidR="007035BA">
        <w:rPr>
          <w:rFonts w:cs="Arial"/>
        </w:rPr>
        <w:t xml:space="preserve"> l</w:t>
      </w:r>
      <w:r w:rsidRPr="00141C91">
        <w:rPr>
          <w:rFonts w:cs="Arial"/>
        </w:rPr>
        <w:t>e Comité consultatif</w:t>
      </w:r>
      <w:r>
        <w:rPr>
          <w:rFonts w:cs="Arial"/>
        </w:rPr>
        <w:t xml:space="preserve"> a examiné</w:t>
      </w:r>
      <w:r w:rsidRPr="00141C91">
        <w:rPr>
          <w:rFonts w:cs="Arial"/>
        </w:rPr>
        <w:t xml:space="preserve"> les informations fournies par l’International Institute for IP Management</w:t>
      </w:r>
      <w:r>
        <w:rPr>
          <w:rFonts w:cs="Arial"/>
        </w:rPr>
        <w:t xml:space="preserve"> </w:t>
      </w:r>
      <w:r w:rsidRPr="00141C91">
        <w:rPr>
          <w:rFonts w:cs="Arial"/>
        </w:rPr>
        <w:t>(</w:t>
      </w:r>
      <w:r w:rsidR="007035BA" w:rsidRPr="00734424">
        <w:t>I</w:t>
      </w:r>
      <w:r w:rsidR="007035BA" w:rsidRPr="007A511E">
        <w:rPr>
          <w:vertAlign w:val="superscript"/>
        </w:rPr>
        <w:t>3</w:t>
      </w:r>
      <w:r w:rsidR="007035BA" w:rsidRPr="00734424">
        <w:t>PM</w:t>
      </w:r>
      <w:r w:rsidRPr="00141C91">
        <w:rPr>
          <w:rFonts w:cs="Arial"/>
        </w:rPr>
        <w:t>), relatives à la demande de l’</w:t>
      </w:r>
      <w:r w:rsidRPr="00A94F02">
        <w:t>I</w:t>
      </w:r>
      <w:r w:rsidRPr="00A94F02">
        <w:rPr>
          <w:vertAlign w:val="superscript"/>
        </w:rPr>
        <w:t>3</w:t>
      </w:r>
      <w:r w:rsidRPr="00A94F02">
        <w:t>PM</w:t>
      </w:r>
      <w:r w:rsidRPr="00141C91">
        <w:rPr>
          <w:rFonts w:cs="Arial"/>
        </w:rPr>
        <w:t xml:space="preserve"> tendant à l’octroi du statut</w:t>
      </w:r>
      <w:r>
        <w:rPr>
          <w:rFonts w:cs="Arial"/>
        </w:rPr>
        <w:t xml:space="preserve"> </w:t>
      </w:r>
      <w:r w:rsidRPr="00141C91">
        <w:rPr>
          <w:rFonts w:cs="Arial"/>
        </w:rPr>
        <w:t>d’observateur auprès du Conseil (voir document CC/92/5)</w:t>
      </w:r>
      <w:r w:rsidR="007035BA">
        <w:rPr>
          <w:rFonts w:cs="Arial"/>
        </w:rPr>
        <w:t>.</w:t>
      </w:r>
    </w:p>
    <w:p w:rsidR="00141C91" w:rsidRDefault="00141C91" w:rsidP="007737EF"/>
    <w:p w:rsidR="00141C91" w:rsidRDefault="00141C91" w:rsidP="007035BA">
      <w:pPr>
        <w:autoSpaceDE w:val="0"/>
        <w:autoSpaceDN w:val="0"/>
        <w:adjustRightInd w:val="0"/>
      </w:pPr>
      <w:r w:rsidRPr="009A6348">
        <w:fldChar w:fldCharType="begin"/>
      </w:r>
      <w:r w:rsidRPr="009A6348">
        <w:instrText xml:space="preserve"> AUTONUM  </w:instrText>
      </w:r>
      <w:r w:rsidRPr="009A6348">
        <w:fldChar w:fldCharType="end"/>
      </w:r>
      <w:r w:rsidRPr="009A6348">
        <w:tab/>
      </w:r>
      <w:r w:rsidRPr="00141C91">
        <w:rPr>
          <w:rFonts w:cs="Arial"/>
        </w:rPr>
        <w:t xml:space="preserve">Le Comité consultatif </w:t>
      </w:r>
      <w:r>
        <w:rPr>
          <w:rFonts w:cs="Arial"/>
        </w:rPr>
        <w:t xml:space="preserve">a </w:t>
      </w:r>
      <w:r w:rsidRPr="00141C91">
        <w:rPr>
          <w:rFonts w:cs="Arial"/>
        </w:rPr>
        <w:t>conclu que, à ce stade, il n’</w:t>
      </w:r>
      <w:r>
        <w:rPr>
          <w:rFonts w:cs="Arial"/>
        </w:rPr>
        <w:t>était</w:t>
      </w:r>
      <w:r w:rsidRPr="00141C91">
        <w:rPr>
          <w:rFonts w:cs="Arial"/>
        </w:rPr>
        <w:t xml:space="preserve"> pas possible de décider que l’</w:t>
      </w:r>
      <w:r w:rsidRPr="00A94F02">
        <w:t>I</w:t>
      </w:r>
      <w:r w:rsidRPr="00A94F02">
        <w:rPr>
          <w:vertAlign w:val="superscript"/>
        </w:rPr>
        <w:t>3</w:t>
      </w:r>
      <w:r w:rsidRPr="00A94F02">
        <w:t>PM</w:t>
      </w:r>
      <w:r w:rsidRPr="00141C91">
        <w:rPr>
          <w:rFonts w:cs="Arial"/>
        </w:rPr>
        <w:t xml:space="preserve"> a</w:t>
      </w:r>
      <w:r>
        <w:rPr>
          <w:rFonts w:cs="Arial"/>
        </w:rPr>
        <w:t>vait</w:t>
      </w:r>
      <w:r w:rsidRPr="00141C91">
        <w:rPr>
          <w:rFonts w:cs="Arial"/>
        </w:rPr>
        <w:t xml:space="preserve"> fait la</w:t>
      </w:r>
      <w:r>
        <w:rPr>
          <w:rFonts w:cs="Arial"/>
        </w:rPr>
        <w:t xml:space="preserve"> </w:t>
      </w:r>
      <w:r w:rsidRPr="00141C91">
        <w:rPr>
          <w:rFonts w:cs="Arial"/>
        </w:rPr>
        <w:t>démonstration de sa “compétence dans des domaines ayant un lien direct avec des questions régies par la</w:t>
      </w:r>
      <w:r>
        <w:rPr>
          <w:rFonts w:cs="Arial"/>
        </w:rPr>
        <w:t xml:space="preserve"> </w:t>
      </w:r>
      <w:r w:rsidR="007035BA">
        <w:rPr>
          <w:rFonts w:cs="Arial"/>
        </w:rPr>
        <w:t>Convention UPOV”.</w:t>
      </w:r>
    </w:p>
    <w:p w:rsidR="00141C91" w:rsidRDefault="00141C91" w:rsidP="007737EF"/>
    <w:p w:rsidR="00141C91" w:rsidRDefault="00141C91" w:rsidP="007737EF">
      <w:r w:rsidRPr="009A6348">
        <w:fldChar w:fldCharType="begin"/>
      </w:r>
      <w:r w:rsidRPr="009A6348">
        <w:instrText xml:space="preserve"> AUTONUM  </w:instrText>
      </w:r>
      <w:r w:rsidRPr="009A6348">
        <w:fldChar w:fldCharType="end"/>
      </w:r>
      <w:r w:rsidRPr="009A6348">
        <w:tab/>
      </w:r>
      <w:r w:rsidRPr="00A94F02">
        <w:rPr>
          <w:lang w:val="fr-CH"/>
        </w:rPr>
        <w:t xml:space="preserve">En ce qui concerne la demande de l’Association européenne des étudiants en droit (ELSA) de l’octroi du statut d’observateur au Conseil ou au CAJ, le Comité consultatif </w:t>
      </w:r>
      <w:r>
        <w:rPr>
          <w:lang w:val="fr-CH"/>
        </w:rPr>
        <w:t xml:space="preserve">a </w:t>
      </w:r>
      <w:r w:rsidRPr="00A94F02">
        <w:rPr>
          <w:lang w:val="fr-CH"/>
        </w:rPr>
        <w:t>conclu que, à ce stade,</w:t>
      </w:r>
      <w:r w:rsidRPr="00A94F02">
        <w:t xml:space="preserve"> il n’</w:t>
      </w:r>
      <w:r>
        <w:t>était</w:t>
      </w:r>
      <w:r w:rsidRPr="00A94F02">
        <w:t xml:space="preserve"> pas possible de décider que l’ELSA a</w:t>
      </w:r>
      <w:r w:rsidR="007D4CA3">
        <w:t>vait</w:t>
      </w:r>
      <w:r w:rsidRPr="00A94F02">
        <w:t xml:space="preserve"> fait la démonstration de sa “compétence dans des domaines ayant un lien direct avec des questions régies par la Convention UPOV”</w:t>
      </w:r>
      <w:r w:rsidR="007035BA">
        <w:t>.</w:t>
      </w:r>
    </w:p>
    <w:p w:rsidR="00141C91" w:rsidRDefault="00141C91" w:rsidP="007737EF"/>
    <w:p w:rsidR="00141C91" w:rsidRDefault="00141C91" w:rsidP="007737EF">
      <w:r w:rsidRPr="009A6348">
        <w:fldChar w:fldCharType="begin"/>
      </w:r>
      <w:r w:rsidRPr="009A6348">
        <w:instrText xml:space="preserve"> AUTONUM  </w:instrText>
      </w:r>
      <w:r w:rsidRPr="009A6348">
        <w:fldChar w:fldCharType="end"/>
      </w:r>
      <w:r w:rsidRPr="009A6348">
        <w:tab/>
      </w:r>
      <w:r w:rsidR="007D4CA3" w:rsidRPr="00A94F02">
        <w:rPr>
          <w:lang w:val="fr-CH"/>
        </w:rPr>
        <w:t xml:space="preserve">Le Comité consultatif </w:t>
      </w:r>
      <w:r w:rsidR="007D4CA3">
        <w:rPr>
          <w:lang w:val="fr-CH"/>
        </w:rPr>
        <w:t>a demandé</w:t>
      </w:r>
      <w:r w:rsidR="007D4CA3" w:rsidRPr="00A94F02">
        <w:rPr>
          <w:lang w:val="fr-CH"/>
        </w:rPr>
        <w:t xml:space="preserve"> au Bureau de l’Union, lorsqu’il informe l’I</w:t>
      </w:r>
      <w:r w:rsidR="007D4CA3" w:rsidRPr="00A94F02">
        <w:rPr>
          <w:vertAlign w:val="superscript"/>
          <w:lang w:val="fr-CH"/>
        </w:rPr>
        <w:t>3</w:t>
      </w:r>
      <w:r w:rsidR="007D4CA3" w:rsidRPr="00A94F02">
        <w:rPr>
          <w:lang w:val="fr-CH"/>
        </w:rPr>
        <w:t>PM et l’ELSA des résultats, d’étudier les possibilités offertes pour fournir des informations concernant le système UPOV</w:t>
      </w:r>
      <w:r w:rsidR="007D4CA3" w:rsidRPr="00A94F02">
        <w:t xml:space="preserve"> </w:t>
      </w:r>
      <w:r w:rsidR="007D4CA3" w:rsidRPr="00A94F02">
        <w:rPr>
          <w:lang w:val="fr-CH"/>
        </w:rPr>
        <w:t>de protection des variétés à ses membres.</w:t>
      </w:r>
    </w:p>
    <w:p w:rsidR="00141C91" w:rsidRPr="008F3AFB" w:rsidRDefault="00141C91" w:rsidP="007737EF">
      <w:pPr>
        <w:rPr>
          <w:rFonts w:cs="Arial"/>
        </w:rPr>
      </w:pPr>
    </w:p>
    <w:p w:rsidR="007737EF" w:rsidRDefault="007737EF" w:rsidP="007737EF">
      <w:pPr>
        <w:rPr>
          <w:rFonts w:cs="Arial"/>
        </w:rPr>
      </w:pPr>
    </w:p>
    <w:p w:rsidR="007D4CA3" w:rsidRPr="007D4CA3" w:rsidRDefault="007D4CA3" w:rsidP="007D4CA3">
      <w:pPr>
        <w:pStyle w:val="Heading1"/>
        <w:rPr>
          <w:lang w:val="fr-FR"/>
        </w:rPr>
      </w:pPr>
      <w:bookmarkStart w:id="25" w:name="_Toc478652723"/>
      <w:r w:rsidRPr="007D4CA3">
        <w:rPr>
          <w:lang w:val="fr-FR"/>
        </w:rPr>
        <w:t>Stratégie de communication</w:t>
      </w:r>
      <w:bookmarkEnd w:id="25"/>
    </w:p>
    <w:p w:rsidR="007D4CA3" w:rsidRDefault="007D4CA3" w:rsidP="007737EF">
      <w:pPr>
        <w:rPr>
          <w:rFonts w:cs="Arial"/>
        </w:rPr>
      </w:pPr>
    </w:p>
    <w:p w:rsidR="007D4CA3" w:rsidRPr="00FF2AE3" w:rsidRDefault="007D4CA3" w:rsidP="007D4CA3">
      <w:pPr>
        <w:pStyle w:val="Heading2"/>
      </w:pPr>
      <w:bookmarkStart w:id="26" w:name="_Toc478652724"/>
      <w:r w:rsidRPr="00FF2AE3">
        <w:t>Nouveau logo de l’UPOV et mise à jour du site web</w:t>
      </w:r>
      <w:bookmarkEnd w:id="26"/>
    </w:p>
    <w:p w:rsidR="007D4CA3" w:rsidRDefault="007D4CA3" w:rsidP="007737EF">
      <w:pPr>
        <w:rPr>
          <w:rFonts w:cs="Arial"/>
        </w:rPr>
      </w:pPr>
    </w:p>
    <w:p w:rsidR="007D4CA3" w:rsidRPr="000773A8" w:rsidRDefault="00E8091D" w:rsidP="007D4CA3">
      <w:pPr>
        <w:rPr>
          <w:rFonts w:cs="Arial"/>
          <w:u w:val="single"/>
        </w:rPr>
      </w:pPr>
      <w:r w:rsidRPr="009A6348">
        <w:fldChar w:fldCharType="begin"/>
      </w:r>
      <w:r w:rsidRPr="009A6348">
        <w:instrText xml:space="preserve"> AUTONUM  </w:instrText>
      </w:r>
      <w:r w:rsidRPr="009A6348">
        <w:fldChar w:fldCharType="end"/>
      </w:r>
      <w:r w:rsidRPr="009A6348">
        <w:tab/>
      </w:r>
      <w:r w:rsidR="007D4CA3">
        <w:rPr>
          <w:rFonts w:cs="Arial"/>
        </w:rPr>
        <w:t>Le 8 novembre </w:t>
      </w:r>
      <w:r w:rsidR="007D4CA3" w:rsidRPr="000773A8">
        <w:rPr>
          <w:rFonts w:cs="Arial"/>
        </w:rPr>
        <w:t xml:space="preserve">2016, </w:t>
      </w:r>
      <w:r w:rsidR="007D4CA3">
        <w:rPr>
          <w:rFonts w:cs="Arial"/>
        </w:rPr>
        <w:t>l’</w:t>
      </w:r>
      <w:r w:rsidR="007D4CA3" w:rsidRPr="000773A8">
        <w:rPr>
          <w:rFonts w:cs="Arial"/>
        </w:rPr>
        <w:t>UPOV</w:t>
      </w:r>
      <w:r w:rsidR="007D4CA3">
        <w:rPr>
          <w:rFonts w:cs="Arial"/>
        </w:rPr>
        <w:t xml:space="preserve"> a</w:t>
      </w:r>
      <w:r w:rsidR="007D4CA3" w:rsidRPr="000773A8">
        <w:rPr>
          <w:rFonts w:cs="Arial"/>
        </w:rPr>
        <w:t xml:space="preserve"> lanc</w:t>
      </w:r>
      <w:r w:rsidR="007D4CA3">
        <w:rPr>
          <w:rFonts w:cs="Arial"/>
        </w:rPr>
        <w:t>é son nouveau logo sur le site Web de l’UPOV parallèlement à la présentation des nouvelles rubriques à l’intention des différentes parties prenantes, à savoir les obtenteurs, les agriculteurs, les responsables de l’élaboration des politiques et le grand public, et au lancement du canal de l’UPOV</w:t>
      </w:r>
      <w:r w:rsidR="007D4CA3" w:rsidRPr="000379B6">
        <w:rPr>
          <w:rFonts w:cs="Arial"/>
        </w:rPr>
        <w:t xml:space="preserve"> </w:t>
      </w:r>
      <w:r w:rsidR="007D4CA3">
        <w:rPr>
          <w:rFonts w:cs="Arial"/>
        </w:rPr>
        <w:t xml:space="preserve">sur </w:t>
      </w:r>
      <w:r w:rsidR="007D4CA3" w:rsidRPr="000773A8">
        <w:rPr>
          <w:rFonts w:cs="Arial"/>
        </w:rPr>
        <w:t>YouTube.</w:t>
      </w:r>
    </w:p>
    <w:p w:rsidR="007D4CA3" w:rsidRPr="000773A8" w:rsidRDefault="007D4CA3" w:rsidP="007D4CA3">
      <w:pPr>
        <w:rPr>
          <w:rFonts w:cs="Arial"/>
          <w:u w:val="single"/>
        </w:rPr>
      </w:pPr>
    </w:p>
    <w:p w:rsidR="007D4CA3" w:rsidRPr="000773A8" w:rsidRDefault="007D4CA3" w:rsidP="007D4CA3">
      <w:pPr>
        <w:rPr>
          <w:rFonts w:cs="Arial"/>
          <w:u w:val="single"/>
        </w:rPr>
      </w:pPr>
    </w:p>
    <w:p w:rsidR="007D4CA3" w:rsidRPr="000773A8" w:rsidRDefault="007D4CA3" w:rsidP="007D4CA3">
      <w:pPr>
        <w:rPr>
          <w:rFonts w:cs="Arial"/>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D4CA3" w:rsidRPr="000773A8" w:rsidTr="00FC00F4">
        <w:tc>
          <w:tcPr>
            <w:tcW w:w="9855" w:type="dxa"/>
          </w:tcPr>
          <w:p w:rsidR="007D4CA3" w:rsidRPr="000773A8" w:rsidRDefault="007D4CA3" w:rsidP="00FC00F4">
            <w:pPr>
              <w:jc w:val="center"/>
              <w:rPr>
                <w:rFonts w:cs="Arial"/>
              </w:rPr>
            </w:pPr>
            <w:r w:rsidRPr="000773A8">
              <w:rPr>
                <w:rFonts w:cs="Arial"/>
                <w:noProof/>
                <w:lang w:val="en-US"/>
              </w:rPr>
              <w:drawing>
                <wp:inline distT="0" distB="0" distL="0" distR="0" wp14:anchorId="21391372" wp14:editId="25ABB8A9">
                  <wp:extent cx="3009900" cy="771769"/>
                  <wp:effectExtent l="0" t="0" r="0" b="9525"/>
                  <wp:docPr id="1" name="Picture 1" descr="N:\OrgUPOV\Shared\Logo_new\Finalized_logo\logo\png_jpg\gree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Logo_new\Finalized_logo\logo\png_jpg\green_tran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9900" cy="771769"/>
                          </a:xfrm>
                          <a:prstGeom prst="rect">
                            <a:avLst/>
                          </a:prstGeom>
                          <a:noFill/>
                          <a:ln>
                            <a:noFill/>
                          </a:ln>
                        </pic:spPr>
                      </pic:pic>
                    </a:graphicData>
                  </a:graphic>
                </wp:inline>
              </w:drawing>
            </w:r>
          </w:p>
          <w:p w:rsidR="007D4CA3" w:rsidRPr="000773A8" w:rsidRDefault="007D4CA3" w:rsidP="00FC00F4">
            <w:pPr>
              <w:jc w:val="center"/>
              <w:rPr>
                <w:rFonts w:cs="Arial"/>
              </w:rPr>
            </w:pPr>
          </w:p>
          <w:p w:rsidR="007D4CA3" w:rsidRPr="000773A8" w:rsidRDefault="007D4CA3" w:rsidP="00FC00F4">
            <w:pPr>
              <w:jc w:val="center"/>
              <w:rPr>
                <w:rFonts w:cs="Arial"/>
              </w:rPr>
            </w:pPr>
          </w:p>
        </w:tc>
      </w:tr>
    </w:tbl>
    <w:p w:rsidR="007D4CA3" w:rsidRPr="000773A8" w:rsidRDefault="007D4CA3" w:rsidP="007D4CA3">
      <w:pPr>
        <w:rPr>
          <w:rFonts w:cs="Arial"/>
          <w:u w:val="single"/>
        </w:rPr>
      </w:pPr>
    </w:p>
    <w:p w:rsidR="007D4CA3" w:rsidRPr="00ED2126" w:rsidRDefault="007D4CA3" w:rsidP="007D4CA3">
      <w:pPr>
        <w:pStyle w:val="Heading2"/>
      </w:pPr>
      <w:bookmarkStart w:id="27" w:name="_Toc478652725"/>
      <w:r w:rsidRPr="00ED2126">
        <w:t>Questions fréquemment posées (FAQ)</w:t>
      </w:r>
      <w:bookmarkEnd w:id="27"/>
    </w:p>
    <w:p w:rsidR="007D4CA3" w:rsidRPr="000773A8" w:rsidRDefault="007D4CA3" w:rsidP="007D4CA3">
      <w:pPr>
        <w:rPr>
          <w:rFonts w:cs="Arial"/>
        </w:rPr>
      </w:pPr>
    </w:p>
    <w:p w:rsidR="007D4CA3" w:rsidRDefault="00ED2126" w:rsidP="007737EF">
      <w:pPr>
        <w:rPr>
          <w:rFonts w:cs="Arial"/>
        </w:rPr>
      </w:pPr>
      <w:r w:rsidRPr="009A6348">
        <w:fldChar w:fldCharType="begin"/>
      </w:r>
      <w:r w:rsidRPr="009A6348">
        <w:instrText xml:space="preserve"> AUTONUM  </w:instrText>
      </w:r>
      <w:r w:rsidRPr="009A6348">
        <w:fldChar w:fldCharType="end"/>
      </w:r>
      <w:r w:rsidRPr="009A6348">
        <w:tab/>
      </w:r>
      <w:r>
        <w:t>À sa q</w:t>
      </w:r>
      <w:r w:rsidRPr="00A94F02">
        <w:t>uatre-vingt-douzième session</w:t>
      </w:r>
      <w:r>
        <w:t>,</w:t>
      </w:r>
      <w:r w:rsidRPr="00A94F02">
        <w:rPr>
          <w:lang w:val="fr-CH"/>
        </w:rPr>
        <w:t xml:space="preserve"> </w:t>
      </w:r>
      <w:r>
        <w:rPr>
          <w:lang w:val="fr-CH"/>
        </w:rPr>
        <w:t>le</w:t>
      </w:r>
      <w:r w:rsidR="007035BA">
        <w:rPr>
          <w:lang w:val="fr-CH"/>
        </w:rPr>
        <w:t xml:space="preserve"> Comité consultatif </w:t>
      </w:r>
      <w:r w:rsidR="00B75EED">
        <w:rPr>
          <w:lang w:val="fr-CH"/>
        </w:rPr>
        <w:t>est</w:t>
      </w:r>
      <w:r w:rsidRPr="00A94F02">
        <w:rPr>
          <w:lang w:val="fr-CH"/>
        </w:rPr>
        <w:t xml:space="preserve"> convenu que le projet de questions et réponses proposé sur la manière dont le système UPOV de protection des obtentions végétales contribue aux objectifs de développement durable des Nations Unies</w:t>
      </w:r>
      <w:r>
        <w:rPr>
          <w:lang w:val="fr-CH"/>
        </w:rPr>
        <w:t xml:space="preserve"> </w:t>
      </w:r>
      <w:r w:rsidRPr="00A94F02">
        <w:rPr>
          <w:lang w:val="fr-CH"/>
        </w:rPr>
        <w:t>sera diffusé au Comité consultatif avec une invitation à formuler des propositions de révisions du texte et de fournir des exemples.  Compte tenu des contributions reçues, un nouveau projet sera établi pour examen par le Comité consultatif à sa quatre</w:t>
      </w:r>
      <w:r w:rsidR="007035BA">
        <w:rPr>
          <w:lang w:val="fr-CH"/>
        </w:rPr>
        <w:noBreakHyphen/>
      </w:r>
      <w:r w:rsidRPr="00A94F02">
        <w:rPr>
          <w:lang w:val="fr-CH"/>
        </w:rPr>
        <w:t>vingt</w:t>
      </w:r>
      <w:r w:rsidR="007035BA">
        <w:rPr>
          <w:lang w:val="fr-CH"/>
        </w:rPr>
        <w:noBreakHyphen/>
      </w:r>
      <w:r w:rsidRPr="00A94F02">
        <w:rPr>
          <w:lang w:val="fr-CH"/>
        </w:rPr>
        <w:t>quatorzième session en octobre</w:t>
      </w:r>
      <w:r w:rsidRPr="00A94F02">
        <w:rPr>
          <w:rFonts w:cs="Arial"/>
          <w:lang w:val="fr-CH"/>
        </w:rPr>
        <w:t> </w:t>
      </w:r>
      <w:r w:rsidRPr="00A94F02">
        <w:rPr>
          <w:lang w:val="fr-CH"/>
        </w:rPr>
        <w:t>2017</w:t>
      </w:r>
      <w:r w:rsidR="007035BA">
        <w:rPr>
          <w:lang w:val="fr-CH"/>
        </w:rPr>
        <w:t>.</w:t>
      </w:r>
    </w:p>
    <w:p w:rsidR="007D4CA3" w:rsidRDefault="007D4CA3" w:rsidP="007737EF">
      <w:pPr>
        <w:rPr>
          <w:rFonts w:cs="Arial"/>
        </w:rPr>
      </w:pPr>
    </w:p>
    <w:p w:rsidR="00E8091D" w:rsidRPr="0048127F" w:rsidRDefault="00326883" w:rsidP="00E8091D">
      <w:pPr>
        <w:pStyle w:val="Heading2"/>
      </w:pPr>
      <w:bookmarkStart w:id="28" w:name="_Toc478464908"/>
      <w:bookmarkStart w:id="29" w:name="_Toc478652726"/>
      <w:r w:rsidRPr="0048127F">
        <w:t>Av</w:t>
      </w:r>
      <w:r w:rsidR="00E8091D" w:rsidRPr="0048127F">
        <w:t>antages du système</w:t>
      </w:r>
      <w:r w:rsidRPr="0048127F">
        <w:t xml:space="preserve"> </w:t>
      </w:r>
      <w:r w:rsidR="00E8091D" w:rsidRPr="0048127F">
        <w:t>UPOV</w:t>
      </w:r>
      <w:bookmarkEnd w:id="28"/>
      <w:bookmarkEnd w:id="29"/>
    </w:p>
    <w:p w:rsidR="00E8091D" w:rsidRPr="0048127F" w:rsidRDefault="00E8091D" w:rsidP="00E8091D"/>
    <w:p w:rsidR="00ED2126" w:rsidRPr="00A94F02" w:rsidRDefault="00ED2126" w:rsidP="00ED2126">
      <w:pPr>
        <w:rPr>
          <w:lang w:val="fr-CH"/>
        </w:rPr>
      </w:pPr>
      <w:r w:rsidRPr="00A94F02">
        <w:fldChar w:fldCharType="begin"/>
      </w:r>
      <w:r w:rsidRPr="00A94F02">
        <w:rPr>
          <w:lang w:val="fr-CH"/>
        </w:rPr>
        <w:instrText xml:space="preserve"> AUTONUM  </w:instrText>
      </w:r>
      <w:r w:rsidRPr="00A94F02">
        <w:fldChar w:fldCharType="end"/>
      </w:r>
      <w:r w:rsidRPr="00A94F02">
        <w:rPr>
          <w:lang w:val="fr-CH"/>
        </w:rPr>
        <w:tab/>
        <w:t xml:space="preserve">Le Comité consultatif </w:t>
      </w:r>
      <w:r w:rsidR="00B75EED">
        <w:rPr>
          <w:lang w:val="fr-CH"/>
        </w:rPr>
        <w:t>est</w:t>
      </w:r>
      <w:r w:rsidR="007035BA" w:rsidRPr="00A94F02">
        <w:rPr>
          <w:lang w:val="fr-CH"/>
        </w:rPr>
        <w:t xml:space="preserve"> </w:t>
      </w:r>
      <w:r w:rsidRPr="00A94F02">
        <w:rPr>
          <w:lang w:val="fr-CH"/>
        </w:rPr>
        <w:t>convenu qu’il sera impossible d’établir une version actualisée de l’étude d’impact sous sa forme actuelle et que les différents membres de l’Union devraient être encouragés à entreprendre leurs propres études et fournir les informations qui en découlent au Bureau de l’Union.  Il</w:t>
      </w:r>
      <w:r w:rsidR="007035BA">
        <w:rPr>
          <w:lang w:val="fr-CH"/>
        </w:rPr>
        <w:t xml:space="preserve"> a</w:t>
      </w:r>
      <w:r w:rsidRPr="00A94F02">
        <w:rPr>
          <w:lang w:val="fr-CH"/>
        </w:rPr>
        <w:t xml:space="preserve"> </w:t>
      </w:r>
      <w:r w:rsidR="007035BA">
        <w:rPr>
          <w:lang w:val="fr-CH"/>
        </w:rPr>
        <w:t>décidé</w:t>
      </w:r>
      <w:r w:rsidRPr="00A94F02">
        <w:rPr>
          <w:lang w:val="fr-CH"/>
        </w:rPr>
        <w:t xml:space="preserve"> également que le Bureau de l’Union devrait réaliser des vidéos pour illustrer les divers avantages du système UPOV de protection des obtentions végétales.</w:t>
      </w:r>
    </w:p>
    <w:p w:rsidR="00ED2126" w:rsidRPr="00ED2126" w:rsidRDefault="00ED2126" w:rsidP="007737EF">
      <w:pPr>
        <w:rPr>
          <w:rFonts w:cs="Arial"/>
          <w:lang w:val="fr-CH"/>
        </w:rPr>
      </w:pPr>
    </w:p>
    <w:p w:rsidR="007737EF" w:rsidRPr="007737EF" w:rsidRDefault="007737EF" w:rsidP="007737EF">
      <w:pPr>
        <w:pStyle w:val="Heading2"/>
      </w:pPr>
      <w:bookmarkStart w:id="30" w:name="_Toc478652727"/>
      <w:r w:rsidRPr="007737EF">
        <w:lastRenderedPageBreak/>
        <w:t>Cours d’enseignement à distance</w:t>
      </w:r>
      <w:bookmarkEnd w:id="30"/>
    </w:p>
    <w:p w:rsidR="007737EF" w:rsidRPr="009A6348" w:rsidRDefault="007737EF" w:rsidP="007737EF">
      <w:pPr>
        <w:keepNext/>
        <w:rPr>
          <w:rFonts w:cs="Arial"/>
        </w:rPr>
      </w:pPr>
    </w:p>
    <w:p w:rsidR="007737EF" w:rsidRPr="009A6348" w:rsidRDefault="007737EF" w:rsidP="007035BA">
      <w:pPr>
        <w:autoSpaceDE w:val="0"/>
        <w:autoSpaceDN w:val="0"/>
        <w:adjustRightInd w:val="0"/>
        <w:rPr>
          <w:rFonts w:cs="Arial"/>
        </w:rPr>
      </w:pPr>
      <w:r w:rsidRPr="009A6348">
        <w:rPr>
          <w:rFonts w:cs="Arial"/>
        </w:rPr>
        <w:fldChar w:fldCharType="begin"/>
      </w:r>
      <w:r w:rsidRPr="009A6348">
        <w:rPr>
          <w:rFonts w:cs="Arial"/>
        </w:rPr>
        <w:instrText xml:space="preserve"> AUTONUM  </w:instrText>
      </w:r>
      <w:r w:rsidRPr="009A6348">
        <w:rPr>
          <w:rFonts w:cs="Arial"/>
        </w:rPr>
        <w:fldChar w:fldCharType="end"/>
      </w:r>
      <w:r w:rsidRPr="009A6348">
        <w:rPr>
          <w:rFonts w:cs="Arial"/>
        </w:rPr>
        <w:tab/>
        <w:t>Deux sessions de chacun des cours d’enseignement à distance suivants seront organisées en français, allemand, anglais et espagnol en 201</w:t>
      </w:r>
      <w:r w:rsidR="00ED2126">
        <w:rPr>
          <w:rFonts w:cs="Arial"/>
        </w:rPr>
        <w:t>7</w:t>
      </w:r>
      <w:r w:rsidRPr="009A6348">
        <w:rPr>
          <w:rFonts w:cs="Arial"/>
        </w:rPr>
        <w:t> :</w:t>
      </w:r>
    </w:p>
    <w:p w:rsidR="007737EF" w:rsidRPr="009A6348" w:rsidRDefault="007737EF" w:rsidP="007737EF">
      <w:pPr>
        <w:autoSpaceDE w:val="0"/>
        <w:autoSpaceDN w:val="0"/>
        <w:adjustRightInd w:val="0"/>
        <w:jc w:val="left"/>
        <w:rPr>
          <w:rFonts w:cs="Arial"/>
        </w:rPr>
      </w:pPr>
    </w:p>
    <w:p w:rsidR="007737EF" w:rsidRPr="009A6348" w:rsidRDefault="007737EF" w:rsidP="007737EF">
      <w:pPr>
        <w:pStyle w:val="ListParagraph"/>
        <w:numPr>
          <w:ilvl w:val="0"/>
          <w:numId w:val="16"/>
        </w:numPr>
        <w:autoSpaceDE w:val="0"/>
        <w:autoSpaceDN w:val="0"/>
        <w:adjustRightInd w:val="0"/>
        <w:jc w:val="left"/>
        <w:rPr>
          <w:rFonts w:cs="Arial"/>
          <w:lang w:val="fr-FR"/>
        </w:rPr>
      </w:pPr>
      <w:r w:rsidRPr="009A6348">
        <w:rPr>
          <w:rFonts w:cs="Arial"/>
          <w:lang w:val="fr-FR"/>
        </w:rPr>
        <w:t xml:space="preserve">DL </w:t>
      </w:r>
      <w:r w:rsidRPr="009A6348">
        <w:rPr>
          <w:rFonts w:cs="Arial"/>
          <w:lang w:val="fr-FR"/>
        </w:rPr>
        <w:noBreakHyphen/>
        <w:t>205 “Introduction au système UPOV de protection des obtentions végétales selon la Convention UPOV”</w:t>
      </w:r>
    </w:p>
    <w:p w:rsidR="007737EF" w:rsidRPr="009A6348" w:rsidRDefault="007737EF" w:rsidP="007737EF">
      <w:pPr>
        <w:pStyle w:val="ListParagraph"/>
        <w:numPr>
          <w:ilvl w:val="0"/>
          <w:numId w:val="16"/>
        </w:numPr>
        <w:autoSpaceDE w:val="0"/>
        <w:autoSpaceDN w:val="0"/>
        <w:adjustRightInd w:val="0"/>
        <w:jc w:val="left"/>
        <w:rPr>
          <w:rFonts w:cs="Arial"/>
          <w:lang w:val="fr-FR"/>
        </w:rPr>
      </w:pPr>
      <w:r w:rsidRPr="009A6348">
        <w:rPr>
          <w:rFonts w:cs="Arial"/>
          <w:lang w:val="fr-FR"/>
        </w:rPr>
        <w:t>DL</w:t>
      </w:r>
      <w:r w:rsidRPr="009A6348">
        <w:rPr>
          <w:rFonts w:cs="Arial"/>
          <w:lang w:val="fr-FR"/>
        </w:rPr>
        <w:noBreakHyphen/>
        <w:t>305 “Examen des demandes de droits d’obtenteur”</w:t>
      </w:r>
    </w:p>
    <w:p w:rsidR="007737EF" w:rsidRPr="009A6348" w:rsidRDefault="007737EF" w:rsidP="007737EF">
      <w:pPr>
        <w:pStyle w:val="ListParagraph"/>
        <w:numPr>
          <w:ilvl w:val="0"/>
          <w:numId w:val="16"/>
        </w:numPr>
        <w:autoSpaceDE w:val="0"/>
        <w:autoSpaceDN w:val="0"/>
        <w:adjustRightInd w:val="0"/>
        <w:jc w:val="left"/>
        <w:rPr>
          <w:rFonts w:cs="Arial"/>
          <w:lang w:val="fr-FR"/>
        </w:rPr>
      </w:pPr>
      <w:r w:rsidRPr="009A6348">
        <w:rPr>
          <w:rFonts w:cs="Arial"/>
          <w:lang w:val="fr-FR"/>
        </w:rPr>
        <w:t>DL</w:t>
      </w:r>
      <w:r w:rsidRPr="009A6348">
        <w:rPr>
          <w:rFonts w:cs="Arial"/>
          <w:lang w:val="fr-FR"/>
        </w:rPr>
        <w:noBreakHyphen/>
        <w:t>305A “Administration des droits d’obtenteur” (Partie A du cours DL</w:t>
      </w:r>
      <w:r w:rsidRPr="009A6348">
        <w:rPr>
          <w:rFonts w:cs="Arial"/>
          <w:lang w:val="fr-FR"/>
        </w:rPr>
        <w:noBreakHyphen/>
        <w:t>305)</w:t>
      </w:r>
    </w:p>
    <w:p w:rsidR="007737EF" w:rsidRPr="009A6348" w:rsidRDefault="007737EF" w:rsidP="007737EF">
      <w:pPr>
        <w:pStyle w:val="ListParagraph"/>
        <w:numPr>
          <w:ilvl w:val="0"/>
          <w:numId w:val="16"/>
        </w:numPr>
        <w:autoSpaceDE w:val="0"/>
        <w:autoSpaceDN w:val="0"/>
        <w:adjustRightInd w:val="0"/>
        <w:jc w:val="left"/>
        <w:rPr>
          <w:rFonts w:cs="Arial"/>
          <w:lang w:val="fr-FR"/>
        </w:rPr>
      </w:pPr>
      <w:r w:rsidRPr="009A6348">
        <w:rPr>
          <w:rFonts w:cs="Arial"/>
          <w:lang w:val="fr-FR"/>
        </w:rPr>
        <w:t>DL</w:t>
      </w:r>
      <w:r w:rsidRPr="009A6348">
        <w:rPr>
          <w:rFonts w:cs="Arial"/>
          <w:lang w:val="fr-FR"/>
        </w:rPr>
        <w:noBreakHyphen/>
        <w:t>305B “Examen DHS” (Partie B du cours DL</w:t>
      </w:r>
      <w:r w:rsidRPr="009A6348">
        <w:rPr>
          <w:rFonts w:cs="Arial"/>
          <w:lang w:val="fr-FR"/>
        </w:rPr>
        <w:noBreakHyphen/>
        <w:t>305)</w:t>
      </w:r>
    </w:p>
    <w:p w:rsidR="007737EF" w:rsidRPr="009A6348" w:rsidRDefault="007737EF" w:rsidP="007737EF">
      <w:pPr>
        <w:autoSpaceDE w:val="0"/>
        <w:autoSpaceDN w:val="0"/>
        <w:adjustRightInd w:val="0"/>
        <w:jc w:val="left"/>
        <w:rPr>
          <w:rFonts w:cs="Arial"/>
        </w:rPr>
      </w:pPr>
    </w:p>
    <w:p w:rsidR="007737EF" w:rsidRPr="009A6348" w:rsidRDefault="007737EF" w:rsidP="007737EF">
      <w:pPr>
        <w:autoSpaceDE w:val="0"/>
        <w:autoSpaceDN w:val="0"/>
        <w:adjustRightInd w:val="0"/>
        <w:jc w:val="left"/>
        <w:rPr>
          <w:rFonts w:cs="Arial"/>
        </w:rPr>
      </w:pPr>
      <w:r w:rsidRPr="009A6348">
        <w:rPr>
          <w:rFonts w:cs="Arial"/>
        </w:rPr>
        <w:fldChar w:fldCharType="begin"/>
      </w:r>
      <w:r w:rsidRPr="009A6348">
        <w:rPr>
          <w:rFonts w:cs="Arial"/>
        </w:rPr>
        <w:instrText xml:space="preserve"> AUTONUM  </w:instrText>
      </w:r>
      <w:r w:rsidRPr="009A6348">
        <w:rPr>
          <w:rFonts w:cs="Arial"/>
        </w:rPr>
        <w:fldChar w:fldCharType="end"/>
      </w:r>
      <w:r w:rsidRPr="009A6348">
        <w:rPr>
          <w:rFonts w:cs="Arial"/>
        </w:rPr>
        <w:tab/>
        <w:t>Le calendrier de tous les cours est le suivant :</w:t>
      </w:r>
    </w:p>
    <w:p w:rsidR="007737EF" w:rsidRPr="009A6348" w:rsidRDefault="007737EF" w:rsidP="007737EF">
      <w:pPr>
        <w:autoSpaceDE w:val="0"/>
        <w:autoSpaceDN w:val="0"/>
        <w:adjustRightInd w:val="0"/>
        <w:jc w:val="left"/>
        <w:rPr>
          <w:rFonts w:cs="Arial"/>
        </w:rPr>
      </w:pPr>
    </w:p>
    <w:p w:rsidR="007737EF" w:rsidRPr="009A6348" w:rsidRDefault="007737EF" w:rsidP="007737EF">
      <w:pPr>
        <w:autoSpaceDE w:val="0"/>
        <w:autoSpaceDN w:val="0"/>
        <w:adjustRightInd w:val="0"/>
        <w:ind w:left="567"/>
        <w:jc w:val="left"/>
        <w:rPr>
          <w:rFonts w:cs="Arial"/>
          <w:i/>
        </w:rPr>
      </w:pPr>
      <w:r w:rsidRPr="009A6348">
        <w:rPr>
          <w:rFonts w:cs="Arial"/>
          <w:i/>
        </w:rPr>
        <w:t>Session I – 201</w:t>
      </w:r>
      <w:r w:rsidR="00ED2126">
        <w:rPr>
          <w:rFonts w:cs="Arial"/>
          <w:i/>
        </w:rPr>
        <w:t>7</w:t>
      </w:r>
    </w:p>
    <w:p w:rsidR="007737EF" w:rsidRPr="009A6348" w:rsidRDefault="007737EF" w:rsidP="007737EF">
      <w:pPr>
        <w:autoSpaceDE w:val="0"/>
        <w:autoSpaceDN w:val="0"/>
        <w:adjustRightInd w:val="0"/>
        <w:ind w:left="567"/>
        <w:jc w:val="left"/>
        <w:rPr>
          <w:rFonts w:cs="Arial"/>
        </w:rPr>
      </w:pPr>
    </w:p>
    <w:p w:rsidR="007737EF" w:rsidRPr="009A6348" w:rsidRDefault="00ED2126" w:rsidP="007737EF">
      <w:pPr>
        <w:autoSpaceDE w:val="0"/>
        <w:autoSpaceDN w:val="0"/>
        <w:adjustRightInd w:val="0"/>
        <w:ind w:left="567"/>
        <w:jc w:val="left"/>
        <w:rPr>
          <w:rFonts w:cs="Arial"/>
        </w:rPr>
      </w:pPr>
      <w:r>
        <w:rPr>
          <w:rFonts w:cs="Arial"/>
        </w:rPr>
        <w:t>Inscription : 9</w:t>
      </w:r>
      <w:r w:rsidR="007737EF" w:rsidRPr="009A6348">
        <w:rPr>
          <w:rFonts w:cs="Arial"/>
        </w:rPr>
        <w:t xml:space="preserve"> janvier – </w:t>
      </w:r>
      <w:r>
        <w:rPr>
          <w:rFonts w:cs="Arial"/>
        </w:rPr>
        <w:t>10</w:t>
      </w:r>
      <w:r w:rsidR="007737EF" w:rsidRPr="009A6348">
        <w:rPr>
          <w:rFonts w:cs="Arial"/>
        </w:rPr>
        <w:t> février</w:t>
      </w:r>
    </w:p>
    <w:p w:rsidR="007737EF" w:rsidRPr="009A6348" w:rsidRDefault="007737EF" w:rsidP="007737EF">
      <w:pPr>
        <w:autoSpaceDE w:val="0"/>
        <w:autoSpaceDN w:val="0"/>
        <w:adjustRightInd w:val="0"/>
        <w:ind w:left="567"/>
        <w:jc w:val="left"/>
        <w:rPr>
          <w:rFonts w:cs="Arial"/>
        </w:rPr>
      </w:pPr>
      <w:r w:rsidRPr="009A6348">
        <w:rPr>
          <w:rFonts w:cs="Arial"/>
        </w:rPr>
        <w:t xml:space="preserve">Période d’étude : </w:t>
      </w:r>
      <w:r w:rsidR="00ED2126">
        <w:rPr>
          <w:rFonts w:cs="Arial"/>
        </w:rPr>
        <w:t>6 mars</w:t>
      </w:r>
      <w:r w:rsidRPr="009A6348">
        <w:rPr>
          <w:rFonts w:cs="Arial"/>
        </w:rPr>
        <w:t xml:space="preserve">– </w:t>
      </w:r>
      <w:r w:rsidR="00ED2126">
        <w:rPr>
          <w:rFonts w:cs="Arial"/>
        </w:rPr>
        <w:t>9 avril</w:t>
      </w:r>
    </w:p>
    <w:p w:rsidR="007737EF" w:rsidRPr="009A6348" w:rsidRDefault="007737EF" w:rsidP="007737EF">
      <w:pPr>
        <w:autoSpaceDE w:val="0"/>
        <w:autoSpaceDN w:val="0"/>
        <w:adjustRightInd w:val="0"/>
        <w:ind w:left="567"/>
        <w:jc w:val="left"/>
        <w:rPr>
          <w:rFonts w:cs="Arial"/>
        </w:rPr>
      </w:pPr>
      <w:r w:rsidRPr="009A6348">
        <w:rPr>
          <w:rFonts w:cs="Arial"/>
        </w:rPr>
        <w:t xml:space="preserve">Examen final : </w:t>
      </w:r>
      <w:r w:rsidR="00ED2126">
        <w:rPr>
          <w:rFonts w:cs="Arial"/>
        </w:rPr>
        <w:t>3 – 9 avril</w:t>
      </w:r>
    </w:p>
    <w:p w:rsidR="007737EF" w:rsidRPr="009A6348" w:rsidRDefault="007737EF" w:rsidP="007737EF">
      <w:pPr>
        <w:autoSpaceDE w:val="0"/>
        <w:autoSpaceDN w:val="0"/>
        <w:adjustRightInd w:val="0"/>
        <w:ind w:left="567"/>
        <w:jc w:val="left"/>
        <w:rPr>
          <w:rFonts w:cs="Arial"/>
        </w:rPr>
      </w:pPr>
    </w:p>
    <w:p w:rsidR="007737EF" w:rsidRPr="009A6348" w:rsidRDefault="007737EF" w:rsidP="007737EF">
      <w:pPr>
        <w:autoSpaceDE w:val="0"/>
        <w:autoSpaceDN w:val="0"/>
        <w:adjustRightInd w:val="0"/>
        <w:ind w:left="567"/>
        <w:jc w:val="left"/>
        <w:rPr>
          <w:rFonts w:cs="Arial"/>
          <w:i/>
        </w:rPr>
      </w:pPr>
      <w:r w:rsidRPr="009A6348">
        <w:rPr>
          <w:rFonts w:cs="Arial"/>
          <w:i/>
        </w:rPr>
        <w:t>Session II – 201</w:t>
      </w:r>
      <w:r w:rsidR="00ED2126">
        <w:rPr>
          <w:rFonts w:cs="Arial"/>
          <w:i/>
        </w:rPr>
        <w:t>7</w:t>
      </w:r>
    </w:p>
    <w:p w:rsidR="007737EF" w:rsidRPr="009A6348" w:rsidRDefault="007737EF" w:rsidP="007737EF">
      <w:pPr>
        <w:autoSpaceDE w:val="0"/>
        <w:autoSpaceDN w:val="0"/>
        <w:adjustRightInd w:val="0"/>
        <w:ind w:left="567"/>
        <w:jc w:val="left"/>
        <w:rPr>
          <w:rFonts w:cs="Arial"/>
        </w:rPr>
      </w:pPr>
    </w:p>
    <w:p w:rsidR="007737EF" w:rsidRPr="009A6348" w:rsidRDefault="007737EF" w:rsidP="007737EF">
      <w:pPr>
        <w:autoSpaceDE w:val="0"/>
        <w:autoSpaceDN w:val="0"/>
        <w:adjustRightInd w:val="0"/>
        <w:ind w:left="567"/>
        <w:jc w:val="left"/>
        <w:rPr>
          <w:rFonts w:cs="Arial"/>
        </w:rPr>
      </w:pPr>
      <w:r w:rsidRPr="009A6348">
        <w:rPr>
          <w:rFonts w:cs="Arial"/>
        </w:rPr>
        <w:t xml:space="preserve">Inscription : </w:t>
      </w:r>
      <w:r w:rsidR="00ED2126">
        <w:rPr>
          <w:rFonts w:cs="Arial"/>
        </w:rPr>
        <w:t xml:space="preserve">7 août – </w:t>
      </w:r>
      <w:r w:rsidRPr="009A6348">
        <w:rPr>
          <w:rFonts w:cs="Arial"/>
        </w:rPr>
        <w:t>8 septembre</w:t>
      </w:r>
    </w:p>
    <w:p w:rsidR="007737EF" w:rsidRPr="009A6348" w:rsidRDefault="007737EF" w:rsidP="007737EF">
      <w:pPr>
        <w:autoSpaceDE w:val="0"/>
        <w:autoSpaceDN w:val="0"/>
        <w:adjustRightInd w:val="0"/>
        <w:ind w:left="567"/>
        <w:jc w:val="left"/>
        <w:rPr>
          <w:rFonts w:cs="Arial"/>
        </w:rPr>
      </w:pPr>
      <w:r w:rsidRPr="009A6348">
        <w:rPr>
          <w:rFonts w:cs="Arial"/>
        </w:rPr>
        <w:t>Pé</w:t>
      </w:r>
      <w:r w:rsidR="00ED2126">
        <w:rPr>
          <w:rFonts w:cs="Arial"/>
        </w:rPr>
        <w:t>riode d’étude : 25 septembre – 29</w:t>
      </w:r>
      <w:r w:rsidRPr="009A6348">
        <w:rPr>
          <w:rFonts w:cs="Arial"/>
        </w:rPr>
        <w:t> octobre</w:t>
      </w:r>
    </w:p>
    <w:p w:rsidR="007737EF" w:rsidRPr="009A6348" w:rsidRDefault="007737EF" w:rsidP="007737EF">
      <w:pPr>
        <w:ind w:left="567"/>
        <w:rPr>
          <w:rFonts w:cs="Arial"/>
        </w:rPr>
      </w:pPr>
      <w:r w:rsidRPr="009A6348">
        <w:rPr>
          <w:rFonts w:cs="Arial"/>
        </w:rPr>
        <w:t>Examen final : 2</w:t>
      </w:r>
      <w:r w:rsidR="00ED2126">
        <w:rPr>
          <w:rFonts w:cs="Arial"/>
        </w:rPr>
        <w:t>3</w:t>
      </w:r>
      <w:r w:rsidRPr="009A6348">
        <w:rPr>
          <w:rFonts w:cs="Arial"/>
        </w:rPr>
        <w:t xml:space="preserve"> – </w:t>
      </w:r>
      <w:r w:rsidR="00ED2126">
        <w:rPr>
          <w:rFonts w:cs="Arial"/>
        </w:rPr>
        <w:t>29</w:t>
      </w:r>
      <w:r w:rsidRPr="009A6348">
        <w:rPr>
          <w:rFonts w:cs="Arial"/>
        </w:rPr>
        <w:t> octobre</w:t>
      </w:r>
    </w:p>
    <w:p w:rsidR="007737EF" w:rsidRPr="009A6348" w:rsidRDefault="007737EF" w:rsidP="007737EF">
      <w:pPr>
        <w:rPr>
          <w:rFonts w:cs="Arial"/>
          <w:highlight w:val="cyan"/>
        </w:rPr>
      </w:pPr>
    </w:p>
    <w:p w:rsidR="007737EF" w:rsidRPr="009A6348" w:rsidRDefault="007737EF" w:rsidP="007737EF">
      <w:pPr>
        <w:rPr>
          <w:rFonts w:cs="Arial"/>
        </w:rPr>
      </w:pPr>
      <w:r w:rsidRPr="009A6348">
        <w:rPr>
          <w:rFonts w:cs="Arial"/>
        </w:rPr>
        <w:t>(</w:t>
      </w:r>
      <w:proofErr w:type="gramStart"/>
      <w:r w:rsidRPr="009A6348">
        <w:rPr>
          <w:rFonts w:cs="Arial"/>
        </w:rPr>
        <w:t>voir</w:t>
      </w:r>
      <w:proofErr w:type="gramEnd"/>
      <w:r w:rsidRPr="009A6348">
        <w:rPr>
          <w:rFonts w:cs="Arial"/>
        </w:rPr>
        <w:t xml:space="preserve"> </w:t>
      </w:r>
      <w:hyperlink r:id="rId14" w:history="1">
        <w:r w:rsidRPr="00E619C6">
          <w:rPr>
            <w:rStyle w:val="Hyperlink"/>
          </w:rPr>
          <w:t>http://www.upov.int/resource/fr/training.html</w:t>
        </w:r>
      </w:hyperlink>
      <w:r w:rsidRPr="009A6348">
        <w:rPr>
          <w:rFonts w:cs="Arial"/>
        </w:rPr>
        <w:t>)</w:t>
      </w:r>
    </w:p>
    <w:p w:rsidR="007737EF" w:rsidRPr="009A6348" w:rsidRDefault="007737EF" w:rsidP="007737EF">
      <w:pPr>
        <w:keepNext/>
        <w:rPr>
          <w:rFonts w:cs="Arial"/>
        </w:rPr>
      </w:pPr>
    </w:p>
    <w:p w:rsidR="007737EF" w:rsidRDefault="007737EF" w:rsidP="007737EF">
      <w:pPr>
        <w:rPr>
          <w:rFonts w:cs="Arial"/>
          <w:snapToGrid w:val="0"/>
        </w:rPr>
      </w:pPr>
    </w:p>
    <w:p w:rsidR="00177B13" w:rsidRPr="00177B13" w:rsidRDefault="00177B13" w:rsidP="00177B13">
      <w:pPr>
        <w:pStyle w:val="Heading1"/>
        <w:rPr>
          <w:lang w:val="fr-FR"/>
        </w:rPr>
      </w:pPr>
      <w:bookmarkStart w:id="31" w:name="_Toc478464910"/>
      <w:bookmarkStart w:id="32" w:name="_Toc478652728"/>
      <w:r w:rsidRPr="00ED2126">
        <w:rPr>
          <w:snapToGrid w:val="0"/>
          <w:lang w:val="fr-FR"/>
        </w:rPr>
        <w:t>formulaire de demande électronique</w:t>
      </w:r>
      <w:r w:rsidRPr="00177B13">
        <w:rPr>
          <w:lang w:val="fr-FR"/>
        </w:rPr>
        <w:t xml:space="preserve"> de l’UPOV</w:t>
      </w:r>
      <w:bookmarkEnd w:id="31"/>
      <w:bookmarkEnd w:id="32"/>
    </w:p>
    <w:p w:rsidR="00177B13" w:rsidRPr="00177B13" w:rsidRDefault="00177B13" w:rsidP="00177B13"/>
    <w:p w:rsidR="00177B13" w:rsidRPr="00FC00F4" w:rsidRDefault="00177B13" w:rsidP="00177B13">
      <w:pPr>
        <w:rPr>
          <w:rFonts w:cs="Arial"/>
        </w:rPr>
      </w:pPr>
      <w:r w:rsidRPr="00454EC9">
        <w:fldChar w:fldCharType="begin"/>
      </w:r>
      <w:r w:rsidRPr="00FC00F4">
        <w:instrText xml:space="preserve"> AUTONUM  </w:instrText>
      </w:r>
      <w:r w:rsidRPr="00454EC9">
        <w:fldChar w:fldCharType="end"/>
      </w:r>
      <w:r w:rsidRPr="00FC00F4">
        <w:tab/>
      </w:r>
      <w:r w:rsidR="00FC00F4">
        <w:rPr>
          <w:snapToGrid w:val="0"/>
        </w:rPr>
        <w:t>L’</w:t>
      </w:r>
      <w:r w:rsidR="00FC00F4" w:rsidRPr="00286952">
        <w:rPr>
          <w:snapToGrid w:val="0"/>
        </w:rPr>
        <w:t>évolution des travaux concernant</w:t>
      </w:r>
      <w:r w:rsidR="00FC00F4">
        <w:rPr>
          <w:rFonts w:cs="Arial"/>
          <w:snapToGrid w:val="0"/>
        </w:rPr>
        <w:t xml:space="preserve"> </w:t>
      </w:r>
      <w:r w:rsidR="00FC00F4" w:rsidRPr="00FC00F4">
        <w:t xml:space="preserve">le </w:t>
      </w:r>
      <w:r w:rsidR="00FC00F4" w:rsidRPr="00ED2126">
        <w:rPr>
          <w:snapToGrid w:val="0"/>
        </w:rPr>
        <w:t>formulaire de demande électronique</w:t>
      </w:r>
      <w:r w:rsidR="00FC00F4" w:rsidRPr="00FC00F4">
        <w:t xml:space="preserve"> </w:t>
      </w:r>
      <w:r w:rsidR="00FC00F4">
        <w:t xml:space="preserve">sont présentés dans le document TC/53/7 </w:t>
      </w:r>
      <w:r w:rsidRPr="00FC00F4">
        <w:t>“</w:t>
      </w:r>
      <w:r w:rsidR="00FC00F4" w:rsidRPr="00FC00F4">
        <w:t xml:space="preserve"> </w:t>
      </w:r>
      <w:r w:rsidR="00FC00F4">
        <w:t>Formulaire de demande électronique</w:t>
      </w:r>
      <w:r w:rsidRPr="00FC00F4">
        <w:rPr>
          <w:rFonts w:cs="Arial"/>
        </w:rPr>
        <w:t>”.</w:t>
      </w:r>
    </w:p>
    <w:p w:rsidR="00177B13" w:rsidRPr="00FC00F4" w:rsidRDefault="00177B13" w:rsidP="007737EF">
      <w:pPr>
        <w:rPr>
          <w:rFonts w:cs="Arial"/>
          <w:snapToGrid w:val="0"/>
        </w:rPr>
      </w:pPr>
    </w:p>
    <w:p w:rsidR="00177B13" w:rsidRPr="00FC00F4" w:rsidRDefault="00177B13" w:rsidP="007737EF">
      <w:pPr>
        <w:rPr>
          <w:rFonts w:cs="Arial"/>
          <w:snapToGrid w:val="0"/>
        </w:rPr>
      </w:pPr>
    </w:p>
    <w:p w:rsidR="007737EF" w:rsidRPr="00ED2126" w:rsidRDefault="007737EF" w:rsidP="007737EF">
      <w:pPr>
        <w:pStyle w:val="Heading1"/>
        <w:rPr>
          <w:lang w:val="fr-FR"/>
        </w:rPr>
      </w:pPr>
      <w:bookmarkStart w:id="33" w:name="_Toc381174877"/>
      <w:bookmarkStart w:id="34" w:name="_Toc478652729"/>
      <w:r w:rsidRPr="007737EF">
        <w:rPr>
          <w:lang w:val="fr-FR"/>
        </w:rPr>
        <w:t>SYSTÈME INTERNATIONAL DE COOPÉRATION (ISC)</w:t>
      </w:r>
      <w:bookmarkEnd w:id="34"/>
    </w:p>
    <w:p w:rsidR="007737EF" w:rsidRPr="009A6348" w:rsidRDefault="007737EF" w:rsidP="007737EF">
      <w:pPr>
        <w:rPr>
          <w:rFonts w:cs="Arial"/>
        </w:rPr>
      </w:pPr>
    </w:p>
    <w:p w:rsidR="00ED2126" w:rsidRPr="00A94F02" w:rsidRDefault="007737EF" w:rsidP="00ED2126">
      <w:pPr>
        <w:keepNext/>
      </w:pPr>
      <w:r w:rsidRPr="009A6348">
        <w:fldChar w:fldCharType="begin"/>
      </w:r>
      <w:r w:rsidRPr="009A6348">
        <w:instrText xml:space="preserve"> AUTONUM  </w:instrText>
      </w:r>
      <w:r w:rsidRPr="009A6348">
        <w:fldChar w:fldCharType="end"/>
      </w:r>
      <w:r w:rsidRPr="009A6348">
        <w:tab/>
      </w:r>
      <w:r w:rsidR="00ED2126">
        <w:t>À sa q</w:t>
      </w:r>
      <w:r w:rsidR="00ED2126" w:rsidRPr="00A94F02">
        <w:t>uatre-vingt-douzième session</w:t>
      </w:r>
      <w:r w:rsidR="00ED2126">
        <w:t>,</w:t>
      </w:r>
      <w:r w:rsidR="00ED2126" w:rsidRPr="00A94F02">
        <w:rPr>
          <w:lang w:val="fr-CH"/>
        </w:rPr>
        <w:t xml:space="preserve"> </w:t>
      </w:r>
      <w:r w:rsidR="00ED2126">
        <w:rPr>
          <w:lang w:val="fr-CH"/>
        </w:rPr>
        <w:t>le</w:t>
      </w:r>
      <w:r w:rsidR="00ED2126" w:rsidRPr="00A94F02">
        <w:rPr>
          <w:lang w:val="fr-CH"/>
        </w:rPr>
        <w:t xml:space="preserve"> Comité consultatif</w:t>
      </w:r>
      <w:r w:rsidR="00ED2126" w:rsidRPr="00A94F02">
        <w:t xml:space="preserve"> </w:t>
      </w:r>
      <w:r w:rsidR="00ED2126">
        <w:t>a adopté</w:t>
      </w:r>
      <w:r w:rsidR="00ED2126" w:rsidRPr="00A94F02">
        <w:t xml:space="preserve"> le projet de mandat concernant un groupe de travail (ISC WG) qui serait chargé d’examiner les questions relatives à un éventuel système international de coopération, comme suit :</w:t>
      </w:r>
    </w:p>
    <w:p w:rsidR="00ED2126" w:rsidRPr="00A94F02" w:rsidRDefault="00ED2126" w:rsidP="00ED2126">
      <w:pPr>
        <w:keepNext/>
        <w:rPr>
          <w:lang w:val="fr-CH"/>
        </w:rPr>
      </w:pPr>
    </w:p>
    <w:p w:rsidR="00ED2126" w:rsidRPr="00A94F02" w:rsidRDefault="00ED2126" w:rsidP="00ED2126">
      <w:pPr>
        <w:pStyle w:val="Heading3"/>
        <w:rPr>
          <w:snapToGrid w:val="0"/>
          <w:lang w:val="fr-FR"/>
        </w:rPr>
      </w:pPr>
      <w:bookmarkStart w:id="35" w:name="_Toc478652730"/>
      <w:r w:rsidRPr="00A94F02">
        <w:rPr>
          <w:snapToGrid w:val="0"/>
          <w:lang w:val="fr-FR"/>
        </w:rPr>
        <w:t>Objectif</w:t>
      </w:r>
      <w:bookmarkEnd w:id="35"/>
    </w:p>
    <w:p w:rsidR="00ED2126" w:rsidRPr="00A94F02" w:rsidRDefault="00ED2126" w:rsidP="00ED2126">
      <w:pPr>
        <w:keepNext/>
        <w:rPr>
          <w:snapToGrid w:val="0"/>
        </w:rPr>
      </w:pPr>
    </w:p>
    <w:p w:rsidR="00ED2126" w:rsidRPr="00A94F02" w:rsidRDefault="00ED2126" w:rsidP="00ED2126">
      <w:pPr>
        <w:keepNext/>
        <w:ind w:left="709" w:hanging="425"/>
        <w:rPr>
          <w:snapToGrid w:val="0"/>
        </w:rPr>
      </w:pPr>
      <w:r w:rsidRPr="00A94F02">
        <w:rPr>
          <w:snapToGrid w:val="0"/>
        </w:rPr>
        <w:t>1.</w:t>
      </w:r>
      <w:r w:rsidRPr="00A94F02">
        <w:rPr>
          <w:snapToGrid w:val="0"/>
        </w:rPr>
        <w:tab/>
        <w:t>Élaborer des propositions, pour examen par le Comité consultatif, concernant un éventuel système international de coopération qui</w:t>
      </w:r>
    </w:p>
    <w:p w:rsidR="00ED2126" w:rsidRPr="00A94F02" w:rsidRDefault="00ED2126" w:rsidP="00ED2126">
      <w:pPr>
        <w:keepNext/>
        <w:ind w:left="360"/>
        <w:rPr>
          <w:snapToGrid w:val="0"/>
        </w:rPr>
      </w:pPr>
    </w:p>
    <w:p w:rsidR="00ED2126" w:rsidRPr="00ED2126" w:rsidRDefault="00ED2126" w:rsidP="00ED2126">
      <w:pPr>
        <w:pStyle w:val="ListParagraph"/>
        <w:keepNext/>
        <w:numPr>
          <w:ilvl w:val="0"/>
          <w:numId w:val="18"/>
        </w:numPr>
        <w:spacing w:after="60"/>
        <w:contextualSpacing w:val="0"/>
        <w:rPr>
          <w:snapToGrid w:val="0"/>
          <w:lang w:val="fr-FR"/>
        </w:rPr>
      </w:pPr>
      <w:r w:rsidRPr="00A94F02">
        <w:rPr>
          <w:snapToGrid w:val="0"/>
          <w:lang w:val="fr-CH"/>
        </w:rPr>
        <w:t>n’entamerait pas la responsabilité des membres de l’Union quant à l’octroi et à la protection des droits d’obtenteur, ou d’autres obligations internationales;</w:t>
      </w:r>
    </w:p>
    <w:p w:rsidR="00ED2126" w:rsidRPr="00ED2126" w:rsidRDefault="00ED2126" w:rsidP="00ED2126">
      <w:pPr>
        <w:pStyle w:val="ListParagraph"/>
        <w:keepNext/>
        <w:numPr>
          <w:ilvl w:val="0"/>
          <w:numId w:val="18"/>
        </w:numPr>
        <w:spacing w:after="60"/>
        <w:contextualSpacing w:val="0"/>
        <w:rPr>
          <w:snapToGrid w:val="0"/>
          <w:lang w:val="fr-FR"/>
        </w:rPr>
      </w:pPr>
      <w:r w:rsidRPr="00ED2126">
        <w:rPr>
          <w:snapToGrid w:val="0"/>
          <w:lang w:val="fr-FR"/>
        </w:rPr>
        <w:t>concernerait tous les membres de l’Union, indépendamment de l’acte de la Convention UPOV auquel ils ont adhéré;</w:t>
      </w:r>
    </w:p>
    <w:p w:rsidR="00ED2126" w:rsidRPr="00ED2126" w:rsidRDefault="00ED2126" w:rsidP="00ED2126">
      <w:pPr>
        <w:pStyle w:val="ListParagraph"/>
        <w:numPr>
          <w:ilvl w:val="0"/>
          <w:numId w:val="18"/>
        </w:numPr>
        <w:spacing w:after="60"/>
        <w:contextualSpacing w:val="0"/>
        <w:rPr>
          <w:snapToGrid w:val="0"/>
          <w:lang w:val="fr-FR"/>
        </w:rPr>
      </w:pPr>
      <w:r w:rsidRPr="00ED2126">
        <w:rPr>
          <w:snapToGrid w:val="0"/>
          <w:lang w:val="fr-FR"/>
        </w:rPr>
        <w:t>n’entamerait pas la marge de manœuvre des membres de l’Union s’agissant de formuler une politique et de répondre aux besoins et aux conditions qui leur sont spécifiques conformément à l’acte pertinent de la Convention UPOV;</w:t>
      </w:r>
    </w:p>
    <w:p w:rsidR="00ED2126" w:rsidRPr="00ED2126" w:rsidRDefault="00ED2126" w:rsidP="00ED2126">
      <w:pPr>
        <w:pStyle w:val="ListParagraph"/>
        <w:numPr>
          <w:ilvl w:val="0"/>
          <w:numId w:val="18"/>
        </w:numPr>
        <w:spacing w:after="60"/>
        <w:contextualSpacing w:val="0"/>
        <w:rPr>
          <w:snapToGrid w:val="0"/>
          <w:lang w:val="fr-FR"/>
        </w:rPr>
      </w:pPr>
      <w:r w:rsidRPr="00ED2126">
        <w:rPr>
          <w:snapToGrid w:val="0"/>
          <w:lang w:val="fr-FR"/>
        </w:rPr>
        <w:t>serait fondé sur la participation volontaire des membres de l’Union, compte tenu des mesures que devrait prendre chaque membre pour y participer;</w:t>
      </w:r>
    </w:p>
    <w:p w:rsidR="00ED2126" w:rsidRPr="00ED2126" w:rsidRDefault="00ED2126" w:rsidP="00ED2126">
      <w:pPr>
        <w:pStyle w:val="ListParagraph"/>
        <w:numPr>
          <w:ilvl w:val="0"/>
          <w:numId w:val="18"/>
        </w:numPr>
        <w:spacing w:after="60"/>
        <w:contextualSpacing w:val="0"/>
        <w:rPr>
          <w:snapToGrid w:val="0"/>
          <w:lang w:val="fr-FR"/>
        </w:rPr>
      </w:pPr>
      <w:r w:rsidRPr="00ED2126">
        <w:rPr>
          <w:snapToGrid w:val="0"/>
          <w:lang w:val="fr-FR"/>
        </w:rPr>
        <w:t>permettrait aux membres de l’Union de choisir de participer à certains éléments d’un système international de coopération;</w:t>
      </w:r>
    </w:p>
    <w:p w:rsidR="00ED2126" w:rsidRPr="00ED2126" w:rsidRDefault="00ED2126" w:rsidP="00ED2126">
      <w:pPr>
        <w:pStyle w:val="ListParagraph"/>
        <w:numPr>
          <w:ilvl w:val="0"/>
          <w:numId w:val="18"/>
        </w:numPr>
        <w:spacing w:after="60"/>
        <w:contextualSpacing w:val="0"/>
        <w:rPr>
          <w:snapToGrid w:val="0"/>
          <w:lang w:val="fr-FR"/>
        </w:rPr>
      </w:pPr>
      <w:r w:rsidRPr="00ED2126">
        <w:rPr>
          <w:snapToGrid w:val="0"/>
          <w:lang w:val="fr-FR"/>
        </w:rPr>
        <w:t>serait fondé sur une coopération volontaire entre membres de l’Union;</w:t>
      </w:r>
    </w:p>
    <w:p w:rsidR="00ED2126" w:rsidRPr="00ED2126" w:rsidRDefault="00ED2126" w:rsidP="00ED2126">
      <w:pPr>
        <w:pStyle w:val="ListParagraph"/>
        <w:numPr>
          <w:ilvl w:val="0"/>
          <w:numId w:val="18"/>
        </w:numPr>
        <w:spacing w:after="60"/>
        <w:contextualSpacing w:val="0"/>
        <w:rPr>
          <w:snapToGrid w:val="0"/>
          <w:lang w:val="fr-FR"/>
        </w:rPr>
      </w:pPr>
      <w:r w:rsidRPr="00ED2126">
        <w:rPr>
          <w:snapToGrid w:val="0"/>
          <w:lang w:val="fr-FR"/>
        </w:rPr>
        <w:t>n’aurait pas d’incidence sur la coopération entre les membres de l’Union qui ne participent pas à un système international de coopération;</w:t>
      </w:r>
    </w:p>
    <w:p w:rsidR="00ED2126" w:rsidRPr="00ED2126" w:rsidRDefault="00ED2126" w:rsidP="00ED2126">
      <w:pPr>
        <w:pStyle w:val="ListParagraph"/>
        <w:numPr>
          <w:ilvl w:val="0"/>
          <w:numId w:val="18"/>
        </w:numPr>
        <w:spacing w:after="60"/>
        <w:contextualSpacing w:val="0"/>
        <w:rPr>
          <w:snapToGrid w:val="0"/>
          <w:lang w:val="fr-FR"/>
        </w:rPr>
      </w:pPr>
      <w:r w:rsidRPr="00ED2126">
        <w:rPr>
          <w:snapToGrid w:val="0"/>
          <w:lang w:val="fr-FR"/>
        </w:rPr>
        <w:t>serait fondé sur le dépôt de demandes auprès de chaque membre de l’Union et non pas auprès du Bureau de l’Union;</w:t>
      </w:r>
    </w:p>
    <w:p w:rsidR="00ED2126" w:rsidRPr="00ED2126" w:rsidRDefault="00ED2126" w:rsidP="00ED2126">
      <w:pPr>
        <w:pStyle w:val="ListParagraph"/>
        <w:numPr>
          <w:ilvl w:val="0"/>
          <w:numId w:val="18"/>
        </w:numPr>
        <w:spacing w:after="60"/>
        <w:contextualSpacing w:val="0"/>
        <w:rPr>
          <w:snapToGrid w:val="0"/>
          <w:lang w:val="fr-FR"/>
        </w:rPr>
      </w:pPr>
      <w:r w:rsidRPr="00ED2126">
        <w:rPr>
          <w:snapToGrid w:val="0"/>
          <w:lang w:val="fr-FR"/>
        </w:rPr>
        <w:lastRenderedPageBreak/>
        <w:t>ne serait pas fondé sur l’examen des demandes par le Bureau de l’Union;</w:t>
      </w:r>
    </w:p>
    <w:p w:rsidR="00ED2126" w:rsidRPr="00ED2126" w:rsidRDefault="00ED2126" w:rsidP="00ED2126">
      <w:pPr>
        <w:pStyle w:val="ListParagraph"/>
        <w:numPr>
          <w:ilvl w:val="0"/>
          <w:numId w:val="18"/>
        </w:numPr>
        <w:spacing w:after="60"/>
        <w:contextualSpacing w:val="0"/>
        <w:rPr>
          <w:snapToGrid w:val="0"/>
          <w:lang w:val="fr-FR"/>
        </w:rPr>
      </w:pPr>
      <w:r w:rsidRPr="00ED2126">
        <w:rPr>
          <w:snapToGrid w:val="0"/>
          <w:lang w:val="fr-FR"/>
        </w:rPr>
        <w:t>n’aurait pas d’incidence sur la fixation et le paiement du montant des taxes par chaque membre de l’Union;</w:t>
      </w:r>
    </w:p>
    <w:p w:rsidR="00ED2126" w:rsidRPr="00ED2126" w:rsidRDefault="00ED2126" w:rsidP="00ED2126">
      <w:pPr>
        <w:pStyle w:val="ListParagraph"/>
        <w:numPr>
          <w:ilvl w:val="0"/>
          <w:numId w:val="18"/>
        </w:numPr>
        <w:spacing w:after="60"/>
        <w:contextualSpacing w:val="0"/>
        <w:rPr>
          <w:snapToGrid w:val="0"/>
          <w:lang w:val="fr-FR"/>
        </w:rPr>
      </w:pPr>
      <w:r w:rsidRPr="00ED2126">
        <w:rPr>
          <w:snapToGrid w:val="0"/>
          <w:lang w:val="fr-FR"/>
        </w:rPr>
        <w:t>ne serait pas opposable au droit de chaque membre de l’Union de mener son propre examen pour l’octroi des droits d’obtenteur;</w:t>
      </w:r>
    </w:p>
    <w:p w:rsidR="00ED2126" w:rsidRPr="00ED2126" w:rsidRDefault="00ED2126" w:rsidP="00ED2126">
      <w:pPr>
        <w:pStyle w:val="ListParagraph"/>
        <w:numPr>
          <w:ilvl w:val="0"/>
          <w:numId w:val="18"/>
        </w:numPr>
        <w:spacing w:after="60"/>
        <w:contextualSpacing w:val="0"/>
        <w:rPr>
          <w:snapToGrid w:val="0"/>
          <w:lang w:val="fr-FR"/>
        </w:rPr>
      </w:pPr>
      <w:r w:rsidRPr="00ED2126">
        <w:rPr>
          <w:snapToGrid w:val="0"/>
          <w:lang w:val="fr-FR"/>
        </w:rPr>
        <w:t>serait fondé, dans la mesure du possible, sur les initiatives et documents existants de l’UPOV, et en particulier : la base de données GENIE;  le projet de formulaire de demande électronique;  l’outil de recherche de l’UPOV de similarité aux fins de la dénomination variétale;  et les documents d’information de l’UPOV.</w:t>
      </w:r>
    </w:p>
    <w:p w:rsidR="00ED2126" w:rsidRPr="00A94F02" w:rsidRDefault="00ED2126" w:rsidP="00ED2126">
      <w:pPr>
        <w:ind w:left="360"/>
        <w:jc w:val="left"/>
      </w:pPr>
    </w:p>
    <w:p w:rsidR="00ED2126" w:rsidRPr="00A94F02" w:rsidRDefault="00ED2126" w:rsidP="00ED2126">
      <w:pPr>
        <w:ind w:left="709" w:hanging="425"/>
      </w:pPr>
      <w:r w:rsidRPr="00A94F02">
        <w:t>2.</w:t>
      </w:r>
      <w:r w:rsidRPr="00A94F02">
        <w:tab/>
        <w:t>Pour les propositions susmentionnées, fournir au Comité consultatif une analyse</w:t>
      </w:r>
    </w:p>
    <w:p w:rsidR="00ED2126" w:rsidRPr="00A94F02" w:rsidRDefault="00ED2126" w:rsidP="00ED2126">
      <w:pPr>
        <w:ind w:left="360"/>
        <w:jc w:val="left"/>
      </w:pPr>
    </w:p>
    <w:p w:rsidR="00ED2126" w:rsidRPr="00A94F02" w:rsidRDefault="00ED2126" w:rsidP="00ED2126">
      <w:pPr>
        <w:pStyle w:val="ListParagraph"/>
        <w:numPr>
          <w:ilvl w:val="0"/>
          <w:numId w:val="23"/>
        </w:numPr>
        <w:spacing w:after="60"/>
        <w:contextualSpacing w:val="0"/>
        <w:rPr>
          <w:snapToGrid w:val="0"/>
          <w:lang w:val="fr-CH"/>
        </w:rPr>
      </w:pPr>
      <w:r w:rsidRPr="00A94F02">
        <w:rPr>
          <w:snapToGrid w:val="0"/>
          <w:lang w:val="fr-CH"/>
        </w:rPr>
        <w:t xml:space="preserve"> sur la nécessité d’établir un système international de coopération;</w:t>
      </w:r>
    </w:p>
    <w:p w:rsidR="00ED2126" w:rsidRPr="00ED2126" w:rsidRDefault="00ED2126" w:rsidP="00ED2126">
      <w:pPr>
        <w:pStyle w:val="ListParagraph"/>
        <w:numPr>
          <w:ilvl w:val="0"/>
          <w:numId w:val="23"/>
        </w:numPr>
        <w:spacing w:after="60"/>
        <w:ind w:left="1701" w:hanging="567"/>
        <w:contextualSpacing w:val="0"/>
        <w:rPr>
          <w:snapToGrid w:val="0"/>
          <w:lang w:val="fr-FR"/>
        </w:rPr>
      </w:pPr>
      <w:r w:rsidRPr="00ED2126">
        <w:rPr>
          <w:snapToGrid w:val="0"/>
          <w:lang w:val="fr-FR"/>
        </w:rPr>
        <w:t>des avantages et des inconvénients des propositions par rapport aux arrangements existants;</w:t>
      </w:r>
    </w:p>
    <w:p w:rsidR="00ED2126" w:rsidRPr="00ED2126" w:rsidRDefault="00ED2126" w:rsidP="00ED2126">
      <w:pPr>
        <w:pStyle w:val="ListParagraph"/>
        <w:numPr>
          <w:ilvl w:val="0"/>
          <w:numId w:val="23"/>
        </w:numPr>
        <w:spacing w:after="60"/>
        <w:ind w:left="1701" w:hanging="567"/>
        <w:contextualSpacing w:val="0"/>
        <w:rPr>
          <w:snapToGrid w:val="0"/>
          <w:lang w:val="fr-FR"/>
        </w:rPr>
      </w:pPr>
      <w:r w:rsidRPr="00ED2126">
        <w:rPr>
          <w:snapToGrid w:val="0"/>
          <w:lang w:val="fr-FR"/>
        </w:rPr>
        <w:t>de l’existence des dispositions légales applicables en vertu des actes de la Convention UPOV;</w:t>
      </w:r>
    </w:p>
    <w:p w:rsidR="00ED2126" w:rsidRPr="00ED2126" w:rsidRDefault="00ED2126" w:rsidP="00ED2126">
      <w:pPr>
        <w:pStyle w:val="ListParagraph"/>
        <w:numPr>
          <w:ilvl w:val="0"/>
          <w:numId w:val="23"/>
        </w:numPr>
        <w:spacing w:after="60"/>
        <w:ind w:left="1701" w:hanging="567"/>
        <w:contextualSpacing w:val="0"/>
        <w:rPr>
          <w:snapToGrid w:val="0"/>
          <w:lang w:val="fr-FR"/>
        </w:rPr>
      </w:pPr>
      <w:r w:rsidRPr="00ED2126">
        <w:rPr>
          <w:snapToGrid w:val="0"/>
          <w:lang w:val="fr-FR"/>
        </w:rPr>
        <w:t>des incidences sur la législation nationale, les procédures administratives, les droits et le cadre de politique générale, en rapport avec l’acte pertinent de la Convention UPOV, des services de protection des obtentions végétales des membres de l’UPOV;</w:t>
      </w:r>
    </w:p>
    <w:p w:rsidR="00ED2126" w:rsidRPr="00ED2126" w:rsidRDefault="00ED2126" w:rsidP="00ED2126">
      <w:pPr>
        <w:pStyle w:val="ListParagraph"/>
        <w:numPr>
          <w:ilvl w:val="0"/>
          <w:numId w:val="23"/>
        </w:numPr>
        <w:spacing w:after="60"/>
        <w:ind w:left="1701" w:hanging="567"/>
        <w:contextualSpacing w:val="0"/>
        <w:rPr>
          <w:lang w:val="fr-FR"/>
        </w:rPr>
      </w:pPr>
      <w:r w:rsidRPr="00ED2126">
        <w:rPr>
          <w:lang w:val="fr-FR"/>
        </w:rPr>
        <w:t>des avantages et des inconvénients potentiels pour</w:t>
      </w:r>
    </w:p>
    <w:p w:rsidR="00ED2126" w:rsidRPr="00A94F02" w:rsidRDefault="00ED2126" w:rsidP="00ED2126">
      <w:pPr>
        <w:spacing w:after="60"/>
        <w:ind w:left="2127" w:hanging="426"/>
      </w:pPr>
      <w:r w:rsidRPr="00A94F02">
        <w:t>i)</w:t>
      </w:r>
      <w:r w:rsidRPr="00A94F02">
        <w:tab/>
        <w:t>la société dans les membres de l’Union;</w:t>
      </w:r>
    </w:p>
    <w:p w:rsidR="00ED2126" w:rsidRPr="00A94F02" w:rsidRDefault="00ED2126" w:rsidP="00ED2126">
      <w:pPr>
        <w:spacing w:after="60"/>
        <w:ind w:left="2127" w:hanging="426"/>
      </w:pPr>
      <w:r w:rsidRPr="00A94F02">
        <w:t>ii)</w:t>
      </w:r>
      <w:r w:rsidRPr="00A94F02">
        <w:tab/>
        <w:t>les services de protection des obtentions végétales des membres de l’Union, notamment en ce qui concerne</w:t>
      </w:r>
    </w:p>
    <w:p w:rsidR="00ED2126" w:rsidRPr="00A94F02" w:rsidRDefault="00ED2126" w:rsidP="00ED2126">
      <w:pPr>
        <w:pStyle w:val="ListParagraph"/>
        <w:numPr>
          <w:ilvl w:val="2"/>
          <w:numId w:val="19"/>
        </w:numPr>
        <w:spacing w:after="60"/>
        <w:ind w:left="2410" w:hanging="284"/>
        <w:contextualSpacing w:val="0"/>
      </w:pPr>
      <w:r w:rsidRPr="00A94F02">
        <w:t xml:space="preserve">les </w:t>
      </w:r>
      <w:proofErr w:type="spellStart"/>
      <w:r w:rsidRPr="00A94F02">
        <w:t>coûts</w:t>
      </w:r>
      <w:proofErr w:type="spellEnd"/>
      <w:r w:rsidRPr="00A94F02">
        <w:t xml:space="preserve"> et les </w:t>
      </w:r>
      <w:proofErr w:type="spellStart"/>
      <w:r w:rsidRPr="00A94F02">
        <w:t>recettes</w:t>
      </w:r>
      <w:proofErr w:type="spellEnd"/>
    </w:p>
    <w:p w:rsidR="00ED2126" w:rsidRPr="00ED2126" w:rsidRDefault="00ED2126" w:rsidP="00ED2126">
      <w:pPr>
        <w:pStyle w:val="ListParagraph"/>
        <w:numPr>
          <w:ilvl w:val="2"/>
          <w:numId w:val="19"/>
        </w:numPr>
        <w:spacing w:after="60"/>
        <w:ind w:left="2410" w:hanging="284"/>
        <w:contextualSpacing w:val="0"/>
        <w:rPr>
          <w:lang w:val="fr-FR"/>
        </w:rPr>
      </w:pPr>
      <w:r w:rsidRPr="00ED2126">
        <w:rPr>
          <w:lang w:val="fr-FR"/>
        </w:rPr>
        <w:t>le nombre de demandes et le montant des recettes obtenues grâce aux demandes;</w:t>
      </w:r>
    </w:p>
    <w:p w:rsidR="00ED2126" w:rsidRPr="00A94F02" w:rsidRDefault="00ED2126" w:rsidP="00ED2126">
      <w:pPr>
        <w:spacing w:after="60"/>
        <w:ind w:left="2127" w:hanging="426"/>
        <w:rPr>
          <w:lang w:val="fr-CH"/>
        </w:rPr>
      </w:pPr>
      <w:r w:rsidRPr="00A94F02">
        <w:rPr>
          <w:lang w:val="fr-CH"/>
        </w:rPr>
        <w:t>iii)</w:t>
      </w:r>
      <w:r w:rsidRPr="00A94F02">
        <w:rPr>
          <w:lang w:val="fr-CH"/>
        </w:rPr>
        <w:tab/>
        <w:t>les obtenteurs nationaux et étrangers, y compris les petites et moyennes entreprises (PME);</w:t>
      </w:r>
    </w:p>
    <w:p w:rsidR="00ED2126" w:rsidRPr="00A94F02" w:rsidRDefault="00ED2126" w:rsidP="00ED2126">
      <w:pPr>
        <w:spacing w:after="60"/>
        <w:ind w:left="2127" w:hanging="426"/>
        <w:rPr>
          <w:lang w:val="fr-CH"/>
        </w:rPr>
      </w:pPr>
      <w:r w:rsidRPr="00A94F02">
        <w:rPr>
          <w:lang w:val="fr-CH"/>
        </w:rPr>
        <w:t>iv)</w:t>
      </w:r>
      <w:r w:rsidRPr="00A94F02">
        <w:rPr>
          <w:lang w:val="fr-CH"/>
        </w:rPr>
        <w:tab/>
        <w:t>les agriculteurs;  et</w:t>
      </w:r>
    </w:p>
    <w:p w:rsidR="00ED2126" w:rsidRPr="00A94F02" w:rsidRDefault="00ED2126" w:rsidP="00ED2126">
      <w:pPr>
        <w:spacing w:after="60"/>
        <w:ind w:left="2127" w:hanging="426"/>
        <w:rPr>
          <w:lang w:val="fr-CH"/>
        </w:rPr>
      </w:pPr>
      <w:r w:rsidRPr="00A94F02">
        <w:rPr>
          <w:lang w:val="fr-CH"/>
        </w:rPr>
        <w:t>v)</w:t>
      </w:r>
      <w:r w:rsidRPr="00A94F02">
        <w:rPr>
          <w:lang w:val="fr-CH"/>
        </w:rPr>
        <w:tab/>
        <w:t>l’UPOV.</w:t>
      </w:r>
    </w:p>
    <w:p w:rsidR="00ED2126" w:rsidRPr="00A94F02" w:rsidRDefault="00ED2126" w:rsidP="00ED2126">
      <w:pPr>
        <w:rPr>
          <w:lang w:val="fr-CH"/>
        </w:rPr>
      </w:pPr>
    </w:p>
    <w:p w:rsidR="00ED2126" w:rsidRPr="00A94F02" w:rsidRDefault="00ED2126" w:rsidP="00ED2126">
      <w:pPr>
        <w:pStyle w:val="Heading3"/>
        <w:rPr>
          <w:snapToGrid w:val="0"/>
          <w:lang w:val="fr-FR"/>
        </w:rPr>
      </w:pPr>
      <w:bookmarkStart w:id="36" w:name="_Toc478652731"/>
      <w:r w:rsidRPr="00A94F02">
        <w:rPr>
          <w:snapToGrid w:val="0"/>
          <w:lang w:val="fr-FR"/>
        </w:rPr>
        <w:t>Composition</w:t>
      </w:r>
      <w:bookmarkEnd w:id="36"/>
    </w:p>
    <w:p w:rsidR="00ED2126" w:rsidRPr="00A94F02" w:rsidRDefault="00ED2126" w:rsidP="00ED2126">
      <w:pPr>
        <w:rPr>
          <w:snapToGrid w:val="0"/>
        </w:rPr>
      </w:pPr>
    </w:p>
    <w:p w:rsidR="00ED2126" w:rsidRPr="00A94F02" w:rsidRDefault="00ED2126" w:rsidP="00ED2126">
      <w:pPr>
        <w:pStyle w:val="ListParagraph"/>
        <w:numPr>
          <w:ilvl w:val="0"/>
          <w:numId w:val="20"/>
        </w:numPr>
        <w:ind w:left="851" w:hanging="425"/>
        <w:rPr>
          <w:snapToGrid w:val="0"/>
          <w:lang w:val="fr-CH"/>
        </w:rPr>
      </w:pPr>
      <w:r w:rsidRPr="00A94F02">
        <w:rPr>
          <w:snapToGrid w:val="0"/>
          <w:lang w:val="fr-CH"/>
        </w:rPr>
        <w:t>être constitué des membres ci-après de l’Union :</w:t>
      </w:r>
    </w:p>
    <w:p w:rsidR="00ED2126" w:rsidRPr="00A94F02" w:rsidRDefault="00ED2126" w:rsidP="00ED2126">
      <w:pPr>
        <w:rPr>
          <w:snapToGrid w:val="0"/>
          <w:lang w:val="fr-CH"/>
        </w:rPr>
      </w:pPr>
    </w:p>
    <w:p w:rsidR="00ED2126" w:rsidRPr="00A94F02" w:rsidRDefault="00ED2126" w:rsidP="00ED2126">
      <w:pPr>
        <w:pStyle w:val="ListParagraph"/>
        <w:numPr>
          <w:ilvl w:val="0"/>
          <w:numId w:val="22"/>
        </w:numPr>
        <w:ind w:left="1494"/>
      </w:pPr>
      <w:proofErr w:type="spellStart"/>
      <w:r w:rsidRPr="00A94F02">
        <w:t>Bolivie</w:t>
      </w:r>
      <w:proofErr w:type="spellEnd"/>
      <w:r w:rsidRPr="00A94F02">
        <w:t xml:space="preserve"> (</w:t>
      </w:r>
      <w:proofErr w:type="spellStart"/>
      <w:r w:rsidRPr="00A94F02">
        <w:t>État</w:t>
      </w:r>
      <w:proofErr w:type="spellEnd"/>
      <w:r w:rsidRPr="00A94F02">
        <w:t xml:space="preserve"> </w:t>
      </w:r>
      <w:proofErr w:type="spellStart"/>
      <w:r w:rsidRPr="00A94F02">
        <w:t>plurinational</w:t>
      </w:r>
      <w:proofErr w:type="spellEnd"/>
      <w:r w:rsidRPr="00A94F02">
        <w:t xml:space="preserve"> de)</w:t>
      </w:r>
    </w:p>
    <w:p w:rsidR="00ED2126" w:rsidRPr="00A94F02" w:rsidRDefault="00ED2126" w:rsidP="00ED2126">
      <w:pPr>
        <w:pStyle w:val="ListParagraph"/>
        <w:numPr>
          <w:ilvl w:val="0"/>
          <w:numId w:val="22"/>
        </w:numPr>
        <w:ind w:left="1494"/>
      </w:pPr>
      <w:proofErr w:type="spellStart"/>
      <w:r w:rsidRPr="00A94F02">
        <w:t>Brésil</w:t>
      </w:r>
      <w:proofErr w:type="spellEnd"/>
    </w:p>
    <w:p w:rsidR="00ED2126" w:rsidRPr="00A94F02" w:rsidRDefault="00ED2126" w:rsidP="00ED2126">
      <w:pPr>
        <w:pStyle w:val="ListParagraph"/>
        <w:numPr>
          <w:ilvl w:val="0"/>
          <w:numId w:val="22"/>
        </w:numPr>
        <w:ind w:left="1494"/>
      </w:pPr>
      <w:r w:rsidRPr="00A94F02">
        <w:t>Canada</w:t>
      </w:r>
    </w:p>
    <w:p w:rsidR="00ED2126" w:rsidRPr="00A94F02" w:rsidRDefault="00ED2126" w:rsidP="00ED2126">
      <w:pPr>
        <w:pStyle w:val="ListParagraph"/>
        <w:numPr>
          <w:ilvl w:val="0"/>
          <w:numId w:val="22"/>
        </w:numPr>
        <w:ind w:left="1494"/>
      </w:pPr>
      <w:r w:rsidRPr="00A94F02">
        <w:t>Chili</w:t>
      </w:r>
    </w:p>
    <w:p w:rsidR="00ED2126" w:rsidRPr="00A94F02" w:rsidRDefault="00ED2126" w:rsidP="00ED2126">
      <w:pPr>
        <w:pStyle w:val="ListParagraph"/>
        <w:numPr>
          <w:ilvl w:val="0"/>
          <w:numId w:val="22"/>
        </w:numPr>
        <w:ind w:left="1494"/>
      </w:pPr>
      <w:proofErr w:type="spellStart"/>
      <w:r w:rsidRPr="00A94F02">
        <w:t>Colombie</w:t>
      </w:r>
      <w:proofErr w:type="spellEnd"/>
    </w:p>
    <w:p w:rsidR="00ED2126" w:rsidRPr="00A94F02" w:rsidRDefault="00ED2126" w:rsidP="00ED2126">
      <w:pPr>
        <w:pStyle w:val="ListParagraph"/>
        <w:numPr>
          <w:ilvl w:val="0"/>
          <w:numId w:val="22"/>
        </w:numPr>
        <w:ind w:left="1494"/>
      </w:pPr>
      <w:proofErr w:type="spellStart"/>
      <w:r w:rsidRPr="00A94F02">
        <w:t>Équateur</w:t>
      </w:r>
      <w:proofErr w:type="spellEnd"/>
    </w:p>
    <w:p w:rsidR="00ED2126" w:rsidRPr="00ED2126" w:rsidRDefault="00ED2126" w:rsidP="00ED2126">
      <w:pPr>
        <w:pStyle w:val="ListParagraph"/>
        <w:numPr>
          <w:ilvl w:val="0"/>
          <w:numId w:val="22"/>
        </w:numPr>
        <w:ind w:left="1494"/>
        <w:rPr>
          <w:lang w:val="fr-FR"/>
        </w:rPr>
      </w:pPr>
      <w:r w:rsidRPr="00ED2126">
        <w:rPr>
          <w:snapToGrid w:val="0"/>
          <w:lang w:val="fr-FR"/>
        </w:rPr>
        <w:t>Union européenne (Commission européenne, Office communautaire des variétés végétales (OCVV) de l’Union européenne, Allemagne, Estonie, France, Pays-Bas et Royaume-Uni)</w:t>
      </w:r>
    </w:p>
    <w:p w:rsidR="00ED2126" w:rsidRPr="00A94F02" w:rsidRDefault="00ED2126" w:rsidP="00ED2126">
      <w:pPr>
        <w:pStyle w:val="ListParagraph"/>
        <w:numPr>
          <w:ilvl w:val="0"/>
          <w:numId w:val="22"/>
        </w:numPr>
        <w:ind w:left="1494"/>
      </w:pPr>
      <w:proofErr w:type="spellStart"/>
      <w:r w:rsidRPr="00A94F02">
        <w:t>Japon</w:t>
      </w:r>
      <w:proofErr w:type="spellEnd"/>
    </w:p>
    <w:p w:rsidR="00ED2126" w:rsidRPr="00A94F02" w:rsidRDefault="00ED2126" w:rsidP="00ED2126">
      <w:pPr>
        <w:pStyle w:val="ListParagraph"/>
        <w:numPr>
          <w:ilvl w:val="0"/>
          <w:numId w:val="22"/>
        </w:numPr>
        <w:ind w:left="1494"/>
      </w:pPr>
      <w:proofErr w:type="spellStart"/>
      <w:r w:rsidRPr="00A94F02">
        <w:t>Norvège</w:t>
      </w:r>
      <w:proofErr w:type="spellEnd"/>
    </w:p>
    <w:p w:rsidR="00ED2126" w:rsidRPr="00A94F02" w:rsidRDefault="00ED2126" w:rsidP="00ED2126">
      <w:pPr>
        <w:pStyle w:val="ListParagraph"/>
        <w:numPr>
          <w:ilvl w:val="0"/>
          <w:numId w:val="22"/>
        </w:numPr>
        <w:ind w:left="1494"/>
      </w:pPr>
      <w:proofErr w:type="spellStart"/>
      <w:r w:rsidRPr="00A94F02">
        <w:t>États</w:t>
      </w:r>
      <w:proofErr w:type="spellEnd"/>
      <w:r w:rsidRPr="00A94F02">
        <w:t xml:space="preserve">-Unis </w:t>
      </w:r>
      <w:proofErr w:type="spellStart"/>
      <w:r w:rsidRPr="00A94F02">
        <w:t>d’Amérique</w:t>
      </w:r>
      <w:proofErr w:type="spellEnd"/>
    </w:p>
    <w:p w:rsidR="00ED2126" w:rsidRPr="00A94F02" w:rsidRDefault="00ED2126" w:rsidP="00ED2126">
      <w:pPr>
        <w:rPr>
          <w:snapToGrid w:val="0"/>
        </w:rPr>
      </w:pPr>
    </w:p>
    <w:p w:rsidR="00ED2126" w:rsidRPr="00ED2126" w:rsidRDefault="00ED2126" w:rsidP="00ED2126">
      <w:pPr>
        <w:pStyle w:val="ListParagraph"/>
        <w:numPr>
          <w:ilvl w:val="0"/>
          <w:numId w:val="20"/>
        </w:numPr>
        <w:ind w:left="851" w:hanging="425"/>
        <w:rPr>
          <w:snapToGrid w:val="0"/>
          <w:lang w:val="fr-FR"/>
        </w:rPr>
      </w:pPr>
      <w:r w:rsidRPr="00ED2126">
        <w:rPr>
          <w:snapToGrid w:val="0"/>
          <w:lang w:val="fr-FR"/>
        </w:rPr>
        <w:t>les autres membres de l’Union seraient libres de participer à toute réunion du Groupe de travail ISC-WG s’ils le souhaitent;</w:t>
      </w:r>
    </w:p>
    <w:p w:rsidR="00ED2126" w:rsidRPr="00A94F02" w:rsidRDefault="00ED2126" w:rsidP="00ED2126">
      <w:pPr>
        <w:rPr>
          <w:snapToGrid w:val="0"/>
        </w:rPr>
      </w:pPr>
    </w:p>
    <w:p w:rsidR="00ED2126" w:rsidRPr="00ED2126" w:rsidRDefault="00ED2126" w:rsidP="00ED2126">
      <w:pPr>
        <w:pStyle w:val="ListParagraph"/>
        <w:numPr>
          <w:ilvl w:val="0"/>
          <w:numId w:val="20"/>
        </w:numPr>
        <w:ind w:left="851" w:hanging="425"/>
        <w:rPr>
          <w:snapToGrid w:val="0"/>
          <w:lang w:val="fr-FR"/>
        </w:rPr>
      </w:pPr>
      <w:r w:rsidRPr="00A94F02">
        <w:rPr>
          <w:snapToGrid w:val="0"/>
          <w:lang w:val="fr-CH"/>
        </w:rPr>
        <w:t xml:space="preserve">le </w:t>
      </w:r>
      <w:r w:rsidRPr="00A94F02">
        <w:rPr>
          <w:lang w:val="fr-CH"/>
        </w:rPr>
        <w:t>Groupe de travail ISC-WG serait réservé aux membres de l’Union et le Groupe de travail ISC-WG devrait revenir au Comité consultatif si le Groupe de travail ISC-WG recommande d’inviter des observateurs et des experts à l’une de ses réunions;</w:t>
      </w:r>
    </w:p>
    <w:p w:rsidR="00ED2126" w:rsidRPr="00ED2126" w:rsidRDefault="00ED2126" w:rsidP="00ED2126">
      <w:pPr>
        <w:pStyle w:val="ListParagraph"/>
        <w:ind w:left="851"/>
        <w:rPr>
          <w:snapToGrid w:val="0"/>
          <w:lang w:val="fr-FR"/>
        </w:rPr>
      </w:pPr>
    </w:p>
    <w:p w:rsidR="00ED2126" w:rsidRPr="00ED2126" w:rsidRDefault="00ED2126" w:rsidP="00ED2126">
      <w:pPr>
        <w:pStyle w:val="ListParagraph"/>
        <w:numPr>
          <w:ilvl w:val="0"/>
          <w:numId w:val="20"/>
        </w:numPr>
        <w:ind w:left="851" w:hanging="425"/>
        <w:rPr>
          <w:snapToGrid w:val="0"/>
          <w:lang w:val="fr-FR"/>
        </w:rPr>
      </w:pPr>
      <w:r w:rsidRPr="00ED2126">
        <w:rPr>
          <w:snapToGrid w:val="0"/>
          <w:lang w:val="fr-FR"/>
        </w:rPr>
        <w:t>les réunions seraient présidées par le Secrétaire général adjoint.</w:t>
      </w:r>
    </w:p>
    <w:p w:rsidR="00ED2126" w:rsidRPr="00A94F02" w:rsidRDefault="00ED2126" w:rsidP="00ED2126">
      <w:pPr>
        <w:rPr>
          <w:snapToGrid w:val="0"/>
        </w:rPr>
      </w:pPr>
    </w:p>
    <w:p w:rsidR="00ED2126" w:rsidRPr="00A94F02" w:rsidRDefault="00ED2126" w:rsidP="00ED2126">
      <w:pPr>
        <w:keepNext/>
        <w:rPr>
          <w:i/>
        </w:rPr>
      </w:pPr>
      <w:r w:rsidRPr="00A94F02">
        <w:rPr>
          <w:i/>
        </w:rPr>
        <w:lastRenderedPageBreak/>
        <w:t>Modus operandi</w:t>
      </w:r>
    </w:p>
    <w:p w:rsidR="00ED2126" w:rsidRPr="00A94F02" w:rsidRDefault="00ED2126" w:rsidP="00ED2126">
      <w:pPr>
        <w:keepNext/>
      </w:pPr>
    </w:p>
    <w:p w:rsidR="00ED2126" w:rsidRPr="00ED2126" w:rsidRDefault="00ED2126" w:rsidP="00ED2126">
      <w:pPr>
        <w:pStyle w:val="ListParagraph"/>
        <w:numPr>
          <w:ilvl w:val="0"/>
          <w:numId w:val="21"/>
        </w:numPr>
        <w:spacing w:after="60"/>
        <w:ind w:left="851" w:hanging="425"/>
        <w:contextualSpacing w:val="0"/>
        <w:rPr>
          <w:lang w:val="fr-FR"/>
        </w:rPr>
      </w:pPr>
      <w:r w:rsidRPr="00ED2126">
        <w:rPr>
          <w:lang w:val="fr-FR"/>
        </w:rPr>
        <w:t>se réunir, dans la mesure du possible, en marge des sessions du Comité consultatif selon une périodicité permettant de répondre aux demandes dudit comité;</w:t>
      </w:r>
    </w:p>
    <w:p w:rsidR="00ED2126" w:rsidRPr="00ED2126" w:rsidRDefault="00ED2126" w:rsidP="00ED2126">
      <w:pPr>
        <w:pStyle w:val="ListParagraph"/>
        <w:numPr>
          <w:ilvl w:val="0"/>
          <w:numId w:val="21"/>
        </w:numPr>
        <w:spacing w:after="60"/>
        <w:ind w:left="851" w:hanging="425"/>
        <w:contextualSpacing w:val="0"/>
        <w:rPr>
          <w:lang w:val="fr-FR"/>
        </w:rPr>
      </w:pPr>
      <w:r w:rsidRPr="00ED2126">
        <w:rPr>
          <w:lang w:val="fr-FR"/>
        </w:rPr>
        <w:t>élaborer dans un premier temps un document présentant les questions à examiner suivant la structure suivante :</w:t>
      </w:r>
    </w:p>
    <w:p w:rsidR="00ED2126" w:rsidRPr="00A94F02" w:rsidRDefault="00ED2126" w:rsidP="00ED2126">
      <w:pPr>
        <w:pStyle w:val="ListParagraph"/>
        <w:numPr>
          <w:ilvl w:val="1"/>
          <w:numId w:val="21"/>
        </w:numPr>
        <w:spacing w:after="60"/>
        <w:ind w:left="1701" w:hanging="567"/>
        <w:contextualSpacing w:val="0"/>
      </w:pPr>
      <w:proofErr w:type="spellStart"/>
      <w:r w:rsidRPr="00A94F02">
        <w:t>Système</w:t>
      </w:r>
      <w:proofErr w:type="spellEnd"/>
      <w:r w:rsidRPr="00A94F02">
        <w:t xml:space="preserve"> international </w:t>
      </w:r>
      <w:proofErr w:type="spellStart"/>
      <w:r w:rsidRPr="00A94F02">
        <w:t>d’administration</w:t>
      </w:r>
      <w:proofErr w:type="spellEnd"/>
    </w:p>
    <w:p w:rsidR="00ED2126" w:rsidRPr="00ED2126" w:rsidRDefault="00ED2126" w:rsidP="00ED2126">
      <w:pPr>
        <w:pStyle w:val="ListParagraph"/>
        <w:numPr>
          <w:ilvl w:val="1"/>
          <w:numId w:val="21"/>
        </w:numPr>
        <w:spacing w:after="60"/>
        <w:ind w:left="1701" w:hanging="567"/>
        <w:contextualSpacing w:val="0"/>
        <w:rPr>
          <w:lang w:val="fr-FR"/>
        </w:rPr>
      </w:pPr>
      <w:r w:rsidRPr="00ED2126">
        <w:rPr>
          <w:lang w:val="fr-FR"/>
        </w:rPr>
        <w:t>Observation préliminaire concernant la nouveauté et la dénomination</w:t>
      </w:r>
    </w:p>
    <w:p w:rsidR="00ED2126" w:rsidRPr="00A94F02" w:rsidRDefault="00ED2126" w:rsidP="00ED2126">
      <w:pPr>
        <w:pStyle w:val="ListParagraph"/>
        <w:numPr>
          <w:ilvl w:val="1"/>
          <w:numId w:val="21"/>
        </w:numPr>
        <w:spacing w:after="60"/>
        <w:ind w:left="1701" w:hanging="567"/>
        <w:contextualSpacing w:val="0"/>
      </w:pPr>
      <w:proofErr w:type="spellStart"/>
      <w:r w:rsidRPr="00A94F02">
        <w:t>Examen</w:t>
      </w:r>
      <w:proofErr w:type="spellEnd"/>
      <w:r w:rsidRPr="00A94F02">
        <w:t xml:space="preserve"> DHS</w:t>
      </w:r>
    </w:p>
    <w:p w:rsidR="00ED2126" w:rsidRPr="00ED2126" w:rsidRDefault="00ED2126" w:rsidP="00ED2126">
      <w:pPr>
        <w:pStyle w:val="ListParagraph"/>
        <w:numPr>
          <w:ilvl w:val="1"/>
          <w:numId w:val="21"/>
        </w:numPr>
        <w:spacing w:after="60"/>
        <w:ind w:left="1701" w:hanging="567"/>
        <w:contextualSpacing w:val="0"/>
        <w:rPr>
          <w:lang w:val="fr-FR"/>
        </w:rPr>
      </w:pPr>
      <w:r w:rsidRPr="00ED2126">
        <w:rPr>
          <w:lang w:val="fr-FR"/>
        </w:rPr>
        <w:t>Examen par les membres de l’Union ayant recours au SIC</w:t>
      </w:r>
    </w:p>
    <w:p w:rsidR="00ED2126" w:rsidRPr="00ED2126" w:rsidRDefault="00ED2126" w:rsidP="00ED2126">
      <w:pPr>
        <w:pStyle w:val="ListParagraph"/>
        <w:numPr>
          <w:ilvl w:val="0"/>
          <w:numId w:val="21"/>
        </w:numPr>
        <w:spacing w:after="60"/>
        <w:contextualSpacing w:val="0"/>
        <w:rPr>
          <w:lang w:val="fr-FR"/>
        </w:rPr>
      </w:pPr>
      <w:r w:rsidRPr="00ED2126">
        <w:rPr>
          <w:lang w:val="fr-FR"/>
        </w:rPr>
        <w:t>Établir un document contenant des propositions, des analyses et des informations conformément à l’objectif susmentionné, pour examen par le Comité consultatif, selon un calendrier déterminé par le Comité consultatif;</w:t>
      </w:r>
    </w:p>
    <w:p w:rsidR="00ED2126" w:rsidRPr="00ED2126" w:rsidRDefault="00ED2126" w:rsidP="00ED2126">
      <w:pPr>
        <w:pStyle w:val="ListParagraph"/>
        <w:numPr>
          <w:ilvl w:val="0"/>
          <w:numId w:val="21"/>
        </w:numPr>
        <w:spacing w:after="60"/>
        <w:contextualSpacing w:val="0"/>
        <w:rPr>
          <w:lang w:val="fr-FR"/>
        </w:rPr>
      </w:pPr>
      <w:r w:rsidRPr="00ED2126">
        <w:rPr>
          <w:lang w:val="fr-FR"/>
        </w:rPr>
        <w:t>faire rapport sur les progrès accomplis au Comité consultatif après chaque réunion du Groupe de travail ISC-WG;</w:t>
      </w:r>
    </w:p>
    <w:p w:rsidR="00ED2126" w:rsidRPr="00ED2126" w:rsidRDefault="00ED2126" w:rsidP="00ED2126">
      <w:pPr>
        <w:pStyle w:val="ListParagraph"/>
        <w:numPr>
          <w:ilvl w:val="0"/>
          <w:numId w:val="21"/>
        </w:numPr>
        <w:rPr>
          <w:lang w:val="fr-FR"/>
        </w:rPr>
      </w:pPr>
      <w:r w:rsidRPr="00ED2126">
        <w:rPr>
          <w:lang w:val="fr-FR"/>
        </w:rPr>
        <w:t>mettre à la disposition du Comité consultatif les documents du Groupe de travail ISC-WG;</w:t>
      </w:r>
    </w:p>
    <w:p w:rsidR="00ED2126" w:rsidRPr="00A94F02" w:rsidRDefault="00ED2126" w:rsidP="00ED2126"/>
    <w:p w:rsidR="00ED2126" w:rsidRDefault="00ED2126" w:rsidP="00ED2126">
      <w:r w:rsidRPr="00A94F02">
        <w:fldChar w:fldCharType="begin"/>
      </w:r>
      <w:r w:rsidRPr="00A94F02">
        <w:rPr>
          <w:lang w:val="fr-CH"/>
        </w:rPr>
        <w:instrText xml:space="preserve"> AUTONUM  </w:instrText>
      </w:r>
      <w:r w:rsidRPr="00A94F02">
        <w:fldChar w:fldCharType="end"/>
      </w:r>
      <w:r w:rsidRPr="00A94F02">
        <w:rPr>
          <w:lang w:val="fr-CH"/>
        </w:rPr>
        <w:tab/>
        <w:t xml:space="preserve">Le Comité consultatif </w:t>
      </w:r>
      <w:r>
        <w:rPr>
          <w:lang w:val="fr-CH"/>
        </w:rPr>
        <w:t>a approuvé</w:t>
      </w:r>
      <w:r w:rsidRPr="00A94F02">
        <w:rPr>
          <w:lang w:val="fr-CH"/>
        </w:rPr>
        <w:t xml:space="preserve"> la tenue d’une réunion du Groupe de travail ISC-WG immédiatement après la quatre-vingt</w:t>
      </w:r>
      <w:r w:rsidRPr="00A94F02">
        <w:rPr>
          <w:rFonts w:eastAsia="MS Gothic" w:cs="Arial" w:hint="eastAsia"/>
          <w:lang w:val="fr-CH"/>
        </w:rPr>
        <w:t>-</w:t>
      </w:r>
      <w:r w:rsidRPr="00A94F02">
        <w:rPr>
          <w:lang w:val="fr-CH"/>
        </w:rPr>
        <w:t>douzième session du Comité consultatif.</w:t>
      </w:r>
    </w:p>
    <w:p w:rsidR="00ED2126" w:rsidRDefault="00ED2126" w:rsidP="007737EF"/>
    <w:p w:rsidR="007737EF" w:rsidRPr="007737EF" w:rsidRDefault="007737EF" w:rsidP="007737EF">
      <w:pPr>
        <w:pStyle w:val="Heading1"/>
        <w:rPr>
          <w:snapToGrid w:val="0"/>
          <w:lang w:val="fr-FR"/>
        </w:rPr>
      </w:pPr>
    </w:p>
    <w:p w:rsidR="007737EF" w:rsidRPr="007737EF" w:rsidRDefault="007737EF" w:rsidP="007737EF">
      <w:pPr>
        <w:pStyle w:val="Heading1"/>
        <w:rPr>
          <w:lang w:val="fr-FR"/>
        </w:rPr>
      </w:pPr>
      <w:bookmarkStart w:id="37" w:name="_Toc478652732"/>
      <w:bookmarkEnd w:id="33"/>
      <w:r w:rsidRPr="007737EF">
        <w:rPr>
          <w:lang w:val="fr-FR"/>
        </w:rPr>
        <w:t>RAPPORT AVEC LE TRAITÉ INTERNATIONAL SUR LES RESSOURCES PHYTOGÉNÉTIQUES POUR L’ALIMENTATION ET L’AGRICULTURE (ITPGRFA)</w:t>
      </w:r>
      <w:bookmarkEnd w:id="37"/>
      <w:r w:rsidR="00FC00F4">
        <w:rPr>
          <w:lang w:val="fr-FR"/>
        </w:rPr>
        <w:t xml:space="preserve"> </w:t>
      </w:r>
    </w:p>
    <w:p w:rsidR="007737EF" w:rsidRPr="009A6348" w:rsidRDefault="007737EF" w:rsidP="007737EF"/>
    <w:p w:rsidR="00D51465" w:rsidRDefault="007737EF" w:rsidP="007737EF">
      <w:r w:rsidRPr="009A6348">
        <w:fldChar w:fldCharType="begin"/>
      </w:r>
      <w:r w:rsidRPr="009A6348">
        <w:instrText xml:space="preserve"> AUTONUM  </w:instrText>
      </w:r>
      <w:r w:rsidRPr="009A6348">
        <w:fldChar w:fldCharType="end"/>
      </w:r>
      <w:r w:rsidRPr="009A6348">
        <w:tab/>
      </w:r>
      <w:r w:rsidR="00D51465">
        <w:t>À sa q</w:t>
      </w:r>
      <w:r w:rsidR="00D51465" w:rsidRPr="00A94F02">
        <w:t>uatre-vingt-douzième session</w:t>
      </w:r>
      <w:r w:rsidR="00D51465">
        <w:t>,</w:t>
      </w:r>
      <w:r w:rsidR="00D51465" w:rsidRPr="00A94F02">
        <w:rPr>
          <w:lang w:val="fr-CH"/>
        </w:rPr>
        <w:t xml:space="preserve"> </w:t>
      </w:r>
      <w:r w:rsidR="00D51465">
        <w:rPr>
          <w:lang w:val="fr-CH"/>
        </w:rPr>
        <w:t>le</w:t>
      </w:r>
      <w:r w:rsidR="00D51465" w:rsidRPr="00A94F02">
        <w:rPr>
          <w:lang w:val="fr-CH"/>
        </w:rPr>
        <w:t xml:space="preserve"> Comité consultatif</w:t>
      </w:r>
      <w:r w:rsidR="00D51465" w:rsidRPr="00A94F02">
        <w:t xml:space="preserve"> </w:t>
      </w:r>
      <w:r w:rsidR="00D51465">
        <w:t xml:space="preserve">a </w:t>
      </w:r>
      <w:r w:rsidR="00D51465" w:rsidRPr="00A94F02">
        <w:rPr>
          <w:lang w:val="fr-CH"/>
        </w:rPr>
        <w:t>entend</w:t>
      </w:r>
      <w:r w:rsidR="00D51465">
        <w:rPr>
          <w:lang w:val="fr-CH"/>
        </w:rPr>
        <w:t>u</w:t>
      </w:r>
      <w:r w:rsidR="00D51465" w:rsidRPr="00A94F02">
        <w:rPr>
          <w:lang w:val="fr-CH"/>
        </w:rPr>
        <w:t xml:space="preserve"> un rapport verbal sur le “Colloque sur les éventuels domaines d’interaction entre le Traité international sur les ressources </w:t>
      </w:r>
      <w:proofErr w:type="spellStart"/>
      <w:r w:rsidR="00D51465" w:rsidRPr="00A94F02">
        <w:rPr>
          <w:lang w:val="fr-CH"/>
        </w:rPr>
        <w:t>phytogénétiques</w:t>
      </w:r>
      <w:proofErr w:type="spellEnd"/>
      <w:r w:rsidR="00D51465" w:rsidRPr="00A94F02">
        <w:rPr>
          <w:lang w:val="fr-CH"/>
        </w:rPr>
        <w:t xml:space="preserve"> pour l’alimentation et l’agriculture (ITPGRFA) et la Convention UPOV”, prévu le 26 octobre 2016 au siège de l’UPOV, à Genève, présenté par M. Raimundo Lavignolle, vice-président du Conseil.  Il </w:t>
      </w:r>
      <w:r w:rsidR="00D51465">
        <w:rPr>
          <w:lang w:val="fr-CH"/>
        </w:rPr>
        <w:t>a noté</w:t>
      </w:r>
      <w:r w:rsidR="00D51465" w:rsidRPr="00A94F02">
        <w:rPr>
          <w:lang w:val="fr-CH"/>
        </w:rPr>
        <w:t xml:space="preserve"> que le Colloque a</w:t>
      </w:r>
      <w:r w:rsidR="00D51465">
        <w:rPr>
          <w:lang w:val="fr-CH"/>
        </w:rPr>
        <w:t>vait</w:t>
      </w:r>
      <w:r w:rsidR="00D51465" w:rsidRPr="00A94F02">
        <w:rPr>
          <w:lang w:val="fr-CH"/>
        </w:rPr>
        <w:t xml:space="preserve"> réuni 147 participants, et qu’il a</w:t>
      </w:r>
      <w:r w:rsidR="00D51465">
        <w:rPr>
          <w:lang w:val="fr-CH"/>
        </w:rPr>
        <w:t>vait</w:t>
      </w:r>
      <w:r w:rsidR="00D51465" w:rsidRPr="00A94F02">
        <w:rPr>
          <w:lang w:val="fr-CH"/>
        </w:rPr>
        <w:t xml:space="preserve"> été ouvert par M. Francis </w:t>
      </w:r>
      <w:proofErr w:type="spellStart"/>
      <w:r w:rsidR="00D51465" w:rsidRPr="00A94F02">
        <w:rPr>
          <w:lang w:val="fr-CH"/>
        </w:rPr>
        <w:t>Gurry</w:t>
      </w:r>
      <w:proofErr w:type="spellEnd"/>
      <w:r w:rsidR="00D51465" w:rsidRPr="00A94F02">
        <w:rPr>
          <w:lang w:val="fr-CH"/>
        </w:rPr>
        <w:t>,</w:t>
      </w:r>
      <w:r w:rsidR="00D51465" w:rsidRPr="00A94F02">
        <w:rPr>
          <w:rFonts w:cs="Arial"/>
          <w:lang w:val="fr-CH"/>
        </w:rPr>
        <w:t xml:space="preserve"> Secrétaire général de l’UPOV, et M. Kent </w:t>
      </w:r>
      <w:proofErr w:type="spellStart"/>
      <w:r w:rsidR="00D51465" w:rsidRPr="00A94F02">
        <w:rPr>
          <w:rFonts w:cs="Arial"/>
          <w:lang w:val="fr-CH"/>
        </w:rPr>
        <w:t>Nnadozie</w:t>
      </w:r>
      <w:proofErr w:type="spellEnd"/>
      <w:r w:rsidR="00D51465" w:rsidRPr="00A94F02">
        <w:rPr>
          <w:rFonts w:cs="Arial"/>
          <w:lang w:val="fr-CH"/>
        </w:rPr>
        <w:t>, secrétaire par intérim du traité international.</w:t>
      </w:r>
    </w:p>
    <w:p w:rsidR="00D51465" w:rsidRDefault="00D51465" w:rsidP="007737EF"/>
    <w:p w:rsidR="00D51465" w:rsidRPr="00A94F02" w:rsidRDefault="00D51465" w:rsidP="00D51465">
      <w:pPr>
        <w:rPr>
          <w:rFonts w:cs="Arial"/>
          <w:lang w:val="fr-CH"/>
        </w:rPr>
      </w:pPr>
      <w:r w:rsidRPr="009A6348">
        <w:fldChar w:fldCharType="begin"/>
      </w:r>
      <w:r w:rsidRPr="009A6348">
        <w:instrText xml:space="preserve"> AUTONUM  </w:instrText>
      </w:r>
      <w:r w:rsidRPr="009A6348">
        <w:fldChar w:fldCharType="end"/>
      </w:r>
      <w:r w:rsidRPr="009A6348">
        <w:tab/>
      </w:r>
      <w:r w:rsidRPr="00A94F02">
        <w:rPr>
          <w:lang w:val="fr-CH"/>
        </w:rPr>
        <w:t xml:space="preserve">Lors de l’allocution de clôture, les </w:t>
      </w:r>
      <w:proofErr w:type="spellStart"/>
      <w:r w:rsidRPr="00A94F02">
        <w:rPr>
          <w:lang w:val="fr-CH"/>
        </w:rPr>
        <w:t>comodérateurs</w:t>
      </w:r>
      <w:proofErr w:type="spellEnd"/>
      <w:r w:rsidRPr="00A94F02">
        <w:rPr>
          <w:lang w:val="fr-CH"/>
        </w:rPr>
        <w:t xml:space="preserve"> : </w:t>
      </w:r>
      <w:r w:rsidRPr="00A94F02">
        <w:rPr>
          <w:rFonts w:cs="Arial"/>
          <w:lang w:val="fr-CH"/>
        </w:rPr>
        <w:t>M. </w:t>
      </w:r>
      <w:proofErr w:type="spellStart"/>
      <w:r w:rsidRPr="00A94F02">
        <w:rPr>
          <w:rFonts w:cs="Arial"/>
          <w:lang w:val="fr-CH"/>
        </w:rPr>
        <w:t>Muhamad</w:t>
      </w:r>
      <w:proofErr w:type="spellEnd"/>
      <w:r w:rsidRPr="00A94F02">
        <w:rPr>
          <w:rFonts w:cs="Arial"/>
          <w:lang w:val="fr-CH"/>
        </w:rPr>
        <w:t xml:space="preserve"> </w:t>
      </w:r>
      <w:proofErr w:type="spellStart"/>
      <w:r w:rsidRPr="00A94F02">
        <w:rPr>
          <w:rFonts w:cs="Arial"/>
          <w:lang w:val="fr-CH"/>
        </w:rPr>
        <w:t>Sabran</w:t>
      </w:r>
      <w:proofErr w:type="spellEnd"/>
      <w:r w:rsidRPr="00A94F02">
        <w:rPr>
          <w:rFonts w:cs="Arial"/>
          <w:lang w:val="fr-CH"/>
        </w:rPr>
        <w:t xml:space="preserve">, président de la septième session de l’Organe directeur du Traité international et M. Raimundo Lavignolle, vice-président du Conseil de l’UPOV, </w:t>
      </w:r>
      <w:r>
        <w:rPr>
          <w:rFonts w:cs="Arial"/>
          <w:lang w:val="fr-CH"/>
        </w:rPr>
        <w:t>ont</w:t>
      </w:r>
      <w:r w:rsidRPr="00A94F02">
        <w:rPr>
          <w:rFonts w:cs="Arial"/>
          <w:lang w:val="fr-CH"/>
        </w:rPr>
        <w:t xml:space="preserve"> conclu :</w:t>
      </w:r>
      <w:r>
        <w:rPr>
          <w:rFonts w:cs="Arial"/>
          <w:lang w:val="fr-CH"/>
        </w:rPr>
        <w:t xml:space="preserve"> </w:t>
      </w:r>
    </w:p>
    <w:p w:rsidR="00D51465" w:rsidRPr="00A94F02" w:rsidRDefault="00D51465" w:rsidP="00D51465">
      <w:pPr>
        <w:rPr>
          <w:rFonts w:cs="Arial"/>
          <w:lang w:val="fr-CH"/>
        </w:rPr>
      </w:pPr>
    </w:p>
    <w:p w:rsidR="00D51465" w:rsidRPr="00A94F02" w:rsidRDefault="00D51465" w:rsidP="00D51465">
      <w:pPr>
        <w:pStyle w:val="ListParagraph"/>
        <w:numPr>
          <w:ilvl w:val="0"/>
          <w:numId w:val="24"/>
        </w:numPr>
        <w:rPr>
          <w:rFonts w:cs="Arial"/>
          <w:lang w:val="fr-CH"/>
        </w:rPr>
      </w:pPr>
      <w:r w:rsidRPr="00A94F02">
        <w:rPr>
          <w:rFonts w:cs="Arial"/>
          <w:lang w:val="fr-CH"/>
        </w:rPr>
        <w:t xml:space="preserve">qu’ils avaient passé en revue les objectifs et avantages des deux traités : la Convention UPOV, le Traité international sur les ressources </w:t>
      </w:r>
      <w:proofErr w:type="spellStart"/>
      <w:r w:rsidRPr="00A94F02">
        <w:rPr>
          <w:rFonts w:cs="Arial"/>
          <w:lang w:val="fr-CH"/>
        </w:rPr>
        <w:t>phytogénétiques</w:t>
      </w:r>
      <w:proofErr w:type="spellEnd"/>
      <w:r w:rsidRPr="00A94F02">
        <w:rPr>
          <w:rFonts w:cs="Arial"/>
          <w:lang w:val="fr-CH"/>
        </w:rPr>
        <w:t xml:space="preserve"> pour l’alimentation et l’agriculture (ITPGRFA);</w:t>
      </w:r>
    </w:p>
    <w:p w:rsidR="00D51465" w:rsidRPr="00A94F02" w:rsidRDefault="00D51465" w:rsidP="00D51465">
      <w:pPr>
        <w:pStyle w:val="ListParagraph"/>
        <w:numPr>
          <w:ilvl w:val="0"/>
          <w:numId w:val="24"/>
        </w:numPr>
        <w:rPr>
          <w:rFonts w:cs="Arial"/>
          <w:lang w:val="fr-CH"/>
        </w:rPr>
      </w:pPr>
      <w:r w:rsidRPr="00A94F02">
        <w:rPr>
          <w:rFonts w:cs="Arial"/>
          <w:lang w:val="fr-CH"/>
        </w:rPr>
        <w:t>qu’il était important d’interpréter et d’appliquer de manière complémentaire les deux traités dans le contexte de chaque partie contractante;</w:t>
      </w:r>
    </w:p>
    <w:p w:rsidR="00D51465" w:rsidRPr="00A94F02" w:rsidRDefault="00D51465" w:rsidP="00D51465">
      <w:pPr>
        <w:pStyle w:val="ListParagraph"/>
        <w:numPr>
          <w:ilvl w:val="0"/>
          <w:numId w:val="24"/>
        </w:numPr>
        <w:rPr>
          <w:rFonts w:cs="Arial"/>
          <w:lang w:val="fr-CH"/>
        </w:rPr>
      </w:pPr>
      <w:r w:rsidRPr="00A94F02">
        <w:rPr>
          <w:rFonts w:cs="Arial"/>
          <w:lang w:val="fr-CH"/>
        </w:rPr>
        <w:t>qu’il était important pour les deux organisations de travailler ensemble et de s’apporter l’appui nécessaire afin d’atteindre leurs objectifs;</w:t>
      </w:r>
    </w:p>
    <w:p w:rsidR="00D51465" w:rsidRPr="00FF2AE3" w:rsidRDefault="00D51465" w:rsidP="00D51465">
      <w:pPr>
        <w:pStyle w:val="ListParagraph"/>
        <w:numPr>
          <w:ilvl w:val="0"/>
          <w:numId w:val="24"/>
        </w:numPr>
        <w:rPr>
          <w:lang w:val="fr-FR"/>
        </w:rPr>
      </w:pPr>
      <w:r w:rsidRPr="00D51465">
        <w:rPr>
          <w:rFonts w:cs="Arial"/>
          <w:lang w:val="fr-CH"/>
        </w:rPr>
        <w:t>que le colloque avait souligné la nécessité d’impliquer toutes les parties prenantes dans ce processus.</w:t>
      </w:r>
    </w:p>
    <w:p w:rsidR="00D51465" w:rsidRDefault="00D51465" w:rsidP="007737EF"/>
    <w:p w:rsidR="00D51465" w:rsidRDefault="00D51465" w:rsidP="007737EF">
      <w:r w:rsidRPr="009A6348">
        <w:fldChar w:fldCharType="begin"/>
      </w:r>
      <w:r w:rsidRPr="009A6348">
        <w:instrText xml:space="preserve"> AUTONUM  </w:instrText>
      </w:r>
      <w:r w:rsidRPr="009A6348">
        <w:fldChar w:fldCharType="end"/>
      </w:r>
      <w:r w:rsidRPr="009A6348">
        <w:tab/>
      </w:r>
      <w:r w:rsidRPr="00A94F02">
        <w:rPr>
          <w:lang w:val="fr-CH"/>
        </w:rPr>
        <w:t xml:space="preserve">Le Comité consultatif </w:t>
      </w:r>
      <w:r w:rsidR="00B75EED">
        <w:rPr>
          <w:lang w:val="fr-CH"/>
        </w:rPr>
        <w:t>est</w:t>
      </w:r>
      <w:r w:rsidRPr="00A94F02">
        <w:rPr>
          <w:lang w:val="fr-CH"/>
        </w:rPr>
        <w:t xml:space="preserve"> convenu que les membres de l’Union et les observateurs </w:t>
      </w:r>
      <w:r>
        <w:rPr>
          <w:lang w:val="fr-CH"/>
        </w:rPr>
        <w:t>étaient</w:t>
      </w:r>
      <w:r w:rsidRPr="00A94F02">
        <w:rPr>
          <w:lang w:val="fr-CH"/>
        </w:rPr>
        <w:t xml:space="preserve"> invités à faire des suggestions sur toute autre mesure qui pourrait être prise concernant les éventuels domaines d’interaction entre le Traité international sur les ressources </w:t>
      </w:r>
      <w:proofErr w:type="spellStart"/>
      <w:r w:rsidRPr="00A94F02">
        <w:rPr>
          <w:lang w:val="fr-CH"/>
        </w:rPr>
        <w:t>phytogénétiques</w:t>
      </w:r>
      <w:proofErr w:type="spellEnd"/>
      <w:r w:rsidRPr="00A94F02">
        <w:rPr>
          <w:lang w:val="fr-CH"/>
        </w:rPr>
        <w:t xml:space="preserve"> pour l’alimentation et l’agriculture et la Convention UPOV aux fins de son examen par le Comité consultatif à sa quatre</w:t>
      </w:r>
      <w:r w:rsidR="00B75EED">
        <w:rPr>
          <w:lang w:val="fr-CH"/>
        </w:rPr>
        <w:noBreakHyphen/>
      </w:r>
      <w:r w:rsidRPr="00A94F02">
        <w:rPr>
          <w:lang w:val="fr-CH"/>
        </w:rPr>
        <w:t>vingt</w:t>
      </w:r>
      <w:r w:rsidR="00B75EED">
        <w:rPr>
          <w:lang w:val="fr-CH"/>
        </w:rPr>
        <w:noBreakHyphen/>
      </w:r>
      <w:r w:rsidRPr="00A94F02">
        <w:rPr>
          <w:lang w:val="fr-CH"/>
        </w:rPr>
        <w:t>treizième session.</w:t>
      </w:r>
    </w:p>
    <w:p w:rsidR="00D51465" w:rsidRDefault="00D51465" w:rsidP="007737EF"/>
    <w:p w:rsidR="00D51465" w:rsidRDefault="00D51465" w:rsidP="007737EF">
      <w:r w:rsidRPr="009A6348">
        <w:fldChar w:fldCharType="begin"/>
      </w:r>
      <w:r w:rsidRPr="009A6348">
        <w:instrText xml:space="preserve"> AUTONUM  </w:instrText>
      </w:r>
      <w:r w:rsidRPr="009A6348">
        <w:fldChar w:fldCharType="end"/>
      </w:r>
      <w:r w:rsidRPr="009A6348">
        <w:tab/>
      </w:r>
      <w:r w:rsidRPr="00A94F02">
        <w:rPr>
          <w:lang w:val="fr-CH"/>
        </w:rPr>
        <w:t xml:space="preserve">Le Comité consultatif </w:t>
      </w:r>
      <w:r>
        <w:rPr>
          <w:lang w:val="fr-CH"/>
        </w:rPr>
        <w:t xml:space="preserve">a pris </w:t>
      </w:r>
      <w:r w:rsidRPr="00A94F02">
        <w:rPr>
          <w:lang w:val="fr-CH"/>
        </w:rPr>
        <w:t xml:space="preserve">note des éléments nouveaux concernant la plateforme du Traité international pour le </w:t>
      </w:r>
      <w:proofErr w:type="spellStart"/>
      <w:r w:rsidRPr="00A94F02">
        <w:rPr>
          <w:lang w:val="fr-CH"/>
        </w:rPr>
        <w:t>codéveloppement</w:t>
      </w:r>
      <w:proofErr w:type="spellEnd"/>
      <w:r w:rsidRPr="00A94F02">
        <w:rPr>
          <w:lang w:val="fr-CH"/>
        </w:rPr>
        <w:t xml:space="preserve"> et le transfert de technologies.</w:t>
      </w:r>
    </w:p>
    <w:p w:rsidR="00D51465" w:rsidRDefault="00D51465" w:rsidP="007737EF"/>
    <w:p w:rsidR="007737EF" w:rsidRPr="009A6348" w:rsidRDefault="007737EF" w:rsidP="007737EF">
      <w:pPr>
        <w:rPr>
          <w:rFonts w:cs="Arial"/>
          <w:snapToGrid w:val="0"/>
        </w:rPr>
      </w:pPr>
    </w:p>
    <w:p w:rsidR="009036AF" w:rsidRPr="00FF2AE3" w:rsidRDefault="009036AF" w:rsidP="009036AF">
      <w:pPr>
        <w:pStyle w:val="Heading1"/>
        <w:rPr>
          <w:lang w:val="fr-FR"/>
        </w:rPr>
      </w:pPr>
      <w:bookmarkStart w:id="38" w:name="_Toc478652733"/>
      <w:r w:rsidRPr="00FF2AE3">
        <w:rPr>
          <w:lang w:val="fr-FR"/>
        </w:rPr>
        <w:lastRenderedPageBreak/>
        <w:t>Séminaire sur le matériel de reproduction ou de multiplication végétative et le produit de la récolte dans le contexte de la Convention UPOV</w:t>
      </w:r>
      <w:bookmarkEnd w:id="38"/>
    </w:p>
    <w:p w:rsidR="007737EF" w:rsidRPr="00FF2AE3" w:rsidRDefault="007737EF" w:rsidP="009036AF">
      <w:pPr>
        <w:pStyle w:val="Heading1"/>
        <w:rPr>
          <w:lang w:val="fr-FR"/>
        </w:rPr>
      </w:pPr>
    </w:p>
    <w:p w:rsidR="009036AF" w:rsidRDefault="009036AF" w:rsidP="007737EF">
      <w:r w:rsidRPr="009A6348">
        <w:fldChar w:fldCharType="begin"/>
      </w:r>
      <w:r w:rsidRPr="009A6348">
        <w:instrText xml:space="preserve"> AUTONUM  </w:instrText>
      </w:r>
      <w:r w:rsidRPr="009A6348">
        <w:fldChar w:fldCharType="end"/>
      </w:r>
      <w:r w:rsidRPr="009A6348">
        <w:tab/>
      </w:r>
      <w:r w:rsidRPr="000C1C09">
        <w:rPr>
          <w:spacing w:val="-2"/>
        </w:rPr>
        <w:t xml:space="preserve">Le 24 octobre 2016, UPOV a organisé un “Séminaire sur le matériel de reproduction ou de multiplication végétative et le produit de la récolte dans le contexte de la Convention UPOV”.  </w:t>
      </w:r>
      <w:r w:rsidR="00B22BE2" w:rsidRPr="000C1C09">
        <w:rPr>
          <w:spacing w:val="-2"/>
        </w:rPr>
        <w:t xml:space="preserve">Au total, </w:t>
      </w:r>
      <w:r w:rsidRPr="000C1C09">
        <w:rPr>
          <w:spacing w:val="-2"/>
        </w:rPr>
        <w:t>151</w:t>
      </w:r>
      <w:r w:rsidR="00B22BE2" w:rsidRPr="000C1C09">
        <w:rPr>
          <w:spacing w:val="-2"/>
        </w:rPr>
        <w:t xml:space="preserve"> personnes ont participé au </w:t>
      </w:r>
      <w:r w:rsidRPr="000C1C09">
        <w:rPr>
          <w:spacing w:val="-2"/>
        </w:rPr>
        <w:t>séminaire</w:t>
      </w:r>
      <w:r w:rsidR="00B22BE2" w:rsidRPr="00B22BE2">
        <w:rPr>
          <w:spacing w:val="-2"/>
        </w:rPr>
        <w:t xml:space="preserve"> (voir </w:t>
      </w:r>
      <w:hyperlink r:id="rId15" w:history="1">
        <w:r w:rsidR="00B22BE2" w:rsidRPr="00B22BE2">
          <w:rPr>
            <w:rStyle w:val="Hyperlink"/>
            <w:spacing w:val="-2"/>
          </w:rPr>
          <w:t>http://www.upov.int/meetings/fr/details.jsp?meeting_id=39124</w:t>
        </w:r>
      </w:hyperlink>
      <w:r w:rsidR="00B22BE2">
        <w:rPr>
          <w:spacing w:val="-2"/>
        </w:rPr>
        <w:t>)</w:t>
      </w:r>
    </w:p>
    <w:p w:rsidR="009036AF" w:rsidRDefault="009036AF" w:rsidP="007737EF"/>
    <w:p w:rsidR="000C1C09" w:rsidRPr="000C1C09" w:rsidRDefault="007737EF" w:rsidP="000C1C09">
      <w:pPr>
        <w:pStyle w:val="DecisionParagraphs"/>
        <w:rPr>
          <w:rFonts w:cs="Arial"/>
          <w:snapToGrid w:val="0"/>
        </w:rPr>
      </w:pPr>
      <w:r w:rsidRPr="009A6348">
        <w:rPr>
          <w:rFonts w:cs="Arial"/>
          <w:snapToGrid w:val="0"/>
        </w:rPr>
        <w:fldChar w:fldCharType="begin"/>
      </w:r>
      <w:r w:rsidRPr="009A6348">
        <w:rPr>
          <w:rFonts w:cs="Arial"/>
          <w:snapToGrid w:val="0"/>
        </w:rPr>
        <w:instrText xml:space="preserve"> AUTONUM  </w:instrText>
      </w:r>
      <w:r w:rsidRPr="009A6348">
        <w:rPr>
          <w:rFonts w:cs="Arial"/>
          <w:snapToGrid w:val="0"/>
        </w:rPr>
        <w:fldChar w:fldCharType="end"/>
      </w:r>
      <w:r w:rsidRPr="009A6348">
        <w:rPr>
          <w:rFonts w:cs="Arial"/>
          <w:snapToGrid w:val="0"/>
        </w:rPr>
        <w:tab/>
        <w:t xml:space="preserve">Le TC est invité à </w:t>
      </w:r>
      <w:r w:rsidR="000C1C09" w:rsidRPr="000C1C09">
        <w:rPr>
          <w:rFonts w:cs="Arial"/>
          <w:snapToGrid w:val="0"/>
        </w:rPr>
        <w:t>prendre note:</w:t>
      </w:r>
    </w:p>
    <w:p w:rsidR="000C1C09" w:rsidRPr="000C1C09" w:rsidRDefault="000C1C09" w:rsidP="000C1C09">
      <w:pPr>
        <w:pStyle w:val="DecisionParagraphs"/>
        <w:rPr>
          <w:rFonts w:cs="Arial"/>
          <w:snapToGrid w:val="0"/>
        </w:rPr>
      </w:pPr>
    </w:p>
    <w:p w:rsidR="000C1C09" w:rsidRPr="000C1C09" w:rsidRDefault="000C1C09" w:rsidP="000C1C09">
      <w:pPr>
        <w:pStyle w:val="DecisionParagraphs"/>
        <w:rPr>
          <w:rFonts w:cs="Arial"/>
          <w:snapToGrid w:val="0"/>
        </w:rPr>
      </w:pPr>
      <w:r w:rsidRPr="000C1C09">
        <w:rPr>
          <w:rFonts w:cs="Arial"/>
          <w:snapToGrid w:val="0"/>
        </w:rPr>
        <w:tab/>
        <w:t>(a)</w:t>
      </w:r>
      <w:r w:rsidRPr="000C1C09">
        <w:rPr>
          <w:rFonts w:cs="Arial"/>
          <w:snapToGrid w:val="0"/>
        </w:rPr>
        <w:tab/>
        <w:t>des faits nouveaux intervenus au sein de l’UPOV depuis sa cinquante deuxième session et qui ne relèvent pas de points précis de l’ordre du jour de sa cinquante troisième session, y compris certaines questions examinées lors des dernières sessions du Comité administratif et juridique (CAJ), du Comité consultatif et du Conseil, dont il est fait rapport aux paragraphes 4 à 47 du présent document ;  et</w:t>
      </w:r>
    </w:p>
    <w:p w:rsidR="000C1C09" w:rsidRPr="000C1C09" w:rsidRDefault="000C1C09" w:rsidP="000C1C09">
      <w:pPr>
        <w:pStyle w:val="DecisionParagraphs"/>
        <w:rPr>
          <w:rFonts w:cs="Arial"/>
          <w:snapToGrid w:val="0"/>
        </w:rPr>
      </w:pPr>
    </w:p>
    <w:p w:rsidR="00050E16" w:rsidRDefault="000C1C09" w:rsidP="000C1C09">
      <w:pPr>
        <w:pStyle w:val="DecisionParagraphs"/>
      </w:pPr>
      <w:r w:rsidRPr="000C1C09">
        <w:rPr>
          <w:rFonts w:cs="Arial"/>
          <w:snapToGrid w:val="0"/>
        </w:rPr>
        <w:tab/>
        <w:t>(b)</w:t>
      </w:r>
      <w:r w:rsidRPr="000C1C09">
        <w:rPr>
          <w:rFonts w:cs="Arial"/>
          <w:snapToGrid w:val="0"/>
        </w:rPr>
        <w:tab/>
        <w:t>qu’un exposé résumant les points traités dans le présent document sera présenté au TC à sa cinquante troisième session.  Cet exposé fera l’objet d’un additif au présent document (en anglais seulement).</w:t>
      </w:r>
    </w:p>
    <w:p w:rsidR="00544581" w:rsidRDefault="00544581">
      <w:pPr>
        <w:jc w:val="left"/>
      </w:pPr>
    </w:p>
    <w:p w:rsidR="00050E16" w:rsidRPr="00C651CE" w:rsidRDefault="00050E16" w:rsidP="00050E16"/>
    <w:p w:rsidR="009B440E" w:rsidRDefault="00050E16" w:rsidP="00050E16">
      <w:pPr>
        <w:jc w:val="right"/>
      </w:pPr>
      <w:r w:rsidRPr="00C5280D">
        <w:t>[</w:t>
      </w:r>
      <w:r w:rsidR="00A706D3">
        <w:t xml:space="preserve">Fin du </w:t>
      </w:r>
      <w:r w:rsidRPr="00C5280D">
        <w:t>document]</w:t>
      </w:r>
    </w:p>
    <w:p w:rsidR="0035084F" w:rsidRDefault="0035084F">
      <w:pPr>
        <w:jc w:val="left"/>
      </w:pPr>
    </w:p>
    <w:p w:rsidR="00050E16" w:rsidRPr="00C5280D" w:rsidRDefault="00050E16" w:rsidP="009B440E">
      <w:pPr>
        <w:jc w:val="left"/>
      </w:pPr>
    </w:p>
    <w:sectPr w:rsidR="00050E16" w:rsidRPr="00C5280D" w:rsidSect="00906DDC">
      <w:headerReference w:type="defaul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27F" w:rsidRDefault="0048127F" w:rsidP="006655D3">
      <w:r>
        <w:separator/>
      </w:r>
    </w:p>
    <w:p w:rsidR="0048127F" w:rsidRDefault="0048127F" w:rsidP="006655D3"/>
    <w:p w:rsidR="0048127F" w:rsidRDefault="0048127F" w:rsidP="006655D3"/>
  </w:endnote>
  <w:endnote w:type="continuationSeparator" w:id="0">
    <w:p w:rsidR="0048127F" w:rsidRDefault="0048127F" w:rsidP="006655D3">
      <w:r>
        <w:separator/>
      </w:r>
    </w:p>
    <w:p w:rsidR="0048127F" w:rsidRPr="00294751" w:rsidRDefault="0048127F">
      <w:pPr>
        <w:pStyle w:val="Footer"/>
        <w:spacing w:after="60"/>
        <w:rPr>
          <w:sz w:val="18"/>
          <w:lang w:val="fr-FR"/>
        </w:rPr>
      </w:pPr>
      <w:r w:rsidRPr="00294751">
        <w:rPr>
          <w:sz w:val="18"/>
          <w:lang w:val="fr-FR"/>
        </w:rPr>
        <w:t>[Suite de la note de la page précédente]</w:t>
      </w:r>
    </w:p>
    <w:p w:rsidR="0048127F" w:rsidRPr="00294751" w:rsidRDefault="0048127F" w:rsidP="006655D3"/>
    <w:p w:rsidR="0048127F" w:rsidRPr="00294751" w:rsidRDefault="0048127F" w:rsidP="006655D3"/>
  </w:endnote>
  <w:endnote w:type="continuationNotice" w:id="1">
    <w:p w:rsidR="0048127F" w:rsidRPr="00294751" w:rsidRDefault="0048127F" w:rsidP="006655D3">
      <w:r w:rsidRPr="00294751">
        <w:t>[Suite de la note page suivante]</w:t>
      </w:r>
    </w:p>
    <w:p w:rsidR="0048127F" w:rsidRPr="00294751" w:rsidRDefault="0048127F" w:rsidP="006655D3"/>
    <w:p w:rsidR="0048127F" w:rsidRPr="00294751" w:rsidRDefault="0048127F"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27F" w:rsidRDefault="0048127F" w:rsidP="006655D3">
      <w:r>
        <w:separator/>
      </w:r>
    </w:p>
  </w:footnote>
  <w:footnote w:type="continuationSeparator" w:id="0">
    <w:p w:rsidR="0048127F" w:rsidRDefault="0048127F" w:rsidP="006655D3">
      <w:r>
        <w:separator/>
      </w:r>
    </w:p>
  </w:footnote>
  <w:footnote w:type="continuationNotice" w:id="1">
    <w:p w:rsidR="0048127F" w:rsidRPr="00AB530F" w:rsidRDefault="0048127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27F" w:rsidRPr="00C5280D" w:rsidRDefault="0048127F" w:rsidP="00EB048E">
    <w:pPr>
      <w:pStyle w:val="Header"/>
      <w:rPr>
        <w:rStyle w:val="PageNumber"/>
        <w:lang w:val="en-US"/>
      </w:rPr>
    </w:pPr>
    <w:r>
      <w:rPr>
        <w:rStyle w:val="PageNumber"/>
        <w:lang w:val="en-US"/>
      </w:rPr>
      <w:t>TC/53/</w:t>
    </w:r>
  </w:p>
  <w:p w:rsidR="0048127F" w:rsidRPr="00C5280D" w:rsidRDefault="0048127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75EED">
      <w:rPr>
        <w:rStyle w:val="PageNumber"/>
        <w:noProof/>
        <w:lang w:val="en-US"/>
      </w:rPr>
      <w:t>2</w:t>
    </w:r>
    <w:r w:rsidRPr="00C5280D">
      <w:rPr>
        <w:rStyle w:val="PageNumber"/>
        <w:lang w:val="en-US"/>
      </w:rPr>
      <w:fldChar w:fldCharType="end"/>
    </w:r>
  </w:p>
  <w:p w:rsidR="0048127F" w:rsidRPr="00C5280D" w:rsidRDefault="0048127F"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B7D"/>
    <w:multiLevelType w:val="hybridMultilevel"/>
    <w:tmpl w:val="88DC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D2F36"/>
    <w:multiLevelType w:val="hybridMultilevel"/>
    <w:tmpl w:val="C5B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0C46AFE"/>
    <w:multiLevelType w:val="hybridMultilevel"/>
    <w:tmpl w:val="AD669F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5C8453D"/>
    <w:multiLevelType w:val="hybridMultilevel"/>
    <w:tmpl w:val="C41E4350"/>
    <w:lvl w:ilvl="0" w:tplc="9EC42AF8">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7C46F84"/>
    <w:multiLevelType w:val="hybridMultilevel"/>
    <w:tmpl w:val="DD76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B45EB9"/>
    <w:multiLevelType w:val="hybridMultilevel"/>
    <w:tmpl w:val="56F0B7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A3D5BEC"/>
    <w:multiLevelType w:val="hybridMultilevel"/>
    <w:tmpl w:val="700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447FE"/>
    <w:multiLevelType w:val="hybridMultilevel"/>
    <w:tmpl w:val="FB628A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E195460"/>
    <w:multiLevelType w:val="hybridMultilevel"/>
    <w:tmpl w:val="4A724D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B170E0"/>
    <w:multiLevelType w:val="hybridMultilevel"/>
    <w:tmpl w:val="DEB4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137C90"/>
    <w:multiLevelType w:val="hybridMultilevel"/>
    <w:tmpl w:val="C0D2D2FC"/>
    <w:lvl w:ilvl="0" w:tplc="B07E510C">
      <w:start w:val="1"/>
      <w:numFmt w:val="lowerLetter"/>
      <w:lvlText w:val="%1)"/>
      <w:lvlJc w:val="left"/>
      <w:pPr>
        <w:ind w:left="1494" w:hanging="360"/>
      </w:pPr>
      <w:rPr>
        <w:rFonts w:hint="default"/>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410E0130"/>
    <w:multiLevelType w:val="hybridMultilevel"/>
    <w:tmpl w:val="A00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B517AB"/>
    <w:multiLevelType w:val="hybridMultilevel"/>
    <w:tmpl w:val="3D0C5BA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D476B3"/>
    <w:multiLevelType w:val="hybridMultilevel"/>
    <w:tmpl w:val="30581A82"/>
    <w:lvl w:ilvl="0" w:tplc="B07E510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266848"/>
    <w:multiLevelType w:val="hybridMultilevel"/>
    <w:tmpl w:val="B120A2C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61A11D61"/>
    <w:multiLevelType w:val="hybridMultilevel"/>
    <w:tmpl w:val="4A0E5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EE4233"/>
    <w:multiLevelType w:val="hybridMultilevel"/>
    <w:tmpl w:val="FF02A64A"/>
    <w:lvl w:ilvl="0" w:tplc="B07E510C">
      <w:start w:val="1"/>
      <w:numFmt w:val="lowerLetter"/>
      <w:lvlText w:val="%1)"/>
      <w:lvlJc w:val="left"/>
      <w:pPr>
        <w:ind w:left="930" w:hanging="570"/>
      </w:pPr>
      <w:rPr>
        <w:rFonts w:hint="default"/>
        <w:color w:val="auto"/>
      </w:rPr>
    </w:lvl>
    <w:lvl w:ilvl="1" w:tplc="C2327534">
      <w:start w:val="1"/>
      <w:numFmt w:val="lowerRoman"/>
      <w:lvlText w:val="%2)"/>
      <w:lvlJc w:val="left"/>
      <w:pPr>
        <w:ind w:left="1440" w:hanging="360"/>
      </w:pPr>
      <w:rPr>
        <w:rFonts w:cs="Times New Roman" w:hint="default"/>
        <w:color w:val="auto"/>
        <w:sz w:val="18"/>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8616BF"/>
    <w:multiLevelType w:val="hybridMultilevel"/>
    <w:tmpl w:val="58B6C7CE"/>
    <w:lvl w:ilvl="0" w:tplc="39F6179E">
      <w:start w:val="1"/>
      <w:numFmt w:val="lowerLetter"/>
      <w:lvlText w:val="%1)"/>
      <w:lvlJc w:val="left"/>
      <w:pPr>
        <w:ind w:left="1701" w:hanging="567"/>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D45183C"/>
    <w:multiLevelType w:val="hybridMultilevel"/>
    <w:tmpl w:val="EB28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595D9F"/>
    <w:multiLevelType w:val="hybridMultilevel"/>
    <w:tmpl w:val="F9BC4AAA"/>
    <w:lvl w:ilvl="0" w:tplc="8826A95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3"/>
  </w:num>
  <w:num w:numId="2">
    <w:abstractNumId w:val="18"/>
  </w:num>
  <w:num w:numId="3">
    <w:abstractNumId w:val="15"/>
  </w:num>
  <w:num w:numId="4">
    <w:abstractNumId w:val="4"/>
  </w:num>
  <w:num w:numId="5">
    <w:abstractNumId w:val="16"/>
  </w:num>
  <w:num w:numId="6">
    <w:abstractNumId w:val="0"/>
  </w:num>
  <w:num w:numId="7">
    <w:abstractNumId w:val="7"/>
  </w:num>
  <w:num w:numId="8">
    <w:abstractNumId w:val="23"/>
  </w:num>
  <w:num w:numId="9">
    <w:abstractNumId w:val="1"/>
  </w:num>
  <w:num w:numId="10">
    <w:abstractNumId w:val="14"/>
  </w:num>
  <w:num w:numId="11">
    <w:abstractNumId w:val="19"/>
  </w:num>
  <w:num w:numId="12">
    <w:abstractNumId w:val="12"/>
  </w:num>
  <w:num w:numId="13">
    <w:abstractNumId w:val="9"/>
  </w:num>
  <w:num w:numId="14">
    <w:abstractNumId w:val="6"/>
  </w:num>
  <w:num w:numId="15">
    <w:abstractNumId w:val="5"/>
  </w:num>
  <w:num w:numId="16">
    <w:abstractNumId w:val="22"/>
  </w:num>
  <w:num w:numId="17">
    <w:abstractNumId w:val="11"/>
  </w:num>
  <w:num w:numId="18">
    <w:abstractNumId w:val="21"/>
  </w:num>
  <w:num w:numId="19">
    <w:abstractNumId w:val="10"/>
  </w:num>
  <w:num w:numId="20">
    <w:abstractNumId w:val="17"/>
  </w:num>
  <w:num w:numId="21">
    <w:abstractNumId w:val="20"/>
  </w:num>
  <w:num w:numId="22">
    <w:abstractNumId w:val="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EF"/>
    <w:rsid w:val="00010CF3"/>
    <w:rsid w:val="00011E27"/>
    <w:rsid w:val="0001407B"/>
    <w:rsid w:val="000148BC"/>
    <w:rsid w:val="00024AB8"/>
    <w:rsid w:val="00026045"/>
    <w:rsid w:val="00030854"/>
    <w:rsid w:val="00036028"/>
    <w:rsid w:val="00044642"/>
    <w:rsid w:val="000446B9"/>
    <w:rsid w:val="00047E21"/>
    <w:rsid w:val="00050E16"/>
    <w:rsid w:val="00070FFC"/>
    <w:rsid w:val="00072E16"/>
    <w:rsid w:val="00074B4C"/>
    <w:rsid w:val="00085505"/>
    <w:rsid w:val="000A706F"/>
    <w:rsid w:val="000A75A0"/>
    <w:rsid w:val="000C1C09"/>
    <w:rsid w:val="000C4E25"/>
    <w:rsid w:val="000C7021"/>
    <w:rsid w:val="000D6BBC"/>
    <w:rsid w:val="000D7780"/>
    <w:rsid w:val="000E636A"/>
    <w:rsid w:val="000F2F11"/>
    <w:rsid w:val="00105929"/>
    <w:rsid w:val="00110C36"/>
    <w:rsid w:val="001131D5"/>
    <w:rsid w:val="00121037"/>
    <w:rsid w:val="00141C91"/>
    <w:rsid w:val="00141DB8"/>
    <w:rsid w:val="00172084"/>
    <w:rsid w:val="0017474A"/>
    <w:rsid w:val="001758C6"/>
    <w:rsid w:val="00177B13"/>
    <w:rsid w:val="00182B99"/>
    <w:rsid w:val="001F3D68"/>
    <w:rsid w:val="001F65A2"/>
    <w:rsid w:val="0021332C"/>
    <w:rsid w:val="00213982"/>
    <w:rsid w:val="0024416D"/>
    <w:rsid w:val="00271911"/>
    <w:rsid w:val="002800A0"/>
    <w:rsid w:val="002801B3"/>
    <w:rsid w:val="00281060"/>
    <w:rsid w:val="002940E8"/>
    <w:rsid w:val="00294751"/>
    <w:rsid w:val="002A6E50"/>
    <w:rsid w:val="002B4298"/>
    <w:rsid w:val="002C256A"/>
    <w:rsid w:val="002D0AD8"/>
    <w:rsid w:val="00305A7F"/>
    <w:rsid w:val="003152FE"/>
    <w:rsid w:val="00325BF4"/>
    <w:rsid w:val="00326883"/>
    <w:rsid w:val="00327436"/>
    <w:rsid w:val="00337C0A"/>
    <w:rsid w:val="00344BD6"/>
    <w:rsid w:val="0035084F"/>
    <w:rsid w:val="0035528D"/>
    <w:rsid w:val="00361821"/>
    <w:rsid w:val="00361E9E"/>
    <w:rsid w:val="0037638B"/>
    <w:rsid w:val="003C7FBE"/>
    <w:rsid w:val="003D227C"/>
    <w:rsid w:val="003D2B4D"/>
    <w:rsid w:val="0040557F"/>
    <w:rsid w:val="00444A88"/>
    <w:rsid w:val="00474DA4"/>
    <w:rsid w:val="00476B4D"/>
    <w:rsid w:val="004805FA"/>
    <w:rsid w:val="0048127F"/>
    <w:rsid w:val="0049153F"/>
    <w:rsid w:val="004935D2"/>
    <w:rsid w:val="004B1215"/>
    <w:rsid w:val="004D047D"/>
    <w:rsid w:val="004F1E9E"/>
    <w:rsid w:val="004F305A"/>
    <w:rsid w:val="00512164"/>
    <w:rsid w:val="00520297"/>
    <w:rsid w:val="005338F9"/>
    <w:rsid w:val="0054281C"/>
    <w:rsid w:val="00544581"/>
    <w:rsid w:val="00545E42"/>
    <w:rsid w:val="0055268D"/>
    <w:rsid w:val="005618ED"/>
    <w:rsid w:val="00576BE4"/>
    <w:rsid w:val="00581E03"/>
    <w:rsid w:val="00593590"/>
    <w:rsid w:val="005A400A"/>
    <w:rsid w:val="005E30D7"/>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6E7341"/>
    <w:rsid w:val="007035BA"/>
    <w:rsid w:val="0071271E"/>
    <w:rsid w:val="007133F0"/>
    <w:rsid w:val="00732DEC"/>
    <w:rsid w:val="00735AC0"/>
    <w:rsid w:val="00735BD5"/>
    <w:rsid w:val="0074519A"/>
    <w:rsid w:val="007455C2"/>
    <w:rsid w:val="00751613"/>
    <w:rsid w:val="007556F6"/>
    <w:rsid w:val="00760A51"/>
    <w:rsid w:val="00760EEF"/>
    <w:rsid w:val="007737EF"/>
    <w:rsid w:val="00777EE5"/>
    <w:rsid w:val="00784836"/>
    <w:rsid w:val="00787EFC"/>
    <w:rsid w:val="0079023E"/>
    <w:rsid w:val="007A2854"/>
    <w:rsid w:val="007C1D92"/>
    <w:rsid w:val="007C4CB9"/>
    <w:rsid w:val="007D0B9D"/>
    <w:rsid w:val="007D19B0"/>
    <w:rsid w:val="007D3DBC"/>
    <w:rsid w:val="007D4CA3"/>
    <w:rsid w:val="007F498F"/>
    <w:rsid w:val="0080679D"/>
    <w:rsid w:val="008108B0"/>
    <w:rsid w:val="00811B20"/>
    <w:rsid w:val="008211B5"/>
    <w:rsid w:val="0082296E"/>
    <w:rsid w:val="00824099"/>
    <w:rsid w:val="00846D7C"/>
    <w:rsid w:val="00855265"/>
    <w:rsid w:val="00864C55"/>
    <w:rsid w:val="00867AC1"/>
    <w:rsid w:val="00890DF8"/>
    <w:rsid w:val="008A743F"/>
    <w:rsid w:val="008C0970"/>
    <w:rsid w:val="008D0BC5"/>
    <w:rsid w:val="008D2CF7"/>
    <w:rsid w:val="008F3AFB"/>
    <w:rsid w:val="00900C26"/>
    <w:rsid w:val="0090197F"/>
    <w:rsid w:val="009036A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33E60"/>
    <w:rsid w:val="00A42AC3"/>
    <w:rsid w:val="00A430CF"/>
    <w:rsid w:val="00A54309"/>
    <w:rsid w:val="00A706D3"/>
    <w:rsid w:val="00A95BC3"/>
    <w:rsid w:val="00AB2B93"/>
    <w:rsid w:val="00AB530F"/>
    <w:rsid w:val="00AB7E5B"/>
    <w:rsid w:val="00AC2883"/>
    <w:rsid w:val="00AE0EF1"/>
    <w:rsid w:val="00AE2937"/>
    <w:rsid w:val="00AE7FAC"/>
    <w:rsid w:val="00B07301"/>
    <w:rsid w:val="00B11F3E"/>
    <w:rsid w:val="00B224DE"/>
    <w:rsid w:val="00B22BE2"/>
    <w:rsid w:val="00B2547F"/>
    <w:rsid w:val="00B324D4"/>
    <w:rsid w:val="00B46575"/>
    <w:rsid w:val="00B61777"/>
    <w:rsid w:val="00B62198"/>
    <w:rsid w:val="00B75EED"/>
    <w:rsid w:val="00B84BBD"/>
    <w:rsid w:val="00BA43FB"/>
    <w:rsid w:val="00BC127D"/>
    <w:rsid w:val="00BC1FE6"/>
    <w:rsid w:val="00C061B6"/>
    <w:rsid w:val="00C219E9"/>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D2195"/>
    <w:rsid w:val="00CF1330"/>
    <w:rsid w:val="00CF7E36"/>
    <w:rsid w:val="00D14D5E"/>
    <w:rsid w:val="00D3708D"/>
    <w:rsid w:val="00D40426"/>
    <w:rsid w:val="00D51465"/>
    <w:rsid w:val="00D57C96"/>
    <w:rsid w:val="00D57D18"/>
    <w:rsid w:val="00D91203"/>
    <w:rsid w:val="00D95174"/>
    <w:rsid w:val="00D960F8"/>
    <w:rsid w:val="00DA4973"/>
    <w:rsid w:val="00DA6F36"/>
    <w:rsid w:val="00DB0243"/>
    <w:rsid w:val="00DB596E"/>
    <w:rsid w:val="00DB7773"/>
    <w:rsid w:val="00DC00EA"/>
    <w:rsid w:val="00DC3802"/>
    <w:rsid w:val="00E07D87"/>
    <w:rsid w:val="00E32F7E"/>
    <w:rsid w:val="00E37C13"/>
    <w:rsid w:val="00E50ABB"/>
    <w:rsid w:val="00E5267B"/>
    <w:rsid w:val="00E63C0E"/>
    <w:rsid w:val="00E72D49"/>
    <w:rsid w:val="00E7593C"/>
    <w:rsid w:val="00E7678A"/>
    <w:rsid w:val="00E8091D"/>
    <w:rsid w:val="00E935F1"/>
    <w:rsid w:val="00E94A81"/>
    <w:rsid w:val="00EA1FFB"/>
    <w:rsid w:val="00EB048E"/>
    <w:rsid w:val="00EB4E9C"/>
    <w:rsid w:val="00ED2126"/>
    <w:rsid w:val="00EE34DF"/>
    <w:rsid w:val="00EF2F89"/>
    <w:rsid w:val="00F03E98"/>
    <w:rsid w:val="00F1237A"/>
    <w:rsid w:val="00F22CBD"/>
    <w:rsid w:val="00F272F1"/>
    <w:rsid w:val="00F34A2B"/>
    <w:rsid w:val="00F45372"/>
    <w:rsid w:val="00F560F7"/>
    <w:rsid w:val="00F6334D"/>
    <w:rsid w:val="00F74F15"/>
    <w:rsid w:val="00F81906"/>
    <w:rsid w:val="00FA49AB"/>
    <w:rsid w:val="00FC00F4"/>
    <w:rsid w:val="00FE39C7"/>
    <w:rsid w:val="00FF2AE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D960F8"/>
    <w:pPr>
      <w:keepNext/>
      <w:jc w:val="both"/>
      <w:outlineLvl w:val="1"/>
    </w:pPr>
    <w:rPr>
      <w:rFonts w:ascii="Arial" w:hAnsi="Arial" w:cs="Arial"/>
      <w:sz w:val="19"/>
      <w:szCs w:val="19"/>
      <w:u w:val="single"/>
      <w:lang w:val="fr-FR"/>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7737EF"/>
    <w:pPr>
      <w:keepNext/>
      <w:keepLines/>
      <w:spacing w:before="200"/>
      <w:outlineLvl w:val="6"/>
    </w:pPr>
    <w:rPr>
      <w:rFonts w:asciiTheme="majorHAnsi" w:eastAsiaTheme="majorEastAsia" w:hAnsiTheme="majorHAnsi" w:cstheme="majorBidi"/>
      <w:i/>
      <w:iCs/>
      <w:color w:val="404040" w:themeColor="text1" w:themeTint="BF"/>
      <w:lang w:val="en-US"/>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62198"/>
    <w:pPr>
      <w:tabs>
        <w:tab w:val="right" w:leader="dot" w:pos="9639"/>
      </w:tabs>
      <w:spacing w:before="120"/>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7Char">
    <w:name w:val="Heading 7 Char"/>
    <w:basedOn w:val="DefaultParagraphFont"/>
    <w:link w:val="Heading7"/>
    <w:semiHidden/>
    <w:rsid w:val="007737EF"/>
    <w:rPr>
      <w:rFonts w:asciiTheme="majorHAnsi" w:eastAsiaTheme="majorEastAsia" w:hAnsiTheme="majorHAnsi" w:cstheme="majorBidi"/>
      <w:i/>
      <w:iCs/>
      <w:color w:val="404040" w:themeColor="text1" w:themeTint="BF"/>
    </w:rPr>
  </w:style>
  <w:style w:type="paragraph" w:customStyle="1" w:styleId="StyleDocoriginalNotBold">
    <w:name w:val="Style Doc_original + Not Bold"/>
    <w:basedOn w:val="Docoriginal"/>
    <w:link w:val="StyleDocoriginalNotBoldChar"/>
    <w:autoRedefine/>
    <w:rsid w:val="007737EF"/>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7737EF"/>
    <w:rPr>
      <w:rFonts w:ascii="Arial" w:hAnsi="Arial"/>
      <w:b/>
      <w:bCs/>
      <w:spacing w:val="10"/>
      <w:sz w:val="18"/>
      <w:lang w:val="fr-FR" w:eastAsia="en-US" w:bidi="ar-SA"/>
    </w:rPr>
  </w:style>
  <w:style w:type="paragraph" w:customStyle="1" w:styleId="StyleDocnumber">
    <w:name w:val="Style Doc_number"/>
    <w:basedOn w:val="Docoriginal"/>
    <w:rsid w:val="007737EF"/>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7737EF"/>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7737EF"/>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7737E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7737EF"/>
    <w:rPr>
      <w:rFonts w:ascii="Arial" w:hAnsi="Arial"/>
      <w:b w:val="0"/>
      <w:bCs w:val="0"/>
      <w:spacing w:val="10"/>
      <w:sz w:val="18"/>
      <w:lang w:val="fr-FR" w:eastAsia="en-US" w:bidi="ar-SA"/>
    </w:rPr>
  </w:style>
  <w:style w:type="character" w:customStyle="1" w:styleId="StyleDocoriginalNotBold1">
    <w:name w:val="Style Doc_original + Not Bold1"/>
    <w:basedOn w:val="StyleStyleDocoriginalNotBoldNotBoldChar"/>
    <w:rsid w:val="007737EF"/>
    <w:rPr>
      <w:rFonts w:ascii="Arial" w:hAnsi="Arial"/>
      <w:b w:val="0"/>
      <w:bCs w:val="0"/>
      <w:spacing w:val="10"/>
      <w:sz w:val="18"/>
      <w:lang w:val="fr-FR" w:eastAsia="en-US" w:bidi="ar-SA"/>
    </w:rPr>
  </w:style>
  <w:style w:type="character" w:customStyle="1" w:styleId="StyleDoclangBold">
    <w:name w:val="Style Doc_lang + Bold"/>
    <w:basedOn w:val="Doclang"/>
    <w:rsid w:val="007737EF"/>
    <w:rPr>
      <w:rFonts w:ascii="Arial" w:hAnsi="Arial"/>
      <w:b/>
      <w:bCs/>
      <w:sz w:val="20"/>
      <w:lang w:val="en-US"/>
    </w:rPr>
  </w:style>
  <w:style w:type="character" w:customStyle="1" w:styleId="FootnoteTextChar">
    <w:name w:val="Footnote Text Char"/>
    <w:link w:val="FootnoteText"/>
    <w:rsid w:val="007737EF"/>
    <w:rPr>
      <w:rFonts w:ascii="Arial" w:hAnsi="Arial"/>
      <w:sz w:val="16"/>
      <w:lang w:val="fr-FR"/>
    </w:rPr>
  </w:style>
  <w:style w:type="paragraph" w:styleId="CommentText">
    <w:name w:val="annotation text"/>
    <w:basedOn w:val="Normal"/>
    <w:link w:val="CommentTextChar"/>
    <w:unhideWhenUsed/>
    <w:rsid w:val="007737EF"/>
    <w:pPr>
      <w:jc w:val="left"/>
    </w:pPr>
    <w:rPr>
      <w:rFonts w:ascii="Times New Roman" w:hAnsi="Times New Roman"/>
      <w:sz w:val="22"/>
      <w:szCs w:val="22"/>
      <w:lang w:val="en-US" w:eastAsia="ja-JP"/>
    </w:rPr>
  </w:style>
  <w:style w:type="character" w:customStyle="1" w:styleId="CommentTextChar">
    <w:name w:val="Comment Text Char"/>
    <w:basedOn w:val="DefaultParagraphFont"/>
    <w:link w:val="CommentText"/>
    <w:rsid w:val="007737EF"/>
    <w:rPr>
      <w:sz w:val="22"/>
      <w:szCs w:val="22"/>
      <w:lang w:eastAsia="ja-JP"/>
    </w:rPr>
  </w:style>
  <w:style w:type="character" w:customStyle="1" w:styleId="DecisionParagraphsChar">
    <w:name w:val="DecisionParagraphs Char"/>
    <w:basedOn w:val="DefaultParagraphFont"/>
    <w:link w:val="DecisionParagraphs"/>
    <w:rsid w:val="007737EF"/>
    <w:rPr>
      <w:rFonts w:ascii="Arial" w:hAnsi="Arial"/>
      <w:i/>
      <w:lang w:val="fr-FR"/>
    </w:rPr>
  </w:style>
  <w:style w:type="paragraph" w:styleId="ListParagraph">
    <w:name w:val="List Paragraph"/>
    <w:basedOn w:val="Normal"/>
    <w:uiPriority w:val="34"/>
    <w:qFormat/>
    <w:rsid w:val="007737EF"/>
    <w:pPr>
      <w:ind w:left="720"/>
      <w:contextualSpacing/>
    </w:pPr>
    <w:rPr>
      <w:lang w:val="en-US"/>
    </w:rPr>
  </w:style>
  <w:style w:type="paragraph" w:styleId="TOCHeading">
    <w:name w:val="TOC Heading"/>
    <w:basedOn w:val="Heading1"/>
    <w:next w:val="Normal"/>
    <w:uiPriority w:val="39"/>
    <w:unhideWhenUsed/>
    <w:qFormat/>
    <w:rsid w:val="007737EF"/>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val="fr-FR" w:eastAsia="ja-JP"/>
    </w:rPr>
  </w:style>
  <w:style w:type="character" w:customStyle="1" w:styleId="Heading2Char">
    <w:name w:val="Heading 2 Char"/>
    <w:link w:val="Heading2"/>
    <w:rsid w:val="00D960F8"/>
    <w:rPr>
      <w:rFonts w:ascii="Arial" w:hAnsi="Arial" w:cs="Arial"/>
      <w:sz w:val="19"/>
      <w:szCs w:val="19"/>
      <w:u w:val="single"/>
      <w:lang w:val="fr-FR"/>
    </w:rPr>
  </w:style>
  <w:style w:type="table" w:styleId="TableGrid">
    <w:name w:val="Table Grid"/>
    <w:basedOn w:val="TableNormal"/>
    <w:rsid w:val="00773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737EF"/>
    <w:rPr>
      <w:b w:val="0"/>
      <w:bCs/>
      <w:smallCaps/>
      <w:spacing w:val="5"/>
    </w:rPr>
  </w:style>
  <w:style w:type="paragraph" w:styleId="NormalWeb">
    <w:name w:val="Normal (Web)"/>
    <w:basedOn w:val="Normal"/>
    <w:uiPriority w:val="99"/>
    <w:unhideWhenUsed/>
    <w:rsid w:val="007737EF"/>
    <w:pPr>
      <w:spacing w:before="100" w:beforeAutospacing="1" w:after="100" w:afterAutospacing="1"/>
      <w:jc w:val="left"/>
    </w:pPr>
    <w:rPr>
      <w:rFonts w:ascii="Times New Roman" w:hAnsi="Times New Roman"/>
      <w:sz w:val="24"/>
      <w:szCs w:val="24"/>
      <w:lang w:val="en-US"/>
    </w:rPr>
  </w:style>
  <w:style w:type="paragraph" w:customStyle="1" w:styleId="Default">
    <w:name w:val="Default"/>
    <w:rsid w:val="007737E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D960F8"/>
    <w:pPr>
      <w:keepNext/>
      <w:jc w:val="both"/>
      <w:outlineLvl w:val="1"/>
    </w:pPr>
    <w:rPr>
      <w:rFonts w:ascii="Arial" w:hAnsi="Arial" w:cs="Arial"/>
      <w:sz w:val="19"/>
      <w:szCs w:val="19"/>
      <w:u w:val="single"/>
      <w:lang w:val="fr-FR"/>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7737EF"/>
    <w:pPr>
      <w:keepNext/>
      <w:keepLines/>
      <w:spacing w:before="200"/>
      <w:outlineLvl w:val="6"/>
    </w:pPr>
    <w:rPr>
      <w:rFonts w:asciiTheme="majorHAnsi" w:eastAsiaTheme="majorEastAsia" w:hAnsiTheme="majorHAnsi" w:cstheme="majorBidi"/>
      <w:i/>
      <w:iCs/>
      <w:color w:val="404040" w:themeColor="text1" w:themeTint="BF"/>
      <w:lang w:val="en-US"/>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62198"/>
    <w:pPr>
      <w:tabs>
        <w:tab w:val="right" w:leader="dot" w:pos="9639"/>
      </w:tabs>
      <w:spacing w:before="120"/>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7Char">
    <w:name w:val="Heading 7 Char"/>
    <w:basedOn w:val="DefaultParagraphFont"/>
    <w:link w:val="Heading7"/>
    <w:semiHidden/>
    <w:rsid w:val="007737EF"/>
    <w:rPr>
      <w:rFonts w:asciiTheme="majorHAnsi" w:eastAsiaTheme="majorEastAsia" w:hAnsiTheme="majorHAnsi" w:cstheme="majorBidi"/>
      <w:i/>
      <w:iCs/>
      <w:color w:val="404040" w:themeColor="text1" w:themeTint="BF"/>
    </w:rPr>
  </w:style>
  <w:style w:type="paragraph" w:customStyle="1" w:styleId="StyleDocoriginalNotBold">
    <w:name w:val="Style Doc_original + Not Bold"/>
    <w:basedOn w:val="Docoriginal"/>
    <w:link w:val="StyleDocoriginalNotBoldChar"/>
    <w:autoRedefine/>
    <w:rsid w:val="007737EF"/>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7737EF"/>
    <w:rPr>
      <w:rFonts w:ascii="Arial" w:hAnsi="Arial"/>
      <w:b/>
      <w:bCs/>
      <w:spacing w:val="10"/>
      <w:sz w:val="18"/>
      <w:lang w:val="fr-FR" w:eastAsia="en-US" w:bidi="ar-SA"/>
    </w:rPr>
  </w:style>
  <w:style w:type="paragraph" w:customStyle="1" w:styleId="StyleDocnumber">
    <w:name w:val="Style Doc_number"/>
    <w:basedOn w:val="Docoriginal"/>
    <w:rsid w:val="007737EF"/>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7737EF"/>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7737EF"/>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7737E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7737EF"/>
    <w:rPr>
      <w:rFonts w:ascii="Arial" w:hAnsi="Arial"/>
      <w:b w:val="0"/>
      <w:bCs w:val="0"/>
      <w:spacing w:val="10"/>
      <w:sz w:val="18"/>
      <w:lang w:val="fr-FR" w:eastAsia="en-US" w:bidi="ar-SA"/>
    </w:rPr>
  </w:style>
  <w:style w:type="character" w:customStyle="1" w:styleId="StyleDocoriginalNotBold1">
    <w:name w:val="Style Doc_original + Not Bold1"/>
    <w:basedOn w:val="StyleStyleDocoriginalNotBoldNotBoldChar"/>
    <w:rsid w:val="007737EF"/>
    <w:rPr>
      <w:rFonts w:ascii="Arial" w:hAnsi="Arial"/>
      <w:b w:val="0"/>
      <w:bCs w:val="0"/>
      <w:spacing w:val="10"/>
      <w:sz w:val="18"/>
      <w:lang w:val="fr-FR" w:eastAsia="en-US" w:bidi="ar-SA"/>
    </w:rPr>
  </w:style>
  <w:style w:type="character" w:customStyle="1" w:styleId="StyleDoclangBold">
    <w:name w:val="Style Doc_lang + Bold"/>
    <w:basedOn w:val="Doclang"/>
    <w:rsid w:val="007737EF"/>
    <w:rPr>
      <w:rFonts w:ascii="Arial" w:hAnsi="Arial"/>
      <w:b/>
      <w:bCs/>
      <w:sz w:val="20"/>
      <w:lang w:val="en-US"/>
    </w:rPr>
  </w:style>
  <w:style w:type="character" w:customStyle="1" w:styleId="FootnoteTextChar">
    <w:name w:val="Footnote Text Char"/>
    <w:link w:val="FootnoteText"/>
    <w:rsid w:val="007737EF"/>
    <w:rPr>
      <w:rFonts w:ascii="Arial" w:hAnsi="Arial"/>
      <w:sz w:val="16"/>
      <w:lang w:val="fr-FR"/>
    </w:rPr>
  </w:style>
  <w:style w:type="paragraph" w:styleId="CommentText">
    <w:name w:val="annotation text"/>
    <w:basedOn w:val="Normal"/>
    <w:link w:val="CommentTextChar"/>
    <w:unhideWhenUsed/>
    <w:rsid w:val="007737EF"/>
    <w:pPr>
      <w:jc w:val="left"/>
    </w:pPr>
    <w:rPr>
      <w:rFonts w:ascii="Times New Roman" w:hAnsi="Times New Roman"/>
      <w:sz w:val="22"/>
      <w:szCs w:val="22"/>
      <w:lang w:val="en-US" w:eastAsia="ja-JP"/>
    </w:rPr>
  </w:style>
  <w:style w:type="character" w:customStyle="1" w:styleId="CommentTextChar">
    <w:name w:val="Comment Text Char"/>
    <w:basedOn w:val="DefaultParagraphFont"/>
    <w:link w:val="CommentText"/>
    <w:rsid w:val="007737EF"/>
    <w:rPr>
      <w:sz w:val="22"/>
      <w:szCs w:val="22"/>
      <w:lang w:eastAsia="ja-JP"/>
    </w:rPr>
  </w:style>
  <w:style w:type="character" w:customStyle="1" w:styleId="DecisionParagraphsChar">
    <w:name w:val="DecisionParagraphs Char"/>
    <w:basedOn w:val="DefaultParagraphFont"/>
    <w:link w:val="DecisionParagraphs"/>
    <w:rsid w:val="007737EF"/>
    <w:rPr>
      <w:rFonts w:ascii="Arial" w:hAnsi="Arial"/>
      <w:i/>
      <w:lang w:val="fr-FR"/>
    </w:rPr>
  </w:style>
  <w:style w:type="paragraph" w:styleId="ListParagraph">
    <w:name w:val="List Paragraph"/>
    <w:basedOn w:val="Normal"/>
    <w:uiPriority w:val="34"/>
    <w:qFormat/>
    <w:rsid w:val="007737EF"/>
    <w:pPr>
      <w:ind w:left="720"/>
      <w:contextualSpacing/>
    </w:pPr>
    <w:rPr>
      <w:lang w:val="en-US"/>
    </w:rPr>
  </w:style>
  <w:style w:type="paragraph" w:styleId="TOCHeading">
    <w:name w:val="TOC Heading"/>
    <w:basedOn w:val="Heading1"/>
    <w:next w:val="Normal"/>
    <w:uiPriority w:val="39"/>
    <w:unhideWhenUsed/>
    <w:qFormat/>
    <w:rsid w:val="007737EF"/>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val="fr-FR" w:eastAsia="ja-JP"/>
    </w:rPr>
  </w:style>
  <w:style w:type="character" w:customStyle="1" w:styleId="Heading2Char">
    <w:name w:val="Heading 2 Char"/>
    <w:link w:val="Heading2"/>
    <w:rsid w:val="00D960F8"/>
    <w:rPr>
      <w:rFonts w:ascii="Arial" w:hAnsi="Arial" w:cs="Arial"/>
      <w:sz w:val="19"/>
      <w:szCs w:val="19"/>
      <w:u w:val="single"/>
      <w:lang w:val="fr-FR"/>
    </w:rPr>
  </w:style>
  <w:style w:type="table" w:styleId="TableGrid">
    <w:name w:val="Table Grid"/>
    <w:basedOn w:val="TableNormal"/>
    <w:rsid w:val="00773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737EF"/>
    <w:rPr>
      <w:b w:val="0"/>
      <w:bCs/>
      <w:smallCaps/>
      <w:spacing w:val="5"/>
    </w:rPr>
  </w:style>
  <w:style w:type="paragraph" w:styleId="NormalWeb">
    <w:name w:val="Normal (Web)"/>
    <w:basedOn w:val="Normal"/>
    <w:uiPriority w:val="99"/>
    <w:unhideWhenUsed/>
    <w:rsid w:val="007737EF"/>
    <w:pPr>
      <w:spacing w:before="100" w:beforeAutospacing="1" w:after="100" w:afterAutospacing="1"/>
      <w:jc w:val="left"/>
    </w:pPr>
    <w:rPr>
      <w:rFonts w:ascii="Times New Roman" w:hAnsi="Times New Roman"/>
      <w:sz w:val="24"/>
      <w:szCs w:val="24"/>
      <w:lang w:val="en-US"/>
    </w:rPr>
  </w:style>
  <w:style w:type="paragraph" w:customStyle="1" w:styleId="Default">
    <w:name w:val="Default"/>
    <w:rsid w:val="007737E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94247">
      <w:bodyDiv w:val="1"/>
      <w:marLeft w:val="0"/>
      <w:marRight w:val="0"/>
      <w:marTop w:val="0"/>
      <w:marBottom w:val="0"/>
      <w:divBdr>
        <w:top w:val="none" w:sz="0" w:space="0" w:color="auto"/>
        <w:left w:val="none" w:sz="0" w:space="0" w:color="auto"/>
        <w:bottom w:val="none" w:sz="0" w:space="0" w:color="auto"/>
        <w:right w:val="none" w:sz="0" w:space="0" w:color="auto"/>
      </w:divBdr>
    </w:div>
    <w:div w:id="653871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upov_collection/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upov_collection/fr/" TargetMode="External"/><Relationship Id="rId5" Type="http://schemas.openxmlformats.org/officeDocument/2006/relationships/settings" Target="settings.xml"/><Relationship Id="rId15" Type="http://schemas.openxmlformats.org/officeDocument/2006/relationships/hyperlink" Target="http://www.upov.int/meetings/fr/details.jsp?meeting_id=39124" TargetMode="External"/><Relationship Id="rId10" Type="http://schemas.openxmlformats.org/officeDocument/2006/relationships/hyperlink" Target="http://www.upov.int/members/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resource/fr/train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130D1-3BCB-47E1-A987-0FC66ADD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TC_53_FR</Template>
  <TotalTime>355</TotalTime>
  <Pages>11</Pages>
  <Words>3985</Words>
  <Characters>25428</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29355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GIACHINO Erika</dc:creator>
  <cp:lastModifiedBy>GIACHINO Erika</cp:lastModifiedBy>
  <cp:revision>30</cp:revision>
  <cp:lastPrinted>2016-11-22T15:41:00Z</cp:lastPrinted>
  <dcterms:created xsi:type="dcterms:W3CDTF">2017-03-29T09:15:00Z</dcterms:created>
  <dcterms:modified xsi:type="dcterms:W3CDTF">2017-03-30T13:56:00Z</dcterms:modified>
</cp:coreProperties>
</file>