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85A58" w:rsidRPr="00F85A58" w:rsidTr="00232195">
        <w:trPr>
          <w:trHeight w:val="1760"/>
        </w:trPr>
        <w:tc>
          <w:tcPr>
            <w:tcW w:w="4243" w:type="dxa"/>
          </w:tcPr>
          <w:p w:rsidR="00592939" w:rsidRPr="00F85A58" w:rsidRDefault="00592939" w:rsidP="00232195">
            <w:pPr>
              <w:rPr>
                <w:lang w:val="fr-FR"/>
              </w:rPr>
            </w:pPr>
          </w:p>
        </w:tc>
        <w:tc>
          <w:tcPr>
            <w:tcW w:w="1646" w:type="dxa"/>
            <w:vAlign w:val="center"/>
          </w:tcPr>
          <w:p w:rsidR="00592939" w:rsidRPr="00F85A58" w:rsidRDefault="00592939" w:rsidP="00232195">
            <w:pPr>
              <w:pStyle w:val="LogoUPOV"/>
              <w:rPr>
                <w:lang w:val="fr-FR"/>
              </w:rPr>
            </w:pPr>
            <w:r w:rsidRPr="00F85A58">
              <w:rPr>
                <w:noProof/>
              </w:rPr>
              <w:drawing>
                <wp:inline distT="0" distB="0" distL="0" distR="0" wp14:anchorId="2EF9F7B4" wp14:editId="46A075F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A14DE" w:rsidRPr="00F85A58" w:rsidRDefault="00592939" w:rsidP="00232195">
            <w:pPr>
              <w:pStyle w:val="Lettrine"/>
              <w:rPr>
                <w:lang w:val="fr-FR"/>
              </w:rPr>
            </w:pPr>
            <w:r w:rsidRPr="00F85A58">
              <w:rPr>
                <w:lang w:val="fr-FR"/>
              </w:rPr>
              <w:t>F</w:t>
            </w:r>
          </w:p>
          <w:p w:rsidR="00BA14DE" w:rsidRPr="00F85A58" w:rsidRDefault="00914363" w:rsidP="00232195">
            <w:pPr>
              <w:pStyle w:val="Docoriginal"/>
              <w:rPr>
                <w:lang w:val="fr-FR"/>
              </w:rPr>
            </w:pPr>
            <w:r>
              <w:rPr>
                <w:lang w:val="fr-FR"/>
              </w:rPr>
              <w:t xml:space="preserve">TC/52/29 </w:t>
            </w:r>
            <w:proofErr w:type="spellStart"/>
            <w:r>
              <w:rPr>
                <w:lang w:val="fr-FR"/>
              </w:rPr>
              <w:t>Rev</w:t>
            </w:r>
            <w:proofErr w:type="spellEnd"/>
            <w:r>
              <w:rPr>
                <w:lang w:val="fr-FR"/>
              </w:rPr>
              <w:t>.</w:t>
            </w:r>
          </w:p>
          <w:p w:rsidR="00BA14DE" w:rsidRPr="00F85A58" w:rsidRDefault="00592939" w:rsidP="00232195">
            <w:pPr>
              <w:pStyle w:val="Docoriginal"/>
              <w:rPr>
                <w:b w:val="0"/>
                <w:spacing w:val="0"/>
                <w:lang w:val="fr-FR"/>
              </w:rPr>
            </w:pPr>
            <w:r w:rsidRPr="00F85A58">
              <w:rPr>
                <w:rStyle w:val="StyleDoclangBold"/>
                <w:b/>
                <w:bCs/>
                <w:spacing w:val="0"/>
                <w:lang w:val="fr-FR"/>
              </w:rPr>
              <w:t>ORIGINAL</w:t>
            </w:r>
            <w:r w:rsidR="00342006" w:rsidRPr="00F85A58">
              <w:rPr>
                <w:rStyle w:val="StyleDoclangBold"/>
                <w:b/>
                <w:bCs/>
                <w:spacing w:val="0"/>
                <w:lang w:val="fr-FR"/>
              </w:rPr>
              <w:t> </w:t>
            </w:r>
            <w:r w:rsidRPr="00F85A58">
              <w:rPr>
                <w:rStyle w:val="StyleDoclangBold"/>
                <w:b/>
                <w:bCs/>
                <w:spacing w:val="0"/>
                <w:lang w:val="fr-FR"/>
              </w:rPr>
              <w:t>:</w:t>
            </w:r>
            <w:r w:rsidRPr="00F85A58">
              <w:rPr>
                <w:rStyle w:val="StyleDocoriginalNotBold1"/>
                <w:spacing w:val="0"/>
                <w:lang w:val="fr-FR"/>
              </w:rPr>
              <w:t xml:space="preserve"> </w:t>
            </w:r>
            <w:bookmarkStart w:id="0" w:name="Original"/>
            <w:bookmarkEnd w:id="0"/>
            <w:r w:rsidRPr="00F85A58">
              <w:rPr>
                <w:b w:val="0"/>
                <w:spacing w:val="0"/>
                <w:lang w:val="fr-FR"/>
              </w:rPr>
              <w:t>anglais</w:t>
            </w:r>
          </w:p>
          <w:p w:rsidR="00592939" w:rsidRPr="00F85A58" w:rsidRDefault="00592939" w:rsidP="00232195">
            <w:pPr>
              <w:pStyle w:val="Docoriginal"/>
              <w:rPr>
                <w:lang w:val="fr-FR"/>
              </w:rPr>
            </w:pPr>
            <w:r w:rsidRPr="00F85A58">
              <w:rPr>
                <w:spacing w:val="0"/>
                <w:lang w:val="fr-FR"/>
              </w:rPr>
              <w:t>DATE</w:t>
            </w:r>
            <w:r w:rsidR="00342006" w:rsidRPr="00F85A58">
              <w:rPr>
                <w:spacing w:val="0"/>
                <w:lang w:val="fr-FR"/>
              </w:rPr>
              <w:t> </w:t>
            </w:r>
            <w:r w:rsidRPr="00F85A58">
              <w:rPr>
                <w:spacing w:val="0"/>
                <w:lang w:val="fr-FR"/>
              </w:rPr>
              <w:t>:</w:t>
            </w:r>
            <w:r w:rsidRPr="00F85A58">
              <w:rPr>
                <w:rStyle w:val="StyleDocoriginalNotBold1"/>
                <w:spacing w:val="0"/>
                <w:lang w:val="fr-FR"/>
              </w:rPr>
              <w:t xml:space="preserve"> </w:t>
            </w:r>
            <w:bookmarkStart w:id="1" w:name="Date"/>
            <w:bookmarkEnd w:id="1"/>
            <w:r w:rsidRPr="006B4271">
              <w:rPr>
                <w:b w:val="0"/>
                <w:spacing w:val="0"/>
                <w:lang w:val="fr-FR"/>
              </w:rPr>
              <w:t>16 mars 2016</w:t>
            </w:r>
          </w:p>
        </w:tc>
      </w:tr>
      <w:tr w:rsidR="00F85A58" w:rsidRPr="00F85A58" w:rsidTr="00232195">
        <w:tc>
          <w:tcPr>
            <w:tcW w:w="10131" w:type="dxa"/>
            <w:gridSpan w:val="3"/>
          </w:tcPr>
          <w:p w:rsidR="00592939" w:rsidRPr="00F85A58" w:rsidRDefault="00592939" w:rsidP="00232195">
            <w:pPr>
              <w:pStyle w:val="upove"/>
              <w:rPr>
                <w:sz w:val="28"/>
                <w:lang w:val="fr-FR"/>
              </w:rPr>
            </w:pPr>
            <w:r w:rsidRPr="00F85A58">
              <w:rPr>
                <w:spacing w:val="6"/>
                <w:lang w:val="fr-FR"/>
              </w:rPr>
              <w:t>UNION INTERNATIONALE POUR LA PROTECTION DES OBTENTIONS VÉGÉTALES</w:t>
            </w:r>
          </w:p>
        </w:tc>
      </w:tr>
      <w:tr w:rsidR="00F85A58" w:rsidRPr="00F85A58" w:rsidTr="00232195">
        <w:tc>
          <w:tcPr>
            <w:tcW w:w="10131" w:type="dxa"/>
            <w:gridSpan w:val="3"/>
          </w:tcPr>
          <w:p w:rsidR="00592939" w:rsidRPr="00F85A58" w:rsidRDefault="00592939" w:rsidP="00232195">
            <w:pPr>
              <w:pStyle w:val="Country"/>
              <w:rPr>
                <w:lang w:val="fr-FR"/>
              </w:rPr>
            </w:pPr>
            <w:r w:rsidRPr="00F85A58">
              <w:rPr>
                <w:lang w:val="fr-FR"/>
              </w:rPr>
              <w:t>Genève</w:t>
            </w:r>
          </w:p>
        </w:tc>
      </w:tr>
    </w:tbl>
    <w:p w:rsidR="00BA14DE" w:rsidRPr="00F85A58" w:rsidRDefault="00592939" w:rsidP="00592939">
      <w:pPr>
        <w:pStyle w:val="Sessiontc"/>
        <w:rPr>
          <w:lang w:val="fr-FR"/>
        </w:rPr>
      </w:pPr>
      <w:r w:rsidRPr="00F85A58">
        <w:rPr>
          <w:lang w:val="fr-FR"/>
        </w:rPr>
        <w:t>Comité TECHNIQUE</w:t>
      </w:r>
    </w:p>
    <w:p w:rsidR="00BA14DE" w:rsidRPr="00F85A58" w:rsidRDefault="00592939" w:rsidP="00592939">
      <w:pPr>
        <w:pStyle w:val="Sessiontcplacedate"/>
        <w:rPr>
          <w:lang w:val="fr-FR"/>
        </w:rPr>
      </w:pPr>
      <w:r w:rsidRPr="00F85A58">
        <w:rPr>
          <w:lang w:val="fr-FR"/>
        </w:rPr>
        <w:t>Cinquante</w:t>
      </w:r>
      <w:r w:rsidR="00F85A58" w:rsidRPr="00F85A58">
        <w:rPr>
          <w:lang w:val="fr-FR"/>
        </w:rPr>
        <w:noBreakHyphen/>
      </w:r>
      <w:r w:rsidRPr="00F85A58">
        <w:rPr>
          <w:lang w:val="fr-FR"/>
        </w:rPr>
        <w:t>deuxième</w:t>
      </w:r>
      <w:r w:rsidR="00342006" w:rsidRPr="00F85A58">
        <w:rPr>
          <w:lang w:val="fr-FR"/>
        </w:rPr>
        <w:t> </w:t>
      </w:r>
      <w:r w:rsidRPr="00F85A58">
        <w:rPr>
          <w:lang w:val="fr-FR"/>
        </w:rPr>
        <w:t xml:space="preserve">session </w:t>
      </w:r>
      <w:r w:rsidRPr="00F85A58">
        <w:rPr>
          <w:lang w:val="fr-FR"/>
        </w:rPr>
        <w:br/>
        <w:t>Genève, 14 – 1</w:t>
      </w:r>
      <w:r w:rsidR="005752E4" w:rsidRPr="00F85A58">
        <w:rPr>
          <w:lang w:val="fr-FR"/>
        </w:rPr>
        <w:t>6 mars 20</w:t>
      </w:r>
      <w:r w:rsidRPr="00F85A58">
        <w:rPr>
          <w:lang w:val="fr-FR"/>
        </w:rPr>
        <w:t>16</w:t>
      </w:r>
    </w:p>
    <w:p w:rsidR="00BA14DE" w:rsidRPr="00F85A58" w:rsidRDefault="00232195" w:rsidP="00232195">
      <w:pPr>
        <w:pStyle w:val="Titleofdoc0"/>
        <w:rPr>
          <w:lang w:val="fr-FR"/>
        </w:rPr>
      </w:pPr>
      <w:r w:rsidRPr="00F85A58">
        <w:rPr>
          <w:lang w:val="fr-FR"/>
        </w:rPr>
        <w:t>Compte rendu</w:t>
      </w:r>
      <w:r w:rsidR="00914363">
        <w:rPr>
          <w:lang w:val="fr-FR"/>
        </w:rPr>
        <w:t xml:space="preserve"> Révisé</w:t>
      </w:r>
    </w:p>
    <w:p w:rsidR="00BA14DE" w:rsidRPr="00F85A58" w:rsidRDefault="00232195" w:rsidP="00232195">
      <w:pPr>
        <w:pStyle w:val="preparedby1"/>
        <w:rPr>
          <w:color w:val="808080" w:themeColor="background1" w:themeShade="80"/>
          <w:lang w:val="fr-FR"/>
        </w:rPr>
      </w:pPr>
      <w:bookmarkStart w:id="2" w:name="Prepared"/>
      <w:bookmarkEnd w:id="2"/>
      <w:proofErr w:type="gramStart"/>
      <w:r w:rsidRPr="00F85A58">
        <w:rPr>
          <w:lang w:val="fr-FR"/>
        </w:rPr>
        <w:t>adopté</w:t>
      </w:r>
      <w:proofErr w:type="gramEnd"/>
      <w:r w:rsidRPr="00F85A58">
        <w:rPr>
          <w:lang w:val="fr-FR"/>
        </w:rPr>
        <w:t xml:space="preserve"> par le Comité technique </w:t>
      </w:r>
      <w:r w:rsidRPr="00F85A58">
        <w:rPr>
          <w:lang w:val="fr-FR"/>
        </w:rPr>
        <w:br/>
      </w:r>
      <w:r w:rsidRPr="00F85A58">
        <w:rPr>
          <w:lang w:val="fr-FR"/>
        </w:rPr>
        <w:br/>
      </w:r>
      <w:r w:rsidRPr="00F85A58">
        <w:rPr>
          <w:color w:val="808080" w:themeColor="background1" w:themeShade="80"/>
          <w:lang w:val="fr-FR"/>
        </w:rPr>
        <w:t>Avertissement</w:t>
      </w:r>
      <w:r w:rsidR="00342006" w:rsidRPr="00F85A58">
        <w:rPr>
          <w:color w:val="808080" w:themeColor="background1" w:themeShade="80"/>
          <w:lang w:val="fr-FR"/>
        </w:rPr>
        <w:t> </w:t>
      </w:r>
      <w:r w:rsidRPr="00F85A58">
        <w:rPr>
          <w:color w:val="808080" w:themeColor="background1" w:themeShade="80"/>
          <w:lang w:val="fr-FR"/>
        </w:rPr>
        <w:t>: le présent document ne représente pas les principes ou les orientations de l</w:t>
      </w:r>
      <w:r w:rsidR="005752E4" w:rsidRPr="00F85A58">
        <w:rPr>
          <w:color w:val="808080" w:themeColor="background1" w:themeShade="80"/>
          <w:lang w:val="fr-FR"/>
        </w:rPr>
        <w:t>’</w:t>
      </w:r>
      <w:r w:rsidRPr="00F85A58">
        <w:rPr>
          <w:color w:val="808080" w:themeColor="background1" w:themeShade="80"/>
          <w:lang w:val="fr-FR"/>
        </w:rPr>
        <w:t>UPOV</w:t>
      </w:r>
    </w:p>
    <w:p w:rsidR="00BA14DE" w:rsidRPr="00F85A58" w:rsidRDefault="00232195" w:rsidP="00232195">
      <w:pPr>
        <w:rPr>
          <w:snapToGrid w:val="0"/>
          <w:u w:val="single"/>
          <w:lang w:val="fr-FR"/>
        </w:rPr>
      </w:pPr>
      <w:r w:rsidRPr="00F85A58">
        <w:rPr>
          <w:snapToGrid w:val="0"/>
          <w:u w:val="single"/>
          <w:lang w:val="fr-FR"/>
        </w:rPr>
        <w:t>Ouverture de la session</w:t>
      </w:r>
    </w:p>
    <w:p w:rsidR="00BA14DE" w:rsidRPr="00F85A58" w:rsidRDefault="00BA14DE" w:rsidP="005054F1">
      <w:pPr>
        <w:rPr>
          <w:snapToGrid w:val="0"/>
          <w:u w:val="single"/>
          <w:lang w:val="fr-FR"/>
        </w:rPr>
      </w:pPr>
    </w:p>
    <w:p w:rsidR="00BA14DE" w:rsidRPr="00F85A58" w:rsidRDefault="005054F1" w:rsidP="00232195">
      <w:pPr>
        <w:rPr>
          <w:lang w:val="fr-FR"/>
        </w:rPr>
      </w:pPr>
      <w:r w:rsidRPr="00F85A58">
        <w:rPr>
          <w:lang w:val="fr-FR"/>
        </w:rPr>
        <w:fldChar w:fldCharType="begin"/>
      </w:r>
      <w:r w:rsidRPr="00F85A58">
        <w:rPr>
          <w:lang w:val="fr-FR"/>
        </w:rPr>
        <w:instrText xml:space="preserve"> AUTONUM  \* Arabic </w:instrText>
      </w:r>
      <w:r w:rsidRPr="00F85A58">
        <w:rPr>
          <w:lang w:val="fr-FR"/>
        </w:rPr>
        <w:fldChar w:fldCharType="end"/>
      </w:r>
      <w:r w:rsidRPr="00F85A58">
        <w:rPr>
          <w:lang w:val="fr-FR"/>
        </w:rPr>
        <w:tab/>
      </w:r>
      <w:r w:rsidR="00232195" w:rsidRPr="00F85A58">
        <w:rPr>
          <w:lang w:val="fr-FR"/>
        </w:rPr>
        <w:t>Le Comité t</w:t>
      </w:r>
      <w:r w:rsidR="00232195" w:rsidRPr="00F85A58">
        <w:rPr>
          <w:rFonts w:cs="Arial"/>
          <w:lang w:val="fr-FR"/>
        </w:rPr>
        <w:t>echnique (TC) a tenu sa cinquante</w:t>
      </w:r>
      <w:r w:rsidR="00F85A58" w:rsidRPr="00F85A58">
        <w:rPr>
          <w:rFonts w:cs="Arial"/>
          <w:lang w:val="fr-FR"/>
        </w:rPr>
        <w:noBreakHyphen/>
      </w:r>
      <w:r w:rsidR="00232195" w:rsidRPr="00F85A58">
        <w:rPr>
          <w:rFonts w:cs="Arial"/>
          <w:lang w:val="fr-FR"/>
        </w:rPr>
        <w:t>deuxième</w:t>
      </w:r>
      <w:r w:rsidR="00342006" w:rsidRPr="00F85A58">
        <w:rPr>
          <w:rFonts w:cs="Arial"/>
          <w:lang w:val="fr-FR"/>
        </w:rPr>
        <w:t> </w:t>
      </w:r>
      <w:r w:rsidR="00232195" w:rsidRPr="00F85A58">
        <w:rPr>
          <w:rFonts w:cs="Arial"/>
          <w:lang w:val="fr-FR"/>
        </w:rPr>
        <w:t>session à Genève du 14 au 1</w:t>
      </w:r>
      <w:r w:rsidR="005752E4" w:rsidRPr="00F85A58">
        <w:rPr>
          <w:rFonts w:cs="Arial"/>
          <w:lang w:val="fr-FR"/>
        </w:rPr>
        <w:t>6 mars 20</w:t>
      </w:r>
      <w:r w:rsidR="00232195" w:rsidRPr="00F85A58">
        <w:rPr>
          <w:rFonts w:cs="Arial"/>
          <w:lang w:val="fr-FR"/>
        </w:rPr>
        <w:t>16.</w:t>
      </w:r>
      <w:r w:rsidRPr="00F85A58">
        <w:rPr>
          <w:lang w:val="fr-FR"/>
        </w:rPr>
        <w:t xml:space="preserve">  </w:t>
      </w:r>
      <w:r w:rsidR="00232195" w:rsidRPr="00F85A58">
        <w:rPr>
          <w:rFonts w:cs="Arial"/>
          <w:lang w:val="fr-FR"/>
        </w:rPr>
        <w:t>La liste des participants fait l</w:t>
      </w:r>
      <w:r w:rsidR="005752E4" w:rsidRPr="00F85A58">
        <w:rPr>
          <w:rFonts w:cs="Arial"/>
          <w:lang w:val="fr-FR"/>
        </w:rPr>
        <w:t>’</w:t>
      </w:r>
      <w:r w:rsidR="00232195" w:rsidRPr="00F85A58">
        <w:rPr>
          <w:rFonts w:cs="Arial"/>
          <w:lang w:val="fr-FR"/>
        </w:rPr>
        <w:t>objet de l</w:t>
      </w:r>
      <w:r w:rsidR="005752E4" w:rsidRPr="00F85A58">
        <w:rPr>
          <w:rFonts w:cs="Arial"/>
          <w:lang w:val="fr-FR"/>
        </w:rPr>
        <w:t>’</w:t>
      </w:r>
      <w:r w:rsidR="00232195" w:rsidRPr="00F85A58">
        <w:rPr>
          <w:rFonts w:cs="Arial"/>
          <w:lang w:val="fr-FR"/>
        </w:rPr>
        <w:t>anne</w:t>
      </w:r>
      <w:r w:rsidR="009C28C1" w:rsidRPr="00F85A58">
        <w:rPr>
          <w:lang w:val="fr-FR"/>
        </w:rPr>
        <w:t>xe </w:t>
      </w:r>
      <w:r w:rsidR="00232195" w:rsidRPr="00F85A58">
        <w:rPr>
          <w:lang w:val="fr-FR"/>
        </w:rPr>
        <w:t>I du présent compte rendu.</w:t>
      </w:r>
    </w:p>
    <w:p w:rsidR="00BA14DE" w:rsidRPr="00F85A58" w:rsidRDefault="00BA14DE" w:rsidP="005054F1">
      <w:pPr>
        <w:rPr>
          <w:snapToGrid w:val="0"/>
          <w:lang w:val="fr-FR"/>
        </w:rPr>
      </w:pPr>
    </w:p>
    <w:p w:rsidR="00BA14DE" w:rsidRPr="00F85A58" w:rsidRDefault="005054F1" w:rsidP="00232195">
      <w:pPr>
        <w:rPr>
          <w:lang w:val="fr-FR"/>
        </w:rPr>
      </w:pPr>
      <w:r w:rsidRPr="00F85A58">
        <w:rPr>
          <w:lang w:val="fr-FR"/>
        </w:rPr>
        <w:fldChar w:fldCharType="begin"/>
      </w:r>
      <w:r w:rsidRPr="00F85A58">
        <w:rPr>
          <w:lang w:val="fr-FR"/>
        </w:rPr>
        <w:instrText xml:space="preserve"> AUTONUM  \* Arabic </w:instrText>
      </w:r>
      <w:r w:rsidRPr="00F85A58">
        <w:rPr>
          <w:lang w:val="fr-FR"/>
        </w:rPr>
        <w:fldChar w:fldCharType="end"/>
      </w:r>
      <w:r w:rsidRPr="00F85A58">
        <w:rPr>
          <w:lang w:val="fr-FR"/>
        </w:rPr>
        <w:tab/>
      </w:r>
      <w:r w:rsidR="009C28C1" w:rsidRPr="00F85A58">
        <w:rPr>
          <w:lang w:val="fr-FR"/>
        </w:rPr>
        <w:t>M. Alejandro </w:t>
      </w:r>
      <w:proofErr w:type="spellStart"/>
      <w:r w:rsidR="00232195" w:rsidRPr="00F85A58">
        <w:rPr>
          <w:lang w:val="fr-FR"/>
        </w:rPr>
        <w:t>Barrientos</w:t>
      </w:r>
      <w:proofErr w:type="spellEnd"/>
      <w:r w:rsidR="00232195" w:rsidRPr="00F85A58">
        <w:rPr>
          <w:lang w:val="fr-FR"/>
        </w:rPr>
        <w:t xml:space="preserve"> </w:t>
      </w:r>
      <w:proofErr w:type="spellStart"/>
      <w:r w:rsidR="00232195" w:rsidRPr="00F85A58">
        <w:rPr>
          <w:lang w:val="fr-FR"/>
        </w:rPr>
        <w:t>Priego</w:t>
      </w:r>
      <w:proofErr w:type="spellEnd"/>
      <w:r w:rsidR="00232195" w:rsidRPr="00F85A58">
        <w:rPr>
          <w:lang w:val="fr-FR"/>
        </w:rPr>
        <w:t xml:space="preserve"> (Mexique), président du</w:t>
      </w:r>
      <w:r w:rsidR="005752E4" w:rsidRPr="00F85A58">
        <w:rPr>
          <w:lang w:val="fr-FR"/>
        </w:rPr>
        <w:t> TC</w:t>
      </w:r>
      <w:r w:rsidR="00232195" w:rsidRPr="00F85A58">
        <w:rPr>
          <w:lang w:val="fr-FR"/>
        </w:rPr>
        <w:t>, ouvre la session en souhaitant la bienvenue aux participants.</w:t>
      </w:r>
    </w:p>
    <w:p w:rsidR="00BA14DE" w:rsidRPr="00F85A58" w:rsidRDefault="00BA14DE" w:rsidP="005054F1">
      <w:pPr>
        <w:rPr>
          <w:snapToGrid w:val="0"/>
          <w:lang w:val="fr-FR"/>
        </w:rPr>
      </w:pPr>
    </w:p>
    <w:p w:rsidR="00BA14DE" w:rsidRPr="00F85A58" w:rsidRDefault="005054F1" w:rsidP="005054F1">
      <w:pPr>
        <w:rPr>
          <w:snapToGrid w:val="0"/>
          <w:lang w:val="fr-FR"/>
        </w:rPr>
      </w:pPr>
      <w:r w:rsidRPr="00F85A58">
        <w:rPr>
          <w:snapToGrid w:val="0"/>
          <w:lang w:val="fr-FR"/>
        </w:rPr>
        <w:fldChar w:fldCharType="begin"/>
      </w:r>
      <w:r w:rsidRPr="00F85A58">
        <w:rPr>
          <w:snapToGrid w:val="0"/>
          <w:lang w:val="fr-FR"/>
        </w:rPr>
        <w:instrText xml:space="preserve"> AUTONUM  </w:instrText>
      </w:r>
      <w:r w:rsidRPr="00F85A58">
        <w:rPr>
          <w:snapToGrid w:val="0"/>
          <w:lang w:val="fr-FR"/>
        </w:rPr>
        <w:fldChar w:fldCharType="end"/>
      </w:r>
      <w:r w:rsidRPr="00F85A58">
        <w:rPr>
          <w:snapToGrid w:val="0"/>
          <w:lang w:val="fr-FR"/>
        </w:rPr>
        <w:tab/>
      </w:r>
      <w:r w:rsidR="00223DA9" w:rsidRPr="00F85A58">
        <w:rPr>
          <w:snapToGrid w:val="0"/>
          <w:lang w:val="fr-FR"/>
        </w:rPr>
        <w:t xml:space="preserve">Le président indique </w:t>
      </w:r>
      <w:r w:rsidR="001C707F" w:rsidRPr="00F85A58">
        <w:rPr>
          <w:snapToGrid w:val="0"/>
          <w:lang w:val="fr-FR"/>
        </w:rPr>
        <w:t xml:space="preserve">que </w:t>
      </w:r>
      <w:r w:rsidR="00223DA9" w:rsidRPr="00F85A58">
        <w:rPr>
          <w:snapToGrid w:val="0"/>
          <w:lang w:val="fr-FR"/>
        </w:rPr>
        <w:t>le Canada a déposé son instrument de ratification de l</w:t>
      </w:r>
      <w:r w:rsidR="005752E4" w:rsidRPr="00F85A58">
        <w:rPr>
          <w:snapToGrid w:val="0"/>
          <w:lang w:val="fr-FR"/>
        </w:rPr>
        <w:t>’</w:t>
      </w:r>
      <w:r w:rsidR="00223DA9" w:rsidRPr="00F85A58">
        <w:rPr>
          <w:snapToGrid w:val="0"/>
          <w:lang w:val="fr-FR"/>
        </w:rPr>
        <w:t xml:space="preserve">Acte de 1991 de la </w:t>
      </w:r>
      <w:r w:rsidR="005752E4" w:rsidRPr="00F85A58">
        <w:rPr>
          <w:snapToGrid w:val="0"/>
          <w:lang w:val="fr-FR"/>
        </w:rPr>
        <w:t>Convention UPOV</w:t>
      </w:r>
      <w:r w:rsidR="00223DA9" w:rsidRPr="00F85A58">
        <w:rPr>
          <w:snapToGrid w:val="0"/>
          <w:lang w:val="fr-FR"/>
        </w:rPr>
        <w:t xml:space="preserve"> le 19 juin 2015, devenant le cinquante</w:t>
      </w:r>
      <w:r w:rsidR="00F85A58" w:rsidRPr="00F85A58">
        <w:rPr>
          <w:snapToGrid w:val="0"/>
          <w:lang w:val="fr-FR"/>
        </w:rPr>
        <w:noBreakHyphen/>
      </w:r>
      <w:r w:rsidR="00223DA9" w:rsidRPr="00F85A58">
        <w:rPr>
          <w:snapToGrid w:val="0"/>
          <w:lang w:val="fr-FR"/>
        </w:rPr>
        <w:t xml:space="preserve">troisième </w:t>
      </w:r>
      <w:r w:rsidR="002E0F36" w:rsidRPr="00F85A58">
        <w:rPr>
          <w:snapToGrid w:val="0"/>
          <w:lang w:val="fr-FR"/>
        </w:rPr>
        <w:t>membre lié par l</w:t>
      </w:r>
      <w:r w:rsidR="005752E4" w:rsidRPr="00F85A58">
        <w:rPr>
          <w:snapToGrid w:val="0"/>
          <w:lang w:val="fr-FR"/>
        </w:rPr>
        <w:t>’</w:t>
      </w:r>
      <w:r w:rsidR="002E0F36" w:rsidRPr="00F85A58">
        <w:rPr>
          <w:snapToGrid w:val="0"/>
          <w:lang w:val="fr-FR"/>
        </w:rPr>
        <w:t xml:space="preserve">Acte de 1991 de la </w:t>
      </w:r>
      <w:r w:rsidR="005752E4" w:rsidRPr="00F85A58">
        <w:rPr>
          <w:snapToGrid w:val="0"/>
          <w:lang w:val="fr-FR"/>
        </w:rPr>
        <w:t>Convention UPOV</w:t>
      </w:r>
      <w:r w:rsidR="002E0F36" w:rsidRPr="00F85A58">
        <w:rPr>
          <w:snapToGrid w:val="0"/>
          <w:lang w:val="fr-FR"/>
        </w:rPr>
        <w:t>.</w:t>
      </w:r>
    </w:p>
    <w:p w:rsidR="00BA14DE" w:rsidRPr="00F85A58" w:rsidRDefault="00BA14DE" w:rsidP="005054F1">
      <w:pPr>
        <w:rPr>
          <w:snapToGrid w:val="0"/>
          <w:lang w:val="fr-FR"/>
        </w:rPr>
      </w:pPr>
    </w:p>
    <w:p w:rsidR="005752E4" w:rsidRPr="00F85A58" w:rsidRDefault="005054F1" w:rsidP="00BE5B2A">
      <w:pPr>
        <w:rPr>
          <w:lang w:val="fr-FR"/>
        </w:rPr>
      </w:pPr>
      <w:r w:rsidRPr="00F85A58">
        <w:rPr>
          <w:lang w:val="fr-FR"/>
        </w:rPr>
        <w:fldChar w:fldCharType="begin"/>
      </w:r>
      <w:r w:rsidRPr="00F85A58">
        <w:rPr>
          <w:lang w:val="fr-FR"/>
        </w:rPr>
        <w:instrText xml:space="preserve"> AUTONUM  \* Arabic </w:instrText>
      </w:r>
      <w:r w:rsidRPr="00F85A58">
        <w:rPr>
          <w:lang w:val="fr-FR"/>
        </w:rPr>
        <w:fldChar w:fldCharType="end"/>
      </w:r>
      <w:r w:rsidRPr="00F85A58">
        <w:rPr>
          <w:lang w:val="fr-FR"/>
        </w:rPr>
        <w:tab/>
      </w:r>
      <w:r w:rsidR="001C707F" w:rsidRPr="00F85A58">
        <w:rPr>
          <w:lang w:val="fr-FR"/>
        </w:rPr>
        <w:t xml:space="preserve">Le président fait savoir que le Monténégro </w:t>
      </w:r>
      <w:r w:rsidR="00AA002A" w:rsidRPr="00F85A58">
        <w:rPr>
          <w:lang w:val="fr-FR"/>
        </w:rPr>
        <w:t>et la République</w:t>
      </w:r>
      <w:r w:rsidR="00F85A58" w:rsidRPr="00F85A58">
        <w:rPr>
          <w:lang w:val="fr-FR"/>
        </w:rPr>
        <w:noBreakHyphen/>
      </w:r>
      <w:r w:rsidR="00AA002A" w:rsidRPr="00F85A58">
        <w:rPr>
          <w:lang w:val="fr-FR"/>
        </w:rPr>
        <w:t xml:space="preserve">Unie de Tanzanie </w:t>
      </w:r>
      <w:r w:rsidR="00550345" w:rsidRPr="00F85A58">
        <w:rPr>
          <w:lang w:val="fr-FR"/>
        </w:rPr>
        <w:t>ont déposé leurs instruments d</w:t>
      </w:r>
      <w:r w:rsidR="005752E4" w:rsidRPr="00F85A58">
        <w:rPr>
          <w:lang w:val="fr-FR"/>
        </w:rPr>
        <w:t>’</w:t>
      </w:r>
      <w:r w:rsidR="00550345" w:rsidRPr="00F85A58">
        <w:rPr>
          <w:lang w:val="fr-FR"/>
        </w:rPr>
        <w:t xml:space="preserve">adhésion à la </w:t>
      </w:r>
      <w:r w:rsidR="005752E4" w:rsidRPr="00F85A58">
        <w:rPr>
          <w:lang w:val="fr-FR"/>
        </w:rPr>
        <w:t>Convention UPOV</w:t>
      </w:r>
      <w:r w:rsidR="00550345" w:rsidRPr="00F85A58">
        <w:rPr>
          <w:lang w:val="fr-FR"/>
        </w:rPr>
        <w:t xml:space="preserve"> le 24 août et le 2</w:t>
      </w:r>
      <w:r w:rsidR="005752E4" w:rsidRPr="00F85A58">
        <w:rPr>
          <w:lang w:val="fr-FR"/>
        </w:rPr>
        <w:t>2 octobre 20</w:t>
      </w:r>
      <w:r w:rsidR="00550345" w:rsidRPr="00F85A58">
        <w:rPr>
          <w:lang w:val="fr-FR"/>
        </w:rPr>
        <w:t>15, devenant le soixante</w:t>
      </w:r>
      <w:r w:rsidR="00F85A58" w:rsidRPr="00F85A58">
        <w:rPr>
          <w:lang w:val="fr-FR"/>
        </w:rPr>
        <w:noBreakHyphen/>
      </w:r>
      <w:r w:rsidR="00550345" w:rsidRPr="00F85A58">
        <w:rPr>
          <w:lang w:val="fr-FR"/>
        </w:rPr>
        <w:t>treizième membre et le soixante</w:t>
      </w:r>
      <w:r w:rsidR="00F85A58" w:rsidRPr="00F85A58">
        <w:rPr>
          <w:lang w:val="fr-FR"/>
        </w:rPr>
        <w:noBreakHyphen/>
      </w:r>
      <w:r w:rsidR="00550345" w:rsidRPr="00F85A58">
        <w:rPr>
          <w:lang w:val="fr-FR"/>
        </w:rPr>
        <w:t>quatorzième membre de l</w:t>
      </w:r>
      <w:r w:rsidR="005752E4" w:rsidRPr="00F85A58">
        <w:rPr>
          <w:lang w:val="fr-FR"/>
        </w:rPr>
        <w:t>’</w:t>
      </w:r>
      <w:r w:rsidR="00550345" w:rsidRPr="00F85A58">
        <w:rPr>
          <w:lang w:val="fr-FR"/>
        </w:rPr>
        <w:t>UPOV, respectivement</w:t>
      </w:r>
      <w:r w:rsidR="005D6C06" w:rsidRPr="00F85A58">
        <w:rPr>
          <w:lang w:val="fr-FR"/>
        </w:rPr>
        <w:t xml:space="preserve">, ce qui </w:t>
      </w:r>
      <w:r w:rsidR="0051346F" w:rsidRPr="00F85A58">
        <w:rPr>
          <w:lang w:val="fr-FR"/>
        </w:rPr>
        <w:t>port</w:t>
      </w:r>
      <w:r w:rsidR="005D6C06" w:rsidRPr="00F85A58">
        <w:rPr>
          <w:lang w:val="fr-FR"/>
        </w:rPr>
        <w:t>e</w:t>
      </w:r>
      <w:r w:rsidR="0051346F" w:rsidRPr="00F85A58">
        <w:rPr>
          <w:lang w:val="fr-FR"/>
        </w:rPr>
        <w:t xml:space="preserve"> à 93 le nombre </w:t>
      </w:r>
      <w:r w:rsidR="00550345" w:rsidRPr="00F85A58">
        <w:rPr>
          <w:lang w:val="fr-FR"/>
        </w:rPr>
        <w:t>d</w:t>
      </w:r>
      <w:r w:rsidR="005752E4" w:rsidRPr="00F85A58">
        <w:rPr>
          <w:lang w:val="fr-FR"/>
        </w:rPr>
        <w:t>’</w:t>
      </w:r>
      <w:r w:rsidR="00550345" w:rsidRPr="00F85A58">
        <w:rPr>
          <w:lang w:val="fr-FR"/>
        </w:rPr>
        <w:t>États auxquels s</w:t>
      </w:r>
      <w:r w:rsidR="005752E4" w:rsidRPr="00F85A58">
        <w:rPr>
          <w:lang w:val="fr-FR"/>
        </w:rPr>
        <w:t>’</w:t>
      </w:r>
      <w:r w:rsidR="00550345" w:rsidRPr="00F85A58">
        <w:rPr>
          <w:lang w:val="fr-FR"/>
        </w:rPr>
        <w:t xml:space="preserve">applique la </w:t>
      </w:r>
      <w:r w:rsidR="005752E4" w:rsidRPr="00F85A58">
        <w:rPr>
          <w:lang w:val="fr-FR"/>
        </w:rPr>
        <w:t>Convention UPOV</w:t>
      </w:r>
      <w:r w:rsidR="00BE5B2A" w:rsidRPr="00F85A58">
        <w:rPr>
          <w:lang w:val="fr-FR"/>
        </w:rPr>
        <w:t>.</w:t>
      </w:r>
      <w:bookmarkStart w:id="3" w:name="_GoBack"/>
      <w:bookmarkEnd w:id="3"/>
    </w:p>
    <w:p w:rsidR="00BA14DE" w:rsidRPr="00F85A58" w:rsidRDefault="00BA14DE" w:rsidP="005054F1">
      <w:pPr>
        <w:jc w:val="left"/>
        <w:rPr>
          <w:lang w:val="fr-FR"/>
        </w:rPr>
      </w:pPr>
    </w:p>
    <w:p w:rsidR="00BA14DE" w:rsidRPr="00F85A58" w:rsidRDefault="00BA14DE" w:rsidP="005054F1">
      <w:pPr>
        <w:jc w:val="left"/>
        <w:rPr>
          <w:lang w:val="fr-FR"/>
        </w:rPr>
      </w:pPr>
    </w:p>
    <w:p w:rsidR="00BA14DE" w:rsidRPr="00F85A58" w:rsidRDefault="00232195" w:rsidP="00232195">
      <w:pPr>
        <w:keepNext/>
        <w:rPr>
          <w:u w:val="single"/>
          <w:lang w:val="fr-FR"/>
        </w:rPr>
      </w:pPr>
      <w:r w:rsidRPr="00F85A58">
        <w:rPr>
          <w:u w:val="single"/>
          <w:lang w:val="fr-FR"/>
        </w:rPr>
        <w:t>Adoption de l</w:t>
      </w:r>
      <w:r w:rsidR="005752E4" w:rsidRPr="00F85A58">
        <w:rPr>
          <w:u w:val="single"/>
          <w:lang w:val="fr-FR"/>
        </w:rPr>
        <w:t>’</w:t>
      </w:r>
      <w:r w:rsidRPr="00F85A58">
        <w:rPr>
          <w:u w:val="single"/>
          <w:lang w:val="fr-FR"/>
        </w:rPr>
        <w:t>ordre du jour</w:t>
      </w:r>
    </w:p>
    <w:p w:rsidR="00BA14DE" w:rsidRPr="00F85A58" w:rsidRDefault="00BA14DE" w:rsidP="003D3E08">
      <w:pPr>
        <w:keepNext/>
        <w:rPr>
          <w:lang w:val="fr-FR"/>
        </w:rPr>
      </w:pPr>
    </w:p>
    <w:p w:rsidR="00BA14DE" w:rsidRPr="00F85A58" w:rsidRDefault="005054F1" w:rsidP="00232195">
      <w:pPr>
        <w:keepNext/>
        <w:rPr>
          <w:lang w:val="fr-FR"/>
        </w:rPr>
      </w:pPr>
      <w:r w:rsidRPr="00F85A58">
        <w:rPr>
          <w:lang w:val="fr-FR"/>
        </w:rPr>
        <w:fldChar w:fldCharType="begin"/>
      </w:r>
      <w:r w:rsidRPr="00F85A58">
        <w:rPr>
          <w:lang w:val="fr-FR"/>
        </w:rPr>
        <w:instrText xml:space="preserve"> AUTONUM  \* Arabic </w:instrText>
      </w:r>
      <w:r w:rsidRPr="00F85A58">
        <w:rPr>
          <w:lang w:val="fr-FR"/>
        </w:rPr>
        <w:fldChar w:fldCharType="end"/>
      </w:r>
      <w:r w:rsidRPr="00F85A58">
        <w:rPr>
          <w:lang w:val="fr-FR"/>
        </w:rPr>
        <w:tab/>
      </w:r>
      <w:r w:rsidR="00232195" w:rsidRPr="00F85A58">
        <w:rPr>
          <w:lang w:val="fr-FR"/>
        </w:rPr>
        <w:t>Le comité adopte l</w:t>
      </w:r>
      <w:r w:rsidR="005752E4" w:rsidRPr="00F85A58">
        <w:rPr>
          <w:lang w:val="fr-FR"/>
        </w:rPr>
        <w:t>’</w:t>
      </w:r>
      <w:r w:rsidR="00232195" w:rsidRPr="00F85A58">
        <w:rPr>
          <w:lang w:val="fr-FR"/>
        </w:rPr>
        <w:t>ordre du jour tel qu</w:t>
      </w:r>
      <w:r w:rsidR="005752E4" w:rsidRPr="00F85A58">
        <w:rPr>
          <w:lang w:val="fr-FR"/>
        </w:rPr>
        <w:t>’</w:t>
      </w:r>
      <w:r w:rsidR="00232195" w:rsidRPr="00F85A58">
        <w:rPr>
          <w:lang w:val="fr-FR"/>
        </w:rPr>
        <w:t xml:space="preserve">il </w:t>
      </w:r>
      <w:r w:rsidR="009C28C1" w:rsidRPr="00F85A58">
        <w:rPr>
          <w:lang w:val="fr-FR"/>
        </w:rPr>
        <w:t xml:space="preserve">figure dans le </w:t>
      </w:r>
      <w:r w:rsidR="005752E4" w:rsidRPr="00F85A58">
        <w:rPr>
          <w:lang w:val="fr-FR"/>
        </w:rPr>
        <w:t>document TC</w:t>
      </w:r>
      <w:r w:rsidR="009C28C1" w:rsidRPr="00F85A58">
        <w:rPr>
          <w:lang w:val="fr-FR"/>
        </w:rPr>
        <w:t>/52/1 </w:t>
      </w:r>
      <w:proofErr w:type="spellStart"/>
      <w:r w:rsidR="00232195" w:rsidRPr="00F85A58">
        <w:rPr>
          <w:lang w:val="fr-FR"/>
        </w:rPr>
        <w:t>Rev</w:t>
      </w:r>
      <w:proofErr w:type="spellEnd"/>
      <w:r w:rsidR="00232195" w:rsidRPr="00F85A58">
        <w:rPr>
          <w:lang w:val="fr-FR"/>
        </w:rPr>
        <w:t>.</w:t>
      </w:r>
    </w:p>
    <w:p w:rsidR="00BA14DE" w:rsidRPr="00F85A58" w:rsidRDefault="00BA14DE" w:rsidP="004B1215">
      <w:pPr>
        <w:rPr>
          <w:lang w:val="fr-FR"/>
        </w:rPr>
      </w:pPr>
    </w:p>
    <w:p w:rsidR="00BA14DE" w:rsidRPr="00F85A58" w:rsidRDefault="00BA14DE" w:rsidP="004B1215">
      <w:pPr>
        <w:rPr>
          <w:lang w:val="fr-FR"/>
        </w:rPr>
      </w:pPr>
    </w:p>
    <w:p w:rsidR="00BA14DE" w:rsidRPr="00F85A58" w:rsidRDefault="00232195" w:rsidP="00232195">
      <w:pPr>
        <w:pStyle w:val="Heading2"/>
        <w:rPr>
          <w:lang w:val="fr-FR"/>
        </w:rPr>
      </w:pPr>
      <w:r w:rsidRPr="00F85A58">
        <w:rPr>
          <w:lang w:val="fr-FR"/>
        </w:rPr>
        <w:t>Rapport sur les faits nouveaux survenus au sein de l</w:t>
      </w:r>
      <w:r w:rsidR="005752E4" w:rsidRPr="00F85A58">
        <w:rPr>
          <w:lang w:val="fr-FR"/>
        </w:rPr>
        <w:t>’</w:t>
      </w:r>
      <w:r w:rsidRPr="00F85A58">
        <w:rPr>
          <w:lang w:val="fr-FR"/>
        </w:rPr>
        <w:t xml:space="preserve">UPOV, </w:t>
      </w:r>
      <w:r w:rsidR="005752E4" w:rsidRPr="00F85A58">
        <w:rPr>
          <w:lang w:val="fr-FR"/>
        </w:rPr>
        <w:t>y compris</w:t>
      </w:r>
      <w:r w:rsidRPr="00F85A58">
        <w:rPr>
          <w:lang w:val="fr-FR"/>
        </w:rPr>
        <w:t xml:space="preserve"> certaines questions examinées lors des dernières sessions du Comité administratif et juridique, du Comité consultatif et du Conseil (rapport verbal du Secrétaire général adjoint)</w:t>
      </w:r>
    </w:p>
    <w:p w:rsidR="00BA14DE" w:rsidRPr="00F85A58" w:rsidRDefault="00BA14DE" w:rsidP="003D3E08">
      <w:pPr>
        <w:keepNext/>
        <w:rPr>
          <w:snapToGrid w:val="0"/>
          <w:lang w:val="fr-FR"/>
        </w:rPr>
      </w:pPr>
    </w:p>
    <w:p w:rsidR="00BA14DE" w:rsidRPr="00F85A58" w:rsidRDefault="00FB765F" w:rsidP="00232195">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232195" w:rsidRPr="00F85A58">
        <w:rPr>
          <w:lang w:val="fr-FR"/>
        </w:rPr>
        <w:t>Le</w:t>
      </w:r>
      <w:r w:rsidR="005752E4" w:rsidRPr="00F85A58">
        <w:rPr>
          <w:lang w:val="fr-FR"/>
        </w:rPr>
        <w:t> TC</w:t>
      </w:r>
      <w:r w:rsidR="00232195" w:rsidRPr="00F85A58">
        <w:rPr>
          <w:lang w:val="fr-FR"/>
        </w:rPr>
        <w:t xml:space="preserve"> examine le </w:t>
      </w:r>
      <w:r w:rsidR="005752E4" w:rsidRPr="00F85A58">
        <w:rPr>
          <w:lang w:val="fr-FR"/>
        </w:rPr>
        <w:t>document TC</w:t>
      </w:r>
      <w:r w:rsidR="00232195" w:rsidRPr="00F85A58">
        <w:rPr>
          <w:lang w:val="fr-FR"/>
        </w:rPr>
        <w:t>/52/10 et entend un rapport verbal du Secrétaire général adjoint.</w:t>
      </w:r>
    </w:p>
    <w:p w:rsidR="00BA14DE" w:rsidRPr="00F85A58" w:rsidRDefault="00BA14DE" w:rsidP="00FB765F">
      <w:pPr>
        <w:rPr>
          <w:lang w:val="fr-FR"/>
        </w:rPr>
      </w:pPr>
    </w:p>
    <w:p w:rsidR="00BA14DE" w:rsidRPr="00F85A58" w:rsidRDefault="00FB765F" w:rsidP="00232195">
      <w:pPr>
        <w:rPr>
          <w:rFonts w:cs="Arial"/>
          <w:snapToGrid w:val="0"/>
          <w:lang w:val="fr-FR"/>
        </w:rPr>
      </w:pPr>
      <w:r w:rsidRPr="00F85A58">
        <w:rPr>
          <w:lang w:val="fr-FR"/>
        </w:rPr>
        <w:fldChar w:fldCharType="begin"/>
      </w:r>
      <w:r w:rsidRPr="00F85A58">
        <w:rPr>
          <w:lang w:val="fr-FR"/>
        </w:rPr>
        <w:instrText xml:space="preserve"> AUTONUM  </w:instrText>
      </w:r>
      <w:r w:rsidRPr="00F85A58">
        <w:rPr>
          <w:lang w:val="fr-FR"/>
        </w:rPr>
        <w:fldChar w:fldCharType="end"/>
      </w:r>
      <w:r w:rsidR="00B1393A" w:rsidRPr="00F85A58">
        <w:rPr>
          <w:lang w:val="fr-FR"/>
        </w:rPr>
        <w:tab/>
      </w:r>
      <w:r w:rsidR="00232195" w:rsidRPr="00F85A58">
        <w:rPr>
          <w:lang w:val="fr-FR"/>
        </w:rPr>
        <w:t>Le</w:t>
      </w:r>
      <w:r w:rsidR="005752E4" w:rsidRPr="00F85A58">
        <w:rPr>
          <w:lang w:val="fr-FR"/>
        </w:rPr>
        <w:t> TC</w:t>
      </w:r>
      <w:r w:rsidR="00232195" w:rsidRPr="00F85A58">
        <w:rPr>
          <w:lang w:val="fr-FR"/>
        </w:rPr>
        <w:t xml:space="preserve"> prend note des faits nouveaux intervenus au sein de l</w:t>
      </w:r>
      <w:r w:rsidR="005752E4" w:rsidRPr="00F85A58">
        <w:rPr>
          <w:lang w:val="fr-FR"/>
        </w:rPr>
        <w:t>’</w:t>
      </w:r>
      <w:r w:rsidR="00232195" w:rsidRPr="00F85A58">
        <w:rPr>
          <w:lang w:val="fr-FR"/>
        </w:rPr>
        <w:t>UPOV et des questions examinées lors des dernières sessions du Comité administratif et juridique, du Comité consultatif et du Conseil, dont il est f</w:t>
      </w:r>
      <w:r w:rsidR="009C28C1" w:rsidRPr="00F85A58">
        <w:rPr>
          <w:lang w:val="fr-FR"/>
        </w:rPr>
        <w:t>ait rapport aux paragraphes 3 à </w:t>
      </w:r>
      <w:r w:rsidR="00232195" w:rsidRPr="00F85A58">
        <w:rPr>
          <w:lang w:val="fr-FR"/>
        </w:rPr>
        <w:t xml:space="preserve">41 du </w:t>
      </w:r>
      <w:r w:rsidR="005752E4" w:rsidRPr="00F85A58">
        <w:rPr>
          <w:lang w:val="fr-FR"/>
        </w:rPr>
        <w:t>document TC</w:t>
      </w:r>
      <w:r w:rsidR="00232195" w:rsidRPr="00F85A58">
        <w:rPr>
          <w:lang w:val="fr-FR"/>
        </w:rPr>
        <w:t>/52/10.</w:t>
      </w:r>
    </w:p>
    <w:p w:rsidR="00BA14DE" w:rsidRPr="00F85A58" w:rsidRDefault="00BA14DE" w:rsidP="00050E16">
      <w:pPr>
        <w:rPr>
          <w:lang w:val="fr-FR"/>
        </w:rPr>
      </w:pPr>
    </w:p>
    <w:p w:rsidR="00BA14DE" w:rsidRPr="00F85A58" w:rsidRDefault="00232195" w:rsidP="00232195">
      <w:pPr>
        <w:pStyle w:val="Heading2"/>
        <w:rPr>
          <w:lang w:val="fr-FR"/>
        </w:rPr>
      </w:pPr>
      <w:r w:rsidRPr="00F85A58">
        <w:rPr>
          <w:lang w:val="fr-FR"/>
        </w:rPr>
        <w:lastRenderedPageBreak/>
        <w:t>Rapports sur l</w:t>
      </w:r>
      <w:r w:rsidR="005752E4" w:rsidRPr="00F85A58">
        <w:rPr>
          <w:lang w:val="fr-FR"/>
        </w:rPr>
        <w:t>’</w:t>
      </w:r>
      <w:r w:rsidRPr="00F85A58">
        <w:rPr>
          <w:lang w:val="fr-FR"/>
        </w:rPr>
        <w:t>état d</w:t>
      </w:r>
      <w:r w:rsidR="005752E4" w:rsidRPr="00F85A58">
        <w:rPr>
          <w:lang w:val="fr-FR"/>
        </w:rPr>
        <w:t>’</w:t>
      </w:r>
      <w:r w:rsidRPr="00F85A58">
        <w:rPr>
          <w:lang w:val="fr-FR"/>
        </w:rPr>
        <w:t xml:space="preserve">avancement des travaux des groupes de travail techniques, </w:t>
      </w:r>
      <w:r w:rsidR="005752E4" w:rsidRPr="00F85A58">
        <w:rPr>
          <w:lang w:val="fr-FR"/>
        </w:rPr>
        <w:t>y compris</w:t>
      </w:r>
      <w:r w:rsidRPr="00F85A58">
        <w:rPr>
          <w:lang w:val="fr-FR"/>
        </w:rPr>
        <w:t xml:space="preserve"> le Groupe de travail sur les techniques biochimiques et moléculaires, notamment les profils d</w:t>
      </w:r>
      <w:r w:rsidR="005752E4" w:rsidRPr="00F85A58">
        <w:rPr>
          <w:lang w:val="fr-FR"/>
        </w:rPr>
        <w:t>’</w:t>
      </w:r>
      <w:r w:rsidRPr="00F85A58">
        <w:rPr>
          <w:lang w:val="fr-FR"/>
        </w:rPr>
        <w:t>ADN (BMT)</w:t>
      </w:r>
    </w:p>
    <w:p w:rsidR="00BA14DE" w:rsidRPr="00F85A58" w:rsidRDefault="00BA14DE" w:rsidP="003D3E08">
      <w:pPr>
        <w:keepNext/>
        <w:rPr>
          <w:lang w:val="fr-FR"/>
        </w:rPr>
      </w:pPr>
    </w:p>
    <w:p w:rsidR="00BA14DE" w:rsidRPr="00F85A58" w:rsidRDefault="00FB765F" w:rsidP="00232195">
      <w:pPr>
        <w:keepNext/>
        <w:autoSpaceDE w:val="0"/>
        <w:autoSpaceDN w:val="0"/>
        <w:adjustRightInd w:val="0"/>
        <w:rPr>
          <w:lang w:val="fr-FR"/>
        </w:rPr>
      </w:pPr>
      <w:r w:rsidRPr="00F85A58">
        <w:rPr>
          <w:lang w:val="fr-FR"/>
        </w:rPr>
        <w:fldChar w:fldCharType="begin"/>
      </w:r>
      <w:r w:rsidRPr="00F85A58">
        <w:rPr>
          <w:lang w:val="fr-FR"/>
        </w:rPr>
        <w:instrText xml:space="preserve"> AUTONUM  \* Arabic </w:instrText>
      </w:r>
      <w:r w:rsidRPr="00F85A58">
        <w:rPr>
          <w:lang w:val="fr-FR"/>
        </w:rPr>
        <w:fldChar w:fldCharType="end"/>
      </w:r>
      <w:r w:rsidRPr="00F85A58">
        <w:rPr>
          <w:lang w:val="fr-FR"/>
        </w:rPr>
        <w:tab/>
      </w:r>
      <w:r w:rsidR="00232195" w:rsidRPr="00F85A58">
        <w:rPr>
          <w:lang w:val="fr-FR"/>
        </w:rPr>
        <w:t>Le</w:t>
      </w:r>
      <w:r w:rsidR="005752E4" w:rsidRPr="00F85A58">
        <w:rPr>
          <w:lang w:val="fr-FR"/>
        </w:rPr>
        <w:t> TC</w:t>
      </w:r>
      <w:r w:rsidR="00232195" w:rsidRPr="00F85A58">
        <w:rPr>
          <w:lang w:val="fr-FR"/>
        </w:rPr>
        <w:t xml:space="preserve"> entend, de la part des présidents des groupes concernés, les rapports oraux sur les travaux du Groupe de travail technique sur les plantes agricoles (TWA), du Groupe de travail technique sur les systèmes d</w:t>
      </w:r>
      <w:r w:rsidR="005752E4" w:rsidRPr="00F85A58">
        <w:rPr>
          <w:lang w:val="fr-FR"/>
        </w:rPr>
        <w:t>’</w:t>
      </w:r>
      <w:r w:rsidR="00232195" w:rsidRPr="00F85A58">
        <w:rPr>
          <w:lang w:val="fr-FR"/>
        </w:rPr>
        <w:t>automatisation et les programmes d</w:t>
      </w:r>
      <w:r w:rsidR="005752E4" w:rsidRPr="00F85A58">
        <w:rPr>
          <w:lang w:val="fr-FR"/>
        </w:rPr>
        <w:t>’</w:t>
      </w:r>
      <w:r w:rsidR="00232195" w:rsidRPr="00F85A58">
        <w:rPr>
          <w:lang w:val="fr-FR"/>
        </w:rPr>
        <w:t>ordinateur (TWC), du Groupe de travail technique sur les plantes fruitières (TWF), du Groupe de travail technique sur les plantes ornementales et les arbres forestiers (TWO), du Groupe de travail technique sur les plantes potagères (TWV) et du Groupe de travail sur les techniques biochimiques et moléculaires, notamment les profils d</w:t>
      </w:r>
      <w:r w:rsidR="005752E4" w:rsidRPr="00F85A58">
        <w:rPr>
          <w:lang w:val="fr-FR"/>
        </w:rPr>
        <w:t>’</w:t>
      </w:r>
      <w:r w:rsidR="00232195" w:rsidRPr="00F85A58">
        <w:rPr>
          <w:lang w:val="fr-FR"/>
        </w:rPr>
        <w:t>ADN (BMT).</w:t>
      </w:r>
      <w:r w:rsidRPr="00F85A58">
        <w:rPr>
          <w:lang w:val="fr-FR"/>
        </w:rPr>
        <w:t xml:space="preserve">  </w:t>
      </w:r>
      <w:r w:rsidR="0059305E" w:rsidRPr="00F85A58">
        <w:rPr>
          <w:lang w:val="fr-FR"/>
        </w:rPr>
        <w:t>On trouvera ci</w:t>
      </w:r>
      <w:r w:rsidR="00F85A58" w:rsidRPr="00F85A58">
        <w:rPr>
          <w:lang w:val="fr-FR"/>
        </w:rPr>
        <w:noBreakHyphen/>
      </w:r>
      <w:r w:rsidR="0059305E" w:rsidRPr="00F85A58">
        <w:rPr>
          <w:lang w:val="fr-FR"/>
        </w:rPr>
        <w:t>après un résumé des travaux des groupes de travail techniques</w:t>
      </w:r>
      <w:r w:rsidRPr="00F85A58">
        <w:rPr>
          <w:lang w:val="fr-FR"/>
        </w:rPr>
        <w:t>.</w:t>
      </w:r>
    </w:p>
    <w:p w:rsidR="00BA14DE" w:rsidRPr="00F85A58" w:rsidRDefault="00BA14DE" w:rsidP="00050E16">
      <w:pPr>
        <w:rPr>
          <w:lang w:val="fr-FR"/>
        </w:rPr>
      </w:pPr>
    </w:p>
    <w:p w:rsidR="005752E4" w:rsidRPr="00F85A58" w:rsidRDefault="003B6E00" w:rsidP="004570E2">
      <w:pPr>
        <w:pStyle w:val="Heading3"/>
      </w:pPr>
      <w:r w:rsidRPr="00F85A58">
        <w:t>Groupe de travail technique sur les plantes agricoles</w:t>
      </w:r>
    </w:p>
    <w:p w:rsidR="00BA14DE" w:rsidRPr="00F85A58" w:rsidRDefault="00BA14DE" w:rsidP="003D3E08">
      <w:pPr>
        <w:keepNext/>
        <w:rPr>
          <w:lang w:val="fr-FR"/>
        </w:rPr>
      </w:pPr>
    </w:p>
    <w:p w:rsidR="00BA14DE" w:rsidRPr="00F85A58" w:rsidRDefault="003570DF" w:rsidP="003D3E08">
      <w:pPr>
        <w:keepNext/>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DB3AA3" w:rsidRPr="00F85A58">
        <w:rPr>
          <w:rFonts w:cs="Arial"/>
          <w:lang w:val="fr-FR"/>
        </w:rPr>
        <w:t xml:space="preserve">Le </w:t>
      </w:r>
      <w:r w:rsidR="00566CBE" w:rsidRPr="00F85A58">
        <w:rPr>
          <w:rFonts w:cs="Arial"/>
          <w:lang w:val="fr-FR"/>
        </w:rPr>
        <w:t>TWA</w:t>
      </w:r>
      <w:r w:rsidRPr="00F85A58">
        <w:rPr>
          <w:rFonts w:cs="Arial"/>
          <w:lang w:val="fr-FR"/>
        </w:rPr>
        <w:t xml:space="preserve"> </w:t>
      </w:r>
      <w:r w:rsidR="00DB3AA3" w:rsidRPr="00F85A58">
        <w:rPr>
          <w:rFonts w:cs="Arial"/>
          <w:lang w:val="fr-FR"/>
        </w:rPr>
        <w:t xml:space="preserve">a tenu </w:t>
      </w:r>
      <w:r w:rsidR="00F3207E" w:rsidRPr="00F85A58">
        <w:rPr>
          <w:rFonts w:cs="Arial"/>
          <w:lang w:val="fr-FR"/>
        </w:rPr>
        <w:t>sa quarante</w:t>
      </w:r>
      <w:r w:rsidR="00F85A58" w:rsidRPr="00F85A58">
        <w:rPr>
          <w:rFonts w:cs="Arial"/>
          <w:lang w:val="fr-FR"/>
        </w:rPr>
        <w:noBreakHyphen/>
      </w:r>
      <w:r w:rsidR="00F3207E" w:rsidRPr="00F85A58">
        <w:rPr>
          <w:rFonts w:cs="Arial"/>
          <w:lang w:val="fr-FR"/>
        </w:rPr>
        <w:t>quatrième</w:t>
      </w:r>
      <w:r w:rsidR="00342006" w:rsidRPr="00F85A58">
        <w:rPr>
          <w:rFonts w:cs="Arial"/>
          <w:lang w:val="fr-FR"/>
        </w:rPr>
        <w:t> </w:t>
      </w:r>
      <w:r w:rsidR="00F3207E" w:rsidRPr="00F85A58">
        <w:rPr>
          <w:rFonts w:cs="Arial"/>
          <w:lang w:val="fr-FR"/>
        </w:rPr>
        <w:t xml:space="preserve">session à </w:t>
      </w:r>
      <w:r w:rsidRPr="00F85A58">
        <w:rPr>
          <w:rFonts w:cs="Arial"/>
          <w:lang w:val="fr-FR"/>
        </w:rPr>
        <w:t xml:space="preserve">Obihiro </w:t>
      </w:r>
      <w:r w:rsidR="0059305E" w:rsidRPr="00F85A58">
        <w:rPr>
          <w:rFonts w:cs="Arial"/>
          <w:lang w:val="fr-FR"/>
        </w:rPr>
        <w:t>(</w:t>
      </w:r>
      <w:r w:rsidRPr="00F85A58">
        <w:rPr>
          <w:rFonts w:cs="Arial"/>
          <w:lang w:val="fr-FR"/>
        </w:rPr>
        <w:t>Jap</w:t>
      </w:r>
      <w:r w:rsidR="00F3207E" w:rsidRPr="00F85A58">
        <w:rPr>
          <w:rFonts w:cs="Arial"/>
          <w:lang w:val="fr-FR"/>
        </w:rPr>
        <w:t>o</w:t>
      </w:r>
      <w:r w:rsidRPr="00F85A58">
        <w:rPr>
          <w:rFonts w:cs="Arial"/>
          <w:lang w:val="fr-FR"/>
        </w:rPr>
        <w:t>n</w:t>
      </w:r>
      <w:r w:rsidR="0059305E" w:rsidRPr="00F85A58">
        <w:rPr>
          <w:rFonts w:cs="Arial"/>
          <w:lang w:val="fr-FR"/>
        </w:rPr>
        <w:t>)</w:t>
      </w:r>
      <w:r w:rsidRPr="00F85A58">
        <w:rPr>
          <w:rFonts w:cs="Arial"/>
          <w:lang w:val="fr-FR"/>
        </w:rPr>
        <w:t xml:space="preserve">, </w:t>
      </w:r>
      <w:r w:rsidR="00F3207E" w:rsidRPr="00F85A58">
        <w:rPr>
          <w:rFonts w:cs="Arial"/>
          <w:lang w:val="fr-FR"/>
        </w:rPr>
        <w:t>du</w:t>
      </w:r>
      <w:r w:rsidRPr="00F85A58">
        <w:rPr>
          <w:rFonts w:cs="Arial"/>
          <w:lang w:val="fr-FR"/>
        </w:rPr>
        <w:t xml:space="preserve"> </w:t>
      </w:r>
      <w:r w:rsidR="00F3207E" w:rsidRPr="00F85A58">
        <w:rPr>
          <w:rFonts w:cs="Arial"/>
          <w:lang w:val="fr-FR"/>
        </w:rPr>
        <w:t>6 au 10 </w:t>
      </w:r>
      <w:r w:rsidR="005752E4" w:rsidRPr="00F85A58">
        <w:rPr>
          <w:rFonts w:cs="Arial"/>
          <w:lang w:val="fr-FR"/>
        </w:rPr>
        <w:t>juillet 20</w:t>
      </w:r>
      <w:r w:rsidRPr="00F85A58">
        <w:rPr>
          <w:rFonts w:cs="Arial"/>
          <w:lang w:val="fr-FR"/>
        </w:rPr>
        <w:t>15</w:t>
      </w:r>
      <w:r w:rsidR="006C55BD" w:rsidRPr="00F85A58">
        <w:rPr>
          <w:rFonts w:cs="Arial"/>
          <w:lang w:val="fr-FR"/>
        </w:rPr>
        <w:t>,</w:t>
      </w:r>
      <w:r w:rsidRPr="00F85A58">
        <w:rPr>
          <w:rFonts w:cs="Arial"/>
          <w:lang w:val="fr-FR"/>
        </w:rPr>
        <w:t xml:space="preserve"> </w:t>
      </w:r>
      <w:r w:rsidR="00730B1F" w:rsidRPr="00F85A58">
        <w:rPr>
          <w:rFonts w:cs="Arial"/>
          <w:lang w:val="fr-FR"/>
        </w:rPr>
        <w:t xml:space="preserve">sous la présidence de </w:t>
      </w:r>
      <w:r w:rsidR="006C55BD" w:rsidRPr="00F85A58">
        <w:rPr>
          <w:rFonts w:cs="Arial"/>
          <w:lang w:val="fr-FR"/>
        </w:rPr>
        <w:t>M</w:t>
      </w:r>
      <w:r w:rsidRPr="00F85A58">
        <w:rPr>
          <w:rFonts w:cs="Arial"/>
          <w:lang w:val="fr-FR"/>
        </w:rPr>
        <w:t>.</w:t>
      </w:r>
      <w:r w:rsidR="00730B1F" w:rsidRPr="00F85A58">
        <w:rPr>
          <w:rFonts w:cs="Arial"/>
          <w:lang w:val="fr-FR"/>
        </w:rPr>
        <w:t> </w:t>
      </w:r>
      <w:r w:rsidRPr="00F85A58">
        <w:rPr>
          <w:rFonts w:cs="Arial"/>
          <w:lang w:val="fr-FR"/>
        </w:rPr>
        <w:t>Tanvir Hossain (Australi</w:t>
      </w:r>
      <w:r w:rsidR="00730B1F" w:rsidRPr="00F85A58">
        <w:rPr>
          <w:rFonts w:cs="Arial"/>
          <w:lang w:val="fr-FR"/>
        </w:rPr>
        <w:t>e</w:t>
      </w:r>
      <w:r w:rsidRPr="00F85A58">
        <w:rPr>
          <w:rFonts w:cs="Arial"/>
          <w:lang w:val="fr-FR"/>
        </w:rPr>
        <w:t>)</w:t>
      </w:r>
      <w:r w:rsidR="007D53FB" w:rsidRPr="00F85A58">
        <w:rPr>
          <w:rFonts w:cs="Arial"/>
          <w:lang w:val="fr-FR"/>
        </w:rPr>
        <w:t xml:space="preserve">, </w:t>
      </w:r>
      <w:r w:rsidR="00730B1F" w:rsidRPr="00F85A58">
        <w:rPr>
          <w:rFonts w:cs="Arial"/>
          <w:lang w:val="fr-FR"/>
        </w:rPr>
        <w:t>président</w:t>
      </w:r>
      <w:r w:rsidR="005752E4" w:rsidRPr="00F85A58">
        <w:rPr>
          <w:rFonts w:cs="Arial"/>
          <w:lang w:val="fr-FR"/>
        </w:rPr>
        <w:t xml:space="preserve"> du </w:t>
      </w:r>
      <w:r w:rsidR="00F85A58" w:rsidRPr="00F85A58">
        <w:rPr>
          <w:rFonts w:cs="Arial"/>
          <w:lang w:val="fr-FR"/>
        </w:rPr>
        <w:t>TWA.  Le</w:t>
      </w:r>
      <w:r w:rsidR="00730B1F" w:rsidRPr="00F85A58">
        <w:rPr>
          <w:rFonts w:cs="Arial"/>
          <w:lang w:val="fr-FR"/>
        </w:rPr>
        <w:t xml:space="preserve"> compte rendu détaillé de la session fait l</w:t>
      </w:r>
      <w:r w:rsidR="005752E4" w:rsidRPr="00F85A58">
        <w:rPr>
          <w:rFonts w:cs="Arial"/>
          <w:lang w:val="fr-FR"/>
        </w:rPr>
        <w:t>’</w:t>
      </w:r>
      <w:r w:rsidR="00730B1F" w:rsidRPr="00F85A58">
        <w:rPr>
          <w:rFonts w:cs="Arial"/>
          <w:lang w:val="fr-FR"/>
        </w:rPr>
        <w:t xml:space="preserve">objet du document </w:t>
      </w:r>
      <w:r w:rsidRPr="00F85A58">
        <w:rPr>
          <w:rFonts w:cs="Arial"/>
          <w:lang w:val="fr-FR"/>
        </w:rPr>
        <w:t>TWA/44/23 “Report”.</w:t>
      </w:r>
    </w:p>
    <w:p w:rsidR="00BA14DE" w:rsidRPr="00F85A58" w:rsidRDefault="00BA14DE" w:rsidP="003570DF">
      <w:pPr>
        <w:contextualSpacing/>
        <w:rPr>
          <w:rFonts w:cs="Arial"/>
          <w:lang w:val="fr-FR"/>
        </w:rPr>
      </w:pPr>
    </w:p>
    <w:p w:rsidR="00BA14DE" w:rsidRPr="00F85A58" w:rsidRDefault="003570DF" w:rsidP="003B6E00">
      <w:pPr>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C28C1" w:rsidRPr="00F85A58">
        <w:rPr>
          <w:rFonts w:cs="Arial"/>
          <w:lang w:val="fr-FR"/>
        </w:rPr>
        <w:t>La session a réuni 38 participants représentant 17 membres de l</w:t>
      </w:r>
      <w:r w:rsidR="005752E4" w:rsidRPr="00F85A58">
        <w:rPr>
          <w:rFonts w:cs="Arial"/>
          <w:lang w:val="fr-FR"/>
        </w:rPr>
        <w:t>’</w:t>
      </w:r>
      <w:r w:rsidR="009C28C1" w:rsidRPr="00F85A58">
        <w:rPr>
          <w:rFonts w:cs="Arial"/>
          <w:lang w:val="fr-FR"/>
        </w:rPr>
        <w:t>Union, 9 </w:t>
      </w:r>
      <w:r w:rsidR="003B6E00" w:rsidRPr="00F85A58">
        <w:rPr>
          <w:rFonts w:cs="Arial"/>
          <w:lang w:val="fr-FR"/>
        </w:rPr>
        <w:t>États aya</w:t>
      </w:r>
      <w:r w:rsidR="009C28C1" w:rsidRPr="00F85A58">
        <w:rPr>
          <w:rFonts w:cs="Arial"/>
          <w:lang w:val="fr-FR"/>
        </w:rPr>
        <w:t>nt le statut d</w:t>
      </w:r>
      <w:r w:rsidR="005752E4" w:rsidRPr="00F85A58">
        <w:rPr>
          <w:rFonts w:cs="Arial"/>
          <w:lang w:val="fr-FR"/>
        </w:rPr>
        <w:t>’</w:t>
      </w:r>
      <w:r w:rsidR="009C28C1" w:rsidRPr="00F85A58">
        <w:rPr>
          <w:rFonts w:cs="Arial"/>
          <w:lang w:val="fr-FR"/>
        </w:rPr>
        <w:t>observateur et 3 </w:t>
      </w:r>
      <w:r w:rsidR="003B6E00" w:rsidRPr="00F85A58">
        <w:rPr>
          <w:rFonts w:cs="Arial"/>
          <w:lang w:val="fr-FR"/>
        </w:rPr>
        <w:t>organisations ayant le statut d</w:t>
      </w:r>
      <w:r w:rsidR="005752E4" w:rsidRPr="00F85A58">
        <w:rPr>
          <w:rFonts w:cs="Arial"/>
          <w:lang w:val="fr-FR"/>
        </w:rPr>
        <w:t>’</w:t>
      </w:r>
      <w:r w:rsidR="003B6E00" w:rsidRPr="00F85A58">
        <w:rPr>
          <w:rFonts w:cs="Arial"/>
          <w:lang w:val="fr-FR"/>
        </w:rPr>
        <w:t>observate</w:t>
      </w:r>
      <w:r w:rsidR="00F85A58" w:rsidRPr="00F85A58">
        <w:rPr>
          <w:rFonts w:cs="Arial"/>
          <w:lang w:val="fr-FR"/>
        </w:rPr>
        <w:t>ur.  L’a</w:t>
      </w:r>
      <w:r w:rsidR="003B6E00" w:rsidRPr="00F85A58">
        <w:rPr>
          <w:rFonts w:cs="Arial"/>
          <w:lang w:val="fr-FR"/>
        </w:rPr>
        <w:t>telier préparatoire a eu lieu durant l</w:t>
      </w:r>
      <w:r w:rsidR="005752E4" w:rsidRPr="00F85A58">
        <w:rPr>
          <w:rFonts w:cs="Arial"/>
          <w:lang w:val="fr-FR"/>
        </w:rPr>
        <w:t>’</w:t>
      </w:r>
      <w:r w:rsidR="003B6E00" w:rsidRPr="00F85A58">
        <w:rPr>
          <w:rFonts w:cs="Arial"/>
          <w:lang w:val="fr-FR"/>
        </w:rPr>
        <w:t>après</w:t>
      </w:r>
      <w:r w:rsidR="00F85A58" w:rsidRPr="00F85A58">
        <w:rPr>
          <w:rFonts w:cs="Arial"/>
          <w:lang w:val="fr-FR"/>
        </w:rPr>
        <w:noBreakHyphen/>
      </w:r>
      <w:r w:rsidR="003B6E00" w:rsidRPr="00F85A58">
        <w:rPr>
          <w:rFonts w:cs="Arial"/>
          <w:lang w:val="fr-FR"/>
        </w:rPr>
        <w:t xml:space="preserve">midi du </w:t>
      </w:r>
      <w:r w:rsidR="009C28C1" w:rsidRPr="00F85A58">
        <w:rPr>
          <w:rFonts w:cs="Arial"/>
          <w:lang w:val="fr-FR"/>
        </w:rPr>
        <w:t>5 juillet </w:t>
      </w:r>
      <w:r w:rsidR="003B6E00" w:rsidRPr="00F85A58">
        <w:rPr>
          <w:rFonts w:cs="Arial"/>
          <w:lang w:val="fr-FR"/>
        </w:rPr>
        <w:t>2015 et a réuni 22</w:t>
      </w:r>
      <w:r w:rsidR="009C28C1" w:rsidRPr="00F85A58">
        <w:rPr>
          <w:rFonts w:cs="Arial"/>
          <w:lang w:val="fr-FR"/>
        </w:rPr>
        <w:t> </w:t>
      </w:r>
      <w:r w:rsidR="003B6E00" w:rsidRPr="00F85A58">
        <w:rPr>
          <w:rFonts w:cs="Arial"/>
          <w:lang w:val="fr-FR"/>
        </w:rPr>
        <w:t>participants représentant 9</w:t>
      </w:r>
      <w:r w:rsidR="009C28C1" w:rsidRPr="00F85A58">
        <w:rPr>
          <w:rFonts w:cs="Arial"/>
          <w:lang w:val="fr-FR"/>
        </w:rPr>
        <w:t> </w:t>
      </w:r>
      <w:r w:rsidR="003B6E00" w:rsidRPr="00F85A58">
        <w:rPr>
          <w:rFonts w:cs="Arial"/>
          <w:lang w:val="fr-FR"/>
        </w:rPr>
        <w:t>membres de l</w:t>
      </w:r>
      <w:r w:rsidR="005752E4" w:rsidRPr="00F85A58">
        <w:rPr>
          <w:rFonts w:cs="Arial"/>
          <w:lang w:val="fr-FR"/>
        </w:rPr>
        <w:t>’</w:t>
      </w:r>
      <w:r w:rsidR="003B6E00" w:rsidRPr="00F85A58">
        <w:rPr>
          <w:rFonts w:cs="Arial"/>
          <w:lang w:val="fr-FR"/>
        </w:rPr>
        <w:t>Union et 10</w:t>
      </w:r>
      <w:r w:rsidR="009C28C1" w:rsidRPr="00F85A58">
        <w:rPr>
          <w:rFonts w:cs="Arial"/>
          <w:lang w:val="fr-FR"/>
        </w:rPr>
        <w:t> </w:t>
      </w:r>
      <w:r w:rsidR="003B6E00" w:rsidRPr="00F85A58">
        <w:rPr>
          <w:rFonts w:cs="Arial"/>
          <w:lang w:val="fr-FR"/>
        </w:rPr>
        <w:t>États ayant le statut d</w:t>
      </w:r>
      <w:r w:rsidR="005752E4" w:rsidRPr="00F85A58">
        <w:rPr>
          <w:rFonts w:cs="Arial"/>
          <w:lang w:val="fr-FR"/>
        </w:rPr>
        <w:t>’</w:t>
      </w:r>
      <w:r w:rsidR="003B6E00" w:rsidRPr="00F85A58">
        <w:rPr>
          <w:rFonts w:cs="Arial"/>
          <w:lang w:val="fr-FR"/>
        </w:rPr>
        <w:t>observateur.</w:t>
      </w:r>
    </w:p>
    <w:p w:rsidR="00BA14DE" w:rsidRPr="00F85A58" w:rsidRDefault="00BA14DE" w:rsidP="003570DF">
      <w:pPr>
        <w:contextualSpacing/>
        <w:rPr>
          <w:rFonts w:cs="Arial"/>
          <w:lang w:val="fr-FR"/>
        </w:rPr>
      </w:pPr>
    </w:p>
    <w:p w:rsidR="00BA14DE" w:rsidRPr="00F85A58" w:rsidRDefault="003570DF" w:rsidP="003570DF">
      <w:pPr>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t>M.</w:t>
      </w:r>
      <w:r w:rsidR="00342006" w:rsidRPr="00F85A58">
        <w:rPr>
          <w:rFonts w:cs="Arial"/>
          <w:lang w:val="fr-FR"/>
        </w:rPr>
        <w:t> </w:t>
      </w:r>
      <w:proofErr w:type="spellStart"/>
      <w:r w:rsidRPr="00F85A58">
        <w:rPr>
          <w:rFonts w:cs="Arial"/>
          <w:lang w:val="fr-FR"/>
        </w:rPr>
        <w:t>Katsuhiro</w:t>
      </w:r>
      <w:proofErr w:type="spellEnd"/>
      <w:r w:rsidRPr="00F85A58">
        <w:rPr>
          <w:rFonts w:cs="Arial"/>
          <w:lang w:val="fr-FR"/>
        </w:rPr>
        <w:t xml:space="preserve"> Saka, </w:t>
      </w:r>
      <w:r w:rsidR="00973B01" w:rsidRPr="00F85A58">
        <w:rPr>
          <w:rFonts w:cs="Arial"/>
          <w:lang w:val="fr-FR"/>
        </w:rPr>
        <w:t xml:space="preserve">directeur de la division </w:t>
      </w:r>
      <w:r w:rsidR="00005786" w:rsidRPr="00F85A58">
        <w:rPr>
          <w:rFonts w:cs="Arial"/>
          <w:lang w:val="fr-FR"/>
        </w:rPr>
        <w:t>des nouvelles entreprises et de la propriété intellectuelle du Ministère de l</w:t>
      </w:r>
      <w:r w:rsidR="005752E4" w:rsidRPr="00F85A58">
        <w:rPr>
          <w:rFonts w:cs="Arial"/>
          <w:lang w:val="fr-FR"/>
        </w:rPr>
        <w:t>’</w:t>
      </w:r>
      <w:r w:rsidR="00005786" w:rsidRPr="00F85A58">
        <w:rPr>
          <w:rFonts w:cs="Arial"/>
          <w:lang w:val="fr-FR"/>
        </w:rPr>
        <w:t>agriculture, des forêts et de la pêche (MAFF</w:t>
      </w:r>
      <w:r w:rsidRPr="00F85A58">
        <w:rPr>
          <w:rFonts w:cs="Arial"/>
          <w:lang w:val="fr-FR"/>
        </w:rPr>
        <w:t>)</w:t>
      </w:r>
      <w:r w:rsidR="00005786" w:rsidRPr="00F85A58">
        <w:rPr>
          <w:rFonts w:cs="Arial"/>
          <w:lang w:val="fr-FR"/>
        </w:rPr>
        <w:t>, a souhaité la bienvenue aux participants de la sessi</w:t>
      </w:r>
      <w:r w:rsidR="00F85A58" w:rsidRPr="00F85A58">
        <w:rPr>
          <w:rFonts w:cs="Arial"/>
          <w:lang w:val="fr-FR"/>
        </w:rPr>
        <w:t>on.  Ce</w:t>
      </w:r>
      <w:r w:rsidR="00005786" w:rsidRPr="00F85A58">
        <w:rPr>
          <w:rFonts w:cs="Arial"/>
          <w:lang w:val="fr-FR"/>
        </w:rPr>
        <w:t>ux</w:t>
      </w:r>
      <w:r w:rsidR="00F85A58" w:rsidRPr="00F85A58">
        <w:rPr>
          <w:rFonts w:cs="Arial"/>
          <w:lang w:val="fr-FR"/>
        </w:rPr>
        <w:noBreakHyphen/>
      </w:r>
      <w:r w:rsidR="00005786" w:rsidRPr="00F85A58">
        <w:rPr>
          <w:rFonts w:cs="Arial"/>
          <w:lang w:val="fr-FR"/>
        </w:rPr>
        <w:t xml:space="preserve">ci ont </w:t>
      </w:r>
      <w:r w:rsidR="00E37EBB" w:rsidRPr="00F85A58">
        <w:rPr>
          <w:rFonts w:cs="Arial"/>
          <w:lang w:val="fr-FR"/>
        </w:rPr>
        <w:t xml:space="preserve">ensuite </w:t>
      </w:r>
      <w:r w:rsidR="00005786" w:rsidRPr="00F85A58">
        <w:rPr>
          <w:rFonts w:cs="Arial"/>
          <w:lang w:val="fr-FR"/>
        </w:rPr>
        <w:t>suivi un exposé présenté par M. </w:t>
      </w:r>
      <w:proofErr w:type="spellStart"/>
      <w:r w:rsidR="00005786" w:rsidRPr="00F85A58">
        <w:rPr>
          <w:rFonts w:cs="Arial"/>
          <w:lang w:val="fr-FR"/>
        </w:rPr>
        <w:t>Katsumi</w:t>
      </w:r>
      <w:proofErr w:type="spellEnd"/>
      <w:r w:rsidR="00005786" w:rsidRPr="00F85A58">
        <w:rPr>
          <w:rFonts w:cs="Arial"/>
          <w:lang w:val="fr-FR"/>
        </w:rPr>
        <w:t xml:space="preserve"> Yamaguchi, directeur du </w:t>
      </w:r>
      <w:r w:rsidR="00055EC4" w:rsidRPr="00F85A58">
        <w:rPr>
          <w:rFonts w:cs="Arial"/>
          <w:lang w:val="fr-FR"/>
        </w:rPr>
        <w:t xml:space="preserve">service </w:t>
      </w:r>
      <w:r w:rsidR="00DD3C4B" w:rsidRPr="00F85A58">
        <w:rPr>
          <w:rFonts w:cs="Arial"/>
          <w:lang w:val="fr-FR"/>
        </w:rPr>
        <w:t>de protection des obtentions végétales à la division des nouvelles entreprises et de la propriété intellectuelle</w:t>
      </w:r>
      <w:r w:rsidR="005752E4" w:rsidRPr="00F85A58">
        <w:rPr>
          <w:rFonts w:cs="Arial"/>
          <w:lang w:val="fr-FR"/>
        </w:rPr>
        <w:t xml:space="preserve"> du MAF</w:t>
      </w:r>
      <w:r w:rsidR="00DD3C4B" w:rsidRPr="00F85A58">
        <w:rPr>
          <w:rFonts w:cs="Arial"/>
          <w:lang w:val="fr-FR"/>
        </w:rPr>
        <w:t>F sur le système de protection des obtentions végétales au Jap</w:t>
      </w:r>
      <w:r w:rsidR="00F85A58" w:rsidRPr="00F85A58">
        <w:rPr>
          <w:rFonts w:cs="Arial"/>
          <w:lang w:val="fr-FR"/>
        </w:rPr>
        <w:t>on.  Le</w:t>
      </w:r>
      <w:r w:rsidR="005752E4" w:rsidRPr="00F85A58">
        <w:rPr>
          <w:rFonts w:cs="Arial"/>
          <w:lang w:val="fr-FR"/>
        </w:rPr>
        <w:t> TWA</w:t>
      </w:r>
      <w:r w:rsidR="00DD3C4B" w:rsidRPr="00F85A58">
        <w:rPr>
          <w:rFonts w:cs="Arial"/>
          <w:lang w:val="fr-FR"/>
        </w:rPr>
        <w:t xml:space="preserve"> a également suivi un exposé sur </w:t>
      </w:r>
      <w:r w:rsidR="00E37EBB" w:rsidRPr="00F85A58">
        <w:rPr>
          <w:rFonts w:cs="Arial"/>
          <w:lang w:val="fr-FR"/>
        </w:rPr>
        <w:t xml:space="preserve">la sélection végétale pour les plantes agricoles au </w:t>
      </w:r>
      <w:r w:rsidR="00AB29B0" w:rsidRPr="00F85A58">
        <w:rPr>
          <w:rFonts w:cs="Arial"/>
          <w:lang w:val="fr-FR"/>
        </w:rPr>
        <w:t>Japon</w:t>
      </w:r>
      <w:r w:rsidR="00E37EBB" w:rsidRPr="00F85A58">
        <w:rPr>
          <w:rFonts w:cs="Arial"/>
          <w:lang w:val="fr-FR"/>
        </w:rPr>
        <w:t xml:space="preserve"> présenté par </w:t>
      </w:r>
      <w:r w:rsidRPr="00F85A58">
        <w:rPr>
          <w:rFonts w:cs="Arial"/>
          <w:lang w:val="fr-FR"/>
        </w:rPr>
        <w:t>M.</w:t>
      </w:r>
      <w:r w:rsidR="00342006" w:rsidRPr="00F85A58">
        <w:rPr>
          <w:rFonts w:cs="Arial"/>
          <w:lang w:val="fr-FR"/>
        </w:rPr>
        <w:t> </w:t>
      </w:r>
      <w:proofErr w:type="spellStart"/>
      <w:r w:rsidRPr="00F85A58">
        <w:rPr>
          <w:rFonts w:cs="Arial"/>
          <w:lang w:val="fr-FR"/>
        </w:rPr>
        <w:t>Ikuo</w:t>
      </w:r>
      <w:proofErr w:type="spellEnd"/>
      <w:r w:rsidRPr="00F85A58">
        <w:rPr>
          <w:rFonts w:cs="Arial"/>
          <w:lang w:val="fr-FR"/>
        </w:rPr>
        <w:t xml:space="preserve"> Ando, </w:t>
      </w:r>
      <w:r w:rsidR="00B303A6" w:rsidRPr="00F85A58">
        <w:rPr>
          <w:rFonts w:cs="Arial"/>
          <w:lang w:val="fr-FR"/>
        </w:rPr>
        <w:t>directeur de la recherche dans le domaine du riz</w:t>
      </w:r>
      <w:r w:rsidR="00314928" w:rsidRPr="00F85A58">
        <w:rPr>
          <w:rFonts w:cs="Arial"/>
          <w:lang w:val="fr-FR"/>
        </w:rPr>
        <w:t xml:space="preserve"> </w:t>
      </w:r>
      <w:r w:rsidR="00892FD7" w:rsidRPr="00F85A58">
        <w:rPr>
          <w:rFonts w:cs="Arial"/>
          <w:lang w:val="fr-FR"/>
        </w:rPr>
        <w:t>au sein de</w:t>
      </w:r>
      <w:r w:rsidR="00B303A6" w:rsidRPr="00F85A58">
        <w:rPr>
          <w:rFonts w:cs="Arial"/>
          <w:lang w:val="fr-FR"/>
        </w:rPr>
        <w:t xml:space="preserve"> l</w:t>
      </w:r>
      <w:r w:rsidR="005752E4" w:rsidRPr="00F85A58">
        <w:rPr>
          <w:rFonts w:cs="Arial"/>
          <w:lang w:val="fr-FR"/>
        </w:rPr>
        <w:t>’</w:t>
      </w:r>
      <w:r w:rsidR="00B303A6" w:rsidRPr="00F85A58">
        <w:rPr>
          <w:rFonts w:cs="Arial"/>
          <w:lang w:val="fr-FR"/>
        </w:rPr>
        <w:t xml:space="preserve">Organisation nationale de recherche agricole et alimentaire </w:t>
      </w:r>
      <w:r w:rsidRPr="00F85A58">
        <w:rPr>
          <w:rFonts w:cs="Arial"/>
          <w:lang w:val="fr-FR"/>
        </w:rPr>
        <w:t>(NARO).</w:t>
      </w:r>
    </w:p>
    <w:p w:rsidR="00BA14DE" w:rsidRPr="00F85A58" w:rsidRDefault="00BA14DE" w:rsidP="003570DF">
      <w:pPr>
        <w:contextualSpacing/>
        <w:rPr>
          <w:rFonts w:cs="Arial"/>
          <w:lang w:val="fr-FR"/>
        </w:rPr>
      </w:pPr>
    </w:p>
    <w:p w:rsidR="00BA14DE" w:rsidRPr="00F85A58" w:rsidRDefault="003570DF" w:rsidP="003B6E00">
      <w:pPr>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3B6E00" w:rsidRPr="00F85A58">
        <w:rPr>
          <w:rFonts w:cs="Arial"/>
          <w:lang w:val="fr-FR"/>
        </w:rPr>
        <w:t>Le TWA a adopté l</w:t>
      </w:r>
      <w:r w:rsidR="005752E4" w:rsidRPr="00F85A58">
        <w:rPr>
          <w:rFonts w:cs="Arial"/>
          <w:lang w:val="fr-FR"/>
        </w:rPr>
        <w:t>’</w:t>
      </w:r>
      <w:r w:rsidR="003B6E00" w:rsidRPr="00F85A58">
        <w:rPr>
          <w:rFonts w:cs="Arial"/>
          <w:lang w:val="fr-FR"/>
        </w:rPr>
        <w:t>ordre du jour tel qu</w:t>
      </w:r>
      <w:r w:rsidR="005752E4" w:rsidRPr="00F85A58">
        <w:rPr>
          <w:rFonts w:cs="Arial"/>
          <w:lang w:val="fr-FR"/>
        </w:rPr>
        <w:t>’</w:t>
      </w:r>
      <w:r w:rsidR="003B6E00" w:rsidRPr="00F85A58">
        <w:rPr>
          <w:rFonts w:cs="Arial"/>
          <w:lang w:val="fr-FR"/>
        </w:rPr>
        <w:t>il figure dans le docum</w:t>
      </w:r>
      <w:r w:rsidR="009C28C1" w:rsidRPr="00F85A58">
        <w:rPr>
          <w:rFonts w:cs="Arial"/>
          <w:lang w:val="fr-FR"/>
        </w:rPr>
        <w:t>ent TWA/44/1 </w:t>
      </w:r>
      <w:proofErr w:type="spellStart"/>
      <w:r w:rsidR="003B6E00" w:rsidRPr="00F85A58">
        <w:rPr>
          <w:rFonts w:cs="Arial"/>
          <w:lang w:val="fr-FR"/>
        </w:rPr>
        <w:t>Rev</w:t>
      </w:r>
      <w:proofErr w:type="spellEnd"/>
      <w:r w:rsidR="003B6E00" w:rsidRPr="00F85A58">
        <w:rPr>
          <w:rFonts w:cs="Arial"/>
          <w:lang w:val="fr-FR"/>
        </w:rPr>
        <w:t>.</w:t>
      </w:r>
    </w:p>
    <w:p w:rsidR="00BA14DE" w:rsidRPr="00F85A58" w:rsidRDefault="00BA14DE" w:rsidP="003570DF">
      <w:pPr>
        <w:contextualSpacing/>
        <w:rPr>
          <w:rFonts w:cs="Arial"/>
          <w:lang w:val="fr-FR"/>
        </w:rPr>
      </w:pPr>
    </w:p>
    <w:p w:rsidR="00BA14DE" w:rsidRPr="00F85A58" w:rsidRDefault="003570DF" w:rsidP="009A0039">
      <w:pPr>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B1F5B" w:rsidRPr="00F85A58">
        <w:rPr>
          <w:rFonts w:cs="Arial"/>
          <w:lang w:val="fr-FR"/>
        </w:rPr>
        <w:t xml:space="preserve">Le </w:t>
      </w:r>
      <w:r w:rsidRPr="00F85A58">
        <w:rPr>
          <w:rFonts w:cs="Arial"/>
          <w:lang w:val="fr-FR"/>
        </w:rPr>
        <w:t xml:space="preserve">TWA </w:t>
      </w:r>
      <w:r w:rsidR="009B1F5B" w:rsidRPr="00F85A58">
        <w:rPr>
          <w:rFonts w:cs="Arial"/>
          <w:lang w:val="fr-FR"/>
        </w:rPr>
        <w:t xml:space="preserve">a examiné le document </w:t>
      </w:r>
      <w:r w:rsidR="009A0039" w:rsidRPr="00F85A58">
        <w:rPr>
          <w:rFonts w:cs="Arial"/>
          <w:lang w:val="fr-FR"/>
        </w:rPr>
        <w:t>TWA/44/21 “</w:t>
      </w:r>
      <w:r w:rsidR="00A416B9" w:rsidRPr="00F85A58">
        <w:rPr>
          <w:rFonts w:cs="Arial"/>
          <w:lang w:val="fr-FR"/>
        </w:rPr>
        <w:t>Rapports sur les faits nouveaux au sein de l</w:t>
      </w:r>
      <w:r w:rsidR="005752E4" w:rsidRPr="00F85A58">
        <w:rPr>
          <w:rFonts w:cs="Arial"/>
          <w:lang w:val="fr-FR"/>
        </w:rPr>
        <w:t>’</w:t>
      </w:r>
      <w:r w:rsidR="00A416B9" w:rsidRPr="00F85A58">
        <w:rPr>
          <w:rFonts w:cs="Arial"/>
          <w:lang w:val="fr-FR"/>
        </w:rPr>
        <w:t>UPOV</w:t>
      </w:r>
      <w:r w:rsidR="001826AD">
        <w:rPr>
          <w:rFonts w:cs="Arial"/>
          <w:lang w:val="fr-FR"/>
        </w:rPr>
        <w:t>”</w:t>
      </w:r>
      <w:r w:rsidR="009A0039" w:rsidRPr="00F85A58">
        <w:rPr>
          <w:rFonts w:cs="Arial"/>
          <w:lang w:val="fr-FR"/>
        </w:rPr>
        <w:t xml:space="preserve"> </w:t>
      </w:r>
      <w:r w:rsidR="009B1F5B" w:rsidRPr="00F85A58">
        <w:rPr>
          <w:rFonts w:cs="Arial"/>
          <w:lang w:val="fr-FR"/>
        </w:rPr>
        <w:t>et est convenu de proposer que le cours d</w:t>
      </w:r>
      <w:r w:rsidR="005752E4" w:rsidRPr="00F85A58">
        <w:rPr>
          <w:rFonts w:cs="Arial"/>
          <w:lang w:val="fr-FR"/>
        </w:rPr>
        <w:t>’</w:t>
      </w:r>
      <w:r w:rsidR="009B1F5B" w:rsidRPr="00F85A58">
        <w:rPr>
          <w:rFonts w:cs="Arial"/>
          <w:lang w:val="fr-FR"/>
        </w:rPr>
        <w:t xml:space="preserve">enseignement à distance </w:t>
      </w:r>
      <w:r w:rsidRPr="00F85A58">
        <w:rPr>
          <w:rFonts w:cs="Arial"/>
          <w:lang w:val="fr-FR"/>
        </w:rPr>
        <w:t>DL</w:t>
      </w:r>
      <w:r w:rsidR="00F85A58" w:rsidRPr="00F85A58">
        <w:rPr>
          <w:rFonts w:cs="Arial"/>
          <w:lang w:val="fr-FR"/>
        </w:rPr>
        <w:noBreakHyphen/>
      </w:r>
      <w:r w:rsidRPr="00F85A58">
        <w:rPr>
          <w:rFonts w:cs="Arial"/>
          <w:lang w:val="fr-FR"/>
        </w:rPr>
        <w:t xml:space="preserve">305 </w:t>
      </w:r>
      <w:r w:rsidR="005F1B9A" w:rsidRPr="00F85A58">
        <w:rPr>
          <w:rFonts w:cs="Arial"/>
          <w:lang w:val="fr-FR"/>
        </w:rPr>
        <w:t>soit proposé deux</w:t>
      </w:r>
      <w:r w:rsidR="00342006" w:rsidRPr="00F85A58">
        <w:rPr>
          <w:rFonts w:cs="Arial"/>
          <w:lang w:val="fr-FR"/>
        </w:rPr>
        <w:t> </w:t>
      </w:r>
      <w:r w:rsidR="005F1B9A" w:rsidRPr="00F85A58">
        <w:rPr>
          <w:rFonts w:cs="Arial"/>
          <w:lang w:val="fr-FR"/>
        </w:rPr>
        <w:t>fois en</w:t>
      </w:r>
      <w:r w:rsidR="00342006" w:rsidRPr="00F85A58">
        <w:rPr>
          <w:rFonts w:cs="Arial"/>
          <w:lang w:val="fr-FR"/>
        </w:rPr>
        <w:t> </w:t>
      </w:r>
      <w:r w:rsidRPr="00F85A58">
        <w:rPr>
          <w:rFonts w:cs="Arial"/>
          <w:lang w:val="fr-FR"/>
        </w:rPr>
        <w:t xml:space="preserve">2016, </w:t>
      </w:r>
      <w:r w:rsidR="005F1B9A" w:rsidRPr="00F85A58">
        <w:rPr>
          <w:rFonts w:cs="Arial"/>
          <w:lang w:val="fr-FR"/>
        </w:rPr>
        <w:t>au printemps et à l</w:t>
      </w:r>
      <w:r w:rsidR="005752E4" w:rsidRPr="00F85A58">
        <w:rPr>
          <w:rFonts w:cs="Arial"/>
          <w:lang w:val="fr-FR"/>
        </w:rPr>
        <w:t>’</w:t>
      </w:r>
      <w:r w:rsidR="005F1B9A" w:rsidRPr="00F85A58">
        <w:rPr>
          <w:rFonts w:cs="Arial"/>
          <w:lang w:val="fr-FR"/>
        </w:rPr>
        <w:t>automne, afin de permettre une participation maximale des spécialistes de l</w:t>
      </w:r>
      <w:r w:rsidR="005752E4" w:rsidRPr="00F85A58">
        <w:rPr>
          <w:rFonts w:cs="Arial"/>
          <w:lang w:val="fr-FR"/>
        </w:rPr>
        <w:t>’</w:t>
      </w:r>
      <w:r w:rsidR="005F1B9A" w:rsidRPr="00F85A58">
        <w:rPr>
          <w:rFonts w:cs="Arial"/>
          <w:lang w:val="fr-FR"/>
        </w:rPr>
        <w:t>examen</w:t>
      </w:r>
      <w:r w:rsidR="00342006" w:rsidRPr="00F85A58">
        <w:rPr>
          <w:rFonts w:cs="Arial"/>
          <w:lang w:val="fr-FR"/>
        </w:rPr>
        <w:t> </w:t>
      </w:r>
      <w:r w:rsidR="005F1B9A" w:rsidRPr="00F85A58">
        <w:rPr>
          <w:rFonts w:cs="Arial"/>
          <w:lang w:val="fr-FR"/>
        </w:rPr>
        <w:t>DHS</w:t>
      </w:r>
      <w:r w:rsidRPr="00F85A58">
        <w:rPr>
          <w:rFonts w:cs="Arial"/>
          <w:lang w:val="fr-FR"/>
        </w:rPr>
        <w:t>.</w:t>
      </w:r>
    </w:p>
    <w:p w:rsidR="00BA14DE" w:rsidRPr="00F85A58" w:rsidRDefault="00BA14DE" w:rsidP="003570DF">
      <w:pPr>
        <w:contextualSpacing/>
        <w:rPr>
          <w:rFonts w:cs="Arial"/>
          <w:lang w:val="fr-FR"/>
        </w:rPr>
      </w:pPr>
    </w:p>
    <w:p w:rsidR="00BA14DE"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8D2A5D" w:rsidRPr="00F85A58">
        <w:rPr>
          <w:rFonts w:cs="Arial"/>
          <w:lang w:val="fr-FR"/>
        </w:rPr>
        <w:t xml:space="preserve">Le </w:t>
      </w:r>
      <w:r w:rsidRPr="00F85A58">
        <w:rPr>
          <w:rFonts w:cs="Arial"/>
          <w:lang w:val="fr-FR"/>
        </w:rPr>
        <w:t xml:space="preserve">TWA </w:t>
      </w:r>
      <w:r w:rsidR="00A30675" w:rsidRPr="00F85A58">
        <w:rPr>
          <w:rFonts w:cs="Arial"/>
          <w:lang w:val="fr-FR"/>
        </w:rPr>
        <w:t>a approuvé le</w:t>
      </w:r>
      <w:r w:rsidR="00AB43A1" w:rsidRPr="00F85A58">
        <w:rPr>
          <w:rFonts w:cs="Arial"/>
          <w:lang w:val="fr-FR"/>
        </w:rPr>
        <w:t xml:space="preserve">s propositions de conseils </w:t>
      </w:r>
      <w:r w:rsidR="00A30675" w:rsidRPr="00F85A58">
        <w:rPr>
          <w:rFonts w:cs="Arial"/>
          <w:lang w:val="fr-FR"/>
        </w:rPr>
        <w:t xml:space="preserve">définies </w:t>
      </w:r>
      <w:r w:rsidR="00AB43A1" w:rsidRPr="00F85A58">
        <w:rPr>
          <w:rFonts w:cs="Arial"/>
          <w:lang w:val="fr-FR"/>
        </w:rPr>
        <w:t xml:space="preserve">au paragraphe 7 du </w:t>
      </w:r>
      <w:r w:rsidR="00A30675" w:rsidRPr="00F85A58">
        <w:rPr>
          <w:rFonts w:cs="Arial"/>
          <w:lang w:val="fr-FR"/>
        </w:rPr>
        <w:t xml:space="preserve">document </w:t>
      </w:r>
      <w:r w:rsidRPr="00F85A58">
        <w:rPr>
          <w:rFonts w:cs="Arial"/>
          <w:lang w:val="fr-FR"/>
        </w:rPr>
        <w:t>TWA/44/13</w:t>
      </w:r>
      <w:r w:rsidR="00077BCC" w:rsidRPr="00F85A58">
        <w:rPr>
          <w:rFonts w:cs="Arial"/>
          <w:lang w:val="fr-FR"/>
        </w:rPr>
        <w:t xml:space="preserve"> “Use of </w:t>
      </w:r>
      <w:proofErr w:type="spellStart"/>
      <w:r w:rsidR="00077BCC" w:rsidRPr="00F85A58">
        <w:rPr>
          <w:rFonts w:cs="Arial"/>
          <w:lang w:val="fr-FR"/>
        </w:rPr>
        <w:t>proprietary</w:t>
      </w:r>
      <w:proofErr w:type="spellEnd"/>
      <w:r w:rsidR="00077BCC" w:rsidRPr="00F85A58">
        <w:rPr>
          <w:rFonts w:cs="Arial"/>
          <w:lang w:val="fr-FR"/>
        </w:rPr>
        <w:t xml:space="preserve"> </w:t>
      </w:r>
      <w:proofErr w:type="spellStart"/>
      <w:r w:rsidR="00077BCC" w:rsidRPr="00F85A58">
        <w:rPr>
          <w:rFonts w:cs="Arial"/>
          <w:lang w:val="fr-FR"/>
        </w:rPr>
        <w:t>text</w:t>
      </w:r>
      <w:proofErr w:type="spellEnd"/>
      <w:r w:rsidR="00077BCC" w:rsidRPr="00F85A58">
        <w:rPr>
          <w:rFonts w:cs="Arial"/>
          <w:lang w:val="fr-FR"/>
        </w:rPr>
        <w:t xml:space="preserve">, </w:t>
      </w:r>
      <w:proofErr w:type="spellStart"/>
      <w:r w:rsidR="00077BCC" w:rsidRPr="00F85A58">
        <w:rPr>
          <w:rFonts w:cs="Arial"/>
          <w:lang w:val="fr-FR"/>
        </w:rPr>
        <w:t>photographs</w:t>
      </w:r>
      <w:proofErr w:type="spellEnd"/>
      <w:r w:rsidR="00077BCC" w:rsidRPr="00F85A58">
        <w:rPr>
          <w:rFonts w:cs="Arial"/>
          <w:lang w:val="fr-FR"/>
        </w:rPr>
        <w:t xml:space="preserve"> and illustrations in UPOV documents”,</w:t>
      </w:r>
      <w:r w:rsidRPr="00F85A58">
        <w:rPr>
          <w:rFonts w:cs="Arial"/>
          <w:lang w:val="fr-FR"/>
        </w:rPr>
        <w:t xml:space="preserve"> </w:t>
      </w:r>
      <w:r w:rsidR="00AB43A1" w:rsidRPr="00F85A58">
        <w:rPr>
          <w:rFonts w:cs="Arial"/>
          <w:lang w:val="fr-FR"/>
        </w:rPr>
        <w:t>et se rapportant aux textes, photographies ou illustrations qui pourraient être soumis aux droits de tiers</w:t>
      </w:r>
      <w:r w:rsidRPr="00F85A58">
        <w:rPr>
          <w:rFonts w:cs="Arial"/>
          <w:lang w:val="fr-FR"/>
        </w:rPr>
        <w:t xml:space="preserve">, </w:t>
      </w:r>
      <w:r w:rsidR="00AB43A1" w:rsidRPr="00F85A58">
        <w:rPr>
          <w:rFonts w:cs="Arial"/>
          <w:lang w:val="fr-FR"/>
        </w:rPr>
        <w:t>aux fins d</w:t>
      </w:r>
      <w:r w:rsidR="005752E4" w:rsidRPr="00F85A58">
        <w:rPr>
          <w:rFonts w:cs="Arial"/>
          <w:lang w:val="fr-FR"/>
        </w:rPr>
        <w:t>’</w:t>
      </w:r>
      <w:r w:rsidR="00AB43A1" w:rsidRPr="00F85A58">
        <w:rPr>
          <w:rFonts w:cs="Arial"/>
          <w:lang w:val="fr-FR"/>
        </w:rPr>
        <w:t xml:space="preserve">inclusion dans une future version révisée du </w:t>
      </w:r>
      <w:r w:rsidRPr="00F85A58">
        <w:rPr>
          <w:rFonts w:cs="Arial"/>
          <w:lang w:val="fr-FR"/>
        </w:rPr>
        <w:t xml:space="preserve">document TGP/7. </w:t>
      </w:r>
      <w:r w:rsidR="005752E4" w:rsidRPr="00F85A58">
        <w:rPr>
          <w:rFonts w:cs="Arial"/>
          <w:lang w:val="fr-FR"/>
        </w:rPr>
        <w:t xml:space="preserve"> Le TWA</w:t>
      </w:r>
      <w:r w:rsidRPr="00F85A58">
        <w:rPr>
          <w:rFonts w:cs="Arial"/>
          <w:lang w:val="fr-FR"/>
        </w:rPr>
        <w:t xml:space="preserve"> </w:t>
      </w:r>
      <w:r w:rsidR="003E5A44" w:rsidRPr="00F85A58">
        <w:rPr>
          <w:rFonts w:cs="Arial"/>
          <w:lang w:val="fr-FR"/>
        </w:rPr>
        <w:t xml:space="preserve">est également convenu que des références devraient figurer au chapitre 9 </w:t>
      </w:r>
      <w:r w:rsidRPr="00F85A58">
        <w:rPr>
          <w:rFonts w:cs="Arial"/>
          <w:lang w:val="fr-FR"/>
        </w:rPr>
        <w:t>“</w:t>
      </w:r>
      <w:r w:rsidR="003E5A44" w:rsidRPr="00F85A58">
        <w:rPr>
          <w:rFonts w:cs="Arial"/>
          <w:lang w:val="fr-FR"/>
        </w:rPr>
        <w:t>Bibliographie</w:t>
      </w:r>
      <w:r w:rsidRPr="00F85A58">
        <w:rPr>
          <w:rFonts w:cs="Arial"/>
          <w:lang w:val="fr-FR"/>
        </w:rPr>
        <w:t xml:space="preserve">” </w:t>
      </w:r>
      <w:r w:rsidR="003E5A44" w:rsidRPr="00F85A58">
        <w:rPr>
          <w:rFonts w:cs="Arial"/>
          <w:lang w:val="fr-FR"/>
        </w:rPr>
        <w:t>des principes directeurs d</w:t>
      </w:r>
      <w:r w:rsidR="005752E4" w:rsidRPr="00F85A58">
        <w:rPr>
          <w:rFonts w:cs="Arial"/>
          <w:lang w:val="fr-FR"/>
        </w:rPr>
        <w:t>’</w:t>
      </w:r>
      <w:r w:rsidR="003E5A44" w:rsidRPr="00F85A58">
        <w:rPr>
          <w:rFonts w:cs="Arial"/>
          <w:lang w:val="fr-FR"/>
        </w:rPr>
        <w:t xml:space="preserve">examen pour tous les textes, photographies et illustrations soumis aux droits de tiers </w:t>
      </w:r>
      <w:r w:rsidR="008917BF" w:rsidRPr="00F85A58">
        <w:rPr>
          <w:rFonts w:cs="Arial"/>
          <w:lang w:val="fr-FR"/>
        </w:rPr>
        <w:t>et pour lesquels une autorisation avait été obten</w:t>
      </w:r>
      <w:r w:rsidR="00F85A58" w:rsidRPr="00F85A58">
        <w:rPr>
          <w:rFonts w:cs="Arial"/>
          <w:lang w:val="fr-FR"/>
        </w:rPr>
        <w:t>ue.  Le</w:t>
      </w:r>
      <w:r w:rsidR="005752E4" w:rsidRPr="00F85A58">
        <w:rPr>
          <w:rFonts w:cs="Arial"/>
          <w:lang w:val="fr-FR"/>
        </w:rPr>
        <w:t> TWA</w:t>
      </w:r>
      <w:r w:rsidRPr="00F85A58">
        <w:rPr>
          <w:rFonts w:cs="Arial"/>
          <w:lang w:val="fr-FR"/>
        </w:rPr>
        <w:t xml:space="preserve"> </w:t>
      </w:r>
      <w:r w:rsidR="008917BF" w:rsidRPr="00F85A58">
        <w:rPr>
          <w:rFonts w:cs="Arial"/>
          <w:lang w:val="fr-FR"/>
        </w:rPr>
        <w:t xml:space="preserve">est </w:t>
      </w:r>
      <w:proofErr w:type="gramStart"/>
      <w:r w:rsidR="008917BF" w:rsidRPr="00F85A58">
        <w:rPr>
          <w:rFonts w:cs="Arial"/>
          <w:lang w:val="fr-FR"/>
        </w:rPr>
        <w:t>convenu</w:t>
      </w:r>
      <w:proofErr w:type="gramEnd"/>
      <w:r w:rsidR="008917BF" w:rsidRPr="00F85A58">
        <w:rPr>
          <w:rFonts w:cs="Arial"/>
          <w:lang w:val="fr-FR"/>
        </w:rPr>
        <w:t xml:space="preserve"> que le tiers qui accorde l</w:t>
      </w:r>
      <w:r w:rsidR="005752E4" w:rsidRPr="00F85A58">
        <w:rPr>
          <w:rFonts w:cs="Arial"/>
          <w:lang w:val="fr-FR"/>
        </w:rPr>
        <w:t>’</w:t>
      </w:r>
      <w:r w:rsidR="008917BF" w:rsidRPr="00F85A58">
        <w:rPr>
          <w:rFonts w:cs="Arial"/>
          <w:lang w:val="fr-FR"/>
        </w:rPr>
        <w:t>autorisation devrait être informé de l</w:t>
      </w:r>
      <w:r w:rsidR="005752E4" w:rsidRPr="00F85A58">
        <w:rPr>
          <w:rFonts w:cs="Arial"/>
          <w:lang w:val="fr-FR"/>
        </w:rPr>
        <w:t>’</w:t>
      </w:r>
      <w:r w:rsidR="008917BF" w:rsidRPr="00F85A58">
        <w:rPr>
          <w:rFonts w:cs="Arial"/>
          <w:lang w:val="fr-FR"/>
        </w:rPr>
        <w:t>étendue de l</w:t>
      </w:r>
      <w:r w:rsidR="005752E4" w:rsidRPr="00F85A58">
        <w:rPr>
          <w:rFonts w:cs="Arial"/>
          <w:lang w:val="fr-FR"/>
        </w:rPr>
        <w:t>’</w:t>
      </w:r>
      <w:r w:rsidR="008917BF" w:rsidRPr="00F85A58">
        <w:rPr>
          <w:rFonts w:cs="Arial"/>
          <w:lang w:val="fr-FR"/>
        </w:rPr>
        <w:t xml:space="preserve">usage </w:t>
      </w:r>
      <w:r w:rsidR="007B45FA" w:rsidRPr="00F85A58">
        <w:rPr>
          <w:rFonts w:cs="Arial"/>
          <w:lang w:val="fr-FR"/>
        </w:rPr>
        <w:t>des documents de l</w:t>
      </w:r>
      <w:r w:rsidR="005752E4" w:rsidRPr="00F85A58">
        <w:rPr>
          <w:rFonts w:cs="Arial"/>
          <w:lang w:val="fr-FR"/>
        </w:rPr>
        <w:t>’</w:t>
      </w:r>
      <w:r w:rsidR="007B45FA" w:rsidRPr="00F85A58">
        <w:rPr>
          <w:rFonts w:cs="Arial"/>
          <w:lang w:val="fr-FR"/>
        </w:rPr>
        <w:t>UPOV par ses membres</w:t>
      </w:r>
      <w:r w:rsidRPr="00F85A58">
        <w:rPr>
          <w:rFonts w:cs="Arial"/>
          <w:lang w:val="fr-FR"/>
        </w:rPr>
        <w:t>.</w:t>
      </w:r>
    </w:p>
    <w:p w:rsidR="00BA14DE" w:rsidRPr="00F85A58" w:rsidRDefault="00BA14DE" w:rsidP="003570DF">
      <w:pPr>
        <w:rPr>
          <w:rFonts w:cs="Arial"/>
          <w:lang w:val="fr-FR"/>
        </w:rPr>
      </w:pPr>
    </w:p>
    <w:p w:rsidR="00BA14DE"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A10BCA" w:rsidRPr="00F85A58">
        <w:rPr>
          <w:rFonts w:cs="Arial"/>
          <w:lang w:val="fr-FR"/>
        </w:rPr>
        <w:t xml:space="preserve">Le </w:t>
      </w:r>
      <w:r w:rsidRPr="00F85A58">
        <w:rPr>
          <w:rFonts w:cs="Arial"/>
          <w:lang w:val="fr-FR"/>
        </w:rPr>
        <w:t xml:space="preserve">TWA </w:t>
      </w:r>
      <w:r w:rsidR="00A10BCA" w:rsidRPr="00F85A58">
        <w:rPr>
          <w:rFonts w:cs="Arial"/>
          <w:lang w:val="fr-FR"/>
        </w:rPr>
        <w:t xml:space="preserve">a approuvé la proposition de révision du </w:t>
      </w:r>
      <w:r w:rsidR="005752E4" w:rsidRPr="00F85A58">
        <w:rPr>
          <w:rFonts w:cs="Arial"/>
          <w:lang w:val="fr-FR"/>
        </w:rPr>
        <w:t>document TG</w:t>
      </w:r>
      <w:r w:rsidRPr="00F85A58">
        <w:rPr>
          <w:rFonts w:cs="Arial"/>
          <w:lang w:val="fr-FR"/>
        </w:rPr>
        <w:t xml:space="preserve">P/7 </w:t>
      </w:r>
      <w:r w:rsidR="00A10BCA" w:rsidRPr="00F85A58">
        <w:rPr>
          <w:rFonts w:cs="Arial"/>
          <w:lang w:val="fr-FR"/>
        </w:rPr>
        <w:t xml:space="preserve">afin de tenir compte </w:t>
      </w:r>
      <w:r w:rsidR="00347EE3" w:rsidRPr="00F85A58">
        <w:rPr>
          <w:rFonts w:cs="Arial"/>
          <w:lang w:val="fr-FR"/>
        </w:rPr>
        <w:t>de l</w:t>
      </w:r>
      <w:r w:rsidR="005752E4" w:rsidRPr="00F85A58">
        <w:rPr>
          <w:rFonts w:cs="Arial"/>
          <w:lang w:val="fr-FR"/>
        </w:rPr>
        <w:t>’</w:t>
      </w:r>
      <w:r w:rsidR="00347EE3" w:rsidRPr="00F85A58">
        <w:rPr>
          <w:rFonts w:cs="Arial"/>
          <w:lang w:val="fr-FR"/>
        </w:rPr>
        <w:t>introduction du modèle des principes directeurs d</w:t>
      </w:r>
      <w:r w:rsidR="005752E4" w:rsidRPr="00F85A58">
        <w:rPr>
          <w:rFonts w:cs="Arial"/>
          <w:lang w:val="fr-FR"/>
        </w:rPr>
        <w:t>’</w:t>
      </w:r>
      <w:r w:rsidR="00347EE3" w:rsidRPr="00F85A58">
        <w:rPr>
          <w:rFonts w:cs="Arial"/>
          <w:lang w:val="fr-FR"/>
        </w:rPr>
        <w:t>examen fondé sur le Web après la mise au point définitive de la version 1</w:t>
      </w:r>
      <w:r w:rsidRPr="00F85A58">
        <w:rPr>
          <w:rFonts w:cs="Arial"/>
          <w:lang w:val="fr-FR"/>
        </w:rPr>
        <w:t xml:space="preserve">. </w:t>
      </w:r>
      <w:r w:rsidR="005752E4" w:rsidRPr="00F85A58">
        <w:rPr>
          <w:rFonts w:cs="Arial"/>
          <w:lang w:val="fr-FR"/>
        </w:rPr>
        <w:t xml:space="preserve"> Le TWA</w:t>
      </w:r>
      <w:r w:rsidRPr="00F85A58">
        <w:rPr>
          <w:rFonts w:cs="Arial"/>
          <w:lang w:val="fr-FR"/>
        </w:rPr>
        <w:t xml:space="preserve"> </w:t>
      </w:r>
      <w:r w:rsidR="008E62C7" w:rsidRPr="00F85A58">
        <w:rPr>
          <w:rFonts w:cs="Arial"/>
          <w:lang w:val="fr-FR"/>
        </w:rPr>
        <w:t xml:space="preserve">a accepté la proposition visant à normaliser le format du tableau des caractères dans tous les principes directeurs </w:t>
      </w:r>
      <w:r w:rsidR="00EF1A18" w:rsidRPr="00F85A58">
        <w:rPr>
          <w:rFonts w:cs="Arial"/>
          <w:lang w:val="fr-FR"/>
        </w:rPr>
        <w:t>au moyen d</w:t>
      </w:r>
      <w:r w:rsidR="005752E4" w:rsidRPr="00F85A58">
        <w:rPr>
          <w:rFonts w:cs="Arial"/>
          <w:lang w:val="fr-FR"/>
        </w:rPr>
        <w:t>’</w:t>
      </w:r>
      <w:r w:rsidR="00EF1A18" w:rsidRPr="00F85A58">
        <w:rPr>
          <w:rFonts w:cs="Arial"/>
          <w:lang w:val="fr-FR"/>
        </w:rPr>
        <w:t xml:space="preserve">une structure figurant dans le </w:t>
      </w:r>
      <w:r w:rsidR="005752E4" w:rsidRPr="00F85A58">
        <w:rPr>
          <w:rFonts w:cs="Arial"/>
          <w:lang w:val="fr-FR"/>
        </w:rPr>
        <w:t>document TW</w:t>
      </w:r>
      <w:r w:rsidRPr="00F85A58">
        <w:rPr>
          <w:rFonts w:cs="Arial"/>
          <w:lang w:val="fr-FR"/>
        </w:rPr>
        <w:t>A/44/12</w:t>
      </w:r>
      <w:r w:rsidR="00077BCC" w:rsidRPr="00F85A58">
        <w:rPr>
          <w:rFonts w:cs="Arial"/>
          <w:lang w:val="fr-FR"/>
        </w:rPr>
        <w:t xml:space="preserve"> “</w:t>
      </w:r>
      <w:proofErr w:type="spellStart"/>
      <w:r w:rsidR="00077BCC" w:rsidRPr="00F85A58">
        <w:rPr>
          <w:rFonts w:cs="Arial"/>
          <w:lang w:val="fr-FR"/>
        </w:rPr>
        <w:t>Revision</w:t>
      </w:r>
      <w:proofErr w:type="spellEnd"/>
      <w:r w:rsidR="00077BCC" w:rsidRPr="00F85A58">
        <w:rPr>
          <w:rFonts w:cs="Arial"/>
          <w:lang w:val="fr-FR"/>
        </w:rPr>
        <w:t xml:space="preserve"> of document TGP/7</w:t>
      </w:r>
      <w:r w:rsidR="00342006" w:rsidRPr="00F85A58">
        <w:rPr>
          <w:rFonts w:cs="Arial"/>
          <w:lang w:val="fr-FR"/>
        </w:rPr>
        <w:t> </w:t>
      </w:r>
      <w:r w:rsidR="00077BCC" w:rsidRPr="00F85A58">
        <w:rPr>
          <w:rFonts w:cs="Arial"/>
          <w:lang w:val="fr-FR"/>
        </w:rPr>
        <w:t xml:space="preserve">: </w:t>
      </w:r>
      <w:proofErr w:type="spellStart"/>
      <w:r w:rsidR="00077BCC" w:rsidRPr="00F85A58">
        <w:rPr>
          <w:rFonts w:cs="Arial"/>
          <w:lang w:val="fr-FR"/>
        </w:rPr>
        <w:t>drafter</w:t>
      </w:r>
      <w:r w:rsidR="005752E4" w:rsidRPr="00F85A58">
        <w:rPr>
          <w:rFonts w:cs="Arial"/>
          <w:lang w:val="fr-FR"/>
        </w:rPr>
        <w:t>’</w:t>
      </w:r>
      <w:r w:rsidR="00077BCC" w:rsidRPr="00F85A58">
        <w:rPr>
          <w:rFonts w:cs="Arial"/>
          <w:lang w:val="fr-FR"/>
        </w:rPr>
        <w:t>s</w:t>
      </w:r>
      <w:proofErr w:type="spellEnd"/>
      <w:r w:rsidR="00077BCC" w:rsidRPr="00F85A58">
        <w:rPr>
          <w:rFonts w:cs="Arial"/>
          <w:lang w:val="fr-FR"/>
        </w:rPr>
        <w:t xml:space="preserve"> kit for test guidelines”</w:t>
      </w:r>
      <w:r w:rsidRPr="00F85A58">
        <w:rPr>
          <w:rFonts w:cs="Arial"/>
          <w:lang w:val="fr-FR"/>
        </w:rPr>
        <w:t>.</w:t>
      </w:r>
    </w:p>
    <w:p w:rsidR="00BA14DE" w:rsidRPr="00F85A58" w:rsidRDefault="00BA14DE" w:rsidP="003570DF">
      <w:pPr>
        <w:rPr>
          <w:rFonts w:cs="Arial"/>
          <w:lang w:val="fr-FR"/>
        </w:rPr>
      </w:pPr>
    </w:p>
    <w:p w:rsidR="00BA14DE"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0471DF" w:rsidRPr="00F85A58">
        <w:rPr>
          <w:rFonts w:cs="Arial"/>
          <w:lang w:val="fr-FR"/>
        </w:rPr>
        <w:t>S</w:t>
      </w:r>
      <w:r w:rsidR="005752E4" w:rsidRPr="00F85A58">
        <w:rPr>
          <w:rFonts w:cs="Arial"/>
          <w:lang w:val="fr-FR"/>
        </w:rPr>
        <w:t>’</w:t>
      </w:r>
      <w:r w:rsidR="000471DF" w:rsidRPr="00F85A58">
        <w:rPr>
          <w:rFonts w:cs="Arial"/>
          <w:lang w:val="fr-FR"/>
        </w:rPr>
        <w:t xml:space="preserve">agissant du document TWA/44/14 </w:t>
      </w:r>
      <w:r w:rsidR="00BD182E" w:rsidRPr="00F85A58">
        <w:rPr>
          <w:rFonts w:cs="Arial"/>
          <w:lang w:val="fr-FR"/>
        </w:rPr>
        <w:t>“</w:t>
      </w:r>
      <w:r w:rsidR="00A416B9" w:rsidRPr="00F85A58">
        <w:rPr>
          <w:rFonts w:cs="Arial"/>
          <w:lang w:val="fr-FR"/>
        </w:rPr>
        <w:t>Séries régionales de variétés indiquées à titre d</w:t>
      </w:r>
      <w:r w:rsidR="005752E4" w:rsidRPr="00F85A58">
        <w:rPr>
          <w:rFonts w:cs="Arial"/>
          <w:lang w:val="fr-FR"/>
        </w:rPr>
        <w:t>’</w:t>
      </w:r>
      <w:r w:rsidR="00A416B9" w:rsidRPr="00F85A58">
        <w:rPr>
          <w:rFonts w:cs="Arial"/>
          <w:lang w:val="fr-FR"/>
        </w:rPr>
        <w:t>exemple</w:t>
      </w:r>
      <w:r w:rsidR="00BD182E" w:rsidRPr="00F85A58">
        <w:rPr>
          <w:rFonts w:cs="Arial"/>
          <w:lang w:val="fr-FR"/>
        </w:rPr>
        <w:t>”</w:t>
      </w:r>
      <w:r w:rsidR="000471DF" w:rsidRPr="00F85A58">
        <w:rPr>
          <w:rFonts w:cs="Arial"/>
          <w:lang w:val="fr-FR"/>
        </w:rPr>
        <w:t>,</w:t>
      </w:r>
      <w:r w:rsidR="005752E4" w:rsidRPr="00F85A58">
        <w:rPr>
          <w:rFonts w:cs="Arial"/>
          <w:lang w:val="fr-FR"/>
        </w:rPr>
        <w:t xml:space="preserve"> le TWA</w:t>
      </w:r>
      <w:r w:rsidRPr="00F85A58">
        <w:rPr>
          <w:rFonts w:cs="Arial"/>
          <w:lang w:val="fr-FR"/>
        </w:rPr>
        <w:t xml:space="preserve"> </w:t>
      </w:r>
      <w:r w:rsidR="000471DF" w:rsidRPr="00F85A58">
        <w:rPr>
          <w:rFonts w:cs="Arial"/>
          <w:lang w:val="fr-FR"/>
        </w:rPr>
        <w:t>est convenu avec</w:t>
      </w:r>
      <w:r w:rsidR="005752E4" w:rsidRPr="00F85A58">
        <w:rPr>
          <w:rFonts w:cs="Arial"/>
          <w:lang w:val="fr-FR"/>
        </w:rPr>
        <w:t xml:space="preserve"> le TWV</w:t>
      </w:r>
      <w:r w:rsidRPr="00F85A58">
        <w:rPr>
          <w:rFonts w:cs="Arial"/>
          <w:lang w:val="fr-FR"/>
        </w:rPr>
        <w:t xml:space="preserve"> </w:t>
      </w:r>
      <w:r w:rsidR="000471DF" w:rsidRPr="00F85A58">
        <w:rPr>
          <w:rFonts w:cs="Arial"/>
          <w:lang w:val="fr-FR"/>
        </w:rPr>
        <w:t>que</w:t>
      </w:r>
      <w:r w:rsidRPr="00F85A58">
        <w:rPr>
          <w:rFonts w:cs="Arial"/>
          <w:lang w:val="fr-FR"/>
        </w:rPr>
        <w:t xml:space="preserve">, </w:t>
      </w:r>
      <w:r w:rsidR="000471DF" w:rsidRPr="00F85A58">
        <w:rPr>
          <w:rFonts w:cs="Arial"/>
          <w:lang w:val="fr-FR"/>
        </w:rPr>
        <w:t>pour ce qui est des séries régionales de variétés indiquées à titre d</w:t>
      </w:r>
      <w:r w:rsidR="005752E4" w:rsidRPr="00F85A58">
        <w:rPr>
          <w:rFonts w:cs="Arial"/>
          <w:lang w:val="fr-FR"/>
        </w:rPr>
        <w:t>’</w:t>
      </w:r>
      <w:r w:rsidR="000471DF" w:rsidRPr="00F85A58">
        <w:rPr>
          <w:rFonts w:cs="Arial"/>
          <w:lang w:val="fr-FR"/>
        </w:rPr>
        <w:t xml:space="preserve">exemple, </w:t>
      </w:r>
      <w:r w:rsidR="004F0EB4" w:rsidRPr="00F85A58">
        <w:rPr>
          <w:rFonts w:cs="Arial"/>
          <w:lang w:val="fr-FR"/>
        </w:rPr>
        <w:t xml:space="preserve">la notion de </w:t>
      </w:r>
      <w:r w:rsidR="000471DF" w:rsidRPr="00F85A58">
        <w:rPr>
          <w:rFonts w:cs="Arial"/>
          <w:lang w:val="fr-FR"/>
        </w:rPr>
        <w:t xml:space="preserve">“région” devrait être définie en fonction des conditions environnementales plutôt que des </w:t>
      </w:r>
      <w:r w:rsidR="004F0EB4" w:rsidRPr="00F85A58">
        <w:rPr>
          <w:rFonts w:cs="Arial"/>
          <w:lang w:val="fr-FR"/>
        </w:rPr>
        <w:t>frontières national</w:t>
      </w:r>
      <w:r w:rsidR="00F85A58" w:rsidRPr="00F85A58">
        <w:rPr>
          <w:rFonts w:cs="Arial"/>
          <w:lang w:val="fr-FR"/>
        </w:rPr>
        <w:t xml:space="preserve">es.  </w:t>
      </w:r>
      <w:r w:rsidR="00F85A58" w:rsidRPr="00F85A58">
        <w:rPr>
          <w:rFonts w:cs="Arial"/>
          <w:snapToGrid w:val="0"/>
          <w:lang w:val="fr-FR"/>
        </w:rPr>
        <w:t>Le</w:t>
      </w:r>
      <w:r w:rsidR="005752E4" w:rsidRPr="00F85A58">
        <w:rPr>
          <w:rFonts w:cs="Arial"/>
          <w:snapToGrid w:val="0"/>
          <w:lang w:val="fr-FR"/>
        </w:rPr>
        <w:t> </w:t>
      </w:r>
      <w:r w:rsidR="005752E4" w:rsidRPr="00F85A58">
        <w:rPr>
          <w:rFonts w:cs="Arial"/>
          <w:lang w:val="fr-FR"/>
        </w:rPr>
        <w:t>TWA</w:t>
      </w:r>
      <w:r w:rsidRPr="00F85A58">
        <w:rPr>
          <w:rFonts w:cs="Arial"/>
          <w:lang w:val="fr-FR"/>
        </w:rPr>
        <w:t xml:space="preserve"> </w:t>
      </w:r>
      <w:r w:rsidR="004F0EB4" w:rsidRPr="00F85A58">
        <w:rPr>
          <w:rFonts w:cs="Arial"/>
          <w:lang w:val="fr-FR"/>
        </w:rPr>
        <w:t xml:space="preserve">est </w:t>
      </w:r>
      <w:proofErr w:type="gramStart"/>
      <w:r w:rsidR="004F0EB4" w:rsidRPr="00F85A58">
        <w:rPr>
          <w:rFonts w:cs="Arial"/>
          <w:lang w:val="fr-FR"/>
        </w:rPr>
        <w:t>convenu</w:t>
      </w:r>
      <w:proofErr w:type="gramEnd"/>
      <w:r w:rsidR="004F0EB4" w:rsidRPr="00F85A58">
        <w:rPr>
          <w:rFonts w:cs="Arial"/>
          <w:lang w:val="fr-FR"/>
        </w:rPr>
        <w:t xml:space="preserve"> d</w:t>
      </w:r>
      <w:r w:rsidR="005752E4" w:rsidRPr="00F85A58">
        <w:rPr>
          <w:rFonts w:cs="Arial"/>
          <w:lang w:val="fr-FR"/>
        </w:rPr>
        <w:t>’</w:t>
      </w:r>
      <w:r w:rsidR="004F0EB4" w:rsidRPr="00F85A58">
        <w:rPr>
          <w:rFonts w:cs="Arial"/>
          <w:lang w:val="fr-FR"/>
        </w:rPr>
        <w:t>inclure dans le document TGP/7 des indications selon lesquelles</w:t>
      </w:r>
      <w:r w:rsidR="005752E4" w:rsidRPr="00F85A58">
        <w:rPr>
          <w:rFonts w:cs="Arial"/>
          <w:lang w:val="fr-FR"/>
        </w:rPr>
        <w:t xml:space="preserve"> le TWP</w:t>
      </w:r>
      <w:r w:rsidRPr="00F85A58">
        <w:rPr>
          <w:rFonts w:cs="Arial"/>
          <w:lang w:val="fr-FR"/>
        </w:rPr>
        <w:t xml:space="preserve"> </w:t>
      </w:r>
      <w:r w:rsidR="004F0EB4" w:rsidRPr="00F85A58">
        <w:rPr>
          <w:rFonts w:cs="Arial"/>
          <w:lang w:val="fr-FR"/>
        </w:rPr>
        <w:t xml:space="preserve">devrait déterminer la base sur laquelle une région pourra </w:t>
      </w:r>
      <w:r w:rsidR="009B5F53" w:rsidRPr="00F85A58">
        <w:rPr>
          <w:rFonts w:cs="Arial"/>
          <w:lang w:val="fr-FR"/>
        </w:rPr>
        <w:t>élaborer une série régionale de variétés indiquées à titre d</w:t>
      </w:r>
      <w:r w:rsidR="005752E4" w:rsidRPr="00F85A58">
        <w:rPr>
          <w:rFonts w:cs="Arial"/>
          <w:lang w:val="fr-FR"/>
        </w:rPr>
        <w:t>’</w:t>
      </w:r>
      <w:r w:rsidR="009B5F53" w:rsidRPr="00F85A58">
        <w:rPr>
          <w:rFonts w:cs="Arial"/>
          <w:lang w:val="fr-FR"/>
        </w:rPr>
        <w:t xml:space="preserve">exemple </w:t>
      </w:r>
      <w:r w:rsidRPr="00F85A58">
        <w:rPr>
          <w:rFonts w:cs="Arial"/>
          <w:lang w:val="fr-FR"/>
        </w:rPr>
        <w:t>(</w:t>
      </w:r>
      <w:r w:rsidR="009B5F53" w:rsidRPr="00F85A58">
        <w:rPr>
          <w:rFonts w:cs="Arial"/>
          <w:lang w:val="fr-FR"/>
        </w:rPr>
        <w:t>au moyen, par exemple, d</w:t>
      </w:r>
      <w:r w:rsidR="005752E4" w:rsidRPr="00F85A58">
        <w:rPr>
          <w:rFonts w:cs="Arial"/>
          <w:lang w:val="fr-FR"/>
        </w:rPr>
        <w:t>’</w:t>
      </w:r>
      <w:r w:rsidR="009B5F53" w:rsidRPr="00F85A58">
        <w:rPr>
          <w:rFonts w:cs="Arial"/>
          <w:lang w:val="fr-FR"/>
        </w:rPr>
        <w:t>un échange d</w:t>
      </w:r>
      <w:r w:rsidR="005752E4" w:rsidRPr="00F85A58">
        <w:rPr>
          <w:rFonts w:cs="Arial"/>
          <w:lang w:val="fr-FR"/>
        </w:rPr>
        <w:t>’</w:t>
      </w:r>
      <w:r w:rsidR="009B5F53" w:rsidRPr="00F85A58">
        <w:rPr>
          <w:rFonts w:cs="Arial"/>
          <w:lang w:val="fr-FR"/>
        </w:rPr>
        <w:t>informations ou d</w:t>
      </w:r>
      <w:r w:rsidR="005752E4" w:rsidRPr="00F85A58">
        <w:rPr>
          <w:rFonts w:cs="Arial"/>
          <w:lang w:val="fr-FR"/>
        </w:rPr>
        <w:t>’</w:t>
      </w:r>
      <w:r w:rsidR="009B5F53" w:rsidRPr="00F85A58">
        <w:rPr>
          <w:rFonts w:cs="Arial"/>
          <w:lang w:val="fr-FR"/>
        </w:rPr>
        <w:t>un test d</w:t>
      </w:r>
      <w:r w:rsidR="005752E4" w:rsidRPr="00F85A58">
        <w:rPr>
          <w:rFonts w:cs="Arial"/>
          <w:lang w:val="fr-FR"/>
        </w:rPr>
        <w:t>’</w:t>
      </w:r>
      <w:r w:rsidR="009B5F53" w:rsidRPr="00F85A58">
        <w:rPr>
          <w:rFonts w:cs="Arial"/>
          <w:lang w:val="fr-FR"/>
        </w:rPr>
        <w:t>étalonnage</w:t>
      </w:r>
      <w:r w:rsidRPr="00F85A58">
        <w:rPr>
          <w:rFonts w:cs="Arial"/>
          <w:lang w:val="fr-FR"/>
        </w:rPr>
        <w:t>).</w:t>
      </w:r>
    </w:p>
    <w:p w:rsidR="00BA14DE" w:rsidRPr="00F85A58" w:rsidRDefault="00BA14DE" w:rsidP="003570DF">
      <w:pPr>
        <w:rPr>
          <w:rFonts w:cs="Arial"/>
          <w:lang w:val="fr-FR"/>
        </w:rPr>
      </w:pPr>
    </w:p>
    <w:p w:rsidR="00BA14DE"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2E561B" w:rsidRPr="00F85A58">
        <w:rPr>
          <w:rFonts w:cs="Arial"/>
          <w:lang w:val="fr-FR"/>
        </w:rPr>
        <w:t xml:space="preserve">Le </w:t>
      </w:r>
      <w:r w:rsidRPr="00F85A58">
        <w:rPr>
          <w:rFonts w:cs="Arial"/>
          <w:lang w:val="fr-FR"/>
        </w:rPr>
        <w:t xml:space="preserve">TWA </w:t>
      </w:r>
      <w:r w:rsidR="002E561B" w:rsidRPr="00F85A58">
        <w:rPr>
          <w:rFonts w:cs="Arial"/>
          <w:lang w:val="fr-FR"/>
        </w:rPr>
        <w:t xml:space="preserve">a examiné le </w:t>
      </w:r>
      <w:r w:rsidRPr="00F85A58">
        <w:rPr>
          <w:rFonts w:cs="Arial"/>
          <w:lang w:val="fr-FR"/>
        </w:rPr>
        <w:t>document TWA/44/15</w:t>
      </w:r>
      <w:r w:rsidR="00077BCC" w:rsidRPr="00F85A58">
        <w:rPr>
          <w:rFonts w:cs="Arial"/>
          <w:lang w:val="fr-FR"/>
        </w:rPr>
        <w:t xml:space="preserve"> “</w:t>
      </w:r>
      <w:r w:rsidR="003152AE" w:rsidRPr="00F85A58">
        <w:rPr>
          <w:rFonts w:cs="Arial"/>
          <w:lang w:val="fr-FR"/>
        </w:rPr>
        <w:t>Révision du document TGP/8</w:t>
      </w:r>
      <w:r w:rsidR="00342006" w:rsidRPr="00F85A58">
        <w:rPr>
          <w:rFonts w:cs="Arial"/>
          <w:lang w:val="fr-FR"/>
        </w:rPr>
        <w:t> </w:t>
      </w:r>
      <w:r w:rsidR="003152AE" w:rsidRPr="00F85A58">
        <w:rPr>
          <w:rFonts w:cs="Arial"/>
          <w:lang w:val="fr-FR"/>
        </w:rPr>
        <w:t>: première partie</w:t>
      </w:r>
      <w:r w:rsidR="00342006" w:rsidRPr="00F85A58">
        <w:rPr>
          <w:rFonts w:cs="Arial"/>
          <w:lang w:val="fr-FR"/>
        </w:rPr>
        <w:t> </w:t>
      </w:r>
      <w:r w:rsidR="003152AE" w:rsidRPr="00F85A58">
        <w:rPr>
          <w:rFonts w:cs="Arial"/>
          <w:lang w:val="fr-FR"/>
        </w:rPr>
        <w:t>: Protocole d</w:t>
      </w:r>
      <w:r w:rsidR="005752E4" w:rsidRPr="00F85A58">
        <w:rPr>
          <w:rFonts w:cs="Arial"/>
          <w:lang w:val="fr-FR"/>
        </w:rPr>
        <w:t>’</w:t>
      </w:r>
      <w:r w:rsidR="003152AE" w:rsidRPr="00F85A58">
        <w:rPr>
          <w:rFonts w:cs="Arial"/>
          <w:lang w:val="fr-FR"/>
        </w:rPr>
        <w:t>essai DHS et analyse des données, nouvelle section</w:t>
      </w:r>
      <w:r w:rsidR="00342006" w:rsidRPr="00F85A58">
        <w:rPr>
          <w:rFonts w:cs="Arial"/>
          <w:lang w:val="fr-FR"/>
        </w:rPr>
        <w:t> </w:t>
      </w:r>
      <w:r w:rsidR="003152AE" w:rsidRPr="00F85A58">
        <w:rPr>
          <w:rFonts w:cs="Arial"/>
          <w:lang w:val="fr-FR"/>
        </w:rPr>
        <w:t>: Réduction de la variation due à différents observateurs</w:t>
      </w:r>
      <w:r w:rsidR="00077BCC" w:rsidRPr="00F85A58">
        <w:rPr>
          <w:rFonts w:cs="Arial"/>
          <w:lang w:val="fr-FR"/>
        </w:rPr>
        <w:t>”</w:t>
      </w:r>
      <w:r w:rsidRPr="00F85A58">
        <w:rPr>
          <w:rFonts w:cs="Arial"/>
          <w:lang w:val="fr-FR"/>
        </w:rPr>
        <w:t xml:space="preserve"> </w:t>
      </w:r>
      <w:r w:rsidR="00EE52A8" w:rsidRPr="00F85A58">
        <w:rPr>
          <w:rFonts w:cs="Arial"/>
          <w:lang w:val="fr-FR"/>
        </w:rPr>
        <w:t xml:space="preserve">et </w:t>
      </w:r>
      <w:r w:rsidR="00C0259C" w:rsidRPr="00F85A58">
        <w:rPr>
          <w:rFonts w:cs="Arial"/>
          <w:lang w:val="fr-FR"/>
        </w:rPr>
        <w:t>a approuvé le projet d</w:t>
      </w:r>
      <w:r w:rsidR="005752E4" w:rsidRPr="00F85A58">
        <w:rPr>
          <w:rFonts w:cs="Arial"/>
          <w:lang w:val="fr-FR"/>
        </w:rPr>
        <w:t>’</w:t>
      </w:r>
      <w:r w:rsidR="00C0259C" w:rsidRPr="00F85A58">
        <w:rPr>
          <w:rFonts w:cs="Arial"/>
          <w:lang w:val="fr-FR"/>
        </w:rPr>
        <w:t>orientations figurant à l</w:t>
      </w:r>
      <w:r w:rsidR="005752E4" w:rsidRPr="00F85A58">
        <w:rPr>
          <w:rFonts w:cs="Arial"/>
          <w:lang w:val="fr-FR"/>
        </w:rPr>
        <w:t>’</w:t>
      </w:r>
      <w:r w:rsidR="00C0259C" w:rsidRPr="00F85A58">
        <w:rPr>
          <w:rFonts w:cs="Arial"/>
          <w:lang w:val="fr-FR"/>
        </w:rPr>
        <w:t xml:space="preserve">annexe du </w:t>
      </w:r>
      <w:r w:rsidRPr="00F85A58">
        <w:rPr>
          <w:rFonts w:cs="Arial"/>
          <w:lang w:val="fr-FR"/>
        </w:rPr>
        <w:t xml:space="preserve">document TWA/44/15, </w:t>
      </w:r>
      <w:r w:rsidR="00C0259C" w:rsidRPr="00F85A58">
        <w:rPr>
          <w:rFonts w:cs="Arial"/>
          <w:lang w:val="fr-FR"/>
        </w:rPr>
        <w:t>au</w:t>
      </w:r>
      <w:r w:rsidR="00002D9F" w:rsidRPr="00F85A58">
        <w:rPr>
          <w:rFonts w:cs="Arial"/>
          <w:lang w:val="fr-FR"/>
        </w:rPr>
        <w:t>x</w:t>
      </w:r>
      <w:r w:rsidR="00C0259C" w:rsidRPr="00F85A58">
        <w:rPr>
          <w:rFonts w:cs="Arial"/>
          <w:lang w:val="fr-FR"/>
        </w:rPr>
        <w:t xml:space="preserve"> fins </w:t>
      </w:r>
      <w:r w:rsidR="00C0259C" w:rsidRPr="00F85A58">
        <w:rPr>
          <w:rFonts w:cs="Arial"/>
          <w:lang w:val="fr-FR"/>
        </w:rPr>
        <w:lastRenderedPageBreak/>
        <w:t>d</w:t>
      </w:r>
      <w:r w:rsidR="005752E4" w:rsidRPr="00F85A58">
        <w:rPr>
          <w:rFonts w:cs="Arial"/>
          <w:lang w:val="fr-FR"/>
        </w:rPr>
        <w:t>’</w:t>
      </w:r>
      <w:r w:rsidR="00C0259C" w:rsidRPr="00F85A58">
        <w:rPr>
          <w:rFonts w:cs="Arial"/>
          <w:lang w:val="fr-FR"/>
        </w:rPr>
        <w:t xml:space="preserve">inclusion dans une future version révisée du </w:t>
      </w:r>
      <w:r w:rsidRPr="00F85A58">
        <w:rPr>
          <w:rFonts w:cs="Arial"/>
          <w:lang w:val="fr-FR"/>
        </w:rPr>
        <w:t xml:space="preserve">document TGP/8 </w:t>
      </w:r>
      <w:r w:rsidR="00C0259C" w:rsidRPr="00F85A58">
        <w:rPr>
          <w:rFonts w:cs="Arial"/>
          <w:lang w:val="fr-FR"/>
        </w:rPr>
        <w:t xml:space="preserve">concernant </w:t>
      </w:r>
      <w:r w:rsidR="00002D9F" w:rsidRPr="00F85A58">
        <w:rPr>
          <w:rFonts w:cs="Arial"/>
          <w:lang w:val="fr-FR"/>
        </w:rPr>
        <w:t xml:space="preserve">la réduction </w:t>
      </w:r>
      <w:r w:rsidR="00C0259C" w:rsidRPr="00F85A58">
        <w:rPr>
          <w:rFonts w:cs="Arial"/>
          <w:lang w:val="fr-FR"/>
        </w:rPr>
        <w:t>optima</w:t>
      </w:r>
      <w:r w:rsidR="00002D9F" w:rsidRPr="00F85A58">
        <w:rPr>
          <w:rFonts w:cs="Arial"/>
          <w:lang w:val="fr-FR"/>
        </w:rPr>
        <w:t>le</w:t>
      </w:r>
      <w:r w:rsidR="00C0259C" w:rsidRPr="00F85A58">
        <w:rPr>
          <w:rFonts w:cs="Arial"/>
          <w:lang w:val="fr-FR"/>
        </w:rPr>
        <w:t xml:space="preserve"> de la variation due à différents observateurs</w:t>
      </w:r>
      <w:r w:rsidRPr="00F85A58">
        <w:rPr>
          <w:rFonts w:cs="Arial"/>
          <w:lang w:val="fr-FR"/>
        </w:rPr>
        <w:t>.</w:t>
      </w:r>
    </w:p>
    <w:p w:rsidR="00BA14DE" w:rsidRPr="00F85A58" w:rsidRDefault="00BA14DE" w:rsidP="003570DF">
      <w:pPr>
        <w:rPr>
          <w:rFonts w:cs="Arial"/>
          <w:lang w:val="fr-FR"/>
        </w:rPr>
      </w:pPr>
    </w:p>
    <w:p w:rsidR="005752E4" w:rsidRPr="00F85A58" w:rsidRDefault="003570DF" w:rsidP="003570DF">
      <w:pPr>
        <w:rPr>
          <w:rFonts w:eastAsia="SimSun" w:cs="Arial"/>
          <w:lang w:val="fr-FR" w:eastAsia="zh-CN"/>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4C45F2" w:rsidRPr="00F85A58">
        <w:rPr>
          <w:rFonts w:cs="Arial"/>
          <w:lang w:val="fr-FR"/>
        </w:rPr>
        <w:t xml:space="preserve">Le </w:t>
      </w:r>
      <w:r w:rsidR="00D76963" w:rsidRPr="00F85A58">
        <w:rPr>
          <w:lang w:val="fr-FR"/>
        </w:rPr>
        <w:t xml:space="preserve">TWA </w:t>
      </w:r>
      <w:r w:rsidR="004C45F2" w:rsidRPr="00F85A58">
        <w:rPr>
          <w:lang w:val="fr-FR"/>
        </w:rPr>
        <w:t>a examiné le d</w:t>
      </w:r>
      <w:r w:rsidR="00D76963" w:rsidRPr="00F85A58">
        <w:rPr>
          <w:lang w:val="fr-FR"/>
        </w:rPr>
        <w:t xml:space="preserve">ocument TWA/44/9 </w:t>
      </w:r>
      <w:r w:rsidR="001826AD">
        <w:rPr>
          <w:lang w:val="fr-FR"/>
        </w:rPr>
        <w:t>“</w:t>
      </w:r>
      <w:r w:rsidR="003B579B" w:rsidRPr="00F85A58">
        <w:rPr>
          <w:lang w:val="fr-FR"/>
        </w:rPr>
        <w:t>Révision du document TGP/10</w:t>
      </w:r>
      <w:r w:rsidR="00342006" w:rsidRPr="00F85A58">
        <w:rPr>
          <w:lang w:val="fr-FR"/>
        </w:rPr>
        <w:t> </w:t>
      </w:r>
      <w:r w:rsidR="003B579B" w:rsidRPr="00F85A58">
        <w:rPr>
          <w:lang w:val="fr-FR"/>
        </w:rPr>
        <w:t>: Évaluation de l</w:t>
      </w:r>
      <w:r w:rsidR="005752E4" w:rsidRPr="00F85A58">
        <w:rPr>
          <w:lang w:val="fr-FR"/>
        </w:rPr>
        <w:t>’</w:t>
      </w:r>
      <w:r w:rsidR="003B579B" w:rsidRPr="00F85A58">
        <w:rPr>
          <w:lang w:val="fr-FR"/>
        </w:rPr>
        <w:t>homogénéité au moyen des plantes hors type sur la base de plusieurs cycles de végétation ou sous échantillons</w:t>
      </w:r>
      <w:r w:rsidR="001826AD">
        <w:rPr>
          <w:lang w:val="fr-FR"/>
        </w:rPr>
        <w:t>”</w:t>
      </w:r>
      <w:r w:rsidR="00D76963" w:rsidRPr="00F85A58">
        <w:rPr>
          <w:lang w:val="fr-FR"/>
        </w:rPr>
        <w:t xml:space="preserve"> </w:t>
      </w:r>
      <w:r w:rsidR="004C45F2" w:rsidRPr="00F85A58">
        <w:rPr>
          <w:lang w:val="fr-FR"/>
        </w:rPr>
        <w:t>et est convenu que l</w:t>
      </w:r>
      <w:r w:rsidR="005752E4" w:rsidRPr="00F85A58">
        <w:rPr>
          <w:lang w:val="fr-FR"/>
        </w:rPr>
        <w:t>’</w:t>
      </w:r>
      <w:r w:rsidR="004C45F2" w:rsidRPr="00F85A58">
        <w:rPr>
          <w:lang w:val="fr-FR"/>
        </w:rPr>
        <w:t>élaboration du projet d</w:t>
      </w:r>
      <w:r w:rsidR="005752E4" w:rsidRPr="00F85A58">
        <w:rPr>
          <w:lang w:val="fr-FR"/>
        </w:rPr>
        <w:t>’</w:t>
      </w:r>
      <w:r w:rsidR="004C45F2" w:rsidRPr="00F85A58">
        <w:rPr>
          <w:lang w:val="fr-FR"/>
        </w:rPr>
        <w:t>orientations aux fins d</w:t>
      </w:r>
      <w:r w:rsidR="005752E4" w:rsidRPr="00F85A58">
        <w:rPr>
          <w:lang w:val="fr-FR"/>
        </w:rPr>
        <w:t>’</w:t>
      </w:r>
      <w:r w:rsidR="004C45F2" w:rsidRPr="00F85A58">
        <w:rPr>
          <w:lang w:val="fr-FR"/>
        </w:rPr>
        <w:t xml:space="preserve">inclusion dans une future version révisée du document </w:t>
      </w:r>
      <w:r w:rsidRPr="00F85A58">
        <w:rPr>
          <w:rFonts w:cs="Arial"/>
          <w:lang w:val="fr-FR"/>
        </w:rPr>
        <w:t xml:space="preserve">TGP/10, </w:t>
      </w:r>
      <w:r w:rsidR="004C45F2" w:rsidRPr="00F85A58">
        <w:rPr>
          <w:rFonts w:cs="Arial"/>
          <w:lang w:val="fr-FR"/>
        </w:rPr>
        <w:t>tel qu</w:t>
      </w:r>
      <w:r w:rsidR="005752E4" w:rsidRPr="00F85A58">
        <w:rPr>
          <w:rFonts w:cs="Arial"/>
          <w:lang w:val="fr-FR"/>
        </w:rPr>
        <w:t>’</w:t>
      </w:r>
      <w:r w:rsidR="004C45F2" w:rsidRPr="00F85A58">
        <w:rPr>
          <w:rFonts w:cs="Arial"/>
          <w:lang w:val="fr-FR"/>
        </w:rPr>
        <w:t>il est présenté dans l</w:t>
      </w:r>
      <w:r w:rsidR="005752E4" w:rsidRPr="00F85A58">
        <w:rPr>
          <w:rFonts w:cs="Arial"/>
          <w:lang w:val="fr-FR"/>
        </w:rPr>
        <w:t>’</w:t>
      </w:r>
      <w:r w:rsidR="004C45F2" w:rsidRPr="00F85A58">
        <w:rPr>
          <w:rFonts w:cs="Arial"/>
          <w:lang w:val="fr-FR"/>
        </w:rPr>
        <w:t>annexe I du document</w:t>
      </w:r>
      <w:r w:rsidRPr="00F85A58">
        <w:rPr>
          <w:rFonts w:cs="Arial"/>
          <w:lang w:val="fr-FR"/>
        </w:rPr>
        <w:t xml:space="preserve"> TWA/44/9</w:t>
      </w:r>
      <w:r w:rsidR="00D76963" w:rsidRPr="00F85A58">
        <w:rPr>
          <w:rFonts w:cs="Arial"/>
          <w:lang w:val="fr-FR"/>
        </w:rPr>
        <w:t>,</w:t>
      </w:r>
      <w:r w:rsidRPr="00F85A58">
        <w:rPr>
          <w:rFonts w:cs="Arial"/>
          <w:lang w:val="fr-FR"/>
        </w:rPr>
        <w:t xml:space="preserve"> </w:t>
      </w:r>
      <w:r w:rsidR="004C45F2" w:rsidRPr="00F85A58">
        <w:rPr>
          <w:rFonts w:cs="Arial"/>
          <w:lang w:val="fr-FR"/>
        </w:rPr>
        <w:t xml:space="preserve">devrait </w:t>
      </w:r>
      <w:r w:rsidR="001D16F2" w:rsidRPr="00F85A58">
        <w:rPr>
          <w:rFonts w:cs="Arial"/>
          <w:lang w:val="fr-FR"/>
        </w:rPr>
        <w:t xml:space="preserve">être poursuivie en tenant compte des informations fournies par </w:t>
      </w:r>
      <w:r w:rsidRPr="00F85A58">
        <w:rPr>
          <w:rFonts w:cs="Arial"/>
          <w:lang w:val="fr-FR"/>
        </w:rPr>
        <w:t xml:space="preserve">TWC </w:t>
      </w:r>
      <w:r w:rsidR="001D16F2" w:rsidRPr="00F85A58">
        <w:rPr>
          <w:rFonts w:cs="Arial"/>
          <w:lang w:val="fr-FR"/>
        </w:rPr>
        <w:t>concernant l</w:t>
      </w:r>
      <w:r w:rsidR="0086797D" w:rsidRPr="00F85A58">
        <w:rPr>
          <w:rFonts w:cs="Arial"/>
          <w:lang w:val="fr-FR"/>
        </w:rPr>
        <w:t>a</w:t>
      </w:r>
      <w:r w:rsidR="001D16F2" w:rsidRPr="00F85A58">
        <w:rPr>
          <w:rFonts w:cs="Arial"/>
          <w:lang w:val="fr-FR"/>
        </w:rPr>
        <w:t xml:space="preserve"> proposition </w:t>
      </w:r>
      <w:r w:rsidR="0086797D" w:rsidRPr="00F85A58">
        <w:rPr>
          <w:rFonts w:cs="Arial"/>
          <w:lang w:val="fr-FR"/>
        </w:rPr>
        <w:t xml:space="preserve">intitulée </w:t>
      </w:r>
      <w:r w:rsidRPr="00F85A58">
        <w:rPr>
          <w:rFonts w:cs="Arial"/>
          <w:lang w:val="fr-FR"/>
        </w:rPr>
        <w:t>“</w:t>
      </w:r>
      <w:r w:rsidR="001D16F2" w:rsidRPr="00F85A58">
        <w:rPr>
          <w:rFonts w:cs="Arial"/>
          <w:lang w:val="fr-FR"/>
        </w:rPr>
        <w:t>Méthode </w:t>
      </w:r>
      <w:r w:rsidRPr="00F85A58">
        <w:rPr>
          <w:rFonts w:cs="Arial"/>
          <w:lang w:val="fr-FR"/>
        </w:rPr>
        <w:t>3</w:t>
      </w:r>
      <w:r w:rsidR="001D16F2" w:rsidRPr="00F85A58">
        <w:rPr>
          <w:rFonts w:cs="Arial"/>
          <w:lang w:val="fr-FR"/>
        </w:rPr>
        <w:t> </w:t>
      </w:r>
      <w:r w:rsidRPr="00F85A58">
        <w:rPr>
          <w:rFonts w:cs="Arial"/>
          <w:lang w:val="fr-FR"/>
        </w:rPr>
        <w:t xml:space="preserve">: </w:t>
      </w:r>
      <w:r w:rsidR="001D16F2" w:rsidRPr="00F85A58">
        <w:rPr>
          <w:rFonts w:cs="Arial"/>
          <w:lang w:val="fr-FR"/>
        </w:rPr>
        <w:t>Combiner les résultats de deux</w:t>
      </w:r>
      <w:r w:rsidR="00342006" w:rsidRPr="00F85A58">
        <w:rPr>
          <w:rFonts w:cs="Arial"/>
          <w:lang w:val="fr-FR"/>
        </w:rPr>
        <w:t> </w:t>
      </w:r>
      <w:r w:rsidR="001D16F2" w:rsidRPr="00F85A58">
        <w:rPr>
          <w:rFonts w:cs="Arial"/>
          <w:lang w:val="fr-FR"/>
        </w:rPr>
        <w:t>cycles de végétation</w:t>
      </w:r>
      <w:r w:rsidRPr="00F85A58">
        <w:rPr>
          <w:rFonts w:cs="Arial"/>
          <w:lang w:val="fr-FR"/>
        </w:rPr>
        <w:t>”</w:t>
      </w:r>
      <w:r w:rsidR="00135B71" w:rsidRPr="00F85A58">
        <w:rPr>
          <w:rFonts w:cs="Arial"/>
          <w:lang w:val="fr-FR"/>
        </w:rPr>
        <w:t xml:space="preserve">, ainsi que de </w:t>
      </w:r>
      <w:r w:rsidR="001D16F2" w:rsidRPr="00F85A58">
        <w:rPr>
          <w:rFonts w:cs="Arial"/>
          <w:lang w:val="fr-FR"/>
        </w:rPr>
        <w:t xml:space="preserve">la comparaison entre </w:t>
      </w:r>
      <w:r w:rsidR="0086797D" w:rsidRPr="00F85A58">
        <w:rPr>
          <w:rFonts w:cs="Arial"/>
          <w:lang w:val="fr-FR"/>
        </w:rPr>
        <w:t>le ri</w:t>
      </w:r>
      <w:r w:rsidR="00432B65" w:rsidRPr="00F85A58">
        <w:rPr>
          <w:rFonts w:cs="Arial"/>
          <w:lang w:val="fr-FR"/>
        </w:rPr>
        <w:t>s</w:t>
      </w:r>
      <w:r w:rsidR="0086797D" w:rsidRPr="00F85A58">
        <w:rPr>
          <w:rFonts w:cs="Arial"/>
          <w:lang w:val="fr-FR"/>
        </w:rPr>
        <w:t xml:space="preserve">que global </w:t>
      </w:r>
      <w:r w:rsidR="00135B71" w:rsidRPr="00F85A58">
        <w:rPr>
          <w:rFonts w:cs="Arial"/>
          <w:lang w:val="fr-FR"/>
        </w:rPr>
        <w:t xml:space="preserve">associé aux </w:t>
      </w:r>
      <w:r w:rsidR="00432B65" w:rsidRPr="00F85A58">
        <w:rPr>
          <w:rFonts w:cs="Arial"/>
          <w:lang w:val="fr-FR"/>
        </w:rPr>
        <w:t xml:space="preserve">échantillons combinés et le risque </w:t>
      </w:r>
      <w:r w:rsidR="00135B71" w:rsidRPr="00F85A58">
        <w:rPr>
          <w:rFonts w:cs="Arial"/>
          <w:lang w:val="fr-FR"/>
        </w:rPr>
        <w:t xml:space="preserve">que représente </w:t>
      </w:r>
      <w:r w:rsidR="00214601" w:rsidRPr="00F85A58">
        <w:rPr>
          <w:rFonts w:cs="Arial"/>
          <w:lang w:val="fr-FR"/>
        </w:rPr>
        <w:t>chaque étape de l</w:t>
      </w:r>
      <w:r w:rsidR="005752E4" w:rsidRPr="00F85A58">
        <w:rPr>
          <w:rFonts w:cs="Arial"/>
          <w:lang w:val="fr-FR"/>
        </w:rPr>
        <w:t>’</w:t>
      </w:r>
      <w:r w:rsidR="00214601" w:rsidRPr="00F85A58">
        <w:rPr>
          <w:rFonts w:cs="Arial"/>
          <w:lang w:val="fr-FR"/>
        </w:rPr>
        <w:t>évaluation séparéme</w:t>
      </w:r>
      <w:r w:rsidR="00F85A58" w:rsidRPr="00F85A58">
        <w:rPr>
          <w:rFonts w:cs="Arial"/>
          <w:lang w:val="fr-FR"/>
        </w:rPr>
        <w:t>nt.  Le</w:t>
      </w:r>
      <w:r w:rsidR="005752E4" w:rsidRPr="00F85A58">
        <w:rPr>
          <w:rFonts w:cs="Arial"/>
          <w:lang w:val="fr-FR"/>
        </w:rPr>
        <w:t> TWA</w:t>
      </w:r>
      <w:r w:rsidRPr="00F85A58">
        <w:rPr>
          <w:rFonts w:cs="Arial"/>
          <w:lang w:val="fr-FR"/>
        </w:rPr>
        <w:t xml:space="preserve"> </w:t>
      </w:r>
      <w:r w:rsidR="00135B71" w:rsidRPr="00F85A58">
        <w:rPr>
          <w:rFonts w:cs="Arial"/>
          <w:lang w:val="fr-FR"/>
        </w:rPr>
        <w:t>est convenu de proposer que la première phrase figurant dans l</w:t>
      </w:r>
      <w:r w:rsidR="005752E4" w:rsidRPr="00F85A58">
        <w:rPr>
          <w:rFonts w:cs="Arial"/>
          <w:lang w:val="fr-FR"/>
        </w:rPr>
        <w:t>’</w:t>
      </w:r>
      <w:r w:rsidR="00135B71" w:rsidRPr="00F85A58">
        <w:rPr>
          <w:rFonts w:cs="Arial"/>
          <w:lang w:val="fr-FR"/>
        </w:rPr>
        <w:t>annexe </w:t>
      </w:r>
      <w:r w:rsidRPr="00F85A58">
        <w:rPr>
          <w:rFonts w:cs="Arial"/>
          <w:lang w:val="fr-FR"/>
        </w:rPr>
        <w:t xml:space="preserve">I </w:t>
      </w:r>
      <w:r w:rsidR="00135B71" w:rsidRPr="00F85A58">
        <w:rPr>
          <w:rFonts w:cs="Arial"/>
          <w:lang w:val="fr-FR"/>
        </w:rPr>
        <w:t>soit modifiée pour être libellé</w:t>
      </w:r>
      <w:r w:rsidR="004B1270" w:rsidRPr="00F85A58">
        <w:rPr>
          <w:rFonts w:cs="Arial"/>
          <w:lang w:val="fr-FR"/>
        </w:rPr>
        <w:t>e</w:t>
      </w:r>
      <w:r w:rsidR="00135B71" w:rsidRPr="00F85A58">
        <w:rPr>
          <w:rFonts w:cs="Arial"/>
          <w:lang w:val="fr-FR"/>
        </w:rPr>
        <w:t xml:space="preserve"> comme suit :</w:t>
      </w:r>
      <w:r w:rsidRPr="00F85A58">
        <w:rPr>
          <w:rFonts w:cs="Arial"/>
          <w:lang w:val="fr-FR"/>
        </w:rPr>
        <w:t xml:space="preserve"> “</w:t>
      </w:r>
      <w:r w:rsidR="00D8287C" w:rsidRPr="00F85A58">
        <w:rPr>
          <w:rFonts w:cs="Arial"/>
          <w:lang w:val="fr-FR"/>
        </w:rPr>
        <w:t>Deux cycles de végétation indépendants pourraient avoir lieu en un seul endroit sur plusieurs années ou en différents endroits la même année, selon ce qui figure dans le document TGP/8, première partie, sections</w:t>
      </w:r>
      <w:r w:rsidR="00342006" w:rsidRPr="00F85A58">
        <w:rPr>
          <w:rFonts w:cs="Arial"/>
          <w:lang w:val="fr-FR"/>
        </w:rPr>
        <w:t> </w:t>
      </w:r>
      <w:r w:rsidR="00D8287C" w:rsidRPr="00F85A58">
        <w:rPr>
          <w:rFonts w:cs="Arial"/>
          <w:lang w:val="fr-FR"/>
        </w:rPr>
        <w:t>1.2 et 1.3</w:t>
      </w:r>
      <w:r w:rsidRPr="00F85A58">
        <w:rPr>
          <w:rFonts w:cs="Arial"/>
          <w:lang w:val="fr-FR"/>
        </w:rPr>
        <w:t>”</w:t>
      </w:r>
      <w:r w:rsidR="005752E4" w:rsidRPr="00F85A58">
        <w:rPr>
          <w:rFonts w:cs="Arial"/>
          <w:lang w:val="fr-FR"/>
        </w:rPr>
        <w:t xml:space="preserve"> Le </w:t>
      </w:r>
      <w:r w:rsidR="005752E4" w:rsidRPr="00F85A58">
        <w:rPr>
          <w:rFonts w:eastAsia="SimSun" w:cs="Arial"/>
          <w:lang w:val="fr-FR" w:eastAsia="zh-CN"/>
        </w:rPr>
        <w:t>TWA</w:t>
      </w:r>
      <w:r w:rsidRPr="00F85A58">
        <w:rPr>
          <w:rFonts w:eastAsia="SimSun" w:cs="Arial"/>
          <w:lang w:val="fr-FR" w:eastAsia="zh-CN"/>
        </w:rPr>
        <w:t xml:space="preserve"> </w:t>
      </w:r>
      <w:r w:rsidR="004B1270" w:rsidRPr="00F85A58">
        <w:rPr>
          <w:rFonts w:eastAsia="SimSun" w:cs="Arial"/>
          <w:lang w:val="fr-FR" w:eastAsia="zh-CN"/>
        </w:rPr>
        <w:t>est également convenu qu</w:t>
      </w:r>
      <w:r w:rsidR="005752E4" w:rsidRPr="00F85A58">
        <w:rPr>
          <w:rFonts w:eastAsia="SimSun" w:cs="Arial"/>
          <w:lang w:val="fr-FR" w:eastAsia="zh-CN"/>
        </w:rPr>
        <w:t>’</w:t>
      </w:r>
      <w:r w:rsidR="004B1270" w:rsidRPr="00F85A58">
        <w:rPr>
          <w:rFonts w:eastAsia="SimSun" w:cs="Arial"/>
          <w:lang w:val="fr-FR" w:eastAsia="zh-CN"/>
        </w:rPr>
        <w:t>une variété ne devrait pas être rejetée si les limites de la norme d</w:t>
      </w:r>
      <w:r w:rsidR="005752E4" w:rsidRPr="00F85A58">
        <w:rPr>
          <w:rFonts w:eastAsia="SimSun" w:cs="Arial"/>
          <w:lang w:val="fr-FR" w:eastAsia="zh-CN"/>
        </w:rPr>
        <w:t>’</w:t>
      </w:r>
      <w:r w:rsidR="004B1270" w:rsidRPr="00F85A58">
        <w:rPr>
          <w:rFonts w:eastAsia="SimSun" w:cs="Arial"/>
          <w:lang w:val="fr-FR" w:eastAsia="zh-CN"/>
        </w:rPr>
        <w:t xml:space="preserve">homogénéité </w:t>
      </w:r>
      <w:r w:rsidR="00ED6C3C" w:rsidRPr="00F85A58">
        <w:rPr>
          <w:rFonts w:eastAsia="SimSun" w:cs="Arial"/>
          <w:lang w:val="fr-FR" w:eastAsia="zh-CN"/>
        </w:rPr>
        <w:t xml:space="preserve">étaient </w:t>
      </w:r>
      <w:r w:rsidR="004B1270" w:rsidRPr="00F85A58">
        <w:rPr>
          <w:rFonts w:eastAsia="SimSun" w:cs="Arial"/>
          <w:lang w:val="fr-FR" w:eastAsia="zh-CN"/>
        </w:rPr>
        <w:t>légèrement dépassées au cours de la première ann</w:t>
      </w:r>
      <w:r w:rsidR="00F85A58" w:rsidRPr="00F85A58">
        <w:rPr>
          <w:rFonts w:eastAsia="SimSun" w:cs="Arial"/>
          <w:lang w:val="fr-FR" w:eastAsia="zh-CN"/>
        </w:rPr>
        <w:t>ée.  Ce</w:t>
      </w:r>
      <w:r w:rsidR="00ED6C3C" w:rsidRPr="00F85A58">
        <w:rPr>
          <w:rFonts w:eastAsia="SimSun" w:cs="Arial"/>
          <w:lang w:val="fr-FR" w:eastAsia="zh-CN"/>
        </w:rPr>
        <w:t xml:space="preserve">tte solution ne devrait être utilisée </w:t>
      </w:r>
      <w:r w:rsidR="00EB15BE" w:rsidRPr="00F85A58">
        <w:rPr>
          <w:rFonts w:eastAsia="SimSun" w:cs="Arial"/>
          <w:lang w:val="fr-FR" w:eastAsia="zh-CN"/>
        </w:rPr>
        <w:t xml:space="preserve">que </w:t>
      </w:r>
      <w:r w:rsidR="004B1270" w:rsidRPr="00F85A58">
        <w:rPr>
          <w:rFonts w:eastAsia="SimSun" w:cs="Arial"/>
          <w:lang w:val="fr-FR" w:eastAsia="zh-CN"/>
        </w:rPr>
        <w:t>s</w:t>
      </w:r>
      <w:r w:rsidR="005752E4" w:rsidRPr="00F85A58">
        <w:rPr>
          <w:rFonts w:eastAsia="SimSun" w:cs="Arial"/>
          <w:lang w:val="fr-FR" w:eastAsia="zh-CN"/>
        </w:rPr>
        <w:t>’</w:t>
      </w:r>
      <w:r w:rsidR="004B1270" w:rsidRPr="00F85A58">
        <w:rPr>
          <w:rFonts w:eastAsia="SimSun" w:cs="Arial"/>
          <w:lang w:val="fr-FR" w:eastAsia="zh-CN"/>
        </w:rPr>
        <w:t xml:space="preserve">il était prévisible que les limites maximales </w:t>
      </w:r>
      <w:r w:rsidR="00ED6C3C" w:rsidRPr="00F85A58">
        <w:rPr>
          <w:rFonts w:eastAsia="SimSun" w:cs="Arial"/>
          <w:lang w:val="fr-FR" w:eastAsia="zh-CN"/>
        </w:rPr>
        <w:t xml:space="preserve">allaient être </w:t>
      </w:r>
      <w:r w:rsidR="004B1270" w:rsidRPr="00F85A58">
        <w:rPr>
          <w:rFonts w:eastAsia="SimSun" w:cs="Arial"/>
          <w:lang w:val="fr-FR" w:eastAsia="zh-CN"/>
        </w:rPr>
        <w:t>dépassée</w:t>
      </w:r>
      <w:r w:rsidR="00ED6C3C" w:rsidRPr="00F85A58">
        <w:rPr>
          <w:rFonts w:eastAsia="SimSun" w:cs="Arial"/>
          <w:lang w:val="fr-FR" w:eastAsia="zh-CN"/>
        </w:rPr>
        <w:t>s</w:t>
      </w:r>
      <w:r w:rsidR="004B1270" w:rsidRPr="00F85A58">
        <w:rPr>
          <w:rFonts w:eastAsia="SimSun" w:cs="Arial"/>
          <w:lang w:val="fr-FR" w:eastAsia="zh-CN"/>
        </w:rPr>
        <w:t xml:space="preserve"> également au cours d</w:t>
      </w:r>
      <w:r w:rsidR="005752E4" w:rsidRPr="00F85A58">
        <w:rPr>
          <w:rFonts w:eastAsia="SimSun" w:cs="Arial"/>
          <w:lang w:val="fr-FR" w:eastAsia="zh-CN"/>
        </w:rPr>
        <w:t>’</w:t>
      </w:r>
      <w:r w:rsidR="004B1270" w:rsidRPr="00F85A58">
        <w:rPr>
          <w:rFonts w:eastAsia="SimSun" w:cs="Arial"/>
          <w:lang w:val="fr-FR" w:eastAsia="zh-CN"/>
        </w:rPr>
        <w:t xml:space="preserve">un cycle de végétation </w:t>
      </w:r>
      <w:r w:rsidR="00ED6C3C" w:rsidRPr="00F85A58">
        <w:rPr>
          <w:rFonts w:eastAsia="SimSun" w:cs="Arial"/>
          <w:lang w:val="fr-FR" w:eastAsia="zh-CN"/>
        </w:rPr>
        <w:t>supplémentai</w:t>
      </w:r>
      <w:r w:rsidR="00F85A58" w:rsidRPr="00F85A58">
        <w:rPr>
          <w:rFonts w:eastAsia="SimSun" w:cs="Arial"/>
          <w:lang w:val="fr-FR" w:eastAsia="zh-CN"/>
        </w:rPr>
        <w:t xml:space="preserve">re.  À </w:t>
      </w:r>
      <w:r w:rsidR="005000AF" w:rsidRPr="00F85A58">
        <w:rPr>
          <w:rFonts w:eastAsia="SimSun" w:cs="Arial"/>
          <w:lang w:val="fr-FR" w:eastAsia="zh-CN"/>
        </w:rPr>
        <w:t>cet égard,</w:t>
      </w:r>
      <w:r w:rsidR="005752E4" w:rsidRPr="00F85A58">
        <w:rPr>
          <w:rFonts w:eastAsia="SimSun" w:cs="Arial"/>
          <w:lang w:val="fr-FR" w:eastAsia="zh-CN"/>
        </w:rPr>
        <w:t xml:space="preserve"> le TWA</w:t>
      </w:r>
      <w:r w:rsidRPr="00F85A58">
        <w:rPr>
          <w:rFonts w:eastAsia="SimSun" w:cs="Arial"/>
          <w:lang w:val="fr-FR" w:eastAsia="zh-CN"/>
        </w:rPr>
        <w:t xml:space="preserve"> </w:t>
      </w:r>
      <w:r w:rsidR="005000AF" w:rsidRPr="00F85A58">
        <w:rPr>
          <w:rFonts w:eastAsia="SimSun" w:cs="Arial"/>
          <w:lang w:val="fr-FR" w:eastAsia="zh-CN"/>
        </w:rPr>
        <w:t xml:space="preserve">est </w:t>
      </w:r>
      <w:proofErr w:type="gramStart"/>
      <w:r w:rsidR="005000AF" w:rsidRPr="00F85A58">
        <w:rPr>
          <w:rFonts w:eastAsia="SimSun" w:cs="Arial"/>
          <w:lang w:val="fr-FR" w:eastAsia="zh-CN"/>
        </w:rPr>
        <w:t>convenu</w:t>
      </w:r>
      <w:proofErr w:type="gramEnd"/>
      <w:r w:rsidR="005000AF" w:rsidRPr="00F85A58">
        <w:rPr>
          <w:rFonts w:eastAsia="SimSun" w:cs="Arial"/>
          <w:lang w:val="fr-FR" w:eastAsia="zh-CN"/>
        </w:rPr>
        <w:t xml:space="preserve"> de proposer que </w:t>
      </w:r>
      <w:r w:rsidR="00E87968" w:rsidRPr="00F85A58">
        <w:rPr>
          <w:rFonts w:eastAsia="SimSun" w:cs="Arial"/>
          <w:lang w:val="fr-FR" w:eastAsia="zh-CN"/>
        </w:rPr>
        <w:t>l</w:t>
      </w:r>
      <w:r w:rsidR="005752E4" w:rsidRPr="00F85A58">
        <w:rPr>
          <w:rFonts w:eastAsia="SimSun" w:cs="Arial"/>
          <w:lang w:val="fr-FR" w:eastAsia="zh-CN"/>
        </w:rPr>
        <w:t>’</w:t>
      </w:r>
      <w:r w:rsidR="00E87968" w:rsidRPr="00F85A58">
        <w:rPr>
          <w:rFonts w:eastAsia="SimSun" w:cs="Arial"/>
          <w:lang w:val="fr-FR" w:eastAsia="zh-CN"/>
        </w:rPr>
        <w:t>indication figurant en annexe </w:t>
      </w:r>
      <w:r w:rsidRPr="00F85A58">
        <w:rPr>
          <w:rFonts w:cs="Arial"/>
          <w:lang w:val="fr-FR"/>
        </w:rPr>
        <w:t>I</w:t>
      </w:r>
      <w:r w:rsidR="00E87968" w:rsidRPr="00F85A58">
        <w:rPr>
          <w:rFonts w:cs="Arial"/>
          <w:lang w:val="fr-FR"/>
        </w:rPr>
        <w:t xml:space="preserve"> </w:t>
      </w:r>
      <w:r w:rsidR="00F945D9" w:rsidRPr="00F85A58">
        <w:rPr>
          <w:rFonts w:cs="Arial"/>
          <w:lang w:val="fr-FR"/>
        </w:rPr>
        <w:t>concernant la possibilité de rejeter une variété en raison d</w:t>
      </w:r>
      <w:r w:rsidR="005752E4" w:rsidRPr="00F85A58">
        <w:rPr>
          <w:rFonts w:cs="Arial"/>
          <w:lang w:val="fr-FR"/>
        </w:rPr>
        <w:t>’</w:t>
      </w:r>
      <w:r w:rsidR="00F945D9" w:rsidRPr="00F85A58">
        <w:rPr>
          <w:rFonts w:cs="Arial"/>
          <w:lang w:val="fr-FR"/>
        </w:rPr>
        <w:t>un manque d</w:t>
      </w:r>
      <w:r w:rsidR="005752E4" w:rsidRPr="00F85A58">
        <w:rPr>
          <w:rFonts w:cs="Arial"/>
          <w:lang w:val="fr-FR"/>
        </w:rPr>
        <w:t>’</w:t>
      </w:r>
      <w:r w:rsidR="00F945D9" w:rsidRPr="00F85A58">
        <w:rPr>
          <w:rFonts w:cs="Arial"/>
          <w:lang w:val="fr-FR"/>
        </w:rPr>
        <w:t>homogénéité après un seul cycle de végétation</w:t>
      </w:r>
      <w:r w:rsidRPr="00F85A58">
        <w:rPr>
          <w:rFonts w:cs="Arial"/>
          <w:lang w:val="fr-FR"/>
        </w:rPr>
        <w:t xml:space="preserve">, </w:t>
      </w:r>
      <w:r w:rsidR="00F945D9" w:rsidRPr="00F85A58">
        <w:rPr>
          <w:rFonts w:cs="Arial"/>
          <w:lang w:val="fr-FR"/>
        </w:rPr>
        <w:t xml:space="preserve">devrait être </w:t>
      </w:r>
      <w:r w:rsidR="00AB29B0" w:rsidRPr="00F85A58">
        <w:rPr>
          <w:rFonts w:cs="Arial"/>
          <w:lang w:val="fr-FR"/>
        </w:rPr>
        <w:t>modifiée</w:t>
      </w:r>
      <w:r w:rsidR="00F945D9" w:rsidRPr="00F85A58">
        <w:rPr>
          <w:rFonts w:cs="Arial"/>
          <w:lang w:val="fr-FR"/>
        </w:rPr>
        <w:t xml:space="preserve"> pour être libellée comme suit : </w:t>
      </w:r>
      <w:r w:rsidRPr="00F85A58">
        <w:rPr>
          <w:rFonts w:eastAsia="SimSun" w:cs="Arial"/>
          <w:lang w:val="fr-FR" w:eastAsia="zh-CN"/>
        </w:rPr>
        <w:t>“</w:t>
      </w:r>
      <w:r w:rsidR="00EB15BE" w:rsidRPr="00F85A58">
        <w:rPr>
          <w:rFonts w:eastAsia="SimSun" w:cs="Arial"/>
          <w:lang w:val="fr-FR" w:eastAsia="zh-CN"/>
        </w:rPr>
        <w:t>En outre, sur la base d</w:t>
      </w:r>
      <w:r w:rsidR="005752E4" w:rsidRPr="00F85A58">
        <w:rPr>
          <w:rFonts w:eastAsia="SimSun" w:cs="Arial"/>
          <w:lang w:val="fr-FR" w:eastAsia="zh-CN"/>
        </w:rPr>
        <w:t>’</w:t>
      </w:r>
      <w:r w:rsidR="00EB15BE" w:rsidRPr="00F85A58">
        <w:rPr>
          <w:rFonts w:eastAsia="SimSun" w:cs="Arial"/>
          <w:lang w:val="fr-FR" w:eastAsia="zh-CN"/>
        </w:rPr>
        <w:t>un manque manifeste d</w:t>
      </w:r>
      <w:r w:rsidR="005752E4" w:rsidRPr="00F85A58">
        <w:rPr>
          <w:rFonts w:eastAsia="SimSun" w:cs="Arial"/>
          <w:lang w:val="fr-FR" w:eastAsia="zh-CN"/>
        </w:rPr>
        <w:t>’</w:t>
      </w:r>
      <w:r w:rsidR="00EB15BE" w:rsidRPr="00F85A58">
        <w:rPr>
          <w:rFonts w:eastAsia="SimSun" w:cs="Arial"/>
          <w:lang w:val="fr-FR" w:eastAsia="zh-CN"/>
        </w:rPr>
        <w:t>homogénéité, une variété peut être rejetée après un seul essai en un endroit de végétation</w:t>
      </w:r>
      <w:r w:rsidRPr="00F85A58">
        <w:rPr>
          <w:rFonts w:eastAsia="SimSun" w:cs="Arial"/>
          <w:lang w:val="fr-FR" w:eastAsia="zh-CN"/>
        </w:rPr>
        <w:t>”</w:t>
      </w:r>
      <w:r w:rsidR="00EB15BE" w:rsidRPr="00F85A58">
        <w:rPr>
          <w:rFonts w:eastAsia="SimSun" w:cs="Arial"/>
          <w:lang w:val="fr-FR" w:eastAsia="zh-CN"/>
        </w:rPr>
        <w:t>.</w:t>
      </w:r>
    </w:p>
    <w:p w:rsidR="00BA14DE" w:rsidRPr="00F85A58" w:rsidRDefault="00BA14DE" w:rsidP="003570DF">
      <w:pPr>
        <w:rPr>
          <w:rFonts w:eastAsia="SimSun" w:cs="Arial"/>
          <w:lang w:val="fr-FR" w:eastAsia="zh-CN"/>
        </w:rPr>
      </w:pPr>
    </w:p>
    <w:p w:rsidR="005752E4"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C0405" w:rsidRPr="00F85A58">
        <w:rPr>
          <w:rFonts w:cs="Arial"/>
          <w:lang w:val="fr-FR"/>
        </w:rPr>
        <w:t>S</w:t>
      </w:r>
      <w:r w:rsidR="005752E4" w:rsidRPr="00F85A58">
        <w:rPr>
          <w:rFonts w:cs="Arial"/>
          <w:lang w:val="fr-FR"/>
        </w:rPr>
        <w:t>’</w:t>
      </w:r>
      <w:r w:rsidR="009C0405" w:rsidRPr="00F85A58">
        <w:rPr>
          <w:rFonts w:cs="Arial"/>
          <w:lang w:val="fr-FR"/>
        </w:rPr>
        <w:t>agissant des questions concernant les descriptions variétales,</w:t>
      </w:r>
      <w:r w:rsidR="005752E4" w:rsidRPr="00F85A58">
        <w:rPr>
          <w:rFonts w:cs="Arial"/>
          <w:lang w:val="fr-FR"/>
        </w:rPr>
        <w:t xml:space="preserve"> le TWA</w:t>
      </w:r>
      <w:r w:rsidRPr="00F85A58">
        <w:rPr>
          <w:rFonts w:cs="Arial"/>
          <w:lang w:val="fr-FR"/>
        </w:rPr>
        <w:t xml:space="preserve"> </w:t>
      </w:r>
      <w:r w:rsidR="009C0405" w:rsidRPr="00F85A58">
        <w:rPr>
          <w:rFonts w:cs="Arial"/>
          <w:lang w:val="fr-FR"/>
        </w:rPr>
        <w:t xml:space="preserve">a examiné le </w:t>
      </w:r>
      <w:r w:rsidRPr="00F85A58">
        <w:rPr>
          <w:rFonts w:cs="Arial"/>
          <w:lang w:val="fr-FR"/>
        </w:rPr>
        <w:t>document TWA/44/10</w:t>
      </w:r>
      <w:r w:rsidR="002176E9" w:rsidRPr="00F85A58">
        <w:rPr>
          <w:rFonts w:cs="Arial"/>
          <w:lang w:val="fr-FR"/>
        </w:rPr>
        <w:t xml:space="preserve"> “</w:t>
      </w:r>
      <w:proofErr w:type="spellStart"/>
      <w:r w:rsidR="002176E9" w:rsidRPr="00F85A58">
        <w:rPr>
          <w:rFonts w:cs="Arial"/>
          <w:lang w:val="fr-FR"/>
        </w:rPr>
        <w:t>Matters</w:t>
      </w:r>
      <w:proofErr w:type="spellEnd"/>
      <w:r w:rsidR="002176E9" w:rsidRPr="00F85A58">
        <w:rPr>
          <w:rFonts w:cs="Arial"/>
          <w:lang w:val="fr-FR"/>
        </w:rPr>
        <w:t xml:space="preserve"> </w:t>
      </w:r>
      <w:proofErr w:type="spellStart"/>
      <w:r w:rsidR="002176E9" w:rsidRPr="00F85A58">
        <w:rPr>
          <w:rFonts w:cs="Arial"/>
          <w:lang w:val="fr-FR"/>
        </w:rPr>
        <w:t>concerning</w:t>
      </w:r>
      <w:proofErr w:type="spellEnd"/>
      <w:r w:rsidR="002176E9" w:rsidRPr="00F85A58">
        <w:rPr>
          <w:rFonts w:cs="Arial"/>
          <w:lang w:val="fr-FR"/>
        </w:rPr>
        <w:t xml:space="preserve"> </w:t>
      </w:r>
      <w:proofErr w:type="spellStart"/>
      <w:r w:rsidR="002176E9" w:rsidRPr="00F85A58">
        <w:rPr>
          <w:rFonts w:cs="Arial"/>
          <w:lang w:val="fr-FR"/>
        </w:rPr>
        <w:t>variety</w:t>
      </w:r>
      <w:proofErr w:type="spellEnd"/>
      <w:r w:rsidR="002176E9" w:rsidRPr="00F85A58">
        <w:rPr>
          <w:rFonts w:cs="Arial"/>
          <w:lang w:val="fr-FR"/>
        </w:rPr>
        <w:t xml:space="preserve"> descriptions” </w:t>
      </w:r>
      <w:r w:rsidR="009C0405" w:rsidRPr="00F85A58">
        <w:rPr>
          <w:rFonts w:cs="Arial"/>
          <w:lang w:val="fr-FR"/>
        </w:rPr>
        <w:t>et a suivi un exposé présenté par un expert de l</w:t>
      </w:r>
      <w:r w:rsidR="005752E4" w:rsidRPr="00F85A58">
        <w:rPr>
          <w:rFonts w:cs="Arial"/>
          <w:lang w:val="fr-FR"/>
        </w:rPr>
        <w:t>’</w:t>
      </w:r>
      <w:r w:rsidR="009C0405" w:rsidRPr="00F85A58">
        <w:rPr>
          <w:rFonts w:cs="Arial"/>
          <w:lang w:val="fr-FR"/>
        </w:rPr>
        <w:t xml:space="preserve">Union européenne sur </w:t>
      </w:r>
      <w:r w:rsidRPr="00F85A58">
        <w:rPr>
          <w:rFonts w:cs="Arial"/>
          <w:lang w:val="fr-FR"/>
        </w:rPr>
        <w:t>“</w:t>
      </w:r>
      <w:r w:rsidR="00EB7661" w:rsidRPr="00F85A58">
        <w:rPr>
          <w:rFonts w:cs="Arial"/>
          <w:lang w:val="fr-FR"/>
        </w:rPr>
        <w:t>Les d</w:t>
      </w:r>
      <w:r w:rsidR="006E496A" w:rsidRPr="00F85A58">
        <w:rPr>
          <w:rFonts w:cs="Arial"/>
          <w:lang w:val="fr-FR"/>
        </w:rPr>
        <w:t>onnées d</w:t>
      </w:r>
      <w:r w:rsidR="005752E4" w:rsidRPr="00F85A58">
        <w:rPr>
          <w:rFonts w:cs="Arial"/>
          <w:lang w:val="fr-FR"/>
        </w:rPr>
        <w:t>’</w:t>
      </w:r>
      <w:r w:rsidR="006E496A" w:rsidRPr="00F85A58">
        <w:rPr>
          <w:rFonts w:cs="Arial"/>
          <w:lang w:val="fr-FR"/>
        </w:rPr>
        <w:t>expérience concernant les descriptions va</w:t>
      </w:r>
      <w:r w:rsidR="00782060" w:rsidRPr="00F85A58">
        <w:rPr>
          <w:rFonts w:cs="Arial"/>
          <w:lang w:val="fr-FR"/>
        </w:rPr>
        <w:t>r</w:t>
      </w:r>
      <w:r w:rsidR="006E496A" w:rsidRPr="00F85A58">
        <w:rPr>
          <w:rFonts w:cs="Arial"/>
          <w:lang w:val="fr-FR"/>
        </w:rPr>
        <w:t>iétales et le contrôle du maintien de la variété à l</w:t>
      </w:r>
      <w:r w:rsidR="005752E4" w:rsidRPr="00F85A58">
        <w:rPr>
          <w:rFonts w:cs="Arial"/>
          <w:lang w:val="fr-FR"/>
        </w:rPr>
        <w:t>’</w:t>
      </w:r>
      <w:r w:rsidR="006E496A" w:rsidRPr="00F85A58">
        <w:rPr>
          <w:rFonts w:cs="Arial"/>
          <w:lang w:val="fr-FR"/>
        </w:rPr>
        <w:t>Office communautaire des variétés végétales (OCVV) de l</w:t>
      </w:r>
      <w:r w:rsidR="005752E4" w:rsidRPr="00F85A58">
        <w:rPr>
          <w:rFonts w:cs="Arial"/>
          <w:lang w:val="fr-FR"/>
        </w:rPr>
        <w:t>’</w:t>
      </w:r>
      <w:r w:rsidR="006E496A" w:rsidRPr="00F85A58">
        <w:rPr>
          <w:rFonts w:cs="Arial"/>
          <w:lang w:val="fr-FR"/>
        </w:rPr>
        <w:t>Union européenne</w:t>
      </w:r>
      <w:r w:rsidRPr="00F85A58">
        <w:rPr>
          <w:rFonts w:cs="Arial"/>
          <w:lang w:val="fr-FR"/>
        </w:rPr>
        <w:t>”</w:t>
      </w:r>
      <w:r w:rsidR="002176E9" w:rsidRPr="00F85A58">
        <w:rPr>
          <w:rFonts w:cs="Arial"/>
          <w:lang w:val="fr-FR"/>
        </w:rPr>
        <w:t>.</w:t>
      </w:r>
      <w:r w:rsidRPr="00F85A58">
        <w:rPr>
          <w:rFonts w:cs="Arial"/>
          <w:lang w:val="fr-FR"/>
        </w:rPr>
        <w:t xml:space="preserve"> </w:t>
      </w:r>
      <w:r w:rsidR="005752E4" w:rsidRPr="00F85A58">
        <w:rPr>
          <w:rFonts w:cs="Arial"/>
          <w:lang w:val="fr-FR"/>
        </w:rPr>
        <w:t xml:space="preserve"> Le TWA</w:t>
      </w:r>
      <w:r w:rsidRPr="00F85A58">
        <w:rPr>
          <w:rFonts w:cs="Arial"/>
          <w:lang w:val="fr-FR"/>
        </w:rPr>
        <w:t xml:space="preserve"> </w:t>
      </w:r>
      <w:r w:rsidR="006E496A" w:rsidRPr="00F85A58">
        <w:rPr>
          <w:rFonts w:cs="Arial"/>
          <w:lang w:val="fr-FR"/>
        </w:rPr>
        <w:t xml:space="preserve">est </w:t>
      </w:r>
      <w:proofErr w:type="gramStart"/>
      <w:r w:rsidR="006E496A" w:rsidRPr="00F85A58">
        <w:rPr>
          <w:rFonts w:cs="Arial"/>
          <w:lang w:val="fr-FR"/>
        </w:rPr>
        <w:t>convenu</w:t>
      </w:r>
      <w:proofErr w:type="gramEnd"/>
      <w:r w:rsidR="006E496A" w:rsidRPr="00F85A58">
        <w:rPr>
          <w:rFonts w:cs="Arial"/>
          <w:lang w:val="fr-FR"/>
        </w:rPr>
        <w:t xml:space="preserve"> d</w:t>
      </w:r>
      <w:r w:rsidR="005752E4" w:rsidRPr="00F85A58">
        <w:rPr>
          <w:rFonts w:cs="Arial"/>
          <w:lang w:val="fr-FR"/>
        </w:rPr>
        <w:t>’</w:t>
      </w:r>
      <w:r w:rsidR="006E496A" w:rsidRPr="00F85A58">
        <w:rPr>
          <w:rFonts w:cs="Arial"/>
          <w:lang w:val="fr-FR"/>
        </w:rPr>
        <w:t>inviter l</w:t>
      </w:r>
      <w:r w:rsidR="005752E4" w:rsidRPr="00F85A58">
        <w:rPr>
          <w:rFonts w:cs="Arial"/>
          <w:lang w:val="fr-FR"/>
        </w:rPr>
        <w:t>’</w:t>
      </w:r>
      <w:r w:rsidR="006E496A" w:rsidRPr="00F85A58">
        <w:rPr>
          <w:rFonts w:cs="Arial"/>
          <w:lang w:val="fr-FR"/>
        </w:rPr>
        <w:t>Allemagne, l</w:t>
      </w:r>
      <w:r w:rsidR="005752E4" w:rsidRPr="00F85A58">
        <w:rPr>
          <w:rFonts w:cs="Arial"/>
          <w:lang w:val="fr-FR"/>
        </w:rPr>
        <w:t>’</w:t>
      </w:r>
      <w:r w:rsidRPr="00F85A58">
        <w:rPr>
          <w:rFonts w:cs="Arial"/>
          <w:lang w:val="fr-FR"/>
        </w:rPr>
        <w:t>Australi</w:t>
      </w:r>
      <w:r w:rsidR="006E496A" w:rsidRPr="00F85A58">
        <w:rPr>
          <w:rFonts w:cs="Arial"/>
          <w:lang w:val="fr-FR"/>
        </w:rPr>
        <w:t>e et l</w:t>
      </w:r>
      <w:r w:rsidR="005752E4" w:rsidRPr="00F85A58">
        <w:rPr>
          <w:rFonts w:cs="Arial"/>
          <w:lang w:val="fr-FR"/>
        </w:rPr>
        <w:t>’</w:t>
      </w:r>
      <w:r w:rsidR="006E496A" w:rsidRPr="00F85A58">
        <w:rPr>
          <w:rFonts w:cs="Arial"/>
          <w:lang w:val="fr-FR"/>
        </w:rPr>
        <w:t>Union européenne a présent</w:t>
      </w:r>
      <w:r w:rsidR="00AB29B0" w:rsidRPr="00F85A58">
        <w:rPr>
          <w:rFonts w:cs="Arial"/>
          <w:lang w:val="fr-FR"/>
        </w:rPr>
        <w:t>é</w:t>
      </w:r>
      <w:r w:rsidR="006E496A" w:rsidRPr="00F85A58">
        <w:rPr>
          <w:rFonts w:cs="Arial"/>
          <w:lang w:val="fr-FR"/>
        </w:rPr>
        <w:t xml:space="preserve"> un exposé sur les descriptions variétales à sa quarante</w:t>
      </w:r>
      <w:r w:rsidR="00F85A58" w:rsidRPr="00F85A58">
        <w:rPr>
          <w:rFonts w:cs="Arial"/>
          <w:lang w:val="fr-FR"/>
        </w:rPr>
        <w:noBreakHyphen/>
      </w:r>
      <w:r w:rsidR="006E496A" w:rsidRPr="00F85A58">
        <w:rPr>
          <w:rFonts w:cs="Arial"/>
          <w:lang w:val="fr-FR"/>
        </w:rPr>
        <w:t>cinquième session</w:t>
      </w:r>
      <w:r w:rsidRPr="00F85A58">
        <w:rPr>
          <w:rFonts w:cs="Arial"/>
          <w:lang w:val="fr-FR"/>
        </w:rPr>
        <w:t xml:space="preserve">, </w:t>
      </w:r>
      <w:r w:rsidR="0043346A" w:rsidRPr="00F85A58">
        <w:rPr>
          <w:rFonts w:cs="Arial"/>
          <w:lang w:val="fr-FR"/>
        </w:rPr>
        <w:t>qui se tiendra en </w:t>
      </w:r>
      <w:r w:rsidRPr="00F85A58">
        <w:rPr>
          <w:rFonts w:cs="Arial"/>
          <w:lang w:val="fr-FR"/>
        </w:rPr>
        <w:t>2016.</w:t>
      </w:r>
    </w:p>
    <w:p w:rsidR="00BA14DE" w:rsidRPr="00F85A58" w:rsidRDefault="00BA14DE" w:rsidP="003570DF">
      <w:pPr>
        <w:rPr>
          <w:rFonts w:cs="Arial"/>
          <w:lang w:val="fr-FR"/>
        </w:rPr>
      </w:pPr>
    </w:p>
    <w:p w:rsidR="00BA14DE"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A80C92" w:rsidRPr="00F85A58">
        <w:rPr>
          <w:rFonts w:cs="Arial"/>
          <w:lang w:val="fr-FR"/>
        </w:rPr>
        <w:t xml:space="preserve">En ce qui concerne les expériences </w:t>
      </w:r>
      <w:r w:rsidR="00050C4D" w:rsidRPr="00F85A58">
        <w:rPr>
          <w:rFonts w:cs="Arial"/>
          <w:lang w:val="fr-FR"/>
        </w:rPr>
        <w:t xml:space="preserve">avec </w:t>
      </w:r>
      <w:r w:rsidR="00A80C92" w:rsidRPr="00F85A58">
        <w:rPr>
          <w:rFonts w:cs="Arial"/>
          <w:lang w:val="fr-FR"/>
        </w:rPr>
        <w:t>de nouveaux types et espèces, un expert de l</w:t>
      </w:r>
      <w:r w:rsidR="005752E4" w:rsidRPr="00F85A58">
        <w:rPr>
          <w:rFonts w:cs="Arial"/>
          <w:lang w:val="fr-FR"/>
        </w:rPr>
        <w:t>’</w:t>
      </w:r>
      <w:r w:rsidR="00A80C92" w:rsidRPr="00F85A58">
        <w:rPr>
          <w:rFonts w:cs="Arial"/>
          <w:lang w:val="fr-FR"/>
        </w:rPr>
        <w:t xml:space="preserve">Argentine a rendu compte des </w:t>
      </w:r>
      <w:r w:rsidR="00EB7661" w:rsidRPr="00F85A58">
        <w:rPr>
          <w:rFonts w:cs="Arial"/>
          <w:lang w:val="fr-FR"/>
        </w:rPr>
        <w:t xml:space="preserve">nouvelles variétés de </w:t>
      </w:r>
      <w:proofErr w:type="spellStart"/>
      <w:r w:rsidRPr="00F85A58">
        <w:rPr>
          <w:rFonts w:cs="Arial"/>
          <w:i/>
          <w:lang w:val="fr-FR"/>
        </w:rPr>
        <w:t>Trichloris</w:t>
      </w:r>
      <w:proofErr w:type="spellEnd"/>
      <w:r w:rsidRPr="00F85A58">
        <w:rPr>
          <w:rFonts w:cs="Arial"/>
          <w:i/>
          <w:lang w:val="fr-FR"/>
        </w:rPr>
        <w:t> </w:t>
      </w:r>
      <w:proofErr w:type="spellStart"/>
      <w:r w:rsidRPr="00F85A58">
        <w:rPr>
          <w:rFonts w:cs="Arial"/>
          <w:i/>
          <w:lang w:val="fr-FR"/>
        </w:rPr>
        <w:t>crinita</w:t>
      </w:r>
      <w:proofErr w:type="spellEnd"/>
      <w:r w:rsidR="00B34592" w:rsidRPr="00F85A58">
        <w:rPr>
          <w:rFonts w:cs="Arial"/>
          <w:lang w:val="fr-FR"/>
        </w:rPr>
        <w:t xml:space="preserve"> ayant </w:t>
      </w:r>
      <w:r w:rsidR="00AB29B0" w:rsidRPr="00F85A58">
        <w:rPr>
          <w:rFonts w:cs="Arial"/>
          <w:lang w:val="fr-FR"/>
        </w:rPr>
        <w:t>obtenu</w:t>
      </w:r>
      <w:r w:rsidR="00B34592" w:rsidRPr="00F85A58">
        <w:rPr>
          <w:rFonts w:cs="Arial"/>
          <w:lang w:val="fr-FR"/>
        </w:rPr>
        <w:t xml:space="preserve"> la protection pour les obtentions végétales et ayant été inscrites au catalogue nation</w:t>
      </w:r>
      <w:r w:rsidR="00F85A58" w:rsidRPr="00F85A58">
        <w:rPr>
          <w:rFonts w:cs="Arial"/>
          <w:lang w:val="fr-FR"/>
        </w:rPr>
        <w:t>al.  Un</w:t>
      </w:r>
      <w:r w:rsidR="00B34592" w:rsidRPr="00F85A58">
        <w:rPr>
          <w:rFonts w:cs="Arial"/>
          <w:lang w:val="fr-FR"/>
        </w:rPr>
        <w:t xml:space="preserve"> expert des Pays</w:t>
      </w:r>
      <w:r w:rsidR="00F85A58" w:rsidRPr="00F85A58">
        <w:rPr>
          <w:rFonts w:cs="Arial"/>
          <w:lang w:val="fr-FR"/>
        </w:rPr>
        <w:noBreakHyphen/>
      </w:r>
      <w:r w:rsidR="00B34592" w:rsidRPr="00F85A58">
        <w:rPr>
          <w:rFonts w:cs="Arial"/>
          <w:lang w:val="fr-FR"/>
        </w:rPr>
        <w:t xml:space="preserve">Bas a rendu compte de demandes relatives à de nouvelles variétés de </w:t>
      </w:r>
      <w:proofErr w:type="spellStart"/>
      <w:r w:rsidRPr="00F85A58">
        <w:rPr>
          <w:rFonts w:cs="Arial"/>
          <w:i/>
          <w:lang w:val="fr-FR"/>
        </w:rPr>
        <w:t>Solanum</w:t>
      </w:r>
      <w:proofErr w:type="spellEnd"/>
      <w:r w:rsidRPr="00F85A58">
        <w:rPr>
          <w:rFonts w:cs="Arial"/>
          <w:i/>
          <w:lang w:val="fr-FR"/>
        </w:rPr>
        <w:t> </w:t>
      </w:r>
      <w:proofErr w:type="spellStart"/>
      <w:r w:rsidRPr="00F85A58">
        <w:rPr>
          <w:rFonts w:cs="Arial"/>
          <w:i/>
          <w:lang w:val="fr-FR"/>
        </w:rPr>
        <w:t>sisymbriifolium</w:t>
      </w:r>
      <w:proofErr w:type="spellEnd"/>
      <w:r w:rsidRPr="00F85A58">
        <w:rPr>
          <w:rFonts w:cs="Arial"/>
          <w:lang w:val="fr-FR"/>
        </w:rPr>
        <w:t xml:space="preserve"> </w:t>
      </w:r>
      <w:r w:rsidR="00B34592" w:rsidRPr="00F85A58">
        <w:rPr>
          <w:rFonts w:cs="Arial"/>
          <w:lang w:val="fr-FR"/>
        </w:rPr>
        <w:t>et d</w:t>
      </w:r>
      <w:r w:rsidR="005752E4" w:rsidRPr="00F85A58">
        <w:rPr>
          <w:rFonts w:cs="Arial"/>
          <w:lang w:val="fr-FR"/>
        </w:rPr>
        <w:t>’</w:t>
      </w:r>
      <w:r w:rsidR="00B34592" w:rsidRPr="00F85A58">
        <w:rPr>
          <w:rFonts w:cs="Arial"/>
          <w:lang w:val="fr-FR"/>
        </w:rPr>
        <w:t xml:space="preserve">une demande concernant une variété </w:t>
      </w:r>
      <w:r w:rsidR="00A36906" w:rsidRPr="00F85A58">
        <w:rPr>
          <w:rFonts w:cs="Arial"/>
          <w:lang w:val="fr-FR"/>
        </w:rPr>
        <w:t>de pommes de terre reproduite par voie sexuée</w:t>
      </w:r>
      <w:r w:rsidRPr="00F85A58">
        <w:rPr>
          <w:rFonts w:cs="Arial"/>
          <w:lang w:val="fr-FR"/>
        </w:rPr>
        <w:t>.</w:t>
      </w:r>
    </w:p>
    <w:p w:rsidR="00BA14DE" w:rsidRPr="00F85A58" w:rsidRDefault="00BA14DE" w:rsidP="003570DF">
      <w:pPr>
        <w:rPr>
          <w:rFonts w:cs="Arial"/>
          <w:lang w:val="fr-FR"/>
        </w:rPr>
      </w:pPr>
    </w:p>
    <w:p w:rsidR="005752E4" w:rsidRPr="00F85A58" w:rsidRDefault="003570DF" w:rsidP="003570DF">
      <w:pPr>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F1692C" w:rsidRPr="00F85A58">
        <w:rPr>
          <w:rFonts w:cs="Arial"/>
          <w:lang w:val="fr-FR"/>
        </w:rPr>
        <w:t>Le</w:t>
      </w:r>
      <w:r w:rsidRPr="00F85A58">
        <w:rPr>
          <w:rFonts w:cs="Arial"/>
          <w:lang w:val="fr-FR"/>
        </w:rPr>
        <w:t xml:space="preserve"> TWA </w:t>
      </w:r>
      <w:r w:rsidR="00F1692C" w:rsidRPr="00F85A58">
        <w:rPr>
          <w:rFonts w:cs="Arial"/>
          <w:lang w:val="fr-FR"/>
        </w:rPr>
        <w:t>a examiné les projets de principes directeurs d</w:t>
      </w:r>
      <w:r w:rsidR="005752E4" w:rsidRPr="00F85A58">
        <w:rPr>
          <w:rFonts w:cs="Arial"/>
          <w:lang w:val="fr-FR"/>
        </w:rPr>
        <w:t>’</w:t>
      </w:r>
      <w:r w:rsidR="00F1692C" w:rsidRPr="00F85A58">
        <w:rPr>
          <w:rFonts w:cs="Arial"/>
          <w:lang w:val="fr-FR"/>
        </w:rPr>
        <w:t xml:space="preserve">examen </w:t>
      </w:r>
      <w:r w:rsidR="007F6C28" w:rsidRPr="00F85A58">
        <w:rPr>
          <w:rFonts w:cs="Arial"/>
          <w:lang w:val="fr-FR"/>
        </w:rPr>
        <w:t>suivants</w:t>
      </w:r>
      <w:r w:rsidR="00342006" w:rsidRPr="00F85A58">
        <w:rPr>
          <w:rFonts w:cs="Arial"/>
          <w:lang w:val="fr-FR"/>
        </w:rPr>
        <w:t> </w:t>
      </w:r>
      <w:r w:rsidR="007F6C28" w:rsidRPr="00F85A58">
        <w:rPr>
          <w:rFonts w:cs="Arial"/>
          <w:lang w:val="fr-FR"/>
        </w:rPr>
        <w:t xml:space="preserve">: avoine (révision), blé (révision), </w:t>
      </w:r>
      <w:r w:rsidR="00F1692C" w:rsidRPr="00F85A58">
        <w:rPr>
          <w:rFonts w:cs="Arial"/>
          <w:lang w:val="fr-FR"/>
        </w:rPr>
        <w:t xml:space="preserve">coton </w:t>
      </w:r>
      <w:r w:rsidRPr="00F85A58">
        <w:rPr>
          <w:rFonts w:cs="Arial"/>
          <w:lang w:val="fr-FR"/>
        </w:rPr>
        <w:t>(r</w:t>
      </w:r>
      <w:r w:rsidR="00F1692C" w:rsidRPr="00F85A58">
        <w:rPr>
          <w:rFonts w:cs="Arial"/>
          <w:lang w:val="fr-FR"/>
        </w:rPr>
        <w:t>é</w:t>
      </w:r>
      <w:r w:rsidRPr="00F85A58">
        <w:rPr>
          <w:rFonts w:cs="Arial"/>
          <w:lang w:val="fr-FR"/>
        </w:rPr>
        <w:t>visio</w:t>
      </w:r>
      <w:r w:rsidR="00314928" w:rsidRPr="00F85A58">
        <w:rPr>
          <w:rFonts w:cs="Arial"/>
          <w:lang w:val="fr-FR"/>
        </w:rPr>
        <w:t xml:space="preserve">n), </w:t>
      </w:r>
      <w:r w:rsidR="003C5A04" w:rsidRPr="00F85A58">
        <w:rPr>
          <w:rFonts w:cs="Arial"/>
          <w:lang w:val="fr-FR"/>
        </w:rPr>
        <w:t>féverole</w:t>
      </w:r>
      <w:r w:rsidR="00314928" w:rsidRPr="00F85A58">
        <w:rPr>
          <w:rFonts w:cs="Arial"/>
          <w:lang w:val="fr-FR"/>
        </w:rPr>
        <w:t xml:space="preserve"> (r</w:t>
      </w:r>
      <w:r w:rsidR="003C5A04" w:rsidRPr="00F85A58">
        <w:rPr>
          <w:rFonts w:cs="Arial"/>
          <w:lang w:val="fr-FR"/>
        </w:rPr>
        <w:t>é</w:t>
      </w:r>
      <w:r w:rsidR="00314928" w:rsidRPr="00F85A58">
        <w:rPr>
          <w:rFonts w:cs="Arial"/>
          <w:lang w:val="fr-FR"/>
        </w:rPr>
        <w:t xml:space="preserve">vision), </w:t>
      </w:r>
      <w:r w:rsidR="003D56E8" w:rsidRPr="00F85A58">
        <w:rPr>
          <w:rFonts w:cs="Arial"/>
          <w:lang w:val="fr-FR"/>
        </w:rPr>
        <w:t>q</w:t>
      </w:r>
      <w:r w:rsidRPr="00F85A58">
        <w:rPr>
          <w:rFonts w:cs="Arial"/>
          <w:lang w:val="fr-FR"/>
        </w:rPr>
        <w:t>uinoa</w:t>
      </w:r>
      <w:r w:rsidR="007F6C28" w:rsidRPr="00F85A58">
        <w:rPr>
          <w:rFonts w:cs="Arial"/>
          <w:lang w:val="fr-FR"/>
        </w:rPr>
        <w:t xml:space="preserve"> et </w:t>
      </w:r>
      <w:r w:rsidR="003C5A04" w:rsidRPr="00F85A58">
        <w:rPr>
          <w:rFonts w:cs="Arial"/>
          <w:lang w:val="fr-FR"/>
        </w:rPr>
        <w:t>soja</w:t>
      </w:r>
      <w:r w:rsidRPr="00F85A58">
        <w:rPr>
          <w:rFonts w:cs="Arial"/>
          <w:lang w:val="fr-FR"/>
        </w:rPr>
        <w:t xml:space="preserve"> (r</w:t>
      </w:r>
      <w:r w:rsidR="003C5A04" w:rsidRPr="00F85A58">
        <w:rPr>
          <w:rFonts w:cs="Arial"/>
          <w:lang w:val="fr-FR"/>
        </w:rPr>
        <w:t>é</w:t>
      </w:r>
      <w:r w:rsidRPr="00F85A58">
        <w:rPr>
          <w:rFonts w:cs="Arial"/>
          <w:lang w:val="fr-FR"/>
        </w:rPr>
        <w:t>visi</w:t>
      </w:r>
      <w:r w:rsidR="00F85A58" w:rsidRPr="00F85A58">
        <w:rPr>
          <w:rFonts w:cs="Arial"/>
          <w:lang w:val="fr-FR"/>
        </w:rPr>
        <w:t>on).  Au</w:t>
      </w:r>
      <w:r w:rsidR="003C5A04" w:rsidRPr="00F85A58">
        <w:rPr>
          <w:rFonts w:cs="Arial"/>
          <w:lang w:val="fr-FR"/>
        </w:rPr>
        <w:t>cun parmi ces principes directeurs n</w:t>
      </w:r>
      <w:r w:rsidR="005752E4" w:rsidRPr="00F85A58">
        <w:rPr>
          <w:rFonts w:cs="Arial"/>
          <w:lang w:val="fr-FR"/>
        </w:rPr>
        <w:t>’</w:t>
      </w:r>
      <w:r w:rsidR="003C5A04" w:rsidRPr="00F85A58">
        <w:rPr>
          <w:rFonts w:cs="Arial"/>
          <w:lang w:val="fr-FR"/>
        </w:rPr>
        <w:t>avait été mis au point de façon définitive aux fins de présentation au</w:t>
      </w:r>
      <w:r w:rsidR="005752E4" w:rsidRPr="00F85A58">
        <w:rPr>
          <w:rFonts w:cs="Arial"/>
          <w:lang w:val="fr-FR"/>
        </w:rPr>
        <w:t> TC</w:t>
      </w:r>
      <w:r w:rsidR="003C5A04" w:rsidRPr="00F85A58">
        <w:rPr>
          <w:rFonts w:cs="Arial"/>
          <w:lang w:val="fr-FR"/>
        </w:rPr>
        <w:t xml:space="preserve"> en</w:t>
      </w:r>
      <w:r w:rsidR="00342006" w:rsidRPr="00F85A58">
        <w:rPr>
          <w:rFonts w:cs="Arial"/>
          <w:lang w:val="fr-FR"/>
        </w:rPr>
        <w:t> </w:t>
      </w:r>
      <w:r w:rsidRPr="00F85A58">
        <w:rPr>
          <w:rFonts w:cs="Arial"/>
          <w:lang w:val="fr-FR"/>
        </w:rPr>
        <w:t>201</w:t>
      </w:r>
      <w:r w:rsidR="001746E9" w:rsidRPr="00F85A58">
        <w:rPr>
          <w:rFonts w:cs="Arial"/>
          <w:lang w:val="fr-FR"/>
        </w:rPr>
        <w:t>6</w:t>
      </w:r>
      <w:r w:rsidRPr="00F85A58">
        <w:rPr>
          <w:rFonts w:cs="Arial"/>
          <w:lang w:val="fr-FR"/>
        </w:rPr>
        <w:t>.</w:t>
      </w:r>
    </w:p>
    <w:p w:rsidR="00BA14DE" w:rsidRPr="00F85A58" w:rsidRDefault="00BA14DE" w:rsidP="003570DF">
      <w:pPr>
        <w:contextualSpacing/>
        <w:rPr>
          <w:rFonts w:cs="Arial"/>
          <w:lang w:val="fr-FR"/>
        </w:rPr>
      </w:pPr>
    </w:p>
    <w:p w:rsidR="005752E4" w:rsidRPr="00F85A58" w:rsidRDefault="003570DF" w:rsidP="003D56E8">
      <w:pPr>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3D56E8" w:rsidRPr="00F85A58">
        <w:rPr>
          <w:rFonts w:cs="Arial"/>
          <w:lang w:val="fr-FR"/>
        </w:rPr>
        <w:t xml:space="preserve">Le </w:t>
      </w:r>
      <w:r w:rsidRPr="00F85A58">
        <w:rPr>
          <w:rFonts w:cs="Arial"/>
          <w:lang w:val="fr-FR"/>
        </w:rPr>
        <w:t xml:space="preserve">TWA </w:t>
      </w:r>
      <w:r w:rsidR="007F6C28" w:rsidRPr="00F85A58">
        <w:rPr>
          <w:rFonts w:cs="Arial"/>
          <w:lang w:val="fr-FR"/>
        </w:rPr>
        <w:t xml:space="preserve">est </w:t>
      </w:r>
      <w:proofErr w:type="gramStart"/>
      <w:r w:rsidR="007F6C28" w:rsidRPr="00F85A58">
        <w:rPr>
          <w:rFonts w:cs="Arial"/>
          <w:lang w:val="fr-FR"/>
        </w:rPr>
        <w:t>convenu</w:t>
      </w:r>
      <w:proofErr w:type="gramEnd"/>
      <w:r w:rsidR="003D56E8" w:rsidRPr="00F85A58">
        <w:rPr>
          <w:rFonts w:cs="Arial"/>
          <w:lang w:val="fr-FR"/>
        </w:rPr>
        <w:t xml:space="preserve"> de poursuivre l</w:t>
      </w:r>
      <w:r w:rsidR="005752E4" w:rsidRPr="00F85A58">
        <w:rPr>
          <w:rFonts w:cs="Arial"/>
          <w:lang w:val="fr-FR"/>
        </w:rPr>
        <w:t>’</w:t>
      </w:r>
      <w:r w:rsidR="003D56E8" w:rsidRPr="00F85A58">
        <w:rPr>
          <w:rFonts w:cs="Arial"/>
          <w:lang w:val="fr-FR"/>
        </w:rPr>
        <w:t>examen des principes directeurs d</w:t>
      </w:r>
      <w:r w:rsidR="005752E4" w:rsidRPr="00F85A58">
        <w:rPr>
          <w:rFonts w:cs="Arial"/>
          <w:lang w:val="fr-FR"/>
        </w:rPr>
        <w:t>’</w:t>
      </w:r>
      <w:r w:rsidR="003D56E8" w:rsidRPr="00F85A58">
        <w:rPr>
          <w:rFonts w:cs="Arial"/>
          <w:lang w:val="fr-FR"/>
        </w:rPr>
        <w:t>examen suivants à sa quarante</w:t>
      </w:r>
      <w:r w:rsidR="00F85A58" w:rsidRPr="00F85A58">
        <w:rPr>
          <w:rFonts w:cs="Arial"/>
          <w:lang w:val="fr-FR"/>
        </w:rPr>
        <w:noBreakHyphen/>
      </w:r>
      <w:r w:rsidR="003D56E8" w:rsidRPr="00F85A58">
        <w:rPr>
          <w:rFonts w:cs="Arial"/>
          <w:lang w:val="fr-FR"/>
        </w:rPr>
        <w:t>cinquième</w:t>
      </w:r>
      <w:r w:rsidR="00342006" w:rsidRPr="00F85A58">
        <w:rPr>
          <w:rFonts w:cs="Arial"/>
          <w:lang w:val="fr-FR"/>
        </w:rPr>
        <w:t> </w:t>
      </w:r>
      <w:r w:rsidR="003D56E8" w:rsidRPr="00F85A58">
        <w:rPr>
          <w:rFonts w:cs="Arial"/>
          <w:lang w:val="fr-FR"/>
        </w:rPr>
        <w:t>session </w:t>
      </w:r>
      <w:r w:rsidRPr="00F85A58">
        <w:rPr>
          <w:rFonts w:cs="Arial"/>
          <w:lang w:val="fr-FR"/>
        </w:rPr>
        <w:t xml:space="preserve">: </w:t>
      </w:r>
      <w:r w:rsidR="007F6C28" w:rsidRPr="00F85A58">
        <w:rPr>
          <w:rFonts w:cs="Arial"/>
          <w:lang w:val="fr-FR"/>
        </w:rPr>
        <w:t xml:space="preserve">avoine (révision), blé (révision), chiendent, coton (révision), </w:t>
      </w:r>
      <w:r w:rsidR="00973FC7" w:rsidRPr="00F85A58">
        <w:rPr>
          <w:rFonts w:cs="Arial"/>
          <w:lang w:val="fr-FR"/>
        </w:rPr>
        <w:t xml:space="preserve">féverole (révision), </w:t>
      </w:r>
      <w:r w:rsidR="003D56E8" w:rsidRPr="00F85A58">
        <w:rPr>
          <w:rFonts w:cs="Arial"/>
          <w:lang w:val="fr-FR"/>
        </w:rPr>
        <w:t>orge</w:t>
      </w:r>
      <w:r w:rsidRPr="00F85A58">
        <w:rPr>
          <w:rFonts w:cs="Arial"/>
          <w:lang w:val="fr-FR"/>
        </w:rPr>
        <w:t xml:space="preserve"> (r</w:t>
      </w:r>
      <w:r w:rsidR="003D56E8" w:rsidRPr="00F85A58">
        <w:rPr>
          <w:rFonts w:cs="Arial"/>
          <w:lang w:val="fr-FR"/>
        </w:rPr>
        <w:t>é</w:t>
      </w:r>
      <w:r w:rsidRPr="00F85A58">
        <w:rPr>
          <w:rFonts w:cs="Arial"/>
          <w:lang w:val="fr-FR"/>
        </w:rPr>
        <w:t>vision)</w:t>
      </w:r>
      <w:r w:rsidR="003D56E8" w:rsidRPr="00F85A58">
        <w:rPr>
          <w:rFonts w:cs="Arial"/>
          <w:lang w:val="fr-FR"/>
        </w:rPr>
        <w:t xml:space="preserve">, </w:t>
      </w:r>
      <w:proofErr w:type="spellStart"/>
      <w:r w:rsidR="00973FC7" w:rsidRPr="00F85A58">
        <w:rPr>
          <w:rFonts w:cs="Arial"/>
          <w:lang w:val="fr-FR"/>
        </w:rPr>
        <w:t>phacélie</w:t>
      </w:r>
      <w:proofErr w:type="spellEnd"/>
      <w:r w:rsidR="00973FC7" w:rsidRPr="00F85A58">
        <w:rPr>
          <w:rFonts w:cs="Arial"/>
          <w:lang w:val="fr-FR"/>
        </w:rPr>
        <w:t xml:space="preserve"> à feuilles de tanaisie, quinoa, </w:t>
      </w:r>
      <w:r w:rsidR="003D56E8" w:rsidRPr="00F85A58">
        <w:rPr>
          <w:rFonts w:cs="Arial"/>
          <w:lang w:val="fr-FR"/>
        </w:rPr>
        <w:t xml:space="preserve">ricin, </w:t>
      </w:r>
      <w:r w:rsidR="00973FC7" w:rsidRPr="00F85A58">
        <w:rPr>
          <w:rFonts w:cs="Arial"/>
          <w:lang w:val="fr-FR"/>
        </w:rPr>
        <w:t>soja (révision) et</w:t>
      </w:r>
      <w:r w:rsidRPr="00F85A58">
        <w:rPr>
          <w:rFonts w:cs="Arial"/>
          <w:lang w:val="fr-FR"/>
        </w:rPr>
        <w:t xml:space="preserve"> </w:t>
      </w:r>
      <w:r w:rsidR="003D56E8" w:rsidRPr="00F85A58">
        <w:rPr>
          <w:rFonts w:cs="Arial"/>
          <w:lang w:val="fr-FR"/>
        </w:rPr>
        <w:t>trèfle violet</w:t>
      </w:r>
      <w:r w:rsidRPr="00F85A58">
        <w:rPr>
          <w:rFonts w:cs="Arial"/>
          <w:lang w:val="fr-FR"/>
        </w:rPr>
        <w:t xml:space="preserve"> (r</w:t>
      </w:r>
      <w:r w:rsidR="003D56E8" w:rsidRPr="00F85A58">
        <w:rPr>
          <w:rFonts w:cs="Arial"/>
          <w:lang w:val="fr-FR"/>
        </w:rPr>
        <w:t>é</w:t>
      </w:r>
      <w:r w:rsidRPr="00F85A58">
        <w:rPr>
          <w:rFonts w:cs="Arial"/>
          <w:lang w:val="fr-FR"/>
        </w:rPr>
        <w:t>visi</w:t>
      </w:r>
      <w:r w:rsidR="00F85A58" w:rsidRPr="00F85A58">
        <w:rPr>
          <w:rFonts w:cs="Arial"/>
          <w:lang w:val="fr-FR"/>
        </w:rPr>
        <w:t>on).  Le</w:t>
      </w:r>
      <w:r w:rsidR="007F6C28" w:rsidRPr="00F85A58">
        <w:rPr>
          <w:rFonts w:cs="Arial"/>
          <w:lang w:val="fr-FR"/>
        </w:rPr>
        <w:t>s principes directeurs du blé (révision) devraient parvenir au stade de la présentation au</w:t>
      </w:r>
      <w:r w:rsidR="005752E4" w:rsidRPr="00F85A58">
        <w:rPr>
          <w:rFonts w:cs="Arial"/>
          <w:lang w:val="fr-FR"/>
        </w:rPr>
        <w:t> TC</w:t>
      </w:r>
      <w:r w:rsidR="007F6C28" w:rsidRPr="00F85A58">
        <w:rPr>
          <w:rFonts w:cs="Arial"/>
          <w:lang w:val="fr-FR"/>
        </w:rPr>
        <w:t xml:space="preserve"> en</w:t>
      </w:r>
      <w:r w:rsidR="00342006" w:rsidRPr="00F85A58">
        <w:rPr>
          <w:rFonts w:cs="Arial"/>
          <w:lang w:val="fr-FR"/>
        </w:rPr>
        <w:t> </w:t>
      </w:r>
      <w:r w:rsidRPr="00F85A58">
        <w:rPr>
          <w:rFonts w:cs="Arial"/>
          <w:lang w:val="fr-FR"/>
        </w:rPr>
        <w:t>2016.</w:t>
      </w:r>
    </w:p>
    <w:p w:rsidR="00BA14DE" w:rsidRPr="00F85A58" w:rsidRDefault="00BA14DE" w:rsidP="003570DF">
      <w:pPr>
        <w:contextualSpacing/>
        <w:rPr>
          <w:rFonts w:cs="Arial"/>
          <w:lang w:val="fr-FR"/>
        </w:rPr>
      </w:pPr>
    </w:p>
    <w:p w:rsidR="00BA14DE" w:rsidRPr="00F85A58" w:rsidRDefault="003570DF" w:rsidP="003B6E00">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3B6E00" w:rsidRPr="00F85A58">
        <w:rPr>
          <w:rFonts w:cs="Arial"/>
          <w:lang w:val="fr-FR"/>
        </w:rPr>
        <w:t>À l</w:t>
      </w:r>
      <w:r w:rsidR="005752E4" w:rsidRPr="00F85A58">
        <w:rPr>
          <w:rFonts w:cs="Arial"/>
          <w:lang w:val="fr-FR"/>
        </w:rPr>
        <w:t>’</w:t>
      </w:r>
      <w:r w:rsidR="003B6E00" w:rsidRPr="00F85A58">
        <w:rPr>
          <w:rFonts w:cs="Arial"/>
          <w:lang w:val="fr-FR"/>
        </w:rPr>
        <w:t>invitation du Mexique,</w:t>
      </w:r>
      <w:r w:rsidR="005752E4" w:rsidRPr="00F85A58">
        <w:rPr>
          <w:rFonts w:cs="Arial"/>
          <w:lang w:val="fr-FR"/>
        </w:rPr>
        <w:t xml:space="preserve"> le TWA</w:t>
      </w:r>
      <w:r w:rsidR="003B6E00" w:rsidRPr="00F85A58">
        <w:rPr>
          <w:rFonts w:cs="Arial"/>
          <w:lang w:val="fr-FR"/>
        </w:rPr>
        <w:t xml:space="preserve"> est convenu de tenir sa quarante</w:t>
      </w:r>
      <w:r w:rsidR="00F85A58" w:rsidRPr="00F85A58">
        <w:rPr>
          <w:rFonts w:cs="Arial"/>
          <w:lang w:val="fr-FR"/>
        </w:rPr>
        <w:noBreakHyphen/>
      </w:r>
      <w:r w:rsidR="003B6E00" w:rsidRPr="00F85A58">
        <w:rPr>
          <w:rFonts w:cs="Arial"/>
          <w:lang w:val="fr-FR"/>
        </w:rPr>
        <w:t>cinquième</w:t>
      </w:r>
      <w:r w:rsidR="00342006" w:rsidRPr="00F85A58">
        <w:rPr>
          <w:rFonts w:cs="Arial"/>
          <w:lang w:val="fr-FR"/>
        </w:rPr>
        <w:t> </w:t>
      </w:r>
      <w:r w:rsidR="003B6E00" w:rsidRPr="00F85A58">
        <w:rPr>
          <w:rFonts w:cs="Arial"/>
          <w:lang w:val="fr-FR"/>
        </w:rPr>
        <w:t xml:space="preserve">session à </w:t>
      </w:r>
      <w:r w:rsidR="009C28C1" w:rsidRPr="00F85A58">
        <w:rPr>
          <w:rFonts w:cs="Arial"/>
          <w:lang w:val="fr-FR"/>
        </w:rPr>
        <w:t>Queré</w:t>
      </w:r>
      <w:r w:rsidR="003B6E00" w:rsidRPr="00F85A58">
        <w:rPr>
          <w:rFonts w:cs="Arial"/>
          <w:lang w:val="fr-FR"/>
        </w:rPr>
        <w:t>taro (Mexique) du 11 au 1</w:t>
      </w:r>
      <w:r w:rsidR="005752E4" w:rsidRPr="00F85A58">
        <w:rPr>
          <w:rFonts w:cs="Arial"/>
          <w:lang w:val="fr-FR"/>
        </w:rPr>
        <w:t>5 juillet 20</w:t>
      </w:r>
      <w:r w:rsidR="003B6E00" w:rsidRPr="00F85A58">
        <w:rPr>
          <w:rFonts w:cs="Arial"/>
          <w:lang w:val="fr-FR"/>
        </w:rPr>
        <w:t>16, un atelier</w:t>
      </w:r>
      <w:r w:rsidR="009C28C1" w:rsidRPr="00F85A58">
        <w:rPr>
          <w:rFonts w:cs="Arial"/>
          <w:lang w:val="fr-FR"/>
        </w:rPr>
        <w:t xml:space="preserve"> préparatoire étant prévu le 10 juillet </w:t>
      </w:r>
      <w:r w:rsidR="003B6E00" w:rsidRPr="00F85A58">
        <w:rPr>
          <w:rFonts w:cs="Arial"/>
          <w:lang w:val="fr-FR"/>
        </w:rPr>
        <w:t>2016.</w:t>
      </w:r>
    </w:p>
    <w:p w:rsidR="00BA14DE" w:rsidRPr="00F85A58" w:rsidRDefault="00BA14DE" w:rsidP="003570DF">
      <w:pPr>
        <w:rPr>
          <w:rFonts w:cs="Arial"/>
          <w:lang w:val="fr-FR"/>
        </w:rPr>
      </w:pPr>
    </w:p>
    <w:p w:rsidR="00BA14DE" w:rsidRPr="00F85A58" w:rsidRDefault="003570DF" w:rsidP="003B6E00">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3B6E00" w:rsidRPr="00F85A58">
        <w:rPr>
          <w:rFonts w:cs="Arial"/>
          <w:lang w:val="fr-FR"/>
        </w:rPr>
        <w:t>Le TWA a proposé que les points ci</w:t>
      </w:r>
      <w:r w:rsidR="00F85A58" w:rsidRPr="00F85A58">
        <w:rPr>
          <w:rFonts w:cs="Arial"/>
          <w:lang w:val="fr-FR"/>
        </w:rPr>
        <w:noBreakHyphen/>
      </w:r>
      <w:r w:rsidR="003B6E00" w:rsidRPr="00F85A58">
        <w:rPr>
          <w:rFonts w:cs="Arial"/>
          <w:lang w:val="fr-FR"/>
        </w:rPr>
        <w:t>après soient discutés à cette session</w:t>
      </w:r>
      <w:r w:rsidR="00342006" w:rsidRPr="00F85A58">
        <w:rPr>
          <w:rFonts w:cs="Arial"/>
          <w:lang w:val="fr-FR"/>
        </w:rPr>
        <w:t> </w:t>
      </w:r>
      <w:r w:rsidR="003B6E00" w:rsidRPr="00F85A58">
        <w:rPr>
          <w:rFonts w:cs="Arial"/>
          <w:lang w:val="fr-FR"/>
        </w:rPr>
        <w:t>:</w:t>
      </w:r>
    </w:p>
    <w:p w:rsidR="00BA14DE" w:rsidRPr="00F85A58" w:rsidRDefault="00BA14DE" w:rsidP="003570DF">
      <w:pPr>
        <w:rPr>
          <w:rFonts w:cs="Arial"/>
          <w:lang w:val="fr-FR"/>
        </w:rPr>
      </w:pPr>
    </w:p>
    <w:p w:rsidR="00BA14DE" w:rsidRPr="00F85A58" w:rsidRDefault="003B6E00" w:rsidP="003B6E00">
      <w:pPr>
        <w:numPr>
          <w:ilvl w:val="0"/>
          <w:numId w:val="7"/>
        </w:numPr>
        <w:tabs>
          <w:tab w:val="clear" w:pos="360"/>
          <w:tab w:val="num" w:pos="1134"/>
        </w:tabs>
        <w:ind w:left="567" w:firstLine="0"/>
        <w:rPr>
          <w:rFonts w:cs="Arial"/>
          <w:lang w:val="fr-FR"/>
        </w:rPr>
      </w:pPr>
      <w:r w:rsidRPr="00F85A58">
        <w:rPr>
          <w:rFonts w:cs="Arial"/>
          <w:lang w:val="fr-FR"/>
        </w:rPr>
        <w:t>Ouverture de la session</w:t>
      </w:r>
    </w:p>
    <w:p w:rsidR="00BA14DE" w:rsidRPr="00F85A58" w:rsidRDefault="003B6E00" w:rsidP="003B6E00">
      <w:pPr>
        <w:numPr>
          <w:ilvl w:val="0"/>
          <w:numId w:val="7"/>
        </w:numPr>
        <w:tabs>
          <w:tab w:val="clear" w:pos="360"/>
          <w:tab w:val="num" w:pos="1134"/>
        </w:tabs>
        <w:ind w:left="567" w:firstLine="0"/>
        <w:rPr>
          <w:rFonts w:cs="Arial"/>
          <w:lang w:val="fr-FR"/>
        </w:rPr>
      </w:pPr>
      <w:r w:rsidRPr="00F85A58">
        <w:rPr>
          <w:rFonts w:cs="Arial"/>
          <w:lang w:val="fr-FR"/>
        </w:rPr>
        <w:t>Adoption de l</w:t>
      </w:r>
      <w:r w:rsidR="005752E4" w:rsidRPr="00F85A58">
        <w:rPr>
          <w:rFonts w:cs="Arial"/>
          <w:lang w:val="fr-FR"/>
        </w:rPr>
        <w:t>’</w:t>
      </w:r>
      <w:r w:rsidRPr="00F85A58">
        <w:rPr>
          <w:rFonts w:cs="Arial"/>
          <w:lang w:val="fr-FR"/>
        </w:rPr>
        <w:t>ordre du jour</w:t>
      </w:r>
    </w:p>
    <w:p w:rsidR="00BA14DE" w:rsidRPr="00F85A58" w:rsidRDefault="003B6E00" w:rsidP="004570E2">
      <w:pPr>
        <w:numPr>
          <w:ilvl w:val="0"/>
          <w:numId w:val="7"/>
        </w:numPr>
        <w:tabs>
          <w:tab w:val="clear" w:pos="360"/>
          <w:tab w:val="num" w:pos="1134"/>
        </w:tabs>
        <w:ind w:left="1134" w:hanging="567"/>
        <w:rPr>
          <w:rFonts w:cs="Arial"/>
          <w:lang w:val="fr-FR"/>
        </w:rPr>
      </w:pPr>
      <w:r w:rsidRPr="00F85A58">
        <w:rPr>
          <w:rFonts w:cs="Arial"/>
          <w:lang w:val="fr-FR"/>
        </w:rPr>
        <w:t>Rapports succincts sur l</w:t>
      </w:r>
      <w:r w:rsidR="005752E4" w:rsidRPr="00F85A58">
        <w:rPr>
          <w:rFonts w:cs="Arial"/>
          <w:lang w:val="fr-FR"/>
        </w:rPr>
        <w:t>’</w:t>
      </w:r>
      <w:r w:rsidRPr="00F85A58">
        <w:rPr>
          <w:rFonts w:cs="Arial"/>
          <w:lang w:val="fr-FR"/>
        </w:rPr>
        <w:t>évolution de la situation en matière de protection des obtentions végétales</w:t>
      </w:r>
    </w:p>
    <w:p w:rsidR="00BA14DE" w:rsidRPr="00F85A58" w:rsidRDefault="003B6E00" w:rsidP="003B6E00">
      <w:pPr>
        <w:numPr>
          <w:ilvl w:val="0"/>
          <w:numId w:val="8"/>
        </w:numPr>
        <w:tabs>
          <w:tab w:val="clear" w:pos="360"/>
          <w:tab w:val="num" w:pos="1134"/>
          <w:tab w:val="num" w:pos="1494"/>
        </w:tabs>
        <w:ind w:left="1134" w:firstLine="0"/>
        <w:rPr>
          <w:rFonts w:cs="Arial"/>
          <w:lang w:val="fr-FR"/>
        </w:rPr>
      </w:pPr>
      <w:r w:rsidRPr="00F85A58">
        <w:rPr>
          <w:rFonts w:cs="Arial"/>
          <w:lang w:val="fr-FR"/>
        </w:rPr>
        <w:t>Rapports des membres et des observateurs</w:t>
      </w:r>
    </w:p>
    <w:p w:rsidR="00BA14DE" w:rsidRPr="00F85A58" w:rsidRDefault="003B6E00" w:rsidP="003B6E00">
      <w:pPr>
        <w:numPr>
          <w:ilvl w:val="0"/>
          <w:numId w:val="8"/>
        </w:numPr>
        <w:tabs>
          <w:tab w:val="clear" w:pos="360"/>
          <w:tab w:val="num" w:pos="1134"/>
          <w:tab w:val="num" w:pos="1494"/>
        </w:tabs>
        <w:ind w:left="1134" w:firstLine="0"/>
        <w:rPr>
          <w:rFonts w:cs="Arial"/>
          <w:lang w:val="fr-FR"/>
        </w:rPr>
      </w:pPr>
      <w:r w:rsidRPr="00F85A58">
        <w:rPr>
          <w:rFonts w:cs="Arial"/>
          <w:lang w:val="fr-FR"/>
        </w:rPr>
        <w:t>Rapports sur les faits nouveaux au sein de l</w:t>
      </w:r>
      <w:r w:rsidR="005752E4" w:rsidRPr="00F85A58">
        <w:rPr>
          <w:rFonts w:cs="Arial"/>
          <w:lang w:val="fr-FR"/>
        </w:rPr>
        <w:t>’</w:t>
      </w:r>
      <w:r w:rsidRPr="00F85A58">
        <w:rPr>
          <w:rFonts w:cs="Arial"/>
          <w:lang w:val="fr-FR"/>
        </w:rPr>
        <w:t>UPOV</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Techniques moléculaires</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Documents TGP</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Dénom</w:t>
      </w:r>
      <w:r w:rsidR="009C28C1" w:rsidRPr="00F85A58">
        <w:rPr>
          <w:rFonts w:cs="Arial"/>
          <w:lang w:val="fr-FR"/>
        </w:rPr>
        <w:t>inations variétales</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Information</w:t>
      </w:r>
      <w:r w:rsidR="007363B3" w:rsidRPr="00F85A58">
        <w:rPr>
          <w:rFonts w:cs="Arial"/>
          <w:lang w:val="fr-FR"/>
        </w:rPr>
        <w:t>s</w:t>
      </w:r>
      <w:r w:rsidRPr="00F85A58">
        <w:rPr>
          <w:rFonts w:cs="Arial"/>
          <w:lang w:val="fr-FR"/>
        </w:rPr>
        <w:t xml:space="preserve"> et bases de données</w:t>
      </w:r>
    </w:p>
    <w:p w:rsidR="00BA14DE" w:rsidRPr="00F85A58" w:rsidRDefault="003B6E00" w:rsidP="003B6E00">
      <w:pPr>
        <w:ind w:left="1134"/>
        <w:rPr>
          <w:rFonts w:cs="Arial"/>
          <w:lang w:val="fr-FR"/>
        </w:rPr>
      </w:pPr>
      <w:r w:rsidRPr="00F85A58">
        <w:rPr>
          <w:rFonts w:cs="Arial"/>
          <w:lang w:val="fr-FR"/>
        </w:rPr>
        <w:t>a)</w:t>
      </w:r>
      <w:r w:rsidRPr="00F85A58">
        <w:rPr>
          <w:rFonts w:cs="Arial"/>
          <w:lang w:val="fr-FR"/>
        </w:rPr>
        <w:tab/>
        <w:t>Bases de données d</w:t>
      </w:r>
      <w:r w:rsidR="005752E4" w:rsidRPr="00F85A58">
        <w:rPr>
          <w:rFonts w:cs="Arial"/>
          <w:lang w:val="fr-FR"/>
        </w:rPr>
        <w:t>’</w:t>
      </w:r>
      <w:r w:rsidRPr="00F85A58">
        <w:rPr>
          <w:rFonts w:cs="Arial"/>
          <w:lang w:val="fr-FR"/>
        </w:rPr>
        <w:t>information de l</w:t>
      </w:r>
      <w:r w:rsidR="005752E4" w:rsidRPr="00F85A58">
        <w:rPr>
          <w:rFonts w:cs="Arial"/>
          <w:lang w:val="fr-FR"/>
        </w:rPr>
        <w:t>’</w:t>
      </w:r>
      <w:r w:rsidRPr="00F85A58">
        <w:rPr>
          <w:rFonts w:cs="Arial"/>
          <w:lang w:val="fr-FR"/>
        </w:rPr>
        <w:t>UPOV</w:t>
      </w:r>
    </w:p>
    <w:p w:rsidR="00BA14DE" w:rsidRPr="00F85A58" w:rsidRDefault="003B6E00" w:rsidP="003B6E00">
      <w:pPr>
        <w:ind w:left="1134"/>
        <w:rPr>
          <w:rFonts w:cs="Arial"/>
          <w:lang w:val="fr-FR"/>
        </w:rPr>
      </w:pPr>
      <w:r w:rsidRPr="00F85A58">
        <w:rPr>
          <w:rFonts w:cs="Arial"/>
          <w:lang w:val="fr-FR"/>
        </w:rPr>
        <w:t>b)</w:t>
      </w:r>
      <w:r w:rsidRPr="00F85A58">
        <w:rPr>
          <w:rFonts w:cs="Arial"/>
          <w:lang w:val="fr-FR"/>
        </w:rPr>
        <w:tab/>
        <w:t>Bases de données sur les descriptions variétales</w:t>
      </w:r>
    </w:p>
    <w:p w:rsidR="00BA14DE" w:rsidRPr="00F85A58" w:rsidRDefault="009C28C1" w:rsidP="003B6E00">
      <w:pPr>
        <w:ind w:left="1134"/>
        <w:rPr>
          <w:rFonts w:cs="Arial"/>
          <w:lang w:val="fr-FR"/>
        </w:rPr>
      </w:pPr>
      <w:r w:rsidRPr="00F85A58">
        <w:rPr>
          <w:rFonts w:cs="Arial"/>
          <w:lang w:val="fr-FR"/>
        </w:rPr>
        <w:t>c)</w:t>
      </w:r>
      <w:r w:rsidRPr="00F85A58">
        <w:rPr>
          <w:rFonts w:cs="Arial"/>
          <w:lang w:val="fr-FR"/>
        </w:rPr>
        <w:tab/>
      </w:r>
      <w:r w:rsidR="003B6E00" w:rsidRPr="00F85A58">
        <w:rPr>
          <w:rFonts w:cs="Arial"/>
          <w:lang w:val="fr-FR"/>
        </w:rPr>
        <w:t>Logiciels échangeables</w:t>
      </w:r>
    </w:p>
    <w:p w:rsidR="00BA14DE" w:rsidRPr="00F85A58" w:rsidRDefault="009C28C1" w:rsidP="003B6E00">
      <w:pPr>
        <w:ind w:left="1134"/>
        <w:rPr>
          <w:rFonts w:cs="Arial"/>
          <w:lang w:val="fr-FR"/>
        </w:rPr>
      </w:pPr>
      <w:r w:rsidRPr="00F85A58">
        <w:rPr>
          <w:rFonts w:cs="Arial"/>
          <w:lang w:val="fr-FR"/>
        </w:rPr>
        <w:t>d)</w:t>
      </w:r>
      <w:r w:rsidRPr="00F85A58">
        <w:rPr>
          <w:rFonts w:cs="Arial"/>
          <w:lang w:val="fr-FR"/>
        </w:rPr>
        <w:tab/>
      </w:r>
      <w:r w:rsidR="003B6E00" w:rsidRPr="00F85A58">
        <w:rPr>
          <w:rFonts w:cs="Arial"/>
          <w:lang w:val="fr-FR"/>
        </w:rPr>
        <w:t>Systèmes de dépôt électronique des demandes</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Évaluation de l</w:t>
      </w:r>
      <w:r w:rsidR="005752E4" w:rsidRPr="00F85A58">
        <w:rPr>
          <w:rFonts w:cs="Arial"/>
          <w:lang w:val="fr-FR"/>
        </w:rPr>
        <w:t>’</w:t>
      </w:r>
      <w:r w:rsidRPr="00F85A58">
        <w:rPr>
          <w:rFonts w:cs="Arial"/>
          <w:lang w:val="fr-FR"/>
        </w:rPr>
        <w:t>homogénéité</w:t>
      </w:r>
    </w:p>
    <w:p w:rsidR="00BA14DE" w:rsidRPr="00F85A58" w:rsidRDefault="00567D9E" w:rsidP="0015330C">
      <w:pPr>
        <w:numPr>
          <w:ilvl w:val="0"/>
          <w:numId w:val="7"/>
        </w:numPr>
        <w:tabs>
          <w:tab w:val="clear" w:pos="360"/>
        </w:tabs>
        <w:ind w:left="1134" w:hanging="567"/>
        <w:rPr>
          <w:rFonts w:cs="Arial"/>
          <w:lang w:val="fr-FR"/>
        </w:rPr>
      </w:pPr>
      <w:r w:rsidRPr="00F85A58">
        <w:rPr>
          <w:rFonts w:cs="Arial"/>
          <w:lang w:val="fr-FR"/>
        </w:rPr>
        <w:t>Données d</w:t>
      </w:r>
      <w:r w:rsidR="005752E4" w:rsidRPr="00F85A58">
        <w:rPr>
          <w:rFonts w:cs="Arial"/>
          <w:lang w:val="fr-FR"/>
        </w:rPr>
        <w:t>’</w:t>
      </w:r>
      <w:r w:rsidRPr="00F85A58">
        <w:rPr>
          <w:rFonts w:cs="Arial"/>
          <w:lang w:val="fr-FR"/>
        </w:rPr>
        <w:t>expérience sur les questions concernant les descriptions variétales</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Expériences avec de nouveaux types et espèces</w:t>
      </w:r>
    </w:p>
    <w:p w:rsidR="00BA14DE" w:rsidRPr="00F85A58" w:rsidRDefault="003570DF" w:rsidP="00BF60BC">
      <w:pPr>
        <w:numPr>
          <w:ilvl w:val="0"/>
          <w:numId w:val="7"/>
        </w:numPr>
        <w:tabs>
          <w:tab w:val="clear" w:pos="360"/>
        </w:tabs>
        <w:ind w:left="1134" w:hanging="567"/>
        <w:rPr>
          <w:rFonts w:cs="Arial"/>
          <w:lang w:val="fr-FR"/>
        </w:rPr>
      </w:pPr>
      <w:r w:rsidRPr="00F85A58">
        <w:rPr>
          <w:rFonts w:cs="Arial"/>
          <w:lang w:val="fr-FR"/>
        </w:rPr>
        <w:t>I</w:t>
      </w:r>
      <w:r w:rsidR="00513D83" w:rsidRPr="00F85A58">
        <w:rPr>
          <w:rFonts w:cs="Arial"/>
          <w:lang w:val="fr-FR"/>
        </w:rPr>
        <w:t xml:space="preserve">ncidence des </w:t>
      </w:r>
      <w:proofErr w:type="spellStart"/>
      <w:r w:rsidRPr="00F85A58">
        <w:rPr>
          <w:rFonts w:cs="Arial"/>
          <w:lang w:val="fr-FR"/>
        </w:rPr>
        <w:t>endophytes</w:t>
      </w:r>
      <w:proofErr w:type="spellEnd"/>
      <w:r w:rsidRPr="00F85A58">
        <w:rPr>
          <w:rFonts w:cs="Arial"/>
          <w:lang w:val="fr-FR"/>
        </w:rPr>
        <w:t xml:space="preserve"> </w:t>
      </w:r>
      <w:r w:rsidR="00513D83" w:rsidRPr="00F85A58">
        <w:rPr>
          <w:rFonts w:cs="Arial"/>
          <w:lang w:val="fr-FR"/>
        </w:rPr>
        <w:t>sur les caractères DHS pour les graminées</w:t>
      </w:r>
    </w:p>
    <w:p w:rsidR="00BA14DE" w:rsidRPr="00F85A58" w:rsidRDefault="003B6E00" w:rsidP="003B6E00">
      <w:pPr>
        <w:numPr>
          <w:ilvl w:val="0"/>
          <w:numId w:val="7"/>
        </w:numPr>
        <w:tabs>
          <w:tab w:val="clear" w:pos="360"/>
        </w:tabs>
        <w:ind w:left="1134" w:hanging="567"/>
        <w:jc w:val="left"/>
        <w:rPr>
          <w:rFonts w:cs="Arial"/>
          <w:lang w:val="fr-FR"/>
        </w:rPr>
      </w:pPr>
      <w:r w:rsidRPr="00F85A58">
        <w:rPr>
          <w:rFonts w:cs="Arial"/>
          <w:lang w:val="fr-FR"/>
        </w:rPr>
        <w:t>Questions à résoudre concernant les principes directeurs adoptés par le Comité technique (le cas échéant)</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Examen des projets de principes directeurs d</w:t>
      </w:r>
      <w:r w:rsidR="005752E4" w:rsidRPr="00F85A58">
        <w:rPr>
          <w:rFonts w:cs="Arial"/>
          <w:lang w:val="fr-FR"/>
        </w:rPr>
        <w:t>’</w:t>
      </w:r>
      <w:r w:rsidRPr="00F85A58">
        <w:rPr>
          <w:rFonts w:cs="Arial"/>
          <w:lang w:val="fr-FR"/>
        </w:rPr>
        <w:t>examen (sous</w:t>
      </w:r>
      <w:r w:rsidR="00F85A58" w:rsidRPr="00F85A58">
        <w:rPr>
          <w:rFonts w:cs="Arial"/>
          <w:lang w:val="fr-FR"/>
        </w:rPr>
        <w:noBreakHyphen/>
      </w:r>
      <w:r w:rsidRPr="00F85A58">
        <w:rPr>
          <w:rFonts w:cs="Arial"/>
          <w:lang w:val="fr-FR"/>
        </w:rPr>
        <w:t>groupes)</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Recommandations concernant les projets de principes directeurs d</w:t>
      </w:r>
      <w:r w:rsidR="005752E4" w:rsidRPr="00F85A58">
        <w:rPr>
          <w:rFonts w:cs="Arial"/>
          <w:lang w:val="fr-FR"/>
        </w:rPr>
        <w:t>’</w:t>
      </w:r>
      <w:r w:rsidRPr="00F85A58">
        <w:rPr>
          <w:rFonts w:cs="Arial"/>
          <w:lang w:val="fr-FR"/>
        </w:rPr>
        <w:t>examen</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Orientations pour les rédacteurs de principes directeurs d</w:t>
      </w:r>
      <w:r w:rsidR="005752E4" w:rsidRPr="00F85A58">
        <w:rPr>
          <w:rFonts w:cs="Arial"/>
          <w:lang w:val="fr-FR"/>
        </w:rPr>
        <w:t>’</w:t>
      </w:r>
      <w:r w:rsidRPr="00F85A58">
        <w:rPr>
          <w:rFonts w:cs="Arial"/>
          <w:lang w:val="fr-FR"/>
        </w:rPr>
        <w:t>examen</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Date et lieu de la prochaine session</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Programme futur</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Compte rendu de la session (selon le temps disponible)</w:t>
      </w:r>
    </w:p>
    <w:p w:rsidR="00BA14DE" w:rsidRPr="00F85A58" w:rsidRDefault="003B6E00" w:rsidP="003B6E00">
      <w:pPr>
        <w:numPr>
          <w:ilvl w:val="0"/>
          <w:numId w:val="7"/>
        </w:numPr>
        <w:tabs>
          <w:tab w:val="clear" w:pos="360"/>
        </w:tabs>
        <w:ind w:left="567" w:firstLine="0"/>
        <w:rPr>
          <w:rFonts w:cs="Arial"/>
          <w:lang w:val="fr-FR"/>
        </w:rPr>
      </w:pPr>
      <w:r w:rsidRPr="00F85A58">
        <w:rPr>
          <w:rFonts w:cs="Arial"/>
          <w:lang w:val="fr-FR"/>
        </w:rPr>
        <w:t>Clôture de la session</w:t>
      </w:r>
    </w:p>
    <w:p w:rsidR="00BA14DE" w:rsidRPr="00F85A58" w:rsidRDefault="00BA14DE" w:rsidP="003570DF">
      <w:pPr>
        <w:rPr>
          <w:rFonts w:cs="Arial"/>
          <w:lang w:val="fr-FR"/>
        </w:rPr>
      </w:pPr>
    </w:p>
    <w:p w:rsidR="00BA14DE" w:rsidRPr="00F85A58" w:rsidRDefault="003570DF" w:rsidP="003570DF">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0D6104" w:rsidRPr="00F85A58">
        <w:rPr>
          <w:rFonts w:cs="Arial"/>
          <w:lang w:val="fr-FR"/>
        </w:rPr>
        <w:t>Au cours de l</w:t>
      </w:r>
      <w:r w:rsidR="005752E4" w:rsidRPr="00F85A58">
        <w:rPr>
          <w:rFonts w:cs="Arial"/>
          <w:lang w:val="fr-FR"/>
        </w:rPr>
        <w:t>’</w:t>
      </w:r>
      <w:r w:rsidR="000D6104" w:rsidRPr="00F85A58">
        <w:rPr>
          <w:rFonts w:cs="Arial"/>
          <w:lang w:val="fr-FR"/>
        </w:rPr>
        <w:t>après</w:t>
      </w:r>
      <w:r w:rsidR="00F85A58" w:rsidRPr="00F85A58">
        <w:rPr>
          <w:rFonts w:cs="Arial"/>
          <w:lang w:val="fr-FR"/>
        </w:rPr>
        <w:noBreakHyphen/>
      </w:r>
      <w:r w:rsidR="000D6104" w:rsidRPr="00F85A58">
        <w:rPr>
          <w:rFonts w:cs="Arial"/>
          <w:lang w:val="fr-FR"/>
        </w:rPr>
        <w:t>midi du 8 juillet </w:t>
      </w:r>
      <w:r w:rsidRPr="00F85A58">
        <w:rPr>
          <w:rFonts w:cs="Arial"/>
          <w:lang w:val="fr-FR"/>
        </w:rPr>
        <w:t>2015,</w:t>
      </w:r>
      <w:r w:rsidR="005752E4" w:rsidRPr="00F85A58">
        <w:rPr>
          <w:rFonts w:cs="Arial"/>
          <w:lang w:val="fr-FR"/>
        </w:rPr>
        <w:t xml:space="preserve"> le TWA</w:t>
      </w:r>
      <w:r w:rsidRPr="00F85A58">
        <w:rPr>
          <w:rFonts w:cs="Arial"/>
          <w:lang w:val="fr-FR"/>
        </w:rPr>
        <w:t xml:space="preserve"> </w:t>
      </w:r>
      <w:r w:rsidR="000D6104" w:rsidRPr="00F85A58">
        <w:rPr>
          <w:rFonts w:cs="Arial"/>
          <w:lang w:val="fr-FR"/>
        </w:rPr>
        <w:t xml:space="preserve">a visité le Centre de recherche agricole de Hokkaido </w:t>
      </w:r>
      <w:r w:rsidRPr="00F85A58">
        <w:rPr>
          <w:rFonts w:cs="Arial"/>
          <w:lang w:val="fr-FR"/>
        </w:rPr>
        <w:t xml:space="preserve">(HARC) </w:t>
      </w:r>
      <w:r w:rsidR="000D6104" w:rsidRPr="00F85A58">
        <w:rPr>
          <w:rFonts w:cs="Arial"/>
          <w:lang w:val="fr-FR"/>
        </w:rPr>
        <w:t>de l</w:t>
      </w:r>
      <w:r w:rsidR="005752E4" w:rsidRPr="00F85A58">
        <w:rPr>
          <w:rFonts w:cs="Arial"/>
          <w:lang w:val="fr-FR"/>
        </w:rPr>
        <w:t>’</w:t>
      </w:r>
      <w:r w:rsidR="000D6104" w:rsidRPr="00F85A58">
        <w:rPr>
          <w:rFonts w:cs="Arial"/>
          <w:lang w:val="fr-FR"/>
        </w:rPr>
        <w:t>Organisation nationale de recherche agricole et alimentaire (NARO)</w:t>
      </w:r>
      <w:r w:rsidR="008854FB" w:rsidRPr="00F85A58">
        <w:rPr>
          <w:rFonts w:cs="Arial"/>
          <w:lang w:val="fr-FR"/>
        </w:rPr>
        <w:t xml:space="preserve">, </w:t>
      </w:r>
      <w:r w:rsidR="000D6104" w:rsidRPr="00F85A58">
        <w:rPr>
          <w:rFonts w:cs="Arial"/>
          <w:lang w:val="fr-FR"/>
        </w:rPr>
        <w:t xml:space="preserve">situé à </w:t>
      </w:r>
      <w:proofErr w:type="spellStart"/>
      <w:r w:rsidRPr="00F85A58">
        <w:rPr>
          <w:rFonts w:cs="Arial"/>
          <w:lang w:val="fr-FR"/>
        </w:rPr>
        <w:t>Me</w:t>
      </w:r>
      <w:r w:rsidR="00314928" w:rsidRPr="00F85A58">
        <w:rPr>
          <w:rFonts w:cs="Arial"/>
          <w:lang w:val="fr-FR"/>
        </w:rPr>
        <w:t>muro</w:t>
      </w:r>
      <w:proofErr w:type="spellEnd"/>
      <w:r w:rsidR="000D6104" w:rsidRPr="00F85A58">
        <w:rPr>
          <w:rFonts w:cs="Arial"/>
          <w:lang w:val="fr-FR"/>
        </w:rPr>
        <w:t xml:space="preserve"> dans la province de </w:t>
      </w:r>
      <w:proofErr w:type="spellStart"/>
      <w:r w:rsidR="000D6104" w:rsidRPr="00F85A58">
        <w:rPr>
          <w:rFonts w:cs="Arial"/>
          <w:lang w:val="fr-FR"/>
        </w:rPr>
        <w:t>K</w:t>
      </w:r>
      <w:r w:rsidR="00314928" w:rsidRPr="00F85A58">
        <w:rPr>
          <w:rFonts w:cs="Arial"/>
          <w:lang w:val="fr-FR"/>
        </w:rPr>
        <w:t>asai</w:t>
      </w:r>
      <w:proofErr w:type="spellEnd"/>
      <w:r w:rsidR="00F85A58" w:rsidRPr="00F85A58">
        <w:rPr>
          <w:rFonts w:cs="Arial"/>
          <w:lang w:val="fr-FR"/>
        </w:rPr>
        <w:noBreakHyphen/>
      </w:r>
      <w:r w:rsidR="00314928" w:rsidRPr="00F85A58">
        <w:rPr>
          <w:rFonts w:cs="Arial"/>
          <w:lang w:val="fr-FR"/>
        </w:rPr>
        <w:t>gun</w:t>
      </w:r>
      <w:r w:rsidR="00F52954" w:rsidRPr="00F85A58">
        <w:rPr>
          <w:rFonts w:cs="Arial"/>
          <w:lang w:val="fr-FR"/>
        </w:rPr>
        <w:t xml:space="preserve"> sur</w:t>
      </w:r>
      <w:r w:rsidR="00314928" w:rsidRPr="00F85A58">
        <w:rPr>
          <w:rFonts w:cs="Arial"/>
          <w:lang w:val="fr-FR"/>
        </w:rPr>
        <w:t xml:space="preserve"> Hokkaido.  </w:t>
      </w:r>
      <w:r w:rsidRPr="00F85A58">
        <w:rPr>
          <w:rFonts w:cs="Arial"/>
          <w:lang w:val="fr-FR"/>
        </w:rPr>
        <w:t>M.</w:t>
      </w:r>
      <w:r w:rsidR="008854FB" w:rsidRPr="00F85A58">
        <w:rPr>
          <w:rFonts w:cs="Arial"/>
          <w:lang w:val="fr-FR"/>
        </w:rPr>
        <w:t> </w:t>
      </w:r>
      <w:r w:rsidRPr="00F85A58">
        <w:rPr>
          <w:rFonts w:cs="Arial"/>
          <w:lang w:val="fr-FR"/>
        </w:rPr>
        <w:t xml:space="preserve">Masayuki </w:t>
      </w:r>
      <w:proofErr w:type="spellStart"/>
      <w:r w:rsidRPr="00F85A58">
        <w:rPr>
          <w:rFonts w:cs="Arial"/>
          <w:lang w:val="fr-FR"/>
        </w:rPr>
        <w:t>Hirafuji</w:t>
      </w:r>
      <w:proofErr w:type="spellEnd"/>
      <w:r w:rsidRPr="00F85A58">
        <w:rPr>
          <w:rFonts w:cs="Arial"/>
          <w:lang w:val="fr-FR"/>
        </w:rPr>
        <w:t xml:space="preserve">, </w:t>
      </w:r>
      <w:r w:rsidR="008854FB" w:rsidRPr="00F85A58">
        <w:rPr>
          <w:rFonts w:cs="Arial"/>
          <w:lang w:val="fr-FR"/>
        </w:rPr>
        <w:t>le d</w:t>
      </w:r>
      <w:r w:rsidRPr="00F85A58">
        <w:rPr>
          <w:rFonts w:cs="Arial"/>
          <w:lang w:val="fr-FR"/>
        </w:rPr>
        <w:t>irect</w:t>
      </w:r>
      <w:r w:rsidR="008854FB" w:rsidRPr="00F85A58">
        <w:rPr>
          <w:rFonts w:cs="Arial"/>
          <w:lang w:val="fr-FR"/>
        </w:rPr>
        <w:t>eur</w:t>
      </w:r>
      <w:r w:rsidR="005752E4" w:rsidRPr="00F85A58">
        <w:rPr>
          <w:rFonts w:cs="Arial"/>
          <w:lang w:val="fr-FR"/>
        </w:rPr>
        <w:t xml:space="preserve"> du HAR</w:t>
      </w:r>
      <w:r w:rsidRPr="00F85A58">
        <w:rPr>
          <w:rFonts w:cs="Arial"/>
          <w:lang w:val="fr-FR"/>
        </w:rPr>
        <w:t xml:space="preserve">C </w:t>
      </w:r>
      <w:r w:rsidR="008854FB" w:rsidRPr="00F85A58">
        <w:rPr>
          <w:rFonts w:cs="Arial"/>
          <w:lang w:val="fr-FR"/>
        </w:rPr>
        <w:t>de</w:t>
      </w:r>
      <w:r w:rsidR="005752E4" w:rsidRPr="00F85A58">
        <w:rPr>
          <w:rFonts w:cs="Arial"/>
          <w:lang w:val="fr-FR"/>
        </w:rPr>
        <w:t xml:space="preserve"> la NAR</w:t>
      </w:r>
      <w:r w:rsidRPr="00F85A58">
        <w:rPr>
          <w:rFonts w:cs="Arial"/>
          <w:lang w:val="fr-FR"/>
        </w:rPr>
        <w:t>O</w:t>
      </w:r>
      <w:r w:rsidR="008854FB" w:rsidRPr="00F85A58">
        <w:rPr>
          <w:rFonts w:cs="Arial"/>
          <w:lang w:val="fr-FR"/>
        </w:rPr>
        <w:t xml:space="preserve"> a souhaité la bienvenue aux participants et a présenté</w:t>
      </w:r>
      <w:r w:rsidR="005752E4" w:rsidRPr="00F85A58">
        <w:rPr>
          <w:rFonts w:cs="Arial"/>
          <w:lang w:val="fr-FR"/>
        </w:rPr>
        <w:t xml:space="preserve"> la NAR</w:t>
      </w:r>
      <w:r w:rsidRPr="00F85A58">
        <w:rPr>
          <w:rFonts w:cs="Arial"/>
          <w:lang w:val="fr-FR"/>
        </w:rPr>
        <w:t xml:space="preserve">O </w:t>
      </w:r>
      <w:r w:rsidR="00F52954" w:rsidRPr="00F85A58">
        <w:rPr>
          <w:rFonts w:cs="Arial"/>
          <w:lang w:val="fr-FR"/>
        </w:rPr>
        <w:t>et</w:t>
      </w:r>
      <w:r w:rsidR="005752E4" w:rsidRPr="00F85A58">
        <w:rPr>
          <w:rFonts w:cs="Arial"/>
          <w:lang w:val="fr-FR"/>
        </w:rPr>
        <w:t xml:space="preserve"> le HAR</w:t>
      </w:r>
      <w:r w:rsidRPr="00F85A58">
        <w:rPr>
          <w:rFonts w:cs="Arial"/>
          <w:lang w:val="fr-FR"/>
        </w:rPr>
        <w:t xml:space="preserve">C </w:t>
      </w:r>
      <w:r w:rsidR="00F52954" w:rsidRPr="00F85A58">
        <w:rPr>
          <w:rFonts w:cs="Arial"/>
          <w:lang w:val="fr-FR"/>
        </w:rPr>
        <w:t xml:space="preserve">à </w:t>
      </w:r>
      <w:proofErr w:type="spellStart"/>
      <w:r w:rsidRPr="00F85A58">
        <w:rPr>
          <w:rFonts w:cs="Arial"/>
          <w:lang w:val="fr-FR"/>
        </w:rPr>
        <w:t>Memu</w:t>
      </w:r>
      <w:r w:rsidR="00F85A58" w:rsidRPr="00F85A58">
        <w:rPr>
          <w:rFonts w:cs="Arial"/>
          <w:lang w:val="fr-FR"/>
        </w:rPr>
        <w:t>ro</w:t>
      </w:r>
      <w:proofErr w:type="spellEnd"/>
      <w:r w:rsidR="00F85A58" w:rsidRPr="00F85A58">
        <w:rPr>
          <w:rFonts w:cs="Arial"/>
          <w:lang w:val="fr-FR"/>
        </w:rPr>
        <w:t>.  Le</w:t>
      </w:r>
      <w:r w:rsidR="005752E4" w:rsidRPr="00F85A58">
        <w:rPr>
          <w:rFonts w:cs="Arial"/>
          <w:lang w:val="fr-FR"/>
        </w:rPr>
        <w:t> TWA</w:t>
      </w:r>
      <w:r w:rsidRPr="00F85A58">
        <w:rPr>
          <w:rFonts w:cs="Arial"/>
          <w:lang w:val="fr-FR"/>
        </w:rPr>
        <w:t xml:space="preserve"> </w:t>
      </w:r>
      <w:r w:rsidR="00F52954" w:rsidRPr="00F85A58">
        <w:rPr>
          <w:rFonts w:cs="Arial"/>
          <w:lang w:val="fr-FR"/>
        </w:rPr>
        <w:t xml:space="preserve">a également visité des essais en plein champ de </w:t>
      </w:r>
      <w:r w:rsidR="00FB32FC" w:rsidRPr="00F85A58">
        <w:rPr>
          <w:rFonts w:cs="Arial"/>
          <w:lang w:val="fr-FR"/>
        </w:rPr>
        <w:t>betterave sucrière, de pomme de terre, de blé d</w:t>
      </w:r>
      <w:r w:rsidR="005752E4" w:rsidRPr="00F85A58">
        <w:rPr>
          <w:rFonts w:cs="Arial"/>
          <w:lang w:val="fr-FR"/>
        </w:rPr>
        <w:t>’</w:t>
      </w:r>
      <w:r w:rsidR="00FB32FC" w:rsidRPr="00F85A58">
        <w:rPr>
          <w:rFonts w:cs="Arial"/>
          <w:lang w:val="fr-FR"/>
        </w:rPr>
        <w:t>hiver, d</w:t>
      </w:r>
      <w:r w:rsidR="00284FEF" w:rsidRPr="00F85A58">
        <w:rPr>
          <w:rFonts w:cs="Arial"/>
          <w:lang w:val="fr-FR"/>
        </w:rPr>
        <w:t xml:space="preserve">e </w:t>
      </w:r>
      <w:r w:rsidR="00FB32FC" w:rsidRPr="00F85A58">
        <w:rPr>
          <w:rFonts w:cs="Arial"/>
          <w:lang w:val="fr-FR"/>
        </w:rPr>
        <w:t xml:space="preserve">haricot </w:t>
      </w:r>
      <w:proofErr w:type="spellStart"/>
      <w:r w:rsidR="00FB32FC" w:rsidRPr="00F85A58">
        <w:rPr>
          <w:rFonts w:cs="Arial"/>
          <w:lang w:val="fr-FR"/>
        </w:rPr>
        <w:t>adzuki</w:t>
      </w:r>
      <w:proofErr w:type="spellEnd"/>
      <w:r w:rsidR="00187166" w:rsidRPr="00F85A58">
        <w:rPr>
          <w:rFonts w:cs="Arial"/>
          <w:lang w:val="fr-FR"/>
        </w:rPr>
        <w:t xml:space="preserve"> </w:t>
      </w:r>
      <w:r w:rsidR="000E3E4C" w:rsidRPr="00F85A58">
        <w:rPr>
          <w:rFonts w:cs="Arial"/>
          <w:lang w:val="fr-FR"/>
        </w:rPr>
        <w:t>et d</w:t>
      </w:r>
      <w:r w:rsidR="00284FEF" w:rsidRPr="00F85A58">
        <w:rPr>
          <w:rFonts w:cs="Arial"/>
          <w:lang w:val="fr-FR"/>
        </w:rPr>
        <w:t xml:space="preserve">e </w:t>
      </w:r>
      <w:r w:rsidR="000E3E4C" w:rsidRPr="00F85A58">
        <w:rPr>
          <w:rFonts w:cs="Arial"/>
          <w:lang w:val="fr-FR"/>
        </w:rPr>
        <w:t>haricot de jardin réalisés à la station d</w:t>
      </w:r>
      <w:r w:rsidR="005752E4" w:rsidRPr="00F85A58">
        <w:rPr>
          <w:rFonts w:cs="Arial"/>
          <w:lang w:val="fr-FR"/>
        </w:rPr>
        <w:t>’</w:t>
      </w:r>
      <w:r w:rsidR="000E3E4C" w:rsidRPr="00F85A58">
        <w:rPr>
          <w:rFonts w:cs="Arial"/>
          <w:lang w:val="fr-FR"/>
        </w:rPr>
        <w:t xml:space="preserve">agriculture expérimentale de </w:t>
      </w:r>
      <w:proofErr w:type="spellStart"/>
      <w:r w:rsidRPr="00F85A58">
        <w:rPr>
          <w:rFonts w:cs="Arial"/>
          <w:lang w:val="fr-FR"/>
        </w:rPr>
        <w:t>Tokachi</w:t>
      </w:r>
      <w:proofErr w:type="spellEnd"/>
      <w:r w:rsidRPr="00F85A58">
        <w:rPr>
          <w:rFonts w:cs="Arial"/>
          <w:lang w:val="fr-FR"/>
        </w:rPr>
        <w:t>.</w:t>
      </w:r>
    </w:p>
    <w:p w:rsidR="00BA14DE" w:rsidRPr="00F85A58" w:rsidRDefault="00BA14DE" w:rsidP="00050E16">
      <w:pPr>
        <w:rPr>
          <w:lang w:val="fr-FR"/>
        </w:rPr>
      </w:pPr>
    </w:p>
    <w:p w:rsidR="00BA14DE" w:rsidRPr="00F85A58" w:rsidRDefault="006D4B5E" w:rsidP="004570E2">
      <w:pPr>
        <w:pStyle w:val="Heading3"/>
      </w:pPr>
      <w:r w:rsidRPr="00F85A58">
        <w:t>Groupe de travail technique sur les systèmes d</w:t>
      </w:r>
      <w:r w:rsidR="005752E4" w:rsidRPr="00F85A58">
        <w:t>’</w:t>
      </w:r>
      <w:r w:rsidRPr="00F85A58">
        <w:t>automatisation et les programmes d</w:t>
      </w:r>
      <w:r w:rsidR="005752E4" w:rsidRPr="00F85A58">
        <w:t>’</w:t>
      </w:r>
      <w:r w:rsidRPr="00F85A58">
        <w:t>ordinateur</w:t>
      </w:r>
    </w:p>
    <w:p w:rsidR="00BA14DE" w:rsidRPr="00F85A58" w:rsidRDefault="00BA14DE" w:rsidP="003D3E08">
      <w:pPr>
        <w:keepNext/>
        <w:rPr>
          <w:lang w:val="fr-FR"/>
        </w:rPr>
      </w:pPr>
    </w:p>
    <w:p w:rsidR="00BA14DE" w:rsidRPr="00F85A58" w:rsidRDefault="00556FD5" w:rsidP="003D3E08">
      <w:pPr>
        <w:keepNext/>
        <w:tabs>
          <w:tab w:val="left" w:pos="567"/>
        </w:tabs>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0E3E4C" w:rsidRPr="00F85A58">
        <w:rPr>
          <w:rFonts w:cs="Arial"/>
          <w:lang w:val="fr-FR"/>
        </w:rPr>
        <w:t>Le TWC a tenu sa trente</w:t>
      </w:r>
      <w:r w:rsidR="00F85A58" w:rsidRPr="00F85A58">
        <w:rPr>
          <w:rFonts w:cs="Arial"/>
          <w:lang w:val="fr-FR"/>
        </w:rPr>
        <w:noBreakHyphen/>
      </w:r>
      <w:r w:rsidR="000E3E4C" w:rsidRPr="00F85A58">
        <w:rPr>
          <w:rFonts w:cs="Arial"/>
          <w:lang w:val="fr-FR"/>
        </w:rPr>
        <w:t>troisième</w:t>
      </w:r>
      <w:r w:rsidR="00342006" w:rsidRPr="00F85A58">
        <w:rPr>
          <w:rFonts w:cs="Arial"/>
          <w:lang w:val="fr-FR"/>
        </w:rPr>
        <w:t> </w:t>
      </w:r>
      <w:r w:rsidR="000E3E4C" w:rsidRPr="00F85A58">
        <w:rPr>
          <w:rFonts w:cs="Arial"/>
          <w:lang w:val="fr-FR"/>
        </w:rPr>
        <w:t>session à Natal (Brésil) du 3</w:t>
      </w:r>
      <w:r w:rsidR="005752E4" w:rsidRPr="00F85A58">
        <w:rPr>
          <w:rFonts w:cs="Arial"/>
          <w:lang w:val="fr-FR"/>
        </w:rPr>
        <w:t>0 juin</w:t>
      </w:r>
      <w:r w:rsidR="000E3E4C" w:rsidRPr="00F85A58">
        <w:rPr>
          <w:rFonts w:cs="Arial"/>
          <w:lang w:val="fr-FR"/>
        </w:rPr>
        <w:t xml:space="preserve"> au </w:t>
      </w:r>
      <w:r w:rsidR="005752E4" w:rsidRPr="00F85A58">
        <w:rPr>
          <w:rFonts w:cs="Arial"/>
          <w:lang w:val="fr-FR"/>
        </w:rPr>
        <w:t>3 juillet 20</w:t>
      </w:r>
      <w:r w:rsidR="000E3E4C" w:rsidRPr="00F85A58">
        <w:rPr>
          <w:rFonts w:cs="Arial"/>
          <w:lang w:val="fr-FR"/>
        </w:rPr>
        <w:t>15</w:t>
      </w:r>
      <w:r w:rsidRPr="00F85A58">
        <w:rPr>
          <w:rFonts w:cs="Arial"/>
          <w:lang w:val="fr-FR"/>
        </w:rPr>
        <w:t xml:space="preserve">, </w:t>
      </w:r>
      <w:r w:rsidR="006D6D52" w:rsidRPr="00F85A58">
        <w:rPr>
          <w:rFonts w:cs="Arial"/>
          <w:lang w:val="fr-FR"/>
        </w:rPr>
        <w:t xml:space="preserve">sous la présidence de </w:t>
      </w:r>
      <w:r w:rsidRPr="00F85A58">
        <w:rPr>
          <w:rFonts w:cs="Arial"/>
          <w:lang w:val="fr-FR"/>
        </w:rPr>
        <w:t>M.</w:t>
      </w:r>
      <w:r w:rsidR="006D6D52" w:rsidRPr="00F85A58">
        <w:rPr>
          <w:rFonts w:cs="Arial"/>
          <w:lang w:val="fr-FR"/>
        </w:rPr>
        <w:t> </w:t>
      </w:r>
      <w:r w:rsidR="001826AD">
        <w:rPr>
          <w:rFonts w:cs="Arial"/>
          <w:lang w:val="fr-FR"/>
        </w:rPr>
        <w:t>Adrian </w:t>
      </w:r>
      <w:r w:rsidRPr="00F85A58">
        <w:rPr>
          <w:rFonts w:cs="Arial"/>
          <w:lang w:val="fr-FR"/>
        </w:rPr>
        <w:t>Roberts (</w:t>
      </w:r>
      <w:r w:rsidR="006D6D52" w:rsidRPr="00F85A58">
        <w:rPr>
          <w:rFonts w:cs="Arial"/>
          <w:lang w:val="fr-FR"/>
        </w:rPr>
        <w:t>Royaume</w:t>
      </w:r>
      <w:r w:rsidR="00F85A58" w:rsidRPr="00F85A58">
        <w:rPr>
          <w:rFonts w:cs="Arial"/>
          <w:lang w:val="fr-FR"/>
        </w:rPr>
        <w:noBreakHyphen/>
      </w:r>
      <w:r w:rsidR="006D6D52" w:rsidRPr="00F85A58">
        <w:rPr>
          <w:rFonts w:cs="Arial"/>
          <w:lang w:val="fr-FR"/>
        </w:rPr>
        <w:t>Uni</w:t>
      </w:r>
      <w:r w:rsidRPr="00F85A58">
        <w:rPr>
          <w:rFonts w:cs="Arial"/>
          <w:lang w:val="fr-FR"/>
        </w:rPr>
        <w:t>).</w:t>
      </w:r>
    </w:p>
    <w:p w:rsidR="00BA14DE" w:rsidRPr="00F85A58" w:rsidRDefault="00BA14DE" w:rsidP="00556FD5">
      <w:pPr>
        <w:tabs>
          <w:tab w:val="left" w:pos="567"/>
        </w:tabs>
        <w:rPr>
          <w:rFonts w:cs="Arial"/>
          <w:lang w:val="fr-FR"/>
        </w:rPr>
      </w:pPr>
    </w:p>
    <w:p w:rsidR="005752E4" w:rsidRPr="00F85A58" w:rsidRDefault="00556FD5" w:rsidP="006D4B5E">
      <w:pPr>
        <w:tabs>
          <w:tab w:val="left" w:pos="567"/>
        </w:tabs>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C28C1" w:rsidRPr="00F85A58">
        <w:rPr>
          <w:rFonts w:cs="Arial"/>
          <w:lang w:val="fr-FR"/>
        </w:rPr>
        <w:t>La session</w:t>
      </w:r>
      <w:r w:rsidR="005752E4" w:rsidRPr="00F85A58">
        <w:rPr>
          <w:rFonts w:cs="Arial"/>
          <w:lang w:val="fr-FR"/>
        </w:rPr>
        <w:t xml:space="preserve"> du TWC</w:t>
      </w:r>
      <w:r w:rsidR="009C28C1" w:rsidRPr="00F85A58">
        <w:rPr>
          <w:rFonts w:cs="Arial"/>
          <w:lang w:val="fr-FR"/>
        </w:rPr>
        <w:t xml:space="preserve"> a réuni 18 participants représentant 10 </w:t>
      </w:r>
      <w:r w:rsidR="006D4B5E" w:rsidRPr="00F85A58">
        <w:rPr>
          <w:rFonts w:cs="Arial"/>
          <w:lang w:val="fr-FR"/>
        </w:rPr>
        <w:t>membres de l</w:t>
      </w:r>
      <w:r w:rsidR="005752E4" w:rsidRPr="00F85A58">
        <w:rPr>
          <w:rFonts w:cs="Arial"/>
          <w:lang w:val="fr-FR"/>
        </w:rPr>
        <w:t>’</w:t>
      </w:r>
      <w:r w:rsidR="006D4B5E" w:rsidRPr="00F85A58">
        <w:rPr>
          <w:rFonts w:cs="Arial"/>
          <w:lang w:val="fr-FR"/>
        </w:rPr>
        <w:t>Uni</w:t>
      </w:r>
      <w:r w:rsidR="00F85A58" w:rsidRPr="00F85A58">
        <w:rPr>
          <w:rFonts w:cs="Arial"/>
          <w:lang w:val="fr-FR"/>
        </w:rPr>
        <w:t>on.  L’a</w:t>
      </w:r>
      <w:r w:rsidR="006D4B5E" w:rsidRPr="00F85A58">
        <w:rPr>
          <w:rFonts w:cs="Arial"/>
          <w:lang w:val="fr-FR"/>
        </w:rPr>
        <w:t>telier préparatoire, tenu dans l</w:t>
      </w:r>
      <w:r w:rsidR="005752E4" w:rsidRPr="00F85A58">
        <w:rPr>
          <w:rFonts w:cs="Arial"/>
          <w:lang w:val="fr-FR"/>
        </w:rPr>
        <w:t>’</w:t>
      </w:r>
      <w:r w:rsidR="006D4B5E" w:rsidRPr="00F85A58">
        <w:rPr>
          <w:rFonts w:cs="Arial"/>
          <w:lang w:val="fr-FR"/>
        </w:rPr>
        <w:t>ap</w:t>
      </w:r>
      <w:r w:rsidR="009C28C1" w:rsidRPr="00F85A58">
        <w:rPr>
          <w:rFonts w:cs="Arial"/>
          <w:lang w:val="fr-FR"/>
        </w:rPr>
        <w:t>rès</w:t>
      </w:r>
      <w:r w:rsidR="00F85A58" w:rsidRPr="00F85A58">
        <w:rPr>
          <w:rFonts w:cs="Arial"/>
          <w:lang w:val="fr-FR"/>
        </w:rPr>
        <w:noBreakHyphen/>
      </w:r>
      <w:r w:rsidR="009C28C1" w:rsidRPr="00F85A58">
        <w:rPr>
          <w:rFonts w:cs="Arial"/>
          <w:lang w:val="fr-FR"/>
        </w:rPr>
        <w:t>midi du 29 juin, a réuni 11 participants représentant 7 </w:t>
      </w:r>
      <w:r w:rsidR="006D4B5E" w:rsidRPr="00F85A58">
        <w:rPr>
          <w:rFonts w:cs="Arial"/>
          <w:lang w:val="fr-FR"/>
        </w:rPr>
        <w:t>membres de l</w:t>
      </w:r>
      <w:r w:rsidR="005752E4" w:rsidRPr="00F85A58">
        <w:rPr>
          <w:rFonts w:cs="Arial"/>
          <w:lang w:val="fr-FR"/>
        </w:rPr>
        <w:t>’</w:t>
      </w:r>
      <w:r w:rsidR="006D4B5E" w:rsidRPr="00F85A58">
        <w:rPr>
          <w:rFonts w:cs="Arial"/>
          <w:lang w:val="fr-FR"/>
        </w:rPr>
        <w:t>Union.</w:t>
      </w:r>
    </w:p>
    <w:p w:rsidR="00BA14DE" w:rsidRPr="00F85A58" w:rsidRDefault="00BA14DE" w:rsidP="00556FD5">
      <w:pPr>
        <w:tabs>
          <w:tab w:val="left" w:pos="567"/>
        </w:tabs>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t>M.</w:t>
      </w:r>
      <w:r w:rsidR="006D6D52" w:rsidRPr="00F85A58">
        <w:rPr>
          <w:rFonts w:cs="Arial"/>
          <w:lang w:val="fr-FR"/>
        </w:rPr>
        <w:t> </w:t>
      </w:r>
      <w:r w:rsidRPr="00F85A58">
        <w:rPr>
          <w:rFonts w:cs="Arial"/>
          <w:lang w:val="fr-FR"/>
        </w:rPr>
        <w:t xml:space="preserve">Roberto Papa, </w:t>
      </w:r>
      <w:r w:rsidR="006D6D52" w:rsidRPr="00F85A58">
        <w:rPr>
          <w:rFonts w:cs="Arial"/>
          <w:lang w:val="fr-FR"/>
        </w:rPr>
        <w:t xml:space="preserve">surintendant adjoint </w:t>
      </w:r>
      <w:r w:rsidR="00D47DF7" w:rsidRPr="00F85A58">
        <w:rPr>
          <w:rFonts w:cs="Arial"/>
          <w:lang w:val="fr-FR"/>
        </w:rPr>
        <w:t>de l</w:t>
      </w:r>
      <w:r w:rsidR="005752E4" w:rsidRPr="00F85A58">
        <w:rPr>
          <w:rFonts w:cs="Arial"/>
          <w:lang w:val="fr-FR"/>
        </w:rPr>
        <w:t>’</w:t>
      </w:r>
      <w:r w:rsidR="00D47DF7" w:rsidRPr="00F85A58">
        <w:rPr>
          <w:rFonts w:cs="Arial"/>
          <w:lang w:val="fr-FR"/>
        </w:rPr>
        <w:t xml:space="preserve">agriculture dans </w:t>
      </w:r>
      <w:r w:rsidR="005E1662" w:rsidRPr="00F85A58">
        <w:rPr>
          <w:rFonts w:cs="Arial"/>
          <w:lang w:val="fr-FR"/>
        </w:rPr>
        <w:t>l</w:t>
      </w:r>
      <w:r w:rsidR="005752E4" w:rsidRPr="00F85A58">
        <w:rPr>
          <w:rFonts w:cs="Arial"/>
          <w:lang w:val="fr-FR"/>
        </w:rPr>
        <w:t>’</w:t>
      </w:r>
      <w:r w:rsidR="005E1662" w:rsidRPr="00F85A58">
        <w:rPr>
          <w:rFonts w:cs="Arial"/>
          <w:lang w:val="fr-FR"/>
        </w:rPr>
        <w:t xml:space="preserve">État du </w:t>
      </w:r>
      <w:r w:rsidRPr="00F85A58">
        <w:rPr>
          <w:rFonts w:cs="Arial"/>
          <w:lang w:val="fr-FR"/>
        </w:rPr>
        <w:t>Rio Grande do Norte</w:t>
      </w:r>
      <w:r w:rsidR="005E1662" w:rsidRPr="00F85A58">
        <w:rPr>
          <w:rFonts w:cs="Arial"/>
          <w:lang w:val="fr-FR"/>
        </w:rPr>
        <w:t xml:space="preserve"> (Brésil)</w:t>
      </w:r>
      <w:r w:rsidR="00C679CE" w:rsidRPr="00F85A58">
        <w:rPr>
          <w:rFonts w:cs="Arial"/>
          <w:lang w:val="fr-FR"/>
        </w:rPr>
        <w:t xml:space="preserve"> a souhaité la bienvenue aux participan</w:t>
      </w:r>
      <w:r w:rsidR="00F85A58" w:rsidRPr="00F85A58">
        <w:rPr>
          <w:rFonts w:cs="Arial"/>
          <w:lang w:val="fr-FR"/>
        </w:rPr>
        <w:t>ts.  Le</w:t>
      </w:r>
      <w:r w:rsidR="005752E4" w:rsidRPr="00F85A58">
        <w:rPr>
          <w:rFonts w:cs="Arial"/>
          <w:lang w:val="fr-FR"/>
        </w:rPr>
        <w:t> TWC</w:t>
      </w:r>
      <w:r w:rsidRPr="00F85A58">
        <w:rPr>
          <w:rFonts w:cs="Arial"/>
          <w:lang w:val="fr-FR"/>
        </w:rPr>
        <w:t xml:space="preserve"> </w:t>
      </w:r>
      <w:r w:rsidR="00C679CE" w:rsidRPr="00F85A58">
        <w:rPr>
          <w:rFonts w:cs="Arial"/>
          <w:lang w:val="fr-FR"/>
        </w:rPr>
        <w:t>a suivi un exposé sur le système de protection des obtentions végétales au Brésil présenté par M</w:t>
      </w:r>
      <w:r w:rsidRPr="00F85A58">
        <w:rPr>
          <w:rFonts w:cs="Arial"/>
          <w:lang w:val="fr-FR"/>
        </w:rPr>
        <w:t>.</w:t>
      </w:r>
      <w:r w:rsidR="00C679CE" w:rsidRPr="00F85A58">
        <w:rPr>
          <w:rFonts w:cs="Arial"/>
          <w:lang w:val="fr-FR"/>
        </w:rPr>
        <w:t> </w:t>
      </w:r>
      <w:proofErr w:type="spellStart"/>
      <w:r w:rsidRPr="00F85A58">
        <w:rPr>
          <w:rFonts w:cs="Arial"/>
          <w:lang w:val="fr-FR"/>
        </w:rPr>
        <w:t>Fabricio</w:t>
      </w:r>
      <w:proofErr w:type="spellEnd"/>
      <w:r w:rsidRPr="00F85A58">
        <w:rPr>
          <w:rFonts w:cs="Arial"/>
          <w:lang w:val="fr-FR"/>
        </w:rPr>
        <w:t xml:space="preserve"> Santana Santos, </w:t>
      </w:r>
      <w:r w:rsidR="00C679CE" w:rsidRPr="00F85A58">
        <w:rPr>
          <w:rFonts w:cs="Arial"/>
          <w:lang w:val="fr-FR"/>
        </w:rPr>
        <w:t>coordinateur du</w:t>
      </w:r>
      <w:r w:rsidRPr="00F85A58">
        <w:rPr>
          <w:rFonts w:cs="Arial"/>
          <w:lang w:val="fr-FR"/>
        </w:rPr>
        <w:t xml:space="preserve"> </w:t>
      </w:r>
      <w:r w:rsidR="00061A61" w:rsidRPr="00F85A58">
        <w:rPr>
          <w:rFonts w:cs="Arial"/>
          <w:lang w:val="fr-FR"/>
        </w:rPr>
        <w:t>service national de protection des obtentions végétales au Ministère de l</w:t>
      </w:r>
      <w:r w:rsidR="005752E4" w:rsidRPr="00F85A58">
        <w:rPr>
          <w:rFonts w:cs="Arial"/>
          <w:lang w:val="fr-FR"/>
        </w:rPr>
        <w:t>’</w:t>
      </w:r>
      <w:r w:rsidR="00061A61" w:rsidRPr="00F85A58">
        <w:rPr>
          <w:rFonts w:cs="Arial"/>
          <w:lang w:val="fr-FR"/>
        </w:rPr>
        <w:t>agriculture, de l</w:t>
      </w:r>
      <w:r w:rsidR="005752E4" w:rsidRPr="00F85A58">
        <w:rPr>
          <w:rFonts w:cs="Arial"/>
          <w:lang w:val="fr-FR"/>
        </w:rPr>
        <w:t>’</w:t>
      </w:r>
      <w:r w:rsidR="00061A61" w:rsidRPr="00F85A58">
        <w:rPr>
          <w:rFonts w:cs="Arial"/>
          <w:lang w:val="fr-FR"/>
        </w:rPr>
        <w:t>élevage et de l</w:t>
      </w:r>
      <w:r w:rsidR="005752E4" w:rsidRPr="00F85A58">
        <w:rPr>
          <w:rFonts w:cs="Arial"/>
          <w:lang w:val="fr-FR"/>
        </w:rPr>
        <w:t>’</w:t>
      </w:r>
      <w:r w:rsidR="00061A61" w:rsidRPr="00F85A58">
        <w:rPr>
          <w:rFonts w:cs="Arial"/>
          <w:lang w:val="fr-FR"/>
        </w:rPr>
        <w:t>approvisionnement en aliments</w:t>
      </w:r>
      <w:r w:rsidRPr="00F85A58">
        <w:rPr>
          <w:rFonts w:cs="Arial"/>
          <w:lang w:val="fr-FR"/>
        </w:rPr>
        <w:t>.</w:t>
      </w:r>
    </w:p>
    <w:p w:rsidR="00BA14DE" w:rsidRPr="00F85A58" w:rsidRDefault="00BA14DE" w:rsidP="00556FD5">
      <w:pPr>
        <w:autoSpaceDE w:val="0"/>
        <w:autoSpaceDN w:val="0"/>
        <w:adjustRightInd w:val="0"/>
        <w:rPr>
          <w:rFonts w:cs="Arial"/>
          <w:lang w:val="fr-FR"/>
        </w:rPr>
      </w:pPr>
    </w:p>
    <w:p w:rsidR="00BA14DE" w:rsidRPr="00F85A58" w:rsidRDefault="00556FD5" w:rsidP="006D4B5E">
      <w:pPr>
        <w:tabs>
          <w:tab w:val="left" w:pos="567"/>
        </w:tabs>
        <w:contextualSpacing/>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6D4B5E" w:rsidRPr="00F85A58">
        <w:rPr>
          <w:rFonts w:cs="Arial"/>
          <w:lang w:val="fr-FR"/>
        </w:rPr>
        <w:t xml:space="preserve">Le TWC a pris note des informations sur les faits nouveaux en matière de protection des variétés végétales présentées par des membres ou des observateurs dans le document TWC/33/22 “Reports on Development in Plant </w:t>
      </w:r>
      <w:proofErr w:type="spellStart"/>
      <w:r w:rsidR="006D4B5E" w:rsidRPr="00F85A58">
        <w:rPr>
          <w:rFonts w:cs="Arial"/>
          <w:lang w:val="fr-FR"/>
        </w:rPr>
        <w:t>Variety</w:t>
      </w:r>
      <w:proofErr w:type="spellEnd"/>
      <w:r w:rsidR="006D4B5E" w:rsidRPr="00F85A58">
        <w:rPr>
          <w:rFonts w:cs="Arial"/>
          <w:lang w:val="fr-FR"/>
        </w:rPr>
        <w:t xml:space="preserve"> Protection </w:t>
      </w:r>
      <w:proofErr w:type="spellStart"/>
      <w:r w:rsidR="006D4B5E" w:rsidRPr="00F85A58">
        <w:rPr>
          <w:rFonts w:cs="Arial"/>
          <w:lang w:val="fr-FR"/>
        </w:rPr>
        <w:t>from</w:t>
      </w:r>
      <w:proofErr w:type="spellEnd"/>
      <w:r w:rsidR="006D4B5E" w:rsidRPr="00F85A58">
        <w:rPr>
          <w:rFonts w:cs="Arial"/>
          <w:lang w:val="fr-FR"/>
        </w:rPr>
        <w:t xml:space="preserve"> </w:t>
      </w:r>
      <w:proofErr w:type="spellStart"/>
      <w:r w:rsidR="006D4B5E" w:rsidRPr="00F85A58">
        <w:rPr>
          <w:rFonts w:cs="Arial"/>
          <w:lang w:val="fr-FR"/>
        </w:rPr>
        <w:t>Members</w:t>
      </w:r>
      <w:proofErr w:type="spellEnd"/>
      <w:r w:rsidR="006D4B5E" w:rsidRPr="00F85A58">
        <w:rPr>
          <w:rFonts w:cs="Arial"/>
          <w:lang w:val="fr-FR"/>
        </w:rPr>
        <w:t xml:space="preserve"> and </w:t>
      </w:r>
      <w:proofErr w:type="spellStart"/>
      <w:r w:rsidR="006D4B5E" w:rsidRPr="00F85A58">
        <w:rPr>
          <w:rFonts w:cs="Arial"/>
          <w:lang w:val="fr-FR"/>
        </w:rPr>
        <w:t>Observers</w:t>
      </w:r>
      <w:proofErr w:type="spellEnd"/>
      <w:r w:rsidR="006D4B5E" w:rsidRPr="00F85A58">
        <w:rPr>
          <w:rFonts w:cs="Arial"/>
          <w:lang w:val="fr-FR"/>
        </w:rPr>
        <w:t>”.</w:t>
      </w:r>
      <w:r w:rsidRPr="00F85A58">
        <w:rPr>
          <w:lang w:val="fr-FR"/>
        </w:rPr>
        <w:t xml:space="preserve">  </w:t>
      </w:r>
      <w:r w:rsidR="00CE4536" w:rsidRPr="00F85A58">
        <w:rPr>
          <w:rFonts w:cs="Arial"/>
          <w:lang w:val="fr-FR"/>
        </w:rPr>
        <w:t>Le Bureau de l</w:t>
      </w:r>
      <w:r w:rsidR="005752E4" w:rsidRPr="00F85A58">
        <w:rPr>
          <w:rFonts w:cs="Arial"/>
          <w:lang w:val="fr-FR"/>
        </w:rPr>
        <w:t>’</w:t>
      </w:r>
      <w:r w:rsidR="00CE4536" w:rsidRPr="00F85A58">
        <w:rPr>
          <w:rFonts w:cs="Arial"/>
          <w:lang w:val="fr-FR"/>
        </w:rPr>
        <w:t>Union a présenté un exposé sur</w:t>
      </w:r>
      <w:r w:rsidRPr="00F85A58">
        <w:rPr>
          <w:rFonts w:cs="Arial"/>
          <w:lang w:val="fr-FR"/>
        </w:rPr>
        <w:t xml:space="preserve"> </w:t>
      </w:r>
      <w:r w:rsidR="00140331" w:rsidRPr="00F85A58">
        <w:rPr>
          <w:rFonts w:cs="Arial"/>
          <w:lang w:val="fr-FR"/>
        </w:rPr>
        <w:t>les faits nouveaux intervenus à l</w:t>
      </w:r>
      <w:r w:rsidR="005752E4" w:rsidRPr="00F85A58">
        <w:rPr>
          <w:rFonts w:cs="Arial"/>
          <w:lang w:val="fr-FR"/>
        </w:rPr>
        <w:t>’</w:t>
      </w:r>
      <w:r w:rsidR="00140331" w:rsidRPr="00F85A58">
        <w:rPr>
          <w:rFonts w:cs="Arial"/>
          <w:lang w:val="fr-FR"/>
        </w:rPr>
        <w:t xml:space="preserve">UPOV </w:t>
      </w:r>
      <w:r w:rsidRPr="00F85A58">
        <w:rPr>
          <w:rFonts w:cs="Arial"/>
          <w:lang w:val="fr-FR"/>
        </w:rPr>
        <w:t>(document TWC/33/21).</w:t>
      </w:r>
    </w:p>
    <w:p w:rsidR="00BA14DE" w:rsidRPr="00F85A58" w:rsidRDefault="00BA14DE" w:rsidP="00556FD5">
      <w:pPr>
        <w:contextualSpacing/>
        <w:rPr>
          <w:rFonts w:cs="Arial"/>
          <w:lang w:val="fr-FR"/>
        </w:rPr>
      </w:pPr>
    </w:p>
    <w:p w:rsidR="00BA14DE" w:rsidRPr="00F85A58" w:rsidRDefault="00556FD5" w:rsidP="006D4B5E">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6D4B5E" w:rsidRPr="00F85A58">
        <w:rPr>
          <w:rFonts w:cs="Arial"/>
          <w:lang w:val="fr-FR"/>
        </w:rPr>
        <w:t>Le TWC a examiné le document TWC/33/16 “Révision du document TGP/8</w:t>
      </w:r>
      <w:r w:rsidR="00342006" w:rsidRPr="00F85A58">
        <w:rPr>
          <w:rFonts w:cs="Arial"/>
          <w:lang w:val="fr-FR"/>
        </w:rPr>
        <w:t> </w:t>
      </w:r>
      <w:r w:rsidR="006D4B5E" w:rsidRPr="00F85A58">
        <w:rPr>
          <w:rFonts w:cs="Arial"/>
          <w:lang w:val="fr-FR"/>
        </w:rPr>
        <w:t>: deuxième partie</w:t>
      </w:r>
      <w:r w:rsidR="00342006" w:rsidRPr="00F85A58">
        <w:rPr>
          <w:rFonts w:cs="Arial"/>
          <w:lang w:val="fr-FR"/>
        </w:rPr>
        <w:t> </w:t>
      </w:r>
      <w:r w:rsidR="006D4B5E" w:rsidRPr="00F85A58">
        <w:rPr>
          <w:rFonts w:cs="Arial"/>
          <w:lang w:val="fr-FR"/>
        </w:rPr>
        <w:t>: Quelques techniques utilisées dans l</w:t>
      </w:r>
      <w:r w:rsidR="005752E4" w:rsidRPr="00F85A58">
        <w:rPr>
          <w:rFonts w:cs="Arial"/>
          <w:lang w:val="fr-FR"/>
        </w:rPr>
        <w:t>’</w:t>
      </w:r>
      <w:r w:rsidR="006D4B5E" w:rsidRPr="00F85A58">
        <w:rPr>
          <w:rFonts w:cs="Arial"/>
          <w:lang w:val="fr-FR"/>
        </w:rPr>
        <w:t>examen</w:t>
      </w:r>
      <w:r w:rsidR="00342006" w:rsidRPr="00F85A58">
        <w:rPr>
          <w:rFonts w:cs="Arial"/>
          <w:lang w:val="fr-FR"/>
        </w:rPr>
        <w:t> </w:t>
      </w:r>
      <w:r w:rsidR="006D4B5E" w:rsidRPr="00F85A58">
        <w:rPr>
          <w:rFonts w:cs="Arial"/>
          <w:lang w:val="fr-FR"/>
        </w:rPr>
        <w:t>DHS, section</w:t>
      </w:r>
      <w:r w:rsidR="00342006" w:rsidRPr="00F85A58">
        <w:rPr>
          <w:rFonts w:cs="Arial"/>
          <w:lang w:val="fr-FR"/>
        </w:rPr>
        <w:t> </w:t>
      </w:r>
      <w:r w:rsidR="006D4B5E" w:rsidRPr="00F85A58">
        <w:rPr>
          <w:rFonts w:cs="Arial"/>
          <w:lang w:val="fr-FR"/>
        </w:rPr>
        <w:t>3</w:t>
      </w:r>
      <w:r w:rsidR="00342006" w:rsidRPr="00F85A58">
        <w:rPr>
          <w:rFonts w:cs="Arial"/>
          <w:lang w:val="fr-FR"/>
        </w:rPr>
        <w:t> </w:t>
      </w:r>
      <w:r w:rsidR="006D4B5E" w:rsidRPr="00F85A58">
        <w:rPr>
          <w:rFonts w:cs="Arial"/>
          <w:lang w:val="fr-FR"/>
        </w:rPr>
        <w:t>: Méthode de calcul de</w:t>
      </w:r>
      <w:r w:rsidR="005752E4" w:rsidRPr="00F85A58">
        <w:rPr>
          <w:rFonts w:cs="Arial"/>
          <w:lang w:val="fr-FR"/>
        </w:rPr>
        <w:t xml:space="preserve"> la COY</w:t>
      </w:r>
      <w:r w:rsidR="006D4B5E" w:rsidRPr="00F85A58">
        <w:rPr>
          <w:rFonts w:cs="Arial"/>
          <w:lang w:val="fr-FR"/>
        </w:rPr>
        <w:t>U”.</w:t>
      </w:r>
      <w:r w:rsidRPr="00F85A58">
        <w:rPr>
          <w:lang w:val="fr-FR"/>
        </w:rPr>
        <w:t xml:space="preserve">  </w:t>
      </w:r>
      <w:r w:rsidR="008B5B9F" w:rsidRPr="00F85A58">
        <w:rPr>
          <w:rFonts w:cs="Arial"/>
          <w:lang w:val="fr-FR"/>
        </w:rPr>
        <w:t>Un expert du Royaume</w:t>
      </w:r>
      <w:r w:rsidR="00F85A58" w:rsidRPr="00F85A58">
        <w:rPr>
          <w:rFonts w:cs="Arial"/>
          <w:lang w:val="fr-FR"/>
        </w:rPr>
        <w:noBreakHyphen/>
      </w:r>
      <w:r w:rsidR="008B5B9F" w:rsidRPr="00F85A58">
        <w:rPr>
          <w:rFonts w:cs="Arial"/>
          <w:lang w:val="fr-FR"/>
        </w:rPr>
        <w:t xml:space="preserve">Uni a présenté un exposé </w:t>
      </w:r>
      <w:r w:rsidR="0065236C" w:rsidRPr="00F85A58">
        <w:rPr>
          <w:rFonts w:cs="Arial"/>
          <w:lang w:val="fr-FR"/>
        </w:rPr>
        <w:t xml:space="preserve">sur </w:t>
      </w:r>
      <w:r w:rsidR="008B5B9F" w:rsidRPr="00F85A58">
        <w:rPr>
          <w:rFonts w:cs="Arial"/>
          <w:lang w:val="fr-FR"/>
        </w:rPr>
        <w:t xml:space="preserve">un exercice pratique en vue de </w:t>
      </w:r>
      <w:r w:rsidR="00ED2EEF" w:rsidRPr="00F85A58">
        <w:rPr>
          <w:rFonts w:cs="Arial"/>
          <w:lang w:val="fr-FR"/>
        </w:rPr>
        <w:t>recueillir</w:t>
      </w:r>
      <w:r w:rsidR="008B5B9F" w:rsidRPr="00F85A58">
        <w:rPr>
          <w:rFonts w:cs="Arial"/>
          <w:lang w:val="fr-FR"/>
        </w:rPr>
        <w:t xml:space="preserve"> </w:t>
      </w:r>
      <w:r w:rsidR="00ED2EEF" w:rsidRPr="00F85A58">
        <w:rPr>
          <w:rFonts w:cs="Arial"/>
          <w:lang w:val="fr-FR"/>
        </w:rPr>
        <w:t>des données d</w:t>
      </w:r>
      <w:r w:rsidR="005752E4" w:rsidRPr="00F85A58">
        <w:rPr>
          <w:rFonts w:cs="Arial"/>
          <w:lang w:val="fr-FR"/>
        </w:rPr>
        <w:t>’</w:t>
      </w:r>
      <w:r w:rsidR="00ED2EEF" w:rsidRPr="00F85A58">
        <w:rPr>
          <w:rFonts w:cs="Arial"/>
          <w:lang w:val="fr-FR"/>
        </w:rPr>
        <w:t>expérience émanant des membres de l</w:t>
      </w:r>
      <w:r w:rsidR="005752E4" w:rsidRPr="00F85A58">
        <w:rPr>
          <w:rFonts w:cs="Arial"/>
          <w:lang w:val="fr-FR"/>
        </w:rPr>
        <w:t>’</w:t>
      </w:r>
      <w:r w:rsidR="00ED2EEF" w:rsidRPr="00F85A58">
        <w:rPr>
          <w:rFonts w:cs="Arial"/>
          <w:lang w:val="fr-FR"/>
        </w:rPr>
        <w:t>UPOV</w:t>
      </w:r>
      <w:r w:rsidRPr="00F85A58">
        <w:rPr>
          <w:rFonts w:cs="Arial"/>
          <w:lang w:val="fr-FR"/>
        </w:rPr>
        <w:t xml:space="preserve"> </w:t>
      </w:r>
      <w:r w:rsidR="00E7495B" w:rsidRPr="00F85A58">
        <w:rPr>
          <w:rFonts w:cs="Arial"/>
          <w:lang w:val="fr-FR"/>
        </w:rPr>
        <w:t xml:space="preserve">et </w:t>
      </w:r>
      <w:r w:rsidR="0065236C" w:rsidRPr="00F85A58">
        <w:rPr>
          <w:rFonts w:cs="Arial"/>
          <w:lang w:val="fr-FR"/>
        </w:rPr>
        <w:t xml:space="preserve">concernant les </w:t>
      </w:r>
      <w:r w:rsidR="00ED2EEF" w:rsidRPr="00F85A58">
        <w:rPr>
          <w:rFonts w:cs="Arial"/>
          <w:lang w:val="fr-FR"/>
        </w:rPr>
        <w:t xml:space="preserve">modifications proposées </w:t>
      </w:r>
      <w:r w:rsidR="004E69CD" w:rsidRPr="00F85A58">
        <w:rPr>
          <w:rFonts w:cs="Arial"/>
          <w:lang w:val="fr-FR"/>
        </w:rPr>
        <w:t>de la méthode de calcul global de l</w:t>
      </w:r>
      <w:r w:rsidR="005752E4" w:rsidRPr="00F85A58">
        <w:rPr>
          <w:rFonts w:cs="Arial"/>
          <w:lang w:val="fr-FR"/>
        </w:rPr>
        <w:t>’</w:t>
      </w:r>
      <w:r w:rsidR="004E69CD" w:rsidRPr="00F85A58">
        <w:rPr>
          <w:rFonts w:cs="Arial"/>
          <w:lang w:val="fr-FR"/>
        </w:rPr>
        <w:t xml:space="preserve">homogénéité sur plusieurs années </w:t>
      </w:r>
      <w:r w:rsidRPr="00F85A58">
        <w:rPr>
          <w:rFonts w:cs="Arial"/>
          <w:lang w:val="fr-FR"/>
        </w:rPr>
        <w:t xml:space="preserve">(COYU).  </w:t>
      </w:r>
      <w:r w:rsidR="0065236C" w:rsidRPr="00F85A58">
        <w:rPr>
          <w:rFonts w:cs="Arial"/>
          <w:lang w:val="fr-FR"/>
        </w:rPr>
        <w:t>Six</w:t>
      </w:r>
      <w:r w:rsidR="00342006" w:rsidRPr="00F85A58">
        <w:rPr>
          <w:rFonts w:cs="Arial"/>
          <w:lang w:val="fr-FR"/>
        </w:rPr>
        <w:t> </w:t>
      </w:r>
      <w:r w:rsidR="0065236C" w:rsidRPr="00F85A58">
        <w:rPr>
          <w:rFonts w:cs="Arial"/>
          <w:lang w:val="fr-FR"/>
        </w:rPr>
        <w:t>personnes, provenant de quatre</w:t>
      </w:r>
      <w:r w:rsidR="00342006" w:rsidRPr="00F85A58">
        <w:rPr>
          <w:rFonts w:cs="Arial"/>
          <w:lang w:val="fr-FR"/>
        </w:rPr>
        <w:t> </w:t>
      </w:r>
      <w:r w:rsidR="0065236C" w:rsidRPr="00F85A58">
        <w:rPr>
          <w:rFonts w:cs="Arial"/>
          <w:lang w:val="fr-FR"/>
        </w:rPr>
        <w:t>membres de l</w:t>
      </w:r>
      <w:r w:rsidR="005752E4" w:rsidRPr="00F85A58">
        <w:rPr>
          <w:rFonts w:cs="Arial"/>
          <w:lang w:val="fr-FR"/>
        </w:rPr>
        <w:t>’</w:t>
      </w:r>
      <w:r w:rsidR="0065236C" w:rsidRPr="00F85A58">
        <w:rPr>
          <w:rFonts w:cs="Arial"/>
          <w:lang w:val="fr-FR"/>
        </w:rPr>
        <w:t>UPOV, ont participé à cet exerci</w:t>
      </w:r>
      <w:r w:rsidR="00F85A58" w:rsidRPr="00F85A58">
        <w:rPr>
          <w:rFonts w:cs="Arial"/>
          <w:lang w:val="fr-FR"/>
        </w:rPr>
        <w:t>ce.  Un</w:t>
      </w:r>
      <w:r w:rsidR="0065236C" w:rsidRPr="00F85A58">
        <w:rPr>
          <w:rFonts w:cs="Arial"/>
          <w:lang w:val="fr-FR"/>
        </w:rPr>
        <w:t xml:space="preserve"> logici</w:t>
      </w:r>
      <w:r w:rsidR="00015903" w:rsidRPr="00F85A58">
        <w:rPr>
          <w:rFonts w:cs="Arial"/>
          <w:lang w:val="fr-FR"/>
        </w:rPr>
        <w:t>el permettant d</w:t>
      </w:r>
      <w:r w:rsidR="005752E4" w:rsidRPr="00F85A58">
        <w:rPr>
          <w:rFonts w:cs="Arial"/>
          <w:lang w:val="fr-FR"/>
        </w:rPr>
        <w:t>’</w:t>
      </w:r>
      <w:r w:rsidR="00015903" w:rsidRPr="00F85A58">
        <w:rPr>
          <w:rFonts w:cs="Arial"/>
          <w:lang w:val="fr-FR"/>
        </w:rPr>
        <w:t>appliquer la méthode proposée a été fourni aux participants aux fins d</w:t>
      </w:r>
      <w:r w:rsidR="005752E4" w:rsidRPr="00F85A58">
        <w:rPr>
          <w:rFonts w:cs="Arial"/>
          <w:lang w:val="fr-FR"/>
        </w:rPr>
        <w:t>’</w:t>
      </w:r>
      <w:r w:rsidR="00015903" w:rsidRPr="00F85A58">
        <w:rPr>
          <w:rFonts w:cs="Arial"/>
          <w:lang w:val="fr-FR"/>
        </w:rPr>
        <w:t xml:space="preserve">évaluation </w:t>
      </w:r>
      <w:r w:rsidR="00ED775D" w:rsidRPr="00F85A58">
        <w:rPr>
          <w:rFonts w:cs="Arial"/>
          <w:lang w:val="fr-FR"/>
        </w:rPr>
        <w:t>en utilisant des exemples d</w:t>
      </w:r>
      <w:r w:rsidR="005752E4" w:rsidRPr="00F85A58">
        <w:rPr>
          <w:rFonts w:cs="Arial"/>
          <w:lang w:val="fr-FR"/>
        </w:rPr>
        <w:t>’</w:t>
      </w:r>
      <w:r w:rsidR="00ED775D" w:rsidRPr="00F85A58">
        <w:rPr>
          <w:rFonts w:cs="Arial"/>
          <w:lang w:val="fr-FR"/>
        </w:rPr>
        <w:t>ensembles de donné</w:t>
      </w:r>
      <w:r w:rsidR="00F85A58" w:rsidRPr="00F85A58">
        <w:rPr>
          <w:rFonts w:cs="Arial"/>
          <w:lang w:val="fr-FR"/>
        </w:rPr>
        <w:t>es.  L’e</w:t>
      </w:r>
      <w:r w:rsidR="00ED775D" w:rsidRPr="00F85A58">
        <w:rPr>
          <w:rFonts w:cs="Arial"/>
          <w:lang w:val="fr-FR"/>
        </w:rPr>
        <w:t>xercice a permis de conclure que la méthode modifiée de calcul</w:t>
      </w:r>
      <w:r w:rsidR="005752E4" w:rsidRPr="00F85A58">
        <w:rPr>
          <w:rFonts w:cs="Arial"/>
          <w:lang w:val="fr-FR"/>
        </w:rPr>
        <w:t xml:space="preserve"> la COY</w:t>
      </w:r>
      <w:r w:rsidRPr="00F85A58">
        <w:rPr>
          <w:rFonts w:cs="Arial"/>
          <w:lang w:val="fr-FR"/>
        </w:rPr>
        <w:t xml:space="preserve">U </w:t>
      </w:r>
      <w:r w:rsidR="00ED775D" w:rsidRPr="00F85A58">
        <w:rPr>
          <w:rFonts w:cs="Arial"/>
          <w:lang w:val="fr-FR"/>
        </w:rPr>
        <w:t>fonctionnait de façon satisfaisan</w:t>
      </w:r>
      <w:r w:rsidR="00F85A58" w:rsidRPr="00F85A58">
        <w:rPr>
          <w:rFonts w:cs="Arial"/>
          <w:lang w:val="fr-FR"/>
        </w:rPr>
        <w:t>te.  Bi</w:t>
      </w:r>
      <w:r w:rsidR="003053C1" w:rsidRPr="00F85A58">
        <w:rPr>
          <w:rFonts w:cs="Arial"/>
          <w:lang w:val="fr-FR"/>
        </w:rPr>
        <w:t>en que le logiciel fonctionne correctement, certaines possibilités d</w:t>
      </w:r>
      <w:r w:rsidR="005752E4" w:rsidRPr="00F85A58">
        <w:rPr>
          <w:rFonts w:cs="Arial"/>
          <w:lang w:val="fr-FR"/>
        </w:rPr>
        <w:t>’</w:t>
      </w:r>
      <w:r w:rsidR="003053C1" w:rsidRPr="00F85A58">
        <w:rPr>
          <w:rFonts w:cs="Arial"/>
          <w:lang w:val="fr-FR"/>
        </w:rPr>
        <w:t>amélioration ont été relevé</w:t>
      </w:r>
      <w:r w:rsidR="00F85A58" w:rsidRPr="00F85A58">
        <w:rPr>
          <w:rFonts w:cs="Arial"/>
          <w:lang w:val="fr-FR"/>
        </w:rPr>
        <w:t>es.  Co</w:t>
      </w:r>
      <w:r w:rsidR="003053C1" w:rsidRPr="00F85A58">
        <w:rPr>
          <w:rFonts w:cs="Arial"/>
          <w:lang w:val="fr-FR"/>
        </w:rPr>
        <w:t xml:space="preserve">mme prévu, </w:t>
      </w:r>
      <w:r w:rsidR="00FA6A06" w:rsidRPr="00F85A58">
        <w:rPr>
          <w:rFonts w:cs="Arial"/>
          <w:lang w:val="fr-FR"/>
        </w:rPr>
        <w:t>il conviendrait de définir des seuils de probabilité plus élevés eu égard à la nouvelle métho</w:t>
      </w:r>
      <w:r w:rsidR="00F85A58" w:rsidRPr="00F85A58">
        <w:rPr>
          <w:rFonts w:cs="Arial"/>
          <w:lang w:val="fr-FR"/>
        </w:rPr>
        <w:t>de.  To</w:t>
      </w:r>
      <w:r w:rsidR="00FA6A06" w:rsidRPr="00F85A58">
        <w:rPr>
          <w:rFonts w:cs="Arial"/>
          <w:lang w:val="fr-FR"/>
        </w:rPr>
        <w:t>utefois, des exemples d</w:t>
      </w:r>
      <w:r w:rsidR="005752E4" w:rsidRPr="00F85A58">
        <w:rPr>
          <w:rFonts w:cs="Arial"/>
          <w:lang w:val="fr-FR"/>
        </w:rPr>
        <w:t>’</w:t>
      </w:r>
      <w:r w:rsidR="00FA6A06" w:rsidRPr="00F85A58">
        <w:rPr>
          <w:rFonts w:cs="Arial"/>
          <w:lang w:val="fr-FR"/>
        </w:rPr>
        <w:t xml:space="preserve">ensembles de données supplémentaires seraient </w:t>
      </w:r>
      <w:r w:rsidR="00AB29B0" w:rsidRPr="00F85A58">
        <w:rPr>
          <w:rFonts w:cs="Arial"/>
          <w:lang w:val="fr-FR"/>
        </w:rPr>
        <w:t>nécessaires</w:t>
      </w:r>
      <w:r w:rsidR="00FA6A06" w:rsidRPr="00F85A58">
        <w:rPr>
          <w:rFonts w:cs="Arial"/>
          <w:lang w:val="fr-FR"/>
        </w:rPr>
        <w:t xml:space="preserve"> afin de déterminer plus </w:t>
      </w:r>
      <w:r w:rsidR="00AB29B0" w:rsidRPr="00F85A58">
        <w:rPr>
          <w:rFonts w:cs="Arial"/>
          <w:lang w:val="fr-FR"/>
        </w:rPr>
        <w:t>précisément</w:t>
      </w:r>
      <w:r w:rsidR="00FA6A06" w:rsidRPr="00F85A58">
        <w:rPr>
          <w:rFonts w:cs="Arial"/>
          <w:lang w:val="fr-FR"/>
        </w:rPr>
        <w:t xml:space="preserve"> les seuils appropri</w:t>
      </w:r>
      <w:r w:rsidR="00F85A58" w:rsidRPr="00F85A58">
        <w:rPr>
          <w:rFonts w:cs="Arial"/>
          <w:lang w:val="fr-FR"/>
        </w:rPr>
        <w:t>és.  Le</w:t>
      </w:r>
      <w:r w:rsidR="005752E4" w:rsidRPr="00F85A58">
        <w:rPr>
          <w:rFonts w:cs="Arial"/>
          <w:lang w:val="fr-FR"/>
        </w:rPr>
        <w:t> TWC</w:t>
      </w:r>
      <w:r w:rsidRPr="00F85A58">
        <w:rPr>
          <w:rFonts w:cs="Arial"/>
          <w:lang w:val="fr-FR"/>
        </w:rPr>
        <w:t xml:space="preserve"> </w:t>
      </w:r>
      <w:r w:rsidR="00FA6A06" w:rsidRPr="00F85A58">
        <w:rPr>
          <w:rFonts w:cs="Arial"/>
          <w:lang w:val="fr-FR"/>
        </w:rPr>
        <w:t xml:space="preserve">est convenu de rechercher </w:t>
      </w:r>
      <w:r w:rsidR="00AB29B0" w:rsidRPr="00F85A58">
        <w:rPr>
          <w:rFonts w:cs="Arial"/>
          <w:lang w:val="fr-FR"/>
        </w:rPr>
        <w:t>davantage</w:t>
      </w:r>
      <w:r w:rsidR="00FA6A06" w:rsidRPr="00F85A58">
        <w:rPr>
          <w:rFonts w:cs="Arial"/>
          <w:lang w:val="fr-FR"/>
        </w:rPr>
        <w:t xml:space="preserve"> d</w:t>
      </w:r>
      <w:r w:rsidR="005752E4" w:rsidRPr="00F85A58">
        <w:rPr>
          <w:rFonts w:cs="Arial"/>
          <w:lang w:val="fr-FR"/>
        </w:rPr>
        <w:t>’</w:t>
      </w:r>
      <w:r w:rsidR="00FA6A06" w:rsidRPr="00F85A58">
        <w:rPr>
          <w:rFonts w:cs="Arial"/>
          <w:lang w:val="fr-FR"/>
        </w:rPr>
        <w:t>ensembles de données et notamment d</w:t>
      </w:r>
      <w:r w:rsidR="005752E4" w:rsidRPr="00F85A58">
        <w:rPr>
          <w:rFonts w:cs="Arial"/>
          <w:lang w:val="fr-FR"/>
        </w:rPr>
        <w:t>’</w:t>
      </w:r>
      <w:r w:rsidR="00FA6A06" w:rsidRPr="00F85A58">
        <w:rPr>
          <w:rFonts w:cs="Arial"/>
          <w:lang w:val="fr-FR"/>
        </w:rPr>
        <w:t>inviter</w:t>
      </w:r>
      <w:r w:rsidR="005752E4" w:rsidRPr="00F85A58">
        <w:rPr>
          <w:rFonts w:cs="Arial"/>
          <w:lang w:val="fr-FR"/>
        </w:rPr>
        <w:t xml:space="preserve"> le TWA</w:t>
      </w:r>
      <w:r w:rsidRPr="00F85A58">
        <w:rPr>
          <w:rFonts w:cs="Arial"/>
          <w:lang w:val="fr-FR"/>
        </w:rPr>
        <w:t xml:space="preserve"> </w:t>
      </w:r>
      <w:r w:rsidR="00FA6A06" w:rsidRPr="00F85A58">
        <w:rPr>
          <w:rFonts w:cs="Arial"/>
          <w:lang w:val="fr-FR"/>
        </w:rPr>
        <w:t xml:space="preserve">à fournir </w:t>
      </w:r>
      <w:r w:rsidR="0013583D" w:rsidRPr="00F85A58">
        <w:rPr>
          <w:rFonts w:cs="Arial"/>
          <w:lang w:val="fr-FR"/>
        </w:rPr>
        <w:t>de vastes ensembles de données provenant des cultures de plein cha</w:t>
      </w:r>
      <w:r w:rsidR="00F85A58" w:rsidRPr="00F85A58">
        <w:rPr>
          <w:rFonts w:cs="Arial"/>
          <w:lang w:val="fr-FR"/>
        </w:rPr>
        <w:t>mp.  Le</w:t>
      </w:r>
      <w:r w:rsidR="005752E4" w:rsidRPr="00F85A58">
        <w:rPr>
          <w:rFonts w:cs="Arial"/>
          <w:lang w:val="fr-FR"/>
        </w:rPr>
        <w:t> TWC</w:t>
      </w:r>
      <w:r w:rsidRPr="00F85A58">
        <w:rPr>
          <w:rFonts w:cs="Arial"/>
          <w:lang w:val="fr-FR"/>
        </w:rPr>
        <w:t xml:space="preserve"> </w:t>
      </w:r>
      <w:r w:rsidR="0013583D" w:rsidRPr="00F85A58">
        <w:rPr>
          <w:rFonts w:cs="Arial"/>
          <w:lang w:val="fr-FR"/>
        </w:rPr>
        <w:t>a demandé à l</w:t>
      </w:r>
      <w:r w:rsidR="005752E4" w:rsidRPr="00F85A58">
        <w:rPr>
          <w:rFonts w:cs="Arial"/>
          <w:lang w:val="fr-FR"/>
        </w:rPr>
        <w:t>’</w:t>
      </w:r>
      <w:r w:rsidR="0013583D" w:rsidRPr="00F85A58">
        <w:rPr>
          <w:rFonts w:cs="Arial"/>
          <w:lang w:val="fr-FR"/>
        </w:rPr>
        <w:t>expert du Royaume</w:t>
      </w:r>
      <w:r w:rsidR="00F85A58" w:rsidRPr="00F85A58">
        <w:rPr>
          <w:rFonts w:cs="Arial"/>
          <w:lang w:val="fr-FR"/>
        </w:rPr>
        <w:noBreakHyphen/>
      </w:r>
      <w:r w:rsidR="0013583D" w:rsidRPr="00F85A58">
        <w:rPr>
          <w:rFonts w:cs="Arial"/>
          <w:lang w:val="fr-FR"/>
        </w:rPr>
        <w:t>Uni de fournir des orientations supplémentaires concernant l</w:t>
      </w:r>
      <w:r w:rsidR="005752E4" w:rsidRPr="00F85A58">
        <w:rPr>
          <w:rFonts w:cs="Arial"/>
          <w:lang w:val="fr-FR"/>
        </w:rPr>
        <w:t>’</w:t>
      </w:r>
      <w:r w:rsidR="0013583D" w:rsidRPr="00F85A58">
        <w:rPr>
          <w:rFonts w:cs="Arial"/>
          <w:lang w:val="fr-FR"/>
        </w:rPr>
        <w:t xml:space="preserve">extrapolation lorsque </w:t>
      </w:r>
      <w:r w:rsidR="00F355B9" w:rsidRPr="00F85A58">
        <w:rPr>
          <w:rFonts w:cs="Arial"/>
          <w:lang w:val="fr-FR"/>
        </w:rPr>
        <w:t>le niveau d</w:t>
      </w:r>
      <w:r w:rsidR="005752E4" w:rsidRPr="00F85A58">
        <w:rPr>
          <w:rFonts w:cs="Arial"/>
          <w:lang w:val="fr-FR"/>
        </w:rPr>
        <w:t>’</w:t>
      </w:r>
      <w:r w:rsidR="00F355B9" w:rsidRPr="00F85A58">
        <w:rPr>
          <w:rFonts w:cs="Arial"/>
          <w:lang w:val="fr-FR"/>
        </w:rPr>
        <w:t xml:space="preserve">expression de la variété candidate est en dehors de celui </w:t>
      </w:r>
      <w:r w:rsidR="00246DB6" w:rsidRPr="00F85A58">
        <w:rPr>
          <w:rFonts w:cs="Arial"/>
          <w:lang w:val="fr-FR"/>
        </w:rPr>
        <w:t xml:space="preserve">observé chez les </w:t>
      </w:r>
      <w:r w:rsidR="00F355B9" w:rsidRPr="00F85A58">
        <w:rPr>
          <w:rFonts w:cs="Arial"/>
          <w:lang w:val="fr-FR"/>
        </w:rPr>
        <w:t>variétés de référence</w:t>
      </w:r>
      <w:r w:rsidRPr="00F85A58">
        <w:rPr>
          <w:rFonts w:cs="Arial"/>
          <w:lang w:val="fr-FR"/>
        </w:rPr>
        <w:t>.</w:t>
      </w:r>
    </w:p>
    <w:p w:rsidR="00BA14DE" w:rsidRPr="00F85A58" w:rsidRDefault="00BA14DE" w:rsidP="00556FD5">
      <w:pPr>
        <w:autoSpaceDE w:val="0"/>
        <w:autoSpaceDN w:val="0"/>
        <w:adjustRightInd w:val="0"/>
        <w:rPr>
          <w:rFonts w:cs="Arial"/>
          <w:lang w:val="fr-FR"/>
        </w:rPr>
      </w:pPr>
    </w:p>
    <w:p w:rsidR="005752E4"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BB0001" w:rsidRPr="00F85A58">
        <w:rPr>
          <w:rFonts w:cs="Arial"/>
          <w:lang w:val="fr-FR"/>
        </w:rPr>
        <w:t>L</w:t>
      </w:r>
      <w:r w:rsidR="005752E4" w:rsidRPr="00F85A58">
        <w:rPr>
          <w:rFonts w:cs="Arial"/>
          <w:lang w:val="fr-FR"/>
        </w:rPr>
        <w:t>’</w:t>
      </w:r>
      <w:r w:rsidR="00BB0001" w:rsidRPr="00F85A58">
        <w:rPr>
          <w:rFonts w:cs="Arial"/>
          <w:lang w:val="fr-FR"/>
        </w:rPr>
        <w:t xml:space="preserve">annexe I du document TWC/33/17 a été présentée par un expert des </w:t>
      </w:r>
      <w:r w:rsidR="00AB29B0" w:rsidRPr="00F85A58">
        <w:rPr>
          <w:rFonts w:cs="Arial"/>
          <w:lang w:val="fr-FR"/>
        </w:rPr>
        <w:t>Pays</w:t>
      </w:r>
      <w:r w:rsidR="00F85A58" w:rsidRPr="00F85A58">
        <w:rPr>
          <w:rFonts w:cs="Arial"/>
          <w:lang w:val="fr-FR"/>
        </w:rPr>
        <w:noBreakHyphen/>
      </w:r>
      <w:r w:rsidR="00AB29B0" w:rsidRPr="00F85A58">
        <w:rPr>
          <w:rFonts w:cs="Arial"/>
          <w:lang w:val="fr-FR"/>
        </w:rPr>
        <w:t>Bas</w:t>
      </w:r>
      <w:r w:rsidR="00BB0001" w:rsidRPr="00F85A58">
        <w:rPr>
          <w:rFonts w:cs="Arial"/>
          <w:lang w:val="fr-FR"/>
        </w:rPr>
        <w:t xml:space="preserve"> dans le cadre de l</w:t>
      </w:r>
      <w:r w:rsidR="005752E4" w:rsidRPr="00F85A58">
        <w:rPr>
          <w:rFonts w:cs="Arial"/>
          <w:lang w:val="fr-FR"/>
        </w:rPr>
        <w:t>’</w:t>
      </w:r>
      <w:r w:rsidR="00BB0001" w:rsidRPr="00F85A58">
        <w:rPr>
          <w:rFonts w:cs="Arial"/>
          <w:lang w:val="fr-FR"/>
        </w:rPr>
        <w:t>élaboration d</w:t>
      </w:r>
      <w:r w:rsidR="005752E4" w:rsidRPr="00F85A58">
        <w:rPr>
          <w:rFonts w:cs="Arial"/>
          <w:lang w:val="fr-FR"/>
        </w:rPr>
        <w:t>’</w:t>
      </w:r>
      <w:r w:rsidR="00BB0001" w:rsidRPr="00F85A58">
        <w:rPr>
          <w:rFonts w:cs="Arial"/>
          <w:lang w:val="fr-FR"/>
        </w:rPr>
        <w:t>orientations concernant l</w:t>
      </w:r>
      <w:r w:rsidR="005752E4" w:rsidRPr="00F85A58">
        <w:rPr>
          <w:rFonts w:cs="Arial"/>
          <w:lang w:val="fr-FR"/>
        </w:rPr>
        <w:t>’</w:t>
      </w:r>
      <w:r w:rsidR="00BB0001" w:rsidRPr="00F85A58">
        <w:rPr>
          <w:rFonts w:cs="Arial"/>
          <w:lang w:val="fr-FR"/>
        </w:rPr>
        <w:t>examen</w:t>
      </w:r>
      <w:r w:rsidR="00342006" w:rsidRPr="00F85A58">
        <w:rPr>
          <w:rFonts w:cs="Arial"/>
          <w:lang w:val="fr-FR"/>
        </w:rPr>
        <w:t> </w:t>
      </w:r>
      <w:r w:rsidR="00BB0001" w:rsidRPr="00F85A58">
        <w:rPr>
          <w:rFonts w:cs="Arial"/>
          <w:lang w:val="fr-FR"/>
        </w:rPr>
        <w:t>DHS sur des échantillons globa</w:t>
      </w:r>
      <w:r w:rsidR="00F85A58" w:rsidRPr="00F85A58">
        <w:rPr>
          <w:rFonts w:cs="Arial"/>
          <w:lang w:val="fr-FR"/>
        </w:rPr>
        <w:t>ux.  Af</w:t>
      </w:r>
      <w:r w:rsidR="00BB0001" w:rsidRPr="00F85A58">
        <w:rPr>
          <w:rFonts w:cs="Arial"/>
          <w:lang w:val="fr-FR"/>
        </w:rPr>
        <w:t>in de suscite le débat sur cette question, le document présente différentes méthodes potentiell</w:t>
      </w:r>
      <w:r w:rsidR="00F85A58" w:rsidRPr="00F85A58">
        <w:rPr>
          <w:rFonts w:cs="Arial"/>
          <w:lang w:val="fr-FR"/>
        </w:rPr>
        <w:t>es.  Un</w:t>
      </w:r>
      <w:r w:rsidR="000F2351" w:rsidRPr="00F85A58">
        <w:rPr>
          <w:rFonts w:cs="Arial"/>
          <w:lang w:val="fr-FR"/>
        </w:rPr>
        <w:t xml:space="preserve"> débat fructueux s</w:t>
      </w:r>
      <w:r w:rsidR="005752E4" w:rsidRPr="00F85A58">
        <w:rPr>
          <w:rFonts w:cs="Arial"/>
          <w:lang w:val="fr-FR"/>
        </w:rPr>
        <w:t>’</w:t>
      </w:r>
      <w:r w:rsidR="000F2351" w:rsidRPr="00F85A58">
        <w:rPr>
          <w:rFonts w:cs="Arial"/>
          <w:lang w:val="fr-FR"/>
        </w:rPr>
        <w:t>est déroulé au sein</w:t>
      </w:r>
      <w:r w:rsidR="005752E4" w:rsidRPr="00F85A58">
        <w:rPr>
          <w:rFonts w:cs="Arial"/>
          <w:lang w:val="fr-FR"/>
        </w:rPr>
        <w:t xml:space="preserve"> du TWC</w:t>
      </w:r>
      <w:r w:rsidRPr="00F85A58">
        <w:rPr>
          <w:rFonts w:cs="Arial"/>
          <w:lang w:val="fr-FR"/>
        </w:rPr>
        <w:t xml:space="preserve"> </w:t>
      </w:r>
      <w:r w:rsidR="000F2351" w:rsidRPr="00F85A58">
        <w:rPr>
          <w:rFonts w:cs="Arial"/>
          <w:lang w:val="fr-FR"/>
        </w:rPr>
        <w:t>sur la question de savoir lesquelles parmi ces méthodes seraient les plus approprié</w:t>
      </w:r>
      <w:r w:rsidR="00F85A58" w:rsidRPr="00F85A58">
        <w:rPr>
          <w:rFonts w:cs="Arial"/>
          <w:lang w:val="fr-FR"/>
        </w:rPr>
        <w:t>es.  Le</w:t>
      </w:r>
      <w:r w:rsidR="005752E4" w:rsidRPr="00F85A58">
        <w:rPr>
          <w:rFonts w:cs="Arial"/>
          <w:lang w:val="fr-FR"/>
        </w:rPr>
        <w:t> TWC</w:t>
      </w:r>
      <w:r w:rsidRPr="00F85A58">
        <w:rPr>
          <w:rFonts w:cs="Arial"/>
          <w:lang w:val="fr-FR"/>
        </w:rPr>
        <w:t xml:space="preserve"> </w:t>
      </w:r>
      <w:r w:rsidR="000F2351" w:rsidRPr="00F85A58">
        <w:rPr>
          <w:rFonts w:cs="Arial"/>
          <w:lang w:val="fr-FR"/>
        </w:rPr>
        <w:t>est convenu que les méthodes suivantes figurant dans l</w:t>
      </w:r>
      <w:r w:rsidR="005752E4" w:rsidRPr="00F85A58">
        <w:rPr>
          <w:rFonts w:cs="Arial"/>
          <w:lang w:val="fr-FR"/>
        </w:rPr>
        <w:t>’</w:t>
      </w:r>
      <w:r w:rsidR="000F2351" w:rsidRPr="00F85A58">
        <w:rPr>
          <w:rFonts w:cs="Arial"/>
          <w:lang w:val="fr-FR"/>
        </w:rPr>
        <w:t xml:space="preserve">annexe I du </w:t>
      </w:r>
      <w:r w:rsidR="00BF1B62" w:rsidRPr="00F85A58">
        <w:rPr>
          <w:rFonts w:cs="Arial"/>
          <w:lang w:val="fr-FR"/>
        </w:rPr>
        <w:t>docum</w:t>
      </w:r>
      <w:r w:rsidR="000F2351" w:rsidRPr="00F85A58">
        <w:rPr>
          <w:rFonts w:cs="Arial"/>
          <w:lang w:val="fr-FR"/>
        </w:rPr>
        <w:t>ent TWC/33/17 pourraient faire l</w:t>
      </w:r>
      <w:r w:rsidR="005752E4" w:rsidRPr="00F85A58">
        <w:rPr>
          <w:rFonts w:cs="Arial"/>
          <w:lang w:val="fr-FR"/>
        </w:rPr>
        <w:t>’</w:t>
      </w:r>
      <w:r w:rsidR="000F2351" w:rsidRPr="00F85A58">
        <w:rPr>
          <w:rFonts w:cs="Arial"/>
          <w:lang w:val="fr-FR"/>
        </w:rPr>
        <w:t>objet d</w:t>
      </w:r>
      <w:r w:rsidR="005752E4" w:rsidRPr="00F85A58">
        <w:rPr>
          <w:rFonts w:cs="Arial"/>
          <w:lang w:val="fr-FR"/>
        </w:rPr>
        <w:t>’</w:t>
      </w:r>
      <w:r w:rsidR="000F2351" w:rsidRPr="00F85A58">
        <w:rPr>
          <w:rFonts w:cs="Arial"/>
          <w:lang w:val="fr-FR"/>
        </w:rPr>
        <w:t>une élaboration plus poussée afin de constituer le fondement des orientations concernant l</w:t>
      </w:r>
      <w:r w:rsidR="005752E4" w:rsidRPr="00F85A58">
        <w:rPr>
          <w:rFonts w:cs="Arial"/>
          <w:lang w:val="fr-FR"/>
        </w:rPr>
        <w:t>’</w:t>
      </w:r>
      <w:r w:rsidR="000F2351" w:rsidRPr="00F85A58">
        <w:rPr>
          <w:rFonts w:cs="Arial"/>
          <w:lang w:val="fr-FR"/>
        </w:rPr>
        <w:t>évaluation des caractères examinés sur la base d</w:t>
      </w:r>
      <w:r w:rsidR="005752E4" w:rsidRPr="00F85A58">
        <w:rPr>
          <w:rFonts w:cs="Arial"/>
          <w:lang w:val="fr-FR"/>
        </w:rPr>
        <w:t>’</w:t>
      </w:r>
      <w:r w:rsidR="000F2351" w:rsidRPr="00F85A58">
        <w:rPr>
          <w:rFonts w:cs="Arial"/>
          <w:lang w:val="fr-FR"/>
        </w:rPr>
        <w:t>échantillons globaux </w:t>
      </w:r>
      <w:r w:rsidR="00BF1B62" w:rsidRPr="00F85A58">
        <w:rPr>
          <w:rFonts w:cs="Arial"/>
          <w:lang w:val="fr-FR"/>
        </w:rPr>
        <w:t>:</w:t>
      </w:r>
    </w:p>
    <w:p w:rsidR="00BA14DE" w:rsidRPr="00F85A58" w:rsidRDefault="00BA14DE" w:rsidP="00556FD5">
      <w:pPr>
        <w:tabs>
          <w:tab w:val="left" w:pos="567"/>
        </w:tabs>
        <w:autoSpaceDE w:val="0"/>
        <w:autoSpaceDN w:val="0"/>
        <w:adjustRightInd w:val="0"/>
        <w:rPr>
          <w:rFonts w:cs="Arial"/>
          <w:lang w:val="fr-FR"/>
        </w:rPr>
      </w:pPr>
    </w:p>
    <w:p w:rsidR="005752E4" w:rsidRPr="00F85A58" w:rsidRDefault="006F2D11" w:rsidP="006F2D11">
      <w:pPr>
        <w:tabs>
          <w:tab w:val="left" w:pos="993"/>
        </w:tabs>
        <w:autoSpaceDE w:val="0"/>
        <w:autoSpaceDN w:val="0"/>
        <w:adjustRightInd w:val="0"/>
        <w:ind w:left="567"/>
        <w:rPr>
          <w:rFonts w:cs="Arial"/>
          <w:lang w:val="fr-FR"/>
        </w:rPr>
      </w:pPr>
      <w:r w:rsidRPr="00F85A58">
        <w:rPr>
          <w:rFonts w:cs="Arial"/>
          <w:lang w:val="fr-FR"/>
        </w:rPr>
        <w:t>a)</w:t>
      </w:r>
      <w:r w:rsidRPr="00F85A58">
        <w:rPr>
          <w:rFonts w:cs="Arial"/>
          <w:lang w:val="fr-FR"/>
        </w:rPr>
        <w:tab/>
      </w:r>
      <w:r w:rsidR="00142B49" w:rsidRPr="00F85A58">
        <w:rPr>
          <w:rFonts w:cs="Arial"/>
          <w:lang w:val="fr-FR"/>
        </w:rPr>
        <w:t>La vérification du caractère préalablement à son acceptation dans les principes directeurs pertinents</w:t>
      </w:r>
      <w:r w:rsidR="00556FD5" w:rsidRPr="00F85A58">
        <w:rPr>
          <w:rFonts w:cs="Arial"/>
          <w:lang w:val="fr-FR"/>
        </w:rPr>
        <w:t>;</w:t>
      </w:r>
    </w:p>
    <w:p w:rsidR="00BA14DE" w:rsidRPr="00F85A58" w:rsidRDefault="006F2D11" w:rsidP="006F2D11">
      <w:pPr>
        <w:tabs>
          <w:tab w:val="left" w:pos="993"/>
        </w:tabs>
        <w:autoSpaceDE w:val="0"/>
        <w:autoSpaceDN w:val="0"/>
        <w:adjustRightInd w:val="0"/>
        <w:ind w:left="567"/>
        <w:rPr>
          <w:rFonts w:cs="Arial"/>
          <w:lang w:val="fr-FR"/>
        </w:rPr>
      </w:pPr>
      <w:r w:rsidRPr="00F85A58">
        <w:rPr>
          <w:rFonts w:cs="Arial"/>
          <w:lang w:val="fr-FR"/>
        </w:rPr>
        <w:t>d)</w:t>
      </w:r>
      <w:r w:rsidRPr="00F85A58">
        <w:rPr>
          <w:rFonts w:cs="Arial"/>
          <w:lang w:val="fr-FR"/>
        </w:rPr>
        <w:tab/>
      </w:r>
      <w:r w:rsidR="00142B49" w:rsidRPr="00F85A58">
        <w:rPr>
          <w:rFonts w:cs="Arial"/>
          <w:lang w:val="fr-FR"/>
        </w:rPr>
        <w:t>Les sous</w:t>
      </w:r>
      <w:r w:rsidR="00F85A58" w:rsidRPr="00F85A58">
        <w:rPr>
          <w:rFonts w:cs="Arial"/>
          <w:lang w:val="fr-FR"/>
        </w:rPr>
        <w:noBreakHyphen/>
      </w:r>
      <w:r w:rsidR="00142B49" w:rsidRPr="00F85A58">
        <w:rPr>
          <w:rFonts w:cs="Arial"/>
          <w:lang w:val="fr-FR"/>
        </w:rPr>
        <w:t>parcelles</w:t>
      </w:r>
      <w:r w:rsidR="00556FD5" w:rsidRPr="00F85A58">
        <w:rPr>
          <w:rFonts w:cs="Arial"/>
          <w:lang w:val="fr-FR"/>
        </w:rPr>
        <w:t>;</w:t>
      </w:r>
    </w:p>
    <w:p w:rsidR="005752E4" w:rsidRPr="00F85A58" w:rsidRDefault="006F2D11" w:rsidP="006F2D11">
      <w:pPr>
        <w:tabs>
          <w:tab w:val="left" w:pos="993"/>
        </w:tabs>
        <w:autoSpaceDE w:val="0"/>
        <w:autoSpaceDN w:val="0"/>
        <w:adjustRightInd w:val="0"/>
        <w:ind w:left="567"/>
        <w:rPr>
          <w:rFonts w:cs="Arial"/>
          <w:lang w:val="fr-FR"/>
        </w:rPr>
      </w:pPr>
      <w:r w:rsidRPr="00F85A58">
        <w:rPr>
          <w:rFonts w:cs="Arial"/>
          <w:lang w:val="fr-FR"/>
        </w:rPr>
        <w:t>g)</w:t>
      </w:r>
      <w:r w:rsidRPr="00F85A58">
        <w:rPr>
          <w:rFonts w:cs="Arial"/>
          <w:lang w:val="fr-FR"/>
        </w:rPr>
        <w:tab/>
      </w:r>
      <w:r w:rsidR="00142B49" w:rsidRPr="00F85A58">
        <w:rPr>
          <w:rFonts w:cs="Arial"/>
          <w:lang w:val="fr-FR"/>
        </w:rPr>
        <w:t>L</w:t>
      </w:r>
      <w:r w:rsidR="005752E4" w:rsidRPr="00F85A58">
        <w:rPr>
          <w:rFonts w:cs="Arial"/>
          <w:lang w:val="fr-FR"/>
        </w:rPr>
        <w:t>’</w:t>
      </w:r>
      <w:r w:rsidR="00142B49" w:rsidRPr="00F85A58">
        <w:rPr>
          <w:rFonts w:cs="Arial"/>
          <w:lang w:val="fr-FR"/>
        </w:rPr>
        <w:t>analyse de l</w:t>
      </w:r>
      <w:r w:rsidR="005752E4" w:rsidRPr="00F85A58">
        <w:rPr>
          <w:rFonts w:cs="Arial"/>
          <w:lang w:val="fr-FR"/>
        </w:rPr>
        <w:t>’</w:t>
      </w:r>
      <w:r w:rsidR="00142B49" w:rsidRPr="00F85A58">
        <w:rPr>
          <w:rFonts w:cs="Arial"/>
          <w:lang w:val="fr-FR"/>
        </w:rPr>
        <w:t>ADN</w:t>
      </w:r>
      <w:r w:rsidR="00556FD5" w:rsidRPr="00F85A58">
        <w:rPr>
          <w:rFonts w:cs="Arial"/>
          <w:lang w:val="fr-FR"/>
        </w:rPr>
        <w:t xml:space="preserve">; </w:t>
      </w:r>
      <w:r w:rsidR="00342006" w:rsidRPr="00F85A58">
        <w:rPr>
          <w:rFonts w:cs="Arial"/>
          <w:lang w:val="fr-FR"/>
        </w:rPr>
        <w:t xml:space="preserve"> </w:t>
      </w:r>
      <w:r w:rsidR="00142B49" w:rsidRPr="00F85A58">
        <w:rPr>
          <w:rFonts w:cs="Arial"/>
          <w:lang w:val="fr-FR"/>
        </w:rPr>
        <w:t>et</w:t>
      </w:r>
    </w:p>
    <w:p w:rsidR="00BA14DE" w:rsidRPr="00F85A58" w:rsidRDefault="006F2D11" w:rsidP="006F2D11">
      <w:pPr>
        <w:tabs>
          <w:tab w:val="left" w:pos="993"/>
        </w:tabs>
        <w:autoSpaceDE w:val="0"/>
        <w:autoSpaceDN w:val="0"/>
        <w:adjustRightInd w:val="0"/>
        <w:ind w:left="567"/>
        <w:rPr>
          <w:rFonts w:cs="Arial"/>
          <w:lang w:val="fr-FR"/>
        </w:rPr>
      </w:pPr>
      <w:r w:rsidRPr="00F85A58">
        <w:rPr>
          <w:rFonts w:cs="Arial"/>
          <w:lang w:val="fr-FR"/>
        </w:rPr>
        <w:t>i)</w:t>
      </w:r>
      <w:r w:rsidRPr="00F85A58">
        <w:rPr>
          <w:rFonts w:cs="Arial"/>
          <w:lang w:val="fr-FR"/>
        </w:rPr>
        <w:tab/>
      </w:r>
      <w:r w:rsidR="00142B49" w:rsidRPr="00F85A58">
        <w:rPr>
          <w:rFonts w:cs="Arial"/>
          <w:lang w:val="fr-FR"/>
        </w:rPr>
        <w:t>Le nombre de plantes</w:t>
      </w:r>
      <w:r w:rsidR="00556FD5" w:rsidRPr="00F85A58">
        <w:rPr>
          <w:rFonts w:cs="Arial"/>
          <w:lang w:val="fr-FR"/>
        </w:rPr>
        <w:t>.</w:t>
      </w:r>
    </w:p>
    <w:p w:rsidR="00BA14DE" w:rsidRPr="00F85A58" w:rsidRDefault="00BA14DE" w:rsidP="00556FD5">
      <w:pPr>
        <w:autoSpaceDE w:val="0"/>
        <w:autoSpaceDN w:val="0"/>
        <w:adjustRightInd w:val="0"/>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B0491C" w:rsidRPr="00F85A58">
        <w:rPr>
          <w:rFonts w:cs="Arial"/>
          <w:lang w:val="fr-FR"/>
        </w:rPr>
        <w:t xml:space="preserve">Un expert de la </w:t>
      </w:r>
      <w:r w:rsidR="000F2CD3" w:rsidRPr="00F85A58">
        <w:rPr>
          <w:rFonts w:cs="Arial"/>
          <w:lang w:val="fr-FR"/>
        </w:rPr>
        <w:t>F</w:t>
      </w:r>
      <w:r w:rsidR="00B0491C" w:rsidRPr="00F85A58">
        <w:rPr>
          <w:rFonts w:cs="Arial"/>
          <w:lang w:val="fr-FR"/>
        </w:rPr>
        <w:t xml:space="preserve">rance a présenté un exposé </w:t>
      </w:r>
      <w:r w:rsidR="002466CC" w:rsidRPr="00F85A58">
        <w:rPr>
          <w:rFonts w:cs="Arial"/>
          <w:lang w:val="fr-FR"/>
        </w:rPr>
        <w:t xml:space="preserve">portant sur </w:t>
      </w:r>
      <w:r w:rsidR="00B0491C" w:rsidRPr="00F85A58">
        <w:rPr>
          <w:rFonts w:cs="Arial"/>
          <w:lang w:val="fr-FR"/>
        </w:rPr>
        <w:t xml:space="preserve">un exercice pratique </w:t>
      </w:r>
      <w:r w:rsidR="000F2CD3" w:rsidRPr="00F85A58">
        <w:rPr>
          <w:rFonts w:cs="Arial"/>
          <w:lang w:val="fr-FR"/>
        </w:rPr>
        <w:t xml:space="preserve">visant à comparer plusieurs méthodes différentes afin </w:t>
      </w:r>
      <w:r w:rsidR="00AB29B0" w:rsidRPr="00F85A58">
        <w:rPr>
          <w:rFonts w:cs="Arial"/>
          <w:lang w:val="fr-FR"/>
        </w:rPr>
        <w:t>d</w:t>
      </w:r>
      <w:r w:rsidR="005752E4" w:rsidRPr="00F85A58">
        <w:rPr>
          <w:rFonts w:cs="Arial"/>
          <w:lang w:val="fr-FR"/>
        </w:rPr>
        <w:t>’</w:t>
      </w:r>
      <w:r w:rsidR="00AB29B0" w:rsidRPr="00F85A58">
        <w:rPr>
          <w:rFonts w:cs="Arial"/>
          <w:lang w:val="fr-FR"/>
        </w:rPr>
        <w:t>é</w:t>
      </w:r>
      <w:r w:rsidR="000F2CD3" w:rsidRPr="00F85A58">
        <w:rPr>
          <w:rFonts w:cs="Arial"/>
          <w:lang w:val="fr-FR"/>
        </w:rPr>
        <w:t xml:space="preserve">tablir des descriptions variétales pour les caractères quantitatifs, en utilisant une série de données communes relatives au lin </w:t>
      </w:r>
      <w:r w:rsidRPr="00F85A58">
        <w:rPr>
          <w:rFonts w:cs="Arial"/>
          <w:lang w:val="fr-FR"/>
        </w:rPr>
        <w:t xml:space="preserve">(document TWC/33/18). </w:t>
      </w:r>
      <w:r w:rsidR="000F2CD3" w:rsidRPr="00F85A58">
        <w:rPr>
          <w:rFonts w:cs="Arial"/>
          <w:lang w:val="fr-FR"/>
        </w:rPr>
        <w:t xml:space="preserve"> Cette comparaison a permis </w:t>
      </w:r>
      <w:r w:rsidR="00ED36C9" w:rsidRPr="00F85A58">
        <w:rPr>
          <w:rFonts w:cs="Arial"/>
          <w:lang w:val="fr-FR"/>
        </w:rPr>
        <w:t>de recenser les éléments</w:t>
      </w:r>
      <w:r w:rsidR="00F85A58" w:rsidRPr="00F85A58">
        <w:rPr>
          <w:rFonts w:cs="Arial"/>
          <w:lang w:val="fr-FR"/>
        </w:rPr>
        <w:noBreakHyphen/>
      </w:r>
      <w:r w:rsidR="00ED36C9" w:rsidRPr="00F85A58">
        <w:rPr>
          <w:rFonts w:cs="Arial"/>
          <w:lang w:val="fr-FR"/>
        </w:rPr>
        <w:t xml:space="preserve">clés </w:t>
      </w:r>
      <w:r w:rsidR="002466CC" w:rsidRPr="00F85A58">
        <w:rPr>
          <w:rFonts w:cs="Arial"/>
          <w:lang w:val="fr-FR"/>
        </w:rPr>
        <w:t xml:space="preserve">qui </w:t>
      </w:r>
      <w:r w:rsidR="00FD2926" w:rsidRPr="00F85A58">
        <w:rPr>
          <w:rFonts w:cs="Arial"/>
          <w:lang w:val="fr-FR"/>
        </w:rPr>
        <w:t>varia</w:t>
      </w:r>
      <w:r w:rsidR="0093050A" w:rsidRPr="00F85A58">
        <w:rPr>
          <w:rFonts w:cs="Arial"/>
          <w:lang w:val="fr-FR"/>
        </w:rPr>
        <w:t>i</w:t>
      </w:r>
      <w:r w:rsidR="00FD2926" w:rsidRPr="00F85A58">
        <w:rPr>
          <w:rFonts w:cs="Arial"/>
          <w:lang w:val="fr-FR"/>
        </w:rPr>
        <w:t>e</w:t>
      </w:r>
      <w:r w:rsidR="0093050A" w:rsidRPr="00F85A58">
        <w:rPr>
          <w:rFonts w:cs="Arial"/>
          <w:lang w:val="fr-FR"/>
        </w:rPr>
        <w:t>n</w:t>
      </w:r>
      <w:r w:rsidR="00FD2926" w:rsidRPr="00F85A58">
        <w:rPr>
          <w:rFonts w:cs="Arial"/>
          <w:lang w:val="fr-FR"/>
        </w:rPr>
        <w:t xml:space="preserve">t </w:t>
      </w:r>
      <w:r w:rsidR="002466CC" w:rsidRPr="00F85A58">
        <w:rPr>
          <w:rFonts w:cs="Arial"/>
          <w:lang w:val="fr-FR"/>
        </w:rPr>
        <w:t>selon l</w:t>
      </w:r>
      <w:r w:rsidR="00FD2926" w:rsidRPr="00F85A58">
        <w:rPr>
          <w:rFonts w:cs="Arial"/>
          <w:lang w:val="fr-FR"/>
        </w:rPr>
        <w:t xml:space="preserve">es </w:t>
      </w:r>
      <w:r w:rsidR="002466CC" w:rsidRPr="00F85A58">
        <w:rPr>
          <w:rFonts w:cs="Arial"/>
          <w:lang w:val="fr-FR"/>
        </w:rPr>
        <w:t>méthode</w:t>
      </w:r>
      <w:r w:rsidR="00FD2926" w:rsidRPr="00F85A58">
        <w:rPr>
          <w:rFonts w:cs="Arial"/>
          <w:lang w:val="fr-FR"/>
        </w:rPr>
        <w:t>s</w:t>
      </w:r>
      <w:r w:rsidR="002466CC" w:rsidRPr="00F85A58">
        <w:rPr>
          <w:rFonts w:cs="Arial"/>
          <w:lang w:val="fr-FR"/>
        </w:rPr>
        <w:t> </w:t>
      </w:r>
      <w:r w:rsidRPr="00F85A58">
        <w:rPr>
          <w:rFonts w:cs="Arial"/>
          <w:lang w:val="fr-FR"/>
        </w:rPr>
        <w:t xml:space="preserve">: </w:t>
      </w:r>
      <w:r w:rsidR="00FD2926" w:rsidRPr="00F85A58">
        <w:rPr>
          <w:rFonts w:cs="Arial"/>
          <w:lang w:val="fr-FR"/>
        </w:rPr>
        <w:t>le fait d</w:t>
      </w:r>
      <w:r w:rsidR="005752E4" w:rsidRPr="00F85A58">
        <w:rPr>
          <w:rFonts w:cs="Arial"/>
          <w:lang w:val="fr-FR"/>
        </w:rPr>
        <w:t>’</w:t>
      </w:r>
      <w:r w:rsidR="00FD2926" w:rsidRPr="00F85A58">
        <w:rPr>
          <w:rFonts w:cs="Arial"/>
          <w:lang w:val="fr-FR"/>
        </w:rPr>
        <w:t xml:space="preserve">utiliser </w:t>
      </w:r>
      <w:r w:rsidR="00E20A3C" w:rsidRPr="00F85A58">
        <w:rPr>
          <w:rFonts w:cs="Arial"/>
          <w:lang w:val="fr-FR"/>
        </w:rPr>
        <w:t>de</w:t>
      </w:r>
      <w:r w:rsidR="00196A29" w:rsidRPr="00F85A58">
        <w:rPr>
          <w:rFonts w:cs="Arial"/>
          <w:lang w:val="fr-FR"/>
        </w:rPr>
        <w:t>s</w:t>
      </w:r>
      <w:r w:rsidR="00E20A3C" w:rsidRPr="00F85A58">
        <w:rPr>
          <w:rFonts w:cs="Arial"/>
          <w:lang w:val="fr-FR"/>
        </w:rPr>
        <w:t xml:space="preserve"> variétés à titre d</w:t>
      </w:r>
      <w:r w:rsidR="005752E4" w:rsidRPr="00F85A58">
        <w:rPr>
          <w:rFonts w:cs="Arial"/>
          <w:lang w:val="fr-FR"/>
        </w:rPr>
        <w:t>’</w:t>
      </w:r>
      <w:r w:rsidR="00E20A3C" w:rsidRPr="00F85A58">
        <w:rPr>
          <w:rFonts w:cs="Arial"/>
          <w:lang w:val="fr-FR"/>
        </w:rPr>
        <w:t>exemple pour déterminer l</w:t>
      </w:r>
      <w:r w:rsidR="005752E4" w:rsidRPr="00F85A58">
        <w:rPr>
          <w:rFonts w:cs="Arial"/>
          <w:lang w:val="fr-FR"/>
        </w:rPr>
        <w:t>’</w:t>
      </w:r>
      <w:r w:rsidR="00E20A3C" w:rsidRPr="00F85A58">
        <w:rPr>
          <w:rFonts w:cs="Arial"/>
          <w:lang w:val="fr-FR"/>
        </w:rPr>
        <w:t>échelle de niveaux d</w:t>
      </w:r>
      <w:r w:rsidR="005752E4" w:rsidRPr="00F85A58">
        <w:rPr>
          <w:rFonts w:cs="Arial"/>
          <w:lang w:val="fr-FR"/>
        </w:rPr>
        <w:t>’</w:t>
      </w:r>
      <w:r w:rsidR="00E20A3C" w:rsidRPr="00F85A58">
        <w:rPr>
          <w:rFonts w:cs="Arial"/>
          <w:lang w:val="fr-FR"/>
        </w:rPr>
        <w:t>expression du caractère</w:t>
      </w:r>
      <w:r w:rsidRPr="00F85A58">
        <w:rPr>
          <w:rFonts w:cs="Arial"/>
          <w:lang w:val="fr-FR"/>
        </w:rPr>
        <w:t xml:space="preserve">, </w:t>
      </w:r>
      <w:r w:rsidR="00FD2926" w:rsidRPr="00F85A58">
        <w:rPr>
          <w:rFonts w:cs="Arial"/>
          <w:lang w:val="fr-FR"/>
        </w:rPr>
        <w:t xml:space="preserve">le fait de prendre en considération </w:t>
      </w:r>
      <w:r w:rsidR="00196A29" w:rsidRPr="00F85A58">
        <w:rPr>
          <w:rFonts w:cs="Arial"/>
          <w:lang w:val="fr-FR"/>
        </w:rPr>
        <w:t>l</w:t>
      </w:r>
      <w:r w:rsidR="005752E4" w:rsidRPr="00F85A58">
        <w:rPr>
          <w:rFonts w:cs="Arial"/>
          <w:lang w:val="fr-FR"/>
        </w:rPr>
        <w:t>’</w:t>
      </w:r>
      <w:r w:rsidR="00196A29" w:rsidRPr="00F85A58">
        <w:rPr>
          <w:rFonts w:cs="Arial"/>
          <w:lang w:val="fr-FR"/>
        </w:rPr>
        <w:t>avis d</w:t>
      </w:r>
      <w:r w:rsidR="005752E4" w:rsidRPr="00F85A58">
        <w:rPr>
          <w:rFonts w:cs="Arial"/>
          <w:lang w:val="fr-FR"/>
        </w:rPr>
        <w:t>’</w:t>
      </w:r>
      <w:r w:rsidR="00196A29" w:rsidRPr="00F85A58">
        <w:rPr>
          <w:rFonts w:cs="Arial"/>
          <w:lang w:val="fr-FR"/>
        </w:rPr>
        <w:t xml:space="preserve">un </w:t>
      </w:r>
      <w:proofErr w:type="spellStart"/>
      <w:r w:rsidR="00196A29" w:rsidRPr="00F85A58">
        <w:rPr>
          <w:rFonts w:cs="Arial"/>
          <w:lang w:val="fr-FR"/>
        </w:rPr>
        <w:t>phytotechnicien</w:t>
      </w:r>
      <w:proofErr w:type="spellEnd"/>
      <w:r w:rsidR="00196A29" w:rsidRPr="00F85A58">
        <w:rPr>
          <w:rFonts w:cs="Arial"/>
          <w:lang w:val="fr-FR"/>
        </w:rPr>
        <w:t xml:space="preserve"> </w:t>
      </w:r>
      <w:r w:rsidR="00FD2926" w:rsidRPr="00F85A58">
        <w:rPr>
          <w:rFonts w:cs="Arial"/>
          <w:lang w:val="fr-FR"/>
        </w:rPr>
        <w:t>e</w:t>
      </w:r>
      <w:r w:rsidR="00196A29" w:rsidRPr="00F85A58">
        <w:rPr>
          <w:rFonts w:cs="Arial"/>
          <w:lang w:val="fr-FR"/>
        </w:rPr>
        <w:t xml:space="preserve">t </w:t>
      </w:r>
      <w:r w:rsidR="00FD2926" w:rsidRPr="00F85A58">
        <w:rPr>
          <w:rFonts w:cs="Arial"/>
          <w:lang w:val="fr-FR"/>
        </w:rPr>
        <w:t xml:space="preserve">le fait de savoir si </w:t>
      </w:r>
      <w:r w:rsidR="00196A29" w:rsidRPr="00F85A58">
        <w:rPr>
          <w:rFonts w:cs="Arial"/>
          <w:lang w:val="fr-FR"/>
        </w:rPr>
        <w:t>les notes étaient régulièrement espacées sur l</w:t>
      </w:r>
      <w:r w:rsidR="005752E4" w:rsidRPr="00F85A58">
        <w:rPr>
          <w:rFonts w:cs="Arial"/>
          <w:lang w:val="fr-FR"/>
        </w:rPr>
        <w:t>’</w:t>
      </w:r>
      <w:r w:rsidR="00196A29" w:rsidRPr="00F85A58">
        <w:rPr>
          <w:rFonts w:cs="Arial"/>
          <w:lang w:val="fr-FR"/>
        </w:rPr>
        <w:t>échelle initiale des niveaux d</w:t>
      </w:r>
      <w:r w:rsidR="005752E4" w:rsidRPr="00F85A58">
        <w:rPr>
          <w:rFonts w:cs="Arial"/>
          <w:lang w:val="fr-FR"/>
        </w:rPr>
        <w:t>’</w:t>
      </w:r>
      <w:r w:rsidR="00196A29" w:rsidRPr="00F85A58">
        <w:rPr>
          <w:rFonts w:cs="Arial"/>
          <w:lang w:val="fr-FR"/>
        </w:rPr>
        <w:t>expressions du caractè</w:t>
      </w:r>
      <w:r w:rsidR="00F85A58" w:rsidRPr="00F85A58">
        <w:rPr>
          <w:rFonts w:cs="Arial"/>
          <w:lang w:val="fr-FR"/>
        </w:rPr>
        <w:t>re.  Le</w:t>
      </w:r>
      <w:r w:rsidR="005752E4" w:rsidRPr="00F85A58">
        <w:rPr>
          <w:rFonts w:cs="Arial"/>
          <w:lang w:val="fr-FR"/>
        </w:rPr>
        <w:t> TWC</w:t>
      </w:r>
      <w:r w:rsidRPr="00F85A58">
        <w:rPr>
          <w:rFonts w:cs="Arial"/>
          <w:lang w:val="fr-FR"/>
        </w:rPr>
        <w:t xml:space="preserve"> </w:t>
      </w:r>
      <w:r w:rsidR="00FD2926" w:rsidRPr="00F85A58">
        <w:rPr>
          <w:rFonts w:cs="Arial"/>
          <w:lang w:val="fr-FR"/>
        </w:rPr>
        <w:t xml:space="preserve">est convenu que ces différences constituaient les bases </w:t>
      </w:r>
      <w:r w:rsidR="00E84531" w:rsidRPr="00F85A58">
        <w:rPr>
          <w:rFonts w:cs="Arial"/>
          <w:lang w:val="fr-FR"/>
        </w:rPr>
        <w:t xml:space="preserve">permettant de </w:t>
      </w:r>
      <w:r w:rsidR="00FD2926" w:rsidRPr="00F85A58">
        <w:rPr>
          <w:rFonts w:cs="Arial"/>
          <w:lang w:val="fr-FR"/>
        </w:rPr>
        <w:t>comprendre les différentes méthodes</w:t>
      </w:r>
      <w:r w:rsidRPr="00F85A58">
        <w:rPr>
          <w:rFonts w:cs="Arial"/>
          <w:lang w:val="fr-FR"/>
        </w:rPr>
        <w:t>.</w:t>
      </w:r>
    </w:p>
    <w:p w:rsidR="00BA14DE" w:rsidRPr="00F85A58" w:rsidRDefault="00BA14DE" w:rsidP="00556FD5">
      <w:pPr>
        <w:autoSpaceDE w:val="0"/>
        <w:autoSpaceDN w:val="0"/>
        <w:adjustRightInd w:val="0"/>
        <w:rPr>
          <w:rFonts w:cs="Arial"/>
          <w:lang w:val="fr-FR"/>
        </w:rPr>
      </w:pPr>
    </w:p>
    <w:p w:rsidR="005752E4"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3050A" w:rsidRPr="00F85A58">
        <w:rPr>
          <w:rFonts w:cs="Arial"/>
          <w:lang w:val="fr-FR"/>
        </w:rPr>
        <w:t xml:space="preserve">Après avoir examiné le </w:t>
      </w:r>
      <w:r w:rsidRPr="00F85A58">
        <w:rPr>
          <w:rFonts w:cs="Arial"/>
          <w:lang w:val="fr-FR"/>
        </w:rPr>
        <w:t>document TWC/33/10 “</w:t>
      </w:r>
      <w:r w:rsidR="00D63C9B" w:rsidRPr="00F85A58">
        <w:rPr>
          <w:rFonts w:cs="Arial"/>
          <w:lang w:val="fr-FR"/>
        </w:rPr>
        <w:t>Questions concernant les descriptions variétales</w:t>
      </w:r>
      <w:r w:rsidRPr="00F85A58">
        <w:rPr>
          <w:rFonts w:cs="Arial"/>
          <w:lang w:val="fr-FR"/>
        </w:rPr>
        <w:t xml:space="preserve">”, </w:t>
      </w:r>
      <w:r w:rsidR="0093050A" w:rsidRPr="00F85A58">
        <w:rPr>
          <w:rFonts w:cs="Arial"/>
          <w:lang w:val="fr-FR"/>
        </w:rPr>
        <w:t>les experts ont débattu de leurs données d</w:t>
      </w:r>
      <w:r w:rsidR="005752E4" w:rsidRPr="00F85A58">
        <w:rPr>
          <w:rFonts w:cs="Arial"/>
          <w:lang w:val="fr-FR"/>
        </w:rPr>
        <w:t>’</w:t>
      </w:r>
      <w:r w:rsidR="0093050A" w:rsidRPr="00F85A58">
        <w:rPr>
          <w:rFonts w:cs="Arial"/>
          <w:lang w:val="fr-FR"/>
        </w:rPr>
        <w:t>expériences concernant l</w:t>
      </w:r>
      <w:r w:rsidR="005752E4" w:rsidRPr="00F85A58">
        <w:rPr>
          <w:rFonts w:cs="Arial"/>
          <w:lang w:val="fr-FR"/>
        </w:rPr>
        <w:t>’</w:t>
      </w:r>
      <w:r w:rsidR="0093050A" w:rsidRPr="00F85A58">
        <w:rPr>
          <w:rFonts w:cs="Arial"/>
          <w:lang w:val="fr-FR"/>
        </w:rPr>
        <w:t>utilisation des descriptions variétal</w:t>
      </w:r>
      <w:r w:rsidR="00F85A58" w:rsidRPr="00F85A58">
        <w:rPr>
          <w:rFonts w:cs="Arial"/>
          <w:lang w:val="fr-FR"/>
        </w:rPr>
        <w:t>es.  Il</w:t>
      </w:r>
      <w:r w:rsidR="0093050A" w:rsidRPr="00F85A58">
        <w:rPr>
          <w:rFonts w:cs="Arial"/>
          <w:lang w:val="fr-FR"/>
        </w:rPr>
        <w:t xml:space="preserve"> était évident qu</w:t>
      </w:r>
      <w:r w:rsidR="005752E4" w:rsidRPr="00F85A58">
        <w:rPr>
          <w:rFonts w:cs="Arial"/>
          <w:lang w:val="fr-FR"/>
        </w:rPr>
        <w:t>’</w:t>
      </w:r>
      <w:r w:rsidR="0093050A" w:rsidRPr="00F85A58">
        <w:rPr>
          <w:rFonts w:cs="Arial"/>
          <w:lang w:val="fr-FR"/>
        </w:rPr>
        <w:t>il existait des différences dans l</w:t>
      </w:r>
      <w:r w:rsidR="005752E4" w:rsidRPr="00F85A58">
        <w:rPr>
          <w:rFonts w:cs="Arial"/>
          <w:lang w:val="fr-FR"/>
        </w:rPr>
        <w:t>’</w:t>
      </w:r>
      <w:r w:rsidR="0093050A" w:rsidRPr="00F85A58">
        <w:rPr>
          <w:rFonts w:cs="Arial"/>
          <w:lang w:val="fr-FR"/>
        </w:rPr>
        <w:t>utilisation des descriptions variétales et dans leur degré d</w:t>
      </w:r>
      <w:r w:rsidR="005752E4" w:rsidRPr="00F85A58">
        <w:rPr>
          <w:rFonts w:cs="Arial"/>
          <w:lang w:val="fr-FR"/>
        </w:rPr>
        <w:t>’</w:t>
      </w:r>
      <w:r w:rsidR="0093050A" w:rsidRPr="00F85A58">
        <w:rPr>
          <w:rFonts w:cs="Arial"/>
          <w:lang w:val="fr-FR"/>
        </w:rPr>
        <w:t>importance au sein des différents systèmes d</w:t>
      </w:r>
      <w:r w:rsidR="005752E4" w:rsidRPr="00F85A58">
        <w:rPr>
          <w:rFonts w:cs="Arial"/>
          <w:lang w:val="fr-FR"/>
        </w:rPr>
        <w:t>’</w:t>
      </w:r>
      <w:r w:rsidR="0093050A" w:rsidRPr="00F85A58">
        <w:rPr>
          <w:rFonts w:cs="Arial"/>
          <w:lang w:val="fr-FR"/>
        </w:rPr>
        <w:t>examen</w:t>
      </w:r>
      <w:r w:rsidR="00342006" w:rsidRPr="00F85A58">
        <w:rPr>
          <w:rFonts w:cs="Arial"/>
          <w:lang w:val="fr-FR"/>
        </w:rPr>
        <w:t> </w:t>
      </w:r>
      <w:r w:rsidR="00F85A58" w:rsidRPr="00F85A58">
        <w:rPr>
          <w:rFonts w:cs="Arial"/>
          <w:lang w:val="fr-FR"/>
        </w:rPr>
        <w:t>DHS.  Un</w:t>
      </w:r>
      <w:r w:rsidR="00CA0B5B" w:rsidRPr="00F85A58">
        <w:rPr>
          <w:rFonts w:cs="Arial"/>
          <w:lang w:val="fr-FR"/>
        </w:rPr>
        <w:t xml:space="preserve"> expert de la Chine a présenté un exposé sur une étude </w:t>
      </w:r>
      <w:r w:rsidR="0090533A" w:rsidRPr="00F85A58">
        <w:rPr>
          <w:rFonts w:cs="Arial"/>
          <w:lang w:val="fr-FR"/>
        </w:rPr>
        <w:t xml:space="preserve">portant sur </w:t>
      </w:r>
      <w:r w:rsidR="00CA0B5B" w:rsidRPr="00F85A58">
        <w:rPr>
          <w:rFonts w:cs="Arial"/>
          <w:lang w:val="fr-FR"/>
        </w:rPr>
        <w:t>l</w:t>
      </w:r>
      <w:r w:rsidR="005752E4" w:rsidRPr="00F85A58">
        <w:rPr>
          <w:rFonts w:cs="Arial"/>
          <w:lang w:val="fr-FR"/>
        </w:rPr>
        <w:t>’</w:t>
      </w:r>
      <w:r w:rsidR="00CA0B5B" w:rsidRPr="00F85A58">
        <w:rPr>
          <w:rFonts w:cs="Arial"/>
          <w:lang w:val="fr-FR"/>
        </w:rPr>
        <w:t xml:space="preserve">interaction </w:t>
      </w:r>
      <w:r w:rsidR="0090533A" w:rsidRPr="00F85A58">
        <w:rPr>
          <w:rFonts w:cs="Arial"/>
          <w:lang w:val="fr-FR"/>
        </w:rPr>
        <w:t>variété/site pour ce qui est des caractères quantitatifs</w:t>
      </w:r>
      <w:r w:rsidRPr="00F85A58">
        <w:rPr>
          <w:rFonts w:cs="Arial"/>
          <w:lang w:val="fr-FR"/>
        </w:rPr>
        <w:t xml:space="preserve"> (</w:t>
      </w:r>
      <w:r w:rsidR="004104EE" w:rsidRPr="00F85A58">
        <w:rPr>
          <w:rFonts w:cs="Arial"/>
          <w:lang w:val="fr-FR"/>
        </w:rPr>
        <w:t xml:space="preserve">document </w:t>
      </w:r>
      <w:r w:rsidRPr="00F85A58">
        <w:rPr>
          <w:rFonts w:cs="Arial"/>
          <w:lang w:val="fr-FR"/>
        </w:rPr>
        <w:t>TWC/33/27).</w:t>
      </w:r>
    </w:p>
    <w:p w:rsidR="00BA14DE" w:rsidRPr="00F85A58" w:rsidRDefault="00BA14DE" w:rsidP="00556FD5">
      <w:pPr>
        <w:autoSpaceDE w:val="0"/>
        <w:autoSpaceDN w:val="0"/>
        <w:adjustRightInd w:val="0"/>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0533A" w:rsidRPr="00F85A58">
        <w:rPr>
          <w:rFonts w:cs="Arial"/>
          <w:lang w:val="fr-FR"/>
        </w:rPr>
        <w:t>Le</w:t>
      </w:r>
      <w:r w:rsidRPr="00F85A58">
        <w:rPr>
          <w:rFonts w:cs="Arial"/>
          <w:lang w:val="fr-FR"/>
        </w:rPr>
        <w:t xml:space="preserve"> TWC </w:t>
      </w:r>
      <w:r w:rsidR="0090533A" w:rsidRPr="00F85A58">
        <w:rPr>
          <w:rFonts w:cs="Arial"/>
          <w:lang w:val="fr-FR"/>
        </w:rPr>
        <w:t>a examiné le projet d</w:t>
      </w:r>
      <w:r w:rsidR="005752E4" w:rsidRPr="00F85A58">
        <w:rPr>
          <w:rFonts w:cs="Arial"/>
          <w:lang w:val="fr-FR"/>
        </w:rPr>
        <w:t>’</w:t>
      </w:r>
      <w:r w:rsidR="0090533A" w:rsidRPr="00F85A58">
        <w:rPr>
          <w:rFonts w:cs="Arial"/>
          <w:lang w:val="fr-FR"/>
        </w:rPr>
        <w:t xml:space="preserve">orientations en vue de la révision du </w:t>
      </w:r>
      <w:r w:rsidRPr="00F85A58">
        <w:rPr>
          <w:rFonts w:cs="Arial"/>
          <w:lang w:val="fr-FR"/>
        </w:rPr>
        <w:t xml:space="preserve">document TGP/10 </w:t>
      </w:r>
      <w:r w:rsidR="001826AD">
        <w:rPr>
          <w:rFonts w:cs="Arial"/>
          <w:lang w:val="fr-FR"/>
        </w:rPr>
        <w:t>“</w:t>
      </w:r>
      <w:r w:rsidR="00306E79" w:rsidRPr="00F85A58">
        <w:rPr>
          <w:rFonts w:cs="Arial"/>
          <w:lang w:val="fr-FR"/>
        </w:rPr>
        <w:t>Évaluation de l</w:t>
      </w:r>
      <w:r w:rsidR="005752E4" w:rsidRPr="00F85A58">
        <w:rPr>
          <w:rFonts w:cs="Arial"/>
          <w:lang w:val="fr-FR"/>
        </w:rPr>
        <w:t>’</w:t>
      </w:r>
      <w:r w:rsidR="00306E79" w:rsidRPr="00F85A58">
        <w:rPr>
          <w:rFonts w:cs="Arial"/>
          <w:lang w:val="fr-FR"/>
        </w:rPr>
        <w:t>homogénéité d</w:t>
      </w:r>
      <w:r w:rsidR="005752E4" w:rsidRPr="00F85A58">
        <w:rPr>
          <w:rFonts w:cs="Arial"/>
          <w:lang w:val="fr-FR"/>
        </w:rPr>
        <w:t>’</w:t>
      </w:r>
      <w:r w:rsidR="00306E79" w:rsidRPr="00F85A58">
        <w:rPr>
          <w:rFonts w:cs="Arial"/>
          <w:lang w:val="fr-FR"/>
        </w:rPr>
        <w:t>après les plantes hors</w:t>
      </w:r>
      <w:r w:rsidR="00F85A58" w:rsidRPr="00F85A58">
        <w:rPr>
          <w:rFonts w:cs="Arial"/>
          <w:lang w:val="fr-FR"/>
        </w:rPr>
        <w:noBreakHyphen/>
      </w:r>
      <w:r w:rsidR="00306E79" w:rsidRPr="00F85A58">
        <w:rPr>
          <w:rFonts w:cs="Arial"/>
          <w:lang w:val="fr-FR"/>
        </w:rPr>
        <w:t>type sur la base de plusieurs cycles de végétations ou sous</w:t>
      </w:r>
      <w:r w:rsidR="00F85A58" w:rsidRPr="00F85A58">
        <w:rPr>
          <w:rFonts w:cs="Arial"/>
          <w:lang w:val="fr-FR"/>
        </w:rPr>
        <w:noBreakHyphen/>
      </w:r>
      <w:r w:rsidR="00306E79" w:rsidRPr="00F85A58">
        <w:rPr>
          <w:rFonts w:cs="Arial"/>
          <w:lang w:val="fr-FR"/>
        </w:rPr>
        <w:t>échantillons</w:t>
      </w:r>
      <w:r w:rsidR="001826AD">
        <w:rPr>
          <w:rFonts w:cs="Arial"/>
          <w:lang w:val="fr-FR"/>
        </w:rPr>
        <w:t>”</w:t>
      </w:r>
      <w:r w:rsidRPr="00F85A58">
        <w:rPr>
          <w:rFonts w:cs="Arial"/>
          <w:lang w:val="fr-FR"/>
        </w:rPr>
        <w:t xml:space="preserve"> </w:t>
      </w:r>
      <w:r w:rsidR="00420F81" w:rsidRPr="00F85A58">
        <w:rPr>
          <w:rFonts w:cs="Arial"/>
          <w:lang w:val="fr-FR"/>
        </w:rPr>
        <w:t>figurant en annexe I du d</w:t>
      </w:r>
      <w:r w:rsidRPr="00F85A58">
        <w:rPr>
          <w:rFonts w:cs="Arial"/>
          <w:lang w:val="fr-FR"/>
        </w:rPr>
        <w:t>ocument TWC/33/9</w:t>
      </w:r>
      <w:r w:rsidR="00420F81" w:rsidRPr="00F85A58">
        <w:rPr>
          <w:rFonts w:cs="Arial"/>
          <w:lang w:val="fr-FR"/>
        </w:rPr>
        <w:t>.</w:t>
      </w:r>
      <w:r w:rsidRPr="00F85A58">
        <w:rPr>
          <w:rFonts w:cs="Arial"/>
          <w:lang w:val="fr-FR"/>
        </w:rPr>
        <w:t xml:space="preserve"> </w:t>
      </w:r>
      <w:r w:rsidR="005752E4" w:rsidRPr="00F85A58">
        <w:rPr>
          <w:rFonts w:cs="Arial"/>
          <w:lang w:val="fr-FR"/>
        </w:rPr>
        <w:t xml:space="preserve"> Le TWC</w:t>
      </w:r>
      <w:r w:rsidRPr="00F85A58">
        <w:rPr>
          <w:rFonts w:cs="Arial"/>
          <w:lang w:val="fr-FR"/>
        </w:rPr>
        <w:t xml:space="preserve"> </w:t>
      </w:r>
      <w:r w:rsidR="00420F81" w:rsidRPr="00F85A58">
        <w:rPr>
          <w:rFonts w:cs="Arial"/>
          <w:lang w:val="fr-FR"/>
        </w:rPr>
        <w:t xml:space="preserve">est convenu de proposer de modifier le titre de </w:t>
      </w:r>
      <w:r w:rsidR="00C23918" w:rsidRPr="00F85A58">
        <w:rPr>
          <w:rFonts w:cs="Arial"/>
          <w:lang w:val="fr-FR"/>
        </w:rPr>
        <w:t xml:space="preserve">la Méthode 2 </w:t>
      </w:r>
      <w:r w:rsidR="009717A6" w:rsidRPr="00F85A58">
        <w:rPr>
          <w:rFonts w:cs="Arial"/>
          <w:lang w:val="fr-FR"/>
        </w:rPr>
        <w:t>afin qu</w:t>
      </w:r>
      <w:r w:rsidR="005752E4" w:rsidRPr="00F85A58">
        <w:rPr>
          <w:rFonts w:cs="Arial"/>
          <w:lang w:val="fr-FR"/>
        </w:rPr>
        <w:t>’</w:t>
      </w:r>
      <w:r w:rsidR="009717A6" w:rsidRPr="00F85A58">
        <w:rPr>
          <w:rFonts w:cs="Arial"/>
          <w:lang w:val="fr-FR"/>
        </w:rPr>
        <w:t>il soit libellé comme suit :</w:t>
      </w:r>
      <w:r w:rsidRPr="00F85A58">
        <w:rPr>
          <w:rFonts w:cs="Arial"/>
          <w:lang w:val="fr-FR"/>
        </w:rPr>
        <w:t xml:space="preserve"> “Combin</w:t>
      </w:r>
      <w:r w:rsidR="009717A6" w:rsidRPr="00F85A58">
        <w:rPr>
          <w:rFonts w:cs="Arial"/>
          <w:lang w:val="fr-FR"/>
        </w:rPr>
        <w:t>er les résultats de deux</w:t>
      </w:r>
      <w:r w:rsidR="00342006" w:rsidRPr="00F85A58">
        <w:rPr>
          <w:rFonts w:cs="Arial"/>
          <w:lang w:val="fr-FR"/>
        </w:rPr>
        <w:t> </w:t>
      </w:r>
      <w:r w:rsidR="009717A6" w:rsidRPr="00F85A58">
        <w:rPr>
          <w:rFonts w:cs="Arial"/>
          <w:lang w:val="fr-FR"/>
        </w:rPr>
        <w:t>cycles de végétation en cas de résultats incompatibles</w:t>
      </w:r>
      <w:r w:rsidRPr="00F85A58">
        <w:rPr>
          <w:rFonts w:cs="Arial"/>
          <w:lang w:val="fr-FR"/>
        </w:rPr>
        <w:t>”.</w:t>
      </w:r>
      <w:r w:rsidR="00342006" w:rsidRPr="00F85A58">
        <w:rPr>
          <w:rFonts w:cs="Arial"/>
          <w:lang w:val="fr-FR"/>
        </w:rPr>
        <w:t xml:space="preserve"> </w:t>
      </w:r>
      <w:r w:rsidR="005752E4" w:rsidRPr="00F85A58">
        <w:rPr>
          <w:rFonts w:cs="Arial"/>
          <w:lang w:val="fr-FR"/>
        </w:rPr>
        <w:t xml:space="preserve"> Le TWC</w:t>
      </w:r>
      <w:r w:rsidRPr="00F85A58">
        <w:rPr>
          <w:rFonts w:cs="Arial"/>
          <w:lang w:val="fr-FR"/>
        </w:rPr>
        <w:t xml:space="preserve"> </w:t>
      </w:r>
      <w:r w:rsidR="009717A6" w:rsidRPr="00F85A58">
        <w:rPr>
          <w:rFonts w:cs="Arial"/>
          <w:lang w:val="fr-FR"/>
        </w:rPr>
        <w:t>a suivi un exposé présenté par des experts de l</w:t>
      </w:r>
      <w:r w:rsidR="005752E4" w:rsidRPr="00F85A58">
        <w:rPr>
          <w:rFonts w:cs="Arial"/>
          <w:lang w:val="fr-FR"/>
        </w:rPr>
        <w:t>’</w:t>
      </w:r>
      <w:r w:rsidR="009717A6" w:rsidRPr="00F85A58">
        <w:rPr>
          <w:rFonts w:cs="Arial"/>
          <w:lang w:val="fr-FR"/>
        </w:rPr>
        <w:t xml:space="preserve">Allemagne </w:t>
      </w:r>
      <w:r w:rsidR="00875B91" w:rsidRPr="00F85A58">
        <w:rPr>
          <w:rFonts w:cs="Arial"/>
          <w:lang w:val="fr-FR"/>
        </w:rPr>
        <w:t>et du Royaume</w:t>
      </w:r>
      <w:r w:rsidR="00F85A58" w:rsidRPr="00F85A58">
        <w:rPr>
          <w:rFonts w:cs="Arial"/>
          <w:lang w:val="fr-FR"/>
        </w:rPr>
        <w:noBreakHyphen/>
      </w:r>
      <w:r w:rsidR="00875B91" w:rsidRPr="00F85A58">
        <w:rPr>
          <w:rFonts w:cs="Arial"/>
          <w:lang w:val="fr-FR"/>
        </w:rPr>
        <w:t>Uni</w:t>
      </w:r>
      <w:r w:rsidRPr="00F85A58">
        <w:rPr>
          <w:rFonts w:cs="Arial"/>
          <w:lang w:val="fr-FR"/>
        </w:rPr>
        <w:t xml:space="preserve"> (document TWC/33/25), </w:t>
      </w:r>
      <w:r w:rsidR="00875B91" w:rsidRPr="00F85A58">
        <w:rPr>
          <w:rFonts w:cs="Arial"/>
          <w:lang w:val="fr-FR"/>
        </w:rPr>
        <w:t xml:space="preserve">contenant la proposition </w:t>
      </w:r>
      <w:r w:rsidR="00EA2B11" w:rsidRPr="00F85A58">
        <w:rPr>
          <w:rFonts w:cs="Arial"/>
          <w:lang w:val="fr-FR"/>
        </w:rPr>
        <w:t xml:space="preserve">en vue </w:t>
      </w:r>
      <w:r w:rsidR="00875B91" w:rsidRPr="00F85A58">
        <w:rPr>
          <w:rFonts w:cs="Arial"/>
          <w:lang w:val="fr-FR"/>
        </w:rPr>
        <w:t>de l</w:t>
      </w:r>
      <w:r w:rsidR="005752E4" w:rsidRPr="00F85A58">
        <w:rPr>
          <w:rFonts w:cs="Arial"/>
          <w:lang w:val="fr-FR"/>
        </w:rPr>
        <w:t>’</w:t>
      </w:r>
      <w:r w:rsidR="00875B91" w:rsidRPr="00F85A58">
        <w:rPr>
          <w:rFonts w:cs="Arial"/>
          <w:lang w:val="fr-FR"/>
        </w:rPr>
        <w:t>ajout dans les orientations d</w:t>
      </w:r>
      <w:r w:rsidR="005752E4" w:rsidRPr="00F85A58">
        <w:rPr>
          <w:rFonts w:cs="Arial"/>
          <w:lang w:val="fr-FR"/>
        </w:rPr>
        <w:t>’</w:t>
      </w:r>
      <w:r w:rsidR="00875B91" w:rsidRPr="00F85A58">
        <w:rPr>
          <w:rFonts w:cs="Arial"/>
          <w:lang w:val="fr-FR"/>
        </w:rPr>
        <w:t xml:space="preserve">une troisième méthode, </w:t>
      </w:r>
      <w:r w:rsidR="005752E4" w:rsidRPr="00F85A58">
        <w:rPr>
          <w:rFonts w:cs="Arial"/>
          <w:lang w:val="fr-FR"/>
        </w:rPr>
        <w:t>à savoir</w:t>
      </w:r>
      <w:r w:rsidR="00875B91" w:rsidRPr="00F85A58">
        <w:rPr>
          <w:rFonts w:cs="Arial"/>
          <w:lang w:val="fr-FR"/>
        </w:rPr>
        <w:t> </w:t>
      </w:r>
      <w:r w:rsidRPr="00F85A58">
        <w:rPr>
          <w:rFonts w:cs="Arial"/>
          <w:lang w:val="fr-FR"/>
        </w:rPr>
        <w:t>: “</w:t>
      </w:r>
      <w:r w:rsidR="00875B91" w:rsidRPr="00F85A58">
        <w:rPr>
          <w:rFonts w:cs="Arial"/>
          <w:lang w:val="fr-FR"/>
        </w:rPr>
        <w:t>Méthode 3 </w:t>
      </w:r>
      <w:r w:rsidRPr="00F85A58">
        <w:rPr>
          <w:rFonts w:cs="Arial"/>
          <w:lang w:val="fr-FR"/>
        </w:rPr>
        <w:t>: Combin</w:t>
      </w:r>
      <w:r w:rsidR="00875B91" w:rsidRPr="00F85A58">
        <w:rPr>
          <w:rFonts w:cs="Arial"/>
          <w:lang w:val="fr-FR"/>
        </w:rPr>
        <w:t>er les résultats de deux</w:t>
      </w:r>
      <w:r w:rsidR="00342006" w:rsidRPr="00F85A58">
        <w:rPr>
          <w:rFonts w:cs="Arial"/>
          <w:lang w:val="fr-FR"/>
        </w:rPr>
        <w:t> </w:t>
      </w:r>
      <w:r w:rsidR="00875B91" w:rsidRPr="00F85A58">
        <w:rPr>
          <w:rFonts w:cs="Arial"/>
          <w:lang w:val="fr-FR"/>
        </w:rPr>
        <w:t>cycles de végétation</w:t>
      </w:r>
      <w:r w:rsidR="00BF1B62" w:rsidRPr="00F85A58">
        <w:rPr>
          <w:rFonts w:cs="Arial"/>
          <w:lang w:val="fr-FR"/>
        </w:rPr>
        <w:t xml:space="preserve">”. </w:t>
      </w:r>
      <w:r w:rsidR="00342006" w:rsidRPr="00F85A58">
        <w:rPr>
          <w:rFonts w:cs="Arial"/>
          <w:lang w:val="fr-FR"/>
        </w:rPr>
        <w:t xml:space="preserve"> </w:t>
      </w:r>
      <w:r w:rsidR="00602D00" w:rsidRPr="00F85A58">
        <w:rPr>
          <w:rFonts w:cs="Arial"/>
          <w:lang w:val="fr-FR"/>
        </w:rPr>
        <w:t>Cette dernière a toujours combiné les plantes hors type sur les deux</w:t>
      </w:r>
      <w:r w:rsidR="00342006" w:rsidRPr="00F85A58">
        <w:rPr>
          <w:rFonts w:cs="Arial"/>
          <w:lang w:val="fr-FR"/>
        </w:rPr>
        <w:t> </w:t>
      </w:r>
      <w:r w:rsidR="00602D00" w:rsidRPr="00F85A58">
        <w:rPr>
          <w:rFonts w:cs="Arial"/>
          <w:lang w:val="fr-FR"/>
        </w:rPr>
        <w:t>cycles de végétati</w:t>
      </w:r>
      <w:r w:rsidR="00F85A58" w:rsidRPr="00F85A58">
        <w:rPr>
          <w:rFonts w:cs="Arial"/>
          <w:lang w:val="fr-FR"/>
        </w:rPr>
        <w:t>on.  Lo</w:t>
      </w:r>
      <w:r w:rsidR="002E4E8A" w:rsidRPr="00F85A58">
        <w:rPr>
          <w:rFonts w:cs="Arial"/>
          <w:lang w:val="fr-FR"/>
        </w:rPr>
        <w:t xml:space="preserve">rs de la </w:t>
      </w:r>
      <w:r w:rsidRPr="00F85A58">
        <w:rPr>
          <w:rFonts w:cs="Arial"/>
          <w:lang w:val="fr-FR"/>
        </w:rPr>
        <w:t>pr</w:t>
      </w:r>
      <w:r w:rsidR="00602D00" w:rsidRPr="00F85A58">
        <w:rPr>
          <w:rFonts w:cs="Arial"/>
          <w:lang w:val="fr-FR"/>
        </w:rPr>
        <w:t>é</w:t>
      </w:r>
      <w:r w:rsidRPr="00F85A58">
        <w:rPr>
          <w:rFonts w:cs="Arial"/>
          <w:lang w:val="fr-FR"/>
        </w:rPr>
        <w:t>sentation</w:t>
      </w:r>
      <w:r w:rsidR="002E4E8A" w:rsidRPr="00F85A58">
        <w:rPr>
          <w:rFonts w:cs="Arial"/>
          <w:lang w:val="fr-FR"/>
        </w:rPr>
        <w:t xml:space="preserve">, les experts ont </w:t>
      </w:r>
      <w:r w:rsidR="00602D00" w:rsidRPr="00F85A58">
        <w:rPr>
          <w:rFonts w:cs="Arial"/>
          <w:lang w:val="fr-FR"/>
        </w:rPr>
        <w:t>compar</w:t>
      </w:r>
      <w:r w:rsidR="002E4E8A" w:rsidRPr="00F85A58">
        <w:rPr>
          <w:rFonts w:cs="Arial"/>
          <w:lang w:val="fr-FR"/>
        </w:rPr>
        <w:t>é</w:t>
      </w:r>
      <w:r w:rsidR="00602D00" w:rsidRPr="00F85A58">
        <w:rPr>
          <w:rFonts w:cs="Arial"/>
          <w:lang w:val="fr-FR"/>
        </w:rPr>
        <w:t xml:space="preserve"> les trois</w:t>
      </w:r>
      <w:r w:rsidR="00342006" w:rsidRPr="00F85A58">
        <w:rPr>
          <w:rFonts w:cs="Arial"/>
          <w:lang w:val="fr-FR"/>
        </w:rPr>
        <w:t> </w:t>
      </w:r>
      <w:r w:rsidR="00602D00" w:rsidRPr="00F85A58">
        <w:rPr>
          <w:rFonts w:cs="Arial"/>
          <w:lang w:val="fr-FR"/>
        </w:rPr>
        <w:t>méthodes, tout en soulignant plus particulièrement la façon dont les différents risques afférents au processus d</w:t>
      </w:r>
      <w:r w:rsidR="005752E4" w:rsidRPr="00F85A58">
        <w:rPr>
          <w:rFonts w:cs="Arial"/>
          <w:lang w:val="fr-FR"/>
        </w:rPr>
        <w:t>’</w:t>
      </w:r>
      <w:r w:rsidR="00602D00" w:rsidRPr="00F85A58">
        <w:rPr>
          <w:rFonts w:cs="Arial"/>
          <w:lang w:val="fr-FR"/>
        </w:rPr>
        <w:t xml:space="preserve">examen pouvaient </w:t>
      </w:r>
      <w:r w:rsidR="002E4E8A" w:rsidRPr="00F85A58">
        <w:rPr>
          <w:rFonts w:cs="Arial"/>
          <w:lang w:val="fr-FR"/>
        </w:rPr>
        <w:t>être calculés</w:t>
      </w:r>
      <w:r w:rsidRPr="00F85A58">
        <w:rPr>
          <w:rFonts w:cs="Arial"/>
          <w:lang w:val="fr-FR"/>
        </w:rPr>
        <w:t>.</w:t>
      </w:r>
    </w:p>
    <w:p w:rsidR="00BA14DE" w:rsidRPr="00F85A58" w:rsidRDefault="00BA14DE" w:rsidP="00556FD5">
      <w:pPr>
        <w:autoSpaceDE w:val="0"/>
        <w:autoSpaceDN w:val="0"/>
        <w:adjustRightInd w:val="0"/>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70169B" w:rsidRPr="00F85A58">
        <w:rPr>
          <w:rFonts w:cs="Arial"/>
          <w:lang w:val="fr-FR"/>
        </w:rPr>
        <w:t xml:space="preserve">Le </w:t>
      </w:r>
      <w:r w:rsidRPr="00F85A58">
        <w:rPr>
          <w:rFonts w:cs="Arial"/>
          <w:lang w:val="fr-FR"/>
        </w:rPr>
        <w:t xml:space="preserve">TWC </w:t>
      </w:r>
      <w:r w:rsidR="0070169B" w:rsidRPr="00F85A58">
        <w:rPr>
          <w:rFonts w:cs="Arial"/>
          <w:lang w:val="fr-FR"/>
        </w:rPr>
        <w:t xml:space="preserve">a examiné les informations concernant les nouvelles méthodes proposées par des experts du Danemark et de la Pologne en ce qui concerne les caractères observés visuellement </w:t>
      </w:r>
      <w:r w:rsidRPr="00F85A58">
        <w:rPr>
          <w:rFonts w:cs="Arial"/>
          <w:lang w:val="fr-FR"/>
        </w:rPr>
        <w:t xml:space="preserve">(document TWC/33/26). </w:t>
      </w:r>
      <w:r w:rsidR="00342006" w:rsidRPr="00F85A58">
        <w:rPr>
          <w:rFonts w:cs="Arial"/>
          <w:lang w:val="fr-FR"/>
        </w:rPr>
        <w:t xml:space="preserve"> </w:t>
      </w:r>
      <w:r w:rsidR="0070169B" w:rsidRPr="00F85A58">
        <w:rPr>
          <w:rFonts w:cs="Arial"/>
          <w:lang w:val="fr-FR"/>
        </w:rPr>
        <w:t>Des exposés ont été présenté</w:t>
      </w:r>
      <w:r w:rsidR="00C81EC1" w:rsidRPr="00F85A58">
        <w:rPr>
          <w:rFonts w:cs="Arial"/>
          <w:lang w:val="fr-FR"/>
        </w:rPr>
        <w:t>s</w:t>
      </w:r>
      <w:r w:rsidR="0070169B" w:rsidRPr="00F85A58">
        <w:rPr>
          <w:rFonts w:cs="Arial"/>
          <w:lang w:val="fr-FR"/>
        </w:rPr>
        <w:t xml:space="preserve"> par des experts de la Chine et de la Finlande </w:t>
      </w:r>
      <w:r w:rsidR="001913DE" w:rsidRPr="00F85A58">
        <w:rPr>
          <w:rFonts w:cs="Arial"/>
          <w:lang w:val="fr-FR"/>
        </w:rPr>
        <w:t>sur l</w:t>
      </w:r>
      <w:r w:rsidR="005752E4" w:rsidRPr="00F85A58">
        <w:rPr>
          <w:rFonts w:cs="Arial"/>
          <w:lang w:val="fr-FR"/>
        </w:rPr>
        <w:t>’</w:t>
      </w:r>
      <w:r w:rsidR="001913DE" w:rsidRPr="00F85A58">
        <w:rPr>
          <w:rFonts w:cs="Arial"/>
          <w:lang w:val="fr-FR"/>
        </w:rPr>
        <w:t>évaluation de la distinction en ce qui concerne les caractères observés visuellement</w:t>
      </w:r>
      <w:r w:rsidR="00657355" w:rsidRPr="00F85A58">
        <w:rPr>
          <w:rFonts w:cs="Arial"/>
          <w:lang w:val="fr-FR"/>
        </w:rPr>
        <w:t>, la Finlande utilisant les nouvelles méthod</w:t>
      </w:r>
      <w:r w:rsidR="00F85A58" w:rsidRPr="00F85A58">
        <w:rPr>
          <w:rFonts w:cs="Arial"/>
          <w:lang w:val="fr-FR"/>
        </w:rPr>
        <w:t>es.  Un</w:t>
      </w:r>
      <w:r w:rsidR="0037166B" w:rsidRPr="00F85A58">
        <w:rPr>
          <w:rFonts w:cs="Arial"/>
          <w:lang w:val="fr-FR"/>
        </w:rPr>
        <w:t xml:space="preserve"> expert de la France a proposé d</w:t>
      </w:r>
      <w:r w:rsidR="005752E4" w:rsidRPr="00F85A58">
        <w:rPr>
          <w:rFonts w:cs="Arial"/>
          <w:lang w:val="fr-FR"/>
        </w:rPr>
        <w:t>’</w:t>
      </w:r>
      <w:r w:rsidR="0037166B" w:rsidRPr="00F85A58">
        <w:rPr>
          <w:rFonts w:cs="Arial"/>
          <w:lang w:val="fr-FR"/>
        </w:rPr>
        <w:t>étudier l</w:t>
      </w:r>
      <w:r w:rsidR="005752E4" w:rsidRPr="00F85A58">
        <w:rPr>
          <w:rFonts w:cs="Arial"/>
          <w:lang w:val="fr-FR"/>
        </w:rPr>
        <w:t>’</w:t>
      </w:r>
      <w:r w:rsidR="0037166B" w:rsidRPr="00F85A58">
        <w:rPr>
          <w:rFonts w:cs="Arial"/>
          <w:lang w:val="fr-FR"/>
        </w:rPr>
        <w:t>élaboration d</w:t>
      </w:r>
      <w:r w:rsidR="005752E4" w:rsidRPr="00F85A58">
        <w:rPr>
          <w:rFonts w:cs="Arial"/>
          <w:lang w:val="fr-FR"/>
        </w:rPr>
        <w:t>’</w:t>
      </w:r>
      <w:r w:rsidR="0037166B" w:rsidRPr="00F85A58">
        <w:rPr>
          <w:rFonts w:cs="Arial"/>
          <w:lang w:val="fr-FR"/>
        </w:rPr>
        <w:t>un logiciel destiné à la nouvelle méthode, avec l</w:t>
      </w:r>
      <w:r w:rsidR="005752E4" w:rsidRPr="00F85A58">
        <w:rPr>
          <w:rFonts w:cs="Arial"/>
          <w:lang w:val="fr-FR"/>
        </w:rPr>
        <w:t>’</w:t>
      </w:r>
      <w:r w:rsidR="0037166B" w:rsidRPr="00F85A58">
        <w:rPr>
          <w:rFonts w:cs="Arial"/>
          <w:lang w:val="fr-FR"/>
        </w:rPr>
        <w:t>appui d</w:t>
      </w:r>
      <w:r w:rsidR="005752E4" w:rsidRPr="00F85A58">
        <w:rPr>
          <w:rFonts w:cs="Arial"/>
          <w:lang w:val="fr-FR"/>
        </w:rPr>
        <w:t>’</w:t>
      </w:r>
      <w:r w:rsidR="0037166B" w:rsidRPr="00F85A58">
        <w:rPr>
          <w:rFonts w:cs="Arial"/>
          <w:lang w:val="fr-FR"/>
        </w:rPr>
        <w:t>experts de la Finlande et du Royaume</w:t>
      </w:r>
      <w:r w:rsidR="00F85A58" w:rsidRPr="00F85A58">
        <w:rPr>
          <w:rFonts w:cs="Arial"/>
          <w:lang w:val="fr-FR"/>
        </w:rPr>
        <w:noBreakHyphen/>
      </w:r>
      <w:r w:rsidR="0037166B" w:rsidRPr="00F85A58">
        <w:rPr>
          <w:rFonts w:cs="Arial"/>
          <w:lang w:val="fr-FR"/>
        </w:rPr>
        <w:t>U</w:t>
      </w:r>
      <w:r w:rsidR="00F85A58" w:rsidRPr="00F85A58">
        <w:rPr>
          <w:rFonts w:cs="Arial"/>
          <w:lang w:val="fr-FR"/>
        </w:rPr>
        <w:t>ni.  Le</w:t>
      </w:r>
      <w:r w:rsidR="005752E4" w:rsidRPr="00F85A58">
        <w:rPr>
          <w:rFonts w:cs="Arial"/>
          <w:lang w:val="fr-FR"/>
        </w:rPr>
        <w:t> TWC</w:t>
      </w:r>
      <w:r w:rsidRPr="00F85A58">
        <w:rPr>
          <w:rFonts w:cs="Arial"/>
          <w:lang w:val="fr-FR"/>
        </w:rPr>
        <w:t xml:space="preserve"> </w:t>
      </w:r>
      <w:r w:rsidR="006C661B" w:rsidRPr="00F85A58">
        <w:rPr>
          <w:rFonts w:cs="Arial"/>
          <w:lang w:val="fr-FR"/>
        </w:rPr>
        <w:t xml:space="preserve">est convenu que les nouvelles méthodes devraient être désignées de façon à éviter toute confusion avec la méthode </w:t>
      </w:r>
      <w:r w:rsidRPr="00F85A58">
        <w:rPr>
          <w:rFonts w:cs="Arial"/>
          <w:lang w:val="fr-FR"/>
        </w:rPr>
        <w:t>COYD.</w:t>
      </w:r>
    </w:p>
    <w:p w:rsidR="00BA14DE" w:rsidRPr="00F85A58" w:rsidRDefault="00BA14DE" w:rsidP="00556FD5">
      <w:pPr>
        <w:autoSpaceDE w:val="0"/>
        <w:autoSpaceDN w:val="0"/>
        <w:adjustRightInd w:val="0"/>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BB5777" w:rsidRPr="00F85A58">
        <w:rPr>
          <w:rFonts w:cs="Arial"/>
          <w:lang w:val="fr-FR"/>
        </w:rPr>
        <w:t>Un expert du Royaume</w:t>
      </w:r>
      <w:r w:rsidR="00F85A58" w:rsidRPr="00F85A58">
        <w:rPr>
          <w:rFonts w:cs="Arial"/>
          <w:lang w:val="fr-FR"/>
        </w:rPr>
        <w:noBreakHyphen/>
      </w:r>
      <w:r w:rsidR="00BB5777" w:rsidRPr="00F85A58">
        <w:rPr>
          <w:rFonts w:cs="Arial"/>
          <w:lang w:val="fr-FR"/>
        </w:rPr>
        <w:t xml:space="preserve">Uni a présenté un exposé </w:t>
      </w:r>
      <w:r w:rsidR="00AB29B0" w:rsidRPr="00F85A58">
        <w:rPr>
          <w:rFonts w:cs="Arial"/>
          <w:lang w:val="fr-FR"/>
        </w:rPr>
        <w:t>sur</w:t>
      </w:r>
      <w:r w:rsidRPr="00F85A58">
        <w:rPr>
          <w:rFonts w:cs="Arial"/>
          <w:lang w:val="fr-FR"/>
        </w:rPr>
        <w:t xml:space="preserve"> </w:t>
      </w:r>
      <w:r w:rsidR="001826AD">
        <w:rPr>
          <w:rFonts w:cs="Arial"/>
          <w:lang w:val="fr-FR"/>
        </w:rPr>
        <w:t>“</w:t>
      </w:r>
      <w:proofErr w:type="spellStart"/>
      <w:r w:rsidR="00833023" w:rsidRPr="00F85A58">
        <w:t>Calcul</w:t>
      </w:r>
      <w:proofErr w:type="spellEnd"/>
      <w:r w:rsidR="00833023" w:rsidRPr="00F85A58">
        <w:t xml:space="preserve"> des </w:t>
      </w:r>
      <w:proofErr w:type="spellStart"/>
      <w:r w:rsidR="00833023" w:rsidRPr="00F85A58">
        <w:t>seuils</w:t>
      </w:r>
      <w:proofErr w:type="spellEnd"/>
      <w:r w:rsidR="00833023" w:rsidRPr="00F85A58">
        <w:t xml:space="preserve"> </w:t>
      </w:r>
      <w:proofErr w:type="spellStart"/>
      <w:r w:rsidR="00833023" w:rsidRPr="00F85A58">
        <w:t>afin</w:t>
      </w:r>
      <w:proofErr w:type="spellEnd"/>
      <w:r w:rsidR="00833023" w:rsidRPr="00F85A58">
        <w:t xml:space="preserve"> d</w:t>
      </w:r>
      <w:r w:rsidR="005752E4" w:rsidRPr="00F85A58">
        <w:t>’</w:t>
      </w:r>
      <w:r w:rsidR="00833023" w:rsidRPr="00F85A58">
        <w:rPr>
          <w:rFonts w:cs="Arial"/>
          <w:lang w:val="fr-FR"/>
        </w:rPr>
        <w:t>exclure les variétés notoirement connues du second cycle de végétation lorsque l</w:t>
      </w:r>
      <w:r w:rsidR="005752E4" w:rsidRPr="00F85A58">
        <w:rPr>
          <w:rFonts w:cs="Arial"/>
          <w:lang w:val="fr-FR"/>
        </w:rPr>
        <w:t>’</w:t>
      </w:r>
      <w:r w:rsidR="00833023" w:rsidRPr="00F85A58">
        <w:rPr>
          <w:rFonts w:cs="Arial"/>
          <w:lang w:val="fr-FR"/>
        </w:rPr>
        <w:t>on applique la méthode COYD</w:t>
      </w:r>
      <w:r w:rsidR="00314928" w:rsidRPr="00F85A58">
        <w:rPr>
          <w:rFonts w:cs="Arial"/>
          <w:lang w:val="fr-FR"/>
        </w:rPr>
        <w:t>” (</w:t>
      </w:r>
      <w:r w:rsidR="005752E4" w:rsidRPr="00F85A58">
        <w:rPr>
          <w:rFonts w:cs="Arial"/>
          <w:lang w:val="fr-FR"/>
        </w:rPr>
        <w:t>document TW</w:t>
      </w:r>
      <w:r w:rsidRPr="00F85A58">
        <w:rPr>
          <w:rFonts w:cs="Arial"/>
          <w:lang w:val="fr-FR"/>
        </w:rPr>
        <w:t xml:space="preserve">C/33/20). </w:t>
      </w:r>
      <w:r w:rsidR="00342006" w:rsidRPr="00F85A58">
        <w:rPr>
          <w:rFonts w:cs="Arial"/>
          <w:lang w:val="fr-FR"/>
        </w:rPr>
        <w:t xml:space="preserve"> </w:t>
      </w:r>
      <w:r w:rsidR="00394187" w:rsidRPr="00F85A58">
        <w:rPr>
          <w:rFonts w:cs="Arial"/>
          <w:lang w:val="fr-FR"/>
        </w:rPr>
        <w:t xml:space="preserve">La méthode proposée pourrait se révéler appropriée en ce qui concerne les caractères quantitatifs et </w:t>
      </w:r>
      <w:r w:rsidR="00CC659D" w:rsidRPr="00F85A58">
        <w:rPr>
          <w:rFonts w:cs="Arial"/>
          <w:lang w:val="fr-FR"/>
        </w:rPr>
        <w:t xml:space="preserve">elle </w:t>
      </w:r>
      <w:r w:rsidR="00394187" w:rsidRPr="00F85A58">
        <w:rPr>
          <w:rFonts w:cs="Arial"/>
          <w:lang w:val="fr-FR"/>
        </w:rPr>
        <w:t>s</w:t>
      </w:r>
      <w:r w:rsidR="005752E4" w:rsidRPr="00F85A58">
        <w:rPr>
          <w:rFonts w:cs="Arial"/>
          <w:lang w:val="fr-FR"/>
        </w:rPr>
        <w:t>’</w:t>
      </w:r>
      <w:r w:rsidR="00394187" w:rsidRPr="00F85A58">
        <w:rPr>
          <w:rFonts w:cs="Arial"/>
          <w:lang w:val="fr-FR"/>
        </w:rPr>
        <w:t>est montré</w:t>
      </w:r>
      <w:r w:rsidR="00CC659D" w:rsidRPr="00F85A58">
        <w:rPr>
          <w:rFonts w:cs="Arial"/>
          <w:lang w:val="fr-FR"/>
        </w:rPr>
        <w:t>e</w:t>
      </w:r>
      <w:r w:rsidR="00394187" w:rsidRPr="00F85A58">
        <w:rPr>
          <w:rFonts w:cs="Arial"/>
          <w:lang w:val="fr-FR"/>
        </w:rPr>
        <w:t xml:space="preserve"> être une amélioration par rapport à une méthode précédemment </w:t>
      </w:r>
      <w:r w:rsidR="00AB29B0" w:rsidRPr="00F85A58">
        <w:rPr>
          <w:rFonts w:cs="Arial"/>
          <w:lang w:val="fr-FR"/>
        </w:rPr>
        <w:t>décrite,</w:t>
      </w:r>
      <w:r w:rsidR="00394187" w:rsidRPr="00F85A58">
        <w:rPr>
          <w:rFonts w:cs="Arial"/>
          <w:lang w:val="fr-FR"/>
        </w:rPr>
        <w:t xml:space="preserve"> </w:t>
      </w:r>
      <w:r w:rsidR="00CC659D" w:rsidRPr="00F85A58">
        <w:rPr>
          <w:rFonts w:cs="Arial"/>
          <w:lang w:val="fr-FR"/>
        </w:rPr>
        <w:t xml:space="preserve">car elle tenait compte </w:t>
      </w:r>
      <w:r w:rsidR="00387FE9" w:rsidRPr="00F85A58">
        <w:rPr>
          <w:rFonts w:cs="Arial"/>
          <w:lang w:val="fr-FR"/>
        </w:rPr>
        <w:t>de la variabilité de l</w:t>
      </w:r>
      <w:r w:rsidR="005752E4" w:rsidRPr="00F85A58">
        <w:rPr>
          <w:rFonts w:cs="Arial"/>
          <w:lang w:val="fr-FR"/>
        </w:rPr>
        <w:t>’</w:t>
      </w:r>
      <w:r w:rsidR="00387FE9" w:rsidRPr="00F85A58">
        <w:rPr>
          <w:rFonts w:cs="Arial"/>
          <w:lang w:val="fr-FR"/>
        </w:rPr>
        <w:t>analyse COYD d</w:t>
      </w:r>
      <w:r w:rsidR="005752E4" w:rsidRPr="00F85A58">
        <w:rPr>
          <w:rFonts w:cs="Arial"/>
          <w:lang w:val="fr-FR"/>
        </w:rPr>
        <w:t>’</w:t>
      </w:r>
      <w:r w:rsidR="00387FE9" w:rsidRPr="00F85A58">
        <w:rPr>
          <w:rFonts w:cs="Arial"/>
          <w:lang w:val="fr-FR"/>
        </w:rPr>
        <w:t>une année à l</w:t>
      </w:r>
      <w:r w:rsidR="005752E4" w:rsidRPr="00F85A58">
        <w:rPr>
          <w:rFonts w:cs="Arial"/>
          <w:lang w:val="fr-FR"/>
        </w:rPr>
        <w:t>’</w:t>
      </w:r>
      <w:r w:rsidR="00387FE9" w:rsidRPr="00F85A58">
        <w:rPr>
          <w:rFonts w:cs="Arial"/>
          <w:lang w:val="fr-FR"/>
        </w:rPr>
        <w:t>aut</w:t>
      </w:r>
      <w:r w:rsidR="00F85A58" w:rsidRPr="00F85A58">
        <w:rPr>
          <w:rFonts w:cs="Arial"/>
          <w:lang w:val="fr-FR"/>
        </w:rPr>
        <w:t>re.  La</w:t>
      </w:r>
      <w:r w:rsidR="00387FE9" w:rsidRPr="00F85A58">
        <w:rPr>
          <w:rFonts w:cs="Arial"/>
          <w:lang w:val="fr-FR"/>
        </w:rPr>
        <w:t xml:space="preserve"> méthode a été illustrée en utilisant un vaste ensemble de données relatives au po</w:t>
      </w:r>
      <w:r w:rsidR="00F85A58" w:rsidRPr="00F85A58">
        <w:rPr>
          <w:rFonts w:cs="Arial"/>
          <w:lang w:val="fr-FR"/>
        </w:rPr>
        <w:t>is.  L’e</w:t>
      </w:r>
      <w:r w:rsidR="00387FE9" w:rsidRPr="00F85A58">
        <w:rPr>
          <w:rFonts w:cs="Arial"/>
          <w:lang w:val="fr-FR"/>
        </w:rPr>
        <w:t>xpert a souhaité disposer de plus d</w:t>
      </w:r>
      <w:r w:rsidR="005752E4" w:rsidRPr="00F85A58">
        <w:rPr>
          <w:rFonts w:cs="Arial"/>
          <w:lang w:val="fr-FR"/>
        </w:rPr>
        <w:t>’</w:t>
      </w:r>
      <w:r w:rsidR="00387FE9" w:rsidRPr="00F85A58">
        <w:rPr>
          <w:rFonts w:cs="Arial"/>
          <w:lang w:val="fr-FR"/>
        </w:rPr>
        <w:t>ensembles de données à titre d</w:t>
      </w:r>
      <w:r w:rsidR="005752E4" w:rsidRPr="00F85A58">
        <w:rPr>
          <w:rFonts w:cs="Arial"/>
          <w:lang w:val="fr-FR"/>
        </w:rPr>
        <w:t>’</w:t>
      </w:r>
      <w:r w:rsidR="00387FE9" w:rsidRPr="00F85A58">
        <w:rPr>
          <w:rFonts w:cs="Arial"/>
          <w:lang w:val="fr-FR"/>
        </w:rPr>
        <w:t>exemple afin de tester les méthodes plus avant.</w:t>
      </w:r>
    </w:p>
    <w:p w:rsidR="00BA14DE" w:rsidRPr="00F85A58" w:rsidRDefault="00BA14DE" w:rsidP="00556FD5">
      <w:pPr>
        <w:autoSpaceDE w:val="0"/>
        <w:autoSpaceDN w:val="0"/>
        <w:adjustRightInd w:val="0"/>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B83083" w:rsidRPr="00F85A58">
        <w:rPr>
          <w:rFonts w:cs="Arial"/>
          <w:lang w:val="fr-FR"/>
        </w:rPr>
        <w:t>Des experts de la Chine ont présenté des exposés sur les logiciels utilisés en Chine :</w:t>
      </w:r>
      <w:r w:rsidRPr="00F85A58">
        <w:rPr>
          <w:rFonts w:cs="Arial"/>
          <w:lang w:val="fr-FR"/>
        </w:rPr>
        <w:t xml:space="preserve"> </w:t>
      </w:r>
      <w:r w:rsidR="00B83083" w:rsidRPr="00F85A58">
        <w:rPr>
          <w:rFonts w:cs="Arial"/>
          <w:lang w:val="fr-FR"/>
        </w:rPr>
        <w:t>le système de gestion des demandes</w:t>
      </w:r>
      <w:r w:rsidRPr="00F85A58">
        <w:rPr>
          <w:rFonts w:cs="Arial"/>
          <w:lang w:val="fr-FR"/>
        </w:rPr>
        <w:t xml:space="preserve"> (AMS) </w:t>
      </w:r>
      <w:r w:rsidR="00B83083" w:rsidRPr="00F85A58">
        <w:rPr>
          <w:rFonts w:cs="Arial"/>
          <w:lang w:val="fr-FR"/>
        </w:rPr>
        <w:t xml:space="preserve">et la base de données sur les descriptions variétales </w:t>
      </w:r>
      <w:r w:rsidRPr="00F85A58">
        <w:rPr>
          <w:rFonts w:cs="Arial"/>
          <w:lang w:val="fr-FR"/>
        </w:rPr>
        <w:t xml:space="preserve">(VDD) </w:t>
      </w:r>
      <w:r w:rsidR="00B83083" w:rsidRPr="00F85A58">
        <w:rPr>
          <w:rFonts w:cs="Arial"/>
          <w:lang w:val="fr-FR"/>
        </w:rPr>
        <w:t>en Chine</w:t>
      </w:r>
      <w:r w:rsidRPr="00F85A58">
        <w:rPr>
          <w:rFonts w:cs="Arial"/>
          <w:lang w:val="fr-FR"/>
        </w:rPr>
        <w:t xml:space="preserve"> (doc</w:t>
      </w:r>
      <w:r w:rsidR="00314928" w:rsidRPr="00F85A58">
        <w:rPr>
          <w:rFonts w:cs="Arial"/>
          <w:lang w:val="fr-FR"/>
        </w:rPr>
        <w:t>ument TWC/33/33),</w:t>
      </w:r>
      <w:r w:rsidR="005752E4" w:rsidRPr="00F85A58">
        <w:rPr>
          <w:rFonts w:cs="Arial"/>
          <w:lang w:val="fr-FR"/>
        </w:rPr>
        <w:t xml:space="preserve"> le DUS</w:t>
      </w:r>
      <w:r w:rsidR="00314928" w:rsidRPr="00F85A58">
        <w:rPr>
          <w:rFonts w:cs="Arial"/>
          <w:lang w:val="fr-FR"/>
        </w:rPr>
        <w:t xml:space="preserve">TC </w:t>
      </w:r>
      <w:r w:rsidR="00B83083" w:rsidRPr="00F85A58">
        <w:rPr>
          <w:rFonts w:cs="Arial"/>
          <w:lang w:val="fr-FR"/>
        </w:rPr>
        <w:t>destiné à l</w:t>
      </w:r>
      <w:r w:rsidR="005752E4" w:rsidRPr="00F85A58">
        <w:rPr>
          <w:rFonts w:cs="Arial"/>
          <w:lang w:val="fr-FR"/>
        </w:rPr>
        <w:t>’</w:t>
      </w:r>
      <w:r w:rsidR="00B83083" w:rsidRPr="00F85A58">
        <w:rPr>
          <w:rFonts w:cs="Arial"/>
          <w:lang w:val="fr-FR"/>
        </w:rPr>
        <w:t>examen</w:t>
      </w:r>
      <w:r w:rsidR="00342006" w:rsidRPr="00F85A58">
        <w:rPr>
          <w:rFonts w:cs="Arial"/>
          <w:lang w:val="fr-FR"/>
        </w:rPr>
        <w:t> </w:t>
      </w:r>
      <w:r w:rsidR="00B83083" w:rsidRPr="00F85A58">
        <w:rPr>
          <w:rFonts w:cs="Arial"/>
          <w:lang w:val="fr-FR"/>
        </w:rPr>
        <w:t xml:space="preserve">DHS et </w:t>
      </w:r>
      <w:r w:rsidR="0034044F" w:rsidRPr="00F85A58">
        <w:rPr>
          <w:rFonts w:cs="Arial"/>
          <w:lang w:val="fr-FR"/>
        </w:rPr>
        <w:t>du système d</w:t>
      </w:r>
      <w:r w:rsidR="005752E4" w:rsidRPr="00F85A58">
        <w:rPr>
          <w:rFonts w:cs="Arial"/>
          <w:lang w:val="fr-FR"/>
        </w:rPr>
        <w:t>’</w:t>
      </w:r>
      <w:r w:rsidR="0034044F" w:rsidRPr="00F85A58">
        <w:rPr>
          <w:rFonts w:cs="Arial"/>
          <w:lang w:val="fr-FR"/>
        </w:rPr>
        <w:t>analyse d</w:t>
      </w:r>
      <w:r w:rsidR="005752E4" w:rsidRPr="00F85A58">
        <w:rPr>
          <w:rFonts w:cs="Arial"/>
          <w:lang w:val="fr-FR"/>
        </w:rPr>
        <w:t>’</w:t>
      </w:r>
      <w:r w:rsidR="0034044F" w:rsidRPr="00F85A58">
        <w:rPr>
          <w:rFonts w:cs="Arial"/>
          <w:lang w:val="fr-FR"/>
        </w:rPr>
        <w:t>image à l</w:t>
      </w:r>
      <w:r w:rsidR="005752E4" w:rsidRPr="00F85A58">
        <w:rPr>
          <w:rFonts w:cs="Arial"/>
          <w:lang w:val="fr-FR"/>
        </w:rPr>
        <w:t>’</w:t>
      </w:r>
      <w:r w:rsidR="0034044F" w:rsidRPr="00F85A58">
        <w:rPr>
          <w:rFonts w:cs="Arial"/>
          <w:lang w:val="fr-FR"/>
        </w:rPr>
        <w:t>intention de la protection des obtentions végétales</w:t>
      </w:r>
      <w:r w:rsidR="00314928" w:rsidRPr="00F85A58">
        <w:rPr>
          <w:rFonts w:cs="Arial"/>
          <w:lang w:val="fr-FR"/>
        </w:rPr>
        <w:t xml:space="preserve"> (document TWC/33/28). </w:t>
      </w:r>
      <w:r w:rsidR="0034044F" w:rsidRPr="00F85A58">
        <w:rPr>
          <w:rFonts w:cs="Arial"/>
          <w:lang w:val="fr-FR"/>
        </w:rPr>
        <w:t xml:space="preserve"> Des e</w:t>
      </w:r>
      <w:r w:rsidR="00314928" w:rsidRPr="00F85A58">
        <w:rPr>
          <w:rFonts w:cs="Arial"/>
          <w:lang w:val="fr-FR"/>
        </w:rPr>
        <w:t>xperts </w:t>
      </w:r>
      <w:r w:rsidR="0034044F" w:rsidRPr="00F85A58">
        <w:rPr>
          <w:rFonts w:cs="Arial"/>
          <w:lang w:val="fr-FR"/>
        </w:rPr>
        <w:t>de l</w:t>
      </w:r>
      <w:r w:rsidR="005752E4" w:rsidRPr="00F85A58">
        <w:rPr>
          <w:rFonts w:cs="Arial"/>
          <w:lang w:val="fr-FR"/>
        </w:rPr>
        <w:t>’</w:t>
      </w:r>
      <w:r w:rsidR="0034044F" w:rsidRPr="00F85A58">
        <w:rPr>
          <w:rFonts w:cs="Arial"/>
          <w:lang w:val="fr-FR"/>
        </w:rPr>
        <w:t>Allemagne et de la France ont présenté un exposé comparant des logiciels destinés aux dispositifs portatifs de saisie des données</w:t>
      </w:r>
      <w:r w:rsidRPr="00F85A58">
        <w:rPr>
          <w:rFonts w:cs="Arial"/>
          <w:lang w:val="fr-FR"/>
        </w:rPr>
        <w:t xml:space="preserve"> </w:t>
      </w:r>
      <w:r w:rsidR="0034044F" w:rsidRPr="00F85A58">
        <w:rPr>
          <w:rFonts w:cs="Arial"/>
          <w:lang w:val="fr-FR"/>
        </w:rPr>
        <w:t>ou aux enregistreurs de données</w:t>
      </w:r>
      <w:r w:rsidRPr="00F85A58">
        <w:rPr>
          <w:rFonts w:cs="Arial"/>
          <w:lang w:val="fr-FR"/>
        </w:rPr>
        <w:t xml:space="preserve"> (document TWC/33/24). </w:t>
      </w:r>
      <w:r w:rsidR="0034044F" w:rsidRPr="00F85A58">
        <w:rPr>
          <w:rFonts w:cs="Arial"/>
          <w:lang w:val="fr-FR"/>
        </w:rPr>
        <w:t xml:space="preserve"> Un expert du Brésil</w:t>
      </w:r>
      <w:r w:rsidRPr="00F85A58">
        <w:rPr>
          <w:rFonts w:cs="Arial"/>
          <w:lang w:val="fr-FR"/>
        </w:rPr>
        <w:t xml:space="preserve"> </w:t>
      </w:r>
      <w:r w:rsidR="0034044F" w:rsidRPr="00F85A58">
        <w:rPr>
          <w:rFonts w:cs="Arial"/>
          <w:lang w:val="fr-FR"/>
        </w:rPr>
        <w:t xml:space="preserve">a présenté un exposé décrivant la façon dont le système </w:t>
      </w:r>
      <w:r w:rsidRPr="00F85A58">
        <w:rPr>
          <w:rFonts w:cs="Arial"/>
          <w:lang w:val="fr-FR"/>
        </w:rPr>
        <w:t xml:space="preserve">GAIA </w:t>
      </w:r>
      <w:r w:rsidR="00252112" w:rsidRPr="00F85A58">
        <w:rPr>
          <w:rFonts w:cs="Arial"/>
          <w:lang w:val="fr-FR"/>
        </w:rPr>
        <w:t xml:space="preserve">est utilisé pour le soja au </w:t>
      </w:r>
      <w:r w:rsidR="00AB29B0" w:rsidRPr="00F85A58">
        <w:rPr>
          <w:rFonts w:cs="Arial"/>
          <w:lang w:val="fr-FR"/>
        </w:rPr>
        <w:t>Brésil</w:t>
      </w:r>
      <w:r w:rsidRPr="00F85A58">
        <w:rPr>
          <w:rFonts w:cs="Arial"/>
          <w:lang w:val="fr-FR"/>
        </w:rPr>
        <w:t>.</w:t>
      </w:r>
    </w:p>
    <w:p w:rsidR="00BA14DE" w:rsidRPr="00F85A58" w:rsidRDefault="00BA14DE" w:rsidP="00556FD5">
      <w:pPr>
        <w:autoSpaceDE w:val="0"/>
        <w:autoSpaceDN w:val="0"/>
        <w:adjustRightInd w:val="0"/>
        <w:rPr>
          <w:rFonts w:cs="Arial"/>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211A69" w:rsidRPr="00F85A58">
        <w:rPr>
          <w:rFonts w:cs="Arial"/>
          <w:lang w:val="fr-FR"/>
        </w:rPr>
        <w:t>À l</w:t>
      </w:r>
      <w:r w:rsidR="005752E4" w:rsidRPr="00F85A58">
        <w:rPr>
          <w:rFonts w:cs="Arial"/>
          <w:lang w:val="fr-FR"/>
        </w:rPr>
        <w:t>’</w:t>
      </w:r>
      <w:r w:rsidR="00211A69" w:rsidRPr="00F85A58">
        <w:rPr>
          <w:rFonts w:cs="Arial"/>
          <w:lang w:val="fr-FR"/>
        </w:rPr>
        <w:t>invitation de la Chine,</w:t>
      </w:r>
      <w:r w:rsidR="005752E4" w:rsidRPr="00F85A58">
        <w:rPr>
          <w:rFonts w:cs="Arial"/>
          <w:lang w:val="fr-FR"/>
        </w:rPr>
        <w:t xml:space="preserve"> le TWC</w:t>
      </w:r>
      <w:r w:rsidRPr="00F85A58">
        <w:rPr>
          <w:rFonts w:cs="Arial"/>
          <w:lang w:val="fr-FR"/>
        </w:rPr>
        <w:t xml:space="preserve"> </w:t>
      </w:r>
      <w:r w:rsidR="00211A69" w:rsidRPr="00F85A58">
        <w:rPr>
          <w:rFonts w:cs="Arial"/>
          <w:lang w:val="fr-FR"/>
        </w:rPr>
        <w:t>est convenu de tenir sa trente</w:t>
      </w:r>
      <w:r w:rsidR="00F85A58" w:rsidRPr="00F85A58">
        <w:rPr>
          <w:rFonts w:cs="Arial"/>
          <w:lang w:val="fr-FR"/>
        </w:rPr>
        <w:noBreakHyphen/>
      </w:r>
      <w:r w:rsidR="00211A69" w:rsidRPr="00F85A58">
        <w:rPr>
          <w:rFonts w:cs="Arial"/>
          <w:lang w:val="fr-FR"/>
        </w:rPr>
        <w:t>quatrième</w:t>
      </w:r>
      <w:r w:rsidR="00342006" w:rsidRPr="00F85A58">
        <w:rPr>
          <w:rFonts w:cs="Arial"/>
          <w:lang w:val="fr-FR"/>
        </w:rPr>
        <w:t> </w:t>
      </w:r>
      <w:r w:rsidR="00211A69" w:rsidRPr="00F85A58">
        <w:rPr>
          <w:rFonts w:cs="Arial"/>
          <w:lang w:val="fr-FR"/>
        </w:rPr>
        <w:t xml:space="preserve">session à Shanghai (Chine), du </w:t>
      </w:r>
      <w:r w:rsidRPr="00F85A58">
        <w:rPr>
          <w:rFonts w:cs="Arial"/>
          <w:lang w:val="fr-FR"/>
        </w:rPr>
        <w:t xml:space="preserve">7 </w:t>
      </w:r>
      <w:r w:rsidR="00211A69" w:rsidRPr="00F85A58">
        <w:rPr>
          <w:rFonts w:cs="Arial"/>
          <w:lang w:val="fr-FR"/>
        </w:rPr>
        <w:t>au 1</w:t>
      </w:r>
      <w:r w:rsidR="005752E4" w:rsidRPr="00F85A58">
        <w:rPr>
          <w:rFonts w:cs="Arial"/>
          <w:lang w:val="fr-FR"/>
        </w:rPr>
        <w:t>0 juin 20</w:t>
      </w:r>
      <w:r w:rsidRPr="00F85A58">
        <w:rPr>
          <w:rFonts w:cs="Arial"/>
          <w:lang w:val="fr-FR"/>
        </w:rPr>
        <w:t xml:space="preserve">16, </w:t>
      </w:r>
      <w:r w:rsidR="00211A69" w:rsidRPr="00F85A58">
        <w:rPr>
          <w:rFonts w:cs="Arial"/>
          <w:lang w:val="fr-FR"/>
        </w:rPr>
        <w:t>l</w:t>
      </w:r>
      <w:r w:rsidR="005752E4" w:rsidRPr="00F85A58">
        <w:rPr>
          <w:rFonts w:cs="Arial"/>
          <w:lang w:val="fr-FR"/>
        </w:rPr>
        <w:t>’</w:t>
      </w:r>
      <w:r w:rsidR="00211A69" w:rsidRPr="00F85A58">
        <w:rPr>
          <w:rFonts w:cs="Arial"/>
          <w:lang w:val="fr-FR"/>
        </w:rPr>
        <w:t xml:space="preserve">atelier préparatoire étant prévu pour le </w:t>
      </w:r>
      <w:r w:rsidR="005752E4" w:rsidRPr="00F85A58">
        <w:rPr>
          <w:rFonts w:cs="Arial"/>
          <w:lang w:val="fr-FR"/>
        </w:rPr>
        <w:t>6 juin 20</w:t>
      </w:r>
      <w:r w:rsidR="00211A69" w:rsidRPr="00F85A58">
        <w:rPr>
          <w:rFonts w:cs="Arial"/>
          <w:lang w:val="fr-FR"/>
        </w:rPr>
        <w:t>16.</w:t>
      </w:r>
    </w:p>
    <w:p w:rsidR="00BA14DE" w:rsidRPr="00F85A58" w:rsidRDefault="00BA14DE" w:rsidP="00556FD5">
      <w:pPr>
        <w:autoSpaceDE w:val="0"/>
        <w:autoSpaceDN w:val="0"/>
        <w:adjustRightInd w:val="0"/>
        <w:rPr>
          <w:rFonts w:cs="Arial"/>
          <w:lang w:val="fr-FR"/>
        </w:rPr>
      </w:pPr>
    </w:p>
    <w:p w:rsidR="00BA14DE" w:rsidRPr="00F85A58" w:rsidRDefault="00556FD5" w:rsidP="006D4B5E">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6D4B5E" w:rsidRPr="00F85A58">
        <w:rPr>
          <w:rFonts w:cs="Arial"/>
          <w:lang w:val="fr-FR"/>
        </w:rPr>
        <w:t>Le TWC a proposé d</w:t>
      </w:r>
      <w:r w:rsidR="005752E4" w:rsidRPr="00F85A58">
        <w:rPr>
          <w:rFonts w:cs="Arial"/>
          <w:lang w:val="fr-FR"/>
        </w:rPr>
        <w:t>’</w:t>
      </w:r>
      <w:r w:rsidR="006D4B5E" w:rsidRPr="00F85A58">
        <w:rPr>
          <w:rFonts w:cs="Arial"/>
          <w:lang w:val="fr-FR"/>
        </w:rPr>
        <w:t>examiner les points suivants à sa trente</w:t>
      </w:r>
      <w:r w:rsidR="00F85A58" w:rsidRPr="00F85A58">
        <w:rPr>
          <w:rFonts w:cs="Arial"/>
          <w:lang w:val="fr-FR"/>
        </w:rPr>
        <w:noBreakHyphen/>
      </w:r>
      <w:r w:rsidR="006D4B5E" w:rsidRPr="00F85A58">
        <w:rPr>
          <w:rFonts w:cs="Arial"/>
          <w:lang w:val="fr-FR"/>
        </w:rPr>
        <w:t>quatrième</w:t>
      </w:r>
      <w:r w:rsidR="00342006" w:rsidRPr="00F85A58">
        <w:rPr>
          <w:rFonts w:cs="Arial"/>
          <w:lang w:val="fr-FR"/>
        </w:rPr>
        <w:t> </w:t>
      </w:r>
      <w:r w:rsidR="006D4B5E" w:rsidRPr="00F85A58">
        <w:rPr>
          <w:rFonts w:cs="Arial"/>
          <w:lang w:val="fr-FR"/>
        </w:rPr>
        <w:t>session</w:t>
      </w:r>
      <w:r w:rsidR="00342006" w:rsidRPr="00F85A58">
        <w:rPr>
          <w:rFonts w:cs="Arial"/>
          <w:lang w:val="fr-FR"/>
        </w:rPr>
        <w:t> </w:t>
      </w:r>
      <w:r w:rsidR="006D4B5E" w:rsidRPr="00F85A58">
        <w:rPr>
          <w:rFonts w:cs="Arial"/>
          <w:lang w:val="fr-FR"/>
        </w:rPr>
        <w:t>:</w:t>
      </w:r>
    </w:p>
    <w:p w:rsidR="00BA14DE" w:rsidRPr="00F85A58" w:rsidRDefault="00BA14DE" w:rsidP="00556FD5">
      <w:pPr>
        <w:tabs>
          <w:tab w:val="left" w:pos="567"/>
        </w:tabs>
        <w:autoSpaceDE w:val="0"/>
        <w:autoSpaceDN w:val="0"/>
        <w:adjustRightInd w:val="0"/>
        <w:rPr>
          <w:rFonts w:cs="Arial"/>
          <w:lang w:val="fr-FR"/>
        </w:rPr>
      </w:pPr>
    </w:p>
    <w:p w:rsidR="00BA14DE" w:rsidRPr="00F85A58" w:rsidRDefault="00556FD5" w:rsidP="00D61528">
      <w:pPr>
        <w:tabs>
          <w:tab w:val="left" w:pos="1134"/>
          <w:tab w:val="left" w:pos="1701"/>
        </w:tabs>
        <w:autoSpaceDE w:val="0"/>
        <w:autoSpaceDN w:val="0"/>
        <w:adjustRightInd w:val="0"/>
        <w:ind w:left="1134" w:hanging="567"/>
        <w:rPr>
          <w:rFonts w:cs="Arial"/>
          <w:lang w:val="fr-FR"/>
        </w:rPr>
      </w:pPr>
      <w:r w:rsidRPr="00F85A58">
        <w:rPr>
          <w:rFonts w:cs="Arial"/>
          <w:lang w:val="fr-FR"/>
        </w:rPr>
        <w:t>1.</w:t>
      </w:r>
      <w:r w:rsidRPr="00F85A58">
        <w:rPr>
          <w:rFonts w:cs="Arial"/>
          <w:lang w:val="fr-FR"/>
        </w:rPr>
        <w:tab/>
      </w:r>
      <w:r w:rsidR="00D61528" w:rsidRPr="00F85A58">
        <w:rPr>
          <w:rFonts w:cs="Arial"/>
          <w:lang w:val="fr-FR"/>
        </w:rPr>
        <w:t>Ouverture de la session</w:t>
      </w:r>
    </w:p>
    <w:p w:rsidR="00BA14DE" w:rsidRPr="00F85A58" w:rsidRDefault="00D61528" w:rsidP="00D61528">
      <w:pPr>
        <w:tabs>
          <w:tab w:val="left" w:pos="1134"/>
          <w:tab w:val="left" w:pos="1701"/>
        </w:tabs>
        <w:autoSpaceDE w:val="0"/>
        <w:autoSpaceDN w:val="0"/>
        <w:adjustRightInd w:val="0"/>
        <w:ind w:left="1134" w:hanging="567"/>
        <w:rPr>
          <w:rFonts w:cs="Arial"/>
          <w:lang w:val="fr-FR"/>
        </w:rPr>
      </w:pPr>
      <w:r w:rsidRPr="00F85A58">
        <w:rPr>
          <w:rFonts w:cs="Arial"/>
          <w:lang w:val="fr-FR"/>
        </w:rPr>
        <w:t>2.</w:t>
      </w:r>
      <w:r w:rsidRPr="00F85A58">
        <w:rPr>
          <w:rFonts w:cs="Arial"/>
          <w:lang w:val="fr-FR"/>
        </w:rPr>
        <w:tab/>
        <w:t>Adoption de l</w:t>
      </w:r>
      <w:r w:rsidR="005752E4" w:rsidRPr="00F85A58">
        <w:rPr>
          <w:rFonts w:cs="Arial"/>
          <w:lang w:val="fr-FR"/>
        </w:rPr>
        <w:t>’</w:t>
      </w:r>
      <w:r w:rsidRPr="00F85A58">
        <w:rPr>
          <w:rFonts w:cs="Arial"/>
          <w:lang w:val="fr-FR"/>
        </w:rPr>
        <w:t>ordre du jour</w:t>
      </w:r>
    </w:p>
    <w:p w:rsidR="00BA14DE" w:rsidRPr="00F85A58" w:rsidRDefault="00466AC0" w:rsidP="00466AC0">
      <w:pPr>
        <w:tabs>
          <w:tab w:val="left" w:pos="1134"/>
          <w:tab w:val="left" w:pos="1701"/>
        </w:tabs>
        <w:autoSpaceDE w:val="0"/>
        <w:autoSpaceDN w:val="0"/>
        <w:adjustRightInd w:val="0"/>
        <w:ind w:left="1134" w:hanging="567"/>
        <w:rPr>
          <w:rFonts w:cs="Arial"/>
          <w:lang w:val="fr-FR"/>
        </w:rPr>
      </w:pPr>
      <w:r w:rsidRPr="00F85A58">
        <w:rPr>
          <w:rFonts w:cs="Arial"/>
          <w:lang w:val="fr-FR"/>
        </w:rPr>
        <w:t>3.</w:t>
      </w:r>
      <w:r w:rsidRPr="00F85A58">
        <w:rPr>
          <w:rFonts w:cs="Arial"/>
          <w:lang w:val="fr-FR"/>
        </w:rPr>
        <w:tab/>
        <w:t>Rapports succincts sur l</w:t>
      </w:r>
      <w:r w:rsidR="005752E4" w:rsidRPr="00F85A58">
        <w:rPr>
          <w:rFonts w:cs="Arial"/>
          <w:lang w:val="fr-FR"/>
        </w:rPr>
        <w:t>’</w:t>
      </w:r>
      <w:r w:rsidRPr="00F85A58">
        <w:rPr>
          <w:rFonts w:cs="Arial"/>
          <w:lang w:val="fr-FR"/>
        </w:rPr>
        <w:t>évolution de la situation en matière de protection des obtentions végétales</w:t>
      </w:r>
    </w:p>
    <w:p w:rsidR="00BA14DE" w:rsidRPr="00F85A58" w:rsidRDefault="00DD28FE" w:rsidP="00DD28FE">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fr-FR"/>
        </w:rPr>
      </w:pPr>
      <w:r w:rsidRPr="00F85A58">
        <w:rPr>
          <w:rFonts w:ascii="Arial" w:hAnsi="Arial" w:cs="Arial"/>
          <w:sz w:val="20"/>
          <w:szCs w:val="20"/>
          <w:lang w:val="fr-FR"/>
        </w:rPr>
        <w:t>Rapports des membres et des observateurs</w:t>
      </w:r>
    </w:p>
    <w:p w:rsidR="00BA14DE" w:rsidRPr="00F85A58" w:rsidRDefault="00DD28FE" w:rsidP="00DD28FE">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fr-FR"/>
        </w:rPr>
      </w:pPr>
      <w:r w:rsidRPr="00F85A58">
        <w:rPr>
          <w:rFonts w:ascii="Arial" w:hAnsi="Arial" w:cs="Arial"/>
          <w:sz w:val="20"/>
          <w:szCs w:val="20"/>
          <w:lang w:val="fr-FR"/>
        </w:rPr>
        <w:t>Rapports sur les faits nouveaux au sein de l</w:t>
      </w:r>
      <w:r w:rsidR="005752E4" w:rsidRPr="00F85A58">
        <w:rPr>
          <w:rFonts w:ascii="Arial" w:hAnsi="Arial" w:cs="Arial"/>
          <w:sz w:val="20"/>
          <w:szCs w:val="20"/>
          <w:lang w:val="fr-FR"/>
        </w:rPr>
        <w:t>’</w:t>
      </w:r>
      <w:r w:rsidRPr="00F85A58">
        <w:rPr>
          <w:rFonts w:ascii="Arial" w:hAnsi="Arial" w:cs="Arial"/>
          <w:sz w:val="20"/>
          <w:szCs w:val="20"/>
          <w:lang w:val="fr-FR"/>
        </w:rPr>
        <w:t>UPOV</w:t>
      </w:r>
    </w:p>
    <w:p w:rsidR="00BA14DE" w:rsidRPr="00F85A58" w:rsidRDefault="00DD28FE" w:rsidP="00DD28FE">
      <w:pPr>
        <w:tabs>
          <w:tab w:val="left" w:pos="1134"/>
          <w:tab w:val="left" w:pos="1701"/>
        </w:tabs>
        <w:autoSpaceDE w:val="0"/>
        <w:autoSpaceDN w:val="0"/>
        <w:adjustRightInd w:val="0"/>
        <w:ind w:left="1134" w:hanging="567"/>
        <w:rPr>
          <w:rFonts w:cs="Arial"/>
          <w:lang w:val="fr-FR"/>
        </w:rPr>
      </w:pPr>
      <w:r w:rsidRPr="00F85A58">
        <w:rPr>
          <w:rFonts w:cs="Arial"/>
          <w:lang w:val="fr-FR"/>
        </w:rPr>
        <w:t>4.</w:t>
      </w:r>
      <w:r w:rsidRPr="00F85A58">
        <w:rPr>
          <w:rFonts w:cs="Arial"/>
          <w:lang w:val="fr-FR"/>
        </w:rPr>
        <w:tab/>
        <w:t>Techniques moléculaires</w:t>
      </w:r>
    </w:p>
    <w:p w:rsidR="00BA14DE" w:rsidRPr="00F85A58" w:rsidRDefault="00DD28FE" w:rsidP="00DD28FE">
      <w:pPr>
        <w:tabs>
          <w:tab w:val="left" w:pos="1134"/>
          <w:tab w:val="left" w:pos="1701"/>
        </w:tabs>
        <w:autoSpaceDE w:val="0"/>
        <w:autoSpaceDN w:val="0"/>
        <w:adjustRightInd w:val="0"/>
        <w:ind w:left="1134" w:hanging="567"/>
        <w:rPr>
          <w:rFonts w:cs="Arial"/>
          <w:lang w:val="fr-FR"/>
        </w:rPr>
      </w:pPr>
      <w:r w:rsidRPr="00F85A58">
        <w:rPr>
          <w:rFonts w:cs="Arial"/>
          <w:lang w:val="fr-FR"/>
        </w:rPr>
        <w:t>5.</w:t>
      </w:r>
      <w:r w:rsidRPr="00F85A58">
        <w:rPr>
          <w:rFonts w:cs="Arial"/>
          <w:lang w:val="fr-FR"/>
        </w:rPr>
        <w:tab/>
        <w:t>Documents TGP</w:t>
      </w:r>
    </w:p>
    <w:p w:rsidR="00BA14DE" w:rsidRPr="00F85A58" w:rsidRDefault="00DD28FE" w:rsidP="00DD28FE">
      <w:pPr>
        <w:tabs>
          <w:tab w:val="left" w:pos="1134"/>
          <w:tab w:val="left" w:pos="1701"/>
        </w:tabs>
        <w:autoSpaceDE w:val="0"/>
        <w:autoSpaceDN w:val="0"/>
        <w:adjustRightInd w:val="0"/>
        <w:ind w:left="1134" w:hanging="567"/>
        <w:rPr>
          <w:rFonts w:cs="Arial"/>
          <w:lang w:val="fr-FR"/>
        </w:rPr>
      </w:pPr>
      <w:r w:rsidRPr="00F85A58">
        <w:rPr>
          <w:rFonts w:cs="Arial"/>
          <w:lang w:val="fr-FR"/>
        </w:rPr>
        <w:t>6.</w:t>
      </w:r>
      <w:r w:rsidRPr="00F85A58">
        <w:rPr>
          <w:rFonts w:cs="Arial"/>
          <w:lang w:val="fr-FR"/>
        </w:rPr>
        <w:tab/>
        <w:t>Informations et bases de données</w:t>
      </w:r>
    </w:p>
    <w:p w:rsidR="00BA14DE" w:rsidRPr="00F85A58" w:rsidRDefault="00DD28FE" w:rsidP="00DD28FE">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F85A58">
        <w:rPr>
          <w:rFonts w:ascii="Arial" w:hAnsi="Arial" w:cs="Arial"/>
          <w:sz w:val="20"/>
          <w:szCs w:val="20"/>
          <w:lang w:val="fr-FR"/>
        </w:rPr>
        <w:t>Bases de données d</w:t>
      </w:r>
      <w:r w:rsidR="005752E4" w:rsidRPr="00F85A58">
        <w:rPr>
          <w:rFonts w:ascii="Arial" w:hAnsi="Arial" w:cs="Arial"/>
          <w:sz w:val="20"/>
          <w:szCs w:val="20"/>
          <w:lang w:val="fr-FR"/>
        </w:rPr>
        <w:t>’</w:t>
      </w:r>
      <w:r w:rsidRPr="00F85A58">
        <w:rPr>
          <w:rFonts w:ascii="Arial" w:hAnsi="Arial" w:cs="Arial"/>
          <w:sz w:val="20"/>
          <w:szCs w:val="20"/>
          <w:lang w:val="fr-FR"/>
        </w:rPr>
        <w:t>information de l</w:t>
      </w:r>
      <w:r w:rsidR="005752E4" w:rsidRPr="00F85A58">
        <w:rPr>
          <w:rFonts w:ascii="Arial" w:hAnsi="Arial" w:cs="Arial"/>
          <w:sz w:val="20"/>
          <w:szCs w:val="20"/>
          <w:lang w:val="fr-FR"/>
        </w:rPr>
        <w:t>’</w:t>
      </w:r>
      <w:r w:rsidRPr="00F85A58">
        <w:rPr>
          <w:rFonts w:ascii="Arial" w:hAnsi="Arial" w:cs="Arial"/>
          <w:sz w:val="20"/>
          <w:szCs w:val="20"/>
          <w:lang w:val="fr-FR"/>
        </w:rPr>
        <w:t>UPOV</w:t>
      </w:r>
    </w:p>
    <w:p w:rsidR="00BA14DE" w:rsidRPr="00F85A58" w:rsidRDefault="00DD28FE" w:rsidP="00DD28FE">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F85A58">
        <w:rPr>
          <w:rFonts w:ascii="Arial" w:hAnsi="Arial" w:cs="Arial"/>
          <w:sz w:val="20"/>
          <w:szCs w:val="20"/>
          <w:lang w:val="fr-FR"/>
        </w:rPr>
        <w:t>Bases de données des descriptions variétales</w:t>
      </w:r>
    </w:p>
    <w:p w:rsidR="00BA14DE" w:rsidRPr="00F85A58" w:rsidRDefault="00DD28FE" w:rsidP="00DD28FE">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F85A58">
        <w:rPr>
          <w:rFonts w:ascii="Arial" w:hAnsi="Arial" w:cs="Arial"/>
          <w:sz w:val="20"/>
          <w:szCs w:val="20"/>
          <w:lang w:val="fr-FR"/>
        </w:rPr>
        <w:t>Logiciels échangeables</w:t>
      </w:r>
    </w:p>
    <w:p w:rsidR="00BA14DE" w:rsidRPr="00F85A58" w:rsidRDefault="00DD28FE" w:rsidP="00DD28FE">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F85A58">
        <w:rPr>
          <w:rFonts w:ascii="Arial" w:hAnsi="Arial" w:cs="Arial"/>
          <w:sz w:val="20"/>
          <w:szCs w:val="20"/>
          <w:lang w:val="fr-FR"/>
        </w:rPr>
        <w:t>Systèmes de dépôt électronique des demandes</w:t>
      </w:r>
    </w:p>
    <w:p w:rsidR="00BA14DE" w:rsidRPr="00F85A58" w:rsidRDefault="007314B9"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F85A58">
        <w:rPr>
          <w:rFonts w:ascii="Arial" w:hAnsi="Arial" w:cs="Arial"/>
          <w:sz w:val="20"/>
          <w:szCs w:val="20"/>
          <w:lang w:val="fr-FR"/>
        </w:rPr>
        <w:t>Gestion de grandes bases de données</w:t>
      </w:r>
    </w:p>
    <w:p w:rsidR="00BA14DE" w:rsidRPr="00F85A58" w:rsidRDefault="00556FD5" w:rsidP="00556FD5">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F85A58">
        <w:rPr>
          <w:rFonts w:ascii="Arial" w:hAnsi="Arial" w:cs="Arial"/>
          <w:sz w:val="20"/>
          <w:szCs w:val="20"/>
          <w:lang w:val="fr-FR"/>
        </w:rPr>
        <w:t>Bio</w:t>
      </w:r>
      <w:r w:rsidR="00F85A58" w:rsidRPr="00F85A58">
        <w:rPr>
          <w:rFonts w:ascii="Arial" w:hAnsi="Arial" w:cs="Arial"/>
          <w:sz w:val="20"/>
          <w:szCs w:val="20"/>
          <w:lang w:val="fr-FR"/>
        </w:rPr>
        <w:noBreakHyphen/>
      </w:r>
      <w:r w:rsidRPr="00F85A58">
        <w:rPr>
          <w:rFonts w:ascii="Arial" w:hAnsi="Arial" w:cs="Arial"/>
          <w:sz w:val="20"/>
          <w:szCs w:val="20"/>
          <w:lang w:val="fr-FR"/>
        </w:rPr>
        <w:t>informati</w:t>
      </w:r>
      <w:r w:rsidR="007314B9" w:rsidRPr="00F85A58">
        <w:rPr>
          <w:rFonts w:ascii="Arial" w:hAnsi="Arial" w:cs="Arial"/>
          <w:sz w:val="20"/>
          <w:szCs w:val="20"/>
          <w:lang w:val="fr-FR"/>
        </w:rPr>
        <w:t>que</w:t>
      </w:r>
    </w:p>
    <w:p w:rsidR="00BA14DE" w:rsidRPr="00F85A58" w:rsidRDefault="00DD28FE" w:rsidP="00DD28FE">
      <w:pPr>
        <w:tabs>
          <w:tab w:val="left" w:pos="1134"/>
          <w:tab w:val="left" w:pos="1701"/>
        </w:tabs>
        <w:autoSpaceDE w:val="0"/>
        <w:autoSpaceDN w:val="0"/>
        <w:adjustRightInd w:val="0"/>
        <w:ind w:left="1134" w:hanging="567"/>
        <w:rPr>
          <w:rFonts w:cs="Arial"/>
          <w:lang w:val="fr-FR"/>
        </w:rPr>
      </w:pPr>
      <w:r w:rsidRPr="00F85A58">
        <w:rPr>
          <w:rFonts w:cs="Arial"/>
          <w:lang w:val="fr-FR"/>
        </w:rPr>
        <w:t>7.</w:t>
      </w:r>
      <w:r w:rsidRPr="00F85A58">
        <w:rPr>
          <w:rFonts w:cs="Arial"/>
          <w:lang w:val="fr-FR"/>
        </w:rPr>
        <w:tab/>
        <w:t>Dénominations variétales</w:t>
      </w:r>
    </w:p>
    <w:p w:rsidR="00BA14DE" w:rsidRPr="00F85A58" w:rsidRDefault="00DD28FE" w:rsidP="00DD28FE">
      <w:pPr>
        <w:tabs>
          <w:tab w:val="left" w:pos="1134"/>
          <w:tab w:val="left" w:pos="1701"/>
        </w:tabs>
        <w:autoSpaceDE w:val="0"/>
        <w:autoSpaceDN w:val="0"/>
        <w:adjustRightInd w:val="0"/>
        <w:ind w:left="1134" w:hanging="567"/>
        <w:rPr>
          <w:rFonts w:cs="Arial"/>
          <w:lang w:val="fr-FR"/>
        </w:rPr>
      </w:pPr>
      <w:r w:rsidRPr="00F85A58">
        <w:rPr>
          <w:rFonts w:cs="Arial"/>
          <w:lang w:val="fr-FR"/>
        </w:rPr>
        <w:t>8.</w:t>
      </w:r>
      <w:r w:rsidRPr="00F85A58">
        <w:rPr>
          <w:rFonts w:cs="Arial"/>
          <w:lang w:val="fr-FR"/>
        </w:rPr>
        <w:tab/>
        <w:t>Expériences de nouveaux types et espèces</w:t>
      </w:r>
    </w:p>
    <w:p w:rsidR="00BA14DE" w:rsidRPr="00F85A58" w:rsidRDefault="00DD28FE" w:rsidP="00DD28FE">
      <w:pPr>
        <w:tabs>
          <w:tab w:val="left" w:pos="1134"/>
          <w:tab w:val="left" w:pos="1701"/>
        </w:tabs>
        <w:autoSpaceDE w:val="0"/>
        <w:autoSpaceDN w:val="0"/>
        <w:adjustRightInd w:val="0"/>
        <w:ind w:left="1134" w:hanging="567"/>
        <w:rPr>
          <w:rFonts w:cs="Arial"/>
          <w:lang w:val="fr-FR"/>
        </w:rPr>
      </w:pPr>
      <w:r w:rsidRPr="00F85A58">
        <w:rPr>
          <w:rFonts w:cs="Arial"/>
          <w:lang w:val="fr-FR"/>
        </w:rPr>
        <w:t>9.</w:t>
      </w:r>
      <w:r w:rsidRPr="00F85A58">
        <w:rPr>
          <w:rFonts w:cs="Arial"/>
          <w:lang w:val="fr-FR"/>
        </w:rPr>
        <w:tab/>
        <w:t>Détermination de l</w:t>
      </w:r>
      <w:r w:rsidR="005752E4" w:rsidRPr="00F85A58">
        <w:rPr>
          <w:rFonts w:cs="Arial"/>
          <w:lang w:val="fr-FR"/>
        </w:rPr>
        <w:t>’</w:t>
      </w:r>
      <w:r w:rsidRPr="00F85A58">
        <w:rPr>
          <w:rFonts w:cs="Arial"/>
          <w:lang w:val="fr-FR"/>
        </w:rPr>
        <w:t>homogénéité au moyen des plantes hors</w:t>
      </w:r>
      <w:r w:rsidR="00F85A58" w:rsidRPr="00F85A58">
        <w:rPr>
          <w:rFonts w:cs="Arial"/>
          <w:lang w:val="fr-FR"/>
        </w:rPr>
        <w:noBreakHyphen/>
      </w:r>
      <w:r w:rsidRPr="00F85A58">
        <w:rPr>
          <w:rFonts w:cs="Arial"/>
          <w:lang w:val="fr-FR"/>
        </w:rPr>
        <w:t>type</w:t>
      </w:r>
    </w:p>
    <w:p w:rsidR="00BA14DE" w:rsidRPr="00F85A58" w:rsidRDefault="00DD28FE" w:rsidP="00DD28FE">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fr-FR"/>
        </w:rPr>
      </w:pPr>
      <w:r w:rsidRPr="00F85A58">
        <w:rPr>
          <w:rFonts w:ascii="Arial" w:hAnsi="Arial" w:cs="Arial"/>
          <w:sz w:val="20"/>
          <w:szCs w:val="20"/>
          <w:lang w:val="fr-FR"/>
        </w:rPr>
        <w:t>Détermination de l</w:t>
      </w:r>
      <w:r w:rsidR="005752E4" w:rsidRPr="00F85A58">
        <w:rPr>
          <w:rFonts w:ascii="Arial" w:hAnsi="Arial" w:cs="Arial"/>
          <w:sz w:val="20"/>
          <w:szCs w:val="20"/>
          <w:lang w:val="fr-FR"/>
        </w:rPr>
        <w:t>’</w:t>
      </w:r>
      <w:r w:rsidRPr="00F85A58">
        <w:rPr>
          <w:rFonts w:ascii="Arial" w:hAnsi="Arial" w:cs="Arial"/>
          <w:sz w:val="20"/>
          <w:szCs w:val="20"/>
          <w:lang w:val="fr-FR"/>
        </w:rPr>
        <w:t>homogénéité au moyen des plantes hors</w:t>
      </w:r>
      <w:r w:rsidR="00F85A58" w:rsidRPr="00F85A58">
        <w:rPr>
          <w:rFonts w:ascii="Arial" w:hAnsi="Arial" w:cs="Arial"/>
          <w:sz w:val="20"/>
          <w:szCs w:val="20"/>
          <w:lang w:val="fr-FR"/>
        </w:rPr>
        <w:noBreakHyphen/>
      </w:r>
      <w:r w:rsidRPr="00F85A58">
        <w:rPr>
          <w:rFonts w:ascii="Arial" w:hAnsi="Arial" w:cs="Arial"/>
          <w:sz w:val="20"/>
          <w:szCs w:val="20"/>
          <w:lang w:val="fr-FR"/>
        </w:rPr>
        <w:t>type</w:t>
      </w:r>
    </w:p>
    <w:p w:rsidR="00BA14DE" w:rsidRPr="00F85A58" w:rsidRDefault="004B2055" w:rsidP="00556FD5">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fr-FR"/>
        </w:rPr>
      </w:pPr>
      <w:r w:rsidRPr="00F85A58">
        <w:rPr>
          <w:rFonts w:ascii="Arial" w:hAnsi="Arial" w:cs="Arial"/>
          <w:sz w:val="20"/>
          <w:szCs w:val="20"/>
          <w:lang w:val="fr-FR"/>
        </w:rPr>
        <w:t>Données d</w:t>
      </w:r>
      <w:r w:rsidR="005752E4" w:rsidRPr="00F85A58">
        <w:rPr>
          <w:rFonts w:ascii="Arial" w:hAnsi="Arial" w:cs="Arial"/>
          <w:sz w:val="20"/>
          <w:szCs w:val="20"/>
          <w:lang w:val="fr-FR"/>
        </w:rPr>
        <w:t>’</w:t>
      </w:r>
      <w:r w:rsidRPr="00F85A58">
        <w:rPr>
          <w:rFonts w:ascii="Arial" w:hAnsi="Arial" w:cs="Arial"/>
          <w:sz w:val="20"/>
          <w:szCs w:val="20"/>
          <w:lang w:val="fr-FR"/>
        </w:rPr>
        <w:t>expérience concrètes de l</w:t>
      </w:r>
      <w:r w:rsidR="005752E4" w:rsidRPr="00F85A58">
        <w:rPr>
          <w:rFonts w:ascii="Arial" w:hAnsi="Arial" w:cs="Arial"/>
          <w:sz w:val="20"/>
          <w:szCs w:val="20"/>
          <w:lang w:val="fr-FR"/>
        </w:rPr>
        <w:t>’</w:t>
      </w:r>
      <w:r w:rsidRPr="00F85A58">
        <w:rPr>
          <w:rFonts w:ascii="Arial" w:hAnsi="Arial" w:cs="Arial"/>
          <w:sz w:val="20"/>
          <w:szCs w:val="20"/>
          <w:lang w:val="fr-FR"/>
        </w:rPr>
        <w:t>évaluation de l</w:t>
      </w:r>
      <w:r w:rsidR="005752E4" w:rsidRPr="00F85A58">
        <w:rPr>
          <w:rFonts w:ascii="Arial" w:hAnsi="Arial" w:cs="Arial"/>
          <w:sz w:val="20"/>
          <w:szCs w:val="20"/>
          <w:lang w:val="fr-FR"/>
        </w:rPr>
        <w:t>’</w:t>
      </w:r>
      <w:r w:rsidR="001826AD">
        <w:rPr>
          <w:rFonts w:ascii="Arial" w:hAnsi="Arial" w:cs="Arial"/>
          <w:sz w:val="20"/>
          <w:szCs w:val="20"/>
          <w:lang w:val="fr-FR"/>
        </w:rPr>
        <w:t>homogénéité</w:t>
      </w:r>
      <w:r w:rsidRPr="00F85A58">
        <w:rPr>
          <w:rFonts w:ascii="Arial" w:hAnsi="Arial" w:cs="Arial"/>
          <w:sz w:val="20"/>
          <w:szCs w:val="20"/>
          <w:lang w:val="fr-FR"/>
        </w:rPr>
        <w:t xml:space="preserve"> au moyen de plantes hors</w:t>
      </w:r>
      <w:r w:rsidR="00F85A58" w:rsidRPr="00F85A58">
        <w:rPr>
          <w:rFonts w:ascii="Arial" w:hAnsi="Arial" w:cs="Arial"/>
          <w:sz w:val="20"/>
          <w:szCs w:val="20"/>
          <w:lang w:val="fr-FR"/>
        </w:rPr>
        <w:noBreakHyphen/>
      </w:r>
      <w:r w:rsidRPr="00F85A58">
        <w:rPr>
          <w:rFonts w:ascii="Arial" w:hAnsi="Arial" w:cs="Arial"/>
          <w:sz w:val="20"/>
          <w:szCs w:val="20"/>
          <w:lang w:val="fr-FR"/>
        </w:rPr>
        <w:t>type de colza, blé, maïs et tournesol</w:t>
      </w:r>
    </w:p>
    <w:p w:rsidR="00BA14DE" w:rsidRPr="00F85A58" w:rsidRDefault="001437A1" w:rsidP="00556FD5">
      <w:pPr>
        <w:tabs>
          <w:tab w:val="left" w:pos="1134"/>
          <w:tab w:val="left" w:pos="1701"/>
        </w:tabs>
        <w:autoSpaceDE w:val="0"/>
        <w:autoSpaceDN w:val="0"/>
        <w:adjustRightInd w:val="0"/>
        <w:ind w:left="1134" w:hanging="567"/>
        <w:rPr>
          <w:rFonts w:cs="Arial"/>
          <w:lang w:val="fr-FR"/>
        </w:rPr>
      </w:pPr>
      <w:r w:rsidRPr="00F85A58">
        <w:rPr>
          <w:rFonts w:cs="Arial"/>
          <w:lang w:val="fr-FR"/>
        </w:rPr>
        <w:t>10.</w:t>
      </w:r>
      <w:r w:rsidR="00556FD5" w:rsidRPr="00F85A58">
        <w:rPr>
          <w:rFonts w:cs="Arial"/>
          <w:lang w:val="fr-FR"/>
        </w:rPr>
        <w:tab/>
      </w:r>
      <w:r w:rsidR="004B2055" w:rsidRPr="00F85A58">
        <w:rPr>
          <w:rFonts w:cs="Arial"/>
          <w:lang w:val="fr-FR"/>
        </w:rPr>
        <w:t>Méthodes statistiques</w:t>
      </w:r>
    </w:p>
    <w:p w:rsidR="00BA14DE" w:rsidRPr="00F85A58" w:rsidRDefault="00DD28FE" w:rsidP="00DD28FE">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Méthode de calcul de</w:t>
      </w:r>
      <w:r w:rsidR="005752E4" w:rsidRPr="00F85A58">
        <w:rPr>
          <w:rFonts w:ascii="Arial" w:hAnsi="Arial" w:cs="Arial"/>
          <w:sz w:val="20"/>
          <w:szCs w:val="20"/>
          <w:lang w:val="fr-FR"/>
        </w:rPr>
        <w:t xml:space="preserve"> la COY</w:t>
      </w:r>
      <w:r w:rsidRPr="00F85A58">
        <w:rPr>
          <w:rFonts w:ascii="Arial" w:hAnsi="Arial" w:cs="Arial"/>
          <w:sz w:val="20"/>
          <w:szCs w:val="20"/>
          <w:lang w:val="fr-FR"/>
        </w:rPr>
        <w:t>U</w:t>
      </w:r>
    </w:p>
    <w:p w:rsidR="00BA14DE" w:rsidRPr="00F85A58" w:rsidRDefault="004B2055" w:rsidP="00556FD5">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 xml:space="preserve">Méthodes statistiques utilisées dans le cadre du progiciel </w:t>
      </w:r>
      <w:r w:rsidR="009C28C1" w:rsidRPr="00F85A58">
        <w:rPr>
          <w:rFonts w:ascii="Arial" w:hAnsi="Arial" w:cs="Arial"/>
          <w:sz w:val="20"/>
          <w:szCs w:val="20"/>
          <w:lang w:val="fr-FR"/>
        </w:rPr>
        <w:t>DUSTC</w:t>
      </w:r>
    </w:p>
    <w:p w:rsidR="00BA14DE" w:rsidRPr="00F85A58" w:rsidRDefault="00556FD5" w:rsidP="0073161A">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Exclu</w:t>
      </w:r>
      <w:r w:rsidR="0073161A" w:rsidRPr="00F85A58">
        <w:rPr>
          <w:rFonts w:ascii="Arial" w:hAnsi="Arial" w:cs="Arial"/>
          <w:sz w:val="20"/>
          <w:szCs w:val="20"/>
          <w:lang w:val="fr-FR"/>
        </w:rPr>
        <w:t>sion des variétés notoirement connues du deuxième cycle de végétation</w:t>
      </w:r>
    </w:p>
    <w:p w:rsidR="00BA14DE" w:rsidRPr="00F85A58" w:rsidRDefault="00556FD5" w:rsidP="00556FD5">
      <w:pPr>
        <w:tabs>
          <w:tab w:val="left" w:pos="1134"/>
          <w:tab w:val="left" w:pos="1701"/>
        </w:tabs>
        <w:autoSpaceDE w:val="0"/>
        <w:autoSpaceDN w:val="0"/>
        <w:adjustRightInd w:val="0"/>
        <w:ind w:left="1134" w:hanging="567"/>
        <w:rPr>
          <w:rFonts w:cs="Arial"/>
          <w:lang w:val="fr-FR"/>
        </w:rPr>
      </w:pPr>
      <w:r w:rsidRPr="00F85A58">
        <w:rPr>
          <w:rFonts w:cs="Arial"/>
          <w:lang w:val="fr-FR"/>
        </w:rPr>
        <w:t>11.</w:t>
      </w:r>
      <w:r w:rsidRPr="00F85A58">
        <w:rPr>
          <w:rFonts w:cs="Arial"/>
          <w:lang w:val="fr-FR"/>
        </w:rPr>
        <w:tab/>
      </w:r>
      <w:r w:rsidR="0073161A" w:rsidRPr="00F85A58">
        <w:rPr>
          <w:rFonts w:cs="Arial"/>
          <w:lang w:val="fr-FR"/>
        </w:rPr>
        <w:t>Logiciels pour l</w:t>
      </w:r>
      <w:r w:rsidR="005752E4" w:rsidRPr="00F85A58">
        <w:rPr>
          <w:rFonts w:cs="Arial"/>
          <w:lang w:val="fr-FR"/>
        </w:rPr>
        <w:t>’</w:t>
      </w:r>
      <w:r w:rsidR="0073161A" w:rsidRPr="00F85A58">
        <w:rPr>
          <w:rFonts w:cs="Arial"/>
          <w:lang w:val="fr-FR"/>
        </w:rPr>
        <w:t>examen</w:t>
      </w:r>
      <w:r w:rsidR="00342006" w:rsidRPr="00F85A58">
        <w:rPr>
          <w:rFonts w:cs="Arial"/>
          <w:lang w:val="fr-FR"/>
        </w:rPr>
        <w:t> </w:t>
      </w:r>
      <w:r w:rsidR="0073161A" w:rsidRPr="00F85A58">
        <w:rPr>
          <w:rFonts w:cs="Arial"/>
          <w:lang w:val="fr-FR"/>
        </w:rPr>
        <w:t>DHS</w:t>
      </w:r>
    </w:p>
    <w:p w:rsidR="00BA14DE" w:rsidRPr="00F85A58" w:rsidRDefault="0073161A"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Logiciel pour les échelles ordinales</w:t>
      </w:r>
      <w:r w:rsidR="001826AD">
        <w:rPr>
          <w:rFonts w:ascii="Arial" w:hAnsi="Arial" w:cs="Arial"/>
          <w:sz w:val="20"/>
          <w:szCs w:val="20"/>
          <w:lang w:val="fr-FR"/>
        </w:rPr>
        <w:t xml:space="preserve">, </w:t>
      </w:r>
      <w:r w:rsidRPr="00F85A58">
        <w:rPr>
          <w:rFonts w:ascii="Arial" w:hAnsi="Arial" w:cs="Arial"/>
          <w:sz w:val="20"/>
          <w:szCs w:val="20"/>
          <w:lang w:val="fr-FR"/>
        </w:rPr>
        <w:t>nominales et binomiales</w:t>
      </w:r>
    </w:p>
    <w:p w:rsidR="00BA14DE" w:rsidRPr="00F85A58" w:rsidRDefault="00965C44"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Logiciel aux fins de définition des collections de référence</w:t>
      </w:r>
    </w:p>
    <w:p w:rsidR="00BA14DE" w:rsidRPr="00F85A58" w:rsidRDefault="00965C44"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 xml:space="preserve">Matrice de pondération destinée au logiciel </w:t>
      </w:r>
      <w:r w:rsidR="009C28C1" w:rsidRPr="00F85A58">
        <w:rPr>
          <w:rFonts w:ascii="Arial" w:hAnsi="Arial" w:cs="Arial"/>
          <w:sz w:val="20"/>
          <w:szCs w:val="20"/>
          <w:lang w:val="fr-FR"/>
        </w:rPr>
        <w:t xml:space="preserve">GAIA </w:t>
      </w:r>
      <w:r w:rsidRPr="00F85A58">
        <w:rPr>
          <w:rFonts w:ascii="Arial" w:hAnsi="Arial" w:cs="Arial"/>
          <w:sz w:val="20"/>
          <w:szCs w:val="20"/>
          <w:lang w:val="fr-FR"/>
        </w:rPr>
        <w:t>pour le soja</w:t>
      </w:r>
    </w:p>
    <w:p w:rsidR="00BA14DE" w:rsidRPr="00F85A58" w:rsidRDefault="00556FD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Int</w:t>
      </w:r>
      <w:r w:rsidR="00CC11AB" w:rsidRPr="00F85A58">
        <w:rPr>
          <w:rFonts w:ascii="Arial" w:hAnsi="Arial" w:cs="Arial"/>
          <w:sz w:val="20"/>
          <w:szCs w:val="20"/>
          <w:lang w:val="fr-FR"/>
        </w:rPr>
        <w:t>é</w:t>
      </w:r>
      <w:r w:rsidRPr="00F85A58">
        <w:rPr>
          <w:rFonts w:ascii="Arial" w:hAnsi="Arial" w:cs="Arial"/>
          <w:sz w:val="20"/>
          <w:szCs w:val="20"/>
          <w:lang w:val="fr-FR"/>
        </w:rPr>
        <w:t xml:space="preserve">gration </w:t>
      </w:r>
      <w:r w:rsidR="004C2CF9" w:rsidRPr="00F85A58">
        <w:rPr>
          <w:rFonts w:ascii="Arial" w:hAnsi="Arial" w:cs="Arial"/>
          <w:sz w:val="20"/>
          <w:szCs w:val="20"/>
          <w:lang w:val="fr-FR"/>
        </w:rPr>
        <w:t xml:space="preserve">des processus </w:t>
      </w:r>
      <w:r w:rsidRPr="00F85A58">
        <w:rPr>
          <w:rFonts w:ascii="Arial" w:hAnsi="Arial" w:cs="Arial"/>
          <w:sz w:val="20"/>
          <w:szCs w:val="20"/>
          <w:lang w:val="fr-FR"/>
        </w:rPr>
        <w:t xml:space="preserve">GAIA, COYU </w:t>
      </w:r>
      <w:r w:rsidR="004C2CF9" w:rsidRPr="00F85A58">
        <w:rPr>
          <w:rFonts w:ascii="Arial" w:hAnsi="Arial" w:cs="Arial"/>
          <w:sz w:val="20"/>
          <w:szCs w:val="20"/>
          <w:lang w:val="fr-FR"/>
        </w:rPr>
        <w:t>et</w:t>
      </w:r>
      <w:r w:rsidRPr="00F85A58">
        <w:rPr>
          <w:rFonts w:ascii="Arial" w:hAnsi="Arial" w:cs="Arial"/>
          <w:sz w:val="20"/>
          <w:szCs w:val="20"/>
          <w:lang w:val="fr-FR"/>
        </w:rPr>
        <w:t xml:space="preserve"> COYD </w:t>
      </w:r>
      <w:r w:rsidR="004C2CF9" w:rsidRPr="00F85A58">
        <w:rPr>
          <w:rFonts w:ascii="Arial" w:hAnsi="Arial" w:cs="Arial"/>
          <w:sz w:val="20"/>
          <w:szCs w:val="20"/>
          <w:lang w:val="fr-FR"/>
        </w:rPr>
        <w:t xml:space="preserve">en utilisant </w:t>
      </w:r>
      <w:r w:rsidR="001826AD">
        <w:rPr>
          <w:rFonts w:ascii="Arial" w:hAnsi="Arial" w:cs="Arial"/>
          <w:sz w:val="20"/>
          <w:szCs w:val="20"/>
          <w:lang w:val="fr-FR"/>
        </w:rPr>
        <w:t>la</w:t>
      </w:r>
      <w:r w:rsidR="004C2CF9" w:rsidRPr="00F85A58">
        <w:rPr>
          <w:rFonts w:ascii="Arial" w:hAnsi="Arial" w:cs="Arial"/>
          <w:sz w:val="20"/>
          <w:szCs w:val="20"/>
          <w:lang w:val="fr-FR"/>
        </w:rPr>
        <w:t xml:space="preserve"> même interface</w:t>
      </w:r>
    </w:p>
    <w:p w:rsidR="00BA14DE" w:rsidRPr="00F85A58" w:rsidRDefault="00F25A25" w:rsidP="00556FD5">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T</w:t>
      </w:r>
      <w:r w:rsidR="004C2CF9" w:rsidRPr="00F85A58">
        <w:rPr>
          <w:rFonts w:ascii="Arial" w:hAnsi="Arial" w:cs="Arial"/>
          <w:sz w:val="20"/>
          <w:szCs w:val="20"/>
          <w:lang w:val="fr-FR"/>
        </w:rPr>
        <w:t>est d</w:t>
      </w:r>
      <w:r w:rsidR="005752E4" w:rsidRPr="00F85A58">
        <w:rPr>
          <w:rFonts w:ascii="Arial" w:hAnsi="Arial" w:cs="Arial"/>
          <w:sz w:val="20"/>
          <w:szCs w:val="20"/>
          <w:lang w:val="fr-FR"/>
        </w:rPr>
        <w:t>’</w:t>
      </w:r>
      <w:r w:rsidR="004C2CF9" w:rsidRPr="00F85A58">
        <w:rPr>
          <w:rFonts w:ascii="Arial" w:hAnsi="Arial" w:cs="Arial"/>
          <w:sz w:val="20"/>
          <w:szCs w:val="20"/>
          <w:lang w:val="fr-FR"/>
        </w:rPr>
        <w:t>étalonnage comparant trois</w:t>
      </w:r>
      <w:r w:rsidR="00342006" w:rsidRPr="00F85A58">
        <w:rPr>
          <w:rFonts w:ascii="Arial" w:hAnsi="Arial" w:cs="Arial"/>
          <w:sz w:val="20"/>
          <w:szCs w:val="20"/>
          <w:lang w:val="fr-FR"/>
        </w:rPr>
        <w:t> </w:t>
      </w:r>
      <w:r w:rsidR="00DE79B7" w:rsidRPr="00F85A58">
        <w:rPr>
          <w:rFonts w:ascii="Arial" w:hAnsi="Arial" w:cs="Arial"/>
          <w:sz w:val="20"/>
          <w:szCs w:val="20"/>
          <w:lang w:val="fr-FR"/>
        </w:rPr>
        <w:t>progiciels différents destinés à l</w:t>
      </w:r>
      <w:r w:rsidR="005752E4" w:rsidRPr="00F85A58">
        <w:rPr>
          <w:rFonts w:ascii="Arial" w:hAnsi="Arial" w:cs="Arial"/>
          <w:sz w:val="20"/>
          <w:szCs w:val="20"/>
          <w:lang w:val="fr-FR"/>
        </w:rPr>
        <w:t>’</w:t>
      </w:r>
      <w:r w:rsidR="00DE79B7" w:rsidRPr="00F85A58">
        <w:rPr>
          <w:rFonts w:ascii="Arial" w:hAnsi="Arial" w:cs="Arial"/>
          <w:sz w:val="20"/>
          <w:szCs w:val="20"/>
          <w:lang w:val="fr-FR"/>
        </w:rPr>
        <w:t xml:space="preserve">analyse </w:t>
      </w:r>
      <w:r w:rsidR="009C28C1" w:rsidRPr="00F85A58">
        <w:rPr>
          <w:rFonts w:ascii="Arial" w:hAnsi="Arial" w:cs="Arial"/>
          <w:sz w:val="20"/>
          <w:szCs w:val="20"/>
          <w:lang w:val="fr-FR"/>
        </w:rPr>
        <w:t>COYD</w:t>
      </w:r>
    </w:p>
    <w:p w:rsidR="00BA14DE" w:rsidRPr="00F85A58" w:rsidRDefault="00556FD5" w:rsidP="00556FD5">
      <w:pPr>
        <w:tabs>
          <w:tab w:val="left" w:pos="1134"/>
          <w:tab w:val="left" w:pos="1701"/>
        </w:tabs>
        <w:autoSpaceDE w:val="0"/>
        <w:autoSpaceDN w:val="0"/>
        <w:adjustRightInd w:val="0"/>
        <w:ind w:left="1134" w:hanging="567"/>
        <w:rPr>
          <w:rFonts w:cs="Arial"/>
          <w:lang w:val="fr-FR"/>
        </w:rPr>
      </w:pPr>
      <w:r w:rsidRPr="00F85A58">
        <w:rPr>
          <w:rFonts w:cs="Arial"/>
          <w:lang w:val="fr-FR"/>
        </w:rPr>
        <w:t>12.</w:t>
      </w:r>
      <w:r w:rsidRPr="00F85A58">
        <w:rPr>
          <w:rFonts w:cs="Arial"/>
          <w:lang w:val="fr-FR"/>
        </w:rPr>
        <w:tab/>
      </w:r>
      <w:r w:rsidR="00CE70A0" w:rsidRPr="00F85A58">
        <w:rPr>
          <w:rFonts w:cs="Arial"/>
          <w:lang w:val="fr-FR"/>
        </w:rPr>
        <w:t>Analyse d</w:t>
      </w:r>
      <w:r w:rsidR="005752E4" w:rsidRPr="00F85A58">
        <w:rPr>
          <w:rFonts w:cs="Arial"/>
          <w:lang w:val="fr-FR"/>
        </w:rPr>
        <w:t>’</w:t>
      </w:r>
      <w:r w:rsidR="00CE70A0" w:rsidRPr="00F85A58">
        <w:rPr>
          <w:rFonts w:cs="Arial"/>
          <w:lang w:val="fr-FR"/>
        </w:rPr>
        <w:t>image</w:t>
      </w:r>
    </w:p>
    <w:p w:rsidR="00BA14DE" w:rsidRPr="00F85A58" w:rsidRDefault="00556FD5" w:rsidP="00556FD5">
      <w:pPr>
        <w:pStyle w:val="ListParagraph"/>
        <w:numPr>
          <w:ilvl w:val="0"/>
          <w:numId w:val="4"/>
        </w:numPr>
        <w:tabs>
          <w:tab w:val="left" w:pos="1560"/>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D</w:t>
      </w:r>
      <w:r w:rsidR="00156F8A" w:rsidRPr="00F85A58">
        <w:rPr>
          <w:rFonts w:ascii="Arial" w:hAnsi="Arial" w:cs="Arial"/>
          <w:sz w:val="20"/>
          <w:szCs w:val="20"/>
          <w:lang w:val="fr-FR"/>
        </w:rPr>
        <w:t>é</w:t>
      </w:r>
      <w:r w:rsidRPr="00F85A58">
        <w:rPr>
          <w:rFonts w:ascii="Arial" w:hAnsi="Arial" w:cs="Arial"/>
          <w:sz w:val="20"/>
          <w:szCs w:val="20"/>
          <w:lang w:val="fr-FR"/>
        </w:rPr>
        <w:t xml:space="preserve">monstration </w:t>
      </w:r>
      <w:r w:rsidR="00156F8A" w:rsidRPr="00F85A58">
        <w:rPr>
          <w:rFonts w:ascii="Arial" w:hAnsi="Arial" w:cs="Arial"/>
          <w:sz w:val="20"/>
          <w:szCs w:val="20"/>
          <w:lang w:val="fr-FR"/>
        </w:rPr>
        <w:t>du logiciel chinois d</w:t>
      </w:r>
      <w:r w:rsidR="005752E4" w:rsidRPr="00F85A58">
        <w:rPr>
          <w:rFonts w:ascii="Arial" w:hAnsi="Arial" w:cs="Arial"/>
          <w:sz w:val="20"/>
          <w:szCs w:val="20"/>
          <w:lang w:val="fr-FR"/>
        </w:rPr>
        <w:t>’</w:t>
      </w:r>
      <w:r w:rsidR="00156F8A" w:rsidRPr="00F85A58">
        <w:rPr>
          <w:rFonts w:ascii="Arial" w:hAnsi="Arial" w:cs="Arial"/>
          <w:sz w:val="20"/>
          <w:szCs w:val="20"/>
          <w:lang w:val="fr-FR"/>
        </w:rPr>
        <w:t>analyse d</w:t>
      </w:r>
      <w:r w:rsidR="005752E4" w:rsidRPr="00F85A58">
        <w:rPr>
          <w:rFonts w:ascii="Arial" w:hAnsi="Arial" w:cs="Arial"/>
          <w:sz w:val="20"/>
          <w:szCs w:val="20"/>
          <w:lang w:val="fr-FR"/>
        </w:rPr>
        <w:t>’</w:t>
      </w:r>
      <w:r w:rsidR="00156F8A" w:rsidRPr="00F85A58">
        <w:rPr>
          <w:rFonts w:ascii="Arial" w:hAnsi="Arial" w:cs="Arial"/>
          <w:sz w:val="20"/>
          <w:szCs w:val="20"/>
          <w:lang w:val="fr-FR"/>
        </w:rPr>
        <w:t>image</w:t>
      </w:r>
    </w:p>
    <w:p w:rsidR="00BA14DE" w:rsidRPr="00F85A58" w:rsidRDefault="00156F8A" w:rsidP="00556FD5">
      <w:pPr>
        <w:pStyle w:val="ListParagraph"/>
        <w:numPr>
          <w:ilvl w:val="0"/>
          <w:numId w:val="4"/>
        </w:numPr>
        <w:tabs>
          <w:tab w:val="left" w:pos="1560"/>
          <w:tab w:val="left" w:pos="1701"/>
        </w:tabs>
        <w:autoSpaceDE w:val="0"/>
        <w:autoSpaceDN w:val="0"/>
        <w:adjustRightInd w:val="0"/>
        <w:spacing w:after="0" w:line="240" w:lineRule="auto"/>
        <w:ind w:left="1701" w:hanging="567"/>
        <w:rPr>
          <w:rFonts w:ascii="Arial" w:hAnsi="Arial" w:cs="Arial"/>
          <w:sz w:val="20"/>
          <w:szCs w:val="20"/>
          <w:lang w:val="fr-FR"/>
        </w:rPr>
      </w:pPr>
      <w:r w:rsidRPr="00F85A58">
        <w:rPr>
          <w:rFonts w:ascii="Arial" w:hAnsi="Arial" w:cs="Arial"/>
          <w:sz w:val="20"/>
          <w:szCs w:val="20"/>
          <w:lang w:val="fr-FR"/>
        </w:rPr>
        <w:t xml:space="preserve">Recherche des variétés de référence dans une base de </w:t>
      </w:r>
      <w:r w:rsidR="001826AD">
        <w:rPr>
          <w:rFonts w:ascii="Arial" w:hAnsi="Arial" w:cs="Arial"/>
          <w:sz w:val="20"/>
          <w:szCs w:val="20"/>
          <w:lang w:val="fr-FR"/>
        </w:rPr>
        <w:t>données</w:t>
      </w:r>
      <w:r w:rsidRPr="00F85A58">
        <w:rPr>
          <w:rFonts w:ascii="Arial" w:hAnsi="Arial" w:cs="Arial"/>
          <w:sz w:val="20"/>
          <w:szCs w:val="20"/>
          <w:lang w:val="fr-FR"/>
        </w:rPr>
        <w:t xml:space="preserve"> photographique</w:t>
      </w:r>
    </w:p>
    <w:p w:rsidR="00BA14DE" w:rsidRPr="00F85A58" w:rsidRDefault="00556FD5" w:rsidP="00556FD5">
      <w:pPr>
        <w:tabs>
          <w:tab w:val="left" w:pos="1134"/>
          <w:tab w:val="left" w:pos="1701"/>
        </w:tabs>
        <w:autoSpaceDE w:val="0"/>
        <w:autoSpaceDN w:val="0"/>
        <w:adjustRightInd w:val="0"/>
        <w:ind w:left="1134" w:hanging="567"/>
        <w:rPr>
          <w:rFonts w:cs="Arial"/>
          <w:lang w:val="fr-FR"/>
        </w:rPr>
      </w:pPr>
      <w:r w:rsidRPr="00F85A58">
        <w:rPr>
          <w:rFonts w:cs="Arial"/>
          <w:lang w:val="fr-FR"/>
        </w:rPr>
        <w:t>13.</w:t>
      </w:r>
      <w:r w:rsidRPr="00F85A58">
        <w:rPr>
          <w:rFonts w:cs="Arial"/>
          <w:lang w:val="fr-FR"/>
        </w:rPr>
        <w:tab/>
        <w:t>Minimi</w:t>
      </w:r>
      <w:r w:rsidR="00156F8A" w:rsidRPr="00F85A58">
        <w:rPr>
          <w:rFonts w:cs="Arial"/>
          <w:lang w:val="fr-FR"/>
        </w:rPr>
        <w:t>ser la variation entre observateurs</w:t>
      </w:r>
    </w:p>
    <w:p w:rsidR="00BA14DE" w:rsidRPr="00F85A58" w:rsidRDefault="00556FD5" w:rsidP="00556FD5">
      <w:pPr>
        <w:tabs>
          <w:tab w:val="left" w:pos="1134"/>
          <w:tab w:val="left" w:pos="1701"/>
        </w:tabs>
        <w:autoSpaceDE w:val="0"/>
        <w:autoSpaceDN w:val="0"/>
        <w:adjustRightInd w:val="0"/>
        <w:ind w:left="1134" w:hanging="567"/>
        <w:rPr>
          <w:rFonts w:cs="Arial"/>
          <w:lang w:val="fr-FR"/>
        </w:rPr>
      </w:pPr>
      <w:r w:rsidRPr="00F85A58">
        <w:rPr>
          <w:rFonts w:cs="Arial"/>
          <w:lang w:val="fr-FR"/>
        </w:rPr>
        <w:t>14.</w:t>
      </w:r>
      <w:r w:rsidRPr="00F85A58">
        <w:rPr>
          <w:rFonts w:cs="Arial"/>
          <w:lang w:val="fr-FR"/>
        </w:rPr>
        <w:tab/>
      </w:r>
      <w:r w:rsidR="00824A93" w:rsidRPr="00F85A58">
        <w:rPr>
          <w:rFonts w:cs="Arial"/>
          <w:lang w:val="fr-FR"/>
        </w:rPr>
        <w:t>Interaction gé</w:t>
      </w:r>
      <w:r w:rsidRPr="00F85A58">
        <w:rPr>
          <w:rFonts w:cs="Arial"/>
          <w:lang w:val="fr-FR"/>
        </w:rPr>
        <w:t>notype</w:t>
      </w:r>
      <w:r w:rsidR="001826AD">
        <w:rPr>
          <w:rFonts w:cs="Arial"/>
          <w:lang w:val="fr-FR"/>
        </w:rPr>
        <w:t>/</w:t>
      </w:r>
      <w:r w:rsidRPr="00F85A58">
        <w:rPr>
          <w:rFonts w:cs="Arial"/>
          <w:lang w:val="fr-FR"/>
        </w:rPr>
        <w:t>environ</w:t>
      </w:r>
      <w:r w:rsidR="00824A93" w:rsidRPr="00F85A58">
        <w:rPr>
          <w:rFonts w:cs="Arial"/>
          <w:lang w:val="fr-FR"/>
        </w:rPr>
        <w:t>ne</w:t>
      </w:r>
      <w:r w:rsidRPr="00F85A58">
        <w:rPr>
          <w:rFonts w:cs="Arial"/>
          <w:lang w:val="fr-FR"/>
        </w:rPr>
        <w:t xml:space="preserve">ment, </w:t>
      </w:r>
      <w:r w:rsidR="00824A93" w:rsidRPr="00F85A58">
        <w:rPr>
          <w:rFonts w:cs="Arial"/>
          <w:lang w:val="fr-FR"/>
        </w:rPr>
        <w:t>examen</w:t>
      </w:r>
      <w:r w:rsidR="00342006" w:rsidRPr="00F85A58">
        <w:rPr>
          <w:rFonts w:cs="Arial"/>
          <w:lang w:val="fr-FR"/>
        </w:rPr>
        <w:t> </w:t>
      </w:r>
      <w:r w:rsidR="00824A93" w:rsidRPr="00F85A58">
        <w:rPr>
          <w:rFonts w:cs="Arial"/>
          <w:lang w:val="fr-FR"/>
        </w:rPr>
        <w:t>DHS et conversion des données en notes</w:t>
      </w:r>
    </w:p>
    <w:p w:rsidR="00BA14DE" w:rsidRPr="00F85A58" w:rsidRDefault="001437A1" w:rsidP="001437A1">
      <w:pPr>
        <w:tabs>
          <w:tab w:val="left" w:pos="1134"/>
          <w:tab w:val="left" w:pos="1701"/>
        </w:tabs>
        <w:autoSpaceDE w:val="0"/>
        <w:autoSpaceDN w:val="0"/>
        <w:adjustRightInd w:val="0"/>
        <w:ind w:left="1134" w:hanging="567"/>
        <w:rPr>
          <w:rFonts w:cs="Arial"/>
          <w:lang w:val="fr-FR"/>
        </w:rPr>
      </w:pPr>
      <w:r w:rsidRPr="00F85A58">
        <w:rPr>
          <w:rFonts w:cs="Arial"/>
          <w:lang w:val="fr-FR"/>
        </w:rPr>
        <w:t>15.</w:t>
      </w:r>
      <w:r w:rsidRPr="00F85A58">
        <w:rPr>
          <w:rFonts w:cs="Arial"/>
          <w:lang w:val="fr-FR"/>
        </w:rPr>
        <w:tab/>
        <w:t>Date et lieu de la prochaine session</w:t>
      </w:r>
    </w:p>
    <w:p w:rsidR="00BA14DE" w:rsidRPr="00F85A58" w:rsidRDefault="001437A1" w:rsidP="001437A1">
      <w:pPr>
        <w:tabs>
          <w:tab w:val="left" w:pos="1134"/>
          <w:tab w:val="left" w:pos="1701"/>
        </w:tabs>
        <w:autoSpaceDE w:val="0"/>
        <w:autoSpaceDN w:val="0"/>
        <w:adjustRightInd w:val="0"/>
        <w:ind w:left="1134" w:hanging="567"/>
        <w:rPr>
          <w:rFonts w:cs="Arial"/>
          <w:lang w:val="fr-FR"/>
        </w:rPr>
      </w:pPr>
      <w:r w:rsidRPr="00F85A58">
        <w:rPr>
          <w:rFonts w:cs="Arial"/>
          <w:lang w:val="fr-FR"/>
        </w:rPr>
        <w:t>16.</w:t>
      </w:r>
      <w:r w:rsidRPr="00F85A58">
        <w:rPr>
          <w:rFonts w:cs="Arial"/>
          <w:lang w:val="fr-FR"/>
        </w:rPr>
        <w:tab/>
        <w:t>Programme futur</w:t>
      </w:r>
    </w:p>
    <w:p w:rsidR="00BA14DE" w:rsidRPr="00F85A58" w:rsidRDefault="00487549" w:rsidP="001437A1">
      <w:pPr>
        <w:tabs>
          <w:tab w:val="left" w:pos="1134"/>
          <w:tab w:val="left" w:pos="1701"/>
        </w:tabs>
        <w:autoSpaceDE w:val="0"/>
        <w:autoSpaceDN w:val="0"/>
        <w:adjustRightInd w:val="0"/>
        <w:ind w:left="1134" w:hanging="567"/>
        <w:rPr>
          <w:rFonts w:cs="Arial"/>
          <w:lang w:val="fr-FR"/>
        </w:rPr>
      </w:pPr>
      <w:r w:rsidRPr="00F85A58">
        <w:rPr>
          <w:rFonts w:cs="Arial"/>
          <w:lang w:val="fr-FR"/>
        </w:rPr>
        <w:t>17.</w:t>
      </w:r>
      <w:r w:rsidRPr="00F85A58">
        <w:rPr>
          <w:rFonts w:cs="Arial"/>
          <w:lang w:val="fr-FR"/>
        </w:rPr>
        <w:tab/>
        <w:t>Compte rendu de la session</w:t>
      </w:r>
    </w:p>
    <w:p w:rsidR="00BA14DE" w:rsidRPr="00F85A58" w:rsidRDefault="001437A1" w:rsidP="001437A1">
      <w:pPr>
        <w:tabs>
          <w:tab w:val="left" w:pos="1134"/>
          <w:tab w:val="left" w:pos="1701"/>
        </w:tabs>
        <w:autoSpaceDE w:val="0"/>
        <w:autoSpaceDN w:val="0"/>
        <w:adjustRightInd w:val="0"/>
        <w:ind w:left="1134" w:hanging="567"/>
        <w:rPr>
          <w:rFonts w:cs="Arial"/>
          <w:lang w:val="fr-FR"/>
        </w:rPr>
      </w:pPr>
      <w:r w:rsidRPr="00F85A58">
        <w:rPr>
          <w:rFonts w:cs="Arial"/>
          <w:lang w:val="fr-FR"/>
        </w:rPr>
        <w:t>18.</w:t>
      </w:r>
      <w:r w:rsidRPr="00F85A58">
        <w:rPr>
          <w:rFonts w:cs="Arial"/>
          <w:lang w:val="fr-FR"/>
        </w:rPr>
        <w:tab/>
        <w:t>Clôture de la session</w:t>
      </w:r>
    </w:p>
    <w:p w:rsidR="00BA14DE" w:rsidRPr="00F85A58" w:rsidRDefault="00BA14DE" w:rsidP="00556FD5">
      <w:pPr>
        <w:autoSpaceDE w:val="0"/>
        <w:autoSpaceDN w:val="0"/>
        <w:adjustRightInd w:val="0"/>
        <w:rPr>
          <w:rFonts w:cs="Arial"/>
          <w:highlight w:val="yellow"/>
          <w:lang w:val="fr-FR"/>
        </w:rPr>
      </w:pPr>
    </w:p>
    <w:p w:rsidR="00BA14DE" w:rsidRPr="00F85A58" w:rsidRDefault="00556FD5" w:rsidP="00556FD5">
      <w:pPr>
        <w:tabs>
          <w:tab w:val="left" w:pos="567"/>
        </w:tabs>
        <w:autoSpaceDE w:val="0"/>
        <w:autoSpaceDN w:val="0"/>
        <w:adjustRightInd w:val="0"/>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3E5194" w:rsidRPr="00F85A58">
        <w:rPr>
          <w:rFonts w:cs="Arial"/>
          <w:lang w:val="fr-FR"/>
        </w:rPr>
        <w:t>Dans l</w:t>
      </w:r>
      <w:r w:rsidR="005752E4" w:rsidRPr="00F85A58">
        <w:rPr>
          <w:rFonts w:cs="Arial"/>
          <w:lang w:val="fr-FR"/>
        </w:rPr>
        <w:t>’</w:t>
      </w:r>
      <w:r w:rsidR="003E5194" w:rsidRPr="00F85A58">
        <w:rPr>
          <w:rFonts w:cs="Arial"/>
          <w:lang w:val="fr-FR"/>
        </w:rPr>
        <w:t>après</w:t>
      </w:r>
      <w:r w:rsidR="00F85A58" w:rsidRPr="00F85A58">
        <w:rPr>
          <w:rFonts w:cs="Arial"/>
          <w:lang w:val="fr-FR"/>
        </w:rPr>
        <w:noBreakHyphen/>
      </w:r>
      <w:r w:rsidR="003E5194" w:rsidRPr="00F85A58">
        <w:rPr>
          <w:rFonts w:cs="Arial"/>
          <w:lang w:val="fr-FR"/>
        </w:rPr>
        <w:t>midi du</w:t>
      </w:r>
      <w:r w:rsidR="005752E4" w:rsidRPr="00F85A58">
        <w:rPr>
          <w:rFonts w:cs="Arial"/>
          <w:lang w:val="fr-FR"/>
        </w:rPr>
        <w:t xml:space="preserve"> 1</w:t>
      </w:r>
      <w:r w:rsidR="005752E4" w:rsidRPr="00F85A58">
        <w:rPr>
          <w:rFonts w:cs="Arial"/>
          <w:vertAlign w:val="superscript"/>
          <w:lang w:val="fr-FR"/>
        </w:rPr>
        <w:t>er</w:t>
      </w:r>
      <w:r w:rsidR="005752E4" w:rsidRPr="00F85A58">
        <w:rPr>
          <w:rFonts w:cs="Arial"/>
          <w:lang w:val="fr-FR"/>
        </w:rPr>
        <w:t> </w:t>
      </w:r>
      <w:r w:rsidR="003E5194" w:rsidRPr="00F85A58">
        <w:rPr>
          <w:rFonts w:cs="Arial"/>
          <w:lang w:val="fr-FR"/>
        </w:rPr>
        <w:t>juillet,</w:t>
      </w:r>
      <w:r w:rsidR="005752E4" w:rsidRPr="00F85A58">
        <w:rPr>
          <w:rFonts w:cs="Arial"/>
          <w:lang w:val="fr-FR"/>
        </w:rPr>
        <w:t xml:space="preserve"> le TWC</w:t>
      </w:r>
      <w:r w:rsidRPr="00F85A58">
        <w:rPr>
          <w:rFonts w:cs="Arial"/>
          <w:lang w:val="fr-FR"/>
        </w:rPr>
        <w:t xml:space="preserve"> </w:t>
      </w:r>
      <w:r w:rsidR="003E5194" w:rsidRPr="00F85A58">
        <w:rPr>
          <w:rFonts w:cs="Arial"/>
          <w:lang w:val="fr-FR"/>
        </w:rPr>
        <w:t>a suivi des dé</w:t>
      </w:r>
      <w:r w:rsidRPr="00F85A58">
        <w:rPr>
          <w:rFonts w:cs="Arial"/>
          <w:lang w:val="fr-FR"/>
        </w:rPr>
        <w:t xml:space="preserve">monstrations </w:t>
      </w:r>
      <w:r w:rsidR="00705307" w:rsidRPr="00F85A58">
        <w:rPr>
          <w:rFonts w:cs="Arial"/>
          <w:lang w:val="fr-FR"/>
        </w:rPr>
        <w:t>effectuées</w:t>
      </w:r>
      <w:r w:rsidR="003E5194" w:rsidRPr="00F85A58">
        <w:rPr>
          <w:rFonts w:cs="Arial"/>
          <w:lang w:val="fr-FR"/>
        </w:rPr>
        <w:t xml:space="preserve"> par le service national de protection des obtentions végétales </w:t>
      </w:r>
      <w:r w:rsidRPr="00F85A58">
        <w:rPr>
          <w:rFonts w:cs="Arial"/>
          <w:lang w:val="fr-FR"/>
        </w:rPr>
        <w:t xml:space="preserve">(SNPC) </w:t>
      </w:r>
      <w:r w:rsidR="003E5194" w:rsidRPr="00F85A58">
        <w:rPr>
          <w:rFonts w:cs="Arial"/>
          <w:lang w:val="fr-FR"/>
        </w:rPr>
        <w:t xml:space="preserve">concernant leur base de données de système de gestion et leur </w:t>
      </w:r>
      <w:r w:rsidR="00705307" w:rsidRPr="00F85A58">
        <w:rPr>
          <w:rFonts w:cs="Arial"/>
          <w:lang w:val="fr-FR"/>
        </w:rPr>
        <w:t>système de dépôt électronique des demand</w:t>
      </w:r>
      <w:r w:rsidR="00F85A58" w:rsidRPr="00F85A58">
        <w:rPr>
          <w:rFonts w:cs="Arial"/>
          <w:lang w:val="fr-FR"/>
        </w:rPr>
        <w:t>es.  Un</w:t>
      </w:r>
      <w:r w:rsidR="00705307" w:rsidRPr="00F85A58">
        <w:rPr>
          <w:rFonts w:cs="Arial"/>
          <w:lang w:val="fr-FR"/>
        </w:rPr>
        <w:t xml:space="preserve">e démonstration a également été effectuée par </w:t>
      </w:r>
      <w:r w:rsidRPr="00F85A58">
        <w:rPr>
          <w:rFonts w:cs="Arial"/>
          <w:lang w:val="fr-FR"/>
        </w:rPr>
        <w:t>M.</w:t>
      </w:r>
      <w:r w:rsidR="00705307" w:rsidRPr="00F85A58">
        <w:rPr>
          <w:rFonts w:cs="Arial"/>
          <w:lang w:val="fr-FR"/>
        </w:rPr>
        <w:t> </w:t>
      </w:r>
      <w:r w:rsidRPr="00F85A58">
        <w:rPr>
          <w:rFonts w:cs="Arial"/>
          <w:lang w:val="fr-FR"/>
        </w:rPr>
        <w:t xml:space="preserve">Joel </w:t>
      </w:r>
      <w:proofErr w:type="spellStart"/>
      <w:r w:rsidRPr="00F85A58">
        <w:rPr>
          <w:rFonts w:cs="Arial"/>
          <w:lang w:val="fr-FR"/>
        </w:rPr>
        <w:t>Yutaka</w:t>
      </w:r>
      <w:proofErr w:type="spellEnd"/>
      <w:r w:rsidRPr="00F85A58">
        <w:rPr>
          <w:rFonts w:cs="Arial"/>
          <w:lang w:val="fr-FR"/>
        </w:rPr>
        <w:t xml:space="preserve"> </w:t>
      </w:r>
      <w:proofErr w:type="spellStart"/>
      <w:r w:rsidRPr="00F85A58">
        <w:rPr>
          <w:rFonts w:cs="Arial"/>
          <w:lang w:val="fr-FR"/>
        </w:rPr>
        <w:t>Sugano</w:t>
      </w:r>
      <w:proofErr w:type="spellEnd"/>
      <w:r w:rsidRPr="00F85A58">
        <w:rPr>
          <w:rFonts w:cs="Arial"/>
          <w:lang w:val="fr-FR"/>
        </w:rPr>
        <w:t xml:space="preserve"> </w:t>
      </w:r>
      <w:r w:rsidR="00705307" w:rsidRPr="00F85A58">
        <w:rPr>
          <w:rFonts w:cs="Arial"/>
          <w:lang w:val="fr-FR"/>
        </w:rPr>
        <w:t>de l</w:t>
      </w:r>
      <w:r w:rsidR="005752E4" w:rsidRPr="00F85A58">
        <w:rPr>
          <w:rFonts w:cs="Arial"/>
          <w:lang w:val="fr-FR"/>
        </w:rPr>
        <w:t>’</w:t>
      </w:r>
      <w:proofErr w:type="spellStart"/>
      <w:r w:rsidRPr="00F85A58">
        <w:rPr>
          <w:rFonts w:cs="Arial"/>
          <w:i/>
          <w:lang w:val="fr-FR"/>
        </w:rPr>
        <w:t>Universidade</w:t>
      </w:r>
      <w:proofErr w:type="spellEnd"/>
      <w:r w:rsidRPr="00F85A58">
        <w:rPr>
          <w:rFonts w:cs="Arial"/>
          <w:i/>
          <w:lang w:val="fr-FR"/>
        </w:rPr>
        <w:t xml:space="preserve"> </w:t>
      </w:r>
      <w:proofErr w:type="spellStart"/>
      <w:r w:rsidRPr="00F85A58">
        <w:rPr>
          <w:rFonts w:cs="Arial"/>
          <w:i/>
          <w:lang w:val="fr-FR"/>
        </w:rPr>
        <w:t>Federal</w:t>
      </w:r>
      <w:proofErr w:type="spellEnd"/>
      <w:r w:rsidRPr="00F85A58">
        <w:rPr>
          <w:rFonts w:cs="Arial"/>
          <w:i/>
          <w:lang w:val="fr-FR"/>
        </w:rPr>
        <w:t xml:space="preserve"> de Lavras</w:t>
      </w:r>
      <w:r w:rsidRPr="00F85A58">
        <w:rPr>
          <w:rFonts w:cs="Arial"/>
          <w:lang w:val="fr-FR"/>
        </w:rPr>
        <w:t xml:space="preserve"> </w:t>
      </w:r>
      <w:r w:rsidR="00705307" w:rsidRPr="00F85A58">
        <w:rPr>
          <w:rFonts w:cs="Arial"/>
          <w:lang w:val="fr-FR"/>
        </w:rPr>
        <w:t xml:space="preserve">concernant un système complet </w:t>
      </w:r>
      <w:r w:rsidR="00AA1E7E" w:rsidRPr="00F85A58">
        <w:rPr>
          <w:rFonts w:cs="Arial"/>
          <w:lang w:val="fr-FR"/>
        </w:rPr>
        <w:t>de matériel</w:t>
      </w:r>
      <w:r w:rsidR="00990778" w:rsidRPr="00F85A58">
        <w:rPr>
          <w:rFonts w:cs="Arial"/>
          <w:lang w:val="fr-FR"/>
        </w:rPr>
        <w:t>s</w:t>
      </w:r>
      <w:r w:rsidR="00AA1E7E" w:rsidRPr="00F85A58">
        <w:rPr>
          <w:rFonts w:cs="Arial"/>
          <w:lang w:val="fr-FR"/>
        </w:rPr>
        <w:t xml:space="preserve"> et de logiciel informatiques permettant d</w:t>
      </w:r>
      <w:r w:rsidR="005752E4" w:rsidRPr="00F85A58">
        <w:rPr>
          <w:rFonts w:cs="Arial"/>
          <w:lang w:val="fr-FR"/>
        </w:rPr>
        <w:t>’</w:t>
      </w:r>
      <w:r w:rsidR="00AA1E7E" w:rsidRPr="00F85A58">
        <w:rPr>
          <w:rFonts w:cs="Arial"/>
          <w:lang w:val="fr-FR"/>
        </w:rPr>
        <w:t>effectuer des mesures informatisées au moyen de l</w:t>
      </w:r>
      <w:r w:rsidR="005752E4" w:rsidRPr="00F85A58">
        <w:rPr>
          <w:rFonts w:cs="Arial"/>
          <w:lang w:val="fr-FR"/>
        </w:rPr>
        <w:t>’</w:t>
      </w:r>
      <w:r w:rsidR="00AA1E7E" w:rsidRPr="00F85A58">
        <w:rPr>
          <w:rFonts w:cs="Arial"/>
          <w:lang w:val="fr-FR"/>
        </w:rPr>
        <w:t>analyse d</w:t>
      </w:r>
      <w:r w:rsidR="005752E4" w:rsidRPr="00F85A58">
        <w:rPr>
          <w:rFonts w:cs="Arial"/>
          <w:lang w:val="fr-FR"/>
        </w:rPr>
        <w:t>’</w:t>
      </w:r>
      <w:r w:rsidR="00AA1E7E" w:rsidRPr="00F85A58">
        <w:rPr>
          <w:rFonts w:cs="Arial"/>
          <w:lang w:val="fr-FR"/>
        </w:rPr>
        <w:t>images</w:t>
      </w:r>
      <w:r w:rsidRPr="00F85A58">
        <w:rPr>
          <w:rFonts w:cs="Arial"/>
          <w:lang w:val="fr-FR"/>
        </w:rPr>
        <w:t>.</w:t>
      </w:r>
    </w:p>
    <w:p w:rsidR="00BA14DE" w:rsidRPr="00F85A58" w:rsidRDefault="00BA14DE" w:rsidP="00050E16">
      <w:pPr>
        <w:rPr>
          <w:lang w:val="fr-FR"/>
        </w:rPr>
      </w:pPr>
    </w:p>
    <w:p w:rsidR="00BA14DE" w:rsidRPr="00F85A58" w:rsidRDefault="001437A1" w:rsidP="004570E2">
      <w:pPr>
        <w:pStyle w:val="Heading3"/>
      </w:pPr>
      <w:r w:rsidRPr="00F85A58">
        <w:t>Groupe de travail technique sur les plantes fruitières</w:t>
      </w:r>
    </w:p>
    <w:p w:rsidR="00BA14DE" w:rsidRPr="00F85A58" w:rsidRDefault="00BA14DE" w:rsidP="003D3E08">
      <w:pPr>
        <w:keepNext/>
        <w:rPr>
          <w:lang w:val="fr-FR"/>
        </w:rPr>
      </w:pPr>
    </w:p>
    <w:p w:rsidR="00BA14DE" w:rsidRPr="00F85A58" w:rsidRDefault="00CA4227" w:rsidP="001437A1">
      <w:pPr>
        <w:keepNext/>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1437A1" w:rsidRPr="00F85A58">
        <w:rPr>
          <w:rFonts w:cs="Arial"/>
          <w:lang w:val="fr-FR"/>
        </w:rPr>
        <w:t>Le TWF a tenu sa quarante</w:t>
      </w:r>
      <w:r w:rsidR="00F85A58" w:rsidRPr="00F85A58">
        <w:rPr>
          <w:rFonts w:cs="Arial"/>
          <w:lang w:val="fr-FR"/>
        </w:rPr>
        <w:noBreakHyphen/>
      </w:r>
      <w:r w:rsidR="001437A1" w:rsidRPr="00F85A58">
        <w:rPr>
          <w:rFonts w:cs="Arial"/>
          <w:lang w:val="fr-FR"/>
        </w:rPr>
        <w:t>sixième</w:t>
      </w:r>
      <w:r w:rsidR="00342006" w:rsidRPr="00F85A58">
        <w:rPr>
          <w:rFonts w:cs="Arial"/>
          <w:lang w:val="fr-FR"/>
        </w:rPr>
        <w:t> </w:t>
      </w:r>
      <w:r w:rsidR="001437A1" w:rsidRPr="00F85A58">
        <w:rPr>
          <w:rFonts w:cs="Arial"/>
          <w:lang w:val="fr-FR"/>
        </w:rPr>
        <w:t>session à Mpumalanga (Afrique du Sud) du 24 au 2</w:t>
      </w:r>
      <w:r w:rsidR="005752E4" w:rsidRPr="00F85A58">
        <w:rPr>
          <w:rFonts w:cs="Arial"/>
          <w:lang w:val="fr-FR"/>
        </w:rPr>
        <w:t>8 août 20</w:t>
      </w:r>
      <w:r w:rsidR="001437A1" w:rsidRPr="00F85A58">
        <w:rPr>
          <w:rFonts w:cs="Arial"/>
          <w:lang w:val="fr-FR"/>
        </w:rPr>
        <w:t>15.</w:t>
      </w:r>
      <w:r w:rsidR="00342006" w:rsidRPr="00F85A58">
        <w:rPr>
          <w:rFonts w:cs="Arial"/>
          <w:lang w:val="fr-FR"/>
        </w:rPr>
        <w:t xml:space="preserve"> </w:t>
      </w:r>
      <w:r w:rsidR="00566CBE" w:rsidRPr="00F85A58">
        <w:rPr>
          <w:lang w:val="fr-FR"/>
        </w:rPr>
        <w:t xml:space="preserve"> </w:t>
      </w:r>
      <w:r w:rsidR="00990778" w:rsidRPr="00F85A58">
        <w:rPr>
          <w:rFonts w:cs="Arial"/>
          <w:lang w:val="fr-FR"/>
        </w:rPr>
        <w:t>La session a été ouverte par M. </w:t>
      </w:r>
      <w:proofErr w:type="spellStart"/>
      <w:r w:rsidRPr="00F85A58">
        <w:rPr>
          <w:rFonts w:cs="Arial"/>
          <w:lang w:val="fr-FR"/>
        </w:rPr>
        <w:t>Katsumi</w:t>
      </w:r>
      <w:proofErr w:type="spellEnd"/>
      <w:r w:rsidRPr="00F85A58">
        <w:rPr>
          <w:rFonts w:cs="Arial"/>
          <w:lang w:val="fr-FR"/>
        </w:rPr>
        <w:t xml:space="preserve"> Yamaguchi (Jap</w:t>
      </w:r>
      <w:r w:rsidR="00990778" w:rsidRPr="00F85A58">
        <w:rPr>
          <w:rFonts w:cs="Arial"/>
          <w:lang w:val="fr-FR"/>
        </w:rPr>
        <w:t>o</w:t>
      </w:r>
      <w:r w:rsidRPr="00F85A58">
        <w:rPr>
          <w:rFonts w:cs="Arial"/>
          <w:lang w:val="fr-FR"/>
        </w:rPr>
        <w:t xml:space="preserve">n), </w:t>
      </w:r>
      <w:r w:rsidR="00990778" w:rsidRPr="00F85A58">
        <w:rPr>
          <w:rFonts w:cs="Arial"/>
          <w:lang w:val="fr-FR"/>
        </w:rPr>
        <w:t>président</w:t>
      </w:r>
      <w:r w:rsidR="005752E4" w:rsidRPr="00F85A58">
        <w:rPr>
          <w:rFonts w:cs="Arial"/>
          <w:lang w:val="fr-FR"/>
        </w:rPr>
        <w:t xml:space="preserve"> du TWF</w:t>
      </w:r>
      <w:r w:rsidRPr="00F85A58">
        <w:rPr>
          <w:rFonts w:cs="Arial"/>
          <w:lang w:val="fr-FR"/>
        </w:rPr>
        <w:t>.</w:t>
      </w:r>
    </w:p>
    <w:p w:rsidR="00BA14DE" w:rsidRPr="00F85A58" w:rsidRDefault="00BA14DE" w:rsidP="00CA4227">
      <w:pPr>
        <w:rPr>
          <w:rFonts w:cs="Arial"/>
          <w:lang w:val="fr-FR"/>
        </w:rPr>
      </w:pPr>
    </w:p>
    <w:p w:rsidR="00BA14DE" w:rsidRPr="00F85A58" w:rsidRDefault="00CA4227" w:rsidP="001437A1">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1437A1" w:rsidRPr="00F85A58">
        <w:rPr>
          <w:rFonts w:cs="Arial"/>
          <w:lang w:val="fr-FR"/>
        </w:rPr>
        <w:t>La session</w:t>
      </w:r>
      <w:r w:rsidR="005752E4" w:rsidRPr="00F85A58">
        <w:rPr>
          <w:rFonts w:cs="Arial"/>
          <w:lang w:val="fr-FR"/>
        </w:rPr>
        <w:t xml:space="preserve"> du TWF</w:t>
      </w:r>
      <w:r w:rsidR="001437A1" w:rsidRPr="00F85A58">
        <w:rPr>
          <w:rFonts w:cs="Arial"/>
          <w:lang w:val="fr-FR"/>
        </w:rPr>
        <w:t xml:space="preserve"> a réuni </w:t>
      </w:r>
      <w:r w:rsidR="001826AD">
        <w:rPr>
          <w:rFonts w:cs="Arial"/>
          <w:lang w:val="fr-FR"/>
        </w:rPr>
        <w:t>39 </w:t>
      </w:r>
      <w:r w:rsidR="00487549" w:rsidRPr="00F85A58">
        <w:rPr>
          <w:rFonts w:cs="Arial"/>
          <w:lang w:val="fr-FR"/>
        </w:rPr>
        <w:t>participants représentant 16 </w:t>
      </w:r>
      <w:r w:rsidR="001437A1" w:rsidRPr="00F85A58">
        <w:rPr>
          <w:rFonts w:cs="Arial"/>
          <w:lang w:val="fr-FR"/>
        </w:rPr>
        <w:t>membres de l</w:t>
      </w:r>
      <w:r w:rsidR="005752E4" w:rsidRPr="00F85A58">
        <w:rPr>
          <w:rFonts w:cs="Arial"/>
          <w:lang w:val="fr-FR"/>
        </w:rPr>
        <w:t>’</w:t>
      </w:r>
      <w:r w:rsidR="001437A1" w:rsidRPr="00F85A58">
        <w:rPr>
          <w:rFonts w:cs="Arial"/>
          <w:lang w:val="fr-FR"/>
        </w:rPr>
        <w:t>Union, 3</w:t>
      </w:r>
      <w:r w:rsidR="00487549" w:rsidRPr="00F85A58">
        <w:rPr>
          <w:rFonts w:cs="Arial"/>
          <w:lang w:val="fr-FR"/>
        </w:rPr>
        <w:t> </w:t>
      </w:r>
      <w:r w:rsidR="001437A1" w:rsidRPr="00F85A58">
        <w:rPr>
          <w:rFonts w:cs="Arial"/>
          <w:lang w:val="fr-FR"/>
        </w:rPr>
        <w:t>États aya</w:t>
      </w:r>
      <w:r w:rsidR="00487549" w:rsidRPr="00F85A58">
        <w:rPr>
          <w:rFonts w:cs="Arial"/>
          <w:lang w:val="fr-FR"/>
        </w:rPr>
        <w:t>nt le statut d</w:t>
      </w:r>
      <w:r w:rsidR="005752E4" w:rsidRPr="00F85A58">
        <w:rPr>
          <w:rFonts w:cs="Arial"/>
          <w:lang w:val="fr-FR"/>
        </w:rPr>
        <w:t>’</w:t>
      </w:r>
      <w:r w:rsidR="00487549" w:rsidRPr="00F85A58">
        <w:rPr>
          <w:rFonts w:cs="Arial"/>
          <w:lang w:val="fr-FR"/>
        </w:rPr>
        <w:t>observateur et 1 </w:t>
      </w:r>
      <w:r w:rsidR="001437A1" w:rsidRPr="00F85A58">
        <w:rPr>
          <w:rFonts w:cs="Arial"/>
          <w:lang w:val="fr-FR"/>
        </w:rPr>
        <w:t>organisation ayant le statut d</w:t>
      </w:r>
      <w:r w:rsidR="005752E4" w:rsidRPr="00F85A58">
        <w:rPr>
          <w:rFonts w:cs="Arial"/>
          <w:lang w:val="fr-FR"/>
        </w:rPr>
        <w:t>’</w:t>
      </w:r>
      <w:r w:rsidR="001437A1" w:rsidRPr="00F85A58">
        <w:rPr>
          <w:rFonts w:cs="Arial"/>
          <w:lang w:val="fr-FR"/>
        </w:rPr>
        <w:t>observate</w:t>
      </w:r>
      <w:r w:rsidR="00F85A58" w:rsidRPr="00F85A58">
        <w:rPr>
          <w:rFonts w:cs="Arial"/>
          <w:lang w:val="fr-FR"/>
        </w:rPr>
        <w:t>ur.  L’a</w:t>
      </w:r>
      <w:r w:rsidR="00487549" w:rsidRPr="00F85A58">
        <w:rPr>
          <w:rFonts w:cs="Arial"/>
          <w:lang w:val="fr-FR"/>
        </w:rPr>
        <w:t>telier préparatoire a réuni 17 </w:t>
      </w:r>
      <w:r w:rsidR="001437A1" w:rsidRPr="00F85A58">
        <w:rPr>
          <w:rFonts w:cs="Arial"/>
          <w:lang w:val="fr-FR"/>
        </w:rPr>
        <w:t>participants représentant 7</w:t>
      </w:r>
      <w:r w:rsidR="00487549" w:rsidRPr="00F85A58">
        <w:rPr>
          <w:rFonts w:cs="Arial"/>
          <w:lang w:val="fr-FR"/>
        </w:rPr>
        <w:t> </w:t>
      </w:r>
      <w:r w:rsidR="001437A1" w:rsidRPr="00F85A58">
        <w:rPr>
          <w:rFonts w:cs="Arial"/>
          <w:lang w:val="fr-FR"/>
        </w:rPr>
        <w:t>membres de l</w:t>
      </w:r>
      <w:r w:rsidR="005752E4" w:rsidRPr="00F85A58">
        <w:rPr>
          <w:rFonts w:cs="Arial"/>
          <w:lang w:val="fr-FR"/>
        </w:rPr>
        <w:t>’</w:t>
      </w:r>
      <w:r w:rsidR="001437A1" w:rsidRPr="00F85A58">
        <w:rPr>
          <w:rFonts w:cs="Arial"/>
          <w:lang w:val="fr-FR"/>
        </w:rPr>
        <w:t>Union et 3</w:t>
      </w:r>
      <w:r w:rsidR="00487549" w:rsidRPr="00F85A58">
        <w:rPr>
          <w:rFonts w:cs="Arial"/>
          <w:lang w:val="fr-FR"/>
        </w:rPr>
        <w:t> </w:t>
      </w:r>
      <w:r w:rsidR="001437A1" w:rsidRPr="00F85A58">
        <w:rPr>
          <w:rFonts w:cs="Arial"/>
          <w:lang w:val="fr-FR"/>
        </w:rPr>
        <w:t>États ayant le statut d</w:t>
      </w:r>
      <w:r w:rsidR="005752E4" w:rsidRPr="00F85A58">
        <w:rPr>
          <w:rFonts w:cs="Arial"/>
          <w:lang w:val="fr-FR"/>
        </w:rPr>
        <w:t>’</w:t>
      </w:r>
      <w:r w:rsidR="001437A1" w:rsidRPr="00F85A58">
        <w:rPr>
          <w:rFonts w:cs="Arial"/>
          <w:lang w:val="fr-FR"/>
        </w:rPr>
        <w:t>observateur.</w:t>
      </w:r>
    </w:p>
    <w:p w:rsidR="00BA14DE" w:rsidRPr="00F85A58" w:rsidRDefault="00BA14DE" w:rsidP="00CA4227">
      <w:pPr>
        <w:rPr>
          <w:rFonts w:cs="Arial"/>
          <w:lang w:val="fr-FR"/>
        </w:rPr>
      </w:pPr>
    </w:p>
    <w:p w:rsidR="00BA14DE" w:rsidRPr="00F85A58" w:rsidRDefault="00CA4227" w:rsidP="00CA4227">
      <w:pPr>
        <w:rPr>
          <w:rFonts w:cs="Arial"/>
          <w:shd w:val="clear" w:color="auto" w:fill="FFFFFF"/>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t>M.</w:t>
      </w:r>
      <w:r w:rsidR="001F57FA" w:rsidRPr="00F85A58">
        <w:rPr>
          <w:rFonts w:cs="Arial"/>
          <w:lang w:val="fr-FR"/>
        </w:rPr>
        <w:t> </w:t>
      </w:r>
      <w:r w:rsidRPr="00F85A58">
        <w:rPr>
          <w:rFonts w:cs="Arial"/>
          <w:lang w:val="fr-FR"/>
        </w:rPr>
        <w:t xml:space="preserve">Julian </w:t>
      </w:r>
      <w:proofErr w:type="spellStart"/>
      <w:r w:rsidRPr="00F85A58">
        <w:rPr>
          <w:rFonts w:cs="Arial"/>
          <w:lang w:val="fr-FR"/>
        </w:rPr>
        <w:t>Jaftha</w:t>
      </w:r>
      <w:proofErr w:type="spellEnd"/>
      <w:r w:rsidRPr="00F85A58">
        <w:rPr>
          <w:rFonts w:cs="Arial"/>
          <w:lang w:val="fr-FR"/>
        </w:rPr>
        <w:t xml:space="preserve">, </w:t>
      </w:r>
      <w:r w:rsidR="001F57FA" w:rsidRPr="00F85A58">
        <w:rPr>
          <w:rFonts w:cs="Arial"/>
          <w:lang w:val="fr-FR"/>
        </w:rPr>
        <w:t xml:space="preserve">directeur en </w:t>
      </w:r>
      <w:r w:rsidR="00D217FE" w:rsidRPr="00F85A58">
        <w:rPr>
          <w:rFonts w:cs="Arial"/>
          <w:lang w:val="fr-FR"/>
        </w:rPr>
        <w:t xml:space="preserve">chef du service phytosanitaire et de la production végétale au </w:t>
      </w:r>
      <w:r w:rsidR="00F25A25" w:rsidRPr="00F85A58">
        <w:rPr>
          <w:rFonts w:cs="Arial"/>
          <w:lang w:val="fr-FR"/>
        </w:rPr>
        <w:t>d</w:t>
      </w:r>
      <w:r w:rsidR="00D217FE" w:rsidRPr="00F85A58">
        <w:rPr>
          <w:rFonts w:cs="Arial"/>
          <w:lang w:val="fr-FR"/>
        </w:rPr>
        <w:t>épartement de l</w:t>
      </w:r>
      <w:r w:rsidR="005752E4" w:rsidRPr="00F85A58">
        <w:rPr>
          <w:rFonts w:cs="Arial"/>
          <w:lang w:val="fr-FR"/>
        </w:rPr>
        <w:t>’</w:t>
      </w:r>
      <w:r w:rsidR="00D217FE" w:rsidRPr="00F85A58">
        <w:rPr>
          <w:rFonts w:cs="Arial"/>
          <w:lang w:val="fr-FR"/>
        </w:rPr>
        <w:t>agriculture des forêts et de la pêche</w:t>
      </w:r>
      <w:r w:rsidR="00FA1008" w:rsidRPr="00F85A58">
        <w:rPr>
          <w:rFonts w:cs="Arial"/>
          <w:lang w:val="fr-FR"/>
        </w:rPr>
        <w:t xml:space="preserve"> a souhaité la bienvenue aux participants. </w:t>
      </w:r>
      <w:r w:rsidRPr="00F85A58">
        <w:rPr>
          <w:rFonts w:cs="Arial"/>
          <w:lang w:val="fr-FR"/>
        </w:rPr>
        <w:t xml:space="preserve"> M. </w:t>
      </w:r>
      <w:proofErr w:type="spellStart"/>
      <w:r w:rsidRPr="00F85A58">
        <w:rPr>
          <w:rFonts w:cs="Arial"/>
          <w:lang w:val="fr-FR"/>
        </w:rPr>
        <w:t>Luvuyo</w:t>
      </w:r>
      <w:proofErr w:type="spellEnd"/>
      <w:r w:rsidRPr="00F85A58">
        <w:rPr>
          <w:rFonts w:cs="Arial"/>
          <w:lang w:val="fr-FR"/>
        </w:rPr>
        <w:t xml:space="preserve"> </w:t>
      </w:r>
      <w:proofErr w:type="spellStart"/>
      <w:r w:rsidRPr="00F85A58">
        <w:rPr>
          <w:rFonts w:cs="Arial"/>
          <w:lang w:val="fr-FR"/>
        </w:rPr>
        <w:t>Khoza</w:t>
      </w:r>
      <w:proofErr w:type="spellEnd"/>
      <w:r w:rsidRPr="00F85A58">
        <w:rPr>
          <w:rFonts w:cs="Arial"/>
          <w:lang w:val="fr-FR"/>
        </w:rPr>
        <w:t xml:space="preserve">, </w:t>
      </w:r>
      <w:r w:rsidR="00D217FE" w:rsidRPr="00F85A58">
        <w:rPr>
          <w:rFonts w:cs="Arial"/>
          <w:lang w:val="fr-FR"/>
        </w:rPr>
        <w:t>technicien scientifique principal chargé de la p</w:t>
      </w:r>
      <w:r w:rsidRPr="00F85A58">
        <w:rPr>
          <w:rFonts w:cs="Arial"/>
          <w:lang w:val="fr-FR"/>
        </w:rPr>
        <w:t>roduction</w:t>
      </w:r>
      <w:r w:rsidR="00D217FE" w:rsidRPr="00F85A58">
        <w:rPr>
          <w:rFonts w:cs="Arial"/>
          <w:lang w:val="fr-FR"/>
        </w:rPr>
        <w:t xml:space="preserve"> à la Direction de la gestion des ressources génétiques du </w:t>
      </w:r>
      <w:r w:rsidR="00F25A25" w:rsidRPr="00F85A58">
        <w:rPr>
          <w:rFonts w:cs="Arial"/>
          <w:lang w:val="fr-FR"/>
        </w:rPr>
        <w:t>d</w:t>
      </w:r>
      <w:r w:rsidR="00D217FE" w:rsidRPr="00F85A58">
        <w:rPr>
          <w:rFonts w:cs="Arial"/>
          <w:lang w:val="fr-FR"/>
        </w:rPr>
        <w:t>épartement de l</w:t>
      </w:r>
      <w:r w:rsidR="005752E4" w:rsidRPr="00F85A58">
        <w:rPr>
          <w:rFonts w:cs="Arial"/>
          <w:lang w:val="fr-FR"/>
        </w:rPr>
        <w:t>’</w:t>
      </w:r>
      <w:r w:rsidR="00D217FE" w:rsidRPr="00F85A58">
        <w:rPr>
          <w:rFonts w:cs="Arial"/>
          <w:lang w:val="fr-FR"/>
        </w:rPr>
        <w:t>agriculture</w:t>
      </w:r>
      <w:r w:rsidRPr="00F85A58">
        <w:rPr>
          <w:rFonts w:cs="Arial"/>
          <w:lang w:val="fr-FR"/>
        </w:rPr>
        <w:t xml:space="preserve">, </w:t>
      </w:r>
      <w:r w:rsidR="00F02C50" w:rsidRPr="00F85A58">
        <w:rPr>
          <w:rFonts w:cs="Arial"/>
          <w:lang w:val="fr-FR"/>
        </w:rPr>
        <w:t>des forêts et de la pêche,</w:t>
      </w:r>
      <w:r w:rsidRPr="00F85A58">
        <w:rPr>
          <w:rFonts w:cs="Arial"/>
          <w:shd w:val="clear" w:color="auto" w:fill="FFFFFF"/>
          <w:lang w:val="fr-FR"/>
        </w:rPr>
        <w:t xml:space="preserve"> </w:t>
      </w:r>
      <w:r w:rsidR="00F02C50" w:rsidRPr="00F85A58">
        <w:rPr>
          <w:rFonts w:cs="Arial"/>
          <w:shd w:val="clear" w:color="auto" w:fill="FFFFFF"/>
          <w:lang w:val="fr-FR"/>
        </w:rPr>
        <w:t>a présenté un exposé sur le système des droits d</w:t>
      </w:r>
      <w:r w:rsidR="005752E4" w:rsidRPr="00F85A58">
        <w:rPr>
          <w:rFonts w:cs="Arial"/>
          <w:shd w:val="clear" w:color="auto" w:fill="FFFFFF"/>
          <w:lang w:val="fr-FR"/>
        </w:rPr>
        <w:t>’</w:t>
      </w:r>
      <w:r w:rsidR="00F02C50" w:rsidRPr="00F85A58">
        <w:rPr>
          <w:rFonts w:cs="Arial"/>
          <w:shd w:val="clear" w:color="auto" w:fill="FFFFFF"/>
          <w:lang w:val="fr-FR"/>
        </w:rPr>
        <w:t xml:space="preserve">obtenteur en Afrique du </w:t>
      </w:r>
      <w:r w:rsidR="001826AD">
        <w:rPr>
          <w:rFonts w:cs="Arial"/>
          <w:shd w:val="clear" w:color="auto" w:fill="FFFFFF"/>
          <w:lang w:val="fr-FR"/>
        </w:rPr>
        <w:t>Sud</w:t>
      </w:r>
      <w:r w:rsidR="00F02C50" w:rsidRPr="00F85A58">
        <w:rPr>
          <w:rFonts w:cs="Arial"/>
          <w:shd w:val="clear" w:color="auto" w:fill="FFFFFF"/>
          <w:lang w:val="fr-FR"/>
        </w:rPr>
        <w:t xml:space="preserve"> et </w:t>
      </w:r>
      <w:r w:rsidRPr="00F85A58">
        <w:rPr>
          <w:shd w:val="clear" w:color="auto" w:fill="FFFFFF"/>
          <w:lang w:val="fr-FR"/>
        </w:rPr>
        <w:t>M.</w:t>
      </w:r>
      <w:r w:rsidR="00F02C50" w:rsidRPr="00F85A58">
        <w:rPr>
          <w:shd w:val="clear" w:color="auto" w:fill="FFFFFF"/>
          <w:lang w:val="fr-FR"/>
        </w:rPr>
        <w:t> </w:t>
      </w:r>
      <w:r w:rsidRPr="00F85A58">
        <w:rPr>
          <w:rFonts w:cs="Arial"/>
          <w:lang w:val="fr-FR"/>
        </w:rPr>
        <w:t xml:space="preserve">Arthur </w:t>
      </w:r>
      <w:proofErr w:type="spellStart"/>
      <w:r w:rsidRPr="00F85A58">
        <w:rPr>
          <w:rFonts w:cs="Arial"/>
          <w:lang w:val="fr-FR"/>
        </w:rPr>
        <w:t>Sippel</w:t>
      </w:r>
      <w:proofErr w:type="spellEnd"/>
      <w:r w:rsidRPr="00F85A58">
        <w:rPr>
          <w:rFonts w:cs="Arial"/>
          <w:lang w:val="fr-FR"/>
        </w:rPr>
        <w:t xml:space="preserve">, </w:t>
      </w:r>
      <w:r w:rsidR="00F02C50" w:rsidRPr="00F85A58">
        <w:rPr>
          <w:rFonts w:cs="Arial"/>
          <w:lang w:val="fr-FR"/>
        </w:rPr>
        <w:t>responsable d</w:t>
      </w:r>
      <w:r w:rsidR="005752E4" w:rsidRPr="00F85A58">
        <w:rPr>
          <w:rFonts w:cs="Arial"/>
          <w:lang w:val="fr-FR"/>
        </w:rPr>
        <w:t>’</w:t>
      </w:r>
      <w:r w:rsidR="00F02C50" w:rsidRPr="00F85A58">
        <w:rPr>
          <w:rFonts w:cs="Arial"/>
          <w:lang w:val="fr-FR"/>
        </w:rPr>
        <w:t xml:space="preserve">équipe de recherche pour la sélection végétale a présenté un exposé sur la sélection et la commercialisation </w:t>
      </w:r>
      <w:r w:rsidR="0045784D" w:rsidRPr="00F85A58">
        <w:rPr>
          <w:rFonts w:cs="Arial"/>
          <w:lang w:val="fr-FR"/>
        </w:rPr>
        <w:t>des agrumes et des plantes subtropicales</w:t>
      </w:r>
      <w:r w:rsidRPr="00F85A58">
        <w:rPr>
          <w:rFonts w:cs="Arial"/>
          <w:lang w:val="fr-FR"/>
        </w:rPr>
        <w:t xml:space="preserve"> </w:t>
      </w:r>
      <w:r w:rsidR="0045784D" w:rsidRPr="00F85A58">
        <w:rPr>
          <w:rFonts w:cs="Arial"/>
          <w:lang w:val="fr-FR"/>
        </w:rPr>
        <w:t xml:space="preserve">par le Conseil de la recherche agricole </w:t>
      </w:r>
      <w:r w:rsidRPr="00F85A58">
        <w:rPr>
          <w:rFonts w:cs="Arial"/>
          <w:lang w:val="fr-FR"/>
        </w:rPr>
        <w:t>(ARC).</w:t>
      </w:r>
    </w:p>
    <w:p w:rsidR="00BA14DE" w:rsidRPr="00F85A58" w:rsidRDefault="00BA14DE" w:rsidP="00CA4227">
      <w:pPr>
        <w:rPr>
          <w:rFonts w:cs="Arial"/>
          <w:lang w:val="fr-FR"/>
        </w:rPr>
      </w:pPr>
    </w:p>
    <w:p w:rsidR="00BA14DE" w:rsidRPr="00F85A58" w:rsidRDefault="00CA4227" w:rsidP="00CA4227">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FA1008" w:rsidRPr="00F85A58">
        <w:rPr>
          <w:rFonts w:cs="Arial"/>
          <w:lang w:val="fr-FR"/>
        </w:rPr>
        <w:t xml:space="preserve">Le </w:t>
      </w:r>
      <w:r w:rsidRPr="00F85A58">
        <w:rPr>
          <w:rFonts w:cs="Arial"/>
          <w:lang w:val="fr-FR"/>
        </w:rPr>
        <w:t xml:space="preserve">TWF </w:t>
      </w:r>
      <w:r w:rsidR="00FA1008" w:rsidRPr="00F85A58">
        <w:rPr>
          <w:rFonts w:cs="Arial"/>
          <w:lang w:val="fr-FR"/>
        </w:rPr>
        <w:t xml:space="preserve">a examiné le </w:t>
      </w:r>
      <w:r w:rsidRPr="00F85A58">
        <w:rPr>
          <w:rFonts w:cs="Arial"/>
          <w:lang w:val="fr-FR"/>
        </w:rPr>
        <w:t>document TWF/46/13 “</w:t>
      </w:r>
      <w:r w:rsidR="00556AD9" w:rsidRPr="00F85A58">
        <w:rPr>
          <w:rFonts w:cs="Arial"/>
          <w:lang w:val="fr-FR"/>
        </w:rPr>
        <w:t>Utilisation de photographies et d</w:t>
      </w:r>
      <w:r w:rsidR="005752E4" w:rsidRPr="00F85A58">
        <w:rPr>
          <w:rFonts w:cs="Arial"/>
          <w:lang w:val="fr-FR"/>
        </w:rPr>
        <w:t>’</w:t>
      </w:r>
      <w:r w:rsidR="00556AD9" w:rsidRPr="00F85A58">
        <w:rPr>
          <w:rFonts w:cs="Arial"/>
          <w:lang w:val="fr-FR"/>
        </w:rPr>
        <w:t>illustrations exclusives dans les principes directeurs d</w:t>
      </w:r>
      <w:r w:rsidR="005752E4" w:rsidRPr="00F85A58">
        <w:rPr>
          <w:rFonts w:cs="Arial"/>
          <w:lang w:val="fr-FR"/>
        </w:rPr>
        <w:t>’</w:t>
      </w:r>
      <w:r w:rsidR="00556AD9" w:rsidRPr="00F85A58">
        <w:rPr>
          <w:rFonts w:cs="Arial"/>
          <w:lang w:val="fr-FR"/>
        </w:rPr>
        <w:t>examen</w:t>
      </w:r>
      <w:r w:rsidRPr="00F85A58">
        <w:rPr>
          <w:rFonts w:cs="Arial"/>
          <w:lang w:val="fr-FR"/>
        </w:rPr>
        <w:t xml:space="preserve">” </w:t>
      </w:r>
      <w:r w:rsidR="00FA1008" w:rsidRPr="00F85A58">
        <w:rPr>
          <w:rFonts w:cs="Arial"/>
          <w:lang w:val="fr-FR"/>
        </w:rPr>
        <w:t>et a approuvé les orientations proposées en matière de textes, photographies ou illustrations qui pourraient être soumis aux droits de tiers</w:t>
      </w:r>
      <w:r w:rsidRPr="00F85A58">
        <w:rPr>
          <w:rFonts w:cs="Arial"/>
          <w:lang w:val="fr-FR"/>
        </w:rPr>
        <w:t xml:space="preserve">, </w:t>
      </w:r>
      <w:r w:rsidR="00FA1008" w:rsidRPr="00F85A58">
        <w:rPr>
          <w:rFonts w:cs="Arial"/>
          <w:lang w:val="fr-FR"/>
        </w:rPr>
        <w:t>telles qu</w:t>
      </w:r>
      <w:r w:rsidR="005752E4" w:rsidRPr="00F85A58">
        <w:rPr>
          <w:rFonts w:cs="Arial"/>
          <w:lang w:val="fr-FR"/>
        </w:rPr>
        <w:t>’</w:t>
      </w:r>
      <w:r w:rsidR="00FA1008" w:rsidRPr="00F85A58">
        <w:rPr>
          <w:rFonts w:cs="Arial"/>
          <w:lang w:val="fr-FR"/>
        </w:rPr>
        <w:t>elles figurent au paragraphe </w:t>
      </w:r>
      <w:r w:rsidRPr="00F85A58">
        <w:rPr>
          <w:rFonts w:cs="Arial"/>
          <w:lang w:val="fr-FR"/>
        </w:rPr>
        <w:t>7</w:t>
      </w:r>
      <w:r w:rsidR="00FA1008" w:rsidRPr="00F85A58">
        <w:rPr>
          <w:rFonts w:cs="Arial"/>
          <w:lang w:val="fr-FR"/>
        </w:rPr>
        <w:t xml:space="preserve"> du </w:t>
      </w:r>
      <w:r w:rsidR="005752E4" w:rsidRPr="00F85A58">
        <w:rPr>
          <w:rFonts w:cs="Arial"/>
          <w:lang w:val="fr-FR"/>
        </w:rPr>
        <w:t>document TW</w:t>
      </w:r>
      <w:r w:rsidRPr="00F85A58">
        <w:rPr>
          <w:rFonts w:cs="Arial"/>
          <w:lang w:val="fr-FR"/>
        </w:rPr>
        <w:t xml:space="preserve">F/46/13, </w:t>
      </w:r>
      <w:r w:rsidR="009D7A83" w:rsidRPr="00F85A58">
        <w:rPr>
          <w:rFonts w:cs="Arial"/>
          <w:lang w:val="fr-FR"/>
        </w:rPr>
        <w:t xml:space="preserve">pour inclusion dans une future version révisée du </w:t>
      </w:r>
      <w:r w:rsidR="005752E4" w:rsidRPr="00F85A58">
        <w:rPr>
          <w:rFonts w:cs="Arial"/>
          <w:lang w:val="fr-FR"/>
        </w:rPr>
        <w:t>document TG</w:t>
      </w:r>
      <w:r w:rsidRPr="00F85A58">
        <w:rPr>
          <w:rFonts w:cs="Arial"/>
          <w:lang w:val="fr-FR"/>
        </w:rPr>
        <w:t>P/7</w:t>
      </w:r>
      <w:r w:rsidRPr="00F85A58">
        <w:rPr>
          <w:rFonts w:cs="Arial"/>
          <w:lang w:val="fr-FR" w:eastAsia="ja-JP"/>
        </w:rPr>
        <w:t xml:space="preserve">. </w:t>
      </w:r>
      <w:r w:rsidR="005752E4" w:rsidRPr="00F85A58">
        <w:rPr>
          <w:rFonts w:cs="Arial"/>
          <w:lang w:val="fr-FR" w:eastAsia="ja-JP"/>
        </w:rPr>
        <w:t xml:space="preserve"> Le TWF</w:t>
      </w:r>
      <w:r w:rsidRPr="00F85A58">
        <w:rPr>
          <w:rFonts w:cs="Arial"/>
          <w:lang w:val="fr-FR" w:eastAsia="ja-JP"/>
        </w:rPr>
        <w:t xml:space="preserve"> </w:t>
      </w:r>
      <w:r w:rsidR="009D7A83" w:rsidRPr="00F85A58">
        <w:rPr>
          <w:rFonts w:cs="Arial"/>
          <w:lang w:val="fr-FR" w:eastAsia="ja-JP"/>
        </w:rPr>
        <w:t>est convenu que la reconnaissance de l</w:t>
      </w:r>
      <w:r w:rsidR="005752E4" w:rsidRPr="00F85A58">
        <w:rPr>
          <w:rFonts w:cs="Arial"/>
          <w:lang w:val="fr-FR" w:eastAsia="ja-JP"/>
        </w:rPr>
        <w:t>’</w:t>
      </w:r>
      <w:r w:rsidR="009D7A83" w:rsidRPr="00F85A58">
        <w:rPr>
          <w:rFonts w:cs="Arial"/>
          <w:lang w:val="fr-FR" w:eastAsia="ja-JP"/>
        </w:rPr>
        <w:t>autorisation accordée par le tiers pour tout matériel utilisé dans les documents de l</w:t>
      </w:r>
      <w:r w:rsidR="005752E4" w:rsidRPr="00F85A58">
        <w:rPr>
          <w:rFonts w:cs="Arial"/>
          <w:lang w:val="fr-FR" w:eastAsia="ja-JP"/>
        </w:rPr>
        <w:t>’</w:t>
      </w:r>
      <w:r w:rsidR="009D7A83" w:rsidRPr="00F85A58">
        <w:rPr>
          <w:rFonts w:cs="Arial"/>
          <w:lang w:val="fr-FR" w:eastAsia="ja-JP"/>
        </w:rPr>
        <w:t xml:space="preserve">UPOV devrait figurer conformément aux </w:t>
      </w:r>
      <w:r w:rsidR="00715DDD" w:rsidRPr="00F85A58">
        <w:rPr>
          <w:rFonts w:cs="Arial"/>
          <w:lang w:val="fr-FR" w:eastAsia="ja-JP"/>
        </w:rPr>
        <w:t xml:space="preserve">modalités spécifiées dans </w:t>
      </w:r>
      <w:r w:rsidR="009D7A83" w:rsidRPr="00F85A58">
        <w:rPr>
          <w:rFonts w:cs="Arial"/>
          <w:lang w:val="fr-FR" w:eastAsia="ja-JP"/>
        </w:rPr>
        <w:t>ladite autorisation</w:t>
      </w:r>
      <w:r w:rsidRPr="00F85A58">
        <w:rPr>
          <w:rFonts w:cs="Arial"/>
          <w:lang w:val="fr-FR" w:eastAsia="ja-JP"/>
        </w:rPr>
        <w:t>.</w:t>
      </w:r>
    </w:p>
    <w:p w:rsidR="00BA14DE" w:rsidRPr="00F85A58" w:rsidRDefault="00BA14DE" w:rsidP="00CA4227">
      <w:pPr>
        <w:rPr>
          <w:rFonts w:cs="Arial"/>
          <w:lang w:val="fr-FR"/>
        </w:rPr>
      </w:pPr>
    </w:p>
    <w:p w:rsidR="00BA14DE" w:rsidRPr="00F85A58" w:rsidRDefault="00CA4227" w:rsidP="00CA4227">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715DDD" w:rsidRPr="00F85A58">
        <w:rPr>
          <w:rFonts w:cs="Arial"/>
          <w:lang w:val="fr-FR"/>
        </w:rPr>
        <w:t>Le</w:t>
      </w:r>
      <w:r w:rsidRPr="00F85A58">
        <w:rPr>
          <w:rFonts w:cs="Arial"/>
          <w:lang w:val="fr-FR"/>
        </w:rPr>
        <w:t xml:space="preserve"> TWF </w:t>
      </w:r>
      <w:r w:rsidR="00715DDD" w:rsidRPr="00F85A58">
        <w:rPr>
          <w:rFonts w:cs="Arial"/>
          <w:lang w:val="fr-FR"/>
        </w:rPr>
        <w:t xml:space="preserve">a examiné le </w:t>
      </w:r>
      <w:r w:rsidRPr="00F85A58">
        <w:rPr>
          <w:rFonts w:cs="Arial"/>
          <w:lang w:val="fr-FR"/>
        </w:rPr>
        <w:t>document TWF/46/14 “</w:t>
      </w:r>
      <w:r w:rsidR="00CA7CF0" w:rsidRPr="00F85A58">
        <w:rPr>
          <w:rFonts w:cs="Arial"/>
          <w:lang w:val="fr-FR"/>
        </w:rPr>
        <w:t>Séries régionales de variétés indiquées à titre d</w:t>
      </w:r>
      <w:r w:rsidR="005752E4" w:rsidRPr="00F85A58">
        <w:rPr>
          <w:rFonts w:cs="Arial"/>
          <w:lang w:val="fr-FR"/>
        </w:rPr>
        <w:t>’</w:t>
      </w:r>
      <w:r w:rsidR="00CA7CF0" w:rsidRPr="00F85A58">
        <w:rPr>
          <w:rFonts w:cs="Arial"/>
          <w:lang w:val="fr-FR"/>
        </w:rPr>
        <w:t>exemple</w:t>
      </w:r>
      <w:r w:rsidRPr="00F85A58">
        <w:rPr>
          <w:rFonts w:cs="Arial"/>
          <w:lang w:val="fr-FR"/>
        </w:rPr>
        <w:t xml:space="preserve">” </w:t>
      </w:r>
      <w:r w:rsidR="00715DDD" w:rsidRPr="00F85A58">
        <w:rPr>
          <w:rFonts w:cs="Arial"/>
          <w:lang w:val="fr-FR"/>
        </w:rPr>
        <w:t>et est convenu avec</w:t>
      </w:r>
      <w:r w:rsidR="005752E4" w:rsidRPr="00F85A58">
        <w:rPr>
          <w:rFonts w:cs="Arial"/>
          <w:lang w:val="fr-FR"/>
        </w:rPr>
        <w:t xml:space="preserve"> le TWV</w:t>
      </w:r>
      <w:r w:rsidRPr="00F85A58">
        <w:rPr>
          <w:rFonts w:cs="Arial"/>
          <w:lang w:val="fr-FR"/>
        </w:rPr>
        <w:t xml:space="preserve"> </w:t>
      </w:r>
      <w:r w:rsidR="00715DDD" w:rsidRPr="00F85A58">
        <w:rPr>
          <w:rFonts w:cs="Arial"/>
          <w:lang w:val="fr-FR"/>
        </w:rPr>
        <w:t>que les principes directeurs d</w:t>
      </w:r>
      <w:r w:rsidR="005752E4" w:rsidRPr="00F85A58">
        <w:rPr>
          <w:rFonts w:cs="Arial"/>
          <w:lang w:val="fr-FR"/>
        </w:rPr>
        <w:t>’</w:t>
      </w:r>
      <w:r w:rsidR="00715DDD" w:rsidRPr="00F85A58">
        <w:rPr>
          <w:rFonts w:cs="Arial"/>
          <w:lang w:val="fr-FR"/>
        </w:rPr>
        <w:t>examen de l</w:t>
      </w:r>
      <w:r w:rsidR="005752E4" w:rsidRPr="00F85A58">
        <w:rPr>
          <w:rFonts w:cs="Arial"/>
          <w:lang w:val="fr-FR"/>
        </w:rPr>
        <w:t>’</w:t>
      </w:r>
      <w:r w:rsidRPr="00F85A58">
        <w:rPr>
          <w:rFonts w:cs="Arial"/>
          <w:lang w:val="fr-FR"/>
        </w:rPr>
        <w:t xml:space="preserve">UPOV </w:t>
      </w:r>
      <w:r w:rsidR="00715DDD" w:rsidRPr="00F85A58">
        <w:rPr>
          <w:rFonts w:cs="Arial"/>
          <w:lang w:val="fr-FR"/>
        </w:rPr>
        <w:t>ont pour objet l</w:t>
      </w:r>
      <w:r w:rsidR="005752E4" w:rsidRPr="00F85A58">
        <w:rPr>
          <w:rFonts w:cs="Arial"/>
          <w:lang w:val="fr-FR"/>
        </w:rPr>
        <w:t>’</w:t>
      </w:r>
      <w:r w:rsidR="00715DDD" w:rsidRPr="00F85A58">
        <w:rPr>
          <w:rFonts w:cs="Arial"/>
          <w:lang w:val="fr-FR"/>
        </w:rPr>
        <w:t>harmonisation internationale et qu</w:t>
      </w:r>
      <w:r w:rsidR="005752E4" w:rsidRPr="00F85A58">
        <w:rPr>
          <w:rFonts w:cs="Arial"/>
          <w:lang w:val="fr-FR"/>
        </w:rPr>
        <w:t>’</w:t>
      </w:r>
      <w:r w:rsidR="00715DDD" w:rsidRPr="00F85A58">
        <w:rPr>
          <w:rFonts w:cs="Arial"/>
          <w:lang w:val="fr-FR"/>
        </w:rPr>
        <w:t xml:space="preserve">il ne souhaitait </w:t>
      </w:r>
      <w:r w:rsidR="003A7C13" w:rsidRPr="00F85A58">
        <w:rPr>
          <w:rFonts w:cs="Arial"/>
          <w:lang w:val="fr-FR"/>
        </w:rPr>
        <w:t xml:space="preserve">donc </w:t>
      </w:r>
      <w:r w:rsidR="00715DDD" w:rsidRPr="00F85A58">
        <w:rPr>
          <w:rFonts w:cs="Arial"/>
          <w:lang w:val="fr-FR"/>
        </w:rPr>
        <w:t xml:space="preserve">pas que </w:t>
      </w:r>
      <w:r w:rsidR="003A7C13" w:rsidRPr="00F85A58">
        <w:rPr>
          <w:rFonts w:cs="Arial"/>
          <w:lang w:val="fr-FR"/>
        </w:rPr>
        <w:t>l</w:t>
      </w:r>
      <w:r w:rsidR="005752E4" w:rsidRPr="00F85A58">
        <w:rPr>
          <w:rFonts w:cs="Arial"/>
          <w:lang w:val="fr-FR"/>
        </w:rPr>
        <w:t>’</w:t>
      </w:r>
      <w:r w:rsidR="003A7C13" w:rsidRPr="00F85A58">
        <w:rPr>
          <w:rFonts w:cs="Arial"/>
          <w:lang w:val="fr-FR"/>
        </w:rPr>
        <w:t>élaboration de séries régionales de variétés indiquées à titre d</w:t>
      </w:r>
      <w:r w:rsidR="005752E4" w:rsidRPr="00F85A58">
        <w:rPr>
          <w:rFonts w:cs="Arial"/>
          <w:lang w:val="fr-FR"/>
        </w:rPr>
        <w:t>’</w:t>
      </w:r>
      <w:r w:rsidR="003A7C13" w:rsidRPr="00F85A58">
        <w:rPr>
          <w:rFonts w:cs="Arial"/>
          <w:lang w:val="fr-FR"/>
        </w:rPr>
        <w:t>exemple</w:t>
      </w:r>
      <w:r w:rsidRPr="00F85A58">
        <w:rPr>
          <w:rFonts w:cs="Arial"/>
          <w:lang w:val="fr-FR"/>
        </w:rPr>
        <w:t xml:space="preserve"> </w:t>
      </w:r>
      <w:r w:rsidR="003A7C13" w:rsidRPr="00F85A58">
        <w:rPr>
          <w:rFonts w:cs="Arial"/>
          <w:lang w:val="fr-FR"/>
        </w:rPr>
        <w:t>devienne une pratique couran</w:t>
      </w:r>
      <w:r w:rsidR="00F85A58" w:rsidRPr="00F85A58">
        <w:rPr>
          <w:rFonts w:cs="Arial"/>
          <w:lang w:val="fr-FR"/>
        </w:rPr>
        <w:t>te.  To</w:t>
      </w:r>
      <w:r w:rsidR="003A7C13" w:rsidRPr="00F85A58">
        <w:rPr>
          <w:rFonts w:cs="Arial"/>
          <w:lang w:val="fr-FR"/>
        </w:rPr>
        <w:t>utefois</w:t>
      </w:r>
      <w:r w:rsidRPr="00F85A58">
        <w:rPr>
          <w:rFonts w:cs="Arial"/>
          <w:lang w:val="fr-FR"/>
        </w:rPr>
        <w:t>,</w:t>
      </w:r>
      <w:r w:rsidR="005752E4" w:rsidRPr="00F85A58">
        <w:rPr>
          <w:rFonts w:cs="Arial"/>
          <w:lang w:val="fr-FR"/>
        </w:rPr>
        <w:t xml:space="preserve"> le TWF</w:t>
      </w:r>
      <w:r w:rsidRPr="00F85A58">
        <w:rPr>
          <w:rFonts w:cs="Arial"/>
          <w:lang w:val="fr-FR"/>
        </w:rPr>
        <w:t xml:space="preserve"> </w:t>
      </w:r>
      <w:r w:rsidR="003A7C13" w:rsidRPr="00F85A58">
        <w:rPr>
          <w:rFonts w:cs="Arial"/>
          <w:lang w:val="fr-FR"/>
        </w:rPr>
        <w:t>est convenu que lorsque les variétés indiquées à titre d</w:t>
      </w:r>
      <w:r w:rsidR="005752E4" w:rsidRPr="00F85A58">
        <w:rPr>
          <w:rFonts w:cs="Arial"/>
          <w:lang w:val="fr-FR"/>
        </w:rPr>
        <w:t>’</w:t>
      </w:r>
      <w:r w:rsidR="003A7C13" w:rsidRPr="00F85A58">
        <w:rPr>
          <w:rFonts w:cs="Arial"/>
          <w:lang w:val="fr-FR"/>
        </w:rPr>
        <w:t>exemple n</w:t>
      </w:r>
      <w:r w:rsidR="005752E4" w:rsidRPr="00F85A58">
        <w:rPr>
          <w:rFonts w:cs="Arial"/>
          <w:lang w:val="fr-FR"/>
        </w:rPr>
        <w:t>’</w:t>
      </w:r>
      <w:r w:rsidR="003A7C13" w:rsidRPr="00F85A58">
        <w:rPr>
          <w:rFonts w:cs="Arial"/>
          <w:lang w:val="fr-FR"/>
        </w:rPr>
        <w:t>étaient pas disponibles ou qu</w:t>
      </w:r>
      <w:r w:rsidR="005752E4" w:rsidRPr="00F85A58">
        <w:rPr>
          <w:rFonts w:cs="Arial"/>
          <w:lang w:val="fr-FR"/>
        </w:rPr>
        <w:t>’</w:t>
      </w:r>
      <w:r w:rsidR="003A7C13" w:rsidRPr="00F85A58">
        <w:rPr>
          <w:rFonts w:cs="Arial"/>
          <w:lang w:val="fr-FR"/>
        </w:rPr>
        <w:t xml:space="preserve">elles ne convenaient pas à la mise en culture pour une région géographique en particulier, les </w:t>
      </w:r>
      <w:r w:rsidR="00F25A25" w:rsidRPr="00F85A58">
        <w:rPr>
          <w:rFonts w:cs="Arial"/>
          <w:lang w:val="fr-FR"/>
        </w:rPr>
        <w:t>informations</w:t>
      </w:r>
      <w:r w:rsidR="003A7C13" w:rsidRPr="00F85A58">
        <w:rPr>
          <w:rFonts w:cs="Arial"/>
          <w:lang w:val="fr-FR"/>
        </w:rPr>
        <w:t xml:space="preserve"> existantes sur les variétés indiquées à titre d</w:t>
      </w:r>
      <w:r w:rsidR="005752E4" w:rsidRPr="00F85A58">
        <w:rPr>
          <w:rFonts w:cs="Arial"/>
          <w:lang w:val="fr-FR"/>
        </w:rPr>
        <w:t>’</w:t>
      </w:r>
      <w:r w:rsidR="003A7C13" w:rsidRPr="00F85A58">
        <w:rPr>
          <w:rFonts w:cs="Arial"/>
          <w:lang w:val="fr-FR"/>
        </w:rPr>
        <w:t>exemple utilisées dans des régions différentes facilitaient l</w:t>
      </w:r>
      <w:r w:rsidR="005752E4" w:rsidRPr="00F85A58">
        <w:rPr>
          <w:rFonts w:cs="Arial"/>
          <w:lang w:val="fr-FR"/>
        </w:rPr>
        <w:t>’</w:t>
      </w:r>
      <w:r w:rsidR="003A7C13" w:rsidRPr="00F85A58">
        <w:rPr>
          <w:rFonts w:cs="Arial"/>
          <w:lang w:val="fr-FR"/>
        </w:rPr>
        <w:t>interprétation des résultats de l</w:t>
      </w:r>
      <w:r w:rsidR="005752E4" w:rsidRPr="00F85A58">
        <w:rPr>
          <w:rFonts w:cs="Arial"/>
          <w:lang w:val="fr-FR"/>
        </w:rPr>
        <w:t>’</w:t>
      </w:r>
      <w:r w:rsidR="003A7C13" w:rsidRPr="00F85A58">
        <w:rPr>
          <w:rFonts w:cs="Arial"/>
          <w:lang w:val="fr-FR"/>
        </w:rPr>
        <w:t>examen</w:t>
      </w:r>
      <w:r w:rsidR="00342006" w:rsidRPr="00F85A58">
        <w:rPr>
          <w:rFonts w:cs="Arial"/>
          <w:lang w:val="fr-FR"/>
        </w:rPr>
        <w:t> </w:t>
      </w:r>
      <w:r w:rsidR="003A7C13" w:rsidRPr="00F85A58">
        <w:rPr>
          <w:rFonts w:cs="Arial"/>
          <w:lang w:val="fr-FR"/>
        </w:rPr>
        <w:t>DHS, ainsi que l</w:t>
      </w:r>
      <w:r w:rsidR="005752E4" w:rsidRPr="00F85A58">
        <w:rPr>
          <w:rFonts w:cs="Arial"/>
          <w:lang w:val="fr-FR"/>
        </w:rPr>
        <w:t>’</w:t>
      </w:r>
      <w:r w:rsidR="003A7C13" w:rsidRPr="00F85A58">
        <w:rPr>
          <w:rFonts w:cs="Arial"/>
          <w:lang w:val="fr-FR"/>
        </w:rPr>
        <w:t>utilisation des descriptions variétales aux fins de l</w:t>
      </w:r>
      <w:r w:rsidR="005752E4" w:rsidRPr="00F85A58">
        <w:rPr>
          <w:rFonts w:cs="Arial"/>
          <w:lang w:val="fr-FR"/>
        </w:rPr>
        <w:t>’</w:t>
      </w:r>
      <w:r w:rsidR="003A7C13" w:rsidRPr="00F85A58">
        <w:rPr>
          <w:rFonts w:cs="Arial"/>
          <w:lang w:val="fr-FR"/>
        </w:rPr>
        <w:t>examen de la distinction</w:t>
      </w:r>
      <w:r w:rsidRPr="00F85A58">
        <w:rPr>
          <w:rFonts w:cs="Arial"/>
          <w:snapToGrid w:val="0"/>
          <w:lang w:val="fr-FR"/>
        </w:rPr>
        <w:t>.</w:t>
      </w:r>
    </w:p>
    <w:p w:rsidR="00BA14DE" w:rsidRPr="00F85A58" w:rsidRDefault="00BA14DE" w:rsidP="00CA4227">
      <w:pPr>
        <w:rPr>
          <w:rFonts w:cs="Arial"/>
          <w:lang w:val="fr-FR"/>
        </w:rPr>
      </w:pPr>
    </w:p>
    <w:p w:rsidR="00BA14DE" w:rsidRPr="00F85A58" w:rsidRDefault="00CA4227" w:rsidP="001437A1">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487549" w:rsidRPr="00F85A58">
        <w:rPr>
          <w:rFonts w:cs="Arial"/>
          <w:lang w:val="fr-FR"/>
        </w:rPr>
        <w:t>Le</w:t>
      </w:r>
      <w:r w:rsidR="001437A1" w:rsidRPr="00F85A58">
        <w:rPr>
          <w:rFonts w:cs="Arial"/>
          <w:lang w:val="fr-FR"/>
        </w:rPr>
        <w:t xml:space="preserve"> TWF </w:t>
      </w:r>
      <w:r w:rsidR="00487549" w:rsidRPr="00F85A58">
        <w:rPr>
          <w:rFonts w:cs="Arial"/>
          <w:lang w:val="fr-FR"/>
        </w:rPr>
        <w:t>a examiné</w:t>
      </w:r>
      <w:r w:rsidR="001437A1" w:rsidRPr="00F85A58">
        <w:rPr>
          <w:rFonts w:cs="Arial"/>
          <w:lang w:val="fr-FR"/>
        </w:rPr>
        <w:t xml:space="preserve"> le document TWF/46/15 “Révision du document TGP/8</w:t>
      </w:r>
      <w:r w:rsidR="00342006" w:rsidRPr="00F85A58">
        <w:rPr>
          <w:rFonts w:cs="Arial"/>
          <w:lang w:val="fr-FR"/>
        </w:rPr>
        <w:t> </w:t>
      </w:r>
      <w:r w:rsidR="001437A1" w:rsidRPr="00F85A58">
        <w:rPr>
          <w:rFonts w:cs="Arial"/>
          <w:lang w:val="fr-FR"/>
        </w:rPr>
        <w:t>: première partie</w:t>
      </w:r>
      <w:r w:rsidR="00342006" w:rsidRPr="00F85A58">
        <w:rPr>
          <w:rFonts w:cs="Arial"/>
          <w:lang w:val="fr-FR"/>
        </w:rPr>
        <w:t> </w:t>
      </w:r>
      <w:r w:rsidR="001437A1" w:rsidRPr="00F85A58">
        <w:rPr>
          <w:rFonts w:cs="Arial"/>
          <w:lang w:val="fr-FR"/>
        </w:rPr>
        <w:t>: Protocole d</w:t>
      </w:r>
      <w:r w:rsidR="005752E4" w:rsidRPr="00F85A58">
        <w:rPr>
          <w:rFonts w:cs="Arial"/>
          <w:lang w:val="fr-FR"/>
        </w:rPr>
        <w:t>’</w:t>
      </w:r>
      <w:r w:rsidR="001437A1" w:rsidRPr="00F85A58">
        <w:rPr>
          <w:rFonts w:cs="Arial"/>
          <w:lang w:val="fr-FR"/>
        </w:rPr>
        <w:t>essai DHS et analyse des données, nouvelle section</w:t>
      </w:r>
      <w:r w:rsidR="00342006" w:rsidRPr="00F85A58">
        <w:rPr>
          <w:rFonts w:cs="Arial"/>
          <w:lang w:val="fr-FR"/>
        </w:rPr>
        <w:t> </w:t>
      </w:r>
      <w:r w:rsidR="001437A1" w:rsidRPr="00F85A58">
        <w:rPr>
          <w:rFonts w:cs="Arial"/>
          <w:lang w:val="fr-FR"/>
        </w:rPr>
        <w:t>: Réduction optimale de la variation due à différents observateurs”.</w:t>
      </w:r>
      <w:r w:rsidRPr="00F85A58">
        <w:rPr>
          <w:lang w:val="fr-FR"/>
        </w:rPr>
        <w:t xml:space="preserve"> </w:t>
      </w:r>
      <w:r w:rsidR="00D975AB" w:rsidRPr="00F85A58">
        <w:rPr>
          <w:lang w:val="fr-FR"/>
        </w:rPr>
        <w:t xml:space="preserve"> </w:t>
      </w:r>
      <w:r w:rsidR="009F1042" w:rsidRPr="00F85A58">
        <w:rPr>
          <w:lang w:val="fr-FR"/>
        </w:rPr>
        <w:t>M. </w:t>
      </w:r>
      <w:r w:rsidR="009F1042" w:rsidRPr="00F85A58">
        <w:rPr>
          <w:rFonts w:cs="Arial"/>
          <w:lang w:val="fr-FR"/>
        </w:rPr>
        <w:t>Nik Hulse (Australie) a fourni des renseignements</w:t>
      </w:r>
      <w:r w:rsidR="005752E4" w:rsidRPr="00F85A58">
        <w:rPr>
          <w:rFonts w:cs="Arial"/>
          <w:lang w:val="fr-FR"/>
        </w:rPr>
        <w:t xml:space="preserve"> au TWF</w:t>
      </w:r>
      <w:r w:rsidRPr="00F85A58">
        <w:rPr>
          <w:rFonts w:cs="Arial"/>
          <w:lang w:val="fr-FR"/>
        </w:rPr>
        <w:t xml:space="preserve"> </w:t>
      </w:r>
      <w:r w:rsidR="00277774" w:rsidRPr="00F85A58">
        <w:rPr>
          <w:rFonts w:cs="Arial"/>
          <w:lang w:val="fr-FR"/>
        </w:rPr>
        <w:t>sur</w:t>
      </w:r>
      <w:r w:rsidR="009F1042" w:rsidRPr="00F85A58">
        <w:rPr>
          <w:rFonts w:cs="Arial"/>
          <w:lang w:val="fr-FR"/>
        </w:rPr>
        <w:t xml:space="preserve"> des propositions d</w:t>
      </w:r>
      <w:r w:rsidR="005752E4" w:rsidRPr="00F85A58">
        <w:rPr>
          <w:rFonts w:cs="Arial"/>
          <w:lang w:val="fr-FR"/>
        </w:rPr>
        <w:t>’</w:t>
      </w:r>
      <w:r w:rsidR="009F1042" w:rsidRPr="00F85A58">
        <w:rPr>
          <w:rFonts w:cs="Arial"/>
          <w:lang w:val="fr-FR"/>
        </w:rPr>
        <w:t xml:space="preserve">orientations concernant </w:t>
      </w:r>
      <w:r w:rsidR="00277774" w:rsidRPr="00F85A58">
        <w:rPr>
          <w:rFonts w:cs="Arial"/>
          <w:lang w:val="fr-FR"/>
        </w:rPr>
        <w:t xml:space="preserve">la </w:t>
      </w:r>
      <w:r w:rsidRPr="00F85A58">
        <w:rPr>
          <w:rFonts w:cs="Arial"/>
          <w:lang w:val="fr-FR"/>
        </w:rPr>
        <w:t>“</w:t>
      </w:r>
      <w:r w:rsidR="00277774" w:rsidRPr="00F85A58">
        <w:rPr>
          <w:rFonts w:cs="Arial"/>
          <w:lang w:val="fr-FR"/>
        </w:rPr>
        <w:t>r</w:t>
      </w:r>
      <w:r w:rsidR="009F1042" w:rsidRPr="00F85A58">
        <w:rPr>
          <w:rFonts w:cs="Arial"/>
          <w:lang w:val="fr-FR"/>
        </w:rPr>
        <w:t>éduction optimale de la variation due à différents observateurs lors d</w:t>
      </w:r>
      <w:r w:rsidR="005752E4" w:rsidRPr="00F85A58">
        <w:rPr>
          <w:rFonts w:cs="Arial"/>
          <w:lang w:val="fr-FR"/>
        </w:rPr>
        <w:t>’</w:t>
      </w:r>
      <w:r w:rsidR="009F1042" w:rsidRPr="00F85A58">
        <w:rPr>
          <w:rFonts w:cs="Arial"/>
          <w:lang w:val="fr-FR"/>
        </w:rPr>
        <w:t>un même essai</w:t>
      </w:r>
      <w:r w:rsidRPr="00F85A58">
        <w:rPr>
          <w:rFonts w:cs="Arial"/>
          <w:lang w:val="fr-FR"/>
        </w:rPr>
        <w:t>.”</w:t>
      </w:r>
      <w:r w:rsidR="005752E4" w:rsidRPr="00F85A58">
        <w:rPr>
          <w:rFonts w:cs="Arial"/>
          <w:lang w:val="fr-FR"/>
        </w:rPr>
        <w:t xml:space="preserve"> </w:t>
      </w:r>
      <w:r w:rsidR="00342006" w:rsidRPr="00F85A58">
        <w:rPr>
          <w:rFonts w:cs="Arial"/>
          <w:lang w:val="fr-FR"/>
        </w:rPr>
        <w:t xml:space="preserve"> </w:t>
      </w:r>
      <w:r w:rsidR="005752E4" w:rsidRPr="00F85A58">
        <w:rPr>
          <w:rFonts w:cs="Arial"/>
          <w:lang w:val="fr-FR"/>
        </w:rPr>
        <w:t>Le TWF</w:t>
      </w:r>
      <w:r w:rsidRPr="00F85A58">
        <w:rPr>
          <w:rFonts w:cs="Arial"/>
          <w:lang w:val="fr-FR"/>
        </w:rPr>
        <w:t xml:space="preserve"> </w:t>
      </w:r>
      <w:r w:rsidR="00277774" w:rsidRPr="00F85A58">
        <w:rPr>
          <w:rFonts w:cs="Arial"/>
          <w:lang w:val="fr-FR"/>
        </w:rPr>
        <w:t>a approuvé le projet d</w:t>
      </w:r>
      <w:r w:rsidR="005752E4" w:rsidRPr="00F85A58">
        <w:rPr>
          <w:rFonts w:cs="Arial"/>
          <w:lang w:val="fr-FR"/>
        </w:rPr>
        <w:t>’</w:t>
      </w:r>
      <w:r w:rsidR="00277774" w:rsidRPr="00F85A58">
        <w:rPr>
          <w:rFonts w:cs="Arial"/>
          <w:lang w:val="fr-FR"/>
        </w:rPr>
        <w:t xml:space="preserve">orientations figurant en annexe du </w:t>
      </w:r>
      <w:r w:rsidRPr="00F85A58">
        <w:rPr>
          <w:rFonts w:cs="Arial"/>
          <w:lang w:val="fr-FR"/>
        </w:rPr>
        <w:t xml:space="preserve">document TWF/46/15, </w:t>
      </w:r>
      <w:r w:rsidR="00277774" w:rsidRPr="00F85A58">
        <w:rPr>
          <w:rFonts w:cs="Arial"/>
          <w:lang w:val="fr-FR"/>
        </w:rPr>
        <w:t xml:space="preserve">pour inclusion dans une future </w:t>
      </w:r>
      <w:r w:rsidR="002B46EB" w:rsidRPr="00F85A58">
        <w:rPr>
          <w:rFonts w:cs="Arial"/>
          <w:lang w:val="fr-FR"/>
        </w:rPr>
        <w:t>v</w:t>
      </w:r>
      <w:r w:rsidR="00277774" w:rsidRPr="00F85A58">
        <w:rPr>
          <w:rFonts w:cs="Arial"/>
          <w:lang w:val="fr-FR"/>
        </w:rPr>
        <w:t>ersion révisée du d</w:t>
      </w:r>
      <w:r w:rsidRPr="00F85A58">
        <w:rPr>
          <w:rFonts w:cs="Arial"/>
          <w:lang w:val="fr-FR"/>
        </w:rPr>
        <w:t xml:space="preserve">ocument TGP/8 </w:t>
      </w:r>
      <w:r w:rsidR="00277774" w:rsidRPr="00F85A58">
        <w:rPr>
          <w:rFonts w:cs="Arial"/>
          <w:lang w:val="fr-FR"/>
        </w:rPr>
        <w:t>concernant la réduction optimale de la variation due à différents observateurs</w:t>
      </w:r>
      <w:r w:rsidRPr="00F85A58">
        <w:rPr>
          <w:rFonts w:cs="Arial"/>
          <w:lang w:val="fr-FR"/>
        </w:rPr>
        <w:t xml:space="preserve">, </w:t>
      </w:r>
      <w:r w:rsidR="00277774" w:rsidRPr="00F85A58">
        <w:rPr>
          <w:rFonts w:cs="Arial"/>
          <w:lang w:val="fr-FR"/>
        </w:rPr>
        <w:t xml:space="preserve">sous réserve </w:t>
      </w:r>
      <w:r w:rsidR="002B46EB" w:rsidRPr="00F85A58">
        <w:rPr>
          <w:rFonts w:cs="Arial"/>
          <w:lang w:val="fr-FR"/>
        </w:rPr>
        <w:t>de la modification d</w:t>
      </w:r>
      <w:r w:rsidR="005752E4" w:rsidRPr="00F85A58">
        <w:rPr>
          <w:rFonts w:cs="Arial"/>
          <w:lang w:val="fr-FR"/>
        </w:rPr>
        <w:t>’</w:t>
      </w:r>
      <w:r w:rsidR="002B46EB" w:rsidRPr="00F85A58">
        <w:rPr>
          <w:rFonts w:cs="Arial"/>
          <w:lang w:val="fr-FR"/>
        </w:rPr>
        <w:t xml:space="preserve">ordre rédactionnel figurant au </w:t>
      </w:r>
      <w:r w:rsidRPr="00F85A58">
        <w:rPr>
          <w:rFonts w:cs="Arial"/>
          <w:lang w:val="fr-FR"/>
        </w:rPr>
        <w:t>paragraph</w:t>
      </w:r>
      <w:r w:rsidR="002B46EB" w:rsidRPr="00F85A58">
        <w:rPr>
          <w:rFonts w:cs="Arial"/>
          <w:lang w:val="fr-FR"/>
        </w:rPr>
        <w:t>e </w:t>
      </w:r>
      <w:r w:rsidRPr="00F85A58">
        <w:rPr>
          <w:rFonts w:cs="Arial"/>
          <w:lang w:val="fr-FR"/>
        </w:rPr>
        <w:t xml:space="preserve">39 </w:t>
      </w:r>
      <w:r w:rsidR="002B46EB" w:rsidRPr="00F85A58">
        <w:rPr>
          <w:rFonts w:cs="Arial"/>
          <w:lang w:val="fr-FR"/>
        </w:rPr>
        <w:t xml:space="preserve">du </w:t>
      </w:r>
      <w:r w:rsidR="005752E4" w:rsidRPr="00F85A58">
        <w:rPr>
          <w:rFonts w:cs="Arial"/>
          <w:lang w:val="fr-FR"/>
        </w:rPr>
        <w:t>document TW</w:t>
      </w:r>
      <w:r w:rsidRPr="00F85A58">
        <w:rPr>
          <w:rFonts w:cs="Arial"/>
          <w:lang w:val="fr-FR"/>
        </w:rPr>
        <w:t>F/46/29</w:t>
      </w:r>
      <w:r w:rsidR="00342006" w:rsidRPr="00F85A58">
        <w:rPr>
          <w:rFonts w:cs="Arial"/>
          <w:lang w:val="fr-FR"/>
        </w:rPr>
        <w:t> </w:t>
      </w:r>
      <w:proofErr w:type="spellStart"/>
      <w:r w:rsidRPr="00F85A58">
        <w:rPr>
          <w:rFonts w:cs="Arial"/>
          <w:lang w:val="fr-FR"/>
        </w:rPr>
        <w:t>R</w:t>
      </w:r>
      <w:r w:rsidR="00F85A58" w:rsidRPr="00F85A58">
        <w:rPr>
          <w:rFonts w:cs="Arial"/>
          <w:lang w:val="fr-FR"/>
        </w:rPr>
        <w:t>ev</w:t>
      </w:r>
      <w:proofErr w:type="spellEnd"/>
      <w:r w:rsidR="00F85A58" w:rsidRPr="00F85A58">
        <w:rPr>
          <w:rFonts w:cs="Arial"/>
          <w:lang w:val="fr-FR"/>
        </w:rPr>
        <w:t>.  Le</w:t>
      </w:r>
      <w:r w:rsidR="005752E4" w:rsidRPr="00F85A58">
        <w:rPr>
          <w:rFonts w:cs="Arial"/>
          <w:lang w:val="fr-FR"/>
        </w:rPr>
        <w:t> TWF</w:t>
      </w:r>
      <w:r w:rsidR="00D975AB" w:rsidRPr="00F85A58">
        <w:rPr>
          <w:rFonts w:cs="Arial"/>
          <w:lang w:val="fr-FR"/>
        </w:rPr>
        <w:t xml:space="preserve"> </w:t>
      </w:r>
      <w:r w:rsidR="002B46EB" w:rsidRPr="00F85A58">
        <w:rPr>
          <w:rFonts w:cs="Arial"/>
          <w:lang w:val="fr-FR"/>
        </w:rPr>
        <w:t>a rappelé que</w:t>
      </w:r>
      <w:r w:rsidR="00D975AB" w:rsidRPr="00F85A58">
        <w:rPr>
          <w:rFonts w:cs="Arial"/>
          <w:lang w:val="fr-FR"/>
        </w:rPr>
        <w:t xml:space="preserve">, </w:t>
      </w:r>
      <w:r w:rsidR="002B46EB" w:rsidRPr="00F85A58">
        <w:rPr>
          <w:rFonts w:cs="Arial"/>
          <w:lang w:val="fr-FR"/>
        </w:rPr>
        <w:t>à sa quarante</w:t>
      </w:r>
      <w:r w:rsidR="00F85A58" w:rsidRPr="00F85A58">
        <w:rPr>
          <w:rFonts w:cs="Arial"/>
          <w:lang w:val="fr-FR"/>
        </w:rPr>
        <w:noBreakHyphen/>
      </w:r>
      <w:r w:rsidR="002B46EB" w:rsidRPr="00F85A58">
        <w:rPr>
          <w:rFonts w:cs="Arial"/>
          <w:lang w:val="fr-FR"/>
        </w:rPr>
        <w:t>cinquième</w:t>
      </w:r>
      <w:r w:rsidR="00342006" w:rsidRPr="00F85A58">
        <w:rPr>
          <w:rFonts w:cs="Arial"/>
          <w:lang w:val="fr-FR"/>
        </w:rPr>
        <w:t> </w:t>
      </w:r>
      <w:r w:rsidR="002B46EB" w:rsidRPr="00F85A58">
        <w:rPr>
          <w:rFonts w:cs="Arial"/>
          <w:lang w:val="fr-FR"/>
        </w:rPr>
        <w:t>session, il était convenu de l</w:t>
      </w:r>
      <w:r w:rsidR="005752E4" w:rsidRPr="00F85A58">
        <w:rPr>
          <w:rFonts w:cs="Arial"/>
          <w:lang w:val="fr-FR"/>
        </w:rPr>
        <w:t>’</w:t>
      </w:r>
      <w:r w:rsidR="002B46EB" w:rsidRPr="00F85A58">
        <w:rPr>
          <w:rFonts w:cs="Arial"/>
          <w:lang w:val="fr-FR"/>
        </w:rPr>
        <w:t xml:space="preserve">importance de la réduction optimale de la variation </w:t>
      </w:r>
      <w:r w:rsidR="00F25A25" w:rsidRPr="00F85A58">
        <w:rPr>
          <w:rFonts w:cs="Arial"/>
          <w:lang w:val="fr-FR"/>
        </w:rPr>
        <w:t>entre</w:t>
      </w:r>
      <w:r w:rsidR="002B46EB" w:rsidRPr="00F85A58">
        <w:rPr>
          <w:rFonts w:cs="Arial"/>
          <w:lang w:val="fr-FR"/>
        </w:rPr>
        <w:t xml:space="preserve"> observateurs</w:t>
      </w:r>
      <w:r w:rsidR="00D975AB" w:rsidRPr="00F85A58">
        <w:rPr>
          <w:rFonts w:cs="Arial"/>
          <w:lang w:val="fr-FR"/>
        </w:rPr>
        <w:t xml:space="preserve"> </w:t>
      </w:r>
      <w:r w:rsidR="002B46EB" w:rsidRPr="00F85A58">
        <w:rPr>
          <w:rFonts w:cs="Arial"/>
          <w:lang w:val="fr-FR"/>
        </w:rPr>
        <w:t>et également entre services et qu</w:t>
      </w:r>
      <w:r w:rsidR="005752E4" w:rsidRPr="00F85A58">
        <w:rPr>
          <w:rFonts w:cs="Arial"/>
          <w:lang w:val="fr-FR"/>
        </w:rPr>
        <w:t>’</w:t>
      </w:r>
      <w:r w:rsidR="002B46EB" w:rsidRPr="00F85A58">
        <w:rPr>
          <w:rFonts w:cs="Arial"/>
          <w:lang w:val="fr-FR"/>
        </w:rPr>
        <w:t xml:space="preserve">il avait </w:t>
      </w:r>
      <w:r w:rsidR="00F25A25" w:rsidRPr="00F85A58">
        <w:rPr>
          <w:rFonts w:cs="Arial"/>
          <w:lang w:val="fr-FR"/>
        </w:rPr>
        <w:t>suggéré</w:t>
      </w:r>
      <w:r w:rsidR="002B46EB" w:rsidRPr="00F85A58">
        <w:rPr>
          <w:rFonts w:cs="Arial"/>
          <w:lang w:val="fr-FR"/>
        </w:rPr>
        <w:t xml:space="preserve"> d</w:t>
      </w:r>
      <w:r w:rsidR="005752E4" w:rsidRPr="00F85A58">
        <w:rPr>
          <w:rFonts w:cs="Arial"/>
          <w:lang w:val="fr-FR"/>
        </w:rPr>
        <w:t>’</w:t>
      </w:r>
      <w:r w:rsidR="00F25A25" w:rsidRPr="00F85A58">
        <w:rPr>
          <w:rFonts w:cs="Arial"/>
          <w:lang w:val="fr-FR"/>
        </w:rPr>
        <w:t>examiner</w:t>
      </w:r>
      <w:r w:rsidR="002B46EB" w:rsidRPr="00F85A58">
        <w:rPr>
          <w:rFonts w:cs="Arial"/>
          <w:lang w:val="fr-FR"/>
        </w:rPr>
        <w:t xml:space="preserve"> la possibilité </w:t>
      </w:r>
      <w:r w:rsidR="00697E48" w:rsidRPr="00F85A58">
        <w:rPr>
          <w:rFonts w:cs="Arial"/>
          <w:lang w:val="fr-FR"/>
        </w:rPr>
        <w:t>d</w:t>
      </w:r>
      <w:r w:rsidR="005752E4" w:rsidRPr="00F85A58">
        <w:rPr>
          <w:rFonts w:cs="Arial"/>
          <w:lang w:val="fr-FR"/>
        </w:rPr>
        <w:t>’</w:t>
      </w:r>
      <w:r w:rsidR="00697E48" w:rsidRPr="00F85A58">
        <w:rPr>
          <w:rFonts w:cs="Arial"/>
          <w:lang w:val="fr-FR"/>
        </w:rPr>
        <w:t>entreprendre un projet concernant l</w:t>
      </w:r>
      <w:r w:rsidR="005752E4" w:rsidRPr="00F85A58">
        <w:rPr>
          <w:rFonts w:cs="Arial"/>
          <w:lang w:val="fr-FR"/>
        </w:rPr>
        <w:t>’</w:t>
      </w:r>
      <w:r w:rsidR="00697E48" w:rsidRPr="00F85A58">
        <w:rPr>
          <w:rFonts w:cs="Arial"/>
          <w:lang w:val="fr-FR"/>
        </w:rPr>
        <w:t>harmonisation des descriptions variétales pour un ensemble convenu de variétés</w:t>
      </w:r>
      <w:r w:rsidR="00D975AB" w:rsidRPr="00F85A58">
        <w:rPr>
          <w:rFonts w:cs="Arial"/>
          <w:lang w:val="fr-FR"/>
        </w:rPr>
        <w:t>.</w:t>
      </w:r>
    </w:p>
    <w:p w:rsidR="00BA14DE" w:rsidRPr="00F85A58" w:rsidRDefault="00BA14DE" w:rsidP="008B4A82">
      <w:pPr>
        <w:rPr>
          <w:rFonts w:cs="Arial"/>
          <w:lang w:val="fr-FR"/>
        </w:rPr>
      </w:pPr>
    </w:p>
    <w:p w:rsidR="005752E4" w:rsidRPr="00F85A58" w:rsidRDefault="008B4A82" w:rsidP="008B4A82">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697E48" w:rsidRPr="00F85A58">
        <w:rPr>
          <w:rFonts w:cs="Arial"/>
          <w:lang w:val="fr-FR"/>
        </w:rPr>
        <w:t xml:space="preserve">Le </w:t>
      </w:r>
      <w:r w:rsidRPr="00F85A58">
        <w:rPr>
          <w:rFonts w:cs="Arial"/>
          <w:lang w:val="fr-FR"/>
        </w:rPr>
        <w:t xml:space="preserve">TWF </w:t>
      </w:r>
      <w:r w:rsidR="00697E48" w:rsidRPr="00F85A58">
        <w:rPr>
          <w:rFonts w:cs="Arial"/>
          <w:lang w:val="fr-FR"/>
        </w:rPr>
        <w:t xml:space="preserve">a examiné le </w:t>
      </w:r>
      <w:r w:rsidRPr="00F85A58">
        <w:rPr>
          <w:rFonts w:cs="Arial"/>
          <w:lang w:val="fr-FR"/>
        </w:rPr>
        <w:t>document TWF/46/27 “</w:t>
      </w:r>
      <w:r w:rsidR="00697E48" w:rsidRPr="00F85A58">
        <w:rPr>
          <w:rFonts w:cs="Arial"/>
          <w:lang w:val="fr-FR"/>
        </w:rPr>
        <w:t>Variétés harmonisées indiquées à titre d</w:t>
      </w:r>
      <w:r w:rsidR="005752E4" w:rsidRPr="00F85A58">
        <w:rPr>
          <w:rFonts w:cs="Arial"/>
          <w:lang w:val="fr-FR"/>
        </w:rPr>
        <w:t>’</w:t>
      </w:r>
      <w:r w:rsidR="00697E48" w:rsidRPr="00F85A58">
        <w:rPr>
          <w:rFonts w:cs="Arial"/>
          <w:lang w:val="fr-FR"/>
        </w:rPr>
        <w:t>exemple pour le pommier</w:t>
      </w:r>
      <w:r w:rsidR="00342006" w:rsidRPr="00F85A58">
        <w:rPr>
          <w:rFonts w:cs="Arial"/>
          <w:lang w:val="fr-FR"/>
        </w:rPr>
        <w:t> </w:t>
      </w:r>
      <w:r w:rsidR="00697E48" w:rsidRPr="00F85A58">
        <w:rPr>
          <w:rFonts w:cs="Arial"/>
          <w:lang w:val="fr-FR"/>
        </w:rPr>
        <w:t>: données historiques et faits nouveaux éventuels</w:t>
      </w:r>
      <w:r w:rsidRPr="00F85A58">
        <w:rPr>
          <w:rFonts w:cs="Arial"/>
          <w:lang w:val="fr-FR"/>
        </w:rPr>
        <w:t>”.</w:t>
      </w:r>
      <w:r w:rsidR="00342006" w:rsidRPr="00F85A58">
        <w:rPr>
          <w:rFonts w:cs="Arial"/>
          <w:lang w:val="fr-FR"/>
        </w:rPr>
        <w:t xml:space="preserve"> </w:t>
      </w:r>
      <w:r w:rsidR="005752E4" w:rsidRPr="00F85A58">
        <w:rPr>
          <w:rFonts w:cs="Arial"/>
          <w:lang w:val="fr-FR"/>
        </w:rPr>
        <w:t xml:space="preserve"> Le TWF</w:t>
      </w:r>
      <w:r w:rsidRPr="00F85A58">
        <w:rPr>
          <w:rFonts w:cs="Arial"/>
          <w:lang w:val="fr-FR"/>
        </w:rPr>
        <w:t xml:space="preserve"> </w:t>
      </w:r>
      <w:r w:rsidR="00697E48" w:rsidRPr="00F85A58">
        <w:rPr>
          <w:rFonts w:cs="Arial"/>
          <w:lang w:val="fr-FR"/>
        </w:rPr>
        <w:t>est convenu qu</w:t>
      </w:r>
      <w:r w:rsidR="005752E4" w:rsidRPr="00F85A58">
        <w:rPr>
          <w:rFonts w:cs="Arial"/>
          <w:lang w:val="fr-FR"/>
        </w:rPr>
        <w:t>’</w:t>
      </w:r>
      <w:r w:rsidR="00697E48" w:rsidRPr="00F85A58">
        <w:rPr>
          <w:rFonts w:cs="Arial"/>
          <w:lang w:val="fr-FR"/>
        </w:rPr>
        <w:t>il serait utile d</w:t>
      </w:r>
      <w:r w:rsidR="005752E4" w:rsidRPr="00F85A58">
        <w:rPr>
          <w:rFonts w:cs="Arial"/>
          <w:lang w:val="fr-FR"/>
        </w:rPr>
        <w:t>’</w:t>
      </w:r>
      <w:r w:rsidR="00697E48" w:rsidRPr="00F85A58">
        <w:rPr>
          <w:rFonts w:cs="Arial"/>
          <w:lang w:val="fr-FR"/>
        </w:rPr>
        <w:t>élaborer des orientations concernant la réduction optimale de la variation entre services et a accepté d</w:t>
      </w:r>
      <w:r w:rsidR="005752E4" w:rsidRPr="00F85A58">
        <w:rPr>
          <w:rFonts w:cs="Arial"/>
          <w:lang w:val="fr-FR"/>
        </w:rPr>
        <w:t>’</w:t>
      </w:r>
      <w:r w:rsidR="00697E48" w:rsidRPr="00F85A58">
        <w:rPr>
          <w:rFonts w:cs="Arial"/>
          <w:lang w:val="fr-FR"/>
        </w:rPr>
        <w:t>étudier l</w:t>
      </w:r>
      <w:r w:rsidR="005752E4" w:rsidRPr="00F85A58">
        <w:rPr>
          <w:rFonts w:cs="Arial"/>
          <w:lang w:val="fr-FR"/>
        </w:rPr>
        <w:t>’</w:t>
      </w:r>
      <w:r w:rsidR="00697E48" w:rsidRPr="00F85A58">
        <w:rPr>
          <w:rFonts w:cs="Arial"/>
          <w:lang w:val="fr-FR"/>
        </w:rPr>
        <w:t>éventuelle élaboration d</w:t>
      </w:r>
      <w:r w:rsidR="005752E4" w:rsidRPr="00F85A58">
        <w:rPr>
          <w:rFonts w:cs="Arial"/>
          <w:lang w:val="fr-FR"/>
        </w:rPr>
        <w:t>’</w:t>
      </w:r>
      <w:r w:rsidR="00697E48" w:rsidRPr="00F85A58">
        <w:rPr>
          <w:rFonts w:cs="Arial"/>
          <w:lang w:val="fr-FR"/>
        </w:rPr>
        <w:t>un cahier d</w:t>
      </w:r>
      <w:r w:rsidR="005752E4" w:rsidRPr="00F85A58">
        <w:rPr>
          <w:rFonts w:cs="Arial"/>
          <w:lang w:val="fr-FR"/>
        </w:rPr>
        <w:t>’</w:t>
      </w:r>
      <w:r w:rsidR="00697E48" w:rsidRPr="00F85A58">
        <w:rPr>
          <w:rFonts w:cs="Arial"/>
          <w:lang w:val="fr-FR"/>
        </w:rPr>
        <w:t>étalonnage aux fins d</w:t>
      </w:r>
      <w:r w:rsidR="005752E4" w:rsidRPr="00F85A58">
        <w:rPr>
          <w:rFonts w:cs="Arial"/>
          <w:lang w:val="fr-FR"/>
        </w:rPr>
        <w:t>’</w:t>
      </w:r>
      <w:r w:rsidR="00697E48" w:rsidRPr="00F85A58">
        <w:rPr>
          <w:rFonts w:cs="Arial"/>
          <w:lang w:val="fr-FR"/>
        </w:rPr>
        <w:t>harmonisation des descriptions variétal</w:t>
      </w:r>
      <w:r w:rsidR="00F85A58" w:rsidRPr="00F85A58">
        <w:rPr>
          <w:rFonts w:cs="Arial"/>
          <w:lang w:val="fr-FR"/>
        </w:rPr>
        <w:t>es.  Le</w:t>
      </w:r>
      <w:r w:rsidR="005752E4" w:rsidRPr="00F85A58">
        <w:rPr>
          <w:rFonts w:cs="Arial"/>
          <w:lang w:val="fr-FR"/>
        </w:rPr>
        <w:t> TWF</w:t>
      </w:r>
      <w:r w:rsidRPr="00F85A58">
        <w:rPr>
          <w:rFonts w:cs="Arial"/>
          <w:lang w:val="fr-FR"/>
        </w:rPr>
        <w:t xml:space="preserve"> </w:t>
      </w:r>
      <w:r w:rsidR="00697E48" w:rsidRPr="00F85A58">
        <w:rPr>
          <w:rFonts w:cs="Arial"/>
          <w:lang w:val="fr-FR"/>
        </w:rPr>
        <w:t xml:space="preserve">est convenu que </w:t>
      </w:r>
      <w:r w:rsidRPr="00F85A58">
        <w:rPr>
          <w:rFonts w:cs="Arial"/>
          <w:lang w:val="fr-FR"/>
        </w:rPr>
        <w:t>M.</w:t>
      </w:r>
      <w:r w:rsidR="00697E48" w:rsidRPr="00F85A58">
        <w:rPr>
          <w:rFonts w:cs="Arial"/>
          <w:lang w:val="fr-FR"/>
        </w:rPr>
        <w:t> </w:t>
      </w:r>
      <w:r w:rsidRPr="00F85A58">
        <w:rPr>
          <w:rFonts w:cs="Arial"/>
          <w:lang w:val="fr-FR"/>
        </w:rPr>
        <w:t>Jean Maison (</w:t>
      </w:r>
      <w:r w:rsidR="00697E48" w:rsidRPr="00F85A58">
        <w:rPr>
          <w:rFonts w:cs="Arial"/>
          <w:lang w:val="fr-FR"/>
        </w:rPr>
        <w:t>U</w:t>
      </w:r>
      <w:r w:rsidRPr="00F85A58">
        <w:rPr>
          <w:rFonts w:cs="Arial"/>
          <w:lang w:val="fr-FR"/>
        </w:rPr>
        <w:t>nion</w:t>
      </w:r>
      <w:r w:rsidR="00697E48" w:rsidRPr="00F85A58">
        <w:rPr>
          <w:rFonts w:cs="Arial"/>
          <w:lang w:val="fr-FR"/>
        </w:rPr>
        <w:t xml:space="preserve"> européenne</w:t>
      </w:r>
      <w:r w:rsidRPr="00F85A58">
        <w:rPr>
          <w:rFonts w:cs="Arial"/>
          <w:lang w:val="fr-FR"/>
        </w:rPr>
        <w:t xml:space="preserve">) </w:t>
      </w:r>
      <w:r w:rsidR="005B1488" w:rsidRPr="00F85A58">
        <w:rPr>
          <w:rFonts w:cs="Arial"/>
          <w:lang w:val="fr-FR"/>
        </w:rPr>
        <w:t>serait chargé de la coordination du projet et qu</w:t>
      </w:r>
      <w:r w:rsidR="005752E4" w:rsidRPr="00F85A58">
        <w:rPr>
          <w:rFonts w:cs="Arial"/>
          <w:lang w:val="fr-FR"/>
        </w:rPr>
        <w:t>’</w:t>
      </w:r>
      <w:r w:rsidR="005B1488" w:rsidRPr="00F85A58">
        <w:rPr>
          <w:rFonts w:cs="Arial"/>
          <w:lang w:val="fr-FR"/>
        </w:rPr>
        <w:t>il effectuerait des recherches concernant les variétés ayant été décrites par différents membres de l</w:t>
      </w:r>
      <w:r w:rsidR="005752E4" w:rsidRPr="00F85A58">
        <w:rPr>
          <w:rFonts w:cs="Arial"/>
          <w:lang w:val="fr-FR"/>
        </w:rPr>
        <w:t>’</w:t>
      </w:r>
      <w:r w:rsidR="005B1488" w:rsidRPr="00F85A58">
        <w:rPr>
          <w:rFonts w:cs="Arial"/>
          <w:lang w:val="fr-FR"/>
        </w:rPr>
        <w:t xml:space="preserve">UPOV au moyen </w:t>
      </w:r>
      <w:r w:rsidR="005021EB" w:rsidRPr="00F85A58">
        <w:rPr>
          <w:rFonts w:cs="Arial"/>
          <w:lang w:val="fr-FR"/>
        </w:rPr>
        <w:t xml:space="preserve">de la version actuelle des </w:t>
      </w:r>
      <w:r w:rsidR="005B1488" w:rsidRPr="00F85A58">
        <w:rPr>
          <w:rFonts w:cs="Arial"/>
          <w:lang w:val="fr-FR"/>
        </w:rPr>
        <w:t xml:space="preserve">principes directeurs </w:t>
      </w:r>
      <w:r w:rsidR="005021EB" w:rsidRPr="00F85A58">
        <w:rPr>
          <w:rFonts w:cs="Arial"/>
          <w:lang w:val="fr-FR"/>
        </w:rPr>
        <w:t>d</w:t>
      </w:r>
      <w:r w:rsidR="005B1488" w:rsidRPr="00F85A58">
        <w:rPr>
          <w:rFonts w:cs="Arial"/>
          <w:lang w:val="fr-FR"/>
        </w:rPr>
        <w:t>u pommier</w:t>
      </w:r>
      <w:r w:rsidR="005021EB" w:rsidRPr="00F85A58">
        <w:rPr>
          <w:rFonts w:cs="Arial"/>
          <w:lang w:val="fr-FR"/>
        </w:rPr>
        <w:t>.</w:t>
      </w:r>
    </w:p>
    <w:p w:rsidR="00BA14DE" w:rsidRPr="00F85A58" w:rsidRDefault="00BA14DE" w:rsidP="008B4A82">
      <w:pPr>
        <w:rPr>
          <w:rFonts w:cs="Arial"/>
          <w:lang w:val="fr-FR"/>
        </w:rPr>
      </w:pPr>
    </w:p>
    <w:p w:rsidR="00BA14DE" w:rsidRPr="00F85A58" w:rsidRDefault="008B4A82" w:rsidP="008B4A82">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5021EB" w:rsidRPr="00F85A58">
        <w:rPr>
          <w:rFonts w:cs="Arial"/>
          <w:lang w:val="fr-FR"/>
        </w:rPr>
        <w:t xml:space="preserve">Le </w:t>
      </w:r>
      <w:r w:rsidRPr="00F85A58">
        <w:rPr>
          <w:rFonts w:cs="Arial"/>
          <w:lang w:val="fr-FR"/>
        </w:rPr>
        <w:t xml:space="preserve">TWF </w:t>
      </w:r>
      <w:r w:rsidR="005021EB" w:rsidRPr="00F85A58">
        <w:rPr>
          <w:rFonts w:cs="Arial"/>
          <w:lang w:val="fr-FR"/>
        </w:rPr>
        <w:t xml:space="preserve">a examiné le </w:t>
      </w:r>
      <w:r w:rsidRPr="00F85A58">
        <w:rPr>
          <w:rFonts w:cs="Arial"/>
          <w:lang w:val="fr-FR"/>
        </w:rPr>
        <w:t>document TWF/46/10 “</w:t>
      </w:r>
      <w:r w:rsidR="005021EB" w:rsidRPr="00F85A58">
        <w:rPr>
          <w:rFonts w:cs="Arial"/>
          <w:lang w:val="fr-FR"/>
        </w:rPr>
        <w:t>Questions concernant les descriptions variétales</w:t>
      </w:r>
      <w:r w:rsidRPr="00F85A58">
        <w:rPr>
          <w:rFonts w:cs="Arial"/>
          <w:lang w:val="fr-FR"/>
        </w:rPr>
        <w:t xml:space="preserve">” </w:t>
      </w:r>
      <w:r w:rsidR="005021EB" w:rsidRPr="00F85A58">
        <w:rPr>
          <w:rFonts w:cs="Arial"/>
          <w:lang w:val="fr-FR"/>
        </w:rPr>
        <w:t>et a suivi un exposé présenté par un expert de l</w:t>
      </w:r>
      <w:r w:rsidR="005752E4" w:rsidRPr="00F85A58">
        <w:rPr>
          <w:rFonts w:cs="Arial"/>
          <w:lang w:val="fr-FR"/>
        </w:rPr>
        <w:t>’</w:t>
      </w:r>
      <w:r w:rsidR="005021EB" w:rsidRPr="00F85A58">
        <w:rPr>
          <w:rFonts w:cs="Arial"/>
          <w:lang w:val="fr-FR"/>
        </w:rPr>
        <w:t>Union européenne sur</w:t>
      </w:r>
      <w:r w:rsidRPr="00F85A58">
        <w:rPr>
          <w:rFonts w:cs="Arial"/>
          <w:lang w:val="fr-FR"/>
        </w:rPr>
        <w:t xml:space="preserve"> “</w:t>
      </w:r>
      <w:r w:rsidR="005021EB" w:rsidRPr="00F85A58">
        <w:rPr>
          <w:rFonts w:cs="Arial"/>
          <w:lang w:val="fr-FR"/>
        </w:rPr>
        <w:t>Les données d</w:t>
      </w:r>
      <w:r w:rsidR="005752E4" w:rsidRPr="00F85A58">
        <w:rPr>
          <w:rFonts w:cs="Arial"/>
          <w:lang w:val="fr-FR"/>
        </w:rPr>
        <w:t>’</w:t>
      </w:r>
      <w:r w:rsidR="005021EB" w:rsidRPr="00F85A58">
        <w:rPr>
          <w:rFonts w:cs="Arial"/>
          <w:lang w:val="fr-FR"/>
        </w:rPr>
        <w:t xml:space="preserve">expérience relatives aux </w:t>
      </w:r>
      <w:r w:rsidR="00F25A25" w:rsidRPr="00F85A58">
        <w:rPr>
          <w:rFonts w:cs="Arial"/>
          <w:lang w:val="fr-FR"/>
        </w:rPr>
        <w:t>descriptions</w:t>
      </w:r>
      <w:r w:rsidR="005021EB" w:rsidRPr="00F85A58">
        <w:rPr>
          <w:rFonts w:cs="Arial"/>
          <w:lang w:val="fr-FR"/>
        </w:rPr>
        <w:t xml:space="preserve"> variétales et au contrôle du maintien de la variété</w:t>
      </w:r>
      <w:r w:rsidRPr="00F85A58">
        <w:rPr>
          <w:rFonts w:cs="Arial"/>
          <w:lang w:val="fr-FR"/>
        </w:rPr>
        <w:t xml:space="preserve"> </w:t>
      </w:r>
      <w:r w:rsidR="005021EB" w:rsidRPr="00F85A58">
        <w:rPr>
          <w:rFonts w:cs="Arial"/>
          <w:lang w:val="fr-FR"/>
        </w:rPr>
        <w:t>à l</w:t>
      </w:r>
      <w:r w:rsidR="005752E4" w:rsidRPr="00F85A58">
        <w:rPr>
          <w:rFonts w:cs="Arial"/>
          <w:lang w:val="fr-FR"/>
        </w:rPr>
        <w:t>’</w:t>
      </w:r>
      <w:r w:rsidR="005021EB" w:rsidRPr="00F85A58">
        <w:rPr>
          <w:rFonts w:cs="Arial"/>
          <w:lang w:val="fr-FR"/>
        </w:rPr>
        <w:t>Office communautaire des variétés végétales (OCVV</w:t>
      </w:r>
      <w:r w:rsidRPr="00F85A58">
        <w:rPr>
          <w:rFonts w:cs="Arial"/>
          <w:lang w:val="fr-FR"/>
        </w:rPr>
        <w:t xml:space="preserve">)”. </w:t>
      </w:r>
      <w:r w:rsidR="005752E4" w:rsidRPr="00F85A58">
        <w:rPr>
          <w:rFonts w:cs="Arial"/>
          <w:lang w:val="fr-FR"/>
        </w:rPr>
        <w:t xml:space="preserve"> Le TWF</w:t>
      </w:r>
      <w:r w:rsidRPr="00F85A58">
        <w:rPr>
          <w:rFonts w:cs="Arial"/>
          <w:lang w:val="fr-FR"/>
        </w:rPr>
        <w:t xml:space="preserve"> </w:t>
      </w:r>
      <w:r w:rsidR="005021EB" w:rsidRPr="00F85A58">
        <w:rPr>
          <w:rFonts w:cs="Arial"/>
          <w:lang w:val="fr-FR"/>
        </w:rPr>
        <w:t xml:space="preserve">est convenu que le </w:t>
      </w:r>
      <w:r w:rsidR="003D380D" w:rsidRPr="00F85A58">
        <w:rPr>
          <w:rFonts w:cs="Arial"/>
          <w:lang w:val="fr-FR"/>
        </w:rPr>
        <w:t xml:space="preserve">matériel végétal utilisé comme base </w:t>
      </w:r>
      <w:r w:rsidR="002F39AA" w:rsidRPr="00F85A58">
        <w:rPr>
          <w:rFonts w:cs="Arial"/>
          <w:lang w:val="fr-FR"/>
        </w:rPr>
        <w:t>de</w:t>
      </w:r>
      <w:r w:rsidR="003D380D" w:rsidRPr="00F85A58">
        <w:rPr>
          <w:rFonts w:cs="Arial"/>
          <w:lang w:val="fr-FR"/>
        </w:rPr>
        <w:t xml:space="preserve"> l</w:t>
      </w:r>
      <w:r w:rsidR="005752E4" w:rsidRPr="00F85A58">
        <w:rPr>
          <w:rFonts w:cs="Arial"/>
          <w:lang w:val="fr-FR"/>
        </w:rPr>
        <w:t>’</w:t>
      </w:r>
      <w:r w:rsidR="003D380D" w:rsidRPr="00F85A58">
        <w:rPr>
          <w:rFonts w:cs="Arial"/>
          <w:lang w:val="fr-FR"/>
        </w:rPr>
        <w:t>examen</w:t>
      </w:r>
      <w:r w:rsidR="00342006" w:rsidRPr="00F85A58">
        <w:rPr>
          <w:rFonts w:cs="Arial"/>
          <w:lang w:val="fr-FR"/>
        </w:rPr>
        <w:t> </w:t>
      </w:r>
      <w:r w:rsidR="003D380D" w:rsidRPr="00F85A58">
        <w:rPr>
          <w:rFonts w:cs="Arial"/>
          <w:lang w:val="fr-FR"/>
        </w:rPr>
        <w:t xml:space="preserve">DHS </w:t>
      </w:r>
      <w:r w:rsidR="002F39AA" w:rsidRPr="00F85A58">
        <w:rPr>
          <w:rFonts w:cs="Arial"/>
          <w:lang w:val="fr-FR"/>
        </w:rPr>
        <w:t>était représentatif de la variété protég</w:t>
      </w:r>
      <w:r w:rsidR="00F85A58" w:rsidRPr="00F85A58">
        <w:rPr>
          <w:rFonts w:cs="Arial"/>
          <w:lang w:val="fr-FR"/>
        </w:rPr>
        <w:t>ée.  Le</w:t>
      </w:r>
      <w:r w:rsidR="005752E4" w:rsidRPr="00F85A58">
        <w:rPr>
          <w:rFonts w:cs="Arial"/>
          <w:lang w:val="fr-FR"/>
        </w:rPr>
        <w:t> TWF</w:t>
      </w:r>
      <w:r w:rsidRPr="00F85A58">
        <w:rPr>
          <w:rFonts w:cs="Arial"/>
          <w:lang w:val="fr-FR"/>
        </w:rPr>
        <w:t xml:space="preserve"> </w:t>
      </w:r>
      <w:r w:rsidR="002F39AA" w:rsidRPr="00F85A58">
        <w:rPr>
          <w:rFonts w:cs="Arial"/>
          <w:lang w:val="fr-FR"/>
        </w:rPr>
        <w:t>est convenu que</w:t>
      </w:r>
      <w:r w:rsidRPr="00F85A58">
        <w:rPr>
          <w:rFonts w:cs="Arial"/>
          <w:lang w:val="fr-FR"/>
        </w:rPr>
        <w:t xml:space="preserve">, </w:t>
      </w:r>
      <w:r w:rsidR="002F39AA" w:rsidRPr="00F85A58">
        <w:rPr>
          <w:rFonts w:cs="Arial"/>
          <w:lang w:val="fr-FR"/>
        </w:rPr>
        <w:t xml:space="preserve">dans la mesure du possible, les services devraient </w:t>
      </w:r>
      <w:r w:rsidR="00DB3C83" w:rsidRPr="00F85A58">
        <w:rPr>
          <w:rFonts w:cs="Arial"/>
          <w:lang w:val="fr-FR"/>
        </w:rPr>
        <w:t>maintenir un échantillon de référence du matériel végétal d</w:t>
      </w:r>
      <w:r w:rsidR="005752E4" w:rsidRPr="00F85A58">
        <w:rPr>
          <w:rFonts w:cs="Arial"/>
          <w:lang w:val="fr-FR"/>
        </w:rPr>
        <w:t>’</w:t>
      </w:r>
      <w:r w:rsidR="00DB3C83" w:rsidRPr="00F85A58">
        <w:rPr>
          <w:rFonts w:cs="Arial"/>
          <w:lang w:val="fr-FR"/>
        </w:rPr>
        <w:t>une variété protégée et que l</w:t>
      </w:r>
      <w:r w:rsidR="00E03F79" w:rsidRPr="00F85A58">
        <w:rPr>
          <w:rFonts w:cs="Arial"/>
          <w:lang w:val="fr-FR"/>
        </w:rPr>
        <w:t>a</w:t>
      </w:r>
      <w:r w:rsidR="00B23896" w:rsidRPr="00F85A58">
        <w:rPr>
          <w:rFonts w:cs="Arial"/>
          <w:lang w:val="fr-FR"/>
        </w:rPr>
        <w:t xml:space="preserve"> description variétale présentait des insuffisances en raison d</w:t>
      </w:r>
      <w:r w:rsidR="00E03F79" w:rsidRPr="00F85A58">
        <w:rPr>
          <w:rFonts w:cs="Arial"/>
          <w:lang w:val="fr-FR"/>
        </w:rPr>
        <w:t xml:space="preserve">u lien </w:t>
      </w:r>
      <w:r w:rsidR="00B23896" w:rsidRPr="00F85A58">
        <w:rPr>
          <w:rFonts w:cs="Arial"/>
          <w:lang w:val="fr-FR"/>
        </w:rPr>
        <w:t>avec les conditions dans lesquelles se déroule l</w:t>
      </w:r>
      <w:r w:rsidR="005752E4" w:rsidRPr="00F85A58">
        <w:rPr>
          <w:rFonts w:cs="Arial"/>
          <w:lang w:val="fr-FR"/>
        </w:rPr>
        <w:t>’</w:t>
      </w:r>
      <w:r w:rsidR="00F25A25" w:rsidRPr="00F85A58">
        <w:rPr>
          <w:rFonts w:cs="Arial"/>
          <w:lang w:val="fr-FR"/>
        </w:rPr>
        <w:t>examen</w:t>
      </w:r>
      <w:r w:rsidR="00342006" w:rsidRPr="00F85A58">
        <w:rPr>
          <w:rFonts w:cs="Arial"/>
          <w:lang w:val="fr-FR"/>
        </w:rPr>
        <w:t> </w:t>
      </w:r>
      <w:r w:rsidR="00B23896" w:rsidRPr="00F85A58">
        <w:rPr>
          <w:rFonts w:cs="Arial"/>
          <w:lang w:val="fr-FR"/>
        </w:rPr>
        <w:t>DHS, mais qu</w:t>
      </w:r>
      <w:r w:rsidR="005752E4" w:rsidRPr="00F85A58">
        <w:rPr>
          <w:rFonts w:cs="Arial"/>
          <w:lang w:val="fr-FR"/>
        </w:rPr>
        <w:t>’</w:t>
      </w:r>
      <w:r w:rsidR="00B23896" w:rsidRPr="00F85A58">
        <w:rPr>
          <w:rFonts w:cs="Arial"/>
          <w:lang w:val="fr-FR"/>
        </w:rPr>
        <w:t xml:space="preserve">elle </w:t>
      </w:r>
      <w:r w:rsidR="00E03F79" w:rsidRPr="00F85A58">
        <w:rPr>
          <w:rFonts w:cs="Arial"/>
          <w:lang w:val="fr-FR"/>
        </w:rPr>
        <w:t xml:space="preserve">constituait </w:t>
      </w:r>
      <w:r w:rsidR="00B23896" w:rsidRPr="00F85A58">
        <w:rPr>
          <w:rFonts w:cs="Arial"/>
          <w:lang w:val="fr-FR"/>
        </w:rPr>
        <w:t>un élément important du système de protection des obtentions végétales et un instrument utile pour l</w:t>
      </w:r>
      <w:r w:rsidR="005752E4" w:rsidRPr="00F85A58">
        <w:rPr>
          <w:rFonts w:cs="Arial"/>
          <w:lang w:val="fr-FR"/>
        </w:rPr>
        <w:t>’</w:t>
      </w:r>
      <w:r w:rsidR="00E03F79" w:rsidRPr="00F85A58">
        <w:rPr>
          <w:rFonts w:cs="Arial"/>
          <w:lang w:val="fr-FR"/>
        </w:rPr>
        <w:t>évaluation de la distinction</w:t>
      </w:r>
      <w:r w:rsidRPr="00F85A58">
        <w:rPr>
          <w:rFonts w:cs="Arial"/>
          <w:lang w:val="fr-FR"/>
        </w:rPr>
        <w:t>.</w:t>
      </w:r>
    </w:p>
    <w:p w:rsidR="00BA14DE" w:rsidRPr="00F85A58" w:rsidRDefault="00BA14DE" w:rsidP="00CA4227">
      <w:pPr>
        <w:rPr>
          <w:rFonts w:cs="Arial"/>
          <w:lang w:val="fr-FR"/>
        </w:rPr>
      </w:pPr>
    </w:p>
    <w:p w:rsidR="005752E4" w:rsidRPr="00F85A58" w:rsidRDefault="00CA4227" w:rsidP="001437A1">
      <w:pPr>
        <w:rPr>
          <w:rFonts w:cs="Arial"/>
          <w:lang w:val="fr-FR" w:eastAsia="ja-JP"/>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1437A1" w:rsidRPr="00F85A58">
        <w:rPr>
          <w:rFonts w:cs="Arial"/>
          <w:lang w:val="fr-FR"/>
        </w:rPr>
        <w:t>Le TWF a examiné le document TWF/46/2 “Techniques moléculaires”.</w:t>
      </w:r>
      <w:r w:rsidRPr="00F85A58">
        <w:rPr>
          <w:lang w:val="fr-FR"/>
        </w:rPr>
        <w:t xml:space="preserve"> </w:t>
      </w:r>
      <w:r w:rsidR="005752E4" w:rsidRPr="00F85A58">
        <w:rPr>
          <w:lang w:val="fr-FR"/>
        </w:rPr>
        <w:t xml:space="preserve"> </w:t>
      </w:r>
      <w:r w:rsidR="005752E4" w:rsidRPr="00F85A58">
        <w:rPr>
          <w:rFonts w:cs="Arial"/>
          <w:lang w:val="fr-FR"/>
        </w:rPr>
        <w:t>Le </w:t>
      </w:r>
      <w:r w:rsidR="005752E4" w:rsidRPr="00F85A58">
        <w:rPr>
          <w:rFonts w:cs="Arial"/>
          <w:snapToGrid w:val="0"/>
          <w:lang w:val="fr-FR"/>
        </w:rPr>
        <w:t>TWF</w:t>
      </w:r>
      <w:r w:rsidRPr="00F85A58">
        <w:rPr>
          <w:rFonts w:cs="Arial"/>
          <w:snapToGrid w:val="0"/>
          <w:lang w:val="fr-FR"/>
        </w:rPr>
        <w:t xml:space="preserve"> </w:t>
      </w:r>
      <w:r w:rsidR="00E72E88" w:rsidRPr="00F85A58">
        <w:rPr>
          <w:rFonts w:cs="Arial"/>
          <w:snapToGrid w:val="0"/>
          <w:lang w:val="fr-FR"/>
        </w:rPr>
        <w:t xml:space="preserve">a examiné le projet initial de questions et réponses concernant </w:t>
      </w:r>
      <w:r w:rsidR="00E72E88" w:rsidRPr="00F85A58">
        <w:rPr>
          <w:rFonts w:cs="Arial"/>
          <w:lang w:val="fr-FR" w:eastAsia="ja-JP"/>
        </w:rPr>
        <w:t>la diffusion d</w:t>
      </w:r>
      <w:r w:rsidR="005752E4" w:rsidRPr="00F85A58">
        <w:rPr>
          <w:rFonts w:cs="Arial"/>
          <w:lang w:val="fr-FR" w:eastAsia="ja-JP"/>
        </w:rPr>
        <w:t>’</w:t>
      </w:r>
      <w:r w:rsidR="00E72E88" w:rsidRPr="00F85A58">
        <w:rPr>
          <w:rFonts w:cs="Arial"/>
          <w:lang w:val="fr-FR" w:eastAsia="ja-JP"/>
        </w:rPr>
        <w:t xml:space="preserve">informations à un large public, </w:t>
      </w:r>
      <w:r w:rsidR="005752E4" w:rsidRPr="00F85A58">
        <w:rPr>
          <w:rFonts w:cs="Arial"/>
          <w:lang w:val="fr-FR" w:eastAsia="ja-JP"/>
        </w:rPr>
        <w:t>y compris</w:t>
      </w:r>
      <w:r w:rsidR="00E72E88" w:rsidRPr="00F85A58">
        <w:rPr>
          <w:rFonts w:cs="Arial"/>
          <w:lang w:val="fr-FR" w:eastAsia="ja-JP"/>
        </w:rPr>
        <w:t xml:space="preserve"> le public en général, sur la situation à l</w:t>
      </w:r>
      <w:r w:rsidR="005752E4" w:rsidRPr="00F85A58">
        <w:rPr>
          <w:rFonts w:cs="Arial"/>
          <w:lang w:val="fr-FR" w:eastAsia="ja-JP"/>
        </w:rPr>
        <w:t>’</w:t>
      </w:r>
      <w:r w:rsidR="00E72E88" w:rsidRPr="00F85A58">
        <w:rPr>
          <w:rFonts w:cs="Arial"/>
          <w:lang w:val="fr-FR" w:eastAsia="ja-JP"/>
        </w:rPr>
        <w:t>UPOV concernant l</w:t>
      </w:r>
      <w:r w:rsidR="005752E4" w:rsidRPr="00F85A58">
        <w:rPr>
          <w:rFonts w:cs="Arial"/>
          <w:lang w:val="fr-FR" w:eastAsia="ja-JP"/>
        </w:rPr>
        <w:t>’</w:t>
      </w:r>
      <w:r w:rsidR="00E72E88" w:rsidRPr="00F85A58">
        <w:rPr>
          <w:rFonts w:cs="Arial"/>
          <w:lang w:val="fr-FR" w:eastAsia="ja-JP"/>
        </w:rPr>
        <w:t>utilisation de techniques moléculaires qui a fait l</w:t>
      </w:r>
      <w:r w:rsidR="005752E4" w:rsidRPr="00F85A58">
        <w:rPr>
          <w:rFonts w:cs="Arial"/>
          <w:lang w:val="fr-FR" w:eastAsia="ja-JP"/>
        </w:rPr>
        <w:t>’</w:t>
      </w:r>
      <w:r w:rsidR="00E72E88" w:rsidRPr="00F85A58">
        <w:rPr>
          <w:rFonts w:cs="Arial"/>
          <w:lang w:val="fr-FR" w:eastAsia="ja-JP"/>
        </w:rPr>
        <w:t>objet de débats au sein du</w:t>
      </w:r>
      <w:r w:rsidR="005752E4" w:rsidRPr="00F85A58">
        <w:rPr>
          <w:rFonts w:cs="Arial"/>
          <w:lang w:val="fr-FR" w:eastAsia="ja-JP"/>
        </w:rPr>
        <w:t> TC</w:t>
      </w:r>
      <w:r w:rsidR="00E72E88" w:rsidRPr="00F85A58">
        <w:rPr>
          <w:rFonts w:cs="Arial"/>
          <w:lang w:val="fr-FR" w:eastAsia="ja-JP"/>
        </w:rPr>
        <w:t xml:space="preserve"> lors de sa cinquante</w:t>
      </w:r>
      <w:r w:rsidR="00342006" w:rsidRPr="00F85A58">
        <w:rPr>
          <w:rFonts w:cs="Arial"/>
          <w:lang w:val="fr-FR" w:eastAsia="ja-JP"/>
        </w:rPr>
        <w:t> </w:t>
      </w:r>
      <w:r w:rsidR="00E72E88" w:rsidRPr="00F85A58">
        <w:rPr>
          <w:rFonts w:cs="Arial"/>
          <w:lang w:val="fr-FR" w:eastAsia="ja-JP"/>
        </w:rPr>
        <w:t>et</w:t>
      </w:r>
      <w:r w:rsidR="00342006" w:rsidRPr="00F85A58">
        <w:rPr>
          <w:rFonts w:cs="Arial"/>
          <w:lang w:val="fr-FR" w:eastAsia="ja-JP"/>
        </w:rPr>
        <w:t> </w:t>
      </w:r>
      <w:r w:rsidR="00E72E88" w:rsidRPr="00F85A58">
        <w:rPr>
          <w:rFonts w:cs="Arial"/>
          <w:lang w:val="fr-FR" w:eastAsia="ja-JP"/>
        </w:rPr>
        <w:t>unième</w:t>
      </w:r>
      <w:r w:rsidR="00342006" w:rsidRPr="00F85A58">
        <w:rPr>
          <w:rFonts w:cs="Arial"/>
          <w:lang w:val="fr-FR" w:eastAsia="ja-JP"/>
        </w:rPr>
        <w:t> </w:t>
      </w:r>
      <w:r w:rsidR="00E72E88" w:rsidRPr="00F85A58">
        <w:rPr>
          <w:rFonts w:cs="Arial"/>
          <w:lang w:val="fr-FR" w:eastAsia="ja-JP"/>
        </w:rPr>
        <w:t>session et qui figure au paragraphe 32 du document TWF/46/2, et est convenu avec</w:t>
      </w:r>
      <w:r w:rsidR="005752E4" w:rsidRPr="00F85A58">
        <w:rPr>
          <w:rFonts w:cs="Arial"/>
          <w:lang w:val="fr-FR" w:eastAsia="ja-JP"/>
        </w:rPr>
        <w:t xml:space="preserve"> le TWA</w:t>
      </w:r>
      <w:r w:rsidR="00E72E88" w:rsidRPr="00F85A58">
        <w:rPr>
          <w:rFonts w:cs="Arial"/>
          <w:lang w:val="fr-FR" w:eastAsia="ja-JP"/>
        </w:rPr>
        <w:t xml:space="preserve"> qu</w:t>
      </w:r>
      <w:r w:rsidR="005752E4" w:rsidRPr="00F85A58">
        <w:rPr>
          <w:rFonts w:cs="Arial"/>
          <w:lang w:val="fr-FR" w:eastAsia="ja-JP"/>
        </w:rPr>
        <w:t>’</w:t>
      </w:r>
      <w:r w:rsidR="00E72E88" w:rsidRPr="00F85A58">
        <w:rPr>
          <w:rFonts w:cs="Arial"/>
          <w:lang w:val="fr-FR" w:eastAsia="ja-JP"/>
        </w:rPr>
        <w:t>il devrait être libellé comme suit (voir le paragraphe 72 du document TWF/46/29</w:t>
      </w:r>
      <w:r w:rsidR="00342006" w:rsidRPr="00F85A58">
        <w:rPr>
          <w:rFonts w:cs="Arial"/>
          <w:lang w:val="fr-FR" w:eastAsia="ja-JP"/>
        </w:rPr>
        <w:t> </w:t>
      </w:r>
      <w:proofErr w:type="spellStart"/>
      <w:r w:rsidR="00E72E88" w:rsidRPr="00F85A58">
        <w:rPr>
          <w:rFonts w:cs="Arial"/>
          <w:lang w:val="fr-FR" w:eastAsia="ja-JP"/>
        </w:rPr>
        <w:t>Rev</w:t>
      </w:r>
      <w:proofErr w:type="spellEnd"/>
      <w:r w:rsidR="00E72E88" w:rsidRPr="00F85A58">
        <w:rPr>
          <w:rFonts w:cs="Arial"/>
          <w:lang w:val="fr-FR" w:eastAsia="ja-JP"/>
        </w:rPr>
        <w:t>. “</w:t>
      </w:r>
      <w:proofErr w:type="spellStart"/>
      <w:r w:rsidR="00E72E88" w:rsidRPr="00F85A58">
        <w:rPr>
          <w:rFonts w:cs="Arial"/>
          <w:lang w:val="fr-FR" w:eastAsia="ja-JP"/>
        </w:rPr>
        <w:t>Revised</w:t>
      </w:r>
      <w:proofErr w:type="spellEnd"/>
      <w:r w:rsidR="00E72E88" w:rsidRPr="00F85A58">
        <w:rPr>
          <w:rFonts w:cs="Arial"/>
          <w:lang w:val="fr-FR" w:eastAsia="ja-JP"/>
        </w:rPr>
        <w:t xml:space="preserve"> Report”) :</w:t>
      </w:r>
    </w:p>
    <w:p w:rsidR="00BA14DE" w:rsidRPr="00F85A58" w:rsidRDefault="00BA14DE" w:rsidP="00CA4227">
      <w:pPr>
        <w:rPr>
          <w:rFonts w:cs="Arial"/>
          <w:lang w:val="fr-FR"/>
        </w:rPr>
      </w:pPr>
    </w:p>
    <w:p w:rsidR="00BA14DE" w:rsidRPr="00F85A58" w:rsidRDefault="001437A1" w:rsidP="001437A1">
      <w:pPr>
        <w:ind w:left="567"/>
        <w:rPr>
          <w:sz w:val="18"/>
          <w:lang w:val="fr-FR"/>
        </w:rPr>
      </w:pPr>
      <w:r w:rsidRPr="00F85A58">
        <w:rPr>
          <w:sz w:val="18"/>
          <w:lang w:val="fr-FR"/>
        </w:rPr>
        <w:t>“Est</w:t>
      </w:r>
      <w:r w:rsidR="00F85A58" w:rsidRPr="00F85A58">
        <w:rPr>
          <w:sz w:val="18"/>
          <w:lang w:val="fr-FR"/>
        </w:rPr>
        <w:noBreakHyphen/>
      </w:r>
      <w:r w:rsidRPr="00F85A58">
        <w:rPr>
          <w:sz w:val="18"/>
          <w:lang w:val="fr-FR"/>
        </w:rPr>
        <w:t>il possible d</w:t>
      </w:r>
      <w:r w:rsidR="005752E4" w:rsidRPr="00F85A58">
        <w:rPr>
          <w:sz w:val="18"/>
          <w:lang w:val="fr-FR"/>
        </w:rPr>
        <w:t>’</w:t>
      </w:r>
      <w:r w:rsidRPr="00F85A58">
        <w:rPr>
          <w:sz w:val="18"/>
          <w:lang w:val="fr-FR"/>
        </w:rPr>
        <w:t>obtenir la protection d</w:t>
      </w:r>
      <w:r w:rsidR="005752E4" w:rsidRPr="00F85A58">
        <w:rPr>
          <w:sz w:val="18"/>
          <w:lang w:val="fr-FR"/>
        </w:rPr>
        <w:t>’</w:t>
      </w:r>
      <w:r w:rsidRPr="00F85A58">
        <w:rPr>
          <w:sz w:val="18"/>
          <w:lang w:val="fr-FR"/>
        </w:rPr>
        <w:t>une variété sur la base de son profil d</w:t>
      </w:r>
      <w:r w:rsidR="005752E4" w:rsidRPr="00F85A58">
        <w:rPr>
          <w:sz w:val="18"/>
          <w:lang w:val="fr-FR"/>
        </w:rPr>
        <w:t>’</w:t>
      </w:r>
      <w:r w:rsidRPr="00F85A58">
        <w:rPr>
          <w:sz w:val="18"/>
          <w:lang w:val="fr-FR"/>
        </w:rPr>
        <w:t>ADN?</w:t>
      </w:r>
    </w:p>
    <w:p w:rsidR="00BA14DE" w:rsidRPr="00F85A58" w:rsidRDefault="00BA14DE" w:rsidP="00EB080F">
      <w:pPr>
        <w:ind w:left="567" w:right="567"/>
        <w:rPr>
          <w:sz w:val="18"/>
          <w:lang w:val="fr-FR"/>
        </w:rPr>
      </w:pPr>
    </w:p>
    <w:p w:rsidR="00BA14DE" w:rsidRPr="00F85A58" w:rsidRDefault="00EB080F" w:rsidP="001437A1">
      <w:pPr>
        <w:ind w:left="567" w:right="567"/>
        <w:rPr>
          <w:strike/>
          <w:sz w:val="18"/>
          <w:lang w:val="fr-FR"/>
        </w:rPr>
      </w:pPr>
      <w:r w:rsidRPr="00F85A58">
        <w:rPr>
          <w:sz w:val="18"/>
          <w:lang w:val="fr-FR"/>
        </w:rPr>
        <w:t>“</w:t>
      </w:r>
      <w:r w:rsidR="001F3707" w:rsidRPr="00F85A58">
        <w:rPr>
          <w:sz w:val="18"/>
          <w:highlight w:val="lightGray"/>
          <w:u w:val="single"/>
          <w:lang w:val="fr-FR"/>
        </w:rPr>
        <w:t>Une variété ne peut pas bénéficier d</w:t>
      </w:r>
      <w:r w:rsidR="005752E4" w:rsidRPr="00F85A58">
        <w:rPr>
          <w:sz w:val="18"/>
          <w:highlight w:val="lightGray"/>
          <w:u w:val="single"/>
          <w:lang w:val="fr-FR"/>
        </w:rPr>
        <w:t>’</w:t>
      </w:r>
      <w:r w:rsidR="001F3707" w:rsidRPr="00F85A58">
        <w:rPr>
          <w:sz w:val="18"/>
          <w:highlight w:val="lightGray"/>
          <w:u w:val="single"/>
          <w:lang w:val="fr-FR"/>
        </w:rPr>
        <w:t>une protection sur la base de profils d</w:t>
      </w:r>
      <w:r w:rsidR="005752E4" w:rsidRPr="00F85A58">
        <w:rPr>
          <w:sz w:val="18"/>
          <w:highlight w:val="lightGray"/>
          <w:u w:val="single"/>
          <w:lang w:val="fr-FR"/>
        </w:rPr>
        <w:t>’</w:t>
      </w:r>
      <w:r w:rsidR="00F85A58" w:rsidRPr="00F85A58">
        <w:rPr>
          <w:sz w:val="18"/>
          <w:highlight w:val="lightGray"/>
          <w:u w:val="single"/>
          <w:lang w:val="fr-FR"/>
        </w:rPr>
        <w:t xml:space="preserve">ADN.  </w:t>
      </w:r>
      <w:r w:rsidR="00F85A58" w:rsidRPr="00F85A58">
        <w:rPr>
          <w:sz w:val="18"/>
          <w:lang w:val="fr-FR"/>
        </w:rPr>
        <w:t>Po</w:t>
      </w:r>
      <w:r w:rsidR="001437A1" w:rsidRPr="00F85A58">
        <w:rPr>
          <w:sz w:val="18"/>
          <w:lang w:val="fr-FR"/>
        </w:rPr>
        <w:t>ur pouvoir bénéficier d</w:t>
      </w:r>
      <w:r w:rsidR="005752E4" w:rsidRPr="00F85A58">
        <w:rPr>
          <w:sz w:val="18"/>
          <w:lang w:val="fr-FR"/>
        </w:rPr>
        <w:t>’</w:t>
      </w:r>
      <w:r w:rsidR="001437A1" w:rsidRPr="00F85A58">
        <w:rPr>
          <w:sz w:val="18"/>
          <w:lang w:val="fr-FR"/>
        </w:rPr>
        <w:t>une protection, une variété doit pouvoir être nettement distinguée de toute autre variété existante par des caractères exprimés physiquement, par exemple, la hauteur de la plante, l</w:t>
      </w:r>
      <w:r w:rsidR="005752E4" w:rsidRPr="00F85A58">
        <w:rPr>
          <w:sz w:val="18"/>
          <w:lang w:val="fr-FR"/>
        </w:rPr>
        <w:t>’</w:t>
      </w:r>
      <w:r w:rsidR="001437A1" w:rsidRPr="00F85A58">
        <w:rPr>
          <w:sz w:val="18"/>
          <w:lang w:val="fr-FR"/>
        </w:rPr>
        <w:t>époque de floraison, la couleur des fruits, la résistance aux maladies, etc.</w:t>
      </w:r>
      <w:r w:rsidRPr="00F85A58">
        <w:rPr>
          <w:sz w:val="18"/>
          <w:lang w:val="fr-FR"/>
        </w:rPr>
        <w:t xml:space="preserve">  </w:t>
      </w:r>
      <w:r w:rsidR="001437A1" w:rsidRPr="00F85A58">
        <w:rPr>
          <w:strike/>
          <w:sz w:val="18"/>
          <w:highlight w:val="lightGray"/>
          <w:lang w:val="fr-FR"/>
        </w:rPr>
        <w:t>[Les techniques moléculaires (les profils d</w:t>
      </w:r>
      <w:r w:rsidR="005752E4" w:rsidRPr="00F85A58">
        <w:rPr>
          <w:strike/>
          <w:sz w:val="18"/>
          <w:highlight w:val="lightGray"/>
          <w:lang w:val="fr-FR"/>
        </w:rPr>
        <w:t>’</w:t>
      </w:r>
      <w:r w:rsidR="001437A1" w:rsidRPr="00F85A58">
        <w:rPr>
          <w:strike/>
          <w:sz w:val="18"/>
          <w:highlight w:val="lightGray"/>
          <w:lang w:val="fr-FR"/>
        </w:rPr>
        <w:t>ADN) peuvent être utilisées en tant qu</w:t>
      </w:r>
      <w:r w:rsidR="005752E4" w:rsidRPr="00F85A58">
        <w:rPr>
          <w:strike/>
          <w:sz w:val="18"/>
          <w:highlight w:val="lightGray"/>
          <w:lang w:val="fr-FR"/>
        </w:rPr>
        <w:t>’</w:t>
      </w:r>
      <w:r w:rsidR="001437A1" w:rsidRPr="00F85A58">
        <w:rPr>
          <w:strike/>
          <w:sz w:val="18"/>
          <w:highlight w:val="lightGray"/>
          <w:lang w:val="fr-FR"/>
        </w:rPr>
        <w:t>informations complémentaires].</w:t>
      </w:r>
      <w:r w:rsidR="00487549" w:rsidRPr="00F85A58">
        <w:rPr>
          <w:sz w:val="18"/>
          <w:lang w:val="fr-FR"/>
        </w:rPr>
        <w:t>”</w:t>
      </w:r>
    </w:p>
    <w:p w:rsidR="00BA14DE" w:rsidRPr="00F85A58" w:rsidRDefault="00BA14DE" w:rsidP="00CA4227">
      <w:pPr>
        <w:rPr>
          <w:rFonts w:cs="Arial"/>
          <w:snapToGrid w:val="0"/>
          <w:lang w:val="fr-FR"/>
        </w:rPr>
      </w:pPr>
    </w:p>
    <w:p w:rsidR="00BA14DE" w:rsidRPr="00F85A58" w:rsidRDefault="00CA4227" w:rsidP="00CA4227">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187568" w:rsidRPr="00F85A58">
        <w:rPr>
          <w:rFonts w:cs="Arial"/>
          <w:lang w:val="fr-FR"/>
        </w:rPr>
        <w:t xml:space="preserve">Le </w:t>
      </w:r>
      <w:r w:rsidRPr="00F85A58">
        <w:rPr>
          <w:rFonts w:cs="Arial"/>
          <w:lang w:val="fr-FR"/>
        </w:rPr>
        <w:t xml:space="preserve">TWF </w:t>
      </w:r>
      <w:r w:rsidR="00187568" w:rsidRPr="00F85A58">
        <w:rPr>
          <w:rFonts w:cs="Arial"/>
          <w:lang w:val="fr-FR"/>
        </w:rPr>
        <w:t xml:space="preserve">a examiné le </w:t>
      </w:r>
      <w:r w:rsidRPr="00F85A58">
        <w:rPr>
          <w:rFonts w:cs="Arial"/>
          <w:lang w:val="fr-FR"/>
        </w:rPr>
        <w:t xml:space="preserve">document TWF/46/25 </w:t>
      </w:r>
      <w:proofErr w:type="spellStart"/>
      <w:r w:rsidRPr="00F85A58">
        <w:rPr>
          <w:rFonts w:cs="Arial"/>
          <w:lang w:val="fr-FR"/>
        </w:rPr>
        <w:t>Rev</w:t>
      </w:r>
      <w:proofErr w:type="spellEnd"/>
      <w:r w:rsidRPr="00F85A58">
        <w:rPr>
          <w:rFonts w:cs="Arial"/>
          <w:lang w:val="fr-FR"/>
        </w:rPr>
        <w:t xml:space="preserve"> “</w:t>
      </w:r>
      <w:r w:rsidR="00187568" w:rsidRPr="00F85A58">
        <w:rPr>
          <w:rFonts w:cs="Arial"/>
          <w:lang w:val="fr-FR"/>
        </w:rPr>
        <w:t>Durée des examens DHS dans le secteur des fruits</w:t>
      </w:r>
      <w:r w:rsidR="001826AD">
        <w:rPr>
          <w:rFonts w:cs="Arial"/>
          <w:lang w:val="fr-FR"/>
        </w:rPr>
        <w:t>”</w:t>
      </w:r>
      <w:r w:rsidRPr="00F85A58">
        <w:rPr>
          <w:rFonts w:cs="Arial"/>
          <w:lang w:val="fr-FR"/>
        </w:rPr>
        <w:t xml:space="preserve">. </w:t>
      </w:r>
      <w:r w:rsidR="005752E4" w:rsidRPr="00F85A58">
        <w:rPr>
          <w:rFonts w:cs="Arial"/>
          <w:lang w:val="fr-FR"/>
        </w:rPr>
        <w:t xml:space="preserve"> Le TWF</w:t>
      </w:r>
      <w:r w:rsidRPr="00F85A58">
        <w:rPr>
          <w:rFonts w:cs="Arial"/>
          <w:lang w:val="fr-FR"/>
        </w:rPr>
        <w:t xml:space="preserve"> </w:t>
      </w:r>
      <w:r w:rsidR="007F0498" w:rsidRPr="00F85A58">
        <w:rPr>
          <w:rFonts w:cs="Arial"/>
          <w:lang w:val="fr-FR"/>
        </w:rPr>
        <w:t xml:space="preserve">a pris note du fait que, dans le cas de certains services, </w:t>
      </w:r>
      <w:r w:rsidR="00187568" w:rsidRPr="00F85A58">
        <w:rPr>
          <w:rFonts w:cs="Arial"/>
          <w:lang w:val="fr-FR"/>
        </w:rPr>
        <w:t>la durée totale de l</w:t>
      </w:r>
      <w:r w:rsidR="005752E4" w:rsidRPr="00F85A58">
        <w:rPr>
          <w:rFonts w:cs="Arial"/>
          <w:lang w:val="fr-FR"/>
        </w:rPr>
        <w:t>’</w:t>
      </w:r>
      <w:r w:rsidR="00187568" w:rsidRPr="00F85A58">
        <w:rPr>
          <w:rFonts w:cs="Arial"/>
          <w:lang w:val="fr-FR"/>
        </w:rPr>
        <w:t>examen</w:t>
      </w:r>
      <w:r w:rsidR="00342006" w:rsidRPr="00F85A58">
        <w:rPr>
          <w:rFonts w:cs="Arial"/>
          <w:lang w:val="fr-FR"/>
        </w:rPr>
        <w:t> </w:t>
      </w:r>
      <w:r w:rsidR="00187568" w:rsidRPr="00F85A58">
        <w:rPr>
          <w:rFonts w:cs="Arial"/>
          <w:lang w:val="fr-FR"/>
        </w:rPr>
        <w:t xml:space="preserve">DHS pour les plantes fruitières </w:t>
      </w:r>
      <w:r w:rsidR="007F0498" w:rsidRPr="00F85A58">
        <w:rPr>
          <w:rFonts w:cs="Arial"/>
          <w:lang w:val="fr-FR"/>
        </w:rPr>
        <w:t>comprenait la période de mise en place de la plante et est convenu que, durant la période de mise en place, il devrait être possible de mettre fin à l</w:t>
      </w:r>
      <w:r w:rsidR="005752E4" w:rsidRPr="00F85A58">
        <w:rPr>
          <w:rFonts w:cs="Arial"/>
          <w:lang w:val="fr-FR"/>
        </w:rPr>
        <w:t>’</w:t>
      </w:r>
      <w:r w:rsidR="007F0498" w:rsidRPr="00F85A58">
        <w:rPr>
          <w:rFonts w:cs="Arial"/>
          <w:lang w:val="fr-FR"/>
        </w:rPr>
        <w:t>examen</w:t>
      </w:r>
      <w:r w:rsidR="00342006" w:rsidRPr="00F85A58">
        <w:rPr>
          <w:rFonts w:cs="Arial"/>
          <w:lang w:val="fr-FR"/>
        </w:rPr>
        <w:t> </w:t>
      </w:r>
      <w:r w:rsidR="007F0498" w:rsidRPr="00F85A58">
        <w:rPr>
          <w:rFonts w:cs="Arial"/>
          <w:lang w:val="fr-FR"/>
        </w:rPr>
        <w:t>DHS lorsque le service chargé de l</w:t>
      </w:r>
      <w:r w:rsidR="005752E4" w:rsidRPr="00F85A58">
        <w:rPr>
          <w:rFonts w:cs="Arial"/>
          <w:lang w:val="fr-FR"/>
        </w:rPr>
        <w:t>’</w:t>
      </w:r>
      <w:r w:rsidR="007F0498" w:rsidRPr="00F85A58">
        <w:rPr>
          <w:rFonts w:cs="Arial"/>
          <w:lang w:val="fr-FR"/>
        </w:rPr>
        <w:t>examen avait la certitude d</w:t>
      </w:r>
      <w:r w:rsidR="005752E4" w:rsidRPr="00F85A58">
        <w:rPr>
          <w:rFonts w:cs="Arial"/>
          <w:lang w:val="fr-FR"/>
        </w:rPr>
        <w:t>’</w:t>
      </w:r>
      <w:r w:rsidR="007F0498" w:rsidRPr="00F85A58">
        <w:rPr>
          <w:rFonts w:cs="Arial"/>
          <w:lang w:val="fr-FR"/>
        </w:rPr>
        <w:t>un résultat négat</w:t>
      </w:r>
      <w:r w:rsidR="00F85A58" w:rsidRPr="00F85A58">
        <w:rPr>
          <w:rFonts w:cs="Arial"/>
          <w:lang w:val="fr-FR"/>
        </w:rPr>
        <w:t>if.  Le</w:t>
      </w:r>
      <w:r w:rsidRPr="00F85A58">
        <w:rPr>
          <w:rFonts w:cs="Arial"/>
          <w:lang w:val="fr-FR"/>
        </w:rPr>
        <w:t xml:space="preserve"> TWF </w:t>
      </w:r>
      <w:r w:rsidR="007F0498" w:rsidRPr="00F85A58">
        <w:rPr>
          <w:rFonts w:cs="Arial"/>
          <w:lang w:val="fr-FR"/>
        </w:rPr>
        <w:t xml:space="preserve">est également convenu que </w:t>
      </w:r>
      <w:r w:rsidR="0030365C" w:rsidRPr="00F85A58">
        <w:rPr>
          <w:rFonts w:cs="Arial"/>
          <w:lang w:val="fr-FR"/>
        </w:rPr>
        <w:t>l</w:t>
      </w:r>
      <w:r w:rsidR="005752E4" w:rsidRPr="00F85A58">
        <w:rPr>
          <w:rFonts w:cs="Arial"/>
          <w:lang w:val="fr-FR"/>
        </w:rPr>
        <w:t>’</w:t>
      </w:r>
      <w:r w:rsidR="0030365C" w:rsidRPr="00F85A58">
        <w:rPr>
          <w:rFonts w:cs="Arial"/>
          <w:lang w:val="fr-FR"/>
        </w:rPr>
        <w:t>examen</w:t>
      </w:r>
      <w:r w:rsidR="00342006" w:rsidRPr="00F85A58">
        <w:rPr>
          <w:rFonts w:cs="Arial"/>
          <w:lang w:val="fr-FR"/>
        </w:rPr>
        <w:t> </w:t>
      </w:r>
      <w:r w:rsidR="0030365C" w:rsidRPr="00F85A58">
        <w:rPr>
          <w:rFonts w:cs="Arial"/>
          <w:lang w:val="fr-FR"/>
        </w:rPr>
        <w:t xml:space="preserve">DHS et la description variétale pouvaient être achevés </w:t>
      </w:r>
      <w:r w:rsidR="00DF1DEE" w:rsidRPr="00F85A58">
        <w:rPr>
          <w:rFonts w:cs="Arial"/>
          <w:lang w:val="fr-FR"/>
        </w:rPr>
        <w:t>à la suite du premier cycle de végétation et a accepté d</w:t>
      </w:r>
      <w:r w:rsidR="005752E4" w:rsidRPr="00F85A58">
        <w:rPr>
          <w:rFonts w:cs="Arial"/>
          <w:lang w:val="fr-FR"/>
        </w:rPr>
        <w:t>’</w:t>
      </w:r>
      <w:r w:rsidR="00DF1DEE" w:rsidRPr="00F85A58">
        <w:rPr>
          <w:rFonts w:cs="Arial"/>
          <w:lang w:val="fr-FR"/>
        </w:rPr>
        <w:t>inviter l</w:t>
      </w:r>
      <w:r w:rsidR="005752E4" w:rsidRPr="00F85A58">
        <w:rPr>
          <w:rFonts w:cs="Arial"/>
          <w:lang w:val="fr-FR"/>
        </w:rPr>
        <w:t>’</w:t>
      </w:r>
      <w:r w:rsidR="00DF1DEE" w:rsidRPr="00F85A58">
        <w:rPr>
          <w:rFonts w:cs="Arial"/>
          <w:lang w:val="fr-FR"/>
        </w:rPr>
        <w:t>Union européenne à poursuivre la rédaction d</w:t>
      </w:r>
      <w:r w:rsidR="005752E4" w:rsidRPr="00F85A58">
        <w:rPr>
          <w:rFonts w:cs="Arial"/>
          <w:lang w:val="fr-FR"/>
        </w:rPr>
        <w:t>’</w:t>
      </w:r>
      <w:r w:rsidR="00DF1DEE" w:rsidRPr="00F85A58">
        <w:rPr>
          <w:rFonts w:cs="Arial"/>
          <w:lang w:val="fr-FR"/>
        </w:rPr>
        <w:t>une proposition visant à réduire la durée des examens DHS dans le secte</w:t>
      </w:r>
      <w:r w:rsidR="00354CBF" w:rsidRPr="00F85A58">
        <w:rPr>
          <w:rFonts w:cs="Arial"/>
          <w:lang w:val="fr-FR"/>
        </w:rPr>
        <w:t>ur</w:t>
      </w:r>
      <w:r w:rsidR="00DF1DEE" w:rsidRPr="00F85A58">
        <w:rPr>
          <w:rFonts w:cs="Arial"/>
          <w:lang w:val="fr-FR"/>
        </w:rPr>
        <w:t xml:space="preserve"> des fruits, en tenant compte des observations présentées, et</w:t>
      </w:r>
      <w:r w:rsidR="005752E4" w:rsidRPr="00F85A58">
        <w:rPr>
          <w:rFonts w:cs="Arial"/>
          <w:lang w:val="fr-FR"/>
        </w:rPr>
        <w:t xml:space="preserve"> le TWF</w:t>
      </w:r>
      <w:r w:rsidR="00DF1DEE" w:rsidRPr="00F85A58">
        <w:rPr>
          <w:rFonts w:cs="Arial"/>
          <w:lang w:val="fr-FR"/>
        </w:rPr>
        <w:t xml:space="preserve"> est également convenu de poursuivre les délibérations à sa prochaine session</w:t>
      </w:r>
      <w:r w:rsidRPr="00F85A58">
        <w:rPr>
          <w:rFonts w:cs="Arial"/>
          <w:lang w:val="fr-FR"/>
        </w:rPr>
        <w:t>.</w:t>
      </w:r>
    </w:p>
    <w:p w:rsidR="00BA14DE" w:rsidRPr="00F85A58" w:rsidRDefault="00BA14DE" w:rsidP="00CA4227">
      <w:pPr>
        <w:rPr>
          <w:rFonts w:cs="Arial"/>
          <w:lang w:val="fr-FR"/>
        </w:rPr>
      </w:pPr>
    </w:p>
    <w:p w:rsidR="005752E4" w:rsidRPr="00F85A58" w:rsidRDefault="00CA4227" w:rsidP="009E1CE8">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D65348" w:rsidRPr="00F85A58">
        <w:rPr>
          <w:rFonts w:cs="Arial"/>
          <w:lang w:val="fr-FR"/>
        </w:rPr>
        <w:t xml:space="preserve">Le </w:t>
      </w:r>
      <w:r w:rsidRPr="00F85A58">
        <w:rPr>
          <w:rFonts w:cs="Arial"/>
          <w:lang w:val="fr-FR"/>
        </w:rPr>
        <w:t xml:space="preserve">TWF </w:t>
      </w:r>
      <w:r w:rsidR="00D65348" w:rsidRPr="00F85A58">
        <w:rPr>
          <w:rFonts w:cs="Arial"/>
          <w:lang w:val="fr-FR"/>
        </w:rPr>
        <w:t>est convenu que les principes directeurs d</w:t>
      </w:r>
      <w:r w:rsidR="005752E4" w:rsidRPr="00F85A58">
        <w:rPr>
          <w:rFonts w:cs="Arial"/>
          <w:lang w:val="fr-FR"/>
        </w:rPr>
        <w:t>’</w:t>
      </w:r>
      <w:r w:rsidR="00D65348" w:rsidRPr="00F85A58">
        <w:rPr>
          <w:rFonts w:cs="Arial"/>
          <w:lang w:val="fr-FR"/>
        </w:rPr>
        <w:t>examen ci</w:t>
      </w:r>
      <w:r w:rsidR="00F85A58" w:rsidRPr="00F85A58">
        <w:rPr>
          <w:rFonts w:cs="Arial"/>
          <w:lang w:val="fr-FR"/>
        </w:rPr>
        <w:noBreakHyphen/>
      </w:r>
      <w:r w:rsidR="00D65348" w:rsidRPr="00F85A58">
        <w:rPr>
          <w:rFonts w:cs="Arial"/>
          <w:lang w:val="fr-FR"/>
        </w:rPr>
        <w:t>après devraient être soumis au</w:t>
      </w:r>
      <w:r w:rsidR="005752E4" w:rsidRPr="00F85A58">
        <w:rPr>
          <w:rFonts w:cs="Arial"/>
          <w:lang w:val="fr-FR"/>
        </w:rPr>
        <w:t> TC</w:t>
      </w:r>
      <w:r w:rsidR="00D65348" w:rsidRPr="00F85A58">
        <w:rPr>
          <w:rFonts w:cs="Arial"/>
          <w:lang w:val="fr-FR"/>
        </w:rPr>
        <w:t xml:space="preserve"> pour adoption </w:t>
      </w:r>
      <w:r w:rsidRPr="00F85A58">
        <w:rPr>
          <w:rFonts w:cs="Arial"/>
          <w:lang w:val="fr-FR"/>
        </w:rPr>
        <w:t>:</w:t>
      </w:r>
      <w:r w:rsidRPr="00F85A58">
        <w:rPr>
          <w:rFonts w:cs="Arial"/>
          <w:iCs/>
          <w:lang w:val="fr-FR"/>
        </w:rPr>
        <w:t xml:space="preserve"> </w:t>
      </w:r>
      <w:r w:rsidR="00951F9C" w:rsidRPr="00F85A58">
        <w:rPr>
          <w:rFonts w:cs="Arial"/>
          <w:iCs/>
          <w:lang w:val="fr-FR"/>
        </w:rPr>
        <w:t>p</w:t>
      </w:r>
      <w:r w:rsidR="00951F9C" w:rsidRPr="00F85A58">
        <w:rPr>
          <w:rFonts w:cs="Arial"/>
          <w:lang w:val="fr-FR"/>
        </w:rPr>
        <w:t>orte</w:t>
      </w:r>
      <w:r w:rsidR="00F85A58" w:rsidRPr="00F85A58">
        <w:rPr>
          <w:rFonts w:cs="Arial"/>
          <w:lang w:val="fr-FR"/>
        </w:rPr>
        <w:noBreakHyphen/>
      </w:r>
      <w:r w:rsidR="00951F9C" w:rsidRPr="00F85A58">
        <w:rPr>
          <w:rFonts w:cs="Arial"/>
          <w:lang w:val="fr-FR"/>
        </w:rPr>
        <w:t>greffes d</w:t>
      </w:r>
      <w:r w:rsidR="005752E4" w:rsidRPr="00F85A58">
        <w:rPr>
          <w:rFonts w:cs="Arial"/>
          <w:lang w:val="fr-FR"/>
        </w:rPr>
        <w:t>’</w:t>
      </w:r>
      <w:r w:rsidR="00951F9C" w:rsidRPr="00F85A58">
        <w:rPr>
          <w:rFonts w:cs="Arial"/>
          <w:lang w:val="fr-FR"/>
        </w:rPr>
        <w:t>avocatier</w:t>
      </w:r>
      <w:r w:rsidRPr="00F85A58">
        <w:rPr>
          <w:rFonts w:cs="Arial"/>
          <w:iCs/>
          <w:lang w:val="fr-FR"/>
        </w:rPr>
        <w:t xml:space="preserve">; </w:t>
      </w:r>
      <w:r w:rsidR="00342006" w:rsidRPr="00F85A58">
        <w:rPr>
          <w:rFonts w:cs="Arial"/>
          <w:iCs/>
          <w:lang w:val="fr-FR"/>
        </w:rPr>
        <w:t xml:space="preserve"> </w:t>
      </w:r>
      <w:r w:rsidR="00951F9C" w:rsidRPr="00F85A58">
        <w:rPr>
          <w:rFonts w:cs="Arial"/>
          <w:iCs/>
          <w:lang w:val="fr-FR"/>
        </w:rPr>
        <w:t>cocoti</w:t>
      </w:r>
      <w:r w:rsidR="00F85A58" w:rsidRPr="00F85A58">
        <w:rPr>
          <w:rFonts w:cs="Arial"/>
          <w:iCs/>
          <w:lang w:val="fr-FR"/>
        </w:rPr>
        <w:t>er.  Le</w:t>
      </w:r>
      <w:r w:rsidR="005752E4" w:rsidRPr="00F85A58">
        <w:rPr>
          <w:rFonts w:cs="Arial"/>
          <w:iCs/>
          <w:lang w:val="fr-FR"/>
        </w:rPr>
        <w:t> TWF</w:t>
      </w:r>
      <w:r w:rsidR="009E1CE8" w:rsidRPr="00F85A58">
        <w:rPr>
          <w:rFonts w:cs="Arial"/>
          <w:iCs/>
          <w:lang w:val="fr-FR"/>
        </w:rPr>
        <w:t xml:space="preserve"> est convenu d</w:t>
      </w:r>
      <w:r w:rsidR="005752E4" w:rsidRPr="00F85A58">
        <w:rPr>
          <w:rFonts w:cs="Arial"/>
          <w:iCs/>
          <w:lang w:val="fr-FR"/>
        </w:rPr>
        <w:t>’</w:t>
      </w:r>
      <w:r w:rsidR="009E1CE8" w:rsidRPr="00F85A58">
        <w:rPr>
          <w:rFonts w:cs="Arial"/>
          <w:iCs/>
          <w:lang w:val="fr-FR"/>
        </w:rPr>
        <w:t xml:space="preserve">examiner </w:t>
      </w:r>
      <w:r w:rsidR="001826AD">
        <w:rPr>
          <w:rFonts w:cs="Arial"/>
          <w:iCs/>
          <w:lang w:val="fr-FR"/>
        </w:rPr>
        <w:t>12 </w:t>
      </w:r>
      <w:r w:rsidR="009E1CE8" w:rsidRPr="00F85A58">
        <w:rPr>
          <w:rFonts w:cs="Arial"/>
          <w:iCs/>
          <w:lang w:val="fr-FR"/>
        </w:rPr>
        <w:t>projets de principes directeurs d</w:t>
      </w:r>
      <w:r w:rsidR="005752E4" w:rsidRPr="00F85A58">
        <w:rPr>
          <w:rFonts w:cs="Arial"/>
          <w:iCs/>
          <w:lang w:val="fr-FR"/>
        </w:rPr>
        <w:t>’</w:t>
      </w:r>
      <w:r w:rsidR="009E1CE8" w:rsidRPr="00F85A58">
        <w:rPr>
          <w:rFonts w:cs="Arial"/>
          <w:iCs/>
          <w:lang w:val="fr-FR"/>
        </w:rPr>
        <w:t>examen à sa quarante</w:t>
      </w:r>
      <w:r w:rsidR="00F85A58" w:rsidRPr="00F85A58">
        <w:rPr>
          <w:rFonts w:cs="Arial"/>
          <w:iCs/>
          <w:lang w:val="fr-FR"/>
        </w:rPr>
        <w:noBreakHyphen/>
      </w:r>
      <w:r w:rsidR="009E1CE8" w:rsidRPr="00F85A58">
        <w:rPr>
          <w:rFonts w:cs="Arial"/>
          <w:iCs/>
          <w:lang w:val="fr-FR"/>
        </w:rPr>
        <w:t>septième</w:t>
      </w:r>
      <w:r w:rsidR="00342006" w:rsidRPr="00F85A58">
        <w:rPr>
          <w:rFonts w:cs="Arial"/>
          <w:iCs/>
          <w:lang w:val="fr-FR"/>
        </w:rPr>
        <w:t> </w:t>
      </w:r>
      <w:r w:rsidR="009E1CE8" w:rsidRPr="00F85A58">
        <w:rPr>
          <w:rFonts w:cs="Arial"/>
          <w:iCs/>
          <w:lang w:val="fr-FR"/>
        </w:rPr>
        <w:t>session.</w:t>
      </w:r>
    </w:p>
    <w:p w:rsidR="00BA14DE" w:rsidRPr="00F85A58" w:rsidRDefault="00BA14DE" w:rsidP="00CA4227">
      <w:pPr>
        <w:rPr>
          <w:rFonts w:cs="Arial"/>
          <w:lang w:val="fr-FR"/>
        </w:rPr>
      </w:pPr>
    </w:p>
    <w:p w:rsidR="00BA14DE" w:rsidRPr="00F85A58" w:rsidRDefault="00CA4227" w:rsidP="009E1CE8">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E1CE8" w:rsidRPr="00F85A58">
        <w:rPr>
          <w:rFonts w:cs="Arial"/>
          <w:lang w:val="fr-FR"/>
        </w:rPr>
        <w:t>À l</w:t>
      </w:r>
      <w:r w:rsidR="005752E4" w:rsidRPr="00F85A58">
        <w:rPr>
          <w:rFonts w:cs="Arial"/>
          <w:lang w:val="fr-FR"/>
        </w:rPr>
        <w:t>’</w:t>
      </w:r>
      <w:r w:rsidR="009E1CE8" w:rsidRPr="00F85A58">
        <w:rPr>
          <w:rFonts w:cs="Arial"/>
          <w:lang w:val="fr-FR"/>
        </w:rPr>
        <w:t>invitation de l</w:t>
      </w:r>
      <w:r w:rsidR="005752E4" w:rsidRPr="00F85A58">
        <w:rPr>
          <w:rFonts w:cs="Arial"/>
          <w:lang w:val="fr-FR"/>
        </w:rPr>
        <w:t>’</w:t>
      </w:r>
      <w:r w:rsidR="009E1CE8" w:rsidRPr="00F85A58">
        <w:rPr>
          <w:rFonts w:cs="Arial"/>
          <w:lang w:val="fr-FR"/>
        </w:rPr>
        <w:t>Union européenne,</w:t>
      </w:r>
      <w:r w:rsidR="005752E4" w:rsidRPr="00F85A58">
        <w:rPr>
          <w:rFonts w:cs="Arial"/>
          <w:lang w:val="fr-FR"/>
        </w:rPr>
        <w:t xml:space="preserve"> le TWF</w:t>
      </w:r>
      <w:r w:rsidR="009E1CE8" w:rsidRPr="00F85A58">
        <w:rPr>
          <w:rFonts w:cs="Arial"/>
          <w:lang w:val="fr-FR"/>
        </w:rPr>
        <w:t xml:space="preserve"> est convenu de tenir sa quarante</w:t>
      </w:r>
      <w:r w:rsidR="00F85A58" w:rsidRPr="00F85A58">
        <w:rPr>
          <w:rFonts w:cs="Arial"/>
          <w:lang w:val="fr-FR"/>
        </w:rPr>
        <w:noBreakHyphen/>
      </w:r>
      <w:r w:rsidR="009E1CE8" w:rsidRPr="00F85A58">
        <w:rPr>
          <w:rFonts w:cs="Arial"/>
          <w:lang w:val="fr-FR"/>
        </w:rPr>
        <w:t>septième session à Angers (France), du 14 au 1</w:t>
      </w:r>
      <w:r w:rsidR="005752E4" w:rsidRPr="00F85A58">
        <w:rPr>
          <w:rFonts w:cs="Arial"/>
          <w:lang w:val="fr-FR"/>
        </w:rPr>
        <w:t>8 novembre 20</w:t>
      </w:r>
      <w:r w:rsidR="009E1CE8" w:rsidRPr="00F85A58">
        <w:rPr>
          <w:rFonts w:cs="Arial"/>
          <w:lang w:val="fr-FR"/>
        </w:rPr>
        <w:t>16, son atelier préparatoire se tenant le 1</w:t>
      </w:r>
      <w:r w:rsidR="005752E4" w:rsidRPr="00F85A58">
        <w:rPr>
          <w:rFonts w:cs="Arial"/>
          <w:lang w:val="fr-FR"/>
        </w:rPr>
        <w:t>3 novembre 20</w:t>
      </w:r>
      <w:r w:rsidR="009E1CE8" w:rsidRPr="00F85A58">
        <w:rPr>
          <w:rFonts w:cs="Arial"/>
          <w:lang w:val="fr-FR"/>
        </w:rPr>
        <w:t>16.</w:t>
      </w:r>
    </w:p>
    <w:p w:rsidR="00BA14DE" w:rsidRPr="00F85A58" w:rsidRDefault="00BA14DE" w:rsidP="00CA4227">
      <w:pPr>
        <w:rPr>
          <w:rFonts w:cs="Arial"/>
          <w:lang w:val="fr-FR"/>
        </w:rPr>
      </w:pPr>
    </w:p>
    <w:p w:rsidR="00BA14DE" w:rsidRPr="00F85A58" w:rsidRDefault="00CA4227" w:rsidP="009E1CE8">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9E1CE8" w:rsidRPr="00F85A58">
        <w:rPr>
          <w:rFonts w:cs="Arial"/>
          <w:lang w:val="fr-FR"/>
        </w:rPr>
        <w:t>Le TWF a proposé d</w:t>
      </w:r>
      <w:r w:rsidR="005752E4" w:rsidRPr="00F85A58">
        <w:rPr>
          <w:rFonts w:cs="Arial"/>
          <w:lang w:val="fr-FR"/>
        </w:rPr>
        <w:t>’</w:t>
      </w:r>
      <w:r w:rsidR="009E1CE8" w:rsidRPr="00F85A58">
        <w:rPr>
          <w:rFonts w:cs="Arial"/>
          <w:lang w:val="fr-FR"/>
        </w:rPr>
        <w:t>examiner les points suivants à sa prochaine session</w:t>
      </w:r>
      <w:r w:rsidR="00342006" w:rsidRPr="00F85A58">
        <w:rPr>
          <w:rFonts w:cs="Arial"/>
          <w:lang w:val="fr-FR"/>
        </w:rPr>
        <w:t> </w:t>
      </w:r>
      <w:r w:rsidR="009E1CE8" w:rsidRPr="00F85A58">
        <w:rPr>
          <w:rFonts w:cs="Arial"/>
          <w:lang w:val="fr-FR"/>
        </w:rPr>
        <w:t>:</w:t>
      </w:r>
    </w:p>
    <w:p w:rsidR="00BA14DE" w:rsidRPr="00F85A58" w:rsidRDefault="00BA14DE" w:rsidP="00050E16">
      <w:pPr>
        <w:rPr>
          <w:lang w:val="fr-FR"/>
        </w:rPr>
      </w:pPr>
    </w:p>
    <w:p w:rsidR="00BA14DE" w:rsidRPr="00F85A58" w:rsidRDefault="009E1CE8" w:rsidP="009E1CE8">
      <w:pPr>
        <w:ind w:left="567"/>
        <w:rPr>
          <w:rFonts w:cs="Arial"/>
          <w:lang w:val="fr-FR"/>
        </w:rPr>
      </w:pPr>
      <w:r w:rsidRPr="00F85A58">
        <w:rPr>
          <w:rFonts w:cs="Arial"/>
          <w:lang w:val="fr-FR"/>
        </w:rPr>
        <w:t>1.</w:t>
      </w:r>
      <w:r w:rsidRPr="00F85A58">
        <w:rPr>
          <w:rFonts w:cs="Arial"/>
          <w:lang w:val="fr-FR"/>
        </w:rPr>
        <w:tab/>
        <w:t>Ouverture de la session</w:t>
      </w:r>
    </w:p>
    <w:p w:rsidR="00BA14DE" w:rsidRPr="00F85A58" w:rsidRDefault="009E1CE8" w:rsidP="009E1CE8">
      <w:pPr>
        <w:ind w:left="567"/>
        <w:rPr>
          <w:rFonts w:cs="Arial"/>
          <w:lang w:val="fr-FR"/>
        </w:rPr>
      </w:pPr>
      <w:r w:rsidRPr="00F85A58">
        <w:rPr>
          <w:rFonts w:cs="Arial"/>
          <w:lang w:val="fr-FR"/>
        </w:rPr>
        <w:t>2.</w:t>
      </w:r>
      <w:r w:rsidRPr="00F85A58">
        <w:rPr>
          <w:rFonts w:cs="Arial"/>
          <w:lang w:val="fr-FR"/>
        </w:rPr>
        <w:tab/>
        <w:t>Adoption de l</w:t>
      </w:r>
      <w:r w:rsidR="005752E4" w:rsidRPr="00F85A58">
        <w:rPr>
          <w:rFonts w:cs="Arial"/>
          <w:lang w:val="fr-FR"/>
        </w:rPr>
        <w:t>’</w:t>
      </w:r>
      <w:r w:rsidRPr="00F85A58">
        <w:rPr>
          <w:rFonts w:cs="Arial"/>
          <w:lang w:val="fr-FR"/>
        </w:rPr>
        <w:t>ordre du jour</w:t>
      </w:r>
    </w:p>
    <w:p w:rsidR="00BA14DE" w:rsidRPr="00F85A58" w:rsidRDefault="009E1CE8" w:rsidP="004570E2">
      <w:pPr>
        <w:ind w:left="1134" w:hanging="567"/>
        <w:rPr>
          <w:rFonts w:cs="Arial"/>
          <w:lang w:val="fr-FR"/>
        </w:rPr>
      </w:pPr>
      <w:r w:rsidRPr="00F85A58">
        <w:rPr>
          <w:rFonts w:cs="Arial"/>
          <w:lang w:val="fr-FR"/>
        </w:rPr>
        <w:t>3.</w:t>
      </w:r>
      <w:r w:rsidRPr="00F85A58">
        <w:rPr>
          <w:rFonts w:cs="Arial"/>
          <w:lang w:val="fr-FR"/>
        </w:rPr>
        <w:tab/>
        <w:t>Rapports succincts sur l</w:t>
      </w:r>
      <w:r w:rsidR="005752E4" w:rsidRPr="00F85A58">
        <w:rPr>
          <w:rFonts w:cs="Arial"/>
          <w:lang w:val="fr-FR"/>
        </w:rPr>
        <w:t>’</w:t>
      </w:r>
      <w:r w:rsidRPr="00F85A58">
        <w:rPr>
          <w:rFonts w:cs="Arial"/>
          <w:lang w:val="fr-FR"/>
        </w:rPr>
        <w:t>évolution de la situation en matière de protection des obtentions végétales</w:t>
      </w:r>
    </w:p>
    <w:p w:rsidR="00BA14DE" w:rsidRPr="00F85A58" w:rsidRDefault="009E1CE8" w:rsidP="009E1CE8">
      <w:pPr>
        <w:ind w:left="1701" w:hanging="567"/>
        <w:rPr>
          <w:rFonts w:cs="Arial"/>
          <w:lang w:val="fr-FR"/>
        </w:rPr>
      </w:pPr>
      <w:r w:rsidRPr="00F85A58">
        <w:rPr>
          <w:rFonts w:cs="Arial"/>
          <w:lang w:val="fr-FR"/>
        </w:rPr>
        <w:t>a)</w:t>
      </w:r>
      <w:r w:rsidRPr="00F85A58">
        <w:rPr>
          <w:rFonts w:cs="Arial"/>
          <w:lang w:val="fr-FR"/>
        </w:rPr>
        <w:tab/>
        <w:t>Rapports des membres et des observateurs (rapports écrits à établir par les membres et observateurs)</w:t>
      </w:r>
    </w:p>
    <w:p w:rsidR="00BA14DE" w:rsidRPr="00F85A58" w:rsidRDefault="009E1CE8" w:rsidP="009E1CE8">
      <w:pPr>
        <w:ind w:left="1134"/>
        <w:rPr>
          <w:rFonts w:cs="Arial"/>
          <w:lang w:val="fr-FR"/>
        </w:rPr>
      </w:pPr>
      <w:r w:rsidRPr="00F85A58">
        <w:rPr>
          <w:rFonts w:cs="Arial"/>
          <w:lang w:val="fr-FR"/>
        </w:rPr>
        <w:t>b)</w:t>
      </w:r>
      <w:r w:rsidRPr="00F85A58">
        <w:rPr>
          <w:rFonts w:cs="Arial"/>
          <w:lang w:val="fr-FR"/>
        </w:rPr>
        <w:tab/>
        <w:t>Rapports sur les faits nouveaux intervenus à l</w:t>
      </w:r>
      <w:r w:rsidR="005752E4" w:rsidRPr="00F85A58">
        <w:rPr>
          <w:rFonts w:cs="Arial"/>
          <w:lang w:val="fr-FR"/>
        </w:rPr>
        <w:t>’</w:t>
      </w:r>
      <w:r w:rsidRPr="00F85A58">
        <w:rPr>
          <w:rFonts w:cs="Arial"/>
          <w:lang w:val="fr-FR"/>
        </w:rPr>
        <w:t>UPOV (rapport verbal du Bureau de l</w:t>
      </w:r>
      <w:r w:rsidR="005752E4" w:rsidRPr="00F85A58">
        <w:rPr>
          <w:rFonts w:cs="Arial"/>
          <w:lang w:val="fr-FR"/>
        </w:rPr>
        <w:t>’</w:t>
      </w:r>
      <w:r w:rsidRPr="00F85A58">
        <w:rPr>
          <w:rFonts w:cs="Arial"/>
          <w:lang w:val="fr-FR"/>
        </w:rPr>
        <w:t>Union)</w:t>
      </w:r>
    </w:p>
    <w:p w:rsidR="00BA14DE" w:rsidRPr="00F85A58" w:rsidRDefault="009E1CE8" w:rsidP="009E1CE8">
      <w:pPr>
        <w:ind w:left="567"/>
        <w:rPr>
          <w:rFonts w:cs="Arial"/>
          <w:lang w:val="fr-FR"/>
        </w:rPr>
      </w:pPr>
      <w:r w:rsidRPr="00F85A58">
        <w:rPr>
          <w:rFonts w:cs="Arial"/>
          <w:lang w:val="fr-FR"/>
        </w:rPr>
        <w:t>4.</w:t>
      </w:r>
      <w:r w:rsidRPr="00F85A58">
        <w:rPr>
          <w:rFonts w:cs="Arial"/>
          <w:lang w:val="fr-FR"/>
        </w:rPr>
        <w:tab/>
        <w:t>Techniques moléculaires (document à établir par le Bureau de l</w:t>
      </w:r>
      <w:r w:rsidR="005752E4" w:rsidRPr="00F85A58">
        <w:rPr>
          <w:rFonts w:cs="Arial"/>
          <w:lang w:val="fr-FR"/>
        </w:rPr>
        <w:t>’</w:t>
      </w:r>
      <w:r w:rsidRPr="00F85A58">
        <w:rPr>
          <w:rFonts w:cs="Arial"/>
          <w:lang w:val="fr-FR"/>
        </w:rPr>
        <w:t>Union)</w:t>
      </w:r>
    </w:p>
    <w:p w:rsidR="00BA14DE" w:rsidRPr="00F85A58" w:rsidRDefault="009E1CE8" w:rsidP="009E1CE8">
      <w:pPr>
        <w:ind w:left="567"/>
        <w:rPr>
          <w:rFonts w:cs="Arial"/>
          <w:lang w:val="fr-FR"/>
        </w:rPr>
      </w:pPr>
      <w:r w:rsidRPr="00F85A58">
        <w:rPr>
          <w:rFonts w:cs="Arial"/>
          <w:lang w:val="fr-FR"/>
        </w:rPr>
        <w:t>5.</w:t>
      </w:r>
      <w:r w:rsidRPr="00F85A58">
        <w:rPr>
          <w:rFonts w:cs="Arial"/>
          <w:lang w:val="fr-FR"/>
        </w:rPr>
        <w:tab/>
        <w:t>Documents TGP (documents à établir par le Bureau de l</w:t>
      </w:r>
      <w:r w:rsidR="005752E4" w:rsidRPr="00F85A58">
        <w:rPr>
          <w:rFonts w:cs="Arial"/>
          <w:lang w:val="fr-FR"/>
        </w:rPr>
        <w:t>’</w:t>
      </w:r>
      <w:r w:rsidRPr="00F85A58">
        <w:rPr>
          <w:rFonts w:cs="Arial"/>
          <w:lang w:val="fr-FR"/>
        </w:rPr>
        <w:t>Union)</w:t>
      </w:r>
    </w:p>
    <w:p w:rsidR="00BA14DE" w:rsidRPr="00F85A58" w:rsidRDefault="00192B45" w:rsidP="00192B45">
      <w:pPr>
        <w:ind w:left="567"/>
        <w:rPr>
          <w:rFonts w:cs="Arial"/>
          <w:lang w:val="fr-FR"/>
        </w:rPr>
      </w:pPr>
      <w:r w:rsidRPr="00F85A58">
        <w:rPr>
          <w:rFonts w:cs="Arial"/>
          <w:lang w:val="fr-FR"/>
        </w:rPr>
        <w:t>6.</w:t>
      </w:r>
      <w:r w:rsidRPr="00F85A58">
        <w:rPr>
          <w:rFonts w:cs="Arial"/>
          <w:lang w:val="fr-FR"/>
        </w:rPr>
        <w:tab/>
        <w:t>Dénominations variétales (document à établir par le Bureau de l</w:t>
      </w:r>
      <w:r w:rsidR="005752E4" w:rsidRPr="00F85A58">
        <w:rPr>
          <w:rFonts w:cs="Arial"/>
          <w:lang w:val="fr-FR"/>
        </w:rPr>
        <w:t>’</w:t>
      </w:r>
      <w:r w:rsidRPr="00F85A58">
        <w:rPr>
          <w:rFonts w:cs="Arial"/>
          <w:lang w:val="fr-FR"/>
        </w:rPr>
        <w:t>Union)</w:t>
      </w:r>
    </w:p>
    <w:p w:rsidR="00BA14DE" w:rsidRPr="00F85A58" w:rsidRDefault="00192B45" w:rsidP="00192B45">
      <w:pPr>
        <w:ind w:left="567"/>
        <w:rPr>
          <w:rFonts w:cs="Arial"/>
          <w:lang w:val="fr-FR"/>
        </w:rPr>
      </w:pPr>
      <w:r w:rsidRPr="00F85A58">
        <w:rPr>
          <w:rFonts w:cs="Arial"/>
          <w:lang w:val="fr-FR"/>
        </w:rPr>
        <w:t>7.</w:t>
      </w:r>
      <w:r w:rsidRPr="00F85A58">
        <w:rPr>
          <w:rFonts w:cs="Arial"/>
          <w:lang w:val="fr-FR"/>
        </w:rPr>
        <w:tab/>
        <w:t>Informations et bases de données</w:t>
      </w:r>
    </w:p>
    <w:p w:rsidR="00BA14DE" w:rsidRPr="00F85A58" w:rsidRDefault="00192B45" w:rsidP="00192B45">
      <w:pPr>
        <w:ind w:left="1701" w:hanging="567"/>
        <w:rPr>
          <w:rFonts w:cs="Arial"/>
          <w:lang w:val="fr-FR"/>
        </w:rPr>
      </w:pPr>
      <w:r w:rsidRPr="00F85A58">
        <w:rPr>
          <w:rFonts w:cs="Arial"/>
          <w:lang w:val="fr-FR"/>
        </w:rPr>
        <w:t>a)</w:t>
      </w:r>
      <w:r w:rsidRPr="00F85A58">
        <w:rPr>
          <w:rFonts w:cs="Arial"/>
          <w:lang w:val="fr-FR"/>
        </w:rPr>
        <w:tab/>
        <w:t>Bases de données d</w:t>
      </w:r>
      <w:r w:rsidR="005752E4" w:rsidRPr="00F85A58">
        <w:rPr>
          <w:rFonts w:cs="Arial"/>
          <w:lang w:val="fr-FR"/>
        </w:rPr>
        <w:t>’</w:t>
      </w:r>
      <w:r w:rsidRPr="00F85A58">
        <w:rPr>
          <w:rFonts w:cs="Arial"/>
          <w:lang w:val="fr-FR"/>
        </w:rPr>
        <w:t>information de l</w:t>
      </w:r>
      <w:r w:rsidR="005752E4" w:rsidRPr="00F85A58">
        <w:rPr>
          <w:rFonts w:cs="Arial"/>
          <w:lang w:val="fr-FR"/>
        </w:rPr>
        <w:t>’</w:t>
      </w:r>
      <w:r w:rsidRPr="00F85A58">
        <w:rPr>
          <w:rFonts w:cs="Arial"/>
          <w:lang w:val="fr-FR"/>
        </w:rPr>
        <w:t>UPOV (documents à établir par le Bureau de l</w:t>
      </w:r>
      <w:r w:rsidR="005752E4" w:rsidRPr="00F85A58">
        <w:rPr>
          <w:rFonts w:cs="Arial"/>
          <w:lang w:val="fr-FR"/>
        </w:rPr>
        <w:t>’</w:t>
      </w:r>
      <w:r w:rsidRPr="00F85A58">
        <w:rPr>
          <w:rFonts w:cs="Arial"/>
          <w:lang w:val="fr-FR"/>
        </w:rPr>
        <w:t>Union)</w:t>
      </w:r>
    </w:p>
    <w:p w:rsidR="005752E4" w:rsidRPr="00F85A58" w:rsidRDefault="00192B45" w:rsidP="00192B45">
      <w:pPr>
        <w:ind w:left="1701" w:hanging="567"/>
        <w:jc w:val="left"/>
        <w:rPr>
          <w:rFonts w:cs="Arial"/>
          <w:lang w:val="fr-FR"/>
        </w:rPr>
      </w:pPr>
      <w:r w:rsidRPr="00F85A58">
        <w:rPr>
          <w:rFonts w:cs="Arial"/>
          <w:lang w:val="fr-FR"/>
        </w:rPr>
        <w:t>b)</w:t>
      </w:r>
      <w:r w:rsidRPr="00F85A58">
        <w:rPr>
          <w:rFonts w:cs="Arial"/>
          <w:lang w:val="fr-FR"/>
        </w:rPr>
        <w:tab/>
        <w:t>Bases de données sur les descriptions variétales (documents à établir par le Bureau de l</w:t>
      </w:r>
      <w:r w:rsidR="005752E4" w:rsidRPr="00F85A58">
        <w:rPr>
          <w:rFonts w:cs="Arial"/>
          <w:lang w:val="fr-FR"/>
        </w:rPr>
        <w:t>’</w:t>
      </w:r>
      <w:r w:rsidRPr="00F85A58">
        <w:rPr>
          <w:rFonts w:cs="Arial"/>
          <w:lang w:val="fr-FR"/>
        </w:rPr>
        <w:t>Union)</w:t>
      </w:r>
    </w:p>
    <w:p w:rsidR="00BA14DE" w:rsidRPr="00F85A58" w:rsidRDefault="00192B45" w:rsidP="00192B45">
      <w:pPr>
        <w:ind w:left="1701" w:hanging="567"/>
        <w:rPr>
          <w:rFonts w:cs="Arial"/>
          <w:lang w:val="fr-FR"/>
        </w:rPr>
      </w:pPr>
      <w:r w:rsidRPr="00F85A58">
        <w:rPr>
          <w:rFonts w:cs="Arial"/>
          <w:lang w:val="fr-FR"/>
        </w:rPr>
        <w:t>c)</w:t>
      </w:r>
      <w:r w:rsidRPr="00F85A58">
        <w:rPr>
          <w:rFonts w:cs="Arial"/>
          <w:lang w:val="fr-FR"/>
        </w:rPr>
        <w:tab/>
        <w:t>Logiciels échangeables (document à établir par le Bureau de l</w:t>
      </w:r>
      <w:r w:rsidR="005752E4" w:rsidRPr="00F85A58">
        <w:rPr>
          <w:rFonts w:cs="Arial"/>
          <w:lang w:val="fr-FR"/>
        </w:rPr>
        <w:t>’</w:t>
      </w:r>
      <w:r w:rsidRPr="00F85A58">
        <w:rPr>
          <w:rFonts w:cs="Arial"/>
          <w:lang w:val="fr-FR"/>
        </w:rPr>
        <w:t>Union)</w:t>
      </w:r>
    </w:p>
    <w:p w:rsidR="00BA14DE" w:rsidRPr="00F85A58" w:rsidRDefault="00192B45" w:rsidP="00192B45">
      <w:pPr>
        <w:ind w:left="1134"/>
        <w:rPr>
          <w:rFonts w:cs="Arial"/>
          <w:lang w:val="fr-FR"/>
        </w:rPr>
      </w:pPr>
      <w:r w:rsidRPr="00F85A58">
        <w:rPr>
          <w:rFonts w:cs="Arial"/>
          <w:lang w:val="fr-FR"/>
        </w:rPr>
        <w:t>d)</w:t>
      </w:r>
      <w:r w:rsidRPr="00F85A58">
        <w:rPr>
          <w:rFonts w:cs="Arial"/>
          <w:lang w:val="fr-FR"/>
        </w:rPr>
        <w:tab/>
        <w:t>Systèmes de dépôt électronique des demandes (document à établir par le Bureau de l</w:t>
      </w:r>
      <w:r w:rsidR="005752E4" w:rsidRPr="00F85A58">
        <w:rPr>
          <w:rFonts w:cs="Arial"/>
          <w:lang w:val="fr-FR"/>
        </w:rPr>
        <w:t>’</w:t>
      </w:r>
      <w:r w:rsidRPr="00F85A58">
        <w:rPr>
          <w:rFonts w:cs="Arial"/>
          <w:lang w:val="fr-FR"/>
        </w:rPr>
        <w:t>Union)</w:t>
      </w:r>
    </w:p>
    <w:p w:rsidR="00BA14DE" w:rsidRPr="00F85A58" w:rsidRDefault="00915D1D" w:rsidP="00915D1D">
      <w:pPr>
        <w:ind w:left="567"/>
        <w:rPr>
          <w:rFonts w:cs="Arial"/>
          <w:lang w:val="fr-FR"/>
        </w:rPr>
      </w:pPr>
      <w:r w:rsidRPr="00F85A58">
        <w:rPr>
          <w:rFonts w:cs="Arial"/>
          <w:lang w:val="fr-FR"/>
        </w:rPr>
        <w:t>8.</w:t>
      </w:r>
      <w:r w:rsidRPr="00F85A58">
        <w:rPr>
          <w:rFonts w:cs="Arial"/>
          <w:lang w:val="fr-FR"/>
        </w:rPr>
        <w:tab/>
      </w:r>
      <w:r w:rsidR="00DB5FEE" w:rsidRPr="00F85A58">
        <w:rPr>
          <w:rFonts w:cs="Arial"/>
          <w:lang w:val="fr-FR"/>
        </w:rPr>
        <w:t>Évaluation de l</w:t>
      </w:r>
      <w:r w:rsidR="005752E4" w:rsidRPr="00F85A58">
        <w:rPr>
          <w:rFonts w:cs="Arial"/>
          <w:lang w:val="fr-FR"/>
        </w:rPr>
        <w:t>’</w:t>
      </w:r>
      <w:r w:rsidR="00DB5FEE" w:rsidRPr="00F85A58">
        <w:rPr>
          <w:rFonts w:cs="Arial"/>
          <w:lang w:val="fr-FR"/>
        </w:rPr>
        <w:t xml:space="preserve">homogénéité </w:t>
      </w:r>
      <w:r w:rsidRPr="00F85A58">
        <w:rPr>
          <w:rFonts w:cs="Arial"/>
          <w:lang w:val="fr-FR"/>
        </w:rPr>
        <w:t>(</w:t>
      </w:r>
      <w:r w:rsidR="00DB5FEE" w:rsidRPr="00F85A58">
        <w:rPr>
          <w:rFonts w:cs="Arial"/>
          <w:lang w:val="fr-FR"/>
        </w:rPr>
        <w:t>document à établir par le Bureau de l</w:t>
      </w:r>
      <w:r w:rsidR="005752E4" w:rsidRPr="00F85A58">
        <w:rPr>
          <w:rFonts w:cs="Arial"/>
          <w:lang w:val="fr-FR"/>
        </w:rPr>
        <w:t>’</w:t>
      </w:r>
      <w:r w:rsidR="00DB5FEE" w:rsidRPr="00F85A58">
        <w:rPr>
          <w:rFonts w:cs="Arial"/>
          <w:lang w:val="fr-FR"/>
        </w:rPr>
        <w:t>Union</w:t>
      </w:r>
      <w:r w:rsidRPr="00F85A58">
        <w:rPr>
          <w:rFonts w:cs="Arial"/>
          <w:lang w:val="fr-FR"/>
        </w:rPr>
        <w:t>)</w:t>
      </w:r>
    </w:p>
    <w:p w:rsidR="00BA14DE" w:rsidRPr="00F85A58" w:rsidRDefault="00915D1D" w:rsidP="00915D1D">
      <w:pPr>
        <w:ind w:left="567"/>
        <w:rPr>
          <w:rFonts w:cs="Arial"/>
          <w:lang w:val="fr-FR"/>
        </w:rPr>
      </w:pPr>
      <w:r w:rsidRPr="00F85A58">
        <w:rPr>
          <w:rFonts w:cs="Arial"/>
          <w:szCs w:val="24"/>
          <w:lang w:val="fr-FR"/>
        </w:rPr>
        <w:t>9.</w:t>
      </w:r>
      <w:r w:rsidRPr="00F85A58">
        <w:rPr>
          <w:rFonts w:cs="Arial"/>
          <w:szCs w:val="24"/>
          <w:lang w:val="fr-FR"/>
        </w:rPr>
        <w:tab/>
      </w:r>
      <w:r w:rsidR="0037490D" w:rsidRPr="00F85A58">
        <w:rPr>
          <w:rFonts w:cs="Arial"/>
          <w:szCs w:val="24"/>
          <w:lang w:val="fr-FR"/>
        </w:rPr>
        <w:t>E</w:t>
      </w:r>
      <w:r w:rsidR="0037490D" w:rsidRPr="00F85A58">
        <w:rPr>
          <w:rFonts w:cs="Arial"/>
          <w:lang w:val="fr-FR"/>
        </w:rPr>
        <w:t xml:space="preserve">xpérience des nouveaux types et espèces </w:t>
      </w:r>
      <w:r w:rsidRPr="00F85A58">
        <w:rPr>
          <w:rFonts w:cs="Arial"/>
          <w:lang w:val="fr-FR"/>
        </w:rPr>
        <w:t>(</w:t>
      </w:r>
      <w:r w:rsidR="0037490D" w:rsidRPr="00F85A58">
        <w:rPr>
          <w:rFonts w:cs="Arial"/>
          <w:lang w:val="fr-FR"/>
        </w:rPr>
        <w:t>rapports verbaux so</w:t>
      </w:r>
      <w:r w:rsidR="002A79E4" w:rsidRPr="00F85A58">
        <w:rPr>
          <w:rFonts w:cs="Arial"/>
          <w:lang w:val="fr-FR"/>
        </w:rPr>
        <w:t>llicités</w:t>
      </w:r>
      <w:r w:rsidRPr="00F85A58">
        <w:rPr>
          <w:rFonts w:cs="Arial"/>
          <w:lang w:val="fr-FR"/>
        </w:rPr>
        <w:t>)</w:t>
      </w:r>
    </w:p>
    <w:p w:rsidR="00BA14DE" w:rsidRPr="00F85A58" w:rsidRDefault="00915D1D" w:rsidP="00915D1D">
      <w:pPr>
        <w:ind w:left="567"/>
        <w:rPr>
          <w:rFonts w:cs="Arial"/>
          <w:lang w:val="fr-FR"/>
        </w:rPr>
      </w:pPr>
      <w:r w:rsidRPr="00F85A58">
        <w:rPr>
          <w:rFonts w:cs="Arial"/>
          <w:lang w:val="fr-FR"/>
        </w:rPr>
        <w:t>10</w:t>
      </w:r>
      <w:r w:rsidR="00091E13" w:rsidRPr="00F85A58">
        <w:rPr>
          <w:rFonts w:cs="Arial"/>
          <w:lang w:val="fr-FR"/>
        </w:rPr>
        <w:t>.</w:t>
      </w:r>
      <w:r w:rsidR="00091E13" w:rsidRPr="00F85A58">
        <w:rPr>
          <w:rFonts w:cs="Arial"/>
          <w:lang w:val="fr-FR"/>
        </w:rPr>
        <w:tab/>
      </w:r>
      <w:r w:rsidR="0037490D" w:rsidRPr="00F85A58">
        <w:rPr>
          <w:rFonts w:cs="Arial"/>
          <w:lang w:val="fr-FR"/>
        </w:rPr>
        <w:t xml:space="preserve">Gestion des collections de variétés </w:t>
      </w:r>
      <w:r w:rsidRPr="00F85A58">
        <w:rPr>
          <w:rFonts w:cs="Arial"/>
          <w:lang w:val="fr-FR"/>
        </w:rPr>
        <w:t>(</w:t>
      </w:r>
      <w:r w:rsidR="0037490D" w:rsidRPr="00F85A58">
        <w:rPr>
          <w:rFonts w:cs="Arial"/>
          <w:lang w:val="fr-FR"/>
        </w:rPr>
        <w:t>rapports verbaux so</w:t>
      </w:r>
      <w:r w:rsidR="002A79E4" w:rsidRPr="00F85A58">
        <w:rPr>
          <w:rFonts w:cs="Arial"/>
          <w:lang w:val="fr-FR"/>
        </w:rPr>
        <w:t>llicités</w:t>
      </w:r>
      <w:r w:rsidRPr="00F85A58">
        <w:rPr>
          <w:rFonts w:cs="Arial"/>
          <w:lang w:val="fr-FR"/>
        </w:rPr>
        <w:t>)</w:t>
      </w:r>
    </w:p>
    <w:p w:rsidR="00BA14DE" w:rsidRPr="00F85A58" w:rsidRDefault="00192B45" w:rsidP="00192B45">
      <w:pPr>
        <w:ind w:left="567"/>
        <w:rPr>
          <w:rFonts w:cs="Arial"/>
          <w:lang w:val="fr-FR"/>
        </w:rPr>
      </w:pPr>
      <w:r w:rsidRPr="00F85A58">
        <w:rPr>
          <w:rFonts w:cs="Arial"/>
          <w:lang w:val="fr-FR"/>
        </w:rPr>
        <w:t>11.</w:t>
      </w:r>
      <w:r w:rsidRPr="00F85A58">
        <w:rPr>
          <w:rFonts w:cs="Arial"/>
          <w:lang w:val="fr-FR"/>
        </w:rPr>
        <w:tab/>
        <w:t>Durée des examens DHS dans le secteur fruitier (document à établir par l</w:t>
      </w:r>
      <w:r w:rsidR="005752E4" w:rsidRPr="00F85A58">
        <w:rPr>
          <w:rFonts w:cs="Arial"/>
          <w:lang w:val="fr-FR"/>
        </w:rPr>
        <w:t>’</w:t>
      </w:r>
      <w:r w:rsidRPr="00F85A58">
        <w:rPr>
          <w:rFonts w:cs="Arial"/>
          <w:lang w:val="fr-FR"/>
        </w:rPr>
        <w:t>Union européenne)</w:t>
      </w:r>
    </w:p>
    <w:p w:rsidR="00BA14DE" w:rsidRPr="00F85A58" w:rsidRDefault="00915D1D" w:rsidP="00915D1D">
      <w:pPr>
        <w:ind w:left="1134" w:hanging="567"/>
        <w:rPr>
          <w:rFonts w:cs="Arial"/>
          <w:lang w:val="fr-FR"/>
        </w:rPr>
      </w:pPr>
      <w:r w:rsidRPr="00F85A58">
        <w:rPr>
          <w:rFonts w:cs="Arial"/>
          <w:lang w:val="fr-FR"/>
        </w:rPr>
        <w:t>12.</w:t>
      </w:r>
      <w:r w:rsidR="00091E13" w:rsidRPr="00F85A58">
        <w:rPr>
          <w:rFonts w:cs="Arial"/>
          <w:lang w:val="fr-FR"/>
        </w:rPr>
        <w:tab/>
      </w:r>
      <w:r w:rsidR="00243C51" w:rsidRPr="00F85A58">
        <w:rPr>
          <w:rFonts w:cs="Arial"/>
          <w:lang w:val="fr-FR"/>
        </w:rPr>
        <w:t>Cahier d</w:t>
      </w:r>
      <w:r w:rsidR="005752E4" w:rsidRPr="00F85A58">
        <w:rPr>
          <w:rFonts w:cs="Arial"/>
          <w:lang w:val="fr-FR"/>
        </w:rPr>
        <w:t>’</w:t>
      </w:r>
      <w:r w:rsidR="00243C51" w:rsidRPr="00F85A58">
        <w:rPr>
          <w:rFonts w:cs="Arial"/>
          <w:lang w:val="fr-FR"/>
        </w:rPr>
        <w:t xml:space="preserve">étalonnage </w:t>
      </w:r>
      <w:r w:rsidR="002B2D31" w:rsidRPr="00F85A58">
        <w:rPr>
          <w:rFonts w:cs="Arial"/>
          <w:lang w:val="fr-FR"/>
        </w:rPr>
        <w:t>aux fins d</w:t>
      </w:r>
      <w:r w:rsidR="005752E4" w:rsidRPr="00F85A58">
        <w:rPr>
          <w:rFonts w:cs="Arial"/>
          <w:lang w:val="fr-FR"/>
        </w:rPr>
        <w:t>’</w:t>
      </w:r>
      <w:r w:rsidR="002B2D31" w:rsidRPr="00F85A58">
        <w:rPr>
          <w:rFonts w:cs="Arial"/>
          <w:lang w:val="fr-FR"/>
        </w:rPr>
        <w:t xml:space="preserve">harmonisation de la description variétale du pommier </w:t>
      </w:r>
      <w:r w:rsidRPr="00F85A58">
        <w:rPr>
          <w:rFonts w:cs="Arial"/>
          <w:lang w:val="fr-FR"/>
        </w:rPr>
        <w:t>(</w:t>
      </w:r>
      <w:r w:rsidR="002B2D31" w:rsidRPr="00F85A58">
        <w:rPr>
          <w:rFonts w:cs="Arial"/>
          <w:lang w:val="fr-FR"/>
        </w:rPr>
        <w:t>document à établir par l</w:t>
      </w:r>
      <w:r w:rsidR="005752E4" w:rsidRPr="00F85A58">
        <w:rPr>
          <w:rFonts w:cs="Arial"/>
          <w:lang w:val="fr-FR"/>
        </w:rPr>
        <w:t>’</w:t>
      </w:r>
      <w:r w:rsidRPr="00F85A58">
        <w:rPr>
          <w:rFonts w:cs="Arial"/>
          <w:lang w:val="fr-FR"/>
        </w:rPr>
        <w:t>Union</w:t>
      </w:r>
      <w:r w:rsidR="002B2D31" w:rsidRPr="00F85A58">
        <w:rPr>
          <w:rFonts w:cs="Arial"/>
          <w:lang w:val="fr-FR"/>
        </w:rPr>
        <w:t xml:space="preserve"> européenne</w:t>
      </w:r>
      <w:r w:rsidRPr="00F85A58">
        <w:rPr>
          <w:rFonts w:cs="Arial"/>
          <w:lang w:val="fr-FR"/>
        </w:rPr>
        <w:t>)</w:t>
      </w:r>
    </w:p>
    <w:p w:rsidR="00BA14DE" w:rsidRPr="00F85A58" w:rsidRDefault="00915D1D" w:rsidP="00915D1D">
      <w:pPr>
        <w:ind w:left="1134" w:hanging="567"/>
        <w:rPr>
          <w:rFonts w:cs="Arial"/>
          <w:lang w:val="fr-FR"/>
        </w:rPr>
      </w:pPr>
      <w:r w:rsidRPr="00F85A58">
        <w:rPr>
          <w:rFonts w:cs="Arial"/>
          <w:lang w:val="fr-FR"/>
        </w:rPr>
        <w:t>1</w:t>
      </w:r>
      <w:r w:rsidR="00091E13" w:rsidRPr="00F85A58">
        <w:rPr>
          <w:rFonts w:cs="Arial"/>
          <w:lang w:val="fr-FR"/>
        </w:rPr>
        <w:t>3.</w:t>
      </w:r>
      <w:r w:rsidR="00091E13" w:rsidRPr="00F85A58">
        <w:rPr>
          <w:rFonts w:cs="Arial"/>
          <w:lang w:val="fr-FR"/>
        </w:rPr>
        <w:tab/>
      </w:r>
      <w:r w:rsidR="002A79E4" w:rsidRPr="00F85A58">
        <w:rPr>
          <w:rFonts w:cs="Arial"/>
          <w:lang w:val="fr-FR"/>
        </w:rPr>
        <w:t xml:space="preserve">Questions concernant les descriptions variétales </w:t>
      </w:r>
      <w:r w:rsidRPr="00F85A58">
        <w:rPr>
          <w:rFonts w:cs="Arial"/>
          <w:lang w:val="fr-FR"/>
        </w:rPr>
        <w:t>(</w:t>
      </w:r>
      <w:r w:rsidR="002A79E4" w:rsidRPr="00F85A58">
        <w:rPr>
          <w:rFonts w:cs="Arial"/>
          <w:lang w:val="fr-FR"/>
        </w:rPr>
        <w:t>document à établir par le Bureau de l</w:t>
      </w:r>
      <w:r w:rsidR="005752E4" w:rsidRPr="00F85A58">
        <w:rPr>
          <w:rFonts w:cs="Arial"/>
          <w:lang w:val="fr-FR"/>
        </w:rPr>
        <w:t>’</w:t>
      </w:r>
      <w:r w:rsidR="002A79E4" w:rsidRPr="00F85A58">
        <w:rPr>
          <w:rFonts w:cs="Arial"/>
          <w:lang w:val="fr-FR"/>
        </w:rPr>
        <w:t>Union et documents sollicités</w:t>
      </w:r>
      <w:r w:rsidRPr="00F85A58">
        <w:rPr>
          <w:rFonts w:cs="Arial"/>
          <w:lang w:val="fr-FR"/>
        </w:rPr>
        <w:t>)</w:t>
      </w:r>
    </w:p>
    <w:p w:rsidR="00BA14DE" w:rsidRPr="00F85A58" w:rsidRDefault="00915D1D" w:rsidP="00915D1D">
      <w:pPr>
        <w:ind w:left="567"/>
        <w:rPr>
          <w:rFonts w:cs="Arial"/>
          <w:lang w:val="fr-FR"/>
        </w:rPr>
      </w:pPr>
      <w:r w:rsidRPr="00F85A58">
        <w:rPr>
          <w:rFonts w:cs="Arial"/>
          <w:lang w:val="fr-FR"/>
        </w:rPr>
        <w:t>14.</w:t>
      </w:r>
      <w:r w:rsidR="00091E13" w:rsidRPr="00F85A58">
        <w:rPr>
          <w:rFonts w:cs="Arial"/>
          <w:lang w:val="fr-FR"/>
        </w:rPr>
        <w:tab/>
      </w:r>
      <w:r w:rsidRPr="00F85A58">
        <w:rPr>
          <w:rFonts w:cs="Arial"/>
          <w:lang w:val="fr-FR"/>
        </w:rPr>
        <w:t>Propos</w:t>
      </w:r>
      <w:r w:rsidR="002A79E4" w:rsidRPr="00F85A58">
        <w:rPr>
          <w:rFonts w:cs="Arial"/>
          <w:lang w:val="fr-FR"/>
        </w:rPr>
        <w:t xml:space="preserve">ition de révision du terme </w:t>
      </w:r>
      <w:r w:rsidRPr="00F85A58">
        <w:rPr>
          <w:rFonts w:cs="Arial"/>
          <w:lang w:val="fr-FR"/>
        </w:rPr>
        <w:t>“</w:t>
      </w:r>
      <w:r w:rsidR="002A79E4" w:rsidRPr="00F85A58">
        <w:rPr>
          <w:rFonts w:cs="Arial"/>
          <w:lang w:val="fr-FR"/>
        </w:rPr>
        <w:t>recourbé</w:t>
      </w:r>
      <w:r w:rsidRPr="00F85A58">
        <w:rPr>
          <w:rFonts w:cs="Arial"/>
          <w:lang w:val="fr-FR"/>
        </w:rPr>
        <w:t>” (</w:t>
      </w:r>
      <w:r w:rsidR="00065F71" w:rsidRPr="00F85A58">
        <w:rPr>
          <w:rFonts w:cs="Arial"/>
          <w:lang w:val="fr-FR"/>
        </w:rPr>
        <w:t>document à établir par Israël</w:t>
      </w:r>
      <w:r w:rsidRPr="00F85A58">
        <w:rPr>
          <w:rFonts w:cs="Arial"/>
          <w:lang w:val="fr-FR"/>
        </w:rPr>
        <w:t>)</w:t>
      </w:r>
    </w:p>
    <w:p w:rsidR="005752E4" w:rsidRPr="00F85A58" w:rsidRDefault="00192B45" w:rsidP="004570E2">
      <w:pPr>
        <w:ind w:left="1134" w:hanging="567"/>
        <w:rPr>
          <w:rFonts w:cs="Arial"/>
          <w:lang w:val="fr-FR"/>
        </w:rPr>
      </w:pPr>
      <w:r w:rsidRPr="00F85A58">
        <w:rPr>
          <w:rFonts w:cs="Arial"/>
          <w:lang w:val="fr-FR"/>
        </w:rPr>
        <w:t>15.</w:t>
      </w:r>
      <w:r w:rsidRPr="00F85A58">
        <w:rPr>
          <w:rFonts w:cs="Arial"/>
          <w:lang w:val="fr-FR"/>
        </w:rPr>
        <w:tab/>
        <w:t>Questions en suspens concernant les principes directeurs d</w:t>
      </w:r>
      <w:r w:rsidR="005752E4" w:rsidRPr="00F85A58">
        <w:rPr>
          <w:rFonts w:cs="Arial"/>
          <w:lang w:val="fr-FR"/>
        </w:rPr>
        <w:t>’</w:t>
      </w:r>
      <w:r w:rsidRPr="00F85A58">
        <w:rPr>
          <w:rFonts w:cs="Arial"/>
          <w:lang w:val="fr-FR"/>
        </w:rPr>
        <w:t>examen adoptés par le Comité technique</w:t>
      </w:r>
    </w:p>
    <w:p w:rsidR="005752E4" w:rsidRPr="00F85A58" w:rsidRDefault="00192B45" w:rsidP="004570E2">
      <w:pPr>
        <w:pStyle w:val="Default"/>
        <w:autoSpaceDE/>
        <w:autoSpaceDN/>
        <w:adjustRightInd/>
        <w:ind w:left="1134" w:hanging="567"/>
        <w:jc w:val="both"/>
        <w:rPr>
          <w:color w:val="auto"/>
          <w:sz w:val="20"/>
          <w:szCs w:val="20"/>
          <w:lang w:val="fr-FR"/>
        </w:rPr>
      </w:pPr>
      <w:r w:rsidRPr="00F85A58">
        <w:rPr>
          <w:color w:val="auto"/>
          <w:sz w:val="20"/>
          <w:szCs w:val="20"/>
          <w:lang w:val="fr-FR"/>
        </w:rPr>
        <w:t>16.</w:t>
      </w:r>
      <w:r w:rsidRPr="00F85A58">
        <w:rPr>
          <w:color w:val="auto"/>
          <w:sz w:val="20"/>
          <w:szCs w:val="20"/>
          <w:lang w:val="fr-FR"/>
        </w:rPr>
        <w:tab/>
        <w:t>Propositions relatives à des révisions partielles ou des corrections des principes directeurs d</w:t>
      </w:r>
      <w:r w:rsidR="005752E4" w:rsidRPr="00F85A58">
        <w:rPr>
          <w:color w:val="auto"/>
          <w:sz w:val="20"/>
          <w:szCs w:val="20"/>
          <w:lang w:val="fr-FR"/>
        </w:rPr>
        <w:t>’</w:t>
      </w:r>
      <w:r w:rsidRPr="00F85A58">
        <w:rPr>
          <w:color w:val="auto"/>
          <w:sz w:val="20"/>
          <w:szCs w:val="20"/>
          <w:lang w:val="fr-FR"/>
        </w:rPr>
        <w:t>examen</w:t>
      </w:r>
    </w:p>
    <w:p w:rsidR="00BA14DE" w:rsidRPr="00F85A58" w:rsidRDefault="00192B45" w:rsidP="00192B45">
      <w:pPr>
        <w:ind w:left="567"/>
        <w:rPr>
          <w:rFonts w:cs="Arial"/>
          <w:lang w:val="fr-FR"/>
        </w:rPr>
      </w:pPr>
      <w:r w:rsidRPr="00F85A58">
        <w:rPr>
          <w:rFonts w:cs="Arial"/>
          <w:lang w:val="fr-FR"/>
        </w:rPr>
        <w:t>17.</w:t>
      </w:r>
      <w:r w:rsidRPr="00F85A58">
        <w:rPr>
          <w:rFonts w:cs="Arial"/>
          <w:lang w:val="fr-FR"/>
        </w:rPr>
        <w:tab/>
        <w:t>Examen des projets de principes directeurs d</w:t>
      </w:r>
      <w:r w:rsidR="005752E4" w:rsidRPr="00F85A58">
        <w:rPr>
          <w:rFonts w:cs="Arial"/>
          <w:lang w:val="fr-FR"/>
        </w:rPr>
        <w:t>’</w:t>
      </w:r>
      <w:r w:rsidRPr="00F85A58">
        <w:rPr>
          <w:rFonts w:cs="Arial"/>
          <w:lang w:val="fr-FR"/>
        </w:rPr>
        <w:t>examen (sous</w:t>
      </w:r>
      <w:r w:rsidR="00F85A58" w:rsidRPr="00F85A58">
        <w:rPr>
          <w:rFonts w:cs="Arial"/>
          <w:lang w:val="fr-FR"/>
        </w:rPr>
        <w:noBreakHyphen/>
      </w:r>
      <w:r w:rsidRPr="00F85A58">
        <w:rPr>
          <w:rFonts w:cs="Arial"/>
          <w:lang w:val="fr-FR"/>
        </w:rPr>
        <w:t>groupes)</w:t>
      </w:r>
    </w:p>
    <w:p w:rsidR="00BA14DE" w:rsidRPr="00F85A58" w:rsidRDefault="00192B45" w:rsidP="00192B45">
      <w:pPr>
        <w:ind w:left="567"/>
        <w:rPr>
          <w:rFonts w:cs="Arial"/>
          <w:lang w:val="fr-FR"/>
        </w:rPr>
      </w:pPr>
      <w:r w:rsidRPr="00F85A58">
        <w:rPr>
          <w:rFonts w:cs="Arial"/>
          <w:lang w:val="fr-FR"/>
        </w:rPr>
        <w:t>18.</w:t>
      </w:r>
      <w:r w:rsidRPr="00F85A58">
        <w:rPr>
          <w:rFonts w:cs="Arial"/>
          <w:lang w:val="fr-FR"/>
        </w:rPr>
        <w:tab/>
        <w:t>Recommandations concernant les projets de principes directeurs d</w:t>
      </w:r>
      <w:r w:rsidR="005752E4" w:rsidRPr="00F85A58">
        <w:rPr>
          <w:rFonts w:cs="Arial"/>
          <w:lang w:val="fr-FR"/>
        </w:rPr>
        <w:t>’</w:t>
      </w:r>
      <w:r w:rsidRPr="00F85A58">
        <w:rPr>
          <w:rFonts w:cs="Arial"/>
          <w:lang w:val="fr-FR"/>
        </w:rPr>
        <w:t>examen</w:t>
      </w:r>
    </w:p>
    <w:p w:rsidR="00BA14DE" w:rsidRPr="00F85A58" w:rsidRDefault="00192B45" w:rsidP="00192B45">
      <w:pPr>
        <w:ind w:left="567"/>
        <w:rPr>
          <w:rFonts w:cs="Arial"/>
          <w:lang w:val="fr-FR"/>
        </w:rPr>
      </w:pPr>
      <w:r w:rsidRPr="00F85A58">
        <w:rPr>
          <w:rFonts w:cs="Arial"/>
          <w:lang w:val="fr-FR"/>
        </w:rPr>
        <w:t>19.</w:t>
      </w:r>
      <w:r w:rsidRPr="00F85A58">
        <w:rPr>
          <w:rFonts w:cs="Arial"/>
          <w:lang w:val="fr-FR"/>
        </w:rPr>
        <w:tab/>
        <w:t>Orientations pour les rédacteurs de principes directeurs d</w:t>
      </w:r>
      <w:r w:rsidR="005752E4" w:rsidRPr="00F85A58">
        <w:rPr>
          <w:rFonts w:cs="Arial"/>
          <w:lang w:val="fr-FR"/>
        </w:rPr>
        <w:t>’</w:t>
      </w:r>
      <w:r w:rsidRPr="00F85A58">
        <w:rPr>
          <w:rFonts w:cs="Arial"/>
          <w:lang w:val="fr-FR"/>
        </w:rPr>
        <w:t>examen</w:t>
      </w:r>
    </w:p>
    <w:p w:rsidR="00BA14DE" w:rsidRPr="00F85A58" w:rsidRDefault="00915D1D" w:rsidP="00915D1D">
      <w:pPr>
        <w:ind w:left="1134" w:hanging="567"/>
        <w:rPr>
          <w:rFonts w:cs="Arial"/>
          <w:lang w:val="fr-FR"/>
        </w:rPr>
      </w:pPr>
      <w:r w:rsidRPr="00F85A58">
        <w:rPr>
          <w:rFonts w:cs="Arial"/>
          <w:lang w:val="fr-FR"/>
        </w:rPr>
        <w:t>20.</w:t>
      </w:r>
      <w:r w:rsidR="00091E13" w:rsidRPr="00F85A58">
        <w:rPr>
          <w:rFonts w:cs="Arial"/>
          <w:lang w:val="fr-FR"/>
        </w:rPr>
        <w:tab/>
      </w:r>
      <w:r w:rsidR="006425AC" w:rsidRPr="00F85A58">
        <w:rPr>
          <w:rFonts w:cs="Arial"/>
          <w:lang w:val="fr-FR"/>
        </w:rPr>
        <w:t>Examen DHS des variétés mutantes du pommier</w:t>
      </w:r>
      <w:r w:rsidRPr="00F85A58">
        <w:rPr>
          <w:rFonts w:cs="Arial"/>
          <w:lang w:val="fr-FR"/>
        </w:rPr>
        <w:t xml:space="preserve"> (</w:t>
      </w:r>
      <w:r w:rsidR="006425AC" w:rsidRPr="00F85A58">
        <w:rPr>
          <w:rFonts w:cs="Arial"/>
          <w:lang w:val="fr-FR"/>
        </w:rPr>
        <w:t>document à établir par l</w:t>
      </w:r>
      <w:r w:rsidR="005752E4" w:rsidRPr="00F85A58">
        <w:rPr>
          <w:rFonts w:cs="Arial"/>
          <w:lang w:val="fr-FR"/>
        </w:rPr>
        <w:t>’</w:t>
      </w:r>
      <w:r w:rsidR="006425AC" w:rsidRPr="00F85A58">
        <w:rPr>
          <w:rFonts w:cs="Arial"/>
          <w:lang w:val="fr-FR"/>
        </w:rPr>
        <w:t>Union européenne</w:t>
      </w:r>
      <w:r w:rsidRPr="00F85A58">
        <w:rPr>
          <w:rFonts w:cs="Arial"/>
          <w:lang w:val="fr-FR"/>
        </w:rPr>
        <w:t>)</w:t>
      </w:r>
    </w:p>
    <w:p w:rsidR="00BA14DE" w:rsidRPr="00F85A58" w:rsidRDefault="00915D1D" w:rsidP="00915D1D">
      <w:pPr>
        <w:ind w:left="567"/>
        <w:rPr>
          <w:rFonts w:cs="Arial"/>
          <w:lang w:val="fr-FR"/>
        </w:rPr>
      </w:pPr>
      <w:r w:rsidRPr="00F85A58">
        <w:rPr>
          <w:rFonts w:cs="Arial"/>
          <w:lang w:val="fr-FR"/>
        </w:rPr>
        <w:t>21.</w:t>
      </w:r>
      <w:r w:rsidR="00091E13" w:rsidRPr="00F85A58">
        <w:rPr>
          <w:rFonts w:cs="Arial"/>
          <w:lang w:val="fr-FR"/>
        </w:rPr>
        <w:tab/>
      </w:r>
      <w:r w:rsidR="006425AC" w:rsidRPr="00F85A58">
        <w:rPr>
          <w:rFonts w:cs="Arial"/>
          <w:lang w:val="fr-FR"/>
        </w:rPr>
        <w:t xml:space="preserve">Écart minimal entre les variétés </w:t>
      </w:r>
      <w:r w:rsidRPr="00F85A58">
        <w:rPr>
          <w:rFonts w:cs="Arial"/>
          <w:lang w:val="fr-FR"/>
        </w:rPr>
        <w:t>(</w:t>
      </w:r>
      <w:r w:rsidR="006425AC" w:rsidRPr="00F85A58">
        <w:rPr>
          <w:rFonts w:cs="Arial"/>
          <w:lang w:val="fr-FR"/>
        </w:rPr>
        <w:t>document à établir par l</w:t>
      </w:r>
      <w:r w:rsidR="005752E4" w:rsidRPr="00F85A58">
        <w:rPr>
          <w:rFonts w:cs="Arial"/>
          <w:lang w:val="fr-FR"/>
        </w:rPr>
        <w:t>’</w:t>
      </w:r>
      <w:r w:rsidR="006425AC" w:rsidRPr="00F85A58">
        <w:rPr>
          <w:rFonts w:cs="Arial"/>
          <w:lang w:val="fr-FR"/>
        </w:rPr>
        <w:t>Union européenne</w:t>
      </w:r>
      <w:r w:rsidRPr="00F85A58">
        <w:rPr>
          <w:rFonts w:cs="Arial"/>
          <w:lang w:val="fr-FR"/>
        </w:rPr>
        <w:t>)</w:t>
      </w:r>
    </w:p>
    <w:p w:rsidR="00BA14DE" w:rsidRPr="00F85A58" w:rsidRDefault="00915D1D" w:rsidP="00915D1D">
      <w:pPr>
        <w:ind w:left="1134" w:hanging="567"/>
        <w:rPr>
          <w:rFonts w:cs="Arial"/>
          <w:lang w:val="fr-FR"/>
        </w:rPr>
      </w:pPr>
      <w:r w:rsidRPr="00F85A58">
        <w:rPr>
          <w:rFonts w:cs="Arial"/>
          <w:lang w:val="fr-FR"/>
        </w:rPr>
        <w:t>22.</w:t>
      </w:r>
      <w:r w:rsidR="00091E13" w:rsidRPr="00F85A58">
        <w:rPr>
          <w:rFonts w:cs="Arial"/>
          <w:lang w:val="fr-FR"/>
        </w:rPr>
        <w:tab/>
      </w:r>
      <w:r w:rsidR="007646DB" w:rsidRPr="00F85A58">
        <w:rPr>
          <w:rFonts w:cs="Arial"/>
          <w:lang w:val="fr-FR"/>
        </w:rPr>
        <w:t>Méthode d</w:t>
      </w:r>
      <w:r w:rsidR="005752E4" w:rsidRPr="00F85A58">
        <w:rPr>
          <w:rFonts w:cs="Arial"/>
          <w:lang w:val="fr-FR"/>
        </w:rPr>
        <w:t>’</w:t>
      </w:r>
      <w:r w:rsidR="007646DB" w:rsidRPr="00F85A58">
        <w:rPr>
          <w:rFonts w:cs="Arial"/>
          <w:lang w:val="fr-FR"/>
        </w:rPr>
        <w:t>observation des caractères dérivés</w:t>
      </w:r>
      <w:r w:rsidRPr="00F85A58">
        <w:rPr>
          <w:rFonts w:cs="Arial"/>
          <w:lang w:val="fr-FR"/>
        </w:rPr>
        <w:t xml:space="preserve"> (</w:t>
      </w:r>
      <w:r w:rsidR="007646DB" w:rsidRPr="00F85A58">
        <w:rPr>
          <w:rFonts w:cs="Arial"/>
          <w:lang w:val="fr-FR"/>
        </w:rPr>
        <w:t>document à établir par la Nouvelle</w:t>
      </w:r>
      <w:r w:rsidR="00F85A58" w:rsidRPr="00F85A58">
        <w:rPr>
          <w:rFonts w:cs="Arial"/>
          <w:lang w:val="fr-FR"/>
        </w:rPr>
        <w:noBreakHyphen/>
      </w:r>
      <w:r w:rsidR="007646DB" w:rsidRPr="00F85A58">
        <w:rPr>
          <w:rFonts w:cs="Arial"/>
          <w:lang w:val="fr-FR"/>
        </w:rPr>
        <w:t>Zélande et documents sollicités</w:t>
      </w:r>
      <w:r w:rsidRPr="00F85A58">
        <w:rPr>
          <w:rFonts w:cs="Arial"/>
          <w:lang w:val="fr-FR"/>
        </w:rPr>
        <w:t>)</w:t>
      </w:r>
    </w:p>
    <w:p w:rsidR="00BA14DE" w:rsidRPr="00F85A58" w:rsidRDefault="00192B45" w:rsidP="00192B45">
      <w:pPr>
        <w:ind w:left="567"/>
        <w:rPr>
          <w:rFonts w:cs="Arial"/>
          <w:lang w:val="fr-FR"/>
        </w:rPr>
      </w:pPr>
      <w:r w:rsidRPr="00F85A58">
        <w:rPr>
          <w:rFonts w:cs="Arial"/>
          <w:lang w:val="fr-FR"/>
        </w:rPr>
        <w:t>23.</w:t>
      </w:r>
      <w:r w:rsidRPr="00F85A58">
        <w:rPr>
          <w:rFonts w:cs="Arial"/>
          <w:lang w:val="fr-FR"/>
        </w:rPr>
        <w:tab/>
        <w:t>Date et lieu de la prochaine session</w:t>
      </w:r>
    </w:p>
    <w:p w:rsidR="00BA14DE" w:rsidRPr="00F85A58" w:rsidRDefault="00192B45" w:rsidP="00192B45">
      <w:pPr>
        <w:ind w:left="567"/>
        <w:rPr>
          <w:rFonts w:cs="Arial"/>
          <w:lang w:val="fr-FR"/>
        </w:rPr>
      </w:pPr>
      <w:r w:rsidRPr="00F85A58">
        <w:rPr>
          <w:rFonts w:cs="Arial"/>
          <w:lang w:val="fr-FR"/>
        </w:rPr>
        <w:t>24.</w:t>
      </w:r>
      <w:r w:rsidRPr="00F85A58">
        <w:rPr>
          <w:rFonts w:cs="Arial"/>
          <w:lang w:val="fr-FR"/>
        </w:rPr>
        <w:tab/>
        <w:t>Programme futur</w:t>
      </w:r>
    </w:p>
    <w:p w:rsidR="00BA14DE" w:rsidRPr="00F85A58" w:rsidRDefault="00192B45" w:rsidP="00192B45">
      <w:pPr>
        <w:ind w:left="567"/>
        <w:rPr>
          <w:rFonts w:cs="Arial"/>
          <w:lang w:val="fr-FR"/>
        </w:rPr>
      </w:pPr>
      <w:r w:rsidRPr="00F85A58">
        <w:rPr>
          <w:rFonts w:cs="Arial"/>
          <w:lang w:val="fr-FR"/>
        </w:rPr>
        <w:t>25.</w:t>
      </w:r>
      <w:r w:rsidRPr="00F85A58">
        <w:rPr>
          <w:rFonts w:cs="Arial"/>
          <w:lang w:val="fr-FR"/>
        </w:rPr>
        <w:tab/>
        <w:t>Adoption du compte rendu de la session (selon le temps disponible)</w:t>
      </w:r>
    </w:p>
    <w:p w:rsidR="00BA14DE" w:rsidRPr="00F85A58" w:rsidRDefault="00192B45" w:rsidP="00192B45">
      <w:pPr>
        <w:ind w:left="567"/>
        <w:rPr>
          <w:rFonts w:cs="Arial"/>
          <w:lang w:val="fr-FR"/>
        </w:rPr>
      </w:pPr>
      <w:r w:rsidRPr="00F85A58">
        <w:rPr>
          <w:rFonts w:cs="Arial"/>
          <w:lang w:val="fr-FR"/>
        </w:rPr>
        <w:t>26.</w:t>
      </w:r>
      <w:r w:rsidRPr="00F85A58">
        <w:rPr>
          <w:rFonts w:cs="Arial"/>
          <w:lang w:val="fr-FR"/>
        </w:rPr>
        <w:tab/>
        <w:t>Clôture de la session</w:t>
      </w:r>
    </w:p>
    <w:p w:rsidR="00BA14DE" w:rsidRPr="00F85A58" w:rsidRDefault="00BA14DE" w:rsidP="00915D1D">
      <w:pPr>
        <w:rPr>
          <w:rFonts w:cs="Arial"/>
          <w:lang w:val="fr-FR"/>
        </w:rPr>
      </w:pPr>
    </w:p>
    <w:p w:rsidR="00BA14DE" w:rsidRPr="00F85A58" w:rsidRDefault="00915D1D" w:rsidP="00915D1D">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0770E4" w:rsidRPr="00F85A58">
        <w:rPr>
          <w:rFonts w:cs="Arial"/>
          <w:lang w:val="fr-FR"/>
        </w:rPr>
        <w:t>Dans l</w:t>
      </w:r>
      <w:r w:rsidR="005752E4" w:rsidRPr="00F85A58">
        <w:rPr>
          <w:rFonts w:cs="Arial"/>
          <w:lang w:val="fr-FR"/>
        </w:rPr>
        <w:t>’</w:t>
      </w:r>
      <w:r w:rsidR="000770E4" w:rsidRPr="00F85A58">
        <w:rPr>
          <w:rFonts w:cs="Arial"/>
          <w:lang w:val="fr-FR"/>
        </w:rPr>
        <w:t>après</w:t>
      </w:r>
      <w:r w:rsidR="00F85A58" w:rsidRPr="00F85A58">
        <w:rPr>
          <w:rFonts w:cs="Arial"/>
          <w:lang w:val="fr-FR"/>
        </w:rPr>
        <w:noBreakHyphen/>
      </w:r>
      <w:r w:rsidR="000770E4" w:rsidRPr="00F85A58">
        <w:rPr>
          <w:rFonts w:cs="Arial"/>
          <w:lang w:val="fr-FR"/>
        </w:rPr>
        <w:t>midi du 26 </w:t>
      </w:r>
      <w:r w:rsidR="005752E4" w:rsidRPr="00F85A58">
        <w:rPr>
          <w:rFonts w:cs="Arial"/>
          <w:lang w:val="fr-FR"/>
        </w:rPr>
        <w:t>août 20</w:t>
      </w:r>
      <w:r w:rsidRPr="00F85A58">
        <w:rPr>
          <w:rFonts w:cs="Arial"/>
          <w:lang w:val="fr-FR"/>
        </w:rPr>
        <w:t>15,</w:t>
      </w:r>
      <w:r w:rsidR="005752E4" w:rsidRPr="00F85A58">
        <w:rPr>
          <w:rFonts w:cs="Arial"/>
          <w:lang w:val="fr-FR"/>
        </w:rPr>
        <w:t xml:space="preserve"> le TWF</w:t>
      </w:r>
      <w:r w:rsidRPr="00F85A58">
        <w:rPr>
          <w:rFonts w:cs="Arial"/>
          <w:lang w:val="fr-FR"/>
        </w:rPr>
        <w:t xml:space="preserve"> </w:t>
      </w:r>
      <w:r w:rsidR="000770E4" w:rsidRPr="00F85A58">
        <w:rPr>
          <w:rFonts w:cs="Arial"/>
          <w:lang w:val="fr-FR"/>
        </w:rPr>
        <w:t xml:space="preserve">a visité </w:t>
      </w:r>
      <w:r w:rsidR="00F1568C" w:rsidRPr="00F85A58">
        <w:rPr>
          <w:rFonts w:cs="Arial"/>
          <w:lang w:val="fr-FR"/>
        </w:rPr>
        <w:t xml:space="preserve">le Conseil de la recherche agricole </w:t>
      </w:r>
      <w:r w:rsidR="004E50E9" w:rsidRPr="00F85A58">
        <w:rPr>
          <w:rFonts w:cs="Arial"/>
          <w:lang w:val="fr-FR"/>
        </w:rPr>
        <w:t xml:space="preserve">pour les plantes tropicales et subtropicales </w:t>
      </w:r>
      <w:r w:rsidRPr="00F85A58">
        <w:rPr>
          <w:rFonts w:cs="Arial"/>
          <w:lang w:val="fr-FR"/>
        </w:rPr>
        <w:t>(ARC</w:t>
      </w:r>
      <w:r w:rsidR="00F85A58" w:rsidRPr="00F85A58">
        <w:rPr>
          <w:rFonts w:cs="Arial"/>
          <w:lang w:val="fr-FR"/>
        </w:rPr>
        <w:noBreakHyphen/>
      </w:r>
      <w:r w:rsidRPr="00F85A58">
        <w:rPr>
          <w:rFonts w:cs="Arial"/>
          <w:lang w:val="fr-FR"/>
        </w:rPr>
        <w:t xml:space="preserve">ITSC) </w:t>
      </w:r>
      <w:r w:rsidR="004E50E9" w:rsidRPr="00F85A58">
        <w:rPr>
          <w:rFonts w:cs="Arial"/>
          <w:lang w:val="fr-FR"/>
        </w:rPr>
        <w:t>à</w:t>
      </w:r>
      <w:r w:rsidRPr="00F85A58">
        <w:rPr>
          <w:rFonts w:cs="Arial"/>
          <w:lang w:val="fr-FR"/>
        </w:rPr>
        <w:t xml:space="preserve"> </w:t>
      </w:r>
      <w:proofErr w:type="spellStart"/>
      <w:r w:rsidRPr="00F85A58">
        <w:rPr>
          <w:rFonts w:cs="Arial"/>
          <w:lang w:val="fr-FR"/>
        </w:rPr>
        <w:t>Mbombela</w:t>
      </w:r>
      <w:proofErr w:type="spellEnd"/>
      <w:r w:rsidR="004E50E9" w:rsidRPr="00F85A58">
        <w:rPr>
          <w:rFonts w:cs="Arial"/>
          <w:lang w:val="fr-FR"/>
        </w:rPr>
        <w:t xml:space="preserve"> dans la province de </w:t>
      </w:r>
      <w:r w:rsidRPr="00F85A58">
        <w:rPr>
          <w:rFonts w:cs="Arial"/>
          <w:lang w:val="fr-FR"/>
        </w:rPr>
        <w:t xml:space="preserve">Mpumalanga, </w:t>
      </w:r>
      <w:r w:rsidR="004E50E9" w:rsidRPr="00F85A58">
        <w:rPr>
          <w:rFonts w:cs="Arial"/>
          <w:lang w:val="fr-FR"/>
        </w:rPr>
        <w:t xml:space="preserve">où </w:t>
      </w:r>
      <w:r w:rsidRPr="00F85A58">
        <w:rPr>
          <w:rFonts w:cs="Arial"/>
          <w:lang w:val="fr-FR"/>
        </w:rPr>
        <w:t>M</w:t>
      </w:r>
      <w:r w:rsidR="00845F0A" w:rsidRPr="00F85A58">
        <w:rPr>
          <w:rFonts w:cs="Arial"/>
          <w:lang w:val="fr-FR"/>
        </w:rPr>
        <w:t>.</w:t>
      </w:r>
      <w:r w:rsidRPr="00F85A58">
        <w:rPr>
          <w:rFonts w:cs="Arial"/>
          <w:lang w:val="fr-FR"/>
        </w:rPr>
        <w:t> </w:t>
      </w:r>
      <w:proofErr w:type="spellStart"/>
      <w:r w:rsidRPr="00F85A58">
        <w:rPr>
          <w:rFonts w:cs="Arial"/>
          <w:lang w:val="fr-FR"/>
        </w:rPr>
        <w:t>Mduduzi</w:t>
      </w:r>
      <w:proofErr w:type="spellEnd"/>
      <w:r w:rsidRPr="00F85A58">
        <w:rPr>
          <w:rFonts w:cs="Arial"/>
          <w:lang w:val="fr-FR"/>
        </w:rPr>
        <w:t xml:space="preserve"> </w:t>
      </w:r>
      <w:proofErr w:type="spellStart"/>
      <w:r w:rsidRPr="00F85A58">
        <w:rPr>
          <w:rFonts w:cs="Arial"/>
          <w:lang w:val="fr-FR"/>
        </w:rPr>
        <w:t>Ngcobo</w:t>
      </w:r>
      <w:proofErr w:type="spellEnd"/>
      <w:r w:rsidRPr="00F85A58">
        <w:rPr>
          <w:rFonts w:cs="Arial"/>
          <w:lang w:val="fr-FR"/>
        </w:rPr>
        <w:t xml:space="preserve">, </w:t>
      </w:r>
      <w:r w:rsidR="004E50E9" w:rsidRPr="00F85A58">
        <w:rPr>
          <w:rFonts w:cs="Arial"/>
          <w:lang w:val="fr-FR"/>
        </w:rPr>
        <w:t>respons</w:t>
      </w:r>
      <w:r w:rsidR="00145B82" w:rsidRPr="00F85A58">
        <w:rPr>
          <w:rFonts w:cs="Arial"/>
          <w:lang w:val="fr-FR"/>
        </w:rPr>
        <w:t>a</w:t>
      </w:r>
      <w:r w:rsidR="004E50E9" w:rsidRPr="00F85A58">
        <w:rPr>
          <w:rFonts w:cs="Arial"/>
          <w:lang w:val="fr-FR"/>
        </w:rPr>
        <w:t>ble d</w:t>
      </w:r>
      <w:r w:rsidR="005752E4" w:rsidRPr="00F85A58">
        <w:rPr>
          <w:rFonts w:cs="Arial"/>
          <w:lang w:val="fr-FR"/>
        </w:rPr>
        <w:t>’</w:t>
      </w:r>
      <w:r w:rsidR="004E50E9" w:rsidRPr="00F85A58">
        <w:rPr>
          <w:rFonts w:cs="Arial"/>
          <w:lang w:val="fr-FR"/>
        </w:rPr>
        <w:t xml:space="preserve">équipe de recherche à la Division </w:t>
      </w:r>
      <w:r w:rsidR="00145B82" w:rsidRPr="00F85A58">
        <w:rPr>
          <w:rFonts w:cs="Arial"/>
          <w:lang w:val="fr-FR"/>
        </w:rPr>
        <w:t>horticulture et poste</w:t>
      </w:r>
      <w:r w:rsidR="00F85A58" w:rsidRPr="00F85A58">
        <w:rPr>
          <w:rFonts w:cs="Arial"/>
          <w:lang w:val="fr-FR"/>
        </w:rPr>
        <w:noBreakHyphen/>
      </w:r>
      <w:r w:rsidR="00145B82" w:rsidRPr="00F85A58">
        <w:rPr>
          <w:rFonts w:cs="Arial"/>
          <w:lang w:val="fr-FR"/>
        </w:rPr>
        <w:t>récolte de l</w:t>
      </w:r>
      <w:r w:rsidR="005752E4" w:rsidRPr="00F85A58">
        <w:rPr>
          <w:rFonts w:cs="Arial"/>
          <w:lang w:val="fr-FR"/>
        </w:rPr>
        <w:t>’</w:t>
      </w:r>
      <w:r w:rsidRPr="00F85A58">
        <w:rPr>
          <w:rFonts w:cs="Arial"/>
          <w:lang w:val="fr-FR"/>
        </w:rPr>
        <w:t>ARC</w:t>
      </w:r>
      <w:r w:rsidR="00F85A58" w:rsidRPr="00F85A58">
        <w:rPr>
          <w:rFonts w:cs="Arial"/>
          <w:lang w:val="fr-FR"/>
        </w:rPr>
        <w:noBreakHyphen/>
      </w:r>
      <w:r w:rsidRPr="00F85A58">
        <w:rPr>
          <w:rFonts w:cs="Arial"/>
          <w:lang w:val="fr-FR"/>
        </w:rPr>
        <w:t>ITSC</w:t>
      </w:r>
      <w:r w:rsidR="00145B82" w:rsidRPr="00F85A58">
        <w:rPr>
          <w:rFonts w:cs="Arial"/>
          <w:lang w:val="fr-FR"/>
        </w:rPr>
        <w:t>, a souhaité la bienvenue aux participants et a donné un aperçu de l</w:t>
      </w:r>
      <w:r w:rsidR="005752E4" w:rsidRPr="00F85A58">
        <w:rPr>
          <w:rFonts w:cs="Arial"/>
          <w:lang w:val="fr-FR"/>
        </w:rPr>
        <w:t>’</w:t>
      </w:r>
      <w:r w:rsidRPr="00F85A58">
        <w:rPr>
          <w:rFonts w:cs="Arial"/>
          <w:lang w:val="fr-FR"/>
        </w:rPr>
        <w:t>ARC</w:t>
      </w:r>
      <w:r w:rsidR="00F85A58" w:rsidRPr="00F85A58">
        <w:rPr>
          <w:rFonts w:cs="Arial"/>
          <w:lang w:val="fr-FR"/>
        </w:rPr>
        <w:noBreakHyphen/>
      </w:r>
      <w:r w:rsidRPr="00F85A58">
        <w:rPr>
          <w:rFonts w:cs="Arial"/>
          <w:lang w:val="fr-FR"/>
        </w:rPr>
        <w:t>I</w:t>
      </w:r>
      <w:r w:rsidR="00F85A58" w:rsidRPr="00F85A58">
        <w:rPr>
          <w:rFonts w:cs="Arial"/>
          <w:lang w:val="fr-FR"/>
        </w:rPr>
        <w:t>TSC.  Le</w:t>
      </w:r>
      <w:r w:rsidR="005752E4" w:rsidRPr="00F85A58">
        <w:rPr>
          <w:rFonts w:cs="Arial"/>
          <w:lang w:val="fr-FR"/>
        </w:rPr>
        <w:t> TWF</w:t>
      </w:r>
      <w:r w:rsidRPr="00F85A58">
        <w:rPr>
          <w:rFonts w:cs="Arial"/>
          <w:lang w:val="fr-FR"/>
        </w:rPr>
        <w:t xml:space="preserve"> </w:t>
      </w:r>
      <w:r w:rsidR="00145B82" w:rsidRPr="00F85A58">
        <w:rPr>
          <w:rFonts w:cs="Arial"/>
          <w:lang w:val="fr-FR"/>
        </w:rPr>
        <w:t>a également suivi un exposé sur la sélection et la production de l</w:t>
      </w:r>
      <w:r w:rsidR="005752E4" w:rsidRPr="00F85A58">
        <w:rPr>
          <w:rFonts w:cs="Arial"/>
          <w:lang w:val="fr-FR"/>
        </w:rPr>
        <w:t>’</w:t>
      </w:r>
      <w:r w:rsidR="00145B82" w:rsidRPr="00F85A58">
        <w:rPr>
          <w:rFonts w:cs="Arial"/>
          <w:lang w:val="fr-FR"/>
        </w:rPr>
        <w:t>avocatier présenté par M</w:t>
      </w:r>
      <w:r w:rsidRPr="00F85A58">
        <w:rPr>
          <w:rFonts w:cs="Arial"/>
          <w:lang w:val="fr-FR"/>
        </w:rPr>
        <w:t>.</w:t>
      </w:r>
      <w:r w:rsidR="00145B82" w:rsidRPr="00F85A58">
        <w:rPr>
          <w:rFonts w:cs="Arial"/>
          <w:lang w:val="fr-FR"/>
        </w:rPr>
        <w:t> </w:t>
      </w:r>
      <w:r w:rsidRPr="00F85A58">
        <w:rPr>
          <w:rFonts w:cs="Arial"/>
          <w:lang w:val="fr-FR"/>
        </w:rPr>
        <w:t xml:space="preserve">Theo </w:t>
      </w:r>
      <w:proofErr w:type="spellStart"/>
      <w:r w:rsidRPr="00F85A58">
        <w:rPr>
          <w:rFonts w:cs="Arial"/>
          <w:lang w:val="fr-FR"/>
        </w:rPr>
        <w:t>Bekker</w:t>
      </w:r>
      <w:proofErr w:type="spellEnd"/>
      <w:r w:rsidRPr="00F85A58">
        <w:rPr>
          <w:rFonts w:cs="Arial"/>
          <w:lang w:val="fr-FR"/>
        </w:rPr>
        <w:t>,</w:t>
      </w:r>
      <w:r w:rsidR="00DB4004" w:rsidRPr="00F85A58">
        <w:rPr>
          <w:rFonts w:cs="Arial"/>
          <w:lang w:val="fr-FR"/>
        </w:rPr>
        <w:t xml:space="preserve"> </w:t>
      </w:r>
      <w:r w:rsidR="001815D5" w:rsidRPr="00F85A58">
        <w:rPr>
          <w:rFonts w:cs="Arial"/>
          <w:lang w:val="fr-FR"/>
        </w:rPr>
        <w:t xml:space="preserve">directeur </w:t>
      </w:r>
      <w:r w:rsidR="00A47081" w:rsidRPr="00F85A58">
        <w:rPr>
          <w:rFonts w:cs="Arial"/>
          <w:lang w:val="fr-FR"/>
        </w:rPr>
        <w:t xml:space="preserve">technique </w:t>
      </w:r>
      <w:r w:rsidR="001815D5" w:rsidRPr="00F85A58">
        <w:rPr>
          <w:rFonts w:cs="Arial"/>
          <w:lang w:val="fr-FR"/>
        </w:rPr>
        <w:t xml:space="preserve">chez </w:t>
      </w:r>
      <w:proofErr w:type="spellStart"/>
      <w:r w:rsidRPr="00F85A58">
        <w:rPr>
          <w:rFonts w:cs="Arial"/>
          <w:lang w:val="fr-FR"/>
        </w:rPr>
        <w:t>Westfalia</w:t>
      </w:r>
      <w:proofErr w:type="spellEnd"/>
      <w:r w:rsidRPr="00F85A58">
        <w:rPr>
          <w:rFonts w:cs="Arial"/>
          <w:lang w:val="fr-FR"/>
        </w:rPr>
        <w:t xml:space="preserve"> </w:t>
      </w:r>
      <w:proofErr w:type="spellStart"/>
      <w:r w:rsidRPr="00F85A58">
        <w:rPr>
          <w:rFonts w:cs="Arial"/>
          <w:lang w:val="fr-FR"/>
        </w:rPr>
        <w:t>Technological</w:t>
      </w:r>
      <w:proofErr w:type="spellEnd"/>
      <w:r w:rsidRPr="00F85A58">
        <w:rPr>
          <w:rFonts w:cs="Arial"/>
          <w:lang w:val="fr-FR"/>
        </w:rPr>
        <w:t xml:space="preserve"> Services, </w:t>
      </w:r>
      <w:r w:rsidR="001815D5" w:rsidRPr="00F85A58">
        <w:rPr>
          <w:rFonts w:cs="Arial"/>
          <w:lang w:val="fr-FR"/>
        </w:rPr>
        <w:t xml:space="preserve">et un exposé sur le </w:t>
      </w:r>
      <w:proofErr w:type="spellStart"/>
      <w:r w:rsidR="001815D5" w:rsidRPr="00F85A58">
        <w:rPr>
          <w:rFonts w:cs="Arial"/>
          <w:lang w:val="fr-FR"/>
        </w:rPr>
        <w:t>marula</w:t>
      </w:r>
      <w:proofErr w:type="spellEnd"/>
      <w:r w:rsidR="001815D5" w:rsidRPr="00F85A58">
        <w:rPr>
          <w:rFonts w:cs="Arial"/>
          <w:lang w:val="fr-FR"/>
        </w:rPr>
        <w:t xml:space="preserve"> présenté par </w:t>
      </w:r>
      <w:r w:rsidRPr="00F85A58">
        <w:rPr>
          <w:rFonts w:cs="Arial"/>
          <w:lang w:val="fr-FR"/>
        </w:rPr>
        <w:t xml:space="preserve">M. Dudley </w:t>
      </w:r>
      <w:proofErr w:type="spellStart"/>
      <w:r w:rsidRPr="00F85A58">
        <w:rPr>
          <w:rFonts w:cs="Arial"/>
          <w:lang w:val="fr-FR"/>
        </w:rPr>
        <w:t>McKnight</w:t>
      </w:r>
      <w:proofErr w:type="spellEnd"/>
      <w:r w:rsidRPr="00F85A58">
        <w:rPr>
          <w:rFonts w:cs="Arial"/>
          <w:lang w:val="fr-FR"/>
        </w:rPr>
        <w:t xml:space="preserve">, </w:t>
      </w:r>
      <w:r w:rsidR="001815D5" w:rsidRPr="00F85A58">
        <w:rPr>
          <w:rFonts w:cs="Arial"/>
          <w:lang w:val="fr-FR"/>
        </w:rPr>
        <w:t>directeur général de</w:t>
      </w:r>
      <w:r w:rsidRPr="00F85A58">
        <w:rPr>
          <w:rFonts w:cs="Arial"/>
          <w:lang w:val="fr-FR"/>
        </w:rPr>
        <w:t xml:space="preserve"> </w:t>
      </w:r>
      <w:proofErr w:type="spellStart"/>
      <w:r w:rsidRPr="00F85A58">
        <w:rPr>
          <w:rFonts w:cs="Arial"/>
          <w:lang w:val="fr-FR"/>
        </w:rPr>
        <w:t>Mirma</w:t>
      </w:r>
      <w:proofErr w:type="spellEnd"/>
      <w:r w:rsidRPr="00F85A58">
        <w:rPr>
          <w:rFonts w:cs="Arial"/>
          <w:lang w:val="fr-FR"/>
        </w:rPr>
        <w:t xml:space="preserve"> </w:t>
      </w:r>
      <w:proofErr w:type="spellStart"/>
      <w:r w:rsidRPr="00F85A58">
        <w:rPr>
          <w:rFonts w:cs="Arial"/>
          <w:lang w:val="fr-FR"/>
        </w:rPr>
        <w:t>Produc</w:t>
      </w:r>
      <w:r w:rsidR="00F85A58" w:rsidRPr="00F85A58">
        <w:rPr>
          <w:rFonts w:cs="Arial"/>
          <w:lang w:val="fr-FR"/>
        </w:rPr>
        <w:t>ts</w:t>
      </w:r>
      <w:proofErr w:type="spellEnd"/>
      <w:r w:rsidR="00F85A58" w:rsidRPr="00F85A58">
        <w:rPr>
          <w:rFonts w:cs="Arial"/>
          <w:lang w:val="fr-FR"/>
        </w:rPr>
        <w:t>.  Le</w:t>
      </w:r>
      <w:r w:rsidR="005752E4" w:rsidRPr="00F85A58">
        <w:rPr>
          <w:rFonts w:cs="Arial"/>
          <w:lang w:val="fr-FR"/>
        </w:rPr>
        <w:t> TWF</w:t>
      </w:r>
      <w:r w:rsidRPr="00F85A58">
        <w:rPr>
          <w:rFonts w:cs="Arial"/>
          <w:lang w:val="fr-FR"/>
        </w:rPr>
        <w:t xml:space="preserve"> </w:t>
      </w:r>
      <w:r w:rsidR="001815D5" w:rsidRPr="00F85A58">
        <w:rPr>
          <w:rFonts w:cs="Arial"/>
          <w:lang w:val="fr-FR"/>
        </w:rPr>
        <w:t xml:space="preserve">a également visité les collections de variétés et les programmes de sélection de </w:t>
      </w:r>
      <w:r w:rsidR="001826AD">
        <w:rPr>
          <w:rFonts w:cs="Arial"/>
          <w:lang w:val="fr-FR"/>
        </w:rPr>
        <w:t>l’</w:t>
      </w:r>
      <w:r w:rsidR="001815D5" w:rsidRPr="00F85A58">
        <w:rPr>
          <w:rFonts w:cs="Arial"/>
          <w:lang w:val="fr-FR"/>
        </w:rPr>
        <w:t>ARC</w:t>
      </w:r>
      <w:r w:rsidR="00F85A58" w:rsidRPr="00F85A58">
        <w:rPr>
          <w:rFonts w:cs="Arial"/>
          <w:lang w:val="fr-FR"/>
        </w:rPr>
        <w:noBreakHyphen/>
      </w:r>
      <w:r w:rsidR="001815D5" w:rsidRPr="00F85A58">
        <w:rPr>
          <w:rFonts w:cs="Arial"/>
          <w:lang w:val="fr-FR"/>
        </w:rPr>
        <w:t xml:space="preserve">ITSC pour : fruit de la passion, </w:t>
      </w:r>
      <w:r w:rsidRPr="00F85A58">
        <w:rPr>
          <w:rFonts w:cs="Arial"/>
          <w:lang w:val="fr-FR"/>
        </w:rPr>
        <w:t xml:space="preserve">litchi, </w:t>
      </w:r>
      <w:r w:rsidR="001815D5" w:rsidRPr="00F85A58">
        <w:rPr>
          <w:rFonts w:cs="Arial"/>
          <w:lang w:val="fr-FR"/>
        </w:rPr>
        <w:t xml:space="preserve">avocatier et </w:t>
      </w:r>
      <w:r w:rsidRPr="00F85A58">
        <w:rPr>
          <w:rFonts w:cs="Arial"/>
          <w:lang w:val="fr-FR"/>
        </w:rPr>
        <w:t>macadamia.</w:t>
      </w:r>
    </w:p>
    <w:p w:rsidR="00BA14DE" w:rsidRPr="00F85A58" w:rsidRDefault="00BA14DE" w:rsidP="00050E16">
      <w:pPr>
        <w:rPr>
          <w:lang w:val="fr-FR"/>
        </w:rPr>
      </w:pPr>
    </w:p>
    <w:p w:rsidR="00BA14DE" w:rsidRPr="00F85A58" w:rsidRDefault="00192B45" w:rsidP="004570E2">
      <w:pPr>
        <w:pStyle w:val="Heading3"/>
      </w:pPr>
      <w:r w:rsidRPr="00F85A58">
        <w:t>Groupe de travail technique sur les plantes ornementales et les arbres forestiers</w:t>
      </w:r>
    </w:p>
    <w:p w:rsidR="00BA14DE" w:rsidRPr="00F85A58" w:rsidRDefault="00BA14DE" w:rsidP="003D3E08">
      <w:pPr>
        <w:keepNext/>
        <w:rPr>
          <w:lang w:val="fr-FR"/>
        </w:rPr>
      </w:pPr>
    </w:p>
    <w:p w:rsidR="005752E4" w:rsidRPr="00F85A58" w:rsidRDefault="005C638C" w:rsidP="004447A0">
      <w:pPr>
        <w:keepNext/>
        <w:rPr>
          <w:rFonts w:cs="Arial"/>
          <w:lang w:val="fr-FR"/>
        </w:rPr>
      </w:pPr>
      <w:r w:rsidRPr="00F85A58">
        <w:rPr>
          <w:rFonts w:cs="Arial"/>
          <w:lang w:val="fr-FR"/>
        </w:rPr>
        <w:fldChar w:fldCharType="begin"/>
      </w:r>
      <w:r w:rsidRPr="00F85A58">
        <w:rPr>
          <w:rFonts w:cs="Arial"/>
          <w:lang w:val="fr-FR"/>
        </w:rPr>
        <w:instrText xml:space="preserve"> AUTONUM  \* Arabic </w:instrText>
      </w:r>
      <w:r w:rsidRPr="00F85A58">
        <w:rPr>
          <w:rFonts w:cs="Arial"/>
          <w:lang w:val="fr-FR"/>
        </w:rPr>
        <w:fldChar w:fldCharType="end"/>
      </w:r>
      <w:r w:rsidRPr="00F85A58">
        <w:rPr>
          <w:rFonts w:cs="Arial"/>
          <w:lang w:val="fr-FR"/>
        </w:rPr>
        <w:tab/>
      </w:r>
      <w:r w:rsidR="004447A0" w:rsidRPr="00F85A58">
        <w:rPr>
          <w:rFonts w:cs="Arial"/>
          <w:lang w:val="fr-FR"/>
        </w:rPr>
        <w:t>Le TWO a tenu sa quarante</w:t>
      </w:r>
      <w:r w:rsidR="00F85A58" w:rsidRPr="00F85A58">
        <w:rPr>
          <w:rFonts w:cs="Arial"/>
          <w:lang w:val="fr-FR"/>
        </w:rPr>
        <w:noBreakHyphen/>
      </w:r>
      <w:r w:rsidR="004447A0" w:rsidRPr="00F85A58">
        <w:rPr>
          <w:rFonts w:cs="Arial"/>
          <w:lang w:val="fr-FR"/>
        </w:rPr>
        <w:t>huitième</w:t>
      </w:r>
      <w:r w:rsidR="00342006" w:rsidRPr="00F85A58">
        <w:rPr>
          <w:rFonts w:cs="Arial"/>
          <w:lang w:val="fr-FR"/>
        </w:rPr>
        <w:t> </w:t>
      </w:r>
      <w:r w:rsidR="004447A0" w:rsidRPr="00F85A58">
        <w:rPr>
          <w:rFonts w:cs="Arial"/>
          <w:lang w:val="fr-FR"/>
        </w:rPr>
        <w:t>session à Cambridge (Royaume</w:t>
      </w:r>
      <w:r w:rsidR="00F85A58" w:rsidRPr="00F85A58">
        <w:rPr>
          <w:rFonts w:cs="Arial"/>
          <w:lang w:val="fr-FR"/>
        </w:rPr>
        <w:noBreakHyphen/>
      </w:r>
      <w:r w:rsidR="004447A0" w:rsidRPr="00F85A58">
        <w:rPr>
          <w:rFonts w:cs="Arial"/>
          <w:lang w:val="fr-FR"/>
        </w:rPr>
        <w:t>Uni) du 14 au 1</w:t>
      </w:r>
      <w:r w:rsidR="005752E4" w:rsidRPr="00F85A58">
        <w:rPr>
          <w:rFonts w:cs="Arial"/>
          <w:lang w:val="fr-FR"/>
        </w:rPr>
        <w:t>8 septembre 20</w:t>
      </w:r>
      <w:r w:rsidR="004447A0" w:rsidRPr="00F85A58">
        <w:rPr>
          <w:rFonts w:cs="Arial"/>
          <w:lang w:val="fr-FR"/>
        </w:rPr>
        <w:t>15.</w:t>
      </w:r>
      <w:r w:rsidR="00342006" w:rsidRPr="00F85A58">
        <w:rPr>
          <w:rFonts w:cs="Arial"/>
          <w:lang w:val="fr-FR"/>
        </w:rPr>
        <w:t xml:space="preserve"> </w:t>
      </w:r>
      <w:r w:rsidRPr="00F85A58">
        <w:rPr>
          <w:lang w:val="fr-FR"/>
        </w:rPr>
        <w:t xml:space="preserve"> M.</w:t>
      </w:r>
      <w:r w:rsidR="00AF2407" w:rsidRPr="00F85A58">
        <w:rPr>
          <w:lang w:val="fr-FR"/>
        </w:rPr>
        <w:t> </w:t>
      </w:r>
      <w:r w:rsidRPr="00F85A58">
        <w:rPr>
          <w:rFonts w:cs="Arial"/>
          <w:lang w:val="fr-FR"/>
        </w:rPr>
        <w:t xml:space="preserve">Kenji </w:t>
      </w:r>
      <w:proofErr w:type="spellStart"/>
      <w:r w:rsidRPr="00F85A58">
        <w:rPr>
          <w:rFonts w:cs="Arial"/>
          <w:lang w:val="fr-FR"/>
        </w:rPr>
        <w:t>Numaguchi</w:t>
      </w:r>
      <w:proofErr w:type="spellEnd"/>
      <w:r w:rsidRPr="00F85A58">
        <w:rPr>
          <w:rFonts w:cs="Arial"/>
          <w:lang w:val="fr-FR"/>
        </w:rPr>
        <w:t xml:space="preserve"> (Jap</w:t>
      </w:r>
      <w:r w:rsidR="00AF2407" w:rsidRPr="00F85A58">
        <w:rPr>
          <w:rFonts w:cs="Arial"/>
          <w:lang w:val="fr-FR"/>
        </w:rPr>
        <w:t>o</w:t>
      </w:r>
      <w:r w:rsidRPr="00F85A58">
        <w:rPr>
          <w:rFonts w:cs="Arial"/>
          <w:lang w:val="fr-FR"/>
        </w:rPr>
        <w:t xml:space="preserve">n), </w:t>
      </w:r>
      <w:r w:rsidR="00AF2407" w:rsidRPr="00F85A58">
        <w:rPr>
          <w:rFonts w:cs="Arial"/>
          <w:lang w:val="fr-FR"/>
        </w:rPr>
        <w:t>président</w:t>
      </w:r>
      <w:r w:rsidR="005752E4" w:rsidRPr="00F85A58">
        <w:rPr>
          <w:rFonts w:cs="Arial"/>
          <w:lang w:val="fr-FR"/>
        </w:rPr>
        <w:t xml:space="preserve"> du TWO</w:t>
      </w:r>
      <w:r w:rsidR="00AF2407" w:rsidRPr="00F85A58">
        <w:rPr>
          <w:rFonts w:cs="Arial"/>
          <w:lang w:val="fr-FR"/>
        </w:rPr>
        <w:t xml:space="preserve"> a ouvert la sessi</w:t>
      </w:r>
      <w:r w:rsidR="00F85A58" w:rsidRPr="00F85A58">
        <w:rPr>
          <w:rFonts w:cs="Arial"/>
          <w:lang w:val="fr-FR"/>
        </w:rPr>
        <w:t>on.  Le</w:t>
      </w:r>
      <w:r w:rsidR="00AF2407" w:rsidRPr="00F85A58">
        <w:rPr>
          <w:rFonts w:cs="Arial"/>
          <w:lang w:val="fr-FR"/>
        </w:rPr>
        <w:t xml:space="preserve"> compte rendu détaillé de la session fait l</w:t>
      </w:r>
      <w:r w:rsidR="005752E4" w:rsidRPr="00F85A58">
        <w:rPr>
          <w:rFonts w:cs="Arial"/>
          <w:lang w:val="fr-FR"/>
        </w:rPr>
        <w:t>’</w:t>
      </w:r>
      <w:r w:rsidR="00AF2407" w:rsidRPr="00F85A58">
        <w:rPr>
          <w:rFonts w:cs="Arial"/>
          <w:lang w:val="fr-FR"/>
        </w:rPr>
        <w:t>objet du document</w:t>
      </w:r>
      <w:r w:rsidRPr="00F85A58">
        <w:rPr>
          <w:rFonts w:cs="Arial"/>
          <w:lang w:val="fr-FR"/>
        </w:rPr>
        <w:t xml:space="preserve"> TWO/48/26 “Report”.</w:t>
      </w:r>
    </w:p>
    <w:p w:rsidR="00BA14DE" w:rsidRPr="00F85A58" w:rsidRDefault="00BA14DE" w:rsidP="005C638C">
      <w:pPr>
        <w:rPr>
          <w:rFonts w:cs="Arial"/>
          <w:lang w:val="fr-FR"/>
        </w:rPr>
      </w:pPr>
    </w:p>
    <w:p w:rsidR="005752E4" w:rsidRPr="00F85A58" w:rsidRDefault="005C638C" w:rsidP="004447A0">
      <w:pPr>
        <w:rPr>
          <w:rFonts w:cs="Arial"/>
          <w:lang w:val="fr-FR"/>
        </w:rPr>
      </w:pPr>
      <w:r w:rsidRPr="00F85A58">
        <w:rPr>
          <w:rFonts w:cs="Arial"/>
          <w:lang w:val="fr-FR"/>
        </w:rPr>
        <w:fldChar w:fldCharType="begin"/>
      </w:r>
      <w:r w:rsidRPr="00F85A58">
        <w:rPr>
          <w:rFonts w:cs="Arial"/>
          <w:lang w:val="fr-FR"/>
        </w:rPr>
        <w:instrText xml:space="preserve"> AUTONUM  \* Arabic </w:instrText>
      </w:r>
      <w:r w:rsidRPr="00F85A58">
        <w:rPr>
          <w:rFonts w:cs="Arial"/>
          <w:lang w:val="fr-FR"/>
        </w:rPr>
        <w:fldChar w:fldCharType="end"/>
      </w:r>
      <w:r w:rsidRPr="00F85A58">
        <w:rPr>
          <w:rFonts w:cs="Arial"/>
          <w:lang w:val="fr-FR"/>
        </w:rPr>
        <w:tab/>
      </w:r>
      <w:r w:rsidR="004447A0" w:rsidRPr="00F85A58">
        <w:rPr>
          <w:rFonts w:cs="Arial"/>
          <w:lang w:val="fr-FR"/>
        </w:rPr>
        <w:t xml:space="preserve">La session a réuni </w:t>
      </w:r>
      <w:r w:rsidR="001826AD">
        <w:rPr>
          <w:rFonts w:cs="Arial"/>
          <w:lang w:val="fr-FR"/>
        </w:rPr>
        <w:t>56 </w:t>
      </w:r>
      <w:r w:rsidR="004447A0" w:rsidRPr="00F85A58">
        <w:rPr>
          <w:rFonts w:cs="Arial"/>
          <w:lang w:val="fr-FR"/>
        </w:rPr>
        <w:t xml:space="preserve">participants représentant </w:t>
      </w:r>
      <w:r w:rsidR="001826AD">
        <w:rPr>
          <w:rFonts w:cs="Arial"/>
          <w:lang w:val="fr-FR"/>
        </w:rPr>
        <w:t>16 </w:t>
      </w:r>
      <w:r w:rsidR="004447A0" w:rsidRPr="00F85A58">
        <w:rPr>
          <w:rFonts w:cs="Arial"/>
          <w:lang w:val="fr-FR"/>
        </w:rPr>
        <w:t>membres de l</w:t>
      </w:r>
      <w:r w:rsidR="005752E4" w:rsidRPr="00F85A58">
        <w:rPr>
          <w:rFonts w:cs="Arial"/>
          <w:lang w:val="fr-FR"/>
        </w:rPr>
        <w:t>’</w:t>
      </w:r>
      <w:r w:rsidR="004447A0" w:rsidRPr="00F85A58">
        <w:rPr>
          <w:rFonts w:cs="Arial"/>
          <w:lang w:val="fr-FR"/>
        </w:rPr>
        <w:t xml:space="preserve">Union, </w:t>
      </w:r>
      <w:r w:rsidR="001826AD">
        <w:rPr>
          <w:rFonts w:cs="Arial"/>
          <w:lang w:val="fr-FR"/>
        </w:rPr>
        <w:t>2 </w:t>
      </w:r>
      <w:r w:rsidR="004447A0" w:rsidRPr="00F85A58">
        <w:rPr>
          <w:rFonts w:cs="Arial"/>
          <w:lang w:val="fr-FR"/>
        </w:rPr>
        <w:t>États ayant le statut d</w:t>
      </w:r>
      <w:r w:rsidR="005752E4" w:rsidRPr="00F85A58">
        <w:rPr>
          <w:rFonts w:cs="Arial"/>
          <w:lang w:val="fr-FR"/>
        </w:rPr>
        <w:t>’</w:t>
      </w:r>
      <w:r w:rsidR="004447A0" w:rsidRPr="00F85A58">
        <w:rPr>
          <w:rFonts w:cs="Arial"/>
          <w:lang w:val="fr-FR"/>
        </w:rPr>
        <w:t xml:space="preserve">observateur et </w:t>
      </w:r>
      <w:r w:rsidR="001826AD">
        <w:rPr>
          <w:rFonts w:cs="Arial"/>
          <w:lang w:val="fr-FR"/>
        </w:rPr>
        <w:t>2 </w:t>
      </w:r>
      <w:r w:rsidR="004447A0" w:rsidRPr="00F85A58">
        <w:rPr>
          <w:rFonts w:cs="Arial"/>
          <w:lang w:val="fr-FR"/>
        </w:rPr>
        <w:t>organisations ayant le statut d</w:t>
      </w:r>
      <w:r w:rsidR="005752E4" w:rsidRPr="00F85A58">
        <w:rPr>
          <w:rFonts w:cs="Arial"/>
          <w:lang w:val="fr-FR"/>
        </w:rPr>
        <w:t>’</w:t>
      </w:r>
      <w:r w:rsidR="004447A0" w:rsidRPr="00F85A58">
        <w:rPr>
          <w:rFonts w:cs="Arial"/>
          <w:lang w:val="fr-FR"/>
        </w:rPr>
        <w:t>observate</w:t>
      </w:r>
      <w:r w:rsidR="00F85A58" w:rsidRPr="00F85A58">
        <w:rPr>
          <w:rFonts w:cs="Arial"/>
          <w:lang w:val="fr-FR"/>
        </w:rPr>
        <w:t>ur.  L’a</w:t>
      </w:r>
      <w:r w:rsidR="004447A0" w:rsidRPr="00F85A58">
        <w:rPr>
          <w:rFonts w:cs="Arial"/>
          <w:lang w:val="fr-FR"/>
        </w:rPr>
        <w:t>telier préparatoire, tenu dans l</w:t>
      </w:r>
      <w:r w:rsidR="005752E4" w:rsidRPr="00F85A58">
        <w:rPr>
          <w:rFonts w:cs="Arial"/>
          <w:lang w:val="fr-FR"/>
        </w:rPr>
        <w:t>’</w:t>
      </w:r>
      <w:r w:rsidR="004447A0" w:rsidRPr="00F85A58">
        <w:rPr>
          <w:rFonts w:cs="Arial"/>
          <w:lang w:val="fr-FR"/>
        </w:rPr>
        <w:t>après</w:t>
      </w:r>
      <w:r w:rsidR="00F85A58" w:rsidRPr="00F85A58">
        <w:rPr>
          <w:rFonts w:cs="Arial"/>
          <w:lang w:val="fr-FR"/>
        </w:rPr>
        <w:noBreakHyphen/>
      </w:r>
      <w:r w:rsidR="004447A0" w:rsidRPr="00F85A58">
        <w:rPr>
          <w:rFonts w:cs="Arial"/>
          <w:lang w:val="fr-FR"/>
        </w:rPr>
        <w:t>midi du 1</w:t>
      </w:r>
      <w:r w:rsidR="005752E4" w:rsidRPr="00F85A58">
        <w:rPr>
          <w:rFonts w:cs="Arial"/>
          <w:lang w:val="fr-FR"/>
        </w:rPr>
        <w:t>3 septembre</w:t>
      </w:r>
      <w:r w:rsidR="004447A0" w:rsidRPr="00F85A58">
        <w:rPr>
          <w:rFonts w:cs="Arial"/>
          <w:lang w:val="fr-FR"/>
        </w:rPr>
        <w:t xml:space="preserve">, a réuni </w:t>
      </w:r>
      <w:r w:rsidR="001826AD">
        <w:rPr>
          <w:rFonts w:cs="Arial"/>
          <w:lang w:val="fr-FR"/>
        </w:rPr>
        <w:t>36 </w:t>
      </w:r>
      <w:r w:rsidR="004447A0" w:rsidRPr="00F85A58">
        <w:rPr>
          <w:rFonts w:cs="Arial"/>
          <w:lang w:val="fr-FR"/>
        </w:rPr>
        <w:t>participants.</w:t>
      </w:r>
    </w:p>
    <w:p w:rsidR="00BA14DE" w:rsidRPr="00F85A58" w:rsidRDefault="00BA14DE" w:rsidP="005C638C">
      <w:pPr>
        <w:rPr>
          <w:rFonts w:cs="Arial"/>
          <w:lang w:val="fr-FR"/>
        </w:rPr>
      </w:pPr>
    </w:p>
    <w:p w:rsidR="00BA14DE" w:rsidRPr="00F85A58" w:rsidRDefault="005C638C" w:rsidP="005C638C">
      <w:pPr>
        <w:tabs>
          <w:tab w:val="left" w:pos="630"/>
        </w:tabs>
        <w:rPr>
          <w:rFonts w:cs="Arial"/>
          <w:lang w:val="fr-FR"/>
        </w:rPr>
      </w:pPr>
      <w:r w:rsidRPr="00F85A58">
        <w:rPr>
          <w:rFonts w:cs="Arial"/>
          <w:lang w:val="fr-FR"/>
        </w:rPr>
        <w:fldChar w:fldCharType="begin"/>
      </w:r>
      <w:r w:rsidRPr="00F85A58">
        <w:rPr>
          <w:rFonts w:cs="Arial"/>
          <w:lang w:val="fr-FR"/>
        </w:rPr>
        <w:instrText xml:space="preserve"> AUTONUM  \* Arabic </w:instrText>
      </w:r>
      <w:r w:rsidRPr="00F85A58">
        <w:rPr>
          <w:rFonts w:cs="Arial"/>
          <w:lang w:val="fr-FR"/>
        </w:rPr>
        <w:fldChar w:fldCharType="end"/>
      </w:r>
      <w:r w:rsidRPr="00F85A58">
        <w:rPr>
          <w:rFonts w:cs="Arial"/>
          <w:lang w:val="fr-FR"/>
        </w:rPr>
        <w:tab/>
        <w:t>M.</w:t>
      </w:r>
      <w:r w:rsidR="009518FC" w:rsidRPr="00F85A58">
        <w:rPr>
          <w:rFonts w:cs="Arial"/>
          <w:lang w:val="fr-FR"/>
        </w:rPr>
        <w:t> </w:t>
      </w:r>
      <w:r w:rsidRPr="00F85A58">
        <w:rPr>
          <w:rFonts w:cs="Arial"/>
          <w:lang w:val="fr-FR"/>
        </w:rPr>
        <w:t xml:space="preserve">Andrew Mitchell, </w:t>
      </w:r>
      <w:r w:rsidR="000634EB" w:rsidRPr="00F85A58">
        <w:rPr>
          <w:rFonts w:cs="Arial"/>
          <w:lang w:val="fr-FR"/>
        </w:rPr>
        <w:t>chef de la politique sur les variétés et semences</w:t>
      </w:r>
      <w:r w:rsidR="000955A2" w:rsidRPr="00F85A58">
        <w:rPr>
          <w:rFonts w:cs="Arial"/>
          <w:lang w:val="fr-FR"/>
        </w:rPr>
        <w:t xml:space="preserve"> et contrôleur des obtentions végétales au </w:t>
      </w:r>
      <w:r w:rsidR="00554CCB" w:rsidRPr="00F85A58">
        <w:rPr>
          <w:rFonts w:cs="Arial"/>
          <w:lang w:val="fr-FR"/>
        </w:rPr>
        <w:t>d</w:t>
      </w:r>
      <w:r w:rsidR="000955A2" w:rsidRPr="00F85A58">
        <w:rPr>
          <w:rFonts w:cs="Arial"/>
          <w:lang w:val="fr-FR"/>
        </w:rPr>
        <w:t>épartement de l</w:t>
      </w:r>
      <w:r w:rsidR="005752E4" w:rsidRPr="00F85A58">
        <w:rPr>
          <w:rFonts w:cs="Arial"/>
          <w:lang w:val="fr-FR"/>
        </w:rPr>
        <w:t>’</w:t>
      </w:r>
      <w:r w:rsidR="000955A2" w:rsidRPr="00F85A58">
        <w:rPr>
          <w:rFonts w:cs="Arial"/>
          <w:lang w:val="fr-FR"/>
        </w:rPr>
        <w:t>environnement, de l</w:t>
      </w:r>
      <w:r w:rsidR="005752E4" w:rsidRPr="00F85A58">
        <w:rPr>
          <w:rFonts w:cs="Arial"/>
          <w:lang w:val="fr-FR"/>
        </w:rPr>
        <w:t>’</w:t>
      </w:r>
      <w:r w:rsidR="000955A2" w:rsidRPr="00F85A58">
        <w:rPr>
          <w:rFonts w:cs="Arial"/>
          <w:lang w:val="fr-FR"/>
        </w:rPr>
        <w:t>alimentation et des affaires rurales (</w:t>
      </w:r>
      <w:r w:rsidRPr="00F85A58">
        <w:rPr>
          <w:rFonts w:cs="Arial"/>
          <w:lang w:val="fr-FR"/>
        </w:rPr>
        <w:t>DEFRA)</w:t>
      </w:r>
      <w:r w:rsidR="000955A2" w:rsidRPr="00F85A58">
        <w:rPr>
          <w:rFonts w:cs="Arial"/>
          <w:lang w:val="fr-FR"/>
        </w:rPr>
        <w:t xml:space="preserve"> a souhaité la bienvenue aux participants et a présenté un exposé sur l</w:t>
      </w:r>
      <w:r w:rsidR="005752E4" w:rsidRPr="00F85A58">
        <w:rPr>
          <w:rFonts w:cs="Arial"/>
          <w:lang w:val="fr-FR"/>
        </w:rPr>
        <w:t>’</w:t>
      </w:r>
      <w:r w:rsidR="000955A2" w:rsidRPr="00F85A58">
        <w:rPr>
          <w:rFonts w:cs="Arial"/>
          <w:lang w:val="fr-FR"/>
        </w:rPr>
        <w:t>agriculture et l</w:t>
      </w:r>
      <w:r w:rsidR="005752E4" w:rsidRPr="00F85A58">
        <w:rPr>
          <w:rFonts w:cs="Arial"/>
          <w:lang w:val="fr-FR"/>
        </w:rPr>
        <w:t>’</w:t>
      </w:r>
      <w:r w:rsidR="000955A2" w:rsidRPr="00F85A58">
        <w:rPr>
          <w:rFonts w:cs="Arial"/>
          <w:lang w:val="fr-FR"/>
        </w:rPr>
        <w:t>examen des variétés végétales au Royaume</w:t>
      </w:r>
      <w:r w:rsidR="00F85A58" w:rsidRPr="00F85A58">
        <w:rPr>
          <w:rFonts w:cs="Arial"/>
          <w:lang w:val="fr-FR"/>
        </w:rPr>
        <w:noBreakHyphen/>
      </w:r>
      <w:r w:rsidR="000955A2" w:rsidRPr="00F85A58">
        <w:rPr>
          <w:rFonts w:cs="Arial"/>
          <w:lang w:val="fr-FR"/>
        </w:rPr>
        <w:t>U</w:t>
      </w:r>
      <w:r w:rsidR="00F85A58" w:rsidRPr="00F85A58">
        <w:rPr>
          <w:rFonts w:cs="Arial"/>
          <w:lang w:val="fr-FR"/>
        </w:rPr>
        <w:t>ni.  Mm</w:t>
      </w:r>
      <w:r w:rsidR="00124535" w:rsidRPr="00F85A58">
        <w:rPr>
          <w:rFonts w:cs="Arial"/>
          <w:lang w:val="fr-FR"/>
        </w:rPr>
        <w:t>e </w:t>
      </w:r>
      <w:r w:rsidR="001826AD">
        <w:rPr>
          <w:rFonts w:cs="Arial"/>
          <w:lang w:val="fr-FR"/>
        </w:rPr>
        <w:t>Tina </w:t>
      </w:r>
      <w:proofErr w:type="spellStart"/>
      <w:r w:rsidRPr="00F85A58">
        <w:rPr>
          <w:rFonts w:cs="Arial"/>
          <w:lang w:val="fr-FR"/>
        </w:rPr>
        <w:t>Barsby</w:t>
      </w:r>
      <w:proofErr w:type="spellEnd"/>
      <w:r w:rsidRPr="00F85A58">
        <w:rPr>
          <w:rFonts w:cs="Arial"/>
          <w:lang w:val="fr-FR"/>
        </w:rPr>
        <w:t xml:space="preserve">, </w:t>
      </w:r>
      <w:r w:rsidR="00124535" w:rsidRPr="00F85A58">
        <w:rPr>
          <w:rFonts w:cs="Arial"/>
          <w:lang w:val="fr-FR"/>
        </w:rPr>
        <w:t xml:space="preserve">directrice générale </w:t>
      </w:r>
      <w:r w:rsidR="00554CCB" w:rsidRPr="00F85A58">
        <w:rPr>
          <w:rFonts w:cs="Arial"/>
          <w:lang w:val="fr-FR"/>
        </w:rPr>
        <w:t>de</w:t>
      </w:r>
      <w:r w:rsidR="00124535" w:rsidRPr="00F85A58">
        <w:rPr>
          <w:rFonts w:cs="Arial"/>
          <w:lang w:val="fr-FR"/>
        </w:rPr>
        <w:t xml:space="preserve"> l</w:t>
      </w:r>
      <w:r w:rsidR="005752E4" w:rsidRPr="00F85A58">
        <w:rPr>
          <w:rFonts w:cs="Arial"/>
          <w:lang w:val="fr-FR"/>
        </w:rPr>
        <w:t>’</w:t>
      </w:r>
      <w:r w:rsidR="00124535" w:rsidRPr="00F85A58">
        <w:rPr>
          <w:rFonts w:cs="Arial"/>
          <w:lang w:val="fr-FR"/>
        </w:rPr>
        <w:t>Institut national de la botanique agricole du Royaume</w:t>
      </w:r>
      <w:r w:rsidR="00F85A58" w:rsidRPr="00F85A58">
        <w:rPr>
          <w:rFonts w:cs="Arial"/>
          <w:lang w:val="fr-FR"/>
        </w:rPr>
        <w:noBreakHyphen/>
      </w:r>
      <w:r w:rsidR="00124535" w:rsidRPr="00F85A58">
        <w:rPr>
          <w:rFonts w:cs="Arial"/>
          <w:lang w:val="fr-FR"/>
        </w:rPr>
        <w:t>Uni</w:t>
      </w:r>
      <w:r w:rsidRPr="00F85A58">
        <w:rPr>
          <w:rFonts w:cs="Arial"/>
          <w:lang w:val="fr-FR"/>
        </w:rPr>
        <w:t xml:space="preserve"> (NIAB)</w:t>
      </w:r>
      <w:r w:rsidR="00124535" w:rsidRPr="00F85A58">
        <w:rPr>
          <w:rFonts w:cs="Arial"/>
          <w:lang w:val="fr-FR"/>
        </w:rPr>
        <w:t>, a également souhaité la bienvenue aux participants</w:t>
      </w:r>
      <w:r w:rsidR="005752E4" w:rsidRPr="00F85A58">
        <w:rPr>
          <w:rFonts w:cs="Arial"/>
          <w:lang w:val="fr-FR"/>
        </w:rPr>
        <w:t xml:space="preserve"> du TWO</w:t>
      </w:r>
      <w:r w:rsidRPr="00F85A58">
        <w:rPr>
          <w:rFonts w:cs="Arial"/>
          <w:lang w:val="fr-FR"/>
        </w:rPr>
        <w:t>.</w:t>
      </w:r>
    </w:p>
    <w:p w:rsidR="00BA14DE" w:rsidRPr="00F85A58" w:rsidRDefault="00BA14DE" w:rsidP="005C638C">
      <w:pPr>
        <w:rPr>
          <w:rFonts w:cs="Arial"/>
          <w:lang w:val="fr-FR"/>
        </w:rPr>
      </w:pPr>
    </w:p>
    <w:p w:rsidR="00BA14DE" w:rsidRPr="00F85A58" w:rsidRDefault="005C638C" w:rsidP="005C638C">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AB3A19" w:rsidRPr="00F85A58">
        <w:rPr>
          <w:rFonts w:cs="Arial"/>
          <w:lang w:val="fr-FR"/>
        </w:rPr>
        <w:t>Le</w:t>
      </w:r>
      <w:r w:rsidRPr="00F85A58">
        <w:rPr>
          <w:rFonts w:cs="Arial"/>
          <w:lang w:val="fr-FR"/>
        </w:rPr>
        <w:t xml:space="preserve"> TWO </w:t>
      </w:r>
      <w:r w:rsidR="00AB3A19" w:rsidRPr="00F85A58">
        <w:rPr>
          <w:rFonts w:cs="Arial"/>
          <w:lang w:val="fr-FR"/>
        </w:rPr>
        <w:t xml:space="preserve">a examiné le </w:t>
      </w:r>
      <w:r w:rsidRPr="00F85A58">
        <w:rPr>
          <w:rFonts w:cs="Arial"/>
          <w:lang w:val="fr-FR"/>
        </w:rPr>
        <w:t>document TWO/48/9 “</w:t>
      </w:r>
      <w:r w:rsidR="00306E79" w:rsidRPr="00F85A58">
        <w:rPr>
          <w:rFonts w:cs="Arial"/>
          <w:lang w:val="fr-FR"/>
        </w:rPr>
        <w:t>Évaluation de l</w:t>
      </w:r>
      <w:r w:rsidR="005752E4" w:rsidRPr="00F85A58">
        <w:rPr>
          <w:rFonts w:cs="Arial"/>
          <w:lang w:val="fr-FR"/>
        </w:rPr>
        <w:t>’</w:t>
      </w:r>
      <w:r w:rsidR="00306E79" w:rsidRPr="00F85A58">
        <w:rPr>
          <w:rFonts w:cs="Arial"/>
          <w:lang w:val="fr-FR"/>
        </w:rPr>
        <w:t>homogénéité d</w:t>
      </w:r>
      <w:r w:rsidR="005752E4" w:rsidRPr="00F85A58">
        <w:rPr>
          <w:rFonts w:cs="Arial"/>
          <w:lang w:val="fr-FR"/>
        </w:rPr>
        <w:t>’</w:t>
      </w:r>
      <w:r w:rsidR="00306E79" w:rsidRPr="00F85A58">
        <w:rPr>
          <w:rFonts w:cs="Arial"/>
          <w:lang w:val="fr-FR"/>
        </w:rPr>
        <w:t>après les plantes hors</w:t>
      </w:r>
      <w:r w:rsidR="00F85A58" w:rsidRPr="00F85A58">
        <w:rPr>
          <w:rFonts w:cs="Arial"/>
          <w:lang w:val="fr-FR"/>
        </w:rPr>
        <w:noBreakHyphen/>
      </w:r>
      <w:r w:rsidR="00306E79" w:rsidRPr="00F85A58">
        <w:rPr>
          <w:rFonts w:cs="Arial"/>
          <w:lang w:val="fr-FR"/>
        </w:rPr>
        <w:t>type sur la base de plusieurs cycles de végétations ou sous</w:t>
      </w:r>
      <w:r w:rsidR="00F85A58" w:rsidRPr="00F85A58">
        <w:rPr>
          <w:rFonts w:cs="Arial"/>
          <w:lang w:val="fr-FR"/>
        </w:rPr>
        <w:noBreakHyphen/>
      </w:r>
      <w:r w:rsidR="00306E79" w:rsidRPr="00F85A58">
        <w:rPr>
          <w:rFonts w:cs="Arial"/>
          <w:lang w:val="fr-FR"/>
        </w:rPr>
        <w:t>échantillons</w:t>
      </w:r>
      <w:r w:rsidRPr="00F85A58">
        <w:rPr>
          <w:rFonts w:cs="Arial"/>
          <w:lang w:val="fr-FR"/>
        </w:rPr>
        <w:t xml:space="preserve">” </w:t>
      </w:r>
      <w:r w:rsidR="00306E79" w:rsidRPr="00F85A58">
        <w:rPr>
          <w:rFonts w:cs="Arial"/>
          <w:lang w:val="fr-FR"/>
        </w:rPr>
        <w:t xml:space="preserve">et est convenu </w:t>
      </w:r>
      <w:r w:rsidR="007E79DB" w:rsidRPr="00F85A58">
        <w:rPr>
          <w:rFonts w:cs="Arial"/>
          <w:lang w:val="fr-FR"/>
        </w:rPr>
        <w:t>qu</w:t>
      </w:r>
      <w:r w:rsidR="005752E4" w:rsidRPr="00F85A58">
        <w:rPr>
          <w:rFonts w:cs="Arial"/>
          <w:lang w:val="fr-FR"/>
        </w:rPr>
        <w:t>’</w:t>
      </w:r>
      <w:r w:rsidR="007E79DB" w:rsidRPr="00F85A58">
        <w:rPr>
          <w:rFonts w:cs="Arial"/>
          <w:lang w:val="fr-FR"/>
        </w:rPr>
        <w:t xml:space="preserve">il conviendrait de </w:t>
      </w:r>
      <w:r w:rsidR="00EF698D" w:rsidRPr="00F85A58">
        <w:rPr>
          <w:rFonts w:cs="Arial"/>
          <w:lang w:val="fr-FR"/>
        </w:rPr>
        <w:t>préciser</w:t>
      </w:r>
      <w:r w:rsidR="007E79DB" w:rsidRPr="00F85A58">
        <w:rPr>
          <w:rFonts w:cs="Arial"/>
          <w:lang w:val="fr-FR"/>
        </w:rPr>
        <w:t xml:space="preserve"> dans le </w:t>
      </w:r>
      <w:r w:rsidRPr="00F85A58">
        <w:rPr>
          <w:rFonts w:cs="Arial"/>
          <w:lang w:val="fr-FR"/>
        </w:rPr>
        <w:t xml:space="preserve">document </w:t>
      </w:r>
      <w:r w:rsidR="007E79DB" w:rsidRPr="00F85A58">
        <w:rPr>
          <w:rFonts w:cs="Arial"/>
          <w:lang w:val="fr-FR"/>
        </w:rPr>
        <w:t xml:space="preserve">que les orientations fournies </w:t>
      </w:r>
      <w:r w:rsidR="00EF698D" w:rsidRPr="00F85A58">
        <w:rPr>
          <w:rFonts w:cs="Arial"/>
          <w:lang w:val="fr-FR"/>
        </w:rPr>
        <w:t>n</w:t>
      </w:r>
      <w:r w:rsidR="005752E4" w:rsidRPr="00F85A58">
        <w:rPr>
          <w:rFonts w:cs="Arial"/>
          <w:lang w:val="fr-FR"/>
        </w:rPr>
        <w:t>’</w:t>
      </w:r>
      <w:r w:rsidR="00EF698D" w:rsidRPr="00F85A58">
        <w:rPr>
          <w:rFonts w:cs="Arial"/>
          <w:lang w:val="fr-FR"/>
        </w:rPr>
        <w:t xml:space="preserve">étaient pas destinées </w:t>
      </w:r>
      <w:proofErr w:type="spellStart"/>
      <w:r w:rsidR="00EF698D" w:rsidRPr="00F85A58">
        <w:rPr>
          <w:rFonts w:cs="Arial"/>
          <w:lang w:val="fr-FR"/>
        </w:rPr>
        <w:t>a</w:t>
      </w:r>
      <w:proofErr w:type="spellEnd"/>
      <w:r w:rsidR="00EF698D" w:rsidRPr="00F85A58">
        <w:rPr>
          <w:rFonts w:cs="Arial"/>
          <w:lang w:val="fr-FR"/>
        </w:rPr>
        <w:t xml:space="preserve"> être employées pour évaluer l</w:t>
      </w:r>
      <w:r w:rsidR="005752E4" w:rsidRPr="00F85A58">
        <w:rPr>
          <w:rFonts w:cs="Arial"/>
          <w:lang w:val="fr-FR"/>
        </w:rPr>
        <w:t>’</w:t>
      </w:r>
      <w:r w:rsidR="00554CCB" w:rsidRPr="00F85A58">
        <w:rPr>
          <w:rFonts w:cs="Arial"/>
          <w:lang w:val="fr-FR"/>
        </w:rPr>
        <w:t>homogénéité</w:t>
      </w:r>
      <w:r w:rsidR="00EF698D" w:rsidRPr="00F85A58">
        <w:rPr>
          <w:rFonts w:cs="Arial"/>
          <w:lang w:val="fr-FR"/>
        </w:rPr>
        <w:t xml:space="preserve"> aux fins d</w:t>
      </w:r>
      <w:r w:rsidR="005752E4" w:rsidRPr="00F85A58">
        <w:rPr>
          <w:rFonts w:cs="Arial"/>
          <w:lang w:val="fr-FR"/>
        </w:rPr>
        <w:t>’</w:t>
      </w:r>
      <w:r w:rsidR="00EF698D" w:rsidRPr="00F85A58">
        <w:rPr>
          <w:rFonts w:cs="Arial"/>
          <w:lang w:val="fr-FR"/>
        </w:rPr>
        <w:t>évaluation au moyen des plantes hors</w:t>
      </w:r>
      <w:r w:rsidR="00F85A58" w:rsidRPr="00F85A58">
        <w:rPr>
          <w:rFonts w:cs="Arial"/>
          <w:lang w:val="fr-FR"/>
        </w:rPr>
        <w:noBreakHyphen/>
      </w:r>
      <w:r w:rsidR="00EF698D" w:rsidRPr="00F85A58">
        <w:rPr>
          <w:rFonts w:cs="Arial"/>
          <w:lang w:val="fr-FR"/>
        </w:rPr>
        <w:t>type des mêmes plantes sur deux</w:t>
      </w:r>
      <w:r w:rsidR="00342006" w:rsidRPr="00F85A58">
        <w:rPr>
          <w:rFonts w:cs="Arial"/>
          <w:lang w:val="fr-FR"/>
        </w:rPr>
        <w:t> </w:t>
      </w:r>
      <w:r w:rsidR="00EF698D" w:rsidRPr="00F85A58">
        <w:rPr>
          <w:rFonts w:cs="Arial"/>
          <w:lang w:val="fr-FR"/>
        </w:rPr>
        <w:t xml:space="preserve">cycles de </w:t>
      </w:r>
      <w:r w:rsidR="00554CCB" w:rsidRPr="00F85A58">
        <w:rPr>
          <w:rFonts w:cs="Arial"/>
          <w:lang w:val="fr-FR"/>
        </w:rPr>
        <w:t>végétatio</w:t>
      </w:r>
      <w:r w:rsidR="00F85A58" w:rsidRPr="00F85A58">
        <w:rPr>
          <w:rFonts w:cs="Arial"/>
          <w:lang w:val="fr-FR"/>
        </w:rPr>
        <w:t>ns.  Le</w:t>
      </w:r>
      <w:r w:rsidR="005752E4" w:rsidRPr="00F85A58">
        <w:rPr>
          <w:rFonts w:cs="Arial"/>
          <w:lang w:val="fr-FR"/>
        </w:rPr>
        <w:t> TWO</w:t>
      </w:r>
      <w:r w:rsidRPr="00F85A58">
        <w:rPr>
          <w:rFonts w:cs="Arial"/>
          <w:lang w:val="fr-FR"/>
        </w:rPr>
        <w:t xml:space="preserve"> </w:t>
      </w:r>
      <w:r w:rsidR="00EF698D" w:rsidRPr="00F85A58">
        <w:rPr>
          <w:rFonts w:cs="Arial"/>
          <w:lang w:val="fr-FR"/>
        </w:rPr>
        <w:t>est également convenu que le nombre de plantes hors</w:t>
      </w:r>
      <w:r w:rsidR="00F85A58" w:rsidRPr="00F85A58">
        <w:rPr>
          <w:rFonts w:cs="Arial"/>
          <w:lang w:val="fr-FR"/>
        </w:rPr>
        <w:noBreakHyphen/>
      </w:r>
      <w:r w:rsidR="00EF698D" w:rsidRPr="00F85A58">
        <w:rPr>
          <w:rFonts w:cs="Arial"/>
          <w:lang w:val="fr-FR"/>
        </w:rPr>
        <w:t>type dans les exemples fournis en annexe </w:t>
      </w:r>
      <w:r w:rsidRPr="00F85A58">
        <w:rPr>
          <w:rFonts w:cs="Arial"/>
          <w:lang w:val="fr-FR"/>
        </w:rPr>
        <w:t xml:space="preserve">I, </w:t>
      </w:r>
      <w:r w:rsidR="005621A1" w:rsidRPr="00F85A58">
        <w:rPr>
          <w:rFonts w:cs="Arial"/>
          <w:lang w:val="fr-FR"/>
        </w:rPr>
        <w:t xml:space="preserve">à la deuxième et à la troisième ligne de la colonne correspondant au </w:t>
      </w:r>
      <w:r w:rsidRPr="00F85A58">
        <w:rPr>
          <w:rFonts w:cs="Arial"/>
          <w:lang w:val="fr-FR"/>
        </w:rPr>
        <w:t xml:space="preserve">second </w:t>
      </w:r>
      <w:r w:rsidR="005621A1" w:rsidRPr="00F85A58">
        <w:rPr>
          <w:rFonts w:cs="Arial"/>
          <w:lang w:val="fr-FR"/>
        </w:rPr>
        <w:t xml:space="preserve">cycle de végétation </w:t>
      </w:r>
      <w:r w:rsidRPr="00F85A58">
        <w:rPr>
          <w:rFonts w:cs="Arial"/>
          <w:lang w:val="fr-FR"/>
        </w:rPr>
        <w:t>(n</w:t>
      </w:r>
      <w:r w:rsidR="005621A1" w:rsidRPr="00F85A58">
        <w:rPr>
          <w:rFonts w:cs="Arial"/>
          <w:lang w:val="fr-FR"/>
        </w:rPr>
        <w:t xml:space="preserve">ombre de plantes </w:t>
      </w:r>
      <w:r w:rsidR="00554CCB" w:rsidRPr="00F85A58">
        <w:rPr>
          <w:rFonts w:cs="Arial"/>
          <w:lang w:val="fr-FR"/>
        </w:rPr>
        <w:t>hors</w:t>
      </w:r>
      <w:r w:rsidR="00F85A58" w:rsidRPr="00F85A58">
        <w:rPr>
          <w:rFonts w:cs="Arial"/>
          <w:lang w:val="fr-FR"/>
        </w:rPr>
        <w:noBreakHyphen/>
      </w:r>
      <w:r w:rsidR="00554CCB" w:rsidRPr="00F85A58">
        <w:rPr>
          <w:rFonts w:cs="Arial"/>
          <w:lang w:val="fr-FR"/>
        </w:rPr>
        <w:t>type</w:t>
      </w:r>
      <w:r w:rsidR="005621A1" w:rsidRPr="00F85A58">
        <w:rPr>
          <w:rFonts w:cs="Arial"/>
          <w:lang w:val="fr-FR"/>
        </w:rPr>
        <w:t xml:space="preserve"> </w:t>
      </w:r>
      <w:r w:rsidRPr="00F85A58">
        <w:rPr>
          <w:rFonts w:cs="Arial"/>
          <w:lang w:val="fr-FR"/>
        </w:rPr>
        <w:t xml:space="preserve">= 3), </w:t>
      </w:r>
      <w:r w:rsidR="005621A1" w:rsidRPr="00F85A58">
        <w:rPr>
          <w:rFonts w:cs="Arial"/>
          <w:lang w:val="fr-FR"/>
        </w:rPr>
        <w:t>devrait comporter un astérisque afin d</w:t>
      </w:r>
      <w:r w:rsidR="005752E4" w:rsidRPr="00F85A58">
        <w:rPr>
          <w:rFonts w:cs="Arial"/>
          <w:lang w:val="fr-FR"/>
        </w:rPr>
        <w:t>’</w:t>
      </w:r>
      <w:r w:rsidR="005621A1" w:rsidRPr="00F85A58">
        <w:rPr>
          <w:rFonts w:cs="Arial"/>
          <w:lang w:val="fr-FR"/>
        </w:rPr>
        <w:t xml:space="preserve">indiquer que </w:t>
      </w:r>
      <w:r w:rsidRPr="00F85A58">
        <w:rPr>
          <w:rFonts w:cs="Arial"/>
          <w:lang w:val="fr-FR"/>
        </w:rPr>
        <w:t>“</w:t>
      </w:r>
      <w:r w:rsidR="005621A1" w:rsidRPr="00F85A58">
        <w:rPr>
          <w:rFonts w:cs="Arial"/>
          <w:lang w:val="fr-FR"/>
        </w:rPr>
        <w:t>Il faut faire preuve de prudence lorsqu</w:t>
      </w:r>
      <w:r w:rsidR="005752E4" w:rsidRPr="00F85A58">
        <w:rPr>
          <w:rFonts w:cs="Arial"/>
          <w:lang w:val="fr-FR"/>
        </w:rPr>
        <w:t>’</w:t>
      </w:r>
      <w:r w:rsidR="005621A1" w:rsidRPr="00F85A58">
        <w:rPr>
          <w:rFonts w:cs="Arial"/>
          <w:lang w:val="fr-FR"/>
        </w:rPr>
        <w:t>on examine des résultats très différents dans chacun des cycles de végétation, notamment lorsqu</w:t>
      </w:r>
      <w:r w:rsidR="005752E4" w:rsidRPr="00F85A58">
        <w:rPr>
          <w:rFonts w:cs="Arial"/>
          <w:lang w:val="fr-FR"/>
        </w:rPr>
        <w:t>’</w:t>
      </w:r>
      <w:r w:rsidR="005621A1" w:rsidRPr="00F85A58">
        <w:rPr>
          <w:rFonts w:cs="Arial"/>
          <w:lang w:val="fr-FR"/>
        </w:rPr>
        <w:t>un type de plante hors</w:t>
      </w:r>
      <w:r w:rsidR="00F85A58" w:rsidRPr="00F85A58">
        <w:rPr>
          <w:rFonts w:cs="Arial"/>
          <w:lang w:val="fr-FR"/>
        </w:rPr>
        <w:noBreakHyphen/>
      </w:r>
      <w:r w:rsidR="005621A1" w:rsidRPr="00F85A58">
        <w:rPr>
          <w:rFonts w:cs="Arial"/>
          <w:lang w:val="fr-FR"/>
        </w:rPr>
        <w:t>type a été observé à un niveau élevé dans un cycle de végétation tout en étant absent dans un autre</w:t>
      </w:r>
      <w:r w:rsidRPr="00F85A58">
        <w:rPr>
          <w:rFonts w:cs="Arial"/>
          <w:lang w:val="fr-FR"/>
        </w:rPr>
        <w:t>”</w:t>
      </w:r>
      <w:r w:rsidR="005621A1" w:rsidRPr="00F85A58">
        <w:rPr>
          <w:rFonts w:cs="Arial"/>
          <w:lang w:val="fr-FR"/>
        </w:rPr>
        <w:t>.</w:t>
      </w:r>
    </w:p>
    <w:p w:rsidR="00BA14DE" w:rsidRPr="00F85A58" w:rsidRDefault="00BA14DE" w:rsidP="005C638C">
      <w:pPr>
        <w:rPr>
          <w:rFonts w:cs="Arial"/>
          <w:lang w:val="fr-FR"/>
        </w:rPr>
      </w:pPr>
    </w:p>
    <w:p w:rsidR="005752E4" w:rsidRPr="00F85A58" w:rsidRDefault="005C638C" w:rsidP="005C638C">
      <w:pPr>
        <w:tabs>
          <w:tab w:val="left" w:pos="630"/>
        </w:tabs>
        <w:rPr>
          <w:rFonts w:eastAsia="SimSun"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3F4158" w:rsidRPr="00F85A58">
        <w:rPr>
          <w:rFonts w:cs="Arial"/>
          <w:lang w:val="fr-FR"/>
        </w:rPr>
        <w:t xml:space="preserve">Le </w:t>
      </w:r>
      <w:r w:rsidRPr="00F85A58">
        <w:rPr>
          <w:rFonts w:cs="Arial"/>
          <w:lang w:val="fr-FR"/>
        </w:rPr>
        <w:t xml:space="preserve">TWO </w:t>
      </w:r>
      <w:r w:rsidR="003F4158" w:rsidRPr="00F85A58">
        <w:rPr>
          <w:rFonts w:cs="Arial"/>
          <w:lang w:val="fr-FR"/>
        </w:rPr>
        <w:t xml:space="preserve">a examiné le </w:t>
      </w:r>
      <w:r w:rsidRPr="00F85A58">
        <w:rPr>
          <w:rFonts w:cs="Arial"/>
          <w:lang w:val="fr-FR"/>
        </w:rPr>
        <w:t>document TWO/48/10 “</w:t>
      </w:r>
      <w:r w:rsidR="003F4158" w:rsidRPr="00F85A58">
        <w:rPr>
          <w:rFonts w:cs="Arial"/>
          <w:lang w:val="fr-FR"/>
        </w:rPr>
        <w:t>Questions concernant les descriptions variétales</w:t>
      </w:r>
      <w:r w:rsidRPr="00F85A58">
        <w:rPr>
          <w:rFonts w:cs="Arial"/>
          <w:lang w:val="fr-FR"/>
        </w:rPr>
        <w:t xml:space="preserve">” </w:t>
      </w:r>
      <w:r w:rsidR="003F4158" w:rsidRPr="00F85A58">
        <w:rPr>
          <w:rFonts w:cs="Arial"/>
          <w:lang w:val="fr-FR"/>
        </w:rPr>
        <w:t>et a suivi un exposé présenté par un expert de l</w:t>
      </w:r>
      <w:r w:rsidR="005752E4" w:rsidRPr="00F85A58">
        <w:rPr>
          <w:rFonts w:cs="Arial"/>
          <w:lang w:val="fr-FR"/>
        </w:rPr>
        <w:t>’</w:t>
      </w:r>
      <w:r w:rsidR="003F4158" w:rsidRPr="00F85A58">
        <w:rPr>
          <w:rFonts w:cs="Arial"/>
          <w:lang w:val="fr-FR"/>
        </w:rPr>
        <w:t>Union européenne</w:t>
      </w:r>
      <w:r w:rsidRPr="00F85A58">
        <w:rPr>
          <w:rFonts w:cs="Arial"/>
          <w:lang w:val="fr-FR"/>
        </w:rPr>
        <w:t xml:space="preserve"> </w:t>
      </w:r>
      <w:r w:rsidR="003F4158" w:rsidRPr="00F85A58">
        <w:rPr>
          <w:rFonts w:cs="Arial"/>
          <w:lang w:val="fr-FR"/>
        </w:rPr>
        <w:t>sur</w:t>
      </w:r>
      <w:r w:rsidRPr="00F85A58">
        <w:rPr>
          <w:rFonts w:cs="Arial"/>
          <w:lang w:val="fr-FR"/>
        </w:rPr>
        <w:t xml:space="preserve"> “</w:t>
      </w:r>
      <w:r w:rsidR="00782060" w:rsidRPr="00F85A58">
        <w:rPr>
          <w:rFonts w:cs="Arial"/>
          <w:lang w:val="fr-FR"/>
        </w:rPr>
        <w:t>Les données d</w:t>
      </w:r>
      <w:r w:rsidR="005752E4" w:rsidRPr="00F85A58">
        <w:rPr>
          <w:rFonts w:cs="Arial"/>
          <w:lang w:val="fr-FR"/>
        </w:rPr>
        <w:t>’</w:t>
      </w:r>
      <w:r w:rsidR="00782060" w:rsidRPr="00F85A58">
        <w:rPr>
          <w:rFonts w:cs="Arial"/>
          <w:lang w:val="fr-FR"/>
        </w:rPr>
        <w:t>expérience concernant les descriptions variétales et le contrôle du maintien de la variété à l</w:t>
      </w:r>
      <w:r w:rsidR="005752E4" w:rsidRPr="00F85A58">
        <w:rPr>
          <w:rFonts w:cs="Arial"/>
          <w:lang w:val="fr-FR"/>
        </w:rPr>
        <w:t>’</w:t>
      </w:r>
      <w:r w:rsidR="00782060" w:rsidRPr="00F85A58">
        <w:rPr>
          <w:rFonts w:cs="Arial"/>
          <w:lang w:val="fr-FR"/>
        </w:rPr>
        <w:t>Office communautaire des variétés végétales (OCVV) de l</w:t>
      </w:r>
      <w:r w:rsidR="005752E4" w:rsidRPr="00F85A58">
        <w:rPr>
          <w:rFonts w:cs="Arial"/>
          <w:lang w:val="fr-FR"/>
        </w:rPr>
        <w:t>’</w:t>
      </w:r>
      <w:r w:rsidR="00782060" w:rsidRPr="00F85A58">
        <w:rPr>
          <w:rFonts w:cs="Arial"/>
          <w:lang w:val="fr-FR"/>
        </w:rPr>
        <w:t>Union européenne</w:t>
      </w:r>
      <w:r w:rsidRPr="00F85A58">
        <w:rPr>
          <w:rFonts w:cs="Arial"/>
          <w:lang w:val="fr-FR"/>
        </w:rPr>
        <w:t xml:space="preserve">”.  </w:t>
      </w:r>
      <w:r w:rsidR="001B0E87" w:rsidRPr="00F85A58">
        <w:rPr>
          <w:rFonts w:cs="Arial"/>
          <w:lang w:val="fr-FR"/>
        </w:rPr>
        <w:t>Cet exposé est reproduit dans</w:t>
      </w:r>
      <w:r w:rsidRPr="00F85A58">
        <w:rPr>
          <w:rFonts w:cs="Arial"/>
          <w:lang w:val="fr-FR"/>
        </w:rPr>
        <w:t xml:space="preserve"> </w:t>
      </w:r>
      <w:r w:rsidR="001B0E87" w:rsidRPr="00F85A58">
        <w:rPr>
          <w:rFonts w:cs="Arial"/>
          <w:lang w:val="fr-FR"/>
        </w:rPr>
        <w:t xml:space="preserve">le </w:t>
      </w:r>
      <w:r w:rsidR="005752E4" w:rsidRPr="00F85A58">
        <w:rPr>
          <w:rFonts w:cs="Arial"/>
          <w:lang w:val="fr-FR"/>
        </w:rPr>
        <w:t>document TW</w:t>
      </w:r>
      <w:r w:rsidRPr="00F85A58">
        <w:rPr>
          <w:rFonts w:cs="Arial"/>
          <w:lang w:val="fr-FR"/>
        </w:rPr>
        <w:t>F/46/10</w:t>
      </w:r>
      <w:r w:rsidR="00342006" w:rsidRPr="00F85A58">
        <w:rPr>
          <w:rFonts w:cs="Arial"/>
          <w:lang w:val="fr-FR"/>
        </w:rPr>
        <w:t> </w:t>
      </w:r>
      <w:proofErr w:type="spellStart"/>
      <w:r w:rsidRPr="00F85A58">
        <w:rPr>
          <w:rFonts w:cs="Arial"/>
          <w:lang w:val="fr-FR"/>
        </w:rPr>
        <w:t>A</w:t>
      </w:r>
      <w:r w:rsidR="00F85A58" w:rsidRPr="00F85A58">
        <w:rPr>
          <w:rFonts w:cs="Arial"/>
          <w:lang w:val="fr-FR"/>
        </w:rPr>
        <w:t>dd</w:t>
      </w:r>
      <w:proofErr w:type="spellEnd"/>
      <w:r w:rsidR="00F85A58" w:rsidRPr="00F85A58">
        <w:rPr>
          <w:rFonts w:cs="Arial"/>
          <w:lang w:val="fr-FR"/>
        </w:rPr>
        <w:t>.  Le</w:t>
      </w:r>
      <w:r w:rsidR="005752E4" w:rsidRPr="00F85A58">
        <w:rPr>
          <w:rFonts w:cs="Arial"/>
          <w:lang w:val="fr-FR"/>
        </w:rPr>
        <w:t> TWO</w:t>
      </w:r>
      <w:r w:rsidRPr="00F85A58">
        <w:rPr>
          <w:rFonts w:cs="Arial"/>
          <w:lang w:val="fr-FR"/>
        </w:rPr>
        <w:t xml:space="preserve"> </w:t>
      </w:r>
      <w:r w:rsidR="001B0E87" w:rsidRPr="00F85A58">
        <w:rPr>
          <w:rFonts w:cs="Arial"/>
          <w:lang w:val="fr-FR"/>
        </w:rPr>
        <w:t>a pris note du fait que</w:t>
      </w:r>
      <w:r w:rsidR="00AD7ACA" w:rsidRPr="00F85A58">
        <w:rPr>
          <w:rFonts w:cs="Arial"/>
          <w:lang w:val="fr-FR"/>
        </w:rPr>
        <w:t>,</w:t>
      </w:r>
      <w:r w:rsidRPr="00F85A58">
        <w:rPr>
          <w:rFonts w:cs="Arial"/>
          <w:lang w:val="fr-FR"/>
        </w:rPr>
        <w:t xml:space="preserve"> </w:t>
      </w:r>
      <w:r w:rsidR="001B0E87" w:rsidRPr="00F85A58">
        <w:rPr>
          <w:rFonts w:cs="Arial"/>
          <w:lang w:val="fr-FR"/>
        </w:rPr>
        <w:t xml:space="preserve">dans le cas de certains membres, </w:t>
      </w:r>
      <w:r w:rsidR="006E5174" w:rsidRPr="00F85A58">
        <w:rPr>
          <w:rFonts w:cs="Arial"/>
          <w:lang w:val="fr-FR"/>
        </w:rPr>
        <w:t>et en ce qui concerne l</w:t>
      </w:r>
      <w:r w:rsidR="001B0E87" w:rsidRPr="00F85A58">
        <w:rPr>
          <w:rFonts w:cs="Arial"/>
          <w:lang w:val="fr-FR"/>
        </w:rPr>
        <w:t>es cas litigieux</w:t>
      </w:r>
      <w:r w:rsidR="006E5174" w:rsidRPr="00F85A58">
        <w:rPr>
          <w:rFonts w:cs="Arial"/>
          <w:lang w:val="fr-FR"/>
        </w:rPr>
        <w:t xml:space="preserve">, les discussions étaient en cours </w:t>
      </w:r>
      <w:r w:rsidR="006032DD" w:rsidRPr="00F85A58">
        <w:rPr>
          <w:rFonts w:cs="Arial"/>
          <w:lang w:val="fr-FR"/>
        </w:rPr>
        <w:t>concernant les questions d</w:t>
      </w:r>
      <w:r w:rsidR="005752E4" w:rsidRPr="00F85A58">
        <w:rPr>
          <w:rFonts w:cs="Arial"/>
          <w:lang w:val="fr-FR"/>
        </w:rPr>
        <w:t>’</w:t>
      </w:r>
      <w:r w:rsidR="006E5174" w:rsidRPr="00F85A58">
        <w:rPr>
          <w:rFonts w:cs="Arial"/>
          <w:lang w:val="fr-FR"/>
        </w:rPr>
        <w:t xml:space="preserve">accès et </w:t>
      </w:r>
      <w:r w:rsidR="006032DD" w:rsidRPr="00F85A58">
        <w:rPr>
          <w:rFonts w:cs="Arial"/>
          <w:lang w:val="fr-FR"/>
        </w:rPr>
        <w:t xml:space="preserve">de </w:t>
      </w:r>
      <w:r w:rsidR="006E5174" w:rsidRPr="00F85A58">
        <w:rPr>
          <w:rFonts w:cs="Arial"/>
          <w:lang w:val="fr-FR"/>
        </w:rPr>
        <w:t xml:space="preserve">propriété </w:t>
      </w:r>
      <w:r w:rsidR="006032DD" w:rsidRPr="00F85A58">
        <w:rPr>
          <w:rFonts w:cs="Arial"/>
          <w:lang w:val="fr-FR"/>
        </w:rPr>
        <w:t xml:space="preserve">se rapportant au matériel </w:t>
      </w:r>
      <w:r w:rsidR="006E5174" w:rsidRPr="00F85A58">
        <w:rPr>
          <w:rFonts w:cs="Arial"/>
          <w:lang w:val="fr-FR"/>
        </w:rPr>
        <w:t xml:space="preserve">végétal </w:t>
      </w:r>
      <w:r w:rsidR="006032DD" w:rsidRPr="00F85A58">
        <w:rPr>
          <w:rFonts w:cs="Arial"/>
          <w:lang w:val="fr-FR"/>
        </w:rPr>
        <w:t>qui n</w:t>
      </w:r>
      <w:r w:rsidR="005752E4" w:rsidRPr="00F85A58">
        <w:rPr>
          <w:rFonts w:cs="Arial"/>
          <w:lang w:val="fr-FR"/>
        </w:rPr>
        <w:t>’</w:t>
      </w:r>
      <w:r w:rsidR="006032DD" w:rsidRPr="00F85A58">
        <w:rPr>
          <w:rFonts w:cs="Arial"/>
          <w:lang w:val="fr-FR"/>
        </w:rPr>
        <w:t>était pas maintenu par le service et est convenu que la vérification de la conformité était plus difficile lorsque le service ne maintenait pas un échantillon de référence</w:t>
      </w:r>
      <w:r w:rsidRPr="00F85A58">
        <w:rPr>
          <w:rFonts w:cs="Arial"/>
          <w:lang w:val="fr-FR"/>
        </w:rPr>
        <w:t xml:space="preserve"> </w:t>
      </w:r>
      <w:r w:rsidR="006032DD" w:rsidRPr="00F85A58">
        <w:rPr>
          <w:rFonts w:cs="Arial"/>
          <w:lang w:val="fr-FR"/>
        </w:rPr>
        <w:t>du matériel utilisé pour l</w:t>
      </w:r>
      <w:r w:rsidR="005752E4" w:rsidRPr="00F85A58">
        <w:rPr>
          <w:rFonts w:cs="Arial"/>
          <w:lang w:val="fr-FR"/>
        </w:rPr>
        <w:t>’</w:t>
      </w:r>
      <w:r w:rsidR="006032DD" w:rsidRPr="00F85A58">
        <w:rPr>
          <w:rFonts w:cs="Arial"/>
          <w:lang w:val="fr-FR"/>
        </w:rPr>
        <w:t>examen</w:t>
      </w:r>
      <w:r w:rsidR="00342006" w:rsidRPr="00F85A58">
        <w:rPr>
          <w:rFonts w:cs="Arial"/>
          <w:lang w:val="fr-FR"/>
        </w:rPr>
        <w:t> </w:t>
      </w:r>
      <w:r w:rsidR="00F85A58" w:rsidRPr="00F85A58">
        <w:rPr>
          <w:rFonts w:cs="Arial"/>
          <w:lang w:val="fr-FR"/>
        </w:rPr>
        <w:t>DHS.  Le</w:t>
      </w:r>
      <w:r w:rsidR="005752E4" w:rsidRPr="00F85A58">
        <w:rPr>
          <w:rFonts w:cs="Arial"/>
          <w:lang w:val="fr-FR"/>
        </w:rPr>
        <w:t> </w:t>
      </w:r>
      <w:r w:rsidR="005752E4" w:rsidRPr="00F85A58">
        <w:rPr>
          <w:rFonts w:eastAsia="SimSun" w:cs="Arial"/>
          <w:lang w:val="fr-FR"/>
        </w:rPr>
        <w:t>TWO</w:t>
      </w:r>
      <w:r w:rsidRPr="00F85A58">
        <w:rPr>
          <w:rFonts w:eastAsia="SimSun" w:cs="Arial"/>
          <w:lang w:val="fr-FR"/>
        </w:rPr>
        <w:t xml:space="preserve"> </w:t>
      </w:r>
      <w:r w:rsidR="006032DD" w:rsidRPr="00F85A58">
        <w:rPr>
          <w:rFonts w:eastAsia="SimSun" w:cs="Arial"/>
          <w:lang w:val="fr-FR"/>
        </w:rPr>
        <w:t>est convenu d</w:t>
      </w:r>
      <w:r w:rsidR="005752E4" w:rsidRPr="00F85A58">
        <w:rPr>
          <w:rFonts w:eastAsia="SimSun" w:cs="Arial"/>
          <w:lang w:val="fr-FR"/>
        </w:rPr>
        <w:t>’</w:t>
      </w:r>
      <w:r w:rsidR="006032DD" w:rsidRPr="00F85A58">
        <w:rPr>
          <w:rFonts w:eastAsia="SimSun" w:cs="Arial"/>
          <w:lang w:val="fr-FR"/>
        </w:rPr>
        <w:t>inviter l</w:t>
      </w:r>
      <w:r w:rsidR="005752E4" w:rsidRPr="00F85A58">
        <w:rPr>
          <w:rFonts w:eastAsia="SimSun" w:cs="Arial"/>
          <w:lang w:val="fr-FR"/>
        </w:rPr>
        <w:t>’</w:t>
      </w:r>
      <w:r w:rsidR="006032DD" w:rsidRPr="00F85A58">
        <w:rPr>
          <w:rFonts w:eastAsia="SimSun" w:cs="Arial"/>
          <w:lang w:val="fr-FR"/>
        </w:rPr>
        <w:t>Allemagne, l</w:t>
      </w:r>
      <w:r w:rsidR="005752E4" w:rsidRPr="00F85A58">
        <w:rPr>
          <w:rFonts w:eastAsia="SimSun" w:cs="Arial"/>
          <w:lang w:val="fr-FR"/>
        </w:rPr>
        <w:t>’</w:t>
      </w:r>
      <w:r w:rsidRPr="00F85A58">
        <w:rPr>
          <w:rFonts w:eastAsia="SimSun" w:cs="Arial"/>
          <w:lang w:val="fr-FR"/>
        </w:rPr>
        <w:t>Australi</w:t>
      </w:r>
      <w:r w:rsidR="006032DD" w:rsidRPr="00F85A58">
        <w:rPr>
          <w:rFonts w:eastAsia="SimSun" w:cs="Arial"/>
          <w:lang w:val="fr-FR"/>
        </w:rPr>
        <w:t>e</w:t>
      </w:r>
      <w:r w:rsidRPr="00F85A58">
        <w:rPr>
          <w:rFonts w:eastAsia="SimSun" w:cs="Arial"/>
          <w:lang w:val="fr-FR"/>
        </w:rPr>
        <w:t xml:space="preserve">, </w:t>
      </w:r>
      <w:r w:rsidR="006032DD" w:rsidRPr="00F85A58">
        <w:rPr>
          <w:rFonts w:eastAsia="SimSun" w:cs="Arial"/>
          <w:lang w:val="fr-FR"/>
        </w:rPr>
        <w:t>les Pays</w:t>
      </w:r>
      <w:r w:rsidR="00F85A58" w:rsidRPr="00F85A58">
        <w:rPr>
          <w:rFonts w:eastAsia="SimSun" w:cs="Arial"/>
          <w:lang w:val="fr-FR"/>
        </w:rPr>
        <w:noBreakHyphen/>
      </w:r>
      <w:r w:rsidR="006032DD" w:rsidRPr="00F85A58">
        <w:rPr>
          <w:rFonts w:eastAsia="SimSun" w:cs="Arial"/>
          <w:lang w:val="fr-FR"/>
        </w:rPr>
        <w:t>Bas et l</w:t>
      </w:r>
      <w:r w:rsidR="005752E4" w:rsidRPr="00F85A58">
        <w:rPr>
          <w:rFonts w:eastAsia="SimSun" w:cs="Arial"/>
          <w:lang w:val="fr-FR"/>
        </w:rPr>
        <w:t>’</w:t>
      </w:r>
      <w:r w:rsidRPr="00F85A58">
        <w:rPr>
          <w:rFonts w:eastAsia="SimSun" w:cs="Arial"/>
          <w:lang w:val="fr-FR"/>
        </w:rPr>
        <w:t>Union</w:t>
      </w:r>
      <w:r w:rsidR="006032DD" w:rsidRPr="00F85A58">
        <w:rPr>
          <w:rFonts w:eastAsia="SimSun" w:cs="Arial"/>
          <w:lang w:val="fr-FR"/>
        </w:rPr>
        <w:t xml:space="preserve"> européenne</w:t>
      </w:r>
      <w:r w:rsidRPr="00F85A58">
        <w:rPr>
          <w:rFonts w:eastAsia="SimSun" w:cs="Arial"/>
          <w:lang w:val="fr-FR"/>
        </w:rPr>
        <w:t xml:space="preserve"> </w:t>
      </w:r>
      <w:r w:rsidR="006032DD" w:rsidRPr="00F85A58">
        <w:rPr>
          <w:rFonts w:eastAsia="SimSun" w:cs="Arial"/>
          <w:lang w:val="fr-FR"/>
        </w:rPr>
        <w:t xml:space="preserve">à présenter un exposé sur les questions concernant </w:t>
      </w:r>
      <w:r w:rsidR="008C14B0" w:rsidRPr="00F85A58">
        <w:rPr>
          <w:rFonts w:eastAsia="SimSun" w:cs="Arial"/>
          <w:lang w:val="fr-FR"/>
        </w:rPr>
        <w:t>les descriptions variétales à sa quarante</w:t>
      </w:r>
      <w:r w:rsidR="00F85A58" w:rsidRPr="00F85A58">
        <w:rPr>
          <w:rFonts w:eastAsia="SimSun" w:cs="Arial"/>
          <w:lang w:val="fr-FR"/>
        </w:rPr>
        <w:noBreakHyphen/>
      </w:r>
      <w:r w:rsidR="008C14B0" w:rsidRPr="00F85A58">
        <w:rPr>
          <w:rFonts w:eastAsia="SimSun" w:cs="Arial"/>
          <w:lang w:val="fr-FR"/>
        </w:rPr>
        <w:t>neuvième</w:t>
      </w:r>
      <w:r w:rsidR="00342006" w:rsidRPr="00F85A58">
        <w:rPr>
          <w:rFonts w:eastAsia="SimSun" w:cs="Arial"/>
          <w:lang w:val="fr-FR"/>
        </w:rPr>
        <w:t> </w:t>
      </w:r>
      <w:r w:rsidR="008C14B0" w:rsidRPr="00F85A58">
        <w:rPr>
          <w:rFonts w:eastAsia="SimSun" w:cs="Arial"/>
          <w:lang w:val="fr-FR"/>
        </w:rPr>
        <w:t>session, qui doit se tenir en</w:t>
      </w:r>
      <w:r w:rsidR="00342006" w:rsidRPr="00F85A58">
        <w:rPr>
          <w:rFonts w:eastAsia="SimSun" w:cs="Arial"/>
          <w:lang w:val="fr-FR"/>
        </w:rPr>
        <w:t> </w:t>
      </w:r>
      <w:r w:rsidR="008C14B0" w:rsidRPr="00F85A58">
        <w:rPr>
          <w:rFonts w:eastAsia="SimSun" w:cs="Arial"/>
          <w:lang w:val="fr-FR"/>
        </w:rPr>
        <w:t>2016.</w:t>
      </w:r>
    </w:p>
    <w:p w:rsidR="00BA14DE" w:rsidRPr="00F85A58" w:rsidRDefault="00BA14DE" w:rsidP="005C638C">
      <w:pPr>
        <w:rPr>
          <w:rFonts w:cs="Arial"/>
          <w:lang w:val="fr-FR"/>
        </w:rPr>
      </w:pPr>
    </w:p>
    <w:p w:rsidR="00BA14DE" w:rsidRPr="00F85A58" w:rsidRDefault="005C638C" w:rsidP="005C638C">
      <w:pPr>
        <w:tabs>
          <w:tab w:val="left" w:pos="630"/>
        </w:tabs>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5C6BF0" w:rsidRPr="00F85A58">
        <w:rPr>
          <w:rFonts w:cs="Arial"/>
          <w:lang w:val="fr-FR"/>
        </w:rPr>
        <w:t xml:space="preserve">Le </w:t>
      </w:r>
      <w:r w:rsidRPr="00F85A58">
        <w:rPr>
          <w:rFonts w:cs="Arial"/>
          <w:lang w:val="fr-FR"/>
        </w:rPr>
        <w:t xml:space="preserve">TWO </w:t>
      </w:r>
      <w:r w:rsidR="005C6BF0" w:rsidRPr="00F85A58">
        <w:rPr>
          <w:rFonts w:cs="Arial"/>
          <w:lang w:val="fr-FR"/>
        </w:rPr>
        <w:t xml:space="preserve">a examiné le </w:t>
      </w:r>
      <w:r w:rsidRPr="00F85A58">
        <w:rPr>
          <w:rFonts w:cs="Arial"/>
          <w:lang w:val="fr-FR"/>
        </w:rPr>
        <w:t>document TWO/48/12 “</w:t>
      </w:r>
      <w:r w:rsidR="005C6BF0" w:rsidRPr="00F85A58">
        <w:rPr>
          <w:rFonts w:cs="Arial"/>
          <w:lang w:val="fr-FR"/>
        </w:rPr>
        <w:t>Révision du document TGP/7 : Matériel pour les rédacteurs de principes directeurs d</w:t>
      </w:r>
      <w:r w:rsidR="005752E4" w:rsidRPr="00F85A58">
        <w:rPr>
          <w:rFonts w:cs="Arial"/>
          <w:lang w:val="fr-FR"/>
        </w:rPr>
        <w:t>’</w:t>
      </w:r>
      <w:r w:rsidR="005C6BF0" w:rsidRPr="00F85A58">
        <w:rPr>
          <w:rFonts w:cs="Arial"/>
          <w:lang w:val="fr-FR"/>
        </w:rPr>
        <w:t>examen</w:t>
      </w:r>
      <w:r w:rsidRPr="00F85A58">
        <w:rPr>
          <w:rFonts w:cs="Arial"/>
          <w:lang w:val="fr-FR"/>
        </w:rPr>
        <w:t xml:space="preserve">” </w:t>
      </w:r>
      <w:r w:rsidR="005C6BF0" w:rsidRPr="00F85A58">
        <w:rPr>
          <w:rFonts w:cs="Arial"/>
          <w:lang w:val="fr-FR"/>
        </w:rPr>
        <w:t>et a noté l</w:t>
      </w:r>
      <w:r w:rsidR="005752E4" w:rsidRPr="00F85A58">
        <w:rPr>
          <w:rFonts w:cs="Arial"/>
          <w:lang w:val="fr-FR"/>
        </w:rPr>
        <w:t>’</w:t>
      </w:r>
      <w:r w:rsidR="005C6BF0" w:rsidRPr="00F85A58">
        <w:rPr>
          <w:rFonts w:cs="Arial"/>
          <w:lang w:val="fr-FR"/>
        </w:rPr>
        <w:t>absence d</w:t>
      </w:r>
      <w:r w:rsidR="005752E4" w:rsidRPr="00F85A58">
        <w:rPr>
          <w:rFonts w:cs="Arial"/>
          <w:lang w:val="fr-FR"/>
        </w:rPr>
        <w:t>’</w:t>
      </w:r>
      <w:r w:rsidR="005C6BF0" w:rsidRPr="00F85A58">
        <w:rPr>
          <w:rFonts w:cs="Arial"/>
          <w:lang w:val="fr-FR"/>
        </w:rPr>
        <w:t>indications concernant l</w:t>
      </w:r>
      <w:r w:rsidR="005752E4" w:rsidRPr="00F85A58">
        <w:rPr>
          <w:rFonts w:cs="Arial"/>
          <w:lang w:val="fr-FR"/>
        </w:rPr>
        <w:t>’</w:t>
      </w:r>
      <w:r w:rsidR="005C6BF0" w:rsidRPr="00F85A58">
        <w:rPr>
          <w:rFonts w:cs="Arial"/>
          <w:lang w:val="fr-FR"/>
        </w:rPr>
        <w:t xml:space="preserve">ordre </w:t>
      </w:r>
      <w:r w:rsidR="0080295F" w:rsidRPr="00F85A58">
        <w:rPr>
          <w:rFonts w:cs="Arial"/>
          <w:lang w:val="fr-FR"/>
        </w:rPr>
        <w:t>des méthodes d</w:t>
      </w:r>
      <w:r w:rsidR="005752E4" w:rsidRPr="00F85A58">
        <w:rPr>
          <w:rFonts w:cs="Arial"/>
          <w:lang w:val="fr-FR"/>
        </w:rPr>
        <w:t>’</w:t>
      </w:r>
      <w:r w:rsidR="0080295F" w:rsidRPr="00F85A58">
        <w:rPr>
          <w:rFonts w:cs="Arial"/>
          <w:lang w:val="fr-FR"/>
        </w:rPr>
        <w:t xml:space="preserve">observation des caractères dans le tableau des caractères </w:t>
      </w:r>
      <w:r w:rsidRPr="00F85A58">
        <w:rPr>
          <w:rFonts w:cs="Arial"/>
          <w:lang w:val="fr-FR"/>
        </w:rPr>
        <w:t>(</w:t>
      </w:r>
      <w:r w:rsidR="0080295F" w:rsidRPr="00F85A58">
        <w:rPr>
          <w:rFonts w:cs="Arial"/>
          <w:lang w:val="fr-FR"/>
        </w:rPr>
        <w:t>p</w:t>
      </w:r>
      <w:r w:rsidRPr="00F85A58">
        <w:rPr>
          <w:rFonts w:cs="Arial"/>
          <w:lang w:val="fr-FR"/>
        </w:rPr>
        <w:t>.</w:t>
      </w:r>
      <w:r w:rsidR="00342006" w:rsidRPr="00F85A58">
        <w:rPr>
          <w:rFonts w:cs="Arial"/>
          <w:lang w:val="fr-FR"/>
        </w:rPr>
        <w:t> </w:t>
      </w:r>
      <w:r w:rsidR="0080295F" w:rsidRPr="00F85A58">
        <w:rPr>
          <w:rFonts w:cs="Arial"/>
          <w:lang w:val="fr-FR"/>
        </w:rPr>
        <w:t>ex</w:t>
      </w:r>
      <w:r w:rsidRPr="00F85A58">
        <w:rPr>
          <w:rFonts w:cs="Arial"/>
          <w:lang w:val="fr-FR"/>
        </w:rPr>
        <w:t>.</w:t>
      </w:r>
      <w:r w:rsidR="00342006" w:rsidRPr="00F85A58">
        <w:rPr>
          <w:rFonts w:cs="Arial"/>
          <w:lang w:val="fr-FR"/>
        </w:rPr>
        <w:t xml:space="preserve"> </w:t>
      </w:r>
      <w:r w:rsidRPr="00F85A58">
        <w:rPr>
          <w:rFonts w:cs="Arial"/>
          <w:lang w:val="fr-FR"/>
        </w:rPr>
        <w:t xml:space="preserve">VG/MS) </w:t>
      </w:r>
      <w:r w:rsidR="0080295F" w:rsidRPr="00F85A58">
        <w:rPr>
          <w:rFonts w:cs="Arial"/>
          <w:lang w:val="fr-FR"/>
        </w:rPr>
        <w:t xml:space="preserve">et est convenu de proposer de fournir des indications dans le </w:t>
      </w:r>
      <w:r w:rsidRPr="00F85A58">
        <w:rPr>
          <w:rFonts w:cs="Arial"/>
          <w:lang w:val="fr-FR"/>
        </w:rPr>
        <w:t xml:space="preserve">document TGP/7 </w:t>
      </w:r>
      <w:r w:rsidR="0080295F" w:rsidRPr="00F85A58">
        <w:rPr>
          <w:rFonts w:cs="Arial"/>
          <w:lang w:val="fr-FR"/>
        </w:rPr>
        <w:t>et dans les principes directeurs d</w:t>
      </w:r>
      <w:r w:rsidR="005752E4" w:rsidRPr="00F85A58">
        <w:rPr>
          <w:rFonts w:cs="Arial"/>
          <w:lang w:val="fr-FR"/>
        </w:rPr>
        <w:t>’</w:t>
      </w:r>
      <w:r w:rsidR="0080295F" w:rsidRPr="00F85A58">
        <w:rPr>
          <w:rFonts w:cs="Arial"/>
          <w:lang w:val="fr-FR"/>
        </w:rPr>
        <w:t xml:space="preserve">examen, </w:t>
      </w:r>
      <w:r w:rsidR="00EF5B24" w:rsidRPr="00F85A58">
        <w:rPr>
          <w:rFonts w:cs="Arial"/>
          <w:lang w:val="fr-FR"/>
        </w:rPr>
        <w:t>afin de préciser, par exemple, que la méthode utilisée le plus couramment figurait en premi</w:t>
      </w:r>
      <w:r w:rsidR="00F85A58" w:rsidRPr="00F85A58">
        <w:rPr>
          <w:rFonts w:cs="Arial"/>
          <w:lang w:val="fr-FR"/>
        </w:rPr>
        <w:t>er.  Le</w:t>
      </w:r>
      <w:r w:rsidR="005752E4" w:rsidRPr="00F85A58">
        <w:rPr>
          <w:rFonts w:cs="Arial"/>
          <w:lang w:val="fr-FR"/>
        </w:rPr>
        <w:t> TWO</w:t>
      </w:r>
      <w:r w:rsidRPr="00F85A58">
        <w:rPr>
          <w:rFonts w:cs="Arial"/>
          <w:lang w:val="fr-FR"/>
        </w:rPr>
        <w:t xml:space="preserve"> </w:t>
      </w:r>
      <w:r w:rsidR="00EF5B24" w:rsidRPr="00F85A58">
        <w:rPr>
          <w:rFonts w:cs="Arial"/>
          <w:lang w:val="fr-FR"/>
        </w:rPr>
        <w:t>est convenu de demander au Bureau de l</w:t>
      </w:r>
      <w:r w:rsidR="005752E4" w:rsidRPr="00F85A58">
        <w:rPr>
          <w:rFonts w:cs="Arial"/>
          <w:lang w:val="fr-FR"/>
        </w:rPr>
        <w:t>’</w:t>
      </w:r>
      <w:r w:rsidR="00EF5B24" w:rsidRPr="00F85A58">
        <w:rPr>
          <w:rFonts w:cs="Arial"/>
          <w:lang w:val="fr-FR"/>
        </w:rPr>
        <w:t>Union d</w:t>
      </w:r>
      <w:r w:rsidR="005752E4" w:rsidRPr="00F85A58">
        <w:rPr>
          <w:rFonts w:cs="Arial"/>
          <w:lang w:val="fr-FR"/>
        </w:rPr>
        <w:t>’</w:t>
      </w:r>
      <w:r w:rsidR="00EF5B24" w:rsidRPr="00F85A58">
        <w:rPr>
          <w:rFonts w:cs="Arial"/>
          <w:lang w:val="fr-FR"/>
        </w:rPr>
        <w:t>étudier la possibilité d</w:t>
      </w:r>
      <w:r w:rsidR="005752E4" w:rsidRPr="00F85A58">
        <w:rPr>
          <w:rFonts w:cs="Arial"/>
          <w:lang w:val="fr-FR"/>
        </w:rPr>
        <w:t>’</w:t>
      </w:r>
      <w:r w:rsidR="00636D2A" w:rsidRPr="00F85A58">
        <w:rPr>
          <w:rFonts w:cs="Arial"/>
          <w:lang w:val="fr-FR"/>
        </w:rPr>
        <w:t>i</w:t>
      </w:r>
      <w:r w:rsidR="00EF5B24" w:rsidRPr="00F85A58">
        <w:rPr>
          <w:rFonts w:cs="Arial"/>
          <w:lang w:val="fr-FR"/>
        </w:rPr>
        <w:t>nclure les observations faites par le Bureau de l</w:t>
      </w:r>
      <w:r w:rsidR="005752E4" w:rsidRPr="00F85A58">
        <w:rPr>
          <w:rFonts w:cs="Arial"/>
          <w:lang w:val="fr-FR"/>
        </w:rPr>
        <w:t>’</w:t>
      </w:r>
      <w:r w:rsidR="00EF5B24" w:rsidRPr="00F85A58">
        <w:rPr>
          <w:rFonts w:cs="Arial"/>
          <w:lang w:val="fr-FR"/>
        </w:rPr>
        <w:t xml:space="preserve">Union concernant les </w:t>
      </w:r>
      <w:r w:rsidR="00636D2A" w:rsidRPr="00F85A58">
        <w:rPr>
          <w:rFonts w:cs="Arial"/>
          <w:lang w:val="fr-FR"/>
        </w:rPr>
        <w:t>projets de principes directeurs d</w:t>
      </w:r>
      <w:r w:rsidR="005752E4" w:rsidRPr="00F85A58">
        <w:rPr>
          <w:rFonts w:cs="Arial"/>
          <w:lang w:val="fr-FR"/>
        </w:rPr>
        <w:t>’</w:t>
      </w:r>
      <w:r w:rsidR="00636D2A" w:rsidRPr="00F85A58">
        <w:rPr>
          <w:rFonts w:cs="Arial"/>
          <w:lang w:val="fr-FR"/>
        </w:rPr>
        <w:t>examen dans le modèle de principes directeurs d</w:t>
      </w:r>
      <w:r w:rsidR="005752E4" w:rsidRPr="00F85A58">
        <w:rPr>
          <w:rFonts w:cs="Arial"/>
          <w:lang w:val="fr-FR"/>
        </w:rPr>
        <w:t>’</w:t>
      </w:r>
      <w:r w:rsidR="00636D2A" w:rsidRPr="00F85A58">
        <w:rPr>
          <w:rFonts w:cs="Arial"/>
          <w:lang w:val="fr-FR"/>
        </w:rPr>
        <w:t>examen fondé sur le Web</w:t>
      </w:r>
      <w:r w:rsidRPr="00F85A58">
        <w:rPr>
          <w:rFonts w:cs="Arial"/>
          <w:lang w:val="fr-FR"/>
        </w:rPr>
        <w:t xml:space="preserve">, </w:t>
      </w:r>
      <w:r w:rsidR="00636D2A" w:rsidRPr="00F85A58">
        <w:rPr>
          <w:rFonts w:cs="Arial"/>
          <w:lang w:val="fr-FR"/>
        </w:rPr>
        <w:t>afin que l</w:t>
      </w:r>
      <w:r w:rsidR="005752E4" w:rsidRPr="00F85A58">
        <w:rPr>
          <w:rFonts w:cs="Arial"/>
          <w:lang w:val="fr-FR"/>
        </w:rPr>
        <w:t>’</w:t>
      </w:r>
      <w:r w:rsidR="00636D2A" w:rsidRPr="00F85A58">
        <w:rPr>
          <w:rFonts w:cs="Arial"/>
          <w:lang w:val="fr-FR"/>
        </w:rPr>
        <w:t>expert principal dispose de l</w:t>
      </w:r>
      <w:r w:rsidR="005752E4" w:rsidRPr="00F85A58">
        <w:rPr>
          <w:rFonts w:cs="Arial"/>
          <w:lang w:val="fr-FR"/>
        </w:rPr>
        <w:t>’</w:t>
      </w:r>
      <w:r w:rsidR="00636D2A" w:rsidRPr="00F85A58">
        <w:rPr>
          <w:rFonts w:cs="Arial"/>
          <w:lang w:val="fr-FR"/>
        </w:rPr>
        <w:t>intégralité des observations dans le modèle de principes directeurs d</w:t>
      </w:r>
      <w:r w:rsidR="005752E4" w:rsidRPr="00F85A58">
        <w:rPr>
          <w:rFonts w:cs="Arial"/>
          <w:lang w:val="fr-FR"/>
        </w:rPr>
        <w:t>’</w:t>
      </w:r>
      <w:r w:rsidR="00636D2A" w:rsidRPr="00F85A58">
        <w:rPr>
          <w:rFonts w:cs="Arial"/>
          <w:lang w:val="fr-FR"/>
        </w:rPr>
        <w:t>examen fondé sur le W</w:t>
      </w:r>
      <w:r w:rsidR="00F85A58" w:rsidRPr="00F85A58">
        <w:rPr>
          <w:rFonts w:cs="Arial"/>
          <w:lang w:val="fr-FR"/>
        </w:rPr>
        <w:t>eb.  Le</w:t>
      </w:r>
      <w:r w:rsidR="005752E4" w:rsidRPr="00F85A58">
        <w:rPr>
          <w:rFonts w:cs="Arial"/>
          <w:lang w:val="fr-FR"/>
        </w:rPr>
        <w:t> TWO</w:t>
      </w:r>
      <w:r w:rsidRPr="00F85A58">
        <w:rPr>
          <w:rFonts w:cs="Arial"/>
          <w:lang w:val="fr-FR"/>
        </w:rPr>
        <w:t xml:space="preserve"> </w:t>
      </w:r>
      <w:r w:rsidR="00636D2A" w:rsidRPr="00F85A58">
        <w:rPr>
          <w:rFonts w:cs="Arial"/>
          <w:lang w:val="fr-FR"/>
        </w:rPr>
        <w:t>est convenu que des didacticiels en ligne et des notes d</w:t>
      </w:r>
      <w:r w:rsidR="005752E4" w:rsidRPr="00F85A58">
        <w:rPr>
          <w:rFonts w:cs="Arial"/>
          <w:lang w:val="fr-FR"/>
        </w:rPr>
        <w:t>’</w:t>
      </w:r>
      <w:r w:rsidR="00636D2A" w:rsidRPr="00F85A58">
        <w:rPr>
          <w:rFonts w:cs="Arial"/>
          <w:lang w:val="fr-FR"/>
        </w:rPr>
        <w:t>orientation seraient utiles pour les experts principaux et les experts intéressés</w:t>
      </w:r>
      <w:r w:rsidRPr="00F85A58">
        <w:rPr>
          <w:rFonts w:cs="Arial"/>
          <w:lang w:val="fr-FR"/>
        </w:rPr>
        <w:t>.</w:t>
      </w:r>
    </w:p>
    <w:p w:rsidR="00BA14DE" w:rsidRPr="00F85A58" w:rsidRDefault="00BA14DE" w:rsidP="005C638C">
      <w:pPr>
        <w:rPr>
          <w:rFonts w:cs="Arial"/>
          <w:lang w:val="fr-FR"/>
        </w:rPr>
      </w:pPr>
    </w:p>
    <w:p w:rsidR="00BA14DE" w:rsidRPr="00F85A58" w:rsidRDefault="005C638C" w:rsidP="005C638C">
      <w:pPr>
        <w:tabs>
          <w:tab w:val="left" w:pos="630"/>
        </w:tabs>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EC44B9" w:rsidRPr="00F85A58">
        <w:rPr>
          <w:rFonts w:cs="Arial"/>
          <w:lang w:val="fr-FR"/>
        </w:rPr>
        <w:t>Le</w:t>
      </w:r>
      <w:r w:rsidRPr="00F85A58">
        <w:rPr>
          <w:rFonts w:cs="Arial"/>
          <w:lang w:val="fr-FR"/>
        </w:rPr>
        <w:t xml:space="preserve"> TWO </w:t>
      </w:r>
      <w:r w:rsidR="00EC44B9" w:rsidRPr="00F85A58">
        <w:rPr>
          <w:rFonts w:cs="Arial"/>
          <w:lang w:val="fr-FR"/>
        </w:rPr>
        <w:t xml:space="preserve">a examiné le </w:t>
      </w:r>
      <w:r w:rsidRPr="00F85A58">
        <w:rPr>
          <w:rFonts w:cs="Arial"/>
          <w:lang w:val="fr-FR"/>
        </w:rPr>
        <w:t>document TWO/48/14 “</w:t>
      </w:r>
      <w:r w:rsidR="001D193A" w:rsidRPr="00F85A58">
        <w:rPr>
          <w:rFonts w:cs="Arial"/>
          <w:lang w:val="fr-FR"/>
        </w:rPr>
        <w:t>Séries régionales de variétés indiquées à titre d</w:t>
      </w:r>
      <w:r w:rsidR="005752E4" w:rsidRPr="00F85A58">
        <w:rPr>
          <w:rFonts w:cs="Arial"/>
          <w:lang w:val="fr-FR"/>
        </w:rPr>
        <w:t>’</w:t>
      </w:r>
      <w:r w:rsidR="001D193A" w:rsidRPr="00F85A58">
        <w:rPr>
          <w:rFonts w:cs="Arial"/>
          <w:lang w:val="fr-FR"/>
        </w:rPr>
        <w:t>exemple</w:t>
      </w:r>
      <w:r w:rsidRPr="00F85A58">
        <w:rPr>
          <w:rFonts w:cs="Arial"/>
          <w:lang w:val="fr-FR"/>
        </w:rPr>
        <w:t xml:space="preserve">”. </w:t>
      </w:r>
      <w:r w:rsidR="005752E4" w:rsidRPr="00F85A58">
        <w:rPr>
          <w:rFonts w:cs="Arial"/>
          <w:lang w:val="fr-FR"/>
        </w:rPr>
        <w:t xml:space="preserve"> Le TWO</w:t>
      </w:r>
      <w:r w:rsidRPr="00F85A58">
        <w:rPr>
          <w:rFonts w:cs="Arial"/>
          <w:lang w:val="fr-FR"/>
        </w:rPr>
        <w:t xml:space="preserve"> </w:t>
      </w:r>
      <w:r w:rsidR="001D193A" w:rsidRPr="00F85A58">
        <w:rPr>
          <w:rFonts w:cs="Arial"/>
          <w:lang w:val="fr-FR"/>
        </w:rPr>
        <w:t>est convenu qu</w:t>
      </w:r>
      <w:r w:rsidR="005752E4" w:rsidRPr="00F85A58">
        <w:rPr>
          <w:rFonts w:cs="Arial"/>
          <w:lang w:val="fr-FR"/>
        </w:rPr>
        <w:t>’</w:t>
      </w:r>
      <w:r w:rsidR="001D193A" w:rsidRPr="00F85A58">
        <w:rPr>
          <w:rFonts w:cs="Arial"/>
          <w:lang w:val="fr-FR"/>
        </w:rPr>
        <w:t xml:space="preserve">il serait important de préciser </w:t>
      </w:r>
      <w:r w:rsidR="000F587F" w:rsidRPr="00F85A58">
        <w:rPr>
          <w:rFonts w:cs="Arial"/>
          <w:lang w:val="fr-FR"/>
        </w:rPr>
        <w:t>les motifs de l</w:t>
      </w:r>
      <w:r w:rsidR="005752E4" w:rsidRPr="00F85A58">
        <w:rPr>
          <w:rFonts w:cs="Arial"/>
          <w:lang w:val="fr-FR"/>
        </w:rPr>
        <w:t>’</w:t>
      </w:r>
      <w:r w:rsidR="000F587F" w:rsidRPr="00F85A58">
        <w:rPr>
          <w:rFonts w:cs="Arial"/>
          <w:lang w:val="fr-FR"/>
        </w:rPr>
        <w:t>élaboration de séries régionales de variétés indiquées à titre d</w:t>
      </w:r>
      <w:r w:rsidR="005752E4" w:rsidRPr="00F85A58">
        <w:rPr>
          <w:rFonts w:cs="Arial"/>
          <w:lang w:val="fr-FR"/>
        </w:rPr>
        <w:t>’</w:t>
      </w:r>
      <w:r w:rsidR="000F587F" w:rsidRPr="00F85A58">
        <w:rPr>
          <w:rFonts w:cs="Arial"/>
          <w:lang w:val="fr-FR"/>
        </w:rPr>
        <w:t>exemple, notamment pour ce qui est des principes directeurs d</w:t>
      </w:r>
      <w:r w:rsidR="005752E4" w:rsidRPr="00F85A58">
        <w:rPr>
          <w:rFonts w:cs="Arial"/>
          <w:lang w:val="fr-FR"/>
        </w:rPr>
        <w:t>’</w:t>
      </w:r>
      <w:r w:rsidR="000F587F" w:rsidRPr="00F85A58">
        <w:rPr>
          <w:rFonts w:cs="Arial"/>
          <w:lang w:val="fr-FR"/>
        </w:rPr>
        <w:t>exam</w:t>
      </w:r>
      <w:r w:rsidR="00F85A58" w:rsidRPr="00F85A58">
        <w:rPr>
          <w:rFonts w:cs="Arial"/>
          <w:lang w:val="fr-FR"/>
        </w:rPr>
        <w:t>en.  Ou</w:t>
      </w:r>
      <w:r w:rsidR="000F587F" w:rsidRPr="00F85A58">
        <w:rPr>
          <w:rFonts w:cs="Arial"/>
          <w:lang w:val="fr-FR"/>
        </w:rPr>
        <w:t>tre l</w:t>
      </w:r>
      <w:r w:rsidR="005752E4" w:rsidRPr="00F85A58">
        <w:rPr>
          <w:rFonts w:cs="Arial"/>
          <w:lang w:val="fr-FR"/>
        </w:rPr>
        <w:t>’</w:t>
      </w:r>
      <w:r w:rsidR="000F587F" w:rsidRPr="00F85A58">
        <w:rPr>
          <w:rFonts w:cs="Arial"/>
          <w:lang w:val="fr-FR"/>
        </w:rPr>
        <w:t>inclusion d</w:t>
      </w:r>
      <w:r w:rsidR="005752E4" w:rsidRPr="00F85A58">
        <w:rPr>
          <w:rFonts w:cs="Arial"/>
          <w:lang w:val="fr-FR"/>
        </w:rPr>
        <w:t>’</w:t>
      </w:r>
      <w:r w:rsidR="000F587F" w:rsidRPr="00F85A58">
        <w:rPr>
          <w:rFonts w:cs="Arial"/>
          <w:lang w:val="fr-FR"/>
        </w:rPr>
        <w:t xml:space="preserve">orientations dans le </w:t>
      </w:r>
      <w:r w:rsidRPr="00F85A58">
        <w:rPr>
          <w:rFonts w:cs="Arial"/>
          <w:lang w:val="fr-FR"/>
        </w:rPr>
        <w:t>document TGP/7</w:t>
      </w:r>
      <w:r w:rsidR="000F587F" w:rsidRPr="00F85A58">
        <w:rPr>
          <w:rFonts w:cs="Arial"/>
          <w:lang w:val="fr-FR"/>
        </w:rPr>
        <w:t>,</w:t>
      </w:r>
      <w:r w:rsidR="005752E4" w:rsidRPr="00F85A58">
        <w:rPr>
          <w:rFonts w:cs="Arial"/>
          <w:lang w:val="fr-FR"/>
        </w:rPr>
        <w:t xml:space="preserve"> le TWO</w:t>
      </w:r>
      <w:r w:rsidR="000F587F" w:rsidRPr="00F85A58">
        <w:rPr>
          <w:rFonts w:cs="Arial"/>
          <w:lang w:val="fr-FR"/>
        </w:rPr>
        <w:t xml:space="preserve"> est convenu qu</w:t>
      </w:r>
      <w:r w:rsidR="005752E4" w:rsidRPr="00F85A58">
        <w:rPr>
          <w:rFonts w:cs="Arial"/>
          <w:lang w:val="fr-FR"/>
        </w:rPr>
        <w:t>’</w:t>
      </w:r>
      <w:r w:rsidR="000F587F" w:rsidRPr="00F85A58">
        <w:rPr>
          <w:rFonts w:cs="Arial"/>
          <w:lang w:val="fr-FR"/>
        </w:rPr>
        <w:t>il devrait déterminer les bases sur lesquelles la région élaborerait une série régionale convenue de variétés indiquées à titre d</w:t>
      </w:r>
      <w:r w:rsidR="005752E4" w:rsidRPr="00F85A58">
        <w:rPr>
          <w:rFonts w:cs="Arial"/>
          <w:lang w:val="fr-FR"/>
        </w:rPr>
        <w:t>’</w:t>
      </w:r>
      <w:r w:rsidR="000F587F" w:rsidRPr="00F85A58">
        <w:rPr>
          <w:rFonts w:cs="Arial"/>
          <w:lang w:val="fr-FR"/>
        </w:rPr>
        <w:t>exemple</w:t>
      </w:r>
      <w:r w:rsidRPr="00F85A58">
        <w:rPr>
          <w:rFonts w:cs="Arial"/>
          <w:lang w:val="fr-FR"/>
        </w:rPr>
        <w:t xml:space="preserve"> (</w:t>
      </w:r>
      <w:r w:rsidR="00163A8E" w:rsidRPr="00F85A58">
        <w:rPr>
          <w:rFonts w:cs="Arial"/>
          <w:lang w:val="fr-FR"/>
        </w:rPr>
        <w:t>au moyen, par exemple, d</w:t>
      </w:r>
      <w:r w:rsidR="005752E4" w:rsidRPr="00F85A58">
        <w:rPr>
          <w:rFonts w:cs="Arial"/>
          <w:lang w:val="fr-FR"/>
        </w:rPr>
        <w:t>’</w:t>
      </w:r>
      <w:r w:rsidR="00163A8E" w:rsidRPr="00F85A58">
        <w:rPr>
          <w:rFonts w:cs="Arial"/>
          <w:lang w:val="fr-FR"/>
        </w:rPr>
        <w:t>un échange d</w:t>
      </w:r>
      <w:r w:rsidR="005752E4" w:rsidRPr="00F85A58">
        <w:rPr>
          <w:rFonts w:cs="Arial"/>
          <w:lang w:val="fr-FR"/>
        </w:rPr>
        <w:t>’</w:t>
      </w:r>
      <w:r w:rsidR="00163A8E" w:rsidRPr="00F85A58">
        <w:rPr>
          <w:rFonts w:cs="Arial"/>
          <w:lang w:val="fr-FR"/>
        </w:rPr>
        <w:t>informations ou d</w:t>
      </w:r>
      <w:r w:rsidR="005752E4" w:rsidRPr="00F85A58">
        <w:rPr>
          <w:rFonts w:cs="Arial"/>
          <w:lang w:val="fr-FR"/>
        </w:rPr>
        <w:t>’</w:t>
      </w:r>
      <w:r w:rsidR="00163A8E" w:rsidRPr="00F85A58">
        <w:rPr>
          <w:rFonts w:cs="Arial"/>
          <w:lang w:val="fr-FR"/>
        </w:rPr>
        <w:t>un test d</w:t>
      </w:r>
      <w:r w:rsidR="005752E4" w:rsidRPr="00F85A58">
        <w:rPr>
          <w:rFonts w:cs="Arial"/>
          <w:lang w:val="fr-FR"/>
        </w:rPr>
        <w:t>’</w:t>
      </w:r>
      <w:r w:rsidR="00163A8E" w:rsidRPr="00F85A58">
        <w:rPr>
          <w:rFonts w:cs="Arial"/>
          <w:lang w:val="fr-FR"/>
        </w:rPr>
        <w:t>étalonnage</w:t>
      </w:r>
      <w:r w:rsidRPr="00F85A58">
        <w:rPr>
          <w:rFonts w:cs="Arial"/>
          <w:lang w:val="fr-FR"/>
        </w:rPr>
        <w:t>).</w:t>
      </w:r>
    </w:p>
    <w:p w:rsidR="00BA14DE" w:rsidRPr="00F85A58" w:rsidRDefault="00BA14DE" w:rsidP="005C638C">
      <w:pPr>
        <w:rPr>
          <w:rFonts w:cs="Arial"/>
          <w:lang w:val="fr-FR"/>
        </w:rPr>
      </w:pPr>
    </w:p>
    <w:p w:rsidR="00BA14DE" w:rsidRPr="00F85A58" w:rsidRDefault="005C638C" w:rsidP="005C638C">
      <w:pPr>
        <w:tabs>
          <w:tab w:val="left" w:pos="630"/>
        </w:tabs>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4C12AA" w:rsidRPr="00F85A58">
        <w:rPr>
          <w:rFonts w:cs="Arial"/>
          <w:lang w:val="fr-FR"/>
        </w:rPr>
        <w:t>Le</w:t>
      </w:r>
      <w:r w:rsidRPr="00F85A58">
        <w:rPr>
          <w:rFonts w:cs="Arial"/>
          <w:lang w:val="fr-FR"/>
        </w:rPr>
        <w:t xml:space="preserve"> TWO </w:t>
      </w:r>
      <w:r w:rsidR="004C12AA" w:rsidRPr="00F85A58">
        <w:rPr>
          <w:rFonts w:cs="Arial"/>
          <w:lang w:val="fr-FR"/>
        </w:rPr>
        <w:t xml:space="preserve">a examiné le </w:t>
      </w:r>
      <w:r w:rsidRPr="00F85A58">
        <w:rPr>
          <w:rFonts w:cs="Arial"/>
          <w:lang w:val="fr-FR"/>
        </w:rPr>
        <w:t>document TWO/48/19 “</w:t>
      </w:r>
      <w:r w:rsidR="004C12AA" w:rsidRPr="00F85A58">
        <w:rPr>
          <w:rFonts w:cs="Arial"/>
          <w:lang w:val="fr-FR"/>
        </w:rPr>
        <w:t>Définition des groupes de couleurs à partir du code RHS des couleurs</w:t>
      </w:r>
      <w:r w:rsidRPr="00F85A58">
        <w:rPr>
          <w:rFonts w:cs="Arial"/>
          <w:lang w:val="fr-FR"/>
        </w:rPr>
        <w:t xml:space="preserve">” </w:t>
      </w:r>
      <w:r w:rsidR="004C12AA" w:rsidRPr="00F85A58">
        <w:rPr>
          <w:rFonts w:cs="Arial"/>
          <w:lang w:val="fr-FR"/>
        </w:rPr>
        <w:t xml:space="preserve">et a suivi des exposés présentés par </w:t>
      </w:r>
      <w:r w:rsidR="00554CCB" w:rsidRPr="00F85A58">
        <w:rPr>
          <w:rFonts w:cs="Arial"/>
          <w:lang w:val="fr-FR"/>
        </w:rPr>
        <w:t>la</w:t>
      </w:r>
      <w:r w:rsidR="004C12AA" w:rsidRPr="00F85A58">
        <w:rPr>
          <w:rFonts w:cs="Arial"/>
          <w:lang w:val="fr-FR"/>
        </w:rPr>
        <w:t xml:space="preserve"> Société royale d</w:t>
      </w:r>
      <w:r w:rsidR="005752E4" w:rsidRPr="00F85A58">
        <w:rPr>
          <w:rFonts w:cs="Arial"/>
          <w:lang w:val="fr-FR"/>
        </w:rPr>
        <w:t>’</w:t>
      </w:r>
      <w:r w:rsidR="004C12AA" w:rsidRPr="00F85A58">
        <w:rPr>
          <w:rFonts w:cs="Arial"/>
          <w:lang w:val="fr-FR"/>
        </w:rPr>
        <w:t>horticulture (RHS</w:t>
      </w:r>
      <w:r w:rsidRPr="00F85A58">
        <w:rPr>
          <w:rFonts w:cs="Arial"/>
          <w:lang w:val="fr-FR"/>
        </w:rPr>
        <w:t xml:space="preserve">), </w:t>
      </w:r>
      <w:r w:rsidR="004C12AA" w:rsidRPr="00F85A58">
        <w:rPr>
          <w:rFonts w:cs="Arial"/>
          <w:lang w:val="fr-FR"/>
        </w:rPr>
        <w:t xml:space="preserve">le </w:t>
      </w:r>
      <w:r w:rsidRPr="00F85A58">
        <w:rPr>
          <w:rFonts w:cs="Arial"/>
          <w:lang w:val="fr-FR"/>
        </w:rPr>
        <w:t>Jap</w:t>
      </w:r>
      <w:r w:rsidR="004C12AA" w:rsidRPr="00F85A58">
        <w:rPr>
          <w:rFonts w:cs="Arial"/>
          <w:lang w:val="fr-FR"/>
        </w:rPr>
        <w:t>o</w:t>
      </w:r>
      <w:r w:rsidRPr="00F85A58">
        <w:rPr>
          <w:rFonts w:cs="Arial"/>
          <w:lang w:val="fr-FR"/>
        </w:rPr>
        <w:t xml:space="preserve">n, </w:t>
      </w:r>
      <w:r w:rsidR="004C12AA" w:rsidRPr="00F85A58">
        <w:rPr>
          <w:rFonts w:cs="Arial"/>
          <w:lang w:val="fr-FR"/>
        </w:rPr>
        <w:t>le Royaume</w:t>
      </w:r>
      <w:r w:rsidR="00F85A58" w:rsidRPr="00F85A58">
        <w:rPr>
          <w:rFonts w:cs="Arial"/>
          <w:lang w:val="fr-FR"/>
        </w:rPr>
        <w:noBreakHyphen/>
      </w:r>
      <w:r w:rsidR="004C12AA" w:rsidRPr="00F85A58">
        <w:rPr>
          <w:rFonts w:cs="Arial"/>
          <w:lang w:val="fr-FR"/>
        </w:rPr>
        <w:t>Uni et l</w:t>
      </w:r>
      <w:r w:rsidR="005752E4" w:rsidRPr="00F85A58">
        <w:rPr>
          <w:rFonts w:cs="Arial"/>
          <w:lang w:val="fr-FR"/>
        </w:rPr>
        <w:t>’</w:t>
      </w:r>
      <w:r w:rsidRPr="00F85A58">
        <w:rPr>
          <w:rFonts w:cs="Arial"/>
          <w:lang w:val="fr-FR"/>
        </w:rPr>
        <w:t>Union</w:t>
      </w:r>
      <w:r w:rsidR="004C12AA" w:rsidRPr="00F85A58">
        <w:rPr>
          <w:rFonts w:cs="Arial"/>
          <w:lang w:val="fr-FR"/>
        </w:rPr>
        <w:t xml:space="preserve"> européen</w:t>
      </w:r>
      <w:r w:rsidR="00F85A58" w:rsidRPr="00F85A58">
        <w:rPr>
          <w:rFonts w:cs="Arial"/>
          <w:lang w:val="fr-FR"/>
        </w:rPr>
        <w:t>ne.  Le</w:t>
      </w:r>
      <w:r w:rsidR="005752E4" w:rsidRPr="00F85A58">
        <w:rPr>
          <w:rFonts w:cs="Arial"/>
          <w:lang w:val="fr-FR"/>
        </w:rPr>
        <w:t> TWO</w:t>
      </w:r>
      <w:r w:rsidRPr="00F85A58">
        <w:rPr>
          <w:rFonts w:cs="Arial"/>
          <w:lang w:val="fr-FR"/>
        </w:rPr>
        <w:t xml:space="preserve"> </w:t>
      </w:r>
      <w:r w:rsidR="004C12AA" w:rsidRPr="00F85A58">
        <w:rPr>
          <w:rFonts w:cs="Arial"/>
          <w:lang w:val="fr-FR"/>
        </w:rPr>
        <w:t>a pris note du fait que l</w:t>
      </w:r>
      <w:r w:rsidR="005752E4" w:rsidRPr="00F85A58">
        <w:rPr>
          <w:rFonts w:cs="Arial"/>
          <w:lang w:val="fr-FR"/>
        </w:rPr>
        <w:t>’</w:t>
      </w:r>
      <w:r w:rsidR="004C12AA" w:rsidRPr="00F85A58">
        <w:rPr>
          <w:rFonts w:cs="Arial"/>
          <w:lang w:val="fr-FR"/>
        </w:rPr>
        <w:t>édition la plus récente du code RHS des couleurs (la sixième édition</w:t>
      </w:r>
      <w:r w:rsidRPr="00F85A58">
        <w:rPr>
          <w:rFonts w:cs="Arial"/>
          <w:lang w:val="fr-FR"/>
        </w:rPr>
        <w:t xml:space="preserve">) </w:t>
      </w:r>
      <w:r w:rsidR="004C12AA" w:rsidRPr="00F85A58">
        <w:rPr>
          <w:rFonts w:cs="Arial"/>
          <w:lang w:val="fr-FR"/>
        </w:rPr>
        <w:t>propose un nom pour chaque couleur unique et est convenu de demander à l</w:t>
      </w:r>
      <w:r w:rsidR="005752E4" w:rsidRPr="00F85A58">
        <w:rPr>
          <w:rFonts w:cs="Arial"/>
          <w:lang w:val="fr-FR"/>
        </w:rPr>
        <w:t>’</w:t>
      </w:r>
      <w:r w:rsidR="004C12AA" w:rsidRPr="00F85A58">
        <w:rPr>
          <w:rFonts w:cs="Arial"/>
          <w:lang w:val="fr-FR"/>
        </w:rPr>
        <w:t>expert de l</w:t>
      </w:r>
      <w:r w:rsidR="005752E4" w:rsidRPr="00F85A58">
        <w:rPr>
          <w:rFonts w:cs="Arial"/>
          <w:lang w:val="fr-FR"/>
        </w:rPr>
        <w:t>’</w:t>
      </w:r>
      <w:r w:rsidR="004C12AA" w:rsidRPr="00F85A58">
        <w:rPr>
          <w:rFonts w:cs="Arial"/>
          <w:lang w:val="fr-FR"/>
        </w:rPr>
        <w:t>Allemagne d</w:t>
      </w:r>
      <w:r w:rsidR="005752E4" w:rsidRPr="00F85A58">
        <w:rPr>
          <w:rFonts w:cs="Arial"/>
          <w:lang w:val="fr-FR"/>
        </w:rPr>
        <w:t>’</w:t>
      </w:r>
      <w:r w:rsidR="004C12AA" w:rsidRPr="00F85A58">
        <w:rPr>
          <w:rFonts w:cs="Arial"/>
          <w:lang w:val="fr-FR"/>
        </w:rPr>
        <w:t>élaborer une étude avec l</w:t>
      </w:r>
      <w:r w:rsidR="005752E4" w:rsidRPr="00F85A58">
        <w:rPr>
          <w:rFonts w:cs="Arial"/>
          <w:lang w:val="fr-FR"/>
        </w:rPr>
        <w:t>’</w:t>
      </w:r>
      <w:r w:rsidR="004C12AA" w:rsidRPr="00F85A58">
        <w:rPr>
          <w:rFonts w:cs="Arial"/>
          <w:lang w:val="fr-FR"/>
        </w:rPr>
        <w:t>appui des experts de l</w:t>
      </w:r>
      <w:r w:rsidR="005752E4" w:rsidRPr="00F85A58">
        <w:rPr>
          <w:rFonts w:cs="Arial"/>
          <w:lang w:val="fr-FR"/>
        </w:rPr>
        <w:t>’</w:t>
      </w:r>
      <w:r w:rsidR="004C12AA" w:rsidRPr="00F85A58">
        <w:rPr>
          <w:rFonts w:cs="Arial"/>
          <w:lang w:val="fr-FR"/>
        </w:rPr>
        <w:t>Australie, du Canada, de la Nouvelle</w:t>
      </w:r>
      <w:r w:rsidR="00F85A58" w:rsidRPr="00F85A58">
        <w:rPr>
          <w:rFonts w:cs="Arial"/>
          <w:lang w:val="fr-FR"/>
        </w:rPr>
        <w:noBreakHyphen/>
      </w:r>
      <w:r w:rsidR="004C12AA" w:rsidRPr="00F85A58">
        <w:rPr>
          <w:rFonts w:cs="Arial"/>
          <w:lang w:val="fr-FR"/>
        </w:rPr>
        <w:t>Zélande, des Pays</w:t>
      </w:r>
      <w:r w:rsidR="00F85A58" w:rsidRPr="00F85A58">
        <w:rPr>
          <w:rFonts w:cs="Arial"/>
          <w:lang w:val="fr-FR"/>
        </w:rPr>
        <w:noBreakHyphen/>
      </w:r>
      <w:r w:rsidR="004C12AA" w:rsidRPr="00F85A58">
        <w:rPr>
          <w:rFonts w:cs="Arial"/>
          <w:lang w:val="fr-FR"/>
        </w:rPr>
        <w:t>Bas, du Royaume</w:t>
      </w:r>
      <w:r w:rsidR="00F85A58" w:rsidRPr="00F85A58">
        <w:rPr>
          <w:rFonts w:cs="Arial"/>
          <w:lang w:val="fr-FR"/>
        </w:rPr>
        <w:noBreakHyphen/>
      </w:r>
      <w:r w:rsidR="004C12AA" w:rsidRPr="00F85A58">
        <w:rPr>
          <w:rFonts w:cs="Arial"/>
          <w:lang w:val="fr-FR"/>
        </w:rPr>
        <w:t>Uni et de l</w:t>
      </w:r>
      <w:r w:rsidR="005752E4" w:rsidRPr="00F85A58">
        <w:rPr>
          <w:rFonts w:cs="Arial"/>
          <w:lang w:val="fr-FR"/>
        </w:rPr>
        <w:t>’</w:t>
      </w:r>
      <w:r w:rsidR="004C12AA" w:rsidRPr="00F85A58">
        <w:rPr>
          <w:rFonts w:cs="Arial"/>
          <w:lang w:val="fr-FR"/>
        </w:rPr>
        <w:t>Union européenne sur la possibilité d</w:t>
      </w:r>
      <w:r w:rsidR="005752E4" w:rsidRPr="00F85A58">
        <w:rPr>
          <w:rFonts w:cs="Arial"/>
          <w:lang w:val="fr-FR"/>
        </w:rPr>
        <w:t>’</w:t>
      </w:r>
      <w:r w:rsidR="004C12AA" w:rsidRPr="00F85A58">
        <w:rPr>
          <w:rFonts w:cs="Arial"/>
          <w:lang w:val="fr-FR"/>
        </w:rPr>
        <w:t>utiliser la sixième édition du code RHS des couleurs pour définir des groupes de couleurs aux fins de groupement des variétés et d</w:t>
      </w:r>
      <w:r w:rsidR="005752E4" w:rsidRPr="00F85A58">
        <w:rPr>
          <w:rFonts w:cs="Arial"/>
          <w:lang w:val="fr-FR"/>
        </w:rPr>
        <w:t>’</w:t>
      </w:r>
      <w:r w:rsidR="004C12AA" w:rsidRPr="00F85A58">
        <w:rPr>
          <w:rFonts w:cs="Arial"/>
          <w:lang w:val="fr-FR"/>
        </w:rPr>
        <w:t>organisation des essais en cultu</w:t>
      </w:r>
      <w:r w:rsidR="00F85A58" w:rsidRPr="00F85A58">
        <w:rPr>
          <w:rFonts w:cs="Arial"/>
          <w:lang w:val="fr-FR"/>
        </w:rPr>
        <w:t>re.  Le</w:t>
      </w:r>
      <w:r w:rsidR="005752E4" w:rsidRPr="00F85A58">
        <w:rPr>
          <w:rFonts w:cs="Arial"/>
          <w:lang w:val="fr-FR"/>
        </w:rPr>
        <w:t> TWO</w:t>
      </w:r>
      <w:r w:rsidR="001628A9" w:rsidRPr="00F85A58">
        <w:rPr>
          <w:rFonts w:cs="Arial"/>
          <w:lang w:val="fr-FR"/>
        </w:rPr>
        <w:t xml:space="preserve"> est convenu que les recoupements entre certaines couleurs devraient être pris en comp</w:t>
      </w:r>
      <w:r w:rsidR="00F85A58" w:rsidRPr="00F85A58">
        <w:rPr>
          <w:rFonts w:cs="Arial"/>
          <w:lang w:val="fr-FR"/>
        </w:rPr>
        <w:t>te.  Le</w:t>
      </w:r>
      <w:r w:rsidR="005752E4" w:rsidRPr="00F85A58">
        <w:rPr>
          <w:rFonts w:cs="Arial"/>
          <w:lang w:val="fr-FR"/>
        </w:rPr>
        <w:t> TWO</w:t>
      </w:r>
      <w:r w:rsidR="001628A9" w:rsidRPr="00F85A58">
        <w:rPr>
          <w:rFonts w:cs="Arial"/>
          <w:lang w:val="fr-FR"/>
        </w:rPr>
        <w:t xml:space="preserve"> est convenu en outre que l</w:t>
      </w:r>
      <w:r w:rsidR="005752E4" w:rsidRPr="00F85A58">
        <w:rPr>
          <w:rFonts w:cs="Arial"/>
          <w:lang w:val="fr-FR"/>
        </w:rPr>
        <w:t>’</w:t>
      </w:r>
      <w:r w:rsidR="001628A9" w:rsidRPr="00F85A58">
        <w:rPr>
          <w:rFonts w:cs="Arial"/>
          <w:lang w:val="fr-FR"/>
        </w:rPr>
        <w:t>étude devrait examiner la possibilité de réviser l</w:t>
      </w:r>
      <w:r w:rsidR="005752E4" w:rsidRPr="00F85A58">
        <w:rPr>
          <w:rFonts w:cs="Arial"/>
          <w:lang w:val="fr-FR"/>
        </w:rPr>
        <w:t>’</w:t>
      </w:r>
      <w:r w:rsidR="001628A9" w:rsidRPr="00F85A58">
        <w:rPr>
          <w:rFonts w:cs="Arial"/>
          <w:lang w:val="fr-FR"/>
        </w:rPr>
        <w:t>attribution des groupes de couleurs de l</w:t>
      </w:r>
      <w:r w:rsidR="005752E4" w:rsidRPr="00F85A58">
        <w:rPr>
          <w:rFonts w:cs="Arial"/>
          <w:lang w:val="fr-FR"/>
        </w:rPr>
        <w:t>’</w:t>
      </w:r>
      <w:r w:rsidR="001628A9" w:rsidRPr="00F85A58">
        <w:rPr>
          <w:rFonts w:cs="Arial"/>
          <w:lang w:val="fr-FR"/>
        </w:rPr>
        <w:t>UPOV à chaque couleur du code RHS des couleurs, telle que mentionnée dans le document TGP/14</w:t>
      </w:r>
      <w:r w:rsidRPr="00F85A58">
        <w:rPr>
          <w:rFonts w:cs="Arial"/>
          <w:lang w:val="fr-FR"/>
        </w:rPr>
        <w:t xml:space="preserve">. </w:t>
      </w:r>
      <w:r w:rsidR="005752E4" w:rsidRPr="00F85A58">
        <w:rPr>
          <w:rFonts w:cs="Arial"/>
          <w:lang w:val="fr-FR"/>
        </w:rPr>
        <w:t xml:space="preserve"> Le TWO</w:t>
      </w:r>
      <w:r w:rsidR="001628A9" w:rsidRPr="00F85A58">
        <w:rPr>
          <w:rFonts w:cs="Arial"/>
          <w:lang w:val="fr-FR"/>
        </w:rPr>
        <w:t xml:space="preserve"> a pris note du fait que la Société royale d</w:t>
      </w:r>
      <w:r w:rsidR="005752E4" w:rsidRPr="00F85A58">
        <w:rPr>
          <w:rFonts w:cs="Arial"/>
          <w:lang w:val="fr-FR"/>
        </w:rPr>
        <w:t>’</w:t>
      </w:r>
      <w:r w:rsidR="001628A9" w:rsidRPr="00F85A58">
        <w:rPr>
          <w:rFonts w:cs="Arial"/>
          <w:lang w:val="fr-FR"/>
        </w:rPr>
        <w:t>horticulture (RHS) envisageait la révision de la sixième édition du code RHS des couleurs avant de procéder à l</w:t>
      </w:r>
      <w:r w:rsidR="005752E4" w:rsidRPr="00F85A58">
        <w:rPr>
          <w:rFonts w:cs="Arial"/>
          <w:lang w:val="fr-FR"/>
        </w:rPr>
        <w:t>’</w:t>
      </w:r>
      <w:r w:rsidR="001628A9" w:rsidRPr="00F85A58">
        <w:rPr>
          <w:rFonts w:cs="Arial"/>
          <w:lang w:val="fr-FR"/>
        </w:rPr>
        <w:t>élaboration de la septième édition et est convenu de demander à un expert du Royaume</w:t>
      </w:r>
      <w:r w:rsidR="00F85A58" w:rsidRPr="00F85A58">
        <w:rPr>
          <w:rFonts w:cs="Arial"/>
          <w:lang w:val="fr-FR"/>
        </w:rPr>
        <w:noBreakHyphen/>
      </w:r>
      <w:r w:rsidR="001628A9" w:rsidRPr="00F85A58">
        <w:rPr>
          <w:rFonts w:cs="Arial"/>
          <w:lang w:val="fr-FR"/>
        </w:rPr>
        <w:t>Uni de compiler des exemples de variétés n</w:t>
      </w:r>
      <w:r w:rsidR="005752E4" w:rsidRPr="00F85A58">
        <w:rPr>
          <w:rFonts w:cs="Arial"/>
          <w:lang w:val="fr-FR"/>
        </w:rPr>
        <w:t>’</w:t>
      </w:r>
      <w:r w:rsidR="001628A9" w:rsidRPr="00F85A58">
        <w:rPr>
          <w:rFonts w:cs="Arial"/>
          <w:lang w:val="fr-FR"/>
        </w:rPr>
        <w:t>ayant pas de correspondance de couleur dans la sixième édition du code RHS des couleurs (lacun</w:t>
      </w:r>
      <w:r w:rsidR="00F85A58" w:rsidRPr="00F85A58">
        <w:rPr>
          <w:rFonts w:cs="Arial"/>
          <w:lang w:val="fr-FR"/>
        </w:rPr>
        <w:t>es).  Le</w:t>
      </w:r>
      <w:r w:rsidR="001628A9" w:rsidRPr="00F85A58">
        <w:rPr>
          <w:rFonts w:cs="Arial"/>
          <w:lang w:val="fr-FR"/>
        </w:rPr>
        <w:t>s exemples compilés seraient présentés à</w:t>
      </w:r>
      <w:r w:rsidR="005752E4" w:rsidRPr="00F85A58">
        <w:rPr>
          <w:rFonts w:cs="Arial"/>
          <w:lang w:val="fr-FR"/>
        </w:rPr>
        <w:t xml:space="preserve"> la RHS</w:t>
      </w:r>
      <w:r w:rsidR="001628A9" w:rsidRPr="00F85A58">
        <w:rPr>
          <w:rFonts w:cs="Arial"/>
          <w:lang w:val="fr-FR"/>
        </w:rPr>
        <w:t xml:space="preserve"> en vue de proposer de nouvelles couleurs et une éventuelle harmonisation de la terminolog</w:t>
      </w:r>
      <w:r w:rsidR="00F85A58" w:rsidRPr="00F85A58">
        <w:rPr>
          <w:rFonts w:cs="Arial"/>
          <w:lang w:val="fr-FR"/>
        </w:rPr>
        <w:t>ie.  Le</w:t>
      </w:r>
      <w:r w:rsidR="005752E4" w:rsidRPr="00F85A58">
        <w:rPr>
          <w:rFonts w:cs="Arial"/>
          <w:lang w:val="fr-FR"/>
        </w:rPr>
        <w:t> TWO</w:t>
      </w:r>
      <w:r w:rsidR="001628A9" w:rsidRPr="00F85A58">
        <w:rPr>
          <w:rFonts w:cs="Arial"/>
          <w:lang w:val="fr-FR"/>
        </w:rPr>
        <w:t xml:space="preserve"> a pris note du fait que le nom des couleurs peut avoir une importance en ce qui concerne les dénominations variétales et peut avoir une incidence sur l</w:t>
      </w:r>
      <w:r w:rsidR="005752E4" w:rsidRPr="00F85A58">
        <w:rPr>
          <w:rFonts w:cs="Arial"/>
          <w:lang w:val="fr-FR"/>
        </w:rPr>
        <w:t>’</w:t>
      </w:r>
      <w:r w:rsidR="001628A9" w:rsidRPr="00F85A58">
        <w:rPr>
          <w:rFonts w:cs="Arial"/>
          <w:lang w:val="fr-FR"/>
        </w:rPr>
        <w:t>acceptation des dénominations variétales pour certains membres de l</w:t>
      </w:r>
      <w:r w:rsidR="005752E4" w:rsidRPr="00F85A58">
        <w:rPr>
          <w:rFonts w:cs="Arial"/>
          <w:lang w:val="fr-FR"/>
        </w:rPr>
        <w:t>’</w:t>
      </w:r>
      <w:r w:rsidR="001628A9" w:rsidRPr="00F85A58">
        <w:rPr>
          <w:rFonts w:cs="Arial"/>
          <w:lang w:val="fr-FR"/>
        </w:rPr>
        <w:t>UPOV</w:t>
      </w:r>
      <w:r w:rsidRPr="00F85A58">
        <w:rPr>
          <w:rFonts w:cs="Arial"/>
          <w:lang w:val="fr-FR"/>
        </w:rPr>
        <w:t>.</w:t>
      </w:r>
    </w:p>
    <w:p w:rsidR="00BA14DE" w:rsidRPr="00F85A58" w:rsidRDefault="00BA14DE" w:rsidP="005C638C">
      <w:pPr>
        <w:rPr>
          <w:rFonts w:cs="Arial"/>
          <w:lang w:val="fr-FR"/>
        </w:rPr>
      </w:pPr>
    </w:p>
    <w:p w:rsidR="00BA14DE" w:rsidRPr="00F85A58" w:rsidRDefault="005C638C" w:rsidP="005C638C">
      <w:pPr>
        <w:tabs>
          <w:tab w:val="left" w:pos="630"/>
        </w:tabs>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BF6152" w:rsidRPr="00F85A58">
        <w:rPr>
          <w:rFonts w:cs="Arial"/>
          <w:lang w:val="fr-FR"/>
        </w:rPr>
        <w:t xml:space="preserve">Le </w:t>
      </w:r>
      <w:r w:rsidRPr="00F85A58">
        <w:rPr>
          <w:rFonts w:cs="Arial"/>
          <w:lang w:val="fr-FR"/>
        </w:rPr>
        <w:t xml:space="preserve">TWO </w:t>
      </w:r>
      <w:r w:rsidR="00BF6152" w:rsidRPr="00F85A58">
        <w:rPr>
          <w:rFonts w:cs="Arial"/>
          <w:lang w:val="fr-FR"/>
        </w:rPr>
        <w:t>a entendu un exposé oral présenté par un expert de l</w:t>
      </w:r>
      <w:r w:rsidR="005752E4" w:rsidRPr="00F85A58">
        <w:rPr>
          <w:rFonts w:cs="Arial"/>
          <w:lang w:val="fr-FR"/>
        </w:rPr>
        <w:t>’</w:t>
      </w:r>
      <w:r w:rsidR="00BF6152" w:rsidRPr="00F85A58">
        <w:rPr>
          <w:rFonts w:cs="Arial"/>
          <w:lang w:val="fr-FR"/>
        </w:rPr>
        <w:t>Allemagne concernant l</w:t>
      </w:r>
      <w:r w:rsidR="005752E4" w:rsidRPr="00F85A58">
        <w:rPr>
          <w:rFonts w:cs="Arial"/>
          <w:lang w:val="fr-FR"/>
        </w:rPr>
        <w:t>’</w:t>
      </w:r>
      <w:r w:rsidR="00BF6152" w:rsidRPr="00F85A58">
        <w:rPr>
          <w:rFonts w:cs="Arial"/>
          <w:lang w:val="fr-FR"/>
        </w:rPr>
        <w:t>examen</w:t>
      </w:r>
      <w:r w:rsidR="00342006" w:rsidRPr="00F85A58">
        <w:rPr>
          <w:rFonts w:cs="Arial"/>
          <w:lang w:val="fr-FR"/>
        </w:rPr>
        <w:t> </w:t>
      </w:r>
      <w:r w:rsidR="00BF6152" w:rsidRPr="00F85A58">
        <w:rPr>
          <w:rFonts w:cs="Arial"/>
          <w:lang w:val="fr-FR"/>
        </w:rPr>
        <w:t>DHS d</w:t>
      </w:r>
      <w:r w:rsidR="005752E4" w:rsidRPr="00F85A58">
        <w:rPr>
          <w:rFonts w:cs="Arial"/>
          <w:lang w:val="fr-FR"/>
        </w:rPr>
        <w:t>’</w:t>
      </w:r>
      <w:r w:rsidR="00BF6152" w:rsidRPr="00F85A58">
        <w:rPr>
          <w:rFonts w:cs="Arial"/>
          <w:lang w:val="fr-FR"/>
        </w:rPr>
        <w:t xml:space="preserve">une nouvelle variété de </w:t>
      </w:r>
      <w:proofErr w:type="spellStart"/>
      <w:r w:rsidR="0086267D" w:rsidRPr="00F85A58">
        <w:rPr>
          <w:rFonts w:cs="Arial"/>
          <w:lang w:val="fr-FR"/>
        </w:rPr>
        <w:t>c</w:t>
      </w:r>
      <w:r w:rsidR="00BF6152" w:rsidRPr="00F85A58">
        <w:rPr>
          <w:rFonts w:cs="Arial"/>
          <w:lang w:val="fr-FR"/>
        </w:rPr>
        <w:t>alibrachoa</w:t>
      </w:r>
      <w:proofErr w:type="spellEnd"/>
      <w:r w:rsidR="00BF6152" w:rsidRPr="00F85A58">
        <w:rPr>
          <w:rFonts w:cs="Arial"/>
          <w:lang w:val="fr-FR"/>
        </w:rPr>
        <w:t xml:space="preserve"> ayant une forte tendance au changement de couleur de la fleur en fonction des variations de températu</w:t>
      </w:r>
      <w:r w:rsidR="00F85A58" w:rsidRPr="00F85A58">
        <w:rPr>
          <w:rFonts w:cs="Arial"/>
          <w:lang w:val="fr-FR"/>
        </w:rPr>
        <w:t>re.  Le</w:t>
      </w:r>
      <w:r w:rsidR="005752E4" w:rsidRPr="00F85A58">
        <w:rPr>
          <w:rFonts w:cs="Arial"/>
          <w:lang w:val="fr-FR"/>
        </w:rPr>
        <w:t> TWO</w:t>
      </w:r>
      <w:r w:rsidR="00BF6152" w:rsidRPr="00F85A58">
        <w:rPr>
          <w:rFonts w:cs="Arial"/>
          <w:lang w:val="fr-FR"/>
        </w:rPr>
        <w:t xml:space="preserve"> a pris note du fait que la nouvelle variété était très sensible aux changements de température sous des conditions normalisées de culture en serre et qu</w:t>
      </w:r>
      <w:r w:rsidR="005752E4" w:rsidRPr="00F85A58">
        <w:rPr>
          <w:rFonts w:cs="Arial"/>
          <w:lang w:val="fr-FR"/>
        </w:rPr>
        <w:t>’</w:t>
      </w:r>
      <w:r w:rsidR="00BF6152" w:rsidRPr="00F85A58">
        <w:rPr>
          <w:rFonts w:cs="Arial"/>
          <w:lang w:val="fr-FR"/>
        </w:rPr>
        <w:t>elle était différente des autres variétés à cet éga</w:t>
      </w:r>
      <w:r w:rsidR="00F85A58" w:rsidRPr="00F85A58">
        <w:rPr>
          <w:rFonts w:cs="Arial"/>
          <w:lang w:val="fr-FR"/>
        </w:rPr>
        <w:t>rd.  Le</w:t>
      </w:r>
      <w:r w:rsidR="005752E4" w:rsidRPr="00F85A58">
        <w:rPr>
          <w:rFonts w:cs="Arial"/>
          <w:lang w:val="fr-FR"/>
        </w:rPr>
        <w:t> TWO</w:t>
      </w:r>
      <w:r w:rsidR="000D1009" w:rsidRPr="00F85A58">
        <w:rPr>
          <w:rFonts w:cs="Arial"/>
          <w:lang w:val="fr-FR"/>
        </w:rPr>
        <w:t xml:space="preserve"> a pris note du fait que des changements similaires de couleur de la fleur et d</w:t>
      </w:r>
      <w:r w:rsidR="005752E4" w:rsidRPr="00F85A58">
        <w:rPr>
          <w:rFonts w:cs="Arial"/>
          <w:lang w:val="fr-FR"/>
        </w:rPr>
        <w:t>’</w:t>
      </w:r>
      <w:r w:rsidR="000D1009" w:rsidRPr="00F85A58">
        <w:rPr>
          <w:rFonts w:cs="Arial"/>
          <w:lang w:val="fr-FR"/>
        </w:rPr>
        <w:t>intensité des taches en fonction des variations de température et de l</w:t>
      </w:r>
      <w:r w:rsidR="005752E4" w:rsidRPr="00F85A58">
        <w:rPr>
          <w:rFonts w:cs="Arial"/>
          <w:lang w:val="fr-FR"/>
        </w:rPr>
        <w:t>’</w:t>
      </w:r>
      <w:r w:rsidR="000D1009" w:rsidRPr="00F85A58">
        <w:rPr>
          <w:rFonts w:cs="Arial"/>
          <w:lang w:val="fr-FR"/>
        </w:rPr>
        <w:t xml:space="preserve">intensité lumineuse avaient également été observés pour des variétés de chrysanthème et de </w:t>
      </w:r>
      <w:proofErr w:type="spellStart"/>
      <w:r w:rsidR="000D1009" w:rsidRPr="00F85A58">
        <w:rPr>
          <w:rFonts w:cs="Arial"/>
          <w:lang w:val="fr-FR"/>
        </w:rPr>
        <w:t>phalaenopsis</w:t>
      </w:r>
      <w:proofErr w:type="spellEnd"/>
      <w:r w:rsidR="000D1009" w:rsidRPr="00F85A58">
        <w:rPr>
          <w:rFonts w:cs="Arial"/>
          <w:lang w:val="fr-FR"/>
        </w:rPr>
        <w:t>, respectivement.</w:t>
      </w:r>
    </w:p>
    <w:p w:rsidR="00BA14DE" w:rsidRPr="00F85A58" w:rsidRDefault="00BA14DE" w:rsidP="005C638C">
      <w:pPr>
        <w:rPr>
          <w:rFonts w:cs="Arial"/>
          <w:lang w:val="fr-FR"/>
        </w:rPr>
      </w:pPr>
    </w:p>
    <w:p w:rsidR="005752E4" w:rsidRPr="00F85A58" w:rsidRDefault="005C638C" w:rsidP="004447A0">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86267D" w:rsidRPr="00F85A58">
        <w:rPr>
          <w:rFonts w:cs="Arial"/>
          <w:lang w:val="fr-FR"/>
        </w:rPr>
        <w:t xml:space="preserve">Le </w:t>
      </w:r>
      <w:r w:rsidRPr="00F85A58">
        <w:rPr>
          <w:rFonts w:cs="Arial"/>
          <w:lang w:val="fr-FR"/>
        </w:rPr>
        <w:t xml:space="preserve">TWO </w:t>
      </w:r>
      <w:r w:rsidR="0086267D" w:rsidRPr="00F85A58">
        <w:rPr>
          <w:rFonts w:cs="Arial"/>
          <w:lang w:val="fr-FR"/>
        </w:rPr>
        <w:t>est convenu de soumettre quatre</w:t>
      </w:r>
      <w:r w:rsidR="00342006" w:rsidRPr="00F85A58">
        <w:rPr>
          <w:rFonts w:cs="Arial"/>
          <w:lang w:val="fr-FR"/>
        </w:rPr>
        <w:t> </w:t>
      </w:r>
      <w:r w:rsidR="0086267D" w:rsidRPr="00F85A58">
        <w:rPr>
          <w:rFonts w:cs="Arial"/>
          <w:lang w:val="fr-FR"/>
        </w:rPr>
        <w:t xml:space="preserve">principes </w:t>
      </w:r>
      <w:r w:rsidR="00554CCB" w:rsidRPr="00F85A58">
        <w:rPr>
          <w:rFonts w:cs="Arial"/>
          <w:lang w:val="fr-FR"/>
        </w:rPr>
        <w:t>directeurs</w:t>
      </w:r>
      <w:r w:rsidR="0086267D" w:rsidRPr="00F85A58">
        <w:rPr>
          <w:rFonts w:cs="Arial"/>
          <w:lang w:val="fr-FR"/>
        </w:rPr>
        <w:t xml:space="preserve"> d</w:t>
      </w:r>
      <w:r w:rsidR="005752E4" w:rsidRPr="00F85A58">
        <w:rPr>
          <w:rFonts w:cs="Arial"/>
          <w:lang w:val="fr-FR"/>
        </w:rPr>
        <w:t>’</w:t>
      </w:r>
      <w:r w:rsidR="0086267D" w:rsidRPr="00F85A58">
        <w:rPr>
          <w:rFonts w:cs="Arial"/>
          <w:lang w:val="fr-FR"/>
        </w:rPr>
        <w:t>examen au</w:t>
      </w:r>
      <w:r w:rsidR="005752E4" w:rsidRPr="00F85A58">
        <w:rPr>
          <w:rFonts w:cs="Arial"/>
          <w:lang w:val="fr-FR"/>
        </w:rPr>
        <w:t> TC</w:t>
      </w:r>
      <w:r w:rsidR="0086267D" w:rsidRPr="00F85A58">
        <w:rPr>
          <w:rFonts w:cs="Arial"/>
          <w:lang w:val="fr-FR"/>
        </w:rPr>
        <w:t xml:space="preserve"> pour adoption </w:t>
      </w:r>
      <w:r w:rsidRPr="00F85A58">
        <w:rPr>
          <w:rFonts w:cs="Arial"/>
          <w:lang w:val="fr-FR"/>
        </w:rPr>
        <w:t xml:space="preserve">: </w:t>
      </w:r>
      <w:proofErr w:type="spellStart"/>
      <w:r w:rsidR="0086267D" w:rsidRPr="00F85A58">
        <w:rPr>
          <w:rFonts w:cs="Arial"/>
          <w:lang w:val="fr-FR"/>
        </w:rPr>
        <w:t>c</w:t>
      </w:r>
      <w:r w:rsidRPr="00F85A58">
        <w:rPr>
          <w:rFonts w:cs="Arial"/>
          <w:lang w:val="fr-FR"/>
        </w:rPr>
        <w:t>alibrachoa</w:t>
      </w:r>
      <w:proofErr w:type="spellEnd"/>
      <w:r w:rsidRPr="00F85A58">
        <w:rPr>
          <w:rFonts w:cs="Arial"/>
          <w:lang w:val="fr-FR"/>
        </w:rPr>
        <w:t xml:space="preserve"> (</w:t>
      </w:r>
      <w:r w:rsidR="0086267D" w:rsidRPr="00F85A58">
        <w:rPr>
          <w:rFonts w:cs="Arial"/>
          <w:lang w:val="fr-FR"/>
        </w:rPr>
        <w:t>ré</w:t>
      </w:r>
      <w:r w:rsidRPr="00F85A58">
        <w:rPr>
          <w:rFonts w:cs="Arial"/>
          <w:lang w:val="fr-FR"/>
        </w:rPr>
        <w:t xml:space="preserve">vision); </w:t>
      </w:r>
      <w:r w:rsidR="00342006" w:rsidRPr="00F85A58">
        <w:rPr>
          <w:rFonts w:cs="Arial"/>
          <w:lang w:val="fr-FR"/>
        </w:rPr>
        <w:t xml:space="preserve"> </w:t>
      </w:r>
      <w:r w:rsidR="0086267D" w:rsidRPr="00F85A58">
        <w:rPr>
          <w:rFonts w:cs="Arial"/>
          <w:lang w:val="fr-FR"/>
        </w:rPr>
        <w:t>cordyline</w:t>
      </w:r>
      <w:r w:rsidRPr="00F85A58">
        <w:rPr>
          <w:rFonts w:cs="Arial"/>
          <w:lang w:val="fr-FR"/>
        </w:rPr>
        <w:t xml:space="preserve">; </w:t>
      </w:r>
      <w:r w:rsidR="00342006" w:rsidRPr="00F85A58">
        <w:rPr>
          <w:rFonts w:cs="Arial"/>
          <w:lang w:val="fr-FR"/>
        </w:rPr>
        <w:t xml:space="preserve"> </w:t>
      </w:r>
      <w:proofErr w:type="spellStart"/>
      <w:r w:rsidR="0086267D" w:rsidRPr="00F85A58">
        <w:rPr>
          <w:rFonts w:cs="Arial"/>
          <w:lang w:val="fr-FR"/>
        </w:rPr>
        <w:t>p</w:t>
      </w:r>
      <w:r w:rsidRPr="00F85A58">
        <w:rPr>
          <w:rFonts w:cs="Arial"/>
          <w:lang w:val="fr-FR"/>
        </w:rPr>
        <w:t>lectranthus</w:t>
      </w:r>
      <w:proofErr w:type="spellEnd"/>
      <w:r w:rsidRPr="00F85A58">
        <w:rPr>
          <w:rFonts w:cs="Arial"/>
          <w:lang w:val="fr-FR"/>
        </w:rPr>
        <w:t xml:space="preserve">; </w:t>
      </w:r>
      <w:r w:rsidR="00342006" w:rsidRPr="00F85A58">
        <w:rPr>
          <w:rFonts w:cs="Arial"/>
          <w:lang w:val="fr-FR"/>
        </w:rPr>
        <w:t xml:space="preserve"> </w:t>
      </w:r>
      <w:r w:rsidR="0086267D" w:rsidRPr="00F85A58">
        <w:rPr>
          <w:rFonts w:cs="Arial"/>
          <w:lang w:val="fr-FR"/>
        </w:rPr>
        <w:t>et sau</w:t>
      </w:r>
      <w:r w:rsidR="00F85A58" w:rsidRPr="00F85A58">
        <w:rPr>
          <w:rFonts w:cs="Arial"/>
          <w:lang w:val="fr-FR"/>
        </w:rPr>
        <w:t xml:space="preserve">ge.  À </w:t>
      </w:r>
      <w:r w:rsidR="004447A0" w:rsidRPr="00F85A58">
        <w:rPr>
          <w:rFonts w:cs="Arial"/>
          <w:lang w:val="fr-FR"/>
        </w:rPr>
        <w:t>sa quarante</w:t>
      </w:r>
      <w:r w:rsidR="00F85A58" w:rsidRPr="00F85A58">
        <w:rPr>
          <w:rFonts w:cs="Arial"/>
          <w:lang w:val="fr-FR"/>
        </w:rPr>
        <w:noBreakHyphen/>
      </w:r>
      <w:r w:rsidR="004447A0" w:rsidRPr="00F85A58">
        <w:rPr>
          <w:rFonts w:cs="Arial"/>
          <w:lang w:val="fr-FR"/>
        </w:rPr>
        <w:t>neuvième</w:t>
      </w:r>
      <w:r w:rsidR="00342006" w:rsidRPr="00F85A58">
        <w:rPr>
          <w:rFonts w:cs="Arial"/>
          <w:lang w:val="fr-FR"/>
        </w:rPr>
        <w:t> </w:t>
      </w:r>
      <w:r w:rsidR="004447A0" w:rsidRPr="00F85A58">
        <w:rPr>
          <w:rFonts w:cs="Arial"/>
          <w:lang w:val="fr-FR"/>
        </w:rPr>
        <w:t>session qui se tiendra en</w:t>
      </w:r>
      <w:r w:rsidR="00342006" w:rsidRPr="00F85A58">
        <w:rPr>
          <w:rFonts w:cs="Arial"/>
          <w:lang w:val="fr-FR"/>
        </w:rPr>
        <w:t> </w:t>
      </w:r>
      <w:r w:rsidR="004447A0" w:rsidRPr="00F85A58">
        <w:rPr>
          <w:rFonts w:cs="Arial"/>
          <w:lang w:val="fr-FR"/>
        </w:rPr>
        <w:t>2016,</w:t>
      </w:r>
      <w:r w:rsidR="005752E4" w:rsidRPr="00F85A58">
        <w:rPr>
          <w:rFonts w:cs="Arial"/>
          <w:lang w:val="fr-FR"/>
        </w:rPr>
        <w:t xml:space="preserve"> le TWO</w:t>
      </w:r>
      <w:r w:rsidR="004447A0" w:rsidRPr="00F85A58">
        <w:rPr>
          <w:rFonts w:cs="Arial"/>
          <w:lang w:val="fr-FR"/>
        </w:rPr>
        <w:t xml:space="preserve"> a prévu d</w:t>
      </w:r>
      <w:r w:rsidR="005752E4" w:rsidRPr="00F85A58">
        <w:rPr>
          <w:rFonts w:cs="Arial"/>
          <w:lang w:val="fr-FR"/>
        </w:rPr>
        <w:t>’</w:t>
      </w:r>
      <w:r w:rsidR="004447A0" w:rsidRPr="00F85A58">
        <w:rPr>
          <w:rFonts w:cs="Arial"/>
          <w:lang w:val="fr-FR"/>
        </w:rPr>
        <w:t xml:space="preserve">examiner </w:t>
      </w:r>
      <w:r w:rsidR="001826AD">
        <w:rPr>
          <w:rFonts w:cs="Arial"/>
          <w:lang w:val="fr-FR"/>
        </w:rPr>
        <w:t>16 </w:t>
      </w:r>
      <w:r w:rsidR="004447A0" w:rsidRPr="00F85A58">
        <w:rPr>
          <w:rFonts w:cs="Arial"/>
          <w:lang w:val="fr-FR"/>
        </w:rPr>
        <w:t>principes directeurs d</w:t>
      </w:r>
      <w:r w:rsidR="005752E4" w:rsidRPr="00F85A58">
        <w:rPr>
          <w:rFonts w:cs="Arial"/>
          <w:lang w:val="fr-FR"/>
        </w:rPr>
        <w:t>’</w:t>
      </w:r>
      <w:r w:rsidR="004447A0" w:rsidRPr="00F85A58">
        <w:rPr>
          <w:rFonts w:cs="Arial"/>
          <w:lang w:val="fr-FR"/>
        </w:rPr>
        <w:t xml:space="preserve">examen, soit </w:t>
      </w:r>
      <w:r w:rsidR="001826AD">
        <w:rPr>
          <w:rFonts w:cs="Arial"/>
          <w:lang w:val="fr-FR"/>
        </w:rPr>
        <w:t>8 </w:t>
      </w:r>
      <w:r w:rsidR="004447A0" w:rsidRPr="00F85A58">
        <w:rPr>
          <w:rFonts w:cs="Arial"/>
          <w:lang w:val="fr-FR"/>
        </w:rPr>
        <w:t xml:space="preserve">révisions et </w:t>
      </w:r>
      <w:r w:rsidR="001826AD">
        <w:rPr>
          <w:rFonts w:cs="Arial"/>
          <w:lang w:val="fr-FR"/>
        </w:rPr>
        <w:t>8 </w:t>
      </w:r>
      <w:r w:rsidR="004447A0" w:rsidRPr="00F85A58">
        <w:rPr>
          <w:rFonts w:cs="Arial"/>
          <w:lang w:val="fr-FR"/>
        </w:rPr>
        <w:t>nouveaux principes.</w:t>
      </w:r>
    </w:p>
    <w:p w:rsidR="00BA14DE" w:rsidRPr="00F85A58" w:rsidRDefault="00BA14DE" w:rsidP="005C638C">
      <w:pPr>
        <w:rPr>
          <w:rFonts w:cs="Arial"/>
          <w:i/>
          <w:lang w:val="fr-FR"/>
        </w:rPr>
      </w:pPr>
    </w:p>
    <w:p w:rsidR="00BA14DE" w:rsidRPr="00F85A58" w:rsidRDefault="005C638C" w:rsidP="005C638C">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D81689" w:rsidRPr="00F85A58">
        <w:rPr>
          <w:rFonts w:cs="Arial"/>
          <w:lang w:val="fr-FR"/>
        </w:rPr>
        <w:t>À l</w:t>
      </w:r>
      <w:r w:rsidR="005752E4" w:rsidRPr="00F85A58">
        <w:rPr>
          <w:rFonts w:cs="Arial"/>
          <w:lang w:val="fr-FR"/>
        </w:rPr>
        <w:t>’</w:t>
      </w:r>
      <w:r w:rsidR="00D81689" w:rsidRPr="00F85A58">
        <w:rPr>
          <w:rFonts w:cs="Arial"/>
          <w:lang w:val="fr-FR"/>
        </w:rPr>
        <w:t>invitation de la République de Corée,</w:t>
      </w:r>
      <w:r w:rsidR="005752E4" w:rsidRPr="00F85A58">
        <w:rPr>
          <w:rFonts w:cs="Arial"/>
          <w:lang w:val="fr-FR"/>
        </w:rPr>
        <w:t xml:space="preserve"> le TWO</w:t>
      </w:r>
      <w:r w:rsidRPr="00F85A58">
        <w:rPr>
          <w:rFonts w:cs="Arial"/>
          <w:lang w:val="fr-FR"/>
        </w:rPr>
        <w:t xml:space="preserve"> </w:t>
      </w:r>
      <w:r w:rsidR="00D81689" w:rsidRPr="00F85A58">
        <w:rPr>
          <w:rFonts w:cs="Arial"/>
          <w:lang w:val="fr-FR"/>
        </w:rPr>
        <w:t>est convenu de tenir sa quarante</w:t>
      </w:r>
      <w:r w:rsidR="00F85A58" w:rsidRPr="00F85A58">
        <w:rPr>
          <w:rFonts w:cs="Arial"/>
          <w:lang w:val="fr-FR"/>
        </w:rPr>
        <w:noBreakHyphen/>
      </w:r>
      <w:r w:rsidR="00D81689" w:rsidRPr="00F85A58">
        <w:rPr>
          <w:rFonts w:cs="Arial"/>
          <w:lang w:val="fr-FR"/>
        </w:rPr>
        <w:t>neuvième</w:t>
      </w:r>
      <w:r w:rsidR="00342006" w:rsidRPr="00F85A58">
        <w:rPr>
          <w:rFonts w:cs="Arial"/>
          <w:lang w:val="fr-FR"/>
        </w:rPr>
        <w:t> </w:t>
      </w:r>
      <w:r w:rsidR="00D81689" w:rsidRPr="00F85A58">
        <w:rPr>
          <w:rFonts w:cs="Arial"/>
          <w:lang w:val="fr-FR"/>
        </w:rPr>
        <w:t xml:space="preserve">session à </w:t>
      </w:r>
      <w:proofErr w:type="spellStart"/>
      <w:r w:rsidRPr="00F85A58">
        <w:rPr>
          <w:rFonts w:cs="Arial"/>
          <w:lang w:val="fr-FR"/>
        </w:rPr>
        <w:t>Gimcheon</w:t>
      </w:r>
      <w:proofErr w:type="spellEnd"/>
      <w:r w:rsidR="00FE080A" w:rsidRPr="00F85A58">
        <w:rPr>
          <w:rFonts w:cs="Arial"/>
          <w:lang w:val="fr-FR"/>
        </w:rPr>
        <w:t> </w:t>
      </w:r>
      <w:r w:rsidRPr="00F85A58">
        <w:rPr>
          <w:rFonts w:cs="Arial"/>
          <w:lang w:val="fr-FR"/>
        </w:rPr>
        <w:t>City</w:t>
      </w:r>
      <w:r w:rsidR="00D81689" w:rsidRPr="00F85A58">
        <w:rPr>
          <w:rFonts w:cs="Arial"/>
          <w:lang w:val="fr-FR"/>
        </w:rPr>
        <w:t xml:space="preserve"> (République de Corée), du 13 au 1</w:t>
      </w:r>
      <w:r w:rsidR="005752E4" w:rsidRPr="00F85A58">
        <w:rPr>
          <w:rFonts w:cs="Arial"/>
          <w:lang w:val="fr-FR"/>
        </w:rPr>
        <w:t>7 juin 20</w:t>
      </w:r>
      <w:r w:rsidRPr="00F85A58">
        <w:rPr>
          <w:rFonts w:cs="Arial"/>
          <w:lang w:val="fr-FR"/>
        </w:rPr>
        <w:t xml:space="preserve">16, </w:t>
      </w:r>
      <w:r w:rsidR="00D81689" w:rsidRPr="00F85A58">
        <w:rPr>
          <w:rFonts w:cs="Arial"/>
          <w:lang w:val="fr-FR"/>
        </w:rPr>
        <w:t>l</w:t>
      </w:r>
      <w:r w:rsidR="005752E4" w:rsidRPr="00F85A58">
        <w:rPr>
          <w:rFonts w:cs="Arial"/>
          <w:lang w:val="fr-FR"/>
        </w:rPr>
        <w:t>’</w:t>
      </w:r>
      <w:r w:rsidR="00D81689" w:rsidRPr="00F85A58">
        <w:rPr>
          <w:rFonts w:cs="Arial"/>
          <w:lang w:val="fr-FR"/>
        </w:rPr>
        <w:t>atelier préparatoire étant prévu pour le 12 juin</w:t>
      </w:r>
      <w:r w:rsidRPr="00F85A58">
        <w:rPr>
          <w:rFonts w:cs="Arial"/>
          <w:lang w:val="fr-FR"/>
        </w:rPr>
        <w:t> 2016.</w:t>
      </w:r>
    </w:p>
    <w:p w:rsidR="00BA14DE" w:rsidRPr="00F85A58" w:rsidRDefault="00BA14DE" w:rsidP="005C638C">
      <w:pPr>
        <w:rPr>
          <w:rFonts w:cs="Arial"/>
          <w:lang w:val="fr-FR"/>
        </w:rPr>
      </w:pPr>
    </w:p>
    <w:p w:rsidR="00BA14DE" w:rsidRPr="00F85A58" w:rsidRDefault="005C638C" w:rsidP="004447A0">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4447A0" w:rsidRPr="00F85A58">
        <w:rPr>
          <w:rFonts w:cs="Arial"/>
          <w:lang w:val="fr-FR"/>
        </w:rPr>
        <w:t>Le TWO a proposé d</w:t>
      </w:r>
      <w:r w:rsidR="005752E4" w:rsidRPr="00F85A58">
        <w:rPr>
          <w:rFonts w:cs="Arial"/>
          <w:lang w:val="fr-FR"/>
        </w:rPr>
        <w:t>’</w:t>
      </w:r>
      <w:r w:rsidR="004447A0" w:rsidRPr="00F85A58">
        <w:rPr>
          <w:rFonts w:cs="Arial"/>
          <w:lang w:val="fr-FR"/>
        </w:rPr>
        <w:t>examiner les points suivants à sa prochaine session</w:t>
      </w:r>
      <w:r w:rsidR="00342006" w:rsidRPr="00F85A58">
        <w:rPr>
          <w:rFonts w:cs="Arial"/>
          <w:lang w:val="fr-FR"/>
        </w:rPr>
        <w:t> </w:t>
      </w:r>
      <w:r w:rsidR="004447A0" w:rsidRPr="00F85A58">
        <w:rPr>
          <w:rFonts w:cs="Arial"/>
          <w:lang w:val="fr-FR"/>
        </w:rPr>
        <w:t>:</w:t>
      </w:r>
    </w:p>
    <w:p w:rsidR="00BA14DE" w:rsidRPr="00F85A58" w:rsidRDefault="00BA14DE" w:rsidP="005C638C">
      <w:pPr>
        <w:ind w:left="567"/>
        <w:rPr>
          <w:lang w:val="fr-FR"/>
        </w:rPr>
      </w:pPr>
    </w:p>
    <w:p w:rsidR="00BA14DE" w:rsidRPr="00F85A58" w:rsidRDefault="004447A0" w:rsidP="004447A0">
      <w:pPr>
        <w:ind w:left="567"/>
        <w:rPr>
          <w:rFonts w:cs="Arial"/>
          <w:lang w:val="fr-FR"/>
        </w:rPr>
      </w:pPr>
      <w:r w:rsidRPr="00F85A58">
        <w:rPr>
          <w:rFonts w:cs="Arial"/>
          <w:lang w:val="fr-FR"/>
        </w:rPr>
        <w:t>1.</w:t>
      </w:r>
      <w:r w:rsidRPr="00F85A58">
        <w:rPr>
          <w:rFonts w:cs="Arial"/>
          <w:lang w:val="fr-FR"/>
        </w:rPr>
        <w:tab/>
        <w:t>Ouverture de la session</w:t>
      </w:r>
    </w:p>
    <w:p w:rsidR="00BA14DE" w:rsidRPr="00F85A58" w:rsidRDefault="004447A0" w:rsidP="004447A0">
      <w:pPr>
        <w:ind w:left="567"/>
        <w:rPr>
          <w:rFonts w:cs="Arial"/>
          <w:lang w:val="fr-FR"/>
        </w:rPr>
      </w:pPr>
      <w:r w:rsidRPr="00F85A58">
        <w:rPr>
          <w:rFonts w:cs="Arial"/>
          <w:lang w:val="fr-FR"/>
        </w:rPr>
        <w:t>2.</w:t>
      </w:r>
      <w:r w:rsidRPr="00F85A58">
        <w:rPr>
          <w:rFonts w:cs="Arial"/>
          <w:lang w:val="fr-FR"/>
        </w:rPr>
        <w:tab/>
        <w:t>Adoption de l</w:t>
      </w:r>
      <w:r w:rsidR="005752E4" w:rsidRPr="00F85A58">
        <w:rPr>
          <w:rFonts w:cs="Arial"/>
          <w:lang w:val="fr-FR"/>
        </w:rPr>
        <w:t>’</w:t>
      </w:r>
      <w:r w:rsidRPr="00F85A58">
        <w:rPr>
          <w:rFonts w:cs="Arial"/>
          <w:lang w:val="fr-FR"/>
        </w:rPr>
        <w:t>ordre du jour</w:t>
      </w:r>
    </w:p>
    <w:p w:rsidR="00BA14DE" w:rsidRPr="00F85A58" w:rsidRDefault="004447A0" w:rsidP="004570E2">
      <w:pPr>
        <w:ind w:left="1134" w:hanging="567"/>
        <w:rPr>
          <w:rFonts w:cs="Arial"/>
          <w:lang w:val="fr-FR"/>
        </w:rPr>
      </w:pPr>
      <w:r w:rsidRPr="00F85A58">
        <w:rPr>
          <w:rFonts w:cs="Arial"/>
          <w:lang w:val="fr-FR"/>
        </w:rPr>
        <w:t>3.</w:t>
      </w:r>
      <w:r w:rsidRPr="00F85A58">
        <w:rPr>
          <w:rFonts w:cs="Arial"/>
          <w:lang w:val="fr-FR"/>
        </w:rPr>
        <w:tab/>
        <w:t>Rapports succincts sur l</w:t>
      </w:r>
      <w:r w:rsidR="005752E4" w:rsidRPr="00F85A58">
        <w:rPr>
          <w:rFonts w:cs="Arial"/>
          <w:lang w:val="fr-FR"/>
        </w:rPr>
        <w:t>’</w:t>
      </w:r>
      <w:r w:rsidRPr="00F85A58">
        <w:rPr>
          <w:rFonts w:cs="Arial"/>
          <w:lang w:val="fr-FR"/>
        </w:rPr>
        <w:t>évolution de la situation en matière de protection des obtentions végétales</w:t>
      </w:r>
    </w:p>
    <w:p w:rsidR="005752E4" w:rsidRPr="00F85A58" w:rsidRDefault="004447A0" w:rsidP="004447A0">
      <w:pPr>
        <w:ind w:leftChars="567" w:left="1134"/>
        <w:rPr>
          <w:rFonts w:cs="Arial"/>
          <w:lang w:val="fr-FR"/>
        </w:rPr>
      </w:pPr>
      <w:r w:rsidRPr="00F85A58">
        <w:rPr>
          <w:rFonts w:cs="Arial"/>
          <w:lang w:val="fr-FR"/>
        </w:rPr>
        <w:t>a)</w:t>
      </w:r>
      <w:r w:rsidRPr="00F85A58">
        <w:rPr>
          <w:rFonts w:cs="Arial"/>
          <w:lang w:val="fr-FR"/>
        </w:rPr>
        <w:tab/>
        <w:t>Rapports des membres et des observateurs</w:t>
      </w:r>
    </w:p>
    <w:p w:rsidR="00BA14DE" w:rsidRPr="00F85A58" w:rsidRDefault="004447A0" w:rsidP="004447A0">
      <w:pPr>
        <w:ind w:leftChars="567" w:left="1134"/>
        <w:rPr>
          <w:rFonts w:cs="Arial"/>
          <w:lang w:val="fr-FR"/>
        </w:rPr>
      </w:pPr>
      <w:r w:rsidRPr="00F85A58">
        <w:rPr>
          <w:rFonts w:cs="Arial"/>
          <w:lang w:val="fr-FR"/>
        </w:rPr>
        <w:t>b)</w:t>
      </w:r>
      <w:r w:rsidRPr="00F85A58">
        <w:rPr>
          <w:rFonts w:cs="Arial"/>
          <w:lang w:val="fr-FR"/>
        </w:rPr>
        <w:tab/>
        <w:t>Rapports sur les faits nouveaux intervenus à l</w:t>
      </w:r>
      <w:r w:rsidR="005752E4" w:rsidRPr="00F85A58">
        <w:rPr>
          <w:rFonts w:cs="Arial"/>
          <w:lang w:val="fr-FR"/>
        </w:rPr>
        <w:t>’</w:t>
      </w:r>
      <w:r w:rsidRPr="00F85A58">
        <w:rPr>
          <w:rFonts w:cs="Arial"/>
          <w:lang w:val="fr-FR"/>
        </w:rPr>
        <w:t>UPOV</w:t>
      </w:r>
    </w:p>
    <w:p w:rsidR="00BA14DE" w:rsidRPr="00F85A58" w:rsidRDefault="004447A0" w:rsidP="004447A0">
      <w:pPr>
        <w:ind w:left="567"/>
        <w:rPr>
          <w:rFonts w:cs="Arial"/>
          <w:lang w:val="fr-FR"/>
        </w:rPr>
      </w:pPr>
      <w:r w:rsidRPr="00F85A58">
        <w:rPr>
          <w:rFonts w:cs="Arial"/>
          <w:lang w:val="fr-FR"/>
        </w:rPr>
        <w:t>4.</w:t>
      </w:r>
      <w:r w:rsidRPr="00F85A58">
        <w:rPr>
          <w:rFonts w:cs="Arial"/>
          <w:lang w:val="fr-FR"/>
        </w:rPr>
        <w:tab/>
        <w:t>Techniques moléculaires</w:t>
      </w:r>
    </w:p>
    <w:p w:rsidR="005752E4" w:rsidRPr="00F85A58" w:rsidRDefault="004447A0" w:rsidP="004447A0">
      <w:pPr>
        <w:ind w:left="567"/>
        <w:rPr>
          <w:rFonts w:cs="Arial"/>
          <w:lang w:val="fr-FR"/>
        </w:rPr>
      </w:pPr>
      <w:r w:rsidRPr="00F85A58">
        <w:rPr>
          <w:rFonts w:cs="Arial"/>
          <w:lang w:val="fr-FR"/>
        </w:rPr>
        <w:t>5.</w:t>
      </w:r>
      <w:r w:rsidRPr="00F85A58">
        <w:rPr>
          <w:rFonts w:cs="Arial"/>
          <w:lang w:val="fr-FR"/>
        </w:rPr>
        <w:tab/>
        <w:t>Documents TGP</w:t>
      </w:r>
    </w:p>
    <w:p w:rsidR="00BA14DE" w:rsidRPr="00F85A58" w:rsidRDefault="004447A0" w:rsidP="004447A0">
      <w:pPr>
        <w:ind w:left="567"/>
        <w:rPr>
          <w:rFonts w:cs="Arial"/>
          <w:lang w:val="fr-FR"/>
        </w:rPr>
      </w:pPr>
      <w:r w:rsidRPr="00F85A58">
        <w:rPr>
          <w:rFonts w:cs="Arial"/>
          <w:lang w:val="fr-FR"/>
        </w:rPr>
        <w:t>6.</w:t>
      </w:r>
      <w:r w:rsidRPr="00F85A58">
        <w:rPr>
          <w:rFonts w:cs="Arial"/>
          <w:lang w:val="fr-FR"/>
        </w:rPr>
        <w:tab/>
        <w:t>Dénominations variétales</w:t>
      </w:r>
    </w:p>
    <w:p w:rsidR="00BA14DE" w:rsidRPr="00F85A58" w:rsidRDefault="004447A0" w:rsidP="004447A0">
      <w:pPr>
        <w:ind w:left="567"/>
        <w:rPr>
          <w:rFonts w:cs="Arial"/>
          <w:lang w:val="fr-FR"/>
        </w:rPr>
      </w:pPr>
      <w:r w:rsidRPr="00F85A58">
        <w:rPr>
          <w:rFonts w:cs="Arial"/>
          <w:lang w:val="fr-FR"/>
        </w:rPr>
        <w:t>7.</w:t>
      </w:r>
      <w:r w:rsidRPr="00F85A58">
        <w:rPr>
          <w:rFonts w:cs="Arial"/>
          <w:lang w:val="fr-FR"/>
        </w:rPr>
        <w:tab/>
        <w:t>Informations et bases de données</w:t>
      </w:r>
    </w:p>
    <w:p w:rsidR="005752E4" w:rsidRPr="00F85A58" w:rsidRDefault="004447A0" w:rsidP="004447A0">
      <w:pPr>
        <w:ind w:leftChars="567" w:left="1134"/>
        <w:rPr>
          <w:rFonts w:cs="Arial"/>
          <w:lang w:val="fr-FR"/>
        </w:rPr>
      </w:pPr>
      <w:r w:rsidRPr="00F85A58">
        <w:rPr>
          <w:rFonts w:cs="Arial"/>
          <w:lang w:val="fr-FR"/>
        </w:rPr>
        <w:t>a)</w:t>
      </w:r>
      <w:r w:rsidRPr="00F85A58">
        <w:rPr>
          <w:rFonts w:cs="Arial"/>
          <w:lang w:val="fr-FR"/>
        </w:rPr>
        <w:tab/>
        <w:t>Bases de données d</w:t>
      </w:r>
      <w:r w:rsidR="005752E4" w:rsidRPr="00F85A58">
        <w:rPr>
          <w:rFonts w:cs="Arial"/>
          <w:lang w:val="fr-FR"/>
        </w:rPr>
        <w:t>’</w:t>
      </w:r>
      <w:r w:rsidRPr="00F85A58">
        <w:rPr>
          <w:rFonts w:cs="Arial"/>
          <w:lang w:val="fr-FR"/>
        </w:rPr>
        <w:t>information de l</w:t>
      </w:r>
      <w:r w:rsidR="005752E4" w:rsidRPr="00F85A58">
        <w:rPr>
          <w:rFonts w:cs="Arial"/>
          <w:lang w:val="fr-FR"/>
        </w:rPr>
        <w:t>’</w:t>
      </w:r>
      <w:r w:rsidRPr="00F85A58">
        <w:rPr>
          <w:rFonts w:cs="Arial"/>
          <w:lang w:val="fr-FR"/>
        </w:rPr>
        <w:t>UPOV</w:t>
      </w:r>
    </w:p>
    <w:p w:rsidR="005752E4" w:rsidRPr="00F85A58" w:rsidRDefault="004447A0" w:rsidP="004447A0">
      <w:pPr>
        <w:ind w:leftChars="567" w:left="1134"/>
        <w:jc w:val="left"/>
        <w:rPr>
          <w:rFonts w:cs="Arial"/>
          <w:lang w:val="fr-FR"/>
        </w:rPr>
      </w:pPr>
      <w:r w:rsidRPr="00F85A58">
        <w:rPr>
          <w:rFonts w:cs="Arial"/>
          <w:lang w:val="fr-FR"/>
        </w:rPr>
        <w:t>b)</w:t>
      </w:r>
      <w:r w:rsidRPr="00F85A58">
        <w:rPr>
          <w:rFonts w:cs="Arial"/>
          <w:lang w:val="fr-FR"/>
        </w:rPr>
        <w:tab/>
        <w:t>Bases de données sur les descriptions variétales</w:t>
      </w:r>
    </w:p>
    <w:p w:rsidR="00BA14DE" w:rsidRPr="00F85A58" w:rsidRDefault="004447A0" w:rsidP="004447A0">
      <w:pPr>
        <w:ind w:leftChars="567" w:left="1134"/>
        <w:rPr>
          <w:rFonts w:cs="Arial"/>
          <w:lang w:val="fr-FR"/>
        </w:rPr>
      </w:pPr>
      <w:r w:rsidRPr="00F85A58">
        <w:rPr>
          <w:rFonts w:cs="Arial"/>
          <w:lang w:val="fr-FR"/>
        </w:rPr>
        <w:t>c)</w:t>
      </w:r>
      <w:r w:rsidRPr="00F85A58">
        <w:rPr>
          <w:rFonts w:cs="Arial"/>
          <w:lang w:val="fr-FR"/>
        </w:rPr>
        <w:tab/>
        <w:t>Échange et utilisation de logiciels et d</w:t>
      </w:r>
      <w:r w:rsidR="005752E4" w:rsidRPr="00F85A58">
        <w:rPr>
          <w:rFonts w:cs="Arial"/>
          <w:lang w:val="fr-FR"/>
        </w:rPr>
        <w:t>’</w:t>
      </w:r>
      <w:r w:rsidRPr="00F85A58">
        <w:rPr>
          <w:rFonts w:cs="Arial"/>
          <w:lang w:val="fr-FR"/>
        </w:rPr>
        <w:t>équipements</w:t>
      </w:r>
    </w:p>
    <w:p w:rsidR="005752E4" w:rsidRPr="00F85A58" w:rsidRDefault="004447A0" w:rsidP="004447A0">
      <w:pPr>
        <w:ind w:leftChars="567" w:left="1134"/>
        <w:rPr>
          <w:rFonts w:cs="Arial"/>
          <w:lang w:val="fr-FR"/>
        </w:rPr>
      </w:pPr>
      <w:r w:rsidRPr="00F85A58">
        <w:rPr>
          <w:rFonts w:cs="Arial"/>
          <w:lang w:val="fr-FR"/>
        </w:rPr>
        <w:t>d)</w:t>
      </w:r>
      <w:r w:rsidRPr="00F85A58">
        <w:rPr>
          <w:rFonts w:cs="Arial"/>
          <w:lang w:val="fr-FR"/>
        </w:rPr>
        <w:tab/>
        <w:t>Systèmes de dépôt électronique des demandes</w:t>
      </w:r>
    </w:p>
    <w:p w:rsidR="005752E4" w:rsidRPr="00F85A58" w:rsidRDefault="004447A0" w:rsidP="004447A0">
      <w:pPr>
        <w:ind w:left="567"/>
        <w:rPr>
          <w:rFonts w:cs="Arial"/>
          <w:lang w:val="fr-FR"/>
        </w:rPr>
      </w:pPr>
      <w:r w:rsidRPr="00F85A58">
        <w:rPr>
          <w:rFonts w:cs="Arial"/>
          <w:lang w:val="fr-FR"/>
        </w:rPr>
        <w:t>8.</w:t>
      </w:r>
      <w:r w:rsidRPr="00F85A58">
        <w:rPr>
          <w:rFonts w:cs="Arial"/>
          <w:lang w:val="fr-FR"/>
        </w:rPr>
        <w:tab/>
        <w:t>Évaluation de l</w:t>
      </w:r>
      <w:r w:rsidR="005752E4" w:rsidRPr="00F85A58">
        <w:rPr>
          <w:rFonts w:cs="Arial"/>
          <w:lang w:val="fr-FR"/>
        </w:rPr>
        <w:t>’</w:t>
      </w:r>
      <w:r w:rsidRPr="00F85A58">
        <w:rPr>
          <w:rFonts w:cs="Arial"/>
          <w:lang w:val="fr-FR"/>
        </w:rPr>
        <w:t>homogénéité</w:t>
      </w:r>
    </w:p>
    <w:p w:rsidR="00BA14DE" w:rsidRPr="00F85A58" w:rsidRDefault="004447A0" w:rsidP="004447A0">
      <w:pPr>
        <w:tabs>
          <w:tab w:val="left" w:pos="1134"/>
        </w:tabs>
        <w:ind w:left="567"/>
        <w:rPr>
          <w:rFonts w:cs="Arial"/>
          <w:lang w:val="fr-FR"/>
        </w:rPr>
      </w:pPr>
      <w:r w:rsidRPr="00F85A58">
        <w:rPr>
          <w:rFonts w:cs="Arial"/>
          <w:lang w:val="fr-FR"/>
        </w:rPr>
        <w:t>9.</w:t>
      </w:r>
      <w:r w:rsidRPr="00F85A58">
        <w:rPr>
          <w:rFonts w:cs="Arial"/>
          <w:lang w:val="fr-FR"/>
        </w:rPr>
        <w:tab/>
        <w:t>Expériences de nouveaux types et espèces</w:t>
      </w:r>
    </w:p>
    <w:p w:rsidR="005752E4" w:rsidRPr="00F85A58" w:rsidRDefault="005C638C" w:rsidP="005C638C">
      <w:pPr>
        <w:tabs>
          <w:tab w:val="left" w:pos="1134"/>
        </w:tabs>
        <w:ind w:leftChars="283" w:left="567" w:hanging="1"/>
        <w:rPr>
          <w:rFonts w:cs="Arial"/>
          <w:lang w:val="fr-FR"/>
        </w:rPr>
      </w:pPr>
      <w:r w:rsidRPr="00F85A58">
        <w:rPr>
          <w:rFonts w:cs="Arial"/>
          <w:lang w:val="fr-FR"/>
        </w:rPr>
        <w:t>10.</w:t>
      </w:r>
      <w:r w:rsidRPr="00F85A58">
        <w:rPr>
          <w:rFonts w:cs="Arial"/>
          <w:lang w:val="fr-FR"/>
        </w:rPr>
        <w:tab/>
      </w:r>
      <w:r w:rsidR="0042104C" w:rsidRPr="00F85A58">
        <w:rPr>
          <w:rFonts w:cs="Arial"/>
          <w:lang w:val="fr-FR"/>
        </w:rPr>
        <w:t>D</w:t>
      </w:r>
      <w:r w:rsidRPr="00F85A58">
        <w:rPr>
          <w:rFonts w:cs="Arial"/>
          <w:lang w:val="fr-FR"/>
        </w:rPr>
        <w:t xml:space="preserve">escriptions </w:t>
      </w:r>
      <w:r w:rsidR="0042104C" w:rsidRPr="00F85A58">
        <w:rPr>
          <w:rFonts w:cs="Arial"/>
          <w:lang w:val="fr-FR"/>
        </w:rPr>
        <w:t>variétales</w:t>
      </w:r>
    </w:p>
    <w:p w:rsidR="00BA14DE" w:rsidRPr="00F85A58" w:rsidRDefault="005C638C" w:rsidP="00B1393A">
      <w:pPr>
        <w:tabs>
          <w:tab w:val="left" w:pos="1134"/>
        </w:tabs>
        <w:ind w:leftChars="283" w:left="1134" w:hanging="568"/>
        <w:rPr>
          <w:rFonts w:cs="Arial"/>
          <w:lang w:val="fr-FR"/>
        </w:rPr>
      </w:pPr>
      <w:r w:rsidRPr="00F85A58">
        <w:rPr>
          <w:rFonts w:cs="Arial"/>
          <w:lang w:val="fr-FR"/>
        </w:rPr>
        <w:t>11.</w:t>
      </w:r>
      <w:r w:rsidRPr="00F85A58">
        <w:rPr>
          <w:rFonts w:cs="Arial"/>
          <w:lang w:val="fr-FR"/>
        </w:rPr>
        <w:tab/>
      </w:r>
      <w:r w:rsidR="0042104C" w:rsidRPr="00F85A58">
        <w:rPr>
          <w:rFonts w:cs="Arial"/>
          <w:lang w:val="fr-FR"/>
        </w:rPr>
        <w:t>Étude de cas portant sur les écarts minimaux entre les plantes ornementales et fruitières de reproduction asexuée</w:t>
      </w:r>
    </w:p>
    <w:p w:rsidR="005752E4" w:rsidRPr="00F85A58" w:rsidRDefault="004447A0" w:rsidP="004447A0">
      <w:pPr>
        <w:ind w:left="567"/>
        <w:rPr>
          <w:rFonts w:cs="Arial"/>
          <w:lang w:val="fr-FR"/>
        </w:rPr>
      </w:pPr>
      <w:r w:rsidRPr="00F85A58">
        <w:rPr>
          <w:rFonts w:cs="Arial"/>
          <w:lang w:val="fr-FR"/>
        </w:rPr>
        <w:t>12.</w:t>
      </w:r>
      <w:r w:rsidRPr="00F85A58">
        <w:rPr>
          <w:rFonts w:cs="Arial"/>
          <w:lang w:val="fr-FR"/>
        </w:rPr>
        <w:tab/>
        <w:t>Définition des groupes de couleurs à partir du code RHS des couleurs</w:t>
      </w:r>
    </w:p>
    <w:p w:rsidR="005752E4" w:rsidRPr="00F85A58" w:rsidRDefault="005C638C" w:rsidP="005C638C">
      <w:pPr>
        <w:tabs>
          <w:tab w:val="left" w:pos="1134"/>
        </w:tabs>
        <w:ind w:leftChars="283" w:left="567" w:hanging="1"/>
        <w:rPr>
          <w:rFonts w:cs="Arial"/>
          <w:lang w:val="fr-FR"/>
        </w:rPr>
      </w:pPr>
      <w:r w:rsidRPr="00F85A58">
        <w:rPr>
          <w:rFonts w:cs="Arial"/>
          <w:lang w:val="fr-FR"/>
        </w:rPr>
        <w:t>13.</w:t>
      </w:r>
      <w:r w:rsidRPr="00F85A58">
        <w:rPr>
          <w:rFonts w:cs="Arial"/>
          <w:lang w:val="fr-FR"/>
        </w:rPr>
        <w:tab/>
      </w:r>
      <w:r w:rsidR="00393447" w:rsidRPr="00F85A58">
        <w:rPr>
          <w:rFonts w:cs="Arial"/>
          <w:lang w:val="fr-FR"/>
        </w:rPr>
        <w:t>Données d</w:t>
      </w:r>
      <w:r w:rsidR="005752E4" w:rsidRPr="00F85A58">
        <w:rPr>
          <w:rFonts w:cs="Arial"/>
          <w:lang w:val="fr-FR"/>
        </w:rPr>
        <w:t>’</w:t>
      </w:r>
      <w:r w:rsidR="001826AD">
        <w:rPr>
          <w:rFonts w:cs="Arial"/>
          <w:lang w:val="fr-FR"/>
        </w:rPr>
        <w:t>expérience</w:t>
      </w:r>
      <w:r w:rsidRPr="00F85A58">
        <w:rPr>
          <w:rFonts w:cs="Arial"/>
          <w:lang w:val="fr-FR"/>
        </w:rPr>
        <w:t xml:space="preserve"> </w:t>
      </w:r>
      <w:r w:rsidR="00393447" w:rsidRPr="00F85A58">
        <w:rPr>
          <w:rFonts w:cs="Arial"/>
          <w:lang w:val="fr-FR"/>
        </w:rPr>
        <w:t>relatives au code de couleurs et à l</w:t>
      </w:r>
      <w:r w:rsidR="005752E4" w:rsidRPr="00F85A58">
        <w:rPr>
          <w:rFonts w:cs="Arial"/>
          <w:lang w:val="fr-FR"/>
        </w:rPr>
        <w:t>’</w:t>
      </w:r>
      <w:r w:rsidR="001826AD">
        <w:rPr>
          <w:rFonts w:cs="Arial"/>
          <w:lang w:val="fr-FR"/>
        </w:rPr>
        <w:t>éventuel</w:t>
      </w:r>
      <w:r w:rsidR="00393447" w:rsidRPr="00F85A58">
        <w:rPr>
          <w:rFonts w:cs="Arial"/>
          <w:lang w:val="fr-FR"/>
        </w:rPr>
        <w:t xml:space="preserve"> ajout de couleurs à l</w:t>
      </w:r>
      <w:r w:rsidR="005752E4" w:rsidRPr="00F85A58">
        <w:rPr>
          <w:rFonts w:cs="Arial"/>
          <w:lang w:val="fr-FR"/>
        </w:rPr>
        <w:t>’</w:t>
      </w:r>
      <w:r w:rsidR="00393447" w:rsidRPr="00F85A58">
        <w:rPr>
          <w:rFonts w:cs="Arial"/>
          <w:lang w:val="fr-FR"/>
        </w:rPr>
        <w:t>avenir</w:t>
      </w:r>
    </w:p>
    <w:p w:rsidR="00BA14DE" w:rsidRPr="00F85A58" w:rsidRDefault="005C638C" w:rsidP="005C638C">
      <w:pPr>
        <w:tabs>
          <w:tab w:val="left" w:pos="1134"/>
        </w:tabs>
        <w:ind w:leftChars="283" w:left="567" w:hanging="1"/>
        <w:rPr>
          <w:rFonts w:cs="Arial"/>
          <w:lang w:val="fr-FR"/>
        </w:rPr>
      </w:pPr>
      <w:r w:rsidRPr="00F85A58">
        <w:rPr>
          <w:rFonts w:cs="Arial"/>
          <w:lang w:val="fr-FR"/>
        </w:rPr>
        <w:t>14.</w:t>
      </w:r>
      <w:r w:rsidRPr="00F85A58">
        <w:rPr>
          <w:rFonts w:cs="Arial"/>
          <w:lang w:val="fr-FR"/>
        </w:rPr>
        <w:tab/>
      </w:r>
      <w:r w:rsidR="00393447" w:rsidRPr="00F85A58">
        <w:rPr>
          <w:rFonts w:cs="Arial"/>
          <w:lang w:val="fr-FR"/>
        </w:rPr>
        <w:t>Élaboration d</w:t>
      </w:r>
      <w:r w:rsidR="005752E4" w:rsidRPr="00F85A58">
        <w:rPr>
          <w:rFonts w:cs="Arial"/>
          <w:lang w:val="fr-FR"/>
        </w:rPr>
        <w:t>’</w:t>
      </w:r>
      <w:r w:rsidR="00393447" w:rsidRPr="00F85A58">
        <w:rPr>
          <w:rFonts w:cs="Arial"/>
          <w:lang w:val="fr-FR"/>
        </w:rPr>
        <w:t>illustrations pour les principes directeurs d</w:t>
      </w:r>
      <w:r w:rsidR="005752E4" w:rsidRPr="00F85A58">
        <w:rPr>
          <w:rFonts w:cs="Arial"/>
          <w:lang w:val="fr-FR"/>
        </w:rPr>
        <w:t>’</w:t>
      </w:r>
      <w:r w:rsidR="00393447" w:rsidRPr="00F85A58">
        <w:rPr>
          <w:rFonts w:cs="Arial"/>
          <w:lang w:val="fr-FR"/>
        </w:rPr>
        <w:t>examen</w:t>
      </w:r>
    </w:p>
    <w:p w:rsidR="005752E4" w:rsidRPr="00F85A58" w:rsidRDefault="004447A0" w:rsidP="004447A0">
      <w:pPr>
        <w:tabs>
          <w:tab w:val="left" w:pos="1134"/>
        </w:tabs>
        <w:ind w:leftChars="283" w:left="567" w:hanging="1"/>
        <w:rPr>
          <w:rFonts w:cs="Arial"/>
          <w:lang w:val="fr-FR"/>
        </w:rPr>
      </w:pPr>
      <w:r w:rsidRPr="00F85A58">
        <w:rPr>
          <w:rFonts w:cs="Arial"/>
          <w:lang w:val="fr-FR"/>
        </w:rPr>
        <w:t>15.</w:t>
      </w:r>
      <w:r w:rsidRPr="00F85A58">
        <w:rPr>
          <w:rFonts w:cs="Arial"/>
          <w:lang w:val="fr-FR"/>
        </w:rPr>
        <w:tab/>
        <w:t>Modèle de principes directeurs d</w:t>
      </w:r>
      <w:r w:rsidR="005752E4" w:rsidRPr="00F85A58">
        <w:rPr>
          <w:rFonts w:cs="Arial"/>
          <w:lang w:val="fr-FR"/>
        </w:rPr>
        <w:t>’</w:t>
      </w:r>
      <w:r w:rsidRPr="00F85A58">
        <w:rPr>
          <w:rFonts w:cs="Arial"/>
          <w:lang w:val="fr-FR"/>
        </w:rPr>
        <w:t>examen fondé sur le Web</w:t>
      </w:r>
    </w:p>
    <w:p w:rsidR="005752E4" w:rsidRPr="00F85A58" w:rsidRDefault="004447A0" w:rsidP="004570E2">
      <w:pPr>
        <w:tabs>
          <w:tab w:val="left" w:pos="1134"/>
        </w:tabs>
        <w:ind w:left="1134" w:hanging="567"/>
        <w:rPr>
          <w:rFonts w:cs="Arial"/>
          <w:lang w:val="fr-FR"/>
        </w:rPr>
      </w:pPr>
      <w:r w:rsidRPr="00F85A58">
        <w:rPr>
          <w:rFonts w:cs="Arial"/>
          <w:lang w:val="fr-FR"/>
        </w:rPr>
        <w:t>16.</w:t>
      </w:r>
      <w:r w:rsidRPr="00F85A58">
        <w:rPr>
          <w:rFonts w:cs="Arial"/>
          <w:lang w:val="fr-FR"/>
        </w:rPr>
        <w:tab/>
        <w:t>Questions en suspens concernant les principes directeurs d</w:t>
      </w:r>
      <w:r w:rsidR="005752E4" w:rsidRPr="00F85A58">
        <w:rPr>
          <w:rFonts w:cs="Arial"/>
          <w:lang w:val="fr-FR"/>
        </w:rPr>
        <w:t>’</w:t>
      </w:r>
      <w:r w:rsidRPr="00F85A58">
        <w:rPr>
          <w:rFonts w:cs="Arial"/>
          <w:lang w:val="fr-FR"/>
        </w:rPr>
        <w:t>examen adoptés par le Comité technique</w:t>
      </w:r>
    </w:p>
    <w:p w:rsidR="005752E4" w:rsidRPr="00F85A58" w:rsidRDefault="004447A0" w:rsidP="004570E2">
      <w:pPr>
        <w:pStyle w:val="Default"/>
        <w:tabs>
          <w:tab w:val="left" w:pos="1134"/>
        </w:tabs>
        <w:autoSpaceDE/>
        <w:autoSpaceDN/>
        <w:adjustRightInd/>
        <w:ind w:left="1134" w:hanging="567"/>
        <w:jc w:val="both"/>
        <w:rPr>
          <w:color w:val="auto"/>
          <w:sz w:val="20"/>
          <w:szCs w:val="20"/>
          <w:lang w:val="fr-FR"/>
        </w:rPr>
      </w:pPr>
      <w:r w:rsidRPr="00F85A58">
        <w:rPr>
          <w:color w:val="auto"/>
          <w:sz w:val="20"/>
          <w:szCs w:val="20"/>
          <w:lang w:val="fr-FR"/>
        </w:rPr>
        <w:t>17.</w:t>
      </w:r>
      <w:r w:rsidRPr="00F85A58">
        <w:rPr>
          <w:color w:val="auto"/>
          <w:sz w:val="20"/>
          <w:szCs w:val="20"/>
          <w:lang w:val="fr-FR"/>
        </w:rPr>
        <w:tab/>
        <w:t>Propositions relatives à des révisions partielles ou des corrections des principes directeurs d</w:t>
      </w:r>
      <w:r w:rsidR="005752E4" w:rsidRPr="00F85A58">
        <w:rPr>
          <w:color w:val="auto"/>
          <w:sz w:val="20"/>
          <w:szCs w:val="20"/>
          <w:lang w:val="fr-FR"/>
        </w:rPr>
        <w:t>’</w:t>
      </w:r>
      <w:r w:rsidRPr="00F85A58">
        <w:rPr>
          <w:color w:val="auto"/>
          <w:sz w:val="20"/>
          <w:szCs w:val="20"/>
          <w:lang w:val="fr-FR"/>
        </w:rPr>
        <w:t>examen</w:t>
      </w:r>
    </w:p>
    <w:p w:rsidR="00BA14DE" w:rsidRPr="00F85A58" w:rsidRDefault="004447A0" w:rsidP="004447A0">
      <w:pPr>
        <w:tabs>
          <w:tab w:val="left" w:pos="1134"/>
        </w:tabs>
        <w:ind w:left="567"/>
        <w:rPr>
          <w:rFonts w:cs="Arial"/>
          <w:lang w:val="fr-FR"/>
        </w:rPr>
      </w:pPr>
      <w:r w:rsidRPr="00F85A58">
        <w:rPr>
          <w:rFonts w:cs="Arial"/>
          <w:lang w:val="fr-FR"/>
        </w:rPr>
        <w:t>18.</w:t>
      </w:r>
      <w:r w:rsidRPr="00F85A58">
        <w:rPr>
          <w:rFonts w:cs="Arial"/>
          <w:lang w:val="fr-FR"/>
        </w:rPr>
        <w:tab/>
        <w:t>Examen des projets de principes directeurs d</w:t>
      </w:r>
      <w:r w:rsidR="005752E4" w:rsidRPr="00F85A58">
        <w:rPr>
          <w:rFonts w:cs="Arial"/>
          <w:lang w:val="fr-FR"/>
        </w:rPr>
        <w:t>’</w:t>
      </w:r>
      <w:r w:rsidRPr="00F85A58">
        <w:rPr>
          <w:rFonts w:cs="Arial"/>
          <w:lang w:val="fr-FR"/>
        </w:rPr>
        <w:t>examen (sous</w:t>
      </w:r>
      <w:r w:rsidR="00F85A58" w:rsidRPr="00F85A58">
        <w:rPr>
          <w:rFonts w:cs="Arial"/>
          <w:lang w:val="fr-FR"/>
        </w:rPr>
        <w:noBreakHyphen/>
      </w:r>
      <w:r w:rsidRPr="00F85A58">
        <w:rPr>
          <w:rFonts w:cs="Arial"/>
          <w:lang w:val="fr-FR"/>
        </w:rPr>
        <w:t>groupes)</w:t>
      </w:r>
    </w:p>
    <w:p w:rsidR="00BA14DE" w:rsidRPr="00F85A58" w:rsidRDefault="004447A0" w:rsidP="004447A0">
      <w:pPr>
        <w:tabs>
          <w:tab w:val="left" w:pos="1134"/>
        </w:tabs>
        <w:ind w:left="567"/>
        <w:rPr>
          <w:rFonts w:cs="Arial"/>
          <w:lang w:val="fr-FR"/>
        </w:rPr>
      </w:pPr>
      <w:r w:rsidRPr="00F85A58">
        <w:rPr>
          <w:rFonts w:cs="Arial"/>
          <w:lang w:val="fr-FR"/>
        </w:rPr>
        <w:t>19.</w:t>
      </w:r>
      <w:r w:rsidRPr="00F85A58">
        <w:rPr>
          <w:rFonts w:cs="Arial"/>
          <w:lang w:val="fr-FR"/>
        </w:rPr>
        <w:tab/>
        <w:t>Recommandations concernant les projets de principes directeurs d</w:t>
      </w:r>
      <w:r w:rsidR="005752E4" w:rsidRPr="00F85A58">
        <w:rPr>
          <w:rFonts w:cs="Arial"/>
          <w:lang w:val="fr-FR"/>
        </w:rPr>
        <w:t>’</w:t>
      </w:r>
      <w:r w:rsidRPr="00F85A58">
        <w:rPr>
          <w:rFonts w:cs="Arial"/>
          <w:lang w:val="fr-FR"/>
        </w:rPr>
        <w:t>examen</w:t>
      </w:r>
    </w:p>
    <w:p w:rsidR="00BA14DE" w:rsidRPr="00F85A58" w:rsidRDefault="004447A0" w:rsidP="004447A0">
      <w:pPr>
        <w:tabs>
          <w:tab w:val="left" w:pos="1134"/>
        </w:tabs>
        <w:ind w:left="567"/>
        <w:rPr>
          <w:rFonts w:cs="Arial"/>
          <w:lang w:val="fr-FR"/>
        </w:rPr>
      </w:pPr>
      <w:r w:rsidRPr="00F85A58">
        <w:rPr>
          <w:rFonts w:cs="Arial"/>
          <w:lang w:val="fr-FR"/>
        </w:rPr>
        <w:t>20.</w:t>
      </w:r>
      <w:r w:rsidRPr="00F85A58">
        <w:rPr>
          <w:rFonts w:cs="Arial"/>
          <w:lang w:val="fr-FR"/>
        </w:rPr>
        <w:tab/>
        <w:t>Orientations pour les rédacteurs de principes directeurs d</w:t>
      </w:r>
      <w:r w:rsidR="005752E4" w:rsidRPr="00F85A58">
        <w:rPr>
          <w:rFonts w:cs="Arial"/>
          <w:lang w:val="fr-FR"/>
        </w:rPr>
        <w:t>’</w:t>
      </w:r>
      <w:r w:rsidRPr="00F85A58">
        <w:rPr>
          <w:rFonts w:cs="Arial"/>
          <w:lang w:val="fr-FR"/>
        </w:rPr>
        <w:t>examen</w:t>
      </w:r>
    </w:p>
    <w:p w:rsidR="00BA14DE" w:rsidRPr="00F85A58" w:rsidRDefault="004447A0" w:rsidP="004447A0">
      <w:pPr>
        <w:tabs>
          <w:tab w:val="left" w:pos="1134"/>
        </w:tabs>
        <w:ind w:left="567"/>
        <w:rPr>
          <w:rFonts w:cs="Arial"/>
          <w:lang w:val="fr-FR"/>
        </w:rPr>
      </w:pPr>
      <w:r w:rsidRPr="00F85A58">
        <w:rPr>
          <w:rFonts w:cs="Arial"/>
          <w:lang w:val="fr-FR"/>
        </w:rPr>
        <w:t>21.</w:t>
      </w:r>
      <w:r w:rsidRPr="00F85A58">
        <w:rPr>
          <w:rFonts w:cs="Arial"/>
          <w:lang w:val="fr-FR"/>
        </w:rPr>
        <w:tab/>
        <w:t>Date et lieu de la prochaine session</w:t>
      </w:r>
    </w:p>
    <w:p w:rsidR="00BA14DE" w:rsidRPr="00F85A58" w:rsidRDefault="004447A0" w:rsidP="004447A0">
      <w:pPr>
        <w:tabs>
          <w:tab w:val="left" w:pos="1134"/>
        </w:tabs>
        <w:ind w:left="567"/>
        <w:rPr>
          <w:rFonts w:cs="Arial"/>
          <w:lang w:val="fr-FR"/>
        </w:rPr>
      </w:pPr>
      <w:r w:rsidRPr="00F85A58">
        <w:rPr>
          <w:rFonts w:cs="Arial"/>
          <w:lang w:val="fr-FR"/>
        </w:rPr>
        <w:t>22.</w:t>
      </w:r>
      <w:r w:rsidRPr="00F85A58">
        <w:rPr>
          <w:rFonts w:cs="Arial"/>
          <w:lang w:val="fr-FR"/>
        </w:rPr>
        <w:tab/>
        <w:t>Programme futur</w:t>
      </w:r>
    </w:p>
    <w:p w:rsidR="00BA14DE" w:rsidRPr="00F85A58" w:rsidRDefault="004447A0" w:rsidP="004447A0">
      <w:pPr>
        <w:tabs>
          <w:tab w:val="left" w:pos="1134"/>
        </w:tabs>
        <w:ind w:left="567"/>
        <w:rPr>
          <w:rFonts w:cs="Arial"/>
          <w:lang w:val="fr-FR"/>
        </w:rPr>
      </w:pPr>
      <w:r w:rsidRPr="00F85A58">
        <w:rPr>
          <w:rFonts w:cs="Arial"/>
          <w:lang w:val="fr-FR"/>
        </w:rPr>
        <w:t>23.</w:t>
      </w:r>
      <w:r w:rsidRPr="00F85A58">
        <w:rPr>
          <w:rFonts w:cs="Arial"/>
          <w:lang w:val="fr-FR"/>
        </w:rPr>
        <w:tab/>
        <w:t>Adoption du compte rendu de la session (selon le temps disponible)</w:t>
      </w:r>
    </w:p>
    <w:p w:rsidR="00BA14DE" w:rsidRPr="00F85A58" w:rsidRDefault="004447A0" w:rsidP="004447A0">
      <w:pPr>
        <w:tabs>
          <w:tab w:val="left" w:pos="1134"/>
        </w:tabs>
        <w:ind w:left="567"/>
        <w:rPr>
          <w:rFonts w:cs="Arial"/>
          <w:lang w:val="fr-FR"/>
        </w:rPr>
      </w:pPr>
      <w:r w:rsidRPr="00F85A58">
        <w:rPr>
          <w:rFonts w:cs="Arial"/>
          <w:lang w:val="fr-FR"/>
        </w:rPr>
        <w:t>24.</w:t>
      </w:r>
      <w:r w:rsidRPr="00F85A58">
        <w:rPr>
          <w:rFonts w:cs="Arial"/>
          <w:lang w:val="fr-FR"/>
        </w:rPr>
        <w:tab/>
        <w:t>Clôture de la session</w:t>
      </w:r>
    </w:p>
    <w:p w:rsidR="00BA14DE" w:rsidRPr="00F85A58" w:rsidRDefault="00BA14DE" w:rsidP="005C638C">
      <w:pPr>
        <w:rPr>
          <w:rFonts w:cs="Arial"/>
          <w:lang w:val="fr-FR"/>
        </w:rPr>
      </w:pPr>
    </w:p>
    <w:p w:rsidR="00BA14DE" w:rsidRPr="00F85A58" w:rsidRDefault="0031555C" w:rsidP="005C638C">
      <w:pPr>
        <w:rPr>
          <w:rFonts w:cs="Arial"/>
          <w:lang w:val="fr-FR"/>
        </w:rPr>
      </w:pPr>
      <w:r w:rsidRPr="00F85A58">
        <w:rPr>
          <w:rFonts w:cs="Arial"/>
          <w:lang w:val="fr-FR"/>
        </w:rPr>
        <w:fldChar w:fldCharType="begin"/>
      </w:r>
      <w:r w:rsidRPr="00F85A58">
        <w:rPr>
          <w:rFonts w:cs="Arial"/>
          <w:lang w:val="fr-FR"/>
        </w:rPr>
        <w:instrText xml:space="preserve"> AUTONUM  </w:instrText>
      </w:r>
      <w:r w:rsidRPr="00F85A58">
        <w:rPr>
          <w:rFonts w:cs="Arial"/>
          <w:lang w:val="fr-FR"/>
        </w:rPr>
        <w:fldChar w:fldCharType="end"/>
      </w:r>
      <w:r w:rsidRPr="00F85A58">
        <w:rPr>
          <w:rFonts w:cs="Arial"/>
          <w:lang w:val="fr-FR"/>
        </w:rPr>
        <w:tab/>
      </w:r>
      <w:r w:rsidR="00CC180D" w:rsidRPr="00F85A58">
        <w:rPr>
          <w:rFonts w:cs="Arial"/>
          <w:lang w:val="fr-FR"/>
        </w:rPr>
        <w:t>Dans l</w:t>
      </w:r>
      <w:r w:rsidR="005752E4" w:rsidRPr="00F85A58">
        <w:rPr>
          <w:rFonts w:cs="Arial"/>
          <w:lang w:val="fr-FR"/>
        </w:rPr>
        <w:t>’</w:t>
      </w:r>
      <w:r w:rsidR="00CC180D" w:rsidRPr="00F85A58">
        <w:rPr>
          <w:rFonts w:cs="Arial"/>
          <w:lang w:val="fr-FR"/>
        </w:rPr>
        <w:t>après</w:t>
      </w:r>
      <w:r w:rsidR="00F85A58" w:rsidRPr="00F85A58">
        <w:rPr>
          <w:rFonts w:cs="Arial"/>
          <w:lang w:val="fr-FR"/>
        </w:rPr>
        <w:noBreakHyphen/>
      </w:r>
      <w:r w:rsidR="00CC180D" w:rsidRPr="00F85A58">
        <w:rPr>
          <w:rFonts w:cs="Arial"/>
          <w:lang w:val="fr-FR"/>
        </w:rPr>
        <w:t>midi du 16 </w:t>
      </w:r>
      <w:r w:rsidR="005752E4" w:rsidRPr="00F85A58">
        <w:rPr>
          <w:rFonts w:cs="Arial"/>
          <w:lang w:val="fr-FR"/>
        </w:rPr>
        <w:t>septembre </w:t>
      </w:r>
      <w:r w:rsidR="005752E4" w:rsidRPr="00F85A58">
        <w:rPr>
          <w:rFonts w:cs="Arial"/>
          <w:shd w:val="clear" w:color="auto" w:fill="FFFFFF"/>
          <w:lang w:val="fr-FR"/>
        </w:rPr>
        <w:t>20</w:t>
      </w:r>
      <w:r w:rsidR="005C638C" w:rsidRPr="00F85A58">
        <w:rPr>
          <w:rFonts w:cs="Arial"/>
          <w:shd w:val="clear" w:color="auto" w:fill="FFFFFF"/>
          <w:lang w:val="fr-FR"/>
        </w:rPr>
        <w:t xml:space="preserve">15, </w:t>
      </w:r>
      <w:r w:rsidR="00CC180D" w:rsidRPr="00F85A58">
        <w:rPr>
          <w:rFonts w:cs="Arial"/>
          <w:shd w:val="clear" w:color="auto" w:fill="FFFFFF"/>
          <w:lang w:val="fr-FR"/>
        </w:rPr>
        <w:t>le</w:t>
      </w:r>
      <w:r w:rsidR="00760713" w:rsidRPr="00F85A58">
        <w:rPr>
          <w:rFonts w:cs="Arial"/>
          <w:shd w:val="clear" w:color="auto" w:fill="FFFFFF"/>
          <w:lang w:val="fr-FR"/>
        </w:rPr>
        <w:t>s participants</w:t>
      </w:r>
      <w:r w:rsidR="005752E4" w:rsidRPr="00F85A58">
        <w:rPr>
          <w:rFonts w:cs="Arial"/>
          <w:shd w:val="clear" w:color="auto" w:fill="FFFFFF"/>
          <w:lang w:val="fr-FR"/>
        </w:rPr>
        <w:t xml:space="preserve"> au TWO</w:t>
      </w:r>
      <w:r w:rsidR="005C638C" w:rsidRPr="00F85A58">
        <w:rPr>
          <w:rFonts w:cs="Arial"/>
          <w:shd w:val="clear" w:color="auto" w:fill="FFFFFF"/>
          <w:lang w:val="fr-FR"/>
        </w:rPr>
        <w:t xml:space="preserve"> </w:t>
      </w:r>
      <w:r w:rsidR="00760713" w:rsidRPr="00F85A58">
        <w:rPr>
          <w:rFonts w:cs="Arial"/>
          <w:shd w:val="clear" w:color="auto" w:fill="FFFFFF"/>
          <w:lang w:val="fr-FR"/>
        </w:rPr>
        <w:t xml:space="preserve">se sont rendus à Cambridge pour </w:t>
      </w:r>
      <w:r w:rsidR="00CC180D" w:rsidRPr="00F85A58">
        <w:rPr>
          <w:rFonts w:cs="Arial"/>
          <w:shd w:val="clear" w:color="auto" w:fill="FFFFFF"/>
          <w:lang w:val="fr-FR"/>
        </w:rPr>
        <w:t>visit</w:t>
      </w:r>
      <w:r w:rsidR="00760713" w:rsidRPr="00F85A58">
        <w:rPr>
          <w:rFonts w:cs="Arial"/>
          <w:shd w:val="clear" w:color="auto" w:fill="FFFFFF"/>
          <w:lang w:val="fr-FR"/>
        </w:rPr>
        <w:t>er</w:t>
      </w:r>
      <w:r w:rsidR="00CC180D" w:rsidRPr="00F85A58">
        <w:rPr>
          <w:rFonts w:cs="Arial"/>
          <w:shd w:val="clear" w:color="auto" w:fill="FFFFFF"/>
          <w:lang w:val="fr-FR"/>
        </w:rPr>
        <w:t xml:space="preserve"> l</w:t>
      </w:r>
      <w:r w:rsidR="00760713" w:rsidRPr="00F85A58">
        <w:rPr>
          <w:rFonts w:cs="Arial"/>
          <w:shd w:val="clear" w:color="auto" w:fill="FFFFFF"/>
          <w:lang w:val="fr-FR"/>
        </w:rPr>
        <w:t>a station d</w:t>
      </w:r>
      <w:r w:rsidR="005752E4" w:rsidRPr="00F85A58">
        <w:rPr>
          <w:rFonts w:cs="Arial"/>
          <w:shd w:val="clear" w:color="auto" w:fill="FFFFFF"/>
          <w:lang w:val="fr-FR"/>
        </w:rPr>
        <w:t>’</w:t>
      </w:r>
      <w:r w:rsidR="00473D66" w:rsidRPr="00F85A58">
        <w:rPr>
          <w:rFonts w:cs="Arial"/>
          <w:shd w:val="clear" w:color="auto" w:fill="FFFFFF"/>
          <w:lang w:val="fr-FR"/>
        </w:rPr>
        <w:t>examen</w:t>
      </w:r>
      <w:r w:rsidR="00760713" w:rsidRPr="00F85A58">
        <w:rPr>
          <w:rFonts w:cs="Arial"/>
          <w:shd w:val="clear" w:color="auto" w:fill="FFFFFF"/>
          <w:lang w:val="fr-FR"/>
        </w:rPr>
        <w:t xml:space="preserve"> </w:t>
      </w:r>
      <w:r w:rsidR="003932C7" w:rsidRPr="00F85A58">
        <w:rPr>
          <w:rFonts w:cs="Arial"/>
          <w:shd w:val="clear" w:color="auto" w:fill="FFFFFF"/>
          <w:lang w:val="fr-FR"/>
        </w:rPr>
        <w:t>de l</w:t>
      </w:r>
      <w:r w:rsidR="005752E4" w:rsidRPr="00F85A58">
        <w:rPr>
          <w:rFonts w:cs="Arial"/>
          <w:shd w:val="clear" w:color="auto" w:fill="FFFFFF"/>
          <w:lang w:val="fr-FR"/>
        </w:rPr>
        <w:t>’</w:t>
      </w:r>
      <w:r w:rsidR="003932C7" w:rsidRPr="00F85A58">
        <w:rPr>
          <w:rFonts w:cs="Arial"/>
          <w:shd w:val="clear" w:color="auto" w:fill="FFFFFF"/>
          <w:lang w:val="fr-FR"/>
        </w:rPr>
        <w:t>Institut national de la botanique agricole du Royaume</w:t>
      </w:r>
      <w:r w:rsidR="00F85A58" w:rsidRPr="00F85A58">
        <w:rPr>
          <w:rFonts w:cs="Arial"/>
          <w:shd w:val="clear" w:color="auto" w:fill="FFFFFF"/>
          <w:lang w:val="fr-FR"/>
        </w:rPr>
        <w:noBreakHyphen/>
      </w:r>
      <w:r w:rsidR="003932C7" w:rsidRPr="00F85A58">
        <w:rPr>
          <w:rFonts w:cs="Arial"/>
          <w:shd w:val="clear" w:color="auto" w:fill="FFFFFF"/>
          <w:lang w:val="fr-FR"/>
        </w:rPr>
        <w:t>Uni (NIAB</w:t>
      </w:r>
      <w:r w:rsidR="005C638C" w:rsidRPr="00F85A58">
        <w:rPr>
          <w:rFonts w:cs="Arial"/>
          <w:lang w:val="fr-FR"/>
        </w:rPr>
        <w:t>)</w:t>
      </w:r>
      <w:r w:rsidR="00760713" w:rsidRPr="00F85A58">
        <w:rPr>
          <w:rFonts w:cs="Arial"/>
          <w:lang w:val="fr-FR"/>
        </w:rPr>
        <w:t>, où des essais se déroulent sur plus de</w:t>
      </w:r>
      <w:r w:rsidR="00342006" w:rsidRPr="00F85A58">
        <w:rPr>
          <w:rFonts w:cs="Arial"/>
          <w:lang w:val="fr-FR"/>
        </w:rPr>
        <w:t> </w:t>
      </w:r>
      <w:r w:rsidR="001826AD">
        <w:rPr>
          <w:rFonts w:cs="Arial"/>
          <w:shd w:val="clear" w:color="auto" w:fill="FFFFFF"/>
          <w:lang w:val="fr-FR"/>
        </w:rPr>
        <w:t>1000 </w:t>
      </w:r>
      <w:r w:rsidR="00760713" w:rsidRPr="00F85A58">
        <w:rPr>
          <w:rFonts w:cs="Arial"/>
          <w:shd w:val="clear" w:color="auto" w:fill="FFFFFF"/>
          <w:lang w:val="fr-FR"/>
        </w:rPr>
        <w:t>variétés agricoles et ornementales chaque année dans le cadre de la protection des obtentions végétales et de l</w:t>
      </w:r>
      <w:r w:rsidR="005752E4" w:rsidRPr="00F85A58">
        <w:rPr>
          <w:rFonts w:cs="Arial"/>
          <w:shd w:val="clear" w:color="auto" w:fill="FFFFFF"/>
          <w:lang w:val="fr-FR"/>
        </w:rPr>
        <w:t>’</w:t>
      </w:r>
      <w:r w:rsidR="00760713" w:rsidRPr="00F85A58">
        <w:rPr>
          <w:rFonts w:cs="Arial"/>
          <w:shd w:val="clear" w:color="auto" w:fill="FFFFFF"/>
          <w:lang w:val="fr-FR"/>
        </w:rPr>
        <w:t>établissement de la liste nationa</w:t>
      </w:r>
      <w:r w:rsidR="00F85A58" w:rsidRPr="00F85A58">
        <w:rPr>
          <w:rFonts w:cs="Arial"/>
          <w:shd w:val="clear" w:color="auto" w:fill="FFFFFF"/>
          <w:lang w:val="fr-FR"/>
        </w:rPr>
        <w:t>le.  Le</w:t>
      </w:r>
      <w:r w:rsidR="00760713" w:rsidRPr="00F85A58">
        <w:rPr>
          <w:rFonts w:cs="Arial"/>
          <w:shd w:val="clear" w:color="auto" w:fill="FFFFFF"/>
          <w:lang w:val="fr-FR"/>
        </w:rPr>
        <w:t xml:space="preserve"> </w:t>
      </w:r>
      <w:r w:rsidR="00AB4914" w:rsidRPr="00F85A58">
        <w:rPr>
          <w:rFonts w:cs="Arial"/>
          <w:shd w:val="clear" w:color="auto" w:fill="FFFFFF"/>
          <w:lang w:val="fr-FR"/>
        </w:rPr>
        <w:t>centre d</w:t>
      </w:r>
      <w:r w:rsidR="005752E4" w:rsidRPr="00F85A58">
        <w:rPr>
          <w:rFonts w:cs="Arial"/>
          <w:shd w:val="clear" w:color="auto" w:fill="FFFFFF"/>
          <w:lang w:val="fr-FR"/>
        </w:rPr>
        <w:t>’</w:t>
      </w:r>
      <w:r w:rsidR="00AB4914" w:rsidRPr="00F85A58">
        <w:rPr>
          <w:rFonts w:cs="Arial"/>
          <w:shd w:val="clear" w:color="auto" w:fill="FFFFFF"/>
          <w:lang w:val="fr-FR"/>
        </w:rPr>
        <w:t>examen</w:t>
      </w:r>
      <w:r w:rsidR="00760713" w:rsidRPr="00F85A58">
        <w:rPr>
          <w:rFonts w:cs="Arial"/>
          <w:shd w:val="clear" w:color="auto" w:fill="FFFFFF"/>
          <w:lang w:val="fr-FR"/>
        </w:rPr>
        <w:t xml:space="preserve"> </w:t>
      </w:r>
      <w:r w:rsidR="00D5424D" w:rsidRPr="00F85A58">
        <w:rPr>
          <w:rFonts w:cs="Arial"/>
          <w:shd w:val="clear" w:color="auto" w:fill="FFFFFF"/>
          <w:lang w:val="fr-FR"/>
        </w:rPr>
        <w:t>s</w:t>
      </w:r>
      <w:r w:rsidR="005752E4" w:rsidRPr="00F85A58">
        <w:rPr>
          <w:rFonts w:cs="Arial"/>
          <w:shd w:val="clear" w:color="auto" w:fill="FFFFFF"/>
          <w:lang w:val="fr-FR"/>
        </w:rPr>
        <w:t>’</w:t>
      </w:r>
      <w:r w:rsidR="00D5424D" w:rsidRPr="00F85A58">
        <w:rPr>
          <w:rFonts w:cs="Arial"/>
          <w:shd w:val="clear" w:color="auto" w:fill="FFFFFF"/>
          <w:lang w:val="fr-FR"/>
        </w:rPr>
        <w:t xml:space="preserve">étend sur </w:t>
      </w:r>
      <w:r w:rsidR="001826AD">
        <w:rPr>
          <w:rFonts w:cs="Arial"/>
          <w:shd w:val="clear" w:color="auto" w:fill="FFFFFF"/>
          <w:lang w:val="fr-FR"/>
        </w:rPr>
        <w:t>250 </w:t>
      </w:r>
      <w:r w:rsidR="005C638C" w:rsidRPr="00F85A58">
        <w:rPr>
          <w:rFonts w:cs="Arial"/>
          <w:shd w:val="clear" w:color="auto" w:fill="FFFFFF"/>
          <w:lang w:val="fr-FR"/>
        </w:rPr>
        <w:t xml:space="preserve">hectares, </w:t>
      </w:r>
      <w:r w:rsidR="005752E4" w:rsidRPr="00F85A58">
        <w:rPr>
          <w:rFonts w:cs="Arial"/>
          <w:shd w:val="clear" w:color="auto" w:fill="FFFFFF"/>
          <w:lang w:val="fr-FR"/>
        </w:rPr>
        <w:t>y compris</w:t>
      </w:r>
      <w:r w:rsidR="00D5424D" w:rsidRPr="00F85A58">
        <w:rPr>
          <w:rFonts w:cs="Arial"/>
          <w:shd w:val="clear" w:color="auto" w:fill="FFFFFF"/>
          <w:lang w:val="fr-FR"/>
        </w:rPr>
        <w:t xml:space="preserve"> </w:t>
      </w:r>
      <w:r w:rsidR="005C638C" w:rsidRPr="00F85A58">
        <w:rPr>
          <w:rFonts w:cs="Arial"/>
          <w:shd w:val="clear" w:color="auto" w:fill="FFFFFF"/>
          <w:lang w:val="fr-FR"/>
        </w:rPr>
        <w:t>3300 m</w:t>
      </w:r>
      <w:r w:rsidR="005C638C" w:rsidRPr="00F85A58">
        <w:rPr>
          <w:rFonts w:cs="Arial"/>
          <w:shd w:val="clear" w:color="auto" w:fill="FFFFFF"/>
          <w:vertAlign w:val="superscript"/>
          <w:lang w:val="fr-FR"/>
        </w:rPr>
        <w:t>2</w:t>
      </w:r>
      <w:r w:rsidR="005C638C" w:rsidRPr="00F85A58">
        <w:rPr>
          <w:rFonts w:cs="Arial"/>
          <w:shd w:val="clear" w:color="auto" w:fill="FFFFFF"/>
          <w:lang w:val="fr-FR"/>
        </w:rPr>
        <w:t xml:space="preserve"> </w:t>
      </w:r>
      <w:r w:rsidR="00D5424D" w:rsidRPr="00F85A58">
        <w:rPr>
          <w:rFonts w:cs="Arial"/>
          <w:shd w:val="clear" w:color="auto" w:fill="FFFFFF"/>
          <w:lang w:val="fr-FR"/>
        </w:rPr>
        <w:t>de serr</w:t>
      </w:r>
      <w:r w:rsidR="00F85A58" w:rsidRPr="00F85A58">
        <w:rPr>
          <w:rFonts w:cs="Arial"/>
          <w:shd w:val="clear" w:color="auto" w:fill="FFFFFF"/>
          <w:lang w:val="fr-FR"/>
        </w:rPr>
        <w:t xml:space="preserve">es.  </w:t>
      </w:r>
      <w:r w:rsidR="00F85A58" w:rsidRPr="00F85A58">
        <w:rPr>
          <w:lang w:val="fr-FR"/>
        </w:rPr>
        <w:t>Mm</w:t>
      </w:r>
      <w:r w:rsidR="00D5424D" w:rsidRPr="00F85A58">
        <w:rPr>
          <w:lang w:val="fr-FR"/>
        </w:rPr>
        <w:t>e </w:t>
      </w:r>
      <w:r w:rsidR="00D5424D" w:rsidRPr="00F85A58">
        <w:rPr>
          <w:rFonts w:cs="Arial"/>
          <w:shd w:val="clear" w:color="auto" w:fill="FFFFFF"/>
          <w:lang w:val="fr-FR"/>
        </w:rPr>
        <w:t>Elizabeth Scott, responsable de la caractérisation des plantes cultivées</w:t>
      </w:r>
      <w:r w:rsidR="005752E4" w:rsidRPr="00F85A58">
        <w:rPr>
          <w:rFonts w:cs="Arial"/>
          <w:shd w:val="clear" w:color="auto" w:fill="FFFFFF"/>
          <w:lang w:val="fr-FR"/>
        </w:rPr>
        <w:t xml:space="preserve"> au NIA</w:t>
      </w:r>
      <w:r w:rsidR="00D5424D" w:rsidRPr="00F85A58">
        <w:rPr>
          <w:rFonts w:cs="Arial"/>
          <w:shd w:val="clear" w:color="auto" w:fill="FFFFFF"/>
          <w:lang w:val="fr-FR"/>
        </w:rPr>
        <w:t>B a souhaité la bienvenue aux participants et a donné un discours introduct</w:t>
      </w:r>
      <w:r w:rsidR="00F85A58" w:rsidRPr="00F85A58">
        <w:rPr>
          <w:rFonts w:cs="Arial"/>
          <w:shd w:val="clear" w:color="auto" w:fill="FFFFFF"/>
          <w:lang w:val="fr-FR"/>
        </w:rPr>
        <w:t>if.  Le</w:t>
      </w:r>
      <w:r w:rsidR="005752E4" w:rsidRPr="00F85A58">
        <w:rPr>
          <w:rFonts w:cs="Arial"/>
          <w:shd w:val="clear" w:color="auto" w:fill="FFFFFF"/>
          <w:lang w:val="fr-FR"/>
        </w:rPr>
        <w:t> TWO</w:t>
      </w:r>
      <w:r w:rsidR="005C638C" w:rsidRPr="00F85A58">
        <w:rPr>
          <w:rFonts w:cs="Arial"/>
          <w:shd w:val="clear" w:color="auto" w:fill="FFFFFF"/>
          <w:lang w:val="fr-FR"/>
        </w:rPr>
        <w:t xml:space="preserve"> </w:t>
      </w:r>
      <w:r w:rsidR="00D5424D" w:rsidRPr="00F85A58">
        <w:rPr>
          <w:rFonts w:cs="Arial"/>
          <w:shd w:val="clear" w:color="auto" w:fill="FFFFFF"/>
          <w:lang w:val="fr-FR"/>
        </w:rPr>
        <w:t>a visité le complexe de serres ainsi que plusieurs essais DHS de plantes ornemental</w:t>
      </w:r>
      <w:r w:rsidR="00F85A58" w:rsidRPr="00F85A58">
        <w:rPr>
          <w:rFonts w:cs="Arial"/>
          <w:shd w:val="clear" w:color="auto" w:fill="FFFFFF"/>
          <w:lang w:val="fr-FR"/>
        </w:rPr>
        <w:t>es.  Le</w:t>
      </w:r>
      <w:r w:rsidR="005752E4" w:rsidRPr="00F85A58">
        <w:rPr>
          <w:rFonts w:cs="Arial"/>
          <w:shd w:val="clear" w:color="auto" w:fill="FFFFFF"/>
          <w:lang w:val="fr-FR"/>
        </w:rPr>
        <w:t> TWO</w:t>
      </w:r>
      <w:r w:rsidR="005C638C" w:rsidRPr="00F85A58">
        <w:rPr>
          <w:rFonts w:cs="Arial"/>
          <w:shd w:val="clear" w:color="auto" w:fill="FFFFFF"/>
          <w:lang w:val="fr-FR"/>
        </w:rPr>
        <w:t xml:space="preserve"> </w:t>
      </w:r>
      <w:r w:rsidR="00813BE7" w:rsidRPr="00F85A58">
        <w:rPr>
          <w:rFonts w:cs="Arial"/>
          <w:shd w:val="clear" w:color="auto" w:fill="FFFFFF"/>
          <w:lang w:val="fr-FR"/>
        </w:rPr>
        <w:t>a tenu des débats concrets au sein de plusieurs sous</w:t>
      </w:r>
      <w:r w:rsidR="00F85A58" w:rsidRPr="00F85A58">
        <w:rPr>
          <w:rFonts w:cs="Arial"/>
          <w:shd w:val="clear" w:color="auto" w:fill="FFFFFF"/>
          <w:lang w:val="fr-FR"/>
        </w:rPr>
        <w:noBreakHyphen/>
      </w:r>
      <w:r w:rsidR="00813BE7" w:rsidRPr="00F85A58">
        <w:rPr>
          <w:rFonts w:cs="Arial"/>
          <w:shd w:val="clear" w:color="auto" w:fill="FFFFFF"/>
          <w:lang w:val="fr-FR"/>
        </w:rPr>
        <w:t>groupes sur les projets de principes directeurs d</w:t>
      </w:r>
      <w:r w:rsidR="005752E4" w:rsidRPr="00F85A58">
        <w:rPr>
          <w:rFonts w:cs="Arial"/>
          <w:shd w:val="clear" w:color="auto" w:fill="FFFFFF"/>
          <w:lang w:val="fr-FR"/>
        </w:rPr>
        <w:t>’</w:t>
      </w:r>
      <w:r w:rsidR="00813BE7" w:rsidRPr="00F85A58">
        <w:rPr>
          <w:rFonts w:cs="Arial"/>
          <w:shd w:val="clear" w:color="auto" w:fill="FFFFFF"/>
          <w:lang w:val="fr-FR"/>
        </w:rPr>
        <w:t xml:space="preserve">examen </w:t>
      </w:r>
      <w:proofErr w:type="gramStart"/>
      <w:r w:rsidR="00813BE7" w:rsidRPr="00F85A58">
        <w:rPr>
          <w:rFonts w:cs="Arial"/>
          <w:shd w:val="clear" w:color="auto" w:fill="FFFFFF"/>
          <w:lang w:val="fr-FR"/>
        </w:rPr>
        <w:t xml:space="preserve">de </w:t>
      </w:r>
      <w:proofErr w:type="spellStart"/>
      <w:r w:rsidR="005C638C" w:rsidRPr="00F85A58">
        <w:rPr>
          <w:rFonts w:cs="Arial"/>
          <w:shd w:val="clear" w:color="auto" w:fill="FFFFFF"/>
          <w:lang w:val="fr-FR"/>
        </w:rPr>
        <w:t>Abelia</w:t>
      </w:r>
      <w:proofErr w:type="spellEnd"/>
      <w:proofErr w:type="gramEnd"/>
      <w:r w:rsidR="005C638C" w:rsidRPr="00F85A58">
        <w:rPr>
          <w:rFonts w:cs="Arial"/>
          <w:shd w:val="clear" w:color="auto" w:fill="FFFFFF"/>
          <w:lang w:val="fr-FR"/>
        </w:rPr>
        <w:t xml:space="preserve">, </w:t>
      </w:r>
      <w:proofErr w:type="spellStart"/>
      <w:r w:rsidR="005C638C" w:rsidRPr="00F85A58">
        <w:rPr>
          <w:rFonts w:cs="Arial"/>
          <w:shd w:val="clear" w:color="auto" w:fill="FFFFFF"/>
          <w:lang w:val="fr-FR"/>
        </w:rPr>
        <w:t>Coleus</w:t>
      </w:r>
      <w:proofErr w:type="spellEnd"/>
      <w:r w:rsidR="005C638C" w:rsidRPr="00F85A58">
        <w:rPr>
          <w:rFonts w:cs="Arial"/>
          <w:shd w:val="clear" w:color="auto" w:fill="FFFFFF"/>
          <w:lang w:val="fr-FR"/>
        </w:rPr>
        <w:t xml:space="preserve">, </w:t>
      </w:r>
      <w:r w:rsidR="00813BE7" w:rsidRPr="00F85A58">
        <w:rPr>
          <w:rFonts w:cs="Arial"/>
          <w:shd w:val="clear" w:color="auto" w:fill="FFFFFF"/>
          <w:lang w:val="fr-FR"/>
        </w:rPr>
        <w:t>sauge et</w:t>
      </w:r>
      <w:r w:rsidR="005C638C" w:rsidRPr="00F85A58">
        <w:rPr>
          <w:rFonts w:cs="Arial"/>
          <w:shd w:val="clear" w:color="auto" w:fill="FFFFFF"/>
          <w:lang w:val="fr-FR"/>
        </w:rPr>
        <w:t xml:space="preserve"> </w:t>
      </w:r>
      <w:r w:rsidR="00813BE7" w:rsidRPr="00F85A58">
        <w:rPr>
          <w:rFonts w:cs="Arial"/>
          <w:shd w:val="clear" w:color="auto" w:fill="FFFFFF"/>
          <w:lang w:val="fr-FR"/>
        </w:rPr>
        <w:t>z</w:t>
      </w:r>
      <w:r w:rsidR="005C638C" w:rsidRPr="00F85A58">
        <w:rPr>
          <w:rFonts w:cs="Arial"/>
          <w:shd w:val="clear" w:color="auto" w:fill="FFFFFF"/>
          <w:lang w:val="fr-FR"/>
        </w:rPr>
        <w:t xml:space="preserve">innia, </w:t>
      </w:r>
      <w:r w:rsidR="00813BE7" w:rsidRPr="00F85A58">
        <w:rPr>
          <w:rFonts w:cs="Arial"/>
          <w:shd w:val="clear" w:color="auto" w:fill="FFFFFF"/>
          <w:lang w:val="fr-FR"/>
        </w:rPr>
        <w:t>utilisant des collections de variétés fournies par</w:t>
      </w:r>
      <w:r w:rsidR="005752E4" w:rsidRPr="00F85A58">
        <w:rPr>
          <w:rFonts w:cs="Arial"/>
          <w:shd w:val="clear" w:color="auto" w:fill="FFFFFF"/>
          <w:lang w:val="fr-FR"/>
        </w:rPr>
        <w:t xml:space="preserve"> le NIA</w:t>
      </w:r>
      <w:r w:rsidR="005C638C" w:rsidRPr="00F85A58">
        <w:rPr>
          <w:rFonts w:cs="Arial"/>
          <w:shd w:val="clear" w:color="auto" w:fill="FFFFFF"/>
          <w:lang w:val="fr-FR"/>
        </w:rPr>
        <w:t>B.</w:t>
      </w:r>
    </w:p>
    <w:p w:rsidR="00BA14DE" w:rsidRPr="00F85A58" w:rsidRDefault="00BA14DE" w:rsidP="00050E16">
      <w:pPr>
        <w:rPr>
          <w:lang w:val="fr-FR"/>
        </w:rPr>
      </w:pPr>
    </w:p>
    <w:p w:rsidR="00BA14DE" w:rsidRPr="00F85A58" w:rsidRDefault="004447A0" w:rsidP="004570E2">
      <w:pPr>
        <w:pStyle w:val="Heading3"/>
      </w:pPr>
      <w:r w:rsidRPr="00F85A58">
        <w:t>Groupe de travail technique sur les plantes potagères (TWV)</w:t>
      </w:r>
    </w:p>
    <w:p w:rsidR="00BA14DE" w:rsidRPr="00F85A58" w:rsidRDefault="00BA14DE" w:rsidP="003D3E08">
      <w:pPr>
        <w:keepNext/>
        <w:rPr>
          <w:lang w:val="fr-FR"/>
        </w:rPr>
      </w:pPr>
    </w:p>
    <w:p w:rsidR="00BA14DE" w:rsidRPr="00F85A58" w:rsidRDefault="0031555C"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2B4A2E" w:rsidRPr="00F85A58">
        <w:rPr>
          <w:lang w:val="fr-FR"/>
        </w:rPr>
        <w:t>Représentant l</w:t>
      </w:r>
      <w:r w:rsidR="005752E4" w:rsidRPr="00F85A58">
        <w:rPr>
          <w:lang w:val="fr-FR"/>
        </w:rPr>
        <w:t>’</w:t>
      </w:r>
      <w:r w:rsidR="002B4A2E" w:rsidRPr="00F85A58">
        <w:rPr>
          <w:lang w:val="fr-FR"/>
        </w:rPr>
        <w:t>Union européenne, l</w:t>
      </w:r>
      <w:r w:rsidR="005752E4" w:rsidRPr="00F85A58">
        <w:rPr>
          <w:lang w:val="fr-FR"/>
        </w:rPr>
        <w:t>’</w:t>
      </w:r>
      <w:r w:rsidR="002B4A2E" w:rsidRPr="00F85A58">
        <w:rPr>
          <w:lang w:val="fr-FR"/>
        </w:rPr>
        <w:t>Office communautaire des variétés végétales (OCVV) a accueilli la quarante</w:t>
      </w:r>
      <w:r w:rsidR="00F85A58" w:rsidRPr="00F85A58">
        <w:rPr>
          <w:lang w:val="fr-FR"/>
        </w:rPr>
        <w:noBreakHyphen/>
      </w:r>
      <w:r w:rsidR="002B4A2E" w:rsidRPr="00F85A58">
        <w:rPr>
          <w:lang w:val="fr-FR"/>
        </w:rPr>
        <w:t>neuvième</w:t>
      </w:r>
      <w:r w:rsidR="00342006" w:rsidRPr="00F85A58">
        <w:rPr>
          <w:lang w:val="fr-FR"/>
        </w:rPr>
        <w:t> </w:t>
      </w:r>
      <w:r w:rsidR="002B4A2E" w:rsidRPr="00F85A58">
        <w:rPr>
          <w:lang w:val="fr-FR"/>
        </w:rPr>
        <w:t>session</w:t>
      </w:r>
      <w:r w:rsidR="005752E4" w:rsidRPr="00F85A58">
        <w:rPr>
          <w:lang w:val="fr-FR"/>
        </w:rPr>
        <w:t xml:space="preserve"> du TWV</w:t>
      </w:r>
      <w:r w:rsidRPr="00F85A58">
        <w:rPr>
          <w:lang w:val="fr-FR"/>
        </w:rPr>
        <w:t xml:space="preserve"> </w:t>
      </w:r>
      <w:r w:rsidR="002B4A2E" w:rsidRPr="00F85A58">
        <w:rPr>
          <w:lang w:val="fr-FR"/>
        </w:rPr>
        <w:t>qui s</w:t>
      </w:r>
      <w:r w:rsidR="005752E4" w:rsidRPr="00F85A58">
        <w:rPr>
          <w:lang w:val="fr-FR"/>
        </w:rPr>
        <w:t>’</w:t>
      </w:r>
      <w:r w:rsidR="002B4A2E" w:rsidRPr="00F85A58">
        <w:rPr>
          <w:lang w:val="fr-FR"/>
        </w:rPr>
        <w:t>est tenus du 15 au 19 </w:t>
      </w:r>
      <w:r w:rsidR="005752E4" w:rsidRPr="00F85A58">
        <w:rPr>
          <w:lang w:val="fr-FR"/>
        </w:rPr>
        <w:t>juin 20</w:t>
      </w:r>
      <w:r w:rsidR="00277C91" w:rsidRPr="00F85A58">
        <w:rPr>
          <w:lang w:val="fr-FR"/>
        </w:rPr>
        <w:t>15</w:t>
      </w:r>
      <w:r w:rsidR="002B4A2E" w:rsidRPr="00F85A58">
        <w:rPr>
          <w:lang w:val="fr-FR"/>
        </w:rPr>
        <w:t xml:space="preserve">à </w:t>
      </w:r>
      <w:r w:rsidRPr="00F85A58">
        <w:rPr>
          <w:lang w:val="fr-FR"/>
        </w:rPr>
        <w:t>Angers</w:t>
      </w:r>
      <w:r w:rsidR="002B4A2E" w:rsidRPr="00F85A58">
        <w:rPr>
          <w:lang w:val="fr-FR"/>
        </w:rPr>
        <w:t xml:space="preserve"> (France)</w:t>
      </w:r>
      <w:r w:rsidRPr="00F85A58">
        <w:rPr>
          <w:lang w:val="fr-FR"/>
        </w:rPr>
        <w:t>.</w:t>
      </w:r>
    </w:p>
    <w:p w:rsidR="00BA14DE" w:rsidRPr="00F85A58" w:rsidRDefault="00BA14DE" w:rsidP="0031555C">
      <w:pPr>
        <w:rPr>
          <w:lang w:val="fr-FR"/>
        </w:rPr>
      </w:pPr>
    </w:p>
    <w:p w:rsidR="005752E4" w:rsidRPr="00F85A58" w:rsidRDefault="0031555C" w:rsidP="004447A0">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4447A0" w:rsidRPr="00F85A58">
        <w:rPr>
          <w:lang w:val="fr-FR"/>
        </w:rPr>
        <w:t>La session</w:t>
      </w:r>
      <w:r w:rsidR="005752E4" w:rsidRPr="00F85A58">
        <w:rPr>
          <w:lang w:val="fr-FR"/>
        </w:rPr>
        <w:t xml:space="preserve"> du TWA</w:t>
      </w:r>
      <w:r w:rsidR="004447A0" w:rsidRPr="00F85A58">
        <w:rPr>
          <w:lang w:val="fr-FR"/>
        </w:rPr>
        <w:t xml:space="preserve"> a réuni </w:t>
      </w:r>
      <w:r w:rsidR="001826AD">
        <w:rPr>
          <w:lang w:val="fr-FR"/>
        </w:rPr>
        <w:t>52 </w:t>
      </w:r>
      <w:r w:rsidR="004447A0" w:rsidRPr="00F85A58">
        <w:rPr>
          <w:lang w:val="fr-FR"/>
        </w:rPr>
        <w:t xml:space="preserve">participants représentant </w:t>
      </w:r>
      <w:r w:rsidR="001826AD">
        <w:rPr>
          <w:lang w:val="fr-FR"/>
        </w:rPr>
        <w:t>20 </w:t>
      </w:r>
      <w:r w:rsidR="004447A0" w:rsidRPr="00F85A58">
        <w:rPr>
          <w:lang w:val="fr-FR"/>
        </w:rPr>
        <w:t xml:space="preserve">membres, </w:t>
      </w:r>
      <w:r w:rsidR="001826AD">
        <w:rPr>
          <w:lang w:val="fr-FR"/>
        </w:rPr>
        <w:t>4 </w:t>
      </w:r>
      <w:r w:rsidR="004447A0" w:rsidRPr="00F85A58">
        <w:rPr>
          <w:lang w:val="fr-FR"/>
        </w:rPr>
        <w:t>États ayant le statut d</w:t>
      </w:r>
      <w:r w:rsidR="005752E4" w:rsidRPr="00F85A58">
        <w:rPr>
          <w:lang w:val="fr-FR"/>
        </w:rPr>
        <w:t>’</w:t>
      </w:r>
      <w:r w:rsidR="004447A0" w:rsidRPr="00F85A58">
        <w:rPr>
          <w:lang w:val="fr-FR"/>
        </w:rPr>
        <w:t xml:space="preserve">observateur et </w:t>
      </w:r>
      <w:r w:rsidR="001826AD">
        <w:rPr>
          <w:lang w:val="fr-FR"/>
        </w:rPr>
        <w:t>3 </w:t>
      </w:r>
      <w:r w:rsidR="004447A0" w:rsidRPr="00F85A58">
        <w:rPr>
          <w:lang w:val="fr-FR"/>
        </w:rPr>
        <w:t>organisations ayant le statut d</w:t>
      </w:r>
      <w:r w:rsidR="005752E4" w:rsidRPr="00F85A58">
        <w:rPr>
          <w:lang w:val="fr-FR"/>
        </w:rPr>
        <w:t>’</w:t>
      </w:r>
      <w:r w:rsidR="004447A0" w:rsidRPr="00F85A58">
        <w:rPr>
          <w:lang w:val="fr-FR"/>
        </w:rPr>
        <w:t>observate</w:t>
      </w:r>
      <w:r w:rsidR="00F85A58" w:rsidRPr="00F85A58">
        <w:rPr>
          <w:lang w:val="fr-FR"/>
        </w:rPr>
        <w:t>ur.  L’a</w:t>
      </w:r>
      <w:r w:rsidR="00895EC6" w:rsidRPr="00F85A58">
        <w:rPr>
          <w:lang w:val="fr-FR"/>
        </w:rPr>
        <w:t>telier préparatoire qui s</w:t>
      </w:r>
      <w:r w:rsidR="005752E4" w:rsidRPr="00F85A58">
        <w:rPr>
          <w:lang w:val="fr-FR"/>
        </w:rPr>
        <w:t>’</w:t>
      </w:r>
      <w:r w:rsidR="00895EC6" w:rsidRPr="00F85A58">
        <w:rPr>
          <w:lang w:val="fr-FR"/>
        </w:rPr>
        <w:t>est tenu le 14 </w:t>
      </w:r>
      <w:r w:rsidR="005752E4" w:rsidRPr="00F85A58">
        <w:rPr>
          <w:lang w:val="fr-FR"/>
        </w:rPr>
        <w:t>juin 20</w:t>
      </w:r>
      <w:r w:rsidR="004578EB" w:rsidRPr="00F85A58">
        <w:rPr>
          <w:lang w:val="fr-FR"/>
        </w:rPr>
        <w:t>15</w:t>
      </w:r>
      <w:r w:rsidRPr="00F85A58">
        <w:rPr>
          <w:lang w:val="fr-FR"/>
        </w:rPr>
        <w:t xml:space="preserve"> </w:t>
      </w:r>
      <w:r w:rsidR="00895EC6" w:rsidRPr="00F85A58">
        <w:rPr>
          <w:lang w:val="fr-FR"/>
        </w:rPr>
        <w:t xml:space="preserve">a réuni </w:t>
      </w:r>
      <w:r w:rsidR="00B1393A" w:rsidRPr="00F85A58">
        <w:rPr>
          <w:lang w:val="fr-FR"/>
        </w:rPr>
        <w:t>17</w:t>
      </w:r>
      <w:r w:rsidR="00895EC6" w:rsidRPr="00F85A58">
        <w:rPr>
          <w:lang w:val="fr-FR"/>
        </w:rPr>
        <w:t> </w:t>
      </w:r>
      <w:r w:rsidR="00B1393A" w:rsidRPr="00F85A58">
        <w:rPr>
          <w:lang w:val="fr-FR"/>
        </w:rPr>
        <w:t xml:space="preserve">participants </w:t>
      </w:r>
      <w:r w:rsidR="003E546A" w:rsidRPr="00F85A58">
        <w:rPr>
          <w:lang w:val="fr-FR"/>
        </w:rPr>
        <w:t xml:space="preserve">représentant </w:t>
      </w:r>
      <w:r w:rsidR="00895EC6" w:rsidRPr="00F85A58">
        <w:rPr>
          <w:lang w:val="fr-FR"/>
        </w:rPr>
        <w:t>1</w:t>
      </w:r>
      <w:r w:rsidR="00B1393A" w:rsidRPr="00F85A58">
        <w:rPr>
          <w:lang w:val="fr-FR"/>
        </w:rPr>
        <w:t>1 </w:t>
      </w:r>
      <w:r w:rsidRPr="00F85A58">
        <w:rPr>
          <w:lang w:val="fr-FR"/>
        </w:rPr>
        <w:t>membr</w:t>
      </w:r>
      <w:r w:rsidR="003E546A" w:rsidRPr="00F85A58">
        <w:rPr>
          <w:lang w:val="fr-FR"/>
        </w:rPr>
        <w:t>e</w:t>
      </w:r>
      <w:r w:rsidRPr="00F85A58">
        <w:rPr>
          <w:lang w:val="fr-FR"/>
        </w:rPr>
        <w:t>s, 4</w:t>
      </w:r>
      <w:r w:rsidR="00277C91" w:rsidRPr="00F85A58">
        <w:rPr>
          <w:lang w:val="fr-FR"/>
        </w:rPr>
        <w:t> </w:t>
      </w:r>
      <w:r w:rsidR="003E546A" w:rsidRPr="00F85A58">
        <w:rPr>
          <w:lang w:val="fr-FR"/>
        </w:rPr>
        <w:t>États ayant le statut d</w:t>
      </w:r>
      <w:r w:rsidR="005752E4" w:rsidRPr="00F85A58">
        <w:rPr>
          <w:lang w:val="fr-FR"/>
        </w:rPr>
        <w:t>’</w:t>
      </w:r>
      <w:r w:rsidR="003E546A" w:rsidRPr="00F85A58">
        <w:rPr>
          <w:lang w:val="fr-FR"/>
        </w:rPr>
        <w:t xml:space="preserve">observateur et </w:t>
      </w:r>
      <w:r w:rsidR="001826AD">
        <w:rPr>
          <w:lang w:val="fr-FR"/>
        </w:rPr>
        <w:t>1 </w:t>
      </w:r>
      <w:r w:rsidR="004578EB" w:rsidRPr="00F85A58">
        <w:rPr>
          <w:lang w:val="fr-FR"/>
        </w:rPr>
        <w:t>organisation</w:t>
      </w:r>
      <w:r w:rsidR="003E546A" w:rsidRPr="00F85A58">
        <w:rPr>
          <w:lang w:val="fr-FR"/>
        </w:rPr>
        <w:t xml:space="preserve"> ayant le statut d</w:t>
      </w:r>
      <w:r w:rsidR="005752E4" w:rsidRPr="00F85A58">
        <w:rPr>
          <w:lang w:val="fr-FR"/>
        </w:rPr>
        <w:t>’</w:t>
      </w:r>
      <w:r w:rsidR="003E546A" w:rsidRPr="00F85A58">
        <w:rPr>
          <w:lang w:val="fr-FR"/>
        </w:rPr>
        <w:t>observateur</w:t>
      </w:r>
      <w:r w:rsidRPr="00F85A58">
        <w:rPr>
          <w:lang w:val="fr-FR"/>
        </w:rPr>
        <w:t>.</w:t>
      </w:r>
    </w:p>
    <w:p w:rsidR="00BA14DE" w:rsidRPr="00F85A58" w:rsidRDefault="00BA14DE" w:rsidP="0031555C">
      <w:pPr>
        <w:rPr>
          <w:lang w:val="fr-FR"/>
        </w:rPr>
      </w:pPr>
    </w:p>
    <w:p w:rsidR="005752E4" w:rsidRPr="00F85A58" w:rsidRDefault="0031555C" w:rsidP="0031555C">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t>M.</w:t>
      </w:r>
      <w:r w:rsidR="003E546A" w:rsidRPr="00F85A58">
        <w:rPr>
          <w:lang w:val="fr-FR"/>
        </w:rPr>
        <w:t> </w:t>
      </w:r>
      <w:r w:rsidR="001826AD">
        <w:rPr>
          <w:lang w:val="fr-FR"/>
        </w:rPr>
        <w:t>Martin </w:t>
      </w:r>
      <w:r w:rsidRPr="00F85A58">
        <w:rPr>
          <w:lang w:val="fr-FR"/>
        </w:rPr>
        <w:t xml:space="preserve">Ekvad, </w:t>
      </w:r>
      <w:r w:rsidR="004578EB" w:rsidRPr="00F85A58">
        <w:rPr>
          <w:lang w:val="fr-FR"/>
        </w:rPr>
        <w:t>président</w:t>
      </w:r>
      <w:r w:rsidRPr="00F85A58">
        <w:rPr>
          <w:lang w:val="fr-FR"/>
        </w:rPr>
        <w:t xml:space="preserve"> </w:t>
      </w:r>
      <w:r w:rsidR="003E546A" w:rsidRPr="00F85A58">
        <w:rPr>
          <w:lang w:val="fr-FR"/>
        </w:rPr>
        <w:t>de l</w:t>
      </w:r>
      <w:r w:rsidR="005752E4" w:rsidRPr="00F85A58">
        <w:rPr>
          <w:lang w:val="fr-FR"/>
        </w:rPr>
        <w:t>’</w:t>
      </w:r>
      <w:r w:rsidR="003E546A" w:rsidRPr="00F85A58">
        <w:rPr>
          <w:lang w:val="fr-FR"/>
        </w:rPr>
        <w:t>Office communautaire des variétés végétales de l</w:t>
      </w:r>
      <w:r w:rsidR="005752E4" w:rsidRPr="00F85A58">
        <w:rPr>
          <w:lang w:val="fr-FR"/>
        </w:rPr>
        <w:t>’</w:t>
      </w:r>
      <w:r w:rsidR="003E546A" w:rsidRPr="00F85A58">
        <w:rPr>
          <w:lang w:val="fr-FR"/>
        </w:rPr>
        <w:t>Union européenne (OCVV) a souhaité la bienvenue aux participants et a présenté un exposé sur le système de protection des obtentions végétales</w:t>
      </w:r>
      <w:r w:rsidRPr="00F85A58">
        <w:rPr>
          <w:lang w:val="fr-FR"/>
        </w:rPr>
        <w:t xml:space="preserve"> </w:t>
      </w:r>
      <w:r w:rsidR="003E546A" w:rsidRPr="00F85A58">
        <w:rPr>
          <w:lang w:val="fr-FR"/>
        </w:rPr>
        <w:t>au sein de l</w:t>
      </w:r>
      <w:r w:rsidR="005752E4" w:rsidRPr="00F85A58">
        <w:rPr>
          <w:lang w:val="fr-FR"/>
        </w:rPr>
        <w:t>’</w:t>
      </w:r>
      <w:r w:rsidRPr="00F85A58">
        <w:rPr>
          <w:lang w:val="fr-FR"/>
        </w:rPr>
        <w:t>Union</w:t>
      </w:r>
      <w:r w:rsidR="003E546A" w:rsidRPr="00F85A58">
        <w:rPr>
          <w:lang w:val="fr-FR"/>
        </w:rPr>
        <w:t xml:space="preserve"> européenne</w:t>
      </w:r>
      <w:r w:rsidRPr="00F85A58">
        <w:rPr>
          <w:lang w:val="fr-FR"/>
        </w:rPr>
        <w:t>.</w:t>
      </w:r>
    </w:p>
    <w:p w:rsidR="00BA14DE" w:rsidRPr="00F85A58" w:rsidRDefault="00BA14DE" w:rsidP="00FE080A">
      <w:pPr>
        <w:rPr>
          <w:lang w:val="fr-FR"/>
        </w:rPr>
      </w:pPr>
    </w:p>
    <w:p w:rsidR="00BA14DE" w:rsidRPr="00F85A58" w:rsidRDefault="0031555C" w:rsidP="00FE080A">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340AE0" w:rsidRPr="00F85A58">
        <w:rPr>
          <w:lang w:val="fr-FR"/>
        </w:rPr>
        <w:t xml:space="preserve">Le </w:t>
      </w:r>
      <w:r w:rsidRPr="00F85A58">
        <w:rPr>
          <w:lang w:val="fr-FR"/>
        </w:rPr>
        <w:t xml:space="preserve">TWV </w:t>
      </w:r>
      <w:r w:rsidR="00340AE0" w:rsidRPr="00F85A58">
        <w:rPr>
          <w:lang w:val="fr-FR"/>
        </w:rPr>
        <w:t xml:space="preserve">a examiné la révision des documents </w:t>
      </w:r>
      <w:r w:rsidRPr="00F85A58">
        <w:rPr>
          <w:lang w:val="fr-FR"/>
        </w:rPr>
        <w:t xml:space="preserve">TGP </w:t>
      </w:r>
      <w:r w:rsidR="00340AE0" w:rsidRPr="00F85A58">
        <w:rPr>
          <w:lang w:val="fr-FR"/>
        </w:rPr>
        <w:t xml:space="preserve">et a suivi des exposés sur </w:t>
      </w:r>
      <w:r w:rsidR="00900E0E" w:rsidRPr="00F85A58">
        <w:rPr>
          <w:lang w:val="fr-FR"/>
        </w:rPr>
        <w:t>“</w:t>
      </w:r>
      <w:r w:rsidR="00340AE0" w:rsidRPr="00F85A58">
        <w:rPr>
          <w:lang w:val="fr-FR"/>
        </w:rPr>
        <w:t>questions concernant les descriptions variétales</w:t>
      </w:r>
      <w:r w:rsidR="00900E0E" w:rsidRPr="00F85A58">
        <w:rPr>
          <w:lang w:val="fr-FR"/>
        </w:rPr>
        <w:t>”</w:t>
      </w:r>
      <w:r w:rsidRPr="00F85A58">
        <w:rPr>
          <w:lang w:val="fr-FR"/>
        </w:rPr>
        <w:t xml:space="preserve">, </w:t>
      </w:r>
      <w:r w:rsidR="00900E0E" w:rsidRPr="00F85A58">
        <w:rPr>
          <w:lang w:val="fr-FR"/>
        </w:rPr>
        <w:t>“</w:t>
      </w:r>
      <w:r w:rsidR="00340AE0" w:rsidRPr="00F85A58">
        <w:rPr>
          <w:lang w:val="fr-FR"/>
        </w:rPr>
        <w:t>expérienc</w:t>
      </w:r>
      <w:r w:rsidR="00F85A58" w:rsidRPr="00F85A58">
        <w:rPr>
          <w:lang w:val="fr-FR"/>
        </w:rPr>
        <w:t>es de nouveaux types et espèces</w:t>
      </w:r>
      <w:r w:rsidR="00900E0E" w:rsidRPr="00F85A58">
        <w:rPr>
          <w:lang w:val="fr-FR"/>
        </w:rPr>
        <w:t>”</w:t>
      </w:r>
      <w:r w:rsidRPr="00F85A58">
        <w:rPr>
          <w:lang w:val="fr-FR"/>
        </w:rPr>
        <w:t xml:space="preserve"> </w:t>
      </w:r>
      <w:r w:rsidR="00340AE0" w:rsidRPr="00F85A58">
        <w:rPr>
          <w:lang w:val="fr-FR"/>
        </w:rPr>
        <w:t>et</w:t>
      </w:r>
      <w:r w:rsidRPr="00F85A58">
        <w:rPr>
          <w:lang w:val="fr-FR"/>
        </w:rPr>
        <w:t xml:space="preserve"> </w:t>
      </w:r>
      <w:r w:rsidR="00900E0E" w:rsidRPr="00F85A58">
        <w:rPr>
          <w:lang w:val="fr-FR"/>
        </w:rPr>
        <w:t>“</w:t>
      </w:r>
      <w:r w:rsidR="00340AE0" w:rsidRPr="00F85A58">
        <w:rPr>
          <w:lang w:val="fr-FR"/>
        </w:rPr>
        <w:t>nouvelles question</w:t>
      </w:r>
      <w:r w:rsidR="004578EB" w:rsidRPr="00F85A58">
        <w:rPr>
          <w:lang w:val="fr-FR"/>
        </w:rPr>
        <w:t xml:space="preserve">s </w:t>
      </w:r>
      <w:r w:rsidR="00340AE0" w:rsidRPr="00F85A58">
        <w:rPr>
          <w:lang w:val="fr-FR"/>
        </w:rPr>
        <w:t>soulevées par les examens DHS</w:t>
      </w:r>
      <w:r w:rsidR="00900E0E" w:rsidRPr="00F85A58">
        <w:rPr>
          <w:lang w:val="fr-FR"/>
        </w:rPr>
        <w:t>”</w:t>
      </w:r>
      <w:r w:rsidRPr="00F85A58">
        <w:rPr>
          <w:lang w:val="fr-FR"/>
        </w:rPr>
        <w:t xml:space="preserve">. </w:t>
      </w:r>
      <w:r w:rsidR="00342006" w:rsidRPr="00F85A58">
        <w:rPr>
          <w:lang w:val="fr-FR"/>
        </w:rPr>
        <w:t xml:space="preserve"> </w:t>
      </w:r>
      <w:r w:rsidR="004B763A" w:rsidRPr="00F85A58">
        <w:rPr>
          <w:lang w:val="fr-FR"/>
        </w:rPr>
        <w:t xml:space="preserve">Les présentations ont été suivies par un </w:t>
      </w:r>
      <w:r w:rsidR="004578EB" w:rsidRPr="00F85A58">
        <w:rPr>
          <w:lang w:val="fr-FR"/>
        </w:rPr>
        <w:t>échange</w:t>
      </w:r>
      <w:r w:rsidR="004B763A" w:rsidRPr="00F85A58">
        <w:rPr>
          <w:lang w:val="fr-FR"/>
        </w:rPr>
        <w:t xml:space="preserve"> d</w:t>
      </w:r>
      <w:r w:rsidR="005752E4" w:rsidRPr="00F85A58">
        <w:rPr>
          <w:lang w:val="fr-FR"/>
        </w:rPr>
        <w:t>’</w:t>
      </w:r>
      <w:r w:rsidR="004B763A" w:rsidRPr="00F85A58">
        <w:rPr>
          <w:lang w:val="fr-FR"/>
        </w:rPr>
        <w:t>opinions animé concernant ces questions et le groupe s</w:t>
      </w:r>
      <w:r w:rsidR="005752E4" w:rsidRPr="00F85A58">
        <w:rPr>
          <w:lang w:val="fr-FR"/>
        </w:rPr>
        <w:t>’</w:t>
      </w:r>
      <w:r w:rsidR="004B763A" w:rsidRPr="00F85A58">
        <w:rPr>
          <w:lang w:val="fr-FR"/>
        </w:rPr>
        <w:t>est félicité de la possibilité d</w:t>
      </w:r>
      <w:r w:rsidR="005752E4" w:rsidRPr="00F85A58">
        <w:rPr>
          <w:lang w:val="fr-FR"/>
        </w:rPr>
        <w:t>’</w:t>
      </w:r>
      <w:r w:rsidR="004B763A" w:rsidRPr="00F85A58">
        <w:rPr>
          <w:lang w:val="fr-FR"/>
        </w:rPr>
        <w:t>intégrer de telles discussions ouvertes à l</w:t>
      </w:r>
      <w:r w:rsidR="005752E4" w:rsidRPr="00F85A58">
        <w:rPr>
          <w:lang w:val="fr-FR"/>
        </w:rPr>
        <w:t>’</w:t>
      </w:r>
      <w:r w:rsidR="004B763A" w:rsidRPr="00F85A58">
        <w:rPr>
          <w:lang w:val="fr-FR"/>
        </w:rPr>
        <w:t>ordre du jour à l</w:t>
      </w:r>
      <w:r w:rsidR="005752E4" w:rsidRPr="00F85A58">
        <w:rPr>
          <w:lang w:val="fr-FR"/>
        </w:rPr>
        <w:t>’</w:t>
      </w:r>
      <w:r w:rsidR="004B763A" w:rsidRPr="00F85A58">
        <w:rPr>
          <w:lang w:val="fr-FR"/>
        </w:rPr>
        <w:t>avenir.  Le débat sur l</w:t>
      </w:r>
      <w:r w:rsidR="005752E4" w:rsidRPr="00F85A58">
        <w:rPr>
          <w:lang w:val="fr-FR"/>
        </w:rPr>
        <w:t>’</w:t>
      </w:r>
      <w:r w:rsidR="004B763A" w:rsidRPr="00F85A58">
        <w:rPr>
          <w:lang w:val="fr-FR"/>
        </w:rPr>
        <w:t>utilisation de caractères de résistance aux maladies dans l</w:t>
      </w:r>
      <w:r w:rsidR="005752E4" w:rsidRPr="00F85A58">
        <w:rPr>
          <w:lang w:val="fr-FR"/>
        </w:rPr>
        <w:t>’</w:t>
      </w:r>
      <w:r w:rsidR="004B763A" w:rsidRPr="00F85A58">
        <w:rPr>
          <w:lang w:val="fr-FR"/>
        </w:rPr>
        <w:t>examen</w:t>
      </w:r>
      <w:r w:rsidR="00342006" w:rsidRPr="00F85A58">
        <w:rPr>
          <w:lang w:val="fr-FR"/>
        </w:rPr>
        <w:t> </w:t>
      </w:r>
      <w:r w:rsidR="004B763A" w:rsidRPr="00F85A58">
        <w:rPr>
          <w:lang w:val="fr-FR"/>
        </w:rPr>
        <w:t xml:space="preserve">DHS </w:t>
      </w:r>
      <w:r w:rsidR="004578EB" w:rsidRPr="00F85A58">
        <w:rPr>
          <w:lang w:val="fr-FR"/>
        </w:rPr>
        <w:t>constituera</w:t>
      </w:r>
      <w:r w:rsidR="004B763A" w:rsidRPr="00F85A58">
        <w:rPr>
          <w:lang w:val="fr-FR"/>
        </w:rPr>
        <w:t xml:space="preserve"> un sujet important lors de la prochaine session</w:t>
      </w:r>
      <w:r w:rsidR="005752E4" w:rsidRPr="00F85A58">
        <w:rPr>
          <w:lang w:val="fr-FR"/>
        </w:rPr>
        <w:t xml:space="preserve"> du TWV</w:t>
      </w:r>
      <w:r w:rsidRPr="00F85A58">
        <w:rPr>
          <w:lang w:val="fr-FR"/>
        </w:rPr>
        <w:t>.</w:t>
      </w:r>
    </w:p>
    <w:p w:rsidR="00BA14DE" w:rsidRPr="00F85A58" w:rsidRDefault="00BA14DE" w:rsidP="00FE080A">
      <w:pPr>
        <w:rPr>
          <w:lang w:val="fr-FR"/>
        </w:rPr>
      </w:pPr>
    </w:p>
    <w:p w:rsidR="005752E4" w:rsidRPr="00F85A58" w:rsidRDefault="0031555C" w:rsidP="0031555C">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D650C0" w:rsidRPr="00F85A58">
        <w:rPr>
          <w:lang w:val="fr-FR"/>
        </w:rPr>
        <w:t xml:space="preserve">Le </w:t>
      </w:r>
      <w:r w:rsidR="00DC0D3D" w:rsidRPr="00F85A58">
        <w:rPr>
          <w:lang w:val="fr-FR"/>
        </w:rPr>
        <w:t xml:space="preserve">TWV </w:t>
      </w:r>
      <w:r w:rsidR="00D650C0" w:rsidRPr="00F85A58">
        <w:rPr>
          <w:lang w:val="fr-FR"/>
        </w:rPr>
        <w:t>est convenu de présenter les projets de principes directeurs d</w:t>
      </w:r>
      <w:r w:rsidR="005752E4" w:rsidRPr="00F85A58">
        <w:rPr>
          <w:lang w:val="fr-FR"/>
        </w:rPr>
        <w:t>’</w:t>
      </w:r>
      <w:r w:rsidR="00D650C0" w:rsidRPr="00F85A58">
        <w:rPr>
          <w:lang w:val="fr-FR"/>
        </w:rPr>
        <w:t>examen ci</w:t>
      </w:r>
      <w:r w:rsidR="00F85A58" w:rsidRPr="00F85A58">
        <w:rPr>
          <w:lang w:val="fr-FR"/>
        </w:rPr>
        <w:noBreakHyphen/>
      </w:r>
      <w:r w:rsidR="00D650C0" w:rsidRPr="00F85A58">
        <w:rPr>
          <w:lang w:val="fr-FR"/>
        </w:rPr>
        <w:t>après pour adoption par le</w:t>
      </w:r>
      <w:r w:rsidR="005752E4" w:rsidRPr="00F85A58">
        <w:rPr>
          <w:lang w:val="fr-FR"/>
        </w:rPr>
        <w:t> TC</w:t>
      </w:r>
      <w:r w:rsidR="00D650C0" w:rsidRPr="00F85A58">
        <w:rPr>
          <w:lang w:val="fr-FR"/>
        </w:rPr>
        <w:t> : b</w:t>
      </w:r>
      <w:r w:rsidRPr="00F85A58">
        <w:rPr>
          <w:lang w:val="fr-FR"/>
        </w:rPr>
        <w:t>asil</w:t>
      </w:r>
      <w:r w:rsidR="00D650C0" w:rsidRPr="00F85A58">
        <w:rPr>
          <w:lang w:val="fr-FR"/>
        </w:rPr>
        <w:t>ic</w:t>
      </w:r>
      <w:r w:rsidR="00DC0D3D" w:rsidRPr="00F85A58">
        <w:rPr>
          <w:lang w:val="fr-FR"/>
        </w:rPr>
        <w:t xml:space="preserve"> (r</w:t>
      </w:r>
      <w:r w:rsidR="00D650C0" w:rsidRPr="00F85A58">
        <w:rPr>
          <w:lang w:val="fr-FR"/>
        </w:rPr>
        <w:t>é</w:t>
      </w:r>
      <w:r w:rsidR="00DC0D3D" w:rsidRPr="00F85A58">
        <w:rPr>
          <w:lang w:val="fr-FR"/>
        </w:rPr>
        <w:t>vision)</w:t>
      </w:r>
      <w:r w:rsidR="00F8490B" w:rsidRPr="00F85A58">
        <w:rPr>
          <w:lang w:val="fr-FR"/>
        </w:rPr>
        <w:t>,</w:t>
      </w:r>
      <w:r w:rsidR="00DC0D3D" w:rsidRPr="00F85A58">
        <w:rPr>
          <w:lang w:val="fr-FR"/>
        </w:rPr>
        <w:t xml:space="preserve"> </w:t>
      </w:r>
      <w:r w:rsidR="009C1BCC" w:rsidRPr="00F85A58">
        <w:rPr>
          <w:lang w:val="fr-FR"/>
        </w:rPr>
        <w:t>graminées</w:t>
      </w:r>
      <w:r w:rsidR="00DC0D3D" w:rsidRPr="00F85A58">
        <w:rPr>
          <w:lang w:val="fr-FR"/>
        </w:rPr>
        <w:t xml:space="preserve"> (</w:t>
      </w:r>
      <w:r w:rsidR="00580D4F" w:rsidRPr="00F85A58">
        <w:rPr>
          <w:lang w:val="fr-FR"/>
        </w:rPr>
        <w:t>chou</w:t>
      </w:r>
      <w:r w:rsidR="00F85A58" w:rsidRPr="00F85A58">
        <w:rPr>
          <w:lang w:val="fr-FR"/>
        </w:rPr>
        <w:noBreakHyphen/>
      </w:r>
      <w:r w:rsidR="00580D4F" w:rsidRPr="00F85A58">
        <w:rPr>
          <w:lang w:val="fr-FR"/>
        </w:rPr>
        <w:t>fleur, chou,</w:t>
      </w:r>
      <w:r w:rsidRPr="00F85A58">
        <w:rPr>
          <w:lang w:val="fr-FR"/>
        </w:rPr>
        <w:t xml:space="preserve"> </w:t>
      </w:r>
      <w:r w:rsidR="00580D4F" w:rsidRPr="00F85A58">
        <w:rPr>
          <w:lang w:val="fr-FR"/>
        </w:rPr>
        <w:t>chou de Bruxelles, chou</w:t>
      </w:r>
      <w:r w:rsidR="00F85A58" w:rsidRPr="00F85A58">
        <w:rPr>
          <w:lang w:val="fr-FR"/>
        </w:rPr>
        <w:noBreakHyphen/>
      </w:r>
      <w:r w:rsidR="00580D4F" w:rsidRPr="00F85A58">
        <w:rPr>
          <w:lang w:val="fr-FR"/>
        </w:rPr>
        <w:t>rave, chou frisé et brocoli</w:t>
      </w:r>
      <w:r w:rsidR="00DC0D3D" w:rsidRPr="00F85A58">
        <w:rPr>
          <w:lang w:val="fr-FR"/>
        </w:rPr>
        <w:t xml:space="preserve"> </w:t>
      </w:r>
      <w:r w:rsidR="00580D4F" w:rsidRPr="00F85A58">
        <w:rPr>
          <w:lang w:val="fr-FR"/>
        </w:rPr>
        <w:t>–</w:t>
      </w:r>
      <w:r w:rsidR="00DC0D3D" w:rsidRPr="00F85A58">
        <w:rPr>
          <w:lang w:val="fr-FR"/>
        </w:rPr>
        <w:t xml:space="preserve"> </w:t>
      </w:r>
      <w:r w:rsidR="00580D4F" w:rsidRPr="00F85A58">
        <w:rPr>
          <w:lang w:val="fr-FR"/>
        </w:rPr>
        <w:t>révision partielle pour le caractère de stérilité mâle</w:t>
      </w:r>
      <w:r w:rsidRPr="00F85A58">
        <w:rPr>
          <w:lang w:val="fr-FR"/>
        </w:rPr>
        <w:t>)</w:t>
      </w:r>
      <w:r w:rsidR="00DC0D3D" w:rsidRPr="00F85A58">
        <w:rPr>
          <w:lang w:val="fr-FR"/>
        </w:rPr>
        <w:t xml:space="preserve"> </w:t>
      </w:r>
      <w:r w:rsidR="00580D4F" w:rsidRPr="00F85A58">
        <w:rPr>
          <w:lang w:val="fr-FR"/>
        </w:rPr>
        <w:t>épinard</w:t>
      </w:r>
      <w:r w:rsidR="00DC0D3D" w:rsidRPr="00F85A58">
        <w:rPr>
          <w:lang w:val="fr-FR"/>
        </w:rPr>
        <w:t xml:space="preserve"> (r</w:t>
      </w:r>
      <w:r w:rsidR="00580D4F" w:rsidRPr="00F85A58">
        <w:rPr>
          <w:lang w:val="fr-FR"/>
        </w:rPr>
        <w:t>é</w:t>
      </w:r>
      <w:r w:rsidR="00DC0D3D" w:rsidRPr="00F85A58">
        <w:rPr>
          <w:lang w:val="fr-FR"/>
        </w:rPr>
        <w:t>vision</w:t>
      </w:r>
      <w:r w:rsidR="00580D4F" w:rsidRPr="00F85A58">
        <w:rPr>
          <w:lang w:val="fr-FR"/>
        </w:rPr>
        <w:t xml:space="preserve"> partielle</w:t>
      </w:r>
      <w:r w:rsidR="00DC0D3D" w:rsidRPr="00F85A58">
        <w:rPr>
          <w:lang w:val="fr-FR"/>
        </w:rPr>
        <w:t>)</w:t>
      </w:r>
      <w:r w:rsidR="00F8490B" w:rsidRPr="00F85A58">
        <w:rPr>
          <w:lang w:val="fr-FR"/>
        </w:rPr>
        <w:t>,</w:t>
      </w:r>
      <w:r w:rsidRPr="00F85A58">
        <w:rPr>
          <w:lang w:val="fr-FR"/>
        </w:rPr>
        <w:t xml:space="preserve"> </w:t>
      </w:r>
      <w:proofErr w:type="spellStart"/>
      <w:r w:rsidR="00004967" w:rsidRPr="00F85A58">
        <w:rPr>
          <w:lang w:val="fr-FR"/>
        </w:rPr>
        <w:t>prote</w:t>
      </w:r>
      <w:r w:rsidR="00F85A58" w:rsidRPr="00F85A58">
        <w:rPr>
          <w:lang w:val="fr-FR"/>
        </w:rPr>
        <w:noBreakHyphen/>
      </w:r>
      <w:r w:rsidR="00004967" w:rsidRPr="00F85A58">
        <w:rPr>
          <w:lang w:val="fr-FR"/>
        </w:rPr>
        <w:t>greffes</w:t>
      </w:r>
      <w:proofErr w:type="spellEnd"/>
      <w:r w:rsidR="00004967" w:rsidRPr="00F85A58">
        <w:rPr>
          <w:lang w:val="fr-FR"/>
        </w:rPr>
        <w:t xml:space="preserve"> de tomate</w:t>
      </w:r>
      <w:r w:rsidR="00DC0D3D" w:rsidRPr="00F85A58">
        <w:rPr>
          <w:lang w:val="fr-FR"/>
        </w:rPr>
        <w:t xml:space="preserve"> (</w:t>
      </w:r>
      <w:r w:rsidR="00004967" w:rsidRPr="00F85A58">
        <w:rPr>
          <w:lang w:val="fr-FR"/>
        </w:rPr>
        <w:t>révision partielle</w:t>
      </w:r>
      <w:r w:rsidR="00DC0D3D" w:rsidRPr="00F85A58">
        <w:rPr>
          <w:lang w:val="fr-FR"/>
        </w:rPr>
        <w:t>)</w:t>
      </w:r>
      <w:r w:rsidR="00F8490B" w:rsidRPr="00F85A58">
        <w:rPr>
          <w:lang w:val="fr-FR"/>
        </w:rPr>
        <w:t>,</w:t>
      </w:r>
      <w:r w:rsidRPr="00F85A58">
        <w:rPr>
          <w:lang w:val="fr-FR"/>
        </w:rPr>
        <w:t xml:space="preserve"> </w:t>
      </w:r>
      <w:r w:rsidR="003959CE" w:rsidRPr="00F85A58">
        <w:rPr>
          <w:lang w:val="fr-FR"/>
        </w:rPr>
        <w:t>radis et radis</w:t>
      </w:r>
      <w:r w:rsidR="00F85A58" w:rsidRPr="00F85A58">
        <w:rPr>
          <w:lang w:val="fr-FR"/>
        </w:rPr>
        <w:noBreakHyphen/>
      </w:r>
      <w:r w:rsidR="003959CE" w:rsidRPr="00F85A58">
        <w:rPr>
          <w:lang w:val="fr-FR"/>
        </w:rPr>
        <w:t>rave</w:t>
      </w:r>
      <w:r w:rsidRPr="00F85A58">
        <w:rPr>
          <w:lang w:val="fr-FR"/>
        </w:rPr>
        <w:t xml:space="preserve"> </w:t>
      </w:r>
      <w:r w:rsidR="00DC0D3D" w:rsidRPr="00F85A58">
        <w:rPr>
          <w:lang w:val="fr-FR"/>
        </w:rPr>
        <w:t>(</w:t>
      </w:r>
      <w:r w:rsidR="003959CE" w:rsidRPr="00F85A58">
        <w:rPr>
          <w:lang w:val="fr-FR"/>
        </w:rPr>
        <w:t>révision partielle</w:t>
      </w:r>
      <w:r w:rsidR="00DC0D3D" w:rsidRPr="00F85A58">
        <w:rPr>
          <w:lang w:val="fr-FR"/>
        </w:rPr>
        <w:t>)</w:t>
      </w:r>
      <w:r w:rsidRPr="00F85A58">
        <w:rPr>
          <w:lang w:val="fr-FR"/>
        </w:rPr>
        <w:t>.</w:t>
      </w:r>
    </w:p>
    <w:p w:rsidR="00BA14DE" w:rsidRPr="00F85A58" w:rsidRDefault="00BA14DE" w:rsidP="0031555C">
      <w:pPr>
        <w:rPr>
          <w:lang w:val="fr-FR"/>
        </w:rPr>
      </w:pPr>
    </w:p>
    <w:p w:rsidR="005752E4" w:rsidRPr="00F85A58" w:rsidRDefault="0031555C" w:rsidP="0031555C">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F25C67" w:rsidRPr="00F85A58">
        <w:rPr>
          <w:lang w:val="fr-FR"/>
        </w:rPr>
        <w:t>À sa cinquantième</w:t>
      </w:r>
      <w:r w:rsidR="00342006" w:rsidRPr="00F85A58">
        <w:rPr>
          <w:lang w:val="fr-FR"/>
        </w:rPr>
        <w:t> </w:t>
      </w:r>
      <w:r w:rsidR="00F25C67" w:rsidRPr="00F85A58">
        <w:rPr>
          <w:lang w:val="fr-FR"/>
        </w:rPr>
        <w:t>session</w:t>
      </w:r>
      <w:r w:rsidR="00074228" w:rsidRPr="00F85A58">
        <w:rPr>
          <w:lang w:val="fr-FR"/>
        </w:rPr>
        <w:t>,</w:t>
      </w:r>
      <w:r w:rsidR="005752E4" w:rsidRPr="00F85A58">
        <w:rPr>
          <w:lang w:val="fr-FR"/>
        </w:rPr>
        <w:t xml:space="preserve"> le TWV</w:t>
      </w:r>
      <w:r w:rsidR="00577A4E" w:rsidRPr="00F85A58">
        <w:rPr>
          <w:lang w:val="fr-FR"/>
        </w:rPr>
        <w:t xml:space="preserve"> </w:t>
      </w:r>
      <w:r w:rsidR="00F25C67" w:rsidRPr="00F85A58">
        <w:rPr>
          <w:lang w:val="fr-FR"/>
        </w:rPr>
        <w:t>a l</w:t>
      </w:r>
      <w:r w:rsidR="005752E4" w:rsidRPr="00F85A58">
        <w:rPr>
          <w:lang w:val="fr-FR"/>
        </w:rPr>
        <w:t>’</w:t>
      </w:r>
      <w:r w:rsidR="00F25C67" w:rsidRPr="00F85A58">
        <w:rPr>
          <w:lang w:val="fr-FR"/>
        </w:rPr>
        <w:t>intention d</w:t>
      </w:r>
      <w:r w:rsidR="005752E4" w:rsidRPr="00F85A58">
        <w:rPr>
          <w:lang w:val="fr-FR"/>
        </w:rPr>
        <w:t>’</w:t>
      </w:r>
      <w:r w:rsidR="00F25C67" w:rsidRPr="00F85A58">
        <w:rPr>
          <w:lang w:val="fr-FR"/>
        </w:rPr>
        <w:t>examiner trois</w:t>
      </w:r>
      <w:r w:rsidR="00342006" w:rsidRPr="00F85A58">
        <w:rPr>
          <w:lang w:val="fr-FR"/>
        </w:rPr>
        <w:t> </w:t>
      </w:r>
      <w:r w:rsidR="00F25C67" w:rsidRPr="00F85A58">
        <w:rPr>
          <w:lang w:val="fr-FR"/>
        </w:rPr>
        <w:t>nouveaux principes directeurs d</w:t>
      </w:r>
      <w:r w:rsidR="005752E4" w:rsidRPr="00F85A58">
        <w:rPr>
          <w:lang w:val="fr-FR"/>
        </w:rPr>
        <w:t>’</w:t>
      </w:r>
      <w:r w:rsidR="00F25C67" w:rsidRPr="00F85A58">
        <w:rPr>
          <w:lang w:val="fr-FR"/>
        </w:rPr>
        <w:t>examen</w:t>
      </w:r>
      <w:r w:rsidRPr="00F85A58">
        <w:rPr>
          <w:lang w:val="fr-FR"/>
        </w:rPr>
        <w:t xml:space="preserve">, </w:t>
      </w:r>
      <w:r w:rsidR="00F25C67" w:rsidRPr="00F85A58">
        <w:rPr>
          <w:lang w:val="fr-FR"/>
        </w:rPr>
        <w:t>sept</w:t>
      </w:r>
      <w:r w:rsidR="00342006" w:rsidRPr="00F85A58">
        <w:rPr>
          <w:lang w:val="fr-FR"/>
        </w:rPr>
        <w:t> </w:t>
      </w:r>
      <w:r w:rsidR="00F25C67" w:rsidRPr="00F85A58">
        <w:rPr>
          <w:lang w:val="fr-FR"/>
        </w:rPr>
        <w:t>révisions de principes directeurs d</w:t>
      </w:r>
      <w:r w:rsidR="005752E4" w:rsidRPr="00F85A58">
        <w:rPr>
          <w:lang w:val="fr-FR"/>
        </w:rPr>
        <w:t>’</w:t>
      </w:r>
      <w:r w:rsidR="00F25C67" w:rsidRPr="00F85A58">
        <w:rPr>
          <w:lang w:val="fr-FR"/>
        </w:rPr>
        <w:t>examen</w:t>
      </w:r>
      <w:r w:rsidRPr="00F85A58">
        <w:rPr>
          <w:lang w:val="fr-FR"/>
        </w:rPr>
        <w:t xml:space="preserve">, </w:t>
      </w:r>
      <w:r w:rsidR="00F25C67" w:rsidRPr="00F85A58">
        <w:rPr>
          <w:lang w:val="fr-FR"/>
        </w:rPr>
        <w:t>et une révision partielle</w:t>
      </w:r>
      <w:r w:rsidRPr="00F85A58">
        <w:rPr>
          <w:lang w:val="fr-FR"/>
        </w:rPr>
        <w:t>.</w:t>
      </w:r>
    </w:p>
    <w:p w:rsidR="00BA14DE" w:rsidRPr="00F85A58" w:rsidRDefault="00BA14DE" w:rsidP="0031555C">
      <w:pPr>
        <w:rPr>
          <w:lang w:val="fr-FR"/>
        </w:rPr>
      </w:pPr>
    </w:p>
    <w:p w:rsidR="00BA14DE" w:rsidRPr="00F85A58" w:rsidRDefault="0031555C" w:rsidP="0031555C">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0A406D" w:rsidRPr="00F85A58">
        <w:rPr>
          <w:lang w:val="fr-FR"/>
        </w:rPr>
        <w:t>Sur invitation de la République tchèque,</w:t>
      </w:r>
      <w:r w:rsidR="005752E4" w:rsidRPr="00F85A58">
        <w:rPr>
          <w:lang w:val="fr-FR"/>
        </w:rPr>
        <w:t xml:space="preserve"> le TWV</w:t>
      </w:r>
      <w:r w:rsidR="00322D8C" w:rsidRPr="00F85A58">
        <w:rPr>
          <w:lang w:val="fr-FR"/>
        </w:rPr>
        <w:t xml:space="preserve"> </w:t>
      </w:r>
      <w:r w:rsidR="000A406D" w:rsidRPr="00F85A58">
        <w:rPr>
          <w:lang w:val="fr-FR"/>
        </w:rPr>
        <w:t xml:space="preserve">est convenu de tenir sa </w:t>
      </w:r>
      <w:r w:rsidR="00476077" w:rsidRPr="00F85A58">
        <w:rPr>
          <w:lang w:val="fr-FR"/>
        </w:rPr>
        <w:t>cinquantième</w:t>
      </w:r>
      <w:r w:rsidR="00342006" w:rsidRPr="00F85A58">
        <w:rPr>
          <w:lang w:val="fr-FR"/>
        </w:rPr>
        <w:t> </w:t>
      </w:r>
      <w:r w:rsidR="00476077" w:rsidRPr="00F85A58">
        <w:rPr>
          <w:lang w:val="fr-FR"/>
        </w:rPr>
        <w:t>session à Brno (République tchèque)</w:t>
      </w:r>
      <w:r w:rsidR="00074228" w:rsidRPr="00F85A58">
        <w:rPr>
          <w:lang w:val="fr-FR"/>
        </w:rPr>
        <w:t xml:space="preserve">, </w:t>
      </w:r>
      <w:r w:rsidR="00476077" w:rsidRPr="00F85A58">
        <w:rPr>
          <w:lang w:val="fr-FR"/>
        </w:rPr>
        <w:t>du 27 juin au</w:t>
      </w:r>
      <w:r w:rsidR="005752E4" w:rsidRPr="00F85A58">
        <w:rPr>
          <w:lang w:val="fr-FR"/>
        </w:rPr>
        <w:t xml:space="preserve"> 1</w:t>
      </w:r>
      <w:r w:rsidR="005752E4" w:rsidRPr="00F85A58">
        <w:rPr>
          <w:vertAlign w:val="superscript"/>
          <w:lang w:val="fr-FR"/>
        </w:rPr>
        <w:t>er</w:t>
      </w:r>
      <w:r w:rsidR="005752E4" w:rsidRPr="00F85A58">
        <w:rPr>
          <w:lang w:val="fr-FR"/>
        </w:rPr>
        <w:t> juillet 20</w:t>
      </w:r>
      <w:r w:rsidRPr="00F85A58">
        <w:rPr>
          <w:lang w:val="fr-FR"/>
        </w:rPr>
        <w:t xml:space="preserve">16, </w:t>
      </w:r>
      <w:r w:rsidR="00476077" w:rsidRPr="00F85A58">
        <w:rPr>
          <w:lang w:val="fr-FR"/>
        </w:rPr>
        <w:t>un atelier préparatoire étant prévu le 26 </w:t>
      </w:r>
      <w:r w:rsidR="005752E4" w:rsidRPr="00F85A58">
        <w:rPr>
          <w:lang w:val="fr-FR"/>
        </w:rPr>
        <w:t>juin 20</w:t>
      </w:r>
      <w:r w:rsidRPr="00F85A58">
        <w:rPr>
          <w:lang w:val="fr-FR"/>
        </w:rPr>
        <w:t>16.</w:t>
      </w:r>
    </w:p>
    <w:p w:rsidR="00BA14DE" w:rsidRPr="00F85A58" w:rsidRDefault="00BA14DE" w:rsidP="0031555C">
      <w:pPr>
        <w:rPr>
          <w:lang w:val="fr-FR"/>
        </w:rPr>
      </w:pPr>
    </w:p>
    <w:p w:rsidR="00BA14DE" w:rsidRPr="00F85A58" w:rsidRDefault="0031555C" w:rsidP="006C6BA4">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6C6BA4" w:rsidRPr="00F85A58">
        <w:rPr>
          <w:lang w:val="fr-FR"/>
        </w:rPr>
        <w:t xml:space="preserve">Le TWV </w:t>
      </w:r>
      <w:r w:rsidR="00004967" w:rsidRPr="00F85A58">
        <w:rPr>
          <w:lang w:val="fr-FR"/>
        </w:rPr>
        <w:t xml:space="preserve">est convenu </w:t>
      </w:r>
      <w:r w:rsidR="006C6BA4" w:rsidRPr="00F85A58">
        <w:rPr>
          <w:lang w:val="fr-FR"/>
        </w:rPr>
        <w:t>d</w:t>
      </w:r>
      <w:r w:rsidR="005752E4" w:rsidRPr="00F85A58">
        <w:rPr>
          <w:lang w:val="fr-FR"/>
        </w:rPr>
        <w:t>’</w:t>
      </w:r>
      <w:r w:rsidR="006C6BA4" w:rsidRPr="00F85A58">
        <w:rPr>
          <w:lang w:val="fr-FR"/>
        </w:rPr>
        <w:t>examiner les points suivants à sa prochaine session</w:t>
      </w:r>
      <w:r w:rsidR="00212CAF" w:rsidRPr="00F85A58">
        <w:rPr>
          <w:lang w:val="fr-FR"/>
        </w:rPr>
        <w:t> </w:t>
      </w:r>
      <w:r w:rsidR="006C6BA4" w:rsidRPr="00F85A58">
        <w:rPr>
          <w:lang w:val="fr-FR"/>
        </w:rPr>
        <w:t>:</w:t>
      </w:r>
    </w:p>
    <w:p w:rsidR="00BA14DE" w:rsidRPr="00F85A58" w:rsidRDefault="00BA14DE" w:rsidP="00CE0A26">
      <w:pPr>
        <w:keepNext/>
        <w:rPr>
          <w:lang w:val="fr-FR"/>
        </w:rPr>
      </w:pPr>
    </w:p>
    <w:p w:rsidR="00BA14DE" w:rsidRPr="00F85A58" w:rsidRDefault="006C6BA4" w:rsidP="004570E2">
      <w:pPr>
        <w:keepNext/>
        <w:ind w:left="567" w:right="-425"/>
        <w:rPr>
          <w:lang w:val="fr-FR"/>
        </w:rPr>
      </w:pPr>
      <w:r w:rsidRPr="00F85A58">
        <w:rPr>
          <w:lang w:val="fr-FR"/>
        </w:rPr>
        <w:t>1.</w:t>
      </w:r>
      <w:r w:rsidRPr="00F85A58">
        <w:rPr>
          <w:lang w:val="fr-FR"/>
        </w:rPr>
        <w:tab/>
        <w:t>Ouverture de la session</w:t>
      </w:r>
    </w:p>
    <w:p w:rsidR="00BA14DE" w:rsidRPr="00F85A58" w:rsidRDefault="006C6BA4" w:rsidP="006C6BA4">
      <w:pPr>
        <w:ind w:left="567" w:right="-425"/>
        <w:rPr>
          <w:lang w:val="fr-FR"/>
        </w:rPr>
      </w:pPr>
      <w:r w:rsidRPr="00F85A58">
        <w:rPr>
          <w:lang w:val="fr-FR"/>
        </w:rPr>
        <w:t>2.</w:t>
      </w:r>
      <w:r w:rsidRPr="00F85A58">
        <w:rPr>
          <w:lang w:val="fr-FR"/>
        </w:rPr>
        <w:tab/>
        <w:t>Adoption de l</w:t>
      </w:r>
      <w:r w:rsidR="005752E4" w:rsidRPr="00F85A58">
        <w:rPr>
          <w:lang w:val="fr-FR"/>
        </w:rPr>
        <w:t>’</w:t>
      </w:r>
      <w:r w:rsidRPr="00F85A58">
        <w:rPr>
          <w:lang w:val="fr-FR"/>
        </w:rPr>
        <w:t>ordre du jour</w:t>
      </w:r>
    </w:p>
    <w:p w:rsidR="00BA14DE" w:rsidRPr="00F85A58" w:rsidRDefault="006C6BA4" w:rsidP="006C6BA4">
      <w:pPr>
        <w:ind w:left="567" w:right="-425"/>
        <w:rPr>
          <w:lang w:val="fr-FR"/>
        </w:rPr>
      </w:pPr>
      <w:r w:rsidRPr="00F85A58">
        <w:rPr>
          <w:lang w:val="fr-FR"/>
        </w:rPr>
        <w:t>3.</w:t>
      </w:r>
      <w:r w:rsidRPr="00F85A58">
        <w:rPr>
          <w:lang w:val="fr-FR"/>
        </w:rPr>
        <w:tab/>
        <w:t>Rapports succincts sur l</w:t>
      </w:r>
      <w:r w:rsidR="005752E4" w:rsidRPr="00F85A58">
        <w:rPr>
          <w:lang w:val="fr-FR"/>
        </w:rPr>
        <w:t>’</w:t>
      </w:r>
      <w:r w:rsidRPr="00F85A58">
        <w:rPr>
          <w:lang w:val="fr-FR"/>
        </w:rPr>
        <w:t>évolution de la situation en matière de protection des obtentions végétales</w:t>
      </w:r>
    </w:p>
    <w:p w:rsidR="005752E4" w:rsidRPr="00F85A58" w:rsidRDefault="006C6BA4" w:rsidP="006C6BA4">
      <w:pPr>
        <w:ind w:left="567" w:right="-425"/>
        <w:rPr>
          <w:lang w:val="fr-FR"/>
        </w:rPr>
      </w:pPr>
      <w:r w:rsidRPr="00F85A58">
        <w:rPr>
          <w:lang w:val="fr-FR"/>
        </w:rPr>
        <w:t>4.</w:t>
      </w:r>
      <w:r w:rsidRPr="00F85A58">
        <w:rPr>
          <w:lang w:val="fr-FR"/>
        </w:rPr>
        <w:tab/>
        <w:t>Rapports des membres et des observateurs</w:t>
      </w:r>
    </w:p>
    <w:p w:rsidR="005752E4" w:rsidRPr="00F85A58" w:rsidRDefault="006C6BA4" w:rsidP="006C6BA4">
      <w:pPr>
        <w:ind w:left="567" w:right="-425"/>
        <w:rPr>
          <w:lang w:val="fr-FR"/>
        </w:rPr>
      </w:pPr>
      <w:r w:rsidRPr="00F85A58">
        <w:rPr>
          <w:lang w:val="fr-FR"/>
        </w:rPr>
        <w:t>5.</w:t>
      </w:r>
      <w:r w:rsidRPr="00F85A58">
        <w:rPr>
          <w:lang w:val="fr-FR"/>
        </w:rPr>
        <w:tab/>
        <w:t>Rapports sur les faits nouveaux intervenus à l</w:t>
      </w:r>
      <w:r w:rsidR="005752E4" w:rsidRPr="00F85A58">
        <w:rPr>
          <w:lang w:val="fr-FR"/>
        </w:rPr>
        <w:t>’</w:t>
      </w:r>
      <w:r w:rsidRPr="00F85A58">
        <w:rPr>
          <w:lang w:val="fr-FR"/>
        </w:rPr>
        <w:t>UPOV</w:t>
      </w:r>
    </w:p>
    <w:p w:rsidR="005752E4" w:rsidRPr="00F85A58" w:rsidRDefault="006C6BA4" w:rsidP="006C6BA4">
      <w:pPr>
        <w:ind w:left="567" w:right="-425"/>
        <w:rPr>
          <w:lang w:val="fr-FR"/>
        </w:rPr>
      </w:pPr>
      <w:r w:rsidRPr="00F85A58">
        <w:rPr>
          <w:lang w:val="fr-FR"/>
        </w:rPr>
        <w:t>6.</w:t>
      </w:r>
      <w:r w:rsidRPr="00F85A58">
        <w:rPr>
          <w:lang w:val="fr-FR"/>
        </w:rPr>
        <w:tab/>
        <w:t>Techniques moléculaires</w:t>
      </w:r>
    </w:p>
    <w:p w:rsidR="00BA14DE" w:rsidRPr="00F85A58" w:rsidRDefault="006C6BA4" w:rsidP="006C6BA4">
      <w:pPr>
        <w:ind w:left="567" w:right="-425"/>
        <w:rPr>
          <w:lang w:val="fr-FR"/>
        </w:rPr>
      </w:pPr>
      <w:r w:rsidRPr="00F85A58">
        <w:rPr>
          <w:lang w:val="fr-FR"/>
        </w:rPr>
        <w:t>7.</w:t>
      </w:r>
      <w:r w:rsidRPr="00F85A58">
        <w:rPr>
          <w:lang w:val="fr-FR"/>
        </w:rPr>
        <w:tab/>
        <w:t>Faits nouveaux au sein de l</w:t>
      </w:r>
      <w:r w:rsidR="005752E4" w:rsidRPr="00F85A58">
        <w:rPr>
          <w:lang w:val="fr-FR"/>
        </w:rPr>
        <w:t>’</w:t>
      </w:r>
      <w:r w:rsidRPr="00F85A58">
        <w:rPr>
          <w:lang w:val="fr-FR"/>
        </w:rPr>
        <w:t>UPOV</w:t>
      </w:r>
    </w:p>
    <w:p w:rsidR="005752E4" w:rsidRPr="00F85A58" w:rsidRDefault="00877C27" w:rsidP="00877C27">
      <w:pPr>
        <w:ind w:left="567" w:right="-425"/>
        <w:rPr>
          <w:lang w:val="fr-FR"/>
        </w:rPr>
      </w:pPr>
      <w:r w:rsidRPr="00F85A58">
        <w:rPr>
          <w:lang w:val="fr-FR"/>
        </w:rPr>
        <w:t>8.</w:t>
      </w:r>
      <w:r w:rsidRPr="00F85A58">
        <w:rPr>
          <w:lang w:val="fr-FR"/>
        </w:rPr>
        <w:tab/>
        <w:t>Exposé sur l</w:t>
      </w:r>
      <w:r w:rsidR="005752E4" w:rsidRPr="00F85A58">
        <w:rPr>
          <w:lang w:val="fr-FR"/>
        </w:rPr>
        <w:t>’</w:t>
      </w:r>
      <w:r w:rsidRPr="00F85A58">
        <w:rPr>
          <w:lang w:val="fr-FR"/>
        </w:rPr>
        <w:t>utilisation de techniques moléculaires dans l</w:t>
      </w:r>
      <w:r w:rsidR="005752E4" w:rsidRPr="00F85A58">
        <w:rPr>
          <w:lang w:val="fr-FR"/>
        </w:rPr>
        <w:t>’</w:t>
      </w:r>
      <w:r w:rsidRPr="00F85A58">
        <w:rPr>
          <w:lang w:val="fr-FR"/>
        </w:rPr>
        <w:t>examen</w:t>
      </w:r>
      <w:r w:rsidR="00342006" w:rsidRPr="00F85A58">
        <w:rPr>
          <w:lang w:val="fr-FR"/>
        </w:rPr>
        <w:t> </w:t>
      </w:r>
      <w:r w:rsidRPr="00F85A58">
        <w:rPr>
          <w:lang w:val="fr-FR"/>
        </w:rPr>
        <w:t>DHS</w:t>
      </w:r>
    </w:p>
    <w:p w:rsidR="005752E4" w:rsidRPr="00F85A58" w:rsidRDefault="00877C27" w:rsidP="00877C27">
      <w:pPr>
        <w:ind w:left="567" w:right="-425"/>
        <w:rPr>
          <w:lang w:val="fr-FR"/>
        </w:rPr>
      </w:pPr>
      <w:r w:rsidRPr="00F85A58">
        <w:rPr>
          <w:lang w:val="fr-FR"/>
        </w:rPr>
        <w:t>9.</w:t>
      </w:r>
      <w:r w:rsidRPr="00F85A58">
        <w:rPr>
          <w:lang w:val="fr-FR"/>
        </w:rPr>
        <w:tab/>
        <w:t>Documents TGP</w:t>
      </w:r>
    </w:p>
    <w:p w:rsidR="005752E4" w:rsidRPr="00F85A58" w:rsidRDefault="00877C27" w:rsidP="00877C27">
      <w:pPr>
        <w:ind w:left="567" w:right="-425"/>
        <w:rPr>
          <w:lang w:val="fr-FR"/>
        </w:rPr>
      </w:pPr>
      <w:r w:rsidRPr="00F85A58">
        <w:rPr>
          <w:lang w:val="fr-FR"/>
        </w:rPr>
        <w:t>10.</w:t>
      </w:r>
      <w:r w:rsidRPr="00F85A58">
        <w:rPr>
          <w:lang w:val="fr-FR"/>
        </w:rPr>
        <w:tab/>
        <w:t>Dénominations variétales</w:t>
      </w:r>
    </w:p>
    <w:p w:rsidR="00BA14DE" w:rsidRPr="00F85A58" w:rsidRDefault="00877C27" w:rsidP="00877C27">
      <w:pPr>
        <w:ind w:left="567" w:right="-425"/>
        <w:rPr>
          <w:lang w:val="fr-FR"/>
        </w:rPr>
      </w:pPr>
      <w:r w:rsidRPr="00F85A58">
        <w:rPr>
          <w:lang w:val="fr-FR"/>
        </w:rPr>
        <w:t>11.</w:t>
      </w:r>
      <w:r w:rsidRPr="00F85A58">
        <w:rPr>
          <w:lang w:val="fr-FR"/>
        </w:rPr>
        <w:tab/>
        <w:t>Informations et bases de données</w:t>
      </w:r>
    </w:p>
    <w:p w:rsidR="005752E4" w:rsidRPr="00F85A58" w:rsidRDefault="00877C27" w:rsidP="00877C27">
      <w:pPr>
        <w:ind w:left="1134" w:right="-425"/>
        <w:rPr>
          <w:lang w:val="fr-FR"/>
        </w:rPr>
      </w:pPr>
      <w:r w:rsidRPr="00F85A58">
        <w:rPr>
          <w:lang w:val="fr-FR"/>
        </w:rPr>
        <w:t>a)</w:t>
      </w:r>
      <w:r w:rsidRPr="00F85A58">
        <w:rPr>
          <w:lang w:val="fr-FR"/>
        </w:rPr>
        <w:tab/>
        <w:t>Bases de données d</w:t>
      </w:r>
      <w:r w:rsidR="005752E4" w:rsidRPr="00F85A58">
        <w:rPr>
          <w:lang w:val="fr-FR"/>
        </w:rPr>
        <w:t>’</w:t>
      </w:r>
      <w:r w:rsidRPr="00F85A58">
        <w:rPr>
          <w:lang w:val="fr-FR"/>
        </w:rPr>
        <w:t>information de l</w:t>
      </w:r>
      <w:r w:rsidR="005752E4" w:rsidRPr="00F85A58">
        <w:rPr>
          <w:lang w:val="fr-FR"/>
        </w:rPr>
        <w:t>’</w:t>
      </w:r>
      <w:r w:rsidRPr="00F85A58">
        <w:rPr>
          <w:lang w:val="fr-FR"/>
        </w:rPr>
        <w:t>UPOV</w:t>
      </w:r>
    </w:p>
    <w:p w:rsidR="005752E4" w:rsidRPr="00F85A58" w:rsidRDefault="00212CAF" w:rsidP="00877C27">
      <w:pPr>
        <w:ind w:left="1134" w:right="-425"/>
        <w:rPr>
          <w:lang w:val="fr-FR"/>
        </w:rPr>
      </w:pPr>
      <w:r w:rsidRPr="00F85A58">
        <w:rPr>
          <w:lang w:val="fr-FR"/>
        </w:rPr>
        <w:t>b)</w:t>
      </w:r>
      <w:r w:rsidRPr="00F85A58">
        <w:rPr>
          <w:lang w:val="fr-FR"/>
        </w:rPr>
        <w:tab/>
      </w:r>
      <w:r w:rsidR="00877C27" w:rsidRPr="00F85A58">
        <w:rPr>
          <w:lang w:val="fr-FR"/>
        </w:rPr>
        <w:t>Bases de données sur les descriptions variétales</w:t>
      </w:r>
    </w:p>
    <w:p w:rsidR="005752E4" w:rsidRPr="00F85A58" w:rsidRDefault="00877C27" w:rsidP="00877C27">
      <w:pPr>
        <w:ind w:left="1134" w:right="-425"/>
        <w:rPr>
          <w:lang w:val="fr-FR"/>
        </w:rPr>
      </w:pPr>
      <w:r w:rsidRPr="00F85A58">
        <w:rPr>
          <w:lang w:val="fr-FR"/>
        </w:rPr>
        <w:t>c)</w:t>
      </w:r>
      <w:r w:rsidRPr="00F85A58">
        <w:rPr>
          <w:lang w:val="fr-FR"/>
        </w:rPr>
        <w:tab/>
        <w:t>Échange et utilisation de logiciels et d</w:t>
      </w:r>
      <w:r w:rsidR="005752E4" w:rsidRPr="00F85A58">
        <w:rPr>
          <w:lang w:val="fr-FR"/>
        </w:rPr>
        <w:t>’</w:t>
      </w:r>
      <w:r w:rsidRPr="00F85A58">
        <w:rPr>
          <w:lang w:val="fr-FR"/>
        </w:rPr>
        <w:t>équipements</w:t>
      </w:r>
    </w:p>
    <w:p w:rsidR="005752E4" w:rsidRPr="00F85A58" w:rsidRDefault="00877C27" w:rsidP="00877C27">
      <w:pPr>
        <w:ind w:left="1134" w:right="-425"/>
        <w:rPr>
          <w:lang w:val="fr-FR"/>
        </w:rPr>
      </w:pPr>
      <w:r w:rsidRPr="00F85A58">
        <w:rPr>
          <w:lang w:val="fr-FR"/>
        </w:rPr>
        <w:t>Systèmes de dépôt électronique des demandes</w:t>
      </w:r>
    </w:p>
    <w:p w:rsidR="005752E4" w:rsidRPr="00F85A58" w:rsidRDefault="00877C27" w:rsidP="00877C27">
      <w:pPr>
        <w:ind w:left="567" w:right="-425"/>
        <w:rPr>
          <w:lang w:val="fr-FR"/>
        </w:rPr>
      </w:pPr>
      <w:r w:rsidRPr="00F85A58">
        <w:rPr>
          <w:lang w:val="fr-FR"/>
        </w:rPr>
        <w:t>12.</w:t>
      </w:r>
      <w:r w:rsidRPr="00F85A58">
        <w:rPr>
          <w:lang w:val="fr-FR"/>
        </w:rPr>
        <w:tab/>
        <w:t>Évaluation de l</w:t>
      </w:r>
      <w:r w:rsidR="005752E4" w:rsidRPr="00F85A58">
        <w:rPr>
          <w:lang w:val="fr-FR"/>
        </w:rPr>
        <w:t>’</w:t>
      </w:r>
      <w:r w:rsidRPr="00F85A58">
        <w:rPr>
          <w:lang w:val="fr-FR"/>
        </w:rPr>
        <w:t>homogénéité</w:t>
      </w:r>
    </w:p>
    <w:p w:rsidR="005752E4" w:rsidRPr="00F85A58" w:rsidRDefault="00877C27" w:rsidP="00877C27">
      <w:pPr>
        <w:ind w:left="567" w:right="-425"/>
        <w:rPr>
          <w:lang w:val="fr-FR"/>
        </w:rPr>
      </w:pPr>
      <w:r w:rsidRPr="00F85A58">
        <w:rPr>
          <w:lang w:val="fr-FR"/>
        </w:rPr>
        <w:t>13.</w:t>
      </w:r>
      <w:r w:rsidRPr="00F85A58">
        <w:rPr>
          <w:lang w:val="fr-FR"/>
        </w:rPr>
        <w:tab/>
        <w:t>Expériences de nouveaux types et espèces</w:t>
      </w:r>
    </w:p>
    <w:p w:rsidR="005752E4" w:rsidRPr="00F85A58" w:rsidRDefault="00877C27" w:rsidP="00877C27">
      <w:pPr>
        <w:ind w:left="567" w:right="-425"/>
        <w:rPr>
          <w:lang w:val="fr-FR"/>
        </w:rPr>
      </w:pPr>
      <w:r w:rsidRPr="00F85A58">
        <w:rPr>
          <w:lang w:val="fr-FR"/>
        </w:rPr>
        <w:t>14.</w:t>
      </w:r>
      <w:r w:rsidRPr="00F85A58">
        <w:rPr>
          <w:lang w:val="fr-FR"/>
        </w:rPr>
        <w:tab/>
        <w:t>Nouvelles questions se posant pour l</w:t>
      </w:r>
      <w:r w:rsidR="005752E4" w:rsidRPr="00F85A58">
        <w:rPr>
          <w:lang w:val="fr-FR"/>
        </w:rPr>
        <w:t>’</w:t>
      </w:r>
      <w:r w:rsidRPr="00F85A58">
        <w:rPr>
          <w:lang w:val="fr-FR"/>
        </w:rPr>
        <w:t>examen</w:t>
      </w:r>
      <w:r w:rsidR="00342006" w:rsidRPr="00F85A58">
        <w:rPr>
          <w:lang w:val="fr-FR"/>
        </w:rPr>
        <w:t> </w:t>
      </w:r>
      <w:r w:rsidRPr="00F85A58">
        <w:rPr>
          <w:lang w:val="fr-FR"/>
        </w:rPr>
        <w:t>DHS</w:t>
      </w:r>
    </w:p>
    <w:p w:rsidR="005752E4" w:rsidRPr="00F85A58" w:rsidRDefault="00877C27" w:rsidP="00877C27">
      <w:pPr>
        <w:ind w:left="567" w:right="-425"/>
        <w:rPr>
          <w:lang w:val="fr-FR"/>
        </w:rPr>
      </w:pPr>
      <w:r w:rsidRPr="00F85A58">
        <w:rPr>
          <w:lang w:val="fr-FR"/>
        </w:rPr>
        <w:t>15.</w:t>
      </w:r>
      <w:r w:rsidRPr="00F85A58">
        <w:rPr>
          <w:lang w:val="fr-FR"/>
        </w:rPr>
        <w:tab/>
        <w:t>Utilisation de caractères de résistance aux maladies dans l</w:t>
      </w:r>
      <w:r w:rsidR="005752E4" w:rsidRPr="00F85A58">
        <w:rPr>
          <w:lang w:val="fr-FR"/>
        </w:rPr>
        <w:t>’</w:t>
      </w:r>
      <w:r w:rsidRPr="00F85A58">
        <w:rPr>
          <w:lang w:val="fr-FR"/>
        </w:rPr>
        <w:t>examen</w:t>
      </w:r>
      <w:r w:rsidR="00342006" w:rsidRPr="00F85A58">
        <w:rPr>
          <w:lang w:val="fr-FR"/>
        </w:rPr>
        <w:t> </w:t>
      </w:r>
      <w:r w:rsidRPr="00F85A58">
        <w:rPr>
          <w:lang w:val="fr-FR"/>
        </w:rPr>
        <w:t>DHS</w:t>
      </w:r>
    </w:p>
    <w:p w:rsidR="00BA14DE" w:rsidRPr="00F85A58" w:rsidRDefault="00877C27" w:rsidP="00877C27">
      <w:pPr>
        <w:ind w:left="1134" w:right="-425" w:hanging="567"/>
        <w:rPr>
          <w:lang w:val="fr-FR"/>
        </w:rPr>
      </w:pPr>
      <w:r w:rsidRPr="00F85A58">
        <w:rPr>
          <w:lang w:val="fr-FR"/>
        </w:rPr>
        <w:t>16.</w:t>
      </w:r>
      <w:r w:rsidRPr="00F85A58">
        <w:rPr>
          <w:lang w:val="fr-FR"/>
        </w:rPr>
        <w:tab/>
        <w:t>Questions en suspens concernant les principes directeurs d</w:t>
      </w:r>
      <w:r w:rsidR="005752E4" w:rsidRPr="00F85A58">
        <w:rPr>
          <w:lang w:val="fr-FR"/>
        </w:rPr>
        <w:t>’</w:t>
      </w:r>
      <w:r w:rsidRPr="00F85A58">
        <w:rPr>
          <w:lang w:val="fr-FR"/>
        </w:rPr>
        <w:t>examen adoptés par le Comité technique (le cas échéant)</w:t>
      </w:r>
    </w:p>
    <w:p w:rsidR="00BA14DE" w:rsidRPr="00F85A58" w:rsidRDefault="00877C27" w:rsidP="00877C27">
      <w:pPr>
        <w:ind w:left="567" w:right="-425"/>
        <w:rPr>
          <w:lang w:val="fr-FR"/>
        </w:rPr>
      </w:pPr>
      <w:r w:rsidRPr="00F85A58">
        <w:rPr>
          <w:lang w:val="fr-FR"/>
        </w:rPr>
        <w:t>17.</w:t>
      </w:r>
      <w:r w:rsidRPr="00F85A58">
        <w:rPr>
          <w:lang w:val="fr-FR"/>
        </w:rPr>
        <w:tab/>
        <w:t>Examen des projets de principes directeurs d</w:t>
      </w:r>
      <w:r w:rsidR="005752E4" w:rsidRPr="00F85A58">
        <w:rPr>
          <w:lang w:val="fr-FR"/>
        </w:rPr>
        <w:t>’</w:t>
      </w:r>
      <w:r w:rsidRPr="00F85A58">
        <w:rPr>
          <w:lang w:val="fr-FR"/>
        </w:rPr>
        <w:t>examen (sous</w:t>
      </w:r>
      <w:r w:rsidR="00F85A58" w:rsidRPr="00F85A58">
        <w:rPr>
          <w:lang w:val="fr-FR"/>
        </w:rPr>
        <w:noBreakHyphen/>
      </w:r>
      <w:r w:rsidRPr="00F85A58">
        <w:rPr>
          <w:lang w:val="fr-FR"/>
        </w:rPr>
        <w:t>groupes)</w:t>
      </w:r>
    </w:p>
    <w:p w:rsidR="00BA14DE" w:rsidRPr="00F85A58" w:rsidRDefault="00877C27" w:rsidP="00877C27">
      <w:pPr>
        <w:ind w:left="567" w:right="-425"/>
        <w:rPr>
          <w:lang w:val="fr-FR"/>
        </w:rPr>
      </w:pPr>
      <w:r w:rsidRPr="00F85A58">
        <w:rPr>
          <w:lang w:val="fr-FR"/>
        </w:rPr>
        <w:t>18.</w:t>
      </w:r>
      <w:r w:rsidRPr="00F85A58">
        <w:rPr>
          <w:lang w:val="fr-FR"/>
        </w:rPr>
        <w:tab/>
        <w:t>Recommandations concernant les projets de principes directeurs d</w:t>
      </w:r>
      <w:r w:rsidR="005752E4" w:rsidRPr="00F85A58">
        <w:rPr>
          <w:lang w:val="fr-FR"/>
        </w:rPr>
        <w:t>’</w:t>
      </w:r>
      <w:r w:rsidRPr="00F85A58">
        <w:rPr>
          <w:lang w:val="fr-FR"/>
        </w:rPr>
        <w:t>examen</w:t>
      </w:r>
    </w:p>
    <w:p w:rsidR="00BA14DE" w:rsidRPr="00F85A58" w:rsidRDefault="00877C27" w:rsidP="00877C27">
      <w:pPr>
        <w:ind w:left="567" w:right="-425"/>
        <w:rPr>
          <w:lang w:val="fr-FR"/>
        </w:rPr>
      </w:pPr>
      <w:r w:rsidRPr="00F85A58">
        <w:rPr>
          <w:lang w:val="fr-FR"/>
        </w:rPr>
        <w:t>19.</w:t>
      </w:r>
      <w:r w:rsidRPr="00F85A58">
        <w:rPr>
          <w:lang w:val="fr-FR"/>
        </w:rPr>
        <w:tab/>
        <w:t>Orientations pour les rédacteurs de principes directeurs d</w:t>
      </w:r>
      <w:r w:rsidR="005752E4" w:rsidRPr="00F85A58">
        <w:rPr>
          <w:lang w:val="fr-FR"/>
        </w:rPr>
        <w:t>’</w:t>
      </w:r>
      <w:r w:rsidRPr="00F85A58">
        <w:rPr>
          <w:lang w:val="fr-FR"/>
        </w:rPr>
        <w:t>examen</w:t>
      </w:r>
    </w:p>
    <w:p w:rsidR="00BA14DE" w:rsidRPr="00F85A58" w:rsidRDefault="00877C27" w:rsidP="00877C27">
      <w:pPr>
        <w:ind w:left="567" w:right="-425"/>
        <w:rPr>
          <w:lang w:val="fr-FR"/>
        </w:rPr>
      </w:pPr>
      <w:r w:rsidRPr="00F85A58">
        <w:rPr>
          <w:lang w:val="fr-FR"/>
        </w:rPr>
        <w:t>20.</w:t>
      </w:r>
      <w:r w:rsidRPr="00F85A58">
        <w:rPr>
          <w:lang w:val="fr-FR"/>
        </w:rPr>
        <w:tab/>
        <w:t>Date et lieu de la prochaine session</w:t>
      </w:r>
    </w:p>
    <w:p w:rsidR="00BA14DE" w:rsidRPr="00F85A58" w:rsidRDefault="00877C27" w:rsidP="00877C27">
      <w:pPr>
        <w:ind w:left="567" w:right="-425"/>
        <w:rPr>
          <w:lang w:val="fr-FR"/>
        </w:rPr>
      </w:pPr>
      <w:r w:rsidRPr="00F85A58">
        <w:rPr>
          <w:lang w:val="fr-FR"/>
        </w:rPr>
        <w:t>21.</w:t>
      </w:r>
      <w:r w:rsidRPr="00F85A58">
        <w:rPr>
          <w:lang w:val="fr-FR"/>
        </w:rPr>
        <w:tab/>
        <w:t>Programme futur</w:t>
      </w:r>
    </w:p>
    <w:p w:rsidR="00BA14DE" w:rsidRPr="00F85A58" w:rsidRDefault="00877C27" w:rsidP="00877C27">
      <w:pPr>
        <w:ind w:left="567" w:right="-425"/>
        <w:rPr>
          <w:lang w:val="fr-FR"/>
        </w:rPr>
      </w:pPr>
      <w:r w:rsidRPr="00F85A58">
        <w:rPr>
          <w:lang w:val="fr-FR"/>
        </w:rPr>
        <w:t>22.</w:t>
      </w:r>
      <w:r w:rsidRPr="00F85A58">
        <w:rPr>
          <w:lang w:val="fr-FR"/>
        </w:rPr>
        <w:tab/>
        <w:t>Compte rendu de la session (selon le temps disponible)</w:t>
      </w:r>
    </w:p>
    <w:p w:rsidR="00BA14DE" w:rsidRPr="00F85A58" w:rsidRDefault="00877C27" w:rsidP="00877C27">
      <w:pPr>
        <w:ind w:left="567" w:right="-425"/>
        <w:rPr>
          <w:lang w:val="fr-FR"/>
        </w:rPr>
      </w:pPr>
      <w:r w:rsidRPr="00F85A58">
        <w:rPr>
          <w:lang w:val="fr-FR"/>
        </w:rPr>
        <w:t>23.</w:t>
      </w:r>
      <w:r w:rsidRPr="00F85A58">
        <w:rPr>
          <w:lang w:val="fr-FR"/>
        </w:rPr>
        <w:tab/>
        <w:t>Clôture de la session</w:t>
      </w:r>
    </w:p>
    <w:p w:rsidR="00BA14DE" w:rsidRPr="00F85A58" w:rsidRDefault="00BA14DE" w:rsidP="00F37FA5">
      <w:pPr>
        <w:rPr>
          <w:lang w:val="fr-FR"/>
        </w:rPr>
      </w:pPr>
    </w:p>
    <w:p w:rsidR="00BA14DE" w:rsidRPr="00F85A58" w:rsidRDefault="00F37FA5" w:rsidP="00F37FA5">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623ED1" w:rsidRPr="00F85A58">
        <w:rPr>
          <w:lang w:val="fr-FR"/>
        </w:rPr>
        <w:t>Dans l</w:t>
      </w:r>
      <w:r w:rsidR="005752E4" w:rsidRPr="00F85A58">
        <w:rPr>
          <w:lang w:val="fr-FR"/>
        </w:rPr>
        <w:t>’</w:t>
      </w:r>
      <w:r w:rsidR="00623ED1" w:rsidRPr="00F85A58">
        <w:rPr>
          <w:lang w:val="fr-FR"/>
        </w:rPr>
        <w:t>après</w:t>
      </w:r>
      <w:r w:rsidR="00F85A58" w:rsidRPr="00F85A58">
        <w:rPr>
          <w:lang w:val="fr-FR"/>
        </w:rPr>
        <w:noBreakHyphen/>
      </w:r>
      <w:r w:rsidR="00623ED1" w:rsidRPr="00F85A58">
        <w:rPr>
          <w:lang w:val="fr-FR"/>
        </w:rPr>
        <w:t xml:space="preserve">midi du </w:t>
      </w:r>
      <w:r w:rsidRPr="00F85A58">
        <w:rPr>
          <w:lang w:val="fr-FR"/>
        </w:rPr>
        <w:t>17</w:t>
      </w:r>
      <w:r w:rsidR="00623ED1" w:rsidRPr="00F85A58">
        <w:rPr>
          <w:lang w:val="fr-FR"/>
        </w:rPr>
        <w:t> </w:t>
      </w:r>
      <w:r w:rsidR="005752E4" w:rsidRPr="00F85A58">
        <w:rPr>
          <w:lang w:val="fr-FR"/>
        </w:rPr>
        <w:t>juin 20</w:t>
      </w:r>
      <w:r w:rsidRPr="00F85A58">
        <w:rPr>
          <w:lang w:val="fr-FR"/>
        </w:rPr>
        <w:t>15,</w:t>
      </w:r>
      <w:r w:rsidR="005752E4" w:rsidRPr="00F85A58">
        <w:rPr>
          <w:lang w:val="fr-FR"/>
        </w:rPr>
        <w:t xml:space="preserve"> le TWV</w:t>
      </w:r>
      <w:r w:rsidRPr="00F85A58">
        <w:rPr>
          <w:lang w:val="fr-FR"/>
        </w:rPr>
        <w:t xml:space="preserve"> </w:t>
      </w:r>
      <w:r w:rsidR="00623ED1" w:rsidRPr="00F85A58">
        <w:rPr>
          <w:lang w:val="fr-FR"/>
        </w:rPr>
        <w:t>a visité la station d</w:t>
      </w:r>
      <w:r w:rsidR="005752E4" w:rsidRPr="00F85A58">
        <w:rPr>
          <w:lang w:val="fr-FR"/>
        </w:rPr>
        <w:t>’</w:t>
      </w:r>
      <w:r w:rsidR="00623ED1" w:rsidRPr="00F85A58">
        <w:rPr>
          <w:lang w:val="fr-FR"/>
        </w:rPr>
        <w:t xml:space="preserve">examen du </w:t>
      </w:r>
      <w:r w:rsidRPr="00F85A58">
        <w:rPr>
          <w:lang w:val="fr-FR"/>
        </w:rPr>
        <w:t>Groupe d</w:t>
      </w:r>
      <w:r w:rsidR="005752E4" w:rsidRPr="00F85A58">
        <w:rPr>
          <w:lang w:val="fr-FR"/>
        </w:rPr>
        <w:t>’</w:t>
      </w:r>
      <w:r w:rsidRPr="00F85A58">
        <w:rPr>
          <w:lang w:val="fr-FR"/>
        </w:rPr>
        <w:t xml:space="preserve">étude et de contrôle des variétés et des semences </w:t>
      </w:r>
      <w:r w:rsidR="00623ED1" w:rsidRPr="00F85A58">
        <w:rPr>
          <w:lang w:val="fr-FR"/>
        </w:rPr>
        <w:t xml:space="preserve">à Brion.  </w:t>
      </w:r>
      <w:r w:rsidRPr="00F85A58">
        <w:rPr>
          <w:lang w:val="fr-FR"/>
        </w:rPr>
        <w:t>M.</w:t>
      </w:r>
      <w:r w:rsidR="00623ED1" w:rsidRPr="00F85A58">
        <w:rPr>
          <w:lang w:val="fr-FR"/>
        </w:rPr>
        <w:t> </w:t>
      </w:r>
      <w:r w:rsidR="001826AD">
        <w:rPr>
          <w:lang w:val="fr-FR"/>
        </w:rPr>
        <w:t>Pascal </w:t>
      </w:r>
      <w:r w:rsidRPr="00F85A58">
        <w:rPr>
          <w:lang w:val="fr-FR"/>
        </w:rPr>
        <w:t xml:space="preserve">Coquin, </w:t>
      </w:r>
      <w:r w:rsidR="00623ED1" w:rsidRPr="00F85A58">
        <w:rPr>
          <w:lang w:val="fr-FR"/>
        </w:rPr>
        <w:t>d</w:t>
      </w:r>
      <w:r w:rsidRPr="00F85A58">
        <w:rPr>
          <w:lang w:val="fr-FR"/>
        </w:rPr>
        <w:t>irect</w:t>
      </w:r>
      <w:r w:rsidR="00623ED1" w:rsidRPr="00F85A58">
        <w:rPr>
          <w:lang w:val="fr-FR"/>
        </w:rPr>
        <w:t xml:space="preserve">eur de la station de </w:t>
      </w:r>
      <w:r w:rsidRPr="00F85A58">
        <w:rPr>
          <w:lang w:val="fr-FR"/>
        </w:rPr>
        <w:t>Brion</w:t>
      </w:r>
      <w:r w:rsidR="00623ED1" w:rsidRPr="00F85A58">
        <w:rPr>
          <w:lang w:val="fr-FR"/>
        </w:rPr>
        <w:t xml:space="preserve"> a souhaité la bienvenue aux participan</w:t>
      </w:r>
      <w:r w:rsidR="00F85A58" w:rsidRPr="00F85A58">
        <w:rPr>
          <w:lang w:val="fr-FR"/>
        </w:rPr>
        <w:t>ts.  Le</w:t>
      </w:r>
      <w:r w:rsidR="005752E4" w:rsidRPr="00F85A58">
        <w:rPr>
          <w:lang w:val="fr-FR"/>
        </w:rPr>
        <w:t> TWV</w:t>
      </w:r>
      <w:r w:rsidRPr="00F85A58">
        <w:rPr>
          <w:lang w:val="fr-FR"/>
        </w:rPr>
        <w:t xml:space="preserve"> </w:t>
      </w:r>
      <w:r w:rsidR="00623ED1" w:rsidRPr="00F85A58">
        <w:rPr>
          <w:lang w:val="fr-FR"/>
        </w:rPr>
        <w:t>a visité les essais DHS des variétés suivantes </w:t>
      </w:r>
      <w:r w:rsidR="001826AD">
        <w:rPr>
          <w:lang w:val="fr-FR"/>
        </w:rPr>
        <w:t xml:space="preserve">: </w:t>
      </w:r>
      <w:r w:rsidR="00623ED1" w:rsidRPr="00F85A58">
        <w:rPr>
          <w:lang w:val="fr-FR"/>
        </w:rPr>
        <w:t xml:space="preserve">laitue, échalote, pois et </w:t>
      </w:r>
      <w:r w:rsidRPr="00F85A58">
        <w:rPr>
          <w:lang w:val="fr-FR"/>
        </w:rPr>
        <w:t>quinoa</w:t>
      </w:r>
      <w:r w:rsidR="00623ED1" w:rsidRPr="00F85A58">
        <w:rPr>
          <w:lang w:val="fr-FR"/>
        </w:rPr>
        <w:t>, ainsi que les essais spéciaux sur les caractères de résistance aux maladies</w:t>
      </w:r>
      <w:r w:rsidRPr="00F85A58">
        <w:rPr>
          <w:lang w:val="fr-FR"/>
        </w:rPr>
        <w:t xml:space="preserve"> </w:t>
      </w:r>
      <w:r w:rsidR="00623ED1" w:rsidRPr="00F85A58">
        <w:rPr>
          <w:lang w:val="fr-FR"/>
        </w:rPr>
        <w:t>de la lait</w:t>
      </w:r>
      <w:r w:rsidR="00F85A58" w:rsidRPr="00F85A58">
        <w:rPr>
          <w:lang w:val="fr-FR"/>
        </w:rPr>
        <w:t>ue.  Le</w:t>
      </w:r>
      <w:r w:rsidR="005752E4" w:rsidRPr="00F85A58">
        <w:rPr>
          <w:lang w:val="fr-FR"/>
        </w:rPr>
        <w:t> TWV</w:t>
      </w:r>
      <w:r w:rsidRPr="00F85A58">
        <w:rPr>
          <w:lang w:val="fr-FR"/>
        </w:rPr>
        <w:t xml:space="preserve"> a</w:t>
      </w:r>
      <w:r w:rsidR="00623ED1" w:rsidRPr="00F85A58">
        <w:rPr>
          <w:lang w:val="fr-FR"/>
        </w:rPr>
        <w:t xml:space="preserve"> également visité un test d</w:t>
      </w:r>
      <w:r w:rsidR="005752E4" w:rsidRPr="00F85A58">
        <w:rPr>
          <w:lang w:val="fr-FR"/>
        </w:rPr>
        <w:t>’</w:t>
      </w:r>
      <w:r w:rsidR="00623ED1" w:rsidRPr="00F85A58">
        <w:rPr>
          <w:lang w:val="fr-FR"/>
        </w:rPr>
        <w:t xml:space="preserve">étalonnage organisé en </w:t>
      </w:r>
      <w:r w:rsidRPr="00F85A58">
        <w:rPr>
          <w:lang w:val="fr-FR"/>
        </w:rPr>
        <w:t>conj</w:t>
      </w:r>
      <w:r w:rsidR="00487767" w:rsidRPr="00F85A58">
        <w:rPr>
          <w:lang w:val="fr-FR"/>
        </w:rPr>
        <w:t>o</w:t>
      </w:r>
      <w:r w:rsidRPr="00F85A58">
        <w:rPr>
          <w:lang w:val="fr-FR"/>
        </w:rPr>
        <w:t xml:space="preserve">nction </w:t>
      </w:r>
      <w:r w:rsidR="00487767" w:rsidRPr="00F85A58">
        <w:rPr>
          <w:lang w:val="fr-FR"/>
        </w:rPr>
        <w:t>avec la révision des principes directeurs d</w:t>
      </w:r>
      <w:r w:rsidR="005752E4" w:rsidRPr="00F85A58">
        <w:rPr>
          <w:lang w:val="fr-FR"/>
        </w:rPr>
        <w:t>’</w:t>
      </w:r>
      <w:r w:rsidR="00487767" w:rsidRPr="00F85A58">
        <w:rPr>
          <w:lang w:val="fr-FR"/>
        </w:rPr>
        <w:t>examen de la laitue</w:t>
      </w:r>
      <w:r w:rsidRPr="00F85A58">
        <w:rPr>
          <w:lang w:val="fr-FR"/>
        </w:rPr>
        <w:t>.</w:t>
      </w:r>
    </w:p>
    <w:p w:rsidR="00BA14DE" w:rsidRPr="00F85A58" w:rsidRDefault="00BA14DE" w:rsidP="00F37FA5">
      <w:pPr>
        <w:rPr>
          <w:lang w:val="fr-FR"/>
        </w:rPr>
      </w:pPr>
    </w:p>
    <w:p w:rsidR="00BA14DE" w:rsidRPr="00F85A58" w:rsidRDefault="00F37FA5" w:rsidP="00F37FA5">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A844BC" w:rsidRPr="00F85A58">
        <w:rPr>
          <w:lang w:val="fr-FR"/>
        </w:rPr>
        <w:t xml:space="preserve">Le </w:t>
      </w:r>
      <w:r w:rsidRPr="00F85A58">
        <w:rPr>
          <w:lang w:val="fr-FR"/>
        </w:rPr>
        <w:t xml:space="preserve">TWV </w:t>
      </w:r>
      <w:r w:rsidR="00A844BC" w:rsidRPr="00F85A58">
        <w:rPr>
          <w:lang w:val="fr-FR"/>
        </w:rPr>
        <w:t xml:space="preserve">a visité la société </w:t>
      </w:r>
      <w:r w:rsidRPr="00F85A58">
        <w:rPr>
          <w:lang w:val="fr-FR"/>
        </w:rPr>
        <w:t>HM Clause</w:t>
      </w:r>
      <w:r w:rsidR="00A844BC" w:rsidRPr="00F85A58">
        <w:rPr>
          <w:lang w:val="fr-FR"/>
        </w:rPr>
        <w:t>, filiale</w:t>
      </w:r>
      <w:r w:rsidRPr="00F85A58">
        <w:rPr>
          <w:lang w:val="fr-FR"/>
        </w:rPr>
        <w:t xml:space="preserve"> </w:t>
      </w:r>
      <w:r w:rsidR="00A844BC" w:rsidRPr="00F85A58">
        <w:rPr>
          <w:lang w:val="fr-FR"/>
        </w:rPr>
        <w:t xml:space="preserve">du groupe semencier </w:t>
      </w:r>
      <w:proofErr w:type="spellStart"/>
      <w:r w:rsidR="00A844BC" w:rsidRPr="00F85A58">
        <w:rPr>
          <w:lang w:val="fr-FR"/>
        </w:rPr>
        <w:t>Li</w:t>
      </w:r>
      <w:r w:rsidRPr="00F85A58">
        <w:rPr>
          <w:lang w:val="fr-FR"/>
        </w:rPr>
        <w:t>magrain</w:t>
      </w:r>
      <w:proofErr w:type="spellEnd"/>
      <w:r w:rsidRPr="00F85A58">
        <w:rPr>
          <w:lang w:val="fr-FR"/>
        </w:rPr>
        <w:t xml:space="preserve"> </w:t>
      </w:r>
      <w:r w:rsidR="00A844BC" w:rsidRPr="00F85A58">
        <w:rPr>
          <w:lang w:val="fr-FR"/>
        </w:rPr>
        <w:t>à</w:t>
      </w:r>
      <w:r w:rsidRPr="00F85A58">
        <w:rPr>
          <w:lang w:val="fr-FR"/>
        </w:rPr>
        <w:t xml:space="preserve"> La </w:t>
      </w:r>
      <w:proofErr w:type="spellStart"/>
      <w:r w:rsidRPr="00F85A58">
        <w:rPr>
          <w:lang w:val="fr-FR"/>
        </w:rPr>
        <w:t>Bohalle</w:t>
      </w:r>
      <w:proofErr w:type="spellEnd"/>
      <w:r w:rsidR="00A844BC" w:rsidRPr="00F85A58">
        <w:rPr>
          <w:lang w:val="fr-FR"/>
        </w:rPr>
        <w:t xml:space="preserve"> (Fran</w:t>
      </w:r>
      <w:r w:rsidR="00F85A58" w:rsidRPr="00F85A58">
        <w:rPr>
          <w:lang w:val="fr-FR"/>
        </w:rPr>
        <w:t>ce).  Ce</w:t>
      </w:r>
      <w:r w:rsidR="00A844BC" w:rsidRPr="00F85A58">
        <w:rPr>
          <w:lang w:val="fr-FR"/>
        </w:rPr>
        <w:t>tte société est spécialisée dans la sélection et la production des semences de légumes de neuf</w:t>
      </w:r>
      <w:r w:rsidR="00342006" w:rsidRPr="00F85A58">
        <w:rPr>
          <w:lang w:val="fr-FR"/>
        </w:rPr>
        <w:t> </w:t>
      </w:r>
      <w:r w:rsidR="00A844BC" w:rsidRPr="00F85A58">
        <w:rPr>
          <w:lang w:val="fr-FR"/>
        </w:rPr>
        <w:t>variétés, notamment la tomate, le poivron et le mel</w:t>
      </w:r>
      <w:r w:rsidR="00F85A58" w:rsidRPr="00F85A58">
        <w:rPr>
          <w:lang w:val="fr-FR"/>
        </w:rPr>
        <w:t>on.  Le</w:t>
      </w:r>
      <w:r w:rsidR="00DE0951" w:rsidRPr="00F85A58">
        <w:rPr>
          <w:lang w:val="fr-FR"/>
        </w:rPr>
        <w:t>s participants ont visité les installations consacrées à la sélection et les laboratoires consacrés aux marqueurs moléculaires, à la biologie cellulaire et à la pathologie végétale</w:t>
      </w:r>
      <w:r w:rsidRPr="00F85A58">
        <w:rPr>
          <w:lang w:val="fr-FR"/>
        </w:rPr>
        <w:t>.</w:t>
      </w:r>
    </w:p>
    <w:p w:rsidR="00BA14DE" w:rsidRPr="00F85A58" w:rsidRDefault="00BA14DE" w:rsidP="00050E16">
      <w:pPr>
        <w:rPr>
          <w:lang w:val="fr-FR"/>
        </w:rPr>
      </w:pPr>
    </w:p>
    <w:p w:rsidR="00BA14DE" w:rsidRPr="00F85A58" w:rsidRDefault="00877C27" w:rsidP="004570E2">
      <w:pPr>
        <w:pStyle w:val="Heading3"/>
      </w:pPr>
      <w:r w:rsidRPr="00F85A58">
        <w:t>Groupe de travail sur les techniques biochimiques et moléculaires, notamment les profils d</w:t>
      </w:r>
      <w:r w:rsidR="005752E4" w:rsidRPr="00F85A58">
        <w:t>’</w:t>
      </w:r>
      <w:r w:rsidRPr="00F85A58">
        <w:t>ADN</w:t>
      </w:r>
    </w:p>
    <w:p w:rsidR="00BA14DE" w:rsidRPr="00F85A58" w:rsidRDefault="00BA14DE" w:rsidP="003D3E08">
      <w:pPr>
        <w:keepNext/>
        <w:rPr>
          <w:lang w:val="fr-FR"/>
        </w:rPr>
      </w:pPr>
    </w:p>
    <w:p w:rsidR="00BA14DE" w:rsidRPr="00F85A58" w:rsidRDefault="00B75539"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690279" w:rsidRPr="00F85A58">
        <w:rPr>
          <w:lang w:val="fr-FR"/>
        </w:rPr>
        <w:t xml:space="preserve">Aucune réunion </w:t>
      </w:r>
      <w:r w:rsidR="00746064" w:rsidRPr="00F85A58">
        <w:rPr>
          <w:lang w:val="fr-FR"/>
        </w:rPr>
        <w:t>du G</w:t>
      </w:r>
      <w:r w:rsidR="00690279" w:rsidRPr="00F85A58">
        <w:rPr>
          <w:lang w:val="fr-FR"/>
        </w:rPr>
        <w:t>roupe de travail sur les techniques biochimiques et moléculaires, notamment les profils d</w:t>
      </w:r>
      <w:r w:rsidR="005752E4" w:rsidRPr="00F85A58">
        <w:rPr>
          <w:lang w:val="fr-FR"/>
        </w:rPr>
        <w:t>’</w:t>
      </w:r>
      <w:r w:rsidR="00690279" w:rsidRPr="00F85A58">
        <w:rPr>
          <w:lang w:val="fr-FR"/>
        </w:rPr>
        <w:t xml:space="preserve">ADN </w:t>
      </w:r>
      <w:r w:rsidR="0062070E" w:rsidRPr="00F85A58">
        <w:rPr>
          <w:lang w:val="fr-FR"/>
        </w:rPr>
        <w:t xml:space="preserve">(BMT) </w:t>
      </w:r>
      <w:r w:rsidR="00690279" w:rsidRPr="00F85A58">
        <w:rPr>
          <w:lang w:val="fr-FR"/>
        </w:rPr>
        <w:t>n</w:t>
      </w:r>
      <w:r w:rsidR="005752E4" w:rsidRPr="00F85A58">
        <w:rPr>
          <w:lang w:val="fr-FR"/>
        </w:rPr>
        <w:t>’</w:t>
      </w:r>
      <w:r w:rsidR="00690279" w:rsidRPr="00F85A58">
        <w:rPr>
          <w:lang w:val="fr-FR"/>
        </w:rPr>
        <w:t>a été tenue en </w:t>
      </w:r>
      <w:r w:rsidR="0062070E" w:rsidRPr="00F85A58">
        <w:rPr>
          <w:lang w:val="fr-FR"/>
        </w:rPr>
        <w:t>2015.</w:t>
      </w:r>
    </w:p>
    <w:p w:rsidR="00BA14DE" w:rsidRPr="00F85A58" w:rsidRDefault="00BA14DE" w:rsidP="003D3E08">
      <w:pPr>
        <w:keepNext/>
        <w:rPr>
          <w:lang w:val="fr-FR"/>
        </w:rPr>
      </w:pPr>
    </w:p>
    <w:p w:rsidR="005752E4" w:rsidRPr="00F85A58" w:rsidRDefault="00A1634D"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690279" w:rsidRPr="00F85A58">
        <w:rPr>
          <w:lang w:val="fr-FR"/>
        </w:rPr>
        <w:t>Le</w:t>
      </w:r>
      <w:r w:rsidR="005752E4" w:rsidRPr="00F85A58">
        <w:rPr>
          <w:lang w:val="fr-FR"/>
        </w:rPr>
        <w:t> TC</w:t>
      </w:r>
      <w:r w:rsidRPr="00F85A58">
        <w:rPr>
          <w:lang w:val="fr-FR"/>
        </w:rPr>
        <w:t xml:space="preserve"> </w:t>
      </w:r>
      <w:r w:rsidR="00690279" w:rsidRPr="00F85A58">
        <w:rPr>
          <w:lang w:val="fr-FR"/>
        </w:rPr>
        <w:t xml:space="preserve">a suivi un exposé vidéo présenté par </w:t>
      </w:r>
      <w:r w:rsidR="00DD3F98" w:rsidRPr="00F85A58">
        <w:rPr>
          <w:lang w:val="fr-FR"/>
        </w:rPr>
        <w:t xml:space="preserve">la Fédération de Russie </w:t>
      </w:r>
      <w:r w:rsidR="008010D0" w:rsidRPr="00F85A58">
        <w:rPr>
          <w:lang w:val="fr-FR"/>
        </w:rPr>
        <w:t xml:space="preserve">concernant </w:t>
      </w:r>
      <w:r w:rsidR="00DD3F98" w:rsidRPr="00F85A58">
        <w:rPr>
          <w:lang w:val="fr-FR"/>
        </w:rPr>
        <w:t>le lieu où se déroulera la quinzième</w:t>
      </w:r>
      <w:r w:rsidR="00342006" w:rsidRPr="00F85A58">
        <w:rPr>
          <w:lang w:val="fr-FR"/>
        </w:rPr>
        <w:t> </w:t>
      </w:r>
      <w:r w:rsidR="00DD3F98" w:rsidRPr="00F85A58">
        <w:rPr>
          <w:lang w:val="fr-FR"/>
        </w:rPr>
        <w:t>session</w:t>
      </w:r>
      <w:r w:rsidR="005752E4" w:rsidRPr="00F85A58">
        <w:rPr>
          <w:lang w:val="fr-FR"/>
        </w:rPr>
        <w:t xml:space="preserve"> du BMT</w:t>
      </w:r>
      <w:r w:rsidR="00DD3F98" w:rsidRPr="00F85A58">
        <w:rPr>
          <w:lang w:val="fr-FR"/>
        </w:rPr>
        <w:t xml:space="preserve"> qui doit se tenir à Moscou du </w:t>
      </w:r>
      <w:r w:rsidR="00D86B6D" w:rsidRPr="00F85A58">
        <w:rPr>
          <w:lang w:val="fr-FR"/>
        </w:rPr>
        <w:t xml:space="preserve">24 </w:t>
      </w:r>
      <w:r w:rsidR="00DD3F98" w:rsidRPr="00F85A58">
        <w:rPr>
          <w:lang w:val="fr-FR"/>
        </w:rPr>
        <w:t xml:space="preserve">au </w:t>
      </w:r>
      <w:r w:rsidR="00D86B6D" w:rsidRPr="00F85A58">
        <w:rPr>
          <w:lang w:val="fr-FR"/>
        </w:rPr>
        <w:t>2</w:t>
      </w:r>
      <w:r w:rsidR="005752E4" w:rsidRPr="00F85A58">
        <w:rPr>
          <w:lang w:val="fr-FR"/>
        </w:rPr>
        <w:t>7 mai 20</w:t>
      </w:r>
      <w:r w:rsidR="00D86B6D" w:rsidRPr="00F85A58">
        <w:rPr>
          <w:lang w:val="fr-FR"/>
        </w:rPr>
        <w:t xml:space="preserve">16, </w:t>
      </w:r>
      <w:r w:rsidR="00DD3F98" w:rsidRPr="00F85A58">
        <w:rPr>
          <w:lang w:val="fr-FR"/>
        </w:rPr>
        <w:t xml:space="preserve">un atelier préparatoire étant prévu le </w:t>
      </w:r>
      <w:r w:rsidR="00D86B6D" w:rsidRPr="00F85A58">
        <w:rPr>
          <w:lang w:val="fr-FR"/>
        </w:rPr>
        <w:t>2</w:t>
      </w:r>
      <w:r w:rsidR="005752E4" w:rsidRPr="00F85A58">
        <w:rPr>
          <w:lang w:val="fr-FR"/>
        </w:rPr>
        <w:t>3 mai 20</w:t>
      </w:r>
      <w:r w:rsidR="00D86B6D" w:rsidRPr="00F85A58">
        <w:rPr>
          <w:lang w:val="fr-FR"/>
        </w:rPr>
        <w:t xml:space="preserve">16.  </w:t>
      </w:r>
      <w:r w:rsidR="008010D0" w:rsidRPr="00F85A58">
        <w:rPr>
          <w:lang w:val="fr-FR"/>
        </w:rPr>
        <w:t>Le</w:t>
      </w:r>
      <w:r w:rsidR="005752E4" w:rsidRPr="00F85A58">
        <w:rPr>
          <w:lang w:val="fr-FR"/>
        </w:rPr>
        <w:t> TC</w:t>
      </w:r>
      <w:r w:rsidR="0072050B" w:rsidRPr="00F85A58">
        <w:rPr>
          <w:lang w:val="fr-FR"/>
        </w:rPr>
        <w:t xml:space="preserve"> </w:t>
      </w:r>
      <w:r w:rsidR="008010D0" w:rsidRPr="00F85A58">
        <w:rPr>
          <w:lang w:val="fr-FR"/>
        </w:rPr>
        <w:t>a pris note du fait qu</w:t>
      </w:r>
      <w:r w:rsidR="005752E4" w:rsidRPr="00F85A58">
        <w:rPr>
          <w:lang w:val="fr-FR"/>
        </w:rPr>
        <w:t>’</w:t>
      </w:r>
      <w:r w:rsidR="008010D0" w:rsidRPr="00F85A58">
        <w:rPr>
          <w:lang w:val="fr-FR"/>
        </w:rPr>
        <w:t>une copie de la vidéo serait disponible sur le site</w:t>
      </w:r>
      <w:r w:rsidR="00342006" w:rsidRPr="00F85A58">
        <w:rPr>
          <w:lang w:val="fr-FR"/>
        </w:rPr>
        <w:t> </w:t>
      </w:r>
      <w:r w:rsidR="008010D0" w:rsidRPr="00F85A58">
        <w:rPr>
          <w:lang w:val="fr-FR"/>
        </w:rPr>
        <w:t>Web de l</w:t>
      </w:r>
      <w:r w:rsidR="005752E4" w:rsidRPr="00F85A58">
        <w:rPr>
          <w:lang w:val="fr-FR"/>
        </w:rPr>
        <w:t>’</w:t>
      </w:r>
      <w:r w:rsidR="008010D0" w:rsidRPr="00F85A58">
        <w:rPr>
          <w:lang w:val="fr-FR"/>
        </w:rPr>
        <w:t>UPOV consacré</w:t>
      </w:r>
      <w:r w:rsidR="005752E4" w:rsidRPr="00F85A58">
        <w:rPr>
          <w:lang w:val="fr-FR"/>
        </w:rPr>
        <w:t xml:space="preserve"> au BMT</w:t>
      </w:r>
      <w:r w:rsidR="001C36B0" w:rsidRPr="00F85A58">
        <w:rPr>
          <w:lang w:val="fr-FR"/>
        </w:rPr>
        <w:t>.</w:t>
      </w:r>
    </w:p>
    <w:p w:rsidR="00BA14DE" w:rsidRPr="00F85A58" w:rsidRDefault="00BA14DE" w:rsidP="00050E16">
      <w:pPr>
        <w:rPr>
          <w:lang w:val="fr-FR"/>
        </w:rPr>
      </w:pPr>
    </w:p>
    <w:p w:rsidR="00BA14DE" w:rsidRPr="00F85A58" w:rsidRDefault="00BA14DE" w:rsidP="00050E16">
      <w:pPr>
        <w:rPr>
          <w:lang w:val="fr-FR"/>
        </w:rPr>
      </w:pPr>
    </w:p>
    <w:p w:rsidR="00BA14DE" w:rsidRPr="00F85A58" w:rsidRDefault="00877C27" w:rsidP="00877C27">
      <w:pPr>
        <w:keepNext/>
        <w:rPr>
          <w:u w:val="single"/>
          <w:lang w:val="fr-FR"/>
        </w:rPr>
      </w:pPr>
      <w:r w:rsidRPr="00F85A58">
        <w:rPr>
          <w:u w:val="single"/>
          <w:lang w:val="fr-FR"/>
        </w:rPr>
        <w:t>Questions découlant des travaux des groupes de travail techniques</w:t>
      </w:r>
    </w:p>
    <w:p w:rsidR="00BA14DE" w:rsidRPr="00F85A58" w:rsidRDefault="00BA14DE" w:rsidP="003D3E08">
      <w:pPr>
        <w:keepNext/>
        <w:rPr>
          <w:lang w:val="fr-FR"/>
        </w:rPr>
      </w:pPr>
    </w:p>
    <w:p w:rsidR="00BA14DE" w:rsidRPr="00F85A58" w:rsidRDefault="00B75539" w:rsidP="00877C27">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877C27" w:rsidRPr="00F85A58">
        <w:rPr>
          <w:lang w:val="fr-FR"/>
        </w:rPr>
        <w:t>Le</w:t>
      </w:r>
      <w:r w:rsidR="005752E4" w:rsidRPr="00F85A58">
        <w:rPr>
          <w:lang w:val="fr-FR"/>
        </w:rPr>
        <w:t> TC</w:t>
      </w:r>
      <w:r w:rsidR="00877C27" w:rsidRPr="00F85A58">
        <w:rPr>
          <w:lang w:val="fr-FR"/>
        </w:rPr>
        <w:t xml:space="preserve"> examine le </w:t>
      </w:r>
      <w:r w:rsidR="005752E4" w:rsidRPr="00F85A58">
        <w:rPr>
          <w:lang w:val="fr-FR"/>
        </w:rPr>
        <w:t>document TC</w:t>
      </w:r>
      <w:r w:rsidR="00877C27" w:rsidRPr="00F85A58">
        <w:rPr>
          <w:lang w:val="fr-FR"/>
        </w:rPr>
        <w:t>/52/3.</w:t>
      </w:r>
    </w:p>
    <w:p w:rsidR="00BA14DE" w:rsidRPr="00F85A58" w:rsidRDefault="00BA14DE" w:rsidP="00050E16">
      <w:pPr>
        <w:rPr>
          <w:lang w:val="fr-FR"/>
        </w:rPr>
      </w:pPr>
    </w:p>
    <w:p w:rsidR="00BA14DE" w:rsidRPr="00F85A58" w:rsidRDefault="00B75539" w:rsidP="00050E16">
      <w:pPr>
        <w:rPr>
          <w:b/>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CD3CAE" w:rsidRPr="00F85A58">
        <w:rPr>
          <w:lang w:val="fr-FR"/>
        </w:rPr>
        <w:t>Le</w:t>
      </w:r>
      <w:r w:rsidR="005752E4" w:rsidRPr="00F85A58">
        <w:rPr>
          <w:lang w:val="fr-FR"/>
        </w:rPr>
        <w:t> TC</w:t>
      </w:r>
      <w:r w:rsidRPr="00F85A58">
        <w:rPr>
          <w:lang w:val="fr-FR"/>
        </w:rPr>
        <w:t xml:space="preserve"> </w:t>
      </w:r>
      <w:r w:rsidR="00CD3CAE" w:rsidRPr="00F85A58">
        <w:rPr>
          <w:lang w:val="fr-FR"/>
        </w:rPr>
        <w:t>convient de demander aux experts des membres de l</w:t>
      </w:r>
      <w:r w:rsidR="005752E4" w:rsidRPr="00F85A58">
        <w:rPr>
          <w:lang w:val="fr-FR"/>
        </w:rPr>
        <w:t>’</w:t>
      </w:r>
      <w:r w:rsidR="00CD3CAE" w:rsidRPr="00F85A58">
        <w:rPr>
          <w:lang w:val="fr-FR"/>
        </w:rPr>
        <w:t xml:space="preserve">UPOV </w:t>
      </w:r>
      <w:r w:rsidR="00D45DB2" w:rsidRPr="00F85A58">
        <w:rPr>
          <w:lang w:val="fr-FR"/>
        </w:rPr>
        <w:t>de fournir des données au Royaume</w:t>
      </w:r>
      <w:r w:rsidR="00F85A58" w:rsidRPr="00F85A58">
        <w:rPr>
          <w:lang w:val="fr-FR"/>
        </w:rPr>
        <w:noBreakHyphen/>
      </w:r>
      <w:r w:rsidR="00D45DB2" w:rsidRPr="00F85A58">
        <w:rPr>
          <w:lang w:val="fr-FR"/>
        </w:rPr>
        <w:t>Uni aux fins d</w:t>
      </w:r>
      <w:r w:rsidR="005752E4" w:rsidRPr="00F85A58">
        <w:rPr>
          <w:lang w:val="fr-FR"/>
        </w:rPr>
        <w:t>’</w:t>
      </w:r>
      <w:r w:rsidR="00D45DB2" w:rsidRPr="00F85A58">
        <w:rPr>
          <w:lang w:val="fr-FR"/>
        </w:rPr>
        <w:t>élaboration de la méthode en vue d</w:t>
      </w:r>
      <w:r w:rsidR="005752E4" w:rsidRPr="00F85A58">
        <w:rPr>
          <w:lang w:val="fr-FR"/>
        </w:rPr>
        <w:t>’</w:t>
      </w:r>
      <w:r w:rsidR="00D45DB2" w:rsidRPr="00F85A58">
        <w:rPr>
          <w:lang w:val="fr-FR"/>
        </w:rPr>
        <w:t>exclure les variétés notoirement connues du second cycle de végétation lorsque l</w:t>
      </w:r>
      <w:r w:rsidR="005752E4" w:rsidRPr="00F85A58">
        <w:rPr>
          <w:lang w:val="fr-FR"/>
        </w:rPr>
        <w:t>’</w:t>
      </w:r>
      <w:r w:rsidR="00D45DB2" w:rsidRPr="00F85A58">
        <w:rPr>
          <w:lang w:val="fr-FR"/>
        </w:rPr>
        <w:t>on applique la méthode COYD, tel qu</w:t>
      </w:r>
      <w:r w:rsidR="005752E4" w:rsidRPr="00F85A58">
        <w:rPr>
          <w:lang w:val="fr-FR"/>
        </w:rPr>
        <w:t>’</w:t>
      </w:r>
      <w:r w:rsidR="00D45DB2" w:rsidRPr="00F85A58">
        <w:rPr>
          <w:lang w:val="fr-FR"/>
        </w:rPr>
        <w:t xml:space="preserve">indiqué au </w:t>
      </w:r>
      <w:r w:rsidR="00746064" w:rsidRPr="00F85A58">
        <w:rPr>
          <w:lang w:val="fr-FR"/>
        </w:rPr>
        <w:t>paragraphe</w:t>
      </w:r>
      <w:r w:rsidR="00D45DB2" w:rsidRPr="00F85A58">
        <w:rPr>
          <w:lang w:val="fr-FR"/>
        </w:rPr>
        <w:t> </w:t>
      </w:r>
      <w:r w:rsidRPr="00F85A58">
        <w:rPr>
          <w:lang w:val="fr-FR"/>
        </w:rPr>
        <w:t xml:space="preserve">6 </w:t>
      </w:r>
      <w:r w:rsidR="00D45DB2" w:rsidRPr="00F85A58">
        <w:rPr>
          <w:lang w:val="fr-FR"/>
        </w:rPr>
        <w:t xml:space="preserve">du </w:t>
      </w:r>
      <w:r w:rsidR="005752E4" w:rsidRPr="00F85A58">
        <w:rPr>
          <w:lang w:val="fr-FR"/>
        </w:rPr>
        <w:t>document TC</w:t>
      </w:r>
      <w:r w:rsidRPr="00F85A58">
        <w:rPr>
          <w:lang w:val="fr-FR"/>
        </w:rPr>
        <w:t>/52/3.</w:t>
      </w:r>
      <w:r w:rsidR="008D13BB" w:rsidRPr="00F85A58">
        <w:rPr>
          <w:lang w:val="fr-FR"/>
        </w:rPr>
        <w:t xml:space="preserve">  </w:t>
      </w:r>
      <w:r w:rsidR="00D45DB2" w:rsidRPr="00F85A58">
        <w:rPr>
          <w:lang w:val="fr-FR"/>
        </w:rPr>
        <w:t>Le</w:t>
      </w:r>
      <w:r w:rsidR="005752E4" w:rsidRPr="00F85A58">
        <w:rPr>
          <w:lang w:val="fr-FR"/>
        </w:rPr>
        <w:t> TC</w:t>
      </w:r>
      <w:r w:rsidR="008D13BB" w:rsidRPr="00F85A58">
        <w:rPr>
          <w:lang w:val="fr-FR"/>
        </w:rPr>
        <w:t xml:space="preserve"> note </w:t>
      </w:r>
      <w:r w:rsidR="00D45DB2" w:rsidRPr="00F85A58">
        <w:rPr>
          <w:lang w:val="fr-FR"/>
        </w:rPr>
        <w:t>que le Bureau de l</w:t>
      </w:r>
      <w:r w:rsidR="005752E4" w:rsidRPr="00F85A58">
        <w:rPr>
          <w:lang w:val="fr-FR"/>
        </w:rPr>
        <w:t>’</w:t>
      </w:r>
      <w:r w:rsidR="008D13BB" w:rsidRPr="00F85A58">
        <w:rPr>
          <w:lang w:val="fr-FR"/>
        </w:rPr>
        <w:t xml:space="preserve">Union </w:t>
      </w:r>
      <w:r w:rsidR="00D45DB2" w:rsidRPr="00F85A58">
        <w:rPr>
          <w:lang w:val="fr-FR"/>
        </w:rPr>
        <w:t>diffuserait une circulaire sollicitant des contributions de données</w:t>
      </w:r>
      <w:r w:rsidR="008D13BB" w:rsidRPr="00F85A58">
        <w:rPr>
          <w:lang w:val="fr-FR"/>
        </w:rPr>
        <w:t>.</w:t>
      </w:r>
    </w:p>
    <w:p w:rsidR="00BA14DE" w:rsidRPr="00F85A58" w:rsidRDefault="00BA14DE" w:rsidP="00050E16">
      <w:pPr>
        <w:rPr>
          <w:lang w:val="fr-FR"/>
        </w:rPr>
      </w:pPr>
    </w:p>
    <w:p w:rsidR="00BA14DE" w:rsidRPr="00F85A58" w:rsidRDefault="00B75539" w:rsidP="00B75539">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B64276" w:rsidRPr="00F85A58">
        <w:rPr>
          <w:lang w:val="fr-FR"/>
        </w:rPr>
        <w:t>Le</w:t>
      </w:r>
      <w:r w:rsidR="005752E4" w:rsidRPr="00F85A58">
        <w:rPr>
          <w:lang w:val="fr-FR"/>
        </w:rPr>
        <w:t> TC</w:t>
      </w:r>
      <w:r w:rsidRPr="00F85A58">
        <w:rPr>
          <w:lang w:val="fr-FR"/>
        </w:rPr>
        <w:t xml:space="preserve"> </w:t>
      </w:r>
      <w:r w:rsidR="00B64276" w:rsidRPr="00F85A58">
        <w:rPr>
          <w:lang w:val="fr-FR"/>
        </w:rPr>
        <w:t>convient d</w:t>
      </w:r>
      <w:r w:rsidR="005752E4" w:rsidRPr="00F85A58">
        <w:rPr>
          <w:lang w:val="fr-FR"/>
        </w:rPr>
        <w:t>’</w:t>
      </w:r>
      <w:r w:rsidR="00B64276" w:rsidRPr="00F85A58">
        <w:rPr>
          <w:lang w:val="fr-FR"/>
        </w:rPr>
        <w:t xml:space="preserve">inclure </w:t>
      </w:r>
      <w:r w:rsidR="00BC1544" w:rsidRPr="00F85A58">
        <w:rPr>
          <w:lang w:val="fr-FR"/>
        </w:rPr>
        <w:t>l</w:t>
      </w:r>
      <w:r w:rsidR="005752E4" w:rsidRPr="00F85A58">
        <w:rPr>
          <w:lang w:val="fr-FR"/>
        </w:rPr>
        <w:t>’</w:t>
      </w:r>
      <w:r w:rsidR="00BC1544" w:rsidRPr="00F85A58">
        <w:rPr>
          <w:lang w:val="fr-FR"/>
        </w:rPr>
        <w:t>élaboration de seuils calculés aux fins d</w:t>
      </w:r>
      <w:r w:rsidR="005752E4" w:rsidRPr="00F85A58">
        <w:rPr>
          <w:lang w:val="fr-FR"/>
        </w:rPr>
        <w:t>’</w:t>
      </w:r>
      <w:r w:rsidR="00BC1544" w:rsidRPr="00F85A58">
        <w:rPr>
          <w:lang w:val="fr-FR"/>
        </w:rPr>
        <w:t>exclusion des variétés notoirement connues du second cycle de végétation lorsque l</w:t>
      </w:r>
      <w:r w:rsidR="005752E4" w:rsidRPr="00F85A58">
        <w:rPr>
          <w:lang w:val="fr-FR"/>
        </w:rPr>
        <w:t>’</w:t>
      </w:r>
      <w:r w:rsidR="00BC1544" w:rsidRPr="00F85A58">
        <w:rPr>
          <w:lang w:val="fr-FR"/>
        </w:rPr>
        <w:t>on applique la méthode COYD à l</w:t>
      </w:r>
      <w:r w:rsidR="005752E4" w:rsidRPr="00F85A58">
        <w:rPr>
          <w:lang w:val="fr-FR"/>
        </w:rPr>
        <w:t>’</w:t>
      </w:r>
      <w:r w:rsidR="00BC1544" w:rsidRPr="00F85A58">
        <w:rPr>
          <w:lang w:val="fr-FR"/>
        </w:rPr>
        <w:t xml:space="preserve">ordre du jour de </w:t>
      </w:r>
      <w:r w:rsidR="00B52202" w:rsidRPr="00F85A58">
        <w:rPr>
          <w:lang w:val="fr-FR"/>
        </w:rPr>
        <w:t>s</w:t>
      </w:r>
      <w:r w:rsidR="00BC1544" w:rsidRPr="00F85A58">
        <w:rPr>
          <w:lang w:val="fr-FR"/>
        </w:rPr>
        <w:t xml:space="preserve">a </w:t>
      </w:r>
      <w:r w:rsidR="00B52202" w:rsidRPr="00F85A58">
        <w:rPr>
          <w:lang w:val="fr-FR"/>
        </w:rPr>
        <w:t>cinquante</w:t>
      </w:r>
      <w:r w:rsidR="00F85A58" w:rsidRPr="00F85A58">
        <w:rPr>
          <w:lang w:val="fr-FR"/>
        </w:rPr>
        <w:noBreakHyphen/>
      </w:r>
      <w:r w:rsidR="00B52202" w:rsidRPr="00F85A58">
        <w:rPr>
          <w:lang w:val="fr-FR"/>
        </w:rPr>
        <w:t>troisième</w:t>
      </w:r>
      <w:r w:rsidR="00342006" w:rsidRPr="00F85A58">
        <w:rPr>
          <w:lang w:val="fr-FR"/>
        </w:rPr>
        <w:t> </w:t>
      </w:r>
      <w:r w:rsidR="00B52202" w:rsidRPr="00F85A58">
        <w:rPr>
          <w:lang w:val="fr-FR"/>
        </w:rPr>
        <w:t>session, étant entendu qu</w:t>
      </w:r>
      <w:r w:rsidR="005752E4" w:rsidRPr="00F85A58">
        <w:rPr>
          <w:lang w:val="fr-FR"/>
        </w:rPr>
        <w:t>’</w:t>
      </w:r>
      <w:r w:rsidR="00B52202" w:rsidRPr="00F85A58">
        <w:rPr>
          <w:lang w:val="fr-FR"/>
        </w:rPr>
        <w:t>un document serait établi par le Royau</w:t>
      </w:r>
      <w:r w:rsidR="00746064" w:rsidRPr="00F85A58">
        <w:rPr>
          <w:lang w:val="fr-FR"/>
        </w:rPr>
        <w:t>m</w:t>
      </w:r>
      <w:r w:rsidR="00B52202" w:rsidRPr="00F85A58">
        <w:rPr>
          <w:lang w:val="fr-FR"/>
        </w:rPr>
        <w:t>e</w:t>
      </w:r>
      <w:r w:rsidR="00F85A58" w:rsidRPr="00F85A58">
        <w:rPr>
          <w:lang w:val="fr-FR"/>
        </w:rPr>
        <w:noBreakHyphen/>
      </w:r>
      <w:r w:rsidR="00B52202" w:rsidRPr="00F85A58">
        <w:rPr>
          <w:lang w:val="fr-FR"/>
        </w:rPr>
        <w:t>Uni</w:t>
      </w:r>
      <w:r w:rsidR="00791DD3" w:rsidRPr="00F85A58">
        <w:rPr>
          <w:lang w:val="fr-FR"/>
        </w:rPr>
        <w:t>.</w:t>
      </w:r>
    </w:p>
    <w:p w:rsidR="00BA14DE" w:rsidRPr="00F85A58" w:rsidRDefault="00BA14DE" w:rsidP="00050E16">
      <w:pPr>
        <w:rPr>
          <w:lang w:val="fr-FR"/>
        </w:rPr>
      </w:pPr>
    </w:p>
    <w:p w:rsidR="00BA14DE" w:rsidRPr="00F85A58" w:rsidRDefault="00791DD3"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D475E1" w:rsidRPr="00F85A58">
        <w:rPr>
          <w:lang w:val="fr-FR"/>
        </w:rPr>
        <w:t>Le</w:t>
      </w:r>
      <w:r w:rsidR="005752E4" w:rsidRPr="00F85A58">
        <w:rPr>
          <w:lang w:val="fr-FR"/>
        </w:rPr>
        <w:t> TC</w:t>
      </w:r>
      <w:r w:rsidRPr="00F85A58">
        <w:rPr>
          <w:lang w:val="fr-FR"/>
        </w:rPr>
        <w:t xml:space="preserve"> </w:t>
      </w:r>
      <w:r w:rsidR="00D475E1" w:rsidRPr="00F85A58">
        <w:rPr>
          <w:lang w:val="fr-FR"/>
        </w:rPr>
        <w:t xml:space="preserve">prend note des faits nouveaux survenus au sein des groupes de travail techniques </w:t>
      </w:r>
      <w:r w:rsidR="00074228" w:rsidRPr="00F85A58">
        <w:rPr>
          <w:lang w:val="fr-FR"/>
        </w:rPr>
        <w:t>(</w:t>
      </w:r>
      <w:r w:rsidRPr="00F85A58">
        <w:rPr>
          <w:lang w:val="fr-FR"/>
        </w:rPr>
        <w:t>TWP</w:t>
      </w:r>
      <w:r w:rsidR="00074228" w:rsidRPr="00F85A58">
        <w:rPr>
          <w:lang w:val="fr-FR"/>
        </w:rPr>
        <w:t>)</w:t>
      </w:r>
      <w:r w:rsidRPr="00F85A58">
        <w:rPr>
          <w:lang w:val="fr-FR"/>
        </w:rPr>
        <w:t xml:space="preserve"> </w:t>
      </w:r>
      <w:r w:rsidR="00D475E1" w:rsidRPr="00F85A58">
        <w:rPr>
          <w:lang w:val="fr-FR"/>
        </w:rPr>
        <w:t xml:space="preserve">concernant les questions suivantes figurant dans le </w:t>
      </w:r>
      <w:r w:rsidR="005752E4" w:rsidRPr="00F85A58">
        <w:rPr>
          <w:lang w:val="fr-FR"/>
        </w:rPr>
        <w:t>document TC</w:t>
      </w:r>
      <w:r w:rsidR="006C697C" w:rsidRPr="00F85A58">
        <w:rPr>
          <w:lang w:val="fr-FR"/>
        </w:rPr>
        <w:t>/52/3</w:t>
      </w:r>
      <w:r w:rsidR="00342006" w:rsidRPr="00F85A58">
        <w:rPr>
          <w:lang w:val="fr-FR"/>
        </w:rPr>
        <w:t> </w:t>
      </w:r>
      <w:r w:rsidRPr="00F85A58">
        <w:rPr>
          <w:lang w:val="fr-FR"/>
        </w:rPr>
        <w:t>:</w:t>
      </w:r>
    </w:p>
    <w:p w:rsidR="00BA14DE" w:rsidRPr="00F85A58" w:rsidRDefault="00BA14DE" w:rsidP="003D3E08">
      <w:pPr>
        <w:keepNext/>
        <w:rPr>
          <w:lang w:val="fr-FR"/>
        </w:rPr>
      </w:pPr>
    </w:p>
    <w:p w:rsidR="00BA14DE" w:rsidRPr="00F85A58" w:rsidRDefault="00877C27" w:rsidP="00877C27">
      <w:pPr>
        <w:keepNext/>
        <w:ind w:left="567"/>
        <w:rPr>
          <w:lang w:val="fr-FR"/>
        </w:rPr>
      </w:pPr>
      <w:r w:rsidRPr="00F85A58">
        <w:rPr>
          <w:lang w:val="fr-FR"/>
        </w:rPr>
        <w:t>a)</w:t>
      </w:r>
      <w:r w:rsidRPr="00F85A58">
        <w:rPr>
          <w:lang w:val="fr-FR"/>
        </w:rPr>
        <w:tab/>
        <w:t>expériences de nouveaux types et espèces</w:t>
      </w:r>
      <w:r w:rsidR="001211B0" w:rsidRPr="00F85A58">
        <w:rPr>
          <w:lang w:val="fr-FR"/>
        </w:rPr>
        <w:t>,</w:t>
      </w:r>
    </w:p>
    <w:p w:rsidR="00BA14DE" w:rsidRPr="00F85A58" w:rsidRDefault="00791DD3" w:rsidP="00791DD3">
      <w:pPr>
        <w:ind w:left="567"/>
        <w:rPr>
          <w:lang w:val="fr-FR"/>
        </w:rPr>
      </w:pPr>
      <w:r w:rsidRPr="00F85A58">
        <w:rPr>
          <w:lang w:val="fr-FR"/>
        </w:rPr>
        <w:t>b)</w:t>
      </w:r>
      <w:r w:rsidRPr="00F85A58">
        <w:rPr>
          <w:lang w:val="fr-FR"/>
        </w:rPr>
        <w:tab/>
      </w:r>
      <w:r w:rsidR="004B2326" w:rsidRPr="00F85A58">
        <w:rPr>
          <w:lang w:val="fr-FR"/>
        </w:rPr>
        <w:t>nouvelle questions soulevées par l</w:t>
      </w:r>
      <w:r w:rsidR="005752E4" w:rsidRPr="00F85A58">
        <w:rPr>
          <w:lang w:val="fr-FR"/>
        </w:rPr>
        <w:t>’</w:t>
      </w:r>
      <w:r w:rsidR="004B2326" w:rsidRPr="00F85A58">
        <w:rPr>
          <w:lang w:val="fr-FR"/>
        </w:rPr>
        <w:t>examen</w:t>
      </w:r>
      <w:r w:rsidR="00342006" w:rsidRPr="00F85A58">
        <w:rPr>
          <w:lang w:val="fr-FR"/>
        </w:rPr>
        <w:t> </w:t>
      </w:r>
      <w:r w:rsidR="004B2326" w:rsidRPr="00F85A58">
        <w:rPr>
          <w:lang w:val="fr-FR"/>
        </w:rPr>
        <w:t>DHS</w:t>
      </w:r>
      <w:r w:rsidR="001211B0" w:rsidRPr="00F85A58">
        <w:rPr>
          <w:lang w:val="fr-FR"/>
        </w:rPr>
        <w:t>,</w:t>
      </w:r>
    </w:p>
    <w:p w:rsidR="00BA14DE" w:rsidRPr="00F85A58" w:rsidRDefault="00877C27" w:rsidP="00877C27">
      <w:pPr>
        <w:ind w:left="567"/>
        <w:rPr>
          <w:lang w:val="fr-FR"/>
        </w:rPr>
      </w:pPr>
      <w:r w:rsidRPr="00F85A58">
        <w:rPr>
          <w:lang w:val="fr-FR"/>
        </w:rPr>
        <w:t>c)</w:t>
      </w:r>
      <w:r w:rsidRPr="00F85A58">
        <w:rPr>
          <w:lang w:val="fr-FR"/>
        </w:rPr>
        <w:tab/>
        <w:t>utilisation de caractères de résistance aux maladies dans l</w:t>
      </w:r>
      <w:r w:rsidR="005752E4" w:rsidRPr="00F85A58">
        <w:rPr>
          <w:lang w:val="fr-FR"/>
        </w:rPr>
        <w:t>’</w:t>
      </w:r>
      <w:r w:rsidRPr="00F85A58">
        <w:rPr>
          <w:lang w:val="fr-FR"/>
        </w:rPr>
        <w:t>examen</w:t>
      </w:r>
      <w:r w:rsidR="00342006" w:rsidRPr="00F85A58">
        <w:rPr>
          <w:lang w:val="fr-FR"/>
        </w:rPr>
        <w:t> </w:t>
      </w:r>
      <w:r w:rsidRPr="00F85A58">
        <w:rPr>
          <w:lang w:val="fr-FR"/>
        </w:rPr>
        <w:t>DHS</w:t>
      </w:r>
      <w:r w:rsidR="001211B0" w:rsidRPr="00F85A58">
        <w:rPr>
          <w:lang w:val="fr-FR"/>
        </w:rPr>
        <w:t>,</w:t>
      </w:r>
    </w:p>
    <w:p w:rsidR="005752E4" w:rsidRPr="00F85A58" w:rsidRDefault="00877C27" w:rsidP="004570E2">
      <w:pPr>
        <w:ind w:left="1134" w:hanging="567"/>
        <w:rPr>
          <w:lang w:val="fr-FR"/>
        </w:rPr>
      </w:pPr>
      <w:r w:rsidRPr="00F85A58">
        <w:rPr>
          <w:lang w:val="fr-FR"/>
        </w:rPr>
        <w:t>d)</w:t>
      </w:r>
      <w:r w:rsidRPr="00F85A58">
        <w:rPr>
          <w:lang w:val="fr-FR"/>
        </w:rPr>
        <w:tab/>
        <w:t>influence de différentes sources sur le matériel multiplié par voie végétative utilisé dans l</w:t>
      </w:r>
      <w:r w:rsidR="005752E4" w:rsidRPr="00F85A58">
        <w:rPr>
          <w:lang w:val="fr-FR"/>
        </w:rPr>
        <w:t>’</w:t>
      </w:r>
      <w:r w:rsidRPr="00F85A58">
        <w:rPr>
          <w:lang w:val="fr-FR"/>
        </w:rPr>
        <w:t>examen</w:t>
      </w:r>
      <w:r w:rsidR="00342006" w:rsidRPr="00F85A58">
        <w:rPr>
          <w:lang w:val="fr-FR"/>
        </w:rPr>
        <w:t> </w:t>
      </w:r>
      <w:r w:rsidRPr="00F85A58">
        <w:rPr>
          <w:lang w:val="fr-FR"/>
        </w:rPr>
        <w:t>DHS</w:t>
      </w:r>
      <w:r w:rsidR="001211B0" w:rsidRPr="00F85A58">
        <w:rPr>
          <w:lang w:val="fr-FR"/>
        </w:rPr>
        <w:t>,</w:t>
      </w:r>
    </w:p>
    <w:p w:rsidR="00BA14DE" w:rsidRPr="00F85A58" w:rsidRDefault="00877C27" w:rsidP="00877C27">
      <w:pPr>
        <w:ind w:left="567"/>
        <w:rPr>
          <w:lang w:val="fr-FR"/>
        </w:rPr>
      </w:pPr>
      <w:r w:rsidRPr="00F85A58">
        <w:rPr>
          <w:lang w:val="fr-FR"/>
        </w:rPr>
        <w:t>e)</w:t>
      </w:r>
      <w:r w:rsidRPr="00F85A58">
        <w:rPr>
          <w:lang w:val="fr-FR"/>
        </w:rPr>
        <w:tab/>
        <w:t>exemples de différentes pratiques de plus en plus fréquentes en matière d</w:t>
      </w:r>
      <w:r w:rsidR="005752E4" w:rsidRPr="00F85A58">
        <w:rPr>
          <w:lang w:val="fr-FR"/>
        </w:rPr>
        <w:t>’</w:t>
      </w:r>
      <w:r w:rsidRPr="00F85A58">
        <w:rPr>
          <w:lang w:val="fr-FR"/>
        </w:rPr>
        <w:t>examen</w:t>
      </w:r>
      <w:r w:rsidR="00342006" w:rsidRPr="00F85A58">
        <w:rPr>
          <w:lang w:val="fr-FR"/>
        </w:rPr>
        <w:t> </w:t>
      </w:r>
      <w:r w:rsidRPr="00F85A58">
        <w:rPr>
          <w:lang w:val="fr-FR"/>
        </w:rPr>
        <w:t>DHS;</w:t>
      </w:r>
    </w:p>
    <w:p w:rsidR="00BA14DE" w:rsidRPr="00F85A58" w:rsidRDefault="00877C27" w:rsidP="00877C27">
      <w:pPr>
        <w:ind w:left="567"/>
        <w:rPr>
          <w:lang w:val="fr-FR"/>
        </w:rPr>
      </w:pPr>
      <w:r w:rsidRPr="00F85A58">
        <w:rPr>
          <w:lang w:val="fr-FR"/>
        </w:rPr>
        <w:t>f)</w:t>
      </w:r>
      <w:r w:rsidRPr="00F85A58">
        <w:rPr>
          <w:lang w:val="fr-FR"/>
        </w:rPr>
        <w:tab/>
        <w:t>gestion des collections de référence</w:t>
      </w:r>
      <w:r w:rsidR="001211B0" w:rsidRPr="00F85A58">
        <w:rPr>
          <w:lang w:val="fr-FR"/>
        </w:rPr>
        <w:t>,</w:t>
      </w:r>
    </w:p>
    <w:p w:rsidR="00BA14DE" w:rsidRPr="00F85A58" w:rsidRDefault="00877C27" w:rsidP="004570E2">
      <w:pPr>
        <w:ind w:left="1134" w:hanging="567"/>
        <w:rPr>
          <w:lang w:val="fr-FR"/>
        </w:rPr>
      </w:pPr>
      <w:r w:rsidRPr="00F85A58">
        <w:rPr>
          <w:lang w:val="fr-FR"/>
        </w:rPr>
        <w:t>g)</w:t>
      </w:r>
      <w:r w:rsidRPr="00F85A58">
        <w:rPr>
          <w:lang w:val="fr-FR"/>
        </w:rPr>
        <w:tab/>
        <w:t>variétés harmonisées indiquées à titre d</w:t>
      </w:r>
      <w:r w:rsidR="005752E4" w:rsidRPr="00F85A58">
        <w:rPr>
          <w:lang w:val="fr-FR"/>
        </w:rPr>
        <w:t>’</w:t>
      </w:r>
      <w:r w:rsidRPr="00F85A58">
        <w:rPr>
          <w:lang w:val="fr-FR"/>
        </w:rPr>
        <w:t>exemple pour le pommier</w:t>
      </w:r>
      <w:r w:rsidR="00342006" w:rsidRPr="00F85A58">
        <w:rPr>
          <w:lang w:val="fr-FR"/>
        </w:rPr>
        <w:t> </w:t>
      </w:r>
      <w:r w:rsidRPr="00F85A58">
        <w:rPr>
          <w:lang w:val="fr-FR"/>
        </w:rPr>
        <w:t>: données historiques et faits nouveaux éventuels</w:t>
      </w:r>
      <w:r w:rsidR="001211B0" w:rsidRPr="00F85A58">
        <w:rPr>
          <w:lang w:val="fr-FR"/>
        </w:rPr>
        <w:t>,</w:t>
      </w:r>
    </w:p>
    <w:p w:rsidR="00BA14DE" w:rsidRPr="00F85A58" w:rsidRDefault="00791DD3" w:rsidP="004570E2">
      <w:pPr>
        <w:ind w:left="1134" w:hanging="567"/>
        <w:rPr>
          <w:lang w:val="fr-FR"/>
        </w:rPr>
      </w:pPr>
      <w:r w:rsidRPr="00F85A58">
        <w:rPr>
          <w:lang w:val="fr-FR"/>
        </w:rPr>
        <w:t>h)</w:t>
      </w:r>
      <w:r w:rsidRPr="00F85A58">
        <w:rPr>
          <w:lang w:val="fr-FR"/>
        </w:rPr>
        <w:tab/>
      </w:r>
      <w:r w:rsidR="004B2326" w:rsidRPr="00F85A58">
        <w:rPr>
          <w:lang w:val="fr-FR"/>
        </w:rPr>
        <w:t>Système de gestion des demandes</w:t>
      </w:r>
      <w:r w:rsidRPr="00F85A58">
        <w:rPr>
          <w:lang w:val="fr-FR"/>
        </w:rPr>
        <w:t xml:space="preserve"> (AMS) </w:t>
      </w:r>
      <w:r w:rsidR="004B2326" w:rsidRPr="00F85A58">
        <w:rPr>
          <w:lang w:val="fr-FR"/>
        </w:rPr>
        <w:t xml:space="preserve">et bases de données sur les descriptions variétales </w:t>
      </w:r>
      <w:r w:rsidRPr="00F85A58">
        <w:rPr>
          <w:lang w:val="fr-FR"/>
        </w:rPr>
        <w:t xml:space="preserve">(VDD) </w:t>
      </w:r>
      <w:r w:rsidR="004B2326" w:rsidRPr="00F85A58">
        <w:rPr>
          <w:lang w:val="fr-FR"/>
        </w:rPr>
        <w:t>e</w:t>
      </w:r>
      <w:r w:rsidRPr="00F85A58">
        <w:rPr>
          <w:lang w:val="fr-FR"/>
        </w:rPr>
        <w:t>n Chin</w:t>
      </w:r>
      <w:r w:rsidR="004B2326" w:rsidRPr="00F85A58">
        <w:rPr>
          <w:lang w:val="fr-FR"/>
        </w:rPr>
        <w:t>e</w:t>
      </w:r>
      <w:r w:rsidR="001211B0" w:rsidRPr="00F85A58">
        <w:rPr>
          <w:lang w:val="fr-FR"/>
        </w:rPr>
        <w:t>,</w:t>
      </w:r>
    </w:p>
    <w:p w:rsidR="00BA14DE" w:rsidRPr="00F85A58" w:rsidRDefault="00877C27" w:rsidP="00877C27">
      <w:pPr>
        <w:ind w:left="567"/>
        <w:rPr>
          <w:lang w:val="fr-FR"/>
        </w:rPr>
      </w:pPr>
      <w:r w:rsidRPr="00F85A58">
        <w:rPr>
          <w:lang w:val="fr-FR"/>
        </w:rPr>
        <w:t>i)</w:t>
      </w:r>
      <w:r w:rsidRPr="00F85A58">
        <w:rPr>
          <w:lang w:val="fr-FR"/>
        </w:rPr>
        <w:tab/>
        <w:t>système d</w:t>
      </w:r>
      <w:r w:rsidR="005752E4" w:rsidRPr="00F85A58">
        <w:rPr>
          <w:lang w:val="fr-FR"/>
        </w:rPr>
        <w:t>’</w:t>
      </w:r>
      <w:r w:rsidRPr="00F85A58">
        <w:rPr>
          <w:lang w:val="fr-FR"/>
        </w:rPr>
        <w:t>analyse d</w:t>
      </w:r>
      <w:r w:rsidR="005752E4" w:rsidRPr="00F85A58">
        <w:rPr>
          <w:lang w:val="fr-FR"/>
        </w:rPr>
        <w:t>’</w:t>
      </w:r>
      <w:r w:rsidRPr="00F85A58">
        <w:rPr>
          <w:lang w:val="fr-FR"/>
        </w:rPr>
        <w:t>image en Chine</w:t>
      </w:r>
      <w:r w:rsidR="001211B0" w:rsidRPr="00F85A58">
        <w:rPr>
          <w:lang w:val="fr-FR"/>
        </w:rPr>
        <w:t>,</w:t>
      </w:r>
    </w:p>
    <w:p w:rsidR="00BA14DE" w:rsidRPr="00F85A58" w:rsidRDefault="00791DD3" w:rsidP="00791DD3">
      <w:pPr>
        <w:ind w:left="567"/>
        <w:rPr>
          <w:lang w:val="fr-FR"/>
        </w:rPr>
      </w:pPr>
      <w:r w:rsidRPr="00F85A58">
        <w:rPr>
          <w:lang w:val="fr-FR"/>
        </w:rPr>
        <w:t>j)</w:t>
      </w:r>
      <w:r w:rsidRPr="00F85A58">
        <w:rPr>
          <w:lang w:val="fr-FR"/>
        </w:rPr>
        <w:tab/>
      </w:r>
      <w:r w:rsidR="004B2326" w:rsidRPr="00F85A58">
        <w:rPr>
          <w:lang w:val="fr-FR"/>
        </w:rPr>
        <w:t>Dispositifs portatifs de saisie des données e</w:t>
      </w:r>
      <w:r w:rsidRPr="00F85A58">
        <w:rPr>
          <w:lang w:val="fr-FR"/>
        </w:rPr>
        <w:t xml:space="preserve">n </w:t>
      </w:r>
      <w:r w:rsidR="004B2326" w:rsidRPr="00F85A58">
        <w:rPr>
          <w:lang w:val="fr-FR"/>
        </w:rPr>
        <w:t>Allemagne et en France,</w:t>
      </w:r>
    </w:p>
    <w:p w:rsidR="00BA14DE" w:rsidRPr="00F85A58" w:rsidRDefault="00877C27" w:rsidP="00877C27">
      <w:pPr>
        <w:ind w:left="567"/>
        <w:rPr>
          <w:lang w:val="fr-FR"/>
        </w:rPr>
      </w:pPr>
      <w:r w:rsidRPr="00F85A58">
        <w:rPr>
          <w:lang w:val="fr-FR"/>
        </w:rPr>
        <w:t>k)</w:t>
      </w:r>
      <w:r w:rsidRPr="00F85A58">
        <w:rPr>
          <w:lang w:val="fr-FR"/>
        </w:rPr>
        <w:tab/>
        <w:t>matrice de pondération dans le logiciel GAÏA pour le soja</w:t>
      </w:r>
      <w:r w:rsidR="001211B0" w:rsidRPr="00F85A58">
        <w:rPr>
          <w:lang w:val="fr-FR"/>
        </w:rPr>
        <w:t>,</w:t>
      </w:r>
    </w:p>
    <w:p w:rsidR="00BA14DE" w:rsidRPr="00F85A58" w:rsidRDefault="00791DD3" w:rsidP="00791DD3">
      <w:pPr>
        <w:ind w:left="567"/>
        <w:rPr>
          <w:lang w:val="fr-FR"/>
        </w:rPr>
      </w:pPr>
      <w:r w:rsidRPr="00F85A58">
        <w:rPr>
          <w:lang w:val="fr-FR"/>
        </w:rPr>
        <w:t>l)</w:t>
      </w:r>
      <w:r w:rsidRPr="00F85A58">
        <w:rPr>
          <w:lang w:val="fr-FR"/>
        </w:rPr>
        <w:tab/>
      </w:r>
      <w:r w:rsidR="004B2326" w:rsidRPr="00F85A58">
        <w:rPr>
          <w:lang w:val="fr-FR"/>
        </w:rPr>
        <w:t>D</w:t>
      </w:r>
      <w:r w:rsidRPr="00F85A58">
        <w:rPr>
          <w:lang w:val="fr-FR"/>
        </w:rPr>
        <w:t xml:space="preserve">ocuments </w:t>
      </w:r>
      <w:r w:rsidR="004B2326" w:rsidRPr="00F85A58">
        <w:rPr>
          <w:lang w:val="fr-FR"/>
        </w:rPr>
        <w:t>de réunion des précédentes sessions</w:t>
      </w:r>
      <w:r w:rsidR="005752E4" w:rsidRPr="00F85A58">
        <w:rPr>
          <w:lang w:val="fr-FR"/>
        </w:rPr>
        <w:t xml:space="preserve"> des TWP</w:t>
      </w:r>
      <w:r w:rsidR="009A638E" w:rsidRPr="00F85A58">
        <w:rPr>
          <w:lang w:val="fr-FR"/>
        </w:rPr>
        <w:t>,</w:t>
      </w:r>
    </w:p>
    <w:p w:rsidR="00BA14DE" w:rsidRPr="00F85A58" w:rsidRDefault="00791DD3" w:rsidP="00791DD3">
      <w:pPr>
        <w:ind w:left="567"/>
        <w:rPr>
          <w:lang w:val="fr-FR"/>
        </w:rPr>
      </w:pPr>
      <w:r w:rsidRPr="00F85A58">
        <w:rPr>
          <w:lang w:val="fr-FR"/>
        </w:rPr>
        <w:t>m)</w:t>
      </w:r>
      <w:r w:rsidRPr="00F85A58">
        <w:rPr>
          <w:lang w:val="fr-FR"/>
        </w:rPr>
        <w:tab/>
      </w:r>
      <w:r w:rsidR="009A638E" w:rsidRPr="00F85A58">
        <w:rPr>
          <w:lang w:val="fr-FR"/>
        </w:rPr>
        <w:t xml:space="preserve">Programme de travail de la </w:t>
      </w:r>
      <w:r w:rsidR="001826AD">
        <w:rPr>
          <w:lang w:val="fr-FR"/>
        </w:rPr>
        <w:t>semaine</w:t>
      </w:r>
      <w:r w:rsidR="005752E4" w:rsidRPr="00F85A58">
        <w:rPr>
          <w:lang w:val="fr-FR"/>
        </w:rPr>
        <w:t xml:space="preserve"> des TWP</w:t>
      </w:r>
      <w:r w:rsidR="009A638E" w:rsidRPr="00F85A58">
        <w:rPr>
          <w:lang w:val="fr-FR"/>
        </w:rPr>
        <w:t>,</w:t>
      </w:r>
      <w:r w:rsidRPr="00F85A58">
        <w:rPr>
          <w:lang w:val="fr-FR"/>
        </w:rPr>
        <w:t xml:space="preserve"> </w:t>
      </w:r>
      <w:r w:rsidR="009A638E" w:rsidRPr="00F85A58">
        <w:rPr>
          <w:lang w:val="fr-FR"/>
        </w:rPr>
        <w:t>et</w:t>
      </w:r>
    </w:p>
    <w:p w:rsidR="00BA14DE" w:rsidRPr="00F85A58" w:rsidRDefault="00791DD3" w:rsidP="00791DD3">
      <w:pPr>
        <w:ind w:left="567"/>
        <w:rPr>
          <w:lang w:val="fr-FR"/>
        </w:rPr>
      </w:pPr>
      <w:r w:rsidRPr="00F85A58">
        <w:rPr>
          <w:lang w:val="fr-FR"/>
        </w:rPr>
        <w:t>n)</w:t>
      </w:r>
      <w:r w:rsidRPr="00F85A58">
        <w:rPr>
          <w:lang w:val="fr-FR"/>
        </w:rPr>
        <w:tab/>
      </w:r>
      <w:r w:rsidR="001211B0" w:rsidRPr="00F85A58">
        <w:rPr>
          <w:lang w:val="fr-FR"/>
        </w:rPr>
        <w:t>Cours d</w:t>
      </w:r>
      <w:r w:rsidR="005752E4" w:rsidRPr="00F85A58">
        <w:rPr>
          <w:lang w:val="fr-FR"/>
        </w:rPr>
        <w:t>’</w:t>
      </w:r>
      <w:r w:rsidR="001211B0" w:rsidRPr="00F85A58">
        <w:rPr>
          <w:lang w:val="fr-FR"/>
        </w:rPr>
        <w:t>enseignement à distance</w:t>
      </w:r>
      <w:r w:rsidR="003017FC" w:rsidRPr="00F85A58">
        <w:rPr>
          <w:lang w:val="fr-FR"/>
        </w:rPr>
        <w:t xml:space="preserve"> “DL</w:t>
      </w:r>
      <w:r w:rsidR="00F85A58" w:rsidRPr="00F85A58">
        <w:rPr>
          <w:lang w:val="fr-FR"/>
        </w:rPr>
        <w:noBreakHyphen/>
      </w:r>
      <w:r w:rsidR="003017FC" w:rsidRPr="00F85A58">
        <w:rPr>
          <w:lang w:val="fr-FR"/>
        </w:rPr>
        <w:t>305”.</w:t>
      </w:r>
    </w:p>
    <w:p w:rsidR="00BA14DE" w:rsidRPr="00F85A58" w:rsidRDefault="00BA14DE" w:rsidP="00050E16">
      <w:pPr>
        <w:rPr>
          <w:lang w:val="fr-FR"/>
        </w:rPr>
      </w:pPr>
    </w:p>
    <w:p w:rsidR="005752E4" w:rsidRPr="00F85A58" w:rsidRDefault="006C697C" w:rsidP="00050E1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116778" w:rsidRPr="00F85A58">
        <w:rPr>
          <w:lang w:val="fr-FR"/>
        </w:rPr>
        <w:t>Le</w:t>
      </w:r>
      <w:r w:rsidR="005752E4" w:rsidRPr="00F85A58">
        <w:rPr>
          <w:lang w:val="fr-FR"/>
        </w:rPr>
        <w:t> TC</w:t>
      </w:r>
      <w:r w:rsidRPr="00F85A58">
        <w:rPr>
          <w:lang w:val="fr-FR"/>
        </w:rPr>
        <w:t xml:space="preserve"> </w:t>
      </w:r>
      <w:r w:rsidR="00116778" w:rsidRPr="00F85A58">
        <w:rPr>
          <w:lang w:val="fr-FR"/>
        </w:rPr>
        <w:t>convient du fait que l</w:t>
      </w:r>
      <w:r w:rsidR="005752E4" w:rsidRPr="00F85A58">
        <w:rPr>
          <w:lang w:val="fr-FR"/>
        </w:rPr>
        <w:t>’</w:t>
      </w:r>
      <w:r w:rsidR="00116778" w:rsidRPr="00F85A58">
        <w:rPr>
          <w:lang w:val="fr-FR"/>
        </w:rPr>
        <w:t xml:space="preserve">utilisation des caractères de </w:t>
      </w:r>
      <w:r w:rsidR="001826AD">
        <w:rPr>
          <w:lang w:val="fr-FR"/>
        </w:rPr>
        <w:t>résistance</w:t>
      </w:r>
      <w:r w:rsidR="00116778" w:rsidRPr="00F85A58">
        <w:rPr>
          <w:lang w:val="fr-FR"/>
        </w:rPr>
        <w:t xml:space="preserve"> aux maladies, telle que présentée au</w:t>
      </w:r>
      <w:r w:rsidR="001826AD">
        <w:rPr>
          <w:lang w:val="fr-FR"/>
        </w:rPr>
        <w:t xml:space="preserve">x </w:t>
      </w:r>
      <w:r w:rsidR="00116778" w:rsidRPr="00F85A58">
        <w:rPr>
          <w:lang w:val="fr-FR"/>
        </w:rPr>
        <w:t>paragraphes</w:t>
      </w:r>
      <w:r w:rsidR="00342006" w:rsidRPr="00F85A58">
        <w:rPr>
          <w:lang w:val="fr-FR"/>
        </w:rPr>
        <w:t> </w:t>
      </w:r>
      <w:r w:rsidR="00CA0BC4" w:rsidRPr="00F85A58">
        <w:rPr>
          <w:lang w:val="fr-FR"/>
        </w:rPr>
        <w:t xml:space="preserve">17 </w:t>
      </w:r>
      <w:r w:rsidR="00116778" w:rsidRPr="00F85A58">
        <w:rPr>
          <w:lang w:val="fr-FR"/>
        </w:rPr>
        <w:t xml:space="preserve">à </w:t>
      </w:r>
      <w:r w:rsidR="00CA0BC4" w:rsidRPr="00F85A58">
        <w:rPr>
          <w:lang w:val="fr-FR"/>
        </w:rPr>
        <w:t xml:space="preserve">20 </w:t>
      </w:r>
      <w:r w:rsidR="00116778" w:rsidRPr="00F85A58">
        <w:rPr>
          <w:lang w:val="fr-FR"/>
        </w:rPr>
        <w:t>du</w:t>
      </w:r>
      <w:r w:rsidR="00CA0BC4" w:rsidRPr="00F85A58">
        <w:rPr>
          <w:lang w:val="fr-FR"/>
        </w:rPr>
        <w:t xml:space="preserve"> </w:t>
      </w:r>
      <w:r w:rsidR="005752E4" w:rsidRPr="00F85A58">
        <w:rPr>
          <w:lang w:val="fr-FR"/>
        </w:rPr>
        <w:t>document TC</w:t>
      </w:r>
      <w:r w:rsidR="00CA0BC4" w:rsidRPr="00F85A58">
        <w:rPr>
          <w:lang w:val="fr-FR"/>
        </w:rPr>
        <w:t xml:space="preserve">/52/3, </w:t>
      </w:r>
      <w:r w:rsidR="00116778" w:rsidRPr="00F85A58">
        <w:rPr>
          <w:lang w:val="fr-FR"/>
        </w:rPr>
        <w:t>devrait figurer à l</w:t>
      </w:r>
      <w:r w:rsidR="005752E4" w:rsidRPr="00F85A58">
        <w:rPr>
          <w:lang w:val="fr-FR"/>
        </w:rPr>
        <w:t>’</w:t>
      </w:r>
      <w:r w:rsidR="00116778" w:rsidRPr="00F85A58">
        <w:rPr>
          <w:lang w:val="fr-FR"/>
        </w:rPr>
        <w:t>ordre du jour de la cinquante</w:t>
      </w:r>
      <w:r w:rsidR="00F85A58" w:rsidRPr="00F85A58">
        <w:rPr>
          <w:lang w:val="fr-FR"/>
        </w:rPr>
        <w:noBreakHyphen/>
      </w:r>
      <w:r w:rsidR="00116778" w:rsidRPr="00F85A58">
        <w:rPr>
          <w:lang w:val="fr-FR"/>
        </w:rPr>
        <w:t>troisième sessi</w:t>
      </w:r>
      <w:r w:rsidR="00F85A58" w:rsidRPr="00F85A58">
        <w:rPr>
          <w:lang w:val="fr-FR"/>
        </w:rPr>
        <w:t>on.  Il</w:t>
      </w:r>
      <w:r w:rsidR="00116778" w:rsidRPr="00F85A58">
        <w:rPr>
          <w:lang w:val="fr-FR"/>
        </w:rPr>
        <w:t xml:space="preserve"> convient aussi que ce point de l</w:t>
      </w:r>
      <w:r w:rsidR="005752E4" w:rsidRPr="00F85A58">
        <w:rPr>
          <w:lang w:val="fr-FR"/>
        </w:rPr>
        <w:t>’</w:t>
      </w:r>
      <w:r w:rsidR="00116778" w:rsidRPr="00F85A58">
        <w:rPr>
          <w:lang w:val="fr-FR"/>
        </w:rPr>
        <w:t>ordre du jour devrait également traiter de la question de l</w:t>
      </w:r>
      <w:r w:rsidR="005752E4" w:rsidRPr="00F85A58">
        <w:rPr>
          <w:lang w:val="fr-FR"/>
        </w:rPr>
        <w:t>’</w:t>
      </w:r>
      <w:r w:rsidR="00116778" w:rsidRPr="00F85A58">
        <w:rPr>
          <w:lang w:val="fr-FR"/>
        </w:rPr>
        <w:t>utilisation des caractères de résistance aux insectes</w:t>
      </w:r>
      <w:r w:rsidR="00CA0BC4" w:rsidRPr="00F85A58">
        <w:rPr>
          <w:lang w:val="fr-FR"/>
        </w:rPr>
        <w:t xml:space="preserve"> </w:t>
      </w:r>
      <w:r w:rsidR="00116778" w:rsidRPr="00F85A58">
        <w:rPr>
          <w:lang w:val="fr-FR"/>
        </w:rPr>
        <w:t>et convient de solliciter des exposés auprès de l</w:t>
      </w:r>
      <w:r w:rsidR="005752E4" w:rsidRPr="00F85A58">
        <w:rPr>
          <w:lang w:val="fr-FR"/>
        </w:rPr>
        <w:t>’</w:t>
      </w:r>
      <w:r w:rsidR="00116778" w:rsidRPr="00F85A58">
        <w:rPr>
          <w:lang w:val="fr-FR"/>
        </w:rPr>
        <w:t>Union européenne et d</w:t>
      </w:r>
      <w:r w:rsidR="005752E4" w:rsidRPr="00F85A58">
        <w:rPr>
          <w:lang w:val="fr-FR"/>
        </w:rPr>
        <w:t>’</w:t>
      </w:r>
      <w:r w:rsidR="00116778" w:rsidRPr="00F85A58">
        <w:rPr>
          <w:lang w:val="fr-FR"/>
        </w:rPr>
        <w:t>autres membres de l</w:t>
      </w:r>
      <w:r w:rsidR="005752E4" w:rsidRPr="00F85A58">
        <w:rPr>
          <w:lang w:val="fr-FR"/>
        </w:rPr>
        <w:t>’</w:t>
      </w:r>
      <w:r w:rsidR="00116778" w:rsidRPr="00F85A58">
        <w:rPr>
          <w:lang w:val="fr-FR"/>
        </w:rPr>
        <w:t>Union</w:t>
      </w:r>
      <w:r w:rsidR="00791DD3" w:rsidRPr="00F85A58">
        <w:rPr>
          <w:lang w:val="fr-FR"/>
        </w:rPr>
        <w:t>.</w:t>
      </w:r>
    </w:p>
    <w:p w:rsidR="00BA14DE" w:rsidRPr="00F85A58" w:rsidRDefault="00BA14DE" w:rsidP="00050E16">
      <w:pPr>
        <w:rPr>
          <w:lang w:val="fr-FR"/>
        </w:rPr>
      </w:pPr>
    </w:p>
    <w:p w:rsidR="00BA14DE" w:rsidRPr="00F85A58" w:rsidRDefault="00CA0BC4" w:rsidP="00050E1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BB1464" w:rsidRPr="00F85A58">
        <w:rPr>
          <w:lang w:val="fr-FR"/>
        </w:rPr>
        <w:t>Le</w:t>
      </w:r>
      <w:r w:rsidR="005752E4" w:rsidRPr="00F85A58">
        <w:rPr>
          <w:lang w:val="fr-FR"/>
        </w:rPr>
        <w:t> TC</w:t>
      </w:r>
      <w:r w:rsidRPr="00F85A58">
        <w:rPr>
          <w:lang w:val="fr-FR"/>
        </w:rPr>
        <w:t xml:space="preserve"> </w:t>
      </w:r>
      <w:r w:rsidR="00BB1464" w:rsidRPr="00F85A58">
        <w:rPr>
          <w:lang w:val="fr-FR"/>
        </w:rPr>
        <w:t xml:space="preserve">convient du fait que la gestion des </w:t>
      </w:r>
      <w:r w:rsidR="002F3E4E" w:rsidRPr="00F85A58">
        <w:rPr>
          <w:lang w:val="fr-FR"/>
        </w:rPr>
        <w:t>collections de variétés qui ne sont pas gérées directement par le service, tel qu</w:t>
      </w:r>
      <w:r w:rsidR="005752E4" w:rsidRPr="00F85A58">
        <w:rPr>
          <w:lang w:val="fr-FR"/>
        </w:rPr>
        <w:t>’</w:t>
      </w:r>
      <w:r w:rsidR="002F3E4E" w:rsidRPr="00F85A58">
        <w:rPr>
          <w:lang w:val="fr-FR"/>
        </w:rPr>
        <w:t>indiqué aux paragraphes</w:t>
      </w:r>
      <w:r w:rsidR="00342006" w:rsidRPr="00F85A58">
        <w:rPr>
          <w:lang w:val="fr-FR"/>
        </w:rPr>
        <w:t> </w:t>
      </w:r>
      <w:r w:rsidR="002F3E4E" w:rsidRPr="00F85A58">
        <w:rPr>
          <w:lang w:val="fr-FR"/>
        </w:rPr>
        <w:t xml:space="preserve">25 à 27 du </w:t>
      </w:r>
      <w:r w:rsidR="005752E4" w:rsidRPr="00F85A58">
        <w:rPr>
          <w:lang w:val="fr-FR"/>
        </w:rPr>
        <w:t>document TC</w:t>
      </w:r>
      <w:r w:rsidR="008B7A30" w:rsidRPr="00F85A58">
        <w:rPr>
          <w:lang w:val="fr-FR"/>
        </w:rPr>
        <w:t xml:space="preserve">/52/3, </w:t>
      </w:r>
      <w:r w:rsidR="002F3E4E" w:rsidRPr="00F85A58">
        <w:rPr>
          <w:lang w:val="fr-FR"/>
        </w:rPr>
        <w:t>devrait figurer à l</w:t>
      </w:r>
      <w:r w:rsidR="005752E4" w:rsidRPr="00F85A58">
        <w:rPr>
          <w:lang w:val="fr-FR"/>
        </w:rPr>
        <w:t>’</w:t>
      </w:r>
      <w:r w:rsidR="002F3E4E" w:rsidRPr="00F85A58">
        <w:rPr>
          <w:lang w:val="fr-FR"/>
        </w:rPr>
        <w:t xml:space="preserve">ordre du jour de </w:t>
      </w:r>
      <w:r w:rsidR="00685235" w:rsidRPr="00F85A58">
        <w:rPr>
          <w:lang w:val="fr-FR"/>
        </w:rPr>
        <w:t>la</w:t>
      </w:r>
      <w:r w:rsidR="002F3E4E" w:rsidRPr="00F85A58">
        <w:rPr>
          <w:lang w:val="fr-FR"/>
        </w:rPr>
        <w:t xml:space="preserve"> cinquante</w:t>
      </w:r>
      <w:r w:rsidR="00F85A58" w:rsidRPr="00F85A58">
        <w:rPr>
          <w:lang w:val="fr-FR"/>
        </w:rPr>
        <w:noBreakHyphen/>
      </w:r>
      <w:r w:rsidR="002F3E4E" w:rsidRPr="00F85A58">
        <w:rPr>
          <w:lang w:val="fr-FR"/>
        </w:rPr>
        <w:t xml:space="preserve">troisième session et convient de solliciter des exposés auprès de la </w:t>
      </w:r>
      <w:r w:rsidR="008B7A30" w:rsidRPr="00F85A58">
        <w:rPr>
          <w:lang w:val="fr-FR"/>
        </w:rPr>
        <w:t xml:space="preserve">France </w:t>
      </w:r>
      <w:r w:rsidR="002F3E4E" w:rsidRPr="00F85A58">
        <w:rPr>
          <w:lang w:val="fr-FR"/>
        </w:rPr>
        <w:t>et d</w:t>
      </w:r>
      <w:r w:rsidR="005752E4" w:rsidRPr="00F85A58">
        <w:rPr>
          <w:lang w:val="fr-FR"/>
        </w:rPr>
        <w:t>’</w:t>
      </w:r>
      <w:r w:rsidR="002F3E4E" w:rsidRPr="00F85A58">
        <w:rPr>
          <w:lang w:val="fr-FR"/>
        </w:rPr>
        <w:t xml:space="preserve">autres </w:t>
      </w:r>
      <w:r w:rsidR="00685235" w:rsidRPr="00F85A58">
        <w:rPr>
          <w:lang w:val="fr-FR"/>
        </w:rPr>
        <w:t>membres</w:t>
      </w:r>
      <w:r w:rsidR="002F3E4E" w:rsidRPr="00F85A58">
        <w:rPr>
          <w:lang w:val="fr-FR"/>
        </w:rPr>
        <w:t xml:space="preserve"> de l</w:t>
      </w:r>
      <w:r w:rsidR="005752E4" w:rsidRPr="00F85A58">
        <w:rPr>
          <w:lang w:val="fr-FR"/>
        </w:rPr>
        <w:t>’</w:t>
      </w:r>
      <w:r w:rsidR="0072050B" w:rsidRPr="00F85A58">
        <w:rPr>
          <w:lang w:val="fr-FR"/>
        </w:rPr>
        <w:t>Union</w:t>
      </w:r>
      <w:r w:rsidR="008B7A30" w:rsidRPr="00F85A58">
        <w:rPr>
          <w:lang w:val="fr-FR"/>
        </w:rPr>
        <w:t>.</w:t>
      </w:r>
    </w:p>
    <w:p w:rsidR="00BA14DE" w:rsidRPr="00F85A58" w:rsidRDefault="00BA14DE" w:rsidP="00050E16">
      <w:pPr>
        <w:rPr>
          <w:lang w:val="fr-FR"/>
        </w:rPr>
      </w:pPr>
    </w:p>
    <w:p w:rsidR="00BA14DE" w:rsidRPr="00F85A58" w:rsidRDefault="00BA14DE" w:rsidP="00050E16">
      <w:pPr>
        <w:rPr>
          <w:lang w:val="fr-FR"/>
        </w:rPr>
      </w:pPr>
    </w:p>
    <w:p w:rsidR="00BA14DE" w:rsidRPr="00F85A58" w:rsidRDefault="00877C27" w:rsidP="00877C27">
      <w:pPr>
        <w:keepNext/>
        <w:ind w:left="567" w:hanging="567"/>
        <w:rPr>
          <w:u w:val="single"/>
          <w:lang w:val="fr-FR"/>
        </w:rPr>
      </w:pPr>
      <w:r w:rsidRPr="00F85A58">
        <w:rPr>
          <w:u w:val="single"/>
          <w:lang w:val="fr-FR"/>
        </w:rPr>
        <w:t>Documents TGP</w:t>
      </w:r>
    </w:p>
    <w:p w:rsidR="00BA14DE" w:rsidRPr="00F85A58" w:rsidRDefault="00BA14DE" w:rsidP="003D3E08">
      <w:pPr>
        <w:keepNext/>
        <w:rPr>
          <w:lang w:val="fr-FR"/>
        </w:rPr>
      </w:pPr>
    </w:p>
    <w:p w:rsidR="00BA14DE" w:rsidRPr="00F85A58" w:rsidRDefault="00877C27" w:rsidP="004570E2">
      <w:pPr>
        <w:pStyle w:val="Heading3"/>
      </w:pPr>
      <w:r w:rsidRPr="00F85A58">
        <w:t>Questions pour adoption par le conseil en</w:t>
      </w:r>
      <w:r w:rsidR="00342006" w:rsidRPr="00F85A58">
        <w:t> </w:t>
      </w:r>
      <w:r w:rsidRPr="00F85A58">
        <w:t>2016</w:t>
      </w:r>
    </w:p>
    <w:p w:rsidR="00BA14DE" w:rsidRPr="00F85A58" w:rsidRDefault="00BA14DE" w:rsidP="003D3E08">
      <w:pPr>
        <w:keepNext/>
        <w:rPr>
          <w:lang w:val="fr-FR"/>
        </w:rPr>
      </w:pPr>
    </w:p>
    <w:p w:rsidR="005752E4" w:rsidRPr="00F85A58" w:rsidRDefault="00877C27" w:rsidP="00877C27">
      <w:pPr>
        <w:pStyle w:val="Heading4"/>
        <w:rPr>
          <w:snapToGrid/>
        </w:rPr>
      </w:pPr>
      <w:r w:rsidRPr="00F85A58">
        <w:rPr>
          <w:snapToGrid/>
        </w:rPr>
        <w:t>TGP/7</w:t>
      </w:r>
      <w:r w:rsidR="00342006" w:rsidRPr="00F85A58">
        <w:rPr>
          <w:snapToGrid/>
        </w:rPr>
        <w:t> </w:t>
      </w:r>
      <w:r w:rsidRPr="00F85A58">
        <w:rPr>
          <w:snapToGrid/>
        </w:rPr>
        <w:t>: Élaboration des principes directeurs d</w:t>
      </w:r>
      <w:r w:rsidR="005752E4" w:rsidRPr="00F85A58">
        <w:rPr>
          <w:snapToGrid/>
        </w:rPr>
        <w:t>’</w:t>
      </w:r>
      <w:r w:rsidRPr="00F85A58">
        <w:rPr>
          <w:snapToGrid/>
        </w:rPr>
        <w:t>examen</w:t>
      </w:r>
    </w:p>
    <w:p w:rsidR="00BA14DE" w:rsidRPr="00F85A58" w:rsidRDefault="00BA14DE" w:rsidP="003D3E08">
      <w:pPr>
        <w:keepNext/>
        <w:ind w:left="1276"/>
        <w:rPr>
          <w:rFonts w:cs="Arial"/>
          <w:i/>
          <w:lang w:val="fr-FR"/>
        </w:rPr>
      </w:pPr>
    </w:p>
    <w:p w:rsidR="00BA14DE" w:rsidRPr="00F85A58" w:rsidRDefault="00877C27" w:rsidP="004C3C67">
      <w:pPr>
        <w:pStyle w:val="Heading5"/>
        <w:rPr>
          <w:lang w:val="fr-FR"/>
        </w:rPr>
      </w:pPr>
      <w:r w:rsidRPr="00F85A58">
        <w:rPr>
          <w:lang w:val="fr-FR"/>
        </w:rPr>
        <w:t>i)</w:t>
      </w:r>
      <w:r w:rsidRPr="00F85A58">
        <w:rPr>
          <w:lang w:val="fr-FR"/>
        </w:rPr>
        <w:tab/>
        <w:t>Portée des principes directeurs</w:t>
      </w:r>
    </w:p>
    <w:p w:rsidR="00BA14DE" w:rsidRPr="00F85A58" w:rsidRDefault="00BA14DE" w:rsidP="003D3E08">
      <w:pPr>
        <w:keepNext/>
        <w:ind w:left="1276"/>
        <w:rPr>
          <w:rFonts w:cs="Arial"/>
          <w:i/>
          <w:lang w:val="fr-FR"/>
        </w:rPr>
      </w:pPr>
    </w:p>
    <w:p w:rsidR="00BA14DE" w:rsidRPr="00F85A58" w:rsidRDefault="007F371D" w:rsidP="00877C27">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877C27" w:rsidRPr="00F85A58">
        <w:rPr>
          <w:lang w:val="fr-FR"/>
        </w:rPr>
        <w:t>Le</w:t>
      </w:r>
      <w:r w:rsidR="005752E4" w:rsidRPr="00F85A58">
        <w:rPr>
          <w:lang w:val="fr-FR"/>
        </w:rPr>
        <w:t> TC</w:t>
      </w:r>
      <w:r w:rsidR="00877C27" w:rsidRPr="00F85A58">
        <w:rPr>
          <w:lang w:val="fr-FR"/>
        </w:rPr>
        <w:t xml:space="preserve"> examine le </w:t>
      </w:r>
      <w:r w:rsidR="005752E4" w:rsidRPr="00F85A58">
        <w:rPr>
          <w:lang w:val="fr-FR"/>
        </w:rPr>
        <w:t>document TC</w:t>
      </w:r>
      <w:r w:rsidR="00877C27" w:rsidRPr="00F85A58">
        <w:rPr>
          <w:lang w:val="fr-FR"/>
        </w:rPr>
        <w:t>/52/5.</w:t>
      </w:r>
    </w:p>
    <w:p w:rsidR="00BA14DE" w:rsidRPr="00F85A58" w:rsidRDefault="00BA14DE" w:rsidP="003D3E08">
      <w:pPr>
        <w:keepNext/>
        <w:rPr>
          <w:lang w:val="fr-FR"/>
        </w:rPr>
      </w:pPr>
    </w:p>
    <w:p w:rsidR="00BA14DE" w:rsidRPr="00F85A58" w:rsidRDefault="0072050B"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0E35D9" w:rsidRPr="00F85A58">
        <w:rPr>
          <w:lang w:val="fr-FR"/>
        </w:rPr>
        <w:t>Le</w:t>
      </w:r>
      <w:r w:rsidR="005752E4" w:rsidRPr="00F85A58">
        <w:rPr>
          <w:lang w:val="fr-FR"/>
        </w:rPr>
        <w:t> TC</w:t>
      </w:r>
      <w:r w:rsidR="007F371D" w:rsidRPr="00F85A58">
        <w:rPr>
          <w:lang w:val="fr-FR"/>
        </w:rPr>
        <w:t xml:space="preserve"> </w:t>
      </w:r>
      <w:r w:rsidR="000E35D9" w:rsidRPr="00F85A58">
        <w:rPr>
          <w:lang w:val="fr-FR"/>
        </w:rPr>
        <w:t xml:space="preserve">prend note de la nouvelle section concernant </w:t>
      </w:r>
      <w:r w:rsidR="007F371D" w:rsidRPr="00F85A58">
        <w:rPr>
          <w:lang w:val="fr-FR"/>
        </w:rPr>
        <w:t>“</w:t>
      </w:r>
      <w:r w:rsidR="000E35D9" w:rsidRPr="00F85A58">
        <w:rPr>
          <w:lang w:val="fr-FR"/>
        </w:rPr>
        <w:t>Portée des principes directeurs d</w:t>
      </w:r>
      <w:r w:rsidR="005752E4" w:rsidRPr="00F85A58">
        <w:rPr>
          <w:lang w:val="fr-FR"/>
        </w:rPr>
        <w:t>’</w:t>
      </w:r>
      <w:r w:rsidR="000E35D9" w:rsidRPr="00F85A58">
        <w:rPr>
          <w:lang w:val="fr-FR"/>
        </w:rPr>
        <w:t>examen</w:t>
      </w:r>
      <w:r w:rsidR="007F371D" w:rsidRPr="00F85A58">
        <w:rPr>
          <w:lang w:val="fr-FR"/>
        </w:rPr>
        <w:t xml:space="preserve">” </w:t>
      </w:r>
      <w:r w:rsidR="000E35D9" w:rsidRPr="00F85A58">
        <w:rPr>
          <w:lang w:val="fr-FR"/>
        </w:rPr>
        <w:t xml:space="preserve">déjà </w:t>
      </w:r>
      <w:r w:rsidR="00685235" w:rsidRPr="00F85A58">
        <w:rPr>
          <w:lang w:val="fr-FR"/>
        </w:rPr>
        <w:t>approuvée</w:t>
      </w:r>
      <w:r w:rsidR="000E35D9" w:rsidRPr="00F85A58">
        <w:rPr>
          <w:lang w:val="fr-FR"/>
        </w:rPr>
        <w:t xml:space="preserve"> par le</w:t>
      </w:r>
      <w:r w:rsidR="005752E4" w:rsidRPr="00F85A58">
        <w:rPr>
          <w:lang w:val="fr-FR"/>
        </w:rPr>
        <w:t> TC</w:t>
      </w:r>
      <w:r w:rsidR="007F371D" w:rsidRPr="00F85A58">
        <w:rPr>
          <w:lang w:val="fr-FR"/>
        </w:rPr>
        <w:t xml:space="preserve"> </w:t>
      </w:r>
      <w:r w:rsidR="000E35D9" w:rsidRPr="00F85A58">
        <w:rPr>
          <w:lang w:val="fr-FR"/>
        </w:rPr>
        <w:t>aux fins d</w:t>
      </w:r>
      <w:r w:rsidR="005752E4" w:rsidRPr="00F85A58">
        <w:rPr>
          <w:lang w:val="fr-FR"/>
        </w:rPr>
        <w:t>’</w:t>
      </w:r>
      <w:r w:rsidR="000E35D9" w:rsidRPr="00F85A58">
        <w:rPr>
          <w:lang w:val="fr-FR"/>
        </w:rPr>
        <w:t>inclusion dans la version révisée</w:t>
      </w:r>
      <w:r w:rsidR="005752E4" w:rsidRPr="00F85A58">
        <w:rPr>
          <w:lang w:val="fr-FR"/>
        </w:rPr>
        <w:t xml:space="preserve"> du TGP</w:t>
      </w:r>
      <w:r w:rsidR="007F371D" w:rsidRPr="00F85A58">
        <w:rPr>
          <w:lang w:val="fr-FR"/>
        </w:rPr>
        <w:t>/7</w:t>
      </w:r>
      <w:r w:rsidR="008D13BB" w:rsidRPr="00F85A58">
        <w:rPr>
          <w:lang w:val="fr-FR"/>
        </w:rPr>
        <w:t xml:space="preserve"> </w:t>
      </w:r>
      <w:r w:rsidR="000E35D9" w:rsidRPr="00F85A58">
        <w:rPr>
          <w:lang w:val="fr-FR"/>
        </w:rPr>
        <w:t xml:space="preserve">qui sera </w:t>
      </w:r>
      <w:r w:rsidR="00685235" w:rsidRPr="00F85A58">
        <w:rPr>
          <w:lang w:val="fr-FR"/>
        </w:rPr>
        <w:t>proposée</w:t>
      </w:r>
      <w:r w:rsidR="000E35D9" w:rsidRPr="00F85A58">
        <w:rPr>
          <w:lang w:val="fr-FR"/>
        </w:rPr>
        <w:t xml:space="preserve"> au</w:t>
      </w:r>
      <w:r w:rsidR="005752E4" w:rsidRPr="00F85A58">
        <w:rPr>
          <w:lang w:val="fr-FR"/>
        </w:rPr>
        <w:t> TC</w:t>
      </w:r>
      <w:r w:rsidR="000E35D9" w:rsidRPr="00F85A58">
        <w:rPr>
          <w:lang w:val="fr-FR"/>
        </w:rPr>
        <w:t xml:space="preserve"> pour adoption par le Conseil en octobre</w:t>
      </w:r>
      <w:r w:rsidR="003017FC" w:rsidRPr="00F85A58">
        <w:rPr>
          <w:lang w:val="fr-FR"/>
        </w:rPr>
        <w:t> </w:t>
      </w:r>
      <w:r w:rsidR="008D13BB" w:rsidRPr="00F85A58">
        <w:rPr>
          <w:lang w:val="fr-FR"/>
        </w:rPr>
        <w:t>2016</w:t>
      </w:r>
      <w:r w:rsidR="007F371D" w:rsidRPr="00F85A58">
        <w:rPr>
          <w:lang w:val="fr-FR"/>
        </w:rPr>
        <w:t xml:space="preserve">, </w:t>
      </w:r>
      <w:r w:rsidR="000E35D9" w:rsidRPr="00F85A58">
        <w:rPr>
          <w:lang w:val="fr-FR"/>
        </w:rPr>
        <w:t>tel qu</w:t>
      </w:r>
      <w:r w:rsidR="005752E4" w:rsidRPr="00F85A58">
        <w:rPr>
          <w:lang w:val="fr-FR"/>
        </w:rPr>
        <w:t>’</w:t>
      </w:r>
      <w:r w:rsidR="000E35D9" w:rsidRPr="00F85A58">
        <w:rPr>
          <w:lang w:val="fr-FR"/>
        </w:rPr>
        <w:t xml:space="preserve">indiqué au </w:t>
      </w:r>
      <w:r w:rsidR="007F371D" w:rsidRPr="00F85A58">
        <w:rPr>
          <w:lang w:val="fr-FR"/>
        </w:rPr>
        <w:t>paragraph</w:t>
      </w:r>
      <w:r w:rsidR="000E35D9" w:rsidRPr="00F85A58">
        <w:rPr>
          <w:lang w:val="fr-FR"/>
        </w:rPr>
        <w:t>e</w:t>
      </w:r>
      <w:r w:rsidR="00342006" w:rsidRPr="00F85A58">
        <w:rPr>
          <w:lang w:val="fr-FR"/>
        </w:rPr>
        <w:t> </w:t>
      </w:r>
      <w:r w:rsidR="007F371D" w:rsidRPr="00F85A58">
        <w:rPr>
          <w:lang w:val="fr-FR"/>
        </w:rPr>
        <w:t xml:space="preserve">7 </w:t>
      </w:r>
      <w:r w:rsidR="000E35D9" w:rsidRPr="00F85A58">
        <w:rPr>
          <w:lang w:val="fr-FR"/>
        </w:rPr>
        <w:t>du</w:t>
      </w:r>
      <w:r w:rsidR="007F371D" w:rsidRPr="00F85A58">
        <w:rPr>
          <w:lang w:val="fr-FR"/>
        </w:rPr>
        <w:t xml:space="preserve"> </w:t>
      </w:r>
      <w:r w:rsidR="005752E4" w:rsidRPr="00F85A58">
        <w:rPr>
          <w:lang w:val="fr-FR"/>
        </w:rPr>
        <w:t>document TC</w:t>
      </w:r>
      <w:r w:rsidR="007F371D" w:rsidRPr="00F85A58">
        <w:rPr>
          <w:lang w:val="fr-FR"/>
        </w:rPr>
        <w:t>/52/5.</w:t>
      </w:r>
    </w:p>
    <w:p w:rsidR="00BA14DE" w:rsidRPr="00F85A58" w:rsidRDefault="00BA14DE" w:rsidP="007F371D">
      <w:pPr>
        <w:rPr>
          <w:lang w:val="fr-FR"/>
        </w:rPr>
      </w:pPr>
    </w:p>
    <w:p w:rsidR="00BA14DE" w:rsidRPr="00F85A58" w:rsidRDefault="008B7A30" w:rsidP="004C3C67">
      <w:pPr>
        <w:pStyle w:val="Heading5"/>
        <w:rPr>
          <w:lang w:val="fr-FR"/>
        </w:rPr>
      </w:pPr>
      <w:r w:rsidRPr="00F85A58">
        <w:rPr>
          <w:lang w:val="fr-FR"/>
        </w:rPr>
        <w:t>ii)</w:t>
      </w:r>
      <w:r w:rsidRPr="00F85A58">
        <w:rPr>
          <w:lang w:val="fr-FR"/>
        </w:rPr>
        <w:tab/>
      </w:r>
      <w:r w:rsidR="00D13130" w:rsidRPr="00F85A58">
        <w:rPr>
          <w:lang w:val="fr-FR"/>
        </w:rPr>
        <w:t>Utilisation de texte, de photographies et d</w:t>
      </w:r>
      <w:r w:rsidR="005752E4" w:rsidRPr="00F85A58">
        <w:rPr>
          <w:lang w:val="fr-FR"/>
        </w:rPr>
        <w:t>’</w:t>
      </w:r>
      <w:r w:rsidR="00D13130" w:rsidRPr="00F85A58">
        <w:rPr>
          <w:lang w:val="fr-FR"/>
        </w:rPr>
        <w:t>illustrations exclusives dans les principes directeurs d</w:t>
      </w:r>
      <w:r w:rsidR="005752E4" w:rsidRPr="00F85A58">
        <w:rPr>
          <w:lang w:val="fr-FR"/>
        </w:rPr>
        <w:t>’</w:t>
      </w:r>
      <w:r w:rsidR="00D13130" w:rsidRPr="00F85A58">
        <w:rPr>
          <w:lang w:val="fr-FR"/>
        </w:rPr>
        <w:t>examen</w:t>
      </w:r>
    </w:p>
    <w:p w:rsidR="00BA14DE" w:rsidRPr="00F85A58" w:rsidRDefault="00BA14DE" w:rsidP="008B7A30">
      <w:pPr>
        <w:keepNext/>
        <w:rPr>
          <w:lang w:val="fr-FR"/>
        </w:rPr>
      </w:pPr>
    </w:p>
    <w:p w:rsidR="00BA14DE" w:rsidRPr="00F85A58" w:rsidRDefault="008B7A30" w:rsidP="008B7A30">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2B496F" w:rsidRPr="00F85A58">
        <w:rPr>
          <w:lang w:val="fr-FR"/>
        </w:rPr>
        <w:t>Le</w:t>
      </w:r>
      <w:r w:rsidR="005752E4" w:rsidRPr="00F85A58">
        <w:rPr>
          <w:lang w:val="fr-FR"/>
        </w:rPr>
        <w:t> TC</w:t>
      </w:r>
      <w:r w:rsidRPr="00F85A58">
        <w:rPr>
          <w:lang w:val="fr-FR"/>
        </w:rPr>
        <w:t xml:space="preserve"> </w:t>
      </w:r>
      <w:r w:rsidR="002B496F" w:rsidRPr="00F85A58">
        <w:rPr>
          <w:lang w:val="fr-FR"/>
        </w:rPr>
        <w:t xml:space="preserve">examine le </w:t>
      </w:r>
      <w:r w:rsidR="005752E4" w:rsidRPr="00F85A58">
        <w:rPr>
          <w:lang w:val="fr-FR"/>
        </w:rPr>
        <w:t>document TC</w:t>
      </w:r>
      <w:r w:rsidRPr="00F85A58">
        <w:rPr>
          <w:lang w:val="fr-FR"/>
        </w:rPr>
        <w:t xml:space="preserve">/52/14 </w:t>
      </w:r>
      <w:r w:rsidR="002B496F" w:rsidRPr="00F85A58">
        <w:rPr>
          <w:lang w:val="fr-FR"/>
        </w:rPr>
        <w:t>et convient de proposer des ori</w:t>
      </w:r>
      <w:r w:rsidR="00C43297" w:rsidRPr="00F85A58">
        <w:rPr>
          <w:lang w:val="fr-FR"/>
        </w:rPr>
        <w:t>e</w:t>
      </w:r>
      <w:r w:rsidR="002B496F" w:rsidRPr="00F85A58">
        <w:rPr>
          <w:lang w:val="fr-FR"/>
        </w:rPr>
        <w:t xml:space="preserve">ntations concernant les textes, photographies, illustrations ou autres éléments qui pourraient être soumis aux droits de tiers, pour inclusion dans le document TGP/7 </w:t>
      </w:r>
      <w:r w:rsidR="00C43297" w:rsidRPr="00F85A58">
        <w:rPr>
          <w:lang w:val="fr-FR"/>
        </w:rPr>
        <w:t>qui serait proposé aux fins d</w:t>
      </w:r>
      <w:r w:rsidR="005752E4" w:rsidRPr="00F85A58">
        <w:rPr>
          <w:lang w:val="fr-FR"/>
        </w:rPr>
        <w:t>’</w:t>
      </w:r>
      <w:r w:rsidR="00C43297" w:rsidRPr="00F85A58">
        <w:rPr>
          <w:lang w:val="fr-FR"/>
        </w:rPr>
        <w:t>adoption par le Conseil en octobre 2016, qui seraient libellées comme suit </w:t>
      </w:r>
      <w:r w:rsidRPr="00F85A58">
        <w:rPr>
          <w:lang w:val="fr-FR"/>
        </w:rPr>
        <w:t>:</w:t>
      </w:r>
    </w:p>
    <w:p w:rsidR="00BA14DE" w:rsidRPr="00F85A58" w:rsidRDefault="00BA14DE" w:rsidP="008B7A30">
      <w:pPr>
        <w:rPr>
          <w:lang w:val="fr-FR"/>
        </w:rPr>
      </w:pPr>
    </w:p>
    <w:p w:rsidR="00BA14DE" w:rsidRPr="00F85A58" w:rsidRDefault="008B7A30" w:rsidP="008B7A30">
      <w:pPr>
        <w:ind w:left="567" w:right="567"/>
        <w:rPr>
          <w:sz w:val="18"/>
          <w:szCs w:val="18"/>
          <w:lang w:val="fr-FR"/>
        </w:rPr>
      </w:pPr>
      <w:r w:rsidRPr="00F85A58">
        <w:rPr>
          <w:sz w:val="18"/>
          <w:szCs w:val="18"/>
          <w:lang w:val="fr-FR"/>
        </w:rPr>
        <w:t>“</w:t>
      </w:r>
      <w:r w:rsidR="003932C7" w:rsidRPr="00F85A58">
        <w:rPr>
          <w:sz w:val="18"/>
          <w:szCs w:val="18"/>
          <w:lang w:val="fr-FR"/>
        </w:rPr>
        <w:t>En cas de textes, photographies, illustrations ou autres éléments soumis aux droits de tiers, il incombe à l</w:t>
      </w:r>
      <w:r w:rsidR="005752E4" w:rsidRPr="00F85A58">
        <w:rPr>
          <w:sz w:val="18"/>
          <w:szCs w:val="18"/>
          <w:lang w:val="fr-FR"/>
        </w:rPr>
        <w:t>’</w:t>
      </w:r>
      <w:r w:rsidR="003932C7" w:rsidRPr="00F85A58">
        <w:rPr>
          <w:sz w:val="18"/>
          <w:szCs w:val="18"/>
          <w:lang w:val="fr-FR"/>
        </w:rPr>
        <w:t xml:space="preserve">auteur du document, </w:t>
      </w:r>
      <w:r w:rsidR="005752E4" w:rsidRPr="00F85A58">
        <w:rPr>
          <w:sz w:val="18"/>
          <w:szCs w:val="18"/>
          <w:lang w:val="fr-FR"/>
        </w:rPr>
        <w:t>y compris</w:t>
      </w:r>
      <w:r w:rsidR="003932C7" w:rsidRPr="00F85A58">
        <w:rPr>
          <w:sz w:val="18"/>
          <w:szCs w:val="18"/>
          <w:lang w:val="fr-FR"/>
        </w:rPr>
        <w:t xml:space="preserve"> pour les principes directeurs d</w:t>
      </w:r>
      <w:r w:rsidR="005752E4" w:rsidRPr="00F85A58">
        <w:rPr>
          <w:sz w:val="18"/>
          <w:szCs w:val="18"/>
          <w:lang w:val="fr-FR"/>
        </w:rPr>
        <w:t>’</w:t>
      </w:r>
      <w:r w:rsidR="003932C7" w:rsidRPr="00F85A58">
        <w:rPr>
          <w:sz w:val="18"/>
          <w:szCs w:val="18"/>
          <w:lang w:val="fr-FR"/>
        </w:rPr>
        <w:t>examen, d</w:t>
      </w:r>
      <w:r w:rsidR="005752E4" w:rsidRPr="00F85A58">
        <w:rPr>
          <w:sz w:val="18"/>
          <w:szCs w:val="18"/>
          <w:lang w:val="fr-FR"/>
        </w:rPr>
        <w:t>’</w:t>
      </w:r>
      <w:r w:rsidR="003932C7" w:rsidRPr="00F85A58">
        <w:rPr>
          <w:sz w:val="18"/>
          <w:szCs w:val="18"/>
          <w:lang w:val="fr-FR"/>
        </w:rPr>
        <w:t>obtenir l</w:t>
      </w:r>
      <w:r w:rsidR="005752E4" w:rsidRPr="00F85A58">
        <w:rPr>
          <w:sz w:val="18"/>
          <w:szCs w:val="18"/>
          <w:lang w:val="fr-FR"/>
        </w:rPr>
        <w:t>’</w:t>
      </w:r>
      <w:r w:rsidR="003932C7" w:rsidRPr="00F85A58">
        <w:rPr>
          <w:sz w:val="18"/>
          <w:szCs w:val="18"/>
          <w:lang w:val="fr-FR"/>
        </w:rPr>
        <w:t>autorisation requise du tie</w:t>
      </w:r>
      <w:r w:rsidR="00F85A58" w:rsidRPr="00F85A58">
        <w:rPr>
          <w:sz w:val="18"/>
          <w:szCs w:val="18"/>
          <w:lang w:val="fr-FR"/>
        </w:rPr>
        <w:t>rs.  Le</w:t>
      </w:r>
      <w:r w:rsidR="003932C7" w:rsidRPr="00F85A58">
        <w:rPr>
          <w:sz w:val="18"/>
          <w:szCs w:val="18"/>
          <w:lang w:val="fr-FR"/>
        </w:rPr>
        <w:t xml:space="preserve">s éléments ne doivent pas être inclus dans les documents lorsque ladite autorisation est </w:t>
      </w:r>
      <w:r w:rsidR="00685235" w:rsidRPr="00F85A58">
        <w:rPr>
          <w:sz w:val="18"/>
          <w:szCs w:val="18"/>
          <w:lang w:val="fr-FR"/>
        </w:rPr>
        <w:t>requise,</w:t>
      </w:r>
      <w:r w:rsidR="003932C7" w:rsidRPr="00F85A58">
        <w:rPr>
          <w:sz w:val="18"/>
          <w:szCs w:val="18"/>
          <w:lang w:val="fr-FR"/>
        </w:rPr>
        <w:t xml:space="preserve"> mais n</w:t>
      </w:r>
      <w:r w:rsidR="005752E4" w:rsidRPr="00F85A58">
        <w:rPr>
          <w:sz w:val="18"/>
          <w:szCs w:val="18"/>
          <w:lang w:val="fr-FR"/>
        </w:rPr>
        <w:t>’</w:t>
      </w:r>
      <w:r w:rsidR="003932C7" w:rsidRPr="00F85A58">
        <w:rPr>
          <w:sz w:val="18"/>
          <w:szCs w:val="18"/>
          <w:lang w:val="fr-FR"/>
        </w:rPr>
        <w:t>a pas été obtenue</w:t>
      </w:r>
      <w:r w:rsidRPr="00F85A58">
        <w:rPr>
          <w:sz w:val="18"/>
          <w:szCs w:val="18"/>
          <w:lang w:val="fr-FR"/>
        </w:rPr>
        <w:t>.</w:t>
      </w:r>
    </w:p>
    <w:p w:rsidR="00BA14DE" w:rsidRPr="00F85A58" w:rsidRDefault="00BA14DE" w:rsidP="008B7A30">
      <w:pPr>
        <w:ind w:left="567" w:right="567"/>
        <w:rPr>
          <w:sz w:val="18"/>
          <w:szCs w:val="18"/>
          <w:lang w:val="fr-FR"/>
        </w:rPr>
      </w:pPr>
    </w:p>
    <w:p w:rsidR="00BA14DE" w:rsidRPr="00F85A58" w:rsidRDefault="008B7A30" w:rsidP="008B7A30">
      <w:pPr>
        <w:ind w:left="567" w:right="567"/>
        <w:rPr>
          <w:sz w:val="18"/>
          <w:szCs w:val="18"/>
          <w:lang w:val="fr-FR"/>
        </w:rPr>
      </w:pPr>
      <w:r w:rsidRPr="00F85A58">
        <w:rPr>
          <w:sz w:val="18"/>
          <w:szCs w:val="18"/>
          <w:lang w:val="fr-FR"/>
        </w:rPr>
        <w:t>“</w:t>
      </w:r>
      <w:r w:rsidR="000868CF" w:rsidRPr="00F85A58">
        <w:rPr>
          <w:sz w:val="18"/>
          <w:szCs w:val="18"/>
          <w:lang w:val="fr-FR"/>
        </w:rPr>
        <w:t>Lorsque des textes, photographies, illustrations ou autres éléments soumis aux droits de tiers sont utilisés dans des principes directeurs d</w:t>
      </w:r>
      <w:r w:rsidR="005752E4" w:rsidRPr="00F85A58">
        <w:rPr>
          <w:sz w:val="18"/>
          <w:szCs w:val="18"/>
          <w:lang w:val="fr-FR"/>
        </w:rPr>
        <w:t>’</w:t>
      </w:r>
      <w:r w:rsidR="000868CF" w:rsidRPr="00F85A58">
        <w:rPr>
          <w:sz w:val="18"/>
          <w:szCs w:val="18"/>
          <w:lang w:val="fr-FR"/>
        </w:rPr>
        <w:t>examen, il convient d</w:t>
      </w:r>
      <w:r w:rsidR="005752E4" w:rsidRPr="00F85A58">
        <w:rPr>
          <w:sz w:val="18"/>
          <w:szCs w:val="18"/>
          <w:lang w:val="fr-FR"/>
        </w:rPr>
        <w:t>’</w:t>
      </w:r>
      <w:r w:rsidR="000868CF" w:rsidRPr="00F85A58">
        <w:rPr>
          <w:sz w:val="18"/>
          <w:szCs w:val="18"/>
          <w:lang w:val="fr-FR"/>
        </w:rPr>
        <w:t>indiquer que le tiers a renoncé à ses droits aux fins de l</w:t>
      </w:r>
      <w:r w:rsidR="005752E4" w:rsidRPr="00F85A58">
        <w:rPr>
          <w:sz w:val="18"/>
          <w:szCs w:val="18"/>
          <w:lang w:val="fr-FR"/>
        </w:rPr>
        <w:t>’</w:t>
      </w:r>
      <w:r w:rsidR="000868CF" w:rsidRPr="00F85A58">
        <w:rPr>
          <w:sz w:val="18"/>
          <w:szCs w:val="18"/>
          <w:lang w:val="fr-FR"/>
        </w:rPr>
        <w:t>examen</w:t>
      </w:r>
      <w:r w:rsidR="00342006" w:rsidRPr="00F85A58">
        <w:rPr>
          <w:sz w:val="18"/>
          <w:szCs w:val="18"/>
          <w:lang w:val="fr-FR"/>
        </w:rPr>
        <w:t> </w:t>
      </w:r>
      <w:r w:rsidR="000868CF" w:rsidRPr="00F85A58">
        <w:rPr>
          <w:sz w:val="18"/>
          <w:szCs w:val="18"/>
          <w:lang w:val="fr-FR"/>
        </w:rPr>
        <w:t>DHS et de l</w:t>
      </w:r>
      <w:r w:rsidR="005752E4" w:rsidRPr="00F85A58">
        <w:rPr>
          <w:sz w:val="18"/>
          <w:szCs w:val="18"/>
          <w:lang w:val="fr-FR"/>
        </w:rPr>
        <w:t>’</w:t>
      </w:r>
      <w:r w:rsidR="000868CF" w:rsidRPr="00F85A58">
        <w:rPr>
          <w:sz w:val="18"/>
          <w:szCs w:val="18"/>
          <w:lang w:val="fr-FR"/>
        </w:rPr>
        <w:t xml:space="preserve">élaboration des descriptions variétales (par exemple, en indiquant </w:t>
      </w:r>
      <w:r w:rsidR="005752E4" w:rsidRPr="00F85A58">
        <w:rPr>
          <w:sz w:val="18"/>
          <w:szCs w:val="18"/>
          <w:lang w:val="fr-FR"/>
        </w:rPr>
        <w:t>‘</w:t>
      </w:r>
      <w:r w:rsidR="000868CF" w:rsidRPr="00F85A58">
        <w:rPr>
          <w:sz w:val="18"/>
          <w:szCs w:val="18"/>
          <w:lang w:val="fr-FR"/>
        </w:rPr>
        <w:t>Avec l</w:t>
      </w:r>
      <w:r w:rsidR="005752E4" w:rsidRPr="00F85A58">
        <w:rPr>
          <w:sz w:val="18"/>
          <w:szCs w:val="18"/>
          <w:lang w:val="fr-FR"/>
        </w:rPr>
        <w:t>’</w:t>
      </w:r>
      <w:r w:rsidR="000868CF" w:rsidRPr="00F85A58">
        <w:rPr>
          <w:sz w:val="18"/>
          <w:szCs w:val="18"/>
          <w:lang w:val="fr-FR"/>
        </w:rPr>
        <w:t>aimable autorisation de [nom du titulaire du droit d</w:t>
      </w:r>
      <w:r w:rsidR="005752E4" w:rsidRPr="00F85A58">
        <w:rPr>
          <w:sz w:val="18"/>
          <w:szCs w:val="18"/>
          <w:lang w:val="fr-FR"/>
        </w:rPr>
        <w:t>’</w:t>
      </w:r>
      <w:r w:rsidR="000868CF" w:rsidRPr="00F85A58">
        <w:rPr>
          <w:sz w:val="18"/>
          <w:szCs w:val="18"/>
          <w:lang w:val="fr-FR"/>
        </w:rPr>
        <w:t>auteur]</w:t>
      </w:r>
      <w:r w:rsidR="005752E4" w:rsidRPr="00F85A58">
        <w:rPr>
          <w:sz w:val="18"/>
          <w:szCs w:val="18"/>
          <w:lang w:val="fr-FR"/>
        </w:rPr>
        <w:t>’</w:t>
      </w:r>
      <w:r w:rsidR="000868CF" w:rsidRPr="00F85A58">
        <w:rPr>
          <w:sz w:val="18"/>
          <w:szCs w:val="18"/>
          <w:lang w:val="fr-FR"/>
        </w:rPr>
        <w:t xml:space="preserve"> à côté de l</w:t>
      </w:r>
      <w:r w:rsidR="005752E4" w:rsidRPr="00F85A58">
        <w:rPr>
          <w:sz w:val="18"/>
          <w:szCs w:val="18"/>
          <w:lang w:val="fr-FR"/>
        </w:rPr>
        <w:t>’</w:t>
      </w:r>
      <w:r w:rsidR="000868CF" w:rsidRPr="00F85A58">
        <w:rPr>
          <w:sz w:val="18"/>
          <w:szCs w:val="18"/>
          <w:lang w:val="fr-FR"/>
        </w:rPr>
        <w:t>image protégée par le droit d</w:t>
      </w:r>
      <w:r w:rsidR="005752E4" w:rsidRPr="00F85A58">
        <w:rPr>
          <w:sz w:val="18"/>
          <w:szCs w:val="18"/>
          <w:lang w:val="fr-FR"/>
        </w:rPr>
        <w:t>’</w:t>
      </w:r>
      <w:r w:rsidR="000868CF" w:rsidRPr="00F85A58">
        <w:rPr>
          <w:sz w:val="18"/>
          <w:szCs w:val="18"/>
          <w:lang w:val="fr-FR"/>
        </w:rPr>
        <w:t>auteur</w:t>
      </w:r>
      <w:r w:rsidRPr="00F85A58">
        <w:rPr>
          <w:sz w:val="18"/>
          <w:szCs w:val="18"/>
          <w:lang w:val="fr-FR"/>
        </w:rPr>
        <w:t>).”</w:t>
      </w:r>
    </w:p>
    <w:p w:rsidR="00BA14DE" w:rsidRPr="00F85A58" w:rsidRDefault="00BA14DE" w:rsidP="008B7A30">
      <w:pPr>
        <w:rPr>
          <w:lang w:val="fr-FR"/>
        </w:rPr>
      </w:pPr>
    </w:p>
    <w:p w:rsidR="00BA14DE" w:rsidRPr="00F85A58" w:rsidRDefault="008B7A30" w:rsidP="008B7A30">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B032FA" w:rsidRPr="00F85A58">
        <w:rPr>
          <w:lang w:val="fr-FR"/>
        </w:rPr>
        <w:t>Le</w:t>
      </w:r>
      <w:r w:rsidR="005752E4" w:rsidRPr="00F85A58">
        <w:rPr>
          <w:lang w:val="fr-FR"/>
        </w:rPr>
        <w:t> TC</w:t>
      </w:r>
      <w:r w:rsidRPr="00F85A58">
        <w:rPr>
          <w:lang w:val="fr-FR"/>
        </w:rPr>
        <w:t xml:space="preserve"> </w:t>
      </w:r>
      <w:r w:rsidR="00B032FA" w:rsidRPr="00F85A58">
        <w:rPr>
          <w:lang w:val="fr-FR"/>
        </w:rPr>
        <w:t>convient d</w:t>
      </w:r>
      <w:r w:rsidR="005752E4" w:rsidRPr="00F85A58">
        <w:rPr>
          <w:lang w:val="fr-FR"/>
        </w:rPr>
        <w:t>’</w:t>
      </w:r>
      <w:r w:rsidR="00B032FA" w:rsidRPr="00F85A58">
        <w:rPr>
          <w:lang w:val="fr-FR"/>
        </w:rPr>
        <w:t>inclure dans le modèle de principes directeurs d</w:t>
      </w:r>
      <w:r w:rsidR="005752E4" w:rsidRPr="00F85A58">
        <w:rPr>
          <w:lang w:val="fr-FR"/>
        </w:rPr>
        <w:t>’</w:t>
      </w:r>
      <w:r w:rsidR="00B032FA" w:rsidRPr="00F85A58">
        <w:rPr>
          <w:lang w:val="fr-FR"/>
        </w:rPr>
        <w:t>examen sur le Web une indication de la source pour les textes, photographies, illustrations ou autres éléments qui pourraient être soumis aux droits de tiers</w:t>
      </w:r>
      <w:r w:rsidRPr="00F85A58">
        <w:rPr>
          <w:lang w:val="fr-FR"/>
        </w:rPr>
        <w:t>.</w:t>
      </w:r>
    </w:p>
    <w:p w:rsidR="00BA14DE" w:rsidRPr="00F85A58" w:rsidRDefault="00BA14DE" w:rsidP="008B7A30">
      <w:pPr>
        <w:rPr>
          <w:lang w:val="fr-FR"/>
        </w:rPr>
      </w:pPr>
    </w:p>
    <w:p w:rsidR="00BA14DE" w:rsidRPr="00F85A58" w:rsidRDefault="00877C27" w:rsidP="004C3C67">
      <w:pPr>
        <w:pStyle w:val="Heading5"/>
        <w:rPr>
          <w:lang w:val="fr-FR"/>
        </w:rPr>
      </w:pPr>
      <w:r w:rsidRPr="00F85A58">
        <w:rPr>
          <w:lang w:val="fr-FR"/>
        </w:rPr>
        <w:t>iii)</w:t>
      </w:r>
      <w:r w:rsidRPr="00F85A58">
        <w:rPr>
          <w:lang w:val="fr-FR"/>
        </w:rPr>
        <w:tab/>
        <w:t>Séries régionales de variétés indiquées à titre d</w:t>
      </w:r>
      <w:r w:rsidR="005752E4" w:rsidRPr="00F85A58">
        <w:rPr>
          <w:lang w:val="fr-FR"/>
        </w:rPr>
        <w:t>’</w:t>
      </w:r>
      <w:r w:rsidRPr="00F85A58">
        <w:rPr>
          <w:lang w:val="fr-FR"/>
        </w:rPr>
        <w:t>exemple</w:t>
      </w:r>
    </w:p>
    <w:p w:rsidR="00BA14DE" w:rsidRPr="00F85A58" w:rsidRDefault="00BA14DE" w:rsidP="008B7A30">
      <w:pPr>
        <w:keepNext/>
        <w:rPr>
          <w:lang w:val="fr-FR"/>
        </w:rPr>
      </w:pPr>
    </w:p>
    <w:p w:rsidR="00BA14DE" w:rsidRPr="00F85A58" w:rsidRDefault="008B7A30" w:rsidP="008B7A30">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480F03" w:rsidRPr="00F85A58">
        <w:rPr>
          <w:lang w:val="fr-FR"/>
        </w:rPr>
        <w:t>Le</w:t>
      </w:r>
      <w:r w:rsidR="005752E4" w:rsidRPr="00F85A58">
        <w:rPr>
          <w:lang w:val="fr-FR"/>
        </w:rPr>
        <w:t> TC</w:t>
      </w:r>
      <w:r w:rsidRPr="00F85A58">
        <w:rPr>
          <w:lang w:val="fr-FR"/>
        </w:rPr>
        <w:t xml:space="preserve"> </w:t>
      </w:r>
      <w:r w:rsidR="00480F03" w:rsidRPr="00F85A58">
        <w:rPr>
          <w:lang w:val="fr-FR"/>
        </w:rPr>
        <w:t>examine le</w:t>
      </w:r>
      <w:r w:rsidR="005752E4" w:rsidRPr="00F85A58">
        <w:rPr>
          <w:lang w:val="fr-FR"/>
        </w:rPr>
        <w:t> TC</w:t>
      </w:r>
      <w:r w:rsidRPr="00F85A58">
        <w:rPr>
          <w:lang w:val="fr-FR"/>
        </w:rPr>
        <w:t xml:space="preserve">/52/15 </w:t>
      </w:r>
      <w:r w:rsidR="00480F03" w:rsidRPr="00F85A58">
        <w:rPr>
          <w:lang w:val="fr-FR"/>
        </w:rPr>
        <w:t>et convient du fait que,</w:t>
      </w:r>
      <w:r w:rsidRPr="00F85A58">
        <w:rPr>
          <w:lang w:val="fr-FR"/>
        </w:rPr>
        <w:t xml:space="preserve"> </w:t>
      </w:r>
      <w:r w:rsidR="00480F03" w:rsidRPr="00F85A58">
        <w:rPr>
          <w:lang w:val="fr-FR"/>
        </w:rPr>
        <w:t>dans le but d</w:t>
      </w:r>
      <w:r w:rsidR="005752E4" w:rsidRPr="00F85A58">
        <w:rPr>
          <w:lang w:val="fr-FR"/>
        </w:rPr>
        <w:t>’</w:t>
      </w:r>
      <w:r w:rsidR="00480F03" w:rsidRPr="00F85A58">
        <w:rPr>
          <w:lang w:val="fr-FR"/>
        </w:rPr>
        <w:t>élaborer des séries régionales de var</w:t>
      </w:r>
      <w:r w:rsidR="00BE2495" w:rsidRPr="00F85A58">
        <w:rPr>
          <w:lang w:val="fr-FR"/>
        </w:rPr>
        <w:t>iétés indiquées à titre d</w:t>
      </w:r>
      <w:r w:rsidR="005752E4" w:rsidRPr="00F85A58">
        <w:rPr>
          <w:lang w:val="fr-FR"/>
        </w:rPr>
        <w:t>’</w:t>
      </w:r>
      <w:r w:rsidR="00BE2495" w:rsidRPr="00F85A58">
        <w:rPr>
          <w:lang w:val="fr-FR"/>
        </w:rPr>
        <w:t>exemple pour les principes directeurs d</w:t>
      </w:r>
      <w:r w:rsidR="005752E4" w:rsidRPr="00F85A58">
        <w:rPr>
          <w:lang w:val="fr-FR"/>
        </w:rPr>
        <w:t>’</w:t>
      </w:r>
      <w:r w:rsidR="00BE2495" w:rsidRPr="00F85A58">
        <w:rPr>
          <w:lang w:val="fr-FR"/>
        </w:rPr>
        <w:t>examen </w:t>
      </w:r>
      <w:r w:rsidRPr="00F85A58">
        <w:rPr>
          <w:lang w:val="fr-FR"/>
        </w:rPr>
        <w:t>:</w:t>
      </w:r>
    </w:p>
    <w:p w:rsidR="00BA14DE" w:rsidRPr="00F85A58" w:rsidRDefault="00BA14DE" w:rsidP="008B7A30">
      <w:pPr>
        <w:rPr>
          <w:lang w:val="fr-FR"/>
        </w:rPr>
      </w:pPr>
    </w:p>
    <w:p w:rsidR="00BA14DE" w:rsidRPr="00F85A58" w:rsidRDefault="008B7A30" w:rsidP="008B7A30">
      <w:pPr>
        <w:rPr>
          <w:lang w:val="fr-FR"/>
        </w:rPr>
      </w:pPr>
      <w:r w:rsidRPr="00F85A58">
        <w:rPr>
          <w:lang w:val="fr-FR"/>
        </w:rPr>
        <w:tab/>
        <w:t>a)</w:t>
      </w:r>
      <w:r w:rsidRPr="00F85A58">
        <w:rPr>
          <w:lang w:val="fr-FR"/>
        </w:rPr>
        <w:tab/>
      </w:r>
      <w:r w:rsidR="005A194D" w:rsidRPr="00F85A58">
        <w:rPr>
          <w:lang w:val="fr-FR"/>
        </w:rPr>
        <w:t xml:space="preserve">une </w:t>
      </w:r>
      <w:r w:rsidRPr="00F85A58">
        <w:rPr>
          <w:lang w:val="fr-FR"/>
        </w:rPr>
        <w:t>“r</w:t>
      </w:r>
      <w:r w:rsidR="005A194D" w:rsidRPr="00F85A58">
        <w:rPr>
          <w:lang w:val="fr-FR"/>
        </w:rPr>
        <w:t>é</w:t>
      </w:r>
      <w:r w:rsidRPr="00F85A58">
        <w:rPr>
          <w:lang w:val="fr-FR"/>
        </w:rPr>
        <w:t xml:space="preserve">gion” </w:t>
      </w:r>
      <w:r w:rsidR="005A194D" w:rsidRPr="00F85A58">
        <w:rPr>
          <w:lang w:val="fr-FR"/>
        </w:rPr>
        <w:t>devrait comprendre plusieurs pays,</w:t>
      </w:r>
    </w:p>
    <w:p w:rsidR="00BA14DE" w:rsidRPr="00F85A58" w:rsidRDefault="00BA14DE" w:rsidP="008B7A30">
      <w:pPr>
        <w:rPr>
          <w:lang w:val="fr-FR"/>
        </w:rPr>
      </w:pPr>
    </w:p>
    <w:p w:rsidR="00BA14DE" w:rsidRPr="00F85A58" w:rsidRDefault="008B7A30" w:rsidP="008B7A30">
      <w:pPr>
        <w:rPr>
          <w:lang w:val="fr-FR"/>
        </w:rPr>
      </w:pPr>
      <w:r w:rsidRPr="00F85A58">
        <w:rPr>
          <w:lang w:val="fr-FR"/>
        </w:rPr>
        <w:tab/>
        <w:t>b)</w:t>
      </w:r>
      <w:r w:rsidRPr="00F85A58">
        <w:rPr>
          <w:lang w:val="fr-FR"/>
        </w:rPr>
        <w:tab/>
      </w:r>
      <w:r w:rsidR="00B6330B" w:rsidRPr="00F85A58">
        <w:rPr>
          <w:lang w:val="fr-FR"/>
        </w:rPr>
        <w:t>l</w:t>
      </w:r>
      <w:r w:rsidR="00132C8B" w:rsidRPr="00F85A58">
        <w:rPr>
          <w:lang w:val="fr-FR"/>
        </w:rPr>
        <w:t xml:space="preserve">e </w:t>
      </w:r>
      <w:r w:rsidRPr="00F85A58">
        <w:rPr>
          <w:lang w:val="fr-FR"/>
        </w:rPr>
        <w:t xml:space="preserve">TWP </w:t>
      </w:r>
      <w:r w:rsidR="00132C8B" w:rsidRPr="00F85A58">
        <w:rPr>
          <w:lang w:val="fr-FR"/>
        </w:rPr>
        <w:t>chargé des principes directeurs d</w:t>
      </w:r>
      <w:r w:rsidR="005752E4" w:rsidRPr="00F85A58">
        <w:rPr>
          <w:lang w:val="fr-FR"/>
        </w:rPr>
        <w:t>’</w:t>
      </w:r>
      <w:r w:rsidR="00132C8B" w:rsidRPr="00F85A58">
        <w:rPr>
          <w:lang w:val="fr-FR"/>
        </w:rPr>
        <w:t xml:space="preserve">examen </w:t>
      </w:r>
      <w:r w:rsidR="00685235" w:rsidRPr="00F85A58">
        <w:rPr>
          <w:lang w:val="fr-FR"/>
        </w:rPr>
        <w:t>devrait</w:t>
      </w:r>
      <w:r w:rsidR="00132C8B" w:rsidRPr="00F85A58">
        <w:rPr>
          <w:lang w:val="fr-FR"/>
        </w:rPr>
        <w:t xml:space="preserve"> définir la nécessité et la base pour l</w:t>
      </w:r>
      <w:r w:rsidR="005752E4" w:rsidRPr="00F85A58">
        <w:rPr>
          <w:lang w:val="fr-FR"/>
        </w:rPr>
        <w:t>’</w:t>
      </w:r>
      <w:r w:rsidR="00132C8B" w:rsidRPr="00F85A58">
        <w:rPr>
          <w:lang w:val="fr-FR"/>
        </w:rPr>
        <w:t>établissement d</w:t>
      </w:r>
      <w:r w:rsidR="005752E4" w:rsidRPr="00F85A58">
        <w:rPr>
          <w:lang w:val="fr-FR"/>
        </w:rPr>
        <w:t>’</w:t>
      </w:r>
      <w:r w:rsidR="00132C8B" w:rsidRPr="00F85A58">
        <w:rPr>
          <w:lang w:val="fr-FR"/>
        </w:rPr>
        <w:t>une région aux fins d</w:t>
      </w:r>
      <w:r w:rsidR="005752E4" w:rsidRPr="00F85A58">
        <w:rPr>
          <w:lang w:val="fr-FR"/>
        </w:rPr>
        <w:t>’</w:t>
      </w:r>
      <w:r w:rsidR="00132C8B" w:rsidRPr="00F85A58">
        <w:rPr>
          <w:lang w:val="fr-FR"/>
        </w:rPr>
        <w:t>une série régionale de variétés indiquées à titre d</w:t>
      </w:r>
      <w:r w:rsidR="005752E4" w:rsidRPr="00F85A58">
        <w:rPr>
          <w:lang w:val="fr-FR"/>
        </w:rPr>
        <w:t>’</w:t>
      </w:r>
      <w:r w:rsidR="00132C8B" w:rsidRPr="00F85A58">
        <w:rPr>
          <w:lang w:val="fr-FR"/>
        </w:rPr>
        <w:t>exemple</w:t>
      </w:r>
      <w:r w:rsidR="00B6330B" w:rsidRPr="00F85A58">
        <w:rPr>
          <w:lang w:val="fr-FR"/>
        </w:rPr>
        <w:t>,</w:t>
      </w:r>
    </w:p>
    <w:p w:rsidR="00BA14DE" w:rsidRPr="00F85A58" w:rsidRDefault="00BA14DE" w:rsidP="008B7A30">
      <w:pPr>
        <w:rPr>
          <w:lang w:val="fr-FR"/>
        </w:rPr>
      </w:pPr>
    </w:p>
    <w:p w:rsidR="00BA14DE" w:rsidRPr="00F85A58" w:rsidRDefault="008B7A30" w:rsidP="008B7A30">
      <w:pPr>
        <w:rPr>
          <w:lang w:val="fr-FR"/>
        </w:rPr>
      </w:pPr>
      <w:r w:rsidRPr="00F85A58">
        <w:rPr>
          <w:lang w:val="fr-FR"/>
        </w:rPr>
        <w:tab/>
        <w:t>c)</w:t>
      </w:r>
      <w:r w:rsidRPr="00F85A58">
        <w:rPr>
          <w:lang w:val="fr-FR"/>
        </w:rPr>
        <w:tab/>
      </w:r>
      <w:r w:rsidR="00B6330B" w:rsidRPr="00F85A58">
        <w:rPr>
          <w:lang w:val="fr-FR"/>
        </w:rPr>
        <w:t>les modalités d</w:t>
      </w:r>
      <w:r w:rsidR="005752E4" w:rsidRPr="00F85A58">
        <w:rPr>
          <w:lang w:val="fr-FR"/>
        </w:rPr>
        <w:t>’</w:t>
      </w:r>
      <w:r w:rsidR="00B6330B" w:rsidRPr="00F85A58">
        <w:rPr>
          <w:lang w:val="fr-FR"/>
        </w:rPr>
        <w:t>élaboration de séries de variétés indiquées à titre d</w:t>
      </w:r>
      <w:r w:rsidR="005752E4" w:rsidRPr="00F85A58">
        <w:rPr>
          <w:lang w:val="fr-FR"/>
        </w:rPr>
        <w:t>’</w:t>
      </w:r>
      <w:r w:rsidR="00B6330B" w:rsidRPr="00F85A58">
        <w:rPr>
          <w:lang w:val="fr-FR"/>
        </w:rPr>
        <w:t xml:space="preserve">exemple </w:t>
      </w:r>
      <w:r w:rsidR="001F4366" w:rsidRPr="00F85A58">
        <w:rPr>
          <w:lang w:val="fr-FR"/>
        </w:rPr>
        <w:t>pour une région donnée seraient définies par</w:t>
      </w:r>
      <w:r w:rsidR="005752E4" w:rsidRPr="00F85A58">
        <w:rPr>
          <w:lang w:val="fr-FR"/>
        </w:rPr>
        <w:t xml:space="preserve"> le TWP</w:t>
      </w:r>
      <w:r w:rsidRPr="00F85A58">
        <w:rPr>
          <w:lang w:val="fr-FR"/>
        </w:rPr>
        <w:t xml:space="preserve"> concern</w:t>
      </w:r>
      <w:r w:rsidR="001F4366" w:rsidRPr="00F85A58">
        <w:rPr>
          <w:lang w:val="fr-FR"/>
        </w:rPr>
        <w:t>é</w:t>
      </w:r>
      <w:r w:rsidRPr="00F85A58">
        <w:rPr>
          <w:lang w:val="fr-FR"/>
        </w:rPr>
        <w:t xml:space="preserve"> </w:t>
      </w:r>
      <w:r w:rsidR="001F4366" w:rsidRPr="00F85A58">
        <w:rPr>
          <w:lang w:val="fr-FR"/>
        </w:rPr>
        <w:t xml:space="preserve">et </w:t>
      </w:r>
      <w:r w:rsidR="00685235" w:rsidRPr="00F85A58">
        <w:rPr>
          <w:lang w:val="fr-FR"/>
        </w:rPr>
        <w:t>pourraient</w:t>
      </w:r>
      <w:r w:rsidR="001F4366" w:rsidRPr="00F85A58">
        <w:rPr>
          <w:lang w:val="fr-FR"/>
        </w:rPr>
        <w:t>, par exemple,</w:t>
      </w:r>
      <w:r w:rsidR="00A95C5C" w:rsidRPr="00F85A58">
        <w:rPr>
          <w:lang w:val="fr-FR"/>
        </w:rPr>
        <w:t xml:space="preserve"> </w:t>
      </w:r>
      <w:r w:rsidR="001F4366" w:rsidRPr="00F85A58">
        <w:rPr>
          <w:lang w:val="fr-FR"/>
        </w:rPr>
        <w:t xml:space="preserve">être </w:t>
      </w:r>
      <w:r w:rsidR="00685235" w:rsidRPr="00F85A58">
        <w:rPr>
          <w:lang w:val="fr-FR"/>
        </w:rPr>
        <w:t>coordonnées</w:t>
      </w:r>
      <w:r w:rsidR="001F4366" w:rsidRPr="00F85A58">
        <w:rPr>
          <w:lang w:val="fr-FR"/>
        </w:rPr>
        <w:t xml:space="preserve"> par un expert principal de la région en question,</w:t>
      </w:r>
      <w:r w:rsidRPr="00F85A58">
        <w:rPr>
          <w:lang w:val="fr-FR"/>
        </w:rPr>
        <w:t xml:space="preserve"> </w:t>
      </w:r>
      <w:r w:rsidR="001F4366" w:rsidRPr="00F85A58">
        <w:rPr>
          <w:lang w:val="fr-FR"/>
        </w:rPr>
        <w:t>et</w:t>
      </w:r>
    </w:p>
    <w:p w:rsidR="00BA14DE" w:rsidRPr="00F85A58" w:rsidRDefault="00BA14DE" w:rsidP="008B7A30">
      <w:pPr>
        <w:rPr>
          <w:lang w:val="fr-FR"/>
        </w:rPr>
      </w:pPr>
    </w:p>
    <w:p w:rsidR="005752E4" w:rsidRPr="00F85A58" w:rsidRDefault="008B7A30" w:rsidP="008B7A30">
      <w:pPr>
        <w:rPr>
          <w:lang w:val="fr-FR"/>
        </w:rPr>
      </w:pPr>
      <w:r w:rsidRPr="00F85A58">
        <w:rPr>
          <w:lang w:val="fr-FR"/>
        </w:rPr>
        <w:tab/>
        <w:t>d)</w:t>
      </w:r>
      <w:r w:rsidRPr="00F85A58">
        <w:rPr>
          <w:lang w:val="fr-FR"/>
        </w:rPr>
        <w:tab/>
      </w:r>
      <w:r w:rsidR="00BB0C6F" w:rsidRPr="00F85A58">
        <w:rPr>
          <w:lang w:val="fr-FR"/>
        </w:rPr>
        <w:t>les variétés indiquées à titre d</w:t>
      </w:r>
      <w:r w:rsidR="005752E4" w:rsidRPr="00F85A58">
        <w:rPr>
          <w:lang w:val="fr-FR"/>
        </w:rPr>
        <w:t>’</w:t>
      </w:r>
      <w:r w:rsidR="00BB0C6F" w:rsidRPr="00F85A58">
        <w:rPr>
          <w:lang w:val="fr-FR"/>
        </w:rPr>
        <w:t>exemple devraient faire l</w:t>
      </w:r>
      <w:r w:rsidR="005752E4" w:rsidRPr="00F85A58">
        <w:rPr>
          <w:lang w:val="fr-FR"/>
        </w:rPr>
        <w:t>’</w:t>
      </w:r>
      <w:r w:rsidR="00BB0C6F" w:rsidRPr="00F85A58">
        <w:rPr>
          <w:lang w:val="fr-FR"/>
        </w:rPr>
        <w:t>objet d</w:t>
      </w:r>
      <w:r w:rsidR="005752E4" w:rsidRPr="00F85A58">
        <w:rPr>
          <w:lang w:val="fr-FR"/>
        </w:rPr>
        <w:t>’</w:t>
      </w:r>
      <w:r w:rsidR="00BB0C6F" w:rsidRPr="00F85A58">
        <w:rPr>
          <w:lang w:val="fr-FR"/>
        </w:rPr>
        <w:t>un accord entre tous les membres de l</w:t>
      </w:r>
      <w:r w:rsidR="005752E4" w:rsidRPr="00F85A58">
        <w:rPr>
          <w:lang w:val="fr-FR"/>
        </w:rPr>
        <w:t>’</w:t>
      </w:r>
      <w:r w:rsidRPr="00F85A58">
        <w:rPr>
          <w:lang w:val="fr-FR"/>
        </w:rPr>
        <w:t xml:space="preserve">UPOV </w:t>
      </w:r>
      <w:r w:rsidR="00BB0C6F" w:rsidRPr="00F85A58">
        <w:rPr>
          <w:lang w:val="fr-FR"/>
        </w:rPr>
        <w:t>de la région concernée</w:t>
      </w:r>
      <w:r w:rsidR="00035F47" w:rsidRPr="00F85A58">
        <w:rPr>
          <w:lang w:val="fr-FR"/>
        </w:rPr>
        <w:t>.</w:t>
      </w:r>
    </w:p>
    <w:p w:rsidR="00BA14DE" w:rsidRPr="00F85A58" w:rsidRDefault="00BA14DE" w:rsidP="008B7A30">
      <w:pPr>
        <w:rPr>
          <w:lang w:val="fr-FR"/>
        </w:rPr>
      </w:pPr>
    </w:p>
    <w:p w:rsidR="00BA14DE" w:rsidRPr="00F85A58" w:rsidRDefault="00035F47" w:rsidP="008B7A30">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A95C5C" w:rsidRPr="00F85A58">
        <w:rPr>
          <w:lang w:val="fr-FR"/>
        </w:rPr>
        <w:t>Le</w:t>
      </w:r>
      <w:r w:rsidR="005752E4" w:rsidRPr="00F85A58">
        <w:rPr>
          <w:lang w:val="fr-FR"/>
        </w:rPr>
        <w:t> TC</w:t>
      </w:r>
      <w:r w:rsidRPr="00F85A58">
        <w:rPr>
          <w:lang w:val="fr-FR"/>
        </w:rPr>
        <w:t xml:space="preserve"> </w:t>
      </w:r>
      <w:r w:rsidR="00A95C5C" w:rsidRPr="00F85A58">
        <w:rPr>
          <w:lang w:val="fr-FR"/>
        </w:rPr>
        <w:t>convient de proposer les orientations ci</w:t>
      </w:r>
      <w:r w:rsidR="00F85A58" w:rsidRPr="00F85A58">
        <w:rPr>
          <w:lang w:val="fr-FR"/>
        </w:rPr>
        <w:noBreakHyphen/>
      </w:r>
      <w:r w:rsidR="00A95C5C" w:rsidRPr="00F85A58">
        <w:rPr>
          <w:lang w:val="fr-FR"/>
        </w:rPr>
        <w:t xml:space="preserve">dessus </w:t>
      </w:r>
      <w:r w:rsidR="00412959" w:rsidRPr="00F85A58">
        <w:rPr>
          <w:lang w:val="fr-FR"/>
        </w:rPr>
        <w:t>aux fins d</w:t>
      </w:r>
      <w:r w:rsidR="005752E4" w:rsidRPr="00F85A58">
        <w:rPr>
          <w:lang w:val="fr-FR"/>
        </w:rPr>
        <w:t>’</w:t>
      </w:r>
      <w:r w:rsidR="00412959" w:rsidRPr="00F85A58">
        <w:rPr>
          <w:lang w:val="fr-FR"/>
        </w:rPr>
        <w:t>inclusion dans la version révisée</w:t>
      </w:r>
      <w:r w:rsidR="005752E4" w:rsidRPr="00F85A58">
        <w:rPr>
          <w:lang w:val="fr-FR"/>
        </w:rPr>
        <w:t xml:space="preserve"> du TGP</w:t>
      </w:r>
      <w:r w:rsidR="00412959" w:rsidRPr="00F85A58">
        <w:rPr>
          <w:lang w:val="fr-FR"/>
        </w:rPr>
        <w:t xml:space="preserve">/7 qui sera </w:t>
      </w:r>
      <w:r w:rsidR="00685235" w:rsidRPr="00F85A58">
        <w:rPr>
          <w:lang w:val="fr-FR"/>
        </w:rPr>
        <w:t>proposée</w:t>
      </w:r>
      <w:r w:rsidR="00412959" w:rsidRPr="00F85A58">
        <w:rPr>
          <w:lang w:val="fr-FR"/>
        </w:rPr>
        <w:t xml:space="preserve"> au</w:t>
      </w:r>
      <w:r w:rsidR="005752E4" w:rsidRPr="00F85A58">
        <w:rPr>
          <w:lang w:val="fr-FR"/>
        </w:rPr>
        <w:t> TC</w:t>
      </w:r>
      <w:r w:rsidR="00412959" w:rsidRPr="00F85A58">
        <w:rPr>
          <w:lang w:val="fr-FR"/>
        </w:rPr>
        <w:t xml:space="preserve"> pour adoption par le Conseil en octobre 2016</w:t>
      </w:r>
      <w:r w:rsidR="008B7A30" w:rsidRPr="00F85A58">
        <w:rPr>
          <w:lang w:val="fr-FR"/>
        </w:rPr>
        <w:t>.</w:t>
      </w:r>
    </w:p>
    <w:p w:rsidR="00BA14DE" w:rsidRPr="00F85A58" w:rsidRDefault="00BA14DE" w:rsidP="007F371D">
      <w:pPr>
        <w:rPr>
          <w:lang w:val="fr-FR"/>
        </w:rPr>
      </w:pPr>
    </w:p>
    <w:p w:rsidR="00BA14DE" w:rsidRPr="00F85A58" w:rsidRDefault="00877C27" w:rsidP="005A61CD">
      <w:pPr>
        <w:pStyle w:val="Heading4"/>
        <w:ind w:left="1418" w:hanging="851"/>
        <w:rPr>
          <w:snapToGrid/>
        </w:rPr>
      </w:pPr>
      <w:r w:rsidRPr="00F85A58">
        <w:rPr>
          <w:snapToGrid/>
        </w:rPr>
        <w:t xml:space="preserve">TGP/8 : </w:t>
      </w:r>
      <w:r w:rsidR="005A61CD" w:rsidRPr="00F85A58">
        <w:rPr>
          <w:snapToGrid/>
        </w:rPr>
        <w:tab/>
      </w:r>
      <w:r w:rsidRPr="00F85A58">
        <w:rPr>
          <w:snapToGrid/>
        </w:rPr>
        <w:t>Protocole d</w:t>
      </w:r>
      <w:r w:rsidR="005752E4" w:rsidRPr="00F85A58">
        <w:rPr>
          <w:snapToGrid/>
        </w:rPr>
        <w:t>’</w:t>
      </w:r>
      <w:r w:rsidRPr="00F85A58">
        <w:rPr>
          <w:snapToGrid/>
        </w:rPr>
        <w:t>essai et techniques utilisées dans l</w:t>
      </w:r>
      <w:r w:rsidR="005752E4" w:rsidRPr="00F85A58">
        <w:rPr>
          <w:snapToGrid/>
        </w:rPr>
        <w:t>’</w:t>
      </w:r>
      <w:r w:rsidRPr="00F85A58">
        <w:rPr>
          <w:snapToGrid/>
        </w:rPr>
        <w:t>examen de la distinction, de l</w:t>
      </w:r>
      <w:r w:rsidR="005752E4" w:rsidRPr="00F85A58">
        <w:rPr>
          <w:snapToGrid/>
        </w:rPr>
        <w:t>’</w:t>
      </w:r>
      <w:r w:rsidRPr="00F85A58">
        <w:rPr>
          <w:snapToGrid/>
        </w:rPr>
        <w:t>homogénéité et de la stabilité</w:t>
      </w:r>
    </w:p>
    <w:p w:rsidR="00BA14DE" w:rsidRPr="00F85A58" w:rsidRDefault="00BA14DE" w:rsidP="000D1E46">
      <w:pPr>
        <w:rPr>
          <w:lang w:val="fr-FR"/>
        </w:rPr>
      </w:pPr>
    </w:p>
    <w:p w:rsidR="00BA14DE" w:rsidRPr="00F85A58" w:rsidRDefault="00877C27" w:rsidP="004C3C67">
      <w:pPr>
        <w:pStyle w:val="Heading5"/>
        <w:rPr>
          <w:lang w:val="fr-FR"/>
        </w:rPr>
      </w:pPr>
      <w:r w:rsidRPr="00F85A58">
        <w:rPr>
          <w:lang w:val="fr-FR"/>
        </w:rPr>
        <w:t>iv)</w:t>
      </w:r>
      <w:r w:rsidRPr="00F85A58">
        <w:rPr>
          <w:lang w:val="fr-FR"/>
        </w:rPr>
        <w:tab/>
        <w:t>Nouvelle section</w:t>
      </w:r>
      <w:r w:rsidR="00342006" w:rsidRPr="00F85A58">
        <w:rPr>
          <w:lang w:val="fr-FR"/>
        </w:rPr>
        <w:t> </w:t>
      </w:r>
      <w:r w:rsidRPr="00F85A58">
        <w:rPr>
          <w:lang w:val="fr-FR"/>
        </w:rPr>
        <w:t>: Examen de caractères au moyen de l</w:t>
      </w:r>
      <w:r w:rsidR="005752E4" w:rsidRPr="00F85A58">
        <w:rPr>
          <w:lang w:val="fr-FR"/>
        </w:rPr>
        <w:t>’</w:t>
      </w:r>
      <w:r w:rsidRPr="00F85A58">
        <w:rPr>
          <w:lang w:val="fr-FR"/>
        </w:rPr>
        <w:t>analyse d</w:t>
      </w:r>
      <w:r w:rsidR="005752E4" w:rsidRPr="00F85A58">
        <w:rPr>
          <w:lang w:val="fr-FR"/>
        </w:rPr>
        <w:t>’</w:t>
      </w:r>
      <w:r w:rsidRPr="00F85A58">
        <w:rPr>
          <w:lang w:val="fr-FR"/>
        </w:rPr>
        <w:t>images</w:t>
      </w:r>
    </w:p>
    <w:p w:rsidR="00BA14DE" w:rsidRPr="00F85A58" w:rsidRDefault="00BA14DE" w:rsidP="000D1E46">
      <w:pPr>
        <w:rPr>
          <w:lang w:val="fr-FR"/>
        </w:rPr>
      </w:pPr>
    </w:p>
    <w:p w:rsidR="00BA14DE" w:rsidRPr="00F85A58" w:rsidRDefault="007F371D"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412959" w:rsidRPr="00F85A58">
        <w:rPr>
          <w:lang w:val="fr-FR"/>
        </w:rPr>
        <w:t>Le</w:t>
      </w:r>
      <w:r w:rsidR="005752E4" w:rsidRPr="00F85A58">
        <w:rPr>
          <w:lang w:val="fr-FR"/>
        </w:rPr>
        <w:t> TC</w:t>
      </w:r>
      <w:r w:rsidRPr="00F85A58">
        <w:rPr>
          <w:lang w:val="fr-FR"/>
        </w:rPr>
        <w:t xml:space="preserve"> </w:t>
      </w:r>
      <w:r w:rsidR="00412959" w:rsidRPr="00F85A58">
        <w:rPr>
          <w:lang w:val="fr-FR"/>
        </w:rPr>
        <w:t xml:space="preserve">prend note de la nouvelle section sur </w:t>
      </w:r>
      <w:r w:rsidRPr="00F85A58">
        <w:rPr>
          <w:lang w:val="fr-FR"/>
        </w:rPr>
        <w:t>“Exam</w:t>
      </w:r>
      <w:r w:rsidR="00412959" w:rsidRPr="00F85A58">
        <w:rPr>
          <w:lang w:val="fr-FR"/>
        </w:rPr>
        <w:t>en des caractères au moyen de l</w:t>
      </w:r>
      <w:r w:rsidR="005752E4" w:rsidRPr="00F85A58">
        <w:rPr>
          <w:lang w:val="fr-FR"/>
        </w:rPr>
        <w:t>’</w:t>
      </w:r>
      <w:r w:rsidR="00412959" w:rsidRPr="00F85A58">
        <w:rPr>
          <w:lang w:val="fr-FR"/>
        </w:rPr>
        <w:t>analyse d</w:t>
      </w:r>
      <w:r w:rsidR="005752E4" w:rsidRPr="00F85A58">
        <w:rPr>
          <w:lang w:val="fr-FR"/>
        </w:rPr>
        <w:t>’</w:t>
      </w:r>
      <w:r w:rsidR="00412959" w:rsidRPr="00F85A58">
        <w:rPr>
          <w:lang w:val="fr-FR"/>
        </w:rPr>
        <w:t>images</w:t>
      </w:r>
      <w:r w:rsidR="001826AD">
        <w:rPr>
          <w:lang w:val="fr-FR"/>
        </w:rPr>
        <w:t>”</w:t>
      </w:r>
      <w:r w:rsidRPr="00F85A58">
        <w:rPr>
          <w:lang w:val="fr-FR"/>
        </w:rPr>
        <w:t xml:space="preserve"> </w:t>
      </w:r>
      <w:r w:rsidR="00412959" w:rsidRPr="00F85A58">
        <w:rPr>
          <w:lang w:val="fr-FR"/>
        </w:rPr>
        <w:t xml:space="preserve">déjà </w:t>
      </w:r>
      <w:r w:rsidR="00626C6A" w:rsidRPr="00F85A58">
        <w:rPr>
          <w:lang w:val="fr-FR"/>
        </w:rPr>
        <w:t>approuvée</w:t>
      </w:r>
      <w:r w:rsidR="00412959" w:rsidRPr="00F85A58">
        <w:rPr>
          <w:lang w:val="fr-FR"/>
        </w:rPr>
        <w:t xml:space="preserve"> par le</w:t>
      </w:r>
      <w:r w:rsidR="005752E4" w:rsidRPr="00F85A58">
        <w:rPr>
          <w:lang w:val="fr-FR"/>
        </w:rPr>
        <w:t> TC</w:t>
      </w:r>
      <w:r w:rsidRPr="00F85A58">
        <w:rPr>
          <w:lang w:val="fr-FR"/>
        </w:rPr>
        <w:t xml:space="preserve">, </w:t>
      </w:r>
      <w:r w:rsidR="00412959" w:rsidRPr="00F85A58">
        <w:rPr>
          <w:lang w:val="fr-FR"/>
        </w:rPr>
        <w:t>tel qu</w:t>
      </w:r>
      <w:r w:rsidR="005752E4" w:rsidRPr="00F85A58">
        <w:rPr>
          <w:lang w:val="fr-FR"/>
        </w:rPr>
        <w:t>’</w:t>
      </w:r>
      <w:r w:rsidR="00412959" w:rsidRPr="00F85A58">
        <w:rPr>
          <w:lang w:val="fr-FR"/>
        </w:rPr>
        <w:t xml:space="preserve">indiqué en annexe I du </w:t>
      </w:r>
      <w:r w:rsidR="005752E4" w:rsidRPr="00F85A58">
        <w:rPr>
          <w:lang w:val="fr-FR"/>
        </w:rPr>
        <w:t>document TC</w:t>
      </w:r>
      <w:r w:rsidRPr="00F85A58">
        <w:rPr>
          <w:lang w:val="fr-FR"/>
        </w:rPr>
        <w:t>/52/5</w:t>
      </w:r>
      <w:r w:rsidR="00246670" w:rsidRPr="00F85A58">
        <w:rPr>
          <w:lang w:val="fr-FR"/>
        </w:rPr>
        <w:t xml:space="preserve">, </w:t>
      </w:r>
      <w:r w:rsidR="00412959" w:rsidRPr="00F85A58">
        <w:rPr>
          <w:lang w:val="fr-FR"/>
        </w:rPr>
        <w:t>aux fins d</w:t>
      </w:r>
      <w:r w:rsidR="005752E4" w:rsidRPr="00F85A58">
        <w:rPr>
          <w:lang w:val="fr-FR"/>
        </w:rPr>
        <w:t>’</w:t>
      </w:r>
      <w:r w:rsidR="00412959" w:rsidRPr="00F85A58">
        <w:rPr>
          <w:lang w:val="fr-FR"/>
        </w:rPr>
        <w:t>inclusion dans la version révisée</w:t>
      </w:r>
      <w:r w:rsidR="005752E4" w:rsidRPr="00F85A58">
        <w:rPr>
          <w:lang w:val="fr-FR"/>
        </w:rPr>
        <w:t xml:space="preserve"> du TGP</w:t>
      </w:r>
      <w:r w:rsidR="00412959" w:rsidRPr="00F85A58">
        <w:rPr>
          <w:lang w:val="fr-FR"/>
        </w:rPr>
        <w:t>/8 qui sera proposé au</w:t>
      </w:r>
      <w:r w:rsidR="005752E4" w:rsidRPr="00F85A58">
        <w:rPr>
          <w:lang w:val="fr-FR"/>
        </w:rPr>
        <w:t> TC</w:t>
      </w:r>
      <w:r w:rsidR="00412959" w:rsidRPr="00F85A58">
        <w:rPr>
          <w:lang w:val="fr-FR"/>
        </w:rPr>
        <w:t xml:space="preserve"> pour adoption par le Conseil en octobre 2016</w:t>
      </w:r>
      <w:r w:rsidR="00246670" w:rsidRPr="00F85A58">
        <w:rPr>
          <w:lang w:val="fr-FR"/>
        </w:rPr>
        <w:t>.</w:t>
      </w:r>
    </w:p>
    <w:p w:rsidR="00BA14DE" w:rsidRPr="00F85A58" w:rsidRDefault="00BA14DE" w:rsidP="007F371D">
      <w:pPr>
        <w:rPr>
          <w:lang w:val="fr-FR"/>
        </w:rPr>
      </w:pPr>
    </w:p>
    <w:p w:rsidR="00BA14DE" w:rsidRPr="00F85A58" w:rsidRDefault="00877C27" w:rsidP="004C3C67">
      <w:pPr>
        <w:pStyle w:val="Heading5"/>
        <w:rPr>
          <w:lang w:val="fr-FR"/>
        </w:rPr>
      </w:pPr>
      <w:r w:rsidRPr="00F85A58">
        <w:rPr>
          <w:lang w:val="fr-FR"/>
        </w:rPr>
        <w:t>v)</w:t>
      </w:r>
      <w:r w:rsidRPr="00F85A58">
        <w:rPr>
          <w:lang w:val="fr-FR"/>
        </w:rPr>
        <w:tab/>
        <w:t>Nouvelle section</w:t>
      </w:r>
      <w:r w:rsidR="00342006" w:rsidRPr="00F85A58">
        <w:rPr>
          <w:lang w:val="fr-FR"/>
        </w:rPr>
        <w:t> </w:t>
      </w:r>
      <w:r w:rsidRPr="00F85A58">
        <w:rPr>
          <w:lang w:val="fr-FR"/>
        </w:rPr>
        <w:t>: Réduction de la variation due à différents observateurs</w:t>
      </w:r>
    </w:p>
    <w:p w:rsidR="00BA14DE" w:rsidRPr="00F85A58" w:rsidRDefault="00BA14DE" w:rsidP="0009320D">
      <w:pPr>
        <w:keepNext/>
        <w:rPr>
          <w:lang w:val="fr-FR"/>
        </w:rPr>
      </w:pPr>
    </w:p>
    <w:p w:rsidR="005752E4" w:rsidRPr="00F85A58" w:rsidRDefault="0009320D" w:rsidP="00175474">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8E11FC" w:rsidRPr="00F85A58">
        <w:rPr>
          <w:lang w:val="fr-FR"/>
        </w:rPr>
        <w:t>Le</w:t>
      </w:r>
      <w:r w:rsidR="005752E4" w:rsidRPr="00F85A58">
        <w:rPr>
          <w:lang w:val="fr-FR"/>
        </w:rPr>
        <w:t> TC</w:t>
      </w:r>
      <w:r w:rsidRPr="00F85A58">
        <w:rPr>
          <w:lang w:val="fr-FR"/>
        </w:rPr>
        <w:t xml:space="preserve"> </w:t>
      </w:r>
      <w:r w:rsidR="008E11FC" w:rsidRPr="00F85A58">
        <w:rPr>
          <w:lang w:val="fr-FR"/>
        </w:rPr>
        <w:t xml:space="preserve">examine le </w:t>
      </w:r>
      <w:r w:rsidR="005752E4" w:rsidRPr="00F85A58">
        <w:rPr>
          <w:lang w:val="fr-FR"/>
        </w:rPr>
        <w:t>document TC</w:t>
      </w:r>
      <w:r w:rsidRPr="00F85A58">
        <w:rPr>
          <w:lang w:val="fr-FR"/>
        </w:rPr>
        <w:t>/52/16</w:t>
      </w:r>
      <w:r w:rsidR="00175474" w:rsidRPr="00F85A58">
        <w:rPr>
          <w:lang w:val="fr-FR"/>
        </w:rPr>
        <w:t xml:space="preserve"> </w:t>
      </w:r>
      <w:r w:rsidR="008E11FC" w:rsidRPr="00F85A58">
        <w:rPr>
          <w:lang w:val="fr-FR"/>
        </w:rPr>
        <w:t>et le projet d</w:t>
      </w:r>
      <w:r w:rsidR="005752E4" w:rsidRPr="00F85A58">
        <w:rPr>
          <w:lang w:val="fr-FR"/>
        </w:rPr>
        <w:t>’</w:t>
      </w:r>
      <w:r w:rsidR="008E11FC" w:rsidRPr="00F85A58">
        <w:rPr>
          <w:lang w:val="fr-FR"/>
        </w:rPr>
        <w:t xml:space="preserve">orientations sur </w:t>
      </w:r>
      <w:r w:rsidRPr="00F85A58">
        <w:rPr>
          <w:lang w:val="fr-FR"/>
        </w:rPr>
        <w:t>“</w:t>
      </w:r>
      <w:r w:rsidR="002A750F" w:rsidRPr="00F85A58">
        <w:rPr>
          <w:lang w:val="fr-FR"/>
        </w:rPr>
        <w:t>Réduction optimale de la variation due à différents observateurs lors d</w:t>
      </w:r>
      <w:r w:rsidR="005752E4" w:rsidRPr="00F85A58">
        <w:rPr>
          <w:lang w:val="fr-FR"/>
        </w:rPr>
        <w:t>’</w:t>
      </w:r>
      <w:r w:rsidR="002A750F" w:rsidRPr="00F85A58">
        <w:rPr>
          <w:lang w:val="fr-FR"/>
        </w:rPr>
        <w:t>un même essai</w:t>
      </w:r>
      <w:r w:rsidRPr="00F85A58">
        <w:rPr>
          <w:lang w:val="fr-FR"/>
        </w:rPr>
        <w:t xml:space="preserve">”, </w:t>
      </w:r>
      <w:r w:rsidR="002A750F" w:rsidRPr="00F85A58">
        <w:rPr>
          <w:lang w:val="fr-FR"/>
        </w:rPr>
        <w:t xml:space="preserve">comme indiqué en annexe I du </w:t>
      </w:r>
      <w:r w:rsidR="005752E4" w:rsidRPr="00F85A58">
        <w:rPr>
          <w:lang w:val="fr-FR"/>
        </w:rPr>
        <w:t>document TC</w:t>
      </w:r>
      <w:r w:rsidRPr="00F85A58">
        <w:rPr>
          <w:lang w:val="fr-FR"/>
        </w:rPr>
        <w:t xml:space="preserve">/52/16, </w:t>
      </w:r>
      <w:r w:rsidR="002A750F" w:rsidRPr="00F85A58">
        <w:rPr>
          <w:lang w:val="fr-FR"/>
        </w:rPr>
        <w:t xml:space="preserve">en </w:t>
      </w:r>
      <w:r w:rsidRPr="00F85A58">
        <w:rPr>
          <w:lang w:val="fr-FR"/>
        </w:rPr>
        <w:t>conj</w:t>
      </w:r>
      <w:r w:rsidR="002A750F" w:rsidRPr="00F85A58">
        <w:rPr>
          <w:lang w:val="fr-FR"/>
        </w:rPr>
        <w:t>o</w:t>
      </w:r>
      <w:r w:rsidRPr="00F85A58">
        <w:rPr>
          <w:lang w:val="fr-FR"/>
        </w:rPr>
        <w:t xml:space="preserve">nction </w:t>
      </w:r>
      <w:r w:rsidR="002A750F" w:rsidRPr="00F85A58">
        <w:rPr>
          <w:lang w:val="fr-FR"/>
        </w:rPr>
        <w:t>avec les observations faites par</w:t>
      </w:r>
      <w:r w:rsidR="005752E4" w:rsidRPr="00F85A58">
        <w:rPr>
          <w:lang w:val="fr-FR"/>
        </w:rPr>
        <w:t xml:space="preserve"> les TWP</w:t>
      </w:r>
      <w:r w:rsidRPr="00F85A58">
        <w:rPr>
          <w:lang w:val="fr-FR"/>
        </w:rPr>
        <w:t xml:space="preserve"> </w:t>
      </w:r>
      <w:r w:rsidR="002A750F" w:rsidRPr="00F85A58">
        <w:rPr>
          <w:lang w:val="fr-FR"/>
        </w:rPr>
        <w:t>à leurs sessions de</w:t>
      </w:r>
      <w:r w:rsidR="00342006" w:rsidRPr="00F85A58">
        <w:rPr>
          <w:lang w:val="fr-FR"/>
        </w:rPr>
        <w:t> </w:t>
      </w:r>
      <w:r w:rsidRPr="00F85A58">
        <w:rPr>
          <w:lang w:val="fr-FR"/>
        </w:rPr>
        <w:t>2015</w:t>
      </w:r>
      <w:r w:rsidR="002A750F" w:rsidRPr="00F85A58">
        <w:rPr>
          <w:lang w:val="fr-FR"/>
        </w:rPr>
        <w:t xml:space="preserve"> et le</w:t>
      </w:r>
      <w:r w:rsidR="005752E4" w:rsidRPr="00F85A58">
        <w:rPr>
          <w:lang w:val="fr-FR"/>
        </w:rPr>
        <w:t> TC</w:t>
      </w:r>
      <w:r w:rsidR="00F85A58" w:rsidRPr="00F85A58">
        <w:rPr>
          <w:lang w:val="fr-FR"/>
        </w:rPr>
        <w:noBreakHyphen/>
      </w:r>
      <w:r w:rsidR="005752E4" w:rsidRPr="00F85A58">
        <w:rPr>
          <w:lang w:val="fr-FR"/>
        </w:rPr>
        <w:t>EDC</w:t>
      </w:r>
      <w:r w:rsidRPr="00F85A58">
        <w:rPr>
          <w:lang w:val="fr-FR"/>
        </w:rPr>
        <w:t xml:space="preserve"> </w:t>
      </w:r>
      <w:r w:rsidR="002A750F" w:rsidRPr="00F85A58">
        <w:rPr>
          <w:lang w:val="fr-FR"/>
        </w:rPr>
        <w:t>à sa réunion de</w:t>
      </w:r>
      <w:r w:rsidR="00342006" w:rsidRPr="00F85A58">
        <w:rPr>
          <w:lang w:val="fr-FR"/>
        </w:rPr>
        <w:t> </w:t>
      </w:r>
      <w:r w:rsidRPr="00F85A58">
        <w:rPr>
          <w:lang w:val="fr-FR"/>
        </w:rPr>
        <w:t>2016</w:t>
      </w:r>
      <w:r w:rsidR="00175474" w:rsidRPr="00F85A58">
        <w:rPr>
          <w:lang w:val="fr-FR"/>
        </w:rPr>
        <w:t>.</w:t>
      </w:r>
    </w:p>
    <w:p w:rsidR="00BA14DE" w:rsidRPr="00F85A58" w:rsidRDefault="00BA14DE" w:rsidP="00175474">
      <w:pPr>
        <w:keepNext/>
        <w:rPr>
          <w:lang w:val="fr-FR"/>
        </w:rPr>
      </w:pPr>
    </w:p>
    <w:p w:rsidR="005752E4" w:rsidRPr="00F85A58" w:rsidRDefault="00246670" w:rsidP="00175474">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E10364" w:rsidRPr="00F85A58">
        <w:rPr>
          <w:lang w:val="fr-FR"/>
        </w:rPr>
        <w:t>Le</w:t>
      </w:r>
      <w:r w:rsidR="005752E4" w:rsidRPr="00F85A58">
        <w:rPr>
          <w:lang w:val="fr-FR"/>
        </w:rPr>
        <w:t> TC</w:t>
      </w:r>
      <w:r w:rsidR="00175474" w:rsidRPr="00F85A58">
        <w:rPr>
          <w:lang w:val="fr-FR"/>
        </w:rPr>
        <w:t xml:space="preserve"> </w:t>
      </w:r>
      <w:r w:rsidR="00E10364" w:rsidRPr="00F85A58">
        <w:rPr>
          <w:lang w:val="fr-FR"/>
        </w:rPr>
        <w:t>convient du fait que le projet d</w:t>
      </w:r>
      <w:r w:rsidR="005752E4" w:rsidRPr="00F85A58">
        <w:rPr>
          <w:lang w:val="fr-FR"/>
        </w:rPr>
        <w:t>’</w:t>
      </w:r>
      <w:r w:rsidR="00E10364" w:rsidRPr="00F85A58">
        <w:rPr>
          <w:lang w:val="fr-FR"/>
        </w:rPr>
        <w:t xml:space="preserve">orientations serait inclus dans une version révisée du </w:t>
      </w:r>
      <w:r w:rsidR="0009320D" w:rsidRPr="00F85A58">
        <w:rPr>
          <w:lang w:val="fr-FR"/>
        </w:rPr>
        <w:t>document TGP/8</w:t>
      </w:r>
      <w:r w:rsidR="00342006" w:rsidRPr="00F85A58">
        <w:rPr>
          <w:lang w:val="fr-FR"/>
        </w:rPr>
        <w:t> </w:t>
      </w:r>
      <w:r w:rsidR="0009320D" w:rsidRPr="00F85A58">
        <w:rPr>
          <w:lang w:val="fr-FR"/>
        </w:rPr>
        <w:t>: “</w:t>
      </w:r>
      <w:r w:rsidR="00E10364" w:rsidRPr="00F85A58">
        <w:rPr>
          <w:lang w:val="fr-FR"/>
        </w:rPr>
        <w:t>Protocole d</w:t>
      </w:r>
      <w:r w:rsidR="005752E4" w:rsidRPr="00F85A58">
        <w:rPr>
          <w:lang w:val="fr-FR"/>
        </w:rPr>
        <w:t>’</w:t>
      </w:r>
      <w:r w:rsidR="00E10364" w:rsidRPr="00F85A58">
        <w:rPr>
          <w:lang w:val="fr-FR"/>
        </w:rPr>
        <w:t>essai et techniques utilisés dans l</w:t>
      </w:r>
      <w:r w:rsidR="005752E4" w:rsidRPr="00F85A58">
        <w:rPr>
          <w:lang w:val="fr-FR"/>
        </w:rPr>
        <w:t>’</w:t>
      </w:r>
      <w:r w:rsidR="00E10364" w:rsidRPr="00F85A58">
        <w:rPr>
          <w:lang w:val="fr-FR"/>
        </w:rPr>
        <w:t>examen de la distinction, de l</w:t>
      </w:r>
      <w:r w:rsidR="005752E4" w:rsidRPr="00F85A58">
        <w:rPr>
          <w:lang w:val="fr-FR"/>
        </w:rPr>
        <w:t>’</w:t>
      </w:r>
      <w:r w:rsidR="00E10364" w:rsidRPr="00F85A58">
        <w:rPr>
          <w:lang w:val="fr-FR"/>
        </w:rPr>
        <w:t>homogénéité et de la stabilité</w:t>
      </w:r>
      <w:r w:rsidR="0009320D" w:rsidRPr="00F85A58">
        <w:rPr>
          <w:lang w:val="fr-FR"/>
        </w:rPr>
        <w:t>”, P</w:t>
      </w:r>
      <w:r w:rsidR="00031F3D" w:rsidRPr="00F85A58">
        <w:rPr>
          <w:lang w:val="fr-FR"/>
        </w:rPr>
        <w:t>remière partie :</w:t>
      </w:r>
      <w:r w:rsidR="0009320D" w:rsidRPr="00F85A58">
        <w:rPr>
          <w:lang w:val="fr-FR"/>
        </w:rPr>
        <w:t xml:space="preserve"> </w:t>
      </w:r>
      <w:r w:rsidR="00031F3D" w:rsidRPr="00F85A58">
        <w:rPr>
          <w:lang w:val="fr-FR"/>
        </w:rPr>
        <w:t>Protocole d</w:t>
      </w:r>
      <w:r w:rsidR="005752E4" w:rsidRPr="00F85A58">
        <w:rPr>
          <w:lang w:val="fr-FR"/>
        </w:rPr>
        <w:t>’</w:t>
      </w:r>
      <w:r w:rsidR="00031F3D" w:rsidRPr="00F85A58">
        <w:rPr>
          <w:lang w:val="fr-FR"/>
        </w:rPr>
        <w:t xml:space="preserve">essai DHS et analyse des données, qui sera </w:t>
      </w:r>
      <w:r w:rsidR="001826AD">
        <w:rPr>
          <w:lang w:val="fr-FR"/>
        </w:rPr>
        <w:t>proposée</w:t>
      </w:r>
      <w:r w:rsidR="00626C6A" w:rsidRPr="00F85A58">
        <w:rPr>
          <w:lang w:val="fr-FR"/>
        </w:rPr>
        <w:t xml:space="preserve"> </w:t>
      </w:r>
      <w:r w:rsidR="00031F3D" w:rsidRPr="00F85A58">
        <w:rPr>
          <w:lang w:val="fr-FR"/>
        </w:rPr>
        <w:t xml:space="preserve">pour adoption par le Conseil en </w:t>
      </w:r>
      <w:r w:rsidR="005752E4" w:rsidRPr="00F85A58">
        <w:rPr>
          <w:lang w:val="fr-FR"/>
        </w:rPr>
        <w:t>octobre 20</w:t>
      </w:r>
      <w:r w:rsidRPr="00F85A58">
        <w:rPr>
          <w:lang w:val="fr-FR"/>
        </w:rPr>
        <w:t>16.</w:t>
      </w:r>
    </w:p>
    <w:p w:rsidR="00BA14DE" w:rsidRPr="00F85A58" w:rsidRDefault="00BA14DE" w:rsidP="007F371D">
      <w:pPr>
        <w:rPr>
          <w:lang w:val="fr-FR"/>
        </w:rPr>
      </w:pPr>
    </w:p>
    <w:p w:rsidR="00BA14DE" w:rsidRPr="00F85A58" w:rsidRDefault="00877C27" w:rsidP="00877C27">
      <w:pPr>
        <w:pStyle w:val="Heading4"/>
        <w:rPr>
          <w:snapToGrid/>
        </w:rPr>
      </w:pPr>
      <w:r w:rsidRPr="00F85A58">
        <w:rPr>
          <w:snapToGrid/>
        </w:rPr>
        <w:t>TGP/0</w:t>
      </w:r>
      <w:r w:rsidR="00342006" w:rsidRPr="00F85A58">
        <w:rPr>
          <w:snapToGrid/>
        </w:rPr>
        <w:t> </w:t>
      </w:r>
      <w:r w:rsidRPr="00F85A58">
        <w:rPr>
          <w:snapToGrid/>
        </w:rPr>
        <w:t>: Liste des documents TGP et date de la version la plus récente de ces documents</w:t>
      </w:r>
    </w:p>
    <w:p w:rsidR="00BA14DE" w:rsidRPr="00F85A58" w:rsidRDefault="00BA14DE" w:rsidP="003D3E08">
      <w:pPr>
        <w:keepNext/>
        <w:rPr>
          <w:lang w:val="fr-FR"/>
        </w:rPr>
      </w:pPr>
    </w:p>
    <w:p w:rsidR="00BA14DE" w:rsidRPr="00F85A58" w:rsidRDefault="00EB00F6"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6F3D99" w:rsidRPr="00F85A58">
        <w:rPr>
          <w:lang w:val="fr-FR"/>
        </w:rPr>
        <w:t>L</w:t>
      </w:r>
      <w:r w:rsidRPr="00F85A58">
        <w:rPr>
          <w:lang w:val="fr-FR"/>
        </w:rPr>
        <w:t>e</w:t>
      </w:r>
      <w:r w:rsidR="005752E4" w:rsidRPr="00F85A58">
        <w:rPr>
          <w:lang w:val="fr-FR"/>
        </w:rPr>
        <w:t> TC</w:t>
      </w:r>
      <w:r w:rsidRPr="00F85A58">
        <w:rPr>
          <w:lang w:val="fr-FR"/>
        </w:rPr>
        <w:t xml:space="preserve"> </w:t>
      </w:r>
      <w:r w:rsidR="006F3D99" w:rsidRPr="00F85A58">
        <w:rPr>
          <w:lang w:val="fr-FR"/>
        </w:rPr>
        <w:t xml:space="preserve">examine le </w:t>
      </w:r>
      <w:r w:rsidR="005752E4" w:rsidRPr="00F85A58">
        <w:rPr>
          <w:lang w:val="fr-FR"/>
        </w:rPr>
        <w:t>document TC</w:t>
      </w:r>
      <w:r w:rsidRPr="00F85A58">
        <w:rPr>
          <w:lang w:val="fr-FR"/>
        </w:rPr>
        <w:t>/5</w:t>
      </w:r>
      <w:r w:rsidR="00074228" w:rsidRPr="00F85A58">
        <w:rPr>
          <w:lang w:val="fr-FR"/>
        </w:rPr>
        <w:t>2</w:t>
      </w:r>
      <w:r w:rsidRPr="00F85A58">
        <w:rPr>
          <w:lang w:val="fr-FR"/>
        </w:rPr>
        <w:t>/5 “</w:t>
      </w:r>
      <w:r w:rsidR="006F3D99" w:rsidRPr="00F85A58">
        <w:rPr>
          <w:lang w:val="fr-FR"/>
        </w:rPr>
        <w:t>Documents TG</w:t>
      </w:r>
      <w:r w:rsidRPr="00F85A58">
        <w:rPr>
          <w:lang w:val="fr-FR"/>
        </w:rPr>
        <w:t xml:space="preserve">P” </w:t>
      </w:r>
      <w:r w:rsidR="006F3D99" w:rsidRPr="00F85A58">
        <w:rPr>
          <w:lang w:val="fr-FR"/>
        </w:rPr>
        <w:t>et note que l</w:t>
      </w:r>
      <w:r w:rsidR="00626C6A" w:rsidRPr="00F85A58">
        <w:rPr>
          <w:lang w:val="fr-FR"/>
        </w:rPr>
        <w:t>e</w:t>
      </w:r>
      <w:r w:rsidR="006F3D99" w:rsidRPr="00F85A58">
        <w:rPr>
          <w:lang w:val="fr-FR"/>
        </w:rPr>
        <w:t xml:space="preserve"> Conseil serait invité à adopter le </w:t>
      </w:r>
      <w:r w:rsidRPr="00F85A58">
        <w:rPr>
          <w:lang w:val="fr-FR"/>
        </w:rPr>
        <w:t xml:space="preserve">document TGP/0/9, </w:t>
      </w:r>
      <w:r w:rsidR="006F3D99" w:rsidRPr="00F85A58">
        <w:rPr>
          <w:lang w:val="fr-FR"/>
        </w:rPr>
        <w:t xml:space="preserve">afin de </w:t>
      </w:r>
      <w:r w:rsidR="00626C6A" w:rsidRPr="00F85A58">
        <w:rPr>
          <w:lang w:val="fr-FR"/>
        </w:rPr>
        <w:t>tenir</w:t>
      </w:r>
      <w:r w:rsidR="006F3D99" w:rsidRPr="00F85A58">
        <w:rPr>
          <w:lang w:val="fr-FR"/>
        </w:rPr>
        <w:t xml:space="preserve"> compte des révisions de documents </w:t>
      </w:r>
      <w:r w:rsidRPr="00F85A58">
        <w:rPr>
          <w:lang w:val="fr-FR"/>
        </w:rPr>
        <w:t>TGP</w:t>
      </w:r>
      <w:r w:rsidR="006F3D99" w:rsidRPr="00F85A58">
        <w:rPr>
          <w:lang w:val="fr-FR"/>
        </w:rPr>
        <w:t>.</w:t>
      </w:r>
    </w:p>
    <w:p w:rsidR="00BA14DE" w:rsidRPr="00F85A58" w:rsidRDefault="00BA14DE" w:rsidP="00050E16">
      <w:pPr>
        <w:rPr>
          <w:lang w:val="fr-FR"/>
        </w:rPr>
      </w:pPr>
    </w:p>
    <w:p w:rsidR="00BA14DE" w:rsidRPr="00F85A58" w:rsidRDefault="00877C27" w:rsidP="004570E2">
      <w:pPr>
        <w:pStyle w:val="Heading3"/>
      </w:pPr>
      <w:r w:rsidRPr="00F85A58">
        <w:t>Éventuelle future révision de documents TGP</w:t>
      </w:r>
    </w:p>
    <w:p w:rsidR="00BA14DE" w:rsidRPr="00F85A58" w:rsidRDefault="00BA14DE" w:rsidP="003D3E08">
      <w:pPr>
        <w:keepNext/>
        <w:rPr>
          <w:lang w:val="fr-FR"/>
        </w:rPr>
      </w:pPr>
    </w:p>
    <w:p w:rsidR="00BA14DE" w:rsidRPr="00F85A58" w:rsidRDefault="00877C27" w:rsidP="00877C27">
      <w:pPr>
        <w:pStyle w:val="Heading4"/>
        <w:rPr>
          <w:snapToGrid/>
        </w:rPr>
      </w:pPr>
      <w:r w:rsidRPr="00F85A58">
        <w:rPr>
          <w:snapToGrid/>
        </w:rPr>
        <w:t>TGP/7</w:t>
      </w:r>
      <w:r w:rsidR="00342006" w:rsidRPr="00F85A58">
        <w:rPr>
          <w:snapToGrid/>
        </w:rPr>
        <w:t> </w:t>
      </w:r>
      <w:r w:rsidRPr="00F85A58">
        <w:rPr>
          <w:snapToGrid/>
        </w:rPr>
        <w:t>: Élaboration des principes directeurs d</w:t>
      </w:r>
      <w:r w:rsidR="005752E4" w:rsidRPr="00F85A58">
        <w:rPr>
          <w:snapToGrid/>
        </w:rPr>
        <w:t>’</w:t>
      </w:r>
      <w:r w:rsidRPr="00F85A58">
        <w:rPr>
          <w:snapToGrid/>
        </w:rPr>
        <w:t>examen</w:t>
      </w:r>
    </w:p>
    <w:p w:rsidR="00BA14DE" w:rsidRPr="00F85A58" w:rsidRDefault="00BA14DE" w:rsidP="003D3E08">
      <w:pPr>
        <w:keepNext/>
        <w:rPr>
          <w:lang w:val="fr-FR"/>
        </w:rPr>
      </w:pPr>
    </w:p>
    <w:p w:rsidR="00BA14DE" w:rsidRPr="00F85A58" w:rsidRDefault="00335806" w:rsidP="004C3C67">
      <w:pPr>
        <w:pStyle w:val="Heading5"/>
        <w:rPr>
          <w:lang w:val="fr-FR"/>
        </w:rPr>
      </w:pPr>
      <w:bookmarkStart w:id="4" w:name="_Toc442110578"/>
      <w:r w:rsidRPr="00F85A58">
        <w:rPr>
          <w:lang w:val="fr-FR"/>
        </w:rPr>
        <w:t>i)</w:t>
      </w:r>
      <w:r w:rsidRPr="00F85A58">
        <w:rPr>
          <w:lang w:val="fr-FR"/>
        </w:rPr>
        <w:tab/>
      </w:r>
      <w:r w:rsidR="00E56D61" w:rsidRPr="00F85A58">
        <w:rPr>
          <w:lang w:val="fr-FR"/>
        </w:rPr>
        <w:t>Matériel à l</w:t>
      </w:r>
      <w:r w:rsidR="005752E4" w:rsidRPr="00F85A58">
        <w:rPr>
          <w:lang w:val="fr-FR"/>
        </w:rPr>
        <w:t>’</w:t>
      </w:r>
      <w:r w:rsidR="00E56D61" w:rsidRPr="00F85A58">
        <w:rPr>
          <w:lang w:val="fr-FR"/>
        </w:rPr>
        <w:t>intention des rédacteurs de principes directeurs d</w:t>
      </w:r>
      <w:r w:rsidR="005752E4" w:rsidRPr="00F85A58">
        <w:rPr>
          <w:lang w:val="fr-FR"/>
        </w:rPr>
        <w:t>’</w:t>
      </w:r>
      <w:r w:rsidR="00E56D61" w:rsidRPr="00F85A58">
        <w:rPr>
          <w:lang w:val="fr-FR"/>
        </w:rPr>
        <w:t>examen</w:t>
      </w:r>
      <w:bookmarkEnd w:id="4"/>
    </w:p>
    <w:p w:rsidR="00BA14DE" w:rsidRPr="00F85A58" w:rsidRDefault="00BA14DE" w:rsidP="003D3E08">
      <w:pPr>
        <w:keepNext/>
        <w:rPr>
          <w:lang w:val="fr-FR"/>
        </w:rPr>
      </w:pPr>
    </w:p>
    <w:p w:rsidR="00BA14DE" w:rsidRPr="00F85A58" w:rsidRDefault="001C0436"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E56D61" w:rsidRPr="00F85A58">
        <w:rPr>
          <w:lang w:val="fr-FR"/>
        </w:rPr>
        <w:t>Le</w:t>
      </w:r>
      <w:r w:rsidR="005752E4" w:rsidRPr="00F85A58">
        <w:rPr>
          <w:lang w:val="fr-FR"/>
        </w:rPr>
        <w:t> TC</w:t>
      </w:r>
      <w:r w:rsidRPr="00F85A58">
        <w:rPr>
          <w:lang w:val="fr-FR"/>
        </w:rPr>
        <w:t xml:space="preserve"> </w:t>
      </w:r>
      <w:r w:rsidR="00E56D61" w:rsidRPr="00F85A58">
        <w:rPr>
          <w:lang w:val="fr-FR"/>
        </w:rPr>
        <w:t xml:space="preserve">examine le </w:t>
      </w:r>
      <w:r w:rsidR="005752E4" w:rsidRPr="00F85A58">
        <w:rPr>
          <w:lang w:val="fr-FR"/>
        </w:rPr>
        <w:t>document TC</w:t>
      </w:r>
      <w:r w:rsidRPr="00F85A58">
        <w:rPr>
          <w:lang w:val="fr-FR"/>
        </w:rPr>
        <w:t>/52/28</w:t>
      </w:r>
      <w:r w:rsidR="00175474" w:rsidRPr="00F85A58">
        <w:rPr>
          <w:lang w:val="fr-FR"/>
        </w:rPr>
        <w:t xml:space="preserve"> </w:t>
      </w:r>
      <w:r w:rsidR="00E56D61" w:rsidRPr="00F85A58">
        <w:rPr>
          <w:lang w:val="fr-FR"/>
        </w:rPr>
        <w:t xml:space="preserve">et suit un exposé </w:t>
      </w:r>
      <w:r w:rsidR="00153333" w:rsidRPr="00F85A58">
        <w:rPr>
          <w:lang w:val="fr-FR"/>
        </w:rPr>
        <w:t>présenté par le Bureau de l</w:t>
      </w:r>
      <w:r w:rsidR="005752E4" w:rsidRPr="00F85A58">
        <w:rPr>
          <w:lang w:val="fr-FR"/>
        </w:rPr>
        <w:t>’</w:t>
      </w:r>
      <w:r w:rsidR="00175474" w:rsidRPr="00F85A58">
        <w:rPr>
          <w:lang w:val="fr-FR"/>
        </w:rPr>
        <w:t xml:space="preserve">Union, </w:t>
      </w:r>
      <w:r w:rsidR="00153333" w:rsidRPr="00F85A58">
        <w:rPr>
          <w:lang w:val="fr-FR"/>
        </w:rPr>
        <w:t xml:space="preserve">dont une copie serait mise </w:t>
      </w:r>
      <w:r w:rsidR="006F7955" w:rsidRPr="00F85A58">
        <w:rPr>
          <w:lang w:val="fr-FR"/>
        </w:rPr>
        <w:t xml:space="preserve">à disposition dans un additif au </w:t>
      </w:r>
      <w:r w:rsidR="005752E4" w:rsidRPr="00F85A58">
        <w:rPr>
          <w:lang w:val="fr-FR"/>
        </w:rPr>
        <w:t>document TC</w:t>
      </w:r>
      <w:r w:rsidR="00175474" w:rsidRPr="00F85A58">
        <w:rPr>
          <w:lang w:val="fr-FR"/>
        </w:rPr>
        <w:t>/52/28</w:t>
      </w:r>
      <w:r w:rsidR="003017FC" w:rsidRPr="00F85A58">
        <w:rPr>
          <w:lang w:val="fr-FR"/>
        </w:rPr>
        <w:t xml:space="preserve"> (</w:t>
      </w:r>
      <w:r w:rsidR="006F7955" w:rsidRPr="00F85A58">
        <w:rPr>
          <w:lang w:val="fr-FR"/>
        </w:rPr>
        <w:t>en anglais uniqueme</w:t>
      </w:r>
      <w:r w:rsidR="00F85A58" w:rsidRPr="00F85A58">
        <w:rPr>
          <w:lang w:val="fr-FR"/>
        </w:rPr>
        <w:t>nt).  Le</w:t>
      </w:r>
      <w:r w:rsidR="005752E4" w:rsidRPr="00F85A58">
        <w:rPr>
          <w:lang w:val="fr-FR"/>
        </w:rPr>
        <w:t> TC</w:t>
      </w:r>
      <w:r w:rsidR="00B33812" w:rsidRPr="00F85A58">
        <w:rPr>
          <w:lang w:val="fr-FR"/>
        </w:rPr>
        <w:t xml:space="preserve"> </w:t>
      </w:r>
      <w:r w:rsidR="006F7955" w:rsidRPr="00F85A58">
        <w:rPr>
          <w:lang w:val="fr-FR"/>
        </w:rPr>
        <w:t xml:space="preserve">suit également une démonstration de la </w:t>
      </w:r>
      <w:r w:rsidR="00DA287B" w:rsidRPr="00F85A58">
        <w:rPr>
          <w:lang w:val="fr-FR"/>
        </w:rPr>
        <w:t>version n°</w:t>
      </w:r>
      <w:r w:rsidR="00342006" w:rsidRPr="00F85A58">
        <w:rPr>
          <w:lang w:val="fr-FR"/>
        </w:rPr>
        <w:t> </w:t>
      </w:r>
      <w:r w:rsidR="00DA287B" w:rsidRPr="00F85A58">
        <w:rPr>
          <w:lang w:val="fr-FR"/>
        </w:rPr>
        <w:t>1 du modèle de principes directeurs d</w:t>
      </w:r>
      <w:r w:rsidR="005752E4" w:rsidRPr="00F85A58">
        <w:rPr>
          <w:lang w:val="fr-FR"/>
        </w:rPr>
        <w:t>’</w:t>
      </w:r>
      <w:r w:rsidR="00DA287B" w:rsidRPr="00F85A58">
        <w:rPr>
          <w:lang w:val="fr-FR"/>
        </w:rPr>
        <w:t>examen fondé sur le Web</w:t>
      </w:r>
      <w:r w:rsidR="00B33812" w:rsidRPr="00F85A58">
        <w:rPr>
          <w:lang w:val="fr-FR"/>
        </w:rPr>
        <w:t>.</w:t>
      </w:r>
    </w:p>
    <w:p w:rsidR="00BA14DE" w:rsidRPr="00F85A58" w:rsidRDefault="00BA14DE" w:rsidP="00221605">
      <w:pPr>
        <w:rPr>
          <w:lang w:val="fr-FR"/>
        </w:rPr>
      </w:pPr>
    </w:p>
    <w:p w:rsidR="00BA14DE"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DA287B" w:rsidRPr="00F85A58">
        <w:rPr>
          <w:lang w:val="fr-FR"/>
        </w:rPr>
        <w:t>Le</w:t>
      </w:r>
      <w:r w:rsidR="005752E4" w:rsidRPr="00F85A58">
        <w:rPr>
          <w:lang w:val="fr-FR"/>
        </w:rPr>
        <w:t> TC</w:t>
      </w:r>
      <w:r w:rsidR="00ED3411" w:rsidRPr="00F85A58">
        <w:rPr>
          <w:lang w:val="fr-FR"/>
        </w:rPr>
        <w:t xml:space="preserve"> </w:t>
      </w:r>
      <w:r w:rsidR="00DA287B" w:rsidRPr="00F85A58">
        <w:rPr>
          <w:lang w:val="fr-FR"/>
        </w:rPr>
        <w:t>note le fait que tous les experts principaux avaient établi des projets de principes directeurs d</w:t>
      </w:r>
      <w:r w:rsidR="005752E4" w:rsidRPr="00F85A58">
        <w:rPr>
          <w:lang w:val="fr-FR"/>
        </w:rPr>
        <w:t>’</w:t>
      </w:r>
      <w:r w:rsidR="00DA287B" w:rsidRPr="00F85A58">
        <w:rPr>
          <w:lang w:val="fr-FR"/>
        </w:rPr>
        <w:t>examen aux fins d</w:t>
      </w:r>
      <w:r w:rsidR="005752E4" w:rsidRPr="00F85A58">
        <w:rPr>
          <w:lang w:val="fr-FR"/>
        </w:rPr>
        <w:t>’</w:t>
      </w:r>
      <w:r w:rsidR="00DA287B" w:rsidRPr="00F85A58">
        <w:rPr>
          <w:lang w:val="fr-FR"/>
        </w:rPr>
        <w:t>examen par</w:t>
      </w:r>
      <w:r w:rsidR="005752E4" w:rsidRPr="00F85A58">
        <w:rPr>
          <w:lang w:val="fr-FR"/>
        </w:rPr>
        <w:t xml:space="preserve"> les TWP</w:t>
      </w:r>
      <w:r w:rsidR="00DA287B" w:rsidRPr="00F85A58">
        <w:rPr>
          <w:lang w:val="fr-FR"/>
        </w:rPr>
        <w:t xml:space="preserve"> à leurs sessions de</w:t>
      </w:r>
      <w:r w:rsidR="00342006" w:rsidRPr="00F85A58">
        <w:rPr>
          <w:lang w:val="fr-FR"/>
        </w:rPr>
        <w:t> </w:t>
      </w:r>
      <w:r w:rsidR="00DA287B" w:rsidRPr="00F85A58">
        <w:rPr>
          <w:lang w:val="fr-FR"/>
        </w:rPr>
        <w:t>2015 au moyen du modèle de principes directeurs d</w:t>
      </w:r>
      <w:r w:rsidR="005752E4" w:rsidRPr="00F85A58">
        <w:rPr>
          <w:lang w:val="fr-FR"/>
        </w:rPr>
        <w:t>’</w:t>
      </w:r>
      <w:r w:rsidR="00DA287B" w:rsidRPr="00F85A58">
        <w:rPr>
          <w:lang w:val="fr-FR"/>
        </w:rPr>
        <w:t>examen fondé sur le Web</w:t>
      </w:r>
      <w:r w:rsidRPr="00F85A58">
        <w:rPr>
          <w:lang w:val="fr-FR"/>
        </w:rPr>
        <w:t>.</w:t>
      </w:r>
    </w:p>
    <w:p w:rsidR="00BA14DE" w:rsidRPr="00F85A58" w:rsidRDefault="00BA14DE" w:rsidP="001C0436">
      <w:pPr>
        <w:rPr>
          <w:lang w:val="fr-FR"/>
        </w:rPr>
      </w:pPr>
    </w:p>
    <w:p w:rsidR="005752E4"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DA287B" w:rsidRPr="00F85A58">
        <w:rPr>
          <w:lang w:val="fr-FR"/>
        </w:rPr>
        <w:t>Le</w:t>
      </w:r>
      <w:r w:rsidR="005752E4" w:rsidRPr="00F85A58">
        <w:rPr>
          <w:lang w:val="fr-FR"/>
        </w:rPr>
        <w:t> TC</w:t>
      </w:r>
      <w:r w:rsidRPr="00F85A58">
        <w:rPr>
          <w:lang w:val="fr-FR"/>
        </w:rPr>
        <w:t xml:space="preserve"> </w:t>
      </w:r>
      <w:r w:rsidR="00ED3411" w:rsidRPr="00F85A58">
        <w:rPr>
          <w:lang w:val="fr-FR"/>
        </w:rPr>
        <w:t>prend note du fait qu</w:t>
      </w:r>
      <w:r w:rsidR="005752E4" w:rsidRPr="00F85A58">
        <w:rPr>
          <w:lang w:val="fr-FR"/>
        </w:rPr>
        <w:t>’</w:t>
      </w:r>
      <w:r w:rsidR="00ED3411" w:rsidRPr="00F85A58">
        <w:rPr>
          <w:lang w:val="fr-FR"/>
        </w:rPr>
        <w:t>il a été demandé à tous les experts intéressés d</w:t>
      </w:r>
      <w:r w:rsidR="005752E4" w:rsidRPr="00F85A58">
        <w:rPr>
          <w:lang w:val="fr-FR"/>
        </w:rPr>
        <w:t>’</w:t>
      </w:r>
      <w:r w:rsidR="00ED3411" w:rsidRPr="00F85A58">
        <w:rPr>
          <w:lang w:val="fr-FR"/>
        </w:rPr>
        <w:t>élaborer leurs observations concernant les projets de principes directeurs d</w:t>
      </w:r>
      <w:r w:rsidR="005752E4" w:rsidRPr="00F85A58">
        <w:rPr>
          <w:lang w:val="fr-FR"/>
        </w:rPr>
        <w:t>’</w:t>
      </w:r>
      <w:r w:rsidR="00ED3411" w:rsidRPr="00F85A58">
        <w:rPr>
          <w:lang w:val="fr-FR"/>
        </w:rPr>
        <w:t>examen pour examen par</w:t>
      </w:r>
      <w:r w:rsidR="005752E4" w:rsidRPr="00F85A58">
        <w:rPr>
          <w:lang w:val="fr-FR"/>
        </w:rPr>
        <w:t xml:space="preserve"> les TWP</w:t>
      </w:r>
      <w:r w:rsidR="00ED3411" w:rsidRPr="00F85A58">
        <w:rPr>
          <w:lang w:val="fr-FR"/>
        </w:rPr>
        <w:t xml:space="preserve"> à leurs sessions de</w:t>
      </w:r>
      <w:r w:rsidR="00342006" w:rsidRPr="00F85A58">
        <w:rPr>
          <w:lang w:val="fr-FR"/>
        </w:rPr>
        <w:t> </w:t>
      </w:r>
      <w:r w:rsidR="00ED3411" w:rsidRPr="00F85A58">
        <w:rPr>
          <w:lang w:val="fr-FR"/>
        </w:rPr>
        <w:t>2015 au moyen du modèle de principes directeurs d</w:t>
      </w:r>
      <w:r w:rsidR="005752E4" w:rsidRPr="00F85A58">
        <w:rPr>
          <w:lang w:val="fr-FR"/>
        </w:rPr>
        <w:t>’</w:t>
      </w:r>
      <w:r w:rsidR="00ED3411" w:rsidRPr="00F85A58">
        <w:rPr>
          <w:lang w:val="fr-FR"/>
        </w:rPr>
        <w:t>examen fondé sur le Web</w:t>
      </w:r>
      <w:r w:rsidRPr="00F85A58">
        <w:rPr>
          <w:lang w:val="fr-FR"/>
        </w:rPr>
        <w:t>.</w:t>
      </w:r>
    </w:p>
    <w:p w:rsidR="00BA14DE" w:rsidRPr="00F85A58" w:rsidRDefault="00BA14DE" w:rsidP="001C0436">
      <w:pPr>
        <w:rPr>
          <w:lang w:val="fr-FR"/>
        </w:rPr>
      </w:pPr>
    </w:p>
    <w:p w:rsidR="00BA14DE"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C15B57" w:rsidRPr="00F85A58">
        <w:rPr>
          <w:lang w:val="fr-FR"/>
        </w:rPr>
        <w:t>Le</w:t>
      </w:r>
      <w:r w:rsidR="005752E4" w:rsidRPr="00F85A58">
        <w:rPr>
          <w:lang w:val="fr-FR"/>
        </w:rPr>
        <w:t> TC</w:t>
      </w:r>
      <w:r w:rsidRPr="00F85A58">
        <w:rPr>
          <w:lang w:val="fr-FR"/>
        </w:rPr>
        <w:t xml:space="preserve"> </w:t>
      </w:r>
      <w:r w:rsidR="00BA313C" w:rsidRPr="00F85A58">
        <w:rPr>
          <w:lang w:val="fr-FR"/>
        </w:rPr>
        <w:t xml:space="preserve">prend </w:t>
      </w:r>
      <w:r w:rsidR="00C15B57" w:rsidRPr="00F85A58">
        <w:rPr>
          <w:lang w:val="fr-FR"/>
        </w:rPr>
        <w:t xml:space="preserve">note </w:t>
      </w:r>
      <w:r w:rsidR="00BA313C" w:rsidRPr="00F85A58">
        <w:rPr>
          <w:lang w:val="fr-FR"/>
        </w:rPr>
        <w:t>d</w:t>
      </w:r>
      <w:r w:rsidR="00C15B57" w:rsidRPr="00F85A58">
        <w:rPr>
          <w:lang w:val="fr-FR"/>
        </w:rPr>
        <w:t>es questions traitées en réponse aux observations formulées par les experts principa</w:t>
      </w:r>
      <w:r w:rsidR="00BA313C" w:rsidRPr="00F85A58">
        <w:rPr>
          <w:lang w:val="fr-FR"/>
        </w:rPr>
        <w:t>u</w:t>
      </w:r>
      <w:r w:rsidR="00C15B57" w:rsidRPr="00F85A58">
        <w:rPr>
          <w:lang w:val="fr-FR"/>
        </w:rPr>
        <w:t xml:space="preserve">x et les experts intéressés qui </w:t>
      </w:r>
      <w:r w:rsidR="00804C26" w:rsidRPr="00F85A58">
        <w:rPr>
          <w:lang w:val="fr-FR"/>
        </w:rPr>
        <w:t xml:space="preserve">ont </w:t>
      </w:r>
      <w:r w:rsidR="00C15B57" w:rsidRPr="00F85A58">
        <w:rPr>
          <w:lang w:val="fr-FR"/>
        </w:rPr>
        <w:t>participé aux essais du prototype de modèle de principes directeurs d</w:t>
      </w:r>
      <w:r w:rsidR="005752E4" w:rsidRPr="00F85A58">
        <w:rPr>
          <w:lang w:val="fr-FR"/>
        </w:rPr>
        <w:t>’</w:t>
      </w:r>
      <w:r w:rsidR="00C15B57" w:rsidRPr="00F85A58">
        <w:rPr>
          <w:lang w:val="fr-FR"/>
        </w:rPr>
        <w:t>examen fondé sur le Web</w:t>
      </w:r>
      <w:r w:rsidRPr="00F85A58">
        <w:rPr>
          <w:lang w:val="fr-FR"/>
        </w:rPr>
        <w:t xml:space="preserve">, </w:t>
      </w:r>
      <w:r w:rsidR="00C15B57" w:rsidRPr="00F85A58">
        <w:rPr>
          <w:lang w:val="fr-FR"/>
        </w:rPr>
        <w:t>comme indiqué aux paragraphes</w:t>
      </w:r>
      <w:r w:rsidR="00074228" w:rsidRPr="00F85A58">
        <w:rPr>
          <w:lang w:val="fr-FR"/>
        </w:rPr>
        <w:t> </w:t>
      </w:r>
      <w:r w:rsidRPr="00F85A58">
        <w:rPr>
          <w:lang w:val="fr-FR"/>
        </w:rPr>
        <w:t xml:space="preserve">26 </w:t>
      </w:r>
      <w:r w:rsidR="00C15B57" w:rsidRPr="00F85A58">
        <w:rPr>
          <w:lang w:val="fr-FR"/>
        </w:rPr>
        <w:t>et</w:t>
      </w:r>
      <w:r w:rsidRPr="00F85A58">
        <w:rPr>
          <w:lang w:val="fr-FR"/>
        </w:rPr>
        <w:t xml:space="preserve"> 27 </w:t>
      </w:r>
      <w:r w:rsidR="00C15B57" w:rsidRPr="00F85A58">
        <w:rPr>
          <w:lang w:val="fr-FR"/>
        </w:rPr>
        <w:t>du</w:t>
      </w:r>
      <w:r w:rsidRPr="00F85A58">
        <w:rPr>
          <w:lang w:val="fr-FR"/>
        </w:rPr>
        <w:t xml:space="preserve"> </w:t>
      </w:r>
      <w:r w:rsidR="005752E4" w:rsidRPr="00F85A58">
        <w:rPr>
          <w:lang w:val="fr-FR"/>
        </w:rPr>
        <w:t>document TC</w:t>
      </w:r>
      <w:r w:rsidRPr="00F85A58">
        <w:rPr>
          <w:lang w:val="fr-FR"/>
        </w:rPr>
        <w:t>/52/28.</w:t>
      </w:r>
    </w:p>
    <w:p w:rsidR="00BA14DE" w:rsidRPr="00F85A58" w:rsidRDefault="00BA14DE" w:rsidP="001C0436">
      <w:pPr>
        <w:rPr>
          <w:lang w:val="fr-FR"/>
        </w:rPr>
      </w:pPr>
    </w:p>
    <w:p w:rsidR="00BA14DE"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9E7F22" w:rsidRPr="00F85A58">
        <w:rPr>
          <w:lang w:val="fr-FR"/>
        </w:rPr>
        <w:t>Le</w:t>
      </w:r>
      <w:r w:rsidR="005752E4" w:rsidRPr="00F85A58">
        <w:rPr>
          <w:lang w:val="fr-FR"/>
        </w:rPr>
        <w:t> TC</w:t>
      </w:r>
      <w:r w:rsidRPr="00F85A58">
        <w:rPr>
          <w:lang w:val="fr-FR"/>
        </w:rPr>
        <w:t xml:space="preserve"> </w:t>
      </w:r>
      <w:r w:rsidR="00C8783A" w:rsidRPr="00F85A58">
        <w:rPr>
          <w:lang w:val="fr-FR"/>
        </w:rPr>
        <w:t>convient de normaliser le format du tableau des caractères pour tous les principes directeurs d</w:t>
      </w:r>
      <w:r w:rsidR="005752E4" w:rsidRPr="00F85A58">
        <w:rPr>
          <w:lang w:val="fr-FR"/>
        </w:rPr>
        <w:t>’</w:t>
      </w:r>
      <w:r w:rsidR="00C8783A" w:rsidRPr="00F85A58">
        <w:rPr>
          <w:lang w:val="fr-FR"/>
        </w:rPr>
        <w:t>examen conformément à la structure suivante </w:t>
      </w:r>
      <w:r w:rsidR="00EA14BC" w:rsidRPr="00F85A58">
        <w:rPr>
          <w:lang w:val="fr-FR"/>
        </w:rPr>
        <w:t>:</w:t>
      </w:r>
    </w:p>
    <w:p w:rsidR="00EA14BC" w:rsidRPr="00F85A58" w:rsidRDefault="00EA14BC" w:rsidP="00EA14BC">
      <w:pPr>
        <w:keepNext/>
        <w:rPr>
          <w:lang w:val="fr-FR"/>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F85A58" w:rsidRPr="00F85A58" w:rsidTr="007C1FD9">
        <w:trPr>
          <w:cantSplit/>
          <w:tblHeader/>
        </w:trPr>
        <w:tc>
          <w:tcPr>
            <w:tcW w:w="709" w:type="dxa"/>
            <w:gridSpan w:val="2"/>
            <w:tcBorders>
              <w:top w:val="single" w:sz="4" w:space="0" w:color="auto"/>
              <w:bottom w:val="single" w:sz="4" w:space="0" w:color="auto"/>
            </w:tcBorders>
          </w:tcPr>
          <w:p w:rsidR="00EA14BC" w:rsidRPr="00F85A58" w:rsidRDefault="00EA14BC" w:rsidP="007C1FD9">
            <w:pPr>
              <w:pStyle w:val="tgchartext"/>
              <w:keepNext/>
              <w:rPr>
                <w:lang w:val="fr-FR"/>
              </w:rPr>
            </w:pPr>
          </w:p>
        </w:tc>
        <w:tc>
          <w:tcPr>
            <w:tcW w:w="1790" w:type="dxa"/>
            <w:gridSpan w:val="2"/>
            <w:tcBorders>
              <w:top w:val="single" w:sz="4" w:space="0" w:color="auto"/>
              <w:bottom w:val="single" w:sz="4" w:space="0" w:color="auto"/>
            </w:tcBorders>
            <w:vAlign w:val="center"/>
          </w:tcPr>
          <w:p w:rsidR="00EA14BC" w:rsidRPr="00F85A58" w:rsidRDefault="00EA14BC" w:rsidP="007C1FD9">
            <w:pPr>
              <w:pStyle w:val="tgchartext"/>
              <w:keepNext/>
              <w:jc w:val="both"/>
              <w:rPr>
                <w:lang w:val="fr-FR"/>
              </w:rPr>
            </w:pPr>
            <w:r w:rsidRPr="00F85A58">
              <w:rPr>
                <w:lang w:val="fr-FR"/>
              </w:rPr>
              <w:t>English</w:t>
            </w:r>
          </w:p>
        </w:tc>
        <w:tc>
          <w:tcPr>
            <w:tcW w:w="1928" w:type="dxa"/>
            <w:gridSpan w:val="3"/>
            <w:tcBorders>
              <w:top w:val="single" w:sz="4" w:space="0" w:color="auto"/>
              <w:bottom w:val="single" w:sz="4" w:space="0" w:color="auto"/>
            </w:tcBorders>
            <w:vAlign w:val="center"/>
          </w:tcPr>
          <w:p w:rsidR="00EA14BC" w:rsidRPr="00F85A58" w:rsidRDefault="00EA14BC" w:rsidP="007C1FD9">
            <w:pPr>
              <w:pStyle w:val="tgchartext"/>
              <w:keepNext/>
              <w:rPr>
                <w:lang w:val="fr-FR"/>
              </w:rPr>
            </w:pPr>
            <w:r w:rsidRPr="00F85A58">
              <w:rPr>
                <w:lang w:val="fr-FR"/>
              </w:rPr>
              <w:t>français</w:t>
            </w:r>
          </w:p>
        </w:tc>
        <w:tc>
          <w:tcPr>
            <w:tcW w:w="1914" w:type="dxa"/>
            <w:gridSpan w:val="2"/>
            <w:tcBorders>
              <w:top w:val="single" w:sz="4" w:space="0" w:color="auto"/>
              <w:bottom w:val="single" w:sz="4" w:space="0" w:color="auto"/>
            </w:tcBorders>
            <w:vAlign w:val="center"/>
          </w:tcPr>
          <w:p w:rsidR="00EA14BC" w:rsidRPr="00F85A58" w:rsidRDefault="00EA14BC" w:rsidP="007C1FD9">
            <w:pPr>
              <w:pStyle w:val="tgchartext"/>
              <w:keepNext/>
              <w:rPr>
                <w:lang w:val="fr-FR"/>
              </w:rPr>
            </w:pPr>
            <w:proofErr w:type="spellStart"/>
            <w:r w:rsidRPr="00F85A58">
              <w:rPr>
                <w:lang w:val="fr-FR"/>
              </w:rPr>
              <w:t>deutsch</w:t>
            </w:r>
            <w:proofErr w:type="spellEnd"/>
          </w:p>
        </w:tc>
        <w:tc>
          <w:tcPr>
            <w:tcW w:w="1914" w:type="dxa"/>
            <w:tcBorders>
              <w:top w:val="single" w:sz="4" w:space="0" w:color="auto"/>
              <w:bottom w:val="single" w:sz="4" w:space="0" w:color="auto"/>
            </w:tcBorders>
            <w:vAlign w:val="center"/>
          </w:tcPr>
          <w:p w:rsidR="00EA14BC" w:rsidRPr="00F85A58" w:rsidRDefault="00EA14BC" w:rsidP="007C1FD9">
            <w:pPr>
              <w:pStyle w:val="tgchartext"/>
              <w:keepNext/>
              <w:rPr>
                <w:lang w:val="fr-FR"/>
              </w:rPr>
            </w:pPr>
            <w:proofErr w:type="spellStart"/>
            <w:r w:rsidRPr="00F85A58">
              <w:rPr>
                <w:lang w:val="fr-FR"/>
              </w:rPr>
              <w:t>español</w:t>
            </w:r>
            <w:proofErr w:type="spellEnd"/>
          </w:p>
        </w:tc>
        <w:tc>
          <w:tcPr>
            <w:tcW w:w="1810" w:type="dxa"/>
            <w:tcBorders>
              <w:top w:val="single" w:sz="4" w:space="0" w:color="auto"/>
              <w:bottom w:val="single" w:sz="4" w:space="0" w:color="auto"/>
            </w:tcBorders>
            <w:vAlign w:val="center"/>
          </w:tcPr>
          <w:p w:rsidR="00EA14BC" w:rsidRPr="00F85A58" w:rsidRDefault="00EA14BC" w:rsidP="007C1FD9">
            <w:pPr>
              <w:pStyle w:val="tgchartext"/>
              <w:keepNext/>
              <w:rPr>
                <w:lang w:val="fr-FR"/>
              </w:rPr>
            </w:pPr>
            <w:proofErr w:type="spellStart"/>
            <w:r w:rsidRPr="00F85A58">
              <w:rPr>
                <w:lang w:val="fr-FR"/>
              </w:rPr>
              <w:t>Example</w:t>
            </w:r>
            <w:proofErr w:type="spellEnd"/>
            <w:r w:rsidRPr="00F85A58">
              <w:rPr>
                <w:lang w:val="fr-FR"/>
              </w:rPr>
              <w:t xml:space="preserve"> </w:t>
            </w:r>
            <w:proofErr w:type="spellStart"/>
            <w:r w:rsidRPr="00F85A58">
              <w:rPr>
                <w:lang w:val="fr-FR"/>
              </w:rPr>
              <w:t>Varieties</w:t>
            </w:r>
            <w:proofErr w:type="spellEnd"/>
            <w:r w:rsidRPr="00F85A58">
              <w:rPr>
                <w:lang w:val="fr-FR"/>
              </w:rPr>
              <w:br/>
              <w:t>Exemples</w:t>
            </w:r>
            <w:r w:rsidRPr="00F85A58">
              <w:rPr>
                <w:lang w:val="fr-FR"/>
              </w:rPr>
              <w:br/>
            </w:r>
            <w:proofErr w:type="spellStart"/>
            <w:r w:rsidRPr="00F85A58">
              <w:rPr>
                <w:lang w:val="fr-FR"/>
              </w:rPr>
              <w:t>Beispielssorten</w:t>
            </w:r>
            <w:proofErr w:type="spellEnd"/>
            <w:r w:rsidRPr="00F85A58">
              <w:rPr>
                <w:lang w:val="fr-FR"/>
              </w:rPr>
              <w:br/>
            </w:r>
            <w:proofErr w:type="spellStart"/>
            <w:r w:rsidRPr="00F85A58">
              <w:rPr>
                <w:lang w:val="fr-FR"/>
              </w:rPr>
              <w:t>Variedades</w:t>
            </w:r>
            <w:proofErr w:type="spellEnd"/>
            <w:r w:rsidRPr="00F85A58">
              <w:rPr>
                <w:lang w:val="fr-FR"/>
              </w:rPr>
              <w:t xml:space="preserve"> </w:t>
            </w:r>
            <w:proofErr w:type="spellStart"/>
            <w:r w:rsidRPr="00F85A58">
              <w:rPr>
                <w:lang w:val="fr-FR"/>
              </w:rPr>
              <w:t>ejemplo</w:t>
            </w:r>
            <w:proofErr w:type="spellEnd"/>
          </w:p>
        </w:tc>
        <w:tc>
          <w:tcPr>
            <w:tcW w:w="567" w:type="dxa"/>
            <w:tcBorders>
              <w:top w:val="single" w:sz="4" w:space="0" w:color="auto"/>
              <w:bottom w:val="single" w:sz="4" w:space="0" w:color="auto"/>
            </w:tcBorders>
            <w:vAlign w:val="center"/>
          </w:tcPr>
          <w:p w:rsidR="00EA14BC" w:rsidRPr="00F85A58" w:rsidRDefault="00EA14BC" w:rsidP="007C1FD9">
            <w:pPr>
              <w:pStyle w:val="tgchartextcentered"/>
              <w:keepNext/>
              <w:rPr>
                <w:b w:val="0"/>
                <w:lang w:val="fr-FR"/>
              </w:rPr>
            </w:pPr>
            <w:r w:rsidRPr="00F85A58">
              <w:rPr>
                <w:b w:val="0"/>
                <w:lang w:val="fr-FR"/>
              </w:rPr>
              <w:t>Note/</w:t>
            </w:r>
            <w:r w:rsidRPr="00F85A58">
              <w:rPr>
                <w:b w:val="0"/>
                <w:lang w:val="fr-FR"/>
              </w:rPr>
              <w:br/>
              <w:t>Nota</w:t>
            </w:r>
          </w:p>
        </w:tc>
      </w:tr>
      <w:tr w:rsidR="00F85A58" w:rsidRPr="00F85A58" w:rsidTr="007C1FD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A14BC" w:rsidRPr="00F85A58" w:rsidRDefault="00EA14BC" w:rsidP="007C1FD9">
            <w:pPr>
              <w:keepNext/>
              <w:spacing w:before="80" w:after="80"/>
              <w:jc w:val="center"/>
              <w:rPr>
                <w:b/>
                <w:sz w:val="16"/>
                <w:szCs w:val="16"/>
                <w:lang w:val="fr-FR"/>
              </w:rPr>
            </w:pPr>
            <w:r w:rsidRPr="00F85A58">
              <w:rPr>
                <w:b/>
                <w:sz w:val="16"/>
                <w:szCs w:val="16"/>
                <w:lang w:val="fr-FR"/>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A14BC" w:rsidRPr="00F85A58" w:rsidRDefault="00EA14BC" w:rsidP="007C1FD9">
            <w:pPr>
              <w:keepNext/>
              <w:spacing w:before="80" w:after="80"/>
              <w:jc w:val="center"/>
              <w:rPr>
                <w:b/>
                <w:sz w:val="16"/>
                <w:szCs w:val="16"/>
                <w:lang w:val="fr-FR"/>
              </w:rPr>
            </w:pPr>
            <w:r w:rsidRPr="00F85A58">
              <w:rPr>
                <w:b/>
                <w:sz w:val="16"/>
                <w:szCs w:val="16"/>
                <w:lang w:val="fr-FR"/>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A14BC" w:rsidRPr="00F85A58" w:rsidRDefault="00EA14BC" w:rsidP="007C1FD9">
            <w:pPr>
              <w:keepNext/>
              <w:spacing w:before="80" w:after="80"/>
              <w:jc w:val="left"/>
              <w:rPr>
                <w:b/>
                <w:lang w:val="fr-FR"/>
              </w:rPr>
            </w:pPr>
            <w:r w:rsidRPr="00F85A58">
              <w:rPr>
                <w:b/>
                <w:sz w:val="16"/>
                <w:szCs w:val="16"/>
                <w:lang w:val="fr-FR"/>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A14BC" w:rsidRPr="00F85A58" w:rsidRDefault="00EA14BC" w:rsidP="007C1FD9">
            <w:pPr>
              <w:keepNext/>
              <w:spacing w:before="80" w:after="80"/>
              <w:jc w:val="left"/>
              <w:rPr>
                <w:b/>
                <w:lang w:val="fr-FR"/>
              </w:rPr>
            </w:pPr>
            <w:r w:rsidRPr="00F85A58">
              <w:rPr>
                <w:b/>
                <w:sz w:val="16"/>
                <w:lang w:val="fr-FR"/>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A14BC" w:rsidRPr="00F85A58" w:rsidRDefault="00EA14BC" w:rsidP="007C1FD9">
            <w:pPr>
              <w:pStyle w:val="tgchartext"/>
              <w:keepNext/>
              <w:rPr>
                <w:b/>
                <w:lang w:val="fr-FR"/>
              </w:rPr>
            </w:pPr>
            <w:r w:rsidRPr="00F85A58">
              <w:rPr>
                <w:b/>
                <w:lang w:val="fr-FR"/>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A14BC" w:rsidRPr="00F85A58" w:rsidRDefault="00EA14BC" w:rsidP="007C1FD9">
            <w:pPr>
              <w:pStyle w:val="tgchartext"/>
              <w:keepNext/>
              <w:rPr>
                <w:b/>
                <w:lang w:val="fr-FR"/>
              </w:rPr>
            </w:pPr>
            <w:r w:rsidRPr="00F85A58">
              <w:rPr>
                <w:b/>
                <w:szCs w:val="16"/>
                <w:lang w:val="fr-FR"/>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A14BC" w:rsidRPr="00F85A58" w:rsidRDefault="00EA14BC" w:rsidP="007C1FD9">
            <w:pPr>
              <w:pStyle w:val="tgchartext"/>
              <w:keepNext/>
              <w:rPr>
                <w:b/>
                <w:lang w:val="fr-FR"/>
              </w:rPr>
            </w:pPr>
            <w:r w:rsidRPr="00F85A58">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A14BC" w:rsidRPr="00F85A58" w:rsidRDefault="00EA14BC" w:rsidP="007C1FD9">
            <w:pPr>
              <w:pStyle w:val="tgchartext"/>
              <w:keepNext/>
              <w:rPr>
                <w:lang w:val="fr-FR"/>
              </w:rPr>
            </w:pPr>
          </w:p>
        </w:tc>
        <w:tc>
          <w:tcPr>
            <w:tcW w:w="1810" w:type="dxa"/>
            <w:tcBorders>
              <w:top w:val="single" w:sz="4" w:space="0" w:color="auto"/>
              <w:left w:val="nil"/>
              <w:bottom w:val="single" w:sz="4" w:space="0" w:color="auto"/>
              <w:right w:val="nil"/>
            </w:tcBorders>
            <w:shd w:val="clear" w:color="auto" w:fill="F0F0F0"/>
          </w:tcPr>
          <w:p w:rsidR="00EA14BC" w:rsidRPr="00F85A58" w:rsidRDefault="00EA14BC" w:rsidP="007C1FD9">
            <w:pPr>
              <w:pStyle w:val="tgchartext"/>
              <w:keepNext/>
              <w:rPr>
                <w:lang w:val="fr-FR"/>
              </w:rPr>
            </w:pPr>
          </w:p>
        </w:tc>
        <w:tc>
          <w:tcPr>
            <w:tcW w:w="567" w:type="dxa"/>
            <w:tcBorders>
              <w:top w:val="single" w:sz="4" w:space="0" w:color="auto"/>
              <w:left w:val="nil"/>
              <w:bottom w:val="single" w:sz="4" w:space="0" w:color="auto"/>
            </w:tcBorders>
            <w:shd w:val="clear" w:color="auto" w:fill="F0F0F0"/>
          </w:tcPr>
          <w:p w:rsidR="00EA14BC" w:rsidRPr="00F85A58" w:rsidRDefault="00EA14BC" w:rsidP="007C1FD9">
            <w:pPr>
              <w:pStyle w:val="tgchartextcentered"/>
              <w:keepNext/>
              <w:rPr>
                <w:lang w:val="fr-FR"/>
              </w:rPr>
            </w:pPr>
          </w:p>
        </w:tc>
      </w:tr>
      <w:tr w:rsidR="00F85A58" w:rsidRPr="00F85A58" w:rsidTr="007C1FD9">
        <w:trPr>
          <w:cantSplit/>
        </w:trPr>
        <w:tc>
          <w:tcPr>
            <w:tcW w:w="709" w:type="dxa"/>
            <w:gridSpan w:val="2"/>
            <w:tcBorders>
              <w:top w:val="single" w:sz="4" w:space="0" w:color="auto"/>
            </w:tcBorders>
          </w:tcPr>
          <w:p w:rsidR="00EA14BC" w:rsidRPr="00F85A58" w:rsidRDefault="00EA14BC" w:rsidP="007C1FD9">
            <w:pPr>
              <w:keepNext/>
              <w:spacing w:before="80" w:after="80"/>
              <w:jc w:val="left"/>
              <w:rPr>
                <w:b/>
                <w:sz w:val="16"/>
                <w:szCs w:val="16"/>
                <w:lang w:val="fr-FR"/>
              </w:rPr>
            </w:pPr>
          </w:p>
        </w:tc>
        <w:tc>
          <w:tcPr>
            <w:tcW w:w="1790" w:type="dxa"/>
            <w:gridSpan w:val="2"/>
            <w:tcBorders>
              <w:top w:val="single" w:sz="4" w:space="0" w:color="auto"/>
              <w:bottom w:val="dotted" w:sz="2" w:space="0" w:color="auto"/>
            </w:tcBorders>
          </w:tcPr>
          <w:p w:rsidR="00EA14BC" w:rsidRPr="00F85A58" w:rsidRDefault="00EA14BC" w:rsidP="007C1FD9">
            <w:pPr>
              <w:keepNext/>
              <w:spacing w:before="80" w:after="80"/>
              <w:jc w:val="left"/>
              <w:rPr>
                <w:lang w:val="fr-FR"/>
              </w:rPr>
            </w:pPr>
            <w:r w:rsidRPr="00F85A58">
              <w:rPr>
                <w:b/>
                <w:sz w:val="16"/>
                <w:szCs w:val="16"/>
                <w:lang w:val="fr-FR"/>
              </w:rPr>
              <w:t xml:space="preserve">Name of </w:t>
            </w:r>
            <w:proofErr w:type="spellStart"/>
            <w:r w:rsidRPr="00F85A58">
              <w:rPr>
                <w:b/>
                <w:sz w:val="16"/>
                <w:szCs w:val="16"/>
                <w:lang w:val="fr-FR"/>
              </w:rPr>
              <w:t>characteristics</w:t>
            </w:r>
            <w:proofErr w:type="spellEnd"/>
            <w:r w:rsidRPr="00F85A58">
              <w:rPr>
                <w:b/>
                <w:sz w:val="16"/>
                <w:szCs w:val="16"/>
                <w:lang w:val="fr-FR"/>
              </w:rPr>
              <w:t xml:space="preserve"> in English</w:t>
            </w:r>
          </w:p>
        </w:tc>
        <w:tc>
          <w:tcPr>
            <w:tcW w:w="1917" w:type="dxa"/>
            <w:gridSpan w:val="2"/>
            <w:tcBorders>
              <w:top w:val="single" w:sz="4" w:space="0" w:color="auto"/>
              <w:bottom w:val="dotted" w:sz="2" w:space="0" w:color="auto"/>
            </w:tcBorders>
          </w:tcPr>
          <w:p w:rsidR="00EA14BC" w:rsidRPr="00F85A58" w:rsidRDefault="00EA14BC" w:rsidP="007C1FD9">
            <w:pPr>
              <w:keepNext/>
              <w:spacing w:before="80" w:after="80"/>
              <w:jc w:val="left"/>
              <w:rPr>
                <w:b/>
                <w:sz w:val="16"/>
                <w:szCs w:val="16"/>
                <w:lang w:val="fr-FR"/>
              </w:rPr>
            </w:pPr>
            <w:r w:rsidRPr="00F85A58">
              <w:rPr>
                <w:b/>
                <w:sz w:val="16"/>
                <w:szCs w:val="16"/>
                <w:lang w:val="fr-FR"/>
              </w:rPr>
              <w:t>Nom du caractère en français</w:t>
            </w:r>
          </w:p>
        </w:tc>
        <w:tc>
          <w:tcPr>
            <w:tcW w:w="1916" w:type="dxa"/>
            <w:gridSpan w:val="2"/>
            <w:tcBorders>
              <w:top w:val="single" w:sz="4" w:space="0" w:color="auto"/>
              <w:bottom w:val="dotted" w:sz="2" w:space="0" w:color="auto"/>
            </w:tcBorders>
          </w:tcPr>
          <w:p w:rsidR="00EA14BC" w:rsidRPr="00F85A58" w:rsidRDefault="00EA14BC" w:rsidP="007C1FD9">
            <w:pPr>
              <w:keepNext/>
              <w:spacing w:before="80" w:after="80"/>
              <w:jc w:val="left"/>
              <w:rPr>
                <w:b/>
                <w:sz w:val="16"/>
                <w:szCs w:val="16"/>
                <w:lang w:val="fr-FR"/>
              </w:rPr>
            </w:pPr>
            <w:r w:rsidRPr="00F85A58">
              <w:rPr>
                <w:b/>
                <w:sz w:val="16"/>
                <w:szCs w:val="16"/>
                <w:lang w:val="fr-FR"/>
              </w:rPr>
              <w:t xml:space="preserve">Name des </w:t>
            </w:r>
            <w:proofErr w:type="spellStart"/>
            <w:r w:rsidRPr="00F85A58">
              <w:rPr>
                <w:b/>
                <w:sz w:val="16"/>
                <w:szCs w:val="16"/>
                <w:lang w:val="fr-FR"/>
              </w:rPr>
              <w:t>Merkmals</w:t>
            </w:r>
            <w:proofErr w:type="spellEnd"/>
            <w:r w:rsidRPr="00F85A58">
              <w:rPr>
                <w:b/>
                <w:sz w:val="16"/>
                <w:szCs w:val="16"/>
                <w:lang w:val="fr-FR"/>
              </w:rPr>
              <w:t xml:space="preserve"> </w:t>
            </w:r>
            <w:proofErr w:type="spellStart"/>
            <w:r w:rsidRPr="00F85A58">
              <w:rPr>
                <w:b/>
                <w:sz w:val="16"/>
                <w:szCs w:val="16"/>
                <w:lang w:val="fr-FR"/>
              </w:rPr>
              <w:t>auf</w:t>
            </w:r>
            <w:proofErr w:type="spellEnd"/>
            <w:r w:rsidRPr="00F85A58">
              <w:rPr>
                <w:b/>
                <w:sz w:val="16"/>
                <w:szCs w:val="16"/>
                <w:lang w:val="fr-FR"/>
              </w:rPr>
              <w:t xml:space="preserve"> Deutsch</w:t>
            </w:r>
          </w:p>
        </w:tc>
        <w:tc>
          <w:tcPr>
            <w:tcW w:w="1923" w:type="dxa"/>
            <w:gridSpan w:val="2"/>
            <w:tcBorders>
              <w:top w:val="single" w:sz="4" w:space="0" w:color="auto"/>
              <w:bottom w:val="dotted" w:sz="2" w:space="0" w:color="auto"/>
            </w:tcBorders>
          </w:tcPr>
          <w:p w:rsidR="00EA14BC" w:rsidRPr="00F85A58" w:rsidRDefault="00EA14BC" w:rsidP="007C1FD9">
            <w:pPr>
              <w:keepNext/>
              <w:spacing w:before="80" w:after="80"/>
              <w:jc w:val="left"/>
              <w:rPr>
                <w:b/>
                <w:sz w:val="16"/>
                <w:szCs w:val="16"/>
                <w:lang w:val="fr-FR"/>
              </w:rPr>
            </w:pPr>
            <w:r w:rsidRPr="00F85A58">
              <w:rPr>
                <w:b/>
                <w:sz w:val="16"/>
                <w:szCs w:val="16"/>
                <w:lang w:val="fr-FR"/>
              </w:rPr>
              <w:t xml:space="preserve">Nombre </w:t>
            </w:r>
            <w:proofErr w:type="spellStart"/>
            <w:r w:rsidRPr="00F85A58">
              <w:rPr>
                <w:b/>
                <w:sz w:val="16"/>
                <w:szCs w:val="16"/>
                <w:lang w:val="fr-FR"/>
              </w:rPr>
              <w:t>del</w:t>
            </w:r>
            <w:proofErr w:type="spellEnd"/>
            <w:r w:rsidRPr="00F85A58">
              <w:rPr>
                <w:b/>
                <w:sz w:val="16"/>
                <w:szCs w:val="16"/>
                <w:lang w:val="fr-FR"/>
              </w:rPr>
              <w:t xml:space="preserve"> </w:t>
            </w:r>
            <w:proofErr w:type="spellStart"/>
            <w:r w:rsidRPr="00F85A58">
              <w:rPr>
                <w:b/>
                <w:sz w:val="16"/>
                <w:szCs w:val="16"/>
                <w:lang w:val="fr-FR"/>
              </w:rPr>
              <w:t>carácter</w:t>
            </w:r>
            <w:proofErr w:type="spellEnd"/>
            <w:r w:rsidRPr="00F85A58">
              <w:rPr>
                <w:b/>
                <w:sz w:val="16"/>
                <w:szCs w:val="16"/>
                <w:lang w:val="fr-FR"/>
              </w:rPr>
              <w:t xml:space="preserve"> en </w:t>
            </w:r>
            <w:proofErr w:type="spellStart"/>
            <w:r w:rsidRPr="00F85A58">
              <w:rPr>
                <w:b/>
                <w:sz w:val="16"/>
                <w:szCs w:val="16"/>
                <w:lang w:val="fr-FR"/>
              </w:rPr>
              <w:t>español</w:t>
            </w:r>
            <w:proofErr w:type="spellEnd"/>
          </w:p>
        </w:tc>
        <w:tc>
          <w:tcPr>
            <w:tcW w:w="1810" w:type="dxa"/>
            <w:tcBorders>
              <w:top w:val="single" w:sz="4" w:space="0" w:color="auto"/>
              <w:bottom w:val="dotted" w:sz="2" w:space="0" w:color="auto"/>
            </w:tcBorders>
          </w:tcPr>
          <w:p w:rsidR="00EA14BC" w:rsidRPr="00F85A58" w:rsidRDefault="00EA14BC" w:rsidP="007C1FD9">
            <w:pPr>
              <w:keepNext/>
              <w:spacing w:before="80" w:after="80"/>
              <w:rPr>
                <w:lang w:val="fr-FR"/>
              </w:rPr>
            </w:pPr>
          </w:p>
        </w:tc>
        <w:tc>
          <w:tcPr>
            <w:tcW w:w="567" w:type="dxa"/>
            <w:tcBorders>
              <w:top w:val="single" w:sz="4" w:space="0" w:color="auto"/>
              <w:bottom w:val="dotted" w:sz="2" w:space="0" w:color="auto"/>
            </w:tcBorders>
          </w:tcPr>
          <w:p w:rsidR="00EA14BC" w:rsidRPr="00F85A58" w:rsidRDefault="00EA14BC" w:rsidP="007C1FD9">
            <w:pPr>
              <w:keepNext/>
              <w:spacing w:before="80" w:after="80"/>
              <w:jc w:val="center"/>
              <w:rPr>
                <w:lang w:val="fr-FR"/>
              </w:rPr>
            </w:pPr>
          </w:p>
        </w:tc>
      </w:tr>
      <w:tr w:rsidR="00F85A58" w:rsidRPr="00F85A58" w:rsidTr="007C1FD9">
        <w:trPr>
          <w:cantSplit/>
        </w:trPr>
        <w:tc>
          <w:tcPr>
            <w:tcW w:w="709" w:type="dxa"/>
            <w:gridSpan w:val="2"/>
            <w:tcBorders>
              <w:bottom w:val="single" w:sz="4" w:space="0" w:color="auto"/>
            </w:tcBorders>
          </w:tcPr>
          <w:p w:rsidR="00EA14BC" w:rsidRPr="00F85A58" w:rsidRDefault="00EA14BC" w:rsidP="007C1FD9">
            <w:pPr>
              <w:keepNext/>
              <w:spacing w:before="80" w:after="80"/>
              <w:jc w:val="left"/>
              <w:rPr>
                <w:sz w:val="16"/>
                <w:szCs w:val="16"/>
                <w:lang w:val="fr-FR"/>
              </w:rPr>
            </w:pPr>
          </w:p>
        </w:tc>
        <w:tc>
          <w:tcPr>
            <w:tcW w:w="1790" w:type="dxa"/>
            <w:gridSpan w:val="2"/>
            <w:tcBorders>
              <w:top w:val="dotted" w:sz="2" w:space="0" w:color="auto"/>
              <w:bottom w:val="single" w:sz="4" w:space="0" w:color="auto"/>
            </w:tcBorders>
          </w:tcPr>
          <w:p w:rsidR="00EA14BC" w:rsidRPr="00F85A58" w:rsidRDefault="00EA14BC" w:rsidP="007C1FD9">
            <w:pPr>
              <w:keepNext/>
              <w:spacing w:before="80" w:after="80"/>
              <w:jc w:val="left"/>
              <w:rPr>
                <w:lang w:val="fr-FR"/>
              </w:rPr>
            </w:pPr>
            <w:r w:rsidRPr="00F85A58">
              <w:rPr>
                <w:sz w:val="16"/>
                <w:szCs w:val="16"/>
                <w:lang w:val="fr-FR"/>
              </w:rPr>
              <w:t>states of expression</w:t>
            </w:r>
          </w:p>
        </w:tc>
        <w:tc>
          <w:tcPr>
            <w:tcW w:w="1917" w:type="dxa"/>
            <w:gridSpan w:val="2"/>
            <w:tcBorders>
              <w:top w:val="dotted" w:sz="2" w:space="0" w:color="auto"/>
              <w:bottom w:val="single" w:sz="4" w:space="0" w:color="auto"/>
            </w:tcBorders>
          </w:tcPr>
          <w:p w:rsidR="00EA14BC" w:rsidRPr="00F85A58" w:rsidRDefault="00EA14BC" w:rsidP="007C1FD9">
            <w:pPr>
              <w:keepNext/>
              <w:spacing w:before="80" w:after="80"/>
              <w:jc w:val="left"/>
              <w:rPr>
                <w:sz w:val="16"/>
                <w:szCs w:val="16"/>
                <w:lang w:val="fr-FR"/>
              </w:rPr>
            </w:pPr>
            <w:r w:rsidRPr="00F85A58">
              <w:rPr>
                <w:sz w:val="16"/>
                <w:szCs w:val="16"/>
                <w:lang w:val="fr-FR"/>
              </w:rPr>
              <w:t>types d</w:t>
            </w:r>
            <w:r w:rsidR="005752E4" w:rsidRPr="00F85A58">
              <w:rPr>
                <w:sz w:val="16"/>
                <w:szCs w:val="16"/>
                <w:lang w:val="fr-FR"/>
              </w:rPr>
              <w:t>’</w:t>
            </w:r>
            <w:r w:rsidRPr="00F85A58">
              <w:rPr>
                <w:sz w:val="16"/>
                <w:szCs w:val="16"/>
                <w:lang w:val="fr-FR"/>
              </w:rPr>
              <w:t>expression</w:t>
            </w:r>
          </w:p>
        </w:tc>
        <w:tc>
          <w:tcPr>
            <w:tcW w:w="1916" w:type="dxa"/>
            <w:gridSpan w:val="2"/>
            <w:tcBorders>
              <w:top w:val="dotted" w:sz="2" w:space="0" w:color="auto"/>
              <w:bottom w:val="single" w:sz="4" w:space="0" w:color="auto"/>
            </w:tcBorders>
          </w:tcPr>
          <w:p w:rsidR="00EA14BC" w:rsidRPr="00F85A58" w:rsidRDefault="00EA14BC" w:rsidP="007C1FD9">
            <w:pPr>
              <w:keepNext/>
              <w:spacing w:before="80" w:after="80"/>
              <w:jc w:val="left"/>
              <w:rPr>
                <w:sz w:val="16"/>
                <w:szCs w:val="16"/>
                <w:lang w:val="fr-FR"/>
              </w:rPr>
            </w:pPr>
            <w:proofErr w:type="spellStart"/>
            <w:r w:rsidRPr="00F85A58">
              <w:rPr>
                <w:sz w:val="16"/>
                <w:szCs w:val="16"/>
                <w:lang w:val="fr-FR"/>
              </w:rPr>
              <w:t>Ausprägungsstufen</w:t>
            </w:r>
            <w:proofErr w:type="spellEnd"/>
          </w:p>
        </w:tc>
        <w:tc>
          <w:tcPr>
            <w:tcW w:w="1923" w:type="dxa"/>
            <w:gridSpan w:val="2"/>
            <w:tcBorders>
              <w:top w:val="dotted" w:sz="2" w:space="0" w:color="auto"/>
              <w:bottom w:val="single" w:sz="4" w:space="0" w:color="auto"/>
            </w:tcBorders>
          </w:tcPr>
          <w:p w:rsidR="00EA14BC" w:rsidRPr="00F85A58" w:rsidRDefault="00EA14BC" w:rsidP="007C1FD9">
            <w:pPr>
              <w:keepNext/>
              <w:spacing w:before="80" w:after="80"/>
              <w:jc w:val="left"/>
              <w:rPr>
                <w:sz w:val="16"/>
                <w:szCs w:val="16"/>
                <w:lang w:val="fr-FR"/>
              </w:rPr>
            </w:pPr>
            <w:proofErr w:type="spellStart"/>
            <w:r w:rsidRPr="00F85A58">
              <w:rPr>
                <w:sz w:val="16"/>
                <w:szCs w:val="16"/>
                <w:lang w:val="fr-FR"/>
              </w:rPr>
              <w:t>tipos</w:t>
            </w:r>
            <w:proofErr w:type="spellEnd"/>
            <w:r w:rsidRPr="00F85A58">
              <w:rPr>
                <w:sz w:val="16"/>
                <w:szCs w:val="16"/>
                <w:lang w:val="fr-FR"/>
              </w:rPr>
              <w:t xml:space="preserve"> </w:t>
            </w:r>
            <w:proofErr w:type="gramStart"/>
            <w:r w:rsidRPr="00F85A58">
              <w:rPr>
                <w:sz w:val="16"/>
                <w:szCs w:val="16"/>
                <w:lang w:val="fr-FR"/>
              </w:rPr>
              <w:t xml:space="preserve">de </w:t>
            </w:r>
            <w:proofErr w:type="spellStart"/>
            <w:r w:rsidRPr="00F85A58">
              <w:rPr>
                <w:sz w:val="16"/>
                <w:szCs w:val="16"/>
                <w:lang w:val="fr-FR"/>
              </w:rPr>
              <w:t>expresión</w:t>
            </w:r>
            <w:proofErr w:type="spellEnd"/>
            <w:proofErr w:type="gramEnd"/>
          </w:p>
        </w:tc>
        <w:tc>
          <w:tcPr>
            <w:tcW w:w="1810" w:type="dxa"/>
            <w:tcBorders>
              <w:top w:val="dotted" w:sz="2" w:space="0" w:color="auto"/>
              <w:bottom w:val="single" w:sz="4" w:space="0" w:color="auto"/>
            </w:tcBorders>
          </w:tcPr>
          <w:p w:rsidR="00EA14BC" w:rsidRPr="00F85A58" w:rsidRDefault="00EA14BC" w:rsidP="007C1FD9">
            <w:pPr>
              <w:keepNext/>
              <w:spacing w:before="80" w:after="80"/>
              <w:jc w:val="left"/>
              <w:rPr>
                <w:lang w:val="fr-FR"/>
              </w:rPr>
            </w:pPr>
          </w:p>
        </w:tc>
        <w:tc>
          <w:tcPr>
            <w:tcW w:w="567" w:type="dxa"/>
            <w:tcBorders>
              <w:top w:val="dotted" w:sz="2" w:space="0" w:color="auto"/>
              <w:bottom w:val="single" w:sz="4" w:space="0" w:color="auto"/>
            </w:tcBorders>
          </w:tcPr>
          <w:p w:rsidR="00EA14BC" w:rsidRPr="00F85A58" w:rsidRDefault="00EA14BC" w:rsidP="007C1FD9">
            <w:pPr>
              <w:keepNext/>
              <w:spacing w:before="80" w:after="80"/>
              <w:jc w:val="center"/>
              <w:rPr>
                <w:lang w:val="fr-FR"/>
              </w:rPr>
            </w:pPr>
          </w:p>
        </w:tc>
      </w:tr>
    </w:tbl>
    <w:p w:rsidR="00BA14DE" w:rsidRPr="00F85A58" w:rsidRDefault="00BA14DE" w:rsidP="00EA14BC">
      <w:pPr>
        <w:keepNext/>
        <w:rPr>
          <w:lang w:val="fr-FR"/>
        </w:rPr>
      </w:pPr>
    </w:p>
    <w:p w:rsidR="00BA14DE" w:rsidRPr="00F85A58" w:rsidRDefault="00877C27" w:rsidP="00877C27">
      <w:pPr>
        <w:keepNext/>
        <w:rPr>
          <w:lang w:val="fr-FR"/>
        </w:rPr>
      </w:pPr>
      <w:r w:rsidRPr="00F85A58">
        <w:rPr>
          <w:lang w:val="fr-FR"/>
        </w:rPr>
        <w:t>Légende</w:t>
      </w:r>
    </w:p>
    <w:p w:rsidR="00BA14DE" w:rsidRPr="00F85A58" w:rsidRDefault="009D1E7E" w:rsidP="009D1E7E">
      <w:pPr>
        <w:keepNext/>
        <w:rPr>
          <w:lang w:val="fr-FR"/>
        </w:rPr>
      </w:pPr>
      <w:r w:rsidRPr="00F85A58">
        <w:rPr>
          <w:lang w:val="fr-FR"/>
        </w:rPr>
        <w:t>1</w:t>
      </w:r>
      <w:r w:rsidRPr="00F85A58">
        <w:rPr>
          <w:lang w:val="fr-FR"/>
        </w:rPr>
        <w:tab/>
        <w:t>Numéro du caractère</w:t>
      </w:r>
    </w:p>
    <w:p w:rsidR="00BA14DE" w:rsidRPr="00F85A58" w:rsidRDefault="009D1E7E" w:rsidP="009D1E7E">
      <w:pPr>
        <w:keepNext/>
        <w:rPr>
          <w:lang w:val="fr-FR"/>
        </w:rPr>
      </w:pPr>
      <w:r w:rsidRPr="00F85A58">
        <w:rPr>
          <w:lang w:val="fr-FR"/>
        </w:rPr>
        <w:t>2</w:t>
      </w:r>
      <w:r w:rsidRPr="00F85A58">
        <w:rPr>
          <w:lang w:val="fr-FR"/>
        </w:rPr>
        <w:tab/>
        <w:t xml:space="preserve">(*) Caractère avec astérisque </w:t>
      </w:r>
      <w:r w:rsidRPr="00F85A58">
        <w:rPr>
          <w:lang w:val="fr-FR"/>
        </w:rPr>
        <w:tab/>
      </w:r>
      <w:r w:rsidR="003A03CA" w:rsidRPr="00F85A58">
        <w:rPr>
          <w:lang w:val="fr-FR"/>
        </w:rPr>
        <w:tab/>
      </w:r>
      <w:r w:rsidRPr="00F85A58">
        <w:rPr>
          <w:lang w:val="fr-FR"/>
        </w:rPr>
        <w:t>– voir le chapitre</w:t>
      </w:r>
      <w:r w:rsidR="00342006" w:rsidRPr="00F85A58">
        <w:rPr>
          <w:lang w:val="fr-FR"/>
        </w:rPr>
        <w:t> </w:t>
      </w:r>
      <w:r w:rsidRPr="00F85A58">
        <w:rPr>
          <w:lang w:val="fr-FR"/>
        </w:rPr>
        <w:t>6.1.2</w:t>
      </w:r>
    </w:p>
    <w:p w:rsidR="00BA14DE" w:rsidRPr="00F85A58" w:rsidRDefault="009D1E7E" w:rsidP="009D1E7E">
      <w:pPr>
        <w:keepNext/>
        <w:rPr>
          <w:lang w:val="fr-FR"/>
        </w:rPr>
      </w:pPr>
      <w:r w:rsidRPr="00F85A58">
        <w:rPr>
          <w:lang w:val="fr-FR"/>
        </w:rPr>
        <w:t>3</w:t>
      </w:r>
      <w:r w:rsidRPr="00F85A58">
        <w:rPr>
          <w:lang w:val="fr-FR"/>
        </w:rPr>
        <w:tab/>
        <w:t>Type d</w:t>
      </w:r>
      <w:r w:rsidR="005752E4" w:rsidRPr="00F85A58">
        <w:rPr>
          <w:lang w:val="fr-FR"/>
        </w:rPr>
        <w:t>’</w:t>
      </w:r>
      <w:r w:rsidRPr="00F85A58">
        <w:rPr>
          <w:lang w:val="fr-FR"/>
        </w:rPr>
        <w:t>expression</w:t>
      </w:r>
    </w:p>
    <w:p w:rsidR="00BA14DE" w:rsidRPr="00F85A58" w:rsidRDefault="009D1E7E" w:rsidP="009D1E7E">
      <w:pPr>
        <w:keepNext/>
        <w:tabs>
          <w:tab w:val="left" w:pos="709"/>
          <w:tab w:val="left" w:pos="1276"/>
        </w:tabs>
        <w:ind w:left="567"/>
        <w:rPr>
          <w:lang w:val="fr-FR"/>
        </w:rPr>
      </w:pPr>
      <w:r w:rsidRPr="00F85A58">
        <w:rPr>
          <w:lang w:val="fr-FR"/>
        </w:rPr>
        <w:t>QL</w:t>
      </w:r>
      <w:r w:rsidRPr="00F85A58">
        <w:rPr>
          <w:lang w:val="fr-FR"/>
        </w:rPr>
        <w:tab/>
        <w:t xml:space="preserve">Caractère qualitatif </w:t>
      </w:r>
      <w:r w:rsidRPr="00F85A58">
        <w:rPr>
          <w:lang w:val="fr-FR"/>
        </w:rPr>
        <w:tab/>
      </w:r>
      <w:r w:rsidR="003A03CA" w:rsidRPr="00F85A58">
        <w:rPr>
          <w:lang w:val="fr-FR"/>
        </w:rPr>
        <w:tab/>
      </w:r>
      <w:r w:rsidRPr="00F85A58">
        <w:rPr>
          <w:lang w:val="fr-FR"/>
        </w:rPr>
        <w:t>– voir le chapitre</w:t>
      </w:r>
      <w:r w:rsidR="00342006" w:rsidRPr="00F85A58">
        <w:rPr>
          <w:lang w:val="fr-FR"/>
        </w:rPr>
        <w:t> </w:t>
      </w:r>
      <w:r w:rsidRPr="00F85A58">
        <w:rPr>
          <w:lang w:val="fr-FR"/>
        </w:rPr>
        <w:t>6.3</w:t>
      </w:r>
    </w:p>
    <w:p w:rsidR="00BA14DE" w:rsidRPr="00F85A58" w:rsidRDefault="009D1E7E" w:rsidP="009D1E7E">
      <w:pPr>
        <w:keepNext/>
        <w:tabs>
          <w:tab w:val="left" w:pos="709"/>
          <w:tab w:val="left" w:pos="1276"/>
        </w:tabs>
        <w:ind w:left="567"/>
        <w:rPr>
          <w:lang w:val="fr-FR"/>
        </w:rPr>
      </w:pPr>
      <w:r w:rsidRPr="00F85A58">
        <w:rPr>
          <w:lang w:val="fr-FR"/>
        </w:rPr>
        <w:t>QN</w:t>
      </w:r>
      <w:r w:rsidRPr="00F85A58">
        <w:rPr>
          <w:lang w:val="fr-FR"/>
        </w:rPr>
        <w:tab/>
        <w:t>Caractère quantitatif</w:t>
      </w:r>
      <w:r w:rsidRPr="00F85A58">
        <w:rPr>
          <w:lang w:val="fr-FR"/>
        </w:rPr>
        <w:tab/>
      </w:r>
      <w:r w:rsidR="003A03CA" w:rsidRPr="00F85A58">
        <w:rPr>
          <w:lang w:val="fr-FR"/>
        </w:rPr>
        <w:tab/>
      </w:r>
      <w:r w:rsidRPr="00F85A58">
        <w:rPr>
          <w:lang w:val="fr-FR"/>
        </w:rPr>
        <w:t>– voir le chapitre</w:t>
      </w:r>
      <w:r w:rsidR="00342006" w:rsidRPr="00F85A58">
        <w:rPr>
          <w:lang w:val="fr-FR"/>
        </w:rPr>
        <w:t> </w:t>
      </w:r>
      <w:r w:rsidRPr="00F85A58">
        <w:rPr>
          <w:lang w:val="fr-FR"/>
        </w:rPr>
        <w:t>6.3</w:t>
      </w:r>
    </w:p>
    <w:p w:rsidR="00BA14DE" w:rsidRPr="00F85A58" w:rsidRDefault="009D1E7E" w:rsidP="009D1E7E">
      <w:pPr>
        <w:keepNext/>
        <w:tabs>
          <w:tab w:val="left" w:pos="709"/>
          <w:tab w:val="left" w:pos="1276"/>
        </w:tabs>
        <w:ind w:left="567"/>
        <w:rPr>
          <w:lang w:val="fr-FR"/>
        </w:rPr>
      </w:pPr>
      <w:r w:rsidRPr="00F85A58">
        <w:rPr>
          <w:lang w:val="fr-FR"/>
        </w:rPr>
        <w:t>PQ</w:t>
      </w:r>
      <w:r w:rsidRPr="00F85A58">
        <w:rPr>
          <w:lang w:val="fr-FR"/>
        </w:rPr>
        <w:tab/>
        <w:t>Caractère pseudo</w:t>
      </w:r>
      <w:r w:rsidR="00F85A58" w:rsidRPr="00F85A58">
        <w:rPr>
          <w:lang w:val="fr-FR"/>
        </w:rPr>
        <w:noBreakHyphen/>
      </w:r>
      <w:r w:rsidRPr="00F85A58">
        <w:rPr>
          <w:lang w:val="fr-FR"/>
        </w:rPr>
        <w:t xml:space="preserve">qualitatif </w:t>
      </w:r>
      <w:r w:rsidRPr="00F85A58">
        <w:rPr>
          <w:lang w:val="fr-FR"/>
        </w:rPr>
        <w:tab/>
        <w:t>– voir le chapitre</w:t>
      </w:r>
      <w:r w:rsidR="00342006" w:rsidRPr="00F85A58">
        <w:rPr>
          <w:lang w:val="fr-FR"/>
        </w:rPr>
        <w:t> </w:t>
      </w:r>
      <w:r w:rsidRPr="00F85A58">
        <w:rPr>
          <w:lang w:val="fr-FR"/>
        </w:rPr>
        <w:t>6.3</w:t>
      </w:r>
    </w:p>
    <w:p w:rsidR="00BA14DE" w:rsidRPr="00F85A58" w:rsidRDefault="00EA14BC" w:rsidP="00EA14BC">
      <w:pPr>
        <w:keepNext/>
        <w:rPr>
          <w:rFonts w:eastAsia="MS Mincho"/>
          <w:lang w:val="fr-FR"/>
        </w:rPr>
      </w:pPr>
      <w:r w:rsidRPr="00F85A58">
        <w:rPr>
          <w:rFonts w:eastAsia="MS Mincho"/>
          <w:lang w:val="fr-FR"/>
        </w:rPr>
        <w:t>4</w:t>
      </w:r>
      <w:r w:rsidRPr="00F85A58">
        <w:rPr>
          <w:rFonts w:eastAsia="MS Mincho"/>
          <w:lang w:val="fr-FR"/>
        </w:rPr>
        <w:tab/>
        <w:t>M</w:t>
      </w:r>
      <w:r w:rsidR="00225203" w:rsidRPr="00F85A58">
        <w:rPr>
          <w:rFonts w:eastAsia="MS Mincho"/>
          <w:lang w:val="fr-FR"/>
        </w:rPr>
        <w:t>é</w:t>
      </w:r>
      <w:r w:rsidRPr="00F85A58">
        <w:rPr>
          <w:rFonts w:eastAsia="MS Mincho"/>
          <w:lang w:val="fr-FR"/>
        </w:rPr>
        <w:t>thod</w:t>
      </w:r>
      <w:r w:rsidR="00225203" w:rsidRPr="00F85A58">
        <w:rPr>
          <w:rFonts w:eastAsia="MS Mincho"/>
          <w:lang w:val="fr-FR"/>
        </w:rPr>
        <w:t>e</w:t>
      </w:r>
      <w:r w:rsidRPr="00F85A58">
        <w:rPr>
          <w:rFonts w:eastAsia="MS Mincho"/>
          <w:lang w:val="fr-FR"/>
        </w:rPr>
        <w:t xml:space="preserve"> </w:t>
      </w:r>
      <w:r w:rsidR="00225203" w:rsidRPr="00F85A58">
        <w:rPr>
          <w:rFonts w:eastAsia="MS Mincho"/>
          <w:lang w:val="fr-FR"/>
        </w:rPr>
        <w:t>d</w:t>
      </w:r>
      <w:r w:rsidR="005752E4" w:rsidRPr="00F85A58">
        <w:rPr>
          <w:rFonts w:eastAsia="MS Mincho"/>
          <w:lang w:val="fr-FR"/>
        </w:rPr>
        <w:t>’</w:t>
      </w:r>
      <w:r w:rsidR="00225203" w:rsidRPr="00F85A58">
        <w:rPr>
          <w:rFonts w:eastAsia="MS Mincho"/>
          <w:lang w:val="fr-FR"/>
        </w:rPr>
        <w:t>obs</w:t>
      </w:r>
      <w:r w:rsidR="00626C6A" w:rsidRPr="00F85A58">
        <w:rPr>
          <w:rFonts w:eastAsia="MS Mincho"/>
          <w:lang w:val="fr-FR"/>
        </w:rPr>
        <w:t>e</w:t>
      </w:r>
      <w:r w:rsidR="00225203" w:rsidRPr="00F85A58">
        <w:rPr>
          <w:rFonts w:eastAsia="MS Mincho"/>
          <w:lang w:val="fr-FR"/>
        </w:rPr>
        <w:t>rvation</w:t>
      </w:r>
      <w:r w:rsidRPr="00F85A58">
        <w:rPr>
          <w:rFonts w:eastAsia="MS Mincho"/>
          <w:lang w:val="fr-FR"/>
        </w:rPr>
        <w:t xml:space="preserve"> (</w:t>
      </w:r>
      <w:r w:rsidR="00225203" w:rsidRPr="00F85A58">
        <w:rPr>
          <w:rFonts w:eastAsia="MS Mincho"/>
          <w:lang w:val="fr-FR"/>
        </w:rPr>
        <w:t>et type de parcelle, le cas échéant</w:t>
      </w:r>
      <w:r w:rsidRPr="00F85A58">
        <w:rPr>
          <w:rFonts w:eastAsia="MS Mincho"/>
          <w:lang w:val="fr-FR"/>
        </w:rPr>
        <w:t>)</w:t>
      </w:r>
    </w:p>
    <w:p w:rsidR="00BA14DE" w:rsidRPr="00F85A58" w:rsidRDefault="009D1E7E" w:rsidP="009D1E7E">
      <w:pPr>
        <w:keepNext/>
        <w:tabs>
          <w:tab w:val="left" w:pos="3969"/>
        </w:tabs>
        <w:ind w:left="567"/>
        <w:rPr>
          <w:rFonts w:eastAsia="MS Mincho"/>
          <w:lang w:val="fr-FR"/>
        </w:rPr>
      </w:pPr>
      <w:r w:rsidRPr="00F85A58">
        <w:rPr>
          <w:rFonts w:eastAsia="MS Mincho"/>
          <w:lang w:val="fr-FR"/>
        </w:rPr>
        <w:t>MG, MS, VG, VS</w:t>
      </w:r>
      <w:r w:rsidRPr="00F85A58">
        <w:rPr>
          <w:rFonts w:eastAsia="MS Mincho"/>
          <w:lang w:val="fr-FR"/>
        </w:rPr>
        <w:tab/>
      </w:r>
      <w:r w:rsidRPr="00F85A58">
        <w:rPr>
          <w:rFonts w:eastAsia="MS Mincho"/>
          <w:lang w:val="fr-FR"/>
        </w:rPr>
        <w:tab/>
        <w:t>– voir le chapitre</w:t>
      </w:r>
      <w:r w:rsidR="00342006" w:rsidRPr="00F85A58">
        <w:rPr>
          <w:rFonts w:eastAsia="MS Mincho"/>
          <w:lang w:val="fr-FR"/>
        </w:rPr>
        <w:t> </w:t>
      </w:r>
      <w:r w:rsidRPr="00F85A58">
        <w:rPr>
          <w:rFonts w:eastAsia="MS Mincho"/>
          <w:lang w:val="fr-FR"/>
        </w:rPr>
        <w:t>4.1.5</w:t>
      </w:r>
    </w:p>
    <w:p w:rsidR="00BA14DE" w:rsidRPr="00F85A58" w:rsidRDefault="009D1E7E" w:rsidP="009D1E7E">
      <w:pPr>
        <w:keepNext/>
        <w:tabs>
          <w:tab w:val="left" w:pos="567"/>
          <w:tab w:val="left" w:pos="1276"/>
        </w:tabs>
        <w:rPr>
          <w:lang w:val="fr-FR"/>
        </w:rPr>
      </w:pPr>
      <w:r w:rsidRPr="00F85A58">
        <w:rPr>
          <w:lang w:val="fr-FR"/>
        </w:rPr>
        <w:t>5</w:t>
      </w:r>
      <w:r w:rsidRPr="00F85A58">
        <w:rPr>
          <w:lang w:val="fr-FR"/>
        </w:rPr>
        <w:tab/>
        <w:t>(+)</w:t>
      </w:r>
      <w:r w:rsidRPr="00F85A58">
        <w:rPr>
          <w:lang w:val="fr-FR"/>
        </w:rPr>
        <w:tab/>
        <w:t>Voir les explications du tableau des caractères au chapitre</w:t>
      </w:r>
      <w:r w:rsidR="00342006" w:rsidRPr="00F85A58">
        <w:rPr>
          <w:lang w:val="fr-FR"/>
        </w:rPr>
        <w:t> </w:t>
      </w:r>
      <w:r w:rsidRPr="00F85A58">
        <w:rPr>
          <w:lang w:val="fr-FR"/>
        </w:rPr>
        <w:t>8.2.</w:t>
      </w:r>
    </w:p>
    <w:p w:rsidR="00BA14DE" w:rsidRPr="00F85A58" w:rsidRDefault="009D1E7E" w:rsidP="009D1E7E">
      <w:pPr>
        <w:keepNext/>
        <w:tabs>
          <w:tab w:val="left" w:pos="567"/>
          <w:tab w:val="left" w:pos="1276"/>
        </w:tabs>
        <w:rPr>
          <w:lang w:val="fr-FR"/>
        </w:rPr>
      </w:pPr>
      <w:r w:rsidRPr="00F85A58">
        <w:rPr>
          <w:lang w:val="fr-FR"/>
        </w:rPr>
        <w:t>6</w:t>
      </w:r>
      <w:r w:rsidRPr="00F85A58">
        <w:rPr>
          <w:lang w:val="fr-FR"/>
        </w:rPr>
        <w:tab/>
        <w:t>(a)</w:t>
      </w:r>
      <w:r w:rsidR="00F85A58" w:rsidRPr="00F85A58">
        <w:rPr>
          <w:lang w:val="fr-FR"/>
        </w:rPr>
        <w:noBreakHyphen/>
      </w:r>
      <w:r w:rsidRPr="00F85A58">
        <w:rPr>
          <w:lang w:val="fr-FR"/>
        </w:rPr>
        <w:t>{x}</w:t>
      </w:r>
      <w:r w:rsidRPr="00F85A58">
        <w:rPr>
          <w:lang w:val="fr-FR"/>
        </w:rPr>
        <w:tab/>
        <w:t>Voir les explications du tableau des caractères au chapitre</w:t>
      </w:r>
      <w:r w:rsidR="00342006" w:rsidRPr="00F85A58">
        <w:rPr>
          <w:lang w:val="fr-FR"/>
        </w:rPr>
        <w:t> </w:t>
      </w:r>
      <w:r w:rsidRPr="00F85A58">
        <w:rPr>
          <w:lang w:val="fr-FR"/>
        </w:rPr>
        <w:t>8.1</w:t>
      </w:r>
    </w:p>
    <w:p w:rsidR="00BA14DE" w:rsidRPr="00F85A58" w:rsidRDefault="00EA14BC" w:rsidP="00EA14BC">
      <w:pPr>
        <w:keepNext/>
        <w:rPr>
          <w:lang w:val="fr-FR"/>
        </w:rPr>
      </w:pPr>
      <w:r w:rsidRPr="00F85A58">
        <w:rPr>
          <w:lang w:val="fr-FR"/>
        </w:rPr>
        <w:t>7</w:t>
      </w:r>
      <w:r w:rsidRPr="00F85A58">
        <w:rPr>
          <w:lang w:val="fr-FR"/>
        </w:rPr>
        <w:tab/>
      </w:r>
      <w:r w:rsidR="00225203" w:rsidRPr="00F85A58">
        <w:rPr>
          <w:lang w:val="fr-FR"/>
        </w:rPr>
        <w:t>Échelle des stades de croissance</w:t>
      </w:r>
    </w:p>
    <w:p w:rsidR="00BA14DE" w:rsidRPr="00F85A58" w:rsidRDefault="00BA14DE" w:rsidP="00EA14BC">
      <w:pPr>
        <w:rPr>
          <w:lang w:val="fr-FR"/>
        </w:rPr>
      </w:pPr>
    </w:p>
    <w:p w:rsidR="00BA14DE" w:rsidRPr="00F85A58" w:rsidRDefault="009D1E7E" w:rsidP="009D1E7E">
      <w:pPr>
        <w:keepNext/>
        <w:rPr>
          <w:lang w:val="fr-FR"/>
        </w:rPr>
      </w:pPr>
      <w:r w:rsidRPr="00F85A58">
        <w:rPr>
          <w:lang w:val="fr-FR"/>
        </w:rPr>
        <w:t>Exemple :</w:t>
      </w:r>
    </w:p>
    <w:p w:rsidR="00EA14BC" w:rsidRPr="00F85A58" w:rsidRDefault="00EA14BC" w:rsidP="00EA14BC">
      <w:pPr>
        <w:keepNext/>
        <w:rPr>
          <w:lang w:val="fr-FR"/>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F85A58" w:rsidRPr="00F85A58" w:rsidTr="007C1FD9">
        <w:trPr>
          <w:cantSplit/>
          <w:tblHeader/>
        </w:trPr>
        <w:tc>
          <w:tcPr>
            <w:tcW w:w="709" w:type="dxa"/>
            <w:gridSpan w:val="2"/>
            <w:tcBorders>
              <w:top w:val="single" w:sz="4" w:space="0" w:color="auto"/>
              <w:bottom w:val="single" w:sz="4" w:space="0" w:color="auto"/>
            </w:tcBorders>
          </w:tcPr>
          <w:p w:rsidR="00EA14BC" w:rsidRPr="00F85A58" w:rsidRDefault="00EA14BC" w:rsidP="007C1FD9">
            <w:pPr>
              <w:pStyle w:val="tgchartext"/>
              <w:keepNext/>
              <w:rPr>
                <w:lang w:val="fr-FR"/>
              </w:rPr>
            </w:pPr>
          </w:p>
        </w:tc>
        <w:tc>
          <w:tcPr>
            <w:tcW w:w="1790" w:type="dxa"/>
            <w:gridSpan w:val="2"/>
            <w:tcBorders>
              <w:top w:val="single" w:sz="4" w:space="0" w:color="auto"/>
              <w:bottom w:val="single" w:sz="4" w:space="0" w:color="auto"/>
            </w:tcBorders>
            <w:vAlign w:val="center"/>
          </w:tcPr>
          <w:p w:rsidR="00EA14BC" w:rsidRPr="00F85A58" w:rsidRDefault="00EA14BC" w:rsidP="007C1FD9">
            <w:pPr>
              <w:pStyle w:val="tgchartext"/>
              <w:keepNext/>
              <w:jc w:val="both"/>
              <w:rPr>
                <w:lang w:val="fr-FR"/>
              </w:rPr>
            </w:pPr>
            <w:r w:rsidRPr="00F85A58">
              <w:rPr>
                <w:lang w:val="fr-FR"/>
              </w:rPr>
              <w:t>English</w:t>
            </w:r>
          </w:p>
        </w:tc>
        <w:tc>
          <w:tcPr>
            <w:tcW w:w="1928" w:type="dxa"/>
            <w:gridSpan w:val="3"/>
            <w:tcBorders>
              <w:top w:val="single" w:sz="4" w:space="0" w:color="auto"/>
              <w:bottom w:val="single" w:sz="4" w:space="0" w:color="auto"/>
            </w:tcBorders>
            <w:vAlign w:val="center"/>
          </w:tcPr>
          <w:p w:rsidR="00EA14BC" w:rsidRPr="00F85A58" w:rsidRDefault="00EA14BC" w:rsidP="007C1FD9">
            <w:pPr>
              <w:pStyle w:val="tgchartext"/>
              <w:keepNext/>
              <w:rPr>
                <w:lang w:val="fr-FR"/>
              </w:rPr>
            </w:pPr>
            <w:r w:rsidRPr="00F85A58">
              <w:rPr>
                <w:lang w:val="fr-FR"/>
              </w:rPr>
              <w:t>français</w:t>
            </w:r>
          </w:p>
        </w:tc>
        <w:tc>
          <w:tcPr>
            <w:tcW w:w="1914" w:type="dxa"/>
            <w:gridSpan w:val="2"/>
            <w:tcBorders>
              <w:top w:val="single" w:sz="4" w:space="0" w:color="auto"/>
              <w:bottom w:val="single" w:sz="4" w:space="0" w:color="auto"/>
            </w:tcBorders>
            <w:vAlign w:val="center"/>
          </w:tcPr>
          <w:p w:rsidR="00EA14BC" w:rsidRPr="00F85A58" w:rsidRDefault="00EA14BC" w:rsidP="007C1FD9">
            <w:pPr>
              <w:pStyle w:val="tgchartext"/>
              <w:keepNext/>
              <w:rPr>
                <w:lang w:val="fr-FR"/>
              </w:rPr>
            </w:pPr>
            <w:proofErr w:type="spellStart"/>
            <w:r w:rsidRPr="00F85A58">
              <w:rPr>
                <w:lang w:val="fr-FR"/>
              </w:rPr>
              <w:t>deutsch</w:t>
            </w:r>
            <w:proofErr w:type="spellEnd"/>
          </w:p>
        </w:tc>
        <w:tc>
          <w:tcPr>
            <w:tcW w:w="1914" w:type="dxa"/>
            <w:tcBorders>
              <w:top w:val="single" w:sz="4" w:space="0" w:color="auto"/>
              <w:bottom w:val="single" w:sz="4" w:space="0" w:color="auto"/>
            </w:tcBorders>
            <w:vAlign w:val="center"/>
          </w:tcPr>
          <w:p w:rsidR="00EA14BC" w:rsidRPr="00F85A58" w:rsidRDefault="00EA14BC" w:rsidP="007C1FD9">
            <w:pPr>
              <w:pStyle w:val="tgchartext"/>
              <w:keepNext/>
              <w:rPr>
                <w:lang w:val="fr-FR"/>
              </w:rPr>
            </w:pPr>
            <w:proofErr w:type="spellStart"/>
            <w:r w:rsidRPr="00F85A58">
              <w:rPr>
                <w:lang w:val="fr-FR"/>
              </w:rPr>
              <w:t>español</w:t>
            </w:r>
            <w:proofErr w:type="spellEnd"/>
          </w:p>
        </w:tc>
        <w:tc>
          <w:tcPr>
            <w:tcW w:w="1810" w:type="dxa"/>
            <w:tcBorders>
              <w:top w:val="single" w:sz="4" w:space="0" w:color="auto"/>
              <w:bottom w:val="single" w:sz="4" w:space="0" w:color="auto"/>
            </w:tcBorders>
            <w:vAlign w:val="center"/>
          </w:tcPr>
          <w:p w:rsidR="00EA14BC" w:rsidRPr="00F85A58" w:rsidRDefault="00EA14BC" w:rsidP="007C1FD9">
            <w:pPr>
              <w:pStyle w:val="tgchartext"/>
              <w:keepNext/>
              <w:rPr>
                <w:lang w:val="fr-FR"/>
              </w:rPr>
            </w:pPr>
            <w:proofErr w:type="spellStart"/>
            <w:r w:rsidRPr="00F85A58">
              <w:rPr>
                <w:lang w:val="fr-FR"/>
              </w:rPr>
              <w:t>Example</w:t>
            </w:r>
            <w:proofErr w:type="spellEnd"/>
            <w:r w:rsidRPr="00F85A58">
              <w:rPr>
                <w:lang w:val="fr-FR"/>
              </w:rPr>
              <w:t xml:space="preserve"> </w:t>
            </w:r>
            <w:proofErr w:type="spellStart"/>
            <w:r w:rsidRPr="00F85A58">
              <w:rPr>
                <w:lang w:val="fr-FR"/>
              </w:rPr>
              <w:t>Varieties</w:t>
            </w:r>
            <w:proofErr w:type="spellEnd"/>
            <w:r w:rsidRPr="00F85A58">
              <w:rPr>
                <w:lang w:val="fr-FR"/>
              </w:rPr>
              <w:br/>
              <w:t>Exemples</w:t>
            </w:r>
            <w:r w:rsidRPr="00F85A58">
              <w:rPr>
                <w:lang w:val="fr-FR"/>
              </w:rPr>
              <w:br/>
            </w:r>
            <w:proofErr w:type="spellStart"/>
            <w:r w:rsidRPr="00F85A58">
              <w:rPr>
                <w:lang w:val="fr-FR"/>
              </w:rPr>
              <w:t>Beispielssorten</w:t>
            </w:r>
            <w:proofErr w:type="spellEnd"/>
            <w:r w:rsidRPr="00F85A58">
              <w:rPr>
                <w:lang w:val="fr-FR"/>
              </w:rPr>
              <w:br/>
            </w:r>
            <w:proofErr w:type="spellStart"/>
            <w:r w:rsidRPr="00F85A58">
              <w:rPr>
                <w:lang w:val="fr-FR"/>
              </w:rPr>
              <w:t>Variedades</w:t>
            </w:r>
            <w:proofErr w:type="spellEnd"/>
            <w:r w:rsidRPr="00F85A58">
              <w:rPr>
                <w:lang w:val="fr-FR"/>
              </w:rPr>
              <w:t xml:space="preserve"> </w:t>
            </w:r>
            <w:proofErr w:type="spellStart"/>
            <w:r w:rsidRPr="00F85A58">
              <w:rPr>
                <w:lang w:val="fr-FR"/>
              </w:rPr>
              <w:t>ejemplo</w:t>
            </w:r>
            <w:proofErr w:type="spellEnd"/>
          </w:p>
        </w:tc>
        <w:tc>
          <w:tcPr>
            <w:tcW w:w="567" w:type="dxa"/>
            <w:tcBorders>
              <w:top w:val="single" w:sz="4" w:space="0" w:color="auto"/>
              <w:bottom w:val="single" w:sz="4" w:space="0" w:color="auto"/>
            </w:tcBorders>
            <w:vAlign w:val="center"/>
          </w:tcPr>
          <w:p w:rsidR="00EA14BC" w:rsidRPr="00F85A58" w:rsidRDefault="00EA14BC" w:rsidP="007C1FD9">
            <w:pPr>
              <w:pStyle w:val="tgchartextcentered"/>
              <w:keepNext/>
              <w:rPr>
                <w:b w:val="0"/>
                <w:lang w:val="fr-FR"/>
              </w:rPr>
            </w:pPr>
            <w:r w:rsidRPr="00F85A58">
              <w:rPr>
                <w:b w:val="0"/>
                <w:lang w:val="fr-FR"/>
              </w:rPr>
              <w:t>Note/</w:t>
            </w:r>
            <w:r w:rsidRPr="00F85A58">
              <w:rPr>
                <w:b w:val="0"/>
                <w:lang w:val="fr-FR"/>
              </w:rPr>
              <w:br/>
              <w:t>Nota</w:t>
            </w:r>
          </w:p>
        </w:tc>
      </w:tr>
      <w:tr w:rsidR="00F85A58" w:rsidRPr="00F85A58" w:rsidTr="007C1FD9">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EA14BC" w:rsidRPr="00F85A58" w:rsidRDefault="00EA14BC" w:rsidP="007C1FD9">
            <w:pPr>
              <w:keepNext/>
              <w:spacing w:before="80" w:after="80"/>
              <w:jc w:val="left"/>
              <w:rPr>
                <w:b/>
                <w:sz w:val="16"/>
                <w:szCs w:val="16"/>
                <w:lang w:val="fr-FR"/>
              </w:rPr>
            </w:pPr>
            <w:r w:rsidRPr="00F85A58">
              <w:rPr>
                <w:b/>
                <w:sz w:val="16"/>
                <w:szCs w:val="16"/>
                <w:lang w:val="fr-FR"/>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EA14BC" w:rsidRPr="00F85A58" w:rsidRDefault="00EA14BC" w:rsidP="007C1FD9">
            <w:pPr>
              <w:keepNext/>
              <w:spacing w:before="80" w:after="80"/>
              <w:jc w:val="left"/>
              <w:rPr>
                <w:b/>
                <w:sz w:val="16"/>
                <w:szCs w:val="16"/>
                <w:lang w:val="fr-FR"/>
              </w:rPr>
            </w:pPr>
            <w:r w:rsidRPr="00F85A58">
              <w:rPr>
                <w:b/>
                <w:sz w:val="16"/>
                <w:szCs w:val="16"/>
                <w:lang w:val="fr-FR"/>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EA14BC" w:rsidRPr="00F85A58" w:rsidRDefault="00EA14BC" w:rsidP="007C1FD9">
            <w:pPr>
              <w:keepNext/>
              <w:spacing w:before="80" w:after="80"/>
              <w:jc w:val="left"/>
              <w:rPr>
                <w:b/>
                <w:lang w:val="fr-FR"/>
              </w:rPr>
            </w:pPr>
            <w:r w:rsidRPr="00F85A58">
              <w:rPr>
                <w:b/>
                <w:sz w:val="16"/>
                <w:szCs w:val="16"/>
                <w:lang w:val="fr-FR"/>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EA14BC" w:rsidRPr="00F85A58" w:rsidRDefault="00EA14BC" w:rsidP="007C1FD9">
            <w:pPr>
              <w:keepNext/>
              <w:spacing w:before="80" w:after="80"/>
              <w:jc w:val="left"/>
              <w:rPr>
                <w:b/>
                <w:lang w:val="fr-FR"/>
              </w:rPr>
            </w:pPr>
            <w:r w:rsidRPr="00F85A58">
              <w:rPr>
                <w:b/>
                <w:sz w:val="16"/>
                <w:lang w:val="fr-FR"/>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EA14BC" w:rsidRPr="00F85A58" w:rsidRDefault="00EA14BC" w:rsidP="007C1FD9">
            <w:pPr>
              <w:pStyle w:val="tgchartext"/>
              <w:keepNext/>
              <w:rPr>
                <w:b/>
                <w:lang w:val="fr-FR"/>
              </w:rPr>
            </w:pPr>
            <w:r w:rsidRPr="00F85A58">
              <w:rPr>
                <w:b/>
                <w:lang w:val="fr-FR"/>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EA14BC" w:rsidRPr="00F85A58" w:rsidRDefault="00EA14BC" w:rsidP="007C1FD9">
            <w:pPr>
              <w:pStyle w:val="tgchartext"/>
              <w:keepNext/>
              <w:rPr>
                <w:b/>
                <w:lang w:val="fr-FR"/>
              </w:rPr>
            </w:pPr>
            <w:r w:rsidRPr="00F85A58">
              <w:rPr>
                <w:b/>
                <w:szCs w:val="16"/>
                <w:lang w:val="fr-FR"/>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EA14BC" w:rsidRPr="00F85A58" w:rsidRDefault="00EA14BC" w:rsidP="007C1FD9">
            <w:pPr>
              <w:pStyle w:val="tgchartext"/>
              <w:keepNext/>
              <w:rPr>
                <w:b/>
                <w:lang w:val="fr-FR"/>
              </w:rPr>
            </w:pPr>
            <w:r w:rsidRPr="00F85A58">
              <w:rPr>
                <w:b/>
                <w:lang w:val="fr-FR"/>
              </w:rPr>
              <w:t>2201, 2202, 2302</w:t>
            </w:r>
          </w:p>
        </w:tc>
        <w:tc>
          <w:tcPr>
            <w:tcW w:w="1923" w:type="dxa"/>
            <w:gridSpan w:val="2"/>
            <w:tcBorders>
              <w:top w:val="single" w:sz="4" w:space="0" w:color="auto"/>
              <w:left w:val="nil"/>
              <w:bottom w:val="single" w:sz="4" w:space="0" w:color="auto"/>
              <w:right w:val="nil"/>
            </w:tcBorders>
            <w:shd w:val="clear" w:color="auto" w:fill="EBEBEB"/>
          </w:tcPr>
          <w:p w:rsidR="00EA14BC" w:rsidRPr="00F85A58" w:rsidRDefault="00EA14BC" w:rsidP="007C1FD9">
            <w:pPr>
              <w:pStyle w:val="tgchartext"/>
              <w:keepNext/>
              <w:rPr>
                <w:lang w:val="fr-FR"/>
              </w:rPr>
            </w:pPr>
          </w:p>
        </w:tc>
        <w:tc>
          <w:tcPr>
            <w:tcW w:w="1810" w:type="dxa"/>
            <w:tcBorders>
              <w:top w:val="single" w:sz="4" w:space="0" w:color="auto"/>
              <w:left w:val="nil"/>
              <w:bottom w:val="single" w:sz="4" w:space="0" w:color="auto"/>
              <w:right w:val="nil"/>
            </w:tcBorders>
            <w:shd w:val="clear" w:color="auto" w:fill="EBEBEB"/>
          </w:tcPr>
          <w:p w:rsidR="00EA14BC" w:rsidRPr="00F85A58" w:rsidRDefault="00EA14BC" w:rsidP="007C1FD9">
            <w:pPr>
              <w:pStyle w:val="tgchartext"/>
              <w:keepNext/>
              <w:rPr>
                <w:lang w:val="fr-FR"/>
              </w:rPr>
            </w:pPr>
          </w:p>
        </w:tc>
        <w:tc>
          <w:tcPr>
            <w:tcW w:w="567" w:type="dxa"/>
            <w:tcBorders>
              <w:top w:val="single" w:sz="4" w:space="0" w:color="auto"/>
              <w:left w:val="nil"/>
              <w:bottom w:val="single" w:sz="4" w:space="0" w:color="auto"/>
            </w:tcBorders>
            <w:shd w:val="clear" w:color="auto" w:fill="EBEBEB"/>
          </w:tcPr>
          <w:p w:rsidR="00EA14BC" w:rsidRPr="00F85A58" w:rsidRDefault="00EA14BC" w:rsidP="007C1FD9">
            <w:pPr>
              <w:pStyle w:val="tgchartextcentered"/>
              <w:keepNext/>
              <w:rPr>
                <w:lang w:val="fr-FR"/>
              </w:rPr>
            </w:pPr>
          </w:p>
        </w:tc>
      </w:tr>
      <w:tr w:rsidR="00F85A58" w:rsidRPr="00F85A58" w:rsidTr="007C1FD9">
        <w:trPr>
          <w:cantSplit/>
        </w:trPr>
        <w:tc>
          <w:tcPr>
            <w:tcW w:w="709" w:type="dxa"/>
            <w:gridSpan w:val="2"/>
            <w:tcBorders>
              <w:top w:val="single" w:sz="4" w:space="0" w:color="auto"/>
            </w:tcBorders>
          </w:tcPr>
          <w:p w:rsidR="00EA14BC" w:rsidRPr="00F85A58" w:rsidRDefault="00EA14BC" w:rsidP="007C1FD9">
            <w:pPr>
              <w:keepNext/>
              <w:spacing w:before="80" w:after="80"/>
              <w:jc w:val="left"/>
              <w:rPr>
                <w:b/>
                <w:sz w:val="16"/>
                <w:szCs w:val="16"/>
                <w:lang w:val="fr-FR"/>
              </w:rPr>
            </w:pPr>
          </w:p>
        </w:tc>
        <w:tc>
          <w:tcPr>
            <w:tcW w:w="1790" w:type="dxa"/>
            <w:gridSpan w:val="2"/>
            <w:tcBorders>
              <w:top w:val="single" w:sz="4" w:space="0" w:color="auto"/>
              <w:bottom w:val="dotted" w:sz="2" w:space="0" w:color="auto"/>
            </w:tcBorders>
          </w:tcPr>
          <w:p w:rsidR="00EA14BC" w:rsidRPr="00F85A58" w:rsidRDefault="00EA14BC" w:rsidP="007C1FD9">
            <w:pPr>
              <w:keepNext/>
              <w:spacing w:before="80" w:after="80"/>
              <w:jc w:val="left"/>
              <w:rPr>
                <w:lang w:val="fr-FR"/>
              </w:rPr>
            </w:pPr>
            <w:r w:rsidRPr="00F85A58">
              <w:rPr>
                <w:b/>
                <w:sz w:val="16"/>
                <w:szCs w:val="16"/>
                <w:lang w:val="fr-FR"/>
              </w:rPr>
              <w:t xml:space="preserve">Plant: </w:t>
            </w:r>
            <w:proofErr w:type="spellStart"/>
            <w:r w:rsidRPr="00F85A58">
              <w:rPr>
                <w:b/>
                <w:sz w:val="16"/>
                <w:szCs w:val="16"/>
                <w:lang w:val="fr-FR"/>
              </w:rPr>
              <w:t>growth</w:t>
            </w:r>
            <w:proofErr w:type="spellEnd"/>
            <w:r w:rsidRPr="00F85A58">
              <w:rPr>
                <w:b/>
                <w:sz w:val="16"/>
                <w:szCs w:val="16"/>
                <w:lang w:val="fr-FR"/>
              </w:rPr>
              <w:t xml:space="preserve"> habit</w:t>
            </w:r>
          </w:p>
        </w:tc>
        <w:tc>
          <w:tcPr>
            <w:tcW w:w="1917" w:type="dxa"/>
            <w:gridSpan w:val="2"/>
            <w:tcBorders>
              <w:top w:val="single" w:sz="4" w:space="0" w:color="auto"/>
              <w:bottom w:val="dotted" w:sz="2" w:space="0" w:color="auto"/>
            </w:tcBorders>
          </w:tcPr>
          <w:p w:rsidR="00EA14BC" w:rsidRPr="00F85A58" w:rsidRDefault="00EA14BC" w:rsidP="007C1FD9">
            <w:pPr>
              <w:keepNext/>
              <w:spacing w:before="80" w:after="80"/>
              <w:jc w:val="left"/>
              <w:rPr>
                <w:lang w:val="fr-FR"/>
              </w:rPr>
            </w:pPr>
            <w:r w:rsidRPr="00F85A58">
              <w:rPr>
                <w:b/>
                <w:sz w:val="16"/>
                <w:szCs w:val="16"/>
                <w:lang w:val="fr-FR"/>
              </w:rPr>
              <w:t>Plante</w:t>
            </w:r>
            <w:r w:rsidR="004C3C67" w:rsidRPr="00F85A58">
              <w:rPr>
                <w:b/>
                <w:sz w:val="16"/>
                <w:szCs w:val="16"/>
                <w:lang w:val="fr-FR"/>
              </w:rPr>
              <w:t> </w:t>
            </w:r>
            <w:r w:rsidRPr="00F85A58">
              <w:rPr>
                <w:b/>
                <w:sz w:val="16"/>
                <w:szCs w:val="16"/>
                <w:lang w:val="fr-FR"/>
              </w:rPr>
              <w:t>: port</w:t>
            </w:r>
          </w:p>
        </w:tc>
        <w:tc>
          <w:tcPr>
            <w:tcW w:w="1916" w:type="dxa"/>
            <w:gridSpan w:val="2"/>
            <w:tcBorders>
              <w:top w:val="single" w:sz="4" w:space="0" w:color="auto"/>
              <w:bottom w:val="dotted" w:sz="2" w:space="0" w:color="auto"/>
            </w:tcBorders>
          </w:tcPr>
          <w:p w:rsidR="00EA14BC" w:rsidRPr="00F85A58" w:rsidRDefault="00EA14BC" w:rsidP="007C1FD9">
            <w:pPr>
              <w:keepNext/>
              <w:spacing w:before="80" w:after="80"/>
              <w:jc w:val="left"/>
              <w:rPr>
                <w:lang w:val="fr-FR"/>
              </w:rPr>
            </w:pPr>
            <w:proofErr w:type="spellStart"/>
            <w:r w:rsidRPr="00F85A58">
              <w:rPr>
                <w:b/>
                <w:sz w:val="16"/>
                <w:szCs w:val="16"/>
                <w:lang w:val="fr-FR"/>
              </w:rPr>
              <w:t>Pflanze</w:t>
            </w:r>
            <w:proofErr w:type="spellEnd"/>
            <w:r w:rsidRPr="00F85A58">
              <w:rPr>
                <w:b/>
                <w:sz w:val="16"/>
                <w:szCs w:val="16"/>
                <w:lang w:val="fr-FR"/>
              </w:rPr>
              <w:t xml:space="preserve">: </w:t>
            </w:r>
            <w:proofErr w:type="spellStart"/>
            <w:r w:rsidRPr="00F85A58">
              <w:rPr>
                <w:b/>
                <w:sz w:val="16"/>
                <w:szCs w:val="16"/>
                <w:lang w:val="fr-FR"/>
              </w:rPr>
              <w:t>Wuchsform</w:t>
            </w:r>
            <w:proofErr w:type="spellEnd"/>
          </w:p>
        </w:tc>
        <w:tc>
          <w:tcPr>
            <w:tcW w:w="1923" w:type="dxa"/>
            <w:gridSpan w:val="2"/>
            <w:tcBorders>
              <w:top w:val="single" w:sz="4" w:space="0" w:color="auto"/>
              <w:bottom w:val="dotted" w:sz="2" w:space="0" w:color="auto"/>
            </w:tcBorders>
          </w:tcPr>
          <w:p w:rsidR="00EA14BC" w:rsidRPr="00F85A58" w:rsidRDefault="00EA14BC" w:rsidP="007C1FD9">
            <w:pPr>
              <w:keepNext/>
              <w:spacing w:before="80" w:after="80"/>
              <w:jc w:val="left"/>
              <w:rPr>
                <w:lang w:val="fr-FR"/>
              </w:rPr>
            </w:pPr>
            <w:r w:rsidRPr="00F85A58">
              <w:rPr>
                <w:b/>
                <w:sz w:val="16"/>
                <w:szCs w:val="16"/>
                <w:lang w:val="fr-FR"/>
              </w:rPr>
              <w:t>Planta: porte</w:t>
            </w:r>
          </w:p>
        </w:tc>
        <w:tc>
          <w:tcPr>
            <w:tcW w:w="1810" w:type="dxa"/>
            <w:tcBorders>
              <w:top w:val="single" w:sz="4" w:space="0" w:color="auto"/>
              <w:bottom w:val="dotted" w:sz="2" w:space="0" w:color="auto"/>
            </w:tcBorders>
          </w:tcPr>
          <w:p w:rsidR="00EA14BC" w:rsidRPr="00F85A58" w:rsidRDefault="00EA14BC" w:rsidP="007C1FD9">
            <w:pPr>
              <w:keepNext/>
              <w:spacing w:before="80" w:after="80"/>
              <w:rPr>
                <w:lang w:val="fr-FR"/>
              </w:rPr>
            </w:pPr>
          </w:p>
        </w:tc>
        <w:tc>
          <w:tcPr>
            <w:tcW w:w="567" w:type="dxa"/>
            <w:tcBorders>
              <w:top w:val="single" w:sz="4" w:space="0" w:color="auto"/>
              <w:bottom w:val="dotted" w:sz="2" w:space="0" w:color="auto"/>
            </w:tcBorders>
          </w:tcPr>
          <w:p w:rsidR="00EA14BC" w:rsidRPr="00F85A58" w:rsidRDefault="00EA14BC" w:rsidP="007C1FD9">
            <w:pPr>
              <w:keepNext/>
              <w:spacing w:before="80" w:after="80"/>
              <w:jc w:val="center"/>
              <w:rPr>
                <w:lang w:val="fr-FR"/>
              </w:rPr>
            </w:pPr>
          </w:p>
        </w:tc>
      </w:tr>
      <w:tr w:rsidR="00F85A58" w:rsidRPr="00F85A58" w:rsidTr="007C1FD9">
        <w:trPr>
          <w:cantSplit/>
        </w:trPr>
        <w:tc>
          <w:tcPr>
            <w:tcW w:w="709" w:type="dxa"/>
            <w:gridSpan w:val="2"/>
          </w:tcPr>
          <w:p w:rsidR="00EA14BC" w:rsidRPr="00F85A58" w:rsidRDefault="00EA14BC" w:rsidP="007C1FD9">
            <w:pPr>
              <w:keepNext/>
              <w:spacing w:before="80" w:after="80"/>
              <w:jc w:val="left"/>
              <w:rPr>
                <w:sz w:val="16"/>
                <w:szCs w:val="16"/>
                <w:lang w:val="fr-FR"/>
              </w:rPr>
            </w:pPr>
          </w:p>
        </w:tc>
        <w:tc>
          <w:tcPr>
            <w:tcW w:w="1790" w:type="dxa"/>
            <w:gridSpan w:val="2"/>
            <w:tcBorders>
              <w:top w:val="dotted" w:sz="2" w:space="0" w:color="auto"/>
              <w:bottom w:val="dotted" w:sz="2" w:space="0" w:color="auto"/>
            </w:tcBorders>
          </w:tcPr>
          <w:p w:rsidR="00EA14BC" w:rsidRPr="00F85A58" w:rsidRDefault="00EA14BC" w:rsidP="007C1FD9">
            <w:pPr>
              <w:keepNext/>
              <w:spacing w:before="80" w:after="80"/>
              <w:jc w:val="left"/>
              <w:rPr>
                <w:lang w:val="fr-FR"/>
              </w:rPr>
            </w:pPr>
            <w:proofErr w:type="spellStart"/>
            <w:r w:rsidRPr="00F85A58">
              <w:rPr>
                <w:sz w:val="16"/>
                <w:szCs w:val="16"/>
                <w:lang w:val="fr-FR"/>
              </w:rPr>
              <w:t>upright</w:t>
            </w:r>
            <w:proofErr w:type="spellEnd"/>
          </w:p>
        </w:tc>
        <w:tc>
          <w:tcPr>
            <w:tcW w:w="1917" w:type="dxa"/>
            <w:gridSpan w:val="2"/>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1916" w:type="dxa"/>
            <w:gridSpan w:val="2"/>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1923" w:type="dxa"/>
            <w:gridSpan w:val="2"/>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1810" w:type="dxa"/>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567" w:type="dxa"/>
            <w:tcBorders>
              <w:top w:val="dotted" w:sz="2" w:space="0" w:color="auto"/>
              <w:bottom w:val="dotted" w:sz="2" w:space="0" w:color="auto"/>
            </w:tcBorders>
          </w:tcPr>
          <w:p w:rsidR="00EA14BC" w:rsidRPr="00F85A58" w:rsidRDefault="00EA14BC" w:rsidP="007C1FD9">
            <w:pPr>
              <w:keepNext/>
              <w:spacing w:before="80" w:after="80"/>
              <w:jc w:val="center"/>
              <w:rPr>
                <w:lang w:val="fr-FR"/>
              </w:rPr>
            </w:pPr>
            <w:r w:rsidRPr="00F85A58">
              <w:rPr>
                <w:sz w:val="16"/>
                <w:szCs w:val="16"/>
                <w:lang w:val="fr-FR"/>
              </w:rPr>
              <w:t>1</w:t>
            </w:r>
          </w:p>
        </w:tc>
      </w:tr>
      <w:tr w:rsidR="00F85A58" w:rsidRPr="00F85A58" w:rsidTr="007C1FD9">
        <w:trPr>
          <w:cantSplit/>
        </w:trPr>
        <w:tc>
          <w:tcPr>
            <w:tcW w:w="709" w:type="dxa"/>
            <w:gridSpan w:val="2"/>
            <w:tcBorders>
              <w:bottom w:val="nil"/>
            </w:tcBorders>
          </w:tcPr>
          <w:p w:rsidR="00EA14BC" w:rsidRPr="00F85A58" w:rsidRDefault="00EA14BC" w:rsidP="007C1FD9">
            <w:pPr>
              <w:keepNext/>
              <w:spacing w:before="80" w:after="80"/>
              <w:jc w:val="left"/>
              <w:rPr>
                <w:sz w:val="16"/>
                <w:szCs w:val="16"/>
                <w:lang w:val="fr-FR"/>
              </w:rPr>
            </w:pPr>
          </w:p>
        </w:tc>
        <w:tc>
          <w:tcPr>
            <w:tcW w:w="1790" w:type="dxa"/>
            <w:gridSpan w:val="2"/>
            <w:tcBorders>
              <w:top w:val="dotted" w:sz="2" w:space="0" w:color="auto"/>
              <w:bottom w:val="dotted" w:sz="2" w:space="0" w:color="auto"/>
            </w:tcBorders>
          </w:tcPr>
          <w:p w:rsidR="00EA14BC" w:rsidRPr="00F85A58" w:rsidRDefault="00EA14BC" w:rsidP="007C1FD9">
            <w:pPr>
              <w:keepNext/>
              <w:spacing w:before="80" w:after="80"/>
              <w:jc w:val="left"/>
              <w:rPr>
                <w:lang w:val="fr-FR"/>
              </w:rPr>
            </w:pPr>
            <w:r w:rsidRPr="00F85A58">
              <w:rPr>
                <w:sz w:val="16"/>
                <w:szCs w:val="16"/>
                <w:lang w:val="fr-FR"/>
              </w:rPr>
              <w:t xml:space="preserve">semi </w:t>
            </w:r>
            <w:proofErr w:type="spellStart"/>
            <w:r w:rsidRPr="00F85A58">
              <w:rPr>
                <w:sz w:val="16"/>
                <w:szCs w:val="16"/>
                <w:lang w:val="fr-FR"/>
              </w:rPr>
              <w:t>upright</w:t>
            </w:r>
            <w:proofErr w:type="spellEnd"/>
          </w:p>
        </w:tc>
        <w:tc>
          <w:tcPr>
            <w:tcW w:w="1917" w:type="dxa"/>
            <w:gridSpan w:val="2"/>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1916" w:type="dxa"/>
            <w:gridSpan w:val="2"/>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1923" w:type="dxa"/>
            <w:gridSpan w:val="2"/>
            <w:tcBorders>
              <w:top w:val="dotted" w:sz="2" w:space="0" w:color="auto"/>
              <w:bottom w:val="dotted" w:sz="2" w:space="0" w:color="auto"/>
            </w:tcBorders>
          </w:tcPr>
          <w:p w:rsidR="00EA14BC" w:rsidRPr="00F85A58" w:rsidRDefault="00EA14BC" w:rsidP="007C1FD9">
            <w:pPr>
              <w:keepNext/>
              <w:spacing w:before="80" w:after="80"/>
              <w:rPr>
                <w:lang w:val="fr-FR"/>
              </w:rPr>
            </w:pPr>
          </w:p>
        </w:tc>
        <w:tc>
          <w:tcPr>
            <w:tcW w:w="1810" w:type="dxa"/>
            <w:tcBorders>
              <w:top w:val="dotted" w:sz="2" w:space="0" w:color="auto"/>
              <w:bottom w:val="dotted" w:sz="2" w:space="0" w:color="auto"/>
            </w:tcBorders>
          </w:tcPr>
          <w:p w:rsidR="00EA14BC" w:rsidRPr="00F85A58" w:rsidRDefault="00EA14BC" w:rsidP="007C1FD9">
            <w:pPr>
              <w:keepNext/>
              <w:spacing w:before="80" w:after="80"/>
              <w:jc w:val="left"/>
              <w:rPr>
                <w:lang w:val="fr-FR"/>
              </w:rPr>
            </w:pPr>
            <w:proofErr w:type="spellStart"/>
            <w:r w:rsidRPr="00F85A58">
              <w:rPr>
                <w:sz w:val="16"/>
                <w:szCs w:val="16"/>
                <w:lang w:val="fr-FR"/>
              </w:rPr>
              <w:t>Okayamazairai</w:t>
            </w:r>
            <w:proofErr w:type="spellEnd"/>
          </w:p>
        </w:tc>
        <w:tc>
          <w:tcPr>
            <w:tcW w:w="567" w:type="dxa"/>
            <w:tcBorders>
              <w:top w:val="dotted" w:sz="2" w:space="0" w:color="auto"/>
              <w:bottom w:val="dotted" w:sz="2" w:space="0" w:color="auto"/>
            </w:tcBorders>
          </w:tcPr>
          <w:p w:rsidR="00EA14BC" w:rsidRPr="00F85A58" w:rsidRDefault="00EA14BC" w:rsidP="007C1FD9">
            <w:pPr>
              <w:keepNext/>
              <w:spacing w:before="80" w:after="80"/>
              <w:jc w:val="center"/>
              <w:rPr>
                <w:lang w:val="fr-FR"/>
              </w:rPr>
            </w:pPr>
            <w:r w:rsidRPr="00F85A58">
              <w:rPr>
                <w:sz w:val="16"/>
                <w:szCs w:val="16"/>
                <w:lang w:val="fr-FR"/>
              </w:rPr>
              <w:t>2</w:t>
            </w:r>
          </w:p>
        </w:tc>
      </w:tr>
      <w:tr w:rsidR="00F85A58" w:rsidRPr="00F85A58" w:rsidTr="007C1FD9">
        <w:trPr>
          <w:cantSplit/>
        </w:trPr>
        <w:tc>
          <w:tcPr>
            <w:tcW w:w="709" w:type="dxa"/>
            <w:gridSpan w:val="2"/>
            <w:tcBorders>
              <w:bottom w:val="single" w:sz="4" w:space="0" w:color="auto"/>
            </w:tcBorders>
          </w:tcPr>
          <w:p w:rsidR="00EA14BC" w:rsidRPr="00F85A58" w:rsidRDefault="00EA14BC" w:rsidP="007C1FD9">
            <w:pPr>
              <w:keepNext/>
              <w:spacing w:before="80" w:after="80"/>
              <w:jc w:val="left"/>
              <w:rPr>
                <w:sz w:val="16"/>
                <w:szCs w:val="16"/>
                <w:lang w:val="fr-FR"/>
              </w:rPr>
            </w:pPr>
          </w:p>
        </w:tc>
        <w:tc>
          <w:tcPr>
            <w:tcW w:w="1790" w:type="dxa"/>
            <w:gridSpan w:val="2"/>
            <w:tcBorders>
              <w:top w:val="dotted" w:sz="2" w:space="0" w:color="auto"/>
              <w:bottom w:val="single" w:sz="4" w:space="0" w:color="auto"/>
            </w:tcBorders>
          </w:tcPr>
          <w:p w:rsidR="00EA14BC" w:rsidRPr="00F85A58" w:rsidRDefault="00EA14BC" w:rsidP="007C1FD9">
            <w:pPr>
              <w:keepNext/>
              <w:spacing w:before="80" w:after="80"/>
              <w:jc w:val="left"/>
              <w:rPr>
                <w:lang w:val="fr-FR"/>
              </w:rPr>
            </w:pPr>
            <w:proofErr w:type="spellStart"/>
            <w:r w:rsidRPr="00F85A58">
              <w:rPr>
                <w:sz w:val="16"/>
                <w:szCs w:val="16"/>
                <w:lang w:val="fr-FR"/>
              </w:rPr>
              <w:t>spreading</w:t>
            </w:r>
            <w:proofErr w:type="spellEnd"/>
          </w:p>
        </w:tc>
        <w:tc>
          <w:tcPr>
            <w:tcW w:w="1917" w:type="dxa"/>
            <w:gridSpan w:val="2"/>
            <w:tcBorders>
              <w:top w:val="dotted" w:sz="2" w:space="0" w:color="auto"/>
              <w:bottom w:val="single" w:sz="4" w:space="0" w:color="auto"/>
            </w:tcBorders>
          </w:tcPr>
          <w:p w:rsidR="00EA14BC" w:rsidRPr="00F85A58" w:rsidRDefault="00EA14BC" w:rsidP="007C1FD9">
            <w:pPr>
              <w:keepNext/>
              <w:spacing w:before="80" w:after="80"/>
              <w:rPr>
                <w:lang w:val="fr-FR"/>
              </w:rPr>
            </w:pPr>
          </w:p>
        </w:tc>
        <w:tc>
          <w:tcPr>
            <w:tcW w:w="1916" w:type="dxa"/>
            <w:gridSpan w:val="2"/>
            <w:tcBorders>
              <w:top w:val="dotted" w:sz="2" w:space="0" w:color="auto"/>
              <w:bottom w:val="single" w:sz="4" w:space="0" w:color="auto"/>
            </w:tcBorders>
          </w:tcPr>
          <w:p w:rsidR="00EA14BC" w:rsidRPr="00F85A58" w:rsidRDefault="00EA14BC" w:rsidP="007C1FD9">
            <w:pPr>
              <w:keepNext/>
              <w:spacing w:before="80" w:after="80"/>
              <w:rPr>
                <w:lang w:val="fr-FR"/>
              </w:rPr>
            </w:pPr>
          </w:p>
        </w:tc>
        <w:tc>
          <w:tcPr>
            <w:tcW w:w="1923" w:type="dxa"/>
            <w:gridSpan w:val="2"/>
            <w:tcBorders>
              <w:top w:val="dotted" w:sz="2" w:space="0" w:color="auto"/>
              <w:bottom w:val="single" w:sz="4" w:space="0" w:color="auto"/>
            </w:tcBorders>
          </w:tcPr>
          <w:p w:rsidR="00EA14BC" w:rsidRPr="00F85A58" w:rsidRDefault="00EA14BC" w:rsidP="007C1FD9">
            <w:pPr>
              <w:keepNext/>
              <w:spacing w:before="80" w:after="80"/>
              <w:rPr>
                <w:lang w:val="fr-FR"/>
              </w:rPr>
            </w:pPr>
          </w:p>
        </w:tc>
        <w:tc>
          <w:tcPr>
            <w:tcW w:w="1810" w:type="dxa"/>
            <w:tcBorders>
              <w:top w:val="dotted" w:sz="2" w:space="0" w:color="auto"/>
              <w:bottom w:val="single" w:sz="4" w:space="0" w:color="auto"/>
            </w:tcBorders>
          </w:tcPr>
          <w:p w:rsidR="00EA14BC" w:rsidRPr="00F85A58" w:rsidRDefault="00EA14BC" w:rsidP="007C1FD9">
            <w:pPr>
              <w:keepNext/>
              <w:spacing w:before="80" w:after="80"/>
              <w:rPr>
                <w:lang w:val="fr-FR"/>
              </w:rPr>
            </w:pPr>
          </w:p>
        </w:tc>
        <w:tc>
          <w:tcPr>
            <w:tcW w:w="567" w:type="dxa"/>
            <w:tcBorders>
              <w:top w:val="dotted" w:sz="2" w:space="0" w:color="auto"/>
              <w:bottom w:val="single" w:sz="4" w:space="0" w:color="auto"/>
            </w:tcBorders>
          </w:tcPr>
          <w:p w:rsidR="00EA14BC" w:rsidRPr="00F85A58" w:rsidRDefault="00EA14BC" w:rsidP="007C1FD9">
            <w:pPr>
              <w:keepNext/>
              <w:spacing w:before="80" w:after="80"/>
              <w:jc w:val="center"/>
              <w:rPr>
                <w:lang w:val="fr-FR"/>
              </w:rPr>
            </w:pPr>
            <w:r w:rsidRPr="00F85A58">
              <w:rPr>
                <w:sz w:val="16"/>
                <w:szCs w:val="16"/>
                <w:lang w:val="fr-FR"/>
              </w:rPr>
              <w:t>3</w:t>
            </w:r>
          </w:p>
        </w:tc>
      </w:tr>
    </w:tbl>
    <w:p w:rsidR="00BA14DE" w:rsidRPr="00F85A58" w:rsidRDefault="00BA14DE" w:rsidP="001C0436">
      <w:pPr>
        <w:rPr>
          <w:lang w:val="fr-FR"/>
        </w:rPr>
      </w:pPr>
    </w:p>
    <w:p w:rsidR="00BA14DE" w:rsidRPr="00F85A58" w:rsidRDefault="00BA14DE" w:rsidP="001C0436">
      <w:pPr>
        <w:rPr>
          <w:lang w:val="fr-FR"/>
        </w:rPr>
      </w:pPr>
    </w:p>
    <w:p w:rsidR="00BA14DE"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AE47B3" w:rsidRPr="00F85A58">
        <w:rPr>
          <w:lang w:val="fr-FR"/>
        </w:rPr>
        <w:t>Le</w:t>
      </w:r>
      <w:r w:rsidR="005752E4" w:rsidRPr="00F85A58">
        <w:rPr>
          <w:lang w:val="fr-FR"/>
        </w:rPr>
        <w:t> TC</w:t>
      </w:r>
      <w:r w:rsidRPr="00F85A58">
        <w:rPr>
          <w:lang w:val="fr-FR"/>
        </w:rPr>
        <w:t xml:space="preserve"> </w:t>
      </w:r>
      <w:r w:rsidR="00AE47B3" w:rsidRPr="00F85A58">
        <w:rPr>
          <w:lang w:val="fr-FR"/>
        </w:rPr>
        <w:t>convient que la méthode d</w:t>
      </w:r>
      <w:r w:rsidR="005752E4" w:rsidRPr="00F85A58">
        <w:rPr>
          <w:lang w:val="fr-FR"/>
        </w:rPr>
        <w:t>’</w:t>
      </w:r>
      <w:r w:rsidR="00AE47B3" w:rsidRPr="00F85A58">
        <w:rPr>
          <w:lang w:val="fr-FR"/>
        </w:rPr>
        <w:t>observation l</w:t>
      </w:r>
      <w:r w:rsidR="00626C6A" w:rsidRPr="00F85A58">
        <w:rPr>
          <w:lang w:val="fr-FR"/>
        </w:rPr>
        <w:t>a</w:t>
      </w:r>
      <w:r w:rsidR="00AE47B3" w:rsidRPr="00F85A58">
        <w:rPr>
          <w:lang w:val="fr-FR"/>
        </w:rPr>
        <w:t xml:space="preserve"> plus couramment utilisée pour un caractère dans le tableau des caractères devrait figurer en premier dans le champ intitulé </w:t>
      </w:r>
      <w:r w:rsidR="00B33812" w:rsidRPr="00F85A58">
        <w:rPr>
          <w:lang w:val="fr-FR"/>
        </w:rPr>
        <w:t>“m</w:t>
      </w:r>
      <w:r w:rsidR="00AE47B3" w:rsidRPr="00F85A58">
        <w:rPr>
          <w:lang w:val="fr-FR"/>
        </w:rPr>
        <w:t>é</w:t>
      </w:r>
      <w:r w:rsidR="00B33812" w:rsidRPr="00F85A58">
        <w:rPr>
          <w:lang w:val="fr-FR"/>
        </w:rPr>
        <w:t>thod</w:t>
      </w:r>
      <w:r w:rsidR="00AE47B3" w:rsidRPr="00F85A58">
        <w:rPr>
          <w:lang w:val="fr-FR"/>
        </w:rPr>
        <w:t>e</w:t>
      </w:r>
      <w:r w:rsidR="00B33812" w:rsidRPr="00F85A58">
        <w:rPr>
          <w:lang w:val="fr-FR"/>
        </w:rPr>
        <w:t xml:space="preserve"> </w:t>
      </w:r>
      <w:r w:rsidR="00AE47B3" w:rsidRPr="00F85A58">
        <w:rPr>
          <w:lang w:val="fr-FR"/>
        </w:rPr>
        <w:t>d</w:t>
      </w:r>
      <w:r w:rsidR="005752E4" w:rsidRPr="00F85A58">
        <w:rPr>
          <w:lang w:val="fr-FR"/>
        </w:rPr>
        <w:t>’</w:t>
      </w:r>
      <w:r w:rsidR="00B33812" w:rsidRPr="00F85A58">
        <w:rPr>
          <w:lang w:val="fr-FR"/>
        </w:rPr>
        <w:t>observation”</w:t>
      </w:r>
      <w:r w:rsidRPr="00F85A58">
        <w:rPr>
          <w:lang w:val="fr-FR"/>
        </w:rPr>
        <w:t>.</w:t>
      </w:r>
    </w:p>
    <w:p w:rsidR="00BA14DE" w:rsidRPr="00F85A58" w:rsidRDefault="00BA14DE" w:rsidP="001C0436">
      <w:pPr>
        <w:rPr>
          <w:lang w:val="fr-FR"/>
        </w:rPr>
      </w:pPr>
    </w:p>
    <w:p w:rsidR="005752E4"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AE2CAA" w:rsidRPr="00F85A58">
        <w:rPr>
          <w:lang w:val="fr-FR"/>
        </w:rPr>
        <w:t>Le</w:t>
      </w:r>
      <w:r w:rsidR="005752E4" w:rsidRPr="00F85A58">
        <w:rPr>
          <w:lang w:val="fr-FR"/>
        </w:rPr>
        <w:t> TC</w:t>
      </w:r>
      <w:r w:rsidRPr="00F85A58">
        <w:rPr>
          <w:lang w:val="fr-FR"/>
        </w:rPr>
        <w:t xml:space="preserve"> note </w:t>
      </w:r>
      <w:r w:rsidR="00AE2CAA" w:rsidRPr="00F85A58">
        <w:rPr>
          <w:lang w:val="fr-FR"/>
        </w:rPr>
        <w:t xml:space="preserve">que la </w:t>
      </w:r>
      <w:r w:rsidR="00D3092D" w:rsidRPr="00F85A58">
        <w:rPr>
          <w:lang w:val="fr-FR"/>
        </w:rPr>
        <w:t>mise au point finale de la version n°</w:t>
      </w:r>
      <w:r w:rsidR="00342006" w:rsidRPr="00F85A58">
        <w:rPr>
          <w:lang w:val="fr-FR"/>
        </w:rPr>
        <w:t> </w:t>
      </w:r>
      <w:r w:rsidR="00D3092D" w:rsidRPr="00F85A58">
        <w:rPr>
          <w:lang w:val="fr-FR"/>
        </w:rPr>
        <w:t>1 du modèle de principes directeurs d</w:t>
      </w:r>
      <w:r w:rsidR="005752E4" w:rsidRPr="00F85A58">
        <w:rPr>
          <w:lang w:val="fr-FR"/>
        </w:rPr>
        <w:t>’</w:t>
      </w:r>
      <w:r w:rsidR="00D3092D" w:rsidRPr="00F85A58">
        <w:rPr>
          <w:lang w:val="fr-FR"/>
        </w:rPr>
        <w:t>examen fondé sur le Web avait abouti avant le début du processus de rédaction des projets de principes directeu</w:t>
      </w:r>
      <w:r w:rsidR="00804C26" w:rsidRPr="00F85A58">
        <w:rPr>
          <w:lang w:val="fr-FR"/>
        </w:rPr>
        <w:t>r</w:t>
      </w:r>
      <w:r w:rsidR="00D3092D" w:rsidRPr="00F85A58">
        <w:rPr>
          <w:lang w:val="fr-FR"/>
        </w:rPr>
        <w:t>s d</w:t>
      </w:r>
      <w:r w:rsidR="005752E4" w:rsidRPr="00F85A58">
        <w:rPr>
          <w:lang w:val="fr-FR"/>
        </w:rPr>
        <w:t>’</w:t>
      </w:r>
      <w:r w:rsidR="00D3092D" w:rsidRPr="00F85A58">
        <w:rPr>
          <w:lang w:val="fr-FR"/>
        </w:rPr>
        <w:t>examen pour</w:t>
      </w:r>
      <w:r w:rsidR="005752E4" w:rsidRPr="00F85A58">
        <w:rPr>
          <w:lang w:val="fr-FR"/>
        </w:rPr>
        <w:t xml:space="preserve"> les TWP</w:t>
      </w:r>
      <w:r w:rsidR="00B33812" w:rsidRPr="00F85A58">
        <w:rPr>
          <w:lang w:val="fr-FR"/>
        </w:rPr>
        <w:t xml:space="preserve"> </w:t>
      </w:r>
      <w:r w:rsidR="00D3092D" w:rsidRPr="00F85A58">
        <w:rPr>
          <w:lang w:val="fr-FR"/>
        </w:rPr>
        <w:t>e</w:t>
      </w:r>
      <w:r w:rsidR="00B33812" w:rsidRPr="00F85A58">
        <w:rPr>
          <w:lang w:val="fr-FR"/>
        </w:rPr>
        <w:t>n</w:t>
      </w:r>
      <w:r w:rsidR="00342006" w:rsidRPr="00F85A58">
        <w:rPr>
          <w:lang w:val="fr-FR"/>
        </w:rPr>
        <w:t> </w:t>
      </w:r>
      <w:r w:rsidR="00B33812" w:rsidRPr="00F85A58">
        <w:rPr>
          <w:lang w:val="fr-FR"/>
        </w:rPr>
        <w:t xml:space="preserve">2016, </w:t>
      </w:r>
      <w:r w:rsidR="005752E4" w:rsidRPr="00F85A58">
        <w:rPr>
          <w:lang w:val="fr-FR"/>
        </w:rPr>
        <w:t>y compris</w:t>
      </w:r>
      <w:r w:rsidR="00D3092D" w:rsidRPr="00F85A58">
        <w:rPr>
          <w:lang w:val="fr-FR"/>
        </w:rPr>
        <w:t xml:space="preserve"> la résolution des questions figurant au paragraphe</w:t>
      </w:r>
      <w:r w:rsidR="00342006" w:rsidRPr="00F85A58">
        <w:rPr>
          <w:lang w:val="fr-FR"/>
        </w:rPr>
        <w:t> </w:t>
      </w:r>
      <w:r w:rsidR="00D3092D" w:rsidRPr="00F85A58">
        <w:rPr>
          <w:lang w:val="fr-FR"/>
        </w:rPr>
        <w:t xml:space="preserve">28 du </w:t>
      </w:r>
      <w:r w:rsidR="005752E4" w:rsidRPr="00F85A58">
        <w:rPr>
          <w:lang w:val="fr-FR"/>
        </w:rPr>
        <w:t>document TC</w:t>
      </w:r>
      <w:r w:rsidR="00B33812" w:rsidRPr="00F85A58">
        <w:rPr>
          <w:lang w:val="fr-FR"/>
        </w:rPr>
        <w:t xml:space="preserve">/52/28.  </w:t>
      </w:r>
      <w:r w:rsidR="00866006" w:rsidRPr="00F85A58">
        <w:rPr>
          <w:lang w:val="fr-FR"/>
        </w:rPr>
        <w:t>Le</w:t>
      </w:r>
      <w:r w:rsidR="005752E4" w:rsidRPr="00F85A58">
        <w:rPr>
          <w:lang w:val="fr-FR"/>
        </w:rPr>
        <w:t> TC</w:t>
      </w:r>
      <w:r w:rsidR="00B33812" w:rsidRPr="00F85A58">
        <w:rPr>
          <w:lang w:val="fr-FR"/>
        </w:rPr>
        <w:t xml:space="preserve"> </w:t>
      </w:r>
      <w:r w:rsidR="00866006" w:rsidRPr="00F85A58">
        <w:rPr>
          <w:lang w:val="fr-FR"/>
        </w:rPr>
        <w:t>note également que l</w:t>
      </w:r>
      <w:r w:rsidR="005752E4" w:rsidRPr="00F85A58">
        <w:rPr>
          <w:lang w:val="fr-FR"/>
        </w:rPr>
        <w:t>’</w:t>
      </w:r>
      <w:r w:rsidR="00866006" w:rsidRPr="00F85A58">
        <w:rPr>
          <w:lang w:val="fr-FR"/>
        </w:rPr>
        <w:t>élaboration de la version n°</w:t>
      </w:r>
      <w:r w:rsidR="00342006" w:rsidRPr="00F85A58">
        <w:rPr>
          <w:lang w:val="fr-FR"/>
        </w:rPr>
        <w:t> </w:t>
      </w:r>
      <w:r w:rsidR="00866006" w:rsidRPr="00F85A58">
        <w:rPr>
          <w:lang w:val="fr-FR"/>
        </w:rPr>
        <w:t>2 du modèle de principes directeurs d</w:t>
      </w:r>
      <w:r w:rsidR="005752E4" w:rsidRPr="00F85A58">
        <w:rPr>
          <w:lang w:val="fr-FR"/>
        </w:rPr>
        <w:t>’</w:t>
      </w:r>
      <w:r w:rsidR="00866006" w:rsidRPr="00F85A58">
        <w:rPr>
          <w:lang w:val="fr-FR"/>
        </w:rPr>
        <w:t>examen fondé sur le Web</w:t>
      </w:r>
      <w:r w:rsidR="00B33812" w:rsidRPr="00F85A58">
        <w:rPr>
          <w:lang w:val="fr-FR"/>
        </w:rPr>
        <w:t xml:space="preserve"> </w:t>
      </w:r>
      <w:r w:rsidR="00866006" w:rsidRPr="00F85A58">
        <w:rPr>
          <w:lang w:val="fr-FR"/>
        </w:rPr>
        <w:t xml:space="preserve">ne devrait pas commencer avant </w:t>
      </w:r>
      <w:r w:rsidR="00B10D5F" w:rsidRPr="00F85A58">
        <w:rPr>
          <w:lang w:val="fr-FR"/>
        </w:rPr>
        <w:t xml:space="preserve">2018, </w:t>
      </w:r>
      <w:r w:rsidR="00866006" w:rsidRPr="00F85A58">
        <w:rPr>
          <w:lang w:val="fr-FR"/>
        </w:rPr>
        <w:t>sous réserve de ressources disponibles</w:t>
      </w:r>
      <w:r w:rsidR="00B10D5F" w:rsidRPr="00F85A58">
        <w:rPr>
          <w:lang w:val="fr-FR"/>
        </w:rPr>
        <w:t xml:space="preserve">, </w:t>
      </w:r>
      <w:r w:rsidR="00350A49" w:rsidRPr="00F85A58">
        <w:rPr>
          <w:lang w:val="fr-FR"/>
        </w:rPr>
        <w:t>après que la version n°</w:t>
      </w:r>
      <w:r w:rsidR="00342006" w:rsidRPr="00F85A58">
        <w:rPr>
          <w:lang w:val="fr-FR"/>
        </w:rPr>
        <w:t> </w:t>
      </w:r>
      <w:r w:rsidR="00350A49" w:rsidRPr="00F85A58">
        <w:rPr>
          <w:lang w:val="fr-FR"/>
        </w:rPr>
        <w:t>1 ait été entièrement stabilisée et testée</w:t>
      </w:r>
      <w:r w:rsidR="00B33812" w:rsidRPr="00F85A58">
        <w:rPr>
          <w:lang w:val="fr-FR"/>
        </w:rPr>
        <w:t>.</w:t>
      </w:r>
    </w:p>
    <w:p w:rsidR="00BA14DE" w:rsidRPr="00F85A58" w:rsidRDefault="00BA14DE" w:rsidP="001C0436">
      <w:pPr>
        <w:rPr>
          <w:lang w:val="fr-FR"/>
        </w:rPr>
      </w:pPr>
    </w:p>
    <w:p w:rsidR="00BA14DE"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E90B4D" w:rsidRPr="00F85A58">
        <w:rPr>
          <w:lang w:val="fr-FR"/>
        </w:rPr>
        <w:t>Le</w:t>
      </w:r>
      <w:r w:rsidR="005752E4" w:rsidRPr="00F85A58">
        <w:rPr>
          <w:lang w:val="fr-FR"/>
        </w:rPr>
        <w:t> TC</w:t>
      </w:r>
      <w:r w:rsidRPr="00F85A58">
        <w:rPr>
          <w:lang w:val="fr-FR"/>
        </w:rPr>
        <w:t xml:space="preserve"> </w:t>
      </w:r>
      <w:r w:rsidR="00E90B4D" w:rsidRPr="00F85A58">
        <w:rPr>
          <w:lang w:val="fr-FR"/>
        </w:rPr>
        <w:t>note que tous les principes directeurs d</w:t>
      </w:r>
      <w:r w:rsidR="005752E4" w:rsidRPr="00F85A58">
        <w:rPr>
          <w:lang w:val="fr-FR"/>
        </w:rPr>
        <w:t>’</w:t>
      </w:r>
      <w:r w:rsidR="00E90B4D" w:rsidRPr="00F85A58">
        <w:rPr>
          <w:lang w:val="fr-FR"/>
        </w:rPr>
        <w:t xml:space="preserve">examen seraient </w:t>
      </w:r>
      <w:r w:rsidR="00626C6A" w:rsidRPr="00F85A58">
        <w:rPr>
          <w:lang w:val="fr-FR"/>
        </w:rPr>
        <w:t>générés</w:t>
      </w:r>
      <w:r w:rsidR="00E90B4D" w:rsidRPr="00F85A58">
        <w:rPr>
          <w:lang w:val="fr-FR"/>
        </w:rPr>
        <w:t xml:space="preserve"> automatiquement par le modèle de principes directeurs d</w:t>
      </w:r>
      <w:r w:rsidR="005752E4" w:rsidRPr="00F85A58">
        <w:rPr>
          <w:lang w:val="fr-FR"/>
        </w:rPr>
        <w:t>’</w:t>
      </w:r>
      <w:r w:rsidR="00E90B4D" w:rsidRPr="00F85A58">
        <w:rPr>
          <w:lang w:val="fr-FR"/>
        </w:rPr>
        <w:t>examen fondé sur le Web à partir de</w:t>
      </w:r>
      <w:r w:rsidR="00342006" w:rsidRPr="00F85A58">
        <w:rPr>
          <w:lang w:val="fr-FR"/>
        </w:rPr>
        <w:t> </w:t>
      </w:r>
      <w:r w:rsidRPr="00F85A58">
        <w:rPr>
          <w:lang w:val="fr-FR"/>
        </w:rPr>
        <w:t>2016.</w:t>
      </w:r>
    </w:p>
    <w:p w:rsidR="00BA14DE" w:rsidRPr="00F85A58" w:rsidRDefault="00BA14DE" w:rsidP="001C0436">
      <w:pPr>
        <w:rPr>
          <w:lang w:val="fr-FR"/>
        </w:rPr>
      </w:pPr>
    </w:p>
    <w:p w:rsidR="005752E4" w:rsidRPr="00F85A58" w:rsidRDefault="001C0436" w:rsidP="001C043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A42476" w:rsidRPr="00F85A58">
        <w:rPr>
          <w:lang w:val="fr-FR"/>
        </w:rPr>
        <w:t>Le</w:t>
      </w:r>
      <w:r w:rsidR="005752E4" w:rsidRPr="00F85A58">
        <w:rPr>
          <w:lang w:val="fr-FR"/>
        </w:rPr>
        <w:t> TC</w:t>
      </w:r>
      <w:r w:rsidRPr="00F85A58">
        <w:rPr>
          <w:lang w:val="fr-FR"/>
        </w:rPr>
        <w:t xml:space="preserve"> </w:t>
      </w:r>
      <w:r w:rsidR="00A42476" w:rsidRPr="00F85A58">
        <w:rPr>
          <w:lang w:val="fr-FR"/>
        </w:rPr>
        <w:t xml:space="preserve">convient de réviser le </w:t>
      </w:r>
      <w:r w:rsidRPr="00F85A58">
        <w:rPr>
          <w:lang w:val="fr-FR"/>
        </w:rPr>
        <w:t xml:space="preserve">document TGP/7 </w:t>
      </w:r>
      <w:r w:rsidR="00A42476" w:rsidRPr="00F85A58">
        <w:rPr>
          <w:lang w:val="fr-FR"/>
        </w:rPr>
        <w:t>afin de tenir compte de l</w:t>
      </w:r>
      <w:r w:rsidR="005752E4" w:rsidRPr="00F85A58">
        <w:rPr>
          <w:lang w:val="fr-FR"/>
        </w:rPr>
        <w:t>’</w:t>
      </w:r>
      <w:r w:rsidR="00A42476" w:rsidRPr="00F85A58">
        <w:rPr>
          <w:lang w:val="fr-FR"/>
        </w:rPr>
        <w:t>introduction du modèle de principes directeurs d</w:t>
      </w:r>
      <w:r w:rsidR="005752E4" w:rsidRPr="00F85A58">
        <w:rPr>
          <w:lang w:val="fr-FR"/>
        </w:rPr>
        <w:t>’</w:t>
      </w:r>
      <w:r w:rsidR="00A42476" w:rsidRPr="00F85A58">
        <w:rPr>
          <w:lang w:val="fr-FR"/>
        </w:rPr>
        <w:t>examen fondé sur le Web après que la version n°</w:t>
      </w:r>
      <w:r w:rsidR="00342006" w:rsidRPr="00F85A58">
        <w:rPr>
          <w:lang w:val="fr-FR"/>
        </w:rPr>
        <w:t> </w:t>
      </w:r>
      <w:r w:rsidR="00A42476" w:rsidRPr="00F85A58">
        <w:rPr>
          <w:lang w:val="fr-FR"/>
        </w:rPr>
        <w:t>1 a été entièrement stabilisée et testée</w:t>
      </w:r>
      <w:r w:rsidRPr="00F85A58">
        <w:rPr>
          <w:lang w:val="fr-FR"/>
        </w:rPr>
        <w:t>.</w:t>
      </w:r>
    </w:p>
    <w:p w:rsidR="00BA14DE" w:rsidRPr="00F85A58" w:rsidRDefault="00BA14DE" w:rsidP="001C0436">
      <w:pPr>
        <w:rPr>
          <w:lang w:val="fr-FR"/>
        </w:rPr>
      </w:pPr>
    </w:p>
    <w:p w:rsidR="00BA14DE" w:rsidRPr="00F85A58" w:rsidRDefault="00993D76" w:rsidP="003A03CA">
      <w:pPr>
        <w:pStyle w:val="Heading4"/>
        <w:ind w:left="1418" w:hanging="851"/>
        <w:rPr>
          <w:snapToGrid/>
        </w:rPr>
      </w:pPr>
      <w:r w:rsidRPr="00F85A58">
        <w:rPr>
          <w:snapToGrid/>
        </w:rPr>
        <w:t>TGP/8</w:t>
      </w:r>
      <w:r w:rsidR="003A03CA" w:rsidRPr="00F85A58">
        <w:rPr>
          <w:snapToGrid/>
        </w:rPr>
        <w:t> </w:t>
      </w:r>
      <w:r w:rsidRPr="00F85A58">
        <w:t>:</w:t>
      </w:r>
      <w:r w:rsidRPr="00F85A58">
        <w:rPr>
          <w:snapToGrid/>
        </w:rPr>
        <w:t xml:space="preserve"> </w:t>
      </w:r>
      <w:r w:rsidR="003A03CA" w:rsidRPr="00F85A58">
        <w:rPr>
          <w:snapToGrid/>
        </w:rPr>
        <w:tab/>
      </w:r>
      <w:r w:rsidRPr="00F85A58">
        <w:rPr>
          <w:snapToGrid/>
        </w:rPr>
        <w:t>Protocole d</w:t>
      </w:r>
      <w:r w:rsidR="005752E4" w:rsidRPr="00F85A58">
        <w:rPr>
          <w:snapToGrid/>
        </w:rPr>
        <w:t>’</w:t>
      </w:r>
      <w:r w:rsidRPr="00F85A58">
        <w:rPr>
          <w:snapToGrid/>
        </w:rPr>
        <w:t>essai et techniques utilisées dans l</w:t>
      </w:r>
      <w:r w:rsidR="005752E4" w:rsidRPr="00F85A58">
        <w:rPr>
          <w:snapToGrid/>
        </w:rPr>
        <w:t>’</w:t>
      </w:r>
      <w:r w:rsidRPr="00F85A58">
        <w:rPr>
          <w:snapToGrid/>
        </w:rPr>
        <w:t>examen de la d</w:t>
      </w:r>
      <w:r w:rsidR="003A03CA" w:rsidRPr="00F85A58">
        <w:rPr>
          <w:snapToGrid/>
        </w:rPr>
        <w:t>istinction, de l</w:t>
      </w:r>
      <w:r w:rsidR="005752E4" w:rsidRPr="00F85A58">
        <w:rPr>
          <w:snapToGrid/>
        </w:rPr>
        <w:t>’</w:t>
      </w:r>
      <w:r w:rsidR="003A03CA" w:rsidRPr="00F85A58">
        <w:rPr>
          <w:snapToGrid/>
        </w:rPr>
        <w:t>homogénéité et </w:t>
      </w:r>
      <w:r w:rsidRPr="00F85A58">
        <w:rPr>
          <w:snapToGrid/>
        </w:rPr>
        <w:t>de la stabilité</w:t>
      </w:r>
    </w:p>
    <w:p w:rsidR="00BA14DE" w:rsidRPr="00F85A58" w:rsidRDefault="00BA14DE" w:rsidP="00CE0A26">
      <w:pPr>
        <w:keepNext/>
        <w:rPr>
          <w:lang w:val="fr-FR"/>
        </w:rPr>
      </w:pPr>
    </w:p>
    <w:p w:rsidR="00BA14DE" w:rsidRPr="00F85A58" w:rsidRDefault="00993D76" w:rsidP="00993D76">
      <w:pPr>
        <w:pStyle w:val="Heading5"/>
        <w:rPr>
          <w:lang w:val="fr-FR"/>
        </w:rPr>
      </w:pPr>
      <w:r w:rsidRPr="00F85A58">
        <w:rPr>
          <w:lang w:val="fr-FR"/>
        </w:rPr>
        <w:t>ii)</w:t>
      </w:r>
      <w:r w:rsidRPr="00F85A58">
        <w:rPr>
          <w:lang w:val="fr-FR"/>
        </w:rPr>
        <w:tab/>
        <w:t>Analyse globale de l</w:t>
      </w:r>
      <w:r w:rsidR="005752E4" w:rsidRPr="00F85A58">
        <w:rPr>
          <w:lang w:val="fr-FR"/>
        </w:rPr>
        <w:t>’</w:t>
      </w:r>
      <w:r w:rsidRPr="00F85A58">
        <w:rPr>
          <w:lang w:val="fr-FR"/>
        </w:rPr>
        <w:t>homogénéité sur plusieurs années (COYU)</w:t>
      </w:r>
    </w:p>
    <w:p w:rsidR="00BA14DE" w:rsidRPr="00F85A58" w:rsidRDefault="00BA14DE" w:rsidP="003D3E08">
      <w:pPr>
        <w:keepNext/>
        <w:rPr>
          <w:snapToGrid w:val="0"/>
          <w:lang w:val="fr-FR"/>
        </w:rPr>
      </w:pPr>
      <w:bookmarkStart w:id="5" w:name="_Toc374385117"/>
      <w:bookmarkStart w:id="6" w:name="_Toc374631054"/>
      <w:bookmarkStart w:id="7" w:name="_Toc374632526"/>
      <w:bookmarkStart w:id="8" w:name="_Toc374635726"/>
      <w:bookmarkStart w:id="9" w:name="_Toc378251525"/>
      <w:bookmarkStart w:id="10" w:name="_Toc381279986"/>
    </w:p>
    <w:p w:rsidR="00BA14DE" w:rsidRPr="00F85A58" w:rsidRDefault="0080652F" w:rsidP="00080F66">
      <w:pPr>
        <w:rPr>
          <w:rFonts w:cs="Arial"/>
          <w:sz w:val="19"/>
          <w:szCs w:val="19"/>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4A5603" w:rsidRPr="00F85A58">
        <w:rPr>
          <w:lang w:val="fr-FR"/>
        </w:rPr>
        <w:t>Le</w:t>
      </w:r>
      <w:r w:rsidR="005752E4" w:rsidRPr="00F85A58">
        <w:rPr>
          <w:lang w:val="fr-FR"/>
        </w:rPr>
        <w:t> TC</w:t>
      </w:r>
      <w:r w:rsidRPr="00F85A58">
        <w:rPr>
          <w:lang w:val="fr-FR"/>
        </w:rPr>
        <w:t xml:space="preserve"> </w:t>
      </w:r>
      <w:r w:rsidR="004A5603" w:rsidRPr="00F85A58">
        <w:rPr>
          <w:lang w:val="fr-FR"/>
        </w:rPr>
        <w:t xml:space="preserve">examine le </w:t>
      </w:r>
      <w:r w:rsidR="005752E4" w:rsidRPr="00F85A58">
        <w:rPr>
          <w:lang w:val="fr-FR"/>
        </w:rPr>
        <w:t>document TC</w:t>
      </w:r>
      <w:r w:rsidRPr="00F85A58">
        <w:rPr>
          <w:lang w:val="fr-FR"/>
        </w:rPr>
        <w:t>/52/</w:t>
      </w:r>
      <w:r w:rsidR="00B33812" w:rsidRPr="00F85A58">
        <w:rPr>
          <w:lang w:val="fr-FR"/>
        </w:rPr>
        <w:t xml:space="preserve">17 </w:t>
      </w:r>
      <w:r w:rsidR="004A5603" w:rsidRPr="00F85A58">
        <w:rPr>
          <w:lang w:val="fr-FR"/>
        </w:rPr>
        <w:t xml:space="preserve">et suit un exposé présenté par un </w:t>
      </w:r>
      <w:r w:rsidR="00B33812" w:rsidRPr="00F85A58">
        <w:rPr>
          <w:lang w:val="fr-FR"/>
        </w:rPr>
        <w:t xml:space="preserve">expert </w:t>
      </w:r>
      <w:r w:rsidR="004A5603" w:rsidRPr="00F85A58">
        <w:rPr>
          <w:lang w:val="fr-FR"/>
        </w:rPr>
        <w:t>du Roy</w:t>
      </w:r>
      <w:r w:rsidR="00626C6A" w:rsidRPr="00F85A58">
        <w:rPr>
          <w:lang w:val="fr-FR"/>
        </w:rPr>
        <w:t>au</w:t>
      </w:r>
      <w:r w:rsidR="004A5603" w:rsidRPr="00F85A58">
        <w:rPr>
          <w:lang w:val="fr-FR"/>
        </w:rPr>
        <w:t>me</w:t>
      </w:r>
      <w:r w:rsidR="00F85A58" w:rsidRPr="00F85A58">
        <w:rPr>
          <w:lang w:val="fr-FR"/>
        </w:rPr>
        <w:noBreakHyphen/>
      </w:r>
      <w:r w:rsidR="004A5603" w:rsidRPr="00F85A58">
        <w:rPr>
          <w:lang w:val="fr-FR"/>
        </w:rPr>
        <w:t xml:space="preserve">Uni, et dont une copie figure dans le </w:t>
      </w:r>
      <w:r w:rsidR="005752E4" w:rsidRPr="00F85A58">
        <w:rPr>
          <w:rFonts w:cs="Arial"/>
          <w:sz w:val="19"/>
          <w:szCs w:val="19"/>
          <w:lang w:val="fr-FR"/>
        </w:rPr>
        <w:t>document TC</w:t>
      </w:r>
      <w:r w:rsidR="00080F66" w:rsidRPr="00F85A58">
        <w:rPr>
          <w:rFonts w:cs="Arial"/>
          <w:sz w:val="19"/>
          <w:szCs w:val="19"/>
          <w:lang w:val="fr-FR"/>
        </w:rPr>
        <w:t>/52/17</w:t>
      </w:r>
      <w:r w:rsidR="00342006" w:rsidRPr="00F85A58">
        <w:rPr>
          <w:rFonts w:cs="Arial"/>
          <w:sz w:val="19"/>
          <w:szCs w:val="19"/>
          <w:lang w:val="fr-FR"/>
        </w:rPr>
        <w:t> </w:t>
      </w:r>
      <w:proofErr w:type="spellStart"/>
      <w:r w:rsidR="00080F66" w:rsidRPr="00F85A58">
        <w:rPr>
          <w:rFonts w:cs="Arial"/>
          <w:sz w:val="19"/>
          <w:szCs w:val="19"/>
          <w:lang w:val="fr-FR"/>
        </w:rPr>
        <w:t>Add</w:t>
      </w:r>
      <w:proofErr w:type="spellEnd"/>
      <w:r w:rsidR="00080F66" w:rsidRPr="00F85A58">
        <w:rPr>
          <w:rFonts w:cs="Arial"/>
          <w:sz w:val="19"/>
          <w:szCs w:val="19"/>
          <w:lang w:val="fr-FR"/>
        </w:rPr>
        <w:t>. (</w:t>
      </w:r>
      <w:proofErr w:type="gramStart"/>
      <w:r w:rsidR="004A5603" w:rsidRPr="00F85A58">
        <w:rPr>
          <w:rFonts w:cs="Arial"/>
          <w:sz w:val="19"/>
          <w:szCs w:val="19"/>
          <w:lang w:val="fr-FR"/>
        </w:rPr>
        <w:t>e</w:t>
      </w:r>
      <w:r w:rsidR="00080F66" w:rsidRPr="00F85A58">
        <w:rPr>
          <w:rFonts w:cs="Arial"/>
          <w:sz w:val="19"/>
          <w:szCs w:val="19"/>
          <w:lang w:val="fr-FR"/>
        </w:rPr>
        <w:t>n</w:t>
      </w:r>
      <w:proofErr w:type="gramEnd"/>
      <w:r w:rsidR="00080F66" w:rsidRPr="00F85A58">
        <w:rPr>
          <w:rFonts w:cs="Arial"/>
          <w:sz w:val="19"/>
          <w:szCs w:val="19"/>
          <w:lang w:val="fr-FR"/>
        </w:rPr>
        <w:t xml:space="preserve"> </w:t>
      </w:r>
      <w:r w:rsidR="004A5603" w:rsidRPr="00F85A58">
        <w:rPr>
          <w:rFonts w:cs="Arial"/>
          <w:sz w:val="19"/>
          <w:szCs w:val="19"/>
          <w:lang w:val="fr-FR"/>
        </w:rPr>
        <w:t>anglais uniquement</w:t>
      </w:r>
      <w:r w:rsidR="00080F66" w:rsidRPr="00F85A58">
        <w:rPr>
          <w:rFonts w:cs="Arial"/>
          <w:sz w:val="19"/>
          <w:szCs w:val="19"/>
          <w:lang w:val="fr-FR"/>
        </w:rPr>
        <w:t>).</w:t>
      </w:r>
    </w:p>
    <w:p w:rsidR="00BA14DE" w:rsidRPr="00F85A58" w:rsidRDefault="00BA14DE" w:rsidP="003D3E08">
      <w:pPr>
        <w:keepNext/>
        <w:rPr>
          <w:lang w:val="fr-FR"/>
        </w:rPr>
      </w:pPr>
    </w:p>
    <w:p w:rsidR="00BA14DE" w:rsidRPr="00F85A58" w:rsidRDefault="0080652F" w:rsidP="0080652F">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59461C" w:rsidRPr="00F85A58">
        <w:rPr>
          <w:lang w:val="fr-FR"/>
        </w:rPr>
        <w:t>Le</w:t>
      </w:r>
      <w:r w:rsidR="005752E4" w:rsidRPr="00F85A58">
        <w:rPr>
          <w:lang w:val="fr-FR"/>
        </w:rPr>
        <w:t> TC</w:t>
      </w:r>
      <w:r w:rsidRPr="00F85A58">
        <w:rPr>
          <w:lang w:val="fr-FR"/>
        </w:rPr>
        <w:t xml:space="preserve"> note </w:t>
      </w:r>
      <w:r w:rsidR="0059461C" w:rsidRPr="00F85A58">
        <w:rPr>
          <w:lang w:val="fr-FR"/>
        </w:rPr>
        <w:t xml:space="preserve">que des </w:t>
      </w:r>
      <w:r w:rsidRPr="00F85A58">
        <w:rPr>
          <w:lang w:val="fr-FR"/>
        </w:rPr>
        <w:t xml:space="preserve">experts </w:t>
      </w:r>
      <w:r w:rsidR="0059461C" w:rsidRPr="00F85A58">
        <w:rPr>
          <w:lang w:val="fr-FR"/>
        </w:rPr>
        <w:t>de l</w:t>
      </w:r>
      <w:r w:rsidR="005752E4" w:rsidRPr="00F85A58">
        <w:rPr>
          <w:lang w:val="fr-FR"/>
        </w:rPr>
        <w:t>’</w:t>
      </w:r>
      <w:r w:rsidR="0059461C" w:rsidRPr="00F85A58">
        <w:rPr>
          <w:lang w:val="fr-FR"/>
        </w:rPr>
        <w:t xml:space="preserve">Allemagne, de la </w:t>
      </w:r>
      <w:r w:rsidRPr="00F85A58">
        <w:rPr>
          <w:lang w:val="fr-FR"/>
        </w:rPr>
        <w:t>Finland</w:t>
      </w:r>
      <w:r w:rsidR="0059461C" w:rsidRPr="00F85A58">
        <w:rPr>
          <w:lang w:val="fr-FR"/>
        </w:rPr>
        <w:t>e</w:t>
      </w:r>
      <w:r w:rsidRPr="00F85A58">
        <w:rPr>
          <w:lang w:val="fr-FR"/>
        </w:rPr>
        <w:t xml:space="preserve">, </w:t>
      </w:r>
      <w:r w:rsidR="0059461C" w:rsidRPr="00F85A58">
        <w:rPr>
          <w:lang w:val="fr-FR"/>
        </w:rPr>
        <w:t xml:space="preserve">de la </w:t>
      </w:r>
      <w:r w:rsidRPr="00F85A58">
        <w:rPr>
          <w:lang w:val="fr-FR"/>
        </w:rPr>
        <w:t xml:space="preserve">France, </w:t>
      </w:r>
      <w:r w:rsidR="0059461C" w:rsidRPr="00F85A58">
        <w:rPr>
          <w:lang w:val="fr-FR"/>
        </w:rPr>
        <w:t xml:space="preserve">du </w:t>
      </w:r>
      <w:r w:rsidRPr="00F85A58">
        <w:rPr>
          <w:lang w:val="fr-FR"/>
        </w:rPr>
        <w:t xml:space="preserve">Kenya </w:t>
      </w:r>
      <w:r w:rsidR="0059461C" w:rsidRPr="00F85A58">
        <w:rPr>
          <w:lang w:val="fr-FR"/>
        </w:rPr>
        <w:t>et du Royaume</w:t>
      </w:r>
      <w:r w:rsidR="00F85A58" w:rsidRPr="00F85A58">
        <w:rPr>
          <w:lang w:val="fr-FR"/>
        </w:rPr>
        <w:noBreakHyphen/>
      </w:r>
      <w:r w:rsidR="0059461C" w:rsidRPr="00F85A58">
        <w:rPr>
          <w:lang w:val="fr-FR"/>
        </w:rPr>
        <w:t xml:space="preserve">Uni </w:t>
      </w:r>
      <w:r w:rsidR="00864E97" w:rsidRPr="00F85A58">
        <w:rPr>
          <w:lang w:val="fr-FR"/>
        </w:rPr>
        <w:t xml:space="preserve">ont </w:t>
      </w:r>
      <w:r w:rsidR="0059461C" w:rsidRPr="00F85A58">
        <w:rPr>
          <w:lang w:val="fr-FR"/>
        </w:rPr>
        <w:t>participé à l</w:t>
      </w:r>
      <w:r w:rsidR="005752E4" w:rsidRPr="00F85A58">
        <w:rPr>
          <w:lang w:val="fr-FR"/>
        </w:rPr>
        <w:t>’</w:t>
      </w:r>
      <w:r w:rsidR="0059461C" w:rsidRPr="00F85A58">
        <w:rPr>
          <w:lang w:val="fr-FR"/>
        </w:rPr>
        <w:t xml:space="preserve">exercice visant à tester le nouveau module </w:t>
      </w:r>
      <w:r w:rsidR="00E2275C" w:rsidRPr="00F85A58">
        <w:rPr>
          <w:lang w:val="fr-FR"/>
        </w:rPr>
        <w:t>l</w:t>
      </w:r>
      <w:r w:rsidR="0059461C" w:rsidRPr="00F85A58">
        <w:rPr>
          <w:lang w:val="fr-FR"/>
        </w:rPr>
        <w:t xml:space="preserve">ogiciel </w:t>
      </w:r>
      <w:r w:rsidR="00E2275C" w:rsidRPr="00F85A58">
        <w:rPr>
          <w:lang w:val="fr-FR"/>
        </w:rPr>
        <w:t>pour la nouvelle méthode de calcul de</w:t>
      </w:r>
      <w:r w:rsidR="005752E4" w:rsidRPr="00F85A58">
        <w:rPr>
          <w:lang w:val="fr-FR"/>
        </w:rPr>
        <w:t xml:space="preserve"> la COY</w:t>
      </w:r>
      <w:r w:rsidRPr="00F85A58">
        <w:rPr>
          <w:lang w:val="fr-FR"/>
        </w:rPr>
        <w:t>U.</w:t>
      </w:r>
    </w:p>
    <w:p w:rsidR="00BA14DE" w:rsidRPr="00F85A58" w:rsidRDefault="00BA14DE" w:rsidP="0080652F">
      <w:pPr>
        <w:rPr>
          <w:lang w:val="fr-FR"/>
        </w:rPr>
      </w:pPr>
    </w:p>
    <w:p w:rsidR="00BA14DE" w:rsidRPr="00F85A58" w:rsidRDefault="0080652F" w:rsidP="0080652F">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3058ED" w:rsidRPr="00F85A58">
        <w:rPr>
          <w:lang w:val="fr-FR"/>
        </w:rPr>
        <w:t>Le</w:t>
      </w:r>
      <w:r w:rsidR="005752E4" w:rsidRPr="00F85A58">
        <w:rPr>
          <w:lang w:val="fr-FR"/>
        </w:rPr>
        <w:t> TC</w:t>
      </w:r>
      <w:r w:rsidRPr="00F85A58">
        <w:rPr>
          <w:lang w:val="fr-FR"/>
        </w:rPr>
        <w:t xml:space="preserve"> note </w:t>
      </w:r>
      <w:r w:rsidR="003058ED" w:rsidRPr="00F85A58">
        <w:rPr>
          <w:lang w:val="fr-FR"/>
        </w:rPr>
        <w:t>que</w:t>
      </w:r>
      <w:r w:rsidR="005752E4" w:rsidRPr="00F85A58">
        <w:rPr>
          <w:lang w:val="fr-FR"/>
        </w:rPr>
        <w:t xml:space="preserve"> le TWC</w:t>
      </w:r>
      <w:r w:rsidRPr="00F85A58">
        <w:rPr>
          <w:lang w:val="fr-FR"/>
        </w:rPr>
        <w:t xml:space="preserve"> </w:t>
      </w:r>
      <w:r w:rsidR="009C5BB0" w:rsidRPr="00F85A58">
        <w:rPr>
          <w:lang w:val="fr-FR"/>
        </w:rPr>
        <w:t>étai</w:t>
      </w:r>
      <w:r w:rsidR="00864E97" w:rsidRPr="00F85A58">
        <w:rPr>
          <w:lang w:val="fr-FR"/>
        </w:rPr>
        <w:t>t</w:t>
      </w:r>
      <w:r w:rsidR="009C5BB0" w:rsidRPr="00F85A58">
        <w:rPr>
          <w:lang w:val="fr-FR"/>
        </w:rPr>
        <w:t xml:space="preserve"> convenu </w:t>
      </w:r>
      <w:r w:rsidR="00864E97" w:rsidRPr="00F85A58">
        <w:rPr>
          <w:lang w:val="fr-FR"/>
        </w:rPr>
        <w:t>que la nouvelle méthode de calcul de</w:t>
      </w:r>
      <w:r w:rsidR="005752E4" w:rsidRPr="00F85A58">
        <w:rPr>
          <w:lang w:val="fr-FR"/>
        </w:rPr>
        <w:t xml:space="preserve"> la COY</w:t>
      </w:r>
      <w:r w:rsidRPr="00F85A58">
        <w:rPr>
          <w:lang w:val="fr-FR"/>
        </w:rPr>
        <w:t xml:space="preserve">U </w:t>
      </w:r>
      <w:r w:rsidR="00864E97" w:rsidRPr="00F85A58">
        <w:rPr>
          <w:lang w:val="fr-FR"/>
        </w:rPr>
        <w:t>donnait de bons résultats dans la pratique et était convenu de demander à l</w:t>
      </w:r>
      <w:r w:rsidR="005752E4" w:rsidRPr="00F85A58">
        <w:rPr>
          <w:lang w:val="fr-FR"/>
        </w:rPr>
        <w:t>’</w:t>
      </w:r>
      <w:r w:rsidR="00864E97" w:rsidRPr="00F85A58">
        <w:rPr>
          <w:lang w:val="fr-FR"/>
        </w:rPr>
        <w:t>e</w:t>
      </w:r>
      <w:r w:rsidRPr="00F85A58">
        <w:rPr>
          <w:lang w:val="fr-FR"/>
        </w:rPr>
        <w:t xml:space="preserve">xpert </w:t>
      </w:r>
      <w:r w:rsidR="00864E97" w:rsidRPr="00F85A58">
        <w:rPr>
          <w:lang w:val="fr-FR"/>
        </w:rPr>
        <w:t>du Royaume</w:t>
      </w:r>
      <w:r w:rsidR="00F85A58" w:rsidRPr="00F85A58">
        <w:rPr>
          <w:lang w:val="fr-FR"/>
        </w:rPr>
        <w:noBreakHyphen/>
      </w:r>
      <w:r w:rsidR="00864E97" w:rsidRPr="00F85A58">
        <w:rPr>
          <w:lang w:val="fr-FR"/>
        </w:rPr>
        <w:t>Uni de fournir des orientations concernant l</w:t>
      </w:r>
      <w:r w:rsidR="005752E4" w:rsidRPr="00F85A58">
        <w:rPr>
          <w:lang w:val="fr-FR"/>
        </w:rPr>
        <w:t>’</w:t>
      </w:r>
      <w:r w:rsidR="00864E97" w:rsidRPr="00F85A58">
        <w:rPr>
          <w:lang w:val="fr-FR"/>
        </w:rPr>
        <w:t>extrapolation pour les variétés candidates dont le niveau d</w:t>
      </w:r>
      <w:r w:rsidR="005752E4" w:rsidRPr="00F85A58">
        <w:rPr>
          <w:lang w:val="fr-FR"/>
        </w:rPr>
        <w:t>’</w:t>
      </w:r>
      <w:r w:rsidR="00864E97" w:rsidRPr="00F85A58">
        <w:rPr>
          <w:lang w:val="fr-FR"/>
        </w:rPr>
        <w:t xml:space="preserve">expression se situe </w:t>
      </w:r>
      <w:r w:rsidR="0004610B" w:rsidRPr="00F85A58">
        <w:rPr>
          <w:lang w:val="fr-FR"/>
        </w:rPr>
        <w:t xml:space="preserve">en dehors </w:t>
      </w:r>
      <w:r w:rsidR="00864E97" w:rsidRPr="00F85A58">
        <w:rPr>
          <w:lang w:val="fr-FR"/>
        </w:rPr>
        <w:t>des limites observées pour les variétés de référence</w:t>
      </w:r>
      <w:r w:rsidRPr="00F85A58">
        <w:rPr>
          <w:lang w:val="fr-FR"/>
        </w:rPr>
        <w:t>.</w:t>
      </w:r>
    </w:p>
    <w:p w:rsidR="00BA14DE" w:rsidRPr="00F85A58" w:rsidRDefault="00BA14DE" w:rsidP="0080652F">
      <w:pPr>
        <w:rPr>
          <w:lang w:val="fr-FR"/>
        </w:rPr>
      </w:pPr>
    </w:p>
    <w:p w:rsidR="005752E4" w:rsidRPr="00F85A58" w:rsidRDefault="0080652F" w:rsidP="0080652F">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700A92" w:rsidRPr="00F85A58">
        <w:rPr>
          <w:lang w:val="fr-FR"/>
        </w:rPr>
        <w:t>Le</w:t>
      </w:r>
      <w:r w:rsidR="005752E4" w:rsidRPr="00F85A58">
        <w:rPr>
          <w:lang w:val="fr-FR"/>
        </w:rPr>
        <w:t> TC</w:t>
      </w:r>
      <w:r w:rsidRPr="00F85A58">
        <w:rPr>
          <w:lang w:val="fr-FR"/>
        </w:rPr>
        <w:t xml:space="preserve"> </w:t>
      </w:r>
      <w:r w:rsidR="00700A92" w:rsidRPr="00F85A58">
        <w:rPr>
          <w:lang w:val="fr-FR"/>
        </w:rPr>
        <w:t>convient de demander aux membres de l</w:t>
      </w:r>
      <w:r w:rsidR="005752E4" w:rsidRPr="00F85A58">
        <w:rPr>
          <w:lang w:val="fr-FR"/>
        </w:rPr>
        <w:t>’</w:t>
      </w:r>
      <w:r w:rsidR="00E8305C" w:rsidRPr="00F85A58">
        <w:rPr>
          <w:lang w:val="fr-FR"/>
        </w:rPr>
        <w:t xml:space="preserve">Union </w:t>
      </w:r>
      <w:r w:rsidR="00700A92" w:rsidRPr="00F85A58">
        <w:rPr>
          <w:lang w:val="fr-FR"/>
        </w:rPr>
        <w:t>de fournir au Royaume</w:t>
      </w:r>
      <w:r w:rsidR="00F85A58" w:rsidRPr="00F85A58">
        <w:rPr>
          <w:lang w:val="fr-FR"/>
        </w:rPr>
        <w:noBreakHyphen/>
      </w:r>
      <w:r w:rsidR="00700A92" w:rsidRPr="00F85A58">
        <w:rPr>
          <w:lang w:val="fr-FR"/>
        </w:rPr>
        <w:t>Uni de plus grandes séries de données en vue de l</w:t>
      </w:r>
      <w:r w:rsidR="005752E4" w:rsidRPr="00F85A58">
        <w:rPr>
          <w:lang w:val="fr-FR"/>
        </w:rPr>
        <w:t>’</w:t>
      </w:r>
      <w:r w:rsidR="00700A92" w:rsidRPr="00F85A58">
        <w:rPr>
          <w:lang w:val="fr-FR"/>
        </w:rPr>
        <w:t>élaboration de seuils de probabilité pour la nouvelle méthode qui concordent avec les résultats obtenus en utilisant les précédents seuils de probabili</w:t>
      </w:r>
      <w:r w:rsidR="00F85A58" w:rsidRPr="00F85A58">
        <w:rPr>
          <w:lang w:val="fr-FR"/>
        </w:rPr>
        <w:t>té.  Ce</w:t>
      </w:r>
      <w:r w:rsidR="00700A92" w:rsidRPr="00F85A58">
        <w:rPr>
          <w:lang w:val="fr-FR"/>
        </w:rPr>
        <w:t xml:space="preserve">s séries de données devraient comprendre </w:t>
      </w:r>
      <w:r w:rsidR="001826AD">
        <w:rPr>
          <w:lang w:val="fr-FR"/>
        </w:rPr>
        <w:t>100 </w:t>
      </w:r>
      <w:r w:rsidR="00700A92" w:rsidRPr="00F85A58">
        <w:rPr>
          <w:lang w:val="fr-FR"/>
        </w:rPr>
        <w:t xml:space="preserve">variétés candidates au minimum, </w:t>
      </w:r>
      <w:r w:rsidR="00626C6A" w:rsidRPr="00F85A58">
        <w:rPr>
          <w:lang w:val="fr-FR"/>
        </w:rPr>
        <w:t>offrir</w:t>
      </w:r>
      <w:r w:rsidR="0094177F" w:rsidRPr="00F85A58">
        <w:rPr>
          <w:lang w:val="fr-FR"/>
        </w:rPr>
        <w:t xml:space="preserve"> la possibilité de disposer de données relatives à ces </w:t>
      </w:r>
      <w:r w:rsidR="001826AD">
        <w:rPr>
          <w:lang w:val="fr-FR"/>
        </w:rPr>
        <w:t>100 </w:t>
      </w:r>
      <w:r w:rsidR="0094177F" w:rsidRPr="00F85A58">
        <w:rPr>
          <w:lang w:val="fr-FR"/>
        </w:rPr>
        <w:t xml:space="preserve">variétés sur </w:t>
      </w:r>
      <w:r w:rsidR="000A0313" w:rsidRPr="00F85A58">
        <w:rPr>
          <w:lang w:val="fr-FR"/>
        </w:rPr>
        <w:t>plusieurs anné</w:t>
      </w:r>
      <w:r w:rsidR="00F85A58" w:rsidRPr="00F85A58">
        <w:rPr>
          <w:lang w:val="fr-FR"/>
        </w:rPr>
        <w:t>es.  Le</w:t>
      </w:r>
      <w:r w:rsidR="005752E4" w:rsidRPr="00F85A58">
        <w:rPr>
          <w:lang w:val="fr-FR"/>
        </w:rPr>
        <w:t> TC</w:t>
      </w:r>
      <w:r w:rsidR="00B378DC" w:rsidRPr="00F85A58">
        <w:rPr>
          <w:lang w:val="fr-FR"/>
        </w:rPr>
        <w:t xml:space="preserve"> </w:t>
      </w:r>
      <w:r w:rsidR="0094177F" w:rsidRPr="00F85A58">
        <w:rPr>
          <w:lang w:val="fr-FR"/>
        </w:rPr>
        <w:t xml:space="preserve">note que le </w:t>
      </w:r>
      <w:r w:rsidR="00805366" w:rsidRPr="00F85A58">
        <w:rPr>
          <w:lang w:val="fr-FR"/>
        </w:rPr>
        <w:t>B</w:t>
      </w:r>
      <w:r w:rsidR="0094177F" w:rsidRPr="00F85A58">
        <w:rPr>
          <w:lang w:val="fr-FR"/>
        </w:rPr>
        <w:t>ureau de l</w:t>
      </w:r>
      <w:r w:rsidR="005752E4" w:rsidRPr="00F85A58">
        <w:rPr>
          <w:lang w:val="fr-FR"/>
        </w:rPr>
        <w:t>’</w:t>
      </w:r>
      <w:r w:rsidR="0094177F" w:rsidRPr="00F85A58">
        <w:rPr>
          <w:lang w:val="fr-FR"/>
        </w:rPr>
        <w:t xml:space="preserve">Union </w:t>
      </w:r>
      <w:r w:rsidR="00805366" w:rsidRPr="00F85A58">
        <w:rPr>
          <w:lang w:val="fr-FR"/>
        </w:rPr>
        <w:t xml:space="preserve">diffuserait une circulaire sollicitant des </w:t>
      </w:r>
      <w:r w:rsidR="00626C6A" w:rsidRPr="00F85A58">
        <w:rPr>
          <w:lang w:val="fr-FR"/>
        </w:rPr>
        <w:t>contributions</w:t>
      </w:r>
      <w:r w:rsidR="00805366" w:rsidRPr="00F85A58">
        <w:rPr>
          <w:lang w:val="fr-FR"/>
        </w:rPr>
        <w:t xml:space="preserve"> de séries de données.</w:t>
      </w:r>
    </w:p>
    <w:p w:rsidR="00BA14DE" w:rsidRPr="00F85A58" w:rsidRDefault="00BA14DE" w:rsidP="0080652F">
      <w:pPr>
        <w:rPr>
          <w:lang w:val="fr-FR"/>
        </w:rPr>
      </w:pPr>
    </w:p>
    <w:p w:rsidR="00BA14DE" w:rsidRPr="00F85A58" w:rsidRDefault="0080652F" w:rsidP="0080652F">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376B8A" w:rsidRPr="00F85A58">
        <w:rPr>
          <w:lang w:val="fr-FR"/>
        </w:rPr>
        <w:t>Le</w:t>
      </w:r>
      <w:r w:rsidR="005752E4" w:rsidRPr="00F85A58">
        <w:rPr>
          <w:lang w:val="fr-FR"/>
        </w:rPr>
        <w:t> TC</w:t>
      </w:r>
      <w:r w:rsidRPr="00F85A58">
        <w:rPr>
          <w:lang w:val="fr-FR"/>
        </w:rPr>
        <w:t xml:space="preserve"> </w:t>
      </w:r>
      <w:r w:rsidR="00376B8A" w:rsidRPr="00F85A58">
        <w:rPr>
          <w:lang w:val="fr-FR"/>
        </w:rPr>
        <w:t>note que</w:t>
      </w:r>
      <w:r w:rsidR="005752E4" w:rsidRPr="00F85A58">
        <w:rPr>
          <w:lang w:val="fr-FR"/>
        </w:rPr>
        <w:t xml:space="preserve"> le TWC</w:t>
      </w:r>
      <w:r w:rsidR="0027351C" w:rsidRPr="00F85A58">
        <w:rPr>
          <w:lang w:val="fr-FR"/>
        </w:rPr>
        <w:t xml:space="preserve"> </w:t>
      </w:r>
      <w:r w:rsidR="00376B8A" w:rsidRPr="00F85A58">
        <w:rPr>
          <w:lang w:val="fr-FR"/>
        </w:rPr>
        <w:t>était convenu d</w:t>
      </w:r>
      <w:r w:rsidR="005752E4" w:rsidRPr="00F85A58">
        <w:rPr>
          <w:lang w:val="fr-FR"/>
        </w:rPr>
        <w:t>’</w:t>
      </w:r>
      <w:r w:rsidR="00376B8A" w:rsidRPr="00F85A58">
        <w:rPr>
          <w:lang w:val="fr-FR"/>
        </w:rPr>
        <w:t xml:space="preserve">inviter des </w:t>
      </w:r>
      <w:r w:rsidRPr="00F85A58">
        <w:rPr>
          <w:lang w:val="fr-FR"/>
        </w:rPr>
        <w:t xml:space="preserve">experts </w:t>
      </w:r>
      <w:r w:rsidR="00376B8A" w:rsidRPr="00F85A58">
        <w:rPr>
          <w:lang w:val="fr-FR"/>
        </w:rPr>
        <w:t xml:space="preserve">de la Chine et de la </w:t>
      </w:r>
      <w:r w:rsidRPr="00F85A58">
        <w:rPr>
          <w:lang w:val="fr-FR"/>
        </w:rPr>
        <w:t xml:space="preserve">France </w:t>
      </w:r>
      <w:r w:rsidR="00376B8A" w:rsidRPr="00F85A58">
        <w:rPr>
          <w:lang w:val="fr-FR"/>
        </w:rPr>
        <w:t>à participer aux étapes suivantes de l</w:t>
      </w:r>
      <w:r w:rsidR="005752E4" w:rsidRPr="00F85A58">
        <w:rPr>
          <w:lang w:val="fr-FR"/>
        </w:rPr>
        <w:t>’</w:t>
      </w:r>
      <w:r w:rsidR="00376B8A" w:rsidRPr="00F85A58">
        <w:rPr>
          <w:lang w:val="fr-FR"/>
        </w:rPr>
        <w:t xml:space="preserve">exercice pratique et de fournir </w:t>
      </w:r>
      <w:r w:rsidR="004541DF" w:rsidRPr="00F85A58">
        <w:rPr>
          <w:lang w:val="fr-FR"/>
        </w:rPr>
        <w:t>leurs séries de données aux fins d</w:t>
      </w:r>
      <w:r w:rsidR="005752E4" w:rsidRPr="00F85A58">
        <w:rPr>
          <w:lang w:val="fr-FR"/>
        </w:rPr>
        <w:t>’</w:t>
      </w:r>
      <w:r w:rsidR="004541DF" w:rsidRPr="00F85A58">
        <w:rPr>
          <w:lang w:val="fr-FR"/>
        </w:rPr>
        <w:t>examen</w:t>
      </w:r>
      <w:r w:rsidRPr="00F85A58">
        <w:rPr>
          <w:lang w:val="fr-FR"/>
        </w:rPr>
        <w:t>.</w:t>
      </w:r>
    </w:p>
    <w:p w:rsidR="00BA14DE" w:rsidRPr="00F85A58" w:rsidRDefault="00BA14DE" w:rsidP="0080652F">
      <w:pPr>
        <w:rPr>
          <w:lang w:val="fr-FR"/>
        </w:rPr>
      </w:pPr>
    </w:p>
    <w:p w:rsidR="00BA14DE" w:rsidRPr="00F85A58" w:rsidRDefault="0080652F" w:rsidP="0080652F">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DD02C3" w:rsidRPr="00F85A58">
        <w:rPr>
          <w:lang w:val="fr-FR"/>
        </w:rPr>
        <w:t>Le</w:t>
      </w:r>
      <w:r w:rsidR="005752E4" w:rsidRPr="00F85A58">
        <w:rPr>
          <w:lang w:val="fr-FR"/>
        </w:rPr>
        <w:t> TC</w:t>
      </w:r>
      <w:r w:rsidRPr="00F85A58">
        <w:rPr>
          <w:lang w:val="fr-FR"/>
        </w:rPr>
        <w:t xml:space="preserve"> </w:t>
      </w:r>
      <w:r w:rsidR="00DD02C3" w:rsidRPr="00F85A58">
        <w:rPr>
          <w:lang w:val="fr-FR"/>
        </w:rPr>
        <w:t>note que</w:t>
      </w:r>
      <w:r w:rsidR="005752E4" w:rsidRPr="00F85A58">
        <w:rPr>
          <w:lang w:val="fr-FR"/>
        </w:rPr>
        <w:t xml:space="preserve"> le TWC</w:t>
      </w:r>
      <w:r w:rsidR="0027351C" w:rsidRPr="00F85A58">
        <w:rPr>
          <w:lang w:val="fr-FR"/>
        </w:rPr>
        <w:t xml:space="preserve"> </w:t>
      </w:r>
      <w:r w:rsidR="00DD02C3" w:rsidRPr="00F85A58">
        <w:rPr>
          <w:lang w:val="fr-FR"/>
        </w:rPr>
        <w:t>a proposé d</w:t>
      </w:r>
      <w:r w:rsidR="005752E4" w:rsidRPr="00F85A58">
        <w:rPr>
          <w:lang w:val="fr-FR"/>
        </w:rPr>
        <w:t>’</w:t>
      </w:r>
      <w:r w:rsidR="00DD02C3" w:rsidRPr="00F85A58">
        <w:rPr>
          <w:lang w:val="fr-FR"/>
        </w:rPr>
        <w:t>invit</w:t>
      </w:r>
      <w:r w:rsidR="00AB27A6" w:rsidRPr="00F85A58">
        <w:rPr>
          <w:lang w:val="fr-FR"/>
        </w:rPr>
        <w:t>er</w:t>
      </w:r>
      <w:r w:rsidR="005752E4" w:rsidRPr="00F85A58">
        <w:rPr>
          <w:lang w:val="fr-FR"/>
        </w:rPr>
        <w:t xml:space="preserve"> le TWA</w:t>
      </w:r>
      <w:r w:rsidRPr="00F85A58">
        <w:rPr>
          <w:lang w:val="fr-FR"/>
        </w:rPr>
        <w:t xml:space="preserve"> </w:t>
      </w:r>
      <w:r w:rsidR="00DD02C3" w:rsidRPr="00F85A58">
        <w:rPr>
          <w:lang w:val="fr-FR"/>
        </w:rPr>
        <w:t>à fournir de grandes séries de données relatives aux plantes cultivées afin de déterminer des seuils de probabilité appropriés pour la nouvelle méthode de calcul de</w:t>
      </w:r>
      <w:r w:rsidR="005752E4" w:rsidRPr="00F85A58">
        <w:rPr>
          <w:lang w:val="fr-FR"/>
        </w:rPr>
        <w:t xml:space="preserve"> la COY</w:t>
      </w:r>
      <w:r w:rsidRPr="00F85A58">
        <w:rPr>
          <w:lang w:val="fr-FR"/>
        </w:rPr>
        <w:t>U.</w:t>
      </w:r>
    </w:p>
    <w:p w:rsidR="00BA14DE" w:rsidRPr="00F85A58" w:rsidRDefault="00BA14DE" w:rsidP="0080652F">
      <w:pPr>
        <w:rPr>
          <w:lang w:val="fr-FR"/>
        </w:rPr>
      </w:pPr>
    </w:p>
    <w:bookmarkEnd w:id="5"/>
    <w:bookmarkEnd w:id="6"/>
    <w:bookmarkEnd w:id="7"/>
    <w:bookmarkEnd w:id="8"/>
    <w:bookmarkEnd w:id="9"/>
    <w:bookmarkEnd w:id="10"/>
    <w:p w:rsidR="00BA14DE" w:rsidRPr="00F85A58" w:rsidRDefault="00993D76" w:rsidP="00993D76">
      <w:pPr>
        <w:pStyle w:val="Heading5"/>
        <w:rPr>
          <w:lang w:val="fr-FR"/>
        </w:rPr>
      </w:pPr>
      <w:r w:rsidRPr="00F85A58">
        <w:rPr>
          <w:lang w:val="fr-FR"/>
        </w:rPr>
        <w:t>iii)</w:t>
      </w:r>
      <w:r w:rsidRPr="00F85A58">
        <w:rPr>
          <w:lang w:val="fr-FR"/>
        </w:rPr>
        <w:tab/>
        <w:t>Examen DHS sur des échantillons globaux</w:t>
      </w:r>
    </w:p>
    <w:p w:rsidR="00BA14DE" w:rsidRPr="00F85A58" w:rsidRDefault="00BA14DE" w:rsidP="004C3C67">
      <w:pPr>
        <w:pStyle w:val="Heading5"/>
        <w:rPr>
          <w:lang w:val="fr-FR"/>
        </w:rPr>
      </w:pPr>
    </w:p>
    <w:p w:rsidR="00BA14DE" w:rsidRPr="00F85A58" w:rsidRDefault="0012534E" w:rsidP="00993D76">
      <w:pPr>
        <w:keepNext/>
        <w:rPr>
          <w:rFonts w:cs="Arial"/>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993D76" w:rsidRPr="00F85A58">
        <w:rPr>
          <w:lang w:val="fr-FR"/>
        </w:rPr>
        <w:t>Le</w:t>
      </w:r>
      <w:r w:rsidR="005752E4" w:rsidRPr="00F85A58">
        <w:rPr>
          <w:lang w:val="fr-FR"/>
        </w:rPr>
        <w:t> TC</w:t>
      </w:r>
      <w:r w:rsidR="00993D76" w:rsidRPr="00F85A58">
        <w:rPr>
          <w:lang w:val="fr-FR"/>
        </w:rPr>
        <w:t xml:space="preserve"> examine le </w:t>
      </w:r>
      <w:r w:rsidR="005752E4" w:rsidRPr="00F85A58">
        <w:rPr>
          <w:lang w:val="fr-FR"/>
        </w:rPr>
        <w:t>document TC</w:t>
      </w:r>
      <w:r w:rsidR="00993D76" w:rsidRPr="00F85A58">
        <w:rPr>
          <w:lang w:val="fr-FR"/>
        </w:rPr>
        <w:t>/52/18.</w:t>
      </w:r>
    </w:p>
    <w:p w:rsidR="00BA14DE" w:rsidRPr="00F85A58" w:rsidRDefault="00BA14DE" w:rsidP="00480BED">
      <w:pPr>
        <w:keepNext/>
        <w:rPr>
          <w:rFonts w:cs="Arial"/>
          <w:lang w:val="fr-FR"/>
        </w:rPr>
      </w:pPr>
    </w:p>
    <w:p w:rsidR="00BA14DE" w:rsidRPr="00F85A58" w:rsidRDefault="009933BC" w:rsidP="00384BC5">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BE002D" w:rsidRPr="00F85A58">
        <w:rPr>
          <w:lang w:val="fr-FR"/>
        </w:rPr>
        <w:t>L</w:t>
      </w:r>
      <w:r w:rsidR="00384BC5" w:rsidRPr="00F85A58">
        <w:rPr>
          <w:lang w:val="fr-FR"/>
        </w:rPr>
        <w:t>e</w:t>
      </w:r>
      <w:r w:rsidR="005752E4" w:rsidRPr="00F85A58">
        <w:rPr>
          <w:lang w:val="fr-FR"/>
        </w:rPr>
        <w:t> TC</w:t>
      </w:r>
      <w:r w:rsidR="00384BC5" w:rsidRPr="00F85A58">
        <w:rPr>
          <w:lang w:val="fr-FR"/>
        </w:rPr>
        <w:t xml:space="preserve"> </w:t>
      </w:r>
      <w:r w:rsidR="00BE002D" w:rsidRPr="00F85A58">
        <w:rPr>
          <w:lang w:val="fr-FR"/>
        </w:rPr>
        <w:t>convient que les Pays</w:t>
      </w:r>
      <w:r w:rsidR="00F85A58" w:rsidRPr="00F85A58">
        <w:rPr>
          <w:lang w:val="fr-FR"/>
        </w:rPr>
        <w:noBreakHyphen/>
      </w:r>
      <w:r w:rsidR="00BE002D" w:rsidRPr="00F85A58">
        <w:rPr>
          <w:lang w:val="fr-FR"/>
        </w:rPr>
        <w:t>Bas devraient être invités à élaborer des orientations, comprenant des exemples, pour l</w:t>
      </w:r>
      <w:r w:rsidR="005752E4" w:rsidRPr="00F85A58">
        <w:rPr>
          <w:lang w:val="fr-FR"/>
        </w:rPr>
        <w:t>’</w:t>
      </w:r>
      <w:r w:rsidR="00BE002D" w:rsidRPr="00F85A58">
        <w:rPr>
          <w:lang w:val="fr-FR"/>
        </w:rPr>
        <w:t>examen</w:t>
      </w:r>
      <w:r w:rsidR="00342006" w:rsidRPr="00F85A58">
        <w:rPr>
          <w:lang w:val="fr-FR"/>
        </w:rPr>
        <w:t> </w:t>
      </w:r>
      <w:r w:rsidR="00BE002D" w:rsidRPr="00F85A58">
        <w:rPr>
          <w:lang w:val="fr-FR"/>
        </w:rPr>
        <w:t>DHS sur des échantillons globaux aux fins d</w:t>
      </w:r>
      <w:r w:rsidR="005752E4" w:rsidRPr="00F85A58">
        <w:rPr>
          <w:lang w:val="fr-FR"/>
        </w:rPr>
        <w:t>’</w:t>
      </w:r>
      <w:r w:rsidR="00BE002D" w:rsidRPr="00F85A58">
        <w:rPr>
          <w:lang w:val="fr-FR"/>
        </w:rPr>
        <w:t xml:space="preserve">inclusion dans une future version révisée du </w:t>
      </w:r>
      <w:r w:rsidR="00384BC5" w:rsidRPr="00F85A58">
        <w:rPr>
          <w:lang w:val="fr-FR"/>
        </w:rPr>
        <w:t xml:space="preserve">document TGP/8, </w:t>
      </w:r>
      <w:r w:rsidR="00BE002D" w:rsidRPr="00F85A58">
        <w:rPr>
          <w:lang w:val="fr-FR"/>
        </w:rPr>
        <w:t xml:space="preserve">en se fondant sur </w:t>
      </w:r>
      <w:r w:rsidR="005641C8" w:rsidRPr="00F85A58">
        <w:rPr>
          <w:lang w:val="fr-FR"/>
        </w:rPr>
        <w:t>les points suivants</w:t>
      </w:r>
      <w:r w:rsidR="00BE002D" w:rsidRPr="00F85A58">
        <w:rPr>
          <w:lang w:val="fr-FR"/>
        </w:rPr>
        <w:t> </w:t>
      </w:r>
      <w:r w:rsidR="00384BC5" w:rsidRPr="00F85A58">
        <w:rPr>
          <w:lang w:val="fr-FR"/>
        </w:rPr>
        <w:t>:</w:t>
      </w:r>
    </w:p>
    <w:p w:rsidR="00BA14DE" w:rsidRPr="00F85A58" w:rsidRDefault="00BA14DE" w:rsidP="00384BC5">
      <w:pPr>
        <w:rPr>
          <w:lang w:val="fr-FR"/>
        </w:rPr>
      </w:pPr>
    </w:p>
    <w:p w:rsidR="00BA14DE" w:rsidRPr="00F85A58" w:rsidRDefault="00BC16B2" w:rsidP="004570E2">
      <w:pPr>
        <w:numPr>
          <w:ilvl w:val="0"/>
          <w:numId w:val="11"/>
        </w:numPr>
        <w:ind w:left="1134" w:hanging="567"/>
        <w:rPr>
          <w:lang w:val="fr-FR"/>
        </w:rPr>
      </w:pPr>
      <w:r w:rsidRPr="00F85A58">
        <w:rPr>
          <w:iCs/>
          <w:lang w:val="fr-FR"/>
        </w:rPr>
        <w:t>le caractère devrait remplir les conditions relatives à un caractère, énoncées dans l</w:t>
      </w:r>
      <w:r w:rsidR="005752E4" w:rsidRPr="00F85A58">
        <w:rPr>
          <w:iCs/>
          <w:lang w:val="fr-FR"/>
        </w:rPr>
        <w:t>’</w:t>
      </w:r>
      <w:r w:rsidR="001826AD">
        <w:rPr>
          <w:iCs/>
          <w:lang w:val="fr-FR"/>
        </w:rPr>
        <w:t>“</w:t>
      </w:r>
      <w:r w:rsidRPr="00F85A58">
        <w:rPr>
          <w:iCs/>
          <w:lang w:val="fr-FR"/>
        </w:rPr>
        <w:t>Introduction générale à l</w:t>
      </w:r>
      <w:r w:rsidR="005752E4" w:rsidRPr="00F85A58">
        <w:rPr>
          <w:iCs/>
          <w:lang w:val="fr-FR"/>
        </w:rPr>
        <w:t>’</w:t>
      </w:r>
      <w:r w:rsidRPr="00F85A58">
        <w:rPr>
          <w:iCs/>
          <w:lang w:val="fr-FR"/>
        </w:rPr>
        <w:t>examen de la distinction, de l</w:t>
      </w:r>
      <w:r w:rsidR="005752E4" w:rsidRPr="00F85A58">
        <w:rPr>
          <w:iCs/>
          <w:lang w:val="fr-FR"/>
        </w:rPr>
        <w:t>’</w:t>
      </w:r>
      <w:r w:rsidRPr="00F85A58">
        <w:rPr>
          <w:iCs/>
          <w:lang w:val="fr-FR"/>
        </w:rPr>
        <w:t>homogénéité et de la stabilité et à l</w:t>
      </w:r>
      <w:r w:rsidR="005752E4" w:rsidRPr="00F85A58">
        <w:rPr>
          <w:iCs/>
          <w:lang w:val="fr-FR"/>
        </w:rPr>
        <w:t>’</w:t>
      </w:r>
      <w:r w:rsidRPr="00F85A58">
        <w:rPr>
          <w:iCs/>
          <w:lang w:val="fr-FR"/>
        </w:rPr>
        <w:t>harmonisation des descriptions des obtentions végétales” (voir la section</w:t>
      </w:r>
      <w:r w:rsidR="00342006" w:rsidRPr="00F85A58">
        <w:rPr>
          <w:iCs/>
          <w:lang w:val="fr-FR"/>
        </w:rPr>
        <w:t> </w:t>
      </w:r>
      <w:r w:rsidRPr="00F85A58">
        <w:rPr>
          <w:iCs/>
          <w:lang w:val="fr-FR"/>
        </w:rPr>
        <w:t>4.2.1 du document TG/1/3</w:t>
      </w:r>
      <w:r w:rsidR="00384BC5" w:rsidRPr="00F85A58">
        <w:rPr>
          <w:lang w:val="fr-FR"/>
        </w:rPr>
        <w:t>)</w:t>
      </w:r>
      <w:r w:rsidR="006024AD" w:rsidRPr="00F85A58">
        <w:rPr>
          <w:lang w:val="fr-FR"/>
        </w:rPr>
        <w:t>,</w:t>
      </w:r>
    </w:p>
    <w:p w:rsidR="00BA14DE" w:rsidRPr="00F85A58" w:rsidRDefault="00BA14DE" w:rsidP="004570E2">
      <w:pPr>
        <w:ind w:left="1134" w:hanging="567"/>
        <w:rPr>
          <w:lang w:val="fr-FR"/>
        </w:rPr>
      </w:pPr>
    </w:p>
    <w:p w:rsidR="00BA14DE" w:rsidRPr="006B4271" w:rsidRDefault="00BC16B2" w:rsidP="004570E2">
      <w:pPr>
        <w:numPr>
          <w:ilvl w:val="0"/>
          <w:numId w:val="11"/>
        </w:numPr>
        <w:ind w:left="1134" w:hanging="567"/>
        <w:rPr>
          <w:iCs/>
          <w:lang w:val="fr-FR"/>
        </w:rPr>
      </w:pPr>
      <w:r w:rsidRPr="00F85A58">
        <w:rPr>
          <w:lang w:val="fr-FR"/>
        </w:rPr>
        <w:t>des informations devraient être disponibles sur le déterminisme génétique du caractère</w:t>
      </w:r>
      <w:r w:rsidR="006024AD" w:rsidRPr="00F85A58">
        <w:rPr>
          <w:lang w:val="fr-FR"/>
        </w:rPr>
        <w:t>,</w:t>
      </w:r>
    </w:p>
    <w:p w:rsidR="006B4271" w:rsidRPr="00F85A58" w:rsidRDefault="006B4271" w:rsidP="004570E2">
      <w:pPr>
        <w:ind w:left="1134" w:hanging="567"/>
        <w:rPr>
          <w:iCs/>
          <w:lang w:val="fr-FR"/>
        </w:rPr>
      </w:pPr>
    </w:p>
    <w:p w:rsidR="005752E4" w:rsidRPr="00F85A58" w:rsidRDefault="00BC16B2" w:rsidP="004570E2">
      <w:pPr>
        <w:numPr>
          <w:ilvl w:val="0"/>
          <w:numId w:val="11"/>
        </w:numPr>
        <w:ind w:left="1134" w:hanging="567"/>
        <w:rPr>
          <w:iCs/>
          <w:lang w:val="fr-FR"/>
        </w:rPr>
      </w:pPr>
      <w:r w:rsidRPr="00F85A58">
        <w:rPr>
          <w:iCs/>
          <w:lang w:val="fr-FR"/>
        </w:rPr>
        <w:t>la pertinence du caractère devrait être validée par une évaluation initiale de l</w:t>
      </w:r>
      <w:r w:rsidR="005752E4" w:rsidRPr="00F85A58">
        <w:rPr>
          <w:iCs/>
          <w:lang w:val="fr-FR"/>
        </w:rPr>
        <w:t>’</w:t>
      </w:r>
      <w:r w:rsidRPr="00F85A58">
        <w:rPr>
          <w:iCs/>
          <w:lang w:val="fr-FR"/>
        </w:rPr>
        <w:t>homogénéité à partir de plantes isolées</w:t>
      </w:r>
      <w:r w:rsidR="006024AD" w:rsidRPr="00F85A58">
        <w:rPr>
          <w:iCs/>
          <w:lang w:val="fr-FR"/>
        </w:rPr>
        <w:t>,</w:t>
      </w:r>
    </w:p>
    <w:p w:rsidR="00BA14DE" w:rsidRPr="00F85A58" w:rsidRDefault="00BA14DE" w:rsidP="004570E2">
      <w:pPr>
        <w:ind w:left="1134" w:hanging="567"/>
        <w:rPr>
          <w:iCs/>
          <w:lang w:val="fr-FR"/>
        </w:rPr>
      </w:pPr>
    </w:p>
    <w:p w:rsidR="00BA14DE" w:rsidRPr="00F85A58" w:rsidRDefault="00BC16B2" w:rsidP="004570E2">
      <w:pPr>
        <w:numPr>
          <w:ilvl w:val="0"/>
          <w:numId w:val="11"/>
        </w:numPr>
        <w:ind w:left="1134" w:hanging="567"/>
        <w:rPr>
          <w:iCs/>
          <w:lang w:val="fr-FR"/>
        </w:rPr>
      </w:pPr>
      <w:r w:rsidRPr="00F85A58">
        <w:rPr>
          <w:lang w:val="fr-FR"/>
        </w:rPr>
        <w:t>des informations devraient être fournies sur la variabilité des plantes et leurs différences au cours des cycles de végétation (données extraites de mesures courantes relatives à un caractère sur plusieurs années</w:t>
      </w:r>
      <w:r w:rsidR="00384BC5" w:rsidRPr="00F85A58">
        <w:rPr>
          <w:iCs/>
          <w:lang w:val="fr-FR"/>
        </w:rPr>
        <w:t>)</w:t>
      </w:r>
      <w:r w:rsidR="006024AD" w:rsidRPr="00F85A58">
        <w:rPr>
          <w:iCs/>
          <w:lang w:val="fr-FR"/>
        </w:rPr>
        <w:t>,</w:t>
      </w:r>
    </w:p>
    <w:p w:rsidR="00BA14DE" w:rsidRPr="00F85A58" w:rsidRDefault="00BA14DE" w:rsidP="004570E2">
      <w:pPr>
        <w:ind w:left="1134" w:hanging="567"/>
        <w:rPr>
          <w:iCs/>
          <w:lang w:val="fr-FR"/>
        </w:rPr>
      </w:pPr>
    </w:p>
    <w:p w:rsidR="00BA14DE" w:rsidRPr="00F85A58" w:rsidRDefault="006024AD" w:rsidP="004570E2">
      <w:pPr>
        <w:numPr>
          <w:ilvl w:val="0"/>
          <w:numId w:val="11"/>
        </w:numPr>
        <w:ind w:left="1134" w:hanging="567"/>
        <w:rPr>
          <w:lang w:val="fr-FR"/>
        </w:rPr>
      </w:pPr>
      <w:r w:rsidRPr="00F85A58">
        <w:rPr>
          <w:lang w:val="fr-FR"/>
        </w:rPr>
        <w:t>une description complète de la méthode d</w:t>
      </w:r>
      <w:r w:rsidR="005752E4" w:rsidRPr="00F85A58">
        <w:rPr>
          <w:lang w:val="fr-FR"/>
        </w:rPr>
        <w:t>’</w:t>
      </w:r>
      <w:r w:rsidRPr="00F85A58">
        <w:rPr>
          <w:lang w:val="fr-FR"/>
        </w:rPr>
        <w:t>évaluation devrait être fournie,</w:t>
      </w:r>
    </w:p>
    <w:p w:rsidR="00BA14DE" w:rsidRPr="00F85A58" w:rsidRDefault="00BA14DE" w:rsidP="004570E2">
      <w:pPr>
        <w:ind w:left="1134" w:hanging="567"/>
        <w:rPr>
          <w:lang w:val="fr-FR"/>
        </w:rPr>
      </w:pPr>
    </w:p>
    <w:p w:rsidR="00BA14DE" w:rsidRPr="00F85A58" w:rsidRDefault="006024AD" w:rsidP="004570E2">
      <w:pPr>
        <w:numPr>
          <w:ilvl w:val="0"/>
          <w:numId w:val="11"/>
        </w:numPr>
        <w:ind w:left="1134" w:hanging="567"/>
        <w:rPr>
          <w:lang w:val="fr-FR"/>
        </w:rPr>
      </w:pPr>
      <w:r w:rsidRPr="00F85A58">
        <w:rPr>
          <w:lang w:val="fr-FR"/>
        </w:rPr>
        <w:t>la détermination des niveaux d</w:t>
      </w:r>
      <w:r w:rsidR="005752E4" w:rsidRPr="00F85A58">
        <w:rPr>
          <w:lang w:val="fr-FR"/>
        </w:rPr>
        <w:t>’</w:t>
      </w:r>
      <w:r w:rsidRPr="00F85A58">
        <w:rPr>
          <w:lang w:val="fr-FR"/>
        </w:rPr>
        <w:t>expression devrait être fondée sur la variation existante entre les variétés et tenir compte de l</w:t>
      </w:r>
      <w:r w:rsidR="005752E4" w:rsidRPr="00F85A58">
        <w:rPr>
          <w:lang w:val="fr-FR"/>
        </w:rPr>
        <w:t>’</w:t>
      </w:r>
      <w:r w:rsidRPr="00F85A58">
        <w:rPr>
          <w:lang w:val="fr-FR"/>
        </w:rPr>
        <w:t>influence de l</w:t>
      </w:r>
      <w:r w:rsidR="005752E4" w:rsidRPr="00F85A58">
        <w:rPr>
          <w:lang w:val="fr-FR"/>
        </w:rPr>
        <w:t>’</w:t>
      </w:r>
      <w:r w:rsidRPr="00F85A58">
        <w:rPr>
          <w:lang w:val="fr-FR"/>
        </w:rPr>
        <w:t>environnement</w:t>
      </w:r>
      <w:r w:rsidR="00A32496" w:rsidRPr="00F85A58">
        <w:rPr>
          <w:lang w:val="fr-FR"/>
        </w:rPr>
        <w:t>.</w:t>
      </w:r>
    </w:p>
    <w:p w:rsidR="00BA14DE" w:rsidRPr="00F85A58" w:rsidRDefault="00BA14DE" w:rsidP="0012534E">
      <w:pPr>
        <w:rPr>
          <w:lang w:val="fr-FR"/>
        </w:rPr>
      </w:pPr>
    </w:p>
    <w:p w:rsidR="005752E4" w:rsidRPr="00F85A58" w:rsidRDefault="00A32496" w:rsidP="0012534E">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6129B9" w:rsidRPr="00F85A58">
        <w:rPr>
          <w:lang w:val="fr-FR"/>
        </w:rPr>
        <w:t>Le</w:t>
      </w:r>
      <w:r w:rsidR="005752E4" w:rsidRPr="00F85A58">
        <w:rPr>
          <w:lang w:val="fr-FR"/>
        </w:rPr>
        <w:t> TC</w:t>
      </w:r>
      <w:r w:rsidR="00E7054C" w:rsidRPr="00F85A58">
        <w:rPr>
          <w:lang w:val="fr-FR"/>
        </w:rPr>
        <w:t xml:space="preserve"> </w:t>
      </w:r>
      <w:r w:rsidR="006129B9" w:rsidRPr="00F85A58">
        <w:rPr>
          <w:lang w:val="fr-FR"/>
        </w:rPr>
        <w:t>convient que le projet d</w:t>
      </w:r>
      <w:r w:rsidR="005752E4" w:rsidRPr="00F85A58">
        <w:rPr>
          <w:lang w:val="fr-FR"/>
        </w:rPr>
        <w:t>’</w:t>
      </w:r>
      <w:r w:rsidR="006129B9" w:rsidRPr="00F85A58">
        <w:rPr>
          <w:lang w:val="fr-FR"/>
        </w:rPr>
        <w:t>orientations devait être examiné par</w:t>
      </w:r>
      <w:r w:rsidR="005752E4" w:rsidRPr="00F85A58">
        <w:rPr>
          <w:lang w:val="fr-FR"/>
        </w:rPr>
        <w:t xml:space="preserve"> les TWP</w:t>
      </w:r>
      <w:r w:rsidR="00E7054C" w:rsidRPr="00F85A58">
        <w:rPr>
          <w:lang w:val="fr-FR"/>
        </w:rPr>
        <w:t xml:space="preserve">, </w:t>
      </w:r>
      <w:r w:rsidR="006129B9" w:rsidRPr="00F85A58">
        <w:rPr>
          <w:lang w:val="fr-FR"/>
        </w:rPr>
        <w:t xml:space="preserve">à leurs </w:t>
      </w:r>
      <w:r w:rsidR="00626C6A" w:rsidRPr="00F85A58">
        <w:rPr>
          <w:lang w:val="fr-FR"/>
        </w:rPr>
        <w:t>sessions</w:t>
      </w:r>
      <w:r w:rsidR="006129B9" w:rsidRPr="00F85A58">
        <w:rPr>
          <w:lang w:val="fr-FR"/>
        </w:rPr>
        <w:t xml:space="preserve"> en</w:t>
      </w:r>
      <w:r w:rsidR="00342006" w:rsidRPr="00F85A58">
        <w:rPr>
          <w:lang w:val="fr-FR"/>
        </w:rPr>
        <w:t> </w:t>
      </w:r>
      <w:r w:rsidR="00E7054C" w:rsidRPr="00F85A58">
        <w:rPr>
          <w:lang w:val="fr-FR"/>
        </w:rPr>
        <w:t>2016.</w:t>
      </w:r>
    </w:p>
    <w:p w:rsidR="00BA14DE" w:rsidRPr="00F85A58" w:rsidRDefault="00BA14DE" w:rsidP="004C3C67">
      <w:pPr>
        <w:pStyle w:val="Heading5"/>
        <w:rPr>
          <w:lang w:val="fr-FR"/>
        </w:rPr>
      </w:pPr>
    </w:p>
    <w:p w:rsidR="00BA14DE" w:rsidRPr="00F85A58" w:rsidRDefault="00993D76" w:rsidP="00993D76">
      <w:pPr>
        <w:pStyle w:val="Heading5"/>
        <w:rPr>
          <w:lang w:val="fr-FR"/>
        </w:rPr>
      </w:pPr>
      <w:r w:rsidRPr="00F85A58">
        <w:rPr>
          <w:lang w:val="fr-FR"/>
        </w:rPr>
        <w:t>iv)</w:t>
      </w:r>
      <w:r w:rsidRPr="00F85A58">
        <w:rPr>
          <w:lang w:val="fr-FR"/>
        </w:rPr>
        <w:tab/>
        <w:t>Méthode de traitement des données pour l</w:t>
      </w:r>
      <w:r w:rsidR="005752E4" w:rsidRPr="00F85A58">
        <w:rPr>
          <w:lang w:val="fr-FR"/>
        </w:rPr>
        <w:t>’</w:t>
      </w:r>
      <w:r w:rsidRPr="00F85A58">
        <w:rPr>
          <w:lang w:val="fr-FR"/>
        </w:rPr>
        <w:t>évaluation de la distinction et l</w:t>
      </w:r>
      <w:r w:rsidR="005752E4" w:rsidRPr="00F85A58">
        <w:rPr>
          <w:lang w:val="fr-FR"/>
        </w:rPr>
        <w:t>’</w:t>
      </w:r>
      <w:r w:rsidRPr="00F85A58">
        <w:rPr>
          <w:lang w:val="fr-FR"/>
        </w:rPr>
        <w:t>établissement de descriptions variétales</w:t>
      </w:r>
    </w:p>
    <w:p w:rsidR="00BA14DE" w:rsidRPr="00F85A58" w:rsidRDefault="00BA14DE" w:rsidP="003D3E08">
      <w:pPr>
        <w:keepNext/>
        <w:rPr>
          <w:lang w:val="fr-FR"/>
        </w:rPr>
      </w:pPr>
    </w:p>
    <w:p w:rsidR="00BA14DE" w:rsidRPr="00F85A58" w:rsidRDefault="0012534E" w:rsidP="00993D76">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993D76" w:rsidRPr="00F85A58">
        <w:rPr>
          <w:lang w:val="fr-FR"/>
        </w:rPr>
        <w:t>Le</w:t>
      </w:r>
      <w:r w:rsidR="005752E4" w:rsidRPr="00F85A58">
        <w:rPr>
          <w:lang w:val="fr-FR"/>
        </w:rPr>
        <w:t> TC</w:t>
      </w:r>
      <w:r w:rsidR="00993D76" w:rsidRPr="00F85A58">
        <w:rPr>
          <w:lang w:val="fr-FR"/>
        </w:rPr>
        <w:t xml:space="preserve"> examine le </w:t>
      </w:r>
      <w:r w:rsidR="005752E4" w:rsidRPr="00F85A58">
        <w:rPr>
          <w:lang w:val="fr-FR"/>
        </w:rPr>
        <w:t>document TC</w:t>
      </w:r>
      <w:r w:rsidR="00993D76" w:rsidRPr="00F85A58">
        <w:rPr>
          <w:lang w:val="fr-FR"/>
        </w:rPr>
        <w:t>/52/19.</w:t>
      </w:r>
    </w:p>
    <w:p w:rsidR="00BA14DE" w:rsidRPr="00F85A58" w:rsidRDefault="00BA14DE" w:rsidP="0012534E">
      <w:pPr>
        <w:rPr>
          <w:lang w:val="fr-FR"/>
        </w:rPr>
      </w:pPr>
    </w:p>
    <w:p w:rsidR="00BA14DE" w:rsidRPr="00F85A58" w:rsidRDefault="00837927" w:rsidP="0012534E">
      <w:pPr>
        <w:rPr>
          <w:snapToGrid w:val="0"/>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8265D7" w:rsidRPr="00F85A58">
        <w:rPr>
          <w:lang w:val="fr-FR"/>
        </w:rPr>
        <w:t>Le</w:t>
      </w:r>
      <w:r w:rsidR="005752E4" w:rsidRPr="00F85A58">
        <w:rPr>
          <w:lang w:val="fr-FR"/>
        </w:rPr>
        <w:t> TC</w:t>
      </w:r>
      <w:r w:rsidRPr="00F85A58">
        <w:rPr>
          <w:lang w:val="fr-FR"/>
        </w:rPr>
        <w:t xml:space="preserve"> note </w:t>
      </w:r>
      <w:r w:rsidR="008265D7" w:rsidRPr="00F85A58">
        <w:rPr>
          <w:lang w:val="fr-FR"/>
        </w:rPr>
        <w:t>que</w:t>
      </w:r>
      <w:r w:rsidR="005752E4" w:rsidRPr="00F85A58">
        <w:rPr>
          <w:lang w:val="fr-FR"/>
        </w:rPr>
        <w:t xml:space="preserve"> le TWC</w:t>
      </w:r>
      <w:r w:rsidRPr="00F85A58">
        <w:rPr>
          <w:lang w:val="fr-FR"/>
        </w:rPr>
        <w:t xml:space="preserve"> </w:t>
      </w:r>
      <w:r w:rsidR="008265D7" w:rsidRPr="00F85A58">
        <w:rPr>
          <w:lang w:val="fr-FR"/>
        </w:rPr>
        <w:t xml:space="preserve">a examiné les informations relatives aux étapes </w:t>
      </w:r>
      <w:r w:rsidR="00BC72AC" w:rsidRPr="00F85A58">
        <w:rPr>
          <w:lang w:val="fr-FR"/>
        </w:rPr>
        <w:t>utilisées dans les méthodes fournies par les participants pour l</w:t>
      </w:r>
      <w:r w:rsidR="005752E4" w:rsidRPr="00F85A58">
        <w:rPr>
          <w:lang w:val="fr-FR"/>
        </w:rPr>
        <w:t>’</w:t>
      </w:r>
      <w:r w:rsidR="00BC72AC" w:rsidRPr="00F85A58">
        <w:rPr>
          <w:lang w:val="fr-FR"/>
        </w:rPr>
        <w:t>exercice pratique afin de déterminer les éléments communs et les divergences entre les méthod</w:t>
      </w:r>
      <w:r w:rsidR="00F85A58" w:rsidRPr="00F85A58">
        <w:rPr>
          <w:lang w:val="fr-FR"/>
        </w:rPr>
        <w:t xml:space="preserve">es.  </w:t>
      </w:r>
      <w:r w:rsidR="00F85A58" w:rsidRPr="00F85A58">
        <w:rPr>
          <w:snapToGrid w:val="0"/>
          <w:lang w:val="fr-FR"/>
        </w:rPr>
        <w:t>Le</w:t>
      </w:r>
      <w:r w:rsidR="005752E4" w:rsidRPr="00F85A58">
        <w:rPr>
          <w:snapToGrid w:val="0"/>
          <w:lang w:val="fr-FR"/>
        </w:rPr>
        <w:t> TC</w:t>
      </w:r>
      <w:r w:rsidRPr="00F85A58">
        <w:rPr>
          <w:snapToGrid w:val="0"/>
          <w:lang w:val="fr-FR"/>
        </w:rPr>
        <w:t xml:space="preserve"> </w:t>
      </w:r>
      <w:r w:rsidR="00BC72AC" w:rsidRPr="00F85A58">
        <w:rPr>
          <w:snapToGrid w:val="0"/>
          <w:lang w:val="fr-FR"/>
        </w:rPr>
        <w:t xml:space="preserve">note </w:t>
      </w:r>
      <w:r w:rsidR="00626C6A" w:rsidRPr="00F85A58">
        <w:rPr>
          <w:snapToGrid w:val="0"/>
          <w:lang w:val="fr-FR"/>
        </w:rPr>
        <w:t>également</w:t>
      </w:r>
      <w:r w:rsidR="00BC72AC" w:rsidRPr="00F85A58">
        <w:rPr>
          <w:snapToGrid w:val="0"/>
          <w:lang w:val="fr-FR"/>
        </w:rPr>
        <w:t xml:space="preserve"> que</w:t>
      </w:r>
      <w:r w:rsidR="005752E4" w:rsidRPr="00F85A58">
        <w:rPr>
          <w:snapToGrid w:val="0"/>
          <w:lang w:val="fr-FR"/>
        </w:rPr>
        <w:t xml:space="preserve"> le TWC</w:t>
      </w:r>
      <w:r w:rsidRPr="00F85A58">
        <w:rPr>
          <w:snapToGrid w:val="0"/>
          <w:lang w:val="fr-FR"/>
        </w:rPr>
        <w:t xml:space="preserve"> </w:t>
      </w:r>
      <w:r w:rsidR="00BC72AC" w:rsidRPr="00F85A58">
        <w:rPr>
          <w:snapToGrid w:val="0"/>
          <w:lang w:val="fr-FR"/>
        </w:rPr>
        <w:t>est convenu que les méthodes pour attribuer une note aux variétés candidates se fondaient sur l</w:t>
      </w:r>
      <w:r w:rsidR="005752E4" w:rsidRPr="00F85A58">
        <w:rPr>
          <w:snapToGrid w:val="0"/>
          <w:lang w:val="fr-FR"/>
        </w:rPr>
        <w:t>’</w:t>
      </w:r>
      <w:r w:rsidR="00BC72AC" w:rsidRPr="00F85A58">
        <w:rPr>
          <w:snapToGrid w:val="0"/>
          <w:lang w:val="fr-FR"/>
        </w:rPr>
        <w:t>une ou plusieurs de ces approches</w:t>
      </w:r>
      <w:r w:rsidR="00342006" w:rsidRPr="00F85A58">
        <w:rPr>
          <w:snapToGrid w:val="0"/>
          <w:lang w:val="fr-FR"/>
        </w:rPr>
        <w:t> </w:t>
      </w:r>
      <w:r w:rsidR="00BC72AC" w:rsidRPr="00F85A58">
        <w:rPr>
          <w:snapToGrid w:val="0"/>
          <w:lang w:val="fr-FR"/>
        </w:rPr>
        <w:t>: une division en niveaux selon des intervalles réguliers, l</w:t>
      </w:r>
      <w:r w:rsidR="005752E4" w:rsidRPr="00F85A58">
        <w:rPr>
          <w:snapToGrid w:val="0"/>
          <w:lang w:val="fr-FR"/>
        </w:rPr>
        <w:t>’</w:t>
      </w:r>
      <w:r w:rsidR="00BC72AC" w:rsidRPr="00F85A58">
        <w:rPr>
          <w:snapToGrid w:val="0"/>
          <w:lang w:val="fr-FR"/>
        </w:rPr>
        <w:t>utilisation des résultats de variétés utilisées à titre d</w:t>
      </w:r>
      <w:r w:rsidR="005752E4" w:rsidRPr="00F85A58">
        <w:rPr>
          <w:snapToGrid w:val="0"/>
          <w:lang w:val="fr-FR"/>
        </w:rPr>
        <w:t>’</w:t>
      </w:r>
      <w:r w:rsidR="00BC72AC" w:rsidRPr="00F85A58">
        <w:rPr>
          <w:snapToGrid w:val="0"/>
          <w:lang w:val="fr-FR"/>
        </w:rPr>
        <w:t>exemple ou l</w:t>
      </w:r>
      <w:r w:rsidR="005752E4" w:rsidRPr="00F85A58">
        <w:rPr>
          <w:snapToGrid w:val="0"/>
          <w:lang w:val="fr-FR"/>
        </w:rPr>
        <w:t>’</w:t>
      </w:r>
      <w:r w:rsidR="00BC72AC" w:rsidRPr="00F85A58">
        <w:rPr>
          <w:snapToGrid w:val="0"/>
          <w:lang w:val="fr-FR"/>
        </w:rPr>
        <w:t>avis d</w:t>
      </w:r>
      <w:r w:rsidR="005752E4" w:rsidRPr="00F85A58">
        <w:rPr>
          <w:snapToGrid w:val="0"/>
          <w:lang w:val="fr-FR"/>
        </w:rPr>
        <w:t>’</w:t>
      </w:r>
      <w:r w:rsidR="00BC72AC" w:rsidRPr="00F85A58">
        <w:rPr>
          <w:snapToGrid w:val="0"/>
          <w:lang w:val="fr-FR"/>
        </w:rPr>
        <w:t xml:space="preserve">un </w:t>
      </w:r>
      <w:proofErr w:type="spellStart"/>
      <w:r w:rsidR="00BC72AC" w:rsidRPr="00F85A58">
        <w:rPr>
          <w:snapToGrid w:val="0"/>
          <w:lang w:val="fr-FR"/>
        </w:rPr>
        <w:t>phytotechnicien</w:t>
      </w:r>
      <w:proofErr w:type="spellEnd"/>
      <w:r w:rsidRPr="00F85A58">
        <w:rPr>
          <w:snapToGrid w:val="0"/>
          <w:lang w:val="fr-FR"/>
        </w:rPr>
        <w:t>.</w:t>
      </w:r>
    </w:p>
    <w:p w:rsidR="00F85A58" w:rsidRPr="00F85A58" w:rsidRDefault="00F85A58" w:rsidP="0012534E">
      <w:pPr>
        <w:rPr>
          <w:lang w:val="fr-FR"/>
        </w:rPr>
      </w:pPr>
    </w:p>
    <w:p w:rsidR="005752E4" w:rsidRPr="00F85A58" w:rsidRDefault="00CF75D2" w:rsidP="0012534E">
      <w:pPr>
        <w:rPr>
          <w:rFonts w:cs="Arial"/>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BC72AC" w:rsidRPr="00F85A58">
        <w:rPr>
          <w:lang w:val="fr-FR"/>
        </w:rPr>
        <w:t>Le</w:t>
      </w:r>
      <w:r w:rsidR="005752E4" w:rsidRPr="00F85A58">
        <w:rPr>
          <w:lang w:val="fr-FR"/>
        </w:rPr>
        <w:t> TC</w:t>
      </w:r>
      <w:r w:rsidRPr="00F85A58">
        <w:rPr>
          <w:lang w:val="fr-FR"/>
        </w:rPr>
        <w:t xml:space="preserve"> </w:t>
      </w:r>
      <w:r w:rsidR="00BC72AC" w:rsidRPr="00F85A58">
        <w:rPr>
          <w:lang w:val="fr-FR"/>
        </w:rPr>
        <w:t>convient de demander</w:t>
      </w:r>
      <w:r w:rsidR="005752E4" w:rsidRPr="00F85A58">
        <w:rPr>
          <w:lang w:val="fr-FR"/>
        </w:rPr>
        <w:t xml:space="preserve"> aux TWP</w:t>
      </w:r>
      <w:r w:rsidRPr="00F85A58">
        <w:rPr>
          <w:lang w:val="fr-FR"/>
        </w:rPr>
        <w:t xml:space="preserve">, </w:t>
      </w:r>
      <w:r w:rsidR="00BC72AC" w:rsidRPr="00F85A58">
        <w:rPr>
          <w:lang w:val="fr-FR"/>
        </w:rPr>
        <w:t>à leurs sessions en</w:t>
      </w:r>
      <w:r w:rsidR="00342006" w:rsidRPr="00F85A58">
        <w:rPr>
          <w:lang w:val="fr-FR"/>
        </w:rPr>
        <w:t> </w:t>
      </w:r>
      <w:r w:rsidRPr="00F85A58">
        <w:rPr>
          <w:lang w:val="fr-FR"/>
        </w:rPr>
        <w:t xml:space="preserve">2016, </w:t>
      </w:r>
      <w:r w:rsidR="00BC72AC" w:rsidRPr="00F85A58">
        <w:rPr>
          <w:lang w:val="fr-FR"/>
        </w:rPr>
        <w:t>d</w:t>
      </w:r>
      <w:r w:rsidR="005752E4" w:rsidRPr="00F85A58">
        <w:rPr>
          <w:lang w:val="fr-FR"/>
        </w:rPr>
        <w:t>’</w:t>
      </w:r>
      <w:r w:rsidR="00BC72AC" w:rsidRPr="00F85A58">
        <w:rPr>
          <w:lang w:val="fr-FR"/>
        </w:rPr>
        <w:t>examiner l</w:t>
      </w:r>
      <w:r w:rsidR="005752E4" w:rsidRPr="00F85A58">
        <w:rPr>
          <w:lang w:val="fr-FR"/>
        </w:rPr>
        <w:t>’</w:t>
      </w:r>
      <w:r w:rsidR="00BC72AC" w:rsidRPr="00F85A58">
        <w:rPr>
          <w:lang w:val="fr-FR"/>
        </w:rPr>
        <w:t>analyse fournie par</w:t>
      </w:r>
      <w:r w:rsidR="005752E4" w:rsidRPr="00F85A58">
        <w:rPr>
          <w:lang w:val="fr-FR"/>
        </w:rPr>
        <w:t xml:space="preserve"> le TWC</w:t>
      </w:r>
      <w:r w:rsidRPr="00F85A58">
        <w:rPr>
          <w:lang w:val="fr-FR"/>
        </w:rPr>
        <w:t xml:space="preserve">, </w:t>
      </w:r>
      <w:r w:rsidR="00BC72AC" w:rsidRPr="00F85A58">
        <w:rPr>
          <w:lang w:val="fr-FR"/>
        </w:rPr>
        <w:t>telle qu</w:t>
      </w:r>
      <w:r w:rsidR="005752E4" w:rsidRPr="00F85A58">
        <w:rPr>
          <w:lang w:val="fr-FR"/>
        </w:rPr>
        <w:t>’</w:t>
      </w:r>
      <w:r w:rsidR="00BC72AC" w:rsidRPr="00F85A58">
        <w:rPr>
          <w:lang w:val="fr-FR"/>
        </w:rPr>
        <w:t xml:space="preserve">elle figure en annexe du </w:t>
      </w:r>
      <w:r w:rsidR="005752E4" w:rsidRPr="00F85A58">
        <w:rPr>
          <w:lang w:val="fr-FR"/>
        </w:rPr>
        <w:t>document TC</w:t>
      </w:r>
      <w:r w:rsidRPr="00F85A58">
        <w:rPr>
          <w:lang w:val="fr-FR"/>
        </w:rPr>
        <w:t xml:space="preserve">/52/19.  </w:t>
      </w:r>
      <w:r w:rsidR="00BC72AC" w:rsidRPr="00F85A58">
        <w:rPr>
          <w:lang w:val="fr-FR"/>
        </w:rPr>
        <w:t>Le</w:t>
      </w:r>
      <w:r w:rsidR="005752E4" w:rsidRPr="00F85A58">
        <w:rPr>
          <w:rFonts w:cs="Arial"/>
          <w:lang w:val="fr-FR"/>
        </w:rPr>
        <w:t> TC</w:t>
      </w:r>
      <w:r w:rsidR="007D18CC" w:rsidRPr="00F85A58">
        <w:rPr>
          <w:rFonts w:cs="Arial"/>
          <w:lang w:val="fr-FR"/>
        </w:rPr>
        <w:t xml:space="preserve"> </w:t>
      </w:r>
      <w:r w:rsidR="00BC72AC" w:rsidRPr="00F85A58">
        <w:rPr>
          <w:rFonts w:cs="Arial"/>
          <w:lang w:val="fr-FR"/>
        </w:rPr>
        <w:t>convient de demander à l</w:t>
      </w:r>
      <w:r w:rsidR="005752E4" w:rsidRPr="00F85A58">
        <w:rPr>
          <w:rFonts w:cs="Arial"/>
          <w:lang w:val="fr-FR"/>
        </w:rPr>
        <w:t>’</w:t>
      </w:r>
      <w:r w:rsidR="007D18CC" w:rsidRPr="00F85A58">
        <w:rPr>
          <w:rFonts w:cs="Arial"/>
          <w:lang w:val="fr-FR"/>
        </w:rPr>
        <w:t xml:space="preserve">expert </w:t>
      </w:r>
      <w:r w:rsidR="00BC72AC" w:rsidRPr="00F85A58">
        <w:rPr>
          <w:rFonts w:cs="Arial"/>
          <w:lang w:val="fr-FR"/>
        </w:rPr>
        <w:t xml:space="preserve">de la </w:t>
      </w:r>
      <w:r w:rsidR="007D18CC" w:rsidRPr="00F85A58">
        <w:rPr>
          <w:rFonts w:cs="Arial"/>
          <w:lang w:val="fr-FR"/>
        </w:rPr>
        <w:t xml:space="preserve">France </w:t>
      </w:r>
      <w:r w:rsidR="00BC72AC" w:rsidRPr="00F85A58">
        <w:rPr>
          <w:rFonts w:cs="Arial"/>
          <w:lang w:val="fr-FR"/>
        </w:rPr>
        <w:t xml:space="preserve">de fournir de plus amples </w:t>
      </w:r>
      <w:r w:rsidR="00626C6A" w:rsidRPr="00F85A58">
        <w:rPr>
          <w:rFonts w:cs="Arial"/>
          <w:lang w:val="fr-FR"/>
        </w:rPr>
        <w:t>informations</w:t>
      </w:r>
      <w:r w:rsidR="00BC72AC" w:rsidRPr="00F85A58">
        <w:rPr>
          <w:rFonts w:cs="Arial"/>
          <w:lang w:val="fr-FR"/>
        </w:rPr>
        <w:t xml:space="preserve"> sur les données analysées dans le cadre de l</w:t>
      </w:r>
      <w:r w:rsidR="005752E4" w:rsidRPr="00F85A58">
        <w:rPr>
          <w:rFonts w:cs="Arial"/>
          <w:lang w:val="fr-FR"/>
        </w:rPr>
        <w:t>’</w:t>
      </w:r>
      <w:r w:rsidR="00BC72AC" w:rsidRPr="00F85A58">
        <w:rPr>
          <w:rFonts w:cs="Arial"/>
          <w:lang w:val="fr-FR"/>
        </w:rPr>
        <w:t>étu</w:t>
      </w:r>
      <w:r w:rsidR="00F85A58" w:rsidRPr="00F85A58">
        <w:rPr>
          <w:rFonts w:cs="Arial"/>
          <w:lang w:val="fr-FR"/>
        </w:rPr>
        <w:t>de.  Le</w:t>
      </w:r>
      <w:r w:rsidR="005752E4" w:rsidRPr="00F85A58">
        <w:rPr>
          <w:rFonts w:cs="Arial"/>
          <w:lang w:val="fr-FR"/>
        </w:rPr>
        <w:t> TC</w:t>
      </w:r>
      <w:r w:rsidRPr="00F85A58">
        <w:rPr>
          <w:lang w:val="fr-FR"/>
        </w:rPr>
        <w:t xml:space="preserve"> </w:t>
      </w:r>
      <w:r w:rsidR="00BC72AC" w:rsidRPr="00F85A58">
        <w:rPr>
          <w:lang w:val="fr-FR"/>
        </w:rPr>
        <w:t>convient également de demander aux personnes participant à l</w:t>
      </w:r>
      <w:r w:rsidR="005752E4" w:rsidRPr="00F85A58">
        <w:rPr>
          <w:lang w:val="fr-FR"/>
        </w:rPr>
        <w:t>’</w:t>
      </w:r>
      <w:r w:rsidR="00BC72AC" w:rsidRPr="00F85A58">
        <w:rPr>
          <w:lang w:val="fr-FR"/>
        </w:rPr>
        <w:t xml:space="preserve">exercice pratique de </w:t>
      </w:r>
      <w:r w:rsidR="00763BF7" w:rsidRPr="00F85A58">
        <w:rPr>
          <w:lang w:val="fr-FR"/>
        </w:rPr>
        <w:t>fournir des informations concernant les motifs et les situations pour lesquels les variétés utilisées à titre d</w:t>
      </w:r>
      <w:r w:rsidR="005752E4" w:rsidRPr="00F85A58">
        <w:rPr>
          <w:lang w:val="fr-FR"/>
        </w:rPr>
        <w:t>’</w:t>
      </w:r>
      <w:r w:rsidR="00763BF7" w:rsidRPr="00F85A58">
        <w:rPr>
          <w:lang w:val="fr-FR"/>
        </w:rPr>
        <w:t>exemple, l</w:t>
      </w:r>
      <w:r w:rsidR="005752E4" w:rsidRPr="00F85A58">
        <w:rPr>
          <w:lang w:val="fr-FR"/>
        </w:rPr>
        <w:t>’</w:t>
      </w:r>
      <w:r w:rsidR="00763BF7" w:rsidRPr="00F85A58">
        <w:rPr>
          <w:lang w:val="fr-FR"/>
        </w:rPr>
        <w:t>avis d</w:t>
      </w:r>
      <w:r w:rsidR="005752E4" w:rsidRPr="00F85A58">
        <w:rPr>
          <w:lang w:val="fr-FR"/>
        </w:rPr>
        <w:t>’</w:t>
      </w:r>
      <w:r w:rsidR="00763BF7" w:rsidRPr="00F85A58">
        <w:rPr>
          <w:lang w:val="fr-FR"/>
        </w:rPr>
        <w:t xml:space="preserve">un </w:t>
      </w:r>
      <w:proofErr w:type="spellStart"/>
      <w:r w:rsidR="00763BF7" w:rsidRPr="00F85A58">
        <w:rPr>
          <w:lang w:val="fr-FR"/>
        </w:rPr>
        <w:t>phytotechnicien</w:t>
      </w:r>
      <w:proofErr w:type="spellEnd"/>
      <w:r w:rsidR="00763BF7" w:rsidRPr="00F85A58">
        <w:rPr>
          <w:lang w:val="fr-FR"/>
        </w:rPr>
        <w:t xml:space="preserve"> et la division en niveaux selon des intervalles réguliers seraient, ou non, appropriées afin de convertir des observations en notes</w:t>
      </w:r>
      <w:r w:rsidRPr="00F85A58">
        <w:rPr>
          <w:rFonts w:cs="Arial"/>
          <w:lang w:val="fr-FR"/>
        </w:rPr>
        <w:t>.</w:t>
      </w:r>
    </w:p>
    <w:p w:rsidR="00BA14DE" w:rsidRPr="00F85A58" w:rsidRDefault="00BA14DE" w:rsidP="0012534E">
      <w:pPr>
        <w:rPr>
          <w:lang w:val="fr-FR"/>
        </w:rPr>
      </w:pPr>
    </w:p>
    <w:p w:rsidR="00BA14DE" w:rsidRPr="00F85A58" w:rsidRDefault="0012534E" w:rsidP="00221605">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F67490" w:rsidRPr="00F85A58">
        <w:rPr>
          <w:lang w:val="fr-FR"/>
        </w:rPr>
        <w:t>Le</w:t>
      </w:r>
      <w:r w:rsidR="005752E4" w:rsidRPr="00F85A58">
        <w:rPr>
          <w:lang w:val="fr-FR"/>
        </w:rPr>
        <w:t> TC</w:t>
      </w:r>
      <w:r w:rsidR="00837927" w:rsidRPr="00F85A58">
        <w:rPr>
          <w:lang w:val="fr-FR"/>
        </w:rPr>
        <w:t xml:space="preserve"> </w:t>
      </w:r>
      <w:r w:rsidR="00F67490" w:rsidRPr="00F85A58">
        <w:rPr>
          <w:lang w:val="fr-FR"/>
        </w:rPr>
        <w:t>convient avec</w:t>
      </w:r>
      <w:r w:rsidR="005752E4" w:rsidRPr="00F85A58">
        <w:rPr>
          <w:lang w:val="fr-FR"/>
        </w:rPr>
        <w:t xml:space="preserve"> le TWC</w:t>
      </w:r>
      <w:r w:rsidR="00837927" w:rsidRPr="00F85A58">
        <w:rPr>
          <w:lang w:val="fr-FR"/>
        </w:rPr>
        <w:t xml:space="preserve"> </w:t>
      </w:r>
      <w:r w:rsidR="00F67490" w:rsidRPr="00F85A58">
        <w:rPr>
          <w:lang w:val="fr-FR"/>
        </w:rPr>
        <w:t>et</w:t>
      </w:r>
      <w:r w:rsidR="005752E4" w:rsidRPr="00F85A58">
        <w:rPr>
          <w:lang w:val="fr-FR"/>
        </w:rPr>
        <w:t xml:space="preserve"> le TWA</w:t>
      </w:r>
      <w:r w:rsidR="00837927" w:rsidRPr="00F85A58">
        <w:rPr>
          <w:lang w:val="fr-FR"/>
        </w:rPr>
        <w:t xml:space="preserve"> </w:t>
      </w:r>
      <w:r w:rsidR="00F67490" w:rsidRPr="00F85A58">
        <w:rPr>
          <w:lang w:val="fr-FR"/>
        </w:rPr>
        <w:t xml:space="preserve">que les orientations sur </w:t>
      </w:r>
      <w:r w:rsidR="00837927" w:rsidRPr="00F85A58">
        <w:rPr>
          <w:snapToGrid w:val="0"/>
          <w:lang w:val="fr-FR"/>
        </w:rPr>
        <w:t>“</w:t>
      </w:r>
      <w:r w:rsidR="00F67490" w:rsidRPr="00F85A58">
        <w:rPr>
          <w:snapToGrid w:val="0"/>
          <w:lang w:val="fr-FR"/>
        </w:rPr>
        <w:t>les différentes formes que les descriptions variétales pouvaient prendre et l</w:t>
      </w:r>
      <w:r w:rsidR="005752E4" w:rsidRPr="00F85A58">
        <w:rPr>
          <w:snapToGrid w:val="0"/>
          <w:lang w:val="fr-FR"/>
        </w:rPr>
        <w:t>’</w:t>
      </w:r>
      <w:r w:rsidR="00F67490" w:rsidRPr="00F85A58">
        <w:rPr>
          <w:snapToGrid w:val="0"/>
          <w:lang w:val="fr-FR"/>
        </w:rPr>
        <w:t>intérêt des échelles de niveau</w:t>
      </w:r>
      <w:r w:rsidR="00837927" w:rsidRPr="00F85A58">
        <w:rPr>
          <w:snapToGrid w:val="0"/>
          <w:lang w:val="fr-FR"/>
        </w:rPr>
        <w:t xml:space="preserve">”, </w:t>
      </w:r>
      <w:r w:rsidR="00F67490" w:rsidRPr="00F85A58">
        <w:rPr>
          <w:snapToGrid w:val="0"/>
          <w:lang w:val="fr-FR"/>
        </w:rPr>
        <w:t xml:space="preserve">comme </w:t>
      </w:r>
      <w:r w:rsidR="00626C6A" w:rsidRPr="00F85A58">
        <w:rPr>
          <w:snapToGrid w:val="0"/>
          <w:lang w:val="fr-FR"/>
        </w:rPr>
        <w:t>reproduites</w:t>
      </w:r>
      <w:r w:rsidR="00F67490" w:rsidRPr="00F85A58">
        <w:rPr>
          <w:snapToGrid w:val="0"/>
          <w:lang w:val="fr-FR"/>
        </w:rPr>
        <w:t xml:space="preserve"> en annexe I du</w:t>
      </w:r>
      <w:r w:rsidR="005752E4" w:rsidRPr="00F85A58">
        <w:rPr>
          <w:snapToGrid w:val="0"/>
          <w:lang w:val="fr-FR"/>
        </w:rPr>
        <w:t> TC</w:t>
      </w:r>
      <w:r w:rsidR="00CF75D2" w:rsidRPr="00F85A58">
        <w:rPr>
          <w:snapToGrid w:val="0"/>
          <w:lang w:val="fr-FR"/>
        </w:rPr>
        <w:t xml:space="preserve">/51/19, </w:t>
      </w:r>
      <w:r w:rsidR="00F67490" w:rsidRPr="00F85A58">
        <w:rPr>
          <w:snapToGrid w:val="0"/>
          <w:lang w:val="fr-FR"/>
        </w:rPr>
        <w:t>devraient être utilisés comme une introduction à des conseils à venir et devant être mis au point au sujet du traitement des données pour l</w:t>
      </w:r>
      <w:r w:rsidR="005752E4" w:rsidRPr="00F85A58">
        <w:rPr>
          <w:snapToGrid w:val="0"/>
          <w:lang w:val="fr-FR"/>
        </w:rPr>
        <w:t>’</w:t>
      </w:r>
      <w:r w:rsidR="00F67490" w:rsidRPr="00F85A58">
        <w:rPr>
          <w:snapToGrid w:val="0"/>
          <w:lang w:val="fr-FR"/>
        </w:rPr>
        <w:t>évaluation de la distinction et pour produire des descriptions variétales</w:t>
      </w:r>
      <w:r w:rsidRPr="00F85A58">
        <w:rPr>
          <w:lang w:val="fr-FR"/>
        </w:rPr>
        <w:t>.</w:t>
      </w:r>
    </w:p>
    <w:p w:rsidR="00BA14DE" w:rsidRPr="00F85A58" w:rsidRDefault="00BA14DE" w:rsidP="00221605">
      <w:pPr>
        <w:rPr>
          <w:lang w:val="fr-FR"/>
        </w:rPr>
      </w:pPr>
    </w:p>
    <w:p w:rsidR="00BA14DE" w:rsidRPr="00F85A58" w:rsidRDefault="00993D76" w:rsidP="00993D76">
      <w:pPr>
        <w:pStyle w:val="Heading4"/>
        <w:rPr>
          <w:snapToGrid/>
        </w:rPr>
      </w:pPr>
      <w:r w:rsidRPr="00F85A58">
        <w:rPr>
          <w:snapToGrid/>
        </w:rPr>
        <w:t>TGP/10</w:t>
      </w:r>
      <w:r w:rsidR="003A03CA" w:rsidRPr="00F85A58">
        <w:rPr>
          <w:snapToGrid/>
        </w:rPr>
        <w:t> </w:t>
      </w:r>
      <w:r w:rsidRPr="00F85A58">
        <w:rPr>
          <w:snapToGrid/>
        </w:rPr>
        <w:t>: Examen de l</w:t>
      </w:r>
      <w:r w:rsidR="005752E4" w:rsidRPr="00F85A58">
        <w:rPr>
          <w:snapToGrid/>
        </w:rPr>
        <w:t>’</w:t>
      </w:r>
      <w:r w:rsidRPr="00F85A58">
        <w:rPr>
          <w:snapToGrid/>
        </w:rPr>
        <w:t>homogénéité</w:t>
      </w:r>
    </w:p>
    <w:p w:rsidR="00BA14DE" w:rsidRPr="00F85A58" w:rsidRDefault="00BA14DE" w:rsidP="003D3E08">
      <w:pPr>
        <w:keepNext/>
        <w:ind w:left="567"/>
        <w:rPr>
          <w:rFonts w:cs="Arial"/>
          <w:snapToGrid w:val="0"/>
          <w:lang w:val="fr-FR"/>
        </w:rPr>
      </w:pPr>
    </w:p>
    <w:p w:rsidR="005752E4" w:rsidRPr="00F85A58" w:rsidRDefault="00993D76" w:rsidP="00993D76">
      <w:pPr>
        <w:pStyle w:val="Heading5"/>
        <w:rPr>
          <w:lang w:val="fr-FR"/>
        </w:rPr>
      </w:pPr>
      <w:r w:rsidRPr="00F85A58">
        <w:rPr>
          <w:lang w:val="fr-FR"/>
        </w:rPr>
        <w:t>v)</w:t>
      </w:r>
      <w:r w:rsidRPr="00F85A58">
        <w:rPr>
          <w:lang w:val="fr-FR"/>
        </w:rPr>
        <w:tab/>
        <w:t>Nouvelle section</w:t>
      </w:r>
      <w:r w:rsidR="00342006" w:rsidRPr="00F85A58">
        <w:rPr>
          <w:lang w:val="fr-FR"/>
        </w:rPr>
        <w:t> </w:t>
      </w:r>
      <w:r w:rsidRPr="00F85A58">
        <w:rPr>
          <w:lang w:val="fr-FR"/>
        </w:rPr>
        <w:t>: Évaluation de l</w:t>
      </w:r>
      <w:r w:rsidR="005752E4" w:rsidRPr="00F85A58">
        <w:rPr>
          <w:lang w:val="fr-FR"/>
        </w:rPr>
        <w:t>’</w:t>
      </w:r>
      <w:r w:rsidRPr="00F85A58">
        <w:rPr>
          <w:lang w:val="fr-FR"/>
        </w:rPr>
        <w:t>homogénéité d</w:t>
      </w:r>
      <w:r w:rsidR="005752E4" w:rsidRPr="00F85A58">
        <w:rPr>
          <w:lang w:val="fr-FR"/>
        </w:rPr>
        <w:t>’</w:t>
      </w:r>
      <w:r w:rsidRPr="00F85A58">
        <w:rPr>
          <w:lang w:val="fr-FR"/>
        </w:rPr>
        <w:t>après les plantes hors</w:t>
      </w:r>
      <w:r w:rsidR="00F85A58" w:rsidRPr="00F85A58">
        <w:rPr>
          <w:lang w:val="fr-FR"/>
        </w:rPr>
        <w:noBreakHyphen/>
      </w:r>
      <w:r w:rsidRPr="00F85A58">
        <w:rPr>
          <w:lang w:val="fr-FR"/>
        </w:rPr>
        <w:t>type sur la base de plusieurs cycles de végétations ou sous</w:t>
      </w:r>
      <w:r w:rsidR="00F85A58" w:rsidRPr="00F85A58">
        <w:rPr>
          <w:lang w:val="fr-FR"/>
        </w:rPr>
        <w:noBreakHyphen/>
      </w:r>
      <w:r w:rsidRPr="00F85A58">
        <w:rPr>
          <w:lang w:val="fr-FR"/>
        </w:rPr>
        <w:t>échantillons</w:t>
      </w:r>
    </w:p>
    <w:p w:rsidR="00BA14DE" w:rsidRPr="00F85A58" w:rsidRDefault="00BA14DE" w:rsidP="004C3C67">
      <w:pPr>
        <w:pStyle w:val="Heading5"/>
        <w:rPr>
          <w:lang w:val="fr-FR"/>
        </w:rPr>
      </w:pPr>
    </w:p>
    <w:p w:rsidR="00BA14DE" w:rsidRPr="00F85A58" w:rsidRDefault="0034756D" w:rsidP="003D3E08">
      <w:pPr>
        <w:keepNext/>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9F484B" w:rsidRPr="00F85A58">
        <w:rPr>
          <w:lang w:val="fr-FR"/>
        </w:rPr>
        <w:t>Le</w:t>
      </w:r>
      <w:r w:rsidR="005752E4" w:rsidRPr="00F85A58">
        <w:rPr>
          <w:lang w:val="fr-FR"/>
        </w:rPr>
        <w:t> TC</w:t>
      </w:r>
      <w:r w:rsidRPr="00F85A58">
        <w:rPr>
          <w:lang w:val="fr-FR"/>
        </w:rPr>
        <w:t xml:space="preserve"> </w:t>
      </w:r>
      <w:r w:rsidR="009F484B" w:rsidRPr="00F85A58">
        <w:rPr>
          <w:lang w:val="fr-FR"/>
        </w:rPr>
        <w:t xml:space="preserve">examine le </w:t>
      </w:r>
      <w:r w:rsidR="005752E4" w:rsidRPr="00F85A58">
        <w:rPr>
          <w:lang w:val="fr-FR"/>
        </w:rPr>
        <w:t>document TC</w:t>
      </w:r>
      <w:r w:rsidRPr="00F85A58">
        <w:rPr>
          <w:lang w:val="fr-FR"/>
        </w:rPr>
        <w:t>/52/20</w:t>
      </w:r>
      <w:r w:rsidR="006B7121" w:rsidRPr="00F85A58">
        <w:rPr>
          <w:lang w:val="fr-FR"/>
        </w:rPr>
        <w:t xml:space="preserve"> </w:t>
      </w:r>
      <w:r w:rsidR="009F484B" w:rsidRPr="00F85A58">
        <w:rPr>
          <w:lang w:val="fr-FR"/>
        </w:rPr>
        <w:t xml:space="preserve">et suit un exposé présenté par un </w:t>
      </w:r>
      <w:r w:rsidR="006B7121" w:rsidRPr="00F85A58">
        <w:rPr>
          <w:lang w:val="fr-FR"/>
        </w:rPr>
        <w:t xml:space="preserve">expert </w:t>
      </w:r>
      <w:r w:rsidR="009F484B" w:rsidRPr="00F85A58">
        <w:rPr>
          <w:lang w:val="fr-FR"/>
        </w:rPr>
        <w:t>du Royaume</w:t>
      </w:r>
      <w:r w:rsidR="00F85A58" w:rsidRPr="00F85A58">
        <w:rPr>
          <w:lang w:val="fr-FR"/>
        </w:rPr>
        <w:noBreakHyphen/>
      </w:r>
      <w:r w:rsidR="009F484B" w:rsidRPr="00F85A58">
        <w:rPr>
          <w:lang w:val="fr-FR"/>
        </w:rPr>
        <w:t xml:space="preserve">Uni sur </w:t>
      </w:r>
      <w:r w:rsidR="00AC0EBC" w:rsidRPr="00F85A58">
        <w:rPr>
          <w:lang w:val="fr-FR"/>
        </w:rPr>
        <w:t>l</w:t>
      </w:r>
      <w:r w:rsidR="005752E4" w:rsidRPr="00F85A58">
        <w:rPr>
          <w:lang w:val="fr-FR"/>
        </w:rPr>
        <w:t>’</w:t>
      </w:r>
      <w:r w:rsidR="00AC0EBC" w:rsidRPr="00F85A58">
        <w:rPr>
          <w:lang w:val="fr-FR"/>
        </w:rPr>
        <w:t>évaluation de l</w:t>
      </w:r>
      <w:r w:rsidR="005752E4" w:rsidRPr="00F85A58">
        <w:rPr>
          <w:lang w:val="fr-FR"/>
        </w:rPr>
        <w:t>’</w:t>
      </w:r>
      <w:r w:rsidR="00AC0EBC" w:rsidRPr="00F85A58">
        <w:rPr>
          <w:lang w:val="fr-FR"/>
        </w:rPr>
        <w:t>homogénéité d</w:t>
      </w:r>
      <w:r w:rsidR="005752E4" w:rsidRPr="00F85A58">
        <w:rPr>
          <w:lang w:val="fr-FR"/>
        </w:rPr>
        <w:t>’</w:t>
      </w:r>
      <w:r w:rsidR="00AC0EBC" w:rsidRPr="00F85A58">
        <w:rPr>
          <w:lang w:val="fr-FR"/>
        </w:rPr>
        <w:t>après les plantes hors</w:t>
      </w:r>
      <w:r w:rsidR="00F85A58" w:rsidRPr="00F85A58">
        <w:rPr>
          <w:lang w:val="fr-FR"/>
        </w:rPr>
        <w:noBreakHyphen/>
      </w:r>
      <w:r w:rsidR="00AC0EBC" w:rsidRPr="00F85A58">
        <w:rPr>
          <w:lang w:val="fr-FR"/>
        </w:rPr>
        <w:t>type sur la base de plusieurs cycles de végétations</w:t>
      </w:r>
      <w:r w:rsidR="006B7121" w:rsidRPr="00F85A58">
        <w:rPr>
          <w:lang w:val="fr-FR"/>
        </w:rPr>
        <w:t xml:space="preserve">, </w:t>
      </w:r>
      <w:r w:rsidR="00AC0EBC" w:rsidRPr="00F85A58">
        <w:rPr>
          <w:lang w:val="fr-FR"/>
        </w:rPr>
        <w:t xml:space="preserve">dont une copie figure dans le </w:t>
      </w:r>
      <w:r w:rsidR="005752E4" w:rsidRPr="00F85A58">
        <w:rPr>
          <w:lang w:val="fr-FR"/>
        </w:rPr>
        <w:t>document TC</w:t>
      </w:r>
      <w:r w:rsidR="006B7121" w:rsidRPr="00F85A58">
        <w:rPr>
          <w:lang w:val="fr-FR"/>
        </w:rPr>
        <w:t>/52/20</w:t>
      </w:r>
      <w:r w:rsidR="00342006" w:rsidRPr="00F85A58">
        <w:rPr>
          <w:lang w:val="fr-FR"/>
        </w:rPr>
        <w:t> </w:t>
      </w:r>
      <w:proofErr w:type="spellStart"/>
      <w:r w:rsidR="006B7121" w:rsidRPr="00F85A58">
        <w:rPr>
          <w:lang w:val="fr-FR"/>
        </w:rPr>
        <w:t>Add</w:t>
      </w:r>
      <w:proofErr w:type="spellEnd"/>
      <w:r w:rsidR="006B7121" w:rsidRPr="00F85A58">
        <w:rPr>
          <w:lang w:val="fr-FR"/>
        </w:rPr>
        <w:t>. (</w:t>
      </w:r>
      <w:proofErr w:type="gramStart"/>
      <w:r w:rsidR="00AC0EBC" w:rsidRPr="00F85A58">
        <w:rPr>
          <w:lang w:val="fr-FR"/>
        </w:rPr>
        <w:t>e</w:t>
      </w:r>
      <w:r w:rsidR="006B7121" w:rsidRPr="00F85A58">
        <w:rPr>
          <w:lang w:val="fr-FR"/>
        </w:rPr>
        <w:t>n</w:t>
      </w:r>
      <w:proofErr w:type="gramEnd"/>
      <w:r w:rsidR="006B7121" w:rsidRPr="00F85A58">
        <w:rPr>
          <w:lang w:val="fr-FR"/>
        </w:rPr>
        <w:t xml:space="preserve"> </w:t>
      </w:r>
      <w:r w:rsidR="00AC0EBC" w:rsidRPr="00F85A58">
        <w:rPr>
          <w:lang w:val="fr-FR"/>
        </w:rPr>
        <w:t>anglais uniquement</w:t>
      </w:r>
      <w:r w:rsidR="006B7121" w:rsidRPr="00F85A58">
        <w:rPr>
          <w:lang w:val="fr-FR"/>
        </w:rPr>
        <w:t>)</w:t>
      </w:r>
      <w:r w:rsidRPr="00F85A58">
        <w:rPr>
          <w:lang w:val="fr-FR"/>
        </w:rPr>
        <w:t>.</w:t>
      </w:r>
    </w:p>
    <w:p w:rsidR="00BA14DE" w:rsidRPr="00F85A58" w:rsidRDefault="00BA14DE" w:rsidP="00050E16">
      <w:pPr>
        <w:rPr>
          <w:lang w:val="fr-FR"/>
        </w:rPr>
      </w:pPr>
    </w:p>
    <w:p w:rsidR="00BA14DE" w:rsidRPr="00F85A58" w:rsidRDefault="00EB00F6" w:rsidP="00EB00F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AC0EBC" w:rsidRPr="00F85A58">
        <w:rPr>
          <w:lang w:val="fr-FR"/>
        </w:rPr>
        <w:t>Le</w:t>
      </w:r>
      <w:r w:rsidR="005752E4" w:rsidRPr="00F85A58">
        <w:rPr>
          <w:lang w:val="fr-FR"/>
        </w:rPr>
        <w:t> TC</w:t>
      </w:r>
      <w:r w:rsidRPr="00F85A58">
        <w:rPr>
          <w:lang w:val="fr-FR"/>
        </w:rPr>
        <w:t xml:space="preserve"> </w:t>
      </w:r>
      <w:r w:rsidR="00AC0EBC" w:rsidRPr="00F85A58">
        <w:rPr>
          <w:lang w:val="fr-FR"/>
        </w:rPr>
        <w:t xml:space="preserve">convient que la nouvelle </w:t>
      </w:r>
      <w:r w:rsidRPr="00F85A58">
        <w:rPr>
          <w:lang w:val="fr-FR"/>
        </w:rPr>
        <w:t>“</w:t>
      </w:r>
      <w:r w:rsidR="00AC0EBC" w:rsidRPr="00F85A58">
        <w:rPr>
          <w:lang w:val="fr-FR"/>
        </w:rPr>
        <w:t>Méthode 3</w:t>
      </w:r>
      <w:r w:rsidR="00342006" w:rsidRPr="00F85A58">
        <w:rPr>
          <w:lang w:val="fr-FR"/>
        </w:rPr>
        <w:t> </w:t>
      </w:r>
      <w:r w:rsidR="00AC0EBC" w:rsidRPr="00F85A58">
        <w:rPr>
          <w:lang w:val="fr-FR"/>
        </w:rPr>
        <w:t>: Combiner les résultats de deux</w:t>
      </w:r>
      <w:r w:rsidR="00342006" w:rsidRPr="00F85A58">
        <w:rPr>
          <w:lang w:val="fr-FR"/>
        </w:rPr>
        <w:t> </w:t>
      </w:r>
      <w:r w:rsidR="00AC0EBC" w:rsidRPr="00F85A58">
        <w:rPr>
          <w:lang w:val="fr-FR"/>
        </w:rPr>
        <w:t>cycles de végétation</w:t>
      </w:r>
      <w:r w:rsidRPr="00F85A58">
        <w:rPr>
          <w:lang w:val="fr-FR"/>
        </w:rPr>
        <w:t xml:space="preserve">” </w:t>
      </w:r>
      <w:r w:rsidR="00AC0EBC" w:rsidRPr="00F85A58">
        <w:rPr>
          <w:lang w:val="fr-FR"/>
        </w:rPr>
        <w:t>proposée pour l</w:t>
      </w:r>
      <w:r w:rsidR="005752E4" w:rsidRPr="00F85A58">
        <w:rPr>
          <w:lang w:val="fr-FR"/>
        </w:rPr>
        <w:t>’</w:t>
      </w:r>
      <w:r w:rsidR="00AC0EBC" w:rsidRPr="00F85A58">
        <w:rPr>
          <w:lang w:val="fr-FR"/>
        </w:rPr>
        <w:t>évaluation de l</w:t>
      </w:r>
      <w:r w:rsidR="005752E4" w:rsidRPr="00F85A58">
        <w:rPr>
          <w:lang w:val="fr-FR"/>
        </w:rPr>
        <w:t>’</w:t>
      </w:r>
      <w:r w:rsidR="00AC0EBC" w:rsidRPr="00F85A58">
        <w:rPr>
          <w:lang w:val="fr-FR"/>
        </w:rPr>
        <w:t>homogénéité d</w:t>
      </w:r>
      <w:r w:rsidR="005752E4" w:rsidRPr="00F85A58">
        <w:rPr>
          <w:lang w:val="fr-FR"/>
        </w:rPr>
        <w:t>’</w:t>
      </w:r>
      <w:r w:rsidR="00AC0EBC" w:rsidRPr="00F85A58">
        <w:rPr>
          <w:lang w:val="fr-FR"/>
        </w:rPr>
        <w:t>après les plantes hors type, comme indiqué à l</w:t>
      </w:r>
      <w:r w:rsidR="005752E4" w:rsidRPr="00F85A58">
        <w:rPr>
          <w:lang w:val="fr-FR"/>
        </w:rPr>
        <w:t>’</w:t>
      </w:r>
      <w:r w:rsidR="00AC0EBC" w:rsidRPr="00F85A58">
        <w:rPr>
          <w:lang w:val="fr-FR"/>
        </w:rPr>
        <w:t>annexe</w:t>
      </w:r>
      <w:r w:rsidR="00342006" w:rsidRPr="00F85A58">
        <w:rPr>
          <w:lang w:val="fr-FR"/>
        </w:rPr>
        <w:t> </w:t>
      </w:r>
      <w:r w:rsidR="00AC0EBC" w:rsidRPr="00F85A58">
        <w:rPr>
          <w:lang w:val="fr-FR"/>
        </w:rPr>
        <w:t xml:space="preserve">I du </w:t>
      </w:r>
      <w:r w:rsidR="005752E4" w:rsidRPr="00F85A58">
        <w:rPr>
          <w:lang w:val="fr-FR"/>
        </w:rPr>
        <w:t>document TC</w:t>
      </w:r>
      <w:r w:rsidRPr="00F85A58">
        <w:rPr>
          <w:lang w:val="fr-FR"/>
        </w:rPr>
        <w:t>/52/20</w:t>
      </w:r>
      <w:r w:rsidR="006B7121" w:rsidRPr="00F85A58">
        <w:rPr>
          <w:lang w:val="fr-FR"/>
        </w:rPr>
        <w:t xml:space="preserve">, </w:t>
      </w:r>
      <w:r w:rsidR="00AC0EBC" w:rsidRPr="00F85A58">
        <w:rPr>
          <w:lang w:val="fr-FR"/>
        </w:rPr>
        <w:t>devrait être examinée par</w:t>
      </w:r>
      <w:r w:rsidR="005752E4" w:rsidRPr="00F85A58">
        <w:rPr>
          <w:lang w:val="fr-FR"/>
        </w:rPr>
        <w:t xml:space="preserve"> les TWP</w:t>
      </w:r>
      <w:r w:rsidR="006B7121" w:rsidRPr="00F85A58">
        <w:rPr>
          <w:lang w:val="fr-FR"/>
        </w:rPr>
        <w:t xml:space="preserve">, </w:t>
      </w:r>
      <w:r w:rsidR="00AC0EBC" w:rsidRPr="00F85A58">
        <w:rPr>
          <w:lang w:val="fr-FR"/>
        </w:rPr>
        <w:t>à leurs sessions en</w:t>
      </w:r>
      <w:r w:rsidR="00342006" w:rsidRPr="00F85A58">
        <w:rPr>
          <w:lang w:val="fr-FR"/>
        </w:rPr>
        <w:t> </w:t>
      </w:r>
      <w:r w:rsidR="006B7121" w:rsidRPr="00F85A58">
        <w:rPr>
          <w:lang w:val="fr-FR"/>
        </w:rPr>
        <w:t>2016</w:t>
      </w:r>
      <w:r w:rsidRPr="00F85A58">
        <w:rPr>
          <w:lang w:val="fr-FR"/>
        </w:rPr>
        <w:t>.</w:t>
      </w:r>
    </w:p>
    <w:p w:rsidR="00BA14DE" w:rsidRPr="00F85A58" w:rsidRDefault="00BA14DE" w:rsidP="00EB00F6">
      <w:pPr>
        <w:rPr>
          <w:lang w:val="fr-FR"/>
        </w:rPr>
      </w:pPr>
    </w:p>
    <w:p w:rsidR="00BA14DE" w:rsidRPr="00F85A58" w:rsidRDefault="00EB00F6" w:rsidP="00EB00F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B26252" w:rsidRPr="00F85A58">
        <w:rPr>
          <w:lang w:val="fr-FR"/>
        </w:rPr>
        <w:t>Le</w:t>
      </w:r>
      <w:r w:rsidR="005752E4" w:rsidRPr="00F85A58">
        <w:rPr>
          <w:lang w:val="fr-FR"/>
        </w:rPr>
        <w:t> TC</w:t>
      </w:r>
      <w:r w:rsidRPr="00F85A58">
        <w:rPr>
          <w:lang w:val="fr-FR"/>
        </w:rPr>
        <w:t xml:space="preserve"> </w:t>
      </w:r>
      <w:r w:rsidR="00B26252" w:rsidRPr="00F85A58">
        <w:rPr>
          <w:lang w:val="fr-FR"/>
        </w:rPr>
        <w:t>note que</w:t>
      </w:r>
      <w:r w:rsidR="005752E4" w:rsidRPr="00F85A58">
        <w:rPr>
          <w:lang w:val="fr-FR"/>
        </w:rPr>
        <w:t xml:space="preserve"> le TWA</w:t>
      </w:r>
      <w:r w:rsidRPr="00F85A58">
        <w:rPr>
          <w:lang w:val="fr-FR"/>
        </w:rPr>
        <w:t xml:space="preserve"> </w:t>
      </w:r>
      <w:r w:rsidR="00B26252" w:rsidRPr="00F85A58">
        <w:rPr>
          <w:lang w:val="fr-FR"/>
        </w:rPr>
        <w:t>était convenu de demander une liaison vidéo avec les experts</w:t>
      </w:r>
      <w:r w:rsidR="005752E4" w:rsidRPr="00F85A58">
        <w:rPr>
          <w:lang w:val="fr-FR"/>
        </w:rPr>
        <w:t xml:space="preserve"> du TWC</w:t>
      </w:r>
      <w:r w:rsidR="00B26252" w:rsidRPr="00F85A58">
        <w:rPr>
          <w:lang w:val="fr-FR"/>
        </w:rPr>
        <w:t xml:space="preserve"> en vue d</w:t>
      </w:r>
      <w:r w:rsidR="005752E4" w:rsidRPr="00F85A58">
        <w:rPr>
          <w:lang w:val="fr-FR"/>
        </w:rPr>
        <w:t>’</w:t>
      </w:r>
      <w:r w:rsidR="00B26252" w:rsidRPr="00F85A58">
        <w:rPr>
          <w:lang w:val="fr-FR"/>
        </w:rPr>
        <w:t>examiner la nouvelle “Méthode 3</w:t>
      </w:r>
      <w:r w:rsidR="00342006" w:rsidRPr="00F85A58">
        <w:rPr>
          <w:lang w:val="fr-FR"/>
        </w:rPr>
        <w:t> </w:t>
      </w:r>
      <w:r w:rsidR="00B26252" w:rsidRPr="00F85A58">
        <w:rPr>
          <w:lang w:val="fr-FR"/>
        </w:rPr>
        <w:t>: Combiner les résultats de deux</w:t>
      </w:r>
      <w:r w:rsidR="00342006" w:rsidRPr="00F85A58">
        <w:rPr>
          <w:lang w:val="fr-FR"/>
        </w:rPr>
        <w:t> </w:t>
      </w:r>
      <w:r w:rsidR="00B26252" w:rsidRPr="00F85A58">
        <w:rPr>
          <w:lang w:val="fr-FR"/>
        </w:rPr>
        <w:t>cycles de végétation” proposée, à sa quarante</w:t>
      </w:r>
      <w:r w:rsidR="001826AD">
        <w:rPr>
          <w:lang w:val="fr-FR"/>
        </w:rPr>
        <w:t>-</w:t>
      </w:r>
      <w:r w:rsidR="00B26252" w:rsidRPr="00F85A58">
        <w:rPr>
          <w:lang w:val="fr-FR"/>
        </w:rPr>
        <w:t>cinquième</w:t>
      </w:r>
      <w:r w:rsidR="00342006" w:rsidRPr="00F85A58">
        <w:rPr>
          <w:lang w:val="fr-FR"/>
        </w:rPr>
        <w:t> </w:t>
      </w:r>
      <w:r w:rsidR="00B26252" w:rsidRPr="00F85A58">
        <w:rPr>
          <w:lang w:val="fr-FR"/>
        </w:rPr>
        <w:t>session prévue en</w:t>
      </w:r>
      <w:r w:rsidR="00342006" w:rsidRPr="00F85A58">
        <w:rPr>
          <w:lang w:val="fr-FR"/>
        </w:rPr>
        <w:t> </w:t>
      </w:r>
      <w:r w:rsidR="00B26252" w:rsidRPr="00F85A58">
        <w:rPr>
          <w:lang w:val="fr-FR"/>
        </w:rPr>
        <w:t>2016</w:t>
      </w:r>
      <w:r w:rsidRPr="00F85A58">
        <w:rPr>
          <w:lang w:val="fr-FR"/>
        </w:rPr>
        <w:t xml:space="preserve">, </w:t>
      </w:r>
      <w:r w:rsidR="00B26252" w:rsidRPr="00F85A58">
        <w:rPr>
          <w:lang w:val="fr-FR"/>
        </w:rPr>
        <w:t xml:space="preserve">et était convenu que la liaison vidéo serait ouverte à tous les </w:t>
      </w:r>
      <w:r w:rsidR="00141D15" w:rsidRPr="00F85A58">
        <w:rPr>
          <w:lang w:val="fr-FR"/>
        </w:rPr>
        <w:t>experts</w:t>
      </w:r>
      <w:r w:rsidR="00B26252" w:rsidRPr="00F85A58">
        <w:rPr>
          <w:lang w:val="fr-FR"/>
        </w:rPr>
        <w:t xml:space="preserve"> intéressés</w:t>
      </w:r>
      <w:r w:rsidRPr="00F85A58">
        <w:rPr>
          <w:lang w:val="fr-FR"/>
        </w:rPr>
        <w:t>.</w:t>
      </w:r>
    </w:p>
    <w:p w:rsidR="00BA14DE" w:rsidRPr="00F85A58" w:rsidRDefault="00BA14DE" w:rsidP="00EB00F6">
      <w:pPr>
        <w:rPr>
          <w:lang w:val="fr-FR"/>
        </w:rPr>
      </w:pPr>
    </w:p>
    <w:p w:rsidR="00BA14DE" w:rsidRPr="00F85A58" w:rsidRDefault="00EB00F6" w:rsidP="00EB00F6">
      <w:pPr>
        <w:rPr>
          <w:lang w:val="fr-FR"/>
        </w:rPr>
      </w:pPr>
      <w:r w:rsidRPr="00F85A58">
        <w:rPr>
          <w:lang w:val="fr-FR"/>
        </w:rPr>
        <w:fldChar w:fldCharType="begin"/>
      </w:r>
      <w:r w:rsidRPr="00F85A58">
        <w:rPr>
          <w:lang w:val="fr-FR"/>
        </w:rPr>
        <w:instrText xml:space="preserve"> AUTONUM  </w:instrText>
      </w:r>
      <w:r w:rsidRPr="00F85A58">
        <w:rPr>
          <w:lang w:val="fr-FR"/>
        </w:rPr>
        <w:fldChar w:fldCharType="end"/>
      </w:r>
      <w:r w:rsidRPr="00F85A58">
        <w:rPr>
          <w:lang w:val="fr-FR"/>
        </w:rPr>
        <w:tab/>
      </w:r>
      <w:r w:rsidR="00746C6E" w:rsidRPr="00F85A58">
        <w:rPr>
          <w:lang w:val="fr-FR"/>
        </w:rPr>
        <w:t>Le</w:t>
      </w:r>
      <w:r w:rsidR="005752E4" w:rsidRPr="00F85A58">
        <w:rPr>
          <w:lang w:val="fr-FR"/>
        </w:rPr>
        <w:t> TC</w:t>
      </w:r>
      <w:r w:rsidRPr="00F85A58">
        <w:rPr>
          <w:lang w:val="fr-FR"/>
        </w:rPr>
        <w:t xml:space="preserve"> </w:t>
      </w:r>
      <w:r w:rsidR="00746C6E" w:rsidRPr="00F85A58">
        <w:rPr>
          <w:lang w:val="fr-FR"/>
        </w:rPr>
        <w:t xml:space="preserve">convient de préciser que les orientations figurant en annexe I du </w:t>
      </w:r>
      <w:r w:rsidR="005752E4" w:rsidRPr="00F85A58">
        <w:rPr>
          <w:lang w:val="fr-FR"/>
        </w:rPr>
        <w:t>document TC</w:t>
      </w:r>
      <w:r w:rsidR="00626C6A" w:rsidRPr="00F85A58">
        <w:rPr>
          <w:lang w:val="fr-FR"/>
        </w:rPr>
        <w:t>/52/20</w:t>
      </w:r>
      <w:r w:rsidR="004E6650" w:rsidRPr="00F85A58">
        <w:rPr>
          <w:lang w:val="fr-FR"/>
        </w:rPr>
        <w:t xml:space="preserve"> </w:t>
      </w:r>
      <w:r w:rsidR="00746C6E" w:rsidRPr="00F85A58">
        <w:rPr>
          <w:lang w:val="fr-FR"/>
        </w:rPr>
        <w:t>n</w:t>
      </w:r>
      <w:r w:rsidR="005752E4" w:rsidRPr="00F85A58">
        <w:rPr>
          <w:lang w:val="fr-FR"/>
        </w:rPr>
        <w:t>’</w:t>
      </w:r>
      <w:r w:rsidR="00746C6E" w:rsidRPr="00F85A58">
        <w:rPr>
          <w:lang w:val="fr-FR"/>
        </w:rPr>
        <w:t>étaient pas destinées à être utilisées pour l</w:t>
      </w:r>
      <w:r w:rsidR="005752E4" w:rsidRPr="00F85A58">
        <w:rPr>
          <w:lang w:val="fr-FR"/>
        </w:rPr>
        <w:t>’</w:t>
      </w:r>
      <w:r w:rsidR="00746C6E" w:rsidRPr="00F85A58">
        <w:rPr>
          <w:lang w:val="fr-FR"/>
        </w:rPr>
        <w:t>évaluation de l</w:t>
      </w:r>
      <w:r w:rsidR="005752E4" w:rsidRPr="00F85A58">
        <w:rPr>
          <w:lang w:val="fr-FR"/>
        </w:rPr>
        <w:t>’</w:t>
      </w:r>
      <w:r w:rsidR="00746C6E" w:rsidRPr="00F85A58">
        <w:rPr>
          <w:lang w:val="fr-FR"/>
        </w:rPr>
        <w:t>homogénéité d</w:t>
      </w:r>
      <w:r w:rsidR="005752E4" w:rsidRPr="00F85A58">
        <w:rPr>
          <w:lang w:val="fr-FR"/>
        </w:rPr>
        <w:t>’</w:t>
      </w:r>
      <w:r w:rsidR="00746C6E" w:rsidRPr="00F85A58">
        <w:rPr>
          <w:lang w:val="fr-FR"/>
        </w:rPr>
        <w:t>après les plantes hors type sur les mêmes plantes pendant deux</w:t>
      </w:r>
      <w:r w:rsidR="00342006" w:rsidRPr="00F85A58">
        <w:rPr>
          <w:lang w:val="fr-FR"/>
        </w:rPr>
        <w:t> </w:t>
      </w:r>
      <w:r w:rsidR="00746C6E" w:rsidRPr="00F85A58">
        <w:rPr>
          <w:lang w:val="fr-FR"/>
        </w:rPr>
        <w:t>cycles de végétation</w:t>
      </w:r>
      <w:r w:rsidR="004E6650" w:rsidRPr="00F85A58">
        <w:rPr>
          <w:lang w:val="fr-FR"/>
        </w:rPr>
        <w:t xml:space="preserve">, </w:t>
      </w:r>
      <w:r w:rsidR="00746C6E" w:rsidRPr="00F85A58">
        <w:rPr>
          <w:lang w:val="fr-FR"/>
        </w:rPr>
        <w:t>car les mêmes plantes hors type observées dans le premier cycle de végétation seraient encore des plantes hors type dans le deuxième cycle de végétation.</w:t>
      </w:r>
    </w:p>
    <w:p w:rsidR="00BA14DE" w:rsidRDefault="00BA14DE" w:rsidP="003D3E08">
      <w:pPr>
        <w:keepNext/>
        <w:rPr>
          <w:lang w:val="fr-FR"/>
        </w:rPr>
      </w:pPr>
    </w:p>
    <w:p w:rsidR="001826AD" w:rsidRPr="00092B17" w:rsidRDefault="001826AD" w:rsidP="004570E2">
      <w:pPr>
        <w:pStyle w:val="Heading3"/>
      </w:pPr>
      <w:r w:rsidRPr="00092B17">
        <w:t>Nouvelles propositions concernant la révision des documents TGP</w:t>
      </w:r>
    </w:p>
    <w:p w:rsidR="001826AD" w:rsidRPr="00092B17" w:rsidRDefault="001826AD" w:rsidP="001826AD">
      <w:pPr>
        <w:rPr>
          <w:lang w:val="fr-FR"/>
        </w:rPr>
      </w:pPr>
    </w:p>
    <w:p w:rsidR="001826AD" w:rsidRPr="00092B17" w:rsidRDefault="001826AD" w:rsidP="001826AD">
      <w:pPr>
        <w:pStyle w:val="Heading4"/>
      </w:pPr>
      <w:r w:rsidRPr="00092B17">
        <w:t>TGP/7 :</w:t>
      </w:r>
      <w:r w:rsidRPr="00092B17">
        <w:rPr>
          <w:i w:val="0"/>
        </w:rPr>
        <w:t xml:space="preserve"> </w:t>
      </w:r>
      <w:r w:rsidRPr="00092B17">
        <w:t>Élaboration des principes directeurs d’examen</w:t>
      </w:r>
    </w:p>
    <w:p w:rsidR="001826AD" w:rsidRPr="00092B17" w:rsidRDefault="001826AD" w:rsidP="001826AD">
      <w:pPr>
        <w:keepNext/>
        <w:rPr>
          <w:lang w:val="fr-FR"/>
        </w:rPr>
      </w:pPr>
    </w:p>
    <w:p w:rsidR="001826AD" w:rsidRPr="00092B17" w:rsidRDefault="001826AD" w:rsidP="001826AD">
      <w:pPr>
        <w:pStyle w:val="Heading5"/>
        <w:rPr>
          <w:lang w:val="fr-FR"/>
        </w:rPr>
      </w:pPr>
      <w:r w:rsidRPr="00092B17">
        <w:rPr>
          <w:lang w:val="fr-FR"/>
        </w:rPr>
        <w:t>i)</w:t>
      </w:r>
      <w:r w:rsidRPr="00092B17">
        <w:rPr>
          <w:lang w:val="fr-FR"/>
        </w:rPr>
        <w:tab/>
        <w:t>Durée des examens DHS dans le secteur des fruits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accepte d’étudier la possibilité de modifier les conseils du document TGP/7 concernant la durée des examens DHS pour les plantes fruitières après examen plus approfondi par le TWF lors de sa session en 2016.  À cet égard, il sollicite du TWF qu’il détermine si les conseils figurant sur les documents TGP sont de nature à empêcher un examen DHS après un cycle de végétation.</w:t>
      </w:r>
    </w:p>
    <w:p w:rsidR="001826AD" w:rsidRPr="00092B17" w:rsidRDefault="001826AD" w:rsidP="001826AD">
      <w:pPr>
        <w:rPr>
          <w:lang w:val="fr-FR"/>
        </w:rPr>
      </w:pPr>
    </w:p>
    <w:p w:rsidR="001826AD" w:rsidRPr="00092B17" w:rsidRDefault="001826AD" w:rsidP="001826AD">
      <w:pPr>
        <w:pStyle w:val="Heading4"/>
      </w:pPr>
      <w:r w:rsidRPr="00092B17">
        <w:t>TGP/14 : Glossaire des termes utilisés dans les documents de l’UPOV</w:t>
      </w:r>
    </w:p>
    <w:p w:rsidR="001826AD" w:rsidRPr="00092B17" w:rsidRDefault="001826AD" w:rsidP="001826AD">
      <w:pPr>
        <w:rPr>
          <w:lang w:val="fr-FR"/>
        </w:rPr>
      </w:pPr>
    </w:p>
    <w:p w:rsidR="001826AD" w:rsidRPr="00092B17" w:rsidRDefault="001826AD" w:rsidP="001826AD">
      <w:pPr>
        <w:pStyle w:val="Heading5"/>
        <w:rPr>
          <w:lang w:val="fr-FR"/>
        </w:rPr>
      </w:pPr>
      <w:r w:rsidRPr="00092B17">
        <w:rPr>
          <w:lang w:val="fr-FR"/>
        </w:rPr>
        <w:t>ii)</w:t>
      </w:r>
      <w:r w:rsidRPr="00092B17">
        <w:rPr>
          <w:lang w:val="fr-FR"/>
        </w:rPr>
        <w:tab/>
        <w:t>Définition du terme “incurvé”</w:t>
      </w:r>
    </w:p>
    <w:p w:rsidR="001826AD" w:rsidRPr="00092B17" w:rsidRDefault="001826AD" w:rsidP="001826AD">
      <w:pPr>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l’intention du TWF d’étudier la possibilité de proposer de modifier la définition d’“incurvé” dans le document TGP/14</w:t>
      </w:r>
      <w:r w:rsidRPr="00092B17">
        <w:rPr>
          <w:snapToGrid w:val="0"/>
          <w:lang w:val="fr-FR"/>
        </w:rPr>
        <w:t>.</w:t>
      </w:r>
    </w:p>
    <w:p w:rsidR="001826AD" w:rsidRPr="00092B17" w:rsidRDefault="001826AD" w:rsidP="001826AD">
      <w:pPr>
        <w:rPr>
          <w:lang w:val="fr-FR"/>
        </w:rPr>
      </w:pPr>
    </w:p>
    <w:p w:rsidR="001826AD" w:rsidRPr="00092B17" w:rsidRDefault="001826AD" w:rsidP="004570E2">
      <w:pPr>
        <w:pStyle w:val="Heading3"/>
      </w:pPr>
      <w:r w:rsidRPr="00092B17">
        <w:t>Programme d’élaboration des documents TGP</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donne son aval au programme d’élaboration des documents TGP tel qu’il figure à l’annexe II du document TC/52/5, sous réserve de ses conclusions ci</w:t>
      </w:r>
      <w:r w:rsidRPr="00092B17">
        <w:rPr>
          <w:lang w:val="fr-FR"/>
        </w:rPr>
        <w:noBreakHyphen/>
        <w:t>dessus.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que les symboles utilisés dans le programme d’élaboration des documents TGP méritent une explication.</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Techniques moléculaires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TC/52/11.</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rapport sur les faits nouveaux survenus au sein des TWP et du BMT, présenté aux paragraphes 5 à 15 du document TC/52/11.</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l’intention des systèmes de semence de l’OCDE d’organiser un atelier conjoint sur les techniques biochimiques et moléculaires réunissant l’OECD, l’UPOV, l’ISTA et l’AOSA et entend un rapport verbal du représentant de l’OCDE expliquant que l’atelier conjoint se tiendrait le 8 juin 2016 à Paris (France).</w:t>
      </w:r>
    </w:p>
    <w:p w:rsidR="001826AD" w:rsidRPr="00092B17" w:rsidRDefault="001826AD" w:rsidP="001826AD">
      <w:pPr>
        <w:rPr>
          <w:lang w:val="fr-FR"/>
        </w:rPr>
      </w:pPr>
    </w:p>
    <w:p w:rsidR="001826AD" w:rsidRPr="00092B17" w:rsidRDefault="001826AD" w:rsidP="006B4271">
      <w:pPr>
        <w:keepNext/>
        <w:keepLines/>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lors de sa cinquante et unième session, il était convenu :</w:t>
      </w:r>
    </w:p>
    <w:p w:rsidR="001826AD" w:rsidRPr="00092B17" w:rsidRDefault="001826AD" w:rsidP="006B4271">
      <w:pPr>
        <w:keepNext/>
        <w:keepLines/>
        <w:rPr>
          <w:lang w:val="fr-FR"/>
        </w:rPr>
      </w:pPr>
    </w:p>
    <w:p w:rsidR="001826AD" w:rsidRPr="00092B17" w:rsidRDefault="001826AD" w:rsidP="006B4271">
      <w:pPr>
        <w:keepNext/>
        <w:keepLines/>
        <w:ind w:left="1134" w:hanging="567"/>
        <w:rPr>
          <w:rFonts w:cs="Arial"/>
          <w:lang w:val="fr-FR" w:eastAsia="ja-JP"/>
        </w:rPr>
      </w:pPr>
      <w:r w:rsidRPr="00092B17">
        <w:rPr>
          <w:rFonts w:cs="Arial"/>
          <w:lang w:val="fr-FR" w:eastAsia="ja-JP"/>
        </w:rPr>
        <w:t>a)</w:t>
      </w:r>
      <w:r w:rsidRPr="00092B17">
        <w:rPr>
          <w:rFonts w:cs="Arial"/>
          <w:lang w:val="fr-FR" w:eastAsia="ja-JP"/>
        </w:rPr>
        <w:tab/>
        <w:t>d’élaborer un document commun présentant les particularités principales des systèmes de l’OECD, de l’UPOV et de l’ISTA;</w:t>
      </w:r>
    </w:p>
    <w:p w:rsidR="001826AD" w:rsidRPr="00092B17" w:rsidRDefault="001826AD" w:rsidP="001826AD">
      <w:pPr>
        <w:ind w:left="1134" w:hanging="567"/>
        <w:rPr>
          <w:rFonts w:cs="Arial"/>
          <w:lang w:val="fr-FR" w:eastAsia="ja-JP"/>
        </w:rPr>
      </w:pPr>
      <w:r w:rsidRPr="00092B17">
        <w:rPr>
          <w:rFonts w:cs="Arial"/>
          <w:lang w:val="fr-FR" w:eastAsia="ja-JP"/>
        </w:rPr>
        <w:t>b)</w:t>
      </w:r>
      <w:r w:rsidRPr="00092B17">
        <w:rPr>
          <w:rFonts w:cs="Arial"/>
          <w:lang w:val="fr-FR" w:eastAsia="ja-JP"/>
        </w:rPr>
        <w:tab/>
        <w:t>de dresser un inventaire, par plante, de l’utilisation qui était faite par l’UPOV des techniques faisant intervenir des marqueurs moléculaires, en vue de l’élaboration d’un document commun à l’OCDE, à l’UPOV et à l’ISTA contenant ces informations, dans un format semblable à celui du document UPOV/INF/16 “Logiciels échangeables”, sous réserve de l’approbation du Conseil et en coordination avec l’OCDE et l’ISTA;  et</w:t>
      </w:r>
    </w:p>
    <w:p w:rsidR="001826AD" w:rsidRPr="00092B17" w:rsidRDefault="001826AD" w:rsidP="001826AD">
      <w:pPr>
        <w:ind w:left="1134" w:hanging="567"/>
        <w:rPr>
          <w:rFonts w:cs="Arial"/>
          <w:lang w:val="fr-FR" w:eastAsia="ja-JP"/>
        </w:rPr>
      </w:pPr>
      <w:r w:rsidRPr="00092B17">
        <w:rPr>
          <w:rFonts w:cs="Arial"/>
          <w:lang w:val="fr-FR" w:eastAsia="ja-JP"/>
        </w:rPr>
        <w:t>c)</w:t>
      </w:r>
      <w:r w:rsidRPr="00092B17">
        <w:rPr>
          <w:rFonts w:cs="Arial"/>
          <w:lang w:val="fr-FR" w:eastAsia="ja-JP"/>
        </w:rPr>
        <w:tab/>
        <w:t>que la proposition adressée au BMT, à sa quinzième session, visant à dresser des listes d’initiatives conjointes possibles avec l’OCDE et l’ISTA dans le domaine des techniques moléculaires et à les soumettre au TC</w:t>
      </w:r>
      <w:r w:rsidRPr="00092B17">
        <w:rPr>
          <w:lang w:val="fr-FR"/>
        </w:rPr>
        <w:t xml:space="preserve"> </w:t>
      </w:r>
      <w:r w:rsidRPr="00092B17">
        <w:rPr>
          <w:rFonts w:cs="Arial"/>
          <w:lang w:val="fr-FR" w:eastAsia="ja-JP"/>
        </w:rPr>
        <w:t>pour approbation, lors de sa cinquante</w:t>
      </w:r>
      <w:r w:rsidRPr="00092B17">
        <w:rPr>
          <w:rFonts w:cs="Arial"/>
          <w:lang w:val="fr-FR" w:eastAsia="ja-JP"/>
        </w:rPr>
        <w:noBreakHyphen/>
        <w:t>troisième session.</w:t>
      </w:r>
    </w:p>
    <w:p w:rsidR="001826AD" w:rsidRPr="00092B17" w:rsidRDefault="001826AD" w:rsidP="001826AD">
      <w:pPr>
        <w:rPr>
          <w:rFonts w:cs="Arial"/>
          <w:lang w:val="fr-FR" w:eastAsia="ja-JP"/>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que le BMT devrait inclure l’élaboration d’une liste terminologique (définitions) utilisée par l’</w:t>
      </w:r>
      <w:r w:rsidRPr="00092B17">
        <w:rPr>
          <w:rFonts w:cs="Arial"/>
          <w:lang w:val="fr-FR" w:eastAsia="ja-JP"/>
        </w:rPr>
        <w:t xml:space="preserve">OCDE, l’UPOV et l’ISTA </w:t>
      </w:r>
      <w:r w:rsidRPr="00092B17">
        <w:rPr>
          <w:lang w:val="fr-FR"/>
        </w:rPr>
        <w:t xml:space="preserve">à la liste des initiatives communes </w:t>
      </w:r>
      <w:r w:rsidRPr="00092B17">
        <w:rPr>
          <w:rFonts w:cs="Arial"/>
          <w:lang w:val="fr-FR" w:eastAsia="ja-JP"/>
        </w:rPr>
        <w:t>sur les techniques moléculaires, aux fins d’examen par le TC à sa cinquante</w:t>
      </w:r>
      <w:r w:rsidRPr="00092B17">
        <w:rPr>
          <w:rFonts w:cs="Arial"/>
          <w:lang w:val="fr-FR" w:eastAsia="ja-JP"/>
        </w:rPr>
        <w:noBreakHyphen/>
        <w:t>troisième session.</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 xml:space="preserve">Le TC est convenu d’un projet de questions et réponses concernant la diffusion d’informations à un large public, y compris le public en général, sur la situation à l’UPOV, </w:t>
      </w:r>
      <w:r w:rsidRPr="00092B17">
        <w:rPr>
          <w:rFonts w:cs="Arial"/>
          <w:lang w:val="fr-FR" w:eastAsia="ja-JP"/>
        </w:rPr>
        <w:t>libellé comme suit :</w:t>
      </w:r>
    </w:p>
    <w:p w:rsidR="001826AD" w:rsidRPr="00092B17" w:rsidRDefault="001826AD" w:rsidP="001826AD">
      <w:pPr>
        <w:rPr>
          <w:lang w:val="fr-FR"/>
        </w:rPr>
      </w:pPr>
    </w:p>
    <w:p w:rsidR="001826AD" w:rsidRPr="006B4271" w:rsidRDefault="001826AD" w:rsidP="001826AD">
      <w:pPr>
        <w:ind w:left="567"/>
        <w:rPr>
          <w:rFonts w:cs="Arial"/>
          <w:sz w:val="18"/>
          <w:szCs w:val="18"/>
          <w:lang w:val="fr-FR"/>
        </w:rPr>
      </w:pPr>
      <w:r w:rsidRPr="006B4271">
        <w:rPr>
          <w:rFonts w:cs="Arial"/>
          <w:sz w:val="18"/>
          <w:szCs w:val="18"/>
          <w:lang w:val="fr-FR"/>
        </w:rPr>
        <w:t>“Est</w:t>
      </w:r>
      <w:r w:rsidRPr="006B4271">
        <w:rPr>
          <w:rFonts w:cs="Arial"/>
          <w:sz w:val="18"/>
          <w:szCs w:val="18"/>
          <w:lang w:val="fr-FR"/>
        </w:rPr>
        <w:noBreakHyphen/>
        <w:t>il possible d’obtenir la protection d’une variété sur la base de son profil d’ADN?</w:t>
      </w:r>
    </w:p>
    <w:p w:rsidR="001826AD" w:rsidRPr="006B4271" w:rsidRDefault="001826AD" w:rsidP="001826AD">
      <w:pPr>
        <w:ind w:left="567" w:right="567"/>
        <w:rPr>
          <w:rFonts w:cs="Arial"/>
          <w:sz w:val="18"/>
          <w:szCs w:val="18"/>
          <w:lang w:val="fr-FR"/>
        </w:rPr>
      </w:pPr>
    </w:p>
    <w:p w:rsidR="001826AD" w:rsidRPr="006B4271" w:rsidRDefault="001826AD" w:rsidP="001826AD">
      <w:pPr>
        <w:ind w:left="567" w:right="567"/>
        <w:rPr>
          <w:rFonts w:cs="Arial"/>
          <w:sz w:val="18"/>
          <w:szCs w:val="18"/>
          <w:lang w:val="fr-FR"/>
        </w:rPr>
      </w:pPr>
      <w:r w:rsidRPr="006B4271">
        <w:rPr>
          <w:rFonts w:cs="Arial"/>
          <w:sz w:val="18"/>
          <w:szCs w:val="18"/>
          <w:lang w:val="fr-FR"/>
        </w:rPr>
        <w:t>“Pour pouvoir bénéficier d’une protection, une variété doit pouvoir être nettement distinguée de toute autre variété existante par des caractères exprimés physiquement, par exemple, la hauteur de la plante, l’époque de floraison, la couleur des fruits, la résistance aux maladies, etc.  Le profil d’ADN ne constitue pas une base suffisante permettant d’obtenir la protection d’une variété, bien que ces informations puissent être utilisées comme information complémentaire.</w:t>
      </w:r>
    </w:p>
    <w:p w:rsidR="001826AD" w:rsidRPr="006B4271" w:rsidRDefault="001826AD" w:rsidP="001826AD">
      <w:pPr>
        <w:ind w:left="567" w:right="567"/>
        <w:rPr>
          <w:rFonts w:cs="Arial"/>
          <w:sz w:val="18"/>
          <w:szCs w:val="18"/>
          <w:lang w:val="fr-FR"/>
        </w:rPr>
      </w:pPr>
    </w:p>
    <w:p w:rsidR="001826AD" w:rsidRPr="006B4271" w:rsidRDefault="001826AD" w:rsidP="001826AD">
      <w:pPr>
        <w:ind w:left="567" w:right="567"/>
        <w:rPr>
          <w:rFonts w:cs="Arial"/>
          <w:sz w:val="18"/>
          <w:szCs w:val="18"/>
          <w:lang w:val="fr-FR"/>
        </w:rPr>
      </w:pPr>
      <w:r w:rsidRPr="006B4271">
        <w:rPr>
          <w:rFonts w:cs="Arial"/>
          <w:sz w:val="18"/>
          <w:szCs w:val="18"/>
          <w:lang w:val="fr-FR"/>
        </w:rPr>
        <w:t>“Des explications plus détaillées sont fournies dans les réponses aux questions fréquemment posées.  ‘L’UPOV permet</w:t>
      </w:r>
      <w:r w:rsidRPr="006B4271">
        <w:rPr>
          <w:rFonts w:cs="Arial"/>
          <w:sz w:val="18"/>
          <w:szCs w:val="18"/>
          <w:lang w:val="fr-FR"/>
        </w:rPr>
        <w:noBreakHyphen/>
        <w:t>elle de recourir à des techniques moléculaires (profils d’ADN) dans l’examen de la distinction, de l’homogénéité et de la stabilité (examen DHS)?’</w:t>
      </w:r>
    </w:p>
    <w:p w:rsidR="001826AD" w:rsidRPr="006B4271" w:rsidRDefault="001826AD" w:rsidP="001826AD">
      <w:pPr>
        <w:ind w:left="567" w:right="567"/>
        <w:rPr>
          <w:rFonts w:cs="Arial"/>
          <w:sz w:val="18"/>
          <w:szCs w:val="18"/>
          <w:lang w:val="fr-FR"/>
        </w:rPr>
      </w:pPr>
    </w:p>
    <w:p w:rsidR="001826AD" w:rsidRPr="006B4271" w:rsidRDefault="001826AD" w:rsidP="001826AD">
      <w:pPr>
        <w:ind w:left="567" w:right="567"/>
        <w:rPr>
          <w:rFonts w:cs="Arial"/>
          <w:sz w:val="18"/>
          <w:szCs w:val="18"/>
          <w:lang w:val="fr-FR"/>
        </w:rPr>
      </w:pPr>
      <w:r w:rsidRPr="006B4271">
        <w:rPr>
          <w:rFonts w:cs="Arial"/>
          <w:sz w:val="18"/>
          <w:szCs w:val="18"/>
          <w:lang w:val="fr-FR"/>
        </w:rPr>
        <w:t>“Voir également :</w:t>
      </w:r>
    </w:p>
    <w:p w:rsidR="001826AD" w:rsidRPr="006B4271" w:rsidRDefault="001826AD" w:rsidP="001826AD">
      <w:pPr>
        <w:ind w:left="567" w:right="567"/>
        <w:rPr>
          <w:rFonts w:cs="Arial"/>
          <w:sz w:val="18"/>
          <w:szCs w:val="18"/>
          <w:lang w:val="fr-FR" w:eastAsia="ja-JP"/>
        </w:rPr>
      </w:pPr>
      <w:r w:rsidRPr="006B4271">
        <w:rPr>
          <w:rFonts w:cs="Arial"/>
          <w:sz w:val="18"/>
          <w:szCs w:val="18"/>
          <w:lang w:val="fr-FR" w:eastAsia="ja-JP"/>
        </w:rPr>
        <w:t>“Quelles sont les conditions à remplir pour pouvoir protéger une nouvelle variété végétale?”</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point 5 de l’ordre du jour du BMT intitulé “compte rendu des travaux sur l’utilisation des techniques moléculaires dans le cadre de l’examen DHS” permettrait aux membres de l’UPOV et de rendre compte des faits nouveaux concernant l’utilisation de techniques moléculaires dans le cadre de l’examen DHS, et que cela constituerait le fondement pour proposer de nouveaux modèles d’application à inclure dans le document TGP/15 “Conseils en ce qui concerne l’utilisation des marqueurs biochimiques et moléculaires dans l’examen de la distinction, de l’homogénéité et de la stabilité (DHS)”.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l’Union européenne mène un projet sur l’utilisation de techniques faisant intervenir des marqueurs moléculaires dans l’examen DHS de différentes espèces.</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keepNext w:val="0"/>
        <w:rPr>
          <w:lang w:val="fr-FR"/>
        </w:rPr>
      </w:pPr>
      <w:r w:rsidRPr="00092B17">
        <w:rPr>
          <w:lang w:val="fr-FR"/>
        </w:rPr>
        <w:t>Séance de débat</w:t>
      </w:r>
    </w:p>
    <w:p w:rsidR="001826AD" w:rsidRPr="00092B17" w:rsidRDefault="001826AD" w:rsidP="001826AD">
      <w:pPr>
        <w:autoSpaceDE w:val="0"/>
        <w:autoSpaceDN w:val="0"/>
        <w:adjustRightInd w:val="0"/>
        <w:rPr>
          <w:rFonts w:cs="Arial"/>
          <w:lang w:val="fr-FR"/>
        </w:rPr>
      </w:pPr>
    </w:p>
    <w:p w:rsidR="001826AD" w:rsidRPr="00092B17" w:rsidRDefault="001826AD" w:rsidP="004570E2">
      <w:pPr>
        <w:pStyle w:val="Heading3"/>
      </w:pPr>
      <w:r w:rsidRPr="00092B17">
        <w:t>a)</w:t>
      </w:r>
      <w:r w:rsidRPr="00092B17">
        <w:tab/>
        <w:t>Débat sur les descriptions variétales et le rôle du matériel végétal, y compris le nombre minimum de cycles de végétations pour l’examen DHS</w:t>
      </w:r>
    </w:p>
    <w:p w:rsidR="001826AD" w:rsidRPr="006B4271" w:rsidRDefault="001826AD" w:rsidP="004570E2">
      <w:pPr>
        <w:pStyle w:val="Heading3"/>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suit les exposés suivants sur les descriptions variétales et le rôle du matériel végétal, y compris le nombre minimum de cycles de végétations pour l’examen DHS (dans l’ordre de présentation) :</w:t>
      </w:r>
    </w:p>
    <w:p w:rsidR="001826AD" w:rsidRPr="00092B17" w:rsidRDefault="001826AD" w:rsidP="001826AD">
      <w:pPr>
        <w:rPr>
          <w:lang w:val="fr-FR"/>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1826AD" w:rsidRPr="00092B17" w:rsidTr="006B4271">
        <w:tc>
          <w:tcPr>
            <w:tcW w:w="5670" w:type="dxa"/>
            <w:vAlign w:val="center"/>
          </w:tcPr>
          <w:p w:rsidR="001826AD" w:rsidRPr="00092B17" w:rsidRDefault="001826AD" w:rsidP="006B4271">
            <w:pPr>
              <w:keepNext/>
              <w:spacing w:before="60" w:after="60"/>
              <w:ind w:right="34"/>
              <w:rPr>
                <w:lang w:val="fr-FR"/>
              </w:rPr>
            </w:pPr>
            <w:r w:rsidRPr="00092B17">
              <w:rPr>
                <w:lang w:val="fr-FR"/>
              </w:rPr>
              <w:t>Les descriptions variétales et le rôle du matériel végétal, y compris le nombre minimum de cycles de végétations pour l’examen DHS</w:t>
            </w:r>
          </w:p>
        </w:tc>
        <w:tc>
          <w:tcPr>
            <w:tcW w:w="3827" w:type="dxa"/>
          </w:tcPr>
          <w:p w:rsidR="001826AD" w:rsidRPr="00092B17" w:rsidRDefault="001826AD" w:rsidP="006B4271">
            <w:pPr>
              <w:keepNext/>
              <w:spacing w:before="60" w:after="60"/>
              <w:ind w:left="317" w:right="-108"/>
              <w:jc w:val="left"/>
              <w:rPr>
                <w:lang w:val="fr-FR"/>
              </w:rPr>
            </w:pPr>
            <w:r w:rsidRPr="00092B17">
              <w:rPr>
                <w:lang w:val="fr-FR"/>
              </w:rPr>
              <w:t>France (M. Richard Brand)</w:t>
            </w:r>
          </w:p>
        </w:tc>
      </w:tr>
      <w:tr w:rsidR="001826AD" w:rsidRPr="00092B17" w:rsidTr="006B4271">
        <w:tc>
          <w:tcPr>
            <w:tcW w:w="5670" w:type="dxa"/>
            <w:vAlign w:val="center"/>
          </w:tcPr>
          <w:p w:rsidR="001826AD" w:rsidRPr="00092B17" w:rsidRDefault="001826AD" w:rsidP="006B4271">
            <w:pPr>
              <w:keepNext/>
              <w:spacing w:before="60" w:after="60"/>
              <w:ind w:right="34"/>
              <w:rPr>
                <w:lang w:val="fr-FR"/>
              </w:rPr>
            </w:pPr>
            <w:r w:rsidRPr="00092B17">
              <w:rPr>
                <w:lang w:val="fr-FR"/>
              </w:rPr>
              <w:t>Développement et utilisation des descriptions variétales</w:t>
            </w:r>
          </w:p>
        </w:tc>
        <w:tc>
          <w:tcPr>
            <w:tcW w:w="3827" w:type="dxa"/>
          </w:tcPr>
          <w:p w:rsidR="001826AD" w:rsidRPr="00092B17" w:rsidRDefault="001826AD" w:rsidP="006B4271">
            <w:pPr>
              <w:keepNext/>
              <w:spacing w:before="60" w:after="60"/>
              <w:ind w:left="317" w:right="-108"/>
              <w:jc w:val="left"/>
              <w:rPr>
                <w:lang w:val="fr-FR"/>
              </w:rPr>
            </w:pPr>
            <w:r w:rsidRPr="00092B17">
              <w:rPr>
                <w:lang w:val="fr-FR"/>
              </w:rPr>
              <w:t>Allemagne (Mme Beate Rücker)</w:t>
            </w:r>
          </w:p>
        </w:tc>
      </w:tr>
      <w:tr w:rsidR="001826AD" w:rsidRPr="00092B17" w:rsidTr="006B4271">
        <w:tc>
          <w:tcPr>
            <w:tcW w:w="5670" w:type="dxa"/>
            <w:vAlign w:val="center"/>
          </w:tcPr>
          <w:p w:rsidR="001826AD" w:rsidRPr="00092B17" w:rsidRDefault="001826AD" w:rsidP="006B4271">
            <w:pPr>
              <w:keepNext/>
              <w:spacing w:before="60" w:after="60"/>
              <w:ind w:right="34"/>
              <w:rPr>
                <w:lang w:val="fr-FR"/>
              </w:rPr>
            </w:pPr>
            <w:r w:rsidRPr="00092B17">
              <w:rPr>
                <w:lang w:val="fr-FR"/>
              </w:rPr>
              <w:t>Nombre minimum de cycles de végétations</w:t>
            </w:r>
          </w:p>
        </w:tc>
        <w:tc>
          <w:tcPr>
            <w:tcW w:w="3827" w:type="dxa"/>
          </w:tcPr>
          <w:p w:rsidR="001826AD" w:rsidRPr="00092B17" w:rsidRDefault="001826AD" w:rsidP="006B4271">
            <w:pPr>
              <w:keepNext/>
              <w:spacing w:before="60" w:after="60"/>
              <w:ind w:left="317" w:right="-108"/>
              <w:jc w:val="left"/>
              <w:rPr>
                <w:lang w:val="fr-FR"/>
              </w:rPr>
            </w:pPr>
            <w:r w:rsidRPr="00092B17">
              <w:rPr>
                <w:lang w:val="fr-FR"/>
              </w:rPr>
              <w:t>Pays</w:t>
            </w:r>
            <w:r w:rsidRPr="00092B17">
              <w:rPr>
                <w:lang w:val="fr-FR"/>
              </w:rPr>
              <w:noBreakHyphen/>
              <w:t xml:space="preserve">Bas (M. Kees van </w:t>
            </w:r>
            <w:proofErr w:type="spellStart"/>
            <w:r w:rsidRPr="00092B17">
              <w:rPr>
                <w:lang w:val="fr-FR"/>
              </w:rPr>
              <w:t>Ettekoven</w:t>
            </w:r>
            <w:proofErr w:type="spellEnd"/>
            <w:r w:rsidRPr="00092B17">
              <w:rPr>
                <w:lang w:val="fr-FR"/>
              </w:rPr>
              <w:t>)</w:t>
            </w:r>
          </w:p>
        </w:tc>
      </w:tr>
      <w:tr w:rsidR="001826AD" w:rsidRPr="00092B17" w:rsidTr="006B4271">
        <w:tc>
          <w:tcPr>
            <w:tcW w:w="5670" w:type="dxa"/>
            <w:vAlign w:val="center"/>
          </w:tcPr>
          <w:p w:rsidR="001826AD" w:rsidRPr="00092B17" w:rsidRDefault="001826AD" w:rsidP="006B4271">
            <w:pPr>
              <w:spacing w:before="60" w:after="60"/>
              <w:ind w:right="34"/>
              <w:rPr>
                <w:lang w:val="fr-FR"/>
              </w:rPr>
            </w:pPr>
            <w:r w:rsidRPr="00092B17">
              <w:rPr>
                <w:lang w:val="fr-FR"/>
              </w:rPr>
              <w:t>Utilisation des descriptions variétales et longueur de la période d’examen – Le point de vue de la Nouvelle</w:t>
            </w:r>
            <w:r w:rsidRPr="00092B17">
              <w:rPr>
                <w:lang w:val="fr-FR"/>
              </w:rPr>
              <w:noBreakHyphen/>
              <w:t>Zélande</w:t>
            </w:r>
          </w:p>
        </w:tc>
        <w:tc>
          <w:tcPr>
            <w:tcW w:w="3827" w:type="dxa"/>
          </w:tcPr>
          <w:p w:rsidR="001826AD" w:rsidRPr="00092B17" w:rsidRDefault="001826AD" w:rsidP="006B4271">
            <w:pPr>
              <w:spacing w:before="60" w:after="60"/>
              <w:ind w:left="317" w:right="-108"/>
              <w:jc w:val="left"/>
              <w:rPr>
                <w:lang w:val="fr-FR"/>
              </w:rPr>
            </w:pPr>
            <w:r w:rsidRPr="00092B17">
              <w:rPr>
                <w:lang w:val="fr-FR"/>
              </w:rPr>
              <w:t>Nouvelle</w:t>
            </w:r>
            <w:r w:rsidRPr="00092B17">
              <w:rPr>
                <w:lang w:val="fr-FR"/>
              </w:rPr>
              <w:noBreakHyphen/>
              <w:t>Zélande (M. Chris Barnaby)</w:t>
            </w:r>
          </w:p>
        </w:tc>
      </w:tr>
    </w:tbl>
    <w:p w:rsidR="001826AD" w:rsidRPr="00092B17" w:rsidRDefault="001826AD" w:rsidP="001826AD">
      <w:pPr>
        <w:rPr>
          <w:lang w:val="fr-FR"/>
        </w:rPr>
      </w:pPr>
    </w:p>
    <w:p w:rsidR="001826AD" w:rsidRPr="006B4271" w:rsidRDefault="001826AD" w:rsidP="004570E2">
      <w:pPr>
        <w:pStyle w:val="Heading3"/>
      </w:pPr>
      <w:r w:rsidRPr="006B4271">
        <w:t>b)</w:t>
      </w:r>
      <w:r w:rsidRPr="006B4271">
        <w:tab/>
        <w:t>Débat sur les paramètres qualitatifs pour l’examen DHS</w:t>
      </w:r>
    </w:p>
    <w:p w:rsidR="001826AD" w:rsidRPr="00092B17" w:rsidRDefault="001826AD" w:rsidP="004570E2">
      <w:pPr>
        <w:pStyle w:val="Heading3"/>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suit les exposés suivants sur les paramètres qualitatifs pour l’examen DHS (dans l’ordre de présentation) :</w:t>
      </w:r>
    </w:p>
    <w:p w:rsidR="001826AD" w:rsidRPr="00092B17" w:rsidRDefault="001826AD" w:rsidP="001826AD">
      <w:pPr>
        <w:rPr>
          <w:lang w:val="fr-FR"/>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1826AD" w:rsidRPr="00092B17" w:rsidTr="006B4271">
        <w:trPr>
          <w:cantSplit/>
        </w:trPr>
        <w:tc>
          <w:tcPr>
            <w:tcW w:w="5670" w:type="dxa"/>
            <w:vAlign w:val="center"/>
          </w:tcPr>
          <w:p w:rsidR="001826AD" w:rsidRPr="00092B17" w:rsidRDefault="001826AD" w:rsidP="006B4271">
            <w:pPr>
              <w:spacing w:before="60" w:after="60"/>
              <w:ind w:right="34"/>
              <w:rPr>
                <w:lang w:val="fr-FR"/>
              </w:rPr>
            </w:pPr>
            <w:r w:rsidRPr="00092B17">
              <w:rPr>
                <w:lang w:val="fr-FR"/>
              </w:rPr>
              <w:t>Les paramètres qualitatifs pour l’examen DHS</w:t>
            </w:r>
          </w:p>
        </w:tc>
        <w:tc>
          <w:tcPr>
            <w:tcW w:w="3827" w:type="dxa"/>
          </w:tcPr>
          <w:p w:rsidR="001826AD" w:rsidRPr="00092B17" w:rsidRDefault="001826AD" w:rsidP="006B4271">
            <w:pPr>
              <w:spacing w:before="60" w:after="60"/>
              <w:ind w:left="317" w:right="-108"/>
              <w:jc w:val="left"/>
              <w:rPr>
                <w:lang w:val="fr-FR"/>
              </w:rPr>
            </w:pPr>
            <w:r w:rsidRPr="00092B17">
              <w:rPr>
                <w:lang w:val="fr-FR"/>
              </w:rPr>
              <w:t>Union européenne (M. Gerhard </w:t>
            </w:r>
            <w:proofErr w:type="spellStart"/>
            <w:r w:rsidRPr="00092B17">
              <w:rPr>
                <w:lang w:val="fr-FR"/>
              </w:rPr>
              <w:t>Schuon</w:t>
            </w:r>
            <w:proofErr w:type="spellEnd"/>
            <w:r w:rsidRPr="00092B17">
              <w:rPr>
                <w:lang w:val="fr-FR"/>
              </w:rPr>
              <w:t>)</w:t>
            </w:r>
          </w:p>
        </w:tc>
      </w:tr>
      <w:tr w:rsidR="001826AD" w:rsidRPr="00092B17" w:rsidTr="006B4271">
        <w:trPr>
          <w:cantSplit/>
        </w:trPr>
        <w:tc>
          <w:tcPr>
            <w:tcW w:w="5670" w:type="dxa"/>
            <w:vAlign w:val="center"/>
          </w:tcPr>
          <w:p w:rsidR="001826AD" w:rsidRPr="00092B17" w:rsidRDefault="001826AD" w:rsidP="006B4271">
            <w:pPr>
              <w:spacing w:before="60" w:after="60"/>
              <w:ind w:right="34"/>
              <w:rPr>
                <w:lang w:val="fr-FR"/>
              </w:rPr>
            </w:pPr>
            <w:r w:rsidRPr="00092B17">
              <w:rPr>
                <w:lang w:val="fr-FR"/>
              </w:rPr>
              <w:t xml:space="preserve">Les paramètres qualitatifs pour l’examen DHS </w:t>
            </w:r>
          </w:p>
        </w:tc>
        <w:tc>
          <w:tcPr>
            <w:tcW w:w="3827" w:type="dxa"/>
          </w:tcPr>
          <w:p w:rsidR="001826AD" w:rsidRPr="00092B17" w:rsidRDefault="001826AD" w:rsidP="006B4271">
            <w:pPr>
              <w:spacing w:before="60" w:after="60"/>
              <w:ind w:left="317" w:right="-108"/>
              <w:jc w:val="left"/>
              <w:rPr>
                <w:lang w:val="fr-FR"/>
              </w:rPr>
            </w:pPr>
            <w:r w:rsidRPr="00092B17">
              <w:rPr>
                <w:lang w:val="fr-FR"/>
              </w:rPr>
              <w:t>Pays</w:t>
            </w:r>
            <w:r w:rsidRPr="00092B17">
              <w:rPr>
                <w:lang w:val="fr-FR"/>
              </w:rPr>
              <w:noBreakHyphen/>
              <w:t xml:space="preserve">Bas (M. Kees van </w:t>
            </w:r>
            <w:proofErr w:type="spellStart"/>
            <w:r w:rsidRPr="00092B17">
              <w:rPr>
                <w:lang w:val="fr-FR"/>
              </w:rPr>
              <w:t>Ettekoven</w:t>
            </w:r>
            <w:proofErr w:type="spellEnd"/>
            <w:r w:rsidRPr="00092B17">
              <w:rPr>
                <w:lang w:val="fr-FR"/>
              </w:rPr>
              <w:t>)</w:t>
            </w:r>
          </w:p>
        </w:tc>
      </w:tr>
    </w:tbl>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4570E2">
      <w:pPr>
        <w:pStyle w:val="Heading3"/>
      </w:pPr>
      <w:r w:rsidRPr="00092B17">
        <w:t>c)</w:t>
      </w:r>
      <w:r w:rsidRPr="00092B17">
        <w:tab/>
        <w:t>Débat sur la question de la facilitation de la mise au point de bases de données</w:t>
      </w:r>
    </w:p>
    <w:p w:rsidR="001826AD" w:rsidRPr="00092B17" w:rsidRDefault="001826AD" w:rsidP="004570E2">
      <w:pPr>
        <w:pStyle w:val="Heading3"/>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suit les exposés suivants sur la facilitation de la mise au point de bases de données (dans l’ordre de présentation) :</w:t>
      </w:r>
    </w:p>
    <w:p w:rsidR="001826AD" w:rsidRPr="00092B17" w:rsidRDefault="001826AD" w:rsidP="001826AD">
      <w:pPr>
        <w:rPr>
          <w:lang w:val="fr-FR"/>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1826AD" w:rsidRPr="00092B17" w:rsidTr="006B4271">
        <w:trPr>
          <w:cantSplit/>
        </w:trPr>
        <w:tc>
          <w:tcPr>
            <w:tcW w:w="5670" w:type="dxa"/>
            <w:vAlign w:val="center"/>
          </w:tcPr>
          <w:p w:rsidR="001826AD" w:rsidRPr="00092B17" w:rsidRDefault="001826AD" w:rsidP="006B4271">
            <w:pPr>
              <w:spacing w:before="60" w:after="60"/>
              <w:ind w:right="34"/>
              <w:rPr>
                <w:lang w:val="fr-FR"/>
              </w:rPr>
            </w:pPr>
            <w:r w:rsidRPr="00092B17">
              <w:rPr>
                <w:lang w:val="fr-FR"/>
              </w:rPr>
              <w:t>Faciliter la mise au point de bases de données dans le cadre de l’examen DHS</w:t>
            </w:r>
          </w:p>
        </w:tc>
        <w:tc>
          <w:tcPr>
            <w:tcW w:w="3827" w:type="dxa"/>
          </w:tcPr>
          <w:p w:rsidR="001826AD" w:rsidRPr="00092B17" w:rsidRDefault="001826AD" w:rsidP="006B4271">
            <w:pPr>
              <w:spacing w:before="60" w:after="60"/>
              <w:ind w:left="317" w:right="-108"/>
              <w:jc w:val="left"/>
              <w:rPr>
                <w:lang w:val="fr-FR"/>
              </w:rPr>
            </w:pPr>
            <w:r w:rsidRPr="00092B17">
              <w:rPr>
                <w:lang w:val="fr-FR"/>
              </w:rPr>
              <w:t>France (M. Richard Brand)</w:t>
            </w:r>
          </w:p>
        </w:tc>
      </w:tr>
      <w:tr w:rsidR="001826AD" w:rsidRPr="00092B17" w:rsidTr="006B4271">
        <w:trPr>
          <w:cantSplit/>
        </w:trPr>
        <w:tc>
          <w:tcPr>
            <w:tcW w:w="5670" w:type="dxa"/>
            <w:vAlign w:val="center"/>
          </w:tcPr>
          <w:p w:rsidR="001826AD" w:rsidRPr="00092B17" w:rsidRDefault="001826AD" w:rsidP="006B4271">
            <w:pPr>
              <w:spacing w:before="60" w:after="60"/>
              <w:ind w:right="34"/>
              <w:rPr>
                <w:lang w:val="fr-FR"/>
              </w:rPr>
            </w:pPr>
            <w:r w:rsidRPr="00092B17">
              <w:rPr>
                <w:lang w:val="fr-FR"/>
              </w:rPr>
              <w:t>Faciliter la mise au point de bases de données</w:t>
            </w:r>
          </w:p>
        </w:tc>
        <w:tc>
          <w:tcPr>
            <w:tcW w:w="3827" w:type="dxa"/>
          </w:tcPr>
          <w:p w:rsidR="001826AD" w:rsidRPr="00092B17" w:rsidRDefault="001826AD" w:rsidP="006B4271">
            <w:pPr>
              <w:spacing w:before="60" w:after="60"/>
              <w:ind w:left="317" w:right="-108"/>
              <w:jc w:val="left"/>
              <w:rPr>
                <w:lang w:val="fr-FR"/>
              </w:rPr>
            </w:pPr>
            <w:r w:rsidRPr="00092B17">
              <w:rPr>
                <w:lang w:val="fr-FR"/>
              </w:rPr>
              <w:t>Pays</w:t>
            </w:r>
            <w:r w:rsidRPr="00092B17">
              <w:rPr>
                <w:lang w:val="fr-FR"/>
              </w:rPr>
              <w:noBreakHyphen/>
              <w:t xml:space="preserve">Bas (M. Kees van </w:t>
            </w:r>
            <w:proofErr w:type="spellStart"/>
            <w:r w:rsidRPr="00092B17">
              <w:rPr>
                <w:lang w:val="fr-FR"/>
              </w:rPr>
              <w:t>Ettekoven</w:t>
            </w:r>
            <w:proofErr w:type="spellEnd"/>
            <w:r w:rsidRPr="00092B17">
              <w:rPr>
                <w:lang w:val="fr-FR"/>
              </w:rPr>
              <w:t>)</w:t>
            </w:r>
          </w:p>
        </w:tc>
      </w:tr>
    </w:tbl>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4570E2">
      <w:pPr>
        <w:pStyle w:val="Heading3"/>
      </w:pPr>
      <w:r w:rsidRPr="00092B17">
        <w:t>d)</w:t>
      </w:r>
      <w:r w:rsidRPr="00092B17">
        <w:tab/>
        <w:t>Débat sur l’écart minimal entre les variétés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suit les exposés suivants sur l’écart minimal entre les variétés (dans l’ordre de présentation) :</w:t>
      </w:r>
    </w:p>
    <w:p w:rsidR="001826AD" w:rsidRPr="00092B17" w:rsidRDefault="001826AD" w:rsidP="001826AD">
      <w:pPr>
        <w:rPr>
          <w:lang w:val="fr-FR"/>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1826AD" w:rsidRPr="00092B17" w:rsidTr="006B4271">
        <w:trPr>
          <w:cantSplit/>
        </w:trPr>
        <w:tc>
          <w:tcPr>
            <w:tcW w:w="5670" w:type="dxa"/>
          </w:tcPr>
          <w:p w:rsidR="001826AD" w:rsidRPr="00092B17" w:rsidRDefault="001826AD" w:rsidP="006B4271">
            <w:pPr>
              <w:spacing w:before="60" w:after="60"/>
              <w:ind w:right="34"/>
              <w:jc w:val="left"/>
              <w:rPr>
                <w:lang w:val="fr-FR"/>
              </w:rPr>
            </w:pPr>
            <w:r w:rsidRPr="00092B17">
              <w:rPr>
                <w:lang w:val="fr-FR"/>
              </w:rPr>
              <w:t>Écart minimal/Distinction</w:t>
            </w:r>
          </w:p>
        </w:tc>
        <w:tc>
          <w:tcPr>
            <w:tcW w:w="3827" w:type="dxa"/>
          </w:tcPr>
          <w:p w:rsidR="001826AD" w:rsidRPr="00092B17" w:rsidRDefault="001826AD" w:rsidP="006B4271">
            <w:pPr>
              <w:spacing w:before="60" w:after="60"/>
              <w:ind w:left="317" w:right="-108"/>
              <w:jc w:val="left"/>
              <w:rPr>
                <w:lang w:val="fr-FR"/>
              </w:rPr>
            </w:pPr>
            <w:r w:rsidRPr="00092B17">
              <w:rPr>
                <w:lang w:val="fr-FR"/>
              </w:rPr>
              <w:t xml:space="preserve">Association internationale des producteurs de l’horticulture (AIPH) et Communauté internationale des obtenteurs de plantes ornementales et fruitières de reproduction asexuée (CIOPORA) (Mme Dominique </w:t>
            </w:r>
            <w:proofErr w:type="spellStart"/>
            <w:r w:rsidRPr="00092B17">
              <w:rPr>
                <w:lang w:val="fr-FR"/>
              </w:rPr>
              <w:t>Thevenon</w:t>
            </w:r>
            <w:proofErr w:type="spellEnd"/>
            <w:r w:rsidRPr="00092B17">
              <w:rPr>
                <w:lang w:val="fr-FR"/>
              </w:rPr>
              <w:t>)</w:t>
            </w:r>
          </w:p>
        </w:tc>
      </w:tr>
      <w:tr w:rsidR="001826AD" w:rsidRPr="00092B17" w:rsidTr="006B4271">
        <w:trPr>
          <w:cantSplit/>
        </w:trPr>
        <w:tc>
          <w:tcPr>
            <w:tcW w:w="5670" w:type="dxa"/>
            <w:vAlign w:val="center"/>
          </w:tcPr>
          <w:p w:rsidR="001826AD" w:rsidRPr="00092B17" w:rsidRDefault="001826AD" w:rsidP="006B4271">
            <w:pPr>
              <w:spacing w:before="60" w:after="60"/>
              <w:ind w:right="34"/>
              <w:rPr>
                <w:lang w:val="fr-FR"/>
              </w:rPr>
            </w:pPr>
            <w:r w:rsidRPr="00092B17">
              <w:rPr>
                <w:lang w:val="fr-FR"/>
              </w:rPr>
              <w:t xml:space="preserve">Écart minimal </w:t>
            </w:r>
            <w:r w:rsidRPr="00092B17">
              <w:rPr>
                <w:rFonts w:eastAsia="Times New Roman"/>
                <w:lang w:val="fr-FR"/>
              </w:rPr>
              <w:t>– point de vue tenant compte des variétés agricoles et maraîchères</w:t>
            </w:r>
          </w:p>
        </w:tc>
        <w:tc>
          <w:tcPr>
            <w:tcW w:w="3827" w:type="dxa"/>
          </w:tcPr>
          <w:p w:rsidR="001826AD" w:rsidRPr="00092B17" w:rsidRDefault="001826AD" w:rsidP="006B4271">
            <w:pPr>
              <w:spacing w:before="60" w:after="60"/>
              <w:ind w:left="317" w:right="-108"/>
              <w:jc w:val="left"/>
              <w:rPr>
                <w:lang w:val="fr-FR"/>
              </w:rPr>
            </w:pPr>
            <w:proofErr w:type="spellStart"/>
            <w:r w:rsidRPr="00092B17">
              <w:rPr>
                <w:lang w:val="fr-FR"/>
              </w:rPr>
              <w:t>European</w:t>
            </w:r>
            <w:proofErr w:type="spellEnd"/>
            <w:r w:rsidRPr="00092B17">
              <w:rPr>
                <w:lang w:val="fr-FR"/>
              </w:rPr>
              <w:t xml:space="preserve"> </w:t>
            </w:r>
            <w:proofErr w:type="spellStart"/>
            <w:r w:rsidRPr="00092B17">
              <w:rPr>
                <w:lang w:val="fr-FR"/>
              </w:rPr>
              <w:t>Seed</w:t>
            </w:r>
            <w:proofErr w:type="spellEnd"/>
            <w:r w:rsidRPr="00092B17">
              <w:rPr>
                <w:lang w:val="fr-FR"/>
              </w:rPr>
              <w:t xml:space="preserve"> Association (ESA) (M. Bert </w:t>
            </w:r>
            <w:proofErr w:type="spellStart"/>
            <w:r w:rsidRPr="00092B17">
              <w:rPr>
                <w:lang w:val="fr-FR"/>
              </w:rPr>
              <w:t>Scholte</w:t>
            </w:r>
            <w:proofErr w:type="spellEnd"/>
            <w:r w:rsidRPr="00092B17">
              <w:rPr>
                <w:lang w:val="fr-FR"/>
              </w:rPr>
              <w:t>)</w:t>
            </w:r>
          </w:p>
        </w:tc>
      </w:tr>
    </w:tbl>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Questions concernant les descriptions variétales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TC/52/21.</w:t>
      </w:r>
    </w:p>
    <w:p w:rsidR="001826AD" w:rsidRPr="00092B17" w:rsidRDefault="001826AD" w:rsidP="001826AD">
      <w:pPr>
        <w:keepNext/>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CAJ, à sa soixante et onzième session, avait approuvé la conclusion du CAJ AG, à sa neuvième session, sur le :</w:t>
      </w:r>
    </w:p>
    <w:p w:rsidR="001826AD" w:rsidRPr="00092B17" w:rsidRDefault="001826AD" w:rsidP="001826AD">
      <w:pPr>
        <w:rPr>
          <w:lang w:val="fr-FR"/>
        </w:rPr>
      </w:pPr>
    </w:p>
    <w:p w:rsidR="001826AD" w:rsidRPr="00092B17" w:rsidRDefault="00416E75" w:rsidP="001826AD">
      <w:pPr>
        <w:rPr>
          <w:lang w:val="fr-FR"/>
        </w:rPr>
      </w:pPr>
      <w:r>
        <w:rPr>
          <w:lang w:val="fr-FR"/>
        </w:rPr>
        <w:tab/>
      </w:r>
      <w:r w:rsidR="001826AD" w:rsidRPr="00092B17">
        <w:rPr>
          <w:lang w:val="fr-FR"/>
        </w:rPr>
        <w:t>i)</w:t>
      </w:r>
      <w:r w:rsidR="001826AD" w:rsidRPr="00092B17">
        <w:rPr>
          <w:lang w:val="fr-FR"/>
        </w:rPr>
        <w:tab/>
        <w:t>but de la description variétale élaborée au moment de l’octroi du droit d’obtenteur (description variétale initiale), comme suit :</w:t>
      </w:r>
    </w:p>
    <w:p w:rsidR="001826AD" w:rsidRPr="00092B17" w:rsidRDefault="001826AD" w:rsidP="001826AD">
      <w:pPr>
        <w:rPr>
          <w:lang w:val="fr-FR"/>
        </w:rPr>
      </w:pPr>
    </w:p>
    <w:p w:rsidR="001826AD" w:rsidRPr="006B4271" w:rsidRDefault="001826AD" w:rsidP="001826AD">
      <w:pPr>
        <w:ind w:left="567" w:right="567"/>
        <w:rPr>
          <w:sz w:val="18"/>
          <w:lang w:val="fr-FR"/>
        </w:rPr>
      </w:pPr>
      <w:r w:rsidRPr="006B4271">
        <w:rPr>
          <w:sz w:val="18"/>
          <w:lang w:val="fr-FR"/>
        </w:rPr>
        <w:t>“37.</w:t>
      </w:r>
      <w:r w:rsidRPr="006B4271">
        <w:rPr>
          <w:sz w:val="18"/>
          <w:lang w:val="fr-FR"/>
        </w:rPr>
        <w:tab/>
        <w:t>Le CAJ</w:t>
      </w:r>
      <w:r w:rsidRPr="006B4271">
        <w:rPr>
          <w:sz w:val="18"/>
          <w:lang w:val="fr-FR"/>
        </w:rPr>
        <w:noBreakHyphen/>
        <w:t>AG est convenu que, sur la base de la section 6 du ‘Rapport UPOV d’examen technique et Formulaire UPOV de description variétale’ du document TGP/5 ‘Expérience et coopération en matière d’examen DHS’, le but de la description variétale élaborée au moment de l’octroi du droit d’obtenteur (description variétale initiale) pourrait être résumé comme suit :</w:t>
      </w:r>
    </w:p>
    <w:p w:rsidR="001826AD" w:rsidRPr="006B4271" w:rsidRDefault="001826AD" w:rsidP="001826AD">
      <w:pPr>
        <w:ind w:left="567" w:right="567"/>
        <w:rPr>
          <w:sz w:val="18"/>
          <w:lang w:val="fr-FR"/>
        </w:rPr>
      </w:pPr>
    </w:p>
    <w:p w:rsidR="001826AD" w:rsidRPr="006B4271" w:rsidRDefault="001826AD" w:rsidP="001826AD">
      <w:pPr>
        <w:keepNext/>
        <w:ind w:left="1134" w:right="567"/>
        <w:rPr>
          <w:sz w:val="18"/>
          <w:lang w:val="fr-FR"/>
        </w:rPr>
      </w:pPr>
      <w:r w:rsidRPr="006B4271">
        <w:rPr>
          <w:sz w:val="18"/>
          <w:lang w:val="fr-FR"/>
        </w:rPr>
        <w:t>“</w:t>
      </w:r>
      <w:proofErr w:type="gramStart"/>
      <w:r w:rsidRPr="006B4271">
        <w:rPr>
          <w:sz w:val="18"/>
          <w:lang w:val="fr-FR"/>
        </w:rPr>
        <w:t>a</w:t>
      </w:r>
      <w:proofErr w:type="gramEnd"/>
      <w:r w:rsidRPr="006B4271">
        <w:rPr>
          <w:sz w:val="18"/>
          <w:lang w:val="fr-FR"/>
        </w:rPr>
        <w:t>)</w:t>
      </w:r>
      <w:r w:rsidRPr="006B4271">
        <w:rPr>
          <w:sz w:val="18"/>
          <w:lang w:val="fr-FR"/>
        </w:rPr>
        <w:tab/>
        <w:t>décrire les caractères de la variété;  et</w:t>
      </w:r>
    </w:p>
    <w:p w:rsidR="001826AD" w:rsidRPr="006B4271" w:rsidRDefault="001826AD" w:rsidP="001826AD">
      <w:pPr>
        <w:ind w:left="1134" w:right="567"/>
        <w:rPr>
          <w:sz w:val="18"/>
          <w:lang w:val="fr-FR"/>
        </w:rPr>
      </w:pPr>
      <w:r w:rsidRPr="006B4271">
        <w:rPr>
          <w:sz w:val="18"/>
          <w:lang w:val="fr-FR"/>
        </w:rPr>
        <w:t>“</w:t>
      </w:r>
      <w:proofErr w:type="gramStart"/>
      <w:r w:rsidRPr="006B4271">
        <w:rPr>
          <w:sz w:val="18"/>
          <w:lang w:val="fr-FR"/>
        </w:rPr>
        <w:t>b</w:t>
      </w:r>
      <w:proofErr w:type="gramEnd"/>
      <w:r w:rsidRPr="006B4271">
        <w:rPr>
          <w:sz w:val="18"/>
          <w:lang w:val="fr-FR"/>
        </w:rPr>
        <w:t>)</w:t>
      </w:r>
      <w:r w:rsidRPr="006B4271">
        <w:rPr>
          <w:sz w:val="18"/>
          <w:lang w:val="fr-FR"/>
        </w:rPr>
        <w:tab/>
        <w:t>identifier les variétés voisines et les différences par rapport à ces variétés, et en dresser la liste;</w:t>
      </w:r>
    </w:p>
    <w:p w:rsidR="001826AD" w:rsidRPr="006B4271" w:rsidRDefault="001826AD" w:rsidP="001826AD">
      <w:pPr>
        <w:ind w:left="2835" w:right="567" w:hanging="1134"/>
        <w:rPr>
          <w:sz w:val="18"/>
          <w:lang w:val="fr-FR"/>
        </w:rPr>
      </w:pPr>
      <w:proofErr w:type="gramStart"/>
      <w:r w:rsidRPr="006B4271">
        <w:rPr>
          <w:sz w:val="18"/>
          <w:lang w:val="fr-FR"/>
        </w:rPr>
        <w:t>avec</w:t>
      </w:r>
      <w:proofErr w:type="gramEnd"/>
      <w:r w:rsidRPr="006B4271">
        <w:rPr>
          <w:sz w:val="18"/>
          <w:lang w:val="fr-FR"/>
        </w:rPr>
        <w:t xml:space="preserve"> les informations sur la base pour a) et b), à savoir :</w:t>
      </w:r>
    </w:p>
    <w:p w:rsidR="001826AD" w:rsidRPr="006B4271" w:rsidRDefault="001826AD" w:rsidP="001826AD">
      <w:pPr>
        <w:ind w:left="1701" w:right="567"/>
        <w:rPr>
          <w:sz w:val="18"/>
          <w:lang w:val="fr-FR"/>
        </w:rPr>
      </w:pPr>
      <w:r w:rsidRPr="006B4271">
        <w:rPr>
          <w:sz w:val="18"/>
          <w:lang w:val="fr-FR"/>
        </w:rPr>
        <w:t>“▪</w:t>
      </w:r>
      <w:r w:rsidRPr="006B4271">
        <w:rPr>
          <w:sz w:val="18"/>
          <w:lang w:val="fr-FR"/>
        </w:rPr>
        <w:tab/>
        <w:t>Date et référence du document contenant les principes directeurs d’examen de l’UPOV;</w:t>
      </w:r>
    </w:p>
    <w:p w:rsidR="001826AD" w:rsidRPr="006B4271" w:rsidRDefault="001826AD" w:rsidP="001826AD">
      <w:pPr>
        <w:ind w:left="1701" w:right="567"/>
        <w:rPr>
          <w:sz w:val="18"/>
          <w:lang w:val="fr-FR"/>
        </w:rPr>
      </w:pPr>
      <w:r w:rsidRPr="006B4271">
        <w:rPr>
          <w:sz w:val="18"/>
          <w:lang w:val="fr-FR"/>
        </w:rPr>
        <w:t>“▪</w:t>
      </w:r>
      <w:r w:rsidRPr="006B4271">
        <w:rPr>
          <w:sz w:val="18"/>
          <w:lang w:val="fr-FR"/>
        </w:rPr>
        <w:tab/>
        <w:t>Date et/ou référence des principes directeurs du service ayant établi le rapport d’examen;</w:t>
      </w:r>
    </w:p>
    <w:p w:rsidR="001826AD" w:rsidRPr="006B4271" w:rsidRDefault="001826AD" w:rsidP="001826AD">
      <w:pPr>
        <w:ind w:left="1701" w:right="567"/>
        <w:rPr>
          <w:sz w:val="18"/>
          <w:lang w:val="fr-FR"/>
        </w:rPr>
      </w:pPr>
      <w:r w:rsidRPr="006B4271">
        <w:rPr>
          <w:sz w:val="18"/>
          <w:lang w:val="fr-FR"/>
        </w:rPr>
        <w:t>“▪</w:t>
      </w:r>
      <w:r w:rsidRPr="006B4271">
        <w:rPr>
          <w:sz w:val="18"/>
          <w:lang w:val="fr-FR"/>
        </w:rPr>
        <w:tab/>
        <w:t>Service ayant établi le rapport d’examen;</w:t>
      </w:r>
    </w:p>
    <w:p w:rsidR="001826AD" w:rsidRPr="006B4271" w:rsidRDefault="001826AD" w:rsidP="001826AD">
      <w:pPr>
        <w:ind w:left="1701" w:right="567"/>
        <w:rPr>
          <w:sz w:val="18"/>
          <w:lang w:val="fr-FR"/>
        </w:rPr>
      </w:pPr>
      <w:r w:rsidRPr="006B4271">
        <w:rPr>
          <w:sz w:val="18"/>
          <w:lang w:val="fr-FR"/>
        </w:rPr>
        <w:t>“▪</w:t>
      </w:r>
      <w:r w:rsidRPr="006B4271">
        <w:rPr>
          <w:sz w:val="18"/>
          <w:lang w:val="fr-FR"/>
        </w:rPr>
        <w:tab/>
        <w:t>Station(s) et lieu(x) d’examen;</w:t>
      </w:r>
    </w:p>
    <w:p w:rsidR="001826AD" w:rsidRPr="006B4271" w:rsidRDefault="001826AD" w:rsidP="001826AD">
      <w:pPr>
        <w:ind w:left="1701" w:right="567"/>
        <w:rPr>
          <w:sz w:val="18"/>
          <w:lang w:val="fr-FR"/>
        </w:rPr>
      </w:pPr>
      <w:r w:rsidRPr="006B4271">
        <w:rPr>
          <w:sz w:val="18"/>
          <w:lang w:val="fr-FR"/>
        </w:rPr>
        <w:t>“▪</w:t>
      </w:r>
      <w:r w:rsidRPr="006B4271">
        <w:rPr>
          <w:sz w:val="18"/>
          <w:lang w:val="fr-FR"/>
        </w:rPr>
        <w:tab/>
        <w:t>Période d’examen;</w:t>
      </w:r>
    </w:p>
    <w:p w:rsidR="001826AD" w:rsidRPr="006B4271" w:rsidRDefault="001826AD" w:rsidP="001826AD">
      <w:pPr>
        <w:ind w:left="1701" w:right="567"/>
        <w:rPr>
          <w:sz w:val="18"/>
          <w:lang w:val="fr-FR"/>
        </w:rPr>
      </w:pPr>
      <w:r w:rsidRPr="006B4271">
        <w:rPr>
          <w:sz w:val="18"/>
          <w:lang w:val="fr-FR"/>
        </w:rPr>
        <w:t>“▪</w:t>
      </w:r>
      <w:r w:rsidRPr="006B4271">
        <w:rPr>
          <w:sz w:val="18"/>
          <w:lang w:val="fr-FR"/>
        </w:rPr>
        <w:tab/>
        <w:t>Date et lieu de publication du document;</w:t>
      </w:r>
    </w:p>
    <w:p w:rsidR="001826AD" w:rsidRPr="006B4271" w:rsidRDefault="001826AD" w:rsidP="001826AD">
      <w:pPr>
        <w:ind w:left="1701" w:right="567"/>
        <w:rPr>
          <w:sz w:val="18"/>
          <w:lang w:val="fr-FR"/>
        </w:rPr>
      </w:pPr>
      <w:r w:rsidRPr="006B4271">
        <w:rPr>
          <w:sz w:val="18"/>
          <w:lang w:val="fr-FR"/>
        </w:rPr>
        <w:t>“▪</w:t>
      </w:r>
      <w:r w:rsidRPr="006B4271">
        <w:rPr>
          <w:sz w:val="18"/>
          <w:lang w:val="fr-FR"/>
        </w:rPr>
        <w:tab/>
        <w:t>Groupe : (tableau : caractères;  niveaux d’expression;  note;  observations);</w:t>
      </w:r>
    </w:p>
    <w:p w:rsidR="001826AD" w:rsidRPr="006B4271" w:rsidRDefault="001826AD" w:rsidP="001826AD">
      <w:pPr>
        <w:ind w:left="1701" w:right="567"/>
        <w:rPr>
          <w:sz w:val="18"/>
          <w:lang w:val="fr-FR"/>
        </w:rPr>
      </w:pPr>
      <w:r w:rsidRPr="006B4271">
        <w:rPr>
          <w:sz w:val="18"/>
          <w:lang w:val="fr-FR"/>
        </w:rPr>
        <w:t>“▪</w:t>
      </w:r>
      <w:r w:rsidRPr="006B4271">
        <w:rPr>
          <w:sz w:val="18"/>
          <w:lang w:val="fr-FR"/>
        </w:rPr>
        <w:tab/>
        <w:t>Renseignements complémentaires;</w:t>
      </w:r>
    </w:p>
    <w:p w:rsidR="001826AD" w:rsidRPr="006B4271" w:rsidRDefault="001826AD" w:rsidP="001826AD">
      <w:pPr>
        <w:ind w:left="1701" w:right="567"/>
        <w:rPr>
          <w:sz w:val="18"/>
          <w:lang w:val="fr-FR"/>
        </w:rPr>
      </w:pPr>
      <w:r w:rsidRPr="006B4271">
        <w:rPr>
          <w:sz w:val="18"/>
          <w:lang w:val="fr-FR"/>
        </w:rPr>
        <w:tab/>
        <w:t>“</w:t>
      </w:r>
      <w:proofErr w:type="gramStart"/>
      <w:r w:rsidRPr="006B4271">
        <w:rPr>
          <w:sz w:val="18"/>
          <w:lang w:val="fr-FR"/>
        </w:rPr>
        <w:t>a</w:t>
      </w:r>
      <w:proofErr w:type="gramEnd"/>
      <w:r w:rsidRPr="006B4271">
        <w:rPr>
          <w:sz w:val="18"/>
          <w:lang w:val="fr-FR"/>
        </w:rPr>
        <w:t>)</w:t>
      </w:r>
      <w:r w:rsidRPr="006B4271">
        <w:rPr>
          <w:sz w:val="18"/>
          <w:lang w:val="fr-FR"/>
        </w:rPr>
        <w:tab/>
        <w:t>Données additionnelles;</w:t>
      </w:r>
    </w:p>
    <w:p w:rsidR="001826AD" w:rsidRPr="006B4271" w:rsidRDefault="001826AD" w:rsidP="001826AD">
      <w:pPr>
        <w:ind w:left="1701" w:right="567"/>
        <w:rPr>
          <w:sz w:val="18"/>
          <w:lang w:val="fr-FR"/>
        </w:rPr>
      </w:pPr>
      <w:r w:rsidRPr="006B4271">
        <w:rPr>
          <w:sz w:val="18"/>
          <w:lang w:val="fr-FR"/>
        </w:rPr>
        <w:tab/>
        <w:t>“b)</w:t>
      </w:r>
      <w:r w:rsidRPr="006B4271">
        <w:rPr>
          <w:sz w:val="18"/>
          <w:lang w:val="fr-FR"/>
        </w:rPr>
        <w:tab/>
        <w:t>Photographie (le cas échéant);</w:t>
      </w:r>
    </w:p>
    <w:p w:rsidR="001826AD" w:rsidRPr="006B4271" w:rsidRDefault="001826AD" w:rsidP="001826AD">
      <w:pPr>
        <w:ind w:left="1701" w:right="567"/>
        <w:rPr>
          <w:sz w:val="18"/>
          <w:lang w:val="fr-FR"/>
        </w:rPr>
      </w:pPr>
      <w:r w:rsidRPr="006B4271">
        <w:rPr>
          <w:sz w:val="18"/>
          <w:lang w:val="fr-FR"/>
        </w:rPr>
        <w:tab/>
        <w:t>“c)</w:t>
      </w:r>
      <w:r w:rsidRPr="006B4271">
        <w:rPr>
          <w:sz w:val="18"/>
          <w:lang w:val="fr-FR"/>
        </w:rPr>
        <w:tab/>
        <w:t>Version du code RHS des couleurs utilisée (le cas échéant);</w:t>
      </w:r>
    </w:p>
    <w:p w:rsidR="001826AD" w:rsidRPr="006B4271" w:rsidRDefault="001826AD" w:rsidP="001826AD">
      <w:pPr>
        <w:ind w:left="1701" w:right="567"/>
        <w:rPr>
          <w:sz w:val="18"/>
          <w:lang w:val="fr-FR"/>
        </w:rPr>
      </w:pPr>
      <w:r w:rsidRPr="006B4271">
        <w:rPr>
          <w:sz w:val="18"/>
          <w:lang w:val="fr-FR"/>
        </w:rPr>
        <w:tab/>
        <w:t>“d)</w:t>
      </w:r>
      <w:r w:rsidRPr="006B4271">
        <w:rPr>
          <w:sz w:val="18"/>
          <w:lang w:val="fr-FR"/>
        </w:rPr>
        <w:tab/>
        <w:t>Observations.”</w:t>
      </w:r>
    </w:p>
    <w:p w:rsidR="001826AD" w:rsidRPr="00092B17" w:rsidRDefault="001826AD" w:rsidP="001826AD">
      <w:pPr>
        <w:rPr>
          <w:lang w:val="fr-FR"/>
        </w:rPr>
      </w:pPr>
    </w:p>
    <w:p w:rsidR="001826AD" w:rsidRPr="00092B17" w:rsidRDefault="001826AD" w:rsidP="001826AD">
      <w:pPr>
        <w:ind w:left="567"/>
        <w:rPr>
          <w:lang w:val="fr-FR"/>
        </w:rPr>
      </w:pPr>
      <w:proofErr w:type="gramStart"/>
      <w:r w:rsidRPr="00092B17">
        <w:rPr>
          <w:lang w:val="fr-FR"/>
        </w:rPr>
        <w:t>et</w:t>
      </w:r>
      <w:proofErr w:type="gramEnd"/>
    </w:p>
    <w:p w:rsidR="001826AD" w:rsidRPr="00092B17" w:rsidRDefault="001826AD" w:rsidP="001826AD">
      <w:pPr>
        <w:rPr>
          <w:lang w:val="fr-FR"/>
        </w:rPr>
      </w:pPr>
    </w:p>
    <w:p w:rsidR="001826AD" w:rsidRPr="00092B17" w:rsidRDefault="00416E75" w:rsidP="001826AD">
      <w:pPr>
        <w:rPr>
          <w:lang w:val="fr-FR"/>
        </w:rPr>
      </w:pPr>
      <w:r>
        <w:rPr>
          <w:lang w:val="fr-FR"/>
        </w:rPr>
        <w:tab/>
      </w:r>
      <w:r w:rsidR="001826AD" w:rsidRPr="00092B17">
        <w:rPr>
          <w:lang w:val="fr-FR"/>
        </w:rPr>
        <w:t>ii)</w:t>
      </w:r>
      <w:r w:rsidR="001826AD" w:rsidRPr="00092B17">
        <w:rPr>
          <w:lang w:val="fr-FR"/>
        </w:rPr>
        <w:tab/>
        <w:t>statut de la description variétale initiale, au regard de la vérification de la conformité du matériel végétal à une variété protégée aux fins de la défense du droit d’obtenteur, comme suit :</w:t>
      </w:r>
    </w:p>
    <w:p w:rsidR="001826AD" w:rsidRPr="00092B17" w:rsidRDefault="001826AD" w:rsidP="001826AD">
      <w:pPr>
        <w:rPr>
          <w:lang w:val="fr-FR"/>
        </w:rPr>
      </w:pPr>
    </w:p>
    <w:p w:rsidR="001826AD" w:rsidRPr="006B4271" w:rsidRDefault="001826AD" w:rsidP="001826AD">
      <w:pPr>
        <w:ind w:left="567" w:right="567"/>
        <w:rPr>
          <w:snapToGrid w:val="0"/>
          <w:spacing w:val="-2"/>
          <w:sz w:val="18"/>
          <w:szCs w:val="18"/>
          <w:lang w:val="fr-FR"/>
        </w:rPr>
      </w:pPr>
      <w:r w:rsidRPr="006B4271">
        <w:rPr>
          <w:snapToGrid w:val="0"/>
          <w:spacing w:val="-2"/>
          <w:sz w:val="18"/>
          <w:szCs w:val="18"/>
          <w:lang w:val="fr-FR"/>
        </w:rPr>
        <w:t>“38.</w:t>
      </w:r>
      <w:r w:rsidRPr="006B4271">
        <w:rPr>
          <w:snapToGrid w:val="0"/>
          <w:spacing w:val="-2"/>
          <w:sz w:val="18"/>
          <w:szCs w:val="18"/>
          <w:lang w:val="fr-FR"/>
        </w:rPr>
        <w:tab/>
        <w:t>Le CAJ</w:t>
      </w:r>
      <w:r w:rsidRPr="006B4271">
        <w:rPr>
          <w:snapToGrid w:val="0"/>
          <w:spacing w:val="-2"/>
          <w:sz w:val="18"/>
          <w:szCs w:val="18"/>
          <w:lang w:val="fr-FR"/>
        </w:rPr>
        <w:noBreakHyphen/>
        <w:t>AG a examiné le statut de la description variétale initiale, au regard de la vérification du matériel végétal d’une variété protégée aux fins de la défense du droit d’obtenteur, et a noté que les orientations de l’UPOV sur la défense des droits d’obtenteur figurant dans le document UPOV/EXN/ENF/1 “Notes explicatives sur la défense des droits d’obtenteur selon la Convention UPOV” expliquent ce qui suit :</w:t>
      </w:r>
    </w:p>
    <w:p w:rsidR="001826AD" w:rsidRPr="006B4271" w:rsidRDefault="001826AD" w:rsidP="001826AD">
      <w:pPr>
        <w:pStyle w:val="ListParagraph"/>
        <w:ind w:left="567" w:right="567"/>
        <w:rPr>
          <w:snapToGrid w:val="0"/>
          <w:sz w:val="18"/>
          <w:szCs w:val="18"/>
          <w:lang w:val="fr-FR"/>
        </w:rPr>
      </w:pPr>
    </w:p>
    <w:p w:rsidR="001826AD" w:rsidRPr="006B4271" w:rsidRDefault="001826AD" w:rsidP="001826AD">
      <w:pPr>
        <w:pStyle w:val="ListParagraph"/>
        <w:ind w:left="567" w:right="567"/>
        <w:rPr>
          <w:rFonts w:ascii="Arial" w:hAnsi="Arial" w:cs="Arial"/>
          <w:snapToGrid w:val="0"/>
          <w:sz w:val="18"/>
          <w:szCs w:val="18"/>
          <w:lang w:val="fr-FR"/>
        </w:rPr>
      </w:pPr>
      <w:r w:rsidRPr="006B4271">
        <w:rPr>
          <w:rFonts w:ascii="Arial" w:hAnsi="Arial" w:cs="Arial"/>
          <w:snapToGrid w:val="0"/>
          <w:sz w:val="18"/>
          <w:szCs w:val="18"/>
          <w:lang w:val="fr-FR"/>
        </w:rPr>
        <w:t>“SECTION II : Quelques mesures possibles pour la défense des droits d’obtenteur</w:t>
      </w:r>
    </w:p>
    <w:p w:rsidR="001826AD" w:rsidRPr="006B4271" w:rsidRDefault="001826AD" w:rsidP="001826AD">
      <w:pPr>
        <w:pStyle w:val="ListParagraph"/>
        <w:ind w:left="567" w:right="567"/>
        <w:rPr>
          <w:rFonts w:ascii="Arial" w:hAnsi="Arial" w:cs="Arial"/>
          <w:snapToGrid w:val="0"/>
          <w:sz w:val="18"/>
          <w:szCs w:val="18"/>
          <w:lang w:val="fr-FR"/>
        </w:rPr>
      </w:pPr>
    </w:p>
    <w:p w:rsidR="001826AD" w:rsidRPr="006B4271" w:rsidRDefault="001826AD" w:rsidP="001826AD">
      <w:pPr>
        <w:pStyle w:val="ListParagraph"/>
        <w:ind w:left="567" w:right="567"/>
        <w:rPr>
          <w:rFonts w:ascii="Arial" w:hAnsi="Arial" w:cs="Arial"/>
          <w:snapToGrid w:val="0"/>
          <w:sz w:val="18"/>
          <w:szCs w:val="18"/>
          <w:lang w:val="fr-FR"/>
        </w:rPr>
      </w:pPr>
      <w:r w:rsidRPr="006B4271">
        <w:rPr>
          <w:rFonts w:ascii="Arial" w:hAnsi="Arial" w:cs="Arial"/>
          <w:snapToGrid w:val="0"/>
          <w:sz w:val="18"/>
          <w:szCs w:val="18"/>
          <w:lang w:val="fr-FR"/>
        </w:rPr>
        <w:t>“S’il est vrai que la Convention UPOV exige des membres de l’Union que ceux</w:t>
      </w:r>
      <w:r w:rsidRPr="006B4271">
        <w:rPr>
          <w:rFonts w:ascii="Arial" w:hAnsi="Arial" w:cs="Arial"/>
          <w:snapToGrid w:val="0"/>
          <w:sz w:val="18"/>
          <w:szCs w:val="18"/>
          <w:lang w:val="fr-FR"/>
        </w:rPr>
        <w:noBreakHyphen/>
        <w:t>ci prévoient les recours légaux appropriés permettant de défendre efficacement les droits d’obtenteur, il n’en reste pas moins que c’est aux obtenteurs qu’il incombe de défendre leurs droits.”</w:t>
      </w:r>
    </w:p>
    <w:p w:rsidR="001826AD" w:rsidRPr="006B4271" w:rsidRDefault="001826AD" w:rsidP="001826AD">
      <w:pPr>
        <w:pStyle w:val="ListParagraph"/>
        <w:ind w:left="567" w:right="567"/>
        <w:rPr>
          <w:rFonts w:ascii="Arial" w:hAnsi="Arial" w:cs="Arial"/>
          <w:snapToGrid w:val="0"/>
          <w:sz w:val="18"/>
          <w:szCs w:val="18"/>
          <w:lang w:val="fr-FR"/>
        </w:rPr>
      </w:pPr>
      <w:r w:rsidRPr="006B4271">
        <w:rPr>
          <w:rFonts w:ascii="Arial" w:hAnsi="Arial" w:cs="Arial"/>
          <w:snapToGrid w:val="0"/>
          <w:sz w:val="18"/>
          <w:szCs w:val="18"/>
          <w:lang w:val="fr-FR"/>
        </w:rPr>
        <w:t>[…]</w:t>
      </w:r>
    </w:p>
    <w:p w:rsidR="001826AD" w:rsidRPr="006B4271" w:rsidRDefault="001826AD" w:rsidP="001826AD">
      <w:pPr>
        <w:ind w:left="567" w:right="567"/>
        <w:rPr>
          <w:rFonts w:cs="Arial"/>
          <w:snapToGrid w:val="0"/>
          <w:sz w:val="18"/>
          <w:szCs w:val="18"/>
          <w:lang w:val="fr-FR"/>
        </w:rPr>
      </w:pPr>
      <w:r w:rsidRPr="006B4271">
        <w:rPr>
          <w:rFonts w:cs="Arial"/>
          <w:snapToGrid w:val="0"/>
          <w:sz w:val="18"/>
          <w:szCs w:val="18"/>
          <w:lang w:val="fr-FR"/>
        </w:rPr>
        <w:t>“39.</w:t>
      </w:r>
      <w:r w:rsidRPr="006B4271">
        <w:rPr>
          <w:rFonts w:cs="Arial"/>
          <w:snapToGrid w:val="0"/>
          <w:sz w:val="18"/>
          <w:szCs w:val="18"/>
          <w:lang w:val="fr-FR"/>
        </w:rPr>
        <w:tab/>
        <w:t>Le CAJ</w:t>
      </w:r>
      <w:r w:rsidRPr="006B4271">
        <w:rPr>
          <w:rFonts w:cs="Arial"/>
          <w:snapToGrid w:val="0"/>
          <w:sz w:val="18"/>
          <w:szCs w:val="18"/>
          <w:lang w:val="fr-FR"/>
        </w:rPr>
        <w:noBreakHyphen/>
        <w:t>AG est convenu que, s’agissant de l’utilisation de la description variétale initiale, il y avait lieu de rappeler que la description des caractères de la variété et la base de la distinction de la variété la plus semblable étaient liées aux circonstances de l’examen DHS comme indiqué dans le paragraphe 10.c) du document, à savoir :</w:t>
      </w:r>
    </w:p>
    <w:p w:rsidR="001826AD" w:rsidRPr="006B4271" w:rsidRDefault="001826AD" w:rsidP="001826AD">
      <w:pPr>
        <w:ind w:left="567" w:right="567"/>
        <w:rPr>
          <w:rFonts w:cs="Arial"/>
          <w:snapToGrid w:val="0"/>
          <w:sz w:val="18"/>
          <w:szCs w:val="18"/>
          <w:lang w:val="fr-FR"/>
        </w:rPr>
      </w:pPr>
    </w:p>
    <w:p w:rsidR="001826AD" w:rsidRPr="006B4271" w:rsidRDefault="001826AD" w:rsidP="001826AD">
      <w:pPr>
        <w:pStyle w:val="ListParagraph"/>
        <w:keepNext/>
        <w:tabs>
          <w:tab w:val="left" w:pos="567"/>
          <w:tab w:val="left" w:pos="1560"/>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Date et référence du document contenant les principes directeurs d’examen de l’UPOV;</w:t>
      </w:r>
    </w:p>
    <w:p w:rsidR="001826AD" w:rsidRPr="006B4271" w:rsidRDefault="001826AD" w:rsidP="001826AD">
      <w:pPr>
        <w:pStyle w:val="ListParagraph"/>
        <w:tabs>
          <w:tab w:val="left" w:pos="567"/>
          <w:tab w:val="left" w:pos="1560"/>
          <w:tab w:val="left" w:pos="5103"/>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Date et/ou référence des principes directeurs du service ayant établi le rapport d’examen;</w:t>
      </w:r>
    </w:p>
    <w:p w:rsidR="001826AD" w:rsidRPr="006B4271" w:rsidRDefault="001826AD" w:rsidP="001826AD">
      <w:pPr>
        <w:pStyle w:val="ListParagraph"/>
        <w:tabs>
          <w:tab w:val="left" w:pos="567"/>
          <w:tab w:val="left" w:pos="1560"/>
          <w:tab w:val="left" w:pos="5103"/>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Service ayant établi le rapport d’examen;</w:t>
      </w:r>
    </w:p>
    <w:p w:rsidR="001826AD" w:rsidRPr="006B4271" w:rsidRDefault="001826AD" w:rsidP="001826AD">
      <w:pPr>
        <w:pStyle w:val="ListParagraph"/>
        <w:tabs>
          <w:tab w:val="left" w:pos="567"/>
          <w:tab w:val="left" w:pos="1560"/>
          <w:tab w:val="left" w:pos="5103"/>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Station(s) et lieu(x) d’examen;</w:t>
      </w:r>
    </w:p>
    <w:p w:rsidR="001826AD" w:rsidRPr="006B4271" w:rsidRDefault="001826AD" w:rsidP="001826AD">
      <w:pPr>
        <w:pStyle w:val="ListParagraph"/>
        <w:tabs>
          <w:tab w:val="left" w:pos="567"/>
          <w:tab w:val="left" w:pos="1560"/>
          <w:tab w:val="left" w:pos="5103"/>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Période d’examen;</w:t>
      </w:r>
    </w:p>
    <w:p w:rsidR="001826AD" w:rsidRPr="006B4271" w:rsidRDefault="001826AD" w:rsidP="001826AD">
      <w:pPr>
        <w:pStyle w:val="ListParagraph"/>
        <w:tabs>
          <w:tab w:val="left" w:pos="567"/>
          <w:tab w:val="left" w:pos="1560"/>
          <w:tab w:val="left" w:pos="5103"/>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Date et lieu de publication du document;</w:t>
      </w:r>
    </w:p>
    <w:p w:rsidR="001826AD" w:rsidRPr="006B4271" w:rsidRDefault="001826AD" w:rsidP="001826AD">
      <w:pPr>
        <w:pStyle w:val="ListParagraph"/>
        <w:tabs>
          <w:tab w:val="left" w:pos="1560"/>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Groupe : (tableau : caractères;  niveaux d’expression;  note;  observations);</w:t>
      </w:r>
    </w:p>
    <w:p w:rsidR="001826AD" w:rsidRPr="006B4271" w:rsidRDefault="001826AD" w:rsidP="001826AD">
      <w:pPr>
        <w:pStyle w:val="ListParagraph"/>
        <w:tabs>
          <w:tab w:val="left" w:pos="1560"/>
        </w:tabs>
        <w:spacing w:after="0"/>
        <w:ind w:left="567" w:right="567"/>
        <w:jc w:val="both"/>
        <w:rPr>
          <w:rFonts w:ascii="Arial" w:hAnsi="Arial" w:cs="Arial"/>
          <w:sz w:val="18"/>
          <w:szCs w:val="18"/>
          <w:lang w:val="fr-FR"/>
        </w:rPr>
      </w:pPr>
      <w:r w:rsidRPr="006B4271">
        <w:rPr>
          <w:rFonts w:ascii="Arial" w:hAnsi="Arial" w:cs="Arial"/>
          <w:sz w:val="18"/>
          <w:szCs w:val="18"/>
          <w:lang w:val="fr-FR"/>
        </w:rPr>
        <w:t>“</w:t>
      </w:r>
      <w:r w:rsidRPr="006B4271">
        <w:rPr>
          <w:sz w:val="18"/>
          <w:szCs w:val="18"/>
          <w:lang w:val="fr-FR"/>
        </w:rPr>
        <w:t>▪</w:t>
      </w:r>
      <w:r w:rsidRPr="006B4271">
        <w:rPr>
          <w:sz w:val="18"/>
          <w:szCs w:val="18"/>
          <w:lang w:val="fr-FR"/>
        </w:rPr>
        <w:tab/>
      </w:r>
      <w:r w:rsidRPr="006B4271">
        <w:rPr>
          <w:rFonts w:ascii="Arial" w:hAnsi="Arial" w:cs="Arial"/>
          <w:sz w:val="18"/>
          <w:szCs w:val="18"/>
          <w:lang w:val="fr-FR"/>
        </w:rPr>
        <w:t>Renseignements complémentaires;</w:t>
      </w:r>
    </w:p>
    <w:p w:rsidR="001826AD" w:rsidRPr="006B4271" w:rsidRDefault="001826AD" w:rsidP="001826AD">
      <w:pPr>
        <w:spacing w:line="276" w:lineRule="auto"/>
        <w:ind w:left="567" w:right="567"/>
        <w:rPr>
          <w:rFonts w:cs="Arial"/>
          <w:sz w:val="18"/>
          <w:szCs w:val="18"/>
          <w:lang w:val="fr-FR"/>
        </w:rPr>
      </w:pPr>
      <w:r w:rsidRPr="006B4271">
        <w:rPr>
          <w:rFonts w:cs="Arial"/>
          <w:sz w:val="18"/>
          <w:szCs w:val="18"/>
          <w:lang w:val="fr-FR"/>
        </w:rPr>
        <w:tab/>
        <w:t>“</w:t>
      </w:r>
      <w:proofErr w:type="gramStart"/>
      <w:r w:rsidRPr="006B4271">
        <w:rPr>
          <w:rFonts w:cs="Arial"/>
          <w:sz w:val="18"/>
          <w:szCs w:val="18"/>
          <w:lang w:val="fr-FR"/>
        </w:rPr>
        <w:t>a</w:t>
      </w:r>
      <w:proofErr w:type="gramEnd"/>
      <w:r w:rsidRPr="006B4271">
        <w:rPr>
          <w:rFonts w:cs="Arial"/>
          <w:sz w:val="18"/>
          <w:szCs w:val="18"/>
          <w:lang w:val="fr-FR"/>
        </w:rPr>
        <w:t>)</w:t>
      </w:r>
      <w:r w:rsidRPr="006B4271">
        <w:rPr>
          <w:rFonts w:cs="Arial"/>
          <w:sz w:val="18"/>
          <w:szCs w:val="18"/>
          <w:lang w:val="fr-FR"/>
        </w:rPr>
        <w:tab/>
        <w:t>Données additionnelles;</w:t>
      </w:r>
    </w:p>
    <w:p w:rsidR="001826AD" w:rsidRPr="006B4271" w:rsidRDefault="001826AD" w:rsidP="001826AD">
      <w:pPr>
        <w:spacing w:line="276" w:lineRule="auto"/>
        <w:ind w:left="567" w:right="567"/>
        <w:rPr>
          <w:rFonts w:cs="Arial"/>
          <w:sz w:val="18"/>
          <w:szCs w:val="18"/>
          <w:lang w:val="fr-FR"/>
        </w:rPr>
      </w:pPr>
      <w:r w:rsidRPr="006B4271">
        <w:rPr>
          <w:rFonts w:cs="Arial"/>
          <w:sz w:val="18"/>
          <w:szCs w:val="18"/>
          <w:lang w:val="fr-FR"/>
        </w:rPr>
        <w:tab/>
        <w:t>“b)</w:t>
      </w:r>
      <w:r w:rsidRPr="006B4271">
        <w:rPr>
          <w:rFonts w:cs="Arial"/>
          <w:sz w:val="18"/>
          <w:szCs w:val="18"/>
          <w:lang w:val="fr-FR"/>
        </w:rPr>
        <w:tab/>
        <w:t>Photographie (le cas échéant);</w:t>
      </w:r>
    </w:p>
    <w:p w:rsidR="001826AD" w:rsidRPr="006B4271" w:rsidRDefault="001826AD" w:rsidP="001826AD">
      <w:pPr>
        <w:spacing w:line="276" w:lineRule="auto"/>
        <w:ind w:left="567" w:right="567"/>
        <w:rPr>
          <w:rFonts w:cs="Arial"/>
          <w:sz w:val="18"/>
          <w:szCs w:val="18"/>
          <w:lang w:val="fr-FR"/>
        </w:rPr>
      </w:pPr>
      <w:r w:rsidRPr="006B4271">
        <w:rPr>
          <w:rFonts w:cs="Arial"/>
          <w:sz w:val="18"/>
          <w:szCs w:val="18"/>
          <w:lang w:val="fr-FR"/>
        </w:rPr>
        <w:tab/>
        <w:t>“c)</w:t>
      </w:r>
      <w:r w:rsidRPr="006B4271">
        <w:rPr>
          <w:rFonts w:cs="Arial"/>
          <w:sz w:val="18"/>
          <w:szCs w:val="18"/>
          <w:lang w:val="fr-FR"/>
        </w:rPr>
        <w:tab/>
        <w:t>Version du code RHS des couleurs utilisée (le cas échéant);</w:t>
      </w:r>
    </w:p>
    <w:p w:rsidR="001826AD" w:rsidRPr="006B4271" w:rsidRDefault="001826AD" w:rsidP="001826AD">
      <w:pPr>
        <w:tabs>
          <w:tab w:val="left" w:pos="284"/>
        </w:tabs>
        <w:spacing w:line="276" w:lineRule="auto"/>
        <w:ind w:left="567" w:right="567"/>
        <w:rPr>
          <w:rFonts w:cs="Arial"/>
          <w:sz w:val="18"/>
          <w:szCs w:val="18"/>
          <w:lang w:val="fr-FR"/>
        </w:rPr>
      </w:pPr>
      <w:r w:rsidRPr="006B4271">
        <w:rPr>
          <w:rFonts w:cs="Arial"/>
          <w:sz w:val="18"/>
          <w:szCs w:val="18"/>
          <w:lang w:val="fr-FR"/>
        </w:rPr>
        <w:tab/>
        <w:t>“d)</w:t>
      </w:r>
      <w:r w:rsidRPr="006B4271">
        <w:rPr>
          <w:rFonts w:cs="Arial"/>
          <w:sz w:val="18"/>
          <w:szCs w:val="18"/>
          <w:lang w:val="fr-FR"/>
        </w:rPr>
        <w:tab/>
        <w:t>Observations.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des exposés sur les “questions concernant les descriptions variétales” faits par les groupes de travail techniques, à leurs sessions de 2015, comme indiqué au paragraphe 17 du document TC/52/21.</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des commentaires formulés par les groupes de travail techniques, à leurs sessions de 2015, sur des questions concernant les descriptions variétales et le rôle du matériel végétal utilisé comme base de l’examen DHS, comme indiqué aux paragraphes 18 à 40 du document TC/52/21.</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d’inviter des experts à faire part aux groupes de travail techniques, à leurs sessions de 2016, de leurs données d’expérience concernant le rôle du matériel végétal utilisé comme base de l’examen DHS en relation avec les questions visées au paragraphe 5 du document TC/52/21, qui figure ci</w:t>
      </w:r>
      <w:r w:rsidRPr="00092B17">
        <w:rPr>
          <w:lang w:val="fr-FR"/>
        </w:rPr>
        <w:noBreakHyphen/>
        <w:t>dessous :</w:t>
      </w:r>
    </w:p>
    <w:p w:rsidR="001826AD" w:rsidRPr="00092B17" w:rsidRDefault="001826AD" w:rsidP="001826AD">
      <w:pPr>
        <w:rPr>
          <w:lang w:val="fr-FR"/>
        </w:rPr>
      </w:pPr>
    </w:p>
    <w:p w:rsidR="001826AD" w:rsidRPr="00092B17" w:rsidRDefault="001826AD" w:rsidP="001826AD">
      <w:pPr>
        <w:rPr>
          <w:rFonts w:cs="Arial"/>
          <w:lang w:val="fr-FR"/>
        </w:rPr>
      </w:pPr>
      <w:r w:rsidRPr="00092B17">
        <w:rPr>
          <w:rFonts w:cs="Arial"/>
          <w:lang w:val="fr-FR"/>
        </w:rPr>
        <w:tab/>
        <w:t>a)</w:t>
      </w:r>
      <w:r w:rsidRPr="00092B17">
        <w:rPr>
          <w:rFonts w:cs="Arial"/>
          <w:lang w:val="fr-FR"/>
        </w:rPr>
        <w:tab/>
        <w:t>l’utilisation des informations, des documents ou du matériel fournis par l’obtenteur aux fins du contrôle du maintien de la variété, comme énoncé au paragraphe 15 du document CAJ</w:t>
      </w:r>
      <w:r w:rsidRPr="00092B17">
        <w:rPr>
          <w:rFonts w:cs="Arial"/>
          <w:lang w:val="fr-FR"/>
        </w:rPr>
        <w:noBreakHyphen/>
        <w:t>AG/13/8/4 “</w:t>
      </w:r>
      <w:proofErr w:type="spellStart"/>
      <w:r w:rsidRPr="00092B17">
        <w:rPr>
          <w:rFonts w:cs="Arial"/>
          <w:lang w:val="fr-FR"/>
        </w:rPr>
        <w:t>Matters</w:t>
      </w:r>
      <w:proofErr w:type="spellEnd"/>
      <w:r w:rsidRPr="00092B17">
        <w:rPr>
          <w:rFonts w:cs="Arial"/>
          <w:lang w:val="fr-FR"/>
        </w:rPr>
        <w:t xml:space="preserve"> </w:t>
      </w:r>
      <w:proofErr w:type="spellStart"/>
      <w:r w:rsidRPr="00092B17">
        <w:rPr>
          <w:rFonts w:cs="Arial"/>
          <w:lang w:val="fr-FR"/>
        </w:rPr>
        <w:t>concerning</w:t>
      </w:r>
      <w:proofErr w:type="spellEnd"/>
      <w:r w:rsidRPr="00092B17">
        <w:rPr>
          <w:rFonts w:cs="Arial"/>
          <w:lang w:val="fr-FR"/>
        </w:rPr>
        <w:t xml:space="preserve"> </w:t>
      </w:r>
      <w:proofErr w:type="spellStart"/>
      <w:r w:rsidRPr="00092B17">
        <w:rPr>
          <w:rFonts w:cs="Arial"/>
          <w:lang w:val="fr-FR"/>
        </w:rPr>
        <w:t>cancellation</w:t>
      </w:r>
      <w:proofErr w:type="spellEnd"/>
      <w:r w:rsidRPr="00092B17">
        <w:rPr>
          <w:rFonts w:cs="Arial"/>
          <w:lang w:val="fr-FR"/>
        </w:rPr>
        <w:t xml:space="preserve"> of the </w:t>
      </w:r>
      <w:proofErr w:type="spellStart"/>
      <w:r w:rsidRPr="00092B17">
        <w:rPr>
          <w:rFonts w:cs="Arial"/>
          <w:lang w:val="fr-FR"/>
        </w:rPr>
        <w:t>breeder’s</w:t>
      </w:r>
      <w:proofErr w:type="spellEnd"/>
      <w:r w:rsidRPr="00092B17">
        <w:rPr>
          <w:rFonts w:cs="Arial"/>
          <w:lang w:val="fr-FR"/>
        </w:rPr>
        <w:t xml:space="preserve"> right”, en précisant que les informations, les documents ou le matériel pourraient être conservés dans un autre pays;</w:t>
      </w:r>
    </w:p>
    <w:p w:rsidR="001826AD" w:rsidRPr="00092B17" w:rsidRDefault="001826AD" w:rsidP="001826AD">
      <w:pPr>
        <w:tabs>
          <w:tab w:val="left" w:pos="7500"/>
        </w:tabs>
        <w:rPr>
          <w:rFonts w:cs="Arial"/>
          <w:lang w:val="fr-FR"/>
        </w:rPr>
      </w:pPr>
    </w:p>
    <w:p w:rsidR="001826AD" w:rsidRPr="00092B17" w:rsidRDefault="001826AD" w:rsidP="001826AD">
      <w:pPr>
        <w:rPr>
          <w:rFonts w:cs="Arial"/>
          <w:lang w:val="fr-FR"/>
        </w:rPr>
      </w:pPr>
      <w:r w:rsidRPr="00092B17">
        <w:rPr>
          <w:rFonts w:cs="Arial"/>
          <w:lang w:val="fr-FR"/>
        </w:rPr>
        <w:tab/>
        <w:t>b)</w:t>
      </w:r>
      <w:r w:rsidRPr="00092B17">
        <w:rPr>
          <w:rFonts w:cs="Arial"/>
          <w:lang w:val="fr-FR"/>
        </w:rPr>
        <w:tab/>
        <w:t>l’utilisation de principes directeurs d’examen aux fins du contrôle du maintien de la variété qui se distinguaient des principes directeurs utilisés pour l’examen de la distinction, de l’homogénéité et de la stabilité (examen “DHS”);</w:t>
      </w:r>
    </w:p>
    <w:p w:rsidR="001826AD" w:rsidRPr="00092B17" w:rsidRDefault="001826AD" w:rsidP="001826AD">
      <w:pPr>
        <w:ind w:left="567" w:right="567"/>
        <w:rPr>
          <w:lang w:val="fr-FR"/>
        </w:rPr>
      </w:pPr>
    </w:p>
    <w:p w:rsidR="001826AD" w:rsidRPr="00092B17" w:rsidRDefault="001826AD" w:rsidP="001826AD">
      <w:pPr>
        <w:ind w:firstLine="567"/>
        <w:rPr>
          <w:lang w:val="fr-FR"/>
        </w:rPr>
      </w:pPr>
      <w:r w:rsidRPr="00092B17">
        <w:rPr>
          <w:lang w:val="fr-FR"/>
        </w:rPr>
        <w:t>c)</w:t>
      </w:r>
      <w:r w:rsidRPr="00092B17">
        <w:rPr>
          <w:lang w:val="fr-FR"/>
        </w:rPr>
        <w:tab/>
        <w:t>le statut de la description variétale initiale, au regard de la vérification de la conformité du matériel végétal à une variété protégée aux fins de :</w:t>
      </w:r>
    </w:p>
    <w:p w:rsidR="001826AD" w:rsidRPr="00092B17" w:rsidRDefault="001826AD" w:rsidP="001826AD">
      <w:pPr>
        <w:ind w:firstLine="567"/>
        <w:rPr>
          <w:lang w:val="fr-FR"/>
        </w:rPr>
      </w:pPr>
    </w:p>
    <w:p w:rsidR="001826AD" w:rsidRPr="00092B17" w:rsidRDefault="001826AD" w:rsidP="001826AD">
      <w:pPr>
        <w:ind w:left="1701" w:hanging="567"/>
        <w:rPr>
          <w:lang w:val="fr-FR"/>
        </w:rPr>
      </w:pPr>
      <w:r w:rsidRPr="00092B17">
        <w:rPr>
          <w:lang w:val="fr-FR"/>
        </w:rPr>
        <w:t>i)</w:t>
      </w:r>
      <w:r w:rsidRPr="00092B17">
        <w:rPr>
          <w:lang w:val="fr-FR"/>
        </w:rPr>
        <w:tab/>
        <w:t>contrôle du maintien de la variété (article 22 de l’Acte de 1991, article 10 de l’Acte de 1978);</w:t>
      </w:r>
    </w:p>
    <w:p w:rsidR="001826AD" w:rsidRPr="00092B17" w:rsidRDefault="001826AD" w:rsidP="001826AD">
      <w:pPr>
        <w:ind w:left="1134"/>
        <w:rPr>
          <w:lang w:val="fr-FR"/>
        </w:rPr>
      </w:pPr>
      <w:r w:rsidRPr="00092B17">
        <w:rPr>
          <w:lang w:val="fr-FR"/>
        </w:rPr>
        <w:t>ii)</w:t>
      </w:r>
      <w:r w:rsidRPr="00092B17">
        <w:rPr>
          <w:lang w:val="fr-FR"/>
        </w:rPr>
        <w:tab/>
        <w:t>l’examen de la distinction, de l’homogénéité et de la stabilité (“DHS”) des variétés candidates;</w:t>
      </w:r>
    </w:p>
    <w:p w:rsidR="001826AD" w:rsidRPr="00092B17" w:rsidRDefault="001826AD" w:rsidP="001826AD">
      <w:pPr>
        <w:ind w:left="567" w:right="567"/>
        <w:rPr>
          <w:lang w:val="fr-FR"/>
        </w:rPr>
      </w:pPr>
    </w:p>
    <w:p w:rsidR="001826AD" w:rsidRPr="00092B17" w:rsidRDefault="001826AD" w:rsidP="001826AD">
      <w:pPr>
        <w:ind w:right="567" w:firstLine="567"/>
        <w:rPr>
          <w:lang w:val="fr-FR"/>
        </w:rPr>
      </w:pPr>
      <w:r w:rsidRPr="00092B17">
        <w:rPr>
          <w:lang w:val="fr-FR"/>
        </w:rPr>
        <w:t>d)</w:t>
      </w:r>
      <w:r w:rsidRPr="00092B17">
        <w:rPr>
          <w:lang w:val="fr-FR"/>
        </w:rPr>
        <w:tab/>
        <w:t>le statut d’une description variétale modifiée fournie, par exemple, à la suite :</w:t>
      </w:r>
    </w:p>
    <w:p w:rsidR="001826AD" w:rsidRPr="00092B17" w:rsidRDefault="001826AD" w:rsidP="001826AD">
      <w:pPr>
        <w:ind w:right="567" w:firstLine="567"/>
        <w:rPr>
          <w:lang w:val="fr-FR"/>
        </w:rPr>
      </w:pPr>
    </w:p>
    <w:p w:rsidR="001826AD" w:rsidRPr="00092B17" w:rsidRDefault="001826AD" w:rsidP="001826AD">
      <w:pPr>
        <w:spacing w:after="60"/>
        <w:ind w:left="1701" w:hanging="567"/>
        <w:rPr>
          <w:lang w:val="fr-FR"/>
        </w:rPr>
      </w:pPr>
      <w:r w:rsidRPr="00092B17">
        <w:rPr>
          <w:lang w:val="fr-FR"/>
        </w:rPr>
        <w:t>i)</w:t>
      </w:r>
      <w:r w:rsidRPr="00092B17">
        <w:rPr>
          <w:lang w:val="fr-FR"/>
        </w:rPr>
        <w:tab/>
        <w:t>d’un réétalonnage de l’échelle des principes directeurs d’examen (en particulier pour les caractères non signalés par un astérisque);</w:t>
      </w:r>
    </w:p>
    <w:p w:rsidR="001826AD" w:rsidRPr="00092B17" w:rsidRDefault="001826AD" w:rsidP="001826AD">
      <w:pPr>
        <w:spacing w:after="60"/>
        <w:ind w:left="1701" w:hanging="567"/>
        <w:rPr>
          <w:lang w:val="fr-FR"/>
        </w:rPr>
      </w:pPr>
      <w:r w:rsidRPr="00092B17">
        <w:rPr>
          <w:lang w:val="fr-FR"/>
        </w:rPr>
        <w:t>ii)</w:t>
      </w:r>
      <w:r w:rsidRPr="00092B17">
        <w:rPr>
          <w:lang w:val="fr-FR"/>
        </w:rPr>
        <w:tab/>
        <w:t>d’une variation due aux conditions environnementales des années d’essai pour les caractères influencés par le milieu;</w:t>
      </w:r>
    </w:p>
    <w:p w:rsidR="001826AD" w:rsidRPr="00092B17" w:rsidRDefault="001826AD" w:rsidP="001826AD">
      <w:pPr>
        <w:spacing w:after="60"/>
        <w:ind w:left="1701" w:hanging="567"/>
        <w:rPr>
          <w:lang w:val="fr-FR"/>
        </w:rPr>
      </w:pPr>
      <w:r w:rsidRPr="00092B17">
        <w:rPr>
          <w:lang w:val="fr-FR"/>
        </w:rPr>
        <w:t>iii)</w:t>
      </w:r>
      <w:r w:rsidRPr="00092B17">
        <w:rPr>
          <w:lang w:val="fr-FR"/>
        </w:rPr>
        <w:tab/>
        <w:t>d’une variation due à l’observation effectuée par différents experts;  ou</w:t>
      </w:r>
    </w:p>
    <w:p w:rsidR="001826AD" w:rsidRPr="00092B17" w:rsidRDefault="001826AD" w:rsidP="001826AD">
      <w:pPr>
        <w:ind w:left="1701" w:hanging="567"/>
        <w:rPr>
          <w:lang w:val="fr-FR"/>
        </w:rPr>
      </w:pPr>
      <w:r w:rsidRPr="00092B17">
        <w:rPr>
          <w:lang w:val="fr-FR"/>
        </w:rPr>
        <w:t>iv)</w:t>
      </w:r>
      <w:r w:rsidRPr="00092B17">
        <w:rPr>
          <w:lang w:val="fr-FR"/>
        </w:rPr>
        <w:tab/>
        <w:t>de l’utilisation de différentes versions d’échelles (par exemple, différentes versions du code de couleurs RHS);  et</w:t>
      </w:r>
    </w:p>
    <w:p w:rsidR="001826AD" w:rsidRPr="00092B17" w:rsidRDefault="001826AD" w:rsidP="001826AD">
      <w:pPr>
        <w:ind w:left="567" w:right="567"/>
        <w:rPr>
          <w:lang w:val="fr-FR"/>
        </w:rPr>
      </w:pPr>
    </w:p>
    <w:p w:rsidR="001826AD" w:rsidRPr="00092B17" w:rsidRDefault="001826AD" w:rsidP="001826AD">
      <w:pPr>
        <w:ind w:left="567" w:right="567"/>
        <w:rPr>
          <w:lang w:val="fr-FR"/>
        </w:rPr>
      </w:pPr>
      <w:r w:rsidRPr="00092B17">
        <w:rPr>
          <w:lang w:val="fr-FR"/>
        </w:rPr>
        <w:t>e)</w:t>
      </w:r>
      <w:r w:rsidRPr="00092B17">
        <w:rPr>
          <w:lang w:val="fr-FR"/>
        </w:rPr>
        <w:tab/>
        <w:t>lorsqu’une erreur est décelée par la suite dans la description variétale initiale.</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snapToGrid w:val="0"/>
          <w:lang w:val="fr-FR"/>
        </w:rPr>
      </w:pPr>
      <w:r w:rsidRPr="00092B17">
        <w:rPr>
          <w:snapToGrid w:val="0"/>
          <w:lang w:val="fr-FR"/>
        </w:rPr>
        <w:t>Définition des groupes de couleurs à partir du code RHS des couleurs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TC/52/22.</w:t>
      </w:r>
    </w:p>
    <w:p w:rsidR="001826AD" w:rsidRPr="00092B17" w:rsidRDefault="001826AD" w:rsidP="001826AD">
      <w:pPr>
        <w:keepNext/>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des informations présentées et des commentaires formulés aux groupes de travail techniques en 2015.</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TWO était convenu de demander à l’expert de l’Allemagne d’élaborer une étude avec l’appui des experts de l’Australie, du Canada, de l’Union européenne, des Pays</w:t>
      </w:r>
      <w:r w:rsidRPr="00092B17">
        <w:rPr>
          <w:lang w:val="fr-FR"/>
        </w:rPr>
        <w:noBreakHyphen/>
        <w:t>Bas, de la Nouvelle</w:t>
      </w:r>
      <w:r w:rsidRPr="00092B17">
        <w:rPr>
          <w:lang w:val="fr-FR"/>
        </w:rPr>
        <w:noBreakHyphen/>
        <w:t>Zélande et du Royaume</w:t>
      </w:r>
      <w:r w:rsidRPr="00092B17">
        <w:rPr>
          <w:lang w:val="fr-FR"/>
        </w:rPr>
        <w:noBreakHyphen/>
        <w:t>Uni sur la possibilité d’utiliser la sixième édition du code RHS des couleurs pour définir des groupes de couleurs aux fins de groupement des variétés et d’organisation des essais en culture.</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TWO était convenu de demander à un expert du Royaume</w:t>
      </w:r>
      <w:r w:rsidRPr="00092B17">
        <w:rPr>
          <w:lang w:val="fr-FR"/>
        </w:rPr>
        <w:noBreakHyphen/>
        <w:t>Uni de compiler des exemples de variétés n’ayant pas de correspondance de couleur dans la sixième édition du code RHS des couleurs (lacunes) en vue de proposer des nouvelles couleurs et éventuellement d’harmoniser la terminologie.  Le TC est convenu que davantage de coopération avec la Société royale d’horticulture (RHS) serait bénéfique pour l’UPOV et pour la RHS et a demandé au Bureau de l’Union d’étudier les possibilités permettant davantage de coopération.</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fait que le nom des couleurs peut avoir une importance en ce qui concerne les dénominations variétales et peut avoir une incidence sur l’acceptation des dénominations variétales pour certains membres de l’UPOV.</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Méthodes statistiques applicables aux caractères observés visuellement</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TC/52/23.</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TWF était convenu que les méthodes statistiques ne sont pas couramment utilisées pour les plantes fruitières, et que le TWO était convenu que les méthodes statistiques ne sont pas utilisées pour l’analyse des caractères observés visuellement dans l’examen DHS des plantes ornementales.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la Chine a été invitée à présenter un exposé à la trente-quatrième session du TWC afin de décrire les méthodes statistiques utilisées dans le progiciel DUST China (DUSTC) pour l’analyse de la distinction et de l’homogénéité.</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la Finlande envisage d’utiliser la nouvelle méthode statistique, décrite dans l’annexe au document TC/52/23, pour l’analyse de sept caractères ordinaux observés visuellement chez la fléole, la fétuque des prés et la fétuque élevée, le trèfle blanc et le trèfle violet.</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que le nom des différentes méthodes devrait être clarifié afin d’éviter toute confusion avec d’autres méthodes utilisées à l’UPOV, telles que la méthode COYD.</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TWC était favorable à la proposition d’un expert de la France d’étudier la possibilité de mettre au point un logiciel capable d’appliquer la méthode élaborée par les experts du Danemark et de la Pologne, en collaboration avec des experts de la Finlande et du Royaume</w:t>
      </w:r>
      <w:r w:rsidRPr="00092B17">
        <w:rPr>
          <w:lang w:val="fr-FR"/>
        </w:rPr>
        <w:noBreakHyphen/>
        <w:t>Uni.</w:t>
      </w:r>
    </w:p>
    <w:p w:rsidR="001826AD" w:rsidRPr="00092B17" w:rsidRDefault="001826AD" w:rsidP="006B4271">
      <w:pPr>
        <w:jc w:val="left"/>
        <w:rPr>
          <w:lang w:val="fr-FR"/>
        </w:rPr>
      </w:pPr>
    </w:p>
    <w:p w:rsidR="001826AD" w:rsidRPr="00092B17" w:rsidRDefault="001826AD" w:rsidP="006B4271">
      <w:pPr>
        <w:jc w:val="left"/>
        <w:rPr>
          <w:lang w:val="fr-FR"/>
        </w:rPr>
      </w:pPr>
    </w:p>
    <w:p w:rsidR="001826AD" w:rsidRPr="00092B17" w:rsidRDefault="001826AD" w:rsidP="001826AD">
      <w:pPr>
        <w:pStyle w:val="Heading2"/>
        <w:rPr>
          <w:lang w:val="fr-FR"/>
        </w:rPr>
      </w:pPr>
      <w:r w:rsidRPr="00092B17">
        <w:rPr>
          <w:lang w:val="fr-FR"/>
        </w:rPr>
        <w:t>Dénominations variétales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TC/52/12.</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des travaux sur la possibilité d’élaborer un outil de recherche de similarités de l’UPOV aux fins des dénominations variétales par le WG</w:t>
      </w:r>
      <w:r w:rsidRPr="00092B17">
        <w:rPr>
          <w:lang w:val="fr-FR"/>
        </w:rPr>
        <w:noBreakHyphen/>
        <w:t>DST, y compris l’étude test, comme indiqué aux paragraphes 5 à 15 du document TC/52/12.</w:t>
      </w:r>
    </w:p>
    <w:p w:rsidR="001826AD" w:rsidRPr="00092B17" w:rsidRDefault="001826AD" w:rsidP="001826AD">
      <w:pPr>
        <w:rPr>
          <w:lang w:val="fr-FR"/>
        </w:rPr>
      </w:pPr>
    </w:p>
    <w:p w:rsidR="001826AD" w:rsidRPr="00092B17" w:rsidRDefault="001826AD" w:rsidP="001826AD">
      <w:pPr>
        <w:rPr>
          <w:rFonts w:cs="Arial"/>
          <w:snapToGrid w:val="0"/>
          <w:sz w:val="18"/>
          <w:szCs w:val="18"/>
          <w:lang w:val="fr-FR" w:eastAsia="ja-JP"/>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fait que la proposition de révision du document UPOV/INF/12 en ce qui concerne les modifications de dénominations variétales enregistrées a été adoptée par le Conseil à sa quarante</w:t>
      </w:r>
      <w:r w:rsidRPr="00092B17">
        <w:rPr>
          <w:lang w:val="fr-FR"/>
        </w:rPr>
        <w:noBreakHyphen/>
        <w:t>neuvième session ordinaire, comme indiqué au paragraphe 17 du document TC/52/12.</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mandat et la composition du WG</w:t>
      </w:r>
      <w:r w:rsidRPr="00092B17">
        <w:rPr>
          <w:lang w:val="fr-FR"/>
        </w:rPr>
        <w:noBreakHyphen/>
        <w:t>DST ont été élargis aux fins d’élaboration de recommandations à l’intention du CAJ concernant une éventuelle révision du document UPOV/INF/12 “Notes explicatives concernant les dénominations variétales en vertu de la Convention UPOV” (qui devient ainsi le WG DEN) et que le WG DEN se réunira le 18 mars 2016.</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fait que le Bureau de l’Union a diffusé une circulaire invitant les membres du CAJ et les observateurs, ainsi que les membres du WG DST, à faire part de leur souhait de participer au WG</w:t>
      </w:r>
      <w:r w:rsidRPr="00092B17">
        <w:rPr>
          <w:lang w:val="fr-FR"/>
        </w:rPr>
        <w:noBreakHyphen/>
        <w:t>DEN et à fournir des observations concernant le document UPOV/INF/12/5.</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L’Union européenne a accueilli avec enthousiasme la possibilité d’élaborer un outil de recherche de similarités de l’UPOV aux fins de la dénomination variétale, et a souligné l’importance de comparer les résultats du nouvel algorithme avec les algorithmes existants afin de s’assurer de l’amélioration en termes de précision et de rappel.  Le Bureau de l’Union a confirmé que le nouvel algorithme serait prêt à être testé dans la base de données PLUTO et a confirmé que la phase de test et d’évaluation du nouvel algorithme, tel que mentionné par l’Union européenne, faisait partie intégrante des travaux.</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Informations et bases de données</w:t>
      </w:r>
    </w:p>
    <w:p w:rsidR="001826AD" w:rsidRPr="00092B17" w:rsidRDefault="001826AD" w:rsidP="001826AD">
      <w:pPr>
        <w:keepNext/>
        <w:rPr>
          <w:lang w:val="fr-FR"/>
        </w:rPr>
      </w:pPr>
    </w:p>
    <w:p w:rsidR="001826AD" w:rsidRPr="00092B17" w:rsidRDefault="001826AD" w:rsidP="004570E2">
      <w:pPr>
        <w:pStyle w:val="Heading3"/>
      </w:pPr>
      <w:r w:rsidRPr="00092B17">
        <w:t>Bases de données d’information de l’UPOV</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TC/52/6.</w:t>
      </w:r>
    </w:p>
    <w:p w:rsidR="001826AD" w:rsidRPr="00092B17" w:rsidRDefault="001826AD" w:rsidP="001826AD">
      <w:pPr>
        <w:rPr>
          <w:lang w:val="fr-FR"/>
        </w:rPr>
      </w:pPr>
    </w:p>
    <w:p w:rsidR="001826AD" w:rsidRPr="00092B17" w:rsidRDefault="001826AD" w:rsidP="001826AD">
      <w:pPr>
        <w:pStyle w:val="Heading4"/>
      </w:pPr>
      <w:r w:rsidRPr="00092B17">
        <w:t>Système de codes UPOV</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qu’en 2015</w:t>
      </w:r>
      <w:r w:rsidRPr="00092B17">
        <w:rPr>
          <w:rFonts w:cs="Arial"/>
          <w:snapToGrid w:val="0"/>
          <w:lang w:val="fr-FR"/>
        </w:rPr>
        <w:t xml:space="preserve">, </w:t>
      </w:r>
      <w:r w:rsidRPr="00092B17">
        <w:rPr>
          <w:rFonts w:cs="Arial"/>
          <w:snapToGrid w:val="0"/>
          <w:lang w:val="fr-FR" w:eastAsia="ja-JP"/>
        </w:rPr>
        <w:t>188 </w:t>
      </w:r>
      <w:r w:rsidRPr="00092B17">
        <w:rPr>
          <w:rFonts w:cs="Arial"/>
          <w:snapToGrid w:val="0"/>
          <w:lang w:val="fr-FR"/>
        </w:rPr>
        <w:t xml:space="preserve">nouveaux codes UPOV ont été créés et 11 codes UPOV existants ont été modifiés, portant le nombre total de codes UPOV dans la base de données GENIE à </w:t>
      </w:r>
      <w:r w:rsidRPr="00092B17">
        <w:rPr>
          <w:rFonts w:cs="Arial" w:hint="eastAsia"/>
          <w:snapToGrid w:val="0"/>
          <w:lang w:val="fr-FR" w:eastAsia="ja-JP"/>
        </w:rPr>
        <w:t>7992</w:t>
      </w:r>
      <w:r w:rsidRPr="00092B17">
        <w:rPr>
          <w:rFonts w:cs="Arial"/>
          <w:snapToGrid w:val="0"/>
          <w:lang w:val="fr-FR" w:eastAsia="ja-JP"/>
        </w:rPr>
        <w:t xml:space="preserve"> à la fin de 2015</w:t>
      </w:r>
      <w:r w:rsidRPr="00092B17">
        <w:rPr>
          <w:rFonts w:cs="Arial"/>
          <w:snapToGrid w:val="0"/>
          <w:lang w:val="fr-FR"/>
        </w:rPr>
        <w:t>.</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Bureau de l’Union établira des tableaux des ajouts et des modifications apportées aux codes UPOV pour vérification par les services compétents pour chacune des sessions des groupes de travail techniques en 2016, comme indiqué au paragraphe 8 du document TC/52/6.</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d’inviter l’Union européenne à formuler une proposition aux groupes de travail techniques, à leurs sessions de 2016, afin de revoir le Guide relatif aux systèmes de codes UPOV concernant les codes UPOV pour les genres ou espèces hybrides.</w:t>
      </w:r>
    </w:p>
    <w:p w:rsidR="001826AD" w:rsidRPr="00092B17" w:rsidRDefault="001826AD" w:rsidP="001826AD">
      <w:pPr>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l’intervention du Japon sur les nouvelles procédures administratives adoptées afin de faciliter l’échange de rapports d’examen DHS entre le Japon et d’autres membres de l’UPOV et du fait qu’il en résulte que les rapports d’examen DHS seront fournis à titre gracieux aux membres de l’UPOV avec lesquelles un accord de coopération a été conclu.</w:t>
      </w:r>
    </w:p>
    <w:p w:rsidR="001826AD" w:rsidRPr="00092B17" w:rsidRDefault="001826AD" w:rsidP="001826AD">
      <w:pPr>
        <w:rPr>
          <w:lang w:val="fr-FR"/>
        </w:rPr>
      </w:pPr>
    </w:p>
    <w:p w:rsidR="001826AD" w:rsidRPr="00092B17" w:rsidRDefault="001826AD" w:rsidP="001826AD">
      <w:pPr>
        <w:pStyle w:val="Heading4"/>
      </w:pPr>
      <w:r w:rsidRPr="00092B17">
        <w:t>Base de données PLUTO</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la synthèse des contributions à la base de données PLUTO de 2012 à 2015 et de l’état actuel des apports de données par les membres de l’Union figurant à l’annexe du document TC/52/6.</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l’introduction d’une colonne supplémentaire indiquant la dernière date à laquelle les informations ont été fournies à la base de données PLUTO.</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l’introduction d’une fonction pour chercher les dénominations en utilisant le champ “Dénomination” et “Référence de l’obtenteur”, de manière indépendante ou combinée, dans l’onglet “Recherche de dénomination” de la base de données PLUTO.</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CAJ, à sa soixante</w:t>
      </w:r>
      <w:r w:rsidRPr="00092B17">
        <w:rPr>
          <w:lang w:val="fr-FR"/>
        </w:rPr>
        <w:noBreakHyphen/>
        <w:t>douzième session, était convenu que le WG</w:t>
      </w:r>
      <w:r w:rsidRPr="00092B17">
        <w:rPr>
          <w:lang w:val="fr-FR"/>
        </w:rPr>
        <w:noBreakHyphen/>
        <w:t>DEN devrait examiner des propositions d’élargissement du contenu de la base de données PLUTO en vue d’inclure toutes les variétés reconnues, y compris celles qui n’ont pas été, ou ne sont plus, enregistrées ou protégées.</w:t>
      </w:r>
    </w:p>
    <w:p w:rsidR="001826AD" w:rsidRPr="00092B17" w:rsidRDefault="001826AD" w:rsidP="001826AD">
      <w:pPr>
        <w:rPr>
          <w:lang w:val="fr-FR"/>
        </w:rPr>
      </w:pPr>
    </w:p>
    <w:p w:rsidR="001826AD" w:rsidRPr="00092B17" w:rsidRDefault="001826AD" w:rsidP="001826AD">
      <w:pPr>
        <w:autoSpaceDE w:val="0"/>
        <w:autoSpaceDN w:val="0"/>
        <w:adjustRightInd w:val="0"/>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 xml:space="preserve">Le TC prend note des informations relatives aux cours de formation intitulés “Contribution à la base de données PLUTO”, qui se sont tenus à Genève en septembre et octobre 2015, comme indiqué aux paragraphes 29 à 31 du document TC/52/6, auxquels des experts des pays membres suivants de l’Union ont participé : </w:t>
      </w:r>
      <w:r w:rsidRPr="00092B17">
        <w:rPr>
          <w:rFonts w:hint="eastAsia"/>
          <w:snapToGrid w:val="0"/>
          <w:lang w:val="fr-FR" w:eastAsia="ja-JP"/>
        </w:rPr>
        <w:t>Oman</w:t>
      </w:r>
      <w:r w:rsidRPr="00092B17">
        <w:rPr>
          <w:snapToGrid w:val="0"/>
          <w:lang w:val="fr-FR" w:eastAsia="ja-JP"/>
        </w:rPr>
        <w:t>,</w:t>
      </w:r>
      <w:r w:rsidRPr="00092B17">
        <w:rPr>
          <w:rFonts w:hint="eastAsia"/>
          <w:snapToGrid w:val="0"/>
          <w:lang w:val="fr-FR" w:eastAsia="ja-JP"/>
        </w:rPr>
        <w:t xml:space="preserve"> </w:t>
      </w:r>
      <w:r w:rsidRPr="00092B17">
        <w:rPr>
          <w:snapToGrid w:val="0"/>
          <w:lang w:val="fr-FR" w:eastAsia="ja-JP"/>
        </w:rPr>
        <w:t>Afrique du Sud</w:t>
      </w:r>
      <w:r w:rsidRPr="00092B17">
        <w:rPr>
          <w:rFonts w:hint="eastAsia"/>
          <w:snapToGrid w:val="0"/>
          <w:lang w:val="fr-FR" w:eastAsia="ja-JP"/>
        </w:rPr>
        <w:t xml:space="preserve"> </w:t>
      </w:r>
      <w:r w:rsidRPr="00092B17">
        <w:rPr>
          <w:snapToGrid w:val="0"/>
          <w:lang w:val="fr-FR" w:eastAsia="ja-JP"/>
        </w:rPr>
        <w:t>et l’ex-République yougoslave de Macédoine (en anglais);  Argentine</w:t>
      </w:r>
      <w:r w:rsidRPr="00092B17">
        <w:rPr>
          <w:rFonts w:hint="eastAsia"/>
          <w:snapToGrid w:val="0"/>
          <w:lang w:val="fr-FR" w:eastAsia="ja-JP"/>
        </w:rPr>
        <w:t xml:space="preserve">, </w:t>
      </w:r>
      <w:r w:rsidRPr="00092B17">
        <w:rPr>
          <w:snapToGrid w:val="0"/>
          <w:lang w:val="fr-FR" w:eastAsia="ja-JP"/>
        </w:rPr>
        <w:t>Bolivie (État plurinational de)</w:t>
      </w:r>
      <w:r w:rsidRPr="00092B17">
        <w:rPr>
          <w:rFonts w:hint="eastAsia"/>
          <w:snapToGrid w:val="0"/>
          <w:lang w:val="fr-FR" w:eastAsia="ja-JP"/>
        </w:rPr>
        <w:t xml:space="preserve">, Chili, Colombie, Costa Rica, </w:t>
      </w:r>
      <w:r w:rsidRPr="00092B17">
        <w:rPr>
          <w:snapToGrid w:val="0"/>
          <w:lang w:val="fr-FR" w:eastAsia="ja-JP"/>
        </w:rPr>
        <w:t>Équateur</w:t>
      </w:r>
      <w:r w:rsidRPr="00092B17">
        <w:rPr>
          <w:rFonts w:hint="eastAsia"/>
          <w:snapToGrid w:val="0"/>
          <w:lang w:val="fr-FR" w:eastAsia="ja-JP"/>
        </w:rPr>
        <w:t xml:space="preserve">, Mexique, Nicaragua, Panama, Paraguay </w:t>
      </w:r>
      <w:r w:rsidRPr="00092B17">
        <w:rPr>
          <w:snapToGrid w:val="0"/>
          <w:lang w:val="fr-FR" w:eastAsia="ja-JP"/>
        </w:rPr>
        <w:t>et</w:t>
      </w:r>
      <w:r w:rsidRPr="00092B17">
        <w:rPr>
          <w:rFonts w:hint="eastAsia"/>
          <w:snapToGrid w:val="0"/>
          <w:lang w:val="fr-FR" w:eastAsia="ja-JP"/>
        </w:rPr>
        <w:t xml:space="preserve"> Uruguay</w:t>
      </w:r>
      <w:r w:rsidRPr="00092B17">
        <w:rPr>
          <w:snapToGrid w:val="0"/>
          <w:lang w:val="fr-FR" w:eastAsia="ja-JP"/>
        </w:rPr>
        <w:t xml:space="preserve"> (en espagnol)</w:t>
      </w:r>
      <w:r w:rsidRPr="00092B17">
        <w:rPr>
          <w:rFonts w:hint="eastAsia"/>
          <w:snapToGrid w:val="0"/>
          <w:lang w:val="fr-FR" w:eastAsia="ja-JP"/>
        </w:rPr>
        <w:t>.</w:t>
      </w:r>
    </w:p>
    <w:p w:rsidR="001826AD" w:rsidRPr="00092B17" w:rsidRDefault="001826AD" w:rsidP="001826AD">
      <w:pPr>
        <w:rPr>
          <w:lang w:val="fr-FR"/>
        </w:rPr>
      </w:pPr>
    </w:p>
    <w:p w:rsidR="001826AD" w:rsidRPr="00092B17" w:rsidRDefault="001826AD" w:rsidP="004570E2">
      <w:pPr>
        <w:pStyle w:val="Heading3"/>
      </w:pPr>
      <w:r w:rsidRPr="00092B17">
        <w:t>Formulaire de demande électronique</w:t>
      </w:r>
    </w:p>
    <w:p w:rsidR="001826AD" w:rsidRPr="00092B17" w:rsidRDefault="001826AD" w:rsidP="001826AD">
      <w:pPr>
        <w:rPr>
          <w:lang w:val="fr-FR"/>
        </w:rPr>
      </w:pPr>
    </w:p>
    <w:p w:rsidR="001826AD" w:rsidRPr="00092B17" w:rsidRDefault="001826AD" w:rsidP="001826AD">
      <w:pPr>
        <w:keepNext/>
        <w:rPr>
          <w:snapToGrid w:val="0"/>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r>
      <w:r w:rsidRPr="00092B17">
        <w:rPr>
          <w:snapToGrid w:val="0"/>
          <w:lang w:val="fr-FR"/>
        </w:rPr>
        <w:t>Le TC examine le document TC/52/7 et suit l’exposé présenté par le Bureau de l’Union.</w:t>
      </w:r>
    </w:p>
    <w:p w:rsidR="001826AD" w:rsidRPr="00092B17" w:rsidRDefault="001826AD" w:rsidP="001826AD">
      <w:pPr>
        <w:keepNext/>
        <w:rPr>
          <w:snapToGrid w:val="0"/>
          <w:lang w:val="fr-FR"/>
        </w:rPr>
      </w:pPr>
    </w:p>
    <w:p w:rsidR="001826AD" w:rsidRPr="00092B17" w:rsidRDefault="001826AD" w:rsidP="001826AD">
      <w:pPr>
        <w:keepNext/>
        <w:rPr>
          <w:lang w:val="fr-FR"/>
        </w:rPr>
      </w:pPr>
      <w:r w:rsidRPr="00092B17">
        <w:rPr>
          <w:snapToGrid w:val="0"/>
          <w:lang w:val="fr-FR"/>
        </w:rPr>
        <w:fldChar w:fldCharType="begin"/>
      </w:r>
      <w:r w:rsidRPr="00092B17">
        <w:rPr>
          <w:snapToGrid w:val="0"/>
          <w:lang w:val="fr-FR"/>
        </w:rPr>
        <w:instrText xml:space="preserve"> AUTONUM  </w:instrText>
      </w:r>
      <w:r w:rsidRPr="00092B17">
        <w:rPr>
          <w:snapToGrid w:val="0"/>
          <w:lang w:val="fr-FR"/>
        </w:rPr>
        <w:fldChar w:fldCharType="end"/>
      </w:r>
      <w:r w:rsidRPr="00092B17">
        <w:rPr>
          <w:snapToGrid w:val="0"/>
          <w:lang w:val="fr-FR"/>
        </w:rPr>
        <w:tab/>
        <w:t>Le TC prend note de l’évolution des travaux concernant l’élaboration d’un prototype de formulaire électronique et des projets pour l’élaboration d’un système pleinement opérationnel (PV2)</w:t>
      </w:r>
      <w:r w:rsidRPr="00092B17">
        <w:rPr>
          <w:rFonts w:eastAsia="MS Mincho"/>
          <w:spacing w:val="-2"/>
          <w:lang w:val="fr-FR"/>
        </w:rPr>
        <w:t xml:space="preserve"> d’ici au mois d’août 2016 en vue d’une série finale d’essais en septembre 2016, avant sa présentation aux sessions du CAJ, du Comité consultatif et du Conseil en octobre 2016</w:t>
      </w:r>
      <w:r w:rsidRPr="00092B17">
        <w:rPr>
          <w:lang w:val="fr-FR"/>
        </w:rPr>
        <w:t>.  Le TC prend note de l’ajout des plantes suivantes, selon l’ordre de priorité suivant, établi conformément à l’intérêt des services de protection des obtentions végétales et des obtenteurs participants et à la capacité des services de protection des obtentions végétales participants à fournir des renseignements pertinents dans le questionnaire technique :</w:t>
      </w:r>
    </w:p>
    <w:p w:rsidR="001826AD" w:rsidRPr="00092B17" w:rsidRDefault="001826AD" w:rsidP="001826AD">
      <w:pPr>
        <w:pStyle w:val="Default"/>
        <w:jc w:val="both"/>
        <w:rPr>
          <w:rFonts w:cs="Times New Roman"/>
          <w:color w:val="auto"/>
          <w:sz w:val="20"/>
          <w:szCs w:val="20"/>
          <w:lang w:val="fr-FR"/>
        </w:rPr>
      </w:pPr>
    </w:p>
    <w:p w:rsidR="001826AD" w:rsidRPr="00092B17" w:rsidRDefault="001826AD" w:rsidP="001826AD">
      <w:pPr>
        <w:pStyle w:val="Default"/>
        <w:numPr>
          <w:ilvl w:val="0"/>
          <w:numId w:val="13"/>
        </w:numPr>
        <w:ind w:left="993"/>
        <w:jc w:val="both"/>
        <w:rPr>
          <w:rFonts w:cs="Times New Roman"/>
          <w:color w:val="auto"/>
          <w:sz w:val="20"/>
          <w:szCs w:val="20"/>
          <w:lang w:val="fr-FR"/>
        </w:rPr>
      </w:pPr>
      <w:r w:rsidRPr="00092B17">
        <w:rPr>
          <w:rFonts w:cs="Times New Roman"/>
          <w:color w:val="auto"/>
          <w:sz w:val="20"/>
          <w:szCs w:val="20"/>
          <w:lang w:val="fr-FR"/>
        </w:rPr>
        <w:t>Le rosier</w:t>
      </w:r>
    </w:p>
    <w:p w:rsidR="001826AD" w:rsidRPr="00092B17" w:rsidRDefault="001826AD" w:rsidP="001826AD">
      <w:pPr>
        <w:pStyle w:val="Default"/>
        <w:numPr>
          <w:ilvl w:val="0"/>
          <w:numId w:val="13"/>
        </w:numPr>
        <w:ind w:left="993"/>
        <w:jc w:val="both"/>
        <w:rPr>
          <w:rFonts w:cs="Times New Roman"/>
          <w:color w:val="auto"/>
          <w:sz w:val="20"/>
          <w:szCs w:val="20"/>
          <w:lang w:val="fr-FR"/>
        </w:rPr>
      </w:pPr>
      <w:r w:rsidRPr="00092B17">
        <w:rPr>
          <w:rFonts w:cs="Times New Roman"/>
          <w:color w:val="auto"/>
          <w:sz w:val="20"/>
          <w:szCs w:val="20"/>
          <w:lang w:val="fr-FR"/>
        </w:rPr>
        <w:t>Le soja</w:t>
      </w:r>
    </w:p>
    <w:p w:rsidR="001826AD" w:rsidRPr="00092B17" w:rsidRDefault="001826AD" w:rsidP="001826AD">
      <w:pPr>
        <w:pStyle w:val="Default"/>
        <w:numPr>
          <w:ilvl w:val="0"/>
          <w:numId w:val="13"/>
        </w:numPr>
        <w:ind w:left="993"/>
        <w:jc w:val="both"/>
        <w:rPr>
          <w:rFonts w:cs="Times New Roman"/>
          <w:color w:val="auto"/>
          <w:sz w:val="20"/>
          <w:szCs w:val="20"/>
          <w:lang w:val="fr-FR"/>
        </w:rPr>
      </w:pPr>
      <w:r w:rsidRPr="00092B17">
        <w:rPr>
          <w:rFonts w:cs="Times New Roman"/>
          <w:color w:val="auto"/>
          <w:sz w:val="20"/>
          <w:szCs w:val="20"/>
          <w:lang w:val="fr-FR"/>
        </w:rPr>
        <w:t>La laitue</w:t>
      </w:r>
    </w:p>
    <w:p w:rsidR="001826AD" w:rsidRPr="00092B17" w:rsidRDefault="001826AD" w:rsidP="001826AD">
      <w:pPr>
        <w:pStyle w:val="Default"/>
        <w:numPr>
          <w:ilvl w:val="0"/>
          <w:numId w:val="13"/>
        </w:numPr>
        <w:ind w:left="993"/>
        <w:jc w:val="both"/>
        <w:rPr>
          <w:rFonts w:cs="Times New Roman"/>
          <w:color w:val="auto"/>
          <w:sz w:val="20"/>
          <w:szCs w:val="20"/>
          <w:lang w:val="fr-FR"/>
        </w:rPr>
      </w:pPr>
      <w:r w:rsidRPr="00092B17">
        <w:rPr>
          <w:rFonts w:cs="Times New Roman"/>
          <w:color w:val="auto"/>
          <w:sz w:val="20"/>
          <w:szCs w:val="20"/>
          <w:lang w:val="fr-FR"/>
        </w:rPr>
        <w:t>Le pommier – variétés fruitières</w:t>
      </w:r>
    </w:p>
    <w:p w:rsidR="001826AD" w:rsidRPr="00092B17" w:rsidRDefault="001826AD" w:rsidP="001826AD">
      <w:pPr>
        <w:pStyle w:val="Default"/>
        <w:numPr>
          <w:ilvl w:val="0"/>
          <w:numId w:val="13"/>
        </w:numPr>
        <w:ind w:left="993"/>
        <w:jc w:val="both"/>
        <w:rPr>
          <w:rFonts w:cs="Times New Roman"/>
          <w:color w:val="auto"/>
          <w:sz w:val="20"/>
          <w:szCs w:val="20"/>
          <w:lang w:val="fr-FR"/>
        </w:rPr>
      </w:pPr>
      <w:r w:rsidRPr="00092B17">
        <w:rPr>
          <w:rFonts w:cs="Times New Roman"/>
          <w:color w:val="auto"/>
          <w:sz w:val="20"/>
          <w:szCs w:val="20"/>
          <w:lang w:val="fr-FR"/>
        </w:rPr>
        <w:t>La pomme de terre</w:t>
      </w:r>
    </w:p>
    <w:p w:rsidR="001826AD" w:rsidRPr="00092B17" w:rsidRDefault="001826AD" w:rsidP="001826AD">
      <w:pPr>
        <w:rPr>
          <w:lang w:val="fr-FR"/>
        </w:rPr>
      </w:pPr>
    </w:p>
    <w:p w:rsidR="001826AD" w:rsidRPr="00092B17" w:rsidRDefault="001826AD" w:rsidP="001826AD">
      <w:pPr>
        <w:rPr>
          <w:rFonts w:cs="Arial"/>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La délégation du Japon demande des éclaircissements concernant les langues du formulaire de demande électronique.  Le Bureau de l’Union</w:t>
      </w:r>
      <w:r w:rsidRPr="00092B17">
        <w:rPr>
          <w:rFonts w:cs="Arial"/>
          <w:lang w:val="fr-FR"/>
        </w:rPr>
        <w:t xml:space="preserve"> explique que le formulaire de demande électronique permettrait aux utilisateurs de consulter l’ensemble des questions dans toutes les langues des membres de l’UPOV participants.  Toutefois, les utilisateurs seront tenus de fournir les informations demandées dans une langue acceptée par l’autorité concernée.  Les langues acceptées seront indiquées sur le formulaire.</w:t>
      </w:r>
    </w:p>
    <w:p w:rsidR="001826AD" w:rsidRPr="00092B17" w:rsidRDefault="001826AD" w:rsidP="001826AD">
      <w:pPr>
        <w:rPr>
          <w:lang w:val="fr-FR"/>
        </w:rPr>
      </w:pPr>
    </w:p>
    <w:p w:rsidR="001826AD" w:rsidRPr="00092B17" w:rsidRDefault="001826AD" w:rsidP="004570E2">
      <w:pPr>
        <w:pStyle w:val="Heading3"/>
      </w:pPr>
      <w:r w:rsidRPr="00092B17">
        <w:t>Échange et utilisation de logiciels et d’équipements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TC/52/8.</w:t>
      </w:r>
    </w:p>
    <w:p w:rsidR="001826AD" w:rsidRPr="00092B17" w:rsidRDefault="001826AD" w:rsidP="001826AD">
      <w:pPr>
        <w:rPr>
          <w:lang w:val="fr-FR"/>
        </w:rPr>
      </w:pPr>
    </w:p>
    <w:p w:rsidR="001826AD" w:rsidRPr="00092B17" w:rsidRDefault="001826AD" w:rsidP="001826AD">
      <w:pPr>
        <w:pStyle w:val="Heading4"/>
        <w:rPr>
          <w:rFonts w:eastAsia="MS Mincho"/>
        </w:rPr>
      </w:pPr>
      <w:r w:rsidRPr="00092B17">
        <w:rPr>
          <w:rFonts w:eastAsia="MS Mincho"/>
        </w:rPr>
        <w:t>Document UPOV/INF/16 “Logiciels échangeables”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fait que le Conseil, à sa quarante</w:t>
      </w:r>
      <w:r w:rsidRPr="00092B17">
        <w:rPr>
          <w:lang w:val="fr-FR"/>
        </w:rPr>
        <w:noBreakHyphen/>
        <w:t>neuvième session ordinaire tenue à Genève le 29 octobre 2015, a adopté le document UPOV/INF/16/5 “Logiciels échangeables”.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les débats sur l’inclusion dans le document UPOV/INF/16 du logiciel SISNAVA se poursuivraient au sein du TWC, sous réserve de la conclusion des débats sur la variation des descriptions variétales au fil des ans en différents endroits.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de proposer la révision du document UPOV/INF/16/5 afin d’inclure des informations sur l’utilisation de logiciels par les membres de l’Union, comme indiqué dans l’annexe I du document TC/52/8.</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les observations formulées par le TC à sa cinquante</w:t>
      </w:r>
      <w:r w:rsidRPr="00092B17">
        <w:rPr>
          <w:lang w:val="fr-FR"/>
        </w:rPr>
        <w:noBreakHyphen/>
        <w:t>deuxième session concernant l’utilisation de logiciels par les membres de l’Union, seraient communiquées au CAJ à sa soixante</w:t>
      </w:r>
      <w:r w:rsidRPr="00092B17">
        <w:rPr>
          <w:lang w:val="fr-FR"/>
        </w:rPr>
        <w:noBreakHyphen/>
        <w:t>treizième session, qui se tiendra à Genève en octobre 2016, et que, sous réserve de l’accord du CAJ, un projet de document UPOV/INF/16/6 serait présenté pour adoption par le Conseil à sa cinquantième session ordinaire, qui se tiendra le 28 octobre 2016.</w:t>
      </w:r>
    </w:p>
    <w:p w:rsidR="001826AD" w:rsidRPr="00092B17" w:rsidRDefault="001826AD" w:rsidP="001826AD">
      <w:pPr>
        <w:rPr>
          <w:lang w:val="fr-FR"/>
        </w:rPr>
      </w:pPr>
    </w:p>
    <w:p w:rsidR="001826AD" w:rsidRPr="00092B17" w:rsidRDefault="001826AD" w:rsidP="001826AD">
      <w:pPr>
        <w:pStyle w:val="Heading4"/>
        <w:rPr>
          <w:lang w:eastAsia="ja-JP"/>
        </w:rPr>
      </w:pPr>
      <w:r w:rsidRPr="00092B17">
        <w:rPr>
          <w:lang w:eastAsia="ja-JP"/>
        </w:rPr>
        <w:t>Document UPOV/INF/22 “Logiciels et équipements utilisés par les membres de l’Union”</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fait que le Conseil, à sa quarante</w:t>
      </w:r>
      <w:r w:rsidRPr="00092B17">
        <w:rPr>
          <w:lang w:val="fr-FR"/>
        </w:rPr>
        <w:noBreakHyphen/>
        <w:t>neuvième session ordinaire, tenue à Genève le 29 octobre 2015, avait adopté le document UPOV/INF/22/2 “Logiciels et équipements utilisés par les membres de l’Union”.</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de proposer la révision du document UPOV/INF/22/2 afin d’inclure des informations sur l’utilisation de logiciels par les membres de l’Union, comme indiqué dans l’annexe II du document TC/52/8, sous réserve des modifications proposées par le TC</w:t>
      </w:r>
      <w:r w:rsidRPr="00092B17">
        <w:rPr>
          <w:lang w:val="fr-FR"/>
        </w:rPr>
        <w:noBreakHyphen/>
        <w:t>EDC :</w:t>
      </w:r>
    </w:p>
    <w:p w:rsidR="001826AD" w:rsidRPr="00092B17" w:rsidRDefault="001826AD" w:rsidP="001826AD">
      <w:pPr>
        <w:rPr>
          <w:lang w:val="fr-FR"/>
        </w:rPr>
      </w:pPr>
    </w:p>
    <w:tbl>
      <w:tblPr>
        <w:tblStyle w:val="TableGrid"/>
        <w:tblW w:w="0" w:type="auto"/>
        <w:tblInd w:w="108" w:type="dxa"/>
        <w:tblLook w:val="04A0" w:firstRow="1" w:lastRow="0" w:firstColumn="1" w:lastColumn="0" w:noHBand="0" w:noVBand="1"/>
      </w:tblPr>
      <w:tblGrid>
        <w:gridCol w:w="3686"/>
        <w:gridCol w:w="6061"/>
      </w:tblGrid>
      <w:tr w:rsidR="001826AD" w:rsidRPr="00092B17" w:rsidTr="006B4271">
        <w:tc>
          <w:tcPr>
            <w:tcW w:w="3686" w:type="dxa"/>
          </w:tcPr>
          <w:p w:rsidR="001826AD" w:rsidRPr="00092B17" w:rsidRDefault="001826AD" w:rsidP="006B4271">
            <w:pPr>
              <w:rPr>
                <w:lang w:val="fr-FR"/>
              </w:rPr>
            </w:pPr>
            <w:r w:rsidRPr="00092B17">
              <w:rPr>
                <w:lang w:val="fr-FR"/>
              </w:rPr>
              <w:t>Annexe II, partie (a), deuxième ligne</w:t>
            </w:r>
          </w:p>
        </w:tc>
        <w:tc>
          <w:tcPr>
            <w:tcW w:w="6061" w:type="dxa"/>
          </w:tcPr>
          <w:p w:rsidR="001826AD" w:rsidRPr="00092B17" w:rsidRDefault="001826AD" w:rsidP="006B4271">
            <w:pPr>
              <w:rPr>
                <w:lang w:val="fr-FR"/>
              </w:rPr>
            </w:pPr>
            <w:r w:rsidRPr="00092B17">
              <w:rPr>
                <w:lang w:val="fr-FR"/>
              </w:rPr>
              <w:t>MS Microsoft Office Professional Plus 2010</w:t>
            </w:r>
          </w:p>
        </w:tc>
      </w:tr>
      <w:tr w:rsidR="001826AD" w:rsidRPr="00092B17" w:rsidTr="006B4271">
        <w:tc>
          <w:tcPr>
            <w:tcW w:w="3686" w:type="dxa"/>
          </w:tcPr>
          <w:p w:rsidR="001826AD" w:rsidRPr="00092B17" w:rsidRDefault="001826AD" w:rsidP="006B4271">
            <w:pPr>
              <w:rPr>
                <w:lang w:val="fr-FR"/>
              </w:rPr>
            </w:pPr>
            <w:r w:rsidRPr="00092B17">
              <w:rPr>
                <w:lang w:val="fr-FR"/>
              </w:rPr>
              <w:t>Annexe II, partie (a), troisième ligne</w:t>
            </w:r>
          </w:p>
        </w:tc>
        <w:tc>
          <w:tcPr>
            <w:tcW w:w="6061" w:type="dxa"/>
          </w:tcPr>
          <w:p w:rsidR="001826AD" w:rsidRPr="00092B17" w:rsidRDefault="001826AD" w:rsidP="006B4271">
            <w:pPr>
              <w:rPr>
                <w:lang w:val="fr-FR"/>
              </w:rPr>
            </w:pPr>
            <w:r w:rsidRPr="00092B17">
              <w:rPr>
                <w:highlight w:val="lightGray"/>
                <w:u w:val="single"/>
                <w:lang w:val="fr-FR"/>
              </w:rPr>
              <w:t>Microsoft</w:t>
            </w:r>
            <w:r w:rsidRPr="00092B17">
              <w:rPr>
                <w:u w:val="single"/>
                <w:lang w:val="fr-FR"/>
              </w:rPr>
              <w:t xml:space="preserve"> </w:t>
            </w:r>
            <w:r w:rsidRPr="00092B17">
              <w:rPr>
                <w:lang w:val="fr-FR"/>
              </w:rPr>
              <w:t>Access</w:t>
            </w:r>
          </w:p>
        </w:tc>
      </w:tr>
      <w:tr w:rsidR="001826AD" w:rsidRPr="00092B17" w:rsidTr="006B4271">
        <w:tc>
          <w:tcPr>
            <w:tcW w:w="3686" w:type="dxa"/>
          </w:tcPr>
          <w:p w:rsidR="001826AD" w:rsidRPr="00092B17" w:rsidRDefault="001826AD" w:rsidP="006B4271">
            <w:pPr>
              <w:rPr>
                <w:lang w:val="fr-FR"/>
              </w:rPr>
            </w:pPr>
            <w:r w:rsidRPr="00092B17">
              <w:rPr>
                <w:lang w:val="fr-FR"/>
              </w:rPr>
              <w:t>Annexe II, partie (b), troisième ligne</w:t>
            </w:r>
          </w:p>
        </w:tc>
        <w:tc>
          <w:tcPr>
            <w:tcW w:w="6061" w:type="dxa"/>
          </w:tcPr>
          <w:p w:rsidR="001826AD" w:rsidRPr="00092B17" w:rsidRDefault="001826AD" w:rsidP="006B4271">
            <w:pPr>
              <w:rPr>
                <w:lang w:val="fr-FR"/>
              </w:rPr>
            </w:pPr>
            <w:r w:rsidRPr="00092B17">
              <w:rPr>
                <w:strike/>
                <w:highlight w:val="lightGray"/>
                <w:lang w:val="fr-FR"/>
              </w:rPr>
              <w:t>PDF</w:t>
            </w:r>
            <w:r w:rsidRPr="00092B17">
              <w:rPr>
                <w:highlight w:val="lightGray"/>
                <w:lang w:val="fr-FR"/>
              </w:rPr>
              <w:t xml:space="preserve"> </w:t>
            </w:r>
            <w:r w:rsidRPr="00092B17">
              <w:rPr>
                <w:highlight w:val="lightGray"/>
                <w:u w:val="single"/>
                <w:lang w:val="fr-FR"/>
              </w:rPr>
              <w:t>Adobe Acrobat Reader</w:t>
            </w:r>
          </w:p>
        </w:tc>
      </w:tr>
      <w:tr w:rsidR="001826AD" w:rsidRPr="00092B17" w:rsidTr="006B4271">
        <w:tc>
          <w:tcPr>
            <w:tcW w:w="3686" w:type="dxa"/>
          </w:tcPr>
          <w:p w:rsidR="001826AD" w:rsidRPr="00092B17" w:rsidRDefault="001826AD" w:rsidP="006B4271">
            <w:pPr>
              <w:rPr>
                <w:lang w:val="fr-FR"/>
              </w:rPr>
            </w:pPr>
            <w:r w:rsidRPr="00092B17">
              <w:rPr>
                <w:lang w:val="fr-FR"/>
              </w:rPr>
              <w:t>Annexe II, partie (b), quatrième ligne</w:t>
            </w:r>
          </w:p>
        </w:tc>
        <w:tc>
          <w:tcPr>
            <w:tcW w:w="6061" w:type="dxa"/>
          </w:tcPr>
          <w:p w:rsidR="001826AD" w:rsidRPr="00092B17" w:rsidRDefault="001826AD" w:rsidP="006B4271">
            <w:pPr>
              <w:rPr>
                <w:lang w:val="fr-FR"/>
              </w:rPr>
            </w:pPr>
            <w:r w:rsidRPr="00092B17">
              <w:rPr>
                <w:highlight w:val="lightGray"/>
                <w:u w:val="single"/>
                <w:lang w:val="fr-FR"/>
              </w:rPr>
              <w:t xml:space="preserve">Microsoft </w:t>
            </w:r>
            <w:r w:rsidRPr="00092B17">
              <w:rPr>
                <w:lang w:val="fr-FR"/>
              </w:rPr>
              <w:t xml:space="preserve">Office (Word) et </w:t>
            </w:r>
            <w:r w:rsidRPr="00092B17">
              <w:rPr>
                <w:strike/>
                <w:highlight w:val="lightGray"/>
                <w:lang w:val="fr-FR"/>
              </w:rPr>
              <w:t xml:space="preserve">PDF </w:t>
            </w:r>
            <w:r w:rsidRPr="00092B17">
              <w:rPr>
                <w:highlight w:val="lightGray"/>
                <w:u w:val="single"/>
                <w:lang w:val="fr-FR"/>
              </w:rPr>
              <w:t>Adobe Acrobat Reader</w:t>
            </w:r>
          </w:p>
        </w:tc>
      </w:tr>
    </w:tbl>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les observations du TC concernant l’utilisation de logiciels par les membres de l’Union seraient communiquées au CAJ à sa soixante</w:t>
      </w:r>
      <w:r w:rsidRPr="00092B17">
        <w:rPr>
          <w:lang w:val="fr-FR"/>
        </w:rPr>
        <w:noBreakHyphen/>
        <w:t>treizième session, et que, sous réserve de l’accord du CAJ, un projet de document UPOV/INF/22/3 serait présenté pour adoption par le Conseil à sa cinquantième session ordinaire, qui se tiendra le 28 octobre 2016.</w:t>
      </w:r>
    </w:p>
    <w:p w:rsidR="001826AD" w:rsidRPr="00092B17" w:rsidRDefault="001826AD" w:rsidP="001826AD">
      <w:pPr>
        <w:rPr>
          <w:lang w:val="fr-FR"/>
        </w:rPr>
      </w:pPr>
    </w:p>
    <w:p w:rsidR="001826AD" w:rsidRPr="00092B17" w:rsidRDefault="001826AD" w:rsidP="004570E2">
      <w:pPr>
        <w:pStyle w:val="Heading3"/>
      </w:pPr>
      <w:r w:rsidRPr="00092B17">
        <w:t>Bases de données sur les descriptions variétales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TC/52/9.</w:t>
      </w:r>
    </w:p>
    <w:p w:rsidR="001826AD" w:rsidRPr="00092B17" w:rsidRDefault="001826AD" w:rsidP="001826AD">
      <w:pPr>
        <w:keepNext/>
        <w:rPr>
          <w:lang w:val="fr-FR"/>
        </w:rPr>
      </w:pPr>
    </w:p>
    <w:p w:rsidR="001826AD" w:rsidRPr="00092B17" w:rsidRDefault="001826AD" w:rsidP="001826AD">
      <w:pPr>
        <w:autoSpaceDE w:val="0"/>
        <w:autoSpaceDN w:val="0"/>
        <w:adjustRightInd w:val="0"/>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débat sur la question de faciliter la mise au point de bases de données au titre du point </w:t>
      </w:r>
      <w:r w:rsidRPr="00092B17">
        <w:rPr>
          <w:rFonts w:cs="Arial"/>
          <w:lang w:val="fr-FR"/>
        </w:rPr>
        <w:t>3.c) de l’ordre du jour intitulé “faciliter la mise au point de bases de données”</w:t>
      </w:r>
      <w:r w:rsidRPr="00092B17">
        <w:rPr>
          <w:lang w:val="fr-FR"/>
        </w:rPr>
        <w:t xml:space="preserve"> à la cinquante</w:t>
      </w:r>
      <w:r w:rsidRPr="00092B17">
        <w:rPr>
          <w:lang w:val="fr-FR"/>
        </w:rPr>
        <w:noBreakHyphen/>
        <w:t>deuxième session du TC.</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TWC, à sa trente</w:t>
      </w:r>
      <w:r w:rsidRPr="00092B17">
        <w:rPr>
          <w:lang w:val="fr-FR"/>
        </w:rPr>
        <w:noBreakHyphen/>
        <w:t>troisième session, a suivi un exposé présenté par un expert de la Chine sur l’analyse de la variance due à l’interaction “variété x site” (environnement) des caractères QN, au moyen du module statistique du nouveau logiciel “DUSTC” mis au point par la Chine, dont une copie figure dans le document TWC/33/27 </w:t>
      </w:r>
      <w:proofErr w:type="spellStart"/>
      <w:r w:rsidRPr="00092B17">
        <w:rPr>
          <w:lang w:val="fr-FR"/>
        </w:rPr>
        <w:t>Rev</w:t>
      </w:r>
      <w:proofErr w:type="spellEnd"/>
      <w:r w:rsidRPr="00092B17">
        <w:rPr>
          <w:lang w:val="fr-FR"/>
        </w:rPr>
        <w:t>.</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TWF, à sa quarante</w:t>
      </w:r>
      <w:r w:rsidRPr="00092B17">
        <w:rPr>
          <w:lang w:val="fr-FR"/>
        </w:rPr>
        <w:noBreakHyphen/>
        <w:t>sixième session, était convenu que les bases de données consacrées aux plantes fruitières et contenant des données morphologiques ou moléculaires pouvaient être utiles aux fins de groupement des variétés et d’organisation des essais en culture, ainsi que pour l’analyse de la distinction.</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Ateliers préparatoires</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TC/52/13.</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du rapport des ateliers préparatoires tenus en 2015.</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approuve le programme proposé des ateliers préparatoires pour 2016, comme indiqué dans les paragraphes 9 à 11 du document TC/52/13.</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le paragraphe 8 du document TC/52/13 devrait être modifié comme suit :</w:t>
      </w:r>
    </w:p>
    <w:p w:rsidR="001826AD" w:rsidRPr="00092B17" w:rsidRDefault="001826AD" w:rsidP="001826AD">
      <w:pPr>
        <w:rPr>
          <w:lang w:val="fr-FR"/>
        </w:rPr>
      </w:pPr>
      <w:r w:rsidRPr="00092B17">
        <w:rPr>
          <w:lang w:val="fr-FR"/>
        </w:rPr>
        <w:tab/>
        <w:t>TWA (</w:t>
      </w:r>
      <w:r w:rsidRPr="00092B17">
        <w:rPr>
          <w:strike/>
          <w:highlight w:val="lightGray"/>
          <w:lang w:val="fr-FR"/>
        </w:rPr>
        <w:t>Mexique</w:t>
      </w:r>
      <w:r w:rsidRPr="00092B17">
        <w:rPr>
          <w:highlight w:val="lightGray"/>
          <w:lang w:val="fr-FR"/>
        </w:rPr>
        <w:t xml:space="preserve"> </w:t>
      </w:r>
      <w:r w:rsidRPr="00092B17">
        <w:rPr>
          <w:lang w:val="fr-FR"/>
        </w:rPr>
        <w:t>Japon)</w:t>
      </w:r>
    </w:p>
    <w:p w:rsidR="006B4271" w:rsidRDefault="001826AD" w:rsidP="006B4271">
      <w:pPr>
        <w:rPr>
          <w:lang w:val="fr-FR"/>
        </w:rPr>
      </w:pPr>
      <w:r w:rsidRPr="00092B17">
        <w:rPr>
          <w:lang w:val="fr-FR"/>
        </w:rPr>
        <w:tab/>
        <w:t>TWV (Union européenne</w:t>
      </w:r>
      <w:r w:rsidRPr="00092B17">
        <w:rPr>
          <w:strike/>
          <w:lang w:val="fr-FR"/>
        </w:rPr>
        <w:t xml:space="preserve"> </w:t>
      </w:r>
      <w:r w:rsidRPr="00092B17">
        <w:rPr>
          <w:strike/>
          <w:highlight w:val="lightGray"/>
          <w:lang w:val="fr-FR"/>
        </w:rPr>
        <w:t>– France</w:t>
      </w:r>
      <w:r w:rsidRPr="00092B17">
        <w:rPr>
          <w:lang w:val="fr-FR"/>
        </w:rPr>
        <w:t>)</w:t>
      </w:r>
      <w:r w:rsidR="006B4271">
        <w:rPr>
          <w:lang w:val="fr-FR"/>
        </w:rPr>
        <w:br w:type="page"/>
      </w:r>
    </w:p>
    <w:p w:rsidR="001826AD" w:rsidRPr="00092B17" w:rsidRDefault="001826AD" w:rsidP="001826AD">
      <w:pPr>
        <w:pStyle w:val="Heading2"/>
        <w:rPr>
          <w:lang w:val="fr-FR"/>
        </w:rPr>
      </w:pPr>
      <w:r w:rsidRPr="00092B17">
        <w:rPr>
          <w:lang w:val="fr-FR"/>
        </w:rPr>
        <w:t>Principes directeurs d’examen</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les documents TC/52/2, TC/52/24, TC/52/25, TC/52/26 et TC/52/27.</w:t>
      </w:r>
    </w:p>
    <w:p w:rsidR="001826AD" w:rsidRPr="00092B17" w:rsidRDefault="001826AD" w:rsidP="001826AD">
      <w:pPr>
        <w:rPr>
          <w:lang w:val="fr-FR"/>
        </w:rPr>
      </w:pPr>
    </w:p>
    <w:p w:rsidR="001826AD" w:rsidRPr="00092B17" w:rsidRDefault="001826AD" w:rsidP="001826AD">
      <w:pPr>
        <w:rPr>
          <w:rFonts w:cs="Arial"/>
          <w:snapToGrid w:val="0"/>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 xml:space="preserve">Conformément aux procédures établies dans le document TGP/7, le TC adopte cinq nouveaux principes directeurs d’examen pour la conduite de l’examen de la distinction, de l’homogénéité et de la stabilité, deux principes directeurs d’examen révisés et </w:t>
      </w:r>
      <w:r w:rsidR="00914363">
        <w:rPr>
          <w:lang w:val="fr-FR"/>
        </w:rPr>
        <w:t>neuf</w:t>
      </w:r>
      <w:r w:rsidRPr="00092B17">
        <w:rPr>
          <w:lang w:val="fr-FR"/>
        </w:rPr>
        <w:t> principes directeurs d’examen partiellement révisés, énumérés dans le tableau ci</w:t>
      </w:r>
      <w:r w:rsidRPr="00092B17">
        <w:rPr>
          <w:lang w:val="fr-FR"/>
        </w:rPr>
        <w:noBreakHyphen/>
        <w:t>dessous, sur la base des modifications figurant dans l’annexe II du présent document et des modifications rédactionnelles recommandées par le TC</w:t>
      </w:r>
      <w:r w:rsidRPr="00092B17">
        <w:rPr>
          <w:lang w:val="fr-FR"/>
        </w:rPr>
        <w:noBreakHyphen/>
        <w:t>EDC et convient qu’ils doivent être publiés sur le site Web de l’UPOV le plus tôt possible :</w:t>
      </w:r>
    </w:p>
    <w:p w:rsidR="001826AD" w:rsidRPr="00092B17" w:rsidRDefault="001826AD" w:rsidP="001826AD">
      <w:pPr>
        <w:rPr>
          <w:rFonts w:cs="Arial"/>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1826AD" w:rsidRPr="00092B17" w:rsidTr="006B4271">
        <w:trPr>
          <w:cantSplit/>
          <w:trHeight w:val="1050"/>
          <w:tblHeader/>
        </w:trPr>
        <w:tc>
          <w:tcPr>
            <w:tcW w:w="484" w:type="dxa"/>
            <w:tcBorders>
              <w:top w:val="single" w:sz="4" w:space="0" w:color="auto"/>
              <w:bottom w:val="single" w:sz="4" w:space="0" w:color="auto"/>
            </w:tcBorders>
            <w:shd w:val="clear" w:color="auto" w:fill="D9D9D9"/>
            <w:noWrap/>
            <w:vAlign w:val="center"/>
          </w:tcPr>
          <w:p w:rsidR="001826AD" w:rsidRPr="00092B17" w:rsidRDefault="001826AD" w:rsidP="006B4271">
            <w:pPr>
              <w:jc w:val="left"/>
              <w:rPr>
                <w:rFonts w:eastAsia="MS Mincho" w:cs="Arial"/>
                <w:bCs/>
                <w:sz w:val="16"/>
                <w:szCs w:val="16"/>
                <w:lang w:val="fr-FR" w:eastAsia="ja-JP"/>
              </w:rPr>
            </w:pPr>
            <w:r w:rsidRPr="00092B17">
              <w:rPr>
                <w:rFonts w:eastAsia="MS Mincho" w:cs="Arial"/>
                <w:bCs/>
                <w:sz w:val="16"/>
                <w:szCs w:val="16"/>
                <w:lang w:val="fr-FR" w:eastAsia="ja-JP"/>
              </w:rPr>
              <w:t>**</w:t>
            </w:r>
          </w:p>
        </w:tc>
        <w:tc>
          <w:tcPr>
            <w:tcW w:w="590" w:type="dxa"/>
            <w:tcBorders>
              <w:top w:val="single" w:sz="4" w:space="0" w:color="auto"/>
              <w:bottom w:val="single" w:sz="4" w:space="0" w:color="auto"/>
            </w:tcBorders>
            <w:shd w:val="clear" w:color="auto" w:fill="D9D9D9"/>
            <w:vAlign w:val="center"/>
          </w:tcPr>
          <w:p w:rsidR="001826AD" w:rsidRPr="00092B17" w:rsidRDefault="001826AD" w:rsidP="006B4271">
            <w:pPr>
              <w:jc w:val="left"/>
              <w:rPr>
                <w:rFonts w:eastAsia="MS Mincho" w:cs="Arial"/>
                <w:bCs/>
                <w:sz w:val="16"/>
                <w:szCs w:val="16"/>
                <w:lang w:val="fr-FR" w:eastAsia="ja-JP"/>
              </w:rPr>
            </w:pPr>
            <w:r w:rsidRPr="00092B17">
              <w:rPr>
                <w:rFonts w:eastAsia="MS Mincho" w:cs="Arial"/>
                <w:bCs/>
                <w:sz w:val="16"/>
                <w:szCs w:val="16"/>
                <w:lang w:val="fr-FR" w:eastAsia="ja-JP"/>
              </w:rPr>
              <w:t>TWP</w:t>
            </w:r>
          </w:p>
        </w:tc>
        <w:tc>
          <w:tcPr>
            <w:tcW w:w="1490" w:type="dxa"/>
            <w:tcBorders>
              <w:top w:val="single" w:sz="4" w:space="0" w:color="auto"/>
              <w:bottom w:val="single" w:sz="4" w:space="0" w:color="auto"/>
            </w:tcBorders>
            <w:shd w:val="clear" w:color="auto" w:fill="D9D9D9"/>
            <w:vAlign w:val="center"/>
          </w:tcPr>
          <w:p w:rsidR="001826AD" w:rsidRPr="00092B17" w:rsidRDefault="001826AD" w:rsidP="006B4271">
            <w:pPr>
              <w:ind w:left="-36"/>
              <w:jc w:val="left"/>
              <w:rPr>
                <w:rFonts w:eastAsia="MS Mincho" w:cs="Arial"/>
                <w:bCs/>
                <w:sz w:val="16"/>
                <w:szCs w:val="16"/>
                <w:lang w:val="fr-FR" w:eastAsia="ja-JP"/>
              </w:rPr>
            </w:pPr>
            <w:r w:rsidRPr="00092B17">
              <w:rPr>
                <w:rFonts w:eastAsia="MS Mincho" w:cs="Arial"/>
                <w:bCs/>
                <w:sz w:val="16"/>
                <w:szCs w:val="16"/>
                <w:lang w:val="fr-FR" w:eastAsia="ja-JP"/>
              </w:rPr>
              <w:t xml:space="preserve">Document No. </w:t>
            </w:r>
            <w:r w:rsidRPr="00092B17">
              <w:rPr>
                <w:rFonts w:eastAsia="MS Mincho" w:cs="Arial"/>
                <w:bCs/>
                <w:sz w:val="16"/>
                <w:szCs w:val="16"/>
                <w:lang w:val="fr-FR" w:eastAsia="ja-JP"/>
              </w:rPr>
              <w:br/>
              <w:t xml:space="preserve">No. du document </w:t>
            </w:r>
            <w:r w:rsidRPr="00092B17">
              <w:rPr>
                <w:rFonts w:eastAsia="MS Mincho" w:cs="Arial"/>
                <w:bCs/>
                <w:sz w:val="16"/>
                <w:szCs w:val="16"/>
                <w:lang w:val="fr-FR" w:eastAsia="ja-JP"/>
              </w:rPr>
              <w:br/>
            </w:r>
            <w:proofErr w:type="spellStart"/>
            <w:r w:rsidRPr="00092B17">
              <w:rPr>
                <w:rFonts w:eastAsia="MS Mincho" w:cs="Arial"/>
                <w:bCs/>
                <w:sz w:val="16"/>
                <w:szCs w:val="16"/>
                <w:lang w:val="fr-FR" w:eastAsia="ja-JP"/>
              </w:rPr>
              <w:t>Dokument</w:t>
            </w:r>
            <w:proofErr w:type="spellEnd"/>
            <w:r w:rsidRPr="00092B17">
              <w:rPr>
                <w:rFonts w:eastAsia="MS Mincho" w:cs="Arial"/>
                <w:bCs/>
                <w:sz w:val="16"/>
                <w:szCs w:val="16"/>
                <w:lang w:val="fr-FR" w:eastAsia="ja-JP"/>
              </w:rPr>
              <w:noBreakHyphen/>
              <w:t xml:space="preserve">Nr. </w:t>
            </w:r>
            <w:r w:rsidRPr="00092B17">
              <w:rPr>
                <w:rFonts w:eastAsia="MS Mincho" w:cs="Arial"/>
                <w:bCs/>
                <w:sz w:val="16"/>
                <w:szCs w:val="16"/>
                <w:lang w:val="fr-FR" w:eastAsia="ja-JP"/>
              </w:rPr>
              <w:br/>
              <w:t xml:space="preserve">No </w:t>
            </w:r>
            <w:proofErr w:type="spellStart"/>
            <w:r w:rsidRPr="00092B17">
              <w:rPr>
                <w:rFonts w:eastAsia="MS Mincho" w:cs="Arial"/>
                <w:bCs/>
                <w:sz w:val="16"/>
                <w:szCs w:val="16"/>
                <w:lang w:val="fr-FR" w:eastAsia="ja-JP"/>
              </w:rPr>
              <w:t>del</w:t>
            </w:r>
            <w:proofErr w:type="spellEnd"/>
            <w:r w:rsidRPr="00092B17">
              <w:rPr>
                <w:rFonts w:eastAsia="MS Mincho" w:cs="Arial"/>
                <w:bCs/>
                <w:sz w:val="16"/>
                <w:szCs w:val="16"/>
                <w:lang w:val="fr-FR" w:eastAsia="ja-JP"/>
              </w:rPr>
              <w:t xml:space="preserve"> </w:t>
            </w:r>
            <w:proofErr w:type="spellStart"/>
            <w:r w:rsidRPr="00092B17">
              <w:rPr>
                <w:rFonts w:eastAsia="MS Mincho" w:cs="Arial"/>
                <w:bCs/>
                <w:sz w:val="16"/>
                <w:szCs w:val="16"/>
                <w:lang w:val="fr-FR"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1826AD" w:rsidRPr="00092B17" w:rsidRDefault="001826AD" w:rsidP="006B4271">
            <w:pPr>
              <w:jc w:val="left"/>
              <w:rPr>
                <w:rFonts w:eastAsia="MS Mincho" w:cs="Arial"/>
                <w:bCs/>
                <w:sz w:val="16"/>
                <w:szCs w:val="16"/>
                <w:lang w:val="fr-FR" w:eastAsia="ja-JP"/>
              </w:rPr>
            </w:pPr>
            <w:r w:rsidRPr="00092B17">
              <w:rPr>
                <w:rFonts w:eastAsia="MS Mincho" w:cs="Arial"/>
                <w:bCs/>
                <w:sz w:val="16"/>
                <w:szCs w:val="16"/>
                <w:lang w:val="fr-FR" w:eastAsia="ja-JP"/>
              </w:rPr>
              <w:t>English</w:t>
            </w:r>
          </w:p>
        </w:tc>
        <w:tc>
          <w:tcPr>
            <w:tcW w:w="1418" w:type="dxa"/>
            <w:tcBorders>
              <w:top w:val="single" w:sz="4" w:space="0" w:color="auto"/>
              <w:bottom w:val="single" w:sz="4" w:space="0" w:color="auto"/>
            </w:tcBorders>
            <w:shd w:val="clear" w:color="auto" w:fill="D9D9D9"/>
            <w:vAlign w:val="center"/>
          </w:tcPr>
          <w:p w:rsidR="001826AD" w:rsidRPr="00092B17" w:rsidRDefault="001826AD" w:rsidP="006B4271">
            <w:pPr>
              <w:jc w:val="left"/>
              <w:rPr>
                <w:rFonts w:eastAsia="MS Mincho" w:cs="Arial"/>
                <w:sz w:val="16"/>
                <w:szCs w:val="16"/>
                <w:lang w:val="fr-FR" w:eastAsia="ja-JP"/>
              </w:rPr>
            </w:pPr>
            <w:r w:rsidRPr="00092B17">
              <w:rPr>
                <w:rFonts w:eastAsia="MS Mincho" w:cs="Arial"/>
                <w:sz w:val="16"/>
                <w:szCs w:val="16"/>
                <w:lang w:val="fr-FR" w:eastAsia="ja-JP"/>
              </w:rPr>
              <w:t>Français</w:t>
            </w:r>
          </w:p>
        </w:tc>
        <w:tc>
          <w:tcPr>
            <w:tcW w:w="1417" w:type="dxa"/>
            <w:tcBorders>
              <w:top w:val="single" w:sz="4" w:space="0" w:color="auto"/>
              <w:bottom w:val="single" w:sz="4" w:space="0" w:color="auto"/>
            </w:tcBorders>
            <w:shd w:val="clear" w:color="auto" w:fill="D9D9D9"/>
            <w:vAlign w:val="center"/>
          </w:tcPr>
          <w:p w:rsidR="001826AD" w:rsidRPr="00092B17" w:rsidRDefault="001826AD" w:rsidP="006B4271">
            <w:pPr>
              <w:jc w:val="left"/>
              <w:rPr>
                <w:rFonts w:eastAsia="MS Mincho" w:cs="Arial"/>
                <w:sz w:val="16"/>
                <w:szCs w:val="16"/>
                <w:lang w:val="fr-FR" w:eastAsia="ja-JP"/>
              </w:rPr>
            </w:pPr>
            <w:r w:rsidRPr="00092B17">
              <w:rPr>
                <w:rFonts w:eastAsia="MS Mincho" w:cs="Arial"/>
                <w:sz w:val="16"/>
                <w:szCs w:val="16"/>
                <w:lang w:val="fr-FR" w:eastAsia="ja-JP"/>
              </w:rPr>
              <w:t>Deutsch</w:t>
            </w:r>
          </w:p>
        </w:tc>
        <w:tc>
          <w:tcPr>
            <w:tcW w:w="1418" w:type="dxa"/>
            <w:tcBorders>
              <w:top w:val="single" w:sz="4" w:space="0" w:color="auto"/>
              <w:bottom w:val="single" w:sz="4" w:space="0" w:color="auto"/>
            </w:tcBorders>
            <w:shd w:val="clear" w:color="auto" w:fill="D9D9D9"/>
            <w:vAlign w:val="center"/>
          </w:tcPr>
          <w:p w:rsidR="001826AD" w:rsidRPr="00092B17" w:rsidRDefault="001826AD" w:rsidP="006B4271">
            <w:pPr>
              <w:jc w:val="left"/>
              <w:rPr>
                <w:rFonts w:eastAsia="MS Mincho" w:cs="Arial"/>
                <w:sz w:val="16"/>
                <w:szCs w:val="16"/>
                <w:lang w:val="fr-FR" w:eastAsia="ja-JP"/>
              </w:rPr>
            </w:pPr>
            <w:proofErr w:type="spellStart"/>
            <w:r w:rsidRPr="00092B17">
              <w:rPr>
                <w:rFonts w:eastAsia="MS Mincho" w:cs="Arial"/>
                <w:sz w:val="16"/>
                <w:szCs w:val="16"/>
                <w:lang w:val="fr-FR" w:eastAsia="ja-JP"/>
              </w:rPr>
              <w:t>Español</w:t>
            </w:r>
            <w:proofErr w:type="spellEnd"/>
          </w:p>
        </w:tc>
        <w:tc>
          <w:tcPr>
            <w:tcW w:w="1700" w:type="dxa"/>
            <w:tcBorders>
              <w:top w:val="single" w:sz="4" w:space="0" w:color="auto"/>
              <w:bottom w:val="single" w:sz="4" w:space="0" w:color="auto"/>
            </w:tcBorders>
            <w:shd w:val="clear" w:color="auto" w:fill="D9D9D9"/>
            <w:vAlign w:val="center"/>
          </w:tcPr>
          <w:p w:rsidR="001826AD" w:rsidRPr="00092B17" w:rsidRDefault="001826AD" w:rsidP="006B4271">
            <w:pPr>
              <w:jc w:val="left"/>
              <w:rPr>
                <w:rFonts w:eastAsia="MS Mincho" w:cs="Arial"/>
                <w:sz w:val="16"/>
                <w:szCs w:val="16"/>
                <w:lang w:val="fr-FR" w:eastAsia="ja-JP"/>
              </w:rPr>
            </w:pPr>
            <w:proofErr w:type="spellStart"/>
            <w:r w:rsidRPr="00092B17">
              <w:rPr>
                <w:rFonts w:eastAsia="MS Mincho" w:cs="Arial"/>
                <w:sz w:val="16"/>
                <w:szCs w:val="16"/>
                <w:lang w:val="fr-FR" w:eastAsia="ja-JP"/>
              </w:rPr>
              <w:t>Botanical</w:t>
            </w:r>
            <w:proofErr w:type="spellEnd"/>
            <w:r w:rsidRPr="00092B17">
              <w:rPr>
                <w:rFonts w:eastAsia="MS Mincho" w:cs="Arial"/>
                <w:sz w:val="16"/>
                <w:szCs w:val="16"/>
                <w:lang w:val="fr-FR" w:eastAsia="ja-JP"/>
              </w:rPr>
              <w:t xml:space="preserve"> </w:t>
            </w:r>
            <w:proofErr w:type="spellStart"/>
            <w:r w:rsidRPr="00092B17">
              <w:rPr>
                <w:rFonts w:eastAsia="MS Mincho" w:cs="Arial"/>
                <w:sz w:val="16"/>
                <w:szCs w:val="16"/>
                <w:lang w:val="fr-FR" w:eastAsia="ja-JP"/>
              </w:rPr>
              <w:t>name</w:t>
            </w:r>
            <w:proofErr w:type="spellEnd"/>
          </w:p>
        </w:tc>
      </w:tr>
      <w:tr w:rsidR="001826AD" w:rsidRPr="00092B17" w:rsidTr="006B4271">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spacing w:before="120" w:after="120"/>
              <w:ind w:left="-36"/>
              <w:jc w:val="left"/>
              <w:rPr>
                <w:rFonts w:eastAsia="MS Mincho" w:cs="Arial"/>
                <w:bCs/>
                <w:sz w:val="16"/>
                <w:szCs w:val="16"/>
                <w:u w:val="single"/>
                <w:lang w:val="fr-FR" w:eastAsia="ja-JP"/>
              </w:rPr>
            </w:pPr>
            <w:r w:rsidRPr="00092B17">
              <w:rPr>
                <w:rFonts w:cs="Arial"/>
                <w:bCs/>
                <w:sz w:val="16"/>
                <w:szCs w:val="16"/>
                <w:u w:val="single"/>
                <w:lang w:val="fr-FR"/>
              </w:rPr>
              <w:t>NEW TEST GUIDELINES / NOUVEAUX PRINCIPES DIRECTEURS D’EXAMEN / NEUE PRÜFUNGSRICHTILINIEN /</w:t>
            </w:r>
            <w:r w:rsidRPr="00092B17">
              <w:rPr>
                <w:rFonts w:cs="Arial"/>
                <w:bCs/>
                <w:sz w:val="16"/>
                <w:szCs w:val="16"/>
                <w:u w:val="single"/>
                <w:lang w:val="fr-FR"/>
              </w:rPr>
              <w:br/>
              <w:t>NUEVAS DIRECTRICES DE EXAMEN</w:t>
            </w:r>
          </w:p>
        </w:tc>
      </w:tr>
      <w:tr w:rsidR="001826AD" w:rsidRPr="00092B17" w:rsidTr="006B427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szCs w:val="16"/>
                <w:lang w:val="fr-FR"/>
              </w:rPr>
            </w:pPr>
            <w:r w:rsidRPr="00092B17">
              <w:rPr>
                <w:rFonts w:cs="Arial"/>
                <w:sz w:val="16"/>
                <w:szCs w:val="16"/>
                <w:lang w:val="fr-FR"/>
              </w:rPr>
              <w:t>BR</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szCs w:val="16"/>
                <w:lang w:val="fr-FR"/>
              </w:rPr>
            </w:pPr>
            <w:r w:rsidRPr="00092B17">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jc w:val="left"/>
              <w:rPr>
                <w:rFonts w:cs="Arial"/>
                <w:spacing w:val="-6"/>
                <w:sz w:val="16"/>
                <w:szCs w:val="16"/>
                <w:lang w:val="fr-FR"/>
              </w:rPr>
            </w:pPr>
            <w:r w:rsidRPr="00092B17">
              <w:rPr>
                <w:rFonts w:cs="Arial"/>
                <w:spacing w:val="-6"/>
                <w:sz w:val="16"/>
                <w:szCs w:val="16"/>
                <w:lang w:val="fr-FR"/>
              </w:rPr>
              <w:t>TG/</w:t>
            </w:r>
            <w:proofErr w:type="gramStart"/>
            <w:r w:rsidRPr="00092B17">
              <w:rPr>
                <w:rFonts w:cs="Arial"/>
                <w:spacing w:val="-6"/>
                <w:sz w:val="16"/>
                <w:szCs w:val="16"/>
                <w:lang w:val="fr-FR"/>
              </w:rPr>
              <w:t>COCOS(</w:t>
            </w:r>
            <w:proofErr w:type="gramEnd"/>
            <w:r w:rsidRPr="00092B17">
              <w:rPr>
                <w:rFonts w:cs="Arial"/>
                <w:spacing w:val="-6"/>
                <w:sz w:val="16"/>
                <w:szCs w:val="16"/>
                <w:lang w:val="fr-FR"/>
              </w:rPr>
              <w:t>proj.6)</w:t>
            </w:r>
          </w:p>
        </w:tc>
        <w:tc>
          <w:tcPr>
            <w:tcW w:w="1417"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Coconut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Cocotier</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 xml:space="preserve">Cocos </w:t>
            </w:r>
            <w:proofErr w:type="spellStart"/>
            <w:r w:rsidRPr="00092B17">
              <w:rPr>
                <w:rFonts w:cs="Arial"/>
                <w:sz w:val="16"/>
                <w:szCs w:val="16"/>
                <w:lang w:val="fr-FR"/>
              </w:rPr>
              <w:t>nucifera</w:t>
            </w:r>
            <w:proofErr w:type="spellEnd"/>
            <w:r w:rsidRPr="00092B17">
              <w:rPr>
                <w:rFonts w:cs="Arial"/>
                <w:sz w:val="16"/>
                <w:szCs w:val="16"/>
                <w:lang w:val="fr-FR"/>
              </w:rPr>
              <w:t xml:space="preserve"> L.</w:t>
            </w:r>
          </w:p>
        </w:tc>
      </w:tr>
      <w:tr w:rsidR="001826AD" w:rsidRPr="00092B17" w:rsidTr="006B427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szCs w:val="16"/>
                <w:lang w:val="fr-FR"/>
              </w:rPr>
            </w:pPr>
            <w:r w:rsidRPr="00092B17">
              <w:rPr>
                <w:rFonts w:cs="Arial"/>
                <w:sz w:val="16"/>
                <w:szCs w:val="16"/>
                <w:lang w:val="fr-FR"/>
              </w:rPr>
              <w:t>NZ</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szCs w:val="16"/>
                <w:lang w:val="fr-FR"/>
              </w:rPr>
            </w:pPr>
            <w:r w:rsidRPr="00092B17">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jc w:val="left"/>
              <w:rPr>
                <w:rFonts w:cs="Arial"/>
                <w:spacing w:val="-6"/>
                <w:sz w:val="16"/>
                <w:szCs w:val="16"/>
                <w:lang w:val="fr-FR"/>
              </w:rPr>
            </w:pPr>
            <w:r w:rsidRPr="00092B17">
              <w:rPr>
                <w:rFonts w:cs="Arial"/>
                <w:spacing w:val="-6"/>
                <w:sz w:val="16"/>
                <w:szCs w:val="16"/>
                <w:lang w:val="fr-FR"/>
              </w:rPr>
              <w:t>TG/</w:t>
            </w:r>
            <w:proofErr w:type="gramStart"/>
            <w:r w:rsidRPr="00092B17">
              <w:rPr>
                <w:rFonts w:cs="Arial"/>
                <w:spacing w:val="-6"/>
                <w:sz w:val="16"/>
                <w:szCs w:val="16"/>
                <w:lang w:val="fr-FR"/>
              </w:rPr>
              <w:t>CORDY(</w:t>
            </w:r>
            <w:proofErr w:type="gramEnd"/>
            <w:r w:rsidRPr="00092B17">
              <w:rPr>
                <w:rFonts w:cs="Arial"/>
                <w:spacing w:val="-6"/>
                <w:sz w:val="16"/>
                <w:szCs w:val="16"/>
                <w:lang w:val="fr-FR"/>
              </w:rPr>
              <w:t>proj.5)</w:t>
            </w:r>
          </w:p>
        </w:tc>
        <w:tc>
          <w:tcPr>
            <w:tcW w:w="1417"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 xml:space="preserve">Cordyline, </w:t>
            </w:r>
            <w:proofErr w:type="spellStart"/>
            <w:r w:rsidRPr="00092B17">
              <w:rPr>
                <w:rFonts w:cs="Arial"/>
                <w:sz w:val="16"/>
                <w:szCs w:val="16"/>
                <w:lang w:val="fr-FR"/>
              </w:rPr>
              <w:t>Cabbage</w:t>
            </w:r>
            <w:proofErr w:type="spellEnd"/>
            <w:r w:rsidRPr="00092B17">
              <w:rPr>
                <w:rFonts w:cs="Arial"/>
                <w:sz w:val="16"/>
                <w:szCs w:val="16"/>
                <w:lang w:val="fr-FR"/>
              </w:rPr>
              <w:t xml:space="preserve"> </w:t>
            </w:r>
            <w:proofErr w:type="spellStart"/>
            <w:r w:rsidRPr="00092B17">
              <w:rPr>
                <w:rFonts w:cs="Arial"/>
                <w:sz w:val="16"/>
                <w:szCs w:val="16"/>
                <w:lang w:val="fr-FR"/>
              </w:rPr>
              <w:t>Tree</w:t>
            </w:r>
            <w:proofErr w:type="spellEnd"/>
            <w:r w:rsidRPr="00092B17">
              <w:rPr>
                <w:rFonts w:cs="Arial"/>
                <w:sz w:val="16"/>
                <w:szCs w:val="16"/>
                <w:lang w:val="fr-FR"/>
              </w:rPr>
              <w:t>, Torquay Palm</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Cordyline</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 xml:space="preserve">Cordyline; </w:t>
            </w:r>
            <w:proofErr w:type="spellStart"/>
            <w:r w:rsidRPr="00092B17">
              <w:rPr>
                <w:rFonts w:cs="Arial"/>
                <w:sz w:val="16"/>
                <w:szCs w:val="16"/>
                <w:lang w:val="fr-FR"/>
              </w:rPr>
              <w:t>Keulenbaum</w:t>
            </w:r>
            <w:proofErr w:type="spellEnd"/>
            <w:r w:rsidRPr="00092B17">
              <w:rPr>
                <w:rFonts w:cs="Arial"/>
                <w:sz w:val="16"/>
                <w:szCs w:val="16"/>
                <w:lang w:val="fr-FR"/>
              </w:rPr>
              <w:t xml:space="preserve">; </w:t>
            </w:r>
            <w:proofErr w:type="spellStart"/>
            <w:r w:rsidRPr="00092B17">
              <w:rPr>
                <w:rFonts w:cs="Arial"/>
                <w:sz w:val="16"/>
                <w:szCs w:val="16"/>
                <w:lang w:val="fr-FR"/>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Cordyline</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 xml:space="preserve">Cordyline </w:t>
            </w:r>
            <w:proofErr w:type="spellStart"/>
            <w:r w:rsidRPr="00092B17">
              <w:rPr>
                <w:rFonts w:cs="Arial"/>
                <w:sz w:val="16"/>
                <w:szCs w:val="16"/>
                <w:lang w:val="fr-FR"/>
              </w:rPr>
              <w:t>Comm</w:t>
            </w:r>
            <w:proofErr w:type="spellEnd"/>
            <w:r w:rsidRPr="00092B17">
              <w:rPr>
                <w:rFonts w:cs="Arial"/>
                <w:sz w:val="16"/>
                <w:szCs w:val="16"/>
                <w:lang w:val="fr-FR"/>
              </w:rPr>
              <w:t xml:space="preserve">. ex </w:t>
            </w:r>
            <w:proofErr w:type="spellStart"/>
            <w:r w:rsidRPr="00092B17">
              <w:rPr>
                <w:rFonts w:cs="Arial"/>
                <w:sz w:val="16"/>
                <w:szCs w:val="16"/>
                <w:lang w:val="fr-FR"/>
              </w:rPr>
              <w:t>Juss</w:t>
            </w:r>
            <w:proofErr w:type="spellEnd"/>
            <w:r w:rsidRPr="00092B17">
              <w:rPr>
                <w:rFonts w:cs="Arial"/>
                <w:sz w:val="16"/>
                <w:szCs w:val="16"/>
                <w:lang w:val="fr-FR"/>
              </w:rPr>
              <w:t xml:space="preserve">. </w:t>
            </w:r>
            <w:proofErr w:type="spellStart"/>
            <w:r w:rsidRPr="00092B17">
              <w:rPr>
                <w:rFonts w:cs="Arial"/>
                <w:sz w:val="16"/>
                <w:szCs w:val="16"/>
                <w:lang w:val="fr-FR"/>
              </w:rPr>
              <w:t>excluding</w:t>
            </w:r>
            <w:proofErr w:type="spellEnd"/>
            <w:r w:rsidRPr="00092B17">
              <w:rPr>
                <w:rFonts w:cs="Arial"/>
                <w:sz w:val="16"/>
                <w:szCs w:val="16"/>
                <w:lang w:val="fr-FR"/>
              </w:rPr>
              <w:t xml:space="preserve"> C. </w:t>
            </w:r>
            <w:proofErr w:type="spellStart"/>
            <w:r w:rsidRPr="00092B17">
              <w:rPr>
                <w:rFonts w:cs="Arial"/>
                <w:sz w:val="16"/>
                <w:szCs w:val="16"/>
                <w:lang w:val="fr-FR"/>
              </w:rPr>
              <w:t>brasiliensis</w:t>
            </w:r>
            <w:proofErr w:type="spellEnd"/>
            <w:r w:rsidRPr="00092B17">
              <w:rPr>
                <w:rFonts w:cs="Arial"/>
                <w:sz w:val="16"/>
                <w:szCs w:val="16"/>
                <w:lang w:val="fr-FR"/>
              </w:rPr>
              <w:t xml:space="preserve"> </w:t>
            </w:r>
            <w:proofErr w:type="spellStart"/>
            <w:r w:rsidRPr="00092B17">
              <w:rPr>
                <w:rFonts w:cs="Arial"/>
                <w:sz w:val="16"/>
                <w:szCs w:val="16"/>
                <w:lang w:val="fr-FR"/>
              </w:rPr>
              <w:t>Planch</w:t>
            </w:r>
            <w:proofErr w:type="spellEnd"/>
            <w:r w:rsidRPr="00092B17">
              <w:rPr>
                <w:rFonts w:cs="Arial"/>
                <w:sz w:val="16"/>
                <w:szCs w:val="16"/>
                <w:lang w:val="fr-FR"/>
              </w:rPr>
              <w:t xml:space="preserve">. and C. </w:t>
            </w:r>
            <w:proofErr w:type="spellStart"/>
            <w:r w:rsidRPr="00092B17">
              <w:rPr>
                <w:rFonts w:cs="Arial"/>
                <w:sz w:val="16"/>
                <w:szCs w:val="16"/>
                <w:lang w:val="fr-FR"/>
              </w:rPr>
              <w:t>fruticosa</w:t>
            </w:r>
            <w:proofErr w:type="spellEnd"/>
            <w:r w:rsidRPr="00092B17">
              <w:rPr>
                <w:rFonts w:cs="Arial"/>
                <w:sz w:val="16"/>
                <w:szCs w:val="16"/>
                <w:lang w:val="fr-FR"/>
              </w:rPr>
              <w:t xml:space="preserve"> (L.) A. </w:t>
            </w:r>
            <w:proofErr w:type="spellStart"/>
            <w:r w:rsidRPr="00092B17">
              <w:rPr>
                <w:rFonts w:cs="Arial"/>
                <w:sz w:val="16"/>
                <w:szCs w:val="16"/>
                <w:lang w:val="fr-FR"/>
              </w:rPr>
              <w:t>Chev</w:t>
            </w:r>
            <w:proofErr w:type="spellEnd"/>
            <w:r w:rsidRPr="00092B17">
              <w:rPr>
                <w:rFonts w:cs="Arial"/>
                <w:sz w:val="16"/>
                <w:szCs w:val="16"/>
                <w:lang w:val="fr-FR"/>
              </w:rPr>
              <w:t>.</w:t>
            </w:r>
          </w:p>
        </w:tc>
      </w:tr>
      <w:tr w:rsidR="001826AD" w:rsidRPr="00092B17" w:rsidTr="006B427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szCs w:val="16"/>
                <w:lang w:val="fr-FR"/>
              </w:rPr>
            </w:pPr>
            <w:r w:rsidRPr="00092B17">
              <w:rPr>
                <w:rFonts w:cs="Arial"/>
                <w:sz w:val="16"/>
                <w:szCs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szCs w:val="16"/>
                <w:lang w:val="fr-FR"/>
              </w:rPr>
            </w:pPr>
            <w:r w:rsidRPr="00092B17">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jc w:val="left"/>
              <w:rPr>
                <w:rFonts w:cs="Arial"/>
                <w:sz w:val="16"/>
                <w:szCs w:val="16"/>
                <w:lang w:val="fr-FR"/>
              </w:rPr>
            </w:pPr>
            <w:r w:rsidRPr="00092B17">
              <w:rPr>
                <w:rFonts w:cs="Arial"/>
                <w:sz w:val="16"/>
                <w:szCs w:val="16"/>
                <w:lang w:val="fr-FR"/>
              </w:rPr>
              <w:t>TG/PERSE (proj.4) (</w:t>
            </w:r>
            <w:proofErr w:type="spellStart"/>
            <w:r w:rsidRPr="00092B17">
              <w:rPr>
                <w:rFonts w:cs="Arial"/>
                <w:sz w:val="16"/>
                <w:szCs w:val="16"/>
                <w:lang w:val="fr-FR"/>
              </w:rPr>
              <w:t>Rootstock</w:t>
            </w:r>
            <w:proofErr w:type="spellEnd"/>
            <w:r w:rsidRPr="00092B17">
              <w:rPr>
                <w:rFonts w:cs="Arial"/>
                <w:sz w:val="16"/>
                <w:szCs w:val="16"/>
                <w:lang w:val="fr-FR"/>
              </w:rPr>
              <w:t>)</w:t>
            </w:r>
          </w:p>
        </w:tc>
        <w:tc>
          <w:tcPr>
            <w:tcW w:w="1417"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Avocado</w:t>
            </w:r>
            <w:proofErr w:type="spellEnd"/>
            <w:r w:rsidRPr="00092B17">
              <w:rPr>
                <w:rFonts w:cs="Arial"/>
                <w:sz w:val="16"/>
                <w:szCs w:val="16"/>
                <w:lang w:val="fr-FR"/>
              </w:rPr>
              <w:t xml:space="preserve">; </w:t>
            </w:r>
            <w:proofErr w:type="spellStart"/>
            <w:r w:rsidRPr="00092B17">
              <w:rPr>
                <w:rFonts w:cs="Arial"/>
                <w:sz w:val="16"/>
                <w:szCs w:val="16"/>
                <w:lang w:val="fr-FR"/>
              </w:rPr>
              <w:t>Coyo</w:t>
            </w:r>
            <w:proofErr w:type="spellEnd"/>
            <w:r w:rsidRPr="00092B17">
              <w:rPr>
                <w:rFonts w:cs="Arial"/>
                <w:sz w:val="16"/>
                <w:szCs w:val="16"/>
                <w:lang w:val="fr-FR"/>
              </w:rPr>
              <w:t xml:space="preserve"> </w:t>
            </w:r>
            <w:proofErr w:type="spellStart"/>
            <w:r w:rsidRPr="00092B17">
              <w:rPr>
                <w:rFonts w:cs="Arial"/>
                <w:sz w:val="16"/>
                <w:szCs w:val="16"/>
                <w:lang w:val="fr-FR"/>
              </w:rPr>
              <w:t>avocado</w:t>
            </w:r>
            <w:proofErr w:type="spellEnd"/>
            <w:r w:rsidRPr="00092B17">
              <w:rPr>
                <w:rFonts w:cs="Arial"/>
                <w:sz w:val="16"/>
                <w:szCs w:val="16"/>
                <w:lang w:val="fr-FR"/>
              </w:rPr>
              <w:t xml:space="preserve"> (</w:t>
            </w:r>
            <w:proofErr w:type="spellStart"/>
            <w:r w:rsidRPr="00092B17">
              <w:rPr>
                <w:rFonts w:cs="Arial"/>
                <w:sz w:val="16"/>
                <w:szCs w:val="16"/>
                <w:lang w:val="fr-FR"/>
              </w:rPr>
              <w:t>rootstock</w:t>
            </w:r>
            <w:proofErr w:type="spellEnd"/>
            <w:r w:rsidRPr="00092B17">
              <w:rPr>
                <w:rFonts w:cs="Arial"/>
                <w:sz w:val="16"/>
                <w:szCs w:val="16"/>
                <w:lang w:val="fr-FR"/>
              </w:rPr>
              <w:t>)</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Avocatier (Porte</w:t>
            </w:r>
            <w:r w:rsidRPr="00092B17">
              <w:rPr>
                <w:rFonts w:cs="Arial"/>
                <w:sz w:val="16"/>
                <w:szCs w:val="16"/>
                <w:lang w:val="fr-FR"/>
              </w:rPr>
              <w:noBreakHyphen/>
              <w:t>greffe)</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Avocado</w:t>
            </w:r>
            <w:proofErr w:type="spellEnd"/>
            <w:r w:rsidRPr="00092B17">
              <w:rPr>
                <w:rFonts w:cs="Arial"/>
                <w:sz w:val="16"/>
                <w:szCs w:val="16"/>
                <w:lang w:val="fr-FR"/>
              </w:rPr>
              <w:t xml:space="preserve">; </w:t>
            </w:r>
            <w:proofErr w:type="spellStart"/>
            <w:r w:rsidRPr="00092B17">
              <w:rPr>
                <w:rFonts w:cs="Arial"/>
                <w:sz w:val="16"/>
                <w:szCs w:val="16"/>
                <w:lang w:val="fr-FR"/>
              </w:rPr>
              <w:t>wilde</w:t>
            </w:r>
            <w:proofErr w:type="spellEnd"/>
            <w:r w:rsidRPr="00092B17">
              <w:rPr>
                <w:rFonts w:cs="Arial"/>
                <w:sz w:val="16"/>
                <w:szCs w:val="16"/>
                <w:lang w:val="fr-FR"/>
              </w:rPr>
              <w:t xml:space="preserve"> </w:t>
            </w:r>
            <w:proofErr w:type="spellStart"/>
            <w:r w:rsidRPr="00092B17">
              <w:rPr>
                <w:rFonts w:cs="Arial"/>
                <w:sz w:val="16"/>
                <w:szCs w:val="16"/>
                <w:lang w:val="fr-FR"/>
              </w:rPr>
              <w:t>Avocado</w:t>
            </w:r>
            <w:proofErr w:type="spellEnd"/>
            <w:r w:rsidRPr="00092B17">
              <w:rPr>
                <w:rFonts w:cs="Arial"/>
                <w:sz w:val="16"/>
                <w:szCs w:val="16"/>
                <w:lang w:val="fr-FR"/>
              </w:rPr>
              <w:t xml:space="preserve"> (</w:t>
            </w:r>
            <w:proofErr w:type="spellStart"/>
            <w:r w:rsidRPr="00092B17">
              <w:rPr>
                <w:rFonts w:cs="Arial"/>
                <w:sz w:val="16"/>
                <w:szCs w:val="16"/>
                <w:lang w:val="fr-FR"/>
              </w:rPr>
              <w:t>Unterlagen</w:t>
            </w:r>
            <w:proofErr w:type="spellEnd"/>
            <w:r w:rsidRPr="00092B17">
              <w:rPr>
                <w:rFonts w:cs="Arial"/>
                <w:sz w:val="16"/>
                <w:szCs w:val="16"/>
                <w:lang w:val="fr-FR"/>
              </w:rPr>
              <w:t>)</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 xml:space="preserve">Aguacate, </w:t>
            </w:r>
            <w:proofErr w:type="spellStart"/>
            <w:r w:rsidRPr="00092B17">
              <w:rPr>
                <w:rFonts w:cs="Arial"/>
                <w:sz w:val="16"/>
                <w:szCs w:val="16"/>
                <w:lang w:val="fr-FR"/>
              </w:rPr>
              <w:t>Palta</w:t>
            </w:r>
            <w:proofErr w:type="spellEnd"/>
            <w:r w:rsidRPr="00092B17">
              <w:rPr>
                <w:rFonts w:cs="Arial"/>
                <w:sz w:val="16"/>
                <w:szCs w:val="16"/>
                <w:lang w:val="fr-FR"/>
              </w:rPr>
              <w:t xml:space="preserve">;  </w:t>
            </w:r>
            <w:proofErr w:type="spellStart"/>
            <w:r w:rsidRPr="00092B17">
              <w:rPr>
                <w:rFonts w:cs="Arial"/>
                <w:sz w:val="16"/>
                <w:szCs w:val="16"/>
                <w:lang w:val="fr-FR"/>
              </w:rPr>
              <w:t>Chinini</w:t>
            </w:r>
            <w:proofErr w:type="spellEnd"/>
            <w:r w:rsidRPr="00092B17">
              <w:rPr>
                <w:rFonts w:cs="Arial"/>
                <w:sz w:val="16"/>
                <w:szCs w:val="16"/>
                <w:lang w:val="fr-FR"/>
              </w:rPr>
              <w:t xml:space="preserve">; </w:t>
            </w:r>
            <w:proofErr w:type="spellStart"/>
            <w:r w:rsidRPr="00092B17">
              <w:rPr>
                <w:rFonts w:cs="Arial"/>
                <w:sz w:val="16"/>
                <w:szCs w:val="16"/>
                <w:lang w:val="fr-FR"/>
              </w:rPr>
              <w:t>Coyó</w:t>
            </w:r>
            <w:proofErr w:type="spellEnd"/>
            <w:r w:rsidRPr="00092B17">
              <w:rPr>
                <w:rFonts w:cs="Arial"/>
                <w:sz w:val="16"/>
                <w:szCs w:val="16"/>
                <w:lang w:val="fr-FR"/>
              </w:rPr>
              <w:t xml:space="preserve"> (Porta </w:t>
            </w:r>
            <w:proofErr w:type="spellStart"/>
            <w:r w:rsidRPr="00092B17">
              <w:rPr>
                <w:rFonts w:cs="Arial"/>
                <w:sz w:val="16"/>
                <w:szCs w:val="16"/>
                <w:lang w:val="fr-FR"/>
              </w:rPr>
              <w:t>injerto</w:t>
            </w:r>
            <w:proofErr w:type="spellEnd"/>
            <w:r w:rsidRPr="00092B17">
              <w:rPr>
                <w:rFonts w:cs="Arial"/>
                <w:sz w:val="16"/>
                <w:szCs w:val="16"/>
                <w:lang w:val="fr-FR"/>
              </w:rPr>
              <w:t>)</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Persea</w:t>
            </w:r>
            <w:proofErr w:type="spellEnd"/>
            <w:r w:rsidRPr="00092B17">
              <w:rPr>
                <w:rFonts w:cs="Arial"/>
                <w:sz w:val="16"/>
                <w:szCs w:val="16"/>
                <w:lang w:val="fr-FR"/>
              </w:rPr>
              <w:t xml:space="preserve"> americana Mill.; </w:t>
            </w:r>
            <w:proofErr w:type="spellStart"/>
            <w:r w:rsidRPr="00092B17">
              <w:rPr>
                <w:rFonts w:cs="Arial"/>
                <w:sz w:val="16"/>
                <w:szCs w:val="16"/>
                <w:lang w:val="fr-FR"/>
              </w:rPr>
              <w:t>Persea</w:t>
            </w:r>
            <w:proofErr w:type="spellEnd"/>
            <w:r w:rsidRPr="00092B17">
              <w:rPr>
                <w:rFonts w:cs="Arial"/>
                <w:sz w:val="16"/>
                <w:szCs w:val="16"/>
                <w:lang w:val="fr-FR"/>
              </w:rPr>
              <w:t xml:space="preserve"> </w:t>
            </w:r>
            <w:proofErr w:type="spellStart"/>
            <w:r w:rsidRPr="00092B17">
              <w:rPr>
                <w:rFonts w:cs="Arial"/>
                <w:sz w:val="16"/>
                <w:szCs w:val="16"/>
                <w:lang w:val="fr-FR"/>
              </w:rPr>
              <w:t>schiedeana</w:t>
            </w:r>
            <w:proofErr w:type="spellEnd"/>
            <w:r w:rsidRPr="00092B17">
              <w:rPr>
                <w:rFonts w:cs="Arial"/>
                <w:sz w:val="16"/>
                <w:szCs w:val="16"/>
                <w:lang w:val="fr-FR"/>
              </w:rPr>
              <w:t xml:space="preserve"> </w:t>
            </w:r>
            <w:proofErr w:type="spellStart"/>
            <w:r w:rsidRPr="00092B17">
              <w:rPr>
                <w:rFonts w:cs="Arial"/>
                <w:sz w:val="16"/>
                <w:szCs w:val="16"/>
                <w:lang w:val="fr-FR"/>
              </w:rPr>
              <w:t>Nees</w:t>
            </w:r>
            <w:proofErr w:type="spellEnd"/>
            <w:r w:rsidRPr="00092B17">
              <w:rPr>
                <w:rFonts w:cs="Arial"/>
                <w:sz w:val="16"/>
                <w:szCs w:val="16"/>
                <w:lang w:val="fr-FR"/>
              </w:rPr>
              <w:t xml:space="preserve"> (</w:t>
            </w:r>
            <w:proofErr w:type="spellStart"/>
            <w:r w:rsidRPr="00092B17">
              <w:rPr>
                <w:rFonts w:cs="Arial"/>
                <w:sz w:val="16"/>
                <w:szCs w:val="16"/>
                <w:lang w:val="fr-FR"/>
              </w:rPr>
              <w:t>Rootstock</w:t>
            </w:r>
            <w:proofErr w:type="spellEnd"/>
            <w:r w:rsidRPr="00092B17">
              <w:rPr>
                <w:rFonts w:cs="Arial"/>
                <w:sz w:val="16"/>
                <w:szCs w:val="16"/>
                <w:lang w:val="fr-FR"/>
              </w:rPr>
              <w:t>)</w:t>
            </w:r>
          </w:p>
        </w:tc>
      </w:tr>
      <w:tr w:rsidR="001826AD" w:rsidRPr="00092B17" w:rsidTr="006B427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szCs w:val="16"/>
                <w:lang w:val="fr-FR"/>
              </w:rPr>
            </w:pPr>
            <w:r w:rsidRPr="00092B17">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szCs w:val="16"/>
                <w:lang w:val="fr-FR"/>
              </w:rPr>
            </w:pPr>
            <w:r w:rsidRPr="00092B17">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jc w:val="left"/>
              <w:rPr>
                <w:rFonts w:cs="Arial"/>
                <w:sz w:val="16"/>
                <w:szCs w:val="16"/>
                <w:lang w:val="fr-FR"/>
              </w:rPr>
            </w:pPr>
            <w:r w:rsidRPr="00092B17">
              <w:rPr>
                <w:rFonts w:cs="Arial"/>
                <w:sz w:val="16"/>
                <w:szCs w:val="16"/>
                <w:lang w:val="fr-FR"/>
              </w:rPr>
              <w:t>TG/</w:t>
            </w:r>
            <w:proofErr w:type="gramStart"/>
            <w:r w:rsidRPr="00092B17">
              <w:rPr>
                <w:rFonts w:cs="Arial"/>
                <w:sz w:val="16"/>
                <w:szCs w:val="16"/>
                <w:lang w:val="fr-FR"/>
              </w:rPr>
              <w:t>PLECT(</w:t>
            </w:r>
            <w:proofErr w:type="gramEnd"/>
            <w:r w:rsidRPr="00092B17">
              <w:rPr>
                <w:rFonts w:cs="Arial"/>
                <w:sz w:val="16"/>
                <w:szCs w:val="16"/>
                <w:lang w:val="fr-FR"/>
              </w:rPr>
              <w: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Plectranthus</w:t>
            </w:r>
            <w:proofErr w:type="spellEnd"/>
            <w:r w:rsidRPr="00092B17">
              <w:rPr>
                <w:rFonts w:cs="Arial"/>
                <w:sz w:val="16"/>
                <w:szCs w:val="16"/>
                <w:lang w:val="fr-FR"/>
              </w:rPr>
              <w:t xml:space="preserve">, </w:t>
            </w:r>
            <w:proofErr w:type="spellStart"/>
            <w:r w:rsidRPr="00092B17">
              <w:rPr>
                <w:rFonts w:cs="Arial"/>
                <w:sz w:val="16"/>
                <w:szCs w:val="16"/>
                <w:lang w:val="fr-FR"/>
              </w:rPr>
              <w:t>Spur</w:t>
            </w:r>
            <w:proofErr w:type="spellEnd"/>
            <w:r w:rsidRPr="00092B17">
              <w:rPr>
                <w:rFonts w:cs="Arial"/>
                <w:sz w:val="16"/>
                <w:szCs w:val="16"/>
                <w:lang w:val="fr-FR"/>
              </w:rPr>
              <w:t xml:space="preserve"> Flower</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Plectranthus</w:t>
            </w:r>
            <w:proofErr w:type="spellEnd"/>
            <w:r w:rsidRPr="00092B17">
              <w:rPr>
                <w:rFonts w:cs="Arial"/>
                <w:sz w:val="16"/>
                <w:szCs w:val="16"/>
                <w:lang w:val="fr-FR"/>
              </w:rPr>
              <w:t xml:space="preserve"> L’</w:t>
            </w:r>
            <w:proofErr w:type="spellStart"/>
            <w:r w:rsidRPr="00092B17">
              <w:rPr>
                <w:rFonts w:cs="Arial"/>
                <w:sz w:val="16"/>
                <w:szCs w:val="16"/>
                <w:lang w:val="fr-FR"/>
              </w:rPr>
              <w:t>Hér</w:t>
            </w:r>
            <w:proofErr w:type="spellEnd"/>
            <w:r w:rsidRPr="00092B17">
              <w:rPr>
                <w:rFonts w:cs="Arial"/>
                <w:sz w:val="16"/>
                <w:szCs w:val="16"/>
                <w:lang w:val="fr-FR"/>
              </w:rPr>
              <w:t xml:space="preserve">. </w:t>
            </w:r>
            <w:proofErr w:type="spellStart"/>
            <w:r w:rsidRPr="00092B17">
              <w:rPr>
                <w:rFonts w:cs="Arial"/>
                <w:sz w:val="16"/>
                <w:szCs w:val="16"/>
                <w:lang w:val="fr-FR"/>
              </w:rPr>
              <w:t>excluding</w:t>
            </w:r>
            <w:proofErr w:type="spellEnd"/>
            <w:r w:rsidRPr="00092B17">
              <w:rPr>
                <w:rFonts w:cs="Arial"/>
                <w:sz w:val="16"/>
                <w:szCs w:val="16"/>
                <w:lang w:val="fr-FR"/>
              </w:rPr>
              <w:t xml:space="preserve"> P. </w:t>
            </w:r>
            <w:proofErr w:type="spellStart"/>
            <w:r w:rsidRPr="00092B17">
              <w:rPr>
                <w:rFonts w:cs="Arial"/>
                <w:sz w:val="16"/>
                <w:szCs w:val="16"/>
                <w:lang w:val="fr-FR"/>
              </w:rPr>
              <w:t>scutellarioides</w:t>
            </w:r>
            <w:proofErr w:type="spellEnd"/>
          </w:p>
        </w:tc>
      </w:tr>
      <w:tr w:rsidR="001826AD" w:rsidRPr="00092B17" w:rsidTr="006B427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szCs w:val="16"/>
                <w:lang w:val="fr-FR"/>
              </w:rPr>
            </w:pPr>
            <w:r w:rsidRPr="00092B17">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szCs w:val="16"/>
                <w:lang w:val="fr-FR"/>
              </w:rPr>
            </w:pPr>
            <w:r w:rsidRPr="00092B17">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jc w:val="left"/>
              <w:rPr>
                <w:rFonts w:cs="Arial"/>
                <w:sz w:val="16"/>
                <w:szCs w:val="16"/>
                <w:lang w:val="fr-FR"/>
              </w:rPr>
            </w:pPr>
            <w:r w:rsidRPr="00092B17">
              <w:rPr>
                <w:rFonts w:cs="Arial"/>
                <w:sz w:val="16"/>
                <w:szCs w:val="16"/>
                <w:lang w:val="fr-FR"/>
              </w:rPr>
              <w:t>TG/</w:t>
            </w:r>
            <w:proofErr w:type="gramStart"/>
            <w:r w:rsidRPr="00092B17">
              <w:rPr>
                <w:rFonts w:cs="Arial"/>
                <w:sz w:val="16"/>
                <w:szCs w:val="16"/>
                <w:lang w:val="fr-FR"/>
              </w:rPr>
              <w:t>SALVI(</w:t>
            </w:r>
            <w:proofErr w:type="gramEnd"/>
            <w:r w:rsidRPr="00092B17">
              <w:rPr>
                <w:rFonts w:cs="Arial"/>
                <w:sz w:val="16"/>
                <w:szCs w:val="16"/>
                <w:lang w:val="fr-FR"/>
              </w:rPr>
              <w:t>proj.5)</w:t>
            </w:r>
          </w:p>
        </w:tc>
        <w:tc>
          <w:tcPr>
            <w:tcW w:w="1417"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Salvia</w:t>
            </w:r>
            <w:proofErr w:type="spellEnd"/>
            <w:r w:rsidRPr="00092B17">
              <w:rPr>
                <w:rFonts w:cs="Arial"/>
                <w:sz w:val="16"/>
                <w:szCs w:val="16"/>
                <w:lang w:val="fr-FR"/>
              </w:rPr>
              <w:t>, Sage</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r w:rsidRPr="00092B17">
              <w:rPr>
                <w:rFonts w:cs="Arial"/>
                <w:sz w:val="16"/>
                <w:szCs w:val="16"/>
                <w:lang w:val="fr-FR"/>
              </w:rPr>
              <w:t>Sauge</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Salbei</w:t>
            </w:r>
            <w:proofErr w:type="spellEnd"/>
            <w:r w:rsidRPr="00092B17">
              <w:rPr>
                <w:rFonts w:cs="Arial"/>
                <w:sz w:val="16"/>
                <w:szCs w:val="16"/>
                <w:lang w:val="fr-FR"/>
              </w:rPr>
              <w:t xml:space="preserve">; </w:t>
            </w:r>
            <w:proofErr w:type="spellStart"/>
            <w:r w:rsidRPr="00092B17">
              <w:rPr>
                <w:rFonts w:cs="Arial"/>
                <w:sz w:val="16"/>
                <w:szCs w:val="16"/>
                <w:lang w:val="fr-FR"/>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Salvia</w:t>
            </w:r>
            <w:proofErr w:type="spellEnd"/>
            <w:r w:rsidRPr="00092B17">
              <w:rPr>
                <w:rFonts w:cs="Arial"/>
                <w:sz w:val="16"/>
                <w:szCs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szCs w:val="16"/>
                <w:lang w:val="fr-FR"/>
              </w:rPr>
            </w:pPr>
            <w:proofErr w:type="spellStart"/>
            <w:r w:rsidRPr="00092B17">
              <w:rPr>
                <w:rFonts w:cs="Arial"/>
                <w:sz w:val="16"/>
                <w:szCs w:val="16"/>
                <w:lang w:val="fr-FR"/>
              </w:rPr>
              <w:t>Salvia</w:t>
            </w:r>
            <w:proofErr w:type="spellEnd"/>
            <w:r w:rsidRPr="00092B17">
              <w:rPr>
                <w:rFonts w:cs="Arial"/>
                <w:sz w:val="16"/>
                <w:szCs w:val="16"/>
                <w:lang w:val="fr-FR"/>
              </w:rPr>
              <w:t xml:space="preserve"> L.</w:t>
            </w:r>
          </w:p>
        </w:tc>
      </w:tr>
      <w:tr w:rsidR="001826AD" w:rsidRPr="00092B17" w:rsidTr="006B4271">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1826AD" w:rsidRPr="00092B17" w:rsidRDefault="001826AD" w:rsidP="006B4271">
            <w:pPr>
              <w:spacing w:before="60" w:after="120"/>
              <w:ind w:left="-36"/>
              <w:jc w:val="left"/>
              <w:rPr>
                <w:rFonts w:eastAsia="MS Mincho" w:cs="Arial"/>
                <w:bCs/>
                <w:sz w:val="16"/>
                <w:szCs w:val="16"/>
                <w:u w:val="single"/>
                <w:lang w:val="fr-FR" w:eastAsia="ja-JP"/>
              </w:rPr>
            </w:pPr>
            <w:r w:rsidRPr="00092B17">
              <w:rPr>
                <w:rFonts w:eastAsia="MS Mincho" w:cs="Arial"/>
                <w:b/>
                <w:bCs/>
                <w:sz w:val="16"/>
                <w:szCs w:val="16"/>
                <w:u w:val="single"/>
                <w:lang w:val="fr-FR" w:eastAsia="ja-JP"/>
              </w:rPr>
              <w:t> </w:t>
            </w:r>
            <w:r w:rsidRPr="00092B17">
              <w:rPr>
                <w:rFonts w:cs="Arial"/>
                <w:bCs/>
                <w:sz w:val="16"/>
                <w:szCs w:val="16"/>
                <w:u w:val="single"/>
                <w:lang w:val="fr-FR"/>
              </w:rPr>
              <w:t xml:space="preserve">REVISIONS OF TEST GUIDELINES / </w:t>
            </w:r>
            <w:r w:rsidRPr="00092B17">
              <w:rPr>
                <w:rFonts w:cs="Arial"/>
                <w:sz w:val="16"/>
                <w:szCs w:val="16"/>
                <w:u w:val="single"/>
                <w:lang w:val="fr-FR"/>
              </w:rPr>
              <w:t>RÉVISIONS DE PRINCIPES DIRECTEURS D’EXAMEN ADOPTÉS / REVISIONEN ANGENOMMENER PRÜFUNGSRICHTLINIEN / REVISIONES DE DIRECTRICES DE EXAMEN ADOPTADAS</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rPr>
                <w:rFonts w:cs="Arial"/>
                <w:sz w:val="16"/>
                <w:lang w:val="fr-FR"/>
              </w:rPr>
            </w:pPr>
            <w:r w:rsidRPr="00092B17">
              <w:rPr>
                <w:rFonts w:cs="Arial"/>
                <w:sz w:val="16"/>
                <w:lang w:val="fr-FR"/>
              </w:rPr>
              <w:t>TG/200/2(proj.4)</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Basil</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Basilic</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Ocimum</w:t>
            </w:r>
            <w:proofErr w:type="spellEnd"/>
            <w:r w:rsidRPr="00092B17">
              <w:rPr>
                <w:rFonts w:cs="Arial"/>
                <w:sz w:val="16"/>
                <w:lang w:val="fr-FR"/>
              </w:rPr>
              <w:t xml:space="preserve"> basilicum L.</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ind w:left="-36"/>
              <w:rPr>
                <w:rFonts w:cs="Arial"/>
                <w:sz w:val="16"/>
                <w:lang w:val="fr-FR"/>
              </w:rPr>
            </w:pPr>
            <w:r w:rsidRPr="00092B17">
              <w:rPr>
                <w:rFonts w:cs="Arial"/>
                <w:sz w:val="16"/>
                <w:lang w:val="fr-FR"/>
              </w:rPr>
              <w:t>TG/207/2(proj.4)</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Calibrachoa</w:t>
            </w:r>
            <w:proofErr w:type="spellEnd"/>
            <w:r w:rsidRPr="00092B17">
              <w:rPr>
                <w:rFonts w:cs="Arial"/>
                <w:sz w:val="16"/>
                <w:lang w:val="fr-FR"/>
              </w:rPr>
              <w:t xml:space="preserve"> </w:t>
            </w:r>
            <w:proofErr w:type="spellStart"/>
            <w:r w:rsidRPr="00092B17">
              <w:rPr>
                <w:rFonts w:cs="Arial"/>
                <w:sz w:val="16"/>
                <w:lang w:val="fr-FR"/>
              </w:rPr>
              <w:t>Cerv</w:t>
            </w:r>
            <w:proofErr w:type="spellEnd"/>
            <w:r w:rsidRPr="00092B17">
              <w:rPr>
                <w:rFonts w:cs="Arial"/>
                <w:sz w:val="16"/>
                <w:lang w:val="fr-FR"/>
              </w:rPr>
              <w:t>.</w:t>
            </w:r>
          </w:p>
        </w:tc>
      </w:tr>
      <w:tr w:rsidR="001826AD" w:rsidRPr="00092B17" w:rsidTr="006B4271">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1826AD" w:rsidRPr="00092B17" w:rsidRDefault="001826AD" w:rsidP="006B4271">
            <w:pPr>
              <w:keepNext/>
              <w:spacing w:before="60" w:after="120"/>
              <w:ind w:left="-36"/>
              <w:jc w:val="left"/>
              <w:rPr>
                <w:rFonts w:eastAsia="MS Mincho" w:cs="Arial"/>
                <w:bCs/>
                <w:sz w:val="16"/>
                <w:szCs w:val="16"/>
                <w:u w:val="single"/>
                <w:lang w:val="fr-FR" w:eastAsia="ja-JP"/>
              </w:rPr>
            </w:pPr>
            <w:r w:rsidRPr="00092B17">
              <w:rPr>
                <w:rFonts w:cs="Arial"/>
                <w:bCs/>
                <w:sz w:val="16"/>
                <w:szCs w:val="16"/>
                <w:u w:val="single"/>
                <w:lang w:val="fr-FR"/>
              </w:rPr>
              <w:t xml:space="preserve">PARTIAL REVISIONS OF TEST GUIDELINES / </w:t>
            </w:r>
            <w:r w:rsidRPr="00092B17">
              <w:rPr>
                <w:rFonts w:cs="Arial"/>
                <w:sz w:val="16"/>
                <w:szCs w:val="16"/>
                <w:u w:val="single"/>
                <w:lang w:val="fr-FR"/>
              </w:rPr>
              <w:t>RÉVISIONS PARTIELLES DE PRINCIPES DIRECTEURS D’EXAMEN ADOPTÉS /</w:t>
            </w:r>
            <w:r w:rsidRPr="00092B17">
              <w:rPr>
                <w:rFonts w:cs="Arial"/>
                <w:sz w:val="16"/>
                <w:szCs w:val="16"/>
                <w:u w:val="single"/>
                <w:lang w:val="fr-FR"/>
              </w:rPr>
              <w:br/>
              <w:t>TEILREVISIONEN ANGENOMMENER PRÜFUNGSRICHTLINIEN / REVISIONES PARCIALES DE DIRECTRICES DE EXAMEN ADOPTADAS</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TG/45/7 (document TC/52/27)</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Cauliflower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sz w:val="16"/>
                <w:lang w:val="fr-FR"/>
              </w:rPr>
              <w:t>Chou</w:t>
            </w:r>
            <w:r w:rsidRPr="00092B17">
              <w:rPr>
                <w:sz w:val="16"/>
                <w:lang w:val="fr-FR"/>
              </w:rPr>
              <w:noBreakHyphen/>
              <w:t>fleur</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sz w:val="16"/>
                <w:lang w:val="fr-FR"/>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sz w:val="16"/>
                <w:lang w:val="fr-FR"/>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 </w:t>
            </w:r>
            <w:proofErr w:type="spellStart"/>
            <w:r w:rsidRPr="00092B17">
              <w:rPr>
                <w:rFonts w:cs="Arial"/>
                <w:sz w:val="16"/>
                <w:lang w:val="fr-FR"/>
              </w:rPr>
              <w:t>convar</w:t>
            </w:r>
            <w:proofErr w:type="spellEnd"/>
            <w:r w:rsidRPr="00092B17">
              <w:rPr>
                <w:rFonts w:cs="Arial"/>
                <w:sz w:val="16"/>
                <w:lang w:val="fr-FR"/>
              </w:rPr>
              <w:t xml:space="preserve">. botrytis (L.) </w:t>
            </w:r>
            <w:proofErr w:type="spellStart"/>
            <w:r w:rsidRPr="00092B17">
              <w:rPr>
                <w:rFonts w:cs="Arial"/>
                <w:sz w:val="16"/>
                <w:lang w:val="fr-FR"/>
              </w:rPr>
              <w:t>Alef</w:t>
            </w:r>
            <w:proofErr w:type="spellEnd"/>
            <w:r w:rsidRPr="00092B17">
              <w:rPr>
                <w:rFonts w:cs="Arial"/>
                <w:sz w:val="16"/>
                <w:lang w:val="fr-FR"/>
              </w:rPr>
              <w:t>. var. botrytis,</w:t>
            </w:r>
          </w:p>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caulifloria</w:t>
            </w:r>
            <w:proofErr w:type="spellEnd"/>
            <w:r w:rsidRPr="00092B17">
              <w:rPr>
                <w:rFonts w:cs="Arial"/>
                <w:sz w:val="16"/>
                <w:lang w:val="fr-FR"/>
              </w:rPr>
              <w:t xml:space="preserve"> </w:t>
            </w:r>
            <w:proofErr w:type="spellStart"/>
            <w:r w:rsidRPr="00092B17">
              <w:rPr>
                <w:rFonts w:cs="Arial"/>
                <w:sz w:val="16"/>
                <w:lang w:val="fr-FR"/>
              </w:rPr>
              <w:t>Lizg</w:t>
            </w:r>
            <w:proofErr w:type="spellEnd"/>
            <w:r w:rsidRPr="00092B17">
              <w:rPr>
                <w:rFonts w:cs="Arial"/>
                <w:sz w:val="16"/>
                <w:lang w:val="fr-FR"/>
              </w:rPr>
              <w:t>.</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Cabbage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Chou pommé</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Kopfkohl</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Col, </w:t>
            </w:r>
            <w:proofErr w:type="spellStart"/>
            <w:r w:rsidRPr="00092B17">
              <w:rPr>
                <w:rFonts w:cs="Arial"/>
                <w:sz w:val="16"/>
                <w:lang w:val="fr-FR"/>
              </w:rPr>
              <w:t>Repollo</w:t>
            </w:r>
            <w:proofErr w:type="spellEnd"/>
            <w:r w:rsidRPr="00092B17">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 </w:t>
            </w:r>
            <w:proofErr w:type="spellStart"/>
            <w:r w:rsidRPr="00092B17">
              <w:rPr>
                <w:rFonts w:cs="Arial"/>
                <w:sz w:val="16"/>
                <w:lang w:val="fr-FR"/>
              </w:rPr>
              <w:t>convar</w:t>
            </w:r>
            <w:proofErr w:type="spellEnd"/>
            <w:r w:rsidRPr="00092B17">
              <w:rPr>
                <w:rFonts w:cs="Arial"/>
                <w:sz w:val="16"/>
                <w:lang w:val="fr-FR"/>
              </w:rPr>
              <w:t xml:space="preserve">. </w:t>
            </w:r>
            <w:proofErr w:type="spellStart"/>
            <w:r w:rsidRPr="00092B17">
              <w:rPr>
                <w:rFonts w:cs="Arial"/>
                <w:sz w:val="16"/>
                <w:lang w:val="fr-FR"/>
              </w:rPr>
              <w:t>capitata</w:t>
            </w:r>
            <w:proofErr w:type="spellEnd"/>
            <w:r w:rsidRPr="00092B17">
              <w:rPr>
                <w:rFonts w:cs="Arial"/>
                <w:sz w:val="16"/>
                <w:lang w:val="fr-FR"/>
              </w:rPr>
              <w:t xml:space="preserve"> (L.) </w:t>
            </w:r>
            <w:proofErr w:type="spellStart"/>
            <w:r w:rsidRPr="00092B17">
              <w:rPr>
                <w:rFonts w:cs="Arial"/>
                <w:sz w:val="16"/>
                <w:lang w:val="fr-FR"/>
              </w:rPr>
              <w:t>Alef</w:t>
            </w:r>
            <w:proofErr w:type="spellEnd"/>
            <w:r w:rsidRPr="00092B17">
              <w:rPr>
                <w:rFonts w:cs="Arial"/>
                <w:sz w:val="16"/>
                <w:lang w:val="fr-FR"/>
              </w:rPr>
              <w:t>.</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Brussels </w:t>
            </w:r>
            <w:proofErr w:type="spellStart"/>
            <w:r w:rsidRPr="00092B17">
              <w:rPr>
                <w:rFonts w:cs="Arial"/>
                <w:sz w:val="16"/>
                <w:lang w:val="fr-FR"/>
              </w:rPr>
              <w:t>Sprouts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Col de </w:t>
            </w:r>
            <w:proofErr w:type="spellStart"/>
            <w:r w:rsidRPr="00092B17">
              <w:rPr>
                <w:rFonts w:cs="Arial"/>
                <w:sz w:val="16"/>
                <w:lang w:val="fr-FR"/>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 var. </w:t>
            </w:r>
            <w:proofErr w:type="spellStart"/>
            <w:r w:rsidRPr="00092B17">
              <w:rPr>
                <w:rFonts w:cs="Arial"/>
                <w:sz w:val="16"/>
                <w:lang w:val="fr-FR"/>
              </w:rPr>
              <w:t>gemmifera</w:t>
            </w:r>
            <w:proofErr w:type="spellEnd"/>
            <w:r w:rsidRPr="00092B17">
              <w:rPr>
                <w:rFonts w:cs="Arial"/>
                <w:sz w:val="16"/>
                <w:lang w:val="fr-FR"/>
              </w:rPr>
              <w:t xml:space="preserve"> DC.</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TG/55/7 </w:t>
            </w:r>
            <w:proofErr w:type="spellStart"/>
            <w:r w:rsidRPr="00092B17">
              <w:rPr>
                <w:rFonts w:cs="Arial"/>
                <w:sz w:val="16"/>
                <w:lang w:val="fr-FR"/>
              </w:rPr>
              <w:t>Rev</w:t>
            </w:r>
            <w:proofErr w:type="spellEnd"/>
            <w:r w:rsidRPr="00092B17">
              <w:rPr>
                <w:rFonts w:cs="Arial"/>
                <w:sz w:val="16"/>
                <w:lang w:val="fr-FR"/>
              </w:rPr>
              <w:t>. 3 (document TC/52/25)</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Épinard</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Spinacia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TG/63/7 – TG/64/7 (document TC/52/24)</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Black </w:t>
            </w:r>
            <w:proofErr w:type="spellStart"/>
            <w:r w:rsidRPr="00092B17">
              <w:rPr>
                <w:rFonts w:cs="Arial"/>
                <w:sz w:val="16"/>
                <w:lang w:val="fr-FR"/>
              </w:rPr>
              <w:t>Radish</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Rettich</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Rabano</w:t>
            </w:r>
            <w:proofErr w:type="spellEnd"/>
            <w:r w:rsidRPr="00092B17">
              <w:rPr>
                <w:rFonts w:cs="Arial"/>
                <w:sz w:val="16"/>
                <w:lang w:val="fr-FR"/>
              </w:rPr>
              <w:t xml:space="preserve"> de </w:t>
            </w:r>
            <w:proofErr w:type="spellStart"/>
            <w:r w:rsidRPr="00092B17">
              <w:rPr>
                <w:rFonts w:cs="Arial"/>
                <w:sz w:val="16"/>
                <w:lang w:val="fr-FR"/>
              </w:rPr>
              <w:t>invierno</w:t>
            </w:r>
            <w:proofErr w:type="spellEnd"/>
            <w:proofErr w:type="gramStart"/>
            <w:r w:rsidRPr="00092B17">
              <w:rPr>
                <w:rFonts w:cs="Arial"/>
                <w:sz w:val="16"/>
                <w:lang w:val="fr-FR"/>
              </w:rPr>
              <w:t>,</w:t>
            </w:r>
            <w:proofErr w:type="gramEnd"/>
            <w:r w:rsidRPr="00092B17">
              <w:rPr>
                <w:rFonts w:cs="Arial"/>
                <w:sz w:val="16"/>
                <w:lang w:val="fr-FR"/>
              </w:rPr>
              <w:br/>
            </w:r>
            <w:proofErr w:type="spellStart"/>
            <w:r w:rsidRPr="00092B17">
              <w:rPr>
                <w:rFonts w:cs="Arial"/>
                <w:sz w:val="16"/>
                <w:lang w:val="fr-FR"/>
              </w:rPr>
              <w:t>Rabano</w:t>
            </w:r>
            <w:proofErr w:type="spellEnd"/>
            <w:r w:rsidRPr="00092B17">
              <w:rPr>
                <w:rFonts w:cs="Arial"/>
                <w:sz w:val="16"/>
                <w:lang w:val="fr-FR"/>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Raphanus</w:t>
            </w:r>
            <w:proofErr w:type="spellEnd"/>
            <w:r w:rsidRPr="00092B17">
              <w:rPr>
                <w:rFonts w:cs="Arial"/>
                <w:sz w:val="16"/>
                <w:lang w:val="fr-FR"/>
              </w:rPr>
              <w:t xml:space="preserve"> </w:t>
            </w:r>
            <w:proofErr w:type="spellStart"/>
            <w:r w:rsidRPr="00092B17">
              <w:rPr>
                <w:rFonts w:cs="Arial"/>
                <w:sz w:val="16"/>
                <w:lang w:val="fr-FR"/>
              </w:rPr>
              <w:t>sativus</w:t>
            </w:r>
            <w:proofErr w:type="spellEnd"/>
            <w:r w:rsidRPr="00092B17">
              <w:rPr>
                <w:rFonts w:cs="Arial"/>
                <w:sz w:val="16"/>
                <w:lang w:val="fr-FR"/>
              </w:rPr>
              <w:t xml:space="preserve"> L. var. </w:t>
            </w:r>
            <w:proofErr w:type="spellStart"/>
            <w:r w:rsidRPr="00092B17">
              <w:rPr>
                <w:rFonts w:cs="Arial"/>
                <w:sz w:val="16"/>
                <w:lang w:val="fr-FR"/>
              </w:rPr>
              <w:t>niger</w:t>
            </w:r>
            <w:proofErr w:type="spellEnd"/>
            <w:r w:rsidRPr="00092B17">
              <w:rPr>
                <w:rFonts w:cs="Arial"/>
                <w:sz w:val="16"/>
                <w:lang w:val="fr-FR"/>
              </w:rPr>
              <w:t xml:space="preserve"> (Mill.) S. Kerner (</w:t>
            </w:r>
            <w:proofErr w:type="spellStart"/>
            <w:r w:rsidRPr="00092B17">
              <w:rPr>
                <w:rFonts w:cs="Arial"/>
                <w:sz w:val="16"/>
                <w:lang w:val="fr-FR"/>
              </w:rPr>
              <w:t>Raphanus</w:t>
            </w:r>
            <w:proofErr w:type="spellEnd"/>
            <w:r w:rsidRPr="00092B17">
              <w:rPr>
                <w:rFonts w:cs="Arial"/>
                <w:sz w:val="16"/>
                <w:lang w:val="fr-FR"/>
              </w:rPr>
              <w:t xml:space="preserve"> </w:t>
            </w:r>
            <w:proofErr w:type="spellStart"/>
            <w:r w:rsidRPr="00092B17">
              <w:rPr>
                <w:rFonts w:cs="Arial"/>
                <w:sz w:val="16"/>
                <w:lang w:val="fr-FR"/>
              </w:rPr>
              <w:t>sativus</w:t>
            </w:r>
            <w:proofErr w:type="spellEnd"/>
            <w:r w:rsidRPr="00092B17">
              <w:rPr>
                <w:rFonts w:cs="Arial"/>
                <w:sz w:val="16"/>
                <w:lang w:val="fr-FR"/>
              </w:rPr>
              <w:t xml:space="preserve"> L. var. major A. Voss, </w:t>
            </w:r>
            <w:proofErr w:type="spellStart"/>
            <w:r w:rsidRPr="00092B17">
              <w:rPr>
                <w:rFonts w:cs="Arial"/>
                <w:sz w:val="16"/>
                <w:lang w:val="fr-FR"/>
              </w:rPr>
              <w:t>Raphanus</w:t>
            </w:r>
            <w:proofErr w:type="spellEnd"/>
            <w:r w:rsidRPr="00092B17">
              <w:rPr>
                <w:rFonts w:cs="Arial"/>
                <w:sz w:val="16"/>
                <w:lang w:val="fr-FR"/>
              </w:rPr>
              <w:t xml:space="preserve"> </w:t>
            </w:r>
            <w:proofErr w:type="spellStart"/>
            <w:r w:rsidRPr="00092B17">
              <w:rPr>
                <w:rFonts w:cs="Arial"/>
                <w:sz w:val="16"/>
                <w:lang w:val="fr-FR"/>
              </w:rPr>
              <w:t>sativus</w:t>
            </w:r>
            <w:proofErr w:type="spellEnd"/>
            <w:r w:rsidRPr="00092B17">
              <w:rPr>
                <w:rFonts w:cs="Arial"/>
                <w:sz w:val="16"/>
                <w:lang w:val="fr-FR"/>
              </w:rPr>
              <w:t xml:space="preserve"> L. var</w:t>
            </w:r>
            <w:proofErr w:type="gramStart"/>
            <w:r w:rsidRPr="00092B17">
              <w:rPr>
                <w:rFonts w:cs="Arial"/>
                <w:sz w:val="16"/>
                <w:lang w:val="fr-FR"/>
              </w:rPr>
              <w:t>.</w:t>
            </w:r>
            <w:proofErr w:type="gramEnd"/>
            <w:r w:rsidRPr="00092B17">
              <w:rPr>
                <w:rFonts w:cs="Arial"/>
                <w:sz w:val="16"/>
                <w:lang w:val="fr-FR"/>
              </w:rPr>
              <w:br/>
            </w:r>
            <w:proofErr w:type="spellStart"/>
            <w:r w:rsidRPr="00092B17">
              <w:rPr>
                <w:rFonts w:cs="Arial"/>
                <w:sz w:val="16"/>
                <w:lang w:val="fr-FR"/>
              </w:rPr>
              <w:t>longipinnatus</w:t>
            </w:r>
            <w:proofErr w:type="spellEnd"/>
            <w:r w:rsidRPr="00092B17">
              <w:rPr>
                <w:rFonts w:cs="Arial"/>
                <w:sz w:val="16"/>
                <w:lang w:val="fr-FR"/>
              </w:rPr>
              <w:t xml:space="preserve"> L.H. Bailey)</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Kohlrabi</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Chou</w:t>
            </w:r>
            <w:r w:rsidRPr="00092B17">
              <w:rPr>
                <w:rFonts w:cs="Arial"/>
                <w:sz w:val="16"/>
                <w:lang w:val="fr-FR"/>
              </w:rPr>
              <w:noBreakHyphen/>
              <w:t xml:space="preserve">rave </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Kohlrabi</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Col </w:t>
            </w:r>
            <w:proofErr w:type="spellStart"/>
            <w:r w:rsidRPr="00092B17">
              <w:rPr>
                <w:rFonts w:cs="Arial"/>
                <w:sz w:val="16"/>
                <w:lang w:val="fr-FR"/>
              </w:rPr>
              <w:t>rábano</w:t>
            </w:r>
            <w:proofErr w:type="spellEnd"/>
            <w:r w:rsidRPr="00092B17">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 var. </w:t>
            </w:r>
            <w:proofErr w:type="spellStart"/>
            <w:r w:rsidRPr="00092B17">
              <w:rPr>
                <w:rFonts w:cs="Arial"/>
                <w:sz w:val="16"/>
                <w:lang w:val="fr-FR"/>
              </w:rPr>
              <w:t>gongylodes</w:t>
            </w:r>
            <w:proofErr w:type="spellEnd"/>
            <w:r w:rsidRPr="00092B17">
              <w:rPr>
                <w:rFonts w:cs="Arial"/>
                <w:sz w:val="16"/>
                <w:lang w:val="fr-FR"/>
              </w:rPr>
              <w:t xml:space="preserve"> L.</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Curly</w:t>
            </w:r>
            <w:proofErr w:type="spellEnd"/>
            <w:r w:rsidRPr="00092B17">
              <w:rPr>
                <w:rFonts w:cs="Arial"/>
                <w:sz w:val="16"/>
                <w:lang w:val="fr-FR"/>
              </w:rPr>
              <w:t xml:space="preserve"> </w:t>
            </w:r>
            <w:proofErr w:type="spellStart"/>
            <w:r w:rsidRPr="00092B17">
              <w:rPr>
                <w:rFonts w:cs="Arial"/>
                <w:sz w:val="16"/>
                <w:lang w:val="fr-FR"/>
              </w:rPr>
              <w:t>Kale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Grünkohl</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 xml:space="preserve">Col </w:t>
            </w:r>
            <w:proofErr w:type="spellStart"/>
            <w:r w:rsidRPr="00092B17">
              <w:rPr>
                <w:rFonts w:cs="Arial"/>
                <w:sz w:val="16"/>
                <w:lang w:val="fr-FR"/>
              </w:rPr>
              <w:t>rizada</w:t>
            </w:r>
            <w:proofErr w:type="spellEnd"/>
            <w:r w:rsidRPr="00092B17">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 var. </w:t>
            </w:r>
            <w:proofErr w:type="spellStart"/>
            <w:r w:rsidRPr="00092B17">
              <w:rPr>
                <w:rFonts w:cs="Arial"/>
                <w:sz w:val="16"/>
                <w:lang w:val="fr-FR"/>
              </w:rPr>
              <w:t>sabellica</w:t>
            </w:r>
            <w:proofErr w:type="spellEnd"/>
            <w:r w:rsidRPr="00092B17">
              <w:rPr>
                <w:rFonts w:cs="Arial"/>
                <w:sz w:val="16"/>
                <w:lang w:val="fr-FR"/>
              </w:rPr>
              <w:t xml:space="preserve"> L.</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Calabrese</w:t>
            </w:r>
            <w:proofErr w:type="spellEnd"/>
            <w:r w:rsidRPr="00092B17">
              <w:rPr>
                <w:rFonts w:cs="Arial"/>
                <w:sz w:val="16"/>
                <w:lang w:val="fr-FR"/>
              </w:rPr>
              <w:t xml:space="preserve">, </w:t>
            </w:r>
            <w:proofErr w:type="spellStart"/>
            <w:r w:rsidRPr="00092B17">
              <w:rPr>
                <w:rFonts w:cs="Arial"/>
                <w:sz w:val="16"/>
                <w:lang w:val="fr-FR"/>
              </w:rPr>
              <w:t>Sprouting</w:t>
            </w:r>
            <w:proofErr w:type="spellEnd"/>
            <w:r w:rsidRPr="00092B17">
              <w:rPr>
                <w:rFonts w:cs="Arial"/>
                <w:sz w:val="16"/>
                <w:lang w:val="fr-FR"/>
              </w:rPr>
              <w:t xml:space="preserve"> </w:t>
            </w:r>
            <w:proofErr w:type="spellStart"/>
            <w:r w:rsidRPr="00092B17">
              <w:rPr>
                <w:rFonts w:cs="Arial"/>
                <w:sz w:val="16"/>
                <w:lang w:val="fr-FR"/>
              </w:rPr>
              <w:t>Broccoli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Broccoli</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Brassica</w:t>
            </w:r>
            <w:proofErr w:type="spellEnd"/>
            <w:r w:rsidRPr="00092B17">
              <w:rPr>
                <w:rFonts w:cs="Arial"/>
                <w:sz w:val="16"/>
                <w:lang w:val="fr-FR"/>
              </w:rPr>
              <w:t xml:space="preserve"> </w:t>
            </w:r>
            <w:proofErr w:type="spellStart"/>
            <w:r w:rsidRPr="00092B17">
              <w:rPr>
                <w:rFonts w:cs="Arial"/>
                <w:sz w:val="16"/>
                <w:lang w:val="fr-FR"/>
              </w:rPr>
              <w:t>oleracea</w:t>
            </w:r>
            <w:proofErr w:type="spellEnd"/>
            <w:r w:rsidRPr="00092B17">
              <w:rPr>
                <w:rFonts w:cs="Arial"/>
                <w:sz w:val="16"/>
                <w:lang w:val="fr-FR"/>
              </w:rPr>
              <w:t xml:space="preserve"> L. </w:t>
            </w:r>
            <w:proofErr w:type="spellStart"/>
            <w:r w:rsidRPr="00092B17">
              <w:rPr>
                <w:rFonts w:cs="Arial"/>
                <w:sz w:val="16"/>
                <w:lang w:val="fr-FR"/>
              </w:rPr>
              <w:t>convar</w:t>
            </w:r>
            <w:proofErr w:type="spellEnd"/>
            <w:r w:rsidRPr="00092B17">
              <w:rPr>
                <w:rFonts w:cs="Arial"/>
                <w:sz w:val="16"/>
                <w:lang w:val="fr-FR"/>
              </w:rPr>
              <w:t xml:space="preserve">. botrytis (L.) </w:t>
            </w:r>
            <w:proofErr w:type="spellStart"/>
            <w:r w:rsidRPr="00092B17">
              <w:rPr>
                <w:rFonts w:cs="Arial"/>
                <w:sz w:val="16"/>
                <w:lang w:val="fr-FR"/>
              </w:rPr>
              <w:t>Alef</w:t>
            </w:r>
            <w:proofErr w:type="spellEnd"/>
            <w:r w:rsidRPr="00092B17">
              <w:rPr>
                <w:rFonts w:cs="Arial"/>
                <w:sz w:val="16"/>
                <w:lang w:val="fr-FR"/>
              </w:rPr>
              <w:t xml:space="preserve">. var. </w:t>
            </w:r>
            <w:proofErr w:type="spellStart"/>
            <w:r w:rsidRPr="00092B17">
              <w:rPr>
                <w:rFonts w:cs="Arial"/>
                <w:sz w:val="16"/>
                <w:lang w:val="fr-FR"/>
              </w:rPr>
              <w:t>cymosa</w:t>
            </w:r>
            <w:proofErr w:type="spellEnd"/>
            <w:r w:rsidRPr="00092B17">
              <w:rPr>
                <w:rFonts w:cs="Arial"/>
                <w:sz w:val="16"/>
                <w:lang w:val="fr-FR"/>
              </w:rPr>
              <w:t xml:space="preserve"> </w:t>
            </w:r>
            <w:proofErr w:type="spellStart"/>
            <w:r w:rsidRPr="00092B17">
              <w:rPr>
                <w:rFonts w:cs="Arial"/>
                <w:sz w:val="16"/>
                <w:lang w:val="fr-FR"/>
              </w:rPr>
              <w:t>Duch</w:t>
            </w:r>
            <w:proofErr w:type="spellEnd"/>
            <w:r w:rsidRPr="00092B17">
              <w:rPr>
                <w:rFonts w:cs="Arial"/>
                <w:sz w:val="16"/>
                <w:lang w:val="fr-FR"/>
              </w:rPr>
              <w:t>.</w:t>
            </w:r>
          </w:p>
        </w:tc>
      </w:tr>
      <w:tr w:rsidR="001826AD" w:rsidRPr="00092B17" w:rsidTr="006B427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826AD" w:rsidRPr="00092B17" w:rsidRDefault="001826AD" w:rsidP="006B4271">
            <w:pPr>
              <w:rPr>
                <w:rFonts w:cs="Arial"/>
                <w:sz w:val="16"/>
                <w:lang w:val="fr-FR"/>
              </w:rPr>
            </w:pPr>
            <w:r w:rsidRPr="00092B17">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rPr>
                <w:rFonts w:cs="Arial"/>
                <w:sz w:val="16"/>
                <w:lang w:val="fr-FR"/>
              </w:rPr>
            </w:pPr>
            <w:r w:rsidRPr="00092B1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Tomato</w:t>
            </w:r>
            <w:proofErr w:type="spellEnd"/>
            <w:r w:rsidRPr="00092B17">
              <w:rPr>
                <w:rFonts w:cs="Arial"/>
                <w:sz w:val="16"/>
                <w:lang w:val="fr-FR"/>
              </w:rPr>
              <w:t xml:space="preserve"> </w:t>
            </w:r>
            <w:proofErr w:type="spellStart"/>
            <w:r w:rsidRPr="00092B17">
              <w:rPr>
                <w:rFonts w:cs="Arial"/>
                <w:sz w:val="16"/>
                <w:lang w:val="fr-FR"/>
              </w:rPr>
              <w:t>Rootstocks</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r w:rsidRPr="00092B17">
              <w:rPr>
                <w:rFonts w:cs="Arial"/>
                <w:sz w:val="16"/>
                <w:lang w:val="fr-FR"/>
              </w:rPr>
              <w:t>Porte</w:t>
            </w:r>
            <w:r w:rsidRPr="00092B17">
              <w:rPr>
                <w:rFonts w:cs="Arial"/>
                <w:sz w:val="16"/>
                <w:lang w:val="fr-FR"/>
              </w:rPr>
              <w:noBreakHyphen/>
              <w:t xml:space="preserve">greffe de tomate </w:t>
            </w:r>
          </w:p>
        </w:tc>
        <w:tc>
          <w:tcPr>
            <w:tcW w:w="1417"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Tomatenunterlagen</w:t>
            </w:r>
            <w:proofErr w:type="spellEnd"/>
            <w:r w:rsidRPr="00092B17">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Portainjertos</w:t>
            </w:r>
            <w:proofErr w:type="spellEnd"/>
            <w:r w:rsidRPr="00092B17">
              <w:rPr>
                <w:rFonts w:cs="Arial"/>
                <w:sz w:val="16"/>
                <w:lang w:val="fr-FR"/>
              </w:rPr>
              <w:t xml:space="preserve"> de tomate </w:t>
            </w:r>
          </w:p>
        </w:tc>
        <w:tc>
          <w:tcPr>
            <w:tcW w:w="1700" w:type="dxa"/>
            <w:tcBorders>
              <w:top w:val="single" w:sz="4" w:space="0" w:color="auto"/>
              <w:left w:val="nil"/>
              <w:bottom w:val="single" w:sz="4" w:space="0" w:color="auto"/>
              <w:right w:val="single" w:sz="4" w:space="0" w:color="auto"/>
            </w:tcBorders>
            <w:shd w:val="clear" w:color="auto" w:fill="auto"/>
          </w:tcPr>
          <w:p w:rsidR="001826AD" w:rsidRPr="00092B17" w:rsidRDefault="001826AD" w:rsidP="006B4271">
            <w:pPr>
              <w:jc w:val="left"/>
              <w:rPr>
                <w:rFonts w:cs="Arial"/>
                <w:sz w:val="16"/>
                <w:lang w:val="fr-FR"/>
              </w:rPr>
            </w:pPr>
            <w:proofErr w:type="spellStart"/>
            <w:r w:rsidRPr="00092B17">
              <w:rPr>
                <w:rFonts w:cs="Arial"/>
                <w:sz w:val="16"/>
                <w:lang w:val="fr-FR"/>
              </w:rPr>
              <w:t>Solanum</w:t>
            </w:r>
            <w:proofErr w:type="spellEnd"/>
            <w:r w:rsidRPr="00092B17">
              <w:rPr>
                <w:rFonts w:cs="Arial"/>
                <w:sz w:val="16"/>
                <w:lang w:val="fr-FR"/>
              </w:rPr>
              <w:t xml:space="preserve"> </w:t>
            </w:r>
            <w:proofErr w:type="spellStart"/>
            <w:r w:rsidRPr="00092B17">
              <w:rPr>
                <w:rFonts w:cs="Arial"/>
                <w:sz w:val="16"/>
                <w:lang w:val="fr-FR"/>
              </w:rPr>
              <w:t>lycopersicum</w:t>
            </w:r>
            <w:proofErr w:type="spellEnd"/>
            <w:r w:rsidRPr="00092B17">
              <w:rPr>
                <w:rFonts w:cs="Arial"/>
                <w:sz w:val="16"/>
                <w:lang w:val="fr-FR"/>
              </w:rPr>
              <w:t xml:space="preserve"> L. x </w:t>
            </w:r>
            <w:proofErr w:type="spellStart"/>
            <w:r w:rsidRPr="00092B17">
              <w:rPr>
                <w:rFonts w:cs="Arial"/>
                <w:sz w:val="16"/>
                <w:lang w:val="fr-FR"/>
              </w:rPr>
              <w:t>Solanum</w:t>
            </w:r>
            <w:proofErr w:type="spellEnd"/>
            <w:r w:rsidRPr="00092B17">
              <w:rPr>
                <w:rFonts w:cs="Arial"/>
                <w:sz w:val="16"/>
                <w:lang w:val="fr-FR"/>
              </w:rPr>
              <w:t xml:space="preserve"> </w:t>
            </w:r>
            <w:proofErr w:type="spellStart"/>
            <w:r w:rsidRPr="00092B17">
              <w:rPr>
                <w:rFonts w:cs="Arial"/>
                <w:sz w:val="16"/>
                <w:lang w:val="fr-FR"/>
              </w:rPr>
              <w:t>habrochaites</w:t>
            </w:r>
            <w:proofErr w:type="spellEnd"/>
            <w:r w:rsidRPr="00092B17">
              <w:rPr>
                <w:rFonts w:cs="Arial"/>
                <w:sz w:val="16"/>
                <w:lang w:val="fr-FR"/>
              </w:rPr>
              <w:t xml:space="preserve"> S. </w:t>
            </w:r>
            <w:proofErr w:type="spellStart"/>
            <w:r w:rsidRPr="00092B17">
              <w:rPr>
                <w:rFonts w:cs="Arial"/>
                <w:sz w:val="16"/>
                <w:lang w:val="fr-FR"/>
              </w:rPr>
              <w:t>Knapp</w:t>
            </w:r>
            <w:proofErr w:type="spellEnd"/>
            <w:r w:rsidRPr="00092B17">
              <w:rPr>
                <w:rFonts w:cs="Arial"/>
                <w:sz w:val="16"/>
                <w:lang w:val="fr-FR"/>
              </w:rPr>
              <w:t xml:space="preserve"> &amp; D.M. </w:t>
            </w:r>
            <w:proofErr w:type="spellStart"/>
            <w:r w:rsidRPr="00092B17">
              <w:rPr>
                <w:rFonts w:cs="Arial"/>
                <w:sz w:val="16"/>
                <w:lang w:val="fr-FR"/>
              </w:rPr>
              <w:t>Spooner</w:t>
            </w:r>
            <w:proofErr w:type="spellEnd"/>
            <w:r w:rsidRPr="00092B17">
              <w:rPr>
                <w:rFonts w:cs="Arial"/>
                <w:sz w:val="16"/>
                <w:lang w:val="fr-FR"/>
              </w:rPr>
              <w:t xml:space="preserve">; </w:t>
            </w:r>
            <w:proofErr w:type="spellStart"/>
            <w:r w:rsidRPr="00092B17">
              <w:rPr>
                <w:rFonts w:cs="Arial"/>
                <w:sz w:val="16"/>
                <w:lang w:val="fr-FR"/>
              </w:rPr>
              <w:t>Solanum</w:t>
            </w:r>
            <w:proofErr w:type="spellEnd"/>
            <w:r w:rsidRPr="00092B17">
              <w:rPr>
                <w:rFonts w:cs="Arial"/>
                <w:sz w:val="16"/>
                <w:lang w:val="fr-FR"/>
              </w:rPr>
              <w:t xml:space="preserve"> </w:t>
            </w:r>
            <w:proofErr w:type="spellStart"/>
            <w:r w:rsidRPr="00092B17">
              <w:rPr>
                <w:rFonts w:cs="Arial"/>
                <w:sz w:val="16"/>
                <w:lang w:val="fr-FR"/>
              </w:rPr>
              <w:t>lycopersicum</w:t>
            </w:r>
            <w:proofErr w:type="spellEnd"/>
            <w:r w:rsidRPr="00092B17">
              <w:rPr>
                <w:rFonts w:cs="Arial"/>
                <w:sz w:val="16"/>
                <w:lang w:val="fr-FR"/>
              </w:rPr>
              <w:t xml:space="preserve"> L. x </w:t>
            </w:r>
            <w:proofErr w:type="spellStart"/>
            <w:r w:rsidRPr="00092B17">
              <w:rPr>
                <w:rFonts w:cs="Arial"/>
                <w:sz w:val="16"/>
                <w:lang w:val="fr-FR"/>
              </w:rPr>
              <w:t>Solanum</w:t>
            </w:r>
            <w:proofErr w:type="spellEnd"/>
            <w:r w:rsidRPr="00092B17">
              <w:rPr>
                <w:rFonts w:cs="Arial"/>
                <w:sz w:val="16"/>
                <w:lang w:val="fr-FR"/>
              </w:rPr>
              <w:t xml:space="preserve"> </w:t>
            </w:r>
            <w:proofErr w:type="spellStart"/>
            <w:r w:rsidRPr="00092B17">
              <w:rPr>
                <w:rFonts w:cs="Arial"/>
                <w:sz w:val="16"/>
                <w:lang w:val="fr-FR"/>
              </w:rPr>
              <w:t>peruvianum</w:t>
            </w:r>
            <w:proofErr w:type="spellEnd"/>
            <w:r w:rsidRPr="00092B17">
              <w:rPr>
                <w:rFonts w:cs="Arial"/>
                <w:sz w:val="16"/>
                <w:lang w:val="fr-FR"/>
              </w:rPr>
              <w:t xml:space="preserve"> (L.) Mill.; </w:t>
            </w:r>
            <w:proofErr w:type="spellStart"/>
            <w:r w:rsidRPr="00092B17">
              <w:rPr>
                <w:rFonts w:cs="Arial"/>
                <w:sz w:val="16"/>
                <w:lang w:val="fr-FR"/>
              </w:rPr>
              <w:t>Solanum</w:t>
            </w:r>
            <w:proofErr w:type="spellEnd"/>
            <w:r w:rsidRPr="00092B17">
              <w:rPr>
                <w:rFonts w:cs="Arial"/>
                <w:sz w:val="16"/>
                <w:lang w:val="fr-FR"/>
              </w:rPr>
              <w:t xml:space="preserve"> </w:t>
            </w:r>
            <w:proofErr w:type="spellStart"/>
            <w:r w:rsidRPr="00092B17">
              <w:rPr>
                <w:rFonts w:cs="Arial"/>
                <w:sz w:val="16"/>
                <w:lang w:val="fr-FR"/>
              </w:rPr>
              <w:t>lycopersicum</w:t>
            </w:r>
            <w:proofErr w:type="spellEnd"/>
            <w:r w:rsidRPr="00092B17">
              <w:rPr>
                <w:rFonts w:cs="Arial"/>
                <w:sz w:val="16"/>
                <w:lang w:val="fr-FR"/>
              </w:rPr>
              <w:t xml:space="preserve"> L. x </w:t>
            </w:r>
            <w:proofErr w:type="spellStart"/>
            <w:r w:rsidRPr="00092B17">
              <w:rPr>
                <w:rFonts w:cs="Arial"/>
                <w:sz w:val="16"/>
                <w:lang w:val="fr-FR"/>
              </w:rPr>
              <w:t>Solanum</w:t>
            </w:r>
            <w:proofErr w:type="spellEnd"/>
            <w:r w:rsidRPr="00092B17">
              <w:rPr>
                <w:rFonts w:cs="Arial"/>
                <w:sz w:val="16"/>
                <w:lang w:val="fr-FR"/>
              </w:rPr>
              <w:t xml:space="preserve"> </w:t>
            </w:r>
            <w:proofErr w:type="spellStart"/>
            <w:r w:rsidRPr="00092B17">
              <w:rPr>
                <w:rFonts w:cs="Arial"/>
                <w:sz w:val="16"/>
                <w:lang w:val="fr-FR"/>
              </w:rPr>
              <w:t>cheesmaniae</w:t>
            </w:r>
            <w:proofErr w:type="spellEnd"/>
            <w:r w:rsidRPr="00092B17">
              <w:rPr>
                <w:rFonts w:cs="Arial"/>
                <w:sz w:val="16"/>
                <w:lang w:val="fr-FR"/>
              </w:rPr>
              <w:t xml:space="preserve"> (L. Ridley) </w:t>
            </w:r>
            <w:proofErr w:type="spellStart"/>
            <w:r w:rsidRPr="00092B17">
              <w:rPr>
                <w:rFonts w:cs="Arial"/>
                <w:sz w:val="16"/>
                <w:lang w:val="fr-FR"/>
              </w:rPr>
              <w:t>Fosberg</w:t>
            </w:r>
            <w:proofErr w:type="spellEnd"/>
          </w:p>
        </w:tc>
      </w:tr>
    </w:tbl>
    <w:p w:rsidR="001826AD" w:rsidRPr="00092B17" w:rsidRDefault="001826AD" w:rsidP="001826AD">
      <w:pPr>
        <w:rPr>
          <w:lang w:val="fr-FR"/>
        </w:rPr>
      </w:pPr>
    </w:p>
    <w:p w:rsidR="001826AD" w:rsidRPr="00092B17" w:rsidRDefault="001826AD" w:rsidP="001826AD">
      <w:pPr>
        <w:rPr>
          <w:rFonts w:cs="Arial"/>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À la demande de l’expert principal</w:t>
      </w:r>
      <w:r w:rsidRPr="00092B17">
        <w:rPr>
          <w:rFonts w:cs="Arial"/>
          <w:lang w:val="fr-FR"/>
        </w:rPr>
        <w:t xml:space="preserve"> et président du TWO, M. Kenji </w:t>
      </w:r>
      <w:proofErr w:type="spellStart"/>
      <w:r w:rsidRPr="00092B17">
        <w:rPr>
          <w:rFonts w:cs="Arial"/>
          <w:lang w:val="fr-FR"/>
        </w:rPr>
        <w:t>Numaguchi</w:t>
      </w:r>
      <w:proofErr w:type="spellEnd"/>
      <w:r w:rsidRPr="00092B17">
        <w:rPr>
          <w:rFonts w:cs="Arial"/>
          <w:lang w:val="fr-FR"/>
        </w:rPr>
        <w:t xml:space="preserve"> (Japon), le projet de principes directeurs d’examen pour l’</w:t>
      </w:r>
      <w:proofErr w:type="spellStart"/>
      <w:r w:rsidRPr="00092B17">
        <w:rPr>
          <w:rFonts w:cs="Arial"/>
          <w:lang w:val="fr-FR"/>
        </w:rPr>
        <w:t>Aglaonème</w:t>
      </w:r>
      <w:proofErr w:type="spellEnd"/>
      <w:r w:rsidRPr="00092B17">
        <w:rPr>
          <w:rFonts w:cs="Arial"/>
          <w:lang w:val="fr-FR"/>
        </w:rPr>
        <w:t xml:space="preserve"> (</w:t>
      </w:r>
      <w:proofErr w:type="spellStart"/>
      <w:r w:rsidRPr="00092B17">
        <w:rPr>
          <w:rFonts w:cs="Arial"/>
          <w:i/>
          <w:iCs/>
          <w:lang w:val="fr-FR"/>
        </w:rPr>
        <w:t>Aglaonema</w:t>
      </w:r>
      <w:proofErr w:type="spellEnd"/>
      <w:r w:rsidRPr="00092B17">
        <w:rPr>
          <w:rFonts w:cs="Arial"/>
          <w:i/>
          <w:iCs/>
          <w:lang w:val="fr-FR"/>
        </w:rPr>
        <w:t xml:space="preserve"> </w:t>
      </w:r>
      <w:r w:rsidRPr="00092B17">
        <w:rPr>
          <w:rFonts w:cs="Arial"/>
          <w:iCs/>
          <w:lang w:val="fr-FR"/>
        </w:rPr>
        <w:t>Schott.</w:t>
      </w:r>
      <w:r w:rsidRPr="00092B17">
        <w:rPr>
          <w:rFonts w:cs="Arial"/>
          <w:lang w:val="fr-FR"/>
        </w:rPr>
        <w:t>) sera réexaminé par le TWO à sa quarante</w:t>
      </w:r>
      <w:r w:rsidRPr="00092B17">
        <w:rPr>
          <w:rFonts w:cs="Arial"/>
          <w:lang w:val="fr-FR"/>
        </w:rPr>
        <w:noBreakHyphen/>
        <w:t>neuvième session afin d’examiner les commentaires du TC</w:t>
      </w:r>
      <w:r w:rsidRPr="00092B17">
        <w:rPr>
          <w:rFonts w:cs="Arial"/>
          <w:lang w:val="fr-FR"/>
        </w:rPr>
        <w:noBreakHyphen/>
        <w:t>EDC concernant la présentation des caractères de couleur.</w:t>
      </w:r>
    </w:p>
    <w:p w:rsidR="001826AD" w:rsidRPr="00092B17" w:rsidRDefault="001826AD" w:rsidP="001826AD">
      <w:pPr>
        <w:rPr>
          <w:lang w:val="fr-FR"/>
        </w:rPr>
      </w:pPr>
    </w:p>
    <w:p w:rsidR="001826AD" w:rsidRPr="00092B17" w:rsidRDefault="001826AD" w:rsidP="001826AD">
      <w:pPr>
        <w:rPr>
          <w:rFonts w:cs="Arial"/>
          <w:lang w:val="fr-FR"/>
        </w:rPr>
      </w:pPr>
      <w:r w:rsidRPr="00092B17">
        <w:rPr>
          <w:rFonts w:cs="Arial"/>
          <w:lang w:val="fr-FR"/>
        </w:rPr>
        <w:fldChar w:fldCharType="begin"/>
      </w:r>
      <w:r w:rsidRPr="00092B17">
        <w:rPr>
          <w:rFonts w:cs="Arial"/>
          <w:lang w:val="fr-FR"/>
        </w:rPr>
        <w:instrText xml:space="preserve"> AUTONUM  </w:instrText>
      </w:r>
      <w:r w:rsidRPr="00092B17">
        <w:rPr>
          <w:rFonts w:cs="Arial"/>
          <w:lang w:val="fr-FR"/>
        </w:rPr>
        <w:fldChar w:fldCharType="end"/>
      </w:r>
      <w:r w:rsidRPr="00092B17">
        <w:rPr>
          <w:rFonts w:cs="Arial"/>
          <w:lang w:val="fr-FR"/>
        </w:rPr>
        <w:tab/>
      </w:r>
      <w:r w:rsidRPr="00092B17">
        <w:rPr>
          <w:lang w:val="fr-FR"/>
        </w:rPr>
        <w:t>À la demande de l’expert principal</w:t>
      </w:r>
      <w:r w:rsidRPr="00092B17">
        <w:rPr>
          <w:rFonts w:cs="Arial"/>
          <w:lang w:val="fr-FR"/>
        </w:rPr>
        <w:t xml:space="preserve">, M. Nik Hulse (Australie), en accord avec le président du TWO, M. Kenji </w:t>
      </w:r>
      <w:proofErr w:type="spellStart"/>
      <w:r w:rsidRPr="00092B17">
        <w:rPr>
          <w:rFonts w:cs="Arial"/>
          <w:lang w:val="fr-FR"/>
        </w:rPr>
        <w:t>Numaguchi</w:t>
      </w:r>
      <w:proofErr w:type="spellEnd"/>
      <w:r w:rsidRPr="00092B17">
        <w:rPr>
          <w:rFonts w:cs="Arial"/>
          <w:lang w:val="fr-FR"/>
        </w:rPr>
        <w:t xml:space="preserve"> (Japon), le projet de principes directeurs d’examen pour le </w:t>
      </w:r>
      <w:proofErr w:type="spellStart"/>
      <w:r w:rsidRPr="00092B17">
        <w:rPr>
          <w:rFonts w:cs="Arial"/>
          <w:lang w:val="fr-FR"/>
        </w:rPr>
        <w:t>Grevilllea</w:t>
      </w:r>
      <w:proofErr w:type="spellEnd"/>
      <w:r w:rsidRPr="00092B17">
        <w:rPr>
          <w:rFonts w:cs="Arial"/>
          <w:lang w:val="fr-FR"/>
        </w:rPr>
        <w:t xml:space="preserve"> (</w:t>
      </w:r>
      <w:r w:rsidRPr="00092B17">
        <w:rPr>
          <w:rFonts w:cs="Arial"/>
          <w:i/>
          <w:lang w:val="fr-FR"/>
        </w:rPr>
        <w:t>Grevillea</w:t>
      </w:r>
      <w:r w:rsidRPr="00092B17">
        <w:rPr>
          <w:rFonts w:cs="Arial"/>
          <w:lang w:val="fr-FR"/>
        </w:rPr>
        <w:t xml:space="preserve"> R. Br. corr. R. Br.) sera réexaminé par le TWO à sa quarante</w:t>
      </w:r>
      <w:r w:rsidRPr="00092B17">
        <w:rPr>
          <w:rFonts w:cs="Arial"/>
          <w:lang w:val="fr-FR"/>
        </w:rPr>
        <w:noBreakHyphen/>
        <w:t>neuvième session afin de clarifier les caractères de la feuille.</w:t>
      </w:r>
    </w:p>
    <w:p w:rsidR="001826AD" w:rsidRPr="00092B17" w:rsidRDefault="001826AD" w:rsidP="001826AD">
      <w:pPr>
        <w:rPr>
          <w:lang w:val="fr-FR"/>
        </w:rPr>
      </w:pPr>
    </w:p>
    <w:p w:rsidR="001826AD" w:rsidRPr="00092B17" w:rsidRDefault="001826AD" w:rsidP="004570E2">
      <w:pPr>
        <w:pStyle w:val="Heading3"/>
      </w:pPr>
      <w:r w:rsidRPr="00092B17">
        <w:t>Corrections de principes directeurs d’examen</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 xml:space="preserve">Le TC prend note qu’une version corrigée des principes directeurs d’examen pour le concombre en français et en espagnol (document </w:t>
      </w:r>
      <w:r w:rsidRPr="00092B17">
        <w:rPr>
          <w:rFonts w:cs="Arial"/>
          <w:lang w:val="fr-FR"/>
        </w:rPr>
        <w:t>TG/61/7 </w:t>
      </w:r>
      <w:proofErr w:type="spellStart"/>
      <w:r w:rsidRPr="00092B17">
        <w:rPr>
          <w:rFonts w:cs="Arial"/>
          <w:lang w:val="fr-FR"/>
        </w:rPr>
        <w:t>Rev</w:t>
      </w:r>
      <w:proofErr w:type="spellEnd"/>
      <w:r w:rsidRPr="00092B17">
        <w:rPr>
          <w:rFonts w:cs="Arial"/>
          <w:lang w:val="fr-FR"/>
        </w:rPr>
        <w:t>. 2 Corr.</w:t>
      </w:r>
      <w:r w:rsidRPr="00092B17">
        <w:rPr>
          <w:lang w:val="fr-FR"/>
        </w:rPr>
        <w:t>) a été publiée sur le site Web de l’UPOV et qu’une version corrigée des principes directeurs d’examen pour la courgette (document TG/119/4 Corr.) serait publiée après la session du TC.</w:t>
      </w:r>
    </w:p>
    <w:p w:rsidR="001826AD" w:rsidRPr="00092B17" w:rsidRDefault="001826AD" w:rsidP="001826AD">
      <w:pPr>
        <w:rPr>
          <w:lang w:val="fr-FR"/>
        </w:rPr>
      </w:pPr>
    </w:p>
    <w:p w:rsidR="001826AD" w:rsidRPr="00092B17" w:rsidRDefault="001826AD" w:rsidP="004570E2">
      <w:pPr>
        <w:pStyle w:val="Heading3"/>
      </w:pPr>
      <w:r w:rsidRPr="00092B17">
        <w:t>Projets de principes directeurs d’examen examinés par les groupes de travail techniques en 2015</w:t>
      </w:r>
    </w:p>
    <w:p w:rsidR="001826AD" w:rsidRPr="00092B17" w:rsidRDefault="001826AD" w:rsidP="001826AD">
      <w:pPr>
        <w:keepNext/>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des projets de principes directeurs d’examen examinés par les groupes de travail techniques à leurs sessions en 2015, tels qu’ils figurent à l’annexe II du document TC/52/2.</w:t>
      </w:r>
    </w:p>
    <w:p w:rsidR="001826AD" w:rsidRPr="00092B17" w:rsidRDefault="001826AD" w:rsidP="001826AD">
      <w:pPr>
        <w:rPr>
          <w:lang w:val="fr-FR"/>
        </w:rPr>
      </w:pPr>
    </w:p>
    <w:p w:rsidR="001826AD" w:rsidRPr="00092B17" w:rsidRDefault="001826AD" w:rsidP="004570E2">
      <w:pPr>
        <w:pStyle w:val="Heading3"/>
      </w:pPr>
      <w:r w:rsidRPr="00092B17">
        <w:t>Projets de principes directeurs d’examen à examiner par les TWP en 2016</w:t>
      </w:r>
    </w:p>
    <w:p w:rsidR="001826AD" w:rsidRPr="00092B17" w:rsidRDefault="001826AD" w:rsidP="001826AD">
      <w:pPr>
        <w:keepNext/>
        <w:tabs>
          <w:tab w:val="left" w:pos="567"/>
        </w:tabs>
        <w:ind w:left="567" w:hanging="567"/>
        <w:outlineLvl w:val="0"/>
        <w:rPr>
          <w:rFonts w:cs="Arial"/>
          <w:lang w:val="fr-FR"/>
        </w:rPr>
      </w:pPr>
    </w:p>
    <w:p w:rsidR="001826AD" w:rsidRPr="00092B17" w:rsidRDefault="001826AD" w:rsidP="001826AD">
      <w:pPr>
        <w:rPr>
          <w:rFonts w:cs="Arial"/>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approuve le programme d’élaboration de nouveaux principes directeurs d’examen et de révision des principes directeurs d’examen existants, comme indiqué à l’annexe III du document TC/52/2.</w:t>
      </w:r>
    </w:p>
    <w:p w:rsidR="001826AD" w:rsidRPr="00092B17" w:rsidRDefault="001826AD" w:rsidP="001826AD">
      <w:pPr>
        <w:rPr>
          <w:rFonts w:cs="Arial"/>
          <w:lang w:val="fr-FR"/>
        </w:rPr>
      </w:pPr>
    </w:p>
    <w:p w:rsidR="001826AD" w:rsidRPr="00092B17" w:rsidRDefault="001826AD" w:rsidP="001826AD">
      <w:pPr>
        <w:rPr>
          <w:rFonts w:cs="Arial"/>
          <w:lang w:val="fr-FR"/>
        </w:rPr>
      </w:pPr>
      <w:r w:rsidRPr="00092B17">
        <w:rPr>
          <w:rFonts w:cs="Arial"/>
          <w:lang w:val="fr-FR"/>
        </w:rPr>
        <w:fldChar w:fldCharType="begin"/>
      </w:r>
      <w:r w:rsidRPr="00092B17">
        <w:rPr>
          <w:rFonts w:cs="Arial"/>
          <w:lang w:val="fr-FR"/>
        </w:rPr>
        <w:instrText xml:space="preserve"> AUTONUM  </w:instrText>
      </w:r>
      <w:r w:rsidRPr="00092B17">
        <w:rPr>
          <w:rFonts w:cs="Arial"/>
          <w:lang w:val="fr-FR"/>
        </w:rPr>
        <w:fldChar w:fldCharType="end"/>
      </w:r>
      <w:r w:rsidRPr="00092B17">
        <w:rPr>
          <w:rFonts w:cs="Arial"/>
          <w:lang w:val="fr-FR"/>
        </w:rPr>
        <w:tab/>
        <w:t xml:space="preserve">Le TC prend note du fait que l’expert principal des principes directeurs d’examen pour l’oignon et l’échalote (document TG/46/7), M. Kees van </w:t>
      </w:r>
      <w:proofErr w:type="spellStart"/>
      <w:r w:rsidRPr="00092B17">
        <w:rPr>
          <w:rFonts w:cs="Arial"/>
          <w:lang w:val="fr-FR"/>
        </w:rPr>
        <w:t>Ettekoven</w:t>
      </w:r>
      <w:proofErr w:type="spellEnd"/>
      <w:r w:rsidRPr="00092B17">
        <w:rPr>
          <w:rFonts w:cs="Arial"/>
          <w:lang w:val="fr-FR"/>
        </w:rPr>
        <w:t xml:space="preserve"> (Pays</w:t>
      </w:r>
      <w:r w:rsidRPr="00092B17">
        <w:rPr>
          <w:rFonts w:cs="Arial"/>
          <w:lang w:val="fr-FR"/>
        </w:rPr>
        <w:noBreakHyphen/>
        <w:t>Bas), avait demandé que ces principes directeurs d’examen soient retirés de l’ordre du jour du TWV à sa cinquantième session, qui se tiendra en 2016.</w:t>
      </w:r>
    </w:p>
    <w:p w:rsidR="001826AD" w:rsidRPr="00092B17" w:rsidRDefault="001826AD" w:rsidP="001826AD">
      <w:pPr>
        <w:rPr>
          <w:rFonts w:cs="Arial"/>
          <w:lang w:val="fr-FR"/>
        </w:rPr>
      </w:pPr>
    </w:p>
    <w:p w:rsidR="001826AD" w:rsidRPr="00092B17" w:rsidRDefault="001826AD" w:rsidP="001826AD">
      <w:pPr>
        <w:rPr>
          <w:rFonts w:cs="Arial"/>
          <w:lang w:val="fr-FR"/>
        </w:rPr>
      </w:pPr>
      <w:r w:rsidRPr="00092B17">
        <w:rPr>
          <w:rFonts w:cs="Arial"/>
          <w:lang w:val="fr-FR"/>
        </w:rPr>
        <w:fldChar w:fldCharType="begin"/>
      </w:r>
      <w:r w:rsidRPr="00092B17">
        <w:rPr>
          <w:rFonts w:cs="Arial"/>
          <w:lang w:val="fr-FR"/>
        </w:rPr>
        <w:instrText xml:space="preserve"> AUTONUM  </w:instrText>
      </w:r>
      <w:r w:rsidRPr="00092B17">
        <w:rPr>
          <w:rFonts w:cs="Arial"/>
          <w:lang w:val="fr-FR"/>
        </w:rPr>
        <w:fldChar w:fldCharType="end"/>
      </w:r>
      <w:r w:rsidRPr="00092B17">
        <w:rPr>
          <w:rFonts w:cs="Arial"/>
          <w:lang w:val="fr-FR"/>
        </w:rPr>
        <w:tab/>
        <w:t>Le TC est convenu d’inclure des discussions sur la révision partielle des principes directeurs d’examen pour la tomate (document TG/44/11 </w:t>
      </w:r>
      <w:proofErr w:type="spellStart"/>
      <w:r w:rsidRPr="00092B17">
        <w:rPr>
          <w:rFonts w:cs="Arial"/>
          <w:lang w:val="fr-FR"/>
        </w:rPr>
        <w:t>Rev</w:t>
      </w:r>
      <w:proofErr w:type="spellEnd"/>
      <w:r w:rsidRPr="00092B17">
        <w:rPr>
          <w:rFonts w:cs="Arial"/>
          <w:lang w:val="fr-FR"/>
        </w:rPr>
        <w:t>.), caractéristique 57 “Résistance au virus des feuilles jaunes en cuillère de la tomate (TYLCV)”, à la cinquantième session du TWV, sur la base d’un document qui sera élaboré par un expert de l’Union européenne.</w:t>
      </w:r>
    </w:p>
    <w:p w:rsidR="001826AD" w:rsidRPr="00092B17" w:rsidRDefault="001826AD" w:rsidP="001826AD">
      <w:pPr>
        <w:rPr>
          <w:rFonts w:cs="Arial"/>
          <w:lang w:val="fr-FR"/>
        </w:rPr>
      </w:pPr>
    </w:p>
    <w:p w:rsidR="001826AD" w:rsidRPr="00092B17" w:rsidRDefault="001826AD" w:rsidP="001826AD">
      <w:pPr>
        <w:rPr>
          <w:lang w:val="fr-FR"/>
        </w:rPr>
      </w:pPr>
      <w:r w:rsidRPr="00092B17">
        <w:rPr>
          <w:rFonts w:cs="Arial"/>
          <w:lang w:val="fr-FR"/>
        </w:rPr>
        <w:fldChar w:fldCharType="begin"/>
      </w:r>
      <w:r w:rsidRPr="00092B17">
        <w:rPr>
          <w:rFonts w:cs="Arial"/>
          <w:lang w:val="fr-FR"/>
        </w:rPr>
        <w:instrText xml:space="preserve"> AUTONUM  </w:instrText>
      </w:r>
      <w:r w:rsidRPr="00092B17">
        <w:rPr>
          <w:rFonts w:cs="Arial"/>
          <w:lang w:val="fr-FR"/>
        </w:rPr>
        <w:fldChar w:fldCharType="end"/>
      </w:r>
      <w:r w:rsidRPr="00092B17">
        <w:rPr>
          <w:rFonts w:cs="Arial"/>
          <w:lang w:val="fr-FR"/>
        </w:rPr>
        <w:tab/>
        <w:t>Le TC est convenu du fait que la révision partielle des principes directeurs d’examen pour le chou-fleur</w:t>
      </w:r>
      <w:r w:rsidRPr="00092B17">
        <w:rPr>
          <w:lang w:val="fr-FR"/>
        </w:rPr>
        <w:t xml:space="preserve"> devrait être retirée de la liste des discussions en 2016.</w:t>
      </w:r>
    </w:p>
    <w:p w:rsidR="001826AD" w:rsidRPr="00092B17" w:rsidRDefault="001826AD" w:rsidP="001826AD">
      <w:pPr>
        <w:rPr>
          <w:rFonts w:cs="Arial"/>
          <w:lang w:val="fr-FR"/>
        </w:rPr>
      </w:pPr>
    </w:p>
    <w:p w:rsidR="001826AD" w:rsidRPr="00092B17" w:rsidRDefault="001826AD" w:rsidP="004570E2">
      <w:pPr>
        <w:pStyle w:val="Heading3"/>
        <w:rPr>
          <w:rFonts w:cs="Arial"/>
        </w:rPr>
      </w:pPr>
      <w:r w:rsidRPr="00092B17">
        <w:t>Statut des principes directeurs d’examen existants ou des projets de principes directeurs d’examen</w:t>
      </w:r>
    </w:p>
    <w:p w:rsidR="001826AD" w:rsidRPr="00092B17" w:rsidRDefault="001826AD" w:rsidP="001826AD">
      <w:pPr>
        <w:keepNext/>
        <w:rPr>
          <w:rFonts w:cs="Arial"/>
          <w:lang w:val="fr-FR"/>
        </w:rPr>
      </w:pPr>
    </w:p>
    <w:p w:rsidR="001826AD" w:rsidRPr="00092B17" w:rsidRDefault="001826AD" w:rsidP="001826AD">
      <w:pPr>
        <w:keepNext/>
        <w:rPr>
          <w:rFonts w:cs="Arial"/>
          <w:lang w:val="fr-FR"/>
        </w:rPr>
      </w:pPr>
      <w:r w:rsidRPr="00092B17">
        <w:rPr>
          <w:rFonts w:cs="Arial"/>
          <w:lang w:val="fr-FR"/>
        </w:rPr>
        <w:fldChar w:fldCharType="begin"/>
      </w:r>
      <w:r w:rsidRPr="00092B17">
        <w:rPr>
          <w:rFonts w:cs="Arial"/>
          <w:lang w:val="fr-FR"/>
        </w:rPr>
        <w:instrText xml:space="preserve"> AUTONUM  </w:instrText>
      </w:r>
      <w:r w:rsidRPr="00092B17">
        <w:rPr>
          <w:rFonts w:cs="Arial"/>
          <w:lang w:val="fr-FR"/>
        </w:rPr>
        <w:fldChar w:fldCharType="end"/>
      </w:r>
      <w:r w:rsidRPr="00092B17">
        <w:rPr>
          <w:rFonts w:cs="Arial"/>
          <w:lang w:val="fr-FR"/>
        </w:rPr>
        <w:tab/>
        <w:t>Le TC prend note de l’état des principes directeurs existants tel qu’il figure dans l’annexe IV du TC/52/2.</w:t>
      </w:r>
    </w:p>
    <w:p w:rsidR="001826AD" w:rsidRPr="00092B17" w:rsidRDefault="001826AD" w:rsidP="001826AD">
      <w:pPr>
        <w:rPr>
          <w:lang w:val="fr-FR"/>
        </w:rPr>
      </w:pPr>
    </w:p>
    <w:p w:rsidR="001826AD" w:rsidRPr="00092B17" w:rsidRDefault="001826AD" w:rsidP="004570E2">
      <w:pPr>
        <w:pStyle w:val="Heading3"/>
      </w:pPr>
      <w:r w:rsidRPr="00092B17">
        <w:t>Versions remplacées des principes directeurs d’examen</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de la liste des versions remplacées des principes directeurs d’examen, telle qu’elle figure dans l’annexe V du document TC</w:t>
      </w:r>
      <w:r w:rsidRPr="00092B17">
        <w:rPr>
          <w:rFonts w:cs="Arial"/>
          <w:lang w:val="fr-FR"/>
        </w:rPr>
        <w:t>/52/2, et prend note que les versions remplacées des principes directeurs d’examen</w:t>
      </w:r>
      <w:r w:rsidRPr="00092B17">
        <w:rPr>
          <w:lang w:val="fr-FR"/>
        </w:rPr>
        <w:t xml:space="preserve"> sont disponibles sur la page consacrée aux principes directeurs d’examen du site Web de l’UPOV.</w:t>
      </w:r>
    </w:p>
    <w:p w:rsidR="001826AD" w:rsidRPr="00092B17" w:rsidRDefault="001826AD" w:rsidP="004570E2">
      <w:pPr>
        <w:pStyle w:val="Heading3"/>
      </w:pPr>
    </w:p>
    <w:p w:rsidR="001826AD" w:rsidRPr="00092B17" w:rsidRDefault="001826AD" w:rsidP="004570E2">
      <w:pPr>
        <w:pStyle w:val="Heading3"/>
      </w:pPr>
      <w:r w:rsidRPr="00092B17">
        <w:t>Publication des principes directeurs d’examen sur le site Web de l’UPOV</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 xml:space="preserve">Le TC prend note que la révision partielle des principes directeurs d’examen pour le </w:t>
      </w:r>
      <w:r w:rsidRPr="00092B17">
        <w:rPr>
          <w:i/>
          <w:lang w:val="fr-FR"/>
        </w:rPr>
        <w:t>Citrus</w:t>
      </w:r>
      <w:r w:rsidRPr="00092B17">
        <w:rPr>
          <w:lang w:val="fr-FR"/>
        </w:rPr>
        <w:t xml:space="preserve"> L. était disponible sur le site Web de l’UPOV afin de rendre compte des modifications apportées aux principes directeurs d’examen révisés pour le mandarinier (document TG/201/1 </w:t>
      </w:r>
      <w:proofErr w:type="spellStart"/>
      <w:r w:rsidRPr="00092B17">
        <w:rPr>
          <w:lang w:val="fr-FR"/>
        </w:rPr>
        <w:t>Rev</w:t>
      </w:r>
      <w:proofErr w:type="spellEnd"/>
      <w:r w:rsidRPr="00092B17">
        <w:rPr>
          <w:lang w:val="fr-FR"/>
        </w:rPr>
        <w:t>.).</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est convenu que des informations devraient être fournies concernant la date de publication des principes directeurs d’examen sur la page consacrée à ces principes sur le site Web de l’UPOV.</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Liste des genres et espèces pour lesquels les services ont une expérience pratique en matière d’examen de la distinction, de l’homogénéité et de la stabilité</w:t>
      </w:r>
    </w:p>
    <w:p w:rsidR="001826AD" w:rsidRPr="00092B17" w:rsidRDefault="001826AD" w:rsidP="001826AD">
      <w:pPr>
        <w:keepNext/>
        <w:rPr>
          <w:lang w:val="fr-FR"/>
        </w:rPr>
      </w:pPr>
    </w:p>
    <w:p w:rsidR="001826AD" w:rsidRPr="00092B17" w:rsidRDefault="001826AD" w:rsidP="001826AD">
      <w:pPr>
        <w:keepNext/>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 document TC/52/4 et prend note que le nombre de genres et d’espèces pour lesquels les membres de l’Union faisaient part d’une expérience dans l’examen DHS était passé de 3382 en 2015 à 3462 en 2016 (+ 2,4%).  Les informations sur les membres de l’Union ayant une expérience pratique en matière d’examen DHS sont librement accessibles au moyen de la base de données GENIE.</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keepNext/>
        <w:rPr>
          <w:u w:val="single"/>
          <w:lang w:val="fr-FR"/>
        </w:rPr>
      </w:pPr>
      <w:r w:rsidRPr="00092B17">
        <w:rPr>
          <w:u w:val="single"/>
          <w:lang w:val="fr-FR"/>
        </w:rPr>
        <w:t>Programme de la cinquante</w:t>
      </w:r>
      <w:r w:rsidRPr="00092B17">
        <w:rPr>
          <w:u w:val="single"/>
          <w:lang w:val="fr-FR"/>
        </w:rPr>
        <w:noBreakHyphen/>
        <w:t>troisième session</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tient compte du débat sur le nombre de cycles de végétations dans le cadre de l’examen DHS et convient d’inviter les membres de l’Union à simuler l’impact du recours à différents nombres de cycles de végétation sur les décisions DHS sur la base de données réelles et à rendre compte de leurs résultats aux sessions des groupes de travail techniques en 2016 et à la cinquante</w:t>
      </w:r>
      <w:r w:rsidRPr="00092B17">
        <w:rPr>
          <w:lang w:val="fr-FR"/>
        </w:rPr>
        <w:noBreakHyphen/>
        <w:t>troisième session du TC.</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prend note que l’Office communautaire des variétés végétales de l’Union européenne (OCVV) mène une étude sur l’écart minimal entre les variétés et prend note que les résultats de cette étude seront présentés au TWF à sa session en 2016.  Le TC est convenu d’inclure un point à l’ordre du jour de sa cinquante</w:t>
      </w:r>
      <w:r w:rsidRPr="00092B17">
        <w:rPr>
          <w:lang w:val="fr-FR"/>
        </w:rPr>
        <w:noBreakHyphen/>
        <w:t>troisième session afin d’examiner l’étude en tenant compte des observations formulées par les groupes de travail techniques.</w:t>
      </w:r>
    </w:p>
    <w:p w:rsidR="001826AD" w:rsidRPr="00092B17" w:rsidRDefault="001826AD" w:rsidP="001826AD">
      <w:pPr>
        <w:rPr>
          <w:lang w:val="fr-FR"/>
        </w:rPr>
      </w:pPr>
    </w:p>
    <w:p w:rsidR="001826AD" w:rsidRPr="00092B17" w:rsidRDefault="001826AD" w:rsidP="001826AD">
      <w:pPr>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examine les débats sur la question de la facilitation de la mise au point de bases de données et convient d’inviter les membres de l’Union à présenter des exposés aux prochaines sessions du BMT sur les possibilités de mise au point des bases de données contenant des données moléculaires au sein de l’UPOV.  Il prend note que les résultats de ces débats seront communiqués au TC à sa cinquante</w:t>
      </w:r>
      <w:r w:rsidRPr="00092B17">
        <w:rPr>
          <w:lang w:val="fr-FR"/>
        </w:rPr>
        <w:noBreakHyphen/>
        <w:t>troisième session au titre du point de l’ordre du jour intitulé “Bases de données sur les descriptions variétales”.</w:t>
      </w:r>
    </w:p>
    <w:p w:rsidR="001826AD" w:rsidRPr="00092B17" w:rsidRDefault="001826AD" w:rsidP="001826AD">
      <w:pPr>
        <w:rPr>
          <w:lang w:val="fr-FR"/>
        </w:rPr>
      </w:pPr>
    </w:p>
    <w:p w:rsidR="001826AD" w:rsidRPr="00092B17" w:rsidRDefault="001826AD" w:rsidP="004570E2">
      <w:pPr>
        <w:keepLines/>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À l’issue du débat au titre du point 3 de l’ordre du jour intitulé “Débat sur les paramètres qualitatifs pour l’examen DHS”, le TC prend note que des obstacles à la coopération en matière d’examen, notamment en ce qui concerne l’échange de rapports DHS, peuvent survenir et convient d’étudier la situation plus avant.  En guise de point de départ aux débats, le TC convient qu’il serait utile que le Bureau de l’Union réalise une enquête sur la situation actuelle des membres de l’Union et d’en communiquer les résultats au TC à sa cinquante</w:t>
      </w:r>
      <w:r w:rsidRPr="00092B17">
        <w:rPr>
          <w:lang w:val="fr-FR"/>
        </w:rPr>
        <w:noBreakHyphen/>
        <w:t>troisième session.</w:t>
      </w:r>
    </w:p>
    <w:p w:rsidR="001826AD" w:rsidRPr="00092B17" w:rsidRDefault="001826AD" w:rsidP="001826AD">
      <w:pPr>
        <w:rPr>
          <w:lang w:val="fr-FR"/>
        </w:rPr>
      </w:pPr>
    </w:p>
    <w:p w:rsidR="001826AD" w:rsidRPr="00092B17" w:rsidRDefault="001826AD" w:rsidP="001826AD">
      <w:pPr>
        <w:keepNext/>
        <w:rPr>
          <w:lang w:val="fr-FR"/>
        </w:rPr>
      </w:pPr>
      <w:r w:rsidRPr="00092B17">
        <w:rPr>
          <w:snapToGrid w:val="0"/>
          <w:lang w:val="fr-FR"/>
        </w:rPr>
        <w:fldChar w:fldCharType="begin"/>
      </w:r>
      <w:r w:rsidRPr="00092B17">
        <w:rPr>
          <w:snapToGrid w:val="0"/>
          <w:lang w:val="fr-FR"/>
        </w:rPr>
        <w:instrText xml:space="preserve"> AUTONUM  </w:instrText>
      </w:r>
      <w:r w:rsidRPr="00092B17">
        <w:rPr>
          <w:snapToGrid w:val="0"/>
          <w:lang w:val="fr-FR"/>
        </w:rPr>
        <w:fldChar w:fldCharType="end"/>
      </w:r>
      <w:r w:rsidRPr="00092B17">
        <w:rPr>
          <w:snapToGrid w:val="0"/>
          <w:lang w:val="fr-FR"/>
        </w:rPr>
        <w:tab/>
        <w:t>Le projet d’ordre du jour ci</w:t>
      </w:r>
      <w:r w:rsidRPr="00092B17">
        <w:rPr>
          <w:snapToGrid w:val="0"/>
          <w:lang w:val="fr-FR"/>
        </w:rPr>
        <w:noBreakHyphen/>
        <w:t>après est approuvé pour la cinquante</w:t>
      </w:r>
      <w:r w:rsidRPr="00092B17">
        <w:rPr>
          <w:snapToGrid w:val="0"/>
          <w:lang w:val="fr-FR"/>
        </w:rPr>
        <w:noBreakHyphen/>
        <w:t>troisième session du TC, qui se tiendra à Genève en 2017 :</w:t>
      </w:r>
    </w:p>
    <w:p w:rsidR="001826AD" w:rsidRPr="00092B17" w:rsidRDefault="001826AD" w:rsidP="001826AD">
      <w:pPr>
        <w:rPr>
          <w:snapToGrid w:val="0"/>
          <w:lang w:val="fr-FR"/>
        </w:rPr>
      </w:pPr>
    </w:p>
    <w:p w:rsidR="001826AD" w:rsidRPr="00092B17" w:rsidRDefault="001826AD" w:rsidP="001826AD">
      <w:pPr>
        <w:spacing w:after="120"/>
        <w:ind w:left="1134" w:hanging="567"/>
        <w:rPr>
          <w:rFonts w:cs="Arial"/>
          <w:snapToGrid w:val="0"/>
          <w:lang w:val="fr-FR"/>
        </w:rPr>
      </w:pPr>
      <w:r w:rsidRPr="00092B17">
        <w:rPr>
          <w:rFonts w:cs="Arial"/>
          <w:snapToGrid w:val="0"/>
          <w:lang w:val="fr-FR"/>
        </w:rPr>
        <w:t>1.</w:t>
      </w:r>
      <w:r w:rsidRPr="00092B17">
        <w:rPr>
          <w:rFonts w:cs="Arial"/>
          <w:snapToGrid w:val="0"/>
          <w:lang w:val="fr-FR"/>
        </w:rPr>
        <w:tab/>
        <w:t>Ouverture de la session</w:t>
      </w:r>
    </w:p>
    <w:p w:rsidR="001826AD" w:rsidRPr="00092B17" w:rsidRDefault="001826AD" w:rsidP="001826AD">
      <w:pPr>
        <w:spacing w:after="120"/>
        <w:ind w:left="1134" w:hanging="567"/>
        <w:rPr>
          <w:rFonts w:cs="Arial"/>
          <w:snapToGrid w:val="0"/>
          <w:lang w:val="fr-FR"/>
        </w:rPr>
      </w:pPr>
      <w:r w:rsidRPr="00092B17">
        <w:rPr>
          <w:rFonts w:cs="Arial"/>
          <w:snapToGrid w:val="0"/>
          <w:lang w:val="fr-FR"/>
        </w:rPr>
        <w:t>2.</w:t>
      </w:r>
      <w:r w:rsidRPr="00092B17">
        <w:rPr>
          <w:rFonts w:cs="Arial"/>
          <w:snapToGrid w:val="0"/>
          <w:lang w:val="fr-FR"/>
        </w:rPr>
        <w:tab/>
        <w:t>Adoption de l’ordre du jour</w:t>
      </w:r>
    </w:p>
    <w:p w:rsidR="001826AD" w:rsidRPr="00092B17" w:rsidRDefault="001826AD" w:rsidP="001826AD">
      <w:pPr>
        <w:spacing w:after="120"/>
        <w:ind w:left="1134" w:hanging="567"/>
        <w:rPr>
          <w:rFonts w:cs="Arial"/>
          <w:snapToGrid w:val="0"/>
          <w:lang w:val="fr-FR"/>
        </w:rPr>
      </w:pPr>
      <w:r w:rsidRPr="00092B17">
        <w:rPr>
          <w:rFonts w:cs="Arial"/>
          <w:snapToGrid w:val="0"/>
          <w:lang w:val="fr-FR"/>
        </w:rPr>
        <w:t>3.</w:t>
      </w:r>
      <w:r w:rsidRPr="00092B17">
        <w:rPr>
          <w:rFonts w:cs="Arial"/>
          <w:snapToGrid w:val="0"/>
          <w:lang w:val="fr-FR"/>
        </w:rPr>
        <w:tab/>
        <w:t>Rapport sur les faits nouveaux intervenus au sein de l’UPOV, y compris certaines questions examinées lors des dernières sessions du Comité administratif et juridique, du Comité consultatif et du Conseil</w:t>
      </w:r>
    </w:p>
    <w:p w:rsidR="001826AD" w:rsidRPr="00092B17" w:rsidRDefault="001826AD" w:rsidP="001826AD">
      <w:pPr>
        <w:spacing w:after="120"/>
        <w:ind w:left="1134" w:hanging="567"/>
        <w:rPr>
          <w:lang w:val="fr-FR"/>
        </w:rPr>
      </w:pPr>
      <w:r w:rsidRPr="00092B17">
        <w:rPr>
          <w:lang w:val="fr-FR"/>
        </w:rPr>
        <w:t>4.</w:t>
      </w:r>
      <w:r w:rsidRPr="00092B17">
        <w:rPr>
          <w:lang w:val="fr-FR"/>
        </w:rPr>
        <w:tab/>
        <w:t>Rapports sur l’état d’avancement des travaux des groupes de travail techniques, y compris le Groupe de travail sur les techniques biochimiques et moléculaires, notamment les profils d’ADN (BMT)</w:t>
      </w:r>
    </w:p>
    <w:p w:rsidR="001826AD" w:rsidRPr="00092B17" w:rsidRDefault="001826AD" w:rsidP="001826AD">
      <w:pPr>
        <w:spacing w:after="120"/>
        <w:ind w:left="1134" w:hanging="567"/>
        <w:rPr>
          <w:rFonts w:cs="Arial"/>
          <w:snapToGrid w:val="0"/>
          <w:lang w:val="fr-FR"/>
        </w:rPr>
      </w:pPr>
      <w:r w:rsidRPr="00092B17">
        <w:rPr>
          <w:rFonts w:cs="Arial"/>
          <w:snapToGrid w:val="0"/>
          <w:lang w:val="fr-FR"/>
        </w:rPr>
        <w:t>5.</w:t>
      </w:r>
      <w:r w:rsidRPr="00092B17">
        <w:rPr>
          <w:rFonts w:cs="Arial"/>
          <w:snapToGrid w:val="0"/>
          <w:lang w:val="fr-FR"/>
        </w:rPr>
        <w:tab/>
        <w:t>Questions découlant des travaux des groupes de travail techniques</w:t>
      </w:r>
    </w:p>
    <w:p w:rsidR="001826AD" w:rsidRPr="00092B17" w:rsidRDefault="001826AD" w:rsidP="001826AD">
      <w:pPr>
        <w:keepLines/>
        <w:spacing w:after="120"/>
        <w:ind w:left="567"/>
        <w:jc w:val="left"/>
        <w:rPr>
          <w:rFonts w:cs="Arial"/>
          <w:snapToGrid w:val="0"/>
          <w:lang w:val="fr-FR"/>
        </w:rPr>
      </w:pPr>
      <w:r w:rsidRPr="00092B17">
        <w:rPr>
          <w:rFonts w:cs="Arial"/>
          <w:snapToGrid w:val="0"/>
          <w:lang w:val="fr-FR"/>
        </w:rPr>
        <w:t>6.</w:t>
      </w:r>
      <w:r w:rsidRPr="00092B17">
        <w:rPr>
          <w:rFonts w:cs="Arial"/>
          <w:snapToGrid w:val="0"/>
          <w:lang w:val="fr-FR"/>
        </w:rPr>
        <w:tab/>
        <w:t>Documents TGP</w:t>
      </w:r>
    </w:p>
    <w:p w:rsidR="001826AD" w:rsidRPr="00092B17" w:rsidRDefault="001826AD" w:rsidP="001826AD">
      <w:pPr>
        <w:spacing w:after="120"/>
        <w:ind w:left="1134" w:hanging="567"/>
        <w:rPr>
          <w:rFonts w:cs="Arial"/>
          <w:snapToGrid w:val="0"/>
          <w:lang w:val="fr-FR"/>
        </w:rPr>
      </w:pPr>
      <w:r w:rsidRPr="00092B17">
        <w:rPr>
          <w:rFonts w:cs="Arial"/>
          <w:snapToGrid w:val="0"/>
          <w:lang w:val="fr-FR"/>
        </w:rPr>
        <w:t>7.</w:t>
      </w:r>
      <w:r w:rsidRPr="00092B17">
        <w:rPr>
          <w:rFonts w:cs="Arial"/>
          <w:snapToGrid w:val="0"/>
          <w:lang w:val="fr-FR"/>
        </w:rPr>
        <w:tab/>
        <w:t>Techniques moléculaires</w:t>
      </w:r>
    </w:p>
    <w:p w:rsidR="001826AD" w:rsidRPr="00092B17" w:rsidRDefault="001826AD" w:rsidP="001826AD">
      <w:pPr>
        <w:spacing w:after="120"/>
        <w:ind w:left="1134" w:hanging="567"/>
        <w:rPr>
          <w:lang w:val="fr-FR"/>
        </w:rPr>
      </w:pPr>
      <w:r w:rsidRPr="00092B17">
        <w:rPr>
          <w:lang w:val="fr-FR"/>
        </w:rPr>
        <w:t>8.</w:t>
      </w:r>
      <w:r w:rsidRPr="00092B17">
        <w:rPr>
          <w:lang w:val="fr-FR"/>
        </w:rPr>
        <w:tab/>
        <w:t>Établissement de seuils calculés pour exclure les variétés notoirement connues du second cycle de végétation lorsque l’on applique la méthode COYD (le document sera élaboré par le Royaume</w:t>
      </w:r>
      <w:r w:rsidRPr="00092B17">
        <w:rPr>
          <w:lang w:val="fr-FR"/>
        </w:rPr>
        <w:noBreakHyphen/>
        <w:t>Uni)</w:t>
      </w:r>
    </w:p>
    <w:p w:rsidR="001826AD" w:rsidRPr="00092B17" w:rsidRDefault="001826AD" w:rsidP="001826AD">
      <w:pPr>
        <w:spacing w:after="120"/>
        <w:ind w:left="1134" w:hanging="567"/>
        <w:rPr>
          <w:lang w:val="fr-FR"/>
        </w:rPr>
      </w:pPr>
      <w:r w:rsidRPr="00092B17">
        <w:rPr>
          <w:lang w:val="fr-FR"/>
        </w:rPr>
        <w:t>9.</w:t>
      </w:r>
      <w:r w:rsidRPr="00092B17">
        <w:rPr>
          <w:lang w:val="fr-FR"/>
        </w:rPr>
        <w:tab/>
        <w:t>Débat sur :</w:t>
      </w:r>
    </w:p>
    <w:p w:rsidR="001826AD" w:rsidRPr="00092B17" w:rsidRDefault="001826AD" w:rsidP="001826AD">
      <w:pPr>
        <w:spacing w:after="120"/>
        <w:ind w:left="1134"/>
        <w:rPr>
          <w:lang w:val="fr-FR"/>
        </w:rPr>
      </w:pPr>
      <w:r w:rsidRPr="00092B17">
        <w:rPr>
          <w:lang w:val="fr-FR"/>
        </w:rPr>
        <w:t>a)</w:t>
      </w:r>
      <w:r w:rsidRPr="00092B17">
        <w:rPr>
          <w:lang w:val="fr-FR"/>
        </w:rPr>
        <w:tab/>
        <w:t>l’utilisation de caractéristiques de résistance aux maladies et aux insectes dans l’examen DHS</w:t>
      </w:r>
    </w:p>
    <w:p w:rsidR="001826AD" w:rsidRPr="00092B17" w:rsidRDefault="001826AD" w:rsidP="001826AD">
      <w:pPr>
        <w:spacing w:after="120"/>
        <w:ind w:left="1134"/>
        <w:rPr>
          <w:lang w:val="fr-FR"/>
        </w:rPr>
      </w:pPr>
      <w:r w:rsidRPr="00092B17">
        <w:rPr>
          <w:lang w:val="fr-FR"/>
        </w:rPr>
        <w:t>b)</w:t>
      </w:r>
      <w:r w:rsidRPr="00092B17">
        <w:rPr>
          <w:lang w:val="fr-FR"/>
        </w:rPr>
        <w:tab/>
        <w:t>la gestion des collections de variétés</w:t>
      </w:r>
    </w:p>
    <w:p w:rsidR="001826AD" w:rsidRPr="00092B17" w:rsidRDefault="001826AD" w:rsidP="001826AD">
      <w:pPr>
        <w:spacing w:after="120"/>
        <w:ind w:left="1134"/>
        <w:rPr>
          <w:lang w:val="fr-FR"/>
        </w:rPr>
      </w:pPr>
      <w:r w:rsidRPr="00092B17">
        <w:rPr>
          <w:lang w:val="fr-FR"/>
        </w:rPr>
        <w:t>c)</w:t>
      </w:r>
      <w:r w:rsidRPr="00092B17">
        <w:rPr>
          <w:lang w:val="fr-FR"/>
        </w:rPr>
        <w:tab/>
        <w:t>l’écart minimal entre les variétés</w:t>
      </w:r>
    </w:p>
    <w:p w:rsidR="001826AD" w:rsidRPr="00092B17" w:rsidRDefault="001826AD" w:rsidP="001826AD">
      <w:pPr>
        <w:spacing w:after="120"/>
        <w:ind w:left="1134"/>
        <w:rPr>
          <w:lang w:val="fr-FR"/>
        </w:rPr>
      </w:pPr>
      <w:r w:rsidRPr="00092B17">
        <w:rPr>
          <w:lang w:val="fr-FR"/>
        </w:rPr>
        <w:t>d)</w:t>
      </w:r>
      <w:r w:rsidRPr="00092B17">
        <w:rPr>
          <w:lang w:val="fr-FR"/>
        </w:rPr>
        <w:tab/>
        <w:t>Renforcement de la participation de nouveaux membres de l’Union au travail du TC et des groupes de travail techniques</w:t>
      </w:r>
    </w:p>
    <w:p w:rsidR="001826AD" w:rsidRPr="00092B17" w:rsidRDefault="001826AD" w:rsidP="001826AD">
      <w:pPr>
        <w:spacing w:after="120"/>
        <w:ind w:left="1134" w:hanging="567"/>
        <w:rPr>
          <w:lang w:val="fr-FR"/>
        </w:rPr>
      </w:pPr>
      <w:r w:rsidRPr="00092B17">
        <w:rPr>
          <w:lang w:val="fr-FR"/>
        </w:rPr>
        <w:t>11</w:t>
      </w:r>
      <w:r w:rsidRPr="00092B17">
        <w:rPr>
          <w:lang w:val="fr-FR"/>
        </w:rPr>
        <w:tab/>
        <w:t>Nombre de cycles de végétation</w:t>
      </w:r>
    </w:p>
    <w:p w:rsidR="001826AD" w:rsidRPr="00092B17" w:rsidRDefault="001826AD" w:rsidP="001826AD">
      <w:pPr>
        <w:spacing w:after="120"/>
        <w:ind w:left="1134" w:hanging="567"/>
        <w:rPr>
          <w:lang w:val="fr-FR"/>
        </w:rPr>
      </w:pPr>
      <w:r w:rsidRPr="00092B17">
        <w:rPr>
          <w:lang w:val="fr-FR"/>
        </w:rPr>
        <w:t>12.</w:t>
      </w:r>
      <w:r w:rsidRPr="00092B17">
        <w:rPr>
          <w:lang w:val="fr-FR"/>
        </w:rPr>
        <w:tab/>
        <w:t>Coopération en matière d’examen</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13.</w:t>
      </w:r>
      <w:r w:rsidRPr="00092B17">
        <w:rPr>
          <w:rFonts w:cs="Arial"/>
          <w:snapToGrid w:val="0"/>
          <w:lang w:val="fr-FR"/>
        </w:rPr>
        <w:tab/>
        <w:t>Méthodes statistiques applicables aux caractères observés visuellement</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14.</w:t>
      </w:r>
      <w:r w:rsidRPr="00092B17">
        <w:rPr>
          <w:rFonts w:cs="Arial"/>
          <w:snapToGrid w:val="0"/>
          <w:lang w:val="fr-FR"/>
        </w:rPr>
        <w:tab/>
        <w:t>Ateliers préparatoires</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15.</w:t>
      </w:r>
      <w:r w:rsidRPr="00092B17">
        <w:rPr>
          <w:rFonts w:cs="Arial"/>
          <w:snapToGrid w:val="0"/>
          <w:lang w:val="fr-FR"/>
        </w:rPr>
        <w:tab/>
        <w:t>Dénominations variétales</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16.</w:t>
      </w:r>
      <w:r w:rsidRPr="00092B17">
        <w:rPr>
          <w:rFonts w:cs="Arial"/>
          <w:snapToGrid w:val="0"/>
          <w:lang w:val="fr-FR"/>
        </w:rPr>
        <w:tab/>
        <w:t>Informations et bases de données</w:t>
      </w:r>
    </w:p>
    <w:p w:rsidR="001826AD" w:rsidRPr="00092B17" w:rsidRDefault="001826AD" w:rsidP="001826AD">
      <w:pPr>
        <w:spacing w:after="120"/>
        <w:ind w:left="1701" w:hanging="567"/>
        <w:rPr>
          <w:rFonts w:cs="Arial"/>
          <w:snapToGrid w:val="0"/>
          <w:lang w:val="fr-FR"/>
        </w:rPr>
      </w:pPr>
      <w:r w:rsidRPr="00092B17">
        <w:rPr>
          <w:rFonts w:cs="Arial"/>
          <w:snapToGrid w:val="0"/>
          <w:lang w:val="fr-FR"/>
        </w:rPr>
        <w:t>a)</w:t>
      </w:r>
      <w:r w:rsidRPr="00092B17">
        <w:rPr>
          <w:rFonts w:cs="Arial"/>
          <w:snapToGrid w:val="0"/>
          <w:lang w:val="fr-FR"/>
        </w:rPr>
        <w:tab/>
        <w:t>Bases de données d’information de l’UPOV</w:t>
      </w:r>
    </w:p>
    <w:p w:rsidR="001826AD" w:rsidRPr="00092B17" w:rsidRDefault="001826AD" w:rsidP="001826AD">
      <w:pPr>
        <w:spacing w:after="120"/>
        <w:ind w:left="1701" w:hanging="567"/>
        <w:rPr>
          <w:rFonts w:cs="Arial"/>
          <w:snapToGrid w:val="0"/>
          <w:lang w:val="fr-FR"/>
        </w:rPr>
      </w:pPr>
      <w:r w:rsidRPr="00092B17">
        <w:rPr>
          <w:rFonts w:cs="Arial"/>
          <w:snapToGrid w:val="0"/>
          <w:lang w:val="fr-FR"/>
        </w:rPr>
        <w:t>b)</w:t>
      </w:r>
      <w:r w:rsidRPr="00092B17">
        <w:rPr>
          <w:rFonts w:cs="Arial"/>
          <w:snapToGrid w:val="0"/>
          <w:lang w:val="fr-FR"/>
        </w:rPr>
        <w:tab/>
        <w:t>Systèmes de dépôt électronique des demandes</w:t>
      </w:r>
    </w:p>
    <w:p w:rsidR="001826AD" w:rsidRPr="00092B17" w:rsidRDefault="001826AD" w:rsidP="001826AD">
      <w:pPr>
        <w:spacing w:after="120"/>
        <w:ind w:left="1701" w:hanging="567"/>
        <w:rPr>
          <w:rFonts w:cs="Arial"/>
          <w:snapToGrid w:val="0"/>
          <w:lang w:val="fr-FR"/>
        </w:rPr>
      </w:pPr>
      <w:r w:rsidRPr="00092B17">
        <w:rPr>
          <w:rFonts w:cs="Arial"/>
          <w:snapToGrid w:val="0"/>
          <w:lang w:val="fr-FR"/>
        </w:rPr>
        <w:t>c)</w:t>
      </w:r>
      <w:r w:rsidRPr="00092B17">
        <w:rPr>
          <w:rFonts w:cs="Arial"/>
          <w:snapToGrid w:val="0"/>
          <w:lang w:val="fr-FR"/>
        </w:rPr>
        <w:tab/>
        <w:t>Échange et utilisation de logiciels et d’équipements</w:t>
      </w:r>
    </w:p>
    <w:p w:rsidR="001826AD" w:rsidRPr="00092B17" w:rsidRDefault="001826AD" w:rsidP="001826AD">
      <w:pPr>
        <w:spacing w:after="120"/>
        <w:ind w:left="1701" w:hanging="567"/>
        <w:rPr>
          <w:rFonts w:cs="Arial"/>
          <w:snapToGrid w:val="0"/>
          <w:lang w:val="fr-FR"/>
        </w:rPr>
      </w:pPr>
      <w:r w:rsidRPr="00092B17">
        <w:rPr>
          <w:rFonts w:cs="Arial"/>
          <w:snapToGrid w:val="0"/>
          <w:lang w:val="fr-FR"/>
        </w:rPr>
        <w:t>d)</w:t>
      </w:r>
      <w:r w:rsidRPr="00092B17">
        <w:rPr>
          <w:rFonts w:cs="Arial"/>
          <w:snapToGrid w:val="0"/>
          <w:lang w:val="fr-FR"/>
        </w:rPr>
        <w:tab/>
        <w:t>Bases de données sur les descriptions variétales</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17.</w:t>
      </w:r>
      <w:r w:rsidRPr="00092B17">
        <w:rPr>
          <w:rFonts w:cs="Arial"/>
          <w:snapToGrid w:val="0"/>
          <w:lang w:val="fr-FR"/>
        </w:rPr>
        <w:tab/>
        <w:t>Liste des genres et espèces pour lesquels les services ont une expérience pratique en matière d’examen de la distinction, de l’homogénéité et de la stabilité</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18.</w:t>
      </w:r>
      <w:r w:rsidRPr="00092B17">
        <w:rPr>
          <w:rFonts w:cs="Arial"/>
          <w:snapToGrid w:val="0"/>
          <w:lang w:val="fr-FR"/>
        </w:rPr>
        <w:tab/>
        <w:t>Principes directeurs d’examen</w:t>
      </w:r>
    </w:p>
    <w:p w:rsidR="001826AD" w:rsidRPr="00092B17" w:rsidRDefault="001826AD" w:rsidP="001826AD">
      <w:pPr>
        <w:spacing w:after="120"/>
        <w:ind w:left="1134" w:hanging="567"/>
        <w:rPr>
          <w:rFonts w:cs="Arial"/>
          <w:snapToGrid w:val="0"/>
          <w:lang w:val="fr-FR"/>
        </w:rPr>
      </w:pPr>
      <w:r w:rsidRPr="00092B17">
        <w:rPr>
          <w:rFonts w:cs="Arial"/>
          <w:snapToGrid w:val="0"/>
          <w:lang w:val="fr-FR"/>
        </w:rPr>
        <w:t>19.</w:t>
      </w:r>
      <w:r w:rsidRPr="00092B17">
        <w:rPr>
          <w:rFonts w:cs="Arial"/>
          <w:snapToGrid w:val="0"/>
          <w:lang w:val="fr-FR"/>
        </w:rPr>
        <w:tab/>
        <w:t>Programme de la cinquante</w:t>
      </w:r>
      <w:r w:rsidRPr="00092B17">
        <w:rPr>
          <w:rFonts w:cs="Arial"/>
          <w:snapToGrid w:val="0"/>
          <w:lang w:val="fr-FR"/>
        </w:rPr>
        <w:noBreakHyphen/>
        <w:t>quatrième session</w:t>
      </w:r>
    </w:p>
    <w:p w:rsidR="001826AD" w:rsidRPr="00092B17" w:rsidRDefault="001826AD" w:rsidP="001826AD">
      <w:pPr>
        <w:spacing w:after="120"/>
        <w:ind w:left="1134" w:hanging="567"/>
        <w:rPr>
          <w:rFonts w:cs="Arial"/>
          <w:snapToGrid w:val="0"/>
          <w:lang w:val="fr-FR"/>
        </w:rPr>
      </w:pPr>
      <w:r w:rsidRPr="00092B17">
        <w:rPr>
          <w:rFonts w:cs="Arial"/>
          <w:snapToGrid w:val="0"/>
          <w:lang w:val="fr-FR"/>
        </w:rPr>
        <w:t>20.</w:t>
      </w:r>
      <w:r w:rsidRPr="00092B17">
        <w:rPr>
          <w:rFonts w:cs="Arial"/>
          <w:snapToGrid w:val="0"/>
          <w:lang w:val="fr-FR"/>
        </w:rPr>
        <w:tab/>
        <w:t>Adoption du compte rendu (selon le temps disponible)</w:t>
      </w:r>
    </w:p>
    <w:p w:rsidR="001826AD" w:rsidRPr="00092B17" w:rsidRDefault="001826AD" w:rsidP="001826AD">
      <w:pPr>
        <w:ind w:left="567"/>
        <w:rPr>
          <w:snapToGrid w:val="0"/>
          <w:lang w:val="fr-FR"/>
        </w:rPr>
      </w:pPr>
      <w:r w:rsidRPr="00092B17">
        <w:rPr>
          <w:snapToGrid w:val="0"/>
          <w:lang w:val="fr-FR"/>
        </w:rPr>
        <w:t>21.</w:t>
      </w:r>
      <w:r w:rsidRPr="00092B17">
        <w:rPr>
          <w:snapToGrid w:val="0"/>
          <w:lang w:val="fr-FR"/>
        </w:rPr>
        <w:tab/>
        <w:t>Clôture de la session</w:t>
      </w:r>
    </w:p>
    <w:p w:rsidR="001826AD" w:rsidRPr="00092B17" w:rsidRDefault="001826AD" w:rsidP="001826AD">
      <w:pPr>
        <w:ind w:left="567"/>
        <w:rPr>
          <w:snapToGrid w:val="0"/>
          <w:lang w:val="fr-FR"/>
        </w:rPr>
      </w:pPr>
    </w:p>
    <w:p w:rsidR="001826AD" w:rsidRPr="00092B17" w:rsidRDefault="001826AD" w:rsidP="006B4271">
      <w:pPr>
        <w:keepNext/>
        <w:keepLines/>
        <w:rPr>
          <w:u w:val="single"/>
          <w:lang w:val="fr-FR"/>
        </w:rPr>
      </w:pPr>
      <w:r w:rsidRPr="00092B17">
        <w:rPr>
          <w:u w:val="single"/>
          <w:lang w:val="fr-FR"/>
        </w:rPr>
        <w:t>Président et vice</w:t>
      </w:r>
      <w:r w:rsidRPr="00092B17">
        <w:rPr>
          <w:u w:val="single"/>
          <w:lang w:val="fr-FR"/>
        </w:rPr>
        <w:noBreakHyphen/>
        <w:t>président</w:t>
      </w:r>
    </w:p>
    <w:p w:rsidR="001826AD" w:rsidRPr="00092B17" w:rsidRDefault="001826AD" w:rsidP="006B4271">
      <w:pPr>
        <w:keepNext/>
        <w:keepLines/>
        <w:rPr>
          <w:lang w:val="fr-FR"/>
        </w:rPr>
      </w:pPr>
    </w:p>
    <w:p w:rsidR="001826AD" w:rsidRPr="00092B17" w:rsidRDefault="001826AD" w:rsidP="006B4271">
      <w:pPr>
        <w:keepNext/>
        <w:keepLines/>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 xml:space="preserve">Le TC prend note que le mandat de la présidence de M. Alejandro </w:t>
      </w:r>
      <w:proofErr w:type="spellStart"/>
      <w:r w:rsidRPr="00092B17">
        <w:rPr>
          <w:lang w:val="fr-FR"/>
        </w:rPr>
        <w:t>Barrientos</w:t>
      </w:r>
      <w:proofErr w:type="spellEnd"/>
      <w:r w:rsidRPr="00092B17">
        <w:rPr>
          <w:lang w:val="fr-FR"/>
        </w:rPr>
        <w:t xml:space="preserve"> </w:t>
      </w:r>
      <w:proofErr w:type="spellStart"/>
      <w:r w:rsidRPr="00092B17">
        <w:rPr>
          <w:lang w:val="fr-FR"/>
        </w:rPr>
        <w:t>Priego</w:t>
      </w:r>
      <w:proofErr w:type="spellEnd"/>
      <w:r w:rsidRPr="00092B17">
        <w:rPr>
          <w:lang w:val="fr-FR"/>
        </w:rPr>
        <w:t xml:space="preserve"> (Mexique) arriverait à son terme à la clôture de la prochaine session ordinaire du Conseil en octobre.  Il a proposé au Conseil d’élire M. Kees van </w:t>
      </w:r>
      <w:proofErr w:type="spellStart"/>
      <w:r w:rsidRPr="00092B17">
        <w:rPr>
          <w:lang w:val="fr-FR"/>
        </w:rPr>
        <w:t>Ettekoven</w:t>
      </w:r>
      <w:proofErr w:type="spellEnd"/>
      <w:r w:rsidRPr="00092B17">
        <w:rPr>
          <w:lang w:val="fr-FR"/>
        </w:rPr>
        <w:t xml:space="preserve"> (Pays</w:t>
      </w:r>
      <w:r w:rsidRPr="00092B17">
        <w:rPr>
          <w:lang w:val="fr-FR"/>
        </w:rPr>
        <w:noBreakHyphen/>
        <w:t>Bas) nouveau président et M. Nik Hulse (Australie) nouveau vice</w:t>
      </w:r>
      <w:r w:rsidRPr="00092B17">
        <w:rPr>
          <w:lang w:val="fr-FR"/>
        </w:rPr>
        <w:noBreakHyphen/>
        <w:t>président du TC pour les trois années à venir.</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pStyle w:val="Heading2"/>
        <w:rPr>
          <w:lang w:val="fr-FR"/>
        </w:rPr>
      </w:pPr>
      <w:r w:rsidRPr="00092B17">
        <w:rPr>
          <w:lang w:val="fr-FR"/>
        </w:rPr>
        <w:t>Médaille de l’UPOV</w:t>
      </w:r>
    </w:p>
    <w:p w:rsidR="001826AD" w:rsidRPr="00092B17" w:rsidRDefault="001826AD" w:rsidP="001826AD">
      <w:pPr>
        <w:rPr>
          <w:lang w:val="fr-FR"/>
        </w:rPr>
      </w:pPr>
    </w:p>
    <w:p w:rsidR="001826AD" w:rsidRPr="00092B17" w:rsidRDefault="001826AD" w:rsidP="001826AD">
      <w:pPr>
        <w:autoSpaceDE w:val="0"/>
        <w:autoSpaceDN w:val="0"/>
        <w:adjustRightInd w:val="0"/>
        <w:rPr>
          <w:lang w:val="fr-FR"/>
        </w:rPr>
      </w:pPr>
      <w:r w:rsidRPr="00092B17">
        <w:rPr>
          <w:rFonts w:cs="Arial"/>
          <w:lang w:val="fr-FR"/>
        </w:rPr>
        <w:fldChar w:fldCharType="begin"/>
      </w:r>
      <w:r w:rsidRPr="00092B17">
        <w:rPr>
          <w:rFonts w:cs="Arial"/>
          <w:lang w:val="fr-FR"/>
        </w:rPr>
        <w:instrText xml:space="preserve"> AUTONUM  </w:instrText>
      </w:r>
      <w:r w:rsidRPr="00092B17">
        <w:rPr>
          <w:rFonts w:cs="Arial"/>
          <w:lang w:val="fr-FR"/>
        </w:rPr>
        <w:fldChar w:fldCharType="end"/>
      </w:r>
      <w:r w:rsidRPr="00092B17">
        <w:rPr>
          <w:rFonts w:cs="Arial"/>
          <w:lang w:val="fr-FR"/>
        </w:rPr>
        <w:tab/>
        <w:t>À la clôture de la session, M. </w:t>
      </w:r>
      <w:r w:rsidRPr="00092B17">
        <w:rPr>
          <w:lang w:val="fr-FR"/>
        </w:rPr>
        <w:t>Alejandro Barrientos</w:t>
      </w:r>
      <w:r w:rsidRPr="00092B17">
        <w:rPr>
          <w:lang w:val="fr-FR"/>
        </w:rPr>
        <w:noBreakHyphen/>
        <w:t xml:space="preserve">Priego </w:t>
      </w:r>
      <w:r w:rsidRPr="00092B17">
        <w:rPr>
          <w:rFonts w:cs="Arial"/>
          <w:lang w:val="fr-FR"/>
        </w:rPr>
        <w:t xml:space="preserve">(Mexique) s’est vu décerner une médaille d’argent de l’UPOV </w:t>
      </w:r>
      <w:proofErr w:type="spellStart"/>
      <w:r w:rsidRPr="00092B17">
        <w:rPr>
          <w:rFonts w:cs="Arial"/>
          <w:lang w:val="fr-FR"/>
        </w:rPr>
        <w:t>Silver</w:t>
      </w:r>
      <w:proofErr w:type="spellEnd"/>
      <w:r w:rsidRPr="00092B17">
        <w:rPr>
          <w:rFonts w:cs="Arial"/>
          <w:lang w:val="fr-FR"/>
        </w:rPr>
        <w:t xml:space="preserve"> Medal à la fin de son mandat de président du TC, entre 2014 et 2016.  En lui remettant cette médaille, M. Francis Gurry, </w:t>
      </w:r>
      <w:r w:rsidRPr="00092B17">
        <w:rPr>
          <w:rFonts w:cs="Arial"/>
          <w:szCs w:val="24"/>
          <w:lang w:val="fr-FR"/>
        </w:rPr>
        <w:t>Secrétaire général de l’UPOV, a rappelé que M. </w:t>
      </w:r>
      <w:r w:rsidRPr="00092B17">
        <w:rPr>
          <w:lang w:val="fr-FR"/>
        </w:rPr>
        <w:t>Barrientos</w:t>
      </w:r>
      <w:r w:rsidRPr="00092B17">
        <w:rPr>
          <w:lang w:val="fr-FR"/>
        </w:rPr>
        <w:noBreakHyphen/>
        <w:t xml:space="preserve">Priego avait été le représentant du Mexique au sein du TWF de l’UPOV à compter de 1999, et que durant cette période, il avait assumé la fonction d’expert principal pour neuf principes directeurs d’examen de l’UPOV (figuier de barbarie et </w:t>
      </w:r>
      <w:proofErr w:type="spellStart"/>
      <w:r w:rsidRPr="00092B17">
        <w:rPr>
          <w:lang w:val="fr-FR"/>
        </w:rPr>
        <w:t>xoconostles</w:t>
      </w:r>
      <w:proofErr w:type="spellEnd"/>
      <w:r w:rsidRPr="00092B17">
        <w:rPr>
          <w:lang w:val="fr-FR"/>
        </w:rPr>
        <w:t>, avocatier, aubépine, vanillier, cacaoyer, pitaya, pacanier, papayer et porte</w:t>
      </w:r>
      <w:r w:rsidRPr="00092B17">
        <w:rPr>
          <w:lang w:val="fr-FR"/>
        </w:rPr>
        <w:noBreakHyphen/>
        <w:t>greffe de l’avocatier);  et que, auparavant, il avait été président du TWF de 2006 à 2008, vice</w:t>
      </w:r>
      <w:r w:rsidRPr="00092B17">
        <w:rPr>
          <w:lang w:val="fr-FR"/>
        </w:rPr>
        <w:noBreakHyphen/>
        <w:t>président du TC de 2011 à 2013 et président du BMT de 2012 à 2014.  M. Barrientos</w:t>
      </w:r>
      <w:r w:rsidRPr="00092B17">
        <w:rPr>
          <w:lang w:val="fr-FR"/>
        </w:rPr>
        <w:noBreakHyphen/>
        <w:t>Priego avait également été conférencier et formateur dans le cadre de plusieurs activités de renforcement des capacités en Amérique latine et les Caraïbes.</w:t>
      </w:r>
    </w:p>
    <w:p w:rsidR="001826AD" w:rsidRPr="00092B17" w:rsidRDefault="001826AD" w:rsidP="001826AD">
      <w:pPr>
        <w:autoSpaceDE w:val="0"/>
        <w:autoSpaceDN w:val="0"/>
        <w:adjustRightInd w:val="0"/>
        <w:rPr>
          <w:lang w:val="fr-FR"/>
        </w:rPr>
      </w:pPr>
    </w:p>
    <w:p w:rsidR="001826AD" w:rsidRPr="00092B17" w:rsidRDefault="001826AD" w:rsidP="001826AD">
      <w:pPr>
        <w:autoSpaceDE w:val="0"/>
        <w:autoSpaceDN w:val="0"/>
        <w:adjustRightInd w:val="0"/>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Parmi les progrès accomplis par le TC sous la présidence de M. Barrientos</w:t>
      </w:r>
      <w:r w:rsidRPr="00092B17">
        <w:rPr>
          <w:lang w:val="fr-FR"/>
        </w:rPr>
        <w:noBreakHyphen/>
        <w:t>Priego, M Gurry a souligné les suivants : la réalisation d’une étude pour trouver les moyens d’améliorer l’efficacité du TC, des groupes de travail techniques et des ateliers préparatoires, l’introduction de “débats ouverts” sur une série de questions au sein du TC, l’organisation d’un atelier conjoint UPOV/OCDE/ISTA sur les techniques moléculaires, l’adoption du document INF/22 “Logiciels et équipements utilisés par les membres de l’Union”, la révision des documents TGP/7 “Élaboration des principes directeurs d’examen”, TGP/8 “Protocole d’essai et techniques utilisées dans l’examen de la distinction, de l’homogénéité et de la stabilité”, TGP/9 “Examen de la distinction” et TGP/14 “Glossaire des termes utilisés dans les documents de l’UPOV”, l’introduction du modèle de principes directeurs d’examen en ligne pour faciliter l’élaboration des principes directeurs d’examen et l’adoption de 56 principes directeurs d’examen nouveaux ou révisés.</w:t>
      </w:r>
    </w:p>
    <w:p w:rsidR="001826AD" w:rsidRPr="00092B17" w:rsidRDefault="001826AD" w:rsidP="001826AD">
      <w:pPr>
        <w:rPr>
          <w:lang w:val="fr-FR"/>
        </w:rPr>
      </w:pPr>
    </w:p>
    <w:p w:rsidR="001826AD" w:rsidRPr="00092B17" w:rsidRDefault="001826AD" w:rsidP="001826AD">
      <w:pPr>
        <w:pStyle w:val="DecisionParagraphs"/>
        <w:rPr>
          <w:lang w:val="fr-FR"/>
        </w:rPr>
      </w:pPr>
      <w:r w:rsidRPr="00092B17">
        <w:rPr>
          <w:lang w:val="fr-FR"/>
        </w:rPr>
        <w:fldChar w:fldCharType="begin"/>
      </w:r>
      <w:r w:rsidRPr="00092B17">
        <w:rPr>
          <w:lang w:val="fr-FR"/>
        </w:rPr>
        <w:instrText xml:space="preserve"> AUTONUM  </w:instrText>
      </w:r>
      <w:r w:rsidRPr="00092B17">
        <w:rPr>
          <w:lang w:val="fr-FR"/>
        </w:rPr>
        <w:fldChar w:fldCharType="end"/>
      </w:r>
      <w:r w:rsidRPr="00092B17">
        <w:rPr>
          <w:lang w:val="fr-FR"/>
        </w:rPr>
        <w:tab/>
        <w:t>Le TC adopte le présent compte rendu à la clôture de sa session le 16 mars 2016.</w:t>
      </w: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rPr>
          <w:lang w:val="fr-FR"/>
        </w:rPr>
      </w:pPr>
    </w:p>
    <w:p w:rsidR="001826AD" w:rsidRPr="00092B17" w:rsidRDefault="001826AD" w:rsidP="001826AD">
      <w:pPr>
        <w:jc w:val="right"/>
        <w:rPr>
          <w:lang w:val="fr-FR"/>
        </w:rPr>
      </w:pPr>
      <w:r w:rsidRPr="00092B17">
        <w:rPr>
          <w:lang w:val="fr-FR"/>
        </w:rPr>
        <w:t>[Les annexes suivent]</w:t>
      </w:r>
    </w:p>
    <w:p w:rsidR="001826AD" w:rsidRPr="00092B17" w:rsidRDefault="001826AD" w:rsidP="001826AD">
      <w:pPr>
        <w:rPr>
          <w:lang w:val="fr-FR"/>
        </w:rPr>
      </w:pPr>
    </w:p>
    <w:p w:rsidR="001826AD" w:rsidRPr="00092B17" w:rsidRDefault="001826AD" w:rsidP="001826AD">
      <w:pPr>
        <w:rPr>
          <w:lang w:val="fr-FR"/>
        </w:rPr>
        <w:sectPr w:rsidR="001826AD" w:rsidRPr="00092B17" w:rsidSect="009719D9">
          <w:headerReference w:type="default" r:id="rId10"/>
          <w:pgSz w:w="11907" w:h="16840" w:code="9"/>
          <w:pgMar w:top="510" w:right="1134" w:bottom="1134" w:left="1134" w:header="510" w:footer="680" w:gutter="0"/>
          <w:cols w:space="720"/>
          <w:titlePg/>
          <w:docGrid w:linePitch="272"/>
        </w:sectPr>
      </w:pPr>
    </w:p>
    <w:p w:rsidR="001826AD" w:rsidRPr="00092B17" w:rsidRDefault="00914363" w:rsidP="004570E2">
      <w:pPr>
        <w:jc w:val="center"/>
        <w:rPr>
          <w:lang w:val="fr-FR"/>
        </w:rPr>
      </w:pPr>
      <w:r>
        <w:rPr>
          <w:lang w:val="fr-FR"/>
        </w:rPr>
        <w:t xml:space="preserve">TC/52/29 </w:t>
      </w:r>
      <w:proofErr w:type="spellStart"/>
      <w:r>
        <w:rPr>
          <w:lang w:val="fr-FR"/>
        </w:rPr>
        <w:t>R</w:t>
      </w:r>
      <w:r w:rsidR="004570E2">
        <w:rPr>
          <w:lang w:val="fr-FR"/>
        </w:rPr>
        <w:t>ev</w:t>
      </w:r>
      <w:proofErr w:type="spellEnd"/>
      <w:r>
        <w:rPr>
          <w:lang w:val="fr-FR"/>
        </w:rPr>
        <w:t>.</w:t>
      </w:r>
    </w:p>
    <w:p w:rsidR="001826AD" w:rsidRPr="00092B17" w:rsidRDefault="001826AD" w:rsidP="001826AD">
      <w:pPr>
        <w:pStyle w:val="TitleofDoc"/>
        <w:spacing w:before="0"/>
        <w:rPr>
          <w:lang w:val="fr-FR"/>
        </w:rPr>
      </w:pPr>
    </w:p>
    <w:p w:rsidR="007B3C74" w:rsidRPr="00233D14" w:rsidRDefault="007B3C74" w:rsidP="007B3C74">
      <w:pPr>
        <w:pStyle w:val="TitleofDoc"/>
        <w:spacing w:before="0"/>
      </w:pPr>
      <w:r w:rsidRPr="00233D14">
        <w:t>annexe I / annex I / anlage I / anexo I</w:t>
      </w:r>
    </w:p>
    <w:p w:rsidR="007B3C74" w:rsidRPr="00233D14" w:rsidRDefault="007B3C74" w:rsidP="007B3C74">
      <w:pPr>
        <w:pStyle w:val="TitleofDoc"/>
        <w:spacing w:before="0"/>
      </w:pPr>
    </w:p>
    <w:p w:rsidR="007B3C74" w:rsidRPr="00233D14" w:rsidRDefault="007B3C74" w:rsidP="007B3C74">
      <w:pPr>
        <w:pStyle w:val="TitleofDoc"/>
        <w:spacing w:before="0"/>
      </w:pPr>
    </w:p>
    <w:p w:rsidR="007B3C74" w:rsidRDefault="007B3C74" w:rsidP="007B3C74">
      <w:pPr>
        <w:pStyle w:val="TitleofDoc"/>
        <w:spacing w:before="0"/>
        <w:rPr>
          <w:caps w:val="0"/>
        </w:rPr>
      </w:pPr>
      <w:r w:rsidRPr="00233D14">
        <w:t>LISTE DES PARTICIPANTS /</w:t>
      </w:r>
      <w:r w:rsidRPr="00233D14">
        <w:br/>
        <w:t>LIST OF PARTICIPANTS /</w:t>
      </w:r>
      <w:r w:rsidRPr="00233D14">
        <w:br/>
        <w:t>TEILNEHMERLISTE /</w:t>
      </w:r>
      <w:r w:rsidRPr="00233D14">
        <w:br/>
        <w:t>LISTA DE PARTICIPANTES</w:t>
      </w:r>
      <w:r w:rsidRPr="00233D14">
        <w:br/>
      </w:r>
      <w:r w:rsidRPr="00233D14">
        <w:br/>
        <w:t>(</w:t>
      </w:r>
      <w:proofErr w:type="spellStart"/>
      <w:r w:rsidRPr="00233D14">
        <w:rPr>
          <w:caps w:val="0"/>
        </w:rPr>
        <w:t>dans</w:t>
      </w:r>
      <w:proofErr w:type="spellEnd"/>
      <w:r w:rsidRPr="00233D14">
        <w:rPr>
          <w:caps w:val="0"/>
        </w:rPr>
        <w:t xml:space="preserve"> </w:t>
      </w:r>
      <w:proofErr w:type="spellStart"/>
      <w:r w:rsidRPr="00233D14">
        <w:rPr>
          <w:caps w:val="0"/>
        </w:rPr>
        <w:t>l’ordre</w:t>
      </w:r>
      <w:proofErr w:type="spellEnd"/>
      <w:r w:rsidRPr="00233D14">
        <w:rPr>
          <w:caps w:val="0"/>
        </w:rPr>
        <w:t xml:space="preserve"> </w:t>
      </w:r>
      <w:proofErr w:type="spellStart"/>
      <w:r w:rsidRPr="00233D14">
        <w:rPr>
          <w:caps w:val="0"/>
        </w:rPr>
        <w:t>alphabétique</w:t>
      </w:r>
      <w:proofErr w:type="spellEnd"/>
      <w:r w:rsidRPr="00233D14">
        <w:rPr>
          <w:caps w:val="0"/>
        </w:rPr>
        <w:t xml:space="preserve"> des </w:t>
      </w:r>
      <w:proofErr w:type="spellStart"/>
      <w:r w:rsidRPr="00233D14">
        <w:rPr>
          <w:caps w:val="0"/>
        </w:rPr>
        <w:t>noms</w:t>
      </w:r>
      <w:proofErr w:type="spellEnd"/>
      <w:r w:rsidRPr="00233D14">
        <w:rPr>
          <w:caps w:val="0"/>
        </w:rPr>
        <w:t xml:space="preserve"> </w:t>
      </w:r>
      <w:proofErr w:type="spellStart"/>
      <w:r w:rsidRPr="00233D14">
        <w:rPr>
          <w:caps w:val="0"/>
        </w:rPr>
        <w:t>français</w:t>
      </w:r>
      <w:proofErr w:type="spellEnd"/>
      <w:r w:rsidRPr="00233D14">
        <w:rPr>
          <w:caps w:val="0"/>
        </w:rPr>
        <w:t xml:space="preserve"> des </w:t>
      </w:r>
      <w:proofErr w:type="spellStart"/>
      <w:r w:rsidRPr="00233D14">
        <w:rPr>
          <w:caps w:val="0"/>
        </w:rPr>
        <w:t>membres</w:t>
      </w:r>
      <w:proofErr w:type="spellEnd"/>
      <w:r w:rsidRPr="00233D14">
        <w:rPr>
          <w:caps w:val="0"/>
        </w:rPr>
        <w:t xml:space="preserve"> / </w:t>
      </w:r>
      <w:r w:rsidRPr="00233D14">
        <w:rPr>
          <w:caps w:val="0"/>
        </w:rPr>
        <w:br/>
        <w:t xml:space="preserve">in the alphabetical order of the French names of the Members / </w:t>
      </w:r>
      <w:r w:rsidRPr="00233D14">
        <w:rPr>
          <w:caps w:val="0"/>
        </w:rPr>
        <w:br/>
        <w:t xml:space="preserve">in </w:t>
      </w:r>
      <w:proofErr w:type="spellStart"/>
      <w:r w:rsidRPr="00233D14">
        <w:rPr>
          <w:caps w:val="0"/>
        </w:rPr>
        <w:t>alphabetischer</w:t>
      </w:r>
      <w:proofErr w:type="spellEnd"/>
      <w:r w:rsidRPr="00233D14">
        <w:rPr>
          <w:caps w:val="0"/>
        </w:rPr>
        <w:t xml:space="preserve"> </w:t>
      </w:r>
      <w:proofErr w:type="spellStart"/>
      <w:r w:rsidRPr="00233D14">
        <w:rPr>
          <w:caps w:val="0"/>
        </w:rPr>
        <w:t>Reihenfolge</w:t>
      </w:r>
      <w:proofErr w:type="spellEnd"/>
      <w:r w:rsidRPr="00233D14">
        <w:rPr>
          <w:caps w:val="0"/>
        </w:rPr>
        <w:t xml:space="preserve"> der </w:t>
      </w:r>
      <w:proofErr w:type="spellStart"/>
      <w:r w:rsidRPr="00233D14">
        <w:rPr>
          <w:caps w:val="0"/>
        </w:rPr>
        <w:t>französischen</w:t>
      </w:r>
      <w:proofErr w:type="spellEnd"/>
      <w:r w:rsidRPr="00233D14">
        <w:rPr>
          <w:caps w:val="0"/>
        </w:rPr>
        <w:t xml:space="preserve"> </w:t>
      </w:r>
      <w:proofErr w:type="spellStart"/>
      <w:r w:rsidRPr="00233D14">
        <w:rPr>
          <w:caps w:val="0"/>
        </w:rPr>
        <w:t>Namen</w:t>
      </w:r>
      <w:proofErr w:type="spellEnd"/>
      <w:r w:rsidRPr="00233D14">
        <w:rPr>
          <w:caps w:val="0"/>
        </w:rPr>
        <w:t xml:space="preserve"> der </w:t>
      </w:r>
      <w:proofErr w:type="spellStart"/>
      <w:r w:rsidRPr="00233D14">
        <w:rPr>
          <w:caps w:val="0"/>
        </w:rPr>
        <w:t>Mitglieder</w:t>
      </w:r>
      <w:proofErr w:type="spellEnd"/>
      <w:r w:rsidRPr="00233D14">
        <w:rPr>
          <w:caps w:val="0"/>
        </w:rPr>
        <w:t xml:space="preserve"> / </w:t>
      </w:r>
      <w:r w:rsidRPr="00233D14">
        <w:rPr>
          <w:caps w:val="0"/>
        </w:rPr>
        <w:br/>
      </w:r>
      <w:proofErr w:type="spellStart"/>
      <w:r w:rsidRPr="00233D14">
        <w:rPr>
          <w:caps w:val="0"/>
        </w:rPr>
        <w:t>por</w:t>
      </w:r>
      <w:proofErr w:type="spellEnd"/>
      <w:r w:rsidRPr="00233D14">
        <w:rPr>
          <w:caps w:val="0"/>
        </w:rPr>
        <w:t xml:space="preserve"> </w:t>
      </w:r>
      <w:proofErr w:type="spellStart"/>
      <w:r w:rsidRPr="00233D14">
        <w:rPr>
          <w:caps w:val="0"/>
        </w:rPr>
        <w:t>orden</w:t>
      </w:r>
      <w:proofErr w:type="spellEnd"/>
      <w:r w:rsidRPr="00233D14">
        <w:rPr>
          <w:caps w:val="0"/>
        </w:rPr>
        <w:t xml:space="preserve"> </w:t>
      </w:r>
      <w:proofErr w:type="spellStart"/>
      <w:r w:rsidRPr="00233D14">
        <w:rPr>
          <w:caps w:val="0"/>
        </w:rPr>
        <w:t>alfabético</w:t>
      </w:r>
      <w:proofErr w:type="spellEnd"/>
      <w:r w:rsidRPr="00233D14">
        <w:rPr>
          <w:caps w:val="0"/>
        </w:rPr>
        <w:t xml:space="preserve"> de </w:t>
      </w:r>
      <w:proofErr w:type="spellStart"/>
      <w:r w:rsidRPr="00233D14">
        <w:rPr>
          <w:caps w:val="0"/>
        </w:rPr>
        <w:t>los</w:t>
      </w:r>
      <w:proofErr w:type="spellEnd"/>
      <w:r w:rsidRPr="00233D14">
        <w:rPr>
          <w:caps w:val="0"/>
        </w:rPr>
        <w:t xml:space="preserve"> </w:t>
      </w:r>
      <w:proofErr w:type="spellStart"/>
      <w:r w:rsidRPr="00233D14">
        <w:rPr>
          <w:caps w:val="0"/>
        </w:rPr>
        <w:t>nombres</w:t>
      </w:r>
      <w:proofErr w:type="spellEnd"/>
      <w:r w:rsidRPr="00233D14">
        <w:rPr>
          <w:caps w:val="0"/>
        </w:rPr>
        <w:t xml:space="preserve"> </w:t>
      </w:r>
      <w:proofErr w:type="spellStart"/>
      <w:r w:rsidRPr="00233D14">
        <w:rPr>
          <w:caps w:val="0"/>
        </w:rPr>
        <w:t>en</w:t>
      </w:r>
      <w:proofErr w:type="spellEnd"/>
      <w:r w:rsidRPr="00233D14">
        <w:rPr>
          <w:caps w:val="0"/>
        </w:rPr>
        <w:t xml:space="preserve"> </w:t>
      </w:r>
      <w:proofErr w:type="spellStart"/>
      <w:r w:rsidRPr="00233D14">
        <w:rPr>
          <w:caps w:val="0"/>
        </w:rPr>
        <w:t>francés</w:t>
      </w:r>
      <w:proofErr w:type="spellEnd"/>
      <w:r w:rsidRPr="00233D14">
        <w:rPr>
          <w:caps w:val="0"/>
        </w:rPr>
        <w:t xml:space="preserve"> de </w:t>
      </w:r>
      <w:proofErr w:type="spellStart"/>
      <w:r w:rsidRPr="00233D14">
        <w:rPr>
          <w:caps w:val="0"/>
        </w:rPr>
        <w:t>los</w:t>
      </w:r>
      <w:proofErr w:type="spellEnd"/>
      <w:r w:rsidRPr="00233D14">
        <w:rPr>
          <w:caps w:val="0"/>
        </w:rPr>
        <w:t xml:space="preserve"> </w:t>
      </w:r>
      <w:proofErr w:type="spellStart"/>
      <w:r w:rsidRPr="00233D14">
        <w:rPr>
          <w:caps w:val="0"/>
        </w:rPr>
        <w:t>miembros</w:t>
      </w:r>
      <w:proofErr w:type="spellEnd"/>
      <w:r w:rsidRPr="00233D14">
        <w:rPr>
          <w:caps w:val="0"/>
        </w:rPr>
        <w:t>)</w:t>
      </w:r>
    </w:p>
    <w:p w:rsidR="007B3C74" w:rsidRDefault="007B3C74" w:rsidP="007B3C74">
      <w:pPr>
        <w:pStyle w:val="TitleofDoc"/>
        <w:spacing w:before="0"/>
        <w:rPr>
          <w:caps w:val="0"/>
        </w:rPr>
      </w:pPr>
    </w:p>
    <w:p w:rsidR="007B3C74" w:rsidRPr="00D63BDD" w:rsidRDefault="007B3C74" w:rsidP="007B3C74">
      <w:pPr>
        <w:pStyle w:val="plheading"/>
        <w:rPr>
          <w:lang w:val="de-DE"/>
        </w:rPr>
      </w:pPr>
      <w:r w:rsidRPr="00D63BDD">
        <w:rPr>
          <w:lang w:val="de-DE"/>
        </w:rPr>
        <w:t>I. MEMBRES / MEMBERS / VERBANDSMITGLIEDER / MIEMBROS</w:t>
      </w:r>
    </w:p>
    <w:p w:rsidR="007B3C74" w:rsidRPr="00087710" w:rsidRDefault="007B3C74" w:rsidP="007B3C74">
      <w:pPr>
        <w:pStyle w:val="plcountry"/>
        <w:rPr>
          <w:lang w:val="de-DE"/>
        </w:rPr>
      </w:pPr>
      <w:r w:rsidRPr="00841411">
        <w:rPr>
          <w:lang w:val="de-DE"/>
        </w:rPr>
        <w:t>ALLEMAGNE / GERMANY / DEUTSCHLAND / ALEMANIA</w:t>
      </w:r>
    </w:p>
    <w:p w:rsidR="007B3C74" w:rsidRDefault="007B3C74" w:rsidP="007B3C74">
      <w:pPr>
        <w:pStyle w:val="pldetails"/>
        <w:rPr>
          <w:lang w:val="de-DE"/>
        </w:rPr>
      </w:pPr>
      <w:r>
        <w:rPr>
          <w:lang w:val="de-DE"/>
        </w:rPr>
        <w:t>Beate RÜCKER (M</w:t>
      </w:r>
      <w:r w:rsidRPr="00841411">
        <w:rPr>
          <w:lang w:val="de-DE"/>
        </w:rPr>
        <w:t>s.), Abteilungsleiterin Registerprüfung, Bundessortenamt, Hannover</w:t>
      </w:r>
      <w:r w:rsidRPr="00841411">
        <w:rPr>
          <w:lang w:val="de-DE"/>
        </w:rPr>
        <w:br/>
        <w:t xml:space="preserve">(e-mail: beate.ruecker@bundessortenamt.de) </w:t>
      </w:r>
    </w:p>
    <w:p w:rsidR="007B3C74" w:rsidRPr="007A3873" w:rsidRDefault="007B3C74" w:rsidP="007B3C74">
      <w:pPr>
        <w:pStyle w:val="pldetails"/>
      </w:pPr>
      <w:r w:rsidRPr="007A3873">
        <w:t>Swenja TAMS</w:t>
      </w:r>
      <w:r>
        <w:t xml:space="preserve"> (Ms.), </w:t>
      </w:r>
      <w:r w:rsidRPr="007A3873">
        <w:t>Head of Section General affairs of DUS testing</w:t>
      </w:r>
      <w:r>
        <w:t xml:space="preserve">, </w:t>
      </w:r>
      <w:r w:rsidRPr="007A3873">
        <w:t xml:space="preserve">Bundessortenamt, Hannover </w:t>
      </w:r>
      <w:r>
        <w:br/>
        <w:t>(e-</w:t>
      </w:r>
      <w:r w:rsidRPr="007A3873">
        <w:t>mail: Swenja.Tams@bundessortenamt.de</w:t>
      </w:r>
      <w:r>
        <w:t>)</w:t>
      </w:r>
    </w:p>
    <w:p w:rsidR="007B3C74" w:rsidRPr="002416E8" w:rsidRDefault="007B3C74" w:rsidP="007B3C74">
      <w:pPr>
        <w:pStyle w:val="plcountry"/>
        <w:rPr>
          <w:lang w:val="es-ES_tradnl"/>
        </w:rPr>
      </w:pPr>
      <w:r w:rsidRPr="002416E8">
        <w:rPr>
          <w:lang w:val="es-ES_tradnl"/>
        </w:rPr>
        <w:t>ARGENTINE / ARGENTINA / ARGENTINIEN / ARGENTINA</w:t>
      </w:r>
    </w:p>
    <w:p w:rsidR="007B3C74" w:rsidRPr="003F5638" w:rsidRDefault="007B3C74" w:rsidP="007B3C74">
      <w:pPr>
        <w:pStyle w:val="pldetails"/>
        <w:rPr>
          <w:lang w:val="es-ES"/>
        </w:rPr>
      </w:pPr>
      <w:r w:rsidRPr="003F5638">
        <w:rPr>
          <w:lang w:val="es-ES"/>
        </w:rPr>
        <w:t xml:space="preserve">María Inés RODRIGUEZ (Sra.), Consejera, Misión Permanente de la República Argentina, Ginebra </w:t>
      </w:r>
      <w:r w:rsidRPr="003F5638">
        <w:rPr>
          <w:lang w:val="es-ES"/>
        </w:rPr>
        <w:br/>
        <w:t>(e-mail: mariaines.rodriguez@missionarg.ch)</w:t>
      </w:r>
    </w:p>
    <w:p w:rsidR="007B3C74" w:rsidRPr="003F5638" w:rsidRDefault="007B3C74" w:rsidP="007B3C74">
      <w:pPr>
        <w:pStyle w:val="plcountry"/>
      </w:pPr>
      <w:r w:rsidRPr="003F5638">
        <w:t>AUSTRALIE / AUSTRALIA / AUSTRALIEN / AUSTRALIA</w:t>
      </w:r>
    </w:p>
    <w:p w:rsidR="007B3C74" w:rsidRPr="00841411" w:rsidRDefault="007B3C74" w:rsidP="007B3C74">
      <w:pPr>
        <w:pStyle w:val="pldetails"/>
      </w:pPr>
      <w:r w:rsidRPr="003F5638">
        <w:t xml:space="preserve">Tanvir HOSSAIN, Senior Examiner, Plant Breeder's Rights Office, IP Australia, </w:t>
      </w:r>
      <w:r w:rsidRPr="00841411">
        <w:t>Woden</w:t>
      </w:r>
      <w:r w:rsidRPr="00841411">
        <w:br/>
        <w:t xml:space="preserve">(e-mail: tanvir.hossain@ipaustralia.gov.au) </w:t>
      </w:r>
    </w:p>
    <w:p w:rsidR="007B3C74" w:rsidRPr="00841411" w:rsidRDefault="007B3C74" w:rsidP="007B3C74">
      <w:pPr>
        <w:pStyle w:val="plcountry"/>
        <w:rPr>
          <w:lang w:val="de-DE"/>
        </w:rPr>
      </w:pPr>
      <w:r w:rsidRPr="00841411">
        <w:rPr>
          <w:lang w:val="de-DE"/>
        </w:rPr>
        <w:t>AUTRICHE / AUSTRIA / ÖSTERREICH / AUSTRIA</w:t>
      </w:r>
    </w:p>
    <w:p w:rsidR="007B3C74" w:rsidRPr="00087710" w:rsidRDefault="007B3C74" w:rsidP="007B3C74">
      <w:pPr>
        <w:pStyle w:val="pldetails"/>
        <w:rPr>
          <w:lang w:val="de-DE"/>
        </w:rPr>
      </w:pPr>
      <w:r w:rsidRPr="00841411">
        <w:rPr>
          <w:lang w:val="de-DE"/>
        </w:rPr>
        <w:t>Barbara FÜRNWEGER (Frau), Leiterin, Abteilung Sortenschutz und Registerprüfung, Institut für Saat- und Pflanzgut, Pflanzenschutzdienst und Bienen, Österreichische Agentur für Gesundheit und Ernährungssicherheit GmbH, Wien</w:t>
      </w:r>
      <w:r w:rsidRPr="00841411">
        <w:rPr>
          <w:lang w:val="de-DE"/>
        </w:rPr>
        <w:br/>
      </w:r>
      <w:r w:rsidRPr="00087710">
        <w:rPr>
          <w:lang w:val="de-DE"/>
        </w:rPr>
        <w:t xml:space="preserve">(e-mail: barbara.fuernweger@ages.at) </w:t>
      </w:r>
    </w:p>
    <w:p w:rsidR="007B3C74" w:rsidRPr="001C7017" w:rsidRDefault="007B3C74" w:rsidP="007B3C74">
      <w:pPr>
        <w:pStyle w:val="plcountry"/>
        <w:rPr>
          <w:lang w:val="pt-BR"/>
        </w:rPr>
      </w:pPr>
      <w:r w:rsidRPr="001C7017">
        <w:rPr>
          <w:lang w:val="pt-BR"/>
        </w:rPr>
        <w:t>BRÉSIL / BRAZIL / BRASILIEN / BRASIL</w:t>
      </w:r>
    </w:p>
    <w:p w:rsidR="007B3C74" w:rsidRPr="001C7017" w:rsidRDefault="007B3C74" w:rsidP="007B3C74">
      <w:pPr>
        <w:pStyle w:val="pldetails"/>
        <w:rPr>
          <w:lang w:val="pt-BR"/>
        </w:rPr>
      </w:pPr>
      <w:r w:rsidRPr="001C7017">
        <w:rPr>
          <w:lang w:val="pt-BR"/>
        </w:rPr>
        <w:t>Ricardo ZANATTA MACHADO, Fiscal Federal Agropecuário, Coordinador del SNPC, Servicio Nacional de Proteção de Cultivares (SNPC), Ministério da Agricultura, Pecuária e Abastecimento, Brasilia</w:t>
      </w:r>
      <w:r w:rsidRPr="001C7017">
        <w:rPr>
          <w:lang w:val="pt-BR"/>
        </w:rPr>
        <w:br/>
        <w:t xml:space="preserve">(e-mail: ricardo.machado@agricultura.gov.br) </w:t>
      </w:r>
    </w:p>
    <w:p w:rsidR="007B3C74" w:rsidRPr="001C7017" w:rsidRDefault="007B3C74" w:rsidP="007B3C74">
      <w:pPr>
        <w:pStyle w:val="pldetails"/>
        <w:rPr>
          <w:lang w:val="pt-BR"/>
        </w:rPr>
      </w:pPr>
      <w:r w:rsidRPr="001C7017">
        <w:rPr>
          <w:lang w:val="pt-BR"/>
        </w:rPr>
        <w:t xml:space="preserve">Caué Oliveira FANHA, Third Secretary, Divisão de Propriedade Intelectual (DIPI) / Intellectual Property Division, Ministério das Relações Exteriores, Brasilia </w:t>
      </w:r>
      <w:r w:rsidRPr="001C7017">
        <w:rPr>
          <w:lang w:val="pt-BR"/>
        </w:rPr>
        <w:br/>
        <w:t>(e-mail: caue.fanha@itamaraty.gov.br)</w:t>
      </w:r>
    </w:p>
    <w:p w:rsidR="007B3C74" w:rsidRPr="005474C0" w:rsidRDefault="007B3C74" w:rsidP="007B3C74">
      <w:pPr>
        <w:pStyle w:val="plcountry"/>
      </w:pPr>
      <w:r w:rsidRPr="005474C0">
        <w:t>CANADA / CANADA / KANADA / CANADÁ</w:t>
      </w:r>
    </w:p>
    <w:p w:rsidR="007B3C74" w:rsidRPr="00D2267F" w:rsidRDefault="007B3C74" w:rsidP="007B3C74">
      <w:pPr>
        <w:pStyle w:val="pldetails"/>
      </w:pPr>
      <w:r w:rsidRPr="00D2267F">
        <w:t>Anthony PARKER, Commissioner, Plant Breeders' Rights Office, Canadian Food Inspection Agency (CFIA), Ottawa</w:t>
      </w:r>
      <w:r>
        <w:br/>
        <w:t>(e-mail: </w:t>
      </w:r>
      <w:r w:rsidRPr="00D2267F">
        <w:t xml:space="preserve">anthony.parker@inspection.gc.ca) </w:t>
      </w:r>
    </w:p>
    <w:p w:rsidR="007B3C74" w:rsidRPr="002416E8" w:rsidRDefault="007B3C74" w:rsidP="007B3C74">
      <w:pPr>
        <w:pStyle w:val="plcountry"/>
        <w:rPr>
          <w:lang w:val="es-ES_tradnl"/>
        </w:rPr>
      </w:pPr>
      <w:r w:rsidRPr="002416E8">
        <w:rPr>
          <w:lang w:val="es-ES_tradnl"/>
        </w:rPr>
        <w:t>CHILI / CHILE / CHILE / CHILE</w:t>
      </w:r>
    </w:p>
    <w:p w:rsidR="007B3C74" w:rsidRPr="002416E8" w:rsidRDefault="007B3C74" w:rsidP="007B3C74">
      <w:pPr>
        <w:pStyle w:val="pldetails"/>
        <w:rPr>
          <w:lang w:val="es-ES_tradnl"/>
        </w:rPr>
      </w:pPr>
      <w:r w:rsidRPr="002416E8">
        <w:rPr>
          <w:lang w:val="es-ES_tradnl"/>
        </w:rPr>
        <w:t>Guillermo Federico APARICIO MUÑOZ, Jefe División Semillas Servicio Agricola y Ganadero (SAG), División Semillas, Servicio Agrícola y Ganadero (SAG), Santiago de Chile</w:t>
      </w:r>
      <w:r w:rsidRPr="002416E8">
        <w:rPr>
          <w:lang w:val="es-ES_tradnl"/>
        </w:rPr>
        <w:br/>
        <w:t xml:space="preserve">(e-mail: guillermo.aparicio@sag.gob.cl) </w:t>
      </w:r>
    </w:p>
    <w:p w:rsidR="007B3C74" w:rsidRPr="002416E8" w:rsidRDefault="007B3C74" w:rsidP="007B3C74">
      <w:pPr>
        <w:pStyle w:val="pldetails"/>
        <w:rPr>
          <w:lang w:val="es-ES_tradnl"/>
        </w:rPr>
      </w:pPr>
      <w:r w:rsidRPr="002416E8">
        <w:rPr>
          <w:lang w:val="es-ES_tradnl"/>
        </w:rPr>
        <w:t>Manuel TORO UGALDE, Jefe Sub Departamento, Registro de Variedades Protegidas, División Semillas, Servicio Agrícola y Ganadero (SAG), Santiago de Chile</w:t>
      </w:r>
      <w:r w:rsidRPr="002416E8">
        <w:rPr>
          <w:lang w:val="es-ES_tradnl"/>
        </w:rPr>
        <w:br/>
        <w:t xml:space="preserve">(e-mail: manuel.toro@sag.gob.cl) </w:t>
      </w:r>
    </w:p>
    <w:p w:rsidR="007B3C74" w:rsidRPr="00841411" w:rsidRDefault="007B3C74" w:rsidP="007B3C74">
      <w:pPr>
        <w:pStyle w:val="plcountry"/>
      </w:pPr>
      <w:r w:rsidRPr="00841411">
        <w:t>CHINE / CHINA / CHINA / CHINA</w:t>
      </w:r>
    </w:p>
    <w:p w:rsidR="007B3C74" w:rsidRPr="00841411" w:rsidRDefault="007B3C74" w:rsidP="007B3C74">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7B3C74" w:rsidRPr="00841411" w:rsidRDefault="007B3C74" w:rsidP="007B3C74">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7B3C74" w:rsidRDefault="007B3C74" w:rsidP="007B3C74">
      <w:pPr>
        <w:pStyle w:val="pldetails"/>
      </w:pPr>
      <w:r w:rsidRPr="00841411">
        <w:t>Ling ZHANG (Ms.), Division 2, State Intellectual Property Office (SIPO), Beijing</w:t>
      </w:r>
      <w:r w:rsidRPr="00841411">
        <w:br/>
        <w:t xml:space="preserve">(e-mail: zhangling_1@sipo.gov.cn) </w:t>
      </w:r>
    </w:p>
    <w:p w:rsidR="007B3C74" w:rsidRPr="00841411" w:rsidRDefault="007B3C74" w:rsidP="007B3C74">
      <w:pPr>
        <w:pStyle w:val="plcountry"/>
      </w:pPr>
      <w:r w:rsidRPr="00841411">
        <w:t>CROATIE / CROATIA / KROATIEN / CROACIA</w:t>
      </w:r>
    </w:p>
    <w:p w:rsidR="007B3C74" w:rsidRPr="00841411" w:rsidRDefault="007B3C74" w:rsidP="007B3C74">
      <w:pPr>
        <w:pStyle w:val="pldetails"/>
      </w:pPr>
      <w:r w:rsidRPr="008A277D">
        <w:t>Ivana BULAJIĆ (Ms.), Head of Plant Health Service, Directorate for Food Quality and Fitosanitary Policy, Zagreb</w:t>
      </w:r>
      <w:r w:rsidRPr="008A277D">
        <w:br/>
        <w:t>(e-mail: ivana.bulajic@mps.hr)</w:t>
      </w:r>
      <w:r w:rsidRPr="00841411">
        <w:t xml:space="preserve"> </w:t>
      </w:r>
    </w:p>
    <w:p w:rsidR="007B3C74" w:rsidRPr="002416E8" w:rsidRDefault="007B3C74" w:rsidP="007B3C74">
      <w:pPr>
        <w:pStyle w:val="plcountry"/>
        <w:rPr>
          <w:lang w:val="es-ES_tradnl"/>
        </w:rPr>
      </w:pPr>
      <w:r w:rsidRPr="002416E8">
        <w:rPr>
          <w:lang w:val="es-ES_tradnl"/>
        </w:rPr>
        <w:t>COLOMBIE / COLOMBIA / KOLUMBIEN / COLOMBIA</w:t>
      </w:r>
    </w:p>
    <w:p w:rsidR="007B3C74" w:rsidRPr="002416E8" w:rsidRDefault="007B3C74" w:rsidP="007B3C74">
      <w:pPr>
        <w:pStyle w:val="pldetails"/>
        <w:rPr>
          <w:lang w:val="es-ES_tradnl"/>
        </w:rPr>
      </w:pPr>
      <w:r w:rsidRPr="00FA6E12">
        <w:rPr>
          <w:lang w:val="es-ES_tradnl"/>
        </w:rPr>
        <w:t xml:space="preserve">Juan Camilo SARETZKI-FORERO, Consejero, Misión Permanente de Colombia, Genève </w:t>
      </w:r>
      <w:r w:rsidRPr="00FA6E12">
        <w:rPr>
          <w:lang w:val="es-ES_tradnl"/>
        </w:rPr>
        <w:br/>
        <w:t xml:space="preserve">(e-mail: </w:t>
      </w:r>
      <w:r w:rsidRPr="00FA6E12">
        <w:rPr>
          <w:rFonts w:cs="Arial"/>
          <w:lang w:val="es-ES_tradnl"/>
        </w:rPr>
        <w:t>juan.saretzki@misioncolombia.ch</w:t>
      </w:r>
      <w:r w:rsidRPr="00FA6E12">
        <w:rPr>
          <w:lang w:val="es-ES_tradnl"/>
        </w:rPr>
        <w:t>)</w:t>
      </w:r>
    </w:p>
    <w:p w:rsidR="007B3C74" w:rsidRPr="00841411" w:rsidRDefault="007B3C74" w:rsidP="007B3C74">
      <w:pPr>
        <w:pStyle w:val="plcountry"/>
      </w:pPr>
      <w:r w:rsidRPr="00841411">
        <w:t>DANEMARK / DENMARK / DÄNEMARK / DINAMARCA</w:t>
      </w:r>
    </w:p>
    <w:p w:rsidR="007B3C74" w:rsidRPr="00841411" w:rsidRDefault="007B3C74" w:rsidP="007B3C74">
      <w:pPr>
        <w:pStyle w:val="pldetails"/>
      </w:pPr>
      <w:r w:rsidRPr="00841411">
        <w:t>Gerhard DENEKEN, Chief Executive, Tystofte Foundation, Skaelskoer</w:t>
      </w:r>
      <w:r w:rsidRPr="00841411">
        <w:br/>
        <w:t xml:space="preserve">(e-mail: gde@tystofte.dk) </w:t>
      </w:r>
    </w:p>
    <w:p w:rsidR="007B3C74" w:rsidRPr="002416E8" w:rsidRDefault="007B3C74" w:rsidP="007B3C74">
      <w:pPr>
        <w:pStyle w:val="plcountry"/>
        <w:rPr>
          <w:lang w:val="es-ES_tradnl"/>
        </w:rPr>
      </w:pPr>
      <w:r w:rsidRPr="00123A0A">
        <w:rPr>
          <w:lang w:val="es-ES_tradnl"/>
        </w:rPr>
        <w:t>ÉQUATEUR / ECUADOR / ECUADOR / ECUADOR</w:t>
      </w:r>
    </w:p>
    <w:p w:rsidR="007B3C74" w:rsidRDefault="007B3C74" w:rsidP="007B3C74">
      <w:pPr>
        <w:pStyle w:val="pldetails"/>
        <w:spacing w:line="240" w:lineRule="atLeast"/>
        <w:rPr>
          <w:lang w:val="es-ES_tradnl"/>
        </w:rPr>
      </w:pPr>
      <w:r>
        <w:rPr>
          <w:lang w:val="es-ES_tradnl"/>
        </w:rPr>
        <w:t>Ñusta MALDONADO (Sra.), Tercera Secretaria, Misión Permanente del Ecuador ante la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7B3C74" w:rsidRPr="002416E8" w:rsidRDefault="007B3C74" w:rsidP="007B3C74">
      <w:pPr>
        <w:pStyle w:val="plcountry"/>
        <w:rPr>
          <w:lang w:val="es-ES_tradnl"/>
        </w:rPr>
      </w:pPr>
      <w:r w:rsidRPr="002416E8">
        <w:rPr>
          <w:lang w:val="es-ES_tradnl"/>
        </w:rPr>
        <w:t>ESPAGNE / SPAIN / SPANIEN / ESPAÑA</w:t>
      </w:r>
    </w:p>
    <w:p w:rsidR="007B3C74" w:rsidRDefault="007B3C74" w:rsidP="007B3C74">
      <w:pPr>
        <w:pStyle w:val="pldetails"/>
        <w:rPr>
          <w:lang w:val="es-ES_tradnl"/>
        </w:rPr>
      </w:pPr>
      <w:r w:rsidRPr="002416E8">
        <w:rPr>
          <w:lang w:val="es-ES_tradnl"/>
        </w:rPr>
        <w:t xml:space="preserve">José Luis ALONSO PRADOS, Director Técnico, Dirección Técnica de Evaluación de Variedades y Productos Fitosantarios (DTEVPF), INIA, Madrid </w:t>
      </w:r>
      <w:r w:rsidRPr="002416E8">
        <w:rPr>
          <w:lang w:val="es-ES_tradnl"/>
        </w:rPr>
        <w:br/>
        <w:t xml:space="preserve">(e-mail: </w:t>
      </w:r>
      <w:hyperlink r:id="rId11" w:history="1">
        <w:r w:rsidRPr="002416E8">
          <w:rPr>
            <w:lang w:val="es-ES_tradnl"/>
          </w:rPr>
          <w:t>prados@inia.es</w:t>
        </w:r>
      </w:hyperlink>
      <w:r w:rsidRPr="002416E8">
        <w:rPr>
          <w:lang w:val="es-ES_tradnl"/>
        </w:rPr>
        <w:t xml:space="preserve">) </w:t>
      </w:r>
    </w:p>
    <w:p w:rsidR="007B3C74" w:rsidRDefault="007B3C74" w:rsidP="007B3C74">
      <w:pPr>
        <w:pStyle w:val="pldetails"/>
        <w:rPr>
          <w:lang w:val="es-ES_tradnl"/>
        </w:rPr>
      </w:pPr>
      <w:r w:rsidRPr="002416E8">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2416E8">
        <w:rPr>
          <w:lang w:val="es-ES_tradnl"/>
        </w:rPr>
        <w:br/>
        <w:t>(e-mail: </w:t>
      </w:r>
      <w:r w:rsidRPr="006F57F4">
        <w:rPr>
          <w:lang w:val="es-ES_tradnl"/>
        </w:rPr>
        <w:t>jasobrino@magrama.es</w:t>
      </w:r>
      <w:r w:rsidRPr="002416E8">
        <w:rPr>
          <w:lang w:val="es-ES_tradnl"/>
        </w:rPr>
        <w:t>)</w:t>
      </w:r>
    </w:p>
    <w:p w:rsidR="007B3C74" w:rsidRPr="00377E63" w:rsidRDefault="007B3C74" w:rsidP="007B3C74">
      <w:pPr>
        <w:pStyle w:val="pldetails"/>
        <w:rPr>
          <w:lang w:val="es-ES_tradnl"/>
        </w:rPr>
      </w:pPr>
      <w:r w:rsidRPr="00D11E1B">
        <w:rPr>
          <w:lang w:val="es-ES_tradnl"/>
        </w:rPr>
        <w:t xml:space="preserve">Luis SALAICES SÁNCHEZ, Ministerio de Agricultura, Alimentación y Medio Ambiente (MAGRAMA), Madrid </w:t>
      </w:r>
      <w:r w:rsidRPr="00D11E1B">
        <w:rPr>
          <w:lang w:val="es-ES_tradnl"/>
        </w:rPr>
        <w:br/>
        <w:t xml:space="preserve">(e-mail: </w:t>
      </w:r>
      <w:hyperlink r:id="rId12" w:history="1">
        <w:r w:rsidRPr="00D11E1B">
          <w:rPr>
            <w:lang w:val="es-ES_tradnl"/>
          </w:rPr>
          <w:t>luis.salaices@magrama.es</w:t>
        </w:r>
      </w:hyperlink>
      <w:r w:rsidRPr="00D11E1B">
        <w:rPr>
          <w:lang w:val="es-ES_tradnl"/>
        </w:rPr>
        <w:t>)</w:t>
      </w:r>
    </w:p>
    <w:p w:rsidR="007B3C74" w:rsidRPr="00087710" w:rsidRDefault="007B3C74" w:rsidP="007B3C74">
      <w:pPr>
        <w:pStyle w:val="plcountry"/>
      </w:pPr>
      <w:r w:rsidRPr="00087710">
        <w:t>ÉTATS-UNIS D'AMÉRIQUE / UNITED STATES OF AMERICA / VEREINIGTE STAATEN VON AMERIKA / ESTADOS UNIDOS DE AMÉRICA</w:t>
      </w:r>
    </w:p>
    <w:p w:rsidR="007B3C74" w:rsidRPr="00132466" w:rsidRDefault="007B3C74" w:rsidP="007B3C74">
      <w:pPr>
        <w:pStyle w:val="pldetails"/>
      </w:pPr>
      <w:r w:rsidRPr="00132466">
        <w:t>Kitisri SUKHAPINDA (Ms.), Patent Attorney, Office of Policy and External Affairs, United States Patent and Trademark Office (USPTO), Department of Commerce, Alexandria</w:t>
      </w:r>
      <w:r w:rsidRPr="00132466">
        <w:br/>
        <w:t xml:space="preserve">(e-mail: kitisri.sukhapinda@uspto.gov) </w:t>
      </w:r>
    </w:p>
    <w:p w:rsidR="007B3C74" w:rsidRDefault="007B3C74" w:rsidP="007B3C74">
      <w:pPr>
        <w:pStyle w:val="pldetails"/>
      </w:pPr>
      <w:r w:rsidRPr="00132466">
        <w:t>Ruihong GUO</w:t>
      </w:r>
      <w:r>
        <w:t xml:space="preserve"> (</w:t>
      </w:r>
      <w:r w:rsidRPr="00132466">
        <w:t>Ms.</w:t>
      </w:r>
      <w:r>
        <w:t>)</w:t>
      </w:r>
      <w:r w:rsidRPr="00132466">
        <w:t xml:space="preserve">, Deputy Administrator, AMS, Science &amp; Technology Program, United States Department of Agriculture (USDA), Washington D.C. </w:t>
      </w:r>
      <w:r w:rsidRPr="00132466">
        <w:br/>
        <w:t xml:space="preserve">(e-mail: </w:t>
      </w:r>
      <w:hyperlink r:id="rId13" w:history="1">
        <w:r w:rsidRPr="00E55107">
          <w:t>ruihong.guo@ams.usda.gov</w:t>
        </w:r>
      </w:hyperlink>
      <w:r w:rsidRPr="00132466">
        <w:t>)</w:t>
      </w:r>
    </w:p>
    <w:p w:rsidR="007B3C74" w:rsidRDefault="007B3C74" w:rsidP="007B3C74">
      <w:pPr>
        <w:pStyle w:val="pldetails"/>
      </w:pPr>
      <w:r w:rsidRPr="00E55107">
        <w:t>Elaine WU</w:t>
      </w:r>
      <w:r>
        <w:t xml:space="preserve"> (</w:t>
      </w:r>
      <w:r w:rsidRPr="00E55107">
        <w:t>Ms.</w:t>
      </w:r>
      <w:r>
        <w:t xml:space="preserve">), </w:t>
      </w:r>
      <w:r w:rsidRPr="00E55107">
        <w:t xml:space="preserve">Attorney </w:t>
      </w:r>
      <w:r>
        <w:t>–</w:t>
      </w:r>
      <w:r w:rsidRPr="00E55107">
        <w:t xml:space="preserve"> Advisor</w:t>
      </w:r>
      <w:r>
        <w:t xml:space="preserve">, </w:t>
      </w:r>
      <w:r w:rsidRPr="00E55107">
        <w:t>United States Patent and Trademark Office</w:t>
      </w:r>
      <w:r>
        <w:t xml:space="preserve"> (USPTO), </w:t>
      </w:r>
      <w:r w:rsidRPr="00E55107">
        <w:t>Alexandria</w:t>
      </w:r>
      <w:r>
        <w:br/>
        <w:t>(e-</w:t>
      </w:r>
      <w:r w:rsidRPr="00E55107">
        <w:t xml:space="preserve">mail: </w:t>
      </w:r>
      <w:hyperlink r:id="rId14" w:history="1">
        <w:r w:rsidRPr="00E55107">
          <w:t>elaine.wu@uspto.gov</w:t>
        </w:r>
      </w:hyperlink>
      <w:r w:rsidRPr="00E55107">
        <w:t xml:space="preserve">) </w:t>
      </w:r>
    </w:p>
    <w:p w:rsidR="007B3C74" w:rsidRPr="00FA6E12" w:rsidRDefault="007B3C74" w:rsidP="007B3C74">
      <w:pPr>
        <w:pStyle w:val="pldetails"/>
      </w:pPr>
      <w:r w:rsidRPr="00FA6E12">
        <w:t xml:space="preserve">Yasmine Nicole FULENA (Ms.), Intellectual Property Assistant, Permanent Mission of the United States, Chambésy </w:t>
      </w:r>
      <w:r w:rsidRPr="00FA6E12">
        <w:br/>
        <w:t>(e-mail: fulenayn@state.gov)</w:t>
      </w:r>
    </w:p>
    <w:p w:rsidR="007B3C74" w:rsidRPr="005D2862" w:rsidRDefault="007B3C74" w:rsidP="007B3C74">
      <w:pPr>
        <w:pStyle w:val="plcountry"/>
        <w:ind w:right="-284"/>
        <w:rPr>
          <w:spacing w:val="-2"/>
          <w:lang w:val="fr-FR"/>
        </w:rPr>
      </w:pPr>
      <w:r w:rsidRPr="005D2862">
        <w:rPr>
          <w:spacing w:val="-2"/>
          <w:lang w:val="fr-FR"/>
        </w:rPr>
        <w:t>FÉDÉRATION DE RUSSIE / RUSSIAN FEDERATION / RUSSISCHE FÖDERATION / FEDERACIÓN DE RUSIA</w:t>
      </w:r>
    </w:p>
    <w:p w:rsidR="007B3C74" w:rsidRPr="00841411" w:rsidRDefault="007B3C74" w:rsidP="007B3C74">
      <w:pPr>
        <w:pStyle w:val="pldetails"/>
      </w:pPr>
      <w:r w:rsidRPr="00F94EBE">
        <w:t xml:space="preserve">Ismail MERZHOEV, Deputy Chairman, State </w:t>
      </w:r>
      <w:r w:rsidRPr="00841411">
        <w:t>Commission of the Russian Federation for Selection Achievements Test and Protection, Moscow</w:t>
      </w:r>
      <w:r w:rsidRPr="00841411">
        <w:br/>
        <w:t xml:space="preserve">(e-mail: gossort@gossort.com) </w:t>
      </w:r>
    </w:p>
    <w:p w:rsidR="007B3C74" w:rsidRPr="00841411" w:rsidRDefault="007B3C74" w:rsidP="007B3C74">
      <w:pPr>
        <w:pStyle w:val="pldetails"/>
      </w:pPr>
      <w:r w:rsidRPr="00841411">
        <w:t>Yury A. ROGOVSKIY, Deputy Chairman, Head of Methodology and International Cooperation, State Commission of the Russian Federation for Selection Achievements Test and Protection, Moscow</w:t>
      </w:r>
      <w:r w:rsidRPr="00841411">
        <w:br/>
        <w:t xml:space="preserve">(e-mail: yrogovskij@yandex.ru) </w:t>
      </w:r>
    </w:p>
    <w:p w:rsidR="007B3C74" w:rsidRDefault="007B3C74" w:rsidP="007B3C74">
      <w:pPr>
        <w:pStyle w:val="pldetails"/>
      </w:pPr>
      <w:r w:rsidRPr="00841411">
        <w:t xml:space="preserve">Antonina TRETINNIKOVA (Ms.), Deputy Head, Methodology and International Cooperation Department, State Commission of the Russian Federation for Selection Achievements Test and </w:t>
      </w:r>
      <w:r w:rsidRPr="00D63BDD">
        <w:t>Protection, Moscow</w:t>
      </w:r>
      <w:r w:rsidRPr="00D63BDD">
        <w:br/>
        <w:t xml:space="preserve">(e-mail: tretinnikova@mail.ru) </w:t>
      </w:r>
    </w:p>
    <w:p w:rsidR="007B3C74" w:rsidRPr="00D63BDD" w:rsidRDefault="007B3C74" w:rsidP="007B3C74">
      <w:pPr>
        <w:pStyle w:val="pldetails"/>
      </w:pPr>
      <w:r>
        <w:t xml:space="preserve">Olga LESNYKH (Ms.), Expert, State Commission of the Russian Federation for Selection Achievements Test and Protection, </w:t>
      </w:r>
      <w:r w:rsidRPr="0072714B">
        <w:t xml:space="preserve">Moscow </w:t>
      </w:r>
      <w:r>
        <w:br/>
        <w:t>(e-mail: L9152175502@yandex.ru)</w:t>
      </w:r>
    </w:p>
    <w:p w:rsidR="007B3C74" w:rsidRPr="00392829" w:rsidRDefault="007B3C74" w:rsidP="007B3C74">
      <w:pPr>
        <w:pStyle w:val="plcountry"/>
        <w:rPr>
          <w:lang w:val="fr-CH"/>
        </w:rPr>
      </w:pPr>
      <w:r w:rsidRPr="00392829">
        <w:rPr>
          <w:lang w:val="fr-CH"/>
        </w:rPr>
        <w:t>FRANCE / FRANCE / FRANKREICH / FRANCIA</w:t>
      </w:r>
    </w:p>
    <w:p w:rsidR="007B3C74" w:rsidRPr="007A3873" w:rsidRDefault="007B3C74" w:rsidP="007B3C74">
      <w:pPr>
        <w:pStyle w:val="pldetails"/>
        <w:rPr>
          <w:lang w:val="fr-CH"/>
        </w:rPr>
      </w:pPr>
      <w:r w:rsidRPr="00392829">
        <w:rPr>
          <w:lang w:val="fr-CH"/>
        </w:rPr>
        <w:t>Virginie BERTOUX (Madame), Responsable, Instance nationale des obtentions végétales (INOV), INOV</w:t>
      </w:r>
      <w:r w:rsidRPr="00392829">
        <w:rPr>
          <w:lang w:val="fr-CH"/>
        </w:rPr>
        <w:noBreakHyphen/>
        <w:t>GEVES, Beaucouzé</w:t>
      </w:r>
      <w:r w:rsidRPr="00392829">
        <w:rPr>
          <w:lang w:val="fr-CH"/>
        </w:rPr>
        <w:br/>
        <w:t>(e-mail: virg</w:t>
      </w:r>
      <w:r w:rsidRPr="007A3873">
        <w:rPr>
          <w:lang w:val="fr-CH"/>
        </w:rPr>
        <w:t xml:space="preserve">inie.bertoux@geves.fr) </w:t>
      </w:r>
    </w:p>
    <w:p w:rsidR="007B3C74" w:rsidRPr="004170B0" w:rsidRDefault="007B3C74" w:rsidP="007B3C74">
      <w:pPr>
        <w:pStyle w:val="pldetails"/>
        <w:rPr>
          <w:lang w:val="fr-CH"/>
        </w:rPr>
      </w:pPr>
      <w:r w:rsidRPr="00605A96">
        <w:rPr>
          <w:lang w:val="fr-CH"/>
        </w:rPr>
        <w:t>Richard BRAND</w:t>
      </w:r>
      <w:r>
        <w:rPr>
          <w:lang w:val="fr-CH"/>
        </w:rPr>
        <w:t xml:space="preserve">, </w:t>
      </w:r>
      <w:r w:rsidRPr="00605A96">
        <w:rPr>
          <w:lang w:val="fr-CH"/>
        </w:rPr>
        <w:t>DUS Coordination</w:t>
      </w:r>
      <w:r>
        <w:rPr>
          <w:lang w:val="fr-CH"/>
        </w:rPr>
        <w:t xml:space="preserve">, </w:t>
      </w:r>
      <w:r w:rsidRPr="00605A96">
        <w:rPr>
          <w:lang w:val="fr-CH"/>
        </w:rPr>
        <w:t>Groupe d'étude et de contrôle des variétés et des semences (GEVES)</w:t>
      </w:r>
      <w:r>
        <w:rPr>
          <w:lang w:val="fr-CH"/>
        </w:rPr>
        <w:t xml:space="preserve">, </w:t>
      </w:r>
      <w:r w:rsidRPr="00605A96">
        <w:rPr>
          <w:lang w:val="fr-CH"/>
        </w:rPr>
        <w:t>Le Thor</w:t>
      </w:r>
      <w:r>
        <w:rPr>
          <w:lang w:val="fr-CH"/>
        </w:rPr>
        <w:br/>
      </w:r>
      <w:r w:rsidRPr="004170B0">
        <w:rPr>
          <w:lang w:val="fr-CH"/>
        </w:rPr>
        <w:t>(e-mail: richard.brand@geves.fr)</w:t>
      </w:r>
    </w:p>
    <w:p w:rsidR="007B3C74" w:rsidRPr="00841411" w:rsidRDefault="007B3C74" w:rsidP="007B3C74">
      <w:pPr>
        <w:pStyle w:val="plcountry"/>
      </w:pPr>
      <w:r w:rsidRPr="00841411">
        <w:t>HONGRIE / HUNGARY / UNGARN / HUNGRÍA</w:t>
      </w:r>
    </w:p>
    <w:p w:rsidR="007B3C74" w:rsidRDefault="007B3C74" w:rsidP="007B3C74">
      <w:pPr>
        <w:pStyle w:val="pldetails"/>
      </w:pPr>
      <w:r w:rsidRPr="00841411">
        <w:t>Tamás HARANGOZÓ, PVP Expert, Directorate of Plant Production and Horticulture, National Food Chain Safety Office (NÉBIH), Budapest</w:t>
      </w:r>
      <w:r w:rsidRPr="00841411">
        <w:br/>
        <w:t xml:space="preserve">(e-mail: harangozoT@nebih.gov.hu) </w:t>
      </w:r>
    </w:p>
    <w:p w:rsidR="007B3C74" w:rsidRPr="00841411" w:rsidRDefault="007B3C74" w:rsidP="007B3C74">
      <w:pPr>
        <w:pStyle w:val="plcountry"/>
      </w:pPr>
      <w:r w:rsidRPr="00841411">
        <w:t>IRLANDE / IRELAND / IRLAND / IRLANDA</w:t>
      </w:r>
    </w:p>
    <w:p w:rsidR="007B3C74" w:rsidRDefault="007B3C74" w:rsidP="007B3C74">
      <w:pPr>
        <w:pStyle w:val="pldetails"/>
      </w:pPr>
      <w:r w:rsidRPr="005F50AA">
        <w:t>Donal COLEMAN, Controller of Plant Breeders' Rights, National Crop Evaluation Centre, Department of Agriculture, Food and Marine, Leixlip</w:t>
      </w:r>
      <w:r w:rsidRPr="005F50AA">
        <w:br/>
        <w:t>(e-mail: donal.coleman@agriculture.gov.ie)</w:t>
      </w:r>
      <w:r w:rsidRPr="00841411">
        <w:t xml:space="preserve"> </w:t>
      </w:r>
    </w:p>
    <w:p w:rsidR="007B3C74" w:rsidRPr="006F57F4" w:rsidRDefault="007B3C74" w:rsidP="007B3C74">
      <w:pPr>
        <w:pStyle w:val="plcountry"/>
        <w:rPr>
          <w:lang w:val="fr-CH"/>
        </w:rPr>
      </w:pPr>
      <w:r w:rsidRPr="006F57F4">
        <w:rPr>
          <w:lang w:val="fr-CH"/>
        </w:rPr>
        <w:t>ITALIE / ITALY / ITALIEN / ITALIA</w:t>
      </w:r>
    </w:p>
    <w:p w:rsidR="007B3C74" w:rsidRDefault="007B3C74" w:rsidP="007B3C74">
      <w:pPr>
        <w:pStyle w:val="plcountry"/>
        <w:rPr>
          <w:caps w:val="0"/>
          <w:u w:val="none"/>
          <w:lang w:val="fr-CH"/>
        </w:rPr>
      </w:pPr>
      <w:r w:rsidRPr="00A266D2">
        <w:rPr>
          <w:caps w:val="0"/>
          <w:u w:val="none"/>
          <w:lang w:val="fr-CH"/>
        </w:rPr>
        <w:t>Francesca MARIANO NARNI (Ms.), Intern</w:t>
      </w:r>
      <w:r>
        <w:rPr>
          <w:caps w:val="0"/>
          <w:u w:val="none"/>
          <w:lang w:val="fr-CH"/>
        </w:rPr>
        <w:t xml:space="preserve">, </w:t>
      </w:r>
      <w:r w:rsidRPr="00A266D2">
        <w:rPr>
          <w:caps w:val="0"/>
          <w:u w:val="none"/>
          <w:lang w:val="fr-CH"/>
        </w:rPr>
        <w:t>Mission permanente de l’Italie auprès de l’Office des Nations Unies à Genève</w:t>
      </w:r>
      <w:r>
        <w:rPr>
          <w:caps w:val="0"/>
          <w:u w:val="none"/>
          <w:lang w:val="fr-CH"/>
        </w:rPr>
        <w:t xml:space="preserve">, </w:t>
      </w:r>
      <w:r w:rsidRPr="00A266D2">
        <w:rPr>
          <w:caps w:val="0"/>
          <w:u w:val="none"/>
          <w:lang w:val="fr-CH"/>
        </w:rPr>
        <w:t xml:space="preserve">Pregny </w:t>
      </w:r>
      <w:r>
        <w:rPr>
          <w:caps w:val="0"/>
          <w:u w:val="none"/>
          <w:lang w:val="fr-CH"/>
        </w:rPr>
        <w:br/>
        <w:t>(e-</w:t>
      </w:r>
      <w:r w:rsidRPr="00A266D2">
        <w:rPr>
          <w:caps w:val="0"/>
          <w:u w:val="none"/>
          <w:lang w:val="fr-CH"/>
        </w:rPr>
        <w:t>mail: wipostage@esteri.it</w:t>
      </w:r>
      <w:r>
        <w:rPr>
          <w:caps w:val="0"/>
          <w:u w:val="none"/>
          <w:lang w:val="fr-CH"/>
        </w:rPr>
        <w:t>)</w:t>
      </w:r>
    </w:p>
    <w:p w:rsidR="007B3C74" w:rsidRPr="006F57F4" w:rsidRDefault="007B3C74" w:rsidP="007B3C74">
      <w:pPr>
        <w:pStyle w:val="plcountry"/>
      </w:pPr>
      <w:r w:rsidRPr="006F57F4">
        <w:t>JAPON / JAPAN / JAPAN / JAPÓN</w:t>
      </w:r>
    </w:p>
    <w:p w:rsidR="007B3C74" w:rsidRPr="004170B0" w:rsidRDefault="007B3C74" w:rsidP="007B3C74">
      <w:pPr>
        <w:pStyle w:val="pldetails"/>
      </w:pPr>
      <w:r w:rsidRPr="002411E2">
        <w:t>Katsumi YAMAGUCHI</w:t>
      </w:r>
      <w:r>
        <w:t xml:space="preserve">, </w:t>
      </w:r>
      <w:r w:rsidRPr="002411E2">
        <w:t>Director</w:t>
      </w:r>
      <w:r>
        <w:t xml:space="preserve">, </w:t>
      </w:r>
      <w:r w:rsidRPr="002411E2">
        <w:t>Plant Variety Protection Office</w:t>
      </w:r>
      <w:r>
        <w:t xml:space="preserve">, </w:t>
      </w:r>
      <w:r w:rsidRPr="002411E2">
        <w:t>Intellectual Property Division</w:t>
      </w:r>
      <w:r>
        <w:t xml:space="preserve">, </w:t>
      </w:r>
      <w:r w:rsidRPr="002411E2">
        <w:t>Food Industry Affairs Bureau</w:t>
      </w:r>
      <w:r>
        <w:t xml:space="preserve">, </w:t>
      </w:r>
      <w:r w:rsidRPr="002411E2">
        <w:t>Ministry of Agriculture, Forestry and Fisheries (MAFF)</w:t>
      </w:r>
      <w:r>
        <w:t xml:space="preserve">, </w:t>
      </w:r>
      <w:r w:rsidRPr="002411E2">
        <w:t>Tokyo</w:t>
      </w:r>
      <w:r>
        <w:br/>
      </w:r>
      <w:r w:rsidRPr="004170B0">
        <w:t>(e-mail: katsumi_yamaguchi130@maff.go.jp)</w:t>
      </w:r>
    </w:p>
    <w:p w:rsidR="007B3C74" w:rsidRDefault="007B3C74" w:rsidP="007B3C74">
      <w:pPr>
        <w:pStyle w:val="pldetails"/>
      </w:pPr>
      <w:r w:rsidRPr="00841411">
        <w:t>Kenji NUMAGUCHI, Senior Examiner, Plant Variety Protection Office, New Business and Intellectual Property Division,, Food Industry Affairs Bureau, Tokyo</w:t>
      </w:r>
      <w:r w:rsidRPr="00841411">
        <w:br/>
        <w:t xml:space="preserve">(e-mail: kenji_numaguchi760@maff.go.jp) </w:t>
      </w:r>
    </w:p>
    <w:p w:rsidR="007B3C74" w:rsidRPr="004170B0" w:rsidRDefault="007B3C74" w:rsidP="007B3C74">
      <w:pPr>
        <w:pStyle w:val="pldetails"/>
      </w:pPr>
      <w:r w:rsidRPr="00841411">
        <w:t xml:space="preserve">Akira MIYAKE, Senior Policy Advisor, Intellectual Property Division, Food Industry Affairs </w:t>
      </w:r>
      <w:r w:rsidRPr="004170B0">
        <w:t>Bureau, Tokyo</w:t>
      </w:r>
      <w:r w:rsidRPr="004170B0">
        <w:br/>
        <w:t xml:space="preserve">(e-mail: akira_miyake630@maff.go.jp) </w:t>
      </w:r>
    </w:p>
    <w:p w:rsidR="007B3C74" w:rsidRPr="00087710" w:rsidRDefault="007B3C74" w:rsidP="007B3C74">
      <w:pPr>
        <w:pStyle w:val="plcountry"/>
      </w:pPr>
      <w:r w:rsidRPr="00087710">
        <w:t>KENYA / KENYA / KENIA / KENYA</w:t>
      </w:r>
    </w:p>
    <w:p w:rsidR="007B3C74" w:rsidRPr="00841411" w:rsidRDefault="007B3C74" w:rsidP="007B3C74">
      <w:pPr>
        <w:pStyle w:val="pldetails"/>
      </w:pPr>
      <w:r w:rsidRPr="00841411">
        <w:t>Simeon KIBET KOGO, General Manager - Quality Assurance, Kenya Plant Health Inspectorate Service (KEPHIS), Nairobi</w:t>
      </w:r>
      <w:r w:rsidRPr="00841411">
        <w:br/>
        <w:t xml:space="preserve">(e-mail: skibet@kephis.org) </w:t>
      </w:r>
    </w:p>
    <w:p w:rsidR="007B3C74" w:rsidRPr="00841411" w:rsidRDefault="007B3C74" w:rsidP="007B3C74">
      <w:pPr>
        <w:pStyle w:val="plcountry"/>
      </w:pPr>
      <w:r w:rsidRPr="00841411">
        <w:t>LETTONIE / LATVIA / LETTLAND / LETONIA</w:t>
      </w:r>
    </w:p>
    <w:p w:rsidR="007B3C74" w:rsidRPr="00841411" w:rsidRDefault="007B3C74" w:rsidP="007B3C74">
      <w:pPr>
        <w:pStyle w:val="pldetails"/>
      </w:pPr>
      <w:r w:rsidRPr="00841411">
        <w:t>Daiga BAJALE (Ms</w:t>
      </w:r>
      <w:r>
        <w:t>.</w:t>
      </w:r>
      <w:r w:rsidRPr="00841411">
        <w:t>), Senior Officer, Seed Control Department, Division of Seed Certification and Plant Variety Protection, State Plant Protection Service, Riga</w:t>
      </w:r>
      <w:r w:rsidRPr="00841411">
        <w:br/>
        <w:t>(e-mail: daiga.bajale@vaad.gov.lv)</w:t>
      </w:r>
    </w:p>
    <w:p w:rsidR="007B3C74" w:rsidRPr="00841411" w:rsidRDefault="007B3C74" w:rsidP="007B3C74">
      <w:pPr>
        <w:pStyle w:val="plcountry"/>
        <w:rPr>
          <w:lang w:val="fr-CH"/>
        </w:rPr>
      </w:pPr>
      <w:r w:rsidRPr="00841411">
        <w:rPr>
          <w:lang w:val="fr-CH"/>
        </w:rPr>
        <w:t>MAROC / MOROCCO / MAROKKO / MARRUECOS</w:t>
      </w:r>
    </w:p>
    <w:p w:rsidR="007B3C74" w:rsidRPr="00841411" w:rsidRDefault="007B3C74" w:rsidP="007B3C74">
      <w:pPr>
        <w:pStyle w:val="pldetails"/>
        <w:rPr>
          <w:lang w:val="fr-CH"/>
        </w:rPr>
      </w:pPr>
      <w:r>
        <w:rPr>
          <w:lang w:val="fr-CH"/>
        </w:rPr>
        <w:t>Zoubida TAOUSSI (M</w:t>
      </w:r>
      <w:r w:rsidRPr="00841411">
        <w:rPr>
          <w:lang w:val="fr-CH"/>
        </w:rPr>
        <w:t>s.), Chargée de la protection des obtentions végétales, Office National de Sécurité de Produits Alimentaires, Rabat</w:t>
      </w:r>
      <w:r w:rsidRPr="00841411">
        <w:rPr>
          <w:lang w:val="fr-CH"/>
        </w:rPr>
        <w:br/>
        <w:t xml:space="preserve">(e-mail: ztaoussi67@gmail.com) </w:t>
      </w:r>
    </w:p>
    <w:p w:rsidR="007B3C74" w:rsidRPr="005D2862" w:rsidRDefault="007B3C74" w:rsidP="007B3C74">
      <w:pPr>
        <w:pStyle w:val="plcountry"/>
        <w:rPr>
          <w:lang w:val="fr-CH"/>
        </w:rPr>
      </w:pPr>
      <w:r w:rsidRPr="005D2862">
        <w:rPr>
          <w:lang w:val="fr-CH"/>
        </w:rPr>
        <w:t>MEXIQUE / MEXICO / MEXIKO / MÉXICO</w:t>
      </w:r>
    </w:p>
    <w:p w:rsidR="007B3C74" w:rsidRPr="005D2862" w:rsidRDefault="007B3C74" w:rsidP="007B3C74">
      <w:pPr>
        <w:pStyle w:val="pldetails"/>
        <w:rPr>
          <w:lang w:val="fr-CH"/>
        </w:rPr>
      </w:pPr>
      <w:r w:rsidRPr="005D2862">
        <w:rPr>
          <w:lang w:val="fr-CH"/>
        </w:rPr>
        <w:t xml:space="preserve">Alejandro BARRIENTOS-PRIEGO, Profesor, Departamento de Fitotecnica, Universidad Autónoma de Chapingo (UACh), Chapingo </w:t>
      </w:r>
      <w:r w:rsidRPr="005D2862">
        <w:rPr>
          <w:lang w:val="fr-CH"/>
        </w:rPr>
        <w:br/>
        <w:t>(email: abarrien@correo.chapingo.mx)</w:t>
      </w:r>
    </w:p>
    <w:p w:rsidR="007B3C74" w:rsidRPr="002416E8" w:rsidRDefault="007B3C74" w:rsidP="007B3C74">
      <w:pPr>
        <w:pStyle w:val="pldetails"/>
        <w:rPr>
          <w:lang w:val="es-ES_tradnl"/>
        </w:rPr>
      </w:pPr>
      <w:r w:rsidRPr="004A743C">
        <w:rPr>
          <w:lang w:val="es-ES_tradnl"/>
        </w:rPr>
        <w:t>Sara MANZANO MERINO</w:t>
      </w:r>
      <w:r>
        <w:rPr>
          <w:lang w:val="es-ES_tradnl"/>
        </w:rPr>
        <w:t xml:space="preserve"> (Ms.), </w:t>
      </w:r>
      <w:r w:rsidRPr="004A743C">
        <w:rPr>
          <w:lang w:val="es-ES_tradnl"/>
        </w:rPr>
        <w:t>Advisor</w:t>
      </w:r>
      <w:r>
        <w:rPr>
          <w:lang w:val="es-ES_tradnl"/>
        </w:rPr>
        <w:t xml:space="preserve">, </w:t>
      </w:r>
      <w:r w:rsidRPr="004A743C">
        <w:rPr>
          <w:lang w:val="es-ES_tradnl"/>
        </w:rPr>
        <w:t>Misión Permanente de México ante la Oficina de</w:t>
      </w:r>
      <w:r>
        <w:rPr>
          <w:lang w:val="es-ES_tradnl"/>
        </w:rPr>
        <w:t xml:space="preserve"> las Naciones Unidas en Ginebra, Genève </w:t>
      </w:r>
      <w:r>
        <w:rPr>
          <w:lang w:val="es-ES_tradnl"/>
        </w:rPr>
        <w:br/>
        <w:t>(e-</w:t>
      </w:r>
      <w:r w:rsidRPr="004A743C">
        <w:rPr>
          <w:lang w:val="es-ES_tradnl"/>
        </w:rPr>
        <w:t>mail: smanzano@sre.gob.mx</w:t>
      </w:r>
      <w:r>
        <w:rPr>
          <w:lang w:val="es-ES_tradnl"/>
        </w:rPr>
        <w:t>)</w:t>
      </w:r>
    </w:p>
    <w:p w:rsidR="007B3C74" w:rsidRPr="005D2862" w:rsidRDefault="007B3C74" w:rsidP="007B3C74">
      <w:pPr>
        <w:pStyle w:val="plcountry"/>
        <w:rPr>
          <w:lang w:val="fr-FR"/>
        </w:rPr>
      </w:pPr>
      <w:r w:rsidRPr="005D2862">
        <w:rPr>
          <w:lang w:val="fr-FR"/>
        </w:rPr>
        <w:t>NOUVELLE-ZÉLANDE / NEW ZEALAND / NEUSEELAND / NUEVA ZELANDIA</w:t>
      </w:r>
    </w:p>
    <w:p w:rsidR="007B3C74" w:rsidRPr="00841411" w:rsidRDefault="007B3C74" w:rsidP="007B3C74">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7B3C74" w:rsidRPr="00841411" w:rsidRDefault="007B3C74" w:rsidP="007B3C74">
      <w:pPr>
        <w:pStyle w:val="plcountry"/>
      </w:pPr>
      <w:r w:rsidRPr="00841411">
        <w:t>OMAN / OMAN / OMAN / OMÁN</w:t>
      </w:r>
    </w:p>
    <w:p w:rsidR="007B3C74" w:rsidRDefault="007B3C74" w:rsidP="007B3C74">
      <w:pPr>
        <w:pStyle w:val="pldetails"/>
      </w:pPr>
      <w:r w:rsidRPr="00841411">
        <w:t>Ali AL LAWATI, Plant Genetic Resources Expert, The Research Council, Oman Animal and Plant</w:t>
      </w:r>
      <w:r>
        <w:t xml:space="preserve"> </w:t>
      </w:r>
      <w:r w:rsidRPr="00841411">
        <w:t>Genetic Resources, Muscat</w:t>
      </w:r>
      <w:r w:rsidRPr="00841411">
        <w:br/>
        <w:t>(e-mail: </w:t>
      </w:r>
      <w:r w:rsidRPr="00217BE7">
        <w:t>ali.allawati@trc.gov.om</w:t>
      </w:r>
      <w:r w:rsidRPr="00841411">
        <w:t xml:space="preserve">) </w:t>
      </w:r>
    </w:p>
    <w:p w:rsidR="007B3C74" w:rsidRPr="005D2862" w:rsidRDefault="007B3C74" w:rsidP="007B3C74">
      <w:pPr>
        <w:pStyle w:val="plcountry"/>
        <w:rPr>
          <w:lang w:val="fr-FR"/>
        </w:rPr>
      </w:pPr>
      <w:r w:rsidRPr="005D2862">
        <w:rPr>
          <w:lang w:val="fr-FR"/>
        </w:rPr>
        <w:t xml:space="preserve">ORGANISATION AFRICAINE DE LA PROPRIÉTÉ INTELLECTUELLE (OAPI)/ </w:t>
      </w:r>
      <w:r w:rsidRPr="005D2862">
        <w:rPr>
          <w:lang w:val="fr-FR"/>
        </w:rPr>
        <w:br/>
        <w:t xml:space="preserve">AFRICAN INTELLECTUAL PROPERTY ORGANIZATION (OAPI)/ </w:t>
      </w:r>
      <w:r w:rsidRPr="005D2862">
        <w:rPr>
          <w:lang w:val="fr-FR"/>
        </w:rPr>
        <w:br/>
        <w:t xml:space="preserve">AFRIKANISCHE ORGANISATION FÜR GEISTIGES EIGENTUM (OAPI)/ </w:t>
      </w:r>
      <w:r w:rsidRPr="005D2862">
        <w:rPr>
          <w:lang w:val="fr-FR"/>
        </w:rPr>
        <w:br/>
        <w:t>ORGANIZACIÓN AFRICANA DE LA PROPIEDAD INTELECTUAL (OAPI)</w:t>
      </w:r>
    </w:p>
    <w:p w:rsidR="007B3C74" w:rsidRDefault="007B3C74" w:rsidP="007B3C74">
      <w:pPr>
        <w:pStyle w:val="pldetails"/>
        <w:rPr>
          <w:lang w:val="fr-CH"/>
        </w:rPr>
      </w:pPr>
      <w:r w:rsidRPr="002F64DE">
        <w:rPr>
          <w:lang w:val="fr-CH"/>
        </w:rPr>
        <w:t>Julie</w:t>
      </w:r>
      <w:r w:rsidRPr="00841411">
        <w:rPr>
          <w:lang w:val="fr-CH"/>
        </w:rPr>
        <w:t>tte AYITE DOUMATEY (Madame), Directeur Général Adjoint, Organisation africaine de la propriété intellectuelle (OAPI), Yaoundé</w:t>
      </w:r>
      <w:r w:rsidRPr="00841411">
        <w:rPr>
          <w:lang w:val="fr-CH"/>
        </w:rPr>
        <w:br/>
        <w:t xml:space="preserve">(e-mail: ayijuliette@gmail.com) </w:t>
      </w:r>
    </w:p>
    <w:p w:rsidR="007B3C74" w:rsidRPr="00841411" w:rsidRDefault="007B3C74" w:rsidP="007B3C74">
      <w:pPr>
        <w:pStyle w:val="pldetails"/>
        <w:rPr>
          <w:lang w:val="fr-CH"/>
        </w:rPr>
      </w:pPr>
      <w:r w:rsidRPr="00841411">
        <w:rPr>
          <w:lang w:val="fr-CH"/>
        </w:rPr>
        <w:t>Wéré Régine GAZARO (Madame), Directeur, Protection de la propriété industrielle, Organisation africaine de la propriété intellectuelle (OAPI), Yaoundé</w:t>
      </w:r>
      <w:r w:rsidRPr="00841411">
        <w:rPr>
          <w:lang w:val="fr-CH"/>
        </w:rPr>
        <w:br/>
        <w:t xml:space="preserve">(e-mail: were_regine@yahoo.fr) </w:t>
      </w:r>
    </w:p>
    <w:p w:rsidR="007B3C74" w:rsidRDefault="007B3C74" w:rsidP="007B3C74">
      <w:pPr>
        <w:pStyle w:val="pldetails"/>
        <w:rPr>
          <w:lang w:val="fr-CH"/>
        </w:rPr>
      </w:pPr>
      <w:r w:rsidRPr="00841411">
        <w:rPr>
          <w:lang w:val="fr-CH"/>
        </w:rPr>
        <w:t>Mémassi DOSSO, Directeur du Département de la protection de la propriété industrielle, Organisation africaine de la propriété intellectuelle (OAPI), Yaoundé</w:t>
      </w:r>
      <w:r w:rsidRPr="00841411">
        <w:rPr>
          <w:lang w:val="fr-CH"/>
        </w:rPr>
        <w:br/>
        <w:t xml:space="preserve">(e-mail: dossomemassi59@gmail.com) </w:t>
      </w:r>
    </w:p>
    <w:p w:rsidR="007B3C74" w:rsidRPr="005D2862" w:rsidRDefault="007B3C74" w:rsidP="007B3C74">
      <w:pPr>
        <w:pStyle w:val="plcountry"/>
        <w:rPr>
          <w:lang w:val="fr-CH"/>
        </w:rPr>
      </w:pPr>
      <w:r w:rsidRPr="005D2862">
        <w:rPr>
          <w:lang w:val="fr-CH"/>
        </w:rPr>
        <w:t>PANAMA / PANAMA / PANAMA / PANAMÁ</w:t>
      </w:r>
    </w:p>
    <w:p w:rsidR="007B3C74" w:rsidRPr="005D2862" w:rsidRDefault="007B3C74" w:rsidP="007B3C74">
      <w:pPr>
        <w:pStyle w:val="pldetails"/>
        <w:rPr>
          <w:rFonts w:cs="Arial"/>
          <w:color w:val="000000"/>
          <w:lang w:val="fr-CH"/>
        </w:rPr>
      </w:pPr>
      <w:r w:rsidRPr="005D2862">
        <w:rPr>
          <w:lang w:val="fr-CH"/>
        </w:rPr>
        <w:t xml:space="preserve">Jacinto NAVARRO AROSEMENA, Examinador del Departamento de Variedades Vegetales, </w:t>
      </w:r>
      <w:r w:rsidRPr="005D2862">
        <w:rPr>
          <w:rFonts w:cs="Arial"/>
          <w:color w:val="000000"/>
          <w:lang w:val="fr-CH"/>
        </w:rPr>
        <w:t>Ministerio de Comercio e Industrias, Panama City</w:t>
      </w:r>
      <w:r w:rsidRPr="005D2862">
        <w:rPr>
          <w:rFonts w:cs="Arial"/>
          <w:color w:val="000000"/>
          <w:lang w:val="fr-CH"/>
        </w:rPr>
        <w:br/>
        <w:t xml:space="preserve">(e-mail: jacinto.navarro@mici.gob.pa) </w:t>
      </w:r>
    </w:p>
    <w:p w:rsidR="007B3C74" w:rsidRPr="002416E8" w:rsidRDefault="007B3C74" w:rsidP="007B3C74">
      <w:pPr>
        <w:pStyle w:val="plcountry"/>
        <w:rPr>
          <w:lang w:val="es-ES_tradnl"/>
        </w:rPr>
      </w:pPr>
      <w:r w:rsidRPr="002416E8">
        <w:rPr>
          <w:lang w:val="es-ES_tradnl"/>
        </w:rPr>
        <w:t>PARAGUAY / PARAGUAY / PARAGUAY / PARAGUAY</w:t>
      </w:r>
    </w:p>
    <w:p w:rsidR="007B3C74" w:rsidRPr="002416E8" w:rsidRDefault="007B3C74" w:rsidP="007B3C74">
      <w:pPr>
        <w:pStyle w:val="pldetails"/>
        <w:rPr>
          <w:lang w:val="es-ES_tradnl"/>
        </w:rPr>
      </w:pPr>
      <w:r w:rsidRPr="002416E8">
        <w:rPr>
          <w:lang w:val="es-ES_tradnl"/>
        </w:rPr>
        <w:t xml:space="preserve">Dólia Melania GARCETE G. (Sra.), Directora, Dirección de Semillas (DISE), Servicio Nacional de Calidad y Sanidad Vegetal y de Semillas (SENAVE), Asunción </w:t>
      </w:r>
      <w:r w:rsidRPr="002416E8">
        <w:rPr>
          <w:lang w:val="es-ES_tradnl"/>
        </w:rPr>
        <w:br/>
        <w:t>(e-mail: dolia.garcete@senave.gov.py)</w:t>
      </w:r>
    </w:p>
    <w:p w:rsidR="007B3C74" w:rsidRPr="005D2862" w:rsidRDefault="007B3C74" w:rsidP="007B3C74">
      <w:pPr>
        <w:pStyle w:val="plcountry"/>
        <w:rPr>
          <w:lang w:val="fr-FR"/>
        </w:rPr>
      </w:pPr>
      <w:r w:rsidRPr="005D2862">
        <w:rPr>
          <w:lang w:val="fr-FR"/>
        </w:rPr>
        <w:t>PAYS-BAS / NETHERLANDS / NIEDERLANDE / PAÍSES BAJOS</w:t>
      </w:r>
    </w:p>
    <w:p w:rsidR="007B3C74" w:rsidRDefault="007B3C74" w:rsidP="007B3C74">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7B3C74" w:rsidRDefault="007B3C74" w:rsidP="007B3C74">
      <w:pPr>
        <w:pStyle w:val="pldetails"/>
      </w:pPr>
      <w:r w:rsidRPr="00841411">
        <w:t>Kees VAN ETTEKOVEN, Head of Variety Testing Department, Naktuinbouw NL, Roelofarendsveen</w:t>
      </w:r>
      <w:r w:rsidRPr="00841411">
        <w:br/>
        <w:t xml:space="preserve">(e-mail: c.v.ettekoven@naktuinbouw.nl) </w:t>
      </w:r>
    </w:p>
    <w:p w:rsidR="007B3C74" w:rsidRPr="00841411" w:rsidRDefault="007B3C74" w:rsidP="007B3C74">
      <w:pPr>
        <w:pStyle w:val="plcountry"/>
      </w:pPr>
      <w:r w:rsidRPr="00841411">
        <w:t>POLOGNE / POLAND / POLEN / POLONIA</w:t>
      </w:r>
    </w:p>
    <w:p w:rsidR="007B3C74" w:rsidRPr="00841411" w:rsidRDefault="007B3C74" w:rsidP="007B3C74">
      <w:pPr>
        <w:pStyle w:val="pldetails"/>
      </w:pPr>
      <w:r w:rsidRPr="00841411">
        <w:t>Marcin KRÓL, Head, DUS Testing Department, Research Centre for Cultivar Testing (COBORU), Slupia Wielka</w:t>
      </w:r>
      <w:r w:rsidRPr="00841411">
        <w:br/>
        <w:t xml:space="preserve">(e-mail: m.krol@coboru.pl) </w:t>
      </w:r>
    </w:p>
    <w:p w:rsidR="007B3C74" w:rsidRPr="00841411" w:rsidRDefault="007B3C74" w:rsidP="007B3C74">
      <w:pPr>
        <w:pStyle w:val="plcountry"/>
      </w:pPr>
      <w:r w:rsidRPr="00841411">
        <w:t>RÉPUBLIQUE DE CORÉE / REPUBLIC OF KOREA / REPUBLIK KOREA / REPÚBLICA DE COREA</w:t>
      </w:r>
    </w:p>
    <w:p w:rsidR="007B3C74" w:rsidRPr="00841411" w:rsidRDefault="007B3C74" w:rsidP="007B3C74">
      <w:pPr>
        <w:pStyle w:val="pldetails"/>
      </w:pPr>
      <w:r w:rsidRPr="00841411">
        <w:t>Soon-Gee PARK, Deputy Head, Dongbu office, Korea Seed and Variety Service (KSVS), Gangwon-do</w:t>
      </w:r>
      <w:r w:rsidRPr="00841411">
        <w:br/>
        <w:t xml:space="preserve">(e-mail: sgpark98@korea.kr) </w:t>
      </w:r>
    </w:p>
    <w:p w:rsidR="007B3C74" w:rsidRPr="009E013B" w:rsidRDefault="007B3C74" w:rsidP="007B3C74">
      <w:pPr>
        <w:pStyle w:val="pldetails"/>
      </w:pPr>
      <w:r w:rsidRPr="00841411">
        <w:t xml:space="preserve">Seung-In YI, Deputy Head, Plant Variety Protection Division, Korea Seed &amp; Variety Service </w:t>
      </w:r>
      <w:r w:rsidRPr="009E013B">
        <w:t>(KSVS), Gyeongsangbuk-Do</w:t>
      </w:r>
      <w:r w:rsidRPr="009E013B">
        <w:br/>
        <w:t xml:space="preserve">(e-mail: seedin@korea.kr) </w:t>
      </w:r>
    </w:p>
    <w:p w:rsidR="007B3C74" w:rsidRPr="001C7017" w:rsidRDefault="007B3C74" w:rsidP="007B3C74">
      <w:pPr>
        <w:pStyle w:val="plcountry"/>
        <w:ind w:right="-284"/>
        <w:rPr>
          <w:spacing w:val="-2"/>
          <w:lang w:val="pt-BR"/>
        </w:rPr>
      </w:pPr>
      <w:r w:rsidRPr="001C7017">
        <w:rPr>
          <w:spacing w:val="-2"/>
          <w:lang w:val="pt-BR"/>
        </w:rPr>
        <w:t>RÉPUBLIQUE DE MOLDOVA / REPUBLIC OF MOLDOVA / REPUBLIK MOLDAU / REPÚBLICA DE MOLDOVA</w:t>
      </w:r>
    </w:p>
    <w:p w:rsidR="007B3C74" w:rsidRPr="00841411" w:rsidRDefault="007B3C74" w:rsidP="007B3C74">
      <w:pPr>
        <w:pStyle w:val="pldetails"/>
      </w:pPr>
      <w:r w:rsidRPr="00841411">
        <w:t>Mihail MACHIDON, Chairman, State Commission for Crops Variety Testing and Registration (SCCVTR), Chisinau</w:t>
      </w:r>
      <w:r w:rsidRPr="00841411">
        <w:br/>
        <w:t xml:space="preserve">(e-mail: info@cstsp.md) </w:t>
      </w:r>
    </w:p>
    <w:p w:rsidR="007B3C74" w:rsidRDefault="007B3C74" w:rsidP="007B3C74">
      <w:pPr>
        <w:pStyle w:val="pldetails"/>
      </w:pPr>
      <w:r w:rsidRPr="00841411">
        <w:t>Ala GUSAN (Ms.), Head, Inventions and Plant Varieties Department, State Agency on Intellectual Property (AGEPI), Chisinau</w:t>
      </w:r>
      <w:r w:rsidRPr="00841411">
        <w:br/>
        <w:t xml:space="preserve">(e-mail: ala.gusan@agepi.gov.md) </w:t>
      </w:r>
    </w:p>
    <w:p w:rsidR="007B3C74" w:rsidRPr="004E03B4" w:rsidRDefault="007B3C74" w:rsidP="007B3C74">
      <w:pPr>
        <w:pStyle w:val="plcountry"/>
        <w:rPr>
          <w:lang w:eastAsia="zh-CN"/>
        </w:rPr>
      </w:pPr>
      <w:r w:rsidRPr="004E03B4">
        <w:rPr>
          <w:lang w:eastAsia="zh-CN"/>
        </w:rPr>
        <w:t>RÉPUBLIQUE TCHÈQUE / CZECH REPUBLIC / TSCHECHISCHE REPUBLIK / REPÚBLICA CHECA</w:t>
      </w:r>
    </w:p>
    <w:p w:rsidR="007B3C74" w:rsidRPr="00A94BCA" w:rsidRDefault="007B3C74" w:rsidP="007B3C74">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7B3C74" w:rsidRPr="00841411" w:rsidRDefault="007B3C74" w:rsidP="007B3C74">
      <w:pPr>
        <w:pStyle w:val="plcountry"/>
      </w:pPr>
      <w:r w:rsidRPr="00841411">
        <w:t>ROYAUME-UNI / UNITED KINGDOM / VEREINIGTES KÖNIGREICH / REINO UNIDO</w:t>
      </w:r>
    </w:p>
    <w:p w:rsidR="007B3C74" w:rsidRDefault="007B3C74" w:rsidP="007B3C74">
      <w:pPr>
        <w:pStyle w:val="pldetails"/>
      </w:pPr>
      <w:r w:rsidRPr="00841411">
        <w:t>Mara RAMANS (Ms.), Technical Liaison Officer, Principal Plant Variety and Seeds Delivery, Animal and Plant Health Agency (APHA), Cambridge</w:t>
      </w:r>
      <w:r>
        <w:t xml:space="preserve"> </w:t>
      </w:r>
      <w:r w:rsidRPr="00841411">
        <w:br/>
        <w:t xml:space="preserve">(e-mail: mara.ramans@apha.gsi.gov.uk) </w:t>
      </w:r>
    </w:p>
    <w:p w:rsidR="007B3C74" w:rsidRPr="00841411" w:rsidRDefault="007B3C74" w:rsidP="007B3C74">
      <w:pPr>
        <w:pStyle w:val="pldetails"/>
      </w:pPr>
      <w:r w:rsidRPr="00A44085">
        <w:t>Adrian M.I. ROBERTS</w:t>
      </w:r>
      <w:r>
        <w:t xml:space="preserve">, </w:t>
      </w:r>
      <w:r w:rsidRPr="00A44085">
        <w:t>External Development Manager</w:t>
      </w:r>
      <w:r>
        <w:t xml:space="preserve">, </w:t>
      </w:r>
      <w:r w:rsidRPr="00A44085">
        <w:t>Biomathematic</w:t>
      </w:r>
      <w:r>
        <w:t xml:space="preserve">s &amp; Statistics Scotland (BioSS), Edinburgh </w:t>
      </w:r>
      <w:r>
        <w:br/>
        <w:t>(e-</w:t>
      </w:r>
      <w:r w:rsidRPr="00A44085">
        <w:t>mail: adrian@bioss.ac.uk</w:t>
      </w:r>
      <w:r>
        <w:t>)</w:t>
      </w:r>
    </w:p>
    <w:p w:rsidR="007B3C74" w:rsidRPr="00841411" w:rsidRDefault="007B3C74" w:rsidP="007B3C74">
      <w:pPr>
        <w:pStyle w:val="plcountry"/>
      </w:pPr>
      <w:r w:rsidRPr="00841411">
        <w:t>SLOVAQUIE / SLOVAKIA / SLOWAKEI / ESLOVAQUIA</w:t>
      </w:r>
    </w:p>
    <w:p w:rsidR="007B3C74" w:rsidRPr="00841411" w:rsidRDefault="007B3C74" w:rsidP="007B3C74">
      <w:pPr>
        <w:pStyle w:val="pldetails"/>
      </w:pPr>
      <w:r w:rsidRPr="00841411">
        <w:t>Bronislava BÁTOROVÁ (Ms.), National Coordinator for the Cooperation of the Slovak Republic</w:t>
      </w:r>
      <w:r>
        <w:t xml:space="preserve"> </w:t>
      </w:r>
      <w:r w:rsidRPr="00841411">
        <w:t>with UPOV/ Senior Officer, Department of Variety Testing, Central Controlling and Testing Institute in Agriculture (ÚKSÚP), Nitra</w:t>
      </w:r>
      <w:r w:rsidRPr="00841411">
        <w:br/>
        <w:t xml:space="preserve">(e-mail: bronislava.batorova@uksup.sk) </w:t>
      </w:r>
    </w:p>
    <w:p w:rsidR="007B3C74" w:rsidRPr="00841411" w:rsidRDefault="007B3C74" w:rsidP="007B3C74">
      <w:pPr>
        <w:pStyle w:val="pldetails"/>
      </w:pPr>
      <w:r w:rsidRPr="00841411">
        <w:t>Ľuba GASPAROVÁ (Ms.), Senior Officer, Deputy of the National Coordinator for the Cooperation of the Slovak Republic with UPOV, Central Controlling and Testing Institute in Agriculture (UKSUP), Bratislava</w:t>
      </w:r>
      <w:r w:rsidRPr="00841411">
        <w:br/>
        <w:t xml:space="preserve">(e-mail: Luba.Gasparova@uksup.sk) </w:t>
      </w:r>
    </w:p>
    <w:p w:rsidR="007B3C74" w:rsidRPr="00841411" w:rsidRDefault="007B3C74" w:rsidP="007B3C74">
      <w:pPr>
        <w:pStyle w:val="plcountry"/>
      </w:pPr>
      <w:r w:rsidRPr="00841411">
        <w:t>SUISSE / SWITZERLAND / SCHWEIZ / SUIZA</w:t>
      </w:r>
    </w:p>
    <w:p w:rsidR="007B3C74" w:rsidRDefault="007B3C74" w:rsidP="007B3C74">
      <w:pPr>
        <w:pStyle w:val="pldetails"/>
      </w:pPr>
      <w:r w:rsidRPr="00841411">
        <w:t>Manuela BRAND (Ms.), Plant Variety Rights Office, Federal Department of Economic Affairs, Education and Research (EAER), Plant Health and Varieties, Federal Office for Agriculture FOAG, Bern</w:t>
      </w:r>
      <w:r w:rsidRPr="00841411">
        <w:br/>
        <w:t xml:space="preserve">(e-mail: manuela.brand@blw.admin.ch) </w:t>
      </w:r>
    </w:p>
    <w:p w:rsidR="007B3C74" w:rsidRPr="00841411" w:rsidRDefault="007B3C74" w:rsidP="007B3C74">
      <w:pPr>
        <w:pStyle w:val="plcountry"/>
      </w:pPr>
      <w:r w:rsidRPr="00841411">
        <w:t>TURQUIE / TURKEY / TÜRKEI / TURQUÍA</w:t>
      </w:r>
    </w:p>
    <w:p w:rsidR="007B3C74" w:rsidRDefault="007B3C74" w:rsidP="007B3C74">
      <w:pPr>
        <w:pStyle w:val="pldetails"/>
        <w:rPr>
          <w:rFonts w:cs="Arial"/>
          <w:color w:val="000000"/>
        </w:rPr>
      </w:pPr>
      <w:r w:rsidRPr="00841411">
        <w:t xml:space="preserve">Mehmet ŞAHİN, Director, Variety Registration and Seed Certification Centre, Ministry of Food, </w:t>
      </w:r>
      <w:r w:rsidRPr="00841411">
        <w:rPr>
          <w:rFonts w:cs="Arial"/>
          <w:color w:val="000000"/>
        </w:rPr>
        <w:t>Agriculture and Livestock, Yenimahalle - Ankara</w:t>
      </w:r>
      <w:r w:rsidRPr="00841411">
        <w:rPr>
          <w:rFonts w:cs="Arial"/>
          <w:color w:val="000000"/>
        </w:rPr>
        <w:br/>
        <w:t xml:space="preserve">(e-mail: mehmet_sahin@gthb.gov.tr) </w:t>
      </w:r>
    </w:p>
    <w:p w:rsidR="007B3C74" w:rsidRDefault="007B3C74" w:rsidP="007B3C74">
      <w:pPr>
        <w:pStyle w:val="pldetails"/>
        <w:rPr>
          <w:lang w:val="fr-CH"/>
        </w:rPr>
      </w:pPr>
      <w:r w:rsidRPr="00FA6E12">
        <w:rPr>
          <w:lang w:val="fr-CH"/>
        </w:rPr>
        <w:t xml:space="preserve">Osman GÖKTÜRK, Second Secretary, Mission Permanente de Turquie auprès de l'OMC, Genève </w:t>
      </w:r>
      <w:r w:rsidRPr="00FA6E12">
        <w:rPr>
          <w:lang w:val="fr-CH"/>
        </w:rPr>
        <w:br/>
        <w:t>(e-mail: osman.gokturk@mfa.gov.tr)</w:t>
      </w:r>
      <w:r>
        <w:rPr>
          <w:lang w:val="fr-CH"/>
        </w:rPr>
        <w:t xml:space="preserve"> </w:t>
      </w:r>
    </w:p>
    <w:p w:rsidR="007B3C74" w:rsidRPr="003B0EF7" w:rsidRDefault="007B3C74" w:rsidP="007B3C74">
      <w:pPr>
        <w:pStyle w:val="pldetails"/>
      </w:pPr>
      <w:r w:rsidRPr="003B0EF7">
        <w:t>Mehmet SIĞIRCI</w:t>
      </w:r>
      <w:r>
        <w:t xml:space="preserve">, </w:t>
      </w:r>
      <w:r w:rsidRPr="003B0EF7">
        <w:t>Head</w:t>
      </w:r>
      <w:r>
        <w:t xml:space="preserve">, </w:t>
      </w:r>
      <w:r w:rsidRPr="003B0EF7">
        <w:t>Seed Department</w:t>
      </w:r>
      <w:r>
        <w:t xml:space="preserve">, </w:t>
      </w:r>
      <w:r w:rsidRPr="003B0EF7">
        <w:t>Ministry of Agriculture and Rural Affairs</w:t>
      </w:r>
      <w:r>
        <w:t>, Ankara</w:t>
      </w:r>
      <w:r>
        <w:br/>
        <w:t>(e-</w:t>
      </w:r>
      <w:r w:rsidRPr="003B0EF7">
        <w:t>mail: mehmet.sigirci@tarim.gov.tr</w:t>
      </w:r>
      <w:r>
        <w:t>)</w:t>
      </w:r>
    </w:p>
    <w:p w:rsidR="007B3C74" w:rsidRPr="00CD613B" w:rsidRDefault="007B3C74" w:rsidP="007B3C74">
      <w:pPr>
        <w:pStyle w:val="pldetails"/>
      </w:pPr>
      <w:r w:rsidRPr="00CD613B">
        <w:t>Hasan ÇELEN</w:t>
      </w:r>
      <w:r>
        <w:t xml:space="preserve">, </w:t>
      </w:r>
      <w:r w:rsidRPr="00CD613B">
        <w:t>Variety Protection Expert</w:t>
      </w:r>
      <w:r>
        <w:t xml:space="preserve">, </w:t>
      </w:r>
      <w:r w:rsidRPr="00CD613B">
        <w:t>Ministry of Agriculture and Rural Affairs</w:t>
      </w:r>
      <w:r>
        <w:t xml:space="preserve">, </w:t>
      </w:r>
      <w:r w:rsidRPr="00CD613B">
        <w:t>General Directory of Protection and Control</w:t>
      </w:r>
      <w:r>
        <w:t xml:space="preserve">, Ankara </w:t>
      </w:r>
      <w:r>
        <w:br/>
        <w:t>(e-</w:t>
      </w:r>
      <w:r w:rsidRPr="00CD613B">
        <w:t>mail: hcelen@kkgm.gov.tr</w:t>
      </w:r>
      <w:r>
        <w:t>)</w:t>
      </w:r>
    </w:p>
    <w:p w:rsidR="007B3C74" w:rsidRPr="00382E92" w:rsidRDefault="007B3C74" w:rsidP="007B3C74">
      <w:pPr>
        <w:pStyle w:val="plcountry"/>
        <w:rPr>
          <w:lang w:val="fr-CH"/>
        </w:rPr>
      </w:pPr>
      <w:r w:rsidRPr="00382E92">
        <w:rPr>
          <w:lang w:val="fr-CH"/>
        </w:rPr>
        <w:t>UNION EUROPÉENNE / EUROPEAN UNION / EUROPÄISCHE UNION / UNIÓN EUROPEA</w:t>
      </w:r>
    </w:p>
    <w:p w:rsidR="007B3C74" w:rsidRDefault="007B3C74" w:rsidP="007B3C74">
      <w:pPr>
        <w:pStyle w:val="pldetails"/>
        <w:rPr>
          <w:lang w:val="fr-CH"/>
        </w:rPr>
      </w:pPr>
      <w:r w:rsidRPr="00382E92">
        <w:rPr>
          <w:lang w:val="fr-CH"/>
        </w:rPr>
        <w:t xml:space="preserve">Päivi MANNERKORPI (Ms.), Head of Sector - Unit E2, Plant </w:t>
      </w:r>
      <w:r w:rsidRPr="00087710">
        <w:rPr>
          <w:lang w:val="fr-CH"/>
        </w:rPr>
        <w:t>Reproductive Material, Direction Générale Santé et Protection des Con</w:t>
      </w:r>
      <w:r w:rsidRPr="00381382">
        <w:rPr>
          <w:lang w:val="fr-CH"/>
        </w:rPr>
        <w:t xml:space="preserve">sommateurs, Commission européenne (DG SANCO), Bruxelles </w:t>
      </w:r>
      <w:r w:rsidRPr="00381382">
        <w:rPr>
          <w:lang w:val="fr-CH"/>
        </w:rPr>
        <w:br/>
        <w:t xml:space="preserve">(e-mail: </w:t>
      </w:r>
      <w:r w:rsidRPr="007A7C1A">
        <w:rPr>
          <w:lang w:val="fr-CH"/>
        </w:rPr>
        <w:t>paivi.mannerkorpi@ec.europa.eu</w:t>
      </w:r>
      <w:r>
        <w:rPr>
          <w:lang w:val="fr-CH"/>
        </w:rPr>
        <w:t>)</w:t>
      </w:r>
    </w:p>
    <w:p w:rsidR="007B3C74" w:rsidRDefault="007B3C74" w:rsidP="007B3C74">
      <w:pPr>
        <w:pStyle w:val="pldetails"/>
      </w:pPr>
      <w:r w:rsidRPr="00841411">
        <w:t>Carlos GODINHO, Vice-President, Community Plant Variety Office (CPVO), Angers</w:t>
      </w:r>
      <w:r w:rsidRPr="00841411">
        <w:br/>
        <w:t xml:space="preserve">(e-mail: godinho@cpvo.europa.eu) </w:t>
      </w:r>
      <w:r w:rsidRPr="0004111C">
        <w:t xml:space="preserve"> </w:t>
      </w:r>
    </w:p>
    <w:p w:rsidR="007B3C74" w:rsidRPr="0004111C" w:rsidRDefault="007B3C74" w:rsidP="007B3C74">
      <w:pPr>
        <w:pStyle w:val="pldetails"/>
      </w:pPr>
      <w:r>
        <w:t xml:space="preserve">Marien </w:t>
      </w:r>
      <w:r w:rsidRPr="0004111C">
        <w:t>VALSTAR, Senior Policy Officer, Seeds and Plant Propagation Material, Ministry of Economic Affairs, DG AGRO, Den Haag</w:t>
      </w:r>
      <w:r w:rsidRPr="0004111C">
        <w:br/>
        <w:t>(e-mail: m.valstar@minez.nl)</w:t>
      </w:r>
    </w:p>
    <w:p w:rsidR="007B3C74" w:rsidRDefault="007B3C74" w:rsidP="007B3C74">
      <w:pPr>
        <w:pStyle w:val="pldetails"/>
      </w:pPr>
      <w:r w:rsidRPr="00FA6E12">
        <w:t xml:space="preserve">Dirk THEOBALD, Head of the Technical Unit, Community Plant Variety Office (CPVO), Angers </w:t>
      </w:r>
      <w:r w:rsidRPr="00FA6E12">
        <w:br/>
        <w:t xml:space="preserve">(e-mail: theobald@cpvo.europa.eu) </w:t>
      </w:r>
    </w:p>
    <w:p w:rsidR="007B3C74" w:rsidRPr="00731B6C" w:rsidRDefault="007B3C74" w:rsidP="007B3C74">
      <w:pPr>
        <w:pStyle w:val="pldetails"/>
      </w:pPr>
      <w:r w:rsidRPr="00537259">
        <w:t>Gerhard SCHUON, Quality Audit Team Manager, Community Plant Variety Office (CPVO), Angers</w:t>
      </w:r>
      <w:r w:rsidRPr="00537259">
        <w:br/>
        <w:t xml:space="preserve">(e-mail: </w:t>
      </w:r>
      <w:r w:rsidRPr="00537259">
        <w:rPr>
          <w:rFonts w:cs="Arial"/>
        </w:rPr>
        <w:t>schuon@cpvo.europa.eu</w:t>
      </w:r>
      <w:r w:rsidRPr="00537259">
        <w:t>)</w:t>
      </w:r>
    </w:p>
    <w:p w:rsidR="007B3C74" w:rsidRPr="00EA609F" w:rsidRDefault="007B3C74" w:rsidP="007B3C74">
      <w:pPr>
        <w:pStyle w:val="plheading"/>
      </w:pPr>
      <w:r w:rsidRPr="00087710">
        <w:t>II. OBSERVATEURS / OBSERVERS / BEOBACHTER / OBSERVADORES</w:t>
      </w:r>
    </w:p>
    <w:p w:rsidR="007B3C74" w:rsidRPr="00087710" w:rsidRDefault="007B3C74" w:rsidP="007B3C74">
      <w:pPr>
        <w:pStyle w:val="plcountry"/>
      </w:pPr>
      <w:r w:rsidRPr="00087710">
        <w:t>ARABIE SAOUDITE / SAUDI ARABIA / SAUDI-ARABIEN / ARABIA SAUDITA</w:t>
      </w:r>
    </w:p>
    <w:p w:rsidR="007B3C74" w:rsidRDefault="007B3C74" w:rsidP="007B3C74">
      <w:pPr>
        <w:pStyle w:val="pldetails"/>
      </w:pPr>
      <w:r w:rsidRPr="00731B6C">
        <w:t xml:space="preserve">Fhead AL SUBAEI, DUS Examiner, General Directorate of Patents, King Abdulaziz City for </w:t>
      </w:r>
      <w:r w:rsidRPr="00841411">
        <w:t>Science and Technology (KACST), Riyadh</w:t>
      </w:r>
      <w:r w:rsidRPr="00841411">
        <w:br/>
        <w:t xml:space="preserve">(e-mail: fsubaei@kacst.edu.sa) </w:t>
      </w:r>
    </w:p>
    <w:p w:rsidR="007B3C74" w:rsidRPr="002A556E" w:rsidRDefault="007B3C74" w:rsidP="007B3C74">
      <w:pPr>
        <w:pStyle w:val="plcountry"/>
      </w:pPr>
      <w:r w:rsidRPr="002A556E">
        <w:t>THAÏLANDE / THAILAND / THAILAND / TAILANDIA</w:t>
      </w:r>
    </w:p>
    <w:p w:rsidR="007B3C74" w:rsidRPr="00FA6E12" w:rsidRDefault="007B3C74" w:rsidP="007B3C74">
      <w:pPr>
        <w:pStyle w:val="pldetails"/>
      </w:pPr>
      <w:r w:rsidRPr="00FA6E12">
        <w:t xml:space="preserve">Usana BERANANDA (Ms.), Minister, Deputy Permanent Representative, Permanent Mission of Thailand to the WTO, Cointrin </w:t>
      </w:r>
      <w:r w:rsidRPr="00FA6E12">
        <w:br/>
        <w:t>(e-mail: usana@thaiwto.com)</w:t>
      </w:r>
    </w:p>
    <w:p w:rsidR="007B3C74" w:rsidRPr="002A556E" w:rsidRDefault="007B3C74" w:rsidP="007B3C74">
      <w:pPr>
        <w:pStyle w:val="pldetails"/>
      </w:pPr>
      <w:r w:rsidRPr="00FA6E12">
        <w:t xml:space="preserve">Pornthep SRITANOTORN, Minister Counsellor, Permanent Mission of Thailand to the WTO, Cointrin </w:t>
      </w:r>
      <w:r w:rsidRPr="00FA6E12">
        <w:br/>
        <w:t>(e-mail: pornthep@thaiwto.com)</w:t>
      </w:r>
      <w:r w:rsidRPr="002A556E">
        <w:t xml:space="preserve"> </w:t>
      </w:r>
    </w:p>
    <w:p w:rsidR="007B3C74" w:rsidRDefault="007B3C74" w:rsidP="007B3C74">
      <w:pPr>
        <w:pStyle w:val="plheading"/>
        <w:rPr>
          <w:rFonts w:cs="Arial"/>
        </w:rPr>
      </w:pPr>
      <w:r w:rsidRPr="00841411">
        <w:rPr>
          <w:rFonts w:cs="Arial"/>
        </w:rPr>
        <w:t>III. ORGANISATIONS / ORGANIZATIONS / ORGANISATIONEN / ORGANIZACIONES</w:t>
      </w:r>
    </w:p>
    <w:p w:rsidR="007B3C74" w:rsidRPr="00371CE1" w:rsidRDefault="007B3C74" w:rsidP="007B3C74">
      <w:pPr>
        <w:pStyle w:val="plcountry"/>
        <w:rPr>
          <w:color w:val="000000"/>
        </w:rPr>
      </w:pPr>
      <w:r w:rsidRPr="003D631D">
        <w:rPr>
          <w:color w:val="000000"/>
        </w:rPr>
        <w:t xml:space="preserve">ASSOCIATION INTERNATIONALE D'ESSAIS DE SEMENCES (ISTA) / INTERNATIONAL SEED TESTING ASSOCIATION (ISTA) / INTERNATIONALE VEREINIGUNG FÜR SAATGUTPRÜFUNG (ISTA) / </w:t>
      </w:r>
      <w:r w:rsidRPr="00371CE1">
        <w:rPr>
          <w:color w:val="000000"/>
        </w:rPr>
        <w:t>ASOCIACIÓN INTERNACIONAL PARA EL ENSAYO DE SEMILLAS (ISTA)</w:t>
      </w:r>
    </w:p>
    <w:p w:rsidR="007B3C74" w:rsidRPr="00841411" w:rsidRDefault="007B3C74" w:rsidP="007B3C74">
      <w:pPr>
        <w:pStyle w:val="pldetails"/>
      </w:pPr>
      <w:r w:rsidRPr="00371CE1">
        <w:t xml:space="preserve">Benjamin KAUFMAN, Secretary General, International Seed Testing Association (ISTA), BASSERSDORF </w:t>
      </w:r>
      <w:r w:rsidRPr="00371CE1">
        <w:br/>
        <w:t>Email: beni.kaufman@ista.ch</w:t>
      </w:r>
    </w:p>
    <w:p w:rsidR="007B3C74" w:rsidRPr="004E03B4" w:rsidRDefault="007B3C74" w:rsidP="007B3C74">
      <w:pPr>
        <w:pStyle w:val="plcountry"/>
        <w:rPr>
          <w:lang w:eastAsia="zh-CN"/>
        </w:rPr>
      </w:pPr>
      <w:r w:rsidRPr="004E03B4">
        <w:rPr>
          <w:lang w:eastAsia="zh-CN"/>
        </w:rPr>
        <w:t xml:space="preserve">ORGANISATION DE COOPÉRATION ET DE DÉVELOPPEMENT ÉCONOMIQUES (OCDE) / </w:t>
      </w:r>
      <w:r>
        <w:rPr>
          <w:lang w:eastAsia="zh-CN"/>
        </w:rPr>
        <w:br/>
      </w:r>
      <w:r w:rsidRPr="004E03B4">
        <w:rPr>
          <w:lang w:eastAsia="zh-CN"/>
        </w:rPr>
        <w:t xml:space="preserve">ORGANISATION FOR ECONOMIC CO-OPERATION AND DEVELOPMENT (OECD) / </w:t>
      </w:r>
      <w:r>
        <w:rPr>
          <w:lang w:eastAsia="zh-CN"/>
        </w:rPr>
        <w:br/>
      </w:r>
      <w:r w:rsidRPr="004E03B4">
        <w:rPr>
          <w:lang w:eastAsia="zh-CN"/>
        </w:rPr>
        <w:t xml:space="preserve">ORGANISATION FÜR WIRTSCHAFTLICHE ZUSAMMENARBEIT UND ENTWICKLUNG (OECD) / </w:t>
      </w:r>
      <w:r>
        <w:rPr>
          <w:lang w:eastAsia="zh-CN"/>
        </w:rPr>
        <w:br/>
      </w:r>
      <w:r w:rsidRPr="004E03B4">
        <w:rPr>
          <w:lang w:eastAsia="zh-CN"/>
        </w:rPr>
        <w:t>ORGANIZACIÓN DE COOPERACIÓN Y DESARROLLO ECONÓMICOS (OECD)</w:t>
      </w:r>
    </w:p>
    <w:p w:rsidR="007B3C74" w:rsidRPr="00047CEB" w:rsidRDefault="007B3C74" w:rsidP="007B3C74">
      <w:pPr>
        <w:pStyle w:val="pldetails"/>
      </w:pPr>
      <w:r>
        <w:t xml:space="preserve">Csaba GASPAR, Programme Manager, OECD Seed Schemes &amp; OECD Forest Seed and Plant Scheme, </w:t>
      </w:r>
      <w:r w:rsidRPr="00047CEB">
        <w:t>Organisation for Economic Co-operation and Development (OECD)</w:t>
      </w:r>
      <w:r w:rsidRPr="00047CEB">
        <w:br/>
        <w:t>(e-mail: csaba.gaspar@oecd.org</w:t>
      </w:r>
      <w:r>
        <w:t>)</w:t>
      </w:r>
    </w:p>
    <w:p w:rsidR="007B3C74" w:rsidRPr="00841411" w:rsidRDefault="007B3C74" w:rsidP="007B3C74">
      <w:pPr>
        <w:pStyle w:val="plcountry"/>
      </w:pPr>
      <w:r w:rsidRPr="00382E92">
        <w:t xml:space="preserve">COMMUNAUTÉ INTERNATIONALE DES OBTENTEURS DE PLANTES ORNEMENTALES ET FRUITIÈRES À REPRODUCTION ASEXUÉE (CIOPORA) / </w:t>
      </w:r>
      <w:r w:rsidRPr="00382E92">
        <w:br/>
        <w:t>INTERNATIONA</w:t>
      </w:r>
      <w:r w:rsidRPr="00841411">
        <w:t xml:space="preserve">L COMMUNITY  OF BREEDERS OF ASEXUALLY REPRODUCED ORNAMENTAL AND FRUIT PLANTS (CIOPORA) / </w:t>
      </w:r>
      <w:r w:rsidRPr="00841411">
        <w:br/>
        <w:t xml:space="preserve">INTERNATIONALE GEMEINSCHAFT DER ZÜCHTER VEGETATIV VERMEHRBARER ZIERUND OBSTPFLANZEN (CIOPORA) / </w:t>
      </w:r>
      <w:r w:rsidRPr="00841411">
        <w:br/>
        <w:t>COMUNIDAD INTERNACIONAL DE OBTENTORES DE VARIEDADES ORNAMENTALES Y FRUTALES DE REPRODUCCIÓN ASEXUADA (CIOPORA)</w:t>
      </w:r>
    </w:p>
    <w:p w:rsidR="007B3C74" w:rsidRDefault="007B3C74" w:rsidP="007B3C74">
      <w:pPr>
        <w:pStyle w:val="pldetails"/>
        <w:rPr>
          <w:rFonts w:cs="Arial"/>
          <w:color w:val="000000"/>
          <w:lang w:val="fr-CH"/>
        </w:rPr>
      </w:pPr>
      <w:r w:rsidRPr="00D2267F">
        <w:rPr>
          <w:lang w:val="fr-CH"/>
        </w:rPr>
        <w:t xml:space="preserve">Hélène JOURDAN (Madame), Secrétaire générale, AOHE, Responsible COV &amp; Marques, </w:t>
      </w:r>
      <w:r w:rsidRPr="00D2267F">
        <w:rPr>
          <w:rFonts w:cs="Arial"/>
          <w:color w:val="000000"/>
          <w:lang w:val="fr-CH"/>
        </w:rPr>
        <w:t>Meilland International S.A., Association des Obtenteurs Horticoles Européens (AOHE), Le Luc en Provence</w:t>
      </w:r>
      <w:r w:rsidRPr="00D2267F">
        <w:rPr>
          <w:rFonts w:cs="Arial"/>
          <w:color w:val="000000"/>
          <w:lang w:val="fr-CH"/>
        </w:rPr>
        <w:br/>
        <w:t>(e-mail: </w:t>
      </w:r>
      <w:r w:rsidRPr="002F5A81">
        <w:rPr>
          <w:rFonts w:cs="Arial"/>
          <w:color w:val="000000"/>
          <w:lang w:val="fr-CH"/>
        </w:rPr>
        <w:t>licprot@meilland.com</w:t>
      </w:r>
      <w:r w:rsidRPr="00D2267F">
        <w:rPr>
          <w:rFonts w:cs="Arial"/>
          <w:color w:val="000000"/>
          <w:lang w:val="fr-CH"/>
        </w:rPr>
        <w:t xml:space="preserve">) </w:t>
      </w:r>
    </w:p>
    <w:p w:rsidR="007B3C74" w:rsidRDefault="007B3C74" w:rsidP="007B3C74">
      <w:pPr>
        <w:pStyle w:val="pldetails"/>
      </w:pPr>
      <w:r w:rsidRPr="00841411">
        <w:t xml:space="preserve">José Ignacio CUBERO, Vice-Head Technical Expert for Biotecnology, Eurogenetic, Cordoba </w:t>
      </w:r>
      <w:r w:rsidRPr="00841411">
        <w:br/>
        <w:t xml:space="preserve">(e-mail: ge1cusaj@uco.es) </w:t>
      </w:r>
    </w:p>
    <w:p w:rsidR="007B3C74" w:rsidRPr="00841411" w:rsidRDefault="007B3C74" w:rsidP="007B3C74">
      <w:pPr>
        <w:pStyle w:val="pldetails"/>
      </w:pPr>
      <w:r w:rsidRPr="00FA6E12">
        <w:t xml:space="preserve">Dominique THÉVENON (Madame), Board member, Treasurer – CIOPORA, AIGN®, International Community of Breeders of Asexually Reproduced Ornamental and Fruit Plants  (CIOPORA), Hamburg </w:t>
      </w:r>
      <w:r w:rsidRPr="00FA6E12">
        <w:br/>
        <w:t>(e-mail: t.dominique4@aliceadsl.fr)</w:t>
      </w:r>
      <w:r>
        <w:t xml:space="preserve"> </w:t>
      </w:r>
    </w:p>
    <w:p w:rsidR="007B3C74" w:rsidRPr="008C7FAB" w:rsidRDefault="007B3C74" w:rsidP="007B3C74">
      <w:pPr>
        <w:pStyle w:val="plcountry"/>
        <w:rPr>
          <w:lang w:val="fr-CH"/>
        </w:rPr>
      </w:pPr>
      <w:r w:rsidRPr="008C7FAB">
        <w:rPr>
          <w:lang w:val="fr-CH"/>
        </w:rPr>
        <w:t>CROPLIFE INTERNATIONAL</w:t>
      </w:r>
    </w:p>
    <w:p w:rsidR="007B3C74" w:rsidRPr="008C7FAB" w:rsidRDefault="007B3C74" w:rsidP="007B3C74">
      <w:pPr>
        <w:pStyle w:val="pldetails"/>
        <w:rPr>
          <w:lang w:val="fr-CH"/>
        </w:rPr>
      </w:pPr>
      <w:r w:rsidRPr="008C7FAB">
        <w:rPr>
          <w:lang w:val="fr-CH"/>
        </w:rPr>
        <w:t>Marcel BRUINS, Consultant, Cr</w:t>
      </w:r>
      <w:r>
        <w:rPr>
          <w:lang w:val="fr-CH"/>
        </w:rPr>
        <w:t>opLife International, Bruxelles</w:t>
      </w:r>
      <w:r w:rsidRPr="008C7FAB">
        <w:rPr>
          <w:lang w:val="fr-CH"/>
        </w:rPr>
        <w:t xml:space="preserve"> </w:t>
      </w:r>
      <w:r w:rsidRPr="008C7FAB">
        <w:rPr>
          <w:lang w:val="fr-CH"/>
        </w:rPr>
        <w:br/>
        <w:t xml:space="preserve">(e-mail: mbruins1964@gmail.com) </w:t>
      </w:r>
    </w:p>
    <w:p w:rsidR="007B3C74" w:rsidRPr="00841411" w:rsidRDefault="007B3C74" w:rsidP="007B3C74">
      <w:pPr>
        <w:pStyle w:val="plcountry"/>
      </w:pPr>
      <w:r w:rsidRPr="00841411">
        <w:t>INTERNATIONAL SEED FEDERATION (ISF)</w:t>
      </w:r>
    </w:p>
    <w:p w:rsidR="007B3C74" w:rsidRPr="00841411" w:rsidRDefault="007B3C74" w:rsidP="007B3C74">
      <w:pPr>
        <w:pStyle w:val="pldetails"/>
      </w:pPr>
      <w:r w:rsidRPr="00712DB3">
        <w:t xml:space="preserve">Stevan MADJARAC, Representative, American Seed Trade Association (ASTA), Alexandria </w:t>
      </w:r>
      <w:r w:rsidRPr="00712DB3">
        <w:br/>
        <w:t>(e-mail: smadjarac@gmail.com)</w:t>
      </w:r>
      <w:r w:rsidRPr="00841411">
        <w:t xml:space="preserve"> </w:t>
      </w:r>
    </w:p>
    <w:p w:rsidR="007B3C74" w:rsidRDefault="007B3C74" w:rsidP="007B3C74">
      <w:pPr>
        <w:pStyle w:val="pldetails"/>
      </w:pPr>
      <w:r w:rsidRPr="00841411">
        <w:t>Szabolcs RUTHNER, Regulatory Affairs Executive, Internationa</w:t>
      </w:r>
      <w:r>
        <w:t>l Seed Federation (ISF), Nyon</w:t>
      </w:r>
      <w:r w:rsidRPr="00841411">
        <w:br/>
        <w:t xml:space="preserve">(e-mail: s.ruthner@worldseed.org) </w:t>
      </w:r>
    </w:p>
    <w:p w:rsidR="007B3C74" w:rsidRPr="00D2267F" w:rsidRDefault="007B3C74" w:rsidP="007B3C74">
      <w:pPr>
        <w:pStyle w:val="pldetails"/>
        <w:rPr>
          <w:lang w:val="fr-CH"/>
        </w:rPr>
      </w:pPr>
      <w:r w:rsidRPr="00D2267F">
        <w:rPr>
          <w:lang w:val="fr-CH"/>
        </w:rPr>
        <w:t xml:space="preserve">François-Xavier MULLER, EU Corn Breeding IP/QMS Manager, Monsanto SAS, Monbéqui </w:t>
      </w:r>
      <w:r>
        <w:rPr>
          <w:lang w:val="fr-CH"/>
        </w:rPr>
        <w:br/>
      </w:r>
      <w:r w:rsidRPr="00D2267F">
        <w:rPr>
          <w:lang w:val="fr-CH"/>
        </w:rPr>
        <w:t xml:space="preserve">(e-mail: francois-xavier.muller@monsanto.com) </w:t>
      </w:r>
    </w:p>
    <w:p w:rsidR="007B3C74" w:rsidRPr="006F57F4" w:rsidRDefault="007B3C74" w:rsidP="007B3C74">
      <w:pPr>
        <w:pStyle w:val="plcountry"/>
        <w:rPr>
          <w:lang w:val="fr-CH"/>
        </w:rPr>
      </w:pPr>
      <w:r w:rsidRPr="006F57F4">
        <w:rPr>
          <w:lang w:val="fr-CH"/>
        </w:rPr>
        <w:t>EUROPEAN SEED ASSOCIATION (ESA)</w:t>
      </w:r>
    </w:p>
    <w:p w:rsidR="007B3C74" w:rsidRPr="006F57F4" w:rsidRDefault="007B3C74" w:rsidP="007B3C74">
      <w:pPr>
        <w:pStyle w:val="pldetails"/>
        <w:rPr>
          <w:lang w:val="fr-CH"/>
        </w:rPr>
      </w:pPr>
      <w:r w:rsidRPr="006F57F4">
        <w:rPr>
          <w:lang w:val="fr-CH"/>
        </w:rPr>
        <w:t xml:space="preserve">Bert SCHOLTE, Technical Director, European Seed Association (ESA), Brussels </w:t>
      </w:r>
      <w:r w:rsidRPr="006F57F4">
        <w:rPr>
          <w:lang w:val="fr-CH"/>
        </w:rPr>
        <w:br/>
        <w:t>(e-mail: </w:t>
      </w:r>
      <w:hyperlink r:id="rId15" w:history="1">
        <w:r w:rsidRPr="006F57F4">
          <w:rPr>
            <w:lang w:val="fr-CH"/>
          </w:rPr>
          <w:t>bertscholte@euroseeds.eu</w:t>
        </w:r>
      </w:hyperlink>
      <w:r w:rsidRPr="006F57F4">
        <w:rPr>
          <w:lang w:val="fr-CH"/>
        </w:rPr>
        <w:t xml:space="preserve">) </w:t>
      </w:r>
    </w:p>
    <w:p w:rsidR="007B3C74" w:rsidRPr="006F57F4" w:rsidRDefault="007B3C74" w:rsidP="007B3C74">
      <w:pPr>
        <w:pStyle w:val="plheading"/>
        <w:spacing w:before="360"/>
        <w:rPr>
          <w:lang w:val="fr-CH"/>
        </w:rPr>
      </w:pPr>
      <w:r w:rsidRPr="006F57F4">
        <w:rPr>
          <w:lang w:val="fr-CH"/>
        </w:rPr>
        <w:t>IV. BUREAU DE L’OMPI / OFFICE OF WIPO / BÜRO DER WIPO / OFICINA DE LA OMPI</w:t>
      </w:r>
    </w:p>
    <w:p w:rsidR="007B3C74" w:rsidRPr="0069746E" w:rsidRDefault="007B3C74" w:rsidP="007B3C74">
      <w:pPr>
        <w:pStyle w:val="pldetails"/>
        <w:rPr>
          <w:lang w:val="fr-CH"/>
        </w:rPr>
      </w:pPr>
      <w:r w:rsidRPr="0069746E">
        <w:rPr>
          <w:lang w:val="fr-CH"/>
        </w:rPr>
        <w:t>Lili CHEN (Ms.), Software Developer, Brand Databases Section, Global Databases Division</w:t>
      </w:r>
    </w:p>
    <w:p w:rsidR="007B3C74" w:rsidRPr="0069746E" w:rsidRDefault="007B3C74" w:rsidP="007B3C74">
      <w:pPr>
        <w:pStyle w:val="plheading"/>
        <w:rPr>
          <w:rFonts w:cs="Arial"/>
          <w:lang w:val="fr-CH"/>
        </w:rPr>
      </w:pPr>
      <w:r w:rsidRPr="0069746E">
        <w:rPr>
          <w:rFonts w:cs="Arial"/>
          <w:lang w:val="fr-CH"/>
        </w:rPr>
        <w:t>V. BUREAU / OFFICER / VORSITZ / OFICINA</w:t>
      </w:r>
    </w:p>
    <w:p w:rsidR="007B3C74" w:rsidRPr="0069746E" w:rsidRDefault="007B3C74" w:rsidP="007B3C74">
      <w:pPr>
        <w:pStyle w:val="pldetails"/>
        <w:rPr>
          <w:lang w:val="fr-CH"/>
        </w:rPr>
      </w:pPr>
      <w:r w:rsidRPr="0069746E">
        <w:rPr>
          <w:lang w:val="fr-CH"/>
        </w:rPr>
        <w:t>Alejandro BARRIENTOS-PRIEGO, Chair</w:t>
      </w:r>
    </w:p>
    <w:p w:rsidR="007B3C74" w:rsidRPr="0069746E" w:rsidRDefault="007B3C74" w:rsidP="007B3C74">
      <w:pPr>
        <w:pStyle w:val="pldetails"/>
        <w:rPr>
          <w:lang w:val="fr-CH"/>
        </w:rPr>
      </w:pPr>
      <w:r w:rsidRPr="0069746E">
        <w:rPr>
          <w:lang w:val="fr-CH"/>
        </w:rPr>
        <w:t>Kees VAN ETTEKOVEN, Vice-Chair</w:t>
      </w:r>
    </w:p>
    <w:p w:rsidR="007B3C74" w:rsidRPr="004071DD" w:rsidRDefault="007B3C74" w:rsidP="007B3C74">
      <w:pPr>
        <w:pStyle w:val="plheading"/>
        <w:keepLines/>
        <w:rPr>
          <w:rFonts w:cs="Arial"/>
        </w:rPr>
      </w:pPr>
      <w:r w:rsidRPr="004071DD">
        <w:rPr>
          <w:rFonts w:cs="Arial"/>
        </w:rPr>
        <w:t>VI. BUREAU DE L’UPOV / OFFICE OF UPOV / BÜRO DER UPOV / OFICINA DE LA UPOV</w:t>
      </w:r>
    </w:p>
    <w:p w:rsidR="007B3C74" w:rsidRPr="00841411" w:rsidRDefault="007B3C74" w:rsidP="007B3C74">
      <w:pPr>
        <w:pStyle w:val="pldetails"/>
        <w:keepNext/>
      </w:pPr>
      <w:r w:rsidRPr="00841411">
        <w:t>Francis GURRY, Secretary-General</w:t>
      </w:r>
    </w:p>
    <w:p w:rsidR="007B3C74" w:rsidRPr="00841411" w:rsidRDefault="007B3C74" w:rsidP="007B3C74">
      <w:pPr>
        <w:pStyle w:val="pldetails"/>
      </w:pPr>
      <w:r w:rsidRPr="00841411">
        <w:t>Peter BUTTON, Vice Secretary-General</w:t>
      </w:r>
    </w:p>
    <w:p w:rsidR="007B3C74" w:rsidRPr="00841411" w:rsidRDefault="007B3C74" w:rsidP="007B3C74">
      <w:pPr>
        <w:pStyle w:val="pldetails"/>
      </w:pPr>
      <w:r w:rsidRPr="00841411">
        <w:t>Yolanda HUERTA (Ms.), Legal Counsel</w:t>
      </w:r>
    </w:p>
    <w:p w:rsidR="007B3C74" w:rsidRPr="00841411" w:rsidRDefault="007B3C74" w:rsidP="007B3C74">
      <w:pPr>
        <w:pStyle w:val="pldetails"/>
      </w:pPr>
      <w:r w:rsidRPr="00841411">
        <w:t>Jun KOIDE, Technical/Regional Officer (Asia)</w:t>
      </w:r>
    </w:p>
    <w:p w:rsidR="007B3C74" w:rsidRPr="00841411" w:rsidRDefault="007B3C74" w:rsidP="007B3C74">
      <w:pPr>
        <w:pStyle w:val="pldetails"/>
      </w:pPr>
      <w:r w:rsidRPr="00841411">
        <w:t>Ben RIVOIRE, Technical/Regional Officer (Africa, Arab countries)</w:t>
      </w:r>
    </w:p>
    <w:p w:rsidR="007B3C74" w:rsidRPr="00841411" w:rsidRDefault="007B3C74" w:rsidP="007B3C74">
      <w:pPr>
        <w:pStyle w:val="pldetails"/>
      </w:pPr>
      <w:r w:rsidRPr="00841411">
        <w:t>Leontino TAVEIRA, Technical/Regional Officer (Latin America, Caribbean countries)</w:t>
      </w:r>
    </w:p>
    <w:p w:rsidR="007B3C74" w:rsidRPr="00A07916" w:rsidRDefault="007B3C74" w:rsidP="007B3C74">
      <w:pPr>
        <w:pStyle w:val="pldetails"/>
      </w:pPr>
      <w:r w:rsidRPr="00A07916">
        <w:t xml:space="preserve">Hend MADHOUR (Ms.), Data Modeler </w:t>
      </w:r>
      <w:r>
        <w:t>and Business Needs Analyst</w:t>
      </w:r>
    </w:p>
    <w:p w:rsidR="007B3C74" w:rsidRPr="001C7017" w:rsidRDefault="007B3C74" w:rsidP="007B3C74">
      <w:pPr>
        <w:pStyle w:val="pldetails"/>
      </w:pPr>
      <w:r w:rsidRPr="001C7017">
        <w:t>Romy OERTEL (Ms.), Secretary II</w:t>
      </w:r>
    </w:p>
    <w:p w:rsidR="007B3C74" w:rsidRPr="001C7017" w:rsidRDefault="007B3C74" w:rsidP="007B3C74">
      <w:pPr>
        <w:jc w:val="left"/>
      </w:pPr>
    </w:p>
    <w:p w:rsidR="007B3C74" w:rsidRPr="001C7017" w:rsidRDefault="007B3C74" w:rsidP="007B3C74">
      <w:pPr>
        <w:jc w:val="left"/>
      </w:pPr>
    </w:p>
    <w:p w:rsidR="007B3C74" w:rsidRPr="0069746E" w:rsidRDefault="007B3C74" w:rsidP="007B3C74">
      <w:pPr>
        <w:keepNext/>
        <w:jc w:val="right"/>
        <w:rPr>
          <w:rFonts w:cs="Arial"/>
          <w:lang w:eastAsia="zh-CN"/>
        </w:rPr>
      </w:pPr>
      <w:r w:rsidRPr="0069746E">
        <w:rPr>
          <w:rFonts w:cs="Arial"/>
        </w:rPr>
        <w:t>[Annex II follows/</w:t>
      </w:r>
      <w:r w:rsidRPr="0069746E">
        <w:rPr>
          <w:rFonts w:cs="Arial"/>
        </w:rPr>
        <w:br/>
      </w:r>
      <w:proofErr w:type="spellStart"/>
      <w:r w:rsidRPr="0069746E">
        <w:rPr>
          <w:rFonts w:cs="Arial"/>
        </w:rPr>
        <w:t>L’annexe</w:t>
      </w:r>
      <w:proofErr w:type="spellEnd"/>
      <w:r w:rsidRPr="0069746E">
        <w:rPr>
          <w:rFonts w:cs="Arial"/>
        </w:rPr>
        <w:t xml:space="preserve"> II suit/</w:t>
      </w:r>
      <w:r w:rsidRPr="0069746E">
        <w:rPr>
          <w:rFonts w:cs="Arial"/>
        </w:rPr>
        <w:br/>
        <w:t xml:space="preserve">Anlage II </w:t>
      </w:r>
      <w:proofErr w:type="spellStart"/>
      <w:r w:rsidRPr="0069746E">
        <w:rPr>
          <w:rFonts w:cs="Arial"/>
        </w:rPr>
        <w:t>folgt</w:t>
      </w:r>
      <w:proofErr w:type="spellEnd"/>
      <w:r w:rsidRPr="0069746E">
        <w:rPr>
          <w:rFonts w:cs="Arial"/>
        </w:rPr>
        <w:t>/</w:t>
      </w:r>
      <w:r w:rsidRPr="0069746E">
        <w:rPr>
          <w:rFonts w:cs="Arial"/>
        </w:rPr>
        <w:br/>
      </w:r>
      <w:proofErr w:type="spellStart"/>
      <w:r w:rsidRPr="0069746E">
        <w:rPr>
          <w:rFonts w:cs="Arial"/>
        </w:rPr>
        <w:t>Sigue</w:t>
      </w:r>
      <w:proofErr w:type="spellEnd"/>
      <w:r w:rsidRPr="0069746E">
        <w:rPr>
          <w:rFonts w:cs="Arial"/>
        </w:rPr>
        <w:t xml:space="preserve"> el </w:t>
      </w:r>
      <w:proofErr w:type="spellStart"/>
      <w:r w:rsidRPr="0069746E">
        <w:rPr>
          <w:rFonts w:cs="Arial"/>
        </w:rPr>
        <w:t>Anexo</w:t>
      </w:r>
      <w:proofErr w:type="spellEnd"/>
      <w:r w:rsidRPr="0069746E">
        <w:rPr>
          <w:rFonts w:cs="Arial"/>
        </w:rPr>
        <w:t xml:space="preserve"> II]</w:t>
      </w:r>
    </w:p>
    <w:p w:rsidR="001826AD" w:rsidRPr="00092B17" w:rsidRDefault="001826AD" w:rsidP="001826AD">
      <w:pPr>
        <w:jc w:val="left"/>
        <w:rPr>
          <w:lang w:val="fr-FR"/>
        </w:rPr>
      </w:pPr>
    </w:p>
    <w:p w:rsidR="001826AD" w:rsidRPr="00092B17" w:rsidRDefault="001826AD" w:rsidP="001826AD">
      <w:pPr>
        <w:rPr>
          <w:lang w:val="fr-FR"/>
        </w:rPr>
        <w:sectPr w:rsidR="001826AD" w:rsidRPr="00092B17" w:rsidSect="009719D9">
          <w:headerReference w:type="default" r:id="rId16"/>
          <w:headerReference w:type="first" r:id="rId17"/>
          <w:footerReference w:type="first" r:id="rId18"/>
          <w:pgSz w:w="11907" w:h="16840" w:code="9"/>
          <w:pgMar w:top="510" w:right="1134" w:bottom="1134" w:left="1134" w:header="510" w:footer="680" w:gutter="0"/>
          <w:pgNumType w:start="1"/>
          <w:cols w:space="720"/>
          <w:titlePg/>
          <w:docGrid w:linePitch="272"/>
        </w:sectPr>
      </w:pPr>
    </w:p>
    <w:p w:rsidR="001826AD" w:rsidRPr="00092B17" w:rsidRDefault="001826AD" w:rsidP="001826AD">
      <w:pPr>
        <w:jc w:val="center"/>
        <w:rPr>
          <w:rFonts w:cs="Arial"/>
          <w:bCs/>
          <w:snapToGrid w:val="0"/>
          <w:lang w:val="fr-FR"/>
        </w:rPr>
      </w:pPr>
      <w:r w:rsidRPr="00092B17">
        <w:rPr>
          <w:rFonts w:cs="Arial"/>
          <w:bCs/>
          <w:snapToGrid w:val="0"/>
          <w:lang w:val="fr-FR"/>
        </w:rPr>
        <w:t xml:space="preserve">MODIFICATIONS PROPOSÉES AUX PROJETS DE PRINCIPES DIRECTEURS D’EXAMEN </w:t>
      </w:r>
      <w:r w:rsidRPr="00092B17">
        <w:rPr>
          <w:rFonts w:cs="Arial"/>
          <w:bCs/>
          <w:snapToGrid w:val="0"/>
          <w:lang w:val="fr-FR"/>
        </w:rPr>
        <w:br/>
        <w:t>AVANT LEUR ADOPTION À LA CINQUANTE</w:t>
      </w:r>
      <w:r w:rsidRPr="00092B17">
        <w:rPr>
          <w:rFonts w:cs="Arial"/>
          <w:bCs/>
          <w:snapToGrid w:val="0"/>
          <w:lang w:val="fr-FR"/>
        </w:rPr>
        <w:noBreakHyphen/>
        <w:t xml:space="preserve">DEUXIÈME SESSION </w:t>
      </w:r>
      <w:r w:rsidRPr="00092B17">
        <w:rPr>
          <w:rFonts w:cs="Arial"/>
          <w:bCs/>
          <w:snapToGrid w:val="0"/>
          <w:lang w:val="fr-FR"/>
        </w:rPr>
        <w:br/>
        <w:t>DU COMITÉ TECHNIQUE (TC)</w:t>
      </w:r>
    </w:p>
    <w:p w:rsidR="001826AD" w:rsidRPr="00092B17" w:rsidRDefault="001826AD" w:rsidP="001826AD">
      <w:pPr>
        <w:rPr>
          <w:snapToGrid w:val="0"/>
          <w:lang w:val="fr-FR"/>
        </w:rPr>
      </w:pPr>
    </w:p>
    <w:p w:rsidR="001826AD" w:rsidRPr="00092B17" w:rsidRDefault="001826AD" w:rsidP="001826AD">
      <w:pPr>
        <w:rPr>
          <w:snapToGrid w:val="0"/>
          <w:lang w:val="fr-FR"/>
        </w:rPr>
      </w:pPr>
      <w:r w:rsidRPr="00092B17">
        <w:rPr>
          <w:snapToGrid w:val="0"/>
          <w:lang w:val="fr-FR"/>
        </w:rPr>
        <w:t>1.</w:t>
      </w:r>
      <w:r w:rsidRPr="00092B17">
        <w:rPr>
          <w:snapToGrid w:val="0"/>
          <w:lang w:val="fr-FR"/>
        </w:rPr>
        <w:tab/>
        <w:t>RÉVISIONS PARTIELLES</w:t>
      </w:r>
    </w:p>
    <w:p w:rsidR="001826AD" w:rsidRPr="00092B17" w:rsidRDefault="001826AD" w:rsidP="001826AD">
      <w:pPr>
        <w:jc w:val="center"/>
        <w:rPr>
          <w:rFonts w:cs="Arial"/>
          <w:b/>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1826AD" w:rsidRPr="00092B17" w:rsidTr="006B4271">
        <w:trPr>
          <w:cantSplit/>
          <w:jc w:val="center"/>
        </w:trPr>
        <w:tc>
          <w:tcPr>
            <w:tcW w:w="9670" w:type="dxa"/>
            <w:shd w:val="clear" w:color="auto" w:fill="D9D9D9"/>
            <w:vAlign w:val="center"/>
          </w:tcPr>
          <w:p w:rsidR="001826AD" w:rsidRPr="00092B17" w:rsidRDefault="001826AD" w:rsidP="006B4271">
            <w:pPr>
              <w:pStyle w:val="BodyText"/>
              <w:keepNext/>
              <w:tabs>
                <w:tab w:val="left" w:pos="1378"/>
              </w:tabs>
              <w:ind w:left="1378" w:hanging="1418"/>
              <w:jc w:val="left"/>
              <w:rPr>
                <w:rFonts w:cs="Arial"/>
                <w:b/>
                <w:iCs/>
                <w:lang w:val="fr-FR"/>
              </w:rPr>
            </w:pPr>
            <w:r w:rsidRPr="00092B17">
              <w:rPr>
                <w:rFonts w:cs="Arial"/>
                <w:b/>
                <w:iCs/>
                <w:lang w:val="fr-FR"/>
              </w:rPr>
              <w:t>TC/52/24</w:t>
            </w:r>
            <w:r w:rsidRPr="00092B17">
              <w:rPr>
                <w:rFonts w:cs="Arial"/>
                <w:b/>
                <w:iCs/>
                <w:lang w:val="fr-FR"/>
              </w:rPr>
              <w:tab/>
              <w:t>Révision partielle des principes directeurs d’examen pour le radis rave et le radis d’été, d’automne et d’hiver</w:t>
            </w:r>
          </w:p>
          <w:p w:rsidR="001826AD" w:rsidRPr="00092B17" w:rsidRDefault="001826AD" w:rsidP="006B4271">
            <w:pPr>
              <w:pStyle w:val="BodyText"/>
              <w:keepNext/>
              <w:tabs>
                <w:tab w:val="left" w:pos="1378"/>
              </w:tabs>
              <w:ind w:left="1803" w:hanging="1803"/>
              <w:jc w:val="left"/>
              <w:rPr>
                <w:rFonts w:cs="Arial"/>
                <w:b/>
                <w:iCs/>
                <w:lang w:val="fr-FR"/>
              </w:rPr>
            </w:pPr>
            <w:r w:rsidRPr="00092B17">
              <w:rPr>
                <w:rFonts w:cs="Arial"/>
                <w:b/>
                <w:iCs/>
                <w:lang w:val="fr-FR"/>
              </w:rPr>
              <w:tab/>
              <w:t>(Document TG/63/7</w:t>
            </w:r>
            <w:r w:rsidRPr="00092B17">
              <w:rPr>
                <w:rFonts w:cs="Arial"/>
                <w:b/>
                <w:iCs/>
                <w:lang w:val="fr-FR"/>
              </w:rPr>
              <w:noBreakHyphen/>
              <w:t>TG/64/7)</w:t>
            </w:r>
          </w:p>
        </w:tc>
      </w:tr>
    </w:tbl>
    <w:p w:rsidR="001826AD" w:rsidRPr="00092B17" w:rsidRDefault="001826AD" w:rsidP="001826AD">
      <w:pPr>
        <w:keepNext/>
        <w:jc w:val="center"/>
        <w:rPr>
          <w:rFonts w:cs="Arial"/>
          <w:b/>
          <w:bCs/>
          <w:snapToGrid w:val="0"/>
          <w:lang w:val="fr-FR"/>
        </w:rPr>
      </w:pPr>
    </w:p>
    <w:p w:rsidR="001826AD" w:rsidRPr="00092B17" w:rsidRDefault="001826AD" w:rsidP="001826AD">
      <w:pPr>
        <w:autoSpaceDE w:val="0"/>
        <w:autoSpaceDN w:val="0"/>
        <w:adjustRightInd w:val="0"/>
        <w:ind w:firstLine="567"/>
        <w:jc w:val="left"/>
        <w:rPr>
          <w:rFonts w:cs="Arial"/>
          <w:lang w:val="fr-FR"/>
        </w:rPr>
      </w:pPr>
      <w:r w:rsidRPr="00092B17">
        <w:rPr>
          <w:rFonts w:cs="Arial"/>
          <w:lang w:val="fr-FR"/>
        </w:rPr>
        <w:t>Le tableau ci</w:t>
      </w:r>
      <w:r w:rsidRPr="00092B17">
        <w:rPr>
          <w:rFonts w:cs="Arial"/>
          <w:lang w:val="fr-FR"/>
        </w:rPr>
        <w:noBreakHyphen/>
        <w:t>après contient les observations formulées par le Comité de rédaction élargi à sa réunion les 6 et 7 janvier 2016.  Toutes ces observations figurent déjà dans le document TC/52/24, qui a été soumis au TC :</w:t>
      </w:r>
    </w:p>
    <w:p w:rsidR="001826AD" w:rsidRPr="00092B17" w:rsidRDefault="001826AD" w:rsidP="001826AD">
      <w:pPr>
        <w:keepNext/>
        <w:rPr>
          <w:rFonts w:cs="Arial"/>
          <w:b/>
          <w:bCs/>
          <w:snapToGrid w:val="0"/>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22</w:t>
            </w:r>
          </w:p>
        </w:tc>
        <w:tc>
          <w:tcPr>
            <w:tcW w:w="8208" w:type="dxa"/>
          </w:tcPr>
          <w:p w:rsidR="001826AD" w:rsidRPr="00092B17" w:rsidRDefault="001826AD" w:rsidP="006B4271">
            <w:pPr>
              <w:keepNext/>
              <w:rPr>
                <w:rFonts w:cs="Arial"/>
                <w:lang w:val="fr-FR"/>
              </w:rPr>
            </w:pPr>
            <w:r w:rsidRPr="00092B17">
              <w:rPr>
                <w:rFonts w:cs="Arial"/>
                <w:lang w:val="fr-FR"/>
              </w:rPr>
              <w:t>libeller “Racine : couleur de l’épiderme de la base”</w:t>
            </w:r>
          </w:p>
        </w:tc>
      </w:tr>
    </w:tbl>
    <w:p w:rsidR="001826AD" w:rsidRPr="00092B17" w:rsidRDefault="001826AD" w:rsidP="001826AD">
      <w:pPr>
        <w:jc w:val="center"/>
        <w:rPr>
          <w:rFonts w:cs="Arial"/>
          <w:bCs/>
          <w:snapToGrid w:val="0"/>
          <w:lang w:val="fr-FR"/>
        </w:rPr>
      </w:pPr>
    </w:p>
    <w:p w:rsidR="001826AD" w:rsidRPr="00092B17" w:rsidRDefault="001826AD" w:rsidP="001826AD">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1826AD" w:rsidRPr="00092B17" w:rsidTr="006B4271">
        <w:trPr>
          <w:cantSplit/>
          <w:jc w:val="center"/>
        </w:trPr>
        <w:tc>
          <w:tcPr>
            <w:tcW w:w="9670" w:type="dxa"/>
            <w:shd w:val="clear" w:color="auto" w:fill="D9D9D9"/>
            <w:vAlign w:val="center"/>
          </w:tcPr>
          <w:p w:rsidR="001826AD" w:rsidRPr="00092B17" w:rsidRDefault="001826AD" w:rsidP="006B4271">
            <w:pPr>
              <w:pStyle w:val="BodyText"/>
              <w:keepNext/>
              <w:tabs>
                <w:tab w:val="left" w:pos="1378"/>
              </w:tabs>
              <w:ind w:left="1378" w:hanging="1378"/>
              <w:jc w:val="left"/>
              <w:rPr>
                <w:rFonts w:cs="Arial"/>
                <w:b/>
                <w:iCs/>
                <w:lang w:val="fr-FR"/>
              </w:rPr>
            </w:pPr>
            <w:r w:rsidRPr="00092B17">
              <w:rPr>
                <w:rFonts w:cs="Arial"/>
                <w:b/>
                <w:iCs/>
                <w:lang w:val="fr-FR"/>
              </w:rPr>
              <w:t>TC/52/25</w:t>
            </w:r>
            <w:r w:rsidRPr="00092B17">
              <w:rPr>
                <w:rFonts w:cs="Arial"/>
                <w:iCs/>
                <w:lang w:val="fr-FR"/>
              </w:rPr>
              <w:tab/>
            </w:r>
            <w:r w:rsidRPr="00092B17">
              <w:rPr>
                <w:rFonts w:cs="Arial"/>
                <w:b/>
                <w:iCs/>
                <w:lang w:val="fr-FR"/>
              </w:rPr>
              <w:t>Révision partielle des principes directeurs d’examen de l’épinard (document TG/55/7 Rev.3)</w:t>
            </w:r>
          </w:p>
        </w:tc>
      </w:tr>
    </w:tbl>
    <w:p w:rsidR="001826AD" w:rsidRPr="00092B17" w:rsidRDefault="001826AD" w:rsidP="001826AD">
      <w:pPr>
        <w:keepNext/>
        <w:jc w:val="center"/>
        <w:rPr>
          <w:rFonts w:cs="Arial"/>
          <w:b/>
          <w:bCs/>
          <w:snapToGrid w:val="0"/>
          <w:lang w:val="fr-FR"/>
        </w:rPr>
      </w:pPr>
    </w:p>
    <w:p w:rsidR="001826AD" w:rsidRPr="00092B17" w:rsidRDefault="001826AD" w:rsidP="001826AD">
      <w:pPr>
        <w:autoSpaceDE w:val="0"/>
        <w:autoSpaceDN w:val="0"/>
        <w:adjustRightInd w:val="0"/>
        <w:ind w:firstLine="567"/>
        <w:jc w:val="left"/>
        <w:rPr>
          <w:rFonts w:cs="Arial"/>
          <w:lang w:val="fr-FR"/>
        </w:rPr>
      </w:pPr>
      <w:r w:rsidRPr="00092B17">
        <w:rPr>
          <w:rFonts w:cs="Arial"/>
          <w:lang w:val="fr-FR"/>
        </w:rPr>
        <w:t>Le tableau ci</w:t>
      </w:r>
      <w:r w:rsidRPr="00092B17">
        <w:rPr>
          <w:rFonts w:cs="Arial"/>
          <w:lang w:val="fr-FR"/>
        </w:rPr>
        <w:noBreakHyphen/>
        <w:t>après contient les observations formulées par le Comité de rédaction élargi à sa réunion les 6 et 7 janvier 2016.  Toutes ces observations figurent déjà dans le document TC/52/25, qui a été soumis au TC :</w:t>
      </w:r>
    </w:p>
    <w:p w:rsidR="001826AD" w:rsidRPr="00092B17" w:rsidRDefault="001826AD" w:rsidP="001826AD">
      <w:pPr>
        <w:keepNext/>
        <w:jc w:val="center"/>
        <w:rPr>
          <w:rFonts w:cs="Arial"/>
          <w:b/>
          <w:bCs/>
          <w:snapToGrid w:val="0"/>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Page 3, par. 3</w:t>
            </w:r>
          </w:p>
        </w:tc>
        <w:tc>
          <w:tcPr>
            <w:tcW w:w="8208" w:type="dxa"/>
          </w:tcPr>
          <w:p w:rsidR="001826AD" w:rsidRPr="00092B17" w:rsidRDefault="001826AD" w:rsidP="006B4271">
            <w:pPr>
              <w:keepNext/>
              <w:spacing w:line="240" w:lineRule="atLeast"/>
              <w:rPr>
                <w:rFonts w:cs="Arial"/>
                <w:lang w:val="fr-FR"/>
              </w:rPr>
            </w:pPr>
            <w:r w:rsidRPr="00092B17">
              <w:rPr>
                <w:rFonts w:cs="Arial"/>
                <w:lang w:val="fr-FR"/>
              </w:rPr>
              <w:t xml:space="preserve">Traduction française ainsi libellée : </w:t>
            </w:r>
            <w:r w:rsidRPr="00092B17">
              <w:rPr>
                <w:lang w:val="fr-FR"/>
              </w:rPr>
              <w:t xml:space="preserve">“Les Races </w:t>
            </w:r>
            <w:proofErr w:type="spellStart"/>
            <w:r w:rsidRPr="00092B17">
              <w:rPr>
                <w:lang w:val="fr-FR"/>
              </w:rPr>
              <w:t>Pfs</w:t>
            </w:r>
            <w:proofErr w:type="spellEnd"/>
            <w:r w:rsidRPr="00092B17">
              <w:rPr>
                <w:lang w:val="fr-FR"/>
              </w:rPr>
              <w:t> : 1</w:t>
            </w:r>
            <w:r w:rsidRPr="00092B17">
              <w:rPr>
                <w:lang w:val="fr-FR"/>
              </w:rPr>
              <w:noBreakHyphen/>
              <w:t>8 et 10</w:t>
            </w:r>
            <w:r w:rsidRPr="00092B17">
              <w:rPr>
                <w:lang w:val="fr-FR"/>
              </w:rPr>
              <w:noBreakHyphen/>
              <w:t xml:space="preserve">15 de </w:t>
            </w:r>
            <w:proofErr w:type="spellStart"/>
            <w:r w:rsidRPr="00092B17">
              <w:rPr>
                <w:i/>
                <w:iCs/>
                <w:u w:val="single"/>
                <w:lang w:val="fr-FR"/>
              </w:rPr>
              <w:t>Peronospora</w:t>
            </w:r>
            <w:proofErr w:type="spellEnd"/>
            <w:r w:rsidRPr="00092B17">
              <w:rPr>
                <w:i/>
                <w:iCs/>
                <w:u w:val="single"/>
                <w:lang w:val="fr-FR"/>
              </w:rPr>
              <w:t xml:space="preserve"> </w:t>
            </w:r>
            <w:proofErr w:type="spellStart"/>
            <w:r w:rsidRPr="00092B17">
              <w:rPr>
                <w:i/>
                <w:iCs/>
                <w:u w:val="single"/>
                <w:lang w:val="fr-FR"/>
              </w:rPr>
              <w:t>farinosa</w:t>
            </w:r>
            <w:proofErr w:type="spellEnd"/>
            <w:r w:rsidRPr="00092B17">
              <w:rPr>
                <w:lang w:val="fr-FR"/>
              </w:rPr>
              <w:t xml:space="preserve"> f. </w:t>
            </w:r>
            <w:proofErr w:type="spellStart"/>
            <w:r w:rsidRPr="00092B17">
              <w:rPr>
                <w:lang w:val="fr-FR"/>
              </w:rPr>
              <w:t>sp</w:t>
            </w:r>
            <w:proofErr w:type="spellEnd"/>
            <w:r w:rsidRPr="00092B17">
              <w:rPr>
                <w:lang w:val="fr-FR"/>
              </w:rPr>
              <w:t xml:space="preserve">. </w:t>
            </w:r>
            <w:proofErr w:type="spellStart"/>
            <w:r w:rsidRPr="00092B17">
              <w:rPr>
                <w:i/>
                <w:iCs/>
                <w:lang w:val="fr-FR"/>
              </w:rPr>
              <w:t>spinaciae</w:t>
            </w:r>
            <w:proofErr w:type="spellEnd"/>
            <w:r w:rsidRPr="00092B17">
              <w:rPr>
                <w:lang w:val="fr-FR"/>
              </w:rPr>
              <w:t xml:space="preserve"> sont définies à l’aide d’une série de variétés témoins dites différentielles conformément au tableau suivant :…</w:t>
            </w:r>
            <w:r w:rsidRPr="00092B17">
              <w:rPr>
                <w:rFonts w:cs="Arial"/>
                <w:lang w:val="fr-FR"/>
              </w:rPr>
              <w:t>”</w:t>
            </w:r>
          </w:p>
        </w:tc>
      </w:tr>
    </w:tbl>
    <w:p w:rsidR="001826AD" w:rsidRPr="00092B17" w:rsidRDefault="001826AD" w:rsidP="001826AD">
      <w:pPr>
        <w:jc w:val="center"/>
        <w:rPr>
          <w:rFonts w:cs="Arial"/>
          <w:bCs/>
          <w:snapToGrid w:val="0"/>
          <w:lang w:val="fr-FR"/>
        </w:rPr>
      </w:pPr>
    </w:p>
    <w:p w:rsidR="001826AD" w:rsidRPr="00092B17" w:rsidRDefault="001826AD" w:rsidP="001826AD">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1826AD" w:rsidRPr="00092B17" w:rsidTr="006B4271">
        <w:trPr>
          <w:cantSplit/>
          <w:jc w:val="center"/>
        </w:trPr>
        <w:tc>
          <w:tcPr>
            <w:tcW w:w="9670" w:type="dxa"/>
            <w:shd w:val="clear" w:color="auto" w:fill="D9D9D9"/>
            <w:vAlign w:val="center"/>
          </w:tcPr>
          <w:p w:rsidR="001826AD" w:rsidRPr="00092B17" w:rsidRDefault="001826AD" w:rsidP="006B4271">
            <w:pPr>
              <w:pStyle w:val="BodyText"/>
              <w:keepNext/>
              <w:tabs>
                <w:tab w:val="left" w:pos="1378"/>
              </w:tabs>
              <w:ind w:left="1378" w:hanging="1378"/>
              <w:jc w:val="left"/>
              <w:rPr>
                <w:rFonts w:cs="Arial"/>
                <w:b/>
                <w:iCs/>
                <w:lang w:val="fr-FR"/>
              </w:rPr>
            </w:pPr>
            <w:r w:rsidRPr="00092B17">
              <w:rPr>
                <w:rFonts w:cs="Arial"/>
                <w:b/>
                <w:iCs/>
                <w:lang w:val="fr-FR"/>
              </w:rPr>
              <w:t>TC/52/26</w:t>
            </w:r>
            <w:r w:rsidRPr="00092B17">
              <w:rPr>
                <w:rFonts w:cs="Arial"/>
                <w:b/>
                <w:iCs/>
                <w:lang w:val="fr-FR"/>
              </w:rPr>
              <w:tab/>
              <w:t>Révision partielle des principes directeurs d’examen pour le porte</w:t>
            </w:r>
            <w:r w:rsidRPr="00092B17">
              <w:rPr>
                <w:rFonts w:cs="Arial"/>
                <w:b/>
                <w:iCs/>
                <w:lang w:val="fr-FR"/>
              </w:rPr>
              <w:noBreakHyphen/>
              <w:t xml:space="preserve">greffe de tomate </w:t>
            </w:r>
            <w:r w:rsidRPr="00092B17">
              <w:rPr>
                <w:rFonts w:cs="Arial"/>
                <w:b/>
                <w:iCs/>
                <w:lang w:val="fr-FR"/>
              </w:rPr>
              <w:br/>
              <w:t>(Document TG/294/1 Corr.)</w:t>
            </w:r>
          </w:p>
        </w:tc>
      </w:tr>
    </w:tbl>
    <w:p w:rsidR="001826AD" w:rsidRPr="00092B17" w:rsidRDefault="001826AD" w:rsidP="001826AD">
      <w:pPr>
        <w:keepNext/>
        <w:jc w:val="center"/>
        <w:rPr>
          <w:rFonts w:cs="Arial"/>
          <w:b/>
          <w:bCs/>
          <w:snapToGrid w:val="0"/>
          <w:lang w:val="fr-FR"/>
        </w:rPr>
      </w:pPr>
    </w:p>
    <w:p w:rsidR="001826AD" w:rsidRPr="00092B17" w:rsidRDefault="001826AD" w:rsidP="001826AD">
      <w:pPr>
        <w:ind w:firstLine="567"/>
        <w:jc w:val="left"/>
        <w:rPr>
          <w:rFonts w:cs="Arial"/>
          <w:bCs/>
          <w:snapToGrid w:val="0"/>
          <w:lang w:val="fr-FR"/>
        </w:rPr>
      </w:pPr>
      <w:r w:rsidRPr="00092B17">
        <w:rPr>
          <w:rFonts w:cs="Arial"/>
          <w:bCs/>
          <w:snapToGrid w:val="0"/>
          <w:lang w:val="fr-FR"/>
        </w:rPr>
        <w:t>Modifications proposées par le TC</w:t>
      </w:r>
      <w:r w:rsidRPr="00092B17">
        <w:rPr>
          <w:rFonts w:cs="Arial"/>
          <w:bCs/>
          <w:snapToGrid w:val="0"/>
          <w:lang w:val="fr-FR"/>
        </w:rPr>
        <w:noBreakHyphen/>
        <w:t>EDC en mars 2016, qui doivent être incorporées dans le document soumis au TC :</w:t>
      </w:r>
    </w:p>
    <w:p w:rsidR="001826AD" w:rsidRPr="00092B17" w:rsidRDefault="001826AD" w:rsidP="001826AD">
      <w:pPr>
        <w:keepNext/>
        <w:jc w:val="center"/>
        <w:rPr>
          <w:rFonts w:cs="Arial"/>
          <w:b/>
          <w:bCs/>
          <w:snapToGrid w:val="0"/>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28</w:t>
            </w:r>
          </w:p>
        </w:tc>
        <w:tc>
          <w:tcPr>
            <w:tcW w:w="8208" w:type="dxa"/>
          </w:tcPr>
          <w:p w:rsidR="001826AD" w:rsidRPr="00092B17" w:rsidRDefault="001826AD" w:rsidP="006B4271">
            <w:pPr>
              <w:keepNext/>
              <w:rPr>
                <w:rFonts w:cs="Arial"/>
                <w:lang w:val="fr-FR"/>
              </w:rPr>
            </w:pPr>
            <w:r w:rsidRPr="00092B17">
              <w:rPr>
                <w:rFonts w:cs="Arial"/>
                <w:lang w:val="fr-FR"/>
              </w:rPr>
              <w:t>à la suite de la suppression de (*) du car. 28, le car. 28 devrait aussi être supprimé du chapitre 5.3 (caractères de groupement) et du questionnaire technique 5</w:t>
            </w:r>
          </w:p>
          <w:p w:rsidR="001826AD" w:rsidRPr="00092B17" w:rsidRDefault="001826AD" w:rsidP="006B4271">
            <w:pPr>
              <w:keepNext/>
              <w:rPr>
                <w:rFonts w:cs="Arial"/>
                <w:i/>
                <w:lang w:val="fr-FR"/>
              </w:rPr>
            </w:pPr>
            <w:r w:rsidRPr="00092B17">
              <w:rPr>
                <w:rFonts w:cs="Arial"/>
                <w:i/>
                <w:lang w:val="fr-FR"/>
              </w:rPr>
              <w:t xml:space="preserve">Approuvé par le TWV par correspondance </w:t>
            </w:r>
          </w:p>
        </w:tc>
      </w:tr>
    </w:tbl>
    <w:p w:rsidR="001826AD" w:rsidRPr="00092B17" w:rsidRDefault="001826AD" w:rsidP="001826AD">
      <w:pPr>
        <w:jc w:val="center"/>
        <w:rPr>
          <w:rFonts w:cs="Arial"/>
          <w:bCs/>
          <w:snapToGrid w:val="0"/>
          <w:lang w:val="fr-FR"/>
        </w:rPr>
      </w:pPr>
    </w:p>
    <w:p w:rsidR="001826AD" w:rsidRPr="00092B17" w:rsidRDefault="001826AD" w:rsidP="001826AD">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1826AD" w:rsidRPr="00092B17" w:rsidTr="006B4271">
        <w:trPr>
          <w:cantSplit/>
          <w:jc w:val="center"/>
        </w:trPr>
        <w:tc>
          <w:tcPr>
            <w:tcW w:w="9670" w:type="dxa"/>
            <w:shd w:val="clear" w:color="auto" w:fill="D9D9D9"/>
            <w:vAlign w:val="center"/>
          </w:tcPr>
          <w:p w:rsidR="001826AD" w:rsidRPr="00092B17" w:rsidRDefault="001826AD" w:rsidP="006B4271">
            <w:pPr>
              <w:pStyle w:val="BodyText"/>
              <w:keepNext/>
              <w:tabs>
                <w:tab w:val="left" w:pos="1378"/>
              </w:tabs>
              <w:ind w:left="1378" w:hanging="1378"/>
              <w:jc w:val="left"/>
              <w:rPr>
                <w:rFonts w:cs="Arial"/>
                <w:b/>
                <w:iCs/>
                <w:lang w:val="fr-FR"/>
              </w:rPr>
            </w:pPr>
            <w:r w:rsidRPr="00092B17">
              <w:rPr>
                <w:rFonts w:cs="Arial"/>
                <w:b/>
                <w:iCs/>
                <w:lang w:val="fr-FR"/>
              </w:rPr>
              <w:t>TC/52/27</w:t>
            </w:r>
            <w:r w:rsidRPr="00092B17">
              <w:rPr>
                <w:rFonts w:cs="Arial"/>
                <w:b/>
                <w:iCs/>
                <w:lang w:val="fr-FR"/>
              </w:rPr>
              <w:tab/>
              <w:t xml:space="preserve">Révision partielle des principes directeurs d’examen des </w:t>
            </w:r>
            <w:proofErr w:type="spellStart"/>
            <w:r w:rsidRPr="00092B17">
              <w:rPr>
                <w:rFonts w:cs="Arial"/>
                <w:b/>
                <w:iCs/>
                <w:lang w:val="fr-FR"/>
              </w:rPr>
              <w:t>Brassicasées</w:t>
            </w:r>
            <w:proofErr w:type="spellEnd"/>
            <w:r w:rsidRPr="00092B17">
              <w:rPr>
                <w:rFonts w:cs="Arial"/>
                <w:b/>
                <w:iCs/>
                <w:lang w:val="fr-FR"/>
              </w:rPr>
              <w:t xml:space="preserve"> </w:t>
            </w:r>
          </w:p>
        </w:tc>
      </w:tr>
    </w:tbl>
    <w:p w:rsidR="001826AD" w:rsidRPr="00092B17" w:rsidRDefault="001826AD" w:rsidP="001826AD">
      <w:pPr>
        <w:keepNext/>
        <w:jc w:val="center"/>
        <w:rPr>
          <w:rFonts w:cs="Arial"/>
          <w:b/>
          <w:bCs/>
          <w:snapToGrid w:val="0"/>
          <w:lang w:val="fr-FR"/>
        </w:rPr>
      </w:pPr>
    </w:p>
    <w:p w:rsidR="001826AD" w:rsidRPr="00092B17" w:rsidRDefault="001826AD" w:rsidP="001826AD">
      <w:pPr>
        <w:autoSpaceDE w:val="0"/>
        <w:autoSpaceDN w:val="0"/>
        <w:adjustRightInd w:val="0"/>
        <w:ind w:firstLine="567"/>
        <w:jc w:val="left"/>
        <w:rPr>
          <w:rFonts w:cs="Arial"/>
          <w:lang w:val="fr-FR"/>
        </w:rPr>
      </w:pPr>
      <w:r w:rsidRPr="00092B17">
        <w:rPr>
          <w:rFonts w:cs="Arial"/>
          <w:lang w:val="fr-FR"/>
        </w:rPr>
        <w:t>Le tableau ci</w:t>
      </w:r>
      <w:r w:rsidRPr="00092B17">
        <w:rPr>
          <w:rFonts w:cs="Arial"/>
          <w:lang w:val="fr-FR"/>
        </w:rPr>
        <w:noBreakHyphen/>
        <w:t>après contient les observations formulées par le Comité de rédaction élargi à sa réunion les 6 et 7 janvier 2016.  Toutes ces observations figurent déjà dans le document TC/52/27, qui a été soumis au TC :</w:t>
      </w:r>
    </w:p>
    <w:p w:rsidR="001826AD" w:rsidRPr="00092B17" w:rsidRDefault="001826AD" w:rsidP="001826AD">
      <w:pPr>
        <w:keepNext/>
        <w:jc w:val="center"/>
        <w:rPr>
          <w:rFonts w:cs="Arial"/>
          <w:b/>
          <w:bCs/>
          <w:snapToGrid w:val="0"/>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 xml:space="preserve">Page 2, </w:t>
            </w:r>
            <w:proofErr w:type="spellStart"/>
            <w:r w:rsidRPr="00092B17">
              <w:rPr>
                <w:rFonts w:cs="Arial"/>
                <w:lang w:val="fr-FR"/>
              </w:rPr>
              <w:t>chou fleur</w:t>
            </w:r>
            <w:proofErr w:type="spellEnd"/>
          </w:p>
          <w:p w:rsidR="001826AD" w:rsidRPr="00092B17" w:rsidRDefault="001826AD" w:rsidP="006B4271">
            <w:pPr>
              <w:rPr>
                <w:rFonts w:cs="Arial"/>
                <w:lang w:val="fr-FR"/>
              </w:rPr>
            </w:pPr>
            <w:r w:rsidRPr="00092B17">
              <w:rPr>
                <w:rFonts w:cs="Arial"/>
                <w:lang w:val="fr-FR"/>
              </w:rPr>
              <w:t>Ad. 28</w:t>
            </w:r>
          </w:p>
        </w:tc>
        <w:tc>
          <w:tcPr>
            <w:tcW w:w="8208" w:type="dxa"/>
          </w:tcPr>
          <w:p w:rsidR="001826AD" w:rsidRPr="00092B17" w:rsidRDefault="001826AD" w:rsidP="006B4271">
            <w:pPr>
              <w:rPr>
                <w:rFonts w:cs="Arial"/>
                <w:lang w:val="fr-FR"/>
              </w:rPr>
            </w:pPr>
            <w:r w:rsidRPr="00092B17">
              <w:rPr>
                <w:rFonts w:cs="Arial"/>
                <w:lang w:val="fr-FR"/>
              </w:rPr>
              <w:t>Deuxième partie de l’explication sur les tests avec marqueurs ADN et/ou essai en plein champ doit être libellée comme suit :</w:t>
            </w:r>
          </w:p>
          <w:p w:rsidR="001826AD" w:rsidRPr="00092B17" w:rsidRDefault="001826AD" w:rsidP="006B4271">
            <w:pPr>
              <w:rPr>
                <w:rFonts w:cs="Arial"/>
                <w:lang w:val="fr-FR"/>
              </w:rPr>
            </w:pPr>
            <w:r w:rsidRPr="00092B17">
              <w:rPr>
                <w:rFonts w:cs="Arial"/>
                <w:lang w:val="fr-FR"/>
              </w:rPr>
              <w:t>“Test avec marqueurs d’ADN et/ou essai plein champ :</w:t>
            </w:r>
          </w:p>
          <w:p w:rsidR="001826AD" w:rsidRPr="00092B17" w:rsidRDefault="001826AD" w:rsidP="006B4271">
            <w:pPr>
              <w:rPr>
                <w:rFonts w:cs="Arial"/>
                <w:lang w:val="fr-FR"/>
              </w:rPr>
            </w:pPr>
          </w:p>
          <w:p w:rsidR="001826AD" w:rsidRPr="00092B17" w:rsidRDefault="001826AD" w:rsidP="006B4271">
            <w:pPr>
              <w:autoSpaceDE w:val="0"/>
              <w:autoSpaceDN w:val="0"/>
              <w:adjustRightInd w:val="0"/>
              <w:rPr>
                <w:rFonts w:cs="Arial"/>
                <w:lang w:val="fr-FR"/>
              </w:rPr>
            </w:pPr>
            <w:r w:rsidRPr="00092B17">
              <w:rPr>
                <w:rFonts w:eastAsiaTheme="minorHAnsi" w:cs="Arial"/>
                <w:iCs/>
                <w:lang w:val="fr-FR"/>
              </w:rPr>
              <w:t>Toute variété indiquant une stérilité mâle totale (niveau 3) dans le questionnaire technique peut faire l’objet d’un examen lors d’un essai en plein champ ou d’un test avec marqueurs d’ADN.  Dans le cas d’un test avec marqueurs d’ADN, si le marqueur CMS n’est pas présent, un essai en plein champ doit être effectué afin de déterminer si la variété indique la stérilité mâle (sur un autre mécanisme), la stérilité partielle ou la fertilité.  Toute variété indiquant la fertilité ou la stérilité mâle partielle doit être soumise à un essai en plein champ.</w:t>
            </w:r>
          </w:p>
          <w:p w:rsidR="001826AD" w:rsidRPr="00092B17" w:rsidRDefault="001826AD" w:rsidP="006B4271">
            <w:pPr>
              <w:rPr>
                <w:rFonts w:cs="Arial"/>
                <w:i/>
                <w:lang w:val="fr-FR"/>
              </w:rPr>
            </w:pPr>
          </w:p>
          <w:p w:rsidR="001826AD" w:rsidRPr="00092B17" w:rsidRDefault="001826AD" w:rsidP="006B4271">
            <w:pPr>
              <w:autoSpaceDE w:val="0"/>
              <w:autoSpaceDN w:val="0"/>
              <w:adjustRightInd w:val="0"/>
              <w:rPr>
                <w:rFonts w:cs="Arial"/>
                <w:lang w:val="fr-FR"/>
              </w:rPr>
            </w:pPr>
            <w:r w:rsidRPr="00092B17">
              <w:rPr>
                <w:rFonts w:cs="Arial"/>
                <w:lang w:val="fr-FR"/>
              </w:rPr>
              <w:t>Dans le cas d’un essai en plein champ, l’observation est de type VS.  Dans le cas d’un test avec marqueurs d’ADN, l’observation est de type MS”.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3, Chou</w:t>
            </w:r>
          </w:p>
          <w:p w:rsidR="001826AD" w:rsidRPr="00092B17" w:rsidRDefault="001826AD" w:rsidP="006B4271">
            <w:pPr>
              <w:rPr>
                <w:rFonts w:cs="Arial"/>
                <w:lang w:val="fr-FR"/>
              </w:rPr>
            </w:pPr>
            <w:r w:rsidRPr="00092B17">
              <w:rPr>
                <w:rFonts w:cs="Arial"/>
                <w:lang w:val="fr-FR"/>
              </w:rPr>
              <w:t>Ad. 35</w:t>
            </w:r>
          </w:p>
        </w:tc>
        <w:tc>
          <w:tcPr>
            <w:tcW w:w="8208" w:type="dxa"/>
          </w:tcPr>
          <w:p w:rsidR="001826AD" w:rsidRPr="00092B17" w:rsidRDefault="001826AD" w:rsidP="006B4271">
            <w:pPr>
              <w:rPr>
                <w:rFonts w:cs="Arial"/>
                <w:lang w:val="fr-FR"/>
              </w:rPr>
            </w:pPr>
            <w:r w:rsidRPr="00092B17">
              <w:rPr>
                <w:rFonts w:eastAsiaTheme="minorHAnsi" w:cs="Arial"/>
                <w:iCs/>
                <w:lang w:val="fr-FR"/>
              </w:rPr>
              <w:t>libeller comme suit : “Toute variété indiquant une stérilité mâle dans le questionnaire technique peut faire l’objet d’un examen lors d’un essai plein champ ou d’un test avec marqueurs d’ADN.  Dans le cas d’un test avec marqueurs d’ADN, si le marqueur CMS n’est pas présent, un essai plein champ doit être effectué afin de déterminer si la variété indique la stérilité mâle (sur un autre mécanisme) ou la fertilité.  Toute variété indiquant la fertilité doit être soumise à un essai en plein champ”.</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4, Choux de Bruxelles</w:t>
            </w:r>
          </w:p>
          <w:p w:rsidR="001826AD" w:rsidRPr="00092B17" w:rsidRDefault="001826AD" w:rsidP="006B4271">
            <w:pPr>
              <w:rPr>
                <w:rFonts w:cs="Arial"/>
                <w:lang w:val="fr-FR"/>
              </w:rPr>
            </w:pPr>
            <w:r w:rsidRPr="00092B17">
              <w:rPr>
                <w:rFonts w:cs="Arial"/>
                <w:lang w:val="fr-FR"/>
              </w:rPr>
              <w:t>Ad. 21</w:t>
            </w:r>
          </w:p>
        </w:tc>
        <w:tc>
          <w:tcPr>
            <w:tcW w:w="8208" w:type="dxa"/>
          </w:tcPr>
          <w:p w:rsidR="001826AD" w:rsidRPr="00092B17" w:rsidRDefault="001826AD" w:rsidP="006B4271">
            <w:pPr>
              <w:rPr>
                <w:rFonts w:eastAsiaTheme="minorHAnsi" w:cs="Arial"/>
                <w:iCs/>
                <w:lang w:val="fr-FR"/>
              </w:rPr>
            </w:pPr>
            <w:r w:rsidRPr="00092B17">
              <w:rPr>
                <w:rFonts w:eastAsiaTheme="minorHAnsi" w:cs="Arial"/>
                <w:iCs/>
                <w:lang w:val="fr-FR"/>
              </w:rPr>
              <w:t>libeller comme suit : “Toute variété indiquant une stérilité mâle dans le questionnaire technique peut faire l’objet d’un examen lors d’un essai plein champ ou d’un test avec marqueurs d’ADN.  Dans le cas d’un test avec marqueurs d’ADN, si le marqueur CMS n’est pas présent, un essai plein champ doit être effectué afin de déterminer si la variété indique la stérilité mâle (sur un autre mécanisme) ou la fertilité.  Toute variété indiquant la fertilité doit être soumise à un essai en plein champ”.</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5, Chou rave</w:t>
            </w:r>
          </w:p>
          <w:p w:rsidR="001826AD" w:rsidRPr="00092B17" w:rsidRDefault="001826AD" w:rsidP="006B4271">
            <w:pPr>
              <w:rPr>
                <w:rFonts w:cs="Arial"/>
                <w:lang w:val="fr-FR"/>
              </w:rPr>
            </w:pPr>
            <w:r w:rsidRPr="00092B17">
              <w:rPr>
                <w:rFonts w:cs="Arial"/>
                <w:lang w:val="fr-FR"/>
              </w:rPr>
              <w:t>Ad. 24</w:t>
            </w:r>
          </w:p>
        </w:tc>
        <w:tc>
          <w:tcPr>
            <w:tcW w:w="8208" w:type="dxa"/>
          </w:tcPr>
          <w:p w:rsidR="001826AD" w:rsidRPr="00092B17" w:rsidRDefault="001826AD" w:rsidP="006B4271">
            <w:pPr>
              <w:rPr>
                <w:rFonts w:eastAsiaTheme="minorHAnsi" w:cs="Arial"/>
                <w:iCs/>
                <w:lang w:val="fr-FR"/>
              </w:rPr>
            </w:pPr>
            <w:r w:rsidRPr="00092B17">
              <w:rPr>
                <w:rFonts w:eastAsiaTheme="minorHAnsi" w:cs="Arial"/>
                <w:iCs/>
                <w:lang w:val="fr-FR"/>
              </w:rPr>
              <w:t>libeller comme suit : “Toute variété indiquant une stérilité mâle dans le questionnaire technique peut faire l’objet d’un examen lors d’un essai plein champ ou d’un test avec marqueurs d’ADN.  Dans le cas d’un test avec marqueurs d’ADN, si le marqueur CMS n’est pas présent, un essai plein champ doit être effectué afin de déterminer si la variété indique la stérilité mâle (sur un autre mécanisme) ou la fertilité.  Toute variété indiquant la fertilité doit être soumise à un essai en plein champ”.</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6, Brocoli, chou brocoli</w:t>
            </w:r>
          </w:p>
          <w:p w:rsidR="001826AD" w:rsidRPr="00092B17" w:rsidRDefault="001826AD" w:rsidP="006B4271">
            <w:pPr>
              <w:rPr>
                <w:rFonts w:cs="Arial"/>
                <w:lang w:val="fr-FR"/>
              </w:rPr>
            </w:pPr>
            <w:r w:rsidRPr="00092B17">
              <w:rPr>
                <w:rFonts w:cs="Arial"/>
                <w:lang w:val="fr-FR"/>
              </w:rPr>
              <w:t>Ad. 32</w:t>
            </w:r>
          </w:p>
        </w:tc>
        <w:tc>
          <w:tcPr>
            <w:tcW w:w="8208" w:type="dxa"/>
          </w:tcPr>
          <w:p w:rsidR="001826AD" w:rsidRPr="00092B17" w:rsidRDefault="001826AD" w:rsidP="006B4271">
            <w:pPr>
              <w:rPr>
                <w:rFonts w:cs="Arial"/>
                <w:lang w:val="fr-FR"/>
              </w:rPr>
            </w:pPr>
            <w:r w:rsidRPr="00092B17">
              <w:rPr>
                <w:rFonts w:eastAsiaTheme="minorHAnsi" w:cs="Arial"/>
                <w:iCs/>
                <w:lang w:val="fr-FR"/>
              </w:rPr>
              <w:t>libeller comme suit : “Toute variété indiquant une stérilité mâle dans le questionnaire technique peut faire l’objet d’un examen lors d’un essai plein champ ou d’un test avec marqueurs d’ADN.  Dans le cas d’un test avec marqueurs d’ADN, si le marqueur CMS n’est pas présent, un essai plein champ doit être effectué afin de déterminer si la variété indique la stérilité mâle (sur un autre mécanisme) ou la fertilité.  Toute variété indiquant la fertilité doit être soumise à un essai en plein champ”.</w:t>
            </w:r>
          </w:p>
        </w:tc>
      </w:tr>
    </w:tbl>
    <w:p w:rsidR="001826AD" w:rsidRPr="00092B17" w:rsidRDefault="001826AD" w:rsidP="001826AD">
      <w:pPr>
        <w:jc w:val="left"/>
        <w:rPr>
          <w:rFonts w:cs="Arial"/>
          <w:bCs/>
          <w:snapToGrid w:val="0"/>
          <w:lang w:val="fr-FR"/>
        </w:rPr>
      </w:pPr>
    </w:p>
    <w:p w:rsidR="001826AD" w:rsidRPr="00092B17" w:rsidRDefault="001826AD" w:rsidP="001826AD">
      <w:pPr>
        <w:ind w:firstLine="567"/>
        <w:jc w:val="left"/>
        <w:rPr>
          <w:rFonts w:cs="Arial"/>
          <w:bCs/>
          <w:snapToGrid w:val="0"/>
          <w:lang w:val="fr-FR"/>
        </w:rPr>
      </w:pPr>
      <w:r w:rsidRPr="00092B17">
        <w:rPr>
          <w:rFonts w:cs="Arial"/>
          <w:bCs/>
          <w:snapToGrid w:val="0"/>
          <w:lang w:val="fr-FR"/>
        </w:rPr>
        <w:t>b)</w:t>
      </w:r>
      <w:r w:rsidRPr="00092B17">
        <w:rPr>
          <w:rFonts w:cs="Arial"/>
          <w:bCs/>
          <w:snapToGrid w:val="0"/>
          <w:lang w:val="fr-FR"/>
        </w:rPr>
        <w:tab/>
        <w:t>Modifications proposées par le TC</w:t>
      </w:r>
      <w:r w:rsidRPr="00092B17">
        <w:rPr>
          <w:rFonts w:cs="Arial"/>
          <w:bCs/>
          <w:snapToGrid w:val="0"/>
          <w:lang w:val="fr-FR"/>
        </w:rPr>
        <w:noBreakHyphen/>
        <w:t>EDC en mars 2016, qui doivent être incorporées dans le document soumis au TC :</w:t>
      </w:r>
    </w:p>
    <w:p w:rsidR="001826AD" w:rsidRPr="00092B17" w:rsidRDefault="001826AD" w:rsidP="001826AD">
      <w:pPr>
        <w:ind w:firstLine="567"/>
        <w:jc w:val="left"/>
        <w:rPr>
          <w:rFonts w:cs="Arial"/>
          <w:bCs/>
          <w:snapToGrid w:val="0"/>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 xml:space="preserve">Page 2, </w:t>
            </w:r>
            <w:proofErr w:type="spellStart"/>
            <w:r w:rsidRPr="00092B17">
              <w:rPr>
                <w:rFonts w:cs="Arial"/>
                <w:lang w:val="fr-FR"/>
              </w:rPr>
              <w:t>Chou fleur</w:t>
            </w:r>
            <w:proofErr w:type="spellEnd"/>
          </w:p>
        </w:tc>
        <w:tc>
          <w:tcPr>
            <w:tcW w:w="8208" w:type="dxa"/>
          </w:tcPr>
          <w:p w:rsidR="001826AD" w:rsidRPr="00092B17" w:rsidRDefault="001826AD" w:rsidP="006B4271">
            <w:pPr>
              <w:rPr>
                <w:lang w:val="fr-FR"/>
              </w:rPr>
            </w:pPr>
            <w:r w:rsidRPr="00092B17">
              <w:rPr>
                <w:lang w:val="fr-FR"/>
              </w:rPr>
              <w:t xml:space="preserve">Corriger l’erreur dans le nom botanique suivant : </w:t>
            </w:r>
            <w:proofErr w:type="spellStart"/>
            <w:r w:rsidRPr="00092B17">
              <w:rPr>
                <w:rStyle w:val="Emphasis"/>
                <w:lang w:val="fr-FR"/>
              </w:rPr>
              <w:t>Brassica</w:t>
            </w:r>
            <w:proofErr w:type="spellEnd"/>
            <w:r w:rsidRPr="00092B17">
              <w:rPr>
                <w:rStyle w:val="Emphasis"/>
                <w:lang w:val="fr-FR"/>
              </w:rPr>
              <w:t xml:space="preserve"> </w:t>
            </w:r>
            <w:proofErr w:type="spellStart"/>
            <w:r w:rsidRPr="00092B17">
              <w:rPr>
                <w:rStyle w:val="Emphasis"/>
                <w:lang w:val="fr-FR"/>
              </w:rPr>
              <w:t>oleracea</w:t>
            </w:r>
            <w:proofErr w:type="spellEnd"/>
            <w:r w:rsidRPr="00092B17">
              <w:rPr>
                <w:lang w:val="fr-FR"/>
              </w:rPr>
              <w:t xml:space="preserve"> L. </w:t>
            </w:r>
            <w:proofErr w:type="spellStart"/>
            <w:r w:rsidRPr="00092B17">
              <w:rPr>
                <w:lang w:val="fr-FR"/>
              </w:rPr>
              <w:t>convar</w:t>
            </w:r>
            <w:proofErr w:type="spellEnd"/>
            <w:r w:rsidRPr="00092B17">
              <w:rPr>
                <w:lang w:val="fr-FR"/>
              </w:rPr>
              <w:t xml:space="preserve">. </w:t>
            </w:r>
            <w:r w:rsidRPr="00092B17">
              <w:rPr>
                <w:rStyle w:val="Emphasis"/>
                <w:lang w:val="fr-FR"/>
              </w:rPr>
              <w:t>botrytis</w:t>
            </w:r>
            <w:r w:rsidRPr="00092B17">
              <w:rPr>
                <w:lang w:val="fr-FR"/>
              </w:rPr>
              <w:t xml:space="preserve"> (L.) </w:t>
            </w:r>
            <w:proofErr w:type="spellStart"/>
            <w:r w:rsidRPr="00092B17">
              <w:rPr>
                <w:lang w:val="fr-FR"/>
              </w:rPr>
              <w:t>Alef</w:t>
            </w:r>
            <w:proofErr w:type="spellEnd"/>
            <w:r w:rsidRPr="00092B17">
              <w:rPr>
                <w:rStyle w:val="Emphasis"/>
                <w:lang w:val="fr-FR"/>
              </w:rPr>
              <w:t xml:space="preserve">. </w:t>
            </w:r>
            <w:r w:rsidRPr="00092B17">
              <w:rPr>
                <w:lang w:val="fr-FR"/>
              </w:rPr>
              <w:t>var</w:t>
            </w:r>
            <w:r w:rsidRPr="00092B17">
              <w:rPr>
                <w:rStyle w:val="Emphasis"/>
                <w:lang w:val="fr-FR"/>
              </w:rPr>
              <w:t xml:space="preserve">. </w:t>
            </w:r>
            <w:r w:rsidRPr="00092B17">
              <w:rPr>
                <w:rStyle w:val="Strong"/>
                <w:iCs/>
                <w:lang w:val="fr-FR"/>
              </w:rPr>
              <w:t>botrytis</w:t>
            </w:r>
            <w:r w:rsidRPr="00092B17">
              <w:rPr>
                <w:lang w:val="fr-FR"/>
              </w:rPr>
              <w:t xml:space="preserve"> L. au lieu de </w:t>
            </w:r>
            <w:proofErr w:type="spellStart"/>
            <w:r w:rsidRPr="00092B17">
              <w:rPr>
                <w:rStyle w:val="Emphasis"/>
                <w:lang w:val="fr-FR"/>
              </w:rPr>
              <w:t>Brassica</w:t>
            </w:r>
            <w:proofErr w:type="spellEnd"/>
            <w:r w:rsidRPr="00092B17">
              <w:rPr>
                <w:rStyle w:val="Emphasis"/>
                <w:lang w:val="fr-FR"/>
              </w:rPr>
              <w:t xml:space="preserve"> </w:t>
            </w:r>
            <w:proofErr w:type="spellStart"/>
            <w:r w:rsidRPr="00092B17">
              <w:rPr>
                <w:rStyle w:val="Emphasis"/>
                <w:lang w:val="fr-FR"/>
              </w:rPr>
              <w:t>oleracea</w:t>
            </w:r>
            <w:proofErr w:type="spellEnd"/>
            <w:r w:rsidRPr="00092B17">
              <w:rPr>
                <w:lang w:val="fr-FR"/>
              </w:rPr>
              <w:t xml:space="preserve"> L. </w:t>
            </w:r>
            <w:proofErr w:type="spellStart"/>
            <w:r w:rsidRPr="00092B17">
              <w:rPr>
                <w:lang w:val="fr-FR"/>
              </w:rPr>
              <w:t>convar</w:t>
            </w:r>
            <w:proofErr w:type="spellEnd"/>
            <w:r w:rsidRPr="00092B17">
              <w:rPr>
                <w:lang w:val="fr-FR"/>
              </w:rPr>
              <w:t xml:space="preserve">. </w:t>
            </w:r>
            <w:r w:rsidRPr="00092B17">
              <w:rPr>
                <w:rStyle w:val="Emphasis"/>
                <w:lang w:val="fr-FR"/>
              </w:rPr>
              <w:t>botrytis</w:t>
            </w:r>
            <w:r w:rsidRPr="00092B17">
              <w:rPr>
                <w:lang w:val="fr-FR"/>
              </w:rPr>
              <w:t xml:space="preserve"> (L.) </w:t>
            </w:r>
            <w:proofErr w:type="spellStart"/>
            <w:r w:rsidRPr="00092B17">
              <w:rPr>
                <w:lang w:val="fr-FR"/>
              </w:rPr>
              <w:t>Alef</w:t>
            </w:r>
            <w:proofErr w:type="spellEnd"/>
            <w:r w:rsidRPr="00092B17">
              <w:rPr>
                <w:rStyle w:val="Emphasis"/>
                <w:lang w:val="fr-FR"/>
              </w:rPr>
              <w:t xml:space="preserve">. </w:t>
            </w:r>
            <w:r w:rsidRPr="00092B17">
              <w:rPr>
                <w:lang w:val="fr-FR"/>
              </w:rPr>
              <w:t>var</w:t>
            </w:r>
            <w:r w:rsidRPr="00092B17">
              <w:rPr>
                <w:rStyle w:val="Emphasis"/>
                <w:lang w:val="fr-FR"/>
              </w:rPr>
              <w:t xml:space="preserve">. </w:t>
            </w:r>
            <w:proofErr w:type="spellStart"/>
            <w:r w:rsidRPr="00092B17">
              <w:rPr>
                <w:rStyle w:val="Strong"/>
                <w:iCs/>
                <w:lang w:val="fr-FR"/>
              </w:rPr>
              <w:t>botryris</w:t>
            </w:r>
            <w:proofErr w:type="spellEnd"/>
            <w:r w:rsidRPr="00092B17">
              <w:rPr>
                <w:lang w:val="fr-FR"/>
              </w:rPr>
              <w:t xml:space="preserve"> L.</w:t>
            </w:r>
          </w:p>
          <w:p w:rsidR="001826AD" w:rsidRPr="00092B17" w:rsidRDefault="001826AD" w:rsidP="006B4271">
            <w:pPr>
              <w:rPr>
                <w:rFonts w:cs="Arial"/>
                <w:i/>
                <w:lang w:val="fr-FR"/>
              </w:rPr>
            </w:pPr>
            <w:r w:rsidRPr="00092B17">
              <w:rPr>
                <w:i/>
                <w:lang w:val="fr-FR"/>
              </w:rPr>
              <w:t>La modification est à appliquer sur les principes directeurs d’examen adoptés.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 xml:space="preserve">Page 2, </w:t>
            </w:r>
            <w:proofErr w:type="spellStart"/>
            <w:r w:rsidRPr="00092B17">
              <w:rPr>
                <w:rFonts w:cs="Arial"/>
                <w:lang w:val="fr-FR"/>
              </w:rPr>
              <w:t>Chou fleur</w:t>
            </w:r>
            <w:proofErr w:type="spellEnd"/>
          </w:p>
          <w:p w:rsidR="001826AD" w:rsidRPr="00092B17" w:rsidRDefault="001826AD" w:rsidP="006B4271">
            <w:pPr>
              <w:rPr>
                <w:rFonts w:cs="Arial"/>
                <w:lang w:val="fr-FR"/>
              </w:rPr>
            </w:pPr>
            <w:r w:rsidRPr="00092B17">
              <w:rPr>
                <w:rFonts w:cs="Arial"/>
                <w:lang w:val="fr-FR"/>
              </w:rPr>
              <w:t>Ad. 28</w:t>
            </w:r>
          </w:p>
        </w:tc>
        <w:tc>
          <w:tcPr>
            <w:tcW w:w="8208" w:type="dxa"/>
          </w:tcPr>
          <w:p w:rsidR="001826AD" w:rsidRPr="00092B17" w:rsidRDefault="001826AD" w:rsidP="006B4271">
            <w:pPr>
              <w:rPr>
                <w:rFonts w:cs="Arial"/>
                <w:lang w:val="fr-FR"/>
              </w:rPr>
            </w:pPr>
            <w:r w:rsidRPr="00092B17">
              <w:rPr>
                <w:rFonts w:cs="Arial"/>
                <w:lang w:val="fr-FR"/>
              </w:rPr>
              <w:t>Première partie de l’explication sur les essais en plein champ doit être libellée comme suit</w:t>
            </w:r>
          </w:p>
          <w:p w:rsidR="001826AD" w:rsidRPr="00092B17" w:rsidRDefault="001826AD" w:rsidP="006B4271">
            <w:pPr>
              <w:rPr>
                <w:rFonts w:cs="Arial"/>
                <w:lang w:val="fr-FR"/>
              </w:rPr>
            </w:pPr>
            <w:r w:rsidRPr="00092B17">
              <w:rPr>
                <w:rFonts w:cs="Arial"/>
                <w:lang w:val="fr-FR"/>
              </w:rPr>
              <w:t>“Essai en plein champ :</w:t>
            </w:r>
          </w:p>
          <w:p w:rsidR="001826AD" w:rsidRPr="00092B17" w:rsidRDefault="001826AD" w:rsidP="006B4271">
            <w:pPr>
              <w:rPr>
                <w:rFonts w:cs="Arial"/>
                <w:lang w:val="fr-FR"/>
              </w:rPr>
            </w:pPr>
          </w:p>
          <w:p w:rsidR="001826AD" w:rsidRPr="00092B17" w:rsidRDefault="001826AD" w:rsidP="006B4271">
            <w:pPr>
              <w:tabs>
                <w:tab w:val="left" w:pos="1560"/>
                <w:tab w:val="left" w:pos="1985"/>
              </w:tabs>
              <w:ind w:left="1985" w:hanging="1248"/>
              <w:rPr>
                <w:rFonts w:cs="Arial"/>
                <w:lang w:val="fr-FR"/>
              </w:rPr>
            </w:pPr>
            <w:r w:rsidRPr="00092B17">
              <w:rPr>
                <w:rFonts w:cs="Arial"/>
                <w:lang w:val="fr-FR"/>
              </w:rPr>
              <w:t xml:space="preserve">Absente </w:t>
            </w:r>
            <w:r w:rsidRPr="00092B17">
              <w:rPr>
                <w:rFonts w:cs="Arial"/>
                <w:lang w:val="fr-FR"/>
              </w:rPr>
              <w:tab/>
              <w:t xml:space="preserve">= </w:t>
            </w:r>
            <w:r w:rsidRPr="00092B17">
              <w:rPr>
                <w:rFonts w:cs="Arial"/>
                <w:lang w:val="fr-FR"/>
              </w:rPr>
              <w:tab/>
              <w:t>&gt; 70% de plantes fertiles (variétés à fécondation libre ou variétés hybrides produites en utilisant le système d’auto</w:t>
            </w:r>
            <w:r w:rsidRPr="00092B17">
              <w:rPr>
                <w:rFonts w:cs="Arial"/>
                <w:lang w:val="fr-FR"/>
              </w:rPr>
              <w:noBreakHyphen/>
              <w:t>incompatibilité)</w:t>
            </w:r>
          </w:p>
          <w:p w:rsidR="001826AD" w:rsidRPr="00092B17" w:rsidRDefault="001826AD" w:rsidP="006B4271">
            <w:pPr>
              <w:tabs>
                <w:tab w:val="left" w:pos="2005"/>
              </w:tabs>
              <w:ind w:left="1560" w:hanging="823"/>
              <w:rPr>
                <w:rFonts w:cs="Arial"/>
                <w:lang w:val="fr-FR"/>
              </w:rPr>
            </w:pPr>
            <w:r w:rsidRPr="00092B17">
              <w:rPr>
                <w:rFonts w:cs="Arial"/>
                <w:lang w:val="fr-FR"/>
              </w:rPr>
              <w:t>Partielle</w:t>
            </w:r>
            <w:r w:rsidRPr="00092B17">
              <w:rPr>
                <w:rFonts w:cs="Arial"/>
                <w:lang w:val="fr-FR"/>
              </w:rPr>
              <w:tab/>
              <w:t xml:space="preserve">= </w:t>
            </w:r>
            <w:r w:rsidRPr="00092B17">
              <w:rPr>
                <w:rFonts w:cs="Arial"/>
                <w:lang w:val="fr-FR"/>
              </w:rPr>
              <w:tab/>
              <w:t>30% à 70% de plantes fertiles (variétés hybrides produites indiquant la stérilité mâle génétique, hétérozygote)</w:t>
            </w:r>
          </w:p>
          <w:p w:rsidR="001826AD" w:rsidRPr="00092B17" w:rsidRDefault="001826AD" w:rsidP="006B4271">
            <w:pPr>
              <w:tabs>
                <w:tab w:val="left" w:pos="1560"/>
                <w:tab w:val="left" w:pos="1985"/>
              </w:tabs>
              <w:ind w:left="2005" w:hanging="1268"/>
              <w:rPr>
                <w:rFonts w:cs="Arial"/>
                <w:lang w:val="fr-FR"/>
              </w:rPr>
            </w:pPr>
            <w:r w:rsidRPr="00092B17">
              <w:rPr>
                <w:rFonts w:cs="Arial"/>
                <w:lang w:val="fr-FR"/>
              </w:rPr>
              <w:t xml:space="preserve">Totale </w:t>
            </w:r>
            <w:r w:rsidRPr="00092B17">
              <w:rPr>
                <w:rFonts w:cs="Arial"/>
                <w:lang w:val="fr-FR"/>
              </w:rPr>
              <w:tab/>
              <w:t xml:space="preserve">= </w:t>
            </w:r>
            <w:r w:rsidRPr="00092B17">
              <w:rPr>
                <w:rFonts w:cs="Arial"/>
                <w:lang w:val="fr-FR"/>
              </w:rPr>
              <w:tab/>
              <w:t>&lt; 30% de plantes fertiles (variétés hybrides produites présentant une stérilité mâle cytoplasmique)”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6, Brocoli, chou brocoli</w:t>
            </w:r>
          </w:p>
        </w:tc>
        <w:tc>
          <w:tcPr>
            <w:tcW w:w="8208" w:type="dxa"/>
          </w:tcPr>
          <w:p w:rsidR="001826AD" w:rsidRPr="00092B17" w:rsidRDefault="001826AD" w:rsidP="006B4271">
            <w:pPr>
              <w:keepNext/>
              <w:rPr>
                <w:rFonts w:cs="Arial"/>
                <w:lang w:val="fr-FR"/>
              </w:rPr>
            </w:pPr>
            <w:r w:rsidRPr="00092B17">
              <w:rPr>
                <w:rFonts w:cs="Arial"/>
                <w:lang w:val="fr-FR"/>
              </w:rPr>
              <w:t>Supprimer l’exemple de variété “</w:t>
            </w:r>
            <w:proofErr w:type="spellStart"/>
            <w:r w:rsidRPr="00092B17">
              <w:rPr>
                <w:rFonts w:cs="Arial"/>
                <w:lang w:val="fr-FR"/>
              </w:rPr>
              <w:t>Montop</w:t>
            </w:r>
            <w:proofErr w:type="spellEnd"/>
            <w:r w:rsidRPr="00092B17">
              <w:rPr>
                <w:rFonts w:cs="Arial"/>
                <w:lang w:val="fr-FR"/>
              </w:rPr>
              <w:t>” du niveau 9 “présente” de car. 32 “Stérilité mâle” dans les principes directeurs d’examen pour le brocoli, chou brocoli (document TG/151/4)</w:t>
            </w:r>
          </w:p>
          <w:p w:rsidR="001826AD" w:rsidRPr="00092B17" w:rsidRDefault="001826AD" w:rsidP="006B4271">
            <w:pPr>
              <w:keepNext/>
              <w:rPr>
                <w:rFonts w:cs="Arial"/>
                <w:i/>
                <w:lang w:val="fr-FR"/>
              </w:rPr>
            </w:pPr>
            <w:r w:rsidRPr="00092B17">
              <w:rPr>
                <w:rFonts w:cs="Arial"/>
                <w:i/>
                <w:lang w:val="fr-FR"/>
              </w:rPr>
              <w:t>Doit être approuvé par le TWV par correspondance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7,</w:t>
            </w:r>
          </w:p>
          <w:p w:rsidR="001826AD" w:rsidRPr="00092B17" w:rsidRDefault="001826AD" w:rsidP="006B4271">
            <w:pPr>
              <w:jc w:val="left"/>
              <w:rPr>
                <w:rFonts w:cs="Arial"/>
                <w:lang w:val="fr-FR"/>
              </w:rPr>
            </w:pPr>
            <w:r w:rsidRPr="00092B17">
              <w:rPr>
                <w:rFonts w:cs="Arial"/>
                <w:lang w:val="fr-FR"/>
              </w:rPr>
              <w:t>Chou frisé</w:t>
            </w:r>
          </w:p>
        </w:tc>
        <w:tc>
          <w:tcPr>
            <w:tcW w:w="8208" w:type="dxa"/>
          </w:tcPr>
          <w:p w:rsidR="001826AD" w:rsidRPr="00092B17" w:rsidRDefault="001826AD" w:rsidP="006B4271">
            <w:pPr>
              <w:rPr>
                <w:rFonts w:cs="Arial"/>
                <w:lang w:val="fr-FR"/>
              </w:rPr>
            </w:pPr>
            <w:r w:rsidRPr="00092B17">
              <w:rPr>
                <w:lang w:val="fr-FR"/>
              </w:rPr>
              <w:t xml:space="preserve">Libeller la traduction espagnole de chou frisé comme suit : “col </w:t>
            </w:r>
            <w:proofErr w:type="spellStart"/>
            <w:r w:rsidRPr="00092B17">
              <w:rPr>
                <w:lang w:val="fr-FR"/>
              </w:rPr>
              <w:t>rizada</w:t>
            </w:r>
            <w:proofErr w:type="spellEnd"/>
            <w:r w:rsidRPr="00092B17">
              <w:rPr>
                <w:lang w:val="fr-FR"/>
              </w:rPr>
              <w:t>” au lieu de “</w:t>
            </w:r>
            <w:proofErr w:type="spellStart"/>
            <w:r w:rsidRPr="00092B17">
              <w:rPr>
                <w:lang w:val="fr-FR"/>
              </w:rPr>
              <w:t>berza</w:t>
            </w:r>
            <w:proofErr w:type="spellEnd"/>
            <w:r w:rsidRPr="00092B17">
              <w:rPr>
                <w:lang w:val="fr-FR"/>
              </w:rPr>
              <w:t>”</w:t>
            </w:r>
          </w:p>
          <w:p w:rsidR="001826AD" w:rsidRPr="00092B17" w:rsidRDefault="001826AD" w:rsidP="006B4271">
            <w:pPr>
              <w:rPr>
                <w:rFonts w:cs="Arial"/>
                <w:lang w:val="fr-FR"/>
              </w:rPr>
            </w:pPr>
            <w:r w:rsidRPr="00092B17">
              <w:rPr>
                <w:i/>
                <w:lang w:val="fr-FR"/>
              </w:rPr>
              <w:t>La modification sera apportée aux les principes directeurs d’examen adoptés</w:t>
            </w:r>
          </w:p>
        </w:tc>
      </w:tr>
    </w:tbl>
    <w:p w:rsidR="001826AD" w:rsidRPr="00092B17" w:rsidRDefault="001826AD" w:rsidP="001826AD">
      <w:pPr>
        <w:ind w:firstLine="567"/>
        <w:jc w:val="left"/>
        <w:rPr>
          <w:rFonts w:cs="Arial"/>
          <w:bCs/>
          <w:snapToGrid w:val="0"/>
          <w:lang w:val="fr-FR"/>
        </w:rPr>
      </w:pPr>
    </w:p>
    <w:p w:rsidR="001826AD" w:rsidRPr="00092B17" w:rsidRDefault="001826AD" w:rsidP="001826AD">
      <w:pPr>
        <w:jc w:val="center"/>
        <w:rPr>
          <w:rFonts w:cs="Arial"/>
          <w:bCs/>
          <w:snapToGrid w:val="0"/>
          <w:lang w:val="fr-FR"/>
        </w:rPr>
      </w:pPr>
    </w:p>
    <w:p w:rsidR="001826AD" w:rsidRPr="00092B17" w:rsidRDefault="001826AD" w:rsidP="001826AD">
      <w:pPr>
        <w:jc w:val="center"/>
        <w:rPr>
          <w:rFonts w:cs="Arial"/>
          <w:bCs/>
          <w:snapToGrid w:val="0"/>
          <w:lang w:val="fr-FR"/>
        </w:rPr>
      </w:pPr>
    </w:p>
    <w:p w:rsidR="001826AD" w:rsidRPr="00092B17" w:rsidRDefault="001826AD" w:rsidP="001826AD">
      <w:pPr>
        <w:jc w:val="left"/>
        <w:rPr>
          <w:lang w:val="fr-FR"/>
        </w:rPr>
      </w:pPr>
      <w:r w:rsidRPr="00092B17">
        <w:rPr>
          <w:rFonts w:cs="Arial"/>
          <w:bCs/>
          <w:snapToGrid w:val="0"/>
          <w:lang w:val="fr-FR"/>
        </w:rPr>
        <w:br w:type="page"/>
      </w:r>
      <w:r w:rsidRPr="00092B17">
        <w:rPr>
          <w:lang w:val="fr-FR"/>
        </w:rPr>
        <w:t>2.</w:t>
      </w:r>
      <w:r w:rsidRPr="00092B17">
        <w:rPr>
          <w:lang w:val="fr-FR"/>
        </w:rPr>
        <w:tab/>
        <w:t>NOUVEAUX PRINCIPES DIRECTEURS D’EXAMEN</w:t>
      </w:r>
    </w:p>
    <w:p w:rsidR="001826AD" w:rsidRPr="00092B17" w:rsidRDefault="001826AD" w:rsidP="001826AD">
      <w:pPr>
        <w:keepNext/>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54"/>
        </w:trPr>
        <w:tc>
          <w:tcPr>
            <w:tcW w:w="3600" w:type="dxa"/>
            <w:shd w:val="clear" w:color="auto" w:fill="D9D9D9"/>
          </w:tcPr>
          <w:p w:rsidR="001826AD" w:rsidRPr="00092B17" w:rsidRDefault="001826AD" w:rsidP="006B4271">
            <w:pPr>
              <w:pStyle w:val="TitleofDoc"/>
              <w:keepNext/>
              <w:tabs>
                <w:tab w:val="left" w:pos="5245"/>
                <w:tab w:val="left" w:pos="7008"/>
              </w:tabs>
              <w:spacing w:before="80" w:after="80"/>
              <w:jc w:val="left"/>
              <w:rPr>
                <w:rFonts w:cs="Arial"/>
                <w:caps w:val="0"/>
                <w:lang w:val="fr-FR"/>
              </w:rPr>
            </w:pPr>
            <w:proofErr w:type="spellStart"/>
            <w:r w:rsidRPr="00092B17">
              <w:rPr>
                <w:rFonts w:cs="Arial"/>
                <w:caps w:val="0"/>
                <w:lang w:val="fr-FR"/>
              </w:rPr>
              <w:t>Aglaonème</w:t>
            </w:r>
            <w:proofErr w:type="spellEnd"/>
            <w:r w:rsidRPr="00092B17">
              <w:rPr>
                <w:rFonts w:cs="Arial"/>
                <w:caps w:val="0"/>
                <w:lang w:val="fr-FR"/>
              </w:rPr>
              <w:t xml:space="preserve"> (</w:t>
            </w:r>
            <w:proofErr w:type="spellStart"/>
            <w:r w:rsidRPr="00092B17">
              <w:rPr>
                <w:rFonts w:cs="Arial"/>
                <w:i/>
                <w:caps w:val="0"/>
                <w:lang w:val="fr-FR"/>
              </w:rPr>
              <w:t>Aglaonema</w:t>
            </w:r>
            <w:proofErr w:type="spellEnd"/>
            <w:r w:rsidRPr="00092B17">
              <w:rPr>
                <w:rFonts w:cs="Arial"/>
                <w:caps w:val="0"/>
                <w:lang w:val="fr-FR"/>
              </w:rPr>
              <w:t xml:space="preserve"> Schott.)</w:t>
            </w:r>
          </w:p>
        </w:tc>
        <w:tc>
          <w:tcPr>
            <w:tcW w:w="2268" w:type="dxa"/>
            <w:shd w:val="clear" w:color="auto" w:fill="D9D9D9"/>
          </w:tcPr>
          <w:p w:rsidR="001826AD" w:rsidRPr="00092B17" w:rsidRDefault="001826AD" w:rsidP="006B4271">
            <w:pPr>
              <w:pStyle w:val="TitleofDoc"/>
              <w:keepNext/>
              <w:tabs>
                <w:tab w:val="left" w:pos="5245"/>
                <w:tab w:val="left" w:pos="7008"/>
              </w:tabs>
              <w:spacing w:before="80" w:after="80"/>
              <w:jc w:val="left"/>
              <w:rPr>
                <w:rFonts w:cs="Arial"/>
                <w:caps w:val="0"/>
                <w:lang w:val="fr-FR"/>
              </w:rPr>
            </w:pPr>
            <w:r w:rsidRPr="00092B17">
              <w:rPr>
                <w:rFonts w:cs="Arial"/>
                <w:caps w:val="0"/>
                <w:lang w:val="fr-FR"/>
              </w:rPr>
              <w:t>TG/</w:t>
            </w:r>
            <w:proofErr w:type="gramStart"/>
            <w:r w:rsidRPr="00092B17">
              <w:rPr>
                <w:rFonts w:cs="Arial"/>
                <w:caps w:val="0"/>
                <w:lang w:val="fr-FR"/>
              </w:rPr>
              <w:t>AGLAO(</w:t>
            </w:r>
            <w:proofErr w:type="gramEnd"/>
            <w:r w:rsidRPr="00092B17">
              <w:rPr>
                <w:rFonts w:cs="Arial"/>
                <w:caps w:val="0"/>
                <w:lang w:val="fr-FR"/>
              </w:rPr>
              <w:t>proj.6)</w:t>
            </w:r>
          </w:p>
        </w:tc>
      </w:tr>
    </w:tbl>
    <w:p w:rsidR="001826AD" w:rsidRPr="00092B17" w:rsidRDefault="001826AD" w:rsidP="001826AD">
      <w:pPr>
        <w:keepNext/>
        <w:jc w:val="left"/>
        <w:rPr>
          <w:rFonts w:cs="Arial"/>
          <w:lang w:val="fr-FR"/>
        </w:rPr>
      </w:pPr>
    </w:p>
    <w:p w:rsidR="001826AD" w:rsidRPr="00092B17" w:rsidRDefault="001826AD" w:rsidP="001826AD">
      <w:pPr>
        <w:autoSpaceDE w:val="0"/>
        <w:autoSpaceDN w:val="0"/>
        <w:adjustRightInd w:val="0"/>
        <w:ind w:firstLine="567"/>
        <w:rPr>
          <w:rFonts w:cs="Arial"/>
          <w:lang w:val="fr-FR"/>
        </w:rPr>
      </w:pPr>
      <w:r w:rsidRPr="00092B17">
        <w:rPr>
          <w:rFonts w:cs="Arial"/>
          <w:lang w:val="fr-FR"/>
        </w:rPr>
        <w:t>À sa réunion tenue à Genève les 6 et 7 janvier 2016, le TC</w:t>
      </w:r>
      <w:r w:rsidRPr="00092B17">
        <w:rPr>
          <w:rFonts w:cs="Arial"/>
          <w:lang w:val="fr-FR"/>
        </w:rPr>
        <w:noBreakHyphen/>
        <w:t xml:space="preserve">EDC a examiné le document </w:t>
      </w:r>
      <w:r w:rsidRPr="00092B17">
        <w:rPr>
          <w:rFonts w:cs="Arial"/>
          <w:caps/>
          <w:lang w:val="fr-FR"/>
        </w:rPr>
        <w:t>TG/</w:t>
      </w:r>
      <w:proofErr w:type="gramStart"/>
      <w:r w:rsidRPr="00092B17">
        <w:rPr>
          <w:rFonts w:cs="Arial"/>
          <w:caps/>
          <w:lang w:val="fr-FR"/>
        </w:rPr>
        <w:t>AGLAO(</w:t>
      </w:r>
      <w:proofErr w:type="gramEnd"/>
      <w:r w:rsidRPr="00092B17">
        <w:rPr>
          <w:rFonts w:cs="Arial"/>
          <w:lang w:val="fr-FR"/>
        </w:rPr>
        <w:t>proj</w:t>
      </w:r>
      <w:r w:rsidRPr="00092B17">
        <w:rPr>
          <w:rFonts w:cs="Arial"/>
          <w:caps/>
          <w:lang w:val="fr-FR"/>
        </w:rPr>
        <w:t>.6).</w:t>
      </w:r>
    </w:p>
    <w:p w:rsidR="001826AD" w:rsidRPr="00092B17" w:rsidRDefault="001826AD" w:rsidP="001826AD">
      <w:pPr>
        <w:keepNext/>
        <w:rPr>
          <w:rFonts w:cs="Arial"/>
          <w:lang w:val="fr-FR"/>
        </w:rPr>
      </w:pPr>
    </w:p>
    <w:p w:rsidR="001826AD" w:rsidRPr="00092B17" w:rsidRDefault="001826AD" w:rsidP="001826AD">
      <w:pPr>
        <w:ind w:firstLine="567"/>
        <w:rPr>
          <w:rFonts w:cs="Arial"/>
          <w:lang w:val="fr-FR"/>
        </w:rPr>
      </w:pPr>
      <w:r w:rsidRPr="00092B17">
        <w:rPr>
          <w:rFonts w:cs="Arial"/>
          <w:lang w:val="fr-FR"/>
        </w:rPr>
        <w:t xml:space="preserve">L’expert principal et président du TWO, M. Kenji </w:t>
      </w:r>
      <w:proofErr w:type="spellStart"/>
      <w:r w:rsidRPr="00092B17">
        <w:rPr>
          <w:rFonts w:cs="Arial"/>
          <w:lang w:val="fr-FR"/>
        </w:rPr>
        <w:t>Numaguchi</w:t>
      </w:r>
      <w:proofErr w:type="spellEnd"/>
      <w:r w:rsidRPr="00092B17">
        <w:rPr>
          <w:rFonts w:cs="Arial"/>
          <w:lang w:val="fr-FR"/>
        </w:rPr>
        <w:t xml:space="preserve"> (</w:t>
      </w:r>
      <w:proofErr w:type="spellStart"/>
      <w:r w:rsidRPr="00092B17">
        <w:rPr>
          <w:rFonts w:cs="Arial"/>
          <w:lang w:val="fr-FR"/>
        </w:rPr>
        <w:t>Japan</w:t>
      </w:r>
      <w:proofErr w:type="spellEnd"/>
      <w:r w:rsidRPr="00092B17">
        <w:rPr>
          <w:rFonts w:cs="Arial"/>
          <w:lang w:val="fr-FR"/>
        </w:rPr>
        <w:t>), a demandé que le projet de principes directeurs d’examen pour l’</w:t>
      </w:r>
      <w:proofErr w:type="spellStart"/>
      <w:r w:rsidRPr="00092B17">
        <w:rPr>
          <w:rFonts w:cs="Arial"/>
          <w:lang w:val="fr-FR"/>
        </w:rPr>
        <w:t>Aglaonème</w:t>
      </w:r>
      <w:proofErr w:type="spellEnd"/>
      <w:r w:rsidRPr="00092B17">
        <w:rPr>
          <w:rFonts w:cs="Arial"/>
          <w:lang w:val="fr-FR"/>
        </w:rPr>
        <w:t xml:space="preserve"> (</w:t>
      </w:r>
      <w:proofErr w:type="spellStart"/>
      <w:r w:rsidRPr="00092B17">
        <w:rPr>
          <w:rFonts w:cs="Arial"/>
          <w:i/>
          <w:iCs/>
          <w:lang w:val="fr-FR"/>
        </w:rPr>
        <w:t>Aglaonema</w:t>
      </w:r>
      <w:proofErr w:type="spellEnd"/>
      <w:r w:rsidRPr="00092B17">
        <w:rPr>
          <w:rFonts w:cs="Arial"/>
          <w:i/>
          <w:iCs/>
          <w:lang w:val="fr-FR"/>
        </w:rPr>
        <w:t xml:space="preserve"> </w:t>
      </w:r>
      <w:r w:rsidRPr="00092B17">
        <w:rPr>
          <w:rFonts w:cs="Arial"/>
          <w:iCs/>
          <w:lang w:val="fr-FR"/>
        </w:rPr>
        <w:t>Schott.</w:t>
      </w:r>
      <w:r w:rsidRPr="00092B17">
        <w:rPr>
          <w:rFonts w:cs="Arial"/>
          <w:lang w:val="fr-FR"/>
        </w:rPr>
        <w:t>) soit réexaminé par le TWO à sa quarante</w:t>
      </w:r>
      <w:r w:rsidRPr="00092B17">
        <w:rPr>
          <w:rFonts w:cs="Arial"/>
          <w:lang w:val="fr-FR"/>
        </w:rPr>
        <w:noBreakHyphen/>
        <w:t>neuvième session afin d’examiner les commentaires du TC</w:t>
      </w:r>
      <w:r w:rsidRPr="00092B17">
        <w:rPr>
          <w:rFonts w:cs="Arial"/>
          <w:lang w:val="fr-FR"/>
        </w:rPr>
        <w:noBreakHyphen/>
        <w:t>EDC concernant la présentation des caractères de couleur.</w:t>
      </w:r>
    </w:p>
    <w:p w:rsidR="001826AD" w:rsidRPr="00092B17" w:rsidRDefault="001826AD" w:rsidP="001826AD">
      <w:pPr>
        <w:rPr>
          <w:rFonts w:cs="Arial"/>
          <w:lang w:val="fr-FR"/>
        </w:rPr>
      </w:pPr>
    </w:p>
    <w:p w:rsidR="001826AD" w:rsidRPr="00092B17" w:rsidRDefault="001826AD" w:rsidP="001826AD">
      <w:pPr>
        <w:autoSpaceDE w:val="0"/>
        <w:autoSpaceDN w:val="0"/>
        <w:adjustRightInd w:val="0"/>
        <w:ind w:firstLine="567"/>
        <w:rPr>
          <w:rFonts w:cs="Arial"/>
          <w:lang w:val="fr-FR"/>
        </w:rPr>
      </w:pPr>
      <w:r w:rsidRPr="00092B17">
        <w:rPr>
          <w:rFonts w:ascii="ArialMT" w:hAnsi="ArialMT" w:cs="ArialMT"/>
          <w:lang w:val="fr-FR"/>
        </w:rPr>
        <w:t>Les modifications du document TG/</w:t>
      </w:r>
      <w:proofErr w:type="gramStart"/>
      <w:r w:rsidRPr="00092B17">
        <w:rPr>
          <w:rFonts w:ascii="ArialMT" w:hAnsi="ArialMT" w:cs="ArialMT"/>
          <w:lang w:val="fr-FR"/>
        </w:rPr>
        <w:t>AGLAO(</w:t>
      </w:r>
      <w:proofErr w:type="gramEnd"/>
      <w:r w:rsidRPr="00092B17">
        <w:rPr>
          <w:rFonts w:ascii="ArialMT" w:hAnsi="ArialMT" w:cs="ArialMT"/>
          <w:lang w:val="fr-FR"/>
        </w:rPr>
        <w:t>proj.6) faites sur la base des observations reçues de la part du Comité de rédaction élargi en janvier 2016, qui doivent être incluses dans le projet de principes directeurs d’examen (document TG/AGLAO(proj.7)), qui doivent être examinées par le TWO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Tableau des caractères</w:t>
            </w:r>
          </w:p>
        </w:tc>
        <w:tc>
          <w:tcPr>
            <w:tcW w:w="7925" w:type="dxa"/>
          </w:tcPr>
          <w:p w:rsidR="001826AD" w:rsidRPr="00092B17" w:rsidRDefault="001826AD" w:rsidP="006B4271">
            <w:pPr>
              <w:keepNext/>
              <w:rPr>
                <w:rFonts w:cs="Arial"/>
                <w:lang w:val="fr-FR"/>
              </w:rPr>
            </w:pPr>
            <w:r w:rsidRPr="00092B17">
              <w:rPr>
                <w:rFonts w:cs="Arial"/>
                <w:lang w:val="fr-FR"/>
              </w:rPr>
              <w:t>revoir la méthode relative aux caractères de couleur afin d’éviter les caractères qualitatifs (QL) pour les couleurs (observations détaillées ci</w:t>
            </w:r>
            <w:r w:rsidRPr="00092B17">
              <w:rPr>
                <w:rFonts w:cs="Arial"/>
                <w:lang w:val="fr-FR"/>
              </w:rPr>
              <w:noBreakHyphen/>
              <w:t>dessous)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4</w:t>
            </w:r>
          </w:p>
        </w:tc>
        <w:tc>
          <w:tcPr>
            <w:tcW w:w="7925" w:type="dxa"/>
          </w:tcPr>
          <w:p w:rsidR="001826AD" w:rsidRPr="00092B17" w:rsidRDefault="001826AD" w:rsidP="006B4271">
            <w:pPr>
              <w:keepNext/>
              <w:rPr>
                <w:rFonts w:cs="Arial"/>
                <w:lang w:val="fr-FR"/>
              </w:rPr>
            </w:pPr>
            <w:r w:rsidRPr="00092B17">
              <w:rPr>
                <w:rFonts w:eastAsiaTheme="minorHAnsi" w:cs="Arial"/>
                <w:iCs/>
                <w:lang w:val="fr-FR"/>
              </w:rPr>
              <w:t>libeller comme suit :</w:t>
            </w:r>
            <w:r w:rsidRPr="00092B17">
              <w:rPr>
                <w:rFonts w:cs="Arial"/>
                <w:lang w:val="fr-FR"/>
              </w:rPr>
              <w:t xml:space="preserve"> “Gaine de la feuille : forme de la troncature” avec les niveaux 1 à 5 “fortement inclinée”, “légèrement inclinée”, “droite”, “légèrement échancrée”, “fortement échancrée”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17 à 22</w:t>
            </w:r>
          </w:p>
        </w:tc>
        <w:tc>
          <w:tcPr>
            <w:tcW w:w="7925" w:type="dxa"/>
          </w:tcPr>
          <w:p w:rsidR="001826AD" w:rsidRPr="00092B17" w:rsidRDefault="001826AD" w:rsidP="006B4271">
            <w:pPr>
              <w:rPr>
                <w:rFonts w:cs="Arial"/>
                <w:lang w:val="fr-FR"/>
              </w:rPr>
            </w:pPr>
            <w:r w:rsidRPr="00092B17">
              <w:rPr>
                <w:rFonts w:cs="Arial"/>
                <w:lang w:val="fr-FR"/>
              </w:rPr>
              <w:t>regrouper pour se lire “Limbe : répartition de la première couleur” avec les niveaux “petites taches”, “taches de taille moyenne”, “grandes taches”, “rayures”, “zone marginale”, “uniforme ou presque” et indiquer comme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25</w:t>
            </w:r>
          </w:p>
        </w:tc>
        <w:tc>
          <w:tcPr>
            <w:tcW w:w="7925" w:type="dxa"/>
          </w:tcPr>
          <w:p w:rsidR="001826AD" w:rsidRPr="00092B17" w:rsidRDefault="001826AD" w:rsidP="006B4271">
            <w:pPr>
              <w:rPr>
                <w:rFonts w:cs="Arial"/>
                <w:lang w:val="fr-FR"/>
              </w:rPr>
            </w:pPr>
            <w:r w:rsidRPr="00092B17">
              <w:rPr>
                <w:rFonts w:cs="Arial"/>
                <w:lang w:val="fr-FR"/>
              </w:rPr>
              <w:t>ajouter le niveau “aucune”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26 à 31</w:t>
            </w:r>
          </w:p>
        </w:tc>
        <w:tc>
          <w:tcPr>
            <w:tcW w:w="7925" w:type="dxa"/>
          </w:tcPr>
          <w:p w:rsidR="001826AD" w:rsidRPr="00092B17" w:rsidRDefault="001826AD" w:rsidP="006B4271">
            <w:pPr>
              <w:rPr>
                <w:rFonts w:cs="Arial"/>
                <w:lang w:val="fr-FR"/>
              </w:rPr>
            </w:pPr>
            <w:r w:rsidRPr="00092B17">
              <w:rPr>
                <w:rFonts w:cs="Arial"/>
                <w:lang w:val="fr-FR"/>
              </w:rPr>
              <w:t>regrouper pour se lire “Limbe : répartition de la deuxième couleur” avec les niveaux “petites taches”, “taches de taille moyenne”, “grandes taches”, “rayures”, “zone marginale”, “uniforme ou presque” et indiquer comme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34</w:t>
            </w:r>
          </w:p>
        </w:tc>
        <w:tc>
          <w:tcPr>
            <w:tcW w:w="7925" w:type="dxa"/>
          </w:tcPr>
          <w:p w:rsidR="001826AD" w:rsidRPr="00092B17" w:rsidRDefault="001826AD" w:rsidP="006B4271">
            <w:pPr>
              <w:rPr>
                <w:rFonts w:cs="Arial"/>
                <w:lang w:val="fr-FR"/>
              </w:rPr>
            </w:pPr>
            <w:r w:rsidRPr="00092B17">
              <w:rPr>
                <w:rFonts w:cs="Arial"/>
                <w:lang w:val="fr-FR"/>
              </w:rPr>
              <w:t>ajouter le niveau “aucune”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35 à 40</w:t>
            </w:r>
          </w:p>
        </w:tc>
        <w:tc>
          <w:tcPr>
            <w:tcW w:w="7925" w:type="dxa"/>
          </w:tcPr>
          <w:p w:rsidR="001826AD" w:rsidRPr="00092B17" w:rsidRDefault="001826AD" w:rsidP="006B4271">
            <w:pPr>
              <w:rPr>
                <w:rFonts w:cs="Arial"/>
                <w:lang w:val="fr-FR"/>
              </w:rPr>
            </w:pPr>
            <w:r w:rsidRPr="00092B17">
              <w:rPr>
                <w:rFonts w:cs="Arial"/>
                <w:lang w:val="fr-FR"/>
              </w:rPr>
              <w:t>regrouper pour se lire “Limbe : répartition de la troisième couleur” avec les niveaux “petites taches”, “taches de taille moyenne”, “grandes taches”, “rayures”, “zone marginale”, “uniforme ou presque” et indiquer comme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43</w:t>
            </w:r>
          </w:p>
        </w:tc>
        <w:tc>
          <w:tcPr>
            <w:tcW w:w="7925" w:type="dxa"/>
          </w:tcPr>
          <w:p w:rsidR="001826AD" w:rsidRPr="00092B17" w:rsidRDefault="001826AD" w:rsidP="006B4271">
            <w:pPr>
              <w:rPr>
                <w:rFonts w:cs="Arial"/>
                <w:lang w:val="fr-FR"/>
              </w:rPr>
            </w:pPr>
            <w:r w:rsidRPr="00092B17">
              <w:rPr>
                <w:rFonts w:cs="Arial"/>
                <w:lang w:val="fr-FR"/>
              </w:rPr>
              <w:t>ajouter le niveau “aucune”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44 à 49</w:t>
            </w:r>
          </w:p>
        </w:tc>
        <w:tc>
          <w:tcPr>
            <w:tcW w:w="7925" w:type="dxa"/>
          </w:tcPr>
          <w:p w:rsidR="001826AD" w:rsidRPr="00092B17" w:rsidRDefault="001826AD" w:rsidP="006B4271">
            <w:pPr>
              <w:rPr>
                <w:rFonts w:cs="Arial"/>
                <w:lang w:val="fr-FR"/>
              </w:rPr>
            </w:pPr>
            <w:r w:rsidRPr="00092B17">
              <w:rPr>
                <w:rFonts w:cs="Arial"/>
                <w:lang w:val="fr-FR"/>
              </w:rPr>
              <w:t>regrouper pour se lire : “Limbe : répartition de la quatrième couleur” avec les niveaux “petites taches”, “taches de taille moyenne”, “grandes taches”, “rayures”, “zone marginale”, “uniforme ou presque” et indiquer comme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53 à 59</w:t>
            </w:r>
          </w:p>
        </w:tc>
        <w:tc>
          <w:tcPr>
            <w:tcW w:w="7925" w:type="dxa"/>
          </w:tcPr>
          <w:p w:rsidR="001826AD" w:rsidRPr="00092B17" w:rsidRDefault="001826AD" w:rsidP="006B4271">
            <w:pPr>
              <w:rPr>
                <w:rFonts w:cs="Arial"/>
                <w:lang w:val="fr-FR"/>
              </w:rPr>
            </w:pPr>
            <w:r w:rsidRPr="00092B17">
              <w:rPr>
                <w:rFonts w:cs="Arial"/>
                <w:lang w:val="fr-FR"/>
              </w:rPr>
              <w:t>regrouper pour se lire : “Limbe : répartition de la première couleur de la face inférieure” avec les niveaux “petites taches”, “taches de taille moyenne”, “grandes taches”, “rayures”, “zone marginale”, “uniforme ou presque” et indiquer comme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61</w:t>
            </w:r>
          </w:p>
        </w:tc>
        <w:tc>
          <w:tcPr>
            <w:tcW w:w="7925" w:type="dxa"/>
          </w:tcPr>
          <w:p w:rsidR="001826AD" w:rsidRPr="00092B17" w:rsidRDefault="001826AD" w:rsidP="006B4271">
            <w:pPr>
              <w:rPr>
                <w:rFonts w:cs="Arial"/>
                <w:lang w:val="fr-FR"/>
              </w:rPr>
            </w:pPr>
            <w:r w:rsidRPr="00092B17">
              <w:rPr>
                <w:rFonts w:cs="Arial"/>
                <w:lang w:val="fr-FR"/>
              </w:rPr>
              <w:t>ajouter le niveau “aucune”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62 à 68</w:t>
            </w:r>
          </w:p>
        </w:tc>
        <w:tc>
          <w:tcPr>
            <w:tcW w:w="7925" w:type="dxa"/>
          </w:tcPr>
          <w:p w:rsidR="001826AD" w:rsidRPr="00092B17" w:rsidRDefault="001826AD" w:rsidP="006B4271">
            <w:pPr>
              <w:rPr>
                <w:rFonts w:cs="Arial"/>
                <w:lang w:val="fr-FR"/>
              </w:rPr>
            </w:pPr>
            <w:r w:rsidRPr="00092B17">
              <w:rPr>
                <w:rFonts w:cs="Arial"/>
                <w:lang w:val="fr-FR"/>
              </w:rPr>
              <w:t>regrouper pour se lire : “Limbe : répartition de la deuxième couleur de la face inférieure” avec les niveaux “petites taches”, “taches de taille moyenne”, “grandes taches”, “rayures”, “zone marginale”, “uniforme ou presque” et indiquer qu’il s’agit d’un caractère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70</w:t>
            </w:r>
          </w:p>
        </w:tc>
        <w:tc>
          <w:tcPr>
            <w:tcW w:w="7925" w:type="dxa"/>
          </w:tcPr>
          <w:p w:rsidR="001826AD" w:rsidRPr="00092B17" w:rsidRDefault="001826AD" w:rsidP="006B4271">
            <w:pPr>
              <w:rPr>
                <w:rFonts w:cs="Arial"/>
                <w:lang w:val="fr-FR"/>
              </w:rPr>
            </w:pPr>
            <w:r w:rsidRPr="00092B17">
              <w:rPr>
                <w:rFonts w:cs="Arial"/>
                <w:lang w:val="fr-FR"/>
              </w:rPr>
              <w:t>ajouter le niveau “aucune”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71 à 76</w:t>
            </w:r>
          </w:p>
        </w:tc>
        <w:tc>
          <w:tcPr>
            <w:tcW w:w="7925" w:type="dxa"/>
          </w:tcPr>
          <w:p w:rsidR="001826AD" w:rsidRPr="00092B17" w:rsidRDefault="001826AD" w:rsidP="006B4271">
            <w:pPr>
              <w:rPr>
                <w:rFonts w:cs="Arial"/>
                <w:lang w:val="fr-FR"/>
              </w:rPr>
            </w:pPr>
            <w:r w:rsidRPr="00092B17">
              <w:rPr>
                <w:rFonts w:cs="Arial"/>
                <w:lang w:val="fr-FR"/>
              </w:rPr>
              <w:t>regrouper pour se lire : “Limbe : répartition de la troisième couleur de la face inférieure” avec les niveaux “petites taches”, “taches de taille moyenne”, “grandes taches”, “rayures”, “zone marginale”, “uniforme ou presque” et indiquer qu’il s’agit d’un caractère PQ</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83</w:t>
            </w:r>
          </w:p>
        </w:tc>
        <w:tc>
          <w:tcPr>
            <w:tcW w:w="7925" w:type="dxa"/>
          </w:tcPr>
          <w:p w:rsidR="001826AD" w:rsidRPr="00092B17" w:rsidRDefault="001826AD" w:rsidP="006B4271">
            <w:pPr>
              <w:rPr>
                <w:rFonts w:cs="Arial"/>
                <w:lang w:val="fr-FR"/>
              </w:rPr>
            </w:pPr>
            <w:r w:rsidRPr="00092B17">
              <w:rPr>
                <w:rFonts w:cs="Arial"/>
                <w:lang w:val="fr-FR"/>
              </w:rPr>
              <w:t>le niveau 2 doit être libellé comme suit : “niveau</w:t>
            </w:r>
            <w:r w:rsidRPr="00092B17">
              <w:rPr>
                <w:rFonts w:cs="Arial"/>
                <w:szCs w:val="22"/>
                <w:lang w:val="fr-FR"/>
              </w:rPr>
              <w:t>”</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8.1(e)</w:t>
            </w:r>
          </w:p>
        </w:tc>
        <w:tc>
          <w:tcPr>
            <w:tcW w:w="7925" w:type="dxa"/>
          </w:tcPr>
          <w:p w:rsidR="001826AD" w:rsidRPr="00092B17" w:rsidRDefault="001826AD" w:rsidP="006B4271">
            <w:pPr>
              <w:rPr>
                <w:rFonts w:cs="Arial"/>
                <w:lang w:val="fr-FR"/>
              </w:rPr>
            </w:pPr>
            <w:r w:rsidRPr="00092B17">
              <w:rPr>
                <w:rFonts w:cs="Arial"/>
                <w:lang w:val="fr-FR"/>
              </w:rPr>
              <w:t xml:space="preserve">– la dernière phrase du deuxième paragraphe doit être libellée comme suit : “… plusieurs exemples réels sont fournis </w:t>
            </w:r>
            <w:r w:rsidRPr="00092B17">
              <w:rPr>
                <w:rFonts w:cs="Arial"/>
                <w:strike/>
                <w:lang w:val="fr-FR"/>
              </w:rPr>
              <w:t>ci</w:t>
            </w:r>
            <w:r w:rsidRPr="00092B17">
              <w:rPr>
                <w:rFonts w:cs="Arial"/>
                <w:strike/>
                <w:lang w:val="fr-FR"/>
              </w:rPr>
              <w:noBreakHyphen/>
              <w:t>dessous</w:t>
            </w:r>
            <w:r w:rsidRPr="00092B17">
              <w:rPr>
                <w:rFonts w:cs="Arial"/>
                <w:lang w:val="fr-FR"/>
              </w:rPr>
              <w:t xml:space="preserve"> </w:t>
            </w:r>
            <w:r w:rsidRPr="00092B17">
              <w:rPr>
                <w:rFonts w:cs="Arial"/>
                <w:u w:val="single"/>
                <w:lang w:val="fr-FR"/>
              </w:rPr>
              <w:t>ci</w:t>
            </w:r>
            <w:r w:rsidRPr="00092B17">
              <w:rPr>
                <w:rFonts w:cs="Arial"/>
                <w:u w:val="single"/>
                <w:lang w:val="fr-FR"/>
              </w:rPr>
              <w:noBreakHyphen/>
              <w:t>après :</w:t>
            </w:r>
            <w:r w:rsidRPr="00092B17">
              <w:rPr>
                <w:rFonts w:cs="Arial"/>
                <w:lang w:val="fr-FR"/>
              </w:rPr>
              <w:t>”</w:t>
            </w:r>
          </w:p>
          <w:p w:rsidR="001826AD" w:rsidRPr="00092B17" w:rsidRDefault="001826AD" w:rsidP="006B4271">
            <w:pPr>
              <w:rPr>
                <w:rFonts w:cs="Arial"/>
                <w:lang w:val="fr-FR"/>
              </w:rPr>
            </w:pPr>
            <w:r w:rsidRPr="00092B17">
              <w:rPr>
                <w:rFonts w:cs="Arial"/>
                <w:lang w:val="fr-FR"/>
              </w:rPr>
              <w:t>– les exemples réels doivent être revus conformément aux modifications apportées au Tableau des caractères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8.1(g)</w:t>
            </w:r>
          </w:p>
        </w:tc>
        <w:tc>
          <w:tcPr>
            <w:tcW w:w="7925" w:type="dxa"/>
          </w:tcPr>
          <w:p w:rsidR="001826AD" w:rsidRPr="00092B17" w:rsidRDefault="001826AD" w:rsidP="006B4271">
            <w:pPr>
              <w:rPr>
                <w:rFonts w:cs="Arial"/>
                <w:lang w:val="fr-FR"/>
              </w:rPr>
            </w:pPr>
            <w:r w:rsidRPr="00092B17">
              <w:rPr>
                <w:rFonts w:cs="Arial"/>
                <w:lang w:val="fr-FR"/>
              </w:rPr>
              <w:t>– supprimer les illustrations pour les taches au</w:t>
            </w:r>
            <w:r w:rsidRPr="00092B17">
              <w:rPr>
                <w:rFonts w:cs="Arial"/>
                <w:lang w:val="fr-FR"/>
              </w:rPr>
              <w:noBreakHyphen/>
              <w:t>dessus</w:t>
            </w:r>
          </w:p>
          <w:p w:rsidR="001826AD" w:rsidRPr="00092B17" w:rsidRDefault="001826AD" w:rsidP="006B4271">
            <w:pPr>
              <w:rPr>
                <w:rFonts w:cs="Arial"/>
                <w:lang w:val="fr-FR"/>
              </w:rPr>
            </w:pPr>
            <w:r w:rsidRPr="00092B17">
              <w:rPr>
                <w:rFonts w:cs="Arial"/>
                <w:lang w:val="fr-FR"/>
              </w:rPr>
              <w:t>– ajouter des flèches montrant la taille des taches sur les photographies</w:t>
            </w:r>
          </w:p>
          <w:p w:rsidR="001826AD" w:rsidRPr="00092B17" w:rsidRDefault="001826AD" w:rsidP="006B4271">
            <w:pPr>
              <w:rPr>
                <w:rFonts w:cs="Arial"/>
                <w:lang w:val="fr-FR"/>
              </w:rPr>
            </w:pPr>
            <w:r w:rsidRPr="00092B17">
              <w:rPr>
                <w:rFonts w:cs="Arial"/>
                <w:lang w:val="fr-FR"/>
              </w:rPr>
              <w:t>– revoir conformément aux modifications apportées au Tableau des caractères (ajouter des illustrations pour la barre centrale et des rayures pour les nouveaux niveaux de rayures)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79</w:t>
            </w:r>
          </w:p>
        </w:tc>
        <w:tc>
          <w:tcPr>
            <w:tcW w:w="7925" w:type="dxa"/>
          </w:tcPr>
          <w:p w:rsidR="001826AD" w:rsidRPr="00092B17" w:rsidRDefault="001826AD" w:rsidP="006B4271">
            <w:pPr>
              <w:rPr>
                <w:rFonts w:cs="Arial"/>
                <w:lang w:val="fr-FR"/>
              </w:rPr>
            </w:pPr>
            <w:r w:rsidRPr="00092B17">
              <w:rPr>
                <w:rFonts w:cs="Arial"/>
                <w:lang w:val="fr-FR"/>
              </w:rPr>
              <w:t>L’indication “face supérieure” au niveau (1) doit être présentée de la même manière qu’aux niveaux (2) et (3)</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9.</w:t>
            </w:r>
          </w:p>
        </w:tc>
        <w:tc>
          <w:tcPr>
            <w:tcW w:w="7925" w:type="dxa"/>
          </w:tcPr>
          <w:p w:rsidR="001826AD" w:rsidRPr="00092B17" w:rsidRDefault="001826AD" w:rsidP="006B4271">
            <w:pPr>
              <w:rPr>
                <w:lang w:val="fr-FR"/>
              </w:rPr>
            </w:pPr>
            <w:r w:rsidRPr="00092B17">
              <w:rPr>
                <w:rFonts w:cs="Arial"/>
                <w:lang w:val="fr-FR"/>
              </w:rPr>
              <w:t>– libeller la première référence comme suit : “</w:t>
            </w:r>
            <w:proofErr w:type="spellStart"/>
            <w:r w:rsidRPr="00092B17">
              <w:rPr>
                <w:lang w:val="fr-FR"/>
              </w:rPr>
              <w:t>Nicolson</w:t>
            </w:r>
            <w:proofErr w:type="spellEnd"/>
            <w:r w:rsidRPr="00092B17">
              <w:rPr>
                <w:lang w:val="fr-FR"/>
              </w:rPr>
              <w:t>, D.H., 1969</w:t>
            </w:r>
            <w:proofErr w:type="gramStart"/>
            <w:r w:rsidRPr="00092B17">
              <w:rPr>
                <w:lang w:val="fr-FR"/>
              </w:rPr>
              <w:t>:  A</w:t>
            </w:r>
            <w:proofErr w:type="gramEnd"/>
            <w:r w:rsidRPr="00092B17">
              <w:rPr>
                <w:lang w:val="fr-FR"/>
              </w:rPr>
              <w:t xml:space="preserve"> </w:t>
            </w:r>
            <w:proofErr w:type="spellStart"/>
            <w:r w:rsidRPr="00092B17">
              <w:rPr>
                <w:lang w:val="fr-FR"/>
              </w:rPr>
              <w:t>revision</w:t>
            </w:r>
            <w:proofErr w:type="spellEnd"/>
            <w:r w:rsidRPr="00092B17">
              <w:rPr>
                <w:lang w:val="fr-FR"/>
              </w:rPr>
              <w:t xml:space="preserve"> of </w:t>
            </w:r>
            <w:proofErr w:type="spellStart"/>
            <w:r w:rsidRPr="00092B17">
              <w:rPr>
                <w:lang w:val="fr-FR"/>
              </w:rPr>
              <w:t>genus</w:t>
            </w:r>
            <w:proofErr w:type="spellEnd"/>
            <w:r w:rsidRPr="00092B17">
              <w:rPr>
                <w:lang w:val="fr-FR"/>
              </w:rPr>
              <w:t xml:space="preserve"> </w:t>
            </w:r>
            <w:proofErr w:type="spellStart"/>
            <w:r w:rsidRPr="00092B17">
              <w:rPr>
                <w:i/>
                <w:lang w:val="fr-FR"/>
              </w:rPr>
              <w:t>Aglaonema</w:t>
            </w:r>
            <w:proofErr w:type="spellEnd"/>
            <w:r w:rsidRPr="00092B17">
              <w:rPr>
                <w:lang w:val="fr-FR"/>
              </w:rPr>
              <w:t xml:space="preserve"> (</w:t>
            </w:r>
            <w:proofErr w:type="spellStart"/>
            <w:r w:rsidRPr="00092B17">
              <w:rPr>
                <w:lang w:val="fr-FR"/>
              </w:rPr>
              <w:t>Araceae</w:t>
            </w:r>
            <w:proofErr w:type="spellEnd"/>
            <w:r w:rsidRPr="00092B17">
              <w:rPr>
                <w:lang w:val="fr-FR"/>
              </w:rPr>
              <w:t xml:space="preserve">).  </w:t>
            </w:r>
            <w:proofErr w:type="spellStart"/>
            <w:r w:rsidRPr="00092B17">
              <w:rPr>
                <w:lang w:val="fr-FR"/>
              </w:rPr>
              <w:t>Smithsonian</w:t>
            </w:r>
            <w:proofErr w:type="spellEnd"/>
            <w:r w:rsidRPr="00092B17">
              <w:rPr>
                <w:lang w:val="fr-FR"/>
              </w:rPr>
              <w:t xml:space="preserve"> Institution </w:t>
            </w:r>
            <w:proofErr w:type="spellStart"/>
            <w:r w:rsidRPr="00092B17">
              <w:rPr>
                <w:lang w:val="fr-FR"/>
              </w:rPr>
              <w:t>Press</w:t>
            </w:r>
            <w:proofErr w:type="spellEnd"/>
            <w:r w:rsidRPr="00092B17">
              <w:rPr>
                <w:lang w:val="fr-FR"/>
              </w:rPr>
              <w:t>.  Washington, USA, 63 pp.”</w:t>
            </w:r>
          </w:p>
          <w:p w:rsidR="001826AD" w:rsidRPr="00092B17" w:rsidRDefault="001826AD" w:rsidP="006B4271">
            <w:pPr>
              <w:rPr>
                <w:lang w:val="fr-FR"/>
              </w:rPr>
            </w:pPr>
            <w:r w:rsidRPr="00092B17">
              <w:rPr>
                <w:lang w:val="fr-FR"/>
              </w:rPr>
              <w:t>– référence “</w:t>
            </w:r>
            <w:proofErr w:type="spellStart"/>
            <w:r w:rsidRPr="00092B17">
              <w:rPr>
                <w:lang w:val="fr-FR"/>
              </w:rPr>
              <w:t>Sinchaisri</w:t>
            </w:r>
            <w:proofErr w:type="spellEnd"/>
            <w:r w:rsidRPr="00092B17">
              <w:rPr>
                <w:lang w:val="fr-FR"/>
              </w:rPr>
              <w:t xml:space="preserve">, N., </w:t>
            </w:r>
            <w:r w:rsidRPr="00092B17">
              <w:rPr>
                <w:i/>
                <w:lang w:val="fr-FR"/>
              </w:rPr>
              <w:t xml:space="preserve">et </w:t>
            </w:r>
            <w:proofErr w:type="gramStart"/>
            <w:r w:rsidRPr="00092B17">
              <w:rPr>
                <w:i/>
                <w:lang w:val="fr-FR"/>
              </w:rPr>
              <w:t>al.</w:t>
            </w:r>
            <w:r w:rsidRPr="00092B17">
              <w:rPr>
                <w:lang w:val="fr-FR"/>
              </w:rPr>
              <w:t>,</w:t>
            </w:r>
            <w:proofErr w:type="gramEnd"/>
            <w:r w:rsidRPr="00092B17">
              <w:rPr>
                <w:lang w:val="fr-FR"/>
              </w:rPr>
              <w:t>” : mentionner tous les auteurs</w:t>
            </w:r>
          </w:p>
          <w:p w:rsidR="001826AD" w:rsidRPr="00092B17" w:rsidRDefault="001826AD" w:rsidP="006B4271">
            <w:pPr>
              <w:rPr>
                <w:lang w:val="fr-FR"/>
              </w:rPr>
            </w:pPr>
            <w:r w:rsidRPr="00092B17">
              <w:rPr>
                <w:lang w:val="fr-FR"/>
              </w:rPr>
              <w:t>– ajouter une virgule à la référence “</w:t>
            </w:r>
            <w:proofErr w:type="spellStart"/>
            <w:r w:rsidRPr="00092B17">
              <w:rPr>
                <w:lang w:val="fr-FR"/>
              </w:rPr>
              <w:t>Thanabud</w:t>
            </w:r>
            <w:proofErr w:type="spellEnd"/>
            <w:r w:rsidRPr="00092B17">
              <w:rPr>
                <w:lang w:val="fr-FR"/>
              </w:rPr>
              <w:t>, P., 2000:”</w:t>
            </w:r>
          </w:p>
          <w:p w:rsidR="001826AD" w:rsidRPr="00092B17" w:rsidRDefault="001826AD" w:rsidP="006B4271">
            <w:pPr>
              <w:jc w:val="left"/>
              <w:rPr>
                <w:rFonts w:cs="Arial"/>
                <w:lang w:val="fr-FR"/>
              </w:rPr>
            </w:pPr>
            <w:r w:rsidRPr="00092B17">
              <w:rPr>
                <w:lang w:val="fr-FR"/>
              </w:rPr>
              <w:t>– ajouter un espace à la dernière référence “…, 239 pp.”</w:t>
            </w:r>
          </w:p>
        </w:tc>
      </w:tr>
      <w:tr w:rsidR="001826AD" w:rsidRPr="00092B17" w:rsidTr="006B4271">
        <w:trPr>
          <w:cantSplit/>
        </w:trPr>
        <w:tc>
          <w:tcPr>
            <w:tcW w:w="1573" w:type="dxa"/>
          </w:tcPr>
          <w:p w:rsidR="001826AD" w:rsidRPr="00092B17" w:rsidDel="00B52312" w:rsidRDefault="001826AD" w:rsidP="006B4271">
            <w:pPr>
              <w:jc w:val="left"/>
              <w:rPr>
                <w:rFonts w:cs="Arial"/>
                <w:lang w:val="fr-FR"/>
              </w:rPr>
            </w:pPr>
            <w:r w:rsidRPr="00092B17">
              <w:rPr>
                <w:rFonts w:cs="Arial"/>
                <w:lang w:val="fr-FR"/>
              </w:rPr>
              <w:t>Questionnaire technique 1</w:t>
            </w:r>
          </w:p>
        </w:tc>
        <w:tc>
          <w:tcPr>
            <w:tcW w:w="7925" w:type="dxa"/>
          </w:tcPr>
          <w:p w:rsidR="001826AD" w:rsidRPr="00092B17" w:rsidRDefault="001826AD" w:rsidP="006B4271">
            <w:pPr>
              <w:rPr>
                <w:rFonts w:cs="Arial"/>
                <w:lang w:val="fr-FR"/>
              </w:rPr>
            </w:pPr>
            <w:r w:rsidRPr="00092B17">
              <w:rPr>
                <w:rFonts w:cs="Arial"/>
                <w:lang w:val="fr-FR"/>
              </w:rPr>
              <w:t>Inclure les informations suivantes :</w:t>
            </w:r>
          </w:p>
          <w:p w:rsidR="001826AD" w:rsidRPr="00092B17" w:rsidRDefault="001826AD" w:rsidP="006B4271">
            <w:pPr>
              <w:rPr>
                <w:rFonts w:cs="Arial"/>
                <w:lang w:val="fr-FR"/>
              </w:rPr>
            </w:pPr>
            <w:r w:rsidRPr="00092B17">
              <w:rPr>
                <w:rFonts w:cs="Arial"/>
                <w:lang w:val="fr-FR"/>
              </w:rPr>
              <w:t>1.1</w:t>
            </w:r>
            <w:r w:rsidRPr="00092B17">
              <w:rPr>
                <w:rFonts w:cs="Arial"/>
                <w:lang w:val="fr-FR"/>
              </w:rPr>
              <w:tab/>
              <w:t>Genre</w:t>
            </w:r>
          </w:p>
          <w:p w:rsidR="001826AD" w:rsidRPr="00092B17" w:rsidRDefault="001826AD" w:rsidP="006B4271">
            <w:pPr>
              <w:rPr>
                <w:rFonts w:cs="Arial"/>
                <w:lang w:val="fr-FR"/>
              </w:rPr>
            </w:pPr>
            <w:r w:rsidRPr="00092B17">
              <w:rPr>
                <w:rFonts w:cs="Arial"/>
                <w:lang w:val="fr-FR"/>
              </w:rPr>
              <w:t>1.1.1</w:t>
            </w:r>
            <w:r w:rsidRPr="00092B17">
              <w:rPr>
                <w:rFonts w:cs="Arial"/>
                <w:lang w:val="fr-FR"/>
              </w:rPr>
              <w:tab/>
              <w:t>Nom botanique</w:t>
            </w:r>
          </w:p>
          <w:p w:rsidR="001826AD" w:rsidRPr="00092B17" w:rsidRDefault="001826AD" w:rsidP="006B4271">
            <w:pPr>
              <w:rPr>
                <w:rFonts w:cs="Arial"/>
                <w:lang w:val="fr-FR"/>
              </w:rPr>
            </w:pPr>
            <w:r w:rsidRPr="00092B17">
              <w:rPr>
                <w:rFonts w:cs="Arial"/>
                <w:lang w:val="fr-FR"/>
              </w:rPr>
              <w:t>1.1.2</w:t>
            </w:r>
            <w:r w:rsidRPr="00092B17">
              <w:rPr>
                <w:rFonts w:cs="Arial"/>
                <w:lang w:val="fr-FR"/>
              </w:rPr>
              <w:tab/>
              <w:t>Nom commun</w:t>
            </w:r>
          </w:p>
          <w:p w:rsidR="001826AD" w:rsidRPr="00092B17" w:rsidRDefault="001826AD" w:rsidP="006B4271">
            <w:pPr>
              <w:rPr>
                <w:rFonts w:cs="Arial"/>
                <w:lang w:val="fr-FR"/>
              </w:rPr>
            </w:pPr>
            <w:r w:rsidRPr="00092B17">
              <w:rPr>
                <w:rFonts w:cs="Arial"/>
                <w:lang w:val="fr-FR"/>
              </w:rPr>
              <w:t>1.2</w:t>
            </w:r>
            <w:r w:rsidRPr="00092B17">
              <w:rPr>
                <w:rFonts w:cs="Arial"/>
                <w:lang w:val="fr-FR"/>
              </w:rPr>
              <w:tab/>
              <w:t>Espèces (veuillez préciser)</w:t>
            </w:r>
          </w:p>
          <w:p w:rsidR="001826AD" w:rsidRPr="00092B17" w:rsidRDefault="001826AD" w:rsidP="006B4271">
            <w:pPr>
              <w:rPr>
                <w:rFonts w:cs="Arial"/>
                <w:lang w:val="fr-FR"/>
              </w:rPr>
            </w:pPr>
            <w:r w:rsidRPr="00092B17">
              <w:rPr>
                <w:rFonts w:cs="Arial"/>
                <w:lang w:val="fr-FR"/>
              </w:rPr>
              <w:t>1.2.1</w:t>
            </w:r>
            <w:r w:rsidRPr="00092B17">
              <w:rPr>
                <w:rFonts w:cs="Arial"/>
                <w:lang w:val="fr-FR"/>
              </w:rPr>
              <w:tab/>
              <w:t>Nom botanique</w:t>
            </w:r>
          </w:p>
          <w:p w:rsidR="001826AD" w:rsidRPr="00092B17" w:rsidDel="00B52312" w:rsidRDefault="001826AD" w:rsidP="006B4271">
            <w:pPr>
              <w:rPr>
                <w:rFonts w:cs="Arial"/>
                <w:lang w:val="fr-FR"/>
              </w:rPr>
            </w:pPr>
            <w:r w:rsidRPr="00092B17">
              <w:rPr>
                <w:rFonts w:cs="Arial"/>
                <w:lang w:val="fr-FR"/>
              </w:rPr>
              <w:t>1.2.2</w:t>
            </w:r>
            <w:r w:rsidRPr="00092B17">
              <w:rPr>
                <w:rFonts w:cs="Arial"/>
                <w:lang w:val="fr-FR"/>
              </w:rPr>
              <w:tab/>
              <w:t>Nom commun</w:t>
            </w:r>
          </w:p>
        </w:tc>
      </w:tr>
    </w:tbl>
    <w:p w:rsidR="001826AD" w:rsidRPr="00092B17" w:rsidRDefault="001826AD" w:rsidP="001826AD">
      <w:pPr>
        <w:keepNext/>
        <w:jc w:val="left"/>
        <w:rPr>
          <w:rFonts w:cs="Arial"/>
          <w:u w:val="single"/>
          <w:lang w:val="fr-FR"/>
        </w:rPr>
      </w:pPr>
    </w:p>
    <w:p w:rsidR="001826AD" w:rsidRPr="00092B17" w:rsidRDefault="001826AD" w:rsidP="001826AD">
      <w:pPr>
        <w:keepNext/>
        <w:jc w:val="left"/>
        <w:rPr>
          <w:rFonts w:cs="Arial"/>
          <w:u w:val="single"/>
          <w:lang w:val="fr-FR"/>
        </w:rPr>
      </w:pPr>
    </w:p>
    <w:tbl>
      <w:tblPr>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67"/>
        <w:gridCol w:w="2268"/>
      </w:tblGrid>
      <w:tr w:rsidR="001826AD" w:rsidRPr="00092B17" w:rsidTr="006B4271">
        <w:trPr>
          <w:cantSplit/>
          <w:trHeight w:val="310"/>
        </w:trPr>
        <w:tc>
          <w:tcPr>
            <w:tcW w:w="4167"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r w:rsidRPr="00092B17">
              <w:rPr>
                <w:rFonts w:cs="Arial"/>
                <w:caps w:val="0"/>
                <w:lang w:val="fr-FR"/>
              </w:rPr>
              <w:t>Porte</w:t>
            </w:r>
            <w:r w:rsidRPr="00092B17">
              <w:rPr>
                <w:rFonts w:cs="Arial"/>
                <w:caps w:val="0"/>
                <w:lang w:val="fr-FR"/>
              </w:rPr>
              <w:noBreakHyphen/>
              <w:t>greffes d’avocatier (</w:t>
            </w:r>
            <w:proofErr w:type="spellStart"/>
            <w:r w:rsidRPr="00092B17">
              <w:rPr>
                <w:rFonts w:cs="Arial"/>
                <w:i/>
                <w:caps w:val="0"/>
                <w:lang w:val="fr-FR"/>
              </w:rPr>
              <w:t>Persea</w:t>
            </w:r>
            <w:proofErr w:type="spellEnd"/>
            <w:r w:rsidRPr="00092B17">
              <w:rPr>
                <w:rFonts w:cs="Arial"/>
                <w:i/>
                <w:caps w:val="0"/>
                <w:lang w:val="fr-FR"/>
              </w:rPr>
              <w:t xml:space="preserve"> americana </w:t>
            </w:r>
            <w:r w:rsidRPr="00092B17">
              <w:rPr>
                <w:rFonts w:cs="Arial"/>
                <w:caps w:val="0"/>
                <w:lang w:val="fr-FR"/>
              </w:rPr>
              <w:t>Mill</w:t>
            </w:r>
            <w:r w:rsidRPr="00092B17">
              <w:rPr>
                <w:rFonts w:cs="Arial"/>
                <w:i/>
                <w:caps w:val="0"/>
                <w:lang w:val="fr-FR"/>
              </w:rPr>
              <w:t xml:space="preserve">., </w:t>
            </w:r>
            <w:proofErr w:type="spellStart"/>
            <w:r w:rsidRPr="00092B17">
              <w:rPr>
                <w:rFonts w:cs="Arial"/>
                <w:i/>
                <w:caps w:val="0"/>
                <w:lang w:val="fr-FR"/>
              </w:rPr>
              <w:t>Persea</w:t>
            </w:r>
            <w:proofErr w:type="spellEnd"/>
            <w:r w:rsidRPr="00092B17">
              <w:rPr>
                <w:rFonts w:cs="Arial"/>
                <w:i/>
                <w:caps w:val="0"/>
                <w:lang w:val="fr-FR"/>
              </w:rPr>
              <w:t xml:space="preserve"> </w:t>
            </w:r>
            <w:proofErr w:type="spellStart"/>
            <w:r w:rsidRPr="00092B17">
              <w:rPr>
                <w:rFonts w:cs="Arial"/>
                <w:i/>
                <w:caps w:val="0"/>
                <w:lang w:val="fr-FR"/>
              </w:rPr>
              <w:t>schiedeana</w:t>
            </w:r>
            <w:proofErr w:type="spellEnd"/>
            <w:r w:rsidRPr="00092B17">
              <w:rPr>
                <w:rFonts w:cs="Arial"/>
                <w:i/>
                <w:caps w:val="0"/>
                <w:lang w:val="fr-FR"/>
              </w:rPr>
              <w:t xml:space="preserve"> </w:t>
            </w:r>
            <w:proofErr w:type="spellStart"/>
            <w:r w:rsidRPr="00092B17">
              <w:rPr>
                <w:rFonts w:cs="Arial"/>
                <w:caps w:val="0"/>
                <w:lang w:val="fr-FR"/>
              </w:rPr>
              <w:t>Nees</w:t>
            </w:r>
            <w:proofErr w:type="spellEnd"/>
            <w:r w:rsidRPr="00092B17">
              <w:rPr>
                <w:rFonts w:cs="Arial"/>
                <w:caps w:val="0"/>
                <w:lang w:val="fr-FR"/>
              </w:rPr>
              <w:t>)</w:t>
            </w:r>
          </w:p>
        </w:tc>
        <w:tc>
          <w:tcPr>
            <w:tcW w:w="2268" w:type="dxa"/>
            <w:vMerge w:val="restart"/>
            <w:shd w:val="clear" w:color="auto" w:fill="D9D9D9"/>
            <w:vAlign w:val="center"/>
          </w:tcPr>
          <w:p w:rsidR="001826AD" w:rsidRPr="00092B17" w:rsidRDefault="001826AD" w:rsidP="006B4271">
            <w:pPr>
              <w:spacing w:before="80" w:after="80"/>
              <w:jc w:val="left"/>
              <w:rPr>
                <w:iCs/>
                <w:snapToGrid w:val="0"/>
                <w:lang w:val="fr-FR"/>
              </w:rPr>
            </w:pPr>
            <w:r w:rsidRPr="00092B17">
              <w:rPr>
                <w:lang w:val="fr-FR"/>
              </w:rPr>
              <w:t>TG/</w:t>
            </w:r>
            <w:proofErr w:type="gramStart"/>
            <w:r w:rsidRPr="00092B17">
              <w:rPr>
                <w:lang w:val="fr-FR"/>
              </w:rPr>
              <w:t>PERSE(</w:t>
            </w:r>
            <w:proofErr w:type="gramEnd"/>
            <w:r w:rsidRPr="00092B17">
              <w:rPr>
                <w:lang w:val="fr-FR"/>
              </w:rPr>
              <w:t>proj.4)</w:t>
            </w:r>
          </w:p>
        </w:tc>
      </w:tr>
      <w:tr w:rsidR="001826AD" w:rsidRPr="00092B17" w:rsidTr="006B4271">
        <w:trPr>
          <w:cantSplit/>
          <w:trHeight w:hRule="exact" w:val="369"/>
        </w:trPr>
        <w:tc>
          <w:tcPr>
            <w:tcW w:w="4167"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rPr>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w:t>
      </w:r>
      <w:proofErr w:type="gramStart"/>
      <w:r w:rsidRPr="00092B17">
        <w:rPr>
          <w:rFonts w:cs="Arial"/>
          <w:lang w:val="fr-FR"/>
        </w:rPr>
        <w:t>PERSE(</w:t>
      </w:r>
      <w:proofErr w:type="gramEnd"/>
      <w:r w:rsidRPr="00092B17">
        <w:rPr>
          <w:rFonts w:cs="Arial"/>
          <w:lang w:val="fr-FR"/>
        </w:rPr>
        <w:t>proj.4)) soumis au TC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1.</w:t>
            </w:r>
          </w:p>
        </w:tc>
        <w:tc>
          <w:tcPr>
            <w:tcW w:w="7925" w:type="dxa"/>
          </w:tcPr>
          <w:p w:rsidR="001826AD" w:rsidRPr="00092B17" w:rsidRDefault="001826AD" w:rsidP="006B4271">
            <w:pPr>
              <w:keepNext/>
              <w:rPr>
                <w:rFonts w:cs="Arial"/>
                <w:lang w:val="fr-FR"/>
              </w:rPr>
            </w:pPr>
            <w:r w:rsidRPr="00092B17">
              <w:rPr>
                <w:rFonts w:cs="Arial"/>
                <w:lang w:val="fr-FR"/>
              </w:rPr>
              <w:t xml:space="preserve">– </w:t>
            </w:r>
            <w:r w:rsidRPr="00092B17">
              <w:rPr>
                <w:rFonts w:eastAsiaTheme="minorHAnsi" w:cs="Arial"/>
                <w:iCs/>
                <w:lang w:val="fr-FR"/>
              </w:rPr>
              <w:t>lire</w:t>
            </w:r>
            <w:r w:rsidRPr="00092B17">
              <w:rPr>
                <w:rFonts w:cs="Arial"/>
                <w:lang w:val="fr-FR"/>
              </w:rPr>
              <w:t> : “… comme porte</w:t>
            </w:r>
            <w:r w:rsidRPr="00092B17">
              <w:rPr>
                <w:rFonts w:cs="Arial"/>
                <w:lang w:val="fr-FR"/>
              </w:rPr>
              <w:noBreakHyphen/>
              <w:t>greffe.”</w:t>
            </w:r>
          </w:p>
          <w:p w:rsidR="001826AD" w:rsidRPr="00092B17" w:rsidRDefault="001826AD" w:rsidP="006B4271">
            <w:pPr>
              <w:keepNext/>
              <w:rPr>
                <w:rFonts w:cs="Arial"/>
                <w:lang w:val="fr-FR"/>
              </w:rPr>
            </w:pPr>
            <w:r w:rsidRPr="00092B17">
              <w:rPr>
                <w:rFonts w:cs="Arial"/>
                <w:lang w:val="fr-FR"/>
              </w:rPr>
              <w:t>– à actualiser conformément aux modifications sur la portée des principes directeurs d’examen</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4.2.2</w:t>
            </w:r>
          </w:p>
        </w:tc>
        <w:tc>
          <w:tcPr>
            <w:tcW w:w="7925" w:type="dxa"/>
          </w:tcPr>
          <w:p w:rsidR="001826AD" w:rsidRPr="00092B17" w:rsidRDefault="001826AD" w:rsidP="006B4271">
            <w:pPr>
              <w:keepNext/>
              <w:rPr>
                <w:rFonts w:cs="Arial"/>
                <w:lang w:val="fr-FR"/>
              </w:rPr>
            </w:pPr>
            <w:r w:rsidRPr="00092B17">
              <w:rPr>
                <w:rFonts w:cs="Arial"/>
                <w:lang w:val="fr-FR"/>
              </w:rPr>
              <w:t>supprimer “sur un échantillon de 5 plantes” dans la première phrase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 xml:space="preserve">car. 2 </w:t>
            </w:r>
          </w:p>
        </w:tc>
        <w:tc>
          <w:tcPr>
            <w:tcW w:w="7925" w:type="dxa"/>
          </w:tcPr>
          <w:p w:rsidR="001826AD" w:rsidRPr="00092B17" w:rsidRDefault="001826AD" w:rsidP="006B4271">
            <w:pPr>
              <w:keepNext/>
              <w:rPr>
                <w:rFonts w:cs="Arial"/>
                <w:lang w:val="fr-FR"/>
              </w:rPr>
            </w:pPr>
            <w:r w:rsidRPr="00092B17">
              <w:rPr>
                <w:rFonts w:cs="Arial"/>
                <w:lang w:val="fr-FR"/>
              </w:rPr>
              <w:t>lire “Plante : port”</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7</w:t>
            </w:r>
          </w:p>
        </w:tc>
        <w:tc>
          <w:tcPr>
            <w:tcW w:w="7925" w:type="dxa"/>
          </w:tcPr>
          <w:p w:rsidR="001826AD" w:rsidRPr="00092B17" w:rsidRDefault="001826AD" w:rsidP="006B4271">
            <w:pPr>
              <w:rPr>
                <w:rFonts w:cs="Arial"/>
                <w:lang w:val="fr-FR"/>
              </w:rPr>
            </w:pPr>
            <w:r w:rsidRPr="00092B17">
              <w:rPr>
                <w:rFonts w:eastAsiaTheme="minorHAnsi" w:cs="Arial"/>
                <w:iCs/>
                <w:lang w:val="fr-FR"/>
              </w:rPr>
              <w:t>lire</w:t>
            </w:r>
            <w:r w:rsidRPr="00092B17">
              <w:rPr>
                <w:rFonts w:cs="Arial"/>
                <w:lang w:val="fr-FR"/>
              </w:rPr>
              <w:t xml:space="preserve"> “Rameau : pubescence des entre</w:t>
            </w:r>
            <w:r w:rsidRPr="00092B17">
              <w:rPr>
                <w:rFonts w:cs="Arial"/>
                <w:lang w:val="fr-FR"/>
              </w:rPr>
              <w:noBreakHyphen/>
              <w:t>nœuds”</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17</w:t>
            </w:r>
          </w:p>
        </w:tc>
        <w:tc>
          <w:tcPr>
            <w:tcW w:w="7925" w:type="dxa"/>
          </w:tcPr>
          <w:p w:rsidR="001826AD" w:rsidRPr="00092B17" w:rsidRDefault="001826AD" w:rsidP="006B4271">
            <w:pPr>
              <w:keepNext/>
              <w:rPr>
                <w:rFonts w:cs="Arial"/>
                <w:lang w:val="fr-FR"/>
              </w:rPr>
            </w:pPr>
            <w:r w:rsidRPr="00092B17">
              <w:rPr>
                <w:rFonts w:cs="Arial"/>
                <w:lang w:val="fr-FR"/>
              </w:rPr>
              <w:t>le niveau 3 doit être libellé comme suit : “rouge</w:t>
            </w:r>
            <w:r w:rsidRPr="00092B17">
              <w:rPr>
                <w:rFonts w:cs="Arial"/>
                <w:szCs w:val="22"/>
                <w:lang w:val="fr-FR"/>
              </w:rPr>
              <w:t>”</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21</w:t>
            </w:r>
          </w:p>
        </w:tc>
        <w:tc>
          <w:tcPr>
            <w:tcW w:w="7925" w:type="dxa"/>
          </w:tcPr>
          <w:p w:rsidR="001826AD" w:rsidRPr="00092B17" w:rsidRDefault="001826AD" w:rsidP="006B4271">
            <w:pPr>
              <w:ind w:left="786" w:hanging="786"/>
              <w:rPr>
                <w:rFonts w:cs="Arial"/>
                <w:lang w:val="fr-FR"/>
              </w:rPr>
            </w:pPr>
            <w:r w:rsidRPr="00092B17">
              <w:rPr>
                <w:rFonts w:cs="Arial"/>
                <w:lang w:val="fr-FR"/>
              </w:rPr>
              <w:t xml:space="preserve">supprimer </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29</w:t>
            </w:r>
          </w:p>
        </w:tc>
        <w:tc>
          <w:tcPr>
            <w:tcW w:w="7925" w:type="dxa"/>
          </w:tcPr>
          <w:p w:rsidR="001826AD" w:rsidRPr="00092B17" w:rsidRDefault="001826AD" w:rsidP="006B4271">
            <w:pPr>
              <w:keepNext/>
              <w:rPr>
                <w:rFonts w:cs="Arial"/>
                <w:lang w:val="fr-FR"/>
              </w:rPr>
            </w:pPr>
            <w:r w:rsidRPr="00092B17">
              <w:rPr>
                <w:rFonts w:cs="Arial"/>
                <w:lang w:val="fr-FR"/>
              </w:rPr>
              <w:t>le niveau 2 doit être libellé comme suit : “niveau</w:t>
            </w:r>
            <w:r w:rsidRPr="00092B17">
              <w:rPr>
                <w:rFonts w:cs="Arial"/>
                <w:szCs w:val="22"/>
                <w:lang w:val="fr-FR"/>
              </w:rPr>
              <w:t>”</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31</w:t>
            </w:r>
          </w:p>
        </w:tc>
        <w:tc>
          <w:tcPr>
            <w:tcW w:w="7925" w:type="dxa"/>
          </w:tcPr>
          <w:p w:rsidR="001826AD" w:rsidRPr="00092B17" w:rsidRDefault="001826AD" w:rsidP="006B4271">
            <w:pPr>
              <w:rPr>
                <w:rFonts w:cs="Arial"/>
                <w:lang w:val="fr-FR"/>
              </w:rPr>
            </w:pPr>
            <w:r w:rsidRPr="00092B17">
              <w:rPr>
                <w:rFonts w:cs="Arial"/>
                <w:snapToGrid w:val="0"/>
                <w:lang w:val="fr-FR"/>
              </w:rPr>
              <w:t>lire “Limbe : densité de la pubescence sur la face inférieure de la veine principale”</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33, 37</w:t>
            </w:r>
          </w:p>
        </w:tc>
        <w:tc>
          <w:tcPr>
            <w:tcW w:w="7925" w:type="dxa"/>
          </w:tcPr>
          <w:p w:rsidR="001826AD" w:rsidRPr="00092B17" w:rsidRDefault="001826AD" w:rsidP="006B4271">
            <w:pPr>
              <w:rPr>
                <w:rFonts w:cs="Arial"/>
                <w:lang w:val="fr-FR"/>
              </w:rPr>
            </w:pPr>
            <w:r w:rsidRPr="00092B17">
              <w:rPr>
                <w:rFonts w:cs="Arial"/>
                <w:lang w:val="fr-FR"/>
              </w:rPr>
              <w:t>à replacer après le caractère 22</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35</w:t>
            </w:r>
          </w:p>
        </w:tc>
        <w:tc>
          <w:tcPr>
            <w:tcW w:w="7925" w:type="dxa"/>
          </w:tcPr>
          <w:p w:rsidR="001826AD" w:rsidRPr="00092B17" w:rsidRDefault="001826AD" w:rsidP="006B4271">
            <w:pPr>
              <w:rPr>
                <w:rFonts w:cs="Arial"/>
                <w:lang w:val="fr-FR"/>
              </w:rPr>
            </w:pPr>
            <w:r w:rsidRPr="00092B17">
              <w:rPr>
                <w:rFonts w:cs="Arial"/>
                <w:lang w:val="fr-FR"/>
              </w:rPr>
              <w:t>le niveau 1 doit être libellé comme suit : “absente ou peu profonde” (DE : conserver “</w:t>
            </w:r>
            <w:proofErr w:type="spellStart"/>
            <w:r w:rsidRPr="00092B17">
              <w:rPr>
                <w:rFonts w:cs="Arial"/>
                <w:lang w:val="fr-FR"/>
              </w:rPr>
              <w:t>flach</w:t>
            </w:r>
            <w:proofErr w:type="spellEnd"/>
            <w:r w:rsidRPr="00092B17">
              <w:rPr>
                <w:rFonts w:cs="Arial"/>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36</w:t>
            </w:r>
          </w:p>
        </w:tc>
        <w:tc>
          <w:tcPr>
            <w:tcW w:w="7925" w:type="dxa"/>
          </w:tcPr>
          <w:p w:rsidR="001826AD" w:rsidRPr="00092B17" w:rsidRDefault="001826AD" w:rsidP="006B4271">
            <w:pPr>
              <w:rPr>
                <w:rFonts w:cs="Arial"/>
                <w:lang w:val="fr-FR"/>
              </w:rPr>
            </w:pPr>
            <w:r w:rsidRPr="00092B17">
              <w:rPr>
                <w:rFonts w:cs="Arial"/>
                <w:lang w:val="fr-FR"/>
              </w:rPr>
              <w:t>– à indiquer comme QN</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8.1</w:t>
            </w:r>
          </w:p>
        </w:tc>
        <w:tc>
          <w:tcPr>
            <w:tcW w:w="7925" w:type="dxa"/>
          </w:tcPr>
          <w:p w:rsidR="001826AD" w:rsidRPr="00092B17" w:rsidRDefault="001826AD" w:rsidP="006B4271">
            <w:pPr>
              <w:ind w:left="502" w:hanging="425"/>
              <w:rPr>
                <w:rFonts w:cs="Arial"/>
                <w:lang w:val="fr-FR"/>
              </w:rPr>
            </w:pPr>
            <w:r w:rsidRPr="00092B17">
              <w:rPr>
                <w:rFonts w:cs="Arial"/>
                <w:lang w:val="fr-FR"/>
              </w:rPr>
              <w:t>libeller :</w:t>
            </w:r>
          </w:p>
          <w:p w:rsidR="001826AD" w:rsidRPr="00092B17" w:rsidRDefault="001826AD" w:rsidP="006B4271">
            <w:pPr>
              <w:ind w:left="502" w:hanging="425"/>
              <w:rPr>
                <w:rFonts w:cs="Arial"/>
                <w:lang w:val="fr-FR"/>
              </w:rPr>
            </w:pPr>
            <w:r w:rsidRPr="00092B17">
              <w:rPr>
                <w:rFonts w:cs="Arial"/>
                <w:lang w:val="fr-FR"/>
              </w:rPr>
              <w:t>“(a)</w:t>
            </w:r>
            <w:r w:rsidRPr="00092B17">
              <w:rPr>
                <w:rFonts w:cs="Arial"/>
                <w:lang w:val="fr-FR"/>
              </w:rPr>
              <w:tab/>
              <w:t>Les observations doivent être effectuées pendant le cycle de végétation, lors d’une période de croissance active.</w:t>
            </w:r>
          </w:p>
          <w:p w:rsidR="001826AD" w:rsidRPr="00092B17" w:rsidRDefault="001826AD" w:rsidP="006B4271">
            <w:pPr>
              <w:ind w:left="502" w:hanging="425"/>
              <w:rPr>
                <w:rFonts w:cs="Arial"/>
                <w:lang w:val="fr-FR"/>
              </w:rPr>
            </w:pPr>
            <w:r w:rsidRPr="00092B17">
              <w:rPr>
                <w:rFonts w:cs="Arial"/>
                <w:lang w:val="fr-FR"/>
              </w:rPr>
              <w:t>“(b)</w:t>
            </w:r>
            <w:r w:rsidRPr="00092B17">
              <w:rPr>
                <w:rFonts w:cs="Arial"/>
                <w:lang w:val="fr-FR"/>
              </w:rPr>
              <w:tab/>
              <w:t xml:space="preserve">Les observations doivent être effectuées sur des branches ou des tiges qui ne présentent pas de signe de nouvelle croissance à l’extérieur de l’arbre.  Elles doivent être effectuées durant le </w:t>
            </w:r>
            <w:r w:rsidRPr="00092B17">
              <w:rPr>
                <w:rFonts w:cs="Arial"/>
                <w:u w:val="single"/>
                <w:lang w:val="fr-FR"/>
              </w:rPr>
              <w:t>deuxième tiers</w:t>
            </w:r>
            <w:r w:rsidRPr="00092B17">
              <w:rPr>
                <w:rFonts w:cs="Arial"/>
                <w:lang w:val="fr-FR"/>
              </w:rPr>
              <w:t xml:space="preserve"> (souligné) du dernier cycle de végétation et à proximité du prochain débourrement.</w:t>
            </w:r>
          </w:p>
          <w:p w:rsidR="001826AD" w:rsidRPr="00092B17" w:rsidRDefault="001826AD" w:rsidP="006B4271">
            <w:pPr>
              <w:ind w:left="502" w:hanging="425"/>
              <w:rPr>
                <w:rFonts w:cs="Arial"/>
                <w:lang w:val="fr-FR"/>
              </w:rPr>
            </w:pPr>
            <w:r w:rsidRPr="00092B17">
              <w:rPr>
                <w:rFonts w:cs="Arial"/>
                <w:lang w:val="fr-FR"/>
              </w:rPr>
              <w:t>“(c)</w:t>
            </w:r>
            <w:r w:rsidRPr="00092B17">
              <w:rPr>
                <w:rFonts w:cs="Arial"/>
                <w:lang w:val="fr-FR"/>
              </w:rPr>
              <w:tab/>
              <w:t xml:space="preserve">Les observations doivent être effectuées sur des branches ou des tiges qui ne présentent pas de signe de nouvelle croissance à l’extérieur de l’arbre.  Elles doivent être effectuées durant le </w:t>
            </w:r>
            <w:r w:rsidRPr="00092B17">
              <w:rPr>
                <w:rFonts w:cs="Arial"/>
                <w:u w:val="single"/>
                <w:lang w:val="fr-FR"/>
              </w:rPr>
              <w:t>troisième tiers</w:t>
            </w:r>
            <w:r w:rsidRPr="00092B17">
              <w:rPr>
                <w:rFonts w:cs="Arial"/>
                <w:lang w:val="fr-FR"/>
              </w:rPr>
              <w:t xml:space="preserve"> (souligné) du dernier cycle de végétation et à proximité du prochain débourrement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8.1 (b), (c)</w:t>
            </w:r>
          </w:p>
        </w:tc>
        <w:tc>
          <w:tcPr>
            <w:tcW w:w="7925" w:type="dxa"/>
          </w:tcPr>
          <w:p w:rsidR="001826AD" w:rsidRPr="00092B17" w:rsidRDefault="001826AD" w:rsidP="006B4271">
            <w:pPr>
              <w:rPr>
                <w:rFonts w:cs="Arial"/>
                <w:lang w:val="fr-FR"/>
              </w:rPr>
            </w:pPr>
            <w:r w:rsidRPr="00092B17">
              <w:rPr>
                <w:rFonts w:cs="Arial"/>
                <w:lang w:val="fr-FR"/>
              </w:rPr>
              <w:t>dans la version anglaise, supprimer “</w:t>
            </w:r>
            <w:proofErr w:type="spellStart"/>
            <w:r w:rsidRPr="00092B17">
              <w:rPr>
                <w:rFonts w:cs="Arial"/>
                <w:lang w:val="fr-FR"/>
              </w:rPr>
              <w:t>current</w:t>
            </w:r>
            <w:proofErr w:type="spellEnd"/>
            <w:r w:rsidRPr="00092B17">
              <w:rPr>
                <w:rFonts w:cs="Arial"/>
                <w:lang w:val="fr-FR"/>
              </w:rPr>
              <w:t>” devant “</w:t>
            </w:r>
            <w:proofErr w:type="spellStart"/>
            <w:r w:rsidRPr="00092B17">
              <w:rPr>
                <w:rFonts w:cs="Arial"/>
                <w:lang w:val="fr-FR"/>
              </w:rPr>
              <w:t>season’s</w:t>
            </w:r>
            <w:proofErr w:type="spellEnd"/>
            <w:r w:rsidRPr="00092B17">
              <w:rPr>
                <w:rFonts w:cs="Arial"/>
                <w:lang w:val="fr-FR"/>
              </w:rPr>
              <w:t xml:space="preserve"> </w:t>
            </w:r>
            <w:proofErr w:type="spellStart"/>
            <w:r w:rsidRPr="00092B17">
              <w:rPr>
                <w:rFonts w:cs="Arial"/>
                <w:lang w:val="fr-FR"/>
              </w:rPr>
              <w:t>growth</w:t>
            </w:r>
            <w:proofErr w:type="spellEnd"/>
            <w:r w:rsidRPr="00092B17">
              <w:rPr>
                <w:rFonts w:cs="Arial"/>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4</w:t>
            </w:r>
          </w:p>
        </w:tc>
        <w:tc>
          <w:tcPr>
            <w:tcW w:w="7925" w:type="dxa"/>
          </w:tcPr>
          <w:p w:rsidR="001826AD" w:rsidRPr="00092B17" w:rsidRDefault="001826AD" w:rsidP="006B4271">
            <w:pPr>
              <w:rPr>
                <w:rFonts w:cs="Arial"/>
                <w:lang w:val="fr-FR"/>
              </w:rPr>
            </w:pPr>
            <w:r w:rsidRPr="00092B17">
              <w:rPr>
                <w:rFonts w:cs="Arial"/>
                <w:lang w:val="fr-FR"/>
              </w:rPr>
              <w:t>– supprimer “et”</w:t>
            </w:r>
          </w:p>
          <w:p w:rsidR="001826AD" w:rsidRPr="00092B17" w:rsidRDefault="001826AD" w:rsidP="006B4271">
            <w:pPr>
              <w:rPr>
                <w:rFonts w:cs="Arial"/>
                <w:lang w:val="fr-FR"/>
              </w:rPr>
            </w:pPr>
            <w:r w:rsidRPr="00092B17">
              <w:rPr>
                <w:rFonts w:cs="Arial"/>
                <w:lang w:val="fr-FR"/>
              </w:rPr>
              <w:t>– supprimer “sur la tige”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9.</w:t>
            </w:r>
          </w:p>
        </w:tc>
        <w:tc>
          <w:tcPr>
            <w:tcW w:w="7925" w:type="dxa"/>
          </w:tcPr>
          <w:p w:rsidR="001826AD" w:rsidRPr="00092B17" w:rsidRDefault="001826AD" w:rsidP="006B4271">
            <w:pPr>
              <w:rPr>
                <w:rFonts w:cs="Arial"/>
                <w:lang w:val="fr-FR"/>
              </w:rPr>
            </w:pPr>
            <w:r w:rsidRPr="00092B17">
              <w:rPr>
                <w:rFonts w:cs="Arial"/>
                <w:lang w:val="fr-FR"/>
              </w:rPr>
              <w:t>Supprimer la référence aux principes directeurs d’examen pour l’avocat, à mentionner uniquement sur la page de couverture.</w:t>
            </w:r>
          </w:p>
        </w:tc>
      </w:tr>
      <w:tr w:rsidR="001826AD" w:rsidRPr="00092B17" w:rsidTr="006B4271">
        <w:tc>
          <w:tcPr>
            <w:tcW w:w="1573" w:type="dxa"/>
            <w:tcBorders>
              <w:top w:val="single" w:sz="4" w:space="0" w:color="auto"/>
              <w:left w:val="single" w:sz="4" w:space="0" w:color="auto"/>
              <w:bottom w:val="single" w:sz="4" w:space="0" w:color="auto"/>
              <w:right w:val="single" w:sz="4" w:space="0" w:color="auto"/>
            </w:tcBorders>
          </w:tcPr>
          <w:p w:rsidR="001826AD" w:rsidRPr="00092B17" w:rsidRDefault="001826AD" w:rsidP="006B4271">
            <w:pPr>
              <w:jc w:val="left"/>
              <w:rPr>
                <w:rFonts w:cs="Arial"/>
                <w:lang w:val="fr-FR"/>
              </w:rPr>
            </w:pPr>
            <w:r w:rsidRPr="00092B17">
              <w:rPr>
                <w:rFonts w:cs="Arial"/>
                <w:lang w:val="fr-FR"/>
              </w:rPr>
              <w:t>Questionnaire technique 1</w:t>
            </w:r>
          </w:p>
        </w:tc>
        <w:tc>
          <w:tcPr>
            <w:tcW w:w="7925" w:type="dxa"/>
            <w:tcBorders>
              <w:top w:val="single" w:sz="4" w:space="0" w:color="auto"/>
              <w:left w:val="single" w:sz="4" w:space="0" w:color="auto"/>
              <w:bottom w:val="single" w:sz="4" w:space="0" w:color="auto"/>
              <w:right w:val="single" w:sz="4" w:space="0" w:color="auto"/>
            </w:tcBorders>
          </w:tcPr>
          <w:p w:rsidR="001826AD" w:rsidRPr="00092B17" w:rsidRDefault="001826AD" w:rsidP="006B4271">
            <w:pPr>
              <w:rPr>
                <w:rFonts w:cs="Arial"/>
                <w:lang w:val="fr-FR"/>
              </w:rPr>
            </w:pPr>
            <w:r w:rsidRPr="00092B17">
              <w:rPr>
                <w:rFonts w:cs="Arial"/>
                <w:lang w:val="fr-FR"/>
              </w:rPr>
              <w:t>à vérifier et actualiser conformément aux modifications sur la portée des principes directeurs d’examen</w:t>
            </w:r>
          </w:p>
        </w:tc>
      </w:tr>
    </w:tbl>
    <w:p w:rsidR="001826AD" w:rsidRPr="00092B17" w:rsidRDefault="001826AD" w:rsidP="001826AD">
      <w:pPr>
        <w:jc w:val="left"/>
        <w:rPr>
          <w:rFonts w:cs="Arial"/>
          <w:u w:val="single"/>
          <w:lang w:val="fr-FR"/>
        </w:rPr>
      </w:pPr>
    </w:p>
    <w:p w:rsidR="001826AD" w:rsidRPr="00092B17" w:rsidRDefault="001826AD" w:rsidP="001826AD">
      <w:pPr>
        <w:autoSpaceDE w:val="0"/>
        <w:autoSpaceDN w:val="0"/>
        <w:adjustRightInd w:val="0"/>
        <w:ind w:firstLine="567"/>
        <w:rPr>
          <w:rFonts w:cs="Arial"/>
          <w:lang w:val="fr-FR"/>
        </w:rPr>
      </w:pPr>
      <w:r w:rsidRPr="00092B17">
        <w:rPr>
          <w:rFonts w:cs="Arial"/>
          <w:lang w:val="fr-FR"/>
        </w:rPr>
        <w:t>b)</w:t>
      </w:r>
      <w:r w:rsidRPr="00092B17">
        <w:rPr>
          <w:rFonts w:cs="Arial"/>
          <w:lang w:val="fr-FR"/>
        </w:rPr>
        <w:tab/>
        <w:t>Modifications proposées par le TC</w:t>
      </w:r>
      <w:r w:rsidRPr="00092B17">
        <w:rPr>
          <w:rFonts w:cs="Arial"/>
          <w:lang w:val="fr-FR"/>
        </w:rPr>
        <w:noBreakHyphen/>
        <w:t>EDC en mars 2016, qui doivent être incorporées dans le document soumis au TC :</w:t>
      </w:r>
    </w:p>
    <w:p w:rsidR="001826AD" w:rsidRPr="00092B17" w:rsidRDefault="001826AD" w:rsidP="001826AD">
      <w:pPr>
        <w:autoSpaceDE w:val="0"/>
        <w:autoSpaceDN w:val="0"/>
        <w:adjustRightInd w:val="0"/>
        <w:ind w:firstLine="567"/>
        <w:rPr>
          <w:rFonts w:cs="Arial"/>
          <w:u w:val="single"/>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938"/>
      </w:tblGrid>
      <w:tr w:rsidR="001826AD" w:rsidRPr="00092B17" w:rsidTr="006B4271">
        <w:trPr>
          <w:cantSplit/>
        </w:trPr>
        <w:tc>
          <w:tcPr>
            <w:tcW w:w="1560" w:type="dxa"/>
          </w:tcPr>
          <w:p w:rsidR="001826AD" w:rsidRPr="00092B17" w:rsidRDefault="001826AD" w:rsidP="006B4271">
            <w:pPr>
              <w:jc w:val="left"/>
              <w:rPr>
                <w:rFonts w:cs="Arial"/>
                <w:lang w:val="fr-FR"/>
              </w:rPr>
            </w:pPr>
            <w:r w:rsidRPr="00092B17">
              <w:rPr>
                <w:rFonts w:cs="Arial"/>
                <w:lang w:val="fr-FR"/>
              </w:rPr>
              <w:t>Page de couverture</w:t>
            </w:r>
          </w:p>
        </w:tc>
        <w:tc>
          <w:tcPr>
            <w:tcW w:w="7938" w:type="dxa"/>
          </w:tcPr>
          <w:p w:rsidR="001826AD" w:rsidRPr="00092B17" w:rsidRDefault="001826AD" w:rsidP="006B4271">
            <w:pPr>
              <w:keepNext/>
              <w:rPr>
                <w:rFonts w:cs="Arial"/>
                <w:lang w:val="fr-FR"/>
              </w:rPr>
            </w:pPr>
            <w:r w:rsidRPr="00092B17">
              <w:rPr>
                <w:rFonts w:cs="Arial"/>
                <w:lang w:val="fr-FR"/>
              </w:rPr>
              <w:t xml:space="preserve">Modifier la portée des principes directeurs d’examen de </w:t>
            </w:r>
            <w:proofErr w:type="spellStart"/>
            <w:r w:rsidRPr="00092B17">
              <w:rPr>
                <w:rFonts w:cs="Arial"/>
                <w:i/>
                <w:lang w:val="fr-FR"/>
              </w:rPr>
              <w:t>Persea</w:t>
            </w:r>
            <w:proofErr w:type="spellEnd"/>
            <w:r w:rsidRPr="00092B17">
              <w:rPr>
                <w:rFonts w:cs="Arial"/>
                <w:i/>
                <w:lang w:val="fr-FR"/>
              </w:rPr>
              <w:t xml:space="preserve"> americana</w:t>
            </w:r>
            <w:r w:rsidRPr="00092B17">
              <w:rPr>
                <w:rFonts w:cs="Arial"/>
                <w:lang w:val="fr-FR"/>
              </w:rPr>
              <w:t xml:space="preserve"> Mill. et </w:t>
            </w:r>
            <w:proofErr w:type="spellStart"/>
            <w:r w:rsidRPr="00092B17">
              <w:rPr>
                <w:rFonts w:cs="Arial"/>
                <w:i/>
                <w:lang w:val="fr-FR"/>
              </w:rPr>
              <w:t>Persea</w:t>
            </w:r>
            <w:proofErr w:type="spellEnd"/>
            <w:r w:rsidRPr="00092B17">
              <w:rPr>
                <w:rFonts w:cs="Arial"/>
                <w:i/>
                <w:lang w:val="fr-FR"/>
              </w:rPr>
              <w:t xml:space="preserve"> </w:t>
            </w:r>
            <w:proofErr w:type="spellStart"/>
            <w:r w:rsidRPr="00092B17">
              <w:rPr>
                <w:rFonts w:cs="Arial"/>
                <w:i/>
                <w:lang w:val="fr-FR"/>
              </w:rPr>
              <w:t>schiedeana</w:t>
            </w:r>
            <w:proofErr w:type="spellEnd"/>
            <w:r w:rsidRPr="00092B17">
              <w:rPr>
                <w:rFonts w:cs="Arial"/>
                <w:lang w:val="fr-FR"/>
              </w:rPr>
              <w:t xml:space="preserve"> </w:t>
            </w:r>
            <w:proofErr w:type="spellStart"/>
            <w:r w:rsidRPr="00092B17">
              <w:rPr>
                <w:rFonts w:cs="Arial"/>
                <w:lang w:val="fr-FR"/>
              </w:rPr>
              <w:t>Nees</w:t>
            </w:r>
            <w:proofErr w:type="spellEnd"/>
            <w:r w:rsidRPr="00092B17">
              <w:rPr>
                <w:rFonts w:cs="Arial"/>
                <w:lang w:val="fr-FR"/>
              </w:rPr>
              <w:t xml:space="preserve"> (voir le questionnaire technique, section 1)</w:t>
            </w:r>
          </w:p>
          <w:p w:rsidR="001826AD" w:rsidRPr="00092B17" w:rsidRDefault="001826AD" w:rsidP="006B4271">
            <w:pPr>
              <w:keepNext/>
              <w:rPr>
                <w:rFonts w:cs="Arial"/>
                <w:i/>
                <w:lang w:val="fr-FR"/>
              </w:rPr>
            </w:pPr>
            <w:r w:rsidRPr="00092B17">
              <w:rPr>
                <w:rFonts w:cs="Arial"/>
                <w:i/>
                <w:lang w:val="fr-FR"/>
              </w:rPr>
              <w:t>Doit être approuvé par le TWF par correspondance</w:t>
            </w:r>
          </w:p>
        </w:tc>
      </w:tr>
      <w:tr w:rsidR="001826AD" w:rsidRPr="00092B17" w:rsidTr="006B4271">
        <w:trPr>
          <w:cantSplit/>
        </w:trPr>
        <w:tc>
          <w:tcPr>
            <w:tcW w:w="1560" w:type="dxa"/>
          </w:tcPr>
          <w:p w:rsidR="001826AD" w:rsidRPr="00092B17" w:rsidRDefault="001826AD" w:rsidP="006B4271">
            <w:pPr>
              <w:jc w:val="left"/>
              <w:rPr>
                <w:rFonts w:cs="Arial"/>
                <w:lang w:val="fr-FR"/>
              </w:rPr>
            </w:pPr>
            <w:r w:rsidRPr="00092B17">
              <w:rPr>
                <w:rFonts w:cs="Arial"/>
                <w:lang w:val="fr-FR"/>
              </w:rPr>
              <w:t>car. 4, 7, 8</w:t>
            </w:r>
          </w:p>
        </w:tc>
        <w:tc>
          <w:tcPr>
            <w:tcW w:w="7938" w:type="dxa"/>
          </w:tcPr>
          <w:p w:rsidR="001826AD" w:rsidRPr="00092B17" w:rsidRDefault="001826AD" w:rsidP="006B4271">
            <w:pPr>
              <w:rPr>
                <w:rFonts w:cs="Arial"/>
                <w:lang w:val="fr-FR"/>
              </w:rPr>
            </w:pPr>
            <w:r w:rsidRPr="00092B17">
              <w:rPr>
                <w:rFonts w:cs="Arial"/>
                <w:lang w:val="fr-FR"/>
              </w:rPr>
              <w:t>fournir des exemples de variétés</w:t>
            </w:r>
          </w:p>
          <w:p w:rsidR="001826AD" w:rsidRPr="00092B17" w:rsidRDefault="001826AD" w:rsidP="006B4271">
            <w:pPr>
              <w:rPr>
                <w:rFonts w:cs="Arial"/>
                <w:i/>
                <w:lang w:val="fr-FR"/>
              </w:rPr>
            </w:pPr>
            <w:r w:rsidRPr="00092B17">
              <w:rPr>
                <w:rFonts w:cs="Arial"/>
                <w:i/>
                <w:lang w:val="fr-FR"/>
              </w:rPr>
              <w:t>exemples fournis par l’expert principal sous réserve d’approbation par le TWF par correspondance</w:t>
            </w:r>
          </w:p>
        </w:tc>
      </w:tr>
      <w:tr w:rsidR="001826AD" w:rsidRPr="00092B17" w:rsidTr="006B4271">
        <w:trPr>
          <w:cantSplit/>
        </w:trPr>
        <w:tc>
          <w:tcPr>
            <w:tcW w:w="1560" w:type="dxa"/>
          </w:tcPr>
          <w:p w:rsidR="001826AD" w:rsidRPr="00092B17" w:rsidRDefault="001826AD" w:rsidP="006B4271">
            <w:pPr>
              <w:jc w:val="left"/>
              <w:rPr>
                <w:rFonts w:cs="Arial"/>
                <w:lang w:val="fr-FR"/>
              </w:rPr>
            </w:pPr>
            <w:r w:rsidRPr="00092B17">
              <w:rPr>
                <w:rFonts w:cs="Arial"/>
                <w:lang w:val="fr-FR"/>
              </w:rPr>
              <w:t>car. 6</w:t>
            </w:r>
          </w:p>
        </w:tc>
        <w:tc>
          <w:tcPr>
            <w:tcW w:w="7938" w:type="dxa"/>
          </w:tcPr>
          <w:p w:rsidR="001826AD" w:rsidRPr="00092B17" w:rsidRDefault="001826AD" w:rsidP="006B4271">
            <w:pPr>
              <w:rPr>
                <w:rFonts w:cs="Arial"/>
                <w:lang w:val="fr-FR"/>
              </w:rPr>
            </w:pPr>
            <w:r w:rsidRPr="00092B17">
              <w:rPr>
                <w:rFonts w:cs="Arial"/>
                <w:lang w:val="fr-FR"/>
              </w:rPr>
              <w:t>libeller comme suit : “Pousse</w:t>
            </w:r>
            <w:r w:rsidRPr="00092B17">
              <w:rPr>
                <w:lang w:val="fr-FR"/>
              </w:rPr>
              <w:t xml:space="preserve"> : longueur des </w:t>
            </w:r>
            <w:r w:rsidRPr="00092B17">
              <w:rPr>
                <w:rFonts w:cs="Arial"/>
                <w:lang w:val="fr-FR"/>
              </w:rPr>
              <w:t>entre</w:t>
            </w:r>
            <w:r w:rsidRPr="00092B17">
              <w:rPr>
                <w:rFonts w:cs="Arial"/>
                <w:lang w:val="fr-FR"/>
              </w:rPr>
              <w:noBreakHyphen/>
              <w:t>nœud</w:t>
            </w:r>
            <w:r w:rsidRPr="00092B17">
              <w:rPr>
                <w:rFonts w:cs="Arial"/>
                <w:u w:val="single"/>
                <w:lang w:val="fr-FR"/>
              </w:rPr>
              <w:t>s</w:t>
            </w:r>
            <w:r w:rsidRPr="00092B17">
              <w:rPr>
                <w:lang w:val="fr-FR"/>
              </w:rPr>
              <w:t>”</w:t>
            </w:r>
          </w:p>
        </w:tc>
      </w:tr>
    </w:tbl>
    <w:p w:rsidR="001826AD" w:rsidRPr="00092B17" w:rsidRDefault="001826AD" w:rsidP="001826AD">
      <w:pPr>
        <w:jc w:val="left"/>
        <w:rPr>
          <w:rFonts w:cs="Arial"/>
          <w:u w:val="single"/>
          <w:lang w:val="fr-FR"/>
        </w:rPr>
      </w:pPr>
    </w:p>
    <w:p w:rsidR="001826AD" w:rsidRPr="00092B17" w:rsidRDefault="001826AD" w:rsidP="001826AD">
      <w:pPr>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r w:rsidRPr="00092B17">
              <w:rPr>
                <w:rFonts w:cs="Arial"/>
                <w:caps w:val="0"/>
                <w:lang w:val="fr-FR"/>
              </w:rPr>
              <w:t>Cocotier (</w:t>
            </w:r>
            <w:r w:rsidRPr="00092B17">
              <w:rPr>
                <w:rFonts w:cs="Arial"/>
                <w:i/>
                <w:caps w:val="0"/>
                <w:lang w:val="fr-FR"/>
              </w:rPr>
              <w:t xml:space="preserve">Cocos </w:t>
            </w:r>
            <w:proofErr w:type="spellStart"/>
            <w:r w:rsidRPr="00092B17">
              <w:rPr>
                <w:rFonts w:cs="Arial"/>
                <w:i/>
                <w:caps w:val="0"/>
                <w:lang w:val="fr-FR"/>
              </w:rPr>
              <w:t>nucifera</w:t>
            </w:r>
            <w:proofErr w:type="spellEnd"/>
            <w:r w:rsidRPr="00092B17">
              <w:rPr>
                <w:rFonts w:cs="Arial"/>
                <w:caps w:val="0"/>
                <w:lang w:val="fr-FR"/>
              </w:rPr>
              <w:t xml:space="preserve"> L.)</w:t>
            </w:r>
          </w:p>
        </w:tc>
        <w:tc>
          <w:tcPr>
            <w:tcW w:w="2268" w:type="dxa"/>
            <w:vMerge w:val="restart"/>
            <w:shd w:val="clear" w:color="auto" w:fill="D9D9D9"/>
            <w:vAlign w:val="center"/>
          </w:tcPr>
          <w:p w:rsidR="001826AD" w:rsidRPr="00092B17" w:rsidRDefault="001826AD" w:rsidP="006B4271">
            <w:pPr>
              <w:pStyle w:val="BodyText"/>
              <w:keepNext/>
              <w:spacing w:before="80" w:after="80"/>
              <w:jc w:val="left"/>
              <w:rPr>
                <w:rFonts w:cs="Arial"/>
                <w:iCs/>
                <w:snapToGrid w:val="0"/>
                <w:lang w:val="fr-FR"/>
              </w:rPr>
            </w:pPr>
            <w:r w:rsidRPr="00092B17">
              <w:rPr>
                <w:rFonts w:cs="Arial"/>
                <w:caps/>
                <w:lang w:val="fr-FR"/>
              </w:rPr>
              <w:t>TG/COCOS(proj.6)</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keepNext/>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w:t>
      </w:r>
      <w:proofErr w:type="gramStart"/>
      <w:r w:rsidRPr="00092B17">
        <w:rPr>
          <w:rFonts w:cs="Arial"/>
          <w:lang w:val="fr-FR"/>
        </w:rPr>
        <w:t>COCOS(</w:t>
      </w:r>
      <w:proofErr w:type="gramEnd"/>
      <w:r w:rsidRPr="00092B17">
        <w:rPr>
          <w:rFonts w:cs="Arial"/>
          <w:lang w:val="fr-FR"/>
        </w:rPr>
        <w:t>proj.6)) soumis au TC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 xml:space="preserve">3.1.2 </w:t>
            </w:r>
          </w:p>
        </w:tc>
        <w:tc>
          <w:tcPr>
            <w:tcW w:w="7925" w:type="dxa"/>
          </w:tcPr>
          <w:p w:rsidR="001826AD" w:rsidRPr="00092B17" w:rsidRDefault="001826AD" w:rsidP="006B4271">
            <w:pPr>
              <w:keepNext/>
              <w:rPr>
                <w:rFonts w:cs="Arial"/>
                <w:lang w:val="fr-FR"/>
              </w:rPr>
            </w:pPr>
            <w:r w:rsidRPr="00092B17">
              <w:rPr>
                <w:rFonts w:cs="Arial"/>
                <w:lang w:val="fr-FR"/>
              </w:rPr>
              <w:t>dans la version anglaise, libeller comme suit : “plants” (p minuscule)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Tableau des caractères</w:t>
            </w:r>
          </w:p>
        </w:tc>
        <w:tc>
          <w:tcPr>
            <w:tcW w:w="7925" w:type="dxa"/>
          </w:tcPr>
          <w:p w:rsidR="001826AD" w:rsidRPr="00092B17" w:rsidRDefault="001826AD" w:rsidP="006B4271">
            <w:pPr>
              <w:keepNext/>
              <w:rPr>
                <w:rFonts w:cs="Arial"/>
                <w:lang w:val="fr-FR"/>
              </w:rPr>
            </w:pPr>
            <w:r w:rsidRPr="00092B17">
              <w:rPr>
                <w:rFonts w:cs="Arial"/>
                <w:lang w:val="fr-FR"/>
              </w:rPr>
              <w:t xml:space="preserve">vérifier l’ordre </w:t>
            </w:r>
            <w:proofErr w:type="gramStart"/>
            <w:r w:rsidRPr="00092B17">
              <w:rPr>
                <w:rFonts w:cs="Arial"/>
                <w:lang w:val="fr-FR"/>
              </w:rPr>
              <w:t>des car</w:t>
            </w:r>
            <w:proofErr w:type="gramEnd"/>
            <w:r w:rsidRPr="00092B17">
              <w:rPr>
                <w:rFonts w:cs="Arial"/>
                <w:lang w:val="fr-FR"/>
              </w:rPr>
              <w:t>. (p. ex. 9, 11, 13, 10, 12, voir document TGP/7)</w:t>
            </w:r>
          </w:p>
          <w:p w:rsidR="001826AD" w:rsidRPr="00092B17" w:rsidRDefault="001826AD" w:rsidP="006B4271">
            <w:pPr>
              <w:keepNext/>
              <w:rPr>
                <w:rFonts w:cs="Arial"/>
                <w:i/>
                <w:lang w:val="fr-FR"/>
              </w:rPr>
            </w:pPr>
            <w:r w:rsidRPr="00092B17">
              <w:rPr>
                <w:rFonts w:cs="Arial"/>
                <w:i/>
                <w:lang w:val="fr-FR"/>
              </w:rPr>
              <w:t>nouvel ordre fourni par l’expert principal</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w:t>
            </w:r>
          </w:p>
        </w:tc>
        <w:tc>
          <w:tcPr>
            <w:tcW w:w="7925" w:type="dxa"/>
          </w:tcPr>
          <w:p w:rsidR="001826AD" w:rsidRPr="00092B17" w:rsidRDefault="001826AD" w:rsidP="006B4271">
            <w:pPr>
              <w:rPr>
                <w:rFonts w:cs="Arial"/>
                <w:lang w:val="fr-FR"/>
              </w:rPr>
            </w:pPr>
            <w:r w:rsidRPr="00092B17">
              <w:rPr>
                <w:rFonts w:cs="Arial"/>
                <w:lang w:val="fr-FR"/>
              </w:rPr>
              <w:t>vérifier si VG doit être remplacé par MG</w:t>
            </w:r>
          </w:p>
          <w:p w:rsidR="001826AD" w:rsidRPr="00092B17" w:rsidRDefault="001826AD" w:rsidP="006B4271">
            <w:pPr>
              <w:rPr>
                <w:rFonts w:cs="Arial"/>
                <w:i/>
                <w:lang w:val="fr-FR"/>
              </w:rPr>
            </w:pPr>
            <w:r w:rsidRPr="00092B17">
              <w:rPr>
                <w:rFonts w:cs="Arial"/>
                <w:i/>
                <w:lang w:val="fr-FR"/>
              </w:rPr>
              <w:t>Expert principal</w:t>
            </w:r>
            <w:r w:rsidRPr="00092B17">
              <w:rPr>
                <w:rFonts w:cs="Arial"/>
                <w:lang w:val="fr-FR"/>
              </w:rPr>
              <w:t> </w:t>
            </w:r>
            <w:r w:rsidRPr="00092B17">
              <w:rPr>
                <w:lang w:val="fr-FR"/>
              </w:rPr>
              <w:t>:</w:t>
            </w:r>
            <w:r w:rsidRPr="00092B17">
              <w:rPr>
                <w:rFonts w:cs="Arial"/>
                <w:i/>
                <w:lang w:val="fr-FR"/>
              </w:rPr>
              <w:t xml:space="preserve"> oui, il doit être indiqué comme MG</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10</w:t>
            </w:r>
          </w:p>
        </w:tc>
        <w:tc>
          <w:tcPr>
            <w:tcW w:w="7925" w:type="dxa"/>
          </w:tcPr>
          <w:p w:rsidR="001826AD" w:rsidRPr="00092B17" w:rsidRDefault="001826AD" w:rsidP="006B4271">
            <w:pPr>
              <w:rPr>
                <w:rFonts w:cs="Arial"/>
                <w:lang w:val="fr-FR"/>
              </w:rPr>
            </w:pPr>
            <w:r w:rsidRPr="00092B17">
              <w:rPr>
                <w:rFonts w:cs="Arial"/>
                <w:lang w:val="fr-FR"/>
              </w:rPr>
              <w:t>– libeller comme suit : “Pétiole : épaisseur</w:t>
            </w:r>
          </w:p>
          <w:p w:rsidR="001826AD" w:rsidRPr="00092B17" w:rsidRDefault="001826AD" w:rsidP="006B4271">
            <w:pPr>
              <w:rPr>
                <w:rFonts w:cs="Arial"/>
                <w:lang w:val="fr-FR"/>
              </w:rPr>
            </w:pPr>
            <w:r w:rsidRPr="00092B17">
              <w:rPr>
                <w:rFonts w:cs="Arial"/>
                <w:lang w:val="fr-FR"/>
              </w:rPr>
              <w:t>– le niveau 1 doit être libellé comme suit : “étroit</w:t>
            </w:r>
            <w:r w:rsidRPr="00092B17">
              <w:rPr>
                <w:rFonts w:cs="Arial"/>
                <w:szCs w:val="22"/>
                <w:lang w:val="fr-FR"/>
              </w:rPr>
              <w:t>”</w:t>
            </w:r>
          </w:p>
          <w:p w:rsidR="001826AD" w:rsidRPr="00092B17" w:rsidRDefault="001826AD" w:rsidP="006B4271">
            <w:pPr>
              <w:rPr>
                <w:rFonts w:cs="Arial"/>
                <w:lang w:val="fr-FR"/>
              </w:rPr>
            </w:pPr>
            <w:r w:rsidRPr="00092B17">
              <w:rPr>
                <w:rFonts w:cs="Arial"/>
                <w:lang w:val="fr-FR"/>
              </w:rPr>
              <w:t>– le niveau 3 doit être libellé comme suit : “large</w:t>
            </w:r>
            <w:r w:rsidRPr="00092B17">
              <w:rPr>
                <w:rFonts w:cs="Arial"/>
                <w:szCs w:val="22"/>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12</w:t>
            </w:r>
          </w:p>
        </w:tc>
        <w:tc>
          <w:tcPr>
            <w:tcW w:w="7925" w:type="dxa"/>
          </w:tcPr>
          <w:p w:rsidR="001826AD" w:rsidRPr="00092B17" w:rsidRDefault="001826AD" w:rsidP="006B4271">
            <w:pPr>
              <w:rPr>
                <w:rFonts w:cs="Arial"/>
                <w:lang w:val="fr-FR"/>
              </w:rPr>
            </w:pPr>
            <w:r w:rsidRPr="00092B17">
              <w:rPr>
                <w:rFonts w:cs="Arial"/>
                <w:lang w:val="fr-FR"/>
              </w:rPr>
              <w:t>– Peut</w:t>
            </w:r>
            <w:r w:rsidRPr="00092B17">
              <w:rPr>
                <w:rFonts w:cs="Arial"/>
                <w:lang w:val="fr-FR"/>
              </w:rPr>
              <w:noBreakHyphen/>
              <w:t>il y avoir différentes couleurs sur un pétiole?  (si tel est le cas, vérifier s’il faut libeller “Pétiole : couleur principale”)</w:t>
            </w:r>
          </w:p>
          <w:p w:rsidR="001826AD" w:rsidRPr="00092B17" w:rsidRDefault="001826AD" w:rsidP="006B4271">
            <w:pPr>
              <w:rPr>
                <w:rFonts w:cs="Arial"/>
                <w:i/>
                <w:lang w:val="fr-FR"/>
              </w:rPr>
            </w:pPr>
            <w:r w:rsidRPr="00092B17">
              <w:rPr>
                <w:rFonts w:cs="Arial"/>
                <w:i/>
                <w:lang w:val="fr-FR"/>
              </w:rPr>
              <w:t>Expert principal : libeller comme suit : “Pétiole : couleur principale”</w:t>
            </w:r>
          </w:p>
          <w:p w:rsidR="001826AD" w:rsidRPr="00092B17" w:rsidRDefault="001826AD" w:rsidP="006B4271">
            <w:pPr>
              <w:rPr>
                <w:rFonts w:cs="Arial"/>
                <w:lang w:val="fr-FR"/>
              </w:rPr>
            </w:pPr>
            <w:r w:rsidRPr="00092B17">
              <w:rPr>
                <w:rFonts w:cs="Arial"/>
                <w:lang w:val="fr-FR"/>
              </w:rPr>
              <w:t>– vérifier s’il faut ajouter une explication concernant l’endroit où observer la couleur du pétiole</w:t>
            </w:r>
          </w:p>
          <w:p w:rsidR="001826AD" w:rsidRPr="00092B17" w:rsidRDefault="001826AD" w:rsidP="006B4271">
            <w:pPr>
              <w:rPr>
                <w:rFonts w:cs="Arial"/>
                <w:i/>
                <w:lang w:val="fr-FR"/>
              </w:rPr>
            </w:pPr>
            <w:r w:rsidRPr="00092B17">
              <w:rPr>
                <w:rFonts w:cs="Arial"/>
                <w:i/>
                <w:lang w:val="fr-FR"/>
              </w:rPr>
              <w:t>explication fournie par l’expert principal</w:t>
            </w:r>
          </w:p>
        </w:tc>
      </w:tr>
      <w:tr w:rsidR="001826AD" w:rsidRPr="00092B17" w:rsidTr="006B4271">
        <w:tc>
          <w:tcPr>
            <w:tcW w:w="1573" w:type="dxa"/>
          </w:tcPr>
          <w:p w:rsidR="001826AD" w:rsidRPr="00092B17" w:rsidRDefault="001826AD" w:rsidP="006B4271">
            <w:pPr>
              <w:rPr>
                <w:rFonts w:cs="Arial"/>
                <w:szCs w:val="22"/>
                <w:lang w:val="fr-FR"/>
              </w:rPr>
            </w:pPr>
            <w:r w:rsidRPr="00092B17">
              <w:rPr>
                <w:rFonts w:cs="Arial"/>
                <w:szCs w:val="22"/>
                <w:lang w:val="fr-FR"/>
              </w:rPr>
              <w:t>car. 23</w:t>
            </w:r>
          </w:p>
        </w:tc>
        <w:tc>
          <w:tcPr>
            <w:tcW w:w="7925" w:type="dxa"/>
          </w:tcPr>
          <w:p w:rsidR="001826AD" w:rsidRPr="00092B17" w:rsidRDefault="001826AD" w:rsidP="006B4271">
            <w:pPr>
              <w:rPr>
                <w:rFonts w:cs="Arial"/>
                <w:szCs w:val="22"/>
                <w:lang w:val="fr-FR"/>
              </w:rPr>
            </w:pPr>
            <w:r w:rsidRPr="00092B17">
              <w:rPr>
                <w:rFonts w:cs="Arial"/>
                <w:szCs w:val="22"/>
                <w:lang w:val="fr-FR"/>
              </w:rPr>
              <w:t>libeller comme suit : “Inflorescence : longueur de l’épillet présentant des fleurs femelles”</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25</w:t>
            </w:r>
          </w:p>
        </w:tc>
        <w:tc>
          <w:tcPr>
            <w:tcW w:w="7925" w:type="dxa"/>
          </w:tcPr>
          <w:p w:rsidR="001826AD" w:rsidRPr="00092B17" w:rsidRDefault="001826AD" w:rsidP="006B4271">
            <w:pPr>
              <w:rPr>
                <w:rFonts w:cs="Arial"/>
                <w:lang w:val="fr-FR"/>
              </w:rPr>
            </w:pPr>
            <w:r w:rsidRPr="00092B17">
              <w:rPr>
                <w:rFonts w:cs="Arial"/>
                <w:lang w:val="fr-FR"/>
              </w:rPr>
              <w:t>vérifier si doit se lire “Fruit : couleur principale”</w:t>
            </w:r>
          </w:p>
          <w:p w:rsidR="001826AD" w:rsidRPr="00092B17" w:rsidRDefault="001826AD" w:rsidP="006B4271">
            <w:pPr>
              <w:rPr>
                <w:rFonts w:cs="Arial"/>
                <w:i/>
                <w:lang w:val="fr-FR"/>
              </w:rPr>
            </w:pPr>
            <w:r w:rsidRPr="00092B17">
              <w:rPr>
                <w:rFonts w:cs="Arial"/>
                <w:i/>
                <w:lang w:val="fr-FR"/>
              </w:rPr>
              <w:t>Expert principal : oui et ajouter la définition de la couleur principale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30</w:t>
            </w:r>
          </w:p>
        </w:tc>
        <w:tc>
          <w:tcPr>
            <w:tcW w:w="7925" w:type="dxa"/>
          </w:tcPr>
          <w:p w:rsidR="001826AD" w:rsidRPr="00092B17" w:rsidRDefault="001826AD" w:rsidP="006B4271">
            <w:pPr>
              <w:rPr>
                <w:rFonts w:cs="Arial"/>
                <w:lang w:val="fr-FR"/>
              </w:rPr>
            </w:pPr>
            <w:r w:rsidRPr="00092B17">
              <w:rPr>
                <w:rFonts w:cs="Arial"/>
                <w:lang w:val="fr-FR"/>
              </w:rPr>
              <w:t>dans la version anglaise, vérifier si doit se lire “</w:t>
            </w:r>
            <w:proofErr w:type="spellStart"/>
            <w:r w:rsidRPr="00092B17">
              <w:rPr>
                <w:rFonts w:cs="Arial"/>
                <w:lang w:val="fr-FR"/>
              </w:rPr>
              <w:t>Flesh</w:t>
            </w:r>
            <w:proofErr w:type="spellEnd"/>
            <w:proofErr w:type="gramStart"/>
            <w:r w:rsidRPr="00092B17">
              <w:rPr>
                <w:rFonts w:cs="Arial"/>
                <w:lang w:val="fr-FR"/>
              </w:rPr>
              <w:t xml:space="preserve">:  </w:t>
            </w:r>
            <w:proofErr w:type="spellStart"/>
            <w:r w:rsidRPr="00092B17">
              <w:rPr>
                <w:rFonts w:cs="Arial"/>
                <w:lang w:val="fr-FR"/>
              </w:rPr>
              <w:t>thickness</w:t>
            </w:r>
            <w:proofErr w:type="spellEnd"/>
            <w:proofErr w:type="gramEnd"/>
            <w:r w:rsidRPr="00092B17">
              <w:rPr>
                <w:rFonts w:cs="Arial"/>
                <w:lang w:val="fr-FR"/>
              </w:rPr>
              <w:t>” ou “</w:t>
            </w:r>
            <w:proofErr w:type="spellStart"/>
            <w:r w:rsidRPr="00092B17">
              <w:rPr>
                <w:rFonts w:cs="Arial"/>
                <w:lang w:val="fr-FR"/>
              </w:rPr>
              <w:t>Pulp</w:t>
            </w:r>
            <w:proofErr w:type="spellEnd"/>
            <w:r w:rsidRPr="00092B17">
              <w:rPr>
                <w:rFonts w:cs="Arial"/>
                <w:lang w:val="fr-FR"/>
              </w:rPr>
              <w:t xml:space="preserve">:  </w:t>
            </w:r>
            <w:proofErr w:type="spellStart"/>
            <w:r w:rsidRPr="00092B17">
              <w:rPr>
                <w:rFonts w:cs="Arial"/>
                <w:lang w:val="fr-FR"/>
              </w:rPr>
              <w:t>thickness</w:t>
            </w:r>
            <w:proofErr w:type="spellEnd"/>
            <w:r w:rsidRPr="00092B17">
              <w:rPr>
                <w:rFonts w:cs="Arial"/>
                <w:lang w:val="fr-FR"/>
              </w:rPr>
              <w:t>”</w:t>
            </w:r>
          </w:p>
          <w:p w:rsidR="001826AD" w:rsidRPr="00092B17" w:rsidDel="00584554" w:rsidRDefault="001826AD" w:rsidP="006B4271">
            <w:pPr>
              <w:rPr>
                <w:rFonts w:cs="Arial"/>
                <w:lang w:val="fr-FR"/>
              </w:rPr>
            </w:pPr>
            <w:r w:rsidRPr="00092B17">
              <w:rPr>
                <w:rFonts w:cs="Arial"/>
                <w:i/>
                <w:lang w:val="fr-FR"/>
              </w:rPr>
              <w:t>Expert principal</w:t>
            </w:r>
            <w:proofErr w:type="gramStart"/>
            <w:r w:rsidRPr="00092B17">
              <w:rPr>
                <w:rFonts w:cs="Arial"/>
                <w:i/>
                <w:lang w:val="fr-FR"/>
              </w:rPr>
              <w:t>:  “</w:t>
            </w:r>
            <w:proofErr w:type="spellStart"/>
            <w:proofErr w:type="gramEnd"/>
            <w:r w:rsidRPr="00092B17">
              <w:rPr>
                <w:rFonts w:cs="Arial"/>
                <w:i/>
                <w:lang w:val="fr-FR"/>
              </w:rPr>
              <w:t>Meat</w:t>
            </w:r>
            <w:proofErr w:type="spellEnd"/>
            <w:r w:rsidRPr="00092B17">
              <w:rPr>
                <w:rFonts w:cs="Arial"/>
                <w:i/>
                <w:lang w:val="fr-FR"/>
              </w:rPr>
              <w:t>” est le terme technique utilisé pour désigner la chair de cette espèce, et est largement utilisé par les experts.  Nous aimerions garder “</w:t>
            </w:r>
            <w:proofErr w:type="spellStart"/>
            <w:r w:rsidRPr="00092B17">
              <w:rPr>
                <w:rFonts w:cs="Arial"/>
                <w:i/>
                <w:lang w:val="fr-FR"/>
              </w:rPr>
              <w:t>Meat</w:t>
            </w:r>
            <w:proofErr w:type="spellEnd"/>
            <w:r w:rsidRPr="00092B17">
              <w:rPr>
                <w:rFonts w:cs="Arial"/>
                <w:i/>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3</w:t>
            </w:r>
          </w:p>
        </w:tc>
        <w:tc>
          <w:tcPr>
            <w:tcW w:w="7925" w:type="dxa"/>
          </w:tcPr>
          <w:p w:rsidR="001826AD" w:rsidRPr="00092B17" w:rsidRDefault="001826AD" w:rsidP="006B4271">
            <w:pPr>
              <w:rPr>
                <w:rFonts w:cs="Arial"/>
                <w:lang w:val="fr-FR"/>
              </w:rPr>
            </w:pPr>
            <w:r w:rsidRPr="00092B17">
              <w:rPr>
                <w:rFonts w:cs="Arial"/>
                <w:lang w:val="fr-FR"/>
              </w:rPr>
              <w:t>libeller comme suit : “L’époque de l’apparition de la première inflorescence est…”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9, 11, 13</w:t>
            </w:r>
          </w:p>
        </w:tc>
        <w:tc>
          <w:tcPr>
            <w:tcW w:w="7925" w:type="dxa"/>
          </w:tcPr>
          <w:p w:rsidR="001826AD" w:rsidRPr="00092B17" w:rsidRDefault="001826AD" w:rsidP="006B4271">
            <w:pPr>
              <w:rPr>
                <w:rFonts w:cs="Arial"/>
                <w:lang w:val="fr-FR"/>
              </w:rPr>
            </w:pPr>
            <w:r w:rsidRPr="00092B17">
              <w:rPr>
                <w:rFonts w:cs="Arial"/>
                <w:lang w:val="fr-FR"/>
              </w:rPr>
              <w:t>– corriger l’orthographe dans l’illustration comme suit : “rachis”</w:t>
            </w:r>
          </w:p>
          <w:p w:rsidR="001826AD" w:rsidRPr="00092B17" w:rsidRDefault="001826AD" w:rsidP="006B4271">
            <w:pPr>
              <w:rPr>
                <w:rFonts w:cs="Arial"/>
                <w:lang w:val="fr-FR"/>
              </w:rPr>
            </w:pPr>
            <w:r w:rsidRPr="00092B17">
              <w:rPr>
                <w:rFonts w:cs="Arial"/>
                <w:lang w:val="fr-FR"/>
              </w:rPr>
              <w:t>– dès lors que car. 13 est VG/MS, “mesuré” doit être remplacé par “observé”</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10</w:t>
            </w:r>
          </w:p>
        </w:tc>
        <w:tc>
          <w:tcPr>
            <w:tcW w:w="7925" w:type="dxa"/>
          </w:tcPr>
          <w:p w:rsidR="001826AD" w:rsidRPr="00092B17" w:rsidRDefault="001826AD" w:rsidP="006B4271">
            <w:pPr>
              <w:rPr>
                <w:rFonts w:cs="Arial"/>
                <w:lang w:val="fr-FR"/>
              </w:rPr>
            </w:pPr>
            <w:r w:rsidRPr="00092B17">
              <w:rPr>
                <w:rFonts w:cs="Arial"/>
                <w:lang w:val="fr-FR"/>
              </w:rPr>
              <w:t>supprimer “largeur du pétiole”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11</w:t>
            </w:r>
          </w:p>
        </w:tc>
        <w:tc>
          <w:tcPr>
            <w:tcW w:w="7925" w:type="dxa"/>
          </w:tcPr>
          <w:p w:rsidR="001826AD" w:rsidRPr="00092B17" w:rsidRDefault="001826AD" w:rsidP="006B4271">
            <w:pPr>
              <w:rPr>
                <w:rFonts w:cs="Arial"/>
                <w:lang w:val="fr-FR"/>
              </w:rPr>
            </w:pPr>
            <w:r w:rsidRPr="00092B17">
              <w:rPr>
                <w:rFonts w:cs="Arial"/>
                <w:lang w:val="fr-FR"/>
              </w:rPr>
              <w:t xml:space="preserve">supprimer “épaisseur du pétiole” </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20</w:t>
            </w:r>
          </w:p>
        </w:tc>
        <w:tc>
          <w:tcPr>
            <w:tcW w:w="7925" w:type="dxa"/>
          </w:tcPr>
          <w:p w:rsidR="001826AD" w:rsidRPr="00092B17" w:rsidRDefault="001826AD" w:rsidP="006B4271">
            <w:pPr>
              <w:rPr>
                <w:rFonts w:cs="Arial"/>
                <w:lang w:val="fr-FR"/>
              </w:rPr>
            </w:pPr>
            <w:r w:rsidRPr="00092B17">
              <w:rPr>
                <w:rFonts w:cs="Arial"/>
                <w:lang w:val="fr-FR"/>
              </w:rPr>
              <w:t>– libeller comme suit : “Le dernier épillet” et “Le premier épillet”</w:t>
            </w:r>
          </w:p>
          <w:p w:rsidR="001826AD" w:rsidRPr="00092B17" w:rsidRDefault="001826AD" w:rsidP="006B4271">
            <w:pPr>
              <w:rPr>
                <w:rFonts w:cs="Arial"/>
                <w:lang w:val="fr-FR"/>
              </w:rPr>
            </w:pPr>
            <w:r w:rsidRPr="00092B17">
              <w:rPr>
                <w:rFonts w:cs="Arial"/>
                <w:lang w:val="fr-FR"/>
              </w:rPr>
              <w:t>– supprimer la photographie sur la droite</w:t>
            </w:r>
          </w:p>
          <w:p w:rsidR="001826AD" w:rsidRPr="00092B17" w:rsidRDefault="001826AD" w:rsidP="006B4271">
            <w:pPr>
              <w:rPr>
                <w:rFonts w:cs="Arial"/>
                <w:lang w:val="fr-FR"/>
              </w:rPr>
            </w:pPr>
            <w:r w:rsidRPr="00092B17">
              <w:rPr>
                <w:rFonts w:cs="Arial"/>
                <w:lang w:val="fr-FR"/>
              </w:rPr>
              <w:t>– ajouter l’explication “La longueur de l’axe central doit être mesurée de la base du premier épillet à la base du dernier épillet”</w:t>
            </w:r>
          </w:p>
        </w:tc>
      </w:tr>
      <w:tr w:rsidR="001826AD" w:rsidRPr="00092B17" w:rsidTr="006B4271">
        <w:tc>
          <w:tcPr>
            <w:tcW w:w="1573" w:type="dxa"/>
          </w:tcPr>
          <w:p w:rsidR="001826AD" w:rsidRPr="00092B17" w:rsidRDefault="001826AD" w:rsidP="006B4271">
            <w:pPr>
              <w:rPr>
                <w:rFonts w:cs="Arial"/>
                <w:szCs w:val="22"/>
                <w:lang w:val="fr-FR"/>
              </w:rPr>
            </w:pPr>
            <w:r w:rsidRPr="00092B17">
              <w:rPr>
                <w:rFonts w:cs="Arial"/>
                <w:szCs w:val="22"/>
                <w:lang w:val="fr-FR"/>
              </w:rPr>
              <w:t>Ad. 23</w:t>
            </w:r>
          </w:p>
        </w:tc>
        <w:tc>
          <w:tcPr>
            <w:tcW w:w="7925" w:type="dxa"/>
          </w:tcPr>
          <w:p w:rsidR="001826AD" w:rsidRPr="00092B17" w:rsidRDefault="001826AD" w:rsidP="006B4271">
            <w:pPr>
              <w:rPr>
                <w:rFonts w:cs="Arial"/>
                <w:szCs w:val="22"/>
                <w:lang w:val="fr-FR"/>
              </w:rPr>
            </w:pPr>
            <w:r w:rsidRPr="00092B17">
              <w:rPr>
                <w:rFonts w:cs="Arial"/>
                <w:szCs w:val="22"/>
                <w:lang w:val="fr-FR"/>
              </w:rPr>
              <w:t>libeller : “La longueur de l’épillet présentant des fleurs femelles doit être déterminée sur le premier épillet présentant des fleurs femelles à partir de la base de l’inflorescence.”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29</w:t>
            </w:r>
          </w:p>
        </w:tc>
        <w:tc>
          <w:tcPr>
            <w:tcW w:w="7925" w:type="dxa"/>
          </w:tcPr>
          <w:p w:rsidR="001826AD" w:rsidRPr="00092B17" w:rsidRDefault="001826AD" w:rsidP="006B4271">
            <w:pPr>
              <w:rPr>
                <w:rFonts w:cs="Arial"/>
                <w:lang w:val="fr-FR"/>
              </w:rPr>
            </w:pPr>
            <w:r w:rsidRPr="00092B17">
              <w:rPr>
                <w:rFonts w:cs="Arial"/>
                <w:lang w:val="fr-FR"/>
              </w:rPr>
              <w:t>dès lors que car. 29 est VG/MS, “mesuré” doit être remplacé par “observé”</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30</w:t>
            </w:r>
          </w:p>
        </w:tc>
        <w:tc>
          <w:tcPr>
            <w:tcW w:w="7925" w:type="dxa"/>
          </w:tcPr>
          <w:p w:rsidR="001826AD" w:rsidRPr="00092B17" w:rsidRDefault="001826AD" w:rsidP="006B4271">
            <w:pPr>
              <w:rPr>
                <w:rFonts w:cs="Arial"/>
                <w:lang w:val="fr-FR"/>
              </w:rPr>
            </w:pPr>
            <w:r w:rsidRPr="00092B17">
              <w:rPr>
                <w:rFonts w:cs="Arial"/>
                <w:lang w:val="fr-FR"/>
              </w:rPr>
              <w:t>dès lors que car. 30 est VG/MS, “mesuré” doit être remplacé par “observé”</w:t>
            </w:r>
          </w:p>
        </w:tc>
      </w:tr>
    </w:tbl>
    <w:p w:rsidR="001826AD" w:rsidRPr="00092B17" w:rsidRDefault="001826AD" w:rsidP="001826AD">
      <w:pPr>
        <w:jc w:val="left"/>
        <w:rPr>
          <w:rFonts w:cs="Arial"/>
          <w:u w:val="single"/>
          <w:lang w:val="fr-FR"/>
        </w:rPr>
      </w:pPr>
    </w:p>
    <w:p w:rsidR="001826AD" w:rsidRPr="00092B17" w:rsidRDefault="001826AD" w:rsidP="001826AD">
      <w:pPr>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r w:rsidRPr="00092B17">
              <w:rPr>
                <w:rFonts w:cs="Arial"/>
                <w:caps w:val="0"/>
                <w:lang w:val="fr-FR"/>
              </w:rPr>
              <w:t>Cordyline (</w:t>
            </w:r>
            <w:r w:rsidRPr="00092B17">
              <w:rPr>
                <w:rFonts w:cs="Arial"/>
                <w:i/>
                <w:caps w:val="0"/>
                <w:lang w:val="fr-FR"/>
              </w:rPr>
              <w:t xml:space="preserve">Cordyline </w:t>
            </w:r>
            <w:proofErr w:type="spellStart"/>
            <w:r w:rsidRPr="00092B17">
              <w:rPr>
                <w:rFonts w:cs="Arial"/>
                <w:caps w:val="0"/>
                <w:lang w:val="fr-FR"/>
              </w:rPr>
              <w:t>Comm</w:t>
            </w:r>
            <w:proofErr w:type="spellEnd"/>
            <w:r w:rsidRPr="00092B17">
              <w:rPr>
                <w:rFonts w:cs="Arial"/>
                <w:caps w:val="0"/>
                <w:lang w:val="fr-FR"/>
              </w:rPr>
              <w:t xml:space="preserve">. ex </w:t>
            </w:r>
            <w:proofErr w:type="spellStart"/>
            <w:r w:rsidRPr="00092B17">
              <w:rPr>
                <w:rFonts w:cs="Arial"/>
                <w:caps w:val="0"/>
                <w:lang w:val="fr-FR"/>
              </w:rPr>
              <w:t>Juss</w:t>
            </w:r>
            <w:proofErr w:type="spellEnd"/>
            <w:r w:rsidRPr="00092B17">
              <w:rPr>
                <w:rFonts w:cs="Arial"/>
                <w:caps w:val="0"/>
                <w:lang w:val="fr-FR"/>
              </w:rPr>
              <w:t>.)</w:t>
            </w:r>
          </w:p>
        </w:tc>
        <w:tc>
          <w:tcPr>
            <w:tcW w:w="2268" w:type="dxa"/>
            <w:vMerge w:val="restart"/>
            <w:shd w:val="clear" w:color="auto" w:fill="D9D9D9"/>
            <w:vAlign w:val="center"/>
          </w:tcPr>
          <w:p w:rsidR="001826AD" w:rsidRPr="00092B17" w:rsidRDefault="001826AD" w:rsidP="006B4271">
            <w:pPr>
              <w:rPr>
                <w:iCs/>
                <w:snapToGrid w:val="0"/>
                <w:lang w:val="fr-FR"/>
              </w:rPr>
            </w:pPr>
            <w:r w:rsidRPr="00092B17">
              <w:rPr>
                <w:lang w:val="fr-FR"/>
              </w:rPr>
              <w:t>TG/</w:t>
            </w:r>
            <w:proofErr w:type="gramStart"/>
            <w:r w:rsidRPr="00092B17">
              <w:rPr>
                <w:lang w:val="fr-FR"/>
              </w:rPr>
              <w:t>CORDY(</w:t>
            </w:r>
            <w:proofErr w:type="gramEnd"/>
            <w:r w:rsidRPr="00092B17">
              <w:rPr>
                <w:lang w:val="fr-FR"/>
              </w:rPr>
              <w:t>proj.5)</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w:t>
      </w:r>
      <w:proofErr w:type="gramStart"/>
      <w:r w:rsidRPr="00092B17">
        <w:rPr>
          <w:rFonts w:cs="Arial"/>
          <w:lang w:val="fr-FR"/>
        </w:rPr>
        <w:t>CORDY(</w:t>
      </w:r>
      <w:proofErr w:type="gramEnd"/>
      <w:r w:rsidRPr="00092B17">
        <w:rPr>
          <w:rFonts w:cs="Arial"/>
          <w:lang w:val="fr-FR"/>
        </w:rPr>
        <w:t>proj.5)) soumis au TC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7916"/>
      </w:tblGrid>
      <w:tr w:rsidR="001826AD" w:rsidRPr="00092B17" w:rsidTr="006B4271">
        <w:trPr>
          <w:cantSplit/>
        </w:trPr>
        <w:tc>
          <w:tcPr>
            <w:tcW w:w="1582" w:type="dxa"/>
          </w:tcPr>
          <w:p w:rsidR="001826AD" w:rsidRPr="00092B17" w:rsidRDefault="001826AD" w:rsidP="006B4271">
            <w:pPr>
              <w:jc w:val="left"/>
              <w:rPr>
                <w:rFonts w:cs="Arial"/>
                <w:szCs w:val="22"/>
                <w:lang w:val="fr-FR"/>
              </w:rPr>
            </w:pPr>
            <w:r w:rsidRPr="00092B17">
              <w:rPr>
                <w:rFonts w:cs="Arial"/>
                <w:szCs w:val="22"/>
                <w:lang w:val="fr-FR"/>
              </w:rPr>
              <w:t>Page de couverture</w:t>
            </w:r>
          </w:p>
        </w:tc>
        <w:tc>
          <w:tcPr>
            <w:tcW w:w="7916" w:type="dxa"/>
          </w:tcPr>
          <w:p w:rsidR="001826AD" w:rsidRPr="00092B17" w:rsidRDefault="001826AD" w:rsidP="006B4271">
            <w:pPr>
              <w:ind w:left="153" w:hanging="153"/>
              <w:rPr>
                <w:rFonts w:cs="Arial"/>
                <w:szCs w:val="22"/>
                <w:lang w:val="fr-FR"/>
              </w:rPr>
            </w:pPr>
            <w:r w:rsidRPr="00092B17">
              <w:rPr>
                <w:rFonts w:cs="Arial"/>
                <w:szCs w:val="22"/>
                <w:lang w:val="fr-FR"/>
              </w:rPr>
              <w:t xml:space="preserve">– utiliser les mêmes noms communs que dans le questionnaire technique (Anglais : Cordyline, </w:t>
            </w:r>
            <w:proofErr w:type="spellStart"/>
            <w:r w:rsidRPr="00092B17">
              <w:rPr>
                <w:rFonts w:cs="Arial"/>
                <w:szCs w:val="22"/>
                <w:lang w:val="fr-FR"/>
              </w:rPr>
              <w:t>Cabbage</w:t>
            </w:r>
            <w:proofErr w:type="spellEnd"/>
            <w:r w:rsidRPr="00092B17">
              <w:rPr>
                <w:rFonts w:cs="Arial"/>
                <w:szCs w:val="22"/>
                <w:lang w:val="fr-FR"/>
              </w:rPr>
              <w:t xml:space="preserve"> </w:t>
            </w:r>
            <w:proofErr w:type="spellStart"/>
            <w:r w:rsidRPr="00092B17">
              <w:rPr>
                <w:rFonts w:cs="Arial"/>
                <w:szCs w:val="22"/>
                <w:lang w:val="fr-FR"/>
              </w:rPr>
              <w:t>Tree</w:t>
            </w:r>
            <w:proofErr w:type="spellEnd"/>
            <w:r w:rsidRPr="00092B17">
              <w:rPr>
                <w:rFonts w:cs="Arial"/>
                <w:szCs w:val="22"/>
                <w:lang w:val="fr-FR"/>
              </w:rPr>
              <w:t>, Torquay Palm)</w:t>
            </w:r>
          </w:p>
          <w:p w:rsidR="001826AD" w:rsidRPr="00092B17" w:rsidRDefault="001826AD" w:rsidP="006B4271">
            <w:pPr>
              <w:ind w:left="786" w:hanging="786"/>
              <w:rPr>
                <w:rFonts w:cs="Arial"/>
                <w:szCs w:val="22"/>
                <w:lang w:val="fr-FR"/>
              </w:rPr>
            </w:pPr>
            <w:r w:rsidRPr="00092B17">
              <w:rPr>
                <w:rFonts w:cs="Arial"/>
                <w:szCs w:val="22"/>
                <w:lang w:val="fr-FR"/>
              </w:rPr>
              <w:t>– ajouter les espèces exclues dans l’encadré “nom” (voir le questionnaire technique, section 1)</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5.3</w:t>
            </w:r>
          </w:p>
        </w:tc>
        <w:tc>
          <w:tcPr>
            <w:tcW w:w="7916" w:type="dxa"/>
          </w:tcPr>
          <w:p w:rsidR="001826AD" w:rsidRPr="00092B17" w:rsidRDefault="001826AD" w:rsidP="006B4271">
            <w:pPr>
              <w:keepNext/>
              <w:rPr>
                <w:rFonts w:cs="Arial"/>
                <w:lang w:val="fr-FR"/>
              </w:rPr>
            </w:pPr>
            <w:r w:rsidRPr="00092B17">
              <w:rPr>
                <w:rFonts w:cs="Arial"/>
                <w:lang w:val="fr-FR"/>
              </w:rPr>
              <w:t xml:space="preserve">ajouter les groupes de couleurs pour 5.3 (d) et (e) </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car. 4</w:t>
            </w:r>
          </w:p>
        </w:tc>
        <w:tc>
          <w:tcPr>
            <w:tcW w:w="7916" w:type="dxa"/>
          </w:tcPr>
          <w:p w:rsidR="001826AD" w:rsidRPr="00092B17" w:rsidRDefault="001826AD" w:rsidP="006B4271">
            <w:pPr>
              <w:rPr>
                <w:rFonts w:cs="Arial"/>
                <w:lang w:val="fr-FR"/>
              </w:rPr>
            </w:pPr>
            <w:r w:rsidRPr="00092B17">
              <w:rPr>
                <w:rFonts w:cs="Arial"/>
                <w:lang w:val="fr-FR"/>
              </w:rPr>
              <w:t>– vérifier s’il est vraiment QL</w:t>
            </w:r>
          </w:p>
          <w:p w:rsidR="001826AD" w:rsidRPr="00092B17" w:rsidRDefault="001826AD" w:rsidP="006B4271">
            <w:pPr>
              <w:rPr>
                <w:rFonts w:cs="Arial"/>
                <w:i/>
                <w:lang w:val="fr-FR"/>
              </w:rPr>
            </w:pPr>
            <w:r w:rsidRPr="00092B17">
              <w:rPr>
                <w:rFonts w:cs="Arial"/>
                <w:i/>
                <w:lang w:val="fr-FR"/>
              </w:rPr>
              <w:t>Expert principal : QL est correct, il y a une base génétique</w:t>
            </w:r>
          </w:p>
          <w:p w:rsidR="001826AD" w:rsidRPr="00092B17" w:rsidRDefault="001826AD" w:rsidP="006B4271">
            <w:pPr>
              <w:rPr>
                <w:rFonts w:cs="Arial"/>
                <w:lang w:val="fr-FR"/>
              </w:rPr>
            </w:pPr>
            <w:r w:rsidRPr="00092B17">
              <w:rPr>
                <w:rFonts w:cs="Arial"/>
                <w:lang w:val="fr-FR"/>
              </w:rPr>
              <w:t>– vérifier s’il y a lieu de le combiner avec car. 5, niveau 1 : “nul ou faible”</w:t>
            </w:r>
          </w:p>
          <w:p w:rsidR="001826AD" w:rsidRPr="00092B17" w:rsidRDefault="001826AD" w:rsidP="006B4271">
            <w:pPr>
              <w:rPr>
                <w:rFonts w:cs="Arial"/>
                <w:i/>
                <w:lang w:val="fr-FR"/>
              </w:rPr>
            </w:pPr>
            <w:r w:rsidRPr="00092B17">
              <w:rPr>
                <w:rFonts w:cs="Arial"/>
                <w:i/>
                <w:lang w:val="fr-FR"/>
              </w:rPr>
              <w:t xml:space="preserve">Expert principal : ne pas combiner </w:t>
            </w:r>
            <w:proofErr w:type="gramStart"/>
            <w:r w:rsidRPr="00092B17">
              <w:rPr>
                <w:rFonts w:cs="Arial"/>
                <w:i/>
                <w:lang w:val="fr-FR"/>
              </w:rPr>
              <w:t>les car</w:t>
            </w:r>
            <w:proofErr w:type="gramEnd"/>
            <w:r w:rsidRPr="00092B17">
              <w:rPr>
                <w:rFonts w:cs="Arial"/>
                <w:i/>
                <w:lang w:val="fr-FR"/>
              </w:rPr>
              <w:t>. 4 et 5</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car. 9 à 12</w:t>
            </w:r>
          </w:p>
        </w:tc>
        <w:tc>
          <w:tcPr>
            <w:tcW w:w="7916" w:type="dxa"/>
          </w:tcPr>
          <w:p w:rsidR="001826AD" w:rsidRPr="00092B17" w:rsidRDefault="001826AD" w:rsidP="006B4271">
            <w:pPr>
              <w:rPr>
                <w:rFonts w:cs="Arial"/>
                <w:lang w:val="fr-FR"/>
              </w:rPr>
            </w:pPr>
            <w:r w:rsidRPr="00092B17">
              <w:rPr>
                <w:rFonts w:cs="Arial"/>
                <w:lang w:val="fr-FR"/>
              </w:rPr>
              <w:t>vérifier si un pétiole existe réellement (ou s’il s’agit de la base de la feuille ou d’une partie plus étroite de la feuille?)</w:t>
            </w:r>
          </w:p>
          <w:p w:rsidR="001826AD" w:rsidRPr="00092B17" w:rsidRDefault="001826AD" w:rsidP="006B4271">
            <w:pPr>
              <w:rPr>
                <w:rFonts w:cs="Arial"/>
                <w:i/>
                <w:lang w:val="fr-FR"/>
              </w:rPr>
            </w:pPr>
            <w:r w:rsidRPr="00092B17">
              <w:rPr>
                <w:rFonts w:cs="Arial"/>
                <w:i/>
                <w:lang w:val="fr-FR"/>
              </w:rPr>
              <w:t>Expert principal : oui, il y a un pétiole</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car. 10</w:t>
            </w:r>
          </w:p>
        </w:tc>
        <w:tc>
          <w:tcPr>
            <w:tcW w:w="7916" w:type="dxa"/>
          </w:tcPr>
          <w:p w:rsidR="001826AD" w:rsidRPr="00092B17" w:rsidRDefault="001826AD" w:rsidP="006B4271">
            <w:pPr>
              <w:rPr>
                <w:rFonts w:cs="Arial"/>
                <w:lang w:val="fr-FR"/>
              </w:rPr>
            </w:pPr>
            <w:r w:rsidRPr="00092B17">
              <w:rPr>
                <w:rFonts w:cs="Arial"/>
                <w:lang w:val="fr-FR"/>
              </w:rPr>
              <w:t>vérifier si le caractère est mesuré (si tel n’est pas le cas, supprimer MS)</w:t>
            </w:r>
          </w:p>
          <w:p w:rsidR="001826AD" w:rsidRPr="00092B17" w:rsidRDefault="001826AD" w:rsidP="006B4271">
            <w:pPr>
              <w:rPr>
                <w:rFonts w:cs="Arial"/>
                <w:i/>
                <w:lang w:val="fr-FR"/>
              </w:rPr>
            </w:pPr>
            <w:r w:rsidRPr="00092B17">
              <w:rPr>
                <w:rFonts w:cs="Arial"/>
                <w:i/>
                <w:lang w:val="fr-FR"/>
              </w:rPr>
              <w:t>Expert principal : conserver MS, une mesure peut être effectuée</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car. 11</w:t>
            </w:r>
          </w:p>
        </w:tc>
        <w:tc>
          <w:tcPr>
            <w:tcW w:w="7916" w:type="dxa"/>
          </w:tcPr>
          <w:p w:rsidR="001826AD" w:rsidRPr="00092B17" w:rsidRDefault="001826AD" w:rsidP="006B4271">
            <w:pPr>
              <w:rPr>
                <w:rFonts w:cs="Arial"/>
                <w:lang w:val="fr-FR"/>
              </w:rPr>
            </w:pPr>
            <w:r w:rsidRPr="00092B17">
              <w:rPr>
                <w:rFonts w:cs="Arial"/>
                <w:lang w:val="fr-FR"/>
              </w:rPr>
              <w:t>lire “…à l’endroit le plus étroit”</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car. 13, 14</w:t>
            </w:r>
          </w:p>
        </w:tc>
        <w:tc>
          <w:tcPr>
            <w:tcW w:w="7916" w:type="dxa"/>
          </w:tcPr>
          <w:p w:rsidR="001826AD" w:rsidRPr="00092B17" w:rsidRDefault="001826AD" w:rsidP="006B4271">
            <w:pPr>
              <w:rPr>
                <w:rFonts w:cs="Arial"/>
                <w:lang w:val="fr-FR"/>
              </w:rPr>
            </w:pPr>
            <w:r w:rsidRPr="00092B17">
              <w:rPr>
                <w:rFonts w:cs="Arial"/>
                <w:lang w:val="fr-FR"/>
              </w:rPr>
              <w:t>ajouter (d)</w:t>
            </w:r>
          </w:p>
        </w:tc>
      </w:tr>
      <w:tr w:rsidR="001826AD" w:rsidRPr="00092B17" w:rsidTr="006B4271">
        <w:trPr>
          <w:cantSplit/>
        </w:trPr>
        <w:tc>
          <w:tcPr>
            <w:tcW w:w="1582" w:type="dxa"/>
          </w:tcPr>
          <w:p w:rsidR="001826AD" w:rsidRPr="00092B17" w:rsidRDefault="001826AD" w:rsidP="006B4271">
            <w:pPr>
              <w:rPr>
                <w:rFonts w:cs="Arial"/>
                <w:szCs w:val="22"/>
                <w:lang w:val="fr-FR"/>
              </w:rPr>
            </w:pPr>
            <w:r w:rsidRPr="00092B17">
              <w:rPr>
                <w:rFonts w:cs="Arial"/>
                <w:szCs w:val="22"/>
                <w:lang w:val="fr-FR"/>
              </w:rPr>
              <w:t>car. 17</w:t>
            </w:r>
          </w:p>
        </w:tc>
        <w:tc>
          <w:tcPr>
            <w:tcW w:w="7916" w:type="dxa"/>
          </w:tcPr>
          <w:p w:rsidR="001826AD" w:rsidRPr="00092B17" w:rsidRDefault="001826AD" w:rsidP="006B4271">
            <w:pPr>
              <w:ind w:left="786" w:hanging="786"/>
              <w:rPr>
                <w:rFonts w:cs="Arial"/>
                <w:szCs w:val="22"/>
                <w:lang w:val="fr-FR"/>
              </w:rPr>
            </w:pPr>
            <w:r w:rsidRPr="00092B17">
              <w:rPr>
                <w:rFonts w:cs="Arial"/>
                <w:szCs w:val="22"/>
                <w:lang w:val="fr-FR"/>
              </w:rPr>
              <w:t>– lire “Feuille : nervation”</w:t>
            </w:r>
          </w:p>
          <w:p w:rsidR="001826AD" w:rsidRPr="00092B17" w:rsidRDefault="001826AD" w:rsidP="006B4271">
            <w:pPr>
              <w:rPr>
                <w:rFonts w:cs="Arial"/>
                <w:szCs w:val="22"/>
                <w:lang w:val="fr-FR"/>
              </w:rPr>
            </w:pPr>
            <w:r w:rsidRPr="00092B17">
              <w:rPr>
                <w:rFonts w:cs="Arial"/>
                <w:szCs w:val="22"/>
                <w:lang w:val="fr-FR"/>
              </w:rPr>
              <w:t xml:space="preserve">– </w:t>
            </w:r>
            <w:r w:rsidRPr="00092B17">
              <w:rPr>
                <w:rFonts w:cs="Arial"/>
                <w:lang w:val="fr-FR"/>
              </w:rPr>
              <w:t>le niveau 2 doit être libellé comme suit : “pennée</w:t>
            </w:r>
            <w:r w:rsidRPr="00092B17">
              <w:rPr>
                <w:rFonts w:cs="Arial"/>
                <w:szCs w:val="22"/>
                <w:lang w:val="fr-FR"/>
              </w:rPr>
              <w:t>”</w:t>
            </w:r>
          </w:p>
        </w:tc>
      </w:tr>
      <w:tr w:rsidR="001826AD" w:rsidRPr="00092B17" w:rsidTr="006B4271">
        <w:trPr>
          <w:cantSplit/>
        </w:trPr>
        <w:tc>
          <w:tcPr>
            <w:tcW w:w="1582" w:type="dxa"/>
          </w:tcPr>
          <w:p w:rsidR="001826AD" w:rsidRPr="00092B17" w:rsidRDefault="001826AD" w:rsidP="006B4271">
            <w:pPr>
              <w:rPr>
                <w:rFonts w:cs="Arial"/>
                <w:szCs w:val="22"/>
                <w:lang w:val="fr-FR"/>
              </w:rPr>
            </w:pPr>
            <w:r w:rsidRPr="00092B17">
              <w:rPr>
                <w:rFonts w:cs="Arial"/>
                <w:szCs w:val="22"/>
                <w:lang w:val="fr-FR"/>
              </w:rPr>
              <w:t>car. 23</w:t>
            </w:r>
          </w:p>
        </w:tc>
        <w:tc>
          <w:tcPr>
            <w:tcW w:w="7916" w:type="dxa"/>
          </w:tcPr>
          <w:p w:rsidR="001826AD" w:rsidRPr="00092B17" w:rsidRDefault="001826AD" w:rsidP="006B4271">
            <w:pPr>
              <w:rPr>
                <w:rFonts w:cs="Arial"/>
                <w:szCs w:val="22"/>
                <w:lang w:val="fr-FR"/>
              </w:rPr>
            </w:pPr>
            <w:r w:rsidRPr="00092B17">
              <w:rPr>
                <w:rFonts w:cs="Arial"/>
                <w:szCs w:val="22"/>
                <w:lang w:val="fr-FR"/>
              </w:rPr>
              <w:t>vérifier si doit être libellé comme suit “Feuille : couleur principale de la face inférieure”</w:t>
            </w:r>
          </w:p>
          <w:p w:rsidR="001826AD" w:rsidRPr="00092B17" w:rsidRDefault="001826AD" w:rsidP="006B4271">
            <w:pPr>
              <w:rPr>
                <w:rFonts w:cs="Arial"/>
                <w:i/>
                <w:szCs w:val="22"/>
                <w:lang w:val="fr-FR"/>
              </w:rPr>
            </w:pPr>
            <w:r w:rsidRPr="00092B17">
              <w:rPr>
                <w:rFonts w:cs="Arial"/>
                <w:i/>
                <w:szCs w:val="22"/>
                <w:lang w:val="fr-FR"/>
              </w:rPr>
              <w:t>Expert principal : accepté</w:t>
            </w:r>
          </w:p>
        </w:tc>
      </w:tr>
      <w:tr w:rsidR="001826AD" w:rsidRPr="00092B17" w:rsidTr="006B4271">
        <w:trPr>
          <w:cantSplit/>
        </w:trPr>
        <w:tc>
          <w:tcPr>
            <w:tcW w:w="1582" w:type="dxa"/>
          </w:tcPr>
          <w:p w:rsidR="001826AD" w:rsidRPr="00092B17" w:rsidRDefault="001826AD" w:rsidP="006B4271">
            <w:pPr>
              <w:rPr>
                <w:rFonts w:cs="Arial"/>
                <w:szCs w:val="22"/>
                <w:lang w:val="fr-FR"/>
              </w:rPr>
            </w:pPr>
            <w:r w:rsidRPr="00092B17">
              <w:rPr>
                <w:rFonts w:cs="Arial"/>
                <w:szCs w:val="22"/>
                <w:lang w:val="fr-FR"/>
              </w:rPr>
              <w:t>8.1 (c)</w:t>
            </w:r>
          </w:p>
        </w:tc>
        <w:tc>
          <w:tcPr>
            <w:tcW w:w="7916" w:type="dxa"/>
          </w:tcPr>
          <w:p w:rsidR="001826AD" w:rsidRPr="00092B17" w:rsidRDefault="001826AD" w:rsidP="006B4271">
            <w:pPr>
              <w:rPr>
                <w:rFonts w:cs="Arial"/>
                <w:szCs w:val="22"/>
                <w:lang w:val="fr-FR"/>
              </w:rPr>
            </w:pPr>
            <w:r w:rsidRPr="00092B17">
              <w:rPr>
                <w:rFonts w:cs="Arial"/>
                <w:szCs w:val="22"/>
                <w:lang w:val="fr-FR"/>
              </w:rPr>
              <w:t>clarifier ce qui est entendu par face “interne”.  Vérifier si des observations doivent être faites sur la face supérieure de la feuille (ou la partie centrale de la plante?).</w:t>
            </w:r>
          </w:p>
          <w:p w:rsidR="001826AD" w:rsidRPr="00092B17" w:rsidRDefault="001826AD" w:rsidP="006B4271">
            <w:pPr>
              <w:rPr>
                <w:rFonts w:cs="Arial"/>
                <w:i/>
                <w:szCs w:val="22"/>
                <w:lang w:val="fr-FR"/>
              </w:rPr>
            </w:pPr>
            <w:r w:rsidRPr="00092B17">
              <w:rPr>
                <w:rFonts w:cs="Arial"/>
                <w:i/>
                <w:szCs w:val="22"/>
                <w:lang w:val="fr-FR"/>
              </w:rPr>
              <w:t>Expert principal : les termes “interne” (“</w:t>
            </w:r>
            <w:proofErr w:type="spellStart"/>
            <w:r w:rsidRPr="00092B17">
              <w:rPr>
                <w:rFonts w:cs="Arial"/>
                <w:i/>
                <w:szCs w:val="22"/>
                <w:lang w:val="fr-FR"/>
              </w:rPr>
              <w:t>inner</w:t>
            </w:r>
            <w:proofErr w:type="spellEnd"/>
            <w:r w:rsidRPr="00092B17">
              <w:rPr>
                <w:rFonts w:cs="Arial"/>
                <w:i/>
                <w:szCs w:val="22"/>
                <w:lang w:val="fr-FR"/>
              </w:rPr>
              <w:t xml:space="preserve"> en anglais”) et “externe” (“</w:t>
            </w:r>
            <w:proofErr w:type="spellStart"/>
            <w:r w:rsidRPr="00092B17">
              <w:rPr>
                <w:rFonts w:cs="Arial"/>
                <w:i/>
                <w:szCs w:val="22"/>
                <w:lang w:val="fr-FR"/>
              </w:rPr>
              <w:t>outer</w:t>
            </w:r>
            <w:proofErr w:type="spellEnd"/>
            <w:r w:rsidRPr="00092B17">
              <w:rPr>
                <w:rFonts w:cs="Arial"/>
                <w:i/>
                <w:szCs w:val="22"/>
                <w:lang w:val="fr-FR"/>
              </w:rPr>
              <w:t>” en anglais) ont été utilisés parce que la feuille peut être dressée ou demi</w:t>
            </w:r>
            <w:r w:rsidRPr="00092B17">
              <w:rPr>
                <w:rFonts w:cs="Arial"/>
                <w:i/>
                <w:szCs w:val="22"/>
                <w:lang w:val="fr-FR"/>
              </w:rPr>
              <w:noBreakHyphen/>
              <w:t>dressée.  Aucune objection à l’utilisation des termes “supérieure” et “inférieure” si cela est plus clair.</w:t>
            </w:r>
          </w:p>
        </w:tc>
      </w:tr>
      <w:tr w:rsidR="001826AD" w:rsidRPr="00092B17" w:rsidTr="006B4271">
        <w:trPr>
          <w:cantSplit/>
        </w:trPr>
        <w:tc>
          <w:tcPr>
            <w:tcW w:w="1582" w:type="dxa"/>
          </w:tcPr>
          <w:p w:rsidR="001826AD" w:rsidRPr="00092B17" w:rsidRDefault="001826AD" w:rsidP="006B4271">
            <w:pPr>
              <w:rPr>
                <w:rFonts w:cs="Arial"/>
                <w:lang w:val="fr-FR"/>
              </w:rPr>
            </w:pPr>
            <w:r w:rsidRPr="00092B17">
              <w:rPr>
                <w:rFonts w:cs="Arial"/>
                <w:lang w:val="fr-FR"/>
              </w:rPr>
              <w:t>8.1 (e)</w:t>
            </w:r>
          </w:p>
        </w:tc>
        <w:tc>
          <w:tcPr>
            <w:tcW w:w="7916" w:type="dxa"/>
          </w:tcPr>
          <w:p w:rsidR="001826AD" w:rsidRPr="00092B17" w:rsidRDefault="001826AD" w:rsidP="006B4271">
            <w:pPr>
              <w:rPr>
                <w:rFonts w:cs="Arial"/>
                <w:snapToGrid w:val="0"/>
                <w:lang w:val="fr-FR"/>
              </w:rPr>
            </w:pPr>
            <w:r w:rsidRPr="00092B17">
              <w:rPr>
                <w:rFonts w:cs="Arial"/>
                <w:snapToGrid w:val="0"/>
                <w:lang w:val="fr-FR"/>
              </w:rPr>
              <w:t>– la deuxième phrase doit être libellée comme suit : “La couleur secondaire est la couleur occupant la deuxième surface la plus grande et la couleur occupant la troisième surface la plus grande est la couleur tertiaire”</w:t>
            </w:r>
          </w:p>
          <w:p w:rsidR="001826AD" w:rsidRPr="00092B17" w:rsidRDefault="001826AD" w:rsidP="006B4271">
            <w:pPr>
              <w:rPr>
                <w:rFonts w:cs="Arial"/>
                <w:lang w:val="fr-FR"/>
              </w:rPr>
            </w:pPr>
            <w:r w:rsidRPr="00092B17">
              <w:rPr>
                <w:rFonts w:cs="Arial"/>
                <w:snapToGrid w:val="0"/>
                <w:lang w:val="fr-FR"/>
              </w:rPr>
              <w:t xml:space="preserve">– supprimer la dernière phrase </w:t>
            </w:r>
          </w:p>
        </w:tc>
      </w:tr>
      <w:tr w:rsidR="001826AD" w:rsidRPr="00092B17" w:rsidTr="006B4271">
        <w:trPr>
          <w:cantSplit/>
        </w:trPr>
        <w:tc>
          <w:tcPr>
            <w:tcW w:w="1582" w:type="dxa"/>
          </w:tcPr>
          <w:p w:rsidR="001826AD" w:rsidRPr="00092B17" w:rsidRDefault="001826AD" w:rsidP="006B4271">
            <w:pPr>
              <w:rPr>
                <w:rFonts w:cs="Arial"/>
                <w:lang w:val="fr-FR"/>
              </w:rPr>
            </w:pPr>
            <w:r w:rsidRPr="00092B17">
              <w:rPr>
                <w:rFonts w:cs="Arial"/>
                <w:lang w:val="fr-FR"/>
              </w:rPr>
              <w:t>Ad. 4, Ad. 5</w:t>
            </w:r>
          </w:p>
        </w:tc>
        <w:tc>
          <w:tcPr>
            <w:tcW w:w="7916" w:type="dxa"/>
          </w:tcPr>
          <w:p w:rsidR="001826AD" w:rsidRPr="00092B17" w:rsidRDefault="001826AD" w:rsidP="006B4271">
            <w:pPr>
              <w:rPr>
                <w:rFonts w:cs="Arial"/>
                <w:lang w:val="fr-FR"/>
              </w:rPr>
            </w:pPr>
            <w:r w:rsidRPr="00092B17">
              <w:rPr>
                <w:rFonts w:cs="Arial"/>
                <w:lang w:val="fr-FR"/>
              </w:rPr>
              <w:t>à combiner</w:t>
            </w:r>
          </w:p>
        </w:tc>
      </w:tr>
      <w:tr w:rsidR="001826AD" w:rsidRPr="00092B17" w:rsidTr="006B4271">
        <w:trPr>
          <w:cantSplit/>
        </w:trPr>
        <w:tc>
          <w:tcPr>
            <w:tcW w:w="1582" w:type="dxa"/>
          </w:tcPr>
          <w:p w:rsidR="001826AD" w:rsidRPr="00092B17" w:rsidRDefault="001826AD" w:rsidP="006B4271">
            <w:pPr>
              <w:rPr>
                <w:rFonts w:cs="Arial"/>
                <w:szCs w:val="22"/>
                <w:lang w:val="fr-FR"/>
              </w:rPr>
            </w:pPr>
            <w:r w:rsidRPr="00092B17">
              <w:rPr>
                <w:rFonts w:cs="Arial"/>
                <w:szCs w:val="22"/>
                <w:lang w:val="fr-FR"/>
              </w:rPr>
              <w:t>Ad. 10, 11</w:t>
            </w:r>
          </w:p>
        </w:tc>
        <w:tc>
          <w:tcPr>
            <w:tcW w:w="7916" w:type="dxa"/>
          </w:tcPr>
          <w:p w:rsidR="001826AD" w:rsidRPr="00092B17" w:rsidRDefault="001826AD" w:rsidP="006B4271">
            <w:pPr>
              <w:rPr>
                <w:rFonts w:cs="Arial"/>
                <w:szCs w:val="22"/>
                <w:lang w:val="fr-FR"/>
              </w:rPr>
            </w:pPr>
            <w:r w:rsidRPr="00092B17">
              <w:rPr>
                <w:rFonts w:cs="Arial"/>
                <w:szCs w:val="22"/>
                <w:lang w:val="fr-FR"/>
              </w:rPr>
              <w:t>– La définition de pétiole n’est pas claire.  Une explication écrite est nécessaire afin de préciser où commence et se termine le pétiole.</w:t>
            </w:r>
          </w:p>
          <w:p w:rsidR="001826AD" w:rsidRPr="00092B17" w:rsidRDefault="001826AD" w:rsidP="006B4271">
            <w:pPr>
              <w:rPr>
                <w:rFonts w:cs="Arial"/>
                <w:i/>
                <w:szCs w:val="22"/>
                <w:lang w:val="fr-FR"/>
              </w:rPr>
            </w:pPr>
            <w:r w:rsidRPr="00092B17">
              <w:rPr>
                <w:rFonts w:cs="Arial"/>
                <w:i/>
                <w:szCs w:val="22"/>
                <w:lang w:val="fr-FR"/>
              </w:rPr>
              <w:t>explication fournie par l’expert principal</w:t>
            </w:r>
          </w:p>
          <w:p w:rsidR="001826AD" w:rsidRPr="00092B17" w:rsidRDefault="001826AD" w:rsidP="006B4271">
            <w:pPr>
              <w:rPr>
                <w:rFonts w:cs="Arial"/>
                <w:szCs w:val="22"/>
                <w:lang w:val="fr-FR"/>
              </w:rPr>
            </w:pPr>
            <w:r w:rsidRPr="00092B17">
              <w:rPr>
                <w:rFonts w:cs="Arial"/>
                <w:szCs w:val="22"/>
                <w:lang w:val="fr-FR"/>
              </w:rPr>
              <w:t>– vérifier le positionnement des flèches et schémas indicatifs</w:t>
            </w:r>
          </w:p>
          <w:p w:rsidR="001826AD" w:rsidRPr="00092B17" w:rsidRDefault="001826AD" w:rsidP="006B4271">
            <w:pPr>
              <w:rPr>
                <w:rFonts w:cs="Arial"/>
                <w:szCs w:val="22"/>
                <w:lang w:val="fr-FR"/>
              </w:rPr>
            </w:pPr>
            <w:r w:rsidRPr="00092B17">
              <w:rPr>
                <w:rFonts w:cs="Arial"/>
                <w:i/>
                <w:szCs w:val="22"/>
                <w:lang w:val="fr-FR"/>
              </w:rPr>
              <w:t>Expert principal : correct ainsi</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Ad. 12</w:t>
            </w:r>
          </w:p>
        </w:tc>
        <w:tc>
          <w:tcPr>
            <w:tcW w:w="7916" w:type="dxa"/>
          </w:tcPr>
          <w:p w:rsidR="001826AD" w:rsidRPr="00092B17" w:rsidRDefault="001826AD" w:rsidP="006B4271">
            <w:pPr>
              <w:rPr>
                <w:lang w:val="fr-FR"/>
              </w:rPr>
            </w:pPr>
            <w:r w:rsidRPr="00092B17">
              <w:rPr>
                <w:lang w:val="fr-FR"/>
              </w:rPr>
              <w:t>ajouter une explication sur la partie du pétiole à évaluer</w:t>
            </w:r>
          </w:p>
          <w:p w:rsidR="001826AD" w:rsidRPr="00092B17" w:rsidRDefault="001826AD" w:rsidP="006B4271">
            <w:pPr>
              <w:rPr>
                <w:rFonts w:cs="Arial"/>
                <w:lang w:val="fr-FR"/>
              </w:rPr>
            </w:pPr>
            <w:r w:rsidRPr="00092B17">
              <w:rPr>
                <w:rFonts w:cs="Arial"/>
                <w:i/>
                <w:szCs w:val="22"/>
                <w:lang w:val="fr-FR"/>
              </w:rPr>
              <w:t>explication fournie par l’expert principal</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Ad. 15</w:t>
            </w:r>
          </w:p>
        </w:tc>
        <w:tc>
          <w:tcPr>
            <w:tcW w:w="7916" w:type="dxa"/>
          </w:tcPr>
          <w:p w:rsidR="001826AD" w:rsidRPr="00092B17" w:rsidRDefault="001826AD" w:rsidP="006B4271">
            <w:pPr>
              <w:rPr>
                <w:rFonts w:cs="Arial"/>
                <w:lang w:val="fr-FR"/>
              </w:rPr>
            </w:pPr>
            <w:r w:rsidRPr="00092B17">
              <w:rPr>
                <w:rFonts w:cs="Arial"/>
                <w:lang w:val="fr-FR"/>
              </w:rPr>
              <w:t>à vérifier selon s’il existe ou non un pétiole (voir l’observation sur les car. 9 à 12)</w:t>
            </w:r>
          </w:p>
          <w:p w:rsidR="001826AD" w:rsidRPr="00092B17" w:rsidRDefault="001826AD" w:rsidP="006B4271">
            <w:pPr>
              <w:rPr>
                <w:rFonts w:cs="Arial"/>
                <w:lang w:val="fr-FR"/>
              </w:rPr>
            </w:pPr>
            <w:r w:rsidRPr="00092B17">
              <w:rPr>
                <w:rFonts w:cs="Arial"/>
                <w:i/>
                <w:szCs w:val="22"/>
                <w:lang w:val="fr-FR"/>
              </w:rPr>
              <w:t>Expert principal</w:t>
            </w:r>
            <w:r w:rsidRPr="00092B17">
              <w:rPr>
                <w:rFonts w:cs="Arial"/>
                <w:i/>
                <w:lang w:val="fr-FR"/>
              </w:rPr>
              <w:t> : oui, il y a un pétiole</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9.</w:t>
            </w:r>
          </w:p>
        </w:tc>
        <w:tc>
          <w:tcPr>
            <w:tcW w:w="7916" w:type="dxa"/>
          </w:tcPr>
          <w:p w:rsidR="001826AD" w:rsidRPr="00092B17" w:rsidRDefault="001826AD" w:rsidP="006B4271">
            <w:pPr>
              <w:rPr>
                <w:lang w:val="fr-FR"/>
              </w:rPr>
            </w:pPr>
            <w:r w:rsidRPr="00092B17">
              <w:rPr>
                <w:rFonts w:cs="Arial"/>
                <w:lang w:val="fr-FR"/>
              </w:rPr>
              <w:t>– la première référence doit être libellée comme suit : “</w:t>
            </w:r>
            <w:proofErr w:type="gramStart"/>
            <w:r w:rsidRPr="00092B17">
              <w:rPr>
                <w:rFonts w:cs="Arial"/>
                <w:lang w:val="fr-FR"/>
              </w:rPr>
              <w:t>…</w:t>
            </w:r>
            <w:r w:rsidRPr="00092B17">
              <w:rPr>
                <w:lang w:val="fr-FR"/>
              </w:rPr>
              <w:t>(</w:t>
            </w:r>
            <w:proofErr w:type="gramEnd"/>
            <w:r w:rsidRPr="00092B17">
              <w:rPr>
                <w:i/>
                <w:lang w:val="fr-FR"/>
              </w:rPr>
              <w:t xml:space="preserve">Cordyline </w:t>
            </w:r>
            <w:proofErr w:type="spellStart"/>
            <w:r w:rsidRPr="00092B17">
              <w:rPr>
                <w:lang w:val="fr-FR"/>
              </w:rPr>
              <w:t>spp</w:t>
            </w:r>
            <w:proofErr w:type="spellEnd"/>
            <w:r w:rsidRPr="00092B17">
              <w:rPr>
                <w:lang w:val="fr-FR"/>
              </w:rPr>
              <w:t>.).  In</w:t>
            </w:r>
            <w:proofErr w:type="gramStart"/>
            <w:r w:rsidRPr="00092B17">
              <w:rPr>
                <w:lang w:val="fr-FR"/>
              </w:rPr>
              <w:t>:  Oates</w:t>
            </w:r>
            <w:proofErr w:type="gramEnd"/>
            <w:r w:rsidRPr="00092B17">
              <w:rPr>
                <w:lang w:val="fr-FR"/>
              </w:rPr>
              <w:t xml:space="preserve"> MR (</w:t>
            </w:r>
            <w:proofErr w:type="spellStart"/>
            <w:r w:rsidRPr="00092B17">
              <w:rPr>
                <w:lang w:val="fr-FR"/>
              </w:rPr>
              <w:t>ed</w:t>
            </w:r>
            <w:proofErr w:type="spellEnd"/>
            <w:r w:rsidRPr="00092B17">
              <w:rPr>
                <w:lang w:val="fr-FR"/>
              </w:rPr>
              <w:t xml:space="preserve">.).  New </w:t>
            </w:r>
            <w:proofErr w:type="spellStart"/>
            <w:r w:rsidRPr="00092B17">
              <w:rPr>
                <w:lang w:val="fr-FR"/>
              </w:rPr>
              <w:t>Zealand</w:t>
            </w:r>
            <w:proofErr w:type="spellEnd"/>
            <w:r w:rsidRPr="00092B17">
              <w:rPr>
                <w:lang w:val="fr-FR"/>
              </w:rPr>
              <w:t xml:space="preserve"> plants and </w:t>
            </w:r>
            <w:proofErr w:type="spellStart"/>
            <w:r w:rsidRPr="00092B17">
              <w:rPr>
                <w:lang w:val="fr-FR"/>
              </w:rPr>
              <w:t>their</w:t>
            </w:r>
            <w:proofErr w:type="spellEnd"/>
            <w:r w:rsidRPr="00092B17">
              <w:rPr>
                <w:lang w:val="fr-FR"/>
              </w:rPr>
              <w:t xml:space="preserve"> story.  </w:t>
            </w:r>
            <w:proofErr w:type="spellStart"/>
            <w:r w:rsidRPr="00092B17">
              <w:rPr>
                <w:lang w:val="fr-FR"/>
              </w:rPr>
              <w:t>Proceedings</w:t>
            </w:r>
            <w:proofErr w:type="spellEnd"/>
            <w:r w:rsidRPr="00092B17">
              <w:rPr>
                <w:lang w:val="fr-FR"/>
              </w:rPr>
              <w:t xml:space="preserve"> of a </w:t>
            </w:r>
            <w:proofErr w:type="spellStart"/>
            <w:r w:rsidRPr="00092B17">
              <w:rPr>
                <w:lang w:val="fr-FR"/>
              </w:rPr>
              <w:t>Conference</w:t>
            </w:r>
            <w:proofErr w:type="spellEnd"/>
            <w:r w:rsidRPr="00092B17">
              <w:rPr>
                <w:lang w:val="fr-FR"/>
              </w:rPr>
              <w:t xml:space="preserve"> </w:t>
            </w:r>
            <w:proofErr w:type="spellStart"/>
            <w:r w:rsidRPr="00092B17">
              <w:rPr>
                <w:lang w:val="fr-FR"/>
              </w:rPr>
              <w:t>held</w:t>
            </w:r>
            <w:proofErr w:type="spellEnd"/>
            <w:r w:rsidRPr="00092B17">
              <w:rPr>
                <w:lang w:val="fr-FR"/>
              </w:rPr>
              <w:t xml:space="preserve"> in Wellington 1</w:t>
            </w:r>
            <w:r w:rsidRPr="00092B17">
              <w:rPr>
                <w:lang w:val="fr-FR"/>
              </w:rPr>
              <w:noBreakHyphen/>
              <w:t xml:space="preserve">3 </w:t>
            </w:r>
            <w:proofErr w:type="spellStart"/>
            <w:r w:rsidRPr="00092B17">
              <w:rPr>
                <w:lang w:val="fr-FR"/>
              </w:rPr>
              <w:t>October</w:t>
            </w:r>
            <w:proofErr w:type="spellEnd"/>
            <w:r w:rsidRPr="00092B17">
              <w:rPr>
                <w:lang w:val="fr-FR"/>
              </w:rPr>
              <w:t xml:space="preserve"> 1999.  Lincoln, Royal New </w:t>
            </w:r>
            <w:proofErr w:type="spellStart"/>
            <w:r w:rsidRPr="00092B17">
              <w:rPr>
                <w:lang w:val="fr-FR"/>
              </w:rPr>
              <w:t>Zealand</w:t>
            </w:r>
            <w:proofErr w:type="spellEnd"/>
            <w:r w:rsidRPr="00092B17">
              <w:rPr>
                <w:lang w:val="fr-FR"/>
              </w:rPr>
              <w:t xml:space="preserve"> Institute of Horticulture, NZ.  87</w:t>
            </w:r>
            <w:r w:rsidRPr="00092B17">
              <w:rPr>
                <w:lang w:val="fr-FR"/>
              </w:rPr>
              <w:noBreakHyphen/>
              <w:t>91 pp.”</w:t>
            </w:r>
          </w:p>
          <w:p w:rsidR="001826AD" w:rsidRPr="00092B17" w:rsidRDefault="001826AD" w:rsidP="006B4271">
            <w:pPr>
              <w:rPr>
                <w:lang w:val="fr-FR"/>
              </w:rPr>
            </w:pPr>
            <w:r w:rsidRPr="00092B17">
              <w:rPr>
                <w:lang w:val="fr-FR"/>
              </w:rPr>
              <w:t>– la deuxième référence doit être libellée comme suit : “…Auckland, NZ.”</w:t>
            </w:r>
          </w:p>
          <w:p w:rsidR="001826AD" w:rsidRPr="00092B17" w:rsidRDefault="001826AD" w:rsidP="006B4271">
            <w:pPr>
              <w:rPr>
                <w:lang w:val="fr-FR"/>
              </w:rPr>
            </w:pPr>
            <w:r w:rsidRPr="00092B17">
              <w:rPr>
                <w:lang w:val="fr-FR"/>
              </w:rPr>
              <w:t xml:space="preserve">– la troisième référence doit être libellée comme suit : “Poole, A. L. and Adams, N. M., 1986 : </w:t>
            </w:r>
            <w:proofErr w:type="spellStart"/>
            <w:r w:rsidRPr="00092B17">
              <w:rPr>
                <w:lang w:val="fr-FR"/>
              </w:rPr>
              <w:t>Trees</w:t>
            </w:r>
            <w:proofErr w:type="spellEnd"/>
            <w:r w:rsidRPr="00092B17">
              <w:rPr>
                <w:lang w:val="fr-FR"/>
              </w:rPr>
              <w:t xml:space="preserve"> and </w:t>
            </w:r>
            <w:proofErr w:type="spellStart"/>
            <w:r w:rsidRPr="00092B17">
              <w:rPr>
                <w:lang w:val="fr-FR"/>
              </w:rPr>
              <w:t>Shrubs</w:t>
            </w:r>
            <w:proofErr w:type="spellEnd"/>
            <w:r w:rsidRPr="00092B17">
              <w:rPr>
                <w:lang w:val="fr-FR"/>
              </w:rPr>
              <w:t xml:space="preserve"> of New </w:t>
            </w:r>
            <w:proofErr w:type="spellStart"/>
            <w:r w:rsidRPr="00092B17">
              <w:rPr>
                <w:lang w:val="fr-FR"/>
              </w:rPr>
              <w:t>Zealand</w:t>
            </w:r>
            <w:proofErr w:type="spellEnd"/>
            <w:r w:rsidRPr="00092B17">
              <w:rPr>
                <w:lang w:val="fr-FR"/>
              </w:rPr>
              <w:t xml:space="preserve">;  </w:t>
            </w:r>
            <w:proofErr w:type="spellStart"/>
            <w:r w:rsidRPr="00092B17">
              <w:rPr>
                <w:lang w:val="fr-FR"/>
              </w:rPr>
              <w:t>Government</w:t>
            </w:r>
            <w:proofErr w:type="spellEnd"/>
            <w:r w:rsidRPr="00092B17">
              <w:rPr>
                <w:lang w:val="fr-FR"/>
              </w:rPr>
              <w:t xml:space="preserve"> Printing Office </w:t>
            </w:r>
            <w:proofErr w:type="spellStart"/>
            <w:r w:rsidRPr="00092B17">
              <w:rPr>
                <w:lang w:val="fr-FR"/>
              </w:rPr>
              <w:t>Publishing</w:t>
            </w:r>
            <w:proofErr w:type="spellEnd"/>
            <w:r w:rsidRPr="00092B17">
              <w:rPr>
                <w:lang w:val="fr-FR"/>
              </w:rPr>
              <w:t>.  Wellington, NZ.  38</w:t>
            </w:r>
            <w:r w:rsidRPr="00092B17">
              <w:rPr>
                <w:lang w:val="fr-FR"/>
              </w:rPr>
              <w:noBreakHyphen/>
              <w:t>42 pp.”</w:t>
            </w:r>
          </w:p>
          <w:p w:rsidR="001826AD" w:rsidRPr="00092B17" w:rsidRDefault="001826AD" w:rsidP="006B4271">
            <w:pPr>
              <w:rPr>
                <w:rFonts w:cs="Arial"/>
                <w:lang w:val="fr-FR"/>
              </w:rPr>
            </w:pPr>
            <w:r w:rsidRPr="00092B17">
              <w:rPr>
                <w:lang w:val="fr-FR"/>
              </w:rPr>
              <w:t>– la dernière référence doit être libellée comme suit : “…</w:t>
            </w:r>
            <w:proofErr w:type="spellStart"/>
            <w:r w:rsidRPr="00092B17">
              <w:rPr>
                <w:lang w:val="fr-FR"/>
              </w:rPr>
              <w:t>Press</w:t>
            </w:r>
            <w:proofErr w:type="spellEnd"/>
            <w:r w:rsidRPr="00092B17">
              <w:rPr>
                <w:lang w:val="fr-FR"/>
              </w:rPr>
              <w:t>.  Christchurch, NZ.”</w:t>
            </w:r>
          </w:p>
        </w:tc>
      </w:tr>
      <w:tr w:rsidR="001826AD" w:rsidRPr="00092B17" w:rsidTr="006B4271">
        <w:trPr>
          <w:cantSplit/>
        </w:trPr>
        <w:tc>
          <w:tcPr>
            <w:tcW w:w="1582" w:type="dxa"/>
          </w:tcPr>
          <w:p w:rsidR="001826AD" w:rsidRPr="00092B17" w:rsidRDefault="001826AD" w:rsidP="006B4271">
            <w:pPr>
              <w:jc w:val="left"/>
              <w:rPr>
                <w:rFonts w:cs="Arial"/>
                <w:lang w:val="fr-FR"/>
              </w:rPr>
            </w:pPr>
            <w:r w:rsidRPr="00092B17">
              <w:rPr>
                <w:rFonts w:cs="Arial"/>
                <w:lang w:val="fr-FR"/>
              </w:rPr>
              <w:t>Questionnaire technique 1</w:t>
            </w:r>
          </w:p>
        </w:tc>
        <w:tc>
          <w:tcPr>
            <w:tcW w:w="7916" w:type="dxa"/>
          </w:tcPr>
          <w:p w:rsidR="001826AD" w:rsidRPr="00092B17" w:rsidRDefault="001826AD" w:rsidP="006B4271">
            <w:pPr>
              <w:rPr>
                <w:rFonts w:cs="Arial"/>
                <w:lang w:val="fr-FR"/>
              </w:rPr>
            </w:pPr>
            <w:r w:rsidRPr="00092B17">
              <w:rPr>
                <w:rFonts w:cs="Arial"/>
                <w:lang w:val="fr-FR"/>
              </w:rPr>
              <w:t>Inclure les informations suivantes :</w:t>
            </w:r>
          </w:p>
          <w:p w:rsidR="001826AD" w:rsidRPr="00092B17" w:rsidRDefault="001826AD" w:rsidP="006B4271">
            <w:pPr>
              <w:rPr>
                <w:rFonts w:cs="Arial"/>
                <w:lang w:val="fr-FR"/>
              </w:rPr>
            </w:pPr>
            <w:r w:rsidRPr="00092B17">
              <w:rPr>
                <w:rFonts w:cs="Arial"/>
                <w:lang w:val="fr-FR"/>
              </w:rPr>
              <w:t>1.1</w:t>
            </w:r>
            <w:r w:rsidRPr="00092B17">
              <w:rPr>
                <w:rFonts w:cs="Arial"/>
                <w:lang w:val="fr-FR"/>
              </w:rPr>
              <w:tab/>
              <w:t>Genre</w:t>
            </w:r>
          </w:p>
          <w:p w:rsidR="001826AD" w:rsidRPr="00092B17" w:rsidRDefault="001826AD" w:rsidP="006B4271">
            <w:pPr>
              <w:rPr>
                <w:rFonts w:cs="Arial"/>
                <w:lang w:val="fr-FR"/>
              </w:rPr>
            </w:pPr>
            <w:r w:rsidRPr="00092B17">
              <w:rPr>
                <w:rFonts w:cs="Arial"/>
                <w:lang w:val="fr-FR"/>
              </w:rPr>
              <w:t>1.1.1</w:t>
            </w:r>
            <w:r w:rsidRPr="00092B17">
              <w:rPr>
                <w:rFonts w:cs="Arial"/>
                <w:lang w:val="fr-FR"/>
              </w:rPr>
              <w:tab/>
              <w:t>Nom botanique</w:t>
            </w:r>
          </w:p>
          <w:p w:rsidR="001826AD" w:rsidRPr="00092B17" w:rsidRDefault="001826AD" w:rsidP="006B4271">
            <w:pPr>
              <w:rPr>
                <w:rFonts w:cs="Arial"/>
                <w:lang w:val="fr-FR"/>
              </w:rPr>
            </w:pPr>
            <w:r w:rsidRPr="00092B17">
              <w:rPr>
                <w:rFonts w:cs="Arial"/>
                <w:lang w:val="fr-FR"/>
              </w:rPr>
              <w:t>1.1.2</w:t>
            </w:r>
            <w:r w:rsidRPr="00092B17">
              <w:rPr>
                <w:rFonts w:cs="Arial"/>
                <w:lang w:val="fr-FR"/>
              </w:rPr>
              <w:tab/>
              <w:t>Nom commun</w:t>
            </w:r>
          </w:p>
          <w:p w:rsidR="001826AD" w:rsidRPr="00092B17" w:rsidRDefault="001826AD" w:rsidP="006B4271">
            <w:pPr>
              <w:rPr>
                <w:rFonts w:cs="Arial"/>
                <w:lang w:val="fr-FR"/>
              </w:rPr>
            </w:pPr>
            <w:r w:rsidRPr="00092B17">
              <w:rPr>
                <w:rFonts w:cs="Arial"/>
                <w:lang w:val="fr-FR"/>
              </w:rPr>
              <w:t>1.2</w:t>
            </w:r>
            <w:r w:rsidRPr="00092B17">
              <w:rPr>
                <w:rFonts w:cs="Arial"/>
                <w:lang w:val="fr-FR"/>
              </w:rPr>
              <w:tab/>
              <w:t>Espèces (veuillez préciser)</w:t>
            </w:r>
          </w:p>
          <w:p w:rsidR="001826AD" w:rsidRPr="00092B17" w:rsidRDefault="001826AD" w:rsidP="006B4271">
            <w:pPr>
              <w:rPr>
                <w:rFonts w:cs="Arial"/>
                <w:lang w:val="fr-FR"/>
              </w:rPr>
            </w:pPr>
            <w:r w:rsidRPr="00092B17">
              <w:rPr>
                <w:rFonts w:cs="Arial"/>
                <w:lang w:val="fr-FR"/>
              </w:rPr>
              <w:t>1.2.1</w:t>
            </w:r>
            <w:r w:rsidRPr="00092B17">
              <w:rPr>
                <w:rFonts w:cs="Arial"/>
                <w:lang w:val="fr-FR"/>
              </w:rPr>
              <w:tab/>
              <w:t>Nom botanique</w:t>
            </w:r>
          </w:p>
          <w:p w:rsidR="001826AD" w:rsidRPr="00092B17" w:rsidRDefault="001826AD" w:rsidP="006B4271">
            <w:pPr>
              <w:rPr>
                <w:rFonts w:cs="Arial"/>
                <w:lang w:val="fr-FR"/>
              </w:rPr>
            </w:pPr>
            <w:r w:rsidRPr="00092B17">
              <w:rPr>
                <w:rFonts w:cs="Arial"/>
                <w:lang w:val="fr-FR"/>
              </w:rPr>
              <w:t>1.2.2</w:t>
            </w:r>
            <w:r w:rsidRPr="00092B17">
              <w:rPr>
                <w:rFonts w:cs="Arial"/>
                <w:lang w:val="fr-FR"/>
              </w:rPr>
              <w:tab/>
              <w:t>Nom commun</w:t>
            </w:r>
          </w:p>
        </w:tc>
      </w:tr>
    </w:tbl>
    <w:p w:rsidR="001826AD" w:rsidRPr="00092B17" w:rsidRDefault="001826AD" w:rsidP="001826AD">
      <w:pPr>
        <w:jc w:val="left"/>
        <w:rPr>
          <w:rFonts w:cs="Arial"/>
          <w:u w:val="single"/>
          <w:lang w:val="fr-FR"/>
        </w:rPr>
      </w:pPr>
    </w:p>
    <w:p w:rsidR="001826AD" w:rsidRPr="00416E75" w:rsidRDefault="001826AD" w:rsidP="001826AD">
      <w:pPr>
        <w:autoSpaceDE w:val="0"/>
        <w:autoSpaceDN w:val="0"/>
        <w:adjustRightInd w:val="0"/>
        <w:ind w:firstLine="567"/>
        <w:rPr>
          <w:rFonts w:cs="Arial"/>
          <w:lang w:val="fr-FR"/>
        </w:rPr>
      </w:pPr>
      <w:r w:rsidRPr="00416E75">
        <w:rPr>
          <w:rFonts w:cs="Arial"/>
          <w:lang w:val="fr-FR"/>
        </w:rPr>
        <w:t>b)</w:t>
      </w:r>
      <w:r w:rsidRPr="00416E75">
        <w:rPr>
          <w:rFonts w:cs="Arial"/>
          <w:lang w:val="fr-FR"/>
        </w:rPr>
        <w:tab/>
        <w:t>Modifications proposées par le TC</w:t>
      </w:r>
      <w:r w:rsidRPr="00416E75">
        <w:rPr>
          <w:rFonts w:cs="Arial"/>
          <w:lang w:val="fr-FR"/>
        </w:rPr>
        <w:noBreakHyphen/>
        <w:t>EDC en mars 2016, qui doivent être incorporées dans le document soumis au TC :</w:t>
      </w:r>
    </w:p>
    <w:p w:rsidR="001826AD" w:rsidRPr="00092B17" w:rsidRDefault="001826AD" w:rsidP="001826AD">
      <w:pPr>
        <w:jc w:val="left"/>
        <w:rPr>
          <w:rFonts w:cs="Arial"/>
          <w:u w:val="single"/>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9</w:t>
            </w:r>
          </w:p>
        </w:tc>
        <w:tc>
          <w:tcPr>
            <w:tcW w:w="7925" w:type="dxa"/>
          </w:tcPr>
          <w:p w:rsidR="001826AD" w:rsidRPr="00092B17" w:rsidRDefault="001826AD" w:rsidP="006B4271">
            <w:pPr>
              <w:rPr>
                <w:rFonts w:cs="Arial"/>
                <w:lang w:val="fr-FR"/>
              </w:rPr>
            </w:pPr>
            <w:r w:rsidRPr="00092B17">
              <w:rPr>
                <w:rFonts w:cs="Arial"/>
                <w:lang w:val="fr-FR"/>
              </w:rPr>
              <w:t xml:space="preserve">libeller comme suit : “Pétiole : couleur principale de la face </w:t>
            </w:r>
            <w:r w:rsidRPr="00092B17">
              <w:rPr>
                <w:rFonts w:cs="Arial"/>
                <w:strike/>
                <w:lang w:val="fr-FR"/>
              </w:rPr>
              <w:t>interne</w:t>
            </w:r>
            <w:r w:rsidRPr="00092B17">
              <w:rPr>
                <w:rFonts w:cs="Arial"/>
                <w:lang w:val="fr-FR"/>
              </w:rPr>
              <w:t xml:space="preserve"> </w:t>
            </w:r>
            <w:r w:rsidRPr="00092B17">
              <w:rPr>
                <w:rFonts w:cs="Arial"/>
                <w:u w:val="single"/>
                <w:lang w:val="fr-FR"/>
              </w:rPr>
              <w:t>supérieure</w:t>
            </w:r>
            <w:r w:rsidRPr="00092B17">
              <w:rPr>
                <w:rFonts w:cs="Arial"/>
                <w:lang w:val="fr-FR"/>
              </w:rPr>
              <w:t xml:space="preserve">” </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21</w:t>
            </w:r>
          </w:p>
        </w:tc>
        <w:tc>
          <w:tcPr>
            <w:tcW w:w="7925" w:type="dxa"/>
          </w:tcPr>
          <w:p w:rsidR="001826AD" w:rsidRPr="00092B17" w:rsidRDefault="001826AD" w:rsidP="006B4271">
            <w:pPr>
              <w:rPr>
                <w:rFonts w:cs="Arial"/>
                <w:lang w:val="fr-FR"/>
              </w:rPr>
            </w:pPr>
            <w:r w:rsidRPr="00092B17">
              <w:rPr>
                <w:rFonts w:cs="Arial"/>
                <w:lang w:val="fr-FR"/>
              </w:rPr>
              <w:t>ajouter (e)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8.1 (e)</w:t>
            </w:r>
          </w:p>
        </w:tc>
        <w:tc>
          <w:tcPr>
            <w:tcW w:w="7925" w:type="dxa"/>
          </w:tcPr>
          <w:p w:rsidR="001826AD" w:rsidRPr="00092B17" w:rsidRDefault="001826AD" w:rsidP="006B4271">
            <w:pPr>
              <w:rPr>
                <w:rFonts w:cs="Arial"/>
                <w:lang w:val="fr-FR"/>
              </w:rPr>
            </w:pPr>
            <w:r w:rsidRPr="00092B17">
              <w:rPr>
                <w:rFonts w:cs="Arial"/>
                <w:lang w:val="fr-FR"/>
              </w:rPr>
              <w:t>libeller comme suit : “</w:t>
            </w:r>
            <w:r w:rsidRPr="00092B17">
              <w:rPr>
                <w:rFonts w:cs="Arial"/>
                <w:snapToGrid w:val="0"/>
                <w:lang w:val="fr-FR"/>
              </w:rPr>
              <w:t xml:space="preserve">La couleur principale est la couleur qui occupe la plus grande surface </w:t>
            </w:r>
            <w:r w:rsidRPr="00092B17">
              <w:rPr>
                <w:rFonts w:cs="Arial"/>
                <w:strike/>
                <w:snapToGrid w:val="0"/>
                <w:lang w:val="fr-FR"/>
              </w:rPr>
              <w:t xml:space="preserve">de la feuille.  </w:t>
            </w:r>
            <w:r w:rsidRPr="00092B17">
              <w:rPr>
                <w:rFonts w:cs="Arial"/>
                <w:snapToGrid w:val="0"/>
                <w:lang w:val="fr-FR"/>
              </w:rPr>
              <w:t xml:space="preserve">La couleur secondaire est la couleur qui occupe la deuxième surface la plus grande </w:t>
            </w:r>
            <w:r w:rsidRPr="00092B17">
              <w:rPr>
                <w:rFonts w:cs="Arial"/>
                <w:strike/>
                <w:snapToGrid w:val="0"/>
                <w:lang w:val="fr-FR"/>
              </w:rPr>
              <w:t>de la feuille</w:t>
            </w:r>
            <w:r w:rsidRPr="00092B17">
              <w:rPr>
                <w:rFonts w:cs="Arial"/>
                <w:snapToGrid w:val="0"/>
                <w:lang w:val="fr-FR"/>
              </w:rPr>
              <w:t xml:space="preserve"> et la troisième plus grande surface est occupée par la couleur tertiaire”</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Ad. 14</w:t>
            </w:r>
          </w:p>
        </w:tc>
        <w:tc>
          <w:tcPr>
            <w:tcW w:w="7925" w:type="dxa"/>
          </w:tcPr>
          <w:p w:rsidR="001826AD" w:rsidRPr="00092B17" w:rsidRDefault="001826AD" w:rsidP="006B4271">
            <w:pPr>
              <w:rPr>
                <w:rFonts w:cs="Arial"/>
                <w:szCs w:val="22"/>
                <w:lang w:val="fr-FR"/>
              </w:rPr>
            </w:pPr>
            <w:r w:rsidRPr="00092B17">
              <w:rPr>
                <w:rFonts w:cs="Arial"/>
                <w:szCs w:val="22"/>
                <w:lang w:val="fr-FR"/>
              </w:rPr>
              <w:t>supprimer la photographie pour le niveau 2 et ajouter des illustrations pour les trois niveaux</w:t>
            </w:r>
          </w:p>
          <w:p w:rsidR="001826AD" w:rsidRPr="00092B17" w:rsidRDefault="001826AD" w:rsidP="006B4271">
            <w:pPr>
              <w:rPr>
                <w:rFonts w:cs="Arial"/>
                <w:i/>
                <w:szCs w:val="22"/>
                <w:lang w:val="fr-FR"/>
              </w:rPr>
            </w:pPr>
            <w:r w:rsidRPr="00092B17">
              <w:rPr>
                <w:rFonts w:cs="Arial"/>
                <w:i/>
                <w:szCs w:val="22"/>
                <w:lang w:val="fr-FR"/>
              </w:rPr>
              <w:t>Illustrations fournies par l’expert principal</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Ad. 17</w:t>
            </w:r>
          </w:p>
        </w:tc>
        <w:tc>
          <w:tcPr>
            <w:tcW w:w="7925" w:type="dxa"/>
          </w:tcPr>
          <w:p w:rsidR="001826AD" w:rsidRPr="00092B17" w:rsidRDefault="001826AD" w:rsidP="006B4271">
            <w:pPr>
              <w:rPr>
                <w:rFonts w:cs="Arial"/>
                <w:szCs w:val="22"/>
                <w:lang w:val="fr-FR"/>
              </w:rPr>
            </w:pPr>
            <w:r w:rsidRPr="00092B17">
              <w:rPr>
                <w:rFonts w:cs="Arial"/>
                <w:szCs w:val="22"/>
                <w:lang w:val="fr-FR"/>
              </w:rPr>
              <w:t>les photos devraient être remplacées par de simples dessins</w:t>
            </w:r>
          </w:p>
          <w:p w:rsidR="001826AD" w:rsidRPr="00092B17" w:rsidRDefault="001826AD" w:rsidP="006B4271">
            <w:pPr>
              <w:rPr>
                <w:rFonts w:cs="Arial"/>
                <w:szCs w:val="22"/>
                <w:lang w:val="fr-FR"/>
              </w:rPr>
            </w:pPr>
            <w:r w:rsidRPr="00092B17">
              <w:rPr>
                <w:rFonts w:cs="Arial"/>
                <w:i/>
                <w:szCs w:val="22"/>
                <w:lang w:val="fr-FR"/>
              </w:rPr>
              <w:t xml:space="preserve">L’expert principal a accepté de fournir des illustrations </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21</w:t>
            </w:r>
          </w:p>
        </w:tc>
        <w:tc>
          <w:tcPr>
            <w:tcW w:w="7925" w:type="dxa"/>
          </w:tcPr>
          <w:p w:rsidR="001826AD" w:rsidRPr="00092B17" w:rsidRDefault="001826AD" w:rsidP="006B4271">
            <w:pPr>
              <w:rPr>
                <w:rFonts w:cs="Arial"/>
                <w:lang w:val="fr-FR"/>
              </w:rPr>
            </w:pPr>
            <w:r w:rsidRPr="00092B17">
              <w:rPr>
                <w:rFonts w:cs="Arial"/>
                <w:lang w:val="fr-FR"/>
              </w:rPr>
              <w:t>supprimer les photographies</w:t>
            </w:r>
          </w:p>
          <w:p w:rsidR="001826AD" w:rsidRPr="00092B17" w:rsidRDefault="001826AD" w:rsidP="006B4271">
            <w:pPr>
              <w:rPr>
                <w:rFonts w:cs="Arial"/>
                <w:i/>
                <w:lang w:val="fr-FR"/>
              </w:rPr>
            </w:pPr>
            <w:r w:rsidRPr="00092B17">
              <w:rPr>
                <w:rFonts w:cs="Arial"/>
                <w:i/>
                <w:lang w:val="fr-FR"/>
              </w:rPr>
              <w:t>Expert principal : accepté</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Questionnaire technique 6</w:t>
            </w:r>
          </w:p>
        </w:tc>
        <w:tc>
          <w:tcPr>
            <w:tcW w:w="7925" w:type="dxa"/>
          </w:tcPr>
          <w:p w:rsidR="001826AD" w:rsidRPr="00092B17" w:rsidRDefault="001826AD" w:rsidP="006B4271">
            <w:pPr>
              <w:rPr>
                <w:rFonts w:cs="Arial"/>
                <w:lang w:val="fr-FR"/>
              </w:rPr>
            </w:pPr>
            <w:r w:rsidRPr="00092B17">
              <w:rPr>
                <w:rFonts w:cs="Arial"/>
                <w:lang w:val="fr-FR"/>
              </w:rPr>
              <w:t>remplacer l’exemple (l’exemple actuel ne correspond pas au Tableau des caractères)</w:t>
            </w:r>
          </w:p>
          <w:p w:rsidR="001826AD" w:rsidRPr="00092B17" w:rsidRDefault="001826AD" w:rsidP="006B4271">
            <w:pPr>
              <w:rPr>
                <w:rFonts w:cs="Arial"/>
                <w:i/>
                <w:lang w:val="fr-FR"/>
              </w:rPr>
            </w:pPr>
            <w:r w:rsidRPr="00092B17">
              <w:rPr>
                <w:rFonts w:cs="Arial"/>
                <w:i/>
                <w:lang w:val="fr-FR"/>
              </w:rPr>
              <w:t>Expert principal : le nom du caractère doit se lire comme suit : “Limbe : largeur”*</w:t>
            </w:r>
          </w:p>
        </w:tc>
      </w:tr>
    </w:tbl>
    <w:p w:rsidR="001826AD" w:rsidRPr="00092B17" w:rsidRDefault="001826AD" w:rsidP="001826AD">
      <w:pPr>
        <w:jc w:val="left"/>
        <w:rPr>
          <w:rFonts w:cs="Arial"/>
          <w:u w:val="single"/>
          <w:lang w:val="fr-FR"/>
        </w:rPr>
      </w:pPr>
    </w:p>
    <w:p w:rsidR="001826AD" w:rsidRPr="00092B17" w:rsidRDefault="001826AD" w:rsidP="001826AD">
      <w:pPr>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r w:rsidRPr="00092B17">
              <w:rPr>
                <w:rFonts w:cs="Arial"/>
                <w:caps w:val="0"/>
                <w:lang w:val="fr-FR"/>
              </w:rPr>
              <w:t>Grevillea (</w:t>
            </w:r>
            <w:r w:rsidRPr="00092B17">
              <w:rPr>
                <w:rFonts w:cs="Arial"/>
                <w:i/>
                <w:caps w:val="0"/>
                <w:lang w:val="fr-FR"/>
              </w:rPr>
              <w:t>Grevillea</w:t>
            </w:r>
            <w:r w:rsidRPr="00092B17">
              <w:rPr>
                <w:rFonts w:cs="Arial"/>
                <w:caps w:val="0"/>
                <w:lang w:val="fr-FR"/>
              </w:rPr>
              <w:t xml:space="preserve"> R. Br. corr. R. Br.)</w:t>
            </w:r>
          </w:p>
        </w:tc>
        <w:tc>
          <w:tcPr>
            <w:tcW w:w="2268" w:type="dxa"/>
            <w:vMerge w:val="restart"/>
            <w:shd w:val="clear" w:color="auto" w:fill="D9D9D9"/>
            <w:vAlign w:val="center"/>
          </w:tcPr>
          <w:p w:rsidR="001826AD" w:rsidRPr="00092B17" w:rsidRDefault="001826AD" w:rsidP="006B4271">
            <w:pPr>
              <w:rPr>
                <w:iCs/>
                <w:snapToGrid w:val="0"/>
                <w:lang w:val="fr-FR"/>
              </w:rPr>
            </w:pPr>
            <w:r w:rsidRPr="00092B17">
              <w:rPr>
                <w:lang w:val="fr-FR"/>
              </w:rPr>
              <w:t>TG/</w:t>
            </w:r>
            <w:proofErr w:type="gramStart"/>
            <w:r w:rsidRPr="00092B17">
              <w:rPr>
                <w:lang w:val="fr-FR"/>
              </w:rPr>
              <w:t>GREVI(</w:t>
            </w:r>
            <w:proofErr w:type="gramEnd"/>
            <w:r w:rsidRPr="00092B17">
              <w:rPr>
                <w:lang w:val="fr-FR"/>
              </w:rPr>
              <w:t>proj.4)</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autoSpaceDE w:val="0"/>
        <w:autoSpaceDN w:val="0"/>
        <w:adjustRightInd w:val="0"/>
        <w:ind w:firstLine="567"/>
        <w:rPr>
          <w:rFonts w:ascii="ArialMT" w:hAnsi="ArialMT" w:cs="ArialMT"/>
          <w:lang w:val="fr-FR"/>
        </w:rPr>
      </w:pPr>
    </w:p>
    <w:p w:rsidR="001826AD" w:rsidRPr="00092B17" w:rsidRDefault="001826AD" w:rsidP="001826AD">
      <w:pPr>
        <w:keepNext/>
        <w:autoSpaceDE w:val="0"/>
        <w:autoSpaceDN w:val="0"/>
        <w:adjustRightInd w:val="0"/>
        <w:ind w:firstLine="567"/>
        <w:rPr>
          <w:rFonts w:cs="Arial"/>
          <w:lang w:val="fr-FR"/>
        </w:rPr>
      </w:pPr>
      <w:r w:rsidRPr="00092B17">
        <w:rPr>
          <w:rFonts w:cs="Arial"/>
          <w:lang w:val="fr-FR"/>
        </w:rPr>
        <w:t>À sa réunion tenue à Genève les 6 et 7 janvier 2016, le TC</w:t>
      </w:r>
      <w:r w:rsidRPr="00092B17">
        <w:rPr>
          <w:rFonts w:cs="Arial"/>
          <w:lang w:val="fr-FR"/>
        </w:rPr>
        <w:noBreakHyphen/>
        <w:t>EDC a examiné le document TG/</w:t>
      </w:r>
      <w:proofErr w:type="gramStart"/>
      <w:r w:rsidRPr="00092B17">
        <w:rPr>
          <w:rFonts w:cs="Arial"/>
          <w:lang w:val="fr-FR"/>
        </w:rPr>
        <w:t>GREVI(</w:t>
      </w:r>
      <w:proofErr w:type="gramEnd"/>
      <w:r w:rsidRPr="00092B17">
        <w:rPr>
          <w:rFonts w:cs="Arial"/>
          <w:lang w:val="fr-FR"/>
        </w:rPr>
        <w:t>proj.4).</w:t>
      </w:r>
    </w:p>
    <w:p w:rsidR="001826AD" w:rsidRPr="00092B17" w:rsidRDefault="001826AD" w:rsidP="001826AD">
      <w:pPr>
        <w:rPr>
          <w:rFonts w:cs="Arial"/>
          <w:lang w:val="fr-FR"/>
        </w:rPr>
      </w:pPr>
    </w:p>
    <w:p w:rsidR="001826AD" w:rsidRPr="00092B17" w:rsidRDefault="001826AD" w:rsidP="001826AD">
      <w:pPr>
        <w:ind w:firstLine="567"/>
        <w:rPr>
          <w:rFonts w:cs="Arial"/>
          <w:lang w:val="fr-FR"/>
        </w:rPr>
      </w:pPr>
      <w:r w:rsidRPr="00092B17">
        <w:rPr>
          <w:rFonts w:cs="Arial"/>
          <w:lang w:val="fr-FR"/>
        </w:rPr>
        <w:t xml:space="preserve">L’expert principal, M. Nik Hulse (Australie), en accord avec le président du TWO, M. Kenji </w:t>
      </w:r>
      <w:proofErr w:type="spellStart"/>
      <w:r w:rsidRPr="00092B17">
        <w:rPr>
          <w:rFonts w:cs="Arial"/>
          <w:lang w:val="fr-FR"/>
        </w:rPr>
        <w:t>Numaguchi</w:t>
      </w:r>
      <w:proofErr w:type="spellEnd"/>
      <w:r w:rsidRPr="00092B17">
        <w:rPr>
          <w:rFonts w:cs="Arial"/>
          <w:lang w:val="fr-FR"/>
        </w:rPr>
        <w:t xml:space="preserve"> (Japon), a demandé que le projet de principes directeurs d’examen pour le </w:t>
      </w:r>
      <w:proofErr w:type="spellStart"/>
      <w:r w:rsidRPr="00092B17">
        <w:rPr>
          <w:rFonts w:cs="Arial"/>
          <w:lang w:val="fr-FR"/>
        </w:rPr>
        <w:t>Grevilllea</w:t>
      </w:r>
      <w:proofErr w:type="spellEnd"/>
      <w:r w:rsidRPr="00092B17">
        <w:rPr>
          <w:rFonts w:cs="Arial"/>
          <w:lang w:val="fr-FR"/>
        </w:rPr>
        <w:t xml:space="preserve"> (</w:t>
      </w:r>
      <w:r w:rsidRPr="00092B17">
        <w:rPr>
          <w:rFonts w:cs="Arial"/>
          <w:i/>
          <w:lang w:val="fr-FR"/>
        </w:rPr>
        <w:t>Grevillea</w:t>
      </w:r>
      <w:r w:rsidRPr="00092B17">
        <w:rPr>
          <w:rFonts w:cs="Arial"/>
          <w:lang w:val="fr-FR"/>
        </w:rPr>
        <w:t xml:space="preserve"> R. Br. corr. R. Br.) soit réexaminé par le TWO à sa quarante</w:t>
      </w:r>
      <w:r w:rsidRPr="00092B17">
        <w:rPr>
          <w:rFonts w:cs="Arial"/>
          <w:lang w:val="fr-FR"/>
        </w:rPr>
        <w:noBreakHyphen/>
        <w:t>neuvième session afin de clarifier les caractères de la feuille.</w:t>
      </w:r>
    </w:p>
    <w:p w:rsidR="001826AD" w:rsidRPr="00092B17" w:rsidRDefault="001826AD" w:rsidP="001826AD">
      <w:pPr>
        <w:autoSpaceDE w:val="0"/>
        <w:autoSpaceDN w:val="0"/>
        <w:adjustRightInd w:val="0"/>
        <w:ind w:firstLine="567"/>
        <w:rPr>
          <w:lang w:val="fr-FR"/>
        </w:rPr>
      </w:pPr>
    </w:p>
    <w:p w:rsidR="001826AD" w:rsidRPr="00092B17" w:rsidRDefault="001826AD" w:rsidP="001826AD">
      <w:pPr>
        <w:autoSpaceDE w:val="0"/>
        <w:autoSpaceDN w:val="0"/>
        <w:adjustRightInd w:val="0"/>
        <w:ind w:firstLine="567"/>
        <w:rPr>
          <w:rFonts w:cs="Arial"/>
          <w:lang w:val="fr-FR"/>
        </w:rPr>
      </w:pPr>
      <w:r w:rsidRPr="00092B17">
        <w:rPr>
          <w:rFonts w:ascii="ArialMT" w:hAnsi="ArialMT" w:cs="ArialMT"/>
          <w:lang w:val="fr-FR"/>
        </w:rPr>
        <w:t>Les modifications apportées au document TG/</w:t>
      </w:r>
      <w:proofErr w:type="gramStart"/>
      <w:r w:rsidRPr="00092B17">
        <w:rPr>
          <w:rFonts w:ascii="ArialMT" w:hAnsi="ArialMT" w:cs="ArialMT"/>
          <w:lang w:val="fr-FR"/>
        </w:rPr>
        <w:t>GREVI(</w:t>
      </w:r>
      <w:proofErr w:type="gramEnd"/>
      <w:r w:rsidRPr="00092B17">
        <w:rPr>
          <w:rFonts w:ascii="ArialMT" w:hAnsi="ArialMT" w:cs="ArialMT"/>
          <w:lang w:val="fr-FR"/>
        </w:rPr>
        <w:t xml:space="preserve">proj.4) sur la base des observations reçues de la part des membres du Comité de rédaction élargi en janvier 2016 doivent être incluses dans le projet de principes directeurs d’examen (document </w:t>
      </w:r>
      <w:r w:rsidRPr="00092B17">
        <w:rPr>
          <w:lang w:val="fr-FR"/>
        </w:rPr>
        <w:t>TG/GREVI(proj.5)</w:t>
      </w:r>
      <w:r w:rsidRPr="00092B17">
        <w:rPr>
          <w:rFonts w:ascii="ArialMT" w:hAnsi="ArialMT" w:cs="ArialMT"/>
          <w:lang w:val="fr-FR"/>
        </w:rPr>
        <w:t>), pour examen par le TWO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5.3</w:t>
            </w:r>
          </w:p>
        </w:tc>
        <w:tc>
          <w:tcPr>
            <w:tcW w:w="7925" w:type="dxa"/>
          </w:tcPr>
          <w:p w:rsidR="001826AD" w:rsidRPr="00092B17" w:rsidRDefault="001826AD" w:rsidP="006B4271">
            <w:pPr>
              <w:keepNext/>
              <w:rPr>
                <w:rFonts w:cs="Arial"/>
                <w:lang w:val="fr-FR"/>
              </w:rPr>
            </w:pPr>
            <w:r w:rsidRPr="00092B17">
              <w:rPr>
                <w:rFonts w:cs="Arial"/>
                <w:lang w:val="fr-FR"/>
              </w:rPr>
              <w:t xml:space="preserve">ajouter des groupes de couleur sous 5.3 (e) </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Tableau des caractères</w:t>
            </w:r>
          </w:p>
        </w:tc>
        <w:tc>
          <w:tcPr>
            <w:tcW w:w="7925" w:type="dxa"/>
            <w:shd w:val="clear" w:color="auto" w:fill="auto"/>
          </w:tcPr>
          <w:p w:rsidR="001826AD" w:rsidRPr="00092B17" w:rsidRDefault="001826AD" w:rsidP="006B4271">
            <w:pPr>
              <w:keepNext/>
              <w:rPr>
                <w:rFonts w:cs="Arial"/>
                <w:lang w:val="fr-FR"/>
              </w:rPr>
            </w:pPr>
            <w:r w:rsidRPr="00092B17">
              <w:rPr>
                <w:rFonts w:cs="Arial"/>
                <w:lang w:val="fr-FR"/>
              </w:rPr>
              <w:t>présentation des caractères des feuilles :</w:t>
            </w:r>
          </w:p>
          <w:p w:rsidR="001826AD" w:rsidRPr="00092B17" w:rsidRDefault="001826AD" w:rsidP="006B4271">
            <w:pPr>
              <w:keepNext/>
              <w:rPr>
                <w:rFonts w:cs="Arial"/>
                <w:lang w:val="fr-FR"/>
              </w:rPr>
            </w:pPr>
            <w:r w:rsidRPr="00092B17">
              <w:rPr>
                <w:rFonts w:cs="Arial"/>
                <w:lang w:val="fr-FR"/>
              </w:rPr>
              <w:t>– définir la division du limbe et les différences de découpures (limbes entiers et limbes divisés)</w:t>
            </w:r>
          </w:p>
          <w:p w:rsidR="001826AD" w:rsidRPr="00092B17" w:rsidRDefault="001826AD" w:rsidP="006B4271">
            <w:pPr>
              <w:keepNext/>
              <w:rPr>
                <w:rFonts w:cs="Arial"/>
                <w:lang w:val="fr-FR"/>
              </w:rPr>
            </w:pPr>
            <w:r w:rsidRPr="00092B17">
              <w:rPr>
                <w:rFonts w:cs="Arial"/>
                <w:lang w:val="fr-FR"/>
              </w:rPr>
              <w:t>– clarifier quels caractères appliquer à chaque type de limbe</w:t>
            </w:r>
          </w:p>
          <w:p w:rsidR="001826AD" w:rsidRPr="00092B17" w:rsidRDefault="001826AD" w:rsidP="006B4271">
            <w:pPr>
              <w:keepNext/>
              <w:rPr>
                <w:rFonts w:cs="Arial"/>
                <w:lang w:val="fr-FR"/>
              </w:rPr>
            </w:pPr>
            <w:r w:rsidRPr="00092B17">
              <w:rPr>
                <w:rFonts w:cs="Arial"/>
                <w:lang w:val="fr-FR"/>
              </w:rPr>
              <w:t>– vérifier les exemples de variétés (p. ex. “</w:t>
            </w:r>
            <w:proofErr w:type="spellStart"/>
            <w:r w:rsidRPr="00092B17">
              <w:rPr>
                <w:rFonts w:cs="Arial"/>
                <w:lang w:val="fr-FR"/>
              </w:rPr>
              <w:t>Callum’s</w:t>
            </w:r>
            <w:proofErr w:type="spellEnd"/>
            <w:r w:rsidRPr="00092B17">
              <w:rPr>
                <w:rFonts w:cs="Arial"/>
                <w:lang w:val="fr-FR"/>
              </w:rPr>
              <w:t xml:space="preserve"> Gold” figure sous car. 12 pour la division tertiaire du limbe, puis également à titre d’exemple pour limiter les caractères aux variétés avec division primaire du limbe uniquement</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10</w:t>
            </w:r>
          </w:p>
        </w:tc>
        <w:tc>
          <w:tcPr>
            <w:tcW w:w="7925" w:type="dxa"/>
          </w:tcPr>
          <w:p w:rsidR="001826AD" w:rsidRPr="00092B17" w:rsidRDefault="001826AD" w:rsidP="006B4271">
            <w:pPr>
              <w:keepNext/>
              <w:rPr>
                <w:rFonts w:cs="Arial"/>
                <w:lang w:val="fr-FR"/>
              </w:rPr>
            </w:pPr>
            <w:r w:rsidRPr="00092B17">
              <w:rPr>
                <w:rFonts w:cs="Arial"/>
                <w:lang w:val="fr-FR"/>
              </w:rPr>
              <w:t>– libeller “Feuille : limbe”</w:t>
            </w:r>
          </w:p>
          <w:p w:rsidR="001826AD" w:rsidRPr="00092B17" w:rsidRDefault="001826AD" w:rsidP="006B4271">
            <w:pPr>
              <w:keepNext/>
              <w:rPr>
                <w:rFonts w:cs="Arial"/>
                <w:lang w:val="fr-FR"/>
              </w:rPr>
            </w:pPr>
            <w:r w:rsidRPr="00092B17">
              <w:rPr>
                <w:rFonts w:cs="Arial"/>
                <w:lang w:val="fr-FR"/>
              </w:rPr>
              <w:t>– ajouter le niveau 1 “entier” et le niveau 2 “divisé”</w:t>
            </w:r>
          </w:p>
          <w:p w:rsidR="001826AD" w:rsidRPr="00092B17" w:rsidRDefault="001826AD" w:rsidP="006B4271">
            <w:pPr>
              <w:keepNext/>
              <w:rPr>
                <w:rFonts w:cs="Arial"/>
                <w:lang w:val="fr-FR"/>
              </w:rPr>
            </w:pPr>
            <w:r w:rsidRPr="00092B17">
              <w:rPr>
                <w:rFonts w:cs="Arial"/>
                <w:lang w:val="fr-FR"/>
              </w:rPr>
              <w:t>– vérifier s’il convient de le combiner avec car. 12.  Si tel n’est pas le cas, il s’agit clairement d’un QL</w:t>
            </w:r>
          </w:p>
        </w:tc>
      </w:tr>
      <w:tr w:rsidR="001826AD" w:rsidRPr="00092B17" w:rsidTr="006B4271">
        <w:trPr>
          <w:cantSplit/>
        </w:trPr>
        <w:tc>
          <w:tcPr>
            <w:tcW w:w="1573" w:type="dxa"/>
          </w:tcPr>
          <w:p w:rsidR="001826AD" w:rsidRPr="00092B17" w:rsidRDefault="00416E75" w:rsidP="006B4271">
            <w:pPr>
              <w:jc w:val="left"/>
              <w:rPr>
                <w:rFonts w:cs="Arial"/>
                <w:szCs w:val="22"/>
                <w:lang w:val="fr-FR"/>
              </w:rPr>
            </w:pPr>
            <w:r>
              <w:rPr>
                <w:rFonts w:cs="Arial"/>
                <w:szCs w:val="22"/>
                <w:lang w:val="fr-FR"/>
              </w:rPr>
              <w:t xml:space="preserve">car. 12, </w:t>
            </w:r>
            <w:r>
              <w:rPr>
                <w:rFonts w:cs="Arial"/>
                <w:szCs w:val="22"/>
                <w:lang w:val="fr-FR"/>
              </w:rPr>
              <w:br/>
            </w:r>
            <w:r w:rsidR="001826AD" w:rsidRPr="00092B17">
              <w:rPr>
                <w:rFonts w:cs="Arial"/>
                <w:szCs w:val="22"/>
                <w:lang w:val="fr-FR"/>
              </w:rPr>
              <w:t>Ad. 12</w:t>
            </w:r>
          </w:p>
        </w:tc>
        <w:tc>
          <w:tcPr>
            <w:tcW w:w="7925" w:type="dxa"/>
          </w:tcPr>
          <w:p w:rsidR="001826AD" w:rsidRPr="00092B17" w:rsidRDefault="001826AD" w:rsidP="006B4271">
            <w:pPr>
              <w:rPr>
                <w:rFonts w:cs="Arial"/>
                <w:szCs w:val="22"/>
                <w:lang w:val="fr-FR"/>
              </w:rPr>
            </w:pPr>
            <w:r w:rsidRPr="00092B17">
              <w:rPr>
                <w:rFonts w:cs="Arial"/>
                <w:szCs w:val="22"/>
                <w:lang w:val="fr-FR"/>
              </w:rPr>
              <w:t>Feuille : type de découpure;  primaire/secondaire/tertiaire?</w:t>
            </w:r>
          </w:p>
          <w:p w:rsidR="001826AD" w:rsidRPr="00092B17" w:rsidRDefault="001826AD" w:rsidP="006B4271">
            <w:pPr>
              <w:rPr>
                <w:rFonts w:cs="Arial"/>
                <w:szCs w:val="22"/>
                <w:lang w:val="fr-FR"/>
              </w:rPr>
            </w:pPr>
            <w:r w:rsidRPr="00092B17">
              <w:rPr>
                <w:rFonts w:cs="Arial"/>
                <w:szCs w:val="22"/>
                <w:lang w:val="fr-FR"/>
              </w:rPr>
              <w:t>Ad. 12 prête à confusion, n’a pas de lien avec les feuilles présentées sous Ad. 6, 13, 16.</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13</w:t>
            </w:r>
          </w:p>
        </w:tc>
        <w:tc>
          <w:tcPr>
            <w:tcW w:w="7925" w:type="dxa"/>
          </w:tcPr>
          <w:p w:rsidR="001826AD" w:rsidRPr="00092B17" w:rsidRDefault="001826AD" w:rsidP="006B4271">
            <w:pPr>
              <w:keepNext/>
              <w:rPr>
                <w:rFonts w:cs="Arial"/>
                <w:lang w:val="fr-FR"/>
              </w:rPr>
            </w:pPr>
            <w:r w:rsidRPr="00092B17">
              <w:rPr>
                <w:rFonts w:cs="Arial"/>
                <w:lang w:val="fr-FR"/>
              </w:rPr>
              <w:t xml:space="preserve">– vérifier si doit se lire “Feuille : profondeur du sinus </w:t>
            </w:r>
            <w:r w:rsidRPr="00092B17">
              <w:rPr>
                <w:rFonts w:cs="Arial"/>
                <w:u w:val="single"/>
                <w:lang w:val="fr-FR"/>
              </w:rPr>
              <w:t>primaire</w:t>
            </w:r>
            <w:r w:rsidRPr="00092B17">
              <w:rPr>
                <w:rFonts w:cs="Arial"/>
                <w:lang w:val="fr-FR"/>
              </w:rPr>
              <w:t>”</w:t>
            </w:r>
          </w:p>
          <w:p w:rsidR="001826AD" w:rsidRPr="00092B17" w:rsidRDefault="001826AD" w:rsidP="006B4271">
            <w:pPr>
              <w:keepNext/>
              <w:rPr>
                <w:rFonts w:cs="Arial"/>
                <w:lang w:val="fr-FR"/>
              </w:rPr>
            </w:pPr>
            <w:r w:rsidRPr="00092B17">
              <w:rPr>
                <w:rFonts w:cs="Arial"/>
                <w:lang w:val="fr-FR"/>
              </w:rPr>
              <w:t xml:space="preserve">– </w:t>
            </w:r>
            <w:r w:rsidRPr="00092B17">
              <w:rPr>
                <w:rFonts w:cs="Arial"/>
                <w:szCs w:val="22"/>
                <w:lang w:val="fr-FR"/>
              </w:rPr>
              <w:t>les niveaux devraient être libellés comme suit : “peu profond”, “moyen”, “profond”</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car. 13, 18</w:t>
            </w:r>
          </w:p>
        </w:tc>
        <w:tc>
          <w:tcPr>
            <w:tcW w:w="7925" w:type="dxa"/>
          </w:tcPr>
          <w:p w:rsidR="001826AD" w:rsidRPr="00092B17" w:rsidRDefault="001826AD" w:rsidP="006B4271">
            <w:pPr>
              <w:rPr>
                <w:rFonts w:cs="Arial"/>
                <w:szCs w:val="22"/>
                <w:lang w:val="fr-FR"/>
              </w:rPr>
            </w:pPr>
            <w:r w:rsidRPr="00092B17">
              <w:rPr>
                <w:rFonts w:cs="Arial"/>
                <w:szCs w:val="22"/>
                <w:lang w:val="fr-FR"/>
              </w:rPr>
              <w:t xml:space="preserve">clarifier la différence entre </w:t>
            </w:r>
            <w:proofErr w:type="gramStart"/>
            <w:r w:rsidRPr="00092B17">
              <w:rPr>
                <w:rFonts w:cs="Arial"/>
                <w:szCs w:val="22"/>
                <w:lang w:val="fr-FR"/>
              </w:rPr>
              <w:t>les car</w:t>
            </w:r>
            <w:proofErr w:type="gramEnd"/>
            <w:r w:rsidRPr="00092B17">
              <w:rPr>
                <w:rFonts w:cs="Arial"/>
                <w:szCs w:val="22"/>
                <w:lang w:val="fr-FR"/>
              </w:rPr>
              <w:t>. 13 et 18</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14</w:t>
            </w:r>
          </w:p>
        </w:tc>
        <w:tc>
          <w:tcPr>
            <w:tcW w:w="7925" w:type="dxa"/>
          </w:tcPr>
          <w:p w:rsidR="001826AD" w:rsidRPr="00092B17" w:rsidRDefault="001826AD" w:rsidP="006B4271">
            <w:pPr>
              <w:keepNext/>
              <w:rPr>
                <w:rFonts w:cs="Arial"/>
                <w:lang w:val="fr-FR"/>
              </w:rPr>
            </w:pPr>
            <w:r w:rsidRPr="00092B17">
              <w:rPr>
                <w:rFonts w:cs="Arial"/>
                <w:lang w:val="fr-FR"/>
              </w:rPr>
              <w:t xml:space="preserve">vérifier si doit se lire “Feuille : nombre de lobes </w:t>
            </w:r>
            <w:r w:rsidRPr="00092B17">
              <w:rPr>
                <w:rFonts w:cs="Arial"/>
                <w:u w:val="single"/>
                <w:lang w:val="fr-FR"/>
              </w:rPr>
              <w:t>primaires</w:t>
            </w:r>
            <w:r w:rsidRPr="00092B17">
              <w:rPr>
                <w:rFonts w:cs="Arial"/>
                <w:lang w:val="fr-FR"/>
              </w:rPr>
              <w:t>”</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car. 15, 21</w:t>
            </w:r>
          </w:p>
          <w:p w:rsidR="001826AD" w:rsidRPr="00092B17" w:rsidRDefault="001826AD" w:rsidP="006B4271">
            <w:pPr>
              <w:rPr>
                <w:rFonts w:cs="Arial"/>
                <w:szCs w:val="22"/>
                <w:lang w:val="fr-FR"/>
              </w:rPr>
            </w:pPr>
            <w:r w:rsidRPr="00092B17">
              <w:rPr>
                <w:rFonts w:cs="Arial"/>
                <w:szCs w:val="22"/>
                <w:lang w:val="fr-FR"/>
              </w:rPr>
              <w:t>Ad. 15 et 21</w:t>
            </w:r>
          </w:p>
        </w:tc>
        <w:tc>
          <w:tcPr>
            <w:tcW w:w="7925" w:type="dxa"/>
          </w:tcPr>
          <w:p w:rsidR="001826AD" w:rsidRPr="00092B17" w:rsidRDefault="001826AD" w:rsidP="006B4271">
            <w:pPr>
              <w:rPr>
                <w:rFonts w:cs="Arial"/>
                <w:szCs w:val="22"/>
                <w:lang w:val="fr-FR"/>
              </w:rPr>
            </w:pPr>
            <w:r w:rsidRPr="00092B17">
              <w:rPr>
                <w:rFonts w:cs="Arial"/>
                <w:szCs w:val="22"/>
                <w:lang w:val="fr-FR"/>
              </w:rPr>
              <w:t>clarifier si les deux caractères s’appliquent à la même feuille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16</w:t>
            </w:r>
          </w:p>
        </w:tc>
        <w:tc>
          <w:tcPr>
            <w:tcW w:w="7925" w:type="dxa"/>
          </w:tcPr>
          <w:p w:rsidR="001826AD" w:rsidRPr="00092B17" w:rsidRDefault="001826AD" w:rsidP="006B4271">
            <w:pPr>
              <w:keepNext/>
              <w:rPr>
                <w:rFonts w:cs="Arial"/>
                <w:lang w:val="fr-FR"/>
              </w:rPr>
            </w:pPr>
            <w:r w:rsidRPr="00092B17">
              <w:rPr>
                <w:rFonts w:cs="Arial"/>
                <w:lang w:val="fr-FR"/>
              </w:rPr>
              <w:t>le niveau 3 doit être libellé comme suit : “tronqué”</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18</w:t>
            </w:r>
          </w:p>
        </w:tc>
        <w:tc>
          <w:tcPr>
            <w:tcW w:w="7925" w:type="dxa"/>
          </w:tcPr>
          <w:p w:rsidR="001826AD" w:rsidRPr="00092B17" w:rsidRDefault="001826AD" w:rsidP="006B4271">
            <w:pPr>
              <w:keepNext/>
              <w:rPr>
                <w:rFonts w:cs="Arial"/>
                <w:lang w:val="fr-FR"/>
              </w:rPr>
            </w:pPr>
            <w:r w:rsidRPr="00092B17">
              <w:rPr>
                <w:rFonts w:cs="Arial"/>
                <w:lang w:val="fr-FR"/>
              </w:rPr>
              <w:t xml:space="preserve">– vérifier si doit se lire “Feuille : longueur du lobe </w:t>
            </w:r>
            <w:r w:rsidRPr="00092B17">
              <w:rPr>
                <w:rFonts w:cs="Arial"/>
                <w:u w:val="single"/>
                <w:lang w:val="fr-FR"/>
              </w:rPr>
              <w:t>primaire</w:t>
            </w:r>
            <w:r w:rsidRPr="00092B17">
              <w:rPr>
                <w:rFonts w:cs="Arial"/>
                <w:lang w:val="fr-FR"/>
              </w:rPr>
              <w:t>”</w:t>
            </w:r>
          </w:p>
          <w:p w:rsidR="001826AD" w:rsidRPr="00092B17" w:rsidRDefault="001826AD" w:rsidP="006B4271">
            <w:pPr>
              <w:keepNext/>
              <w:rPr>
                <w:rFonts w:cs="Arial"/>
                <w:lang w:val="fr-FR"/>
              </w:rPr>
            </w:pPr>
            <w:r w:rsidRPr="00092B17">
              <w:rPr>
                <w:rFonts w:cs="Arial"/>
                <w:lang w:val="fr-FR"/>
              </w:rPr>
              <w:t>– indiquer sur quelle partie de la feuille doit être observé (tiers médian?)</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19</w:t>
            </w:r>
          </w:p>
        </w:tc>
        <w:tc>
          <w:tcPr>
            <w:tcW w:w="7925" w:type="dxa"/>
          </w:tcPr>
          <w:p w:rsidR="001826AD" w:rsidRPr="00092B17" w:rsidRDefault="001826AD" w:rsidP="006B4271">
            <w:pPr>
              <w:keepNext/>
              <w:rPr>
                <w:rFonts w:cs="Arial"/>
                <w:lang w:val="fr-FR"/>
              </w:rPr>
            </w:pPr>
            <w:r w:rsidRPr="00092B17">
              <w:rPr>
                <w:rFonts w:cs="Arial"/>
                <w:lang w:val="fr-FR"/>
              </w:rPr>
              <w:t xml:space="preserve">– vérifier si doit se lire “Feuille : largeur du lobe </w:t>
            </w:r>
            <w:r w:rsidRPr="00092B17">
              <w:rPr>
                <w:rFonts w:cs="Arial"/>
                <w:u w:val="single"/>
                <w:lang w:val="fr-FR"/>
              </w:rPr>
              <w:t>primaire</w:t>
            </w:r>
            <w:r w:rsidRPr="00092B17">
              <w:rPr>
                <w:rFonts w:cs="Arial"/>
                <w:lang w:val="fr-FR"/>
              </w:rPr>
              <w:t>”</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car. 27</w:t>
            </w:r>
          </w:p>
        </w:tc>
        <w:tc>
          <w:tcPr>
            <w:tcW w:w="7925" w:type="dxa"/>
          </w:tcPr>
          <w:p w:rsidR="001826AD" w:rsidRPr="00092B17" w:rsidRDefault="001826AD" w:rsidP="006B4271">
            <w:pPr>
              <w:rPr>
                <w:rFonts w:cs="Arial"/>
                <w:szCs w:val="22"/>
                <w:lang w:val="fr-FR"/>
              </w:rPr>
            </w:pPr>
            <w:r w:rsidRPr="00092B17">
              <w:rPr>
                <w:rFonts w:cs="Arial"/>
                <w:szCs w:val="22"/>
                <w:lang w:val="fr-FR"/>
              </w:rPr>
              <w:t>Devrait être replacé après car. 7</w:t>
            </w:r>
          </w:p>
          <w:p w:rsidR="001826AD" w:rsidRPr="00092B17" w:rsidRDefault="001826AD" w:rsidP="006B4271">
            <w:pPr>
              <w:rPr>
                <w:rFonts w:cs="Arial"/>
                <w:szCs w:val="22"/>
                <w:lang w:val="fr-FR"/>
              </w:rPr>
            </w:pPr>
            <w:r w:rsidRPr="00092B17">
              <w:rPr>
                <w:rFonts w:cs="Arial"/>
                <w:szCs w:val="22"/>
                <w:lang w:val="fr-FR"/>
              </w:rPr>
              <w:t>Voir l’observation sous Ad. 6</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28</w:t>
            </w:r>
          </w:p>
        </w:tc>
        <w:tc>
          <w:tcPr>
            <w:tcW w:w="7925" w:type="dxa"/>
          </w:tcPr>
          <w:p w:rsidR="001826AD" w:rsidRPr="00092B17" w:rsidRDefault="001826AD" w:rsidP="006B4271">
            <w:pPr>
              <w:keepNext/>
              <w:rPr>
                <w:rFonts w:cs="Arial"/>
                <w:lang w:val="fr-FR"/>
              </w:rPr>
            </w:pPr>
            <w:r w:rsidRPr="00092B17">
              <w:rPr>
                <w:rFonts w:cs="Arial"/>
                <w:lang w:val="fr-FR"/>
              </w:rPr>
              <w:t>à indiquer comme QN</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33</w:t>
            </w:r>
          </w:p>
        </w:tc>
        <w:tc>
          <w:tcPr>
            <w:tcW w:w="7925" w:type="dxa"/>
          </w:tcPr>
          <w:p w:rsidR="001826AD" w:rsidRPr="00092B17" w:rsidRDefault="001826AD" w:rsidP="006B4271">
            <w:pPr>
              <w:keepNext/>
              <w:rPr>
                <w:rFonts w:cs="Arial"/>
                <w:lang w:val="fr-FR"/>
              </w:rPr>
            </w:pPr>
            <w:r w:rsidRPr="00092B17">
              <w:rPr>
                <w:rFonts w:cs="Arial"/>
                <w:lang w:val="fr-FR"/>
              </w:rPr>
              <w:t>– “irrégulier” n’est pas un type</w:t>
            </w:r>
          </w:p>
          <w:p w:rsidR="001826AD" w:rsidRPr="00092B17" w:rsidRDefault="001826AD" w:rsidP="006B4271">
            <w:pPr>
              <w:keepNext/>
              <w:rPr>
                <w:rFonts w:cs="Arial"/>
                <w:lang w:val="fr-FR"/>
              </w:rPr>
            </w:pPr>
            <w:r w:rsidRPr="00092B17">
              <w:rPr>
                <w:rFonts w:cs="Arial"/>
                <w:lang w:val="fr-FR"/>
              </w:rPr>
              <w:t>– le niveau 6 doit être libellé comme suit : “ovale”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34</w:t>
            </w:r>
          </w:p>
        </w:tc>
        <w:tc>
          <w:tcPr>
            <w:tcW w:w="7925" w:type="dxa"/>
          </w:tcPr>
          <w:p w:rsidR="001826AD" w:rsidRPr="00092B17" w:rsidRDefault="001826AD" w:rsidP="006B4271">
            <w:pPr>
              <w:keepNext/>
              <w:rPr>
                <w:rFonts w:cs="Arial"/>
                <w:lang w:val="fr-FR"/>
              </w:rPr>
            </w:pPr>
            <w:r w:rsidRPr="00092B17">
              <w:rPr>
                <w:rFonts w:cs="Arial"/>
                <w:lang w:val="fr-FR"/>
              </w:rPr>
              <w:t>– vérifier s’il convient d’inverser l’ordre des niveaux suivants : niveau 2 “basipète” et niveau 3 “synchrone”</w:t>
            </w:r>
          </w:p>
          <w:p w:rsidR="001826AD" w:rsidRPr="00092B17" w:rsidRDefault="001826AD" w:rsidP="006B4271">
            <w:pPr>
              <w:keepNext/>
              <w:rPr>
                <w:rFonts w:cs="Arial"/>
                <w:lang w:val="fr-FR"/>
              </w:rPr>
            </w:pPr>
            <w:r w:rsidRPr="00092B17">
              <w:rPr>
                <w:rFonts w:cs="Arial"/>
                <w:lang w:val="fr-FR"/>
              </w:rPr>
              <w:t>– vérifier s’il s’agit réellement d’un QL</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35, 43, 62</w:t>
            </w:r>
          </w:p>
        </w:tc>
        <w:tc>
          <w:tcPr>
            <w:tcW w:w="7925" w:type="dxa"/>
          </w:tcPr>
          <w:p w:rsidR="001826AD" w:rsidRPr="00092B17" w:rsidRDefault="001826AD" w:rsidP="006B4271">
            <w:pPr>
              <w:keepNext/>
              <w:rPr>
                <w:rFonts w:cs="Arial"/>
                <w:lang w:val="fr-FR"/>
              </w:rPr>
            </w:pPr>
            <w:r w:rsidRPr="00092B17">
              <w:rPr>
                <w:rFonts w:cs="Arial"/>
                <w:lang w:val="fr-FR"/>
              </w:rPr>
              <w:t>vérifier s’il y a des exemples de variétés pour le niveau 7 “noir” ou s’il pourrait être supprimé</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car. 36, 37</w:t>
            </w:r>
          </w:p>
        </w:tc>
        <w:tc>
          <w:tcPr>
            <w:tcW w:w="7925" w:type="dxa"/>
          </w:tcPr>
          <w:p w:rsidR="001826AD" w:rsidRPr="00092B17" w:rsidRDefault="001826AD" w:rsidP="006B4271">
            <w:pPr>
              <w:rPr>
                <w:rFonts w:cs="Arial"/>
                <w:szCs w:val="22"/>
                <w:lang w:val="fr-FR"/>
              </w:rPr>
            </w:pPr>
            <w:r w:rsidRPr="00092B17">
              <w:rPr>
                <w:rFonts w:cs="Arial"/>
                <w:szCs w:val="22"/>
                <w:lang w:val="fr-FR"/>
              </w:rPr>
              <w:t>L’un des deux peut être supprimé (voir aussi car. 31)</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39</w:t>
            </w:r>
          </w:p>
        </w:tc>
        <w:tc>
          <w:tcPr>
            <w:tcW w:w="7925" w:type="dxa"/>
          </w:tcPr>
          <w:p w:rsidR="001826AD" w:rsidRPr="00092B17" w:rsidRDefault="001826AD" w:rsidP="006B4271">
            <w:pPr>
              <w:keepNext/>
              <w:rPr>
                <w:rFonts w:cs="Arial"/>
                <w:lang w:val="fr-FR"/>
              </w:rPr>
            </w:pPr>
            <w:r w:rsidRPr="00092B17">
              <w:rPr>
                <w:rFonts w:cs="Arial"/>
                <w:lang w:val="fr-FR"/>
              </w:rPr>
              <w:t>libeller les niveaux comme suit : (1) vers le haut, (2) perpendiculaire, (3) vers le bas</w:t>
            </w:r>
          </w:p>
        </w:tc>
      </w:tr>
      <w:tr w:rsidR="001826AD" w:rsidRPr="00092B17" w:rsidTr="006B4271">
        <w:trPr>
          <w:cantSplit/>
        </w:trPr>
        <w:tc>
          <w:tcPr>
            <w:tcW w:w="1573" w:type="dxa"/>
          </w:tcPr>
          <w:p w:rsidR="001826AD" w:rsidRPr="00092B17" w:rsidRDefault="001826AD" w:rsidP="006B4271">
            <w:pPr>
              <w:rPr>
                <w:rFonts w:cs="Arial"/>
                <w:szCs w:val="22"/>
                <w:lang w:val="fr-FR"/>
              </w:rPr>
            </w:pPr>
            <w:r w:rsidRPr="00092B17">
              <w:rPr>
                <w:rFonts w:cs="Arial"/>
                <w:szCs w:val="22"/>
                <w:lang w:val="fr-FR"/>
              </w:rPr>
              <w:t>car. 43</w:t>
            </w:r>
          </w:p>
        </w:tc>
        <w:tc>
          <w:tcPr>
            <w:tcW w:w="7925" w:type="dxa"/>
          </w:tcPr>
          <w:p w:rsidR="001826AD" w:rsidRPr="00092B17" w:rsidRDefault="001826AD" w:rsidP="006B4271">
            <w:pPr>
              <w:rPr>
                <w:rFonts w:cs="Arial"/>
                <w:szCs w:val="22"/>
                <w:lang w:val="fr-FR"/>
              </w:rPr>
            </w:pPr>
            <w:r w:rsidRPr="00092B17">
              <w:rPr>
                <w:rFonts w:cs="Arial"/>
                <w:szCs w:val="22"/>
                <w:lang w:val="fr-FR"/>
              </w:rPr>
              <w:t>supprimer (voir car. 50)</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48, 49</w:t>
            </w:r>
          </w:p>
        </w:tc>
        <w:tc>
          <w:tcPr>
            <w:tcW w:w="7925" w:type="dxa"/>
          </w:tcPr>
          <w:p w:rsidR="001826AD" w:rsidRPr="00092B17" w:rsidRDefault="001826AD" w:rsidP="006B4271">
            <w:pPr>
              <w:keepNext/>
              <w:rPr>
                <w:rFonts w:cs="Arial"/>
                <w:lang w:val="fr-FR"/>
              </w:rPr>
            </w:pPr>
            <w:r w:rsidRPr="00092B17">
              <w:rPr>
                <w:rFonts w:cs="Arial"/>
                <w:lang w:val="fr-FR"/>
              </w:rPr>
              <w:t>vérifier si “cohérence” est le terme correct</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53</w:t>
            </w:r>
          </w:p>
        </w:tc>
        <w:tc>
          <w:tcPr>
            <w:tcW w:w="7925" w:type="dxa"/>
          </w:tcPr>
          <w:p w:rsidR="001826AD" w:rsidRPr="00092B17" w:rsidRDefault="001826AD" w:rsidP="006B4271">
            <w:pPr>
              <w:keepNext/>
              <w:rPr>
                <w:rFonts w:cs="Arial"/>
                <w:lang w:val="fr-FR"/>
              </w:rPr>
            </w:pPr>
            <w:r w:rsidRPr="00092B17">
              <w:rPr>
                <w:rFonts w:cs="Arial"/>
                <w:lang w:val="fr-FR"/>
              </w:rPr>
              <w:t>libeller comme suit : “fortement courbé”</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58</w:t>
            </w:r>
          </w:p>
        </w:tc>
        <w:tc>
          <w:tcPr>
            <w:tcW w:w="7925" w:type="dxa"/>
          </w:tcPr>
          <w:p w:rsidR="001826AD" w:rsidRPr="00092B17" w:rsidRDefault="001826AD" w:rsidP="006B4271">
            <w:pPr>
              <w:keepNext/>
              <w:rPr>
                <w:rFonts w:cs="Arial"/>
                <w:lang w:val="fr-FR"/>
              </w:rPr>
            </w:pPr>
            <w:r w:rsidRPr="00092B17">
              <w:rPr>
                <w:rFonts w:cs="Arial"/>
                <w:lang w:val="fr-FR"/>
              </w:rPr>
              <w:t xml:space="preserve">dans la version anglaise, libeller “Pistil: </w:t>
            </w:r>
            <w:proofErr w:type="spellStart"/>
            <w:r w:rsidRPr="00092B17">
              <w:rPr>
                <w:rFonts w:cs="Arial"/>
                <w:lang w:val="fr-FR"/>
              </w:rPr>
              <w:t>length</w:t>
            </w:r>
            <w:proofErr w:type="spellEnd"/>
            <w:r w:rsidRPr="00092B17">
              <w:rPr>
                <w:rFonts w:cs="Arial"/>
                <w:lang w:val="fr-FR"/>
              </w:rPr>
              <w:t xml:space="preserve"> in relation </w:t>
            </w:r>
            <w:r w:rsidRPr="00092B17">
              <w:rPr>
                <w:rFonts w:cs="Arial"/>
                <w:u w:val="single"/>
                <w:lang w:val="fr-FR"/>
              </w:rPr>
              <w:t>to</w:t>
            </w:r>
            <w:r w:rsidRPr="00092B17">
              <w:rPr>
                <w:rFonts w:cs="Arial"/>
                <w:lang w:val="fr-FR"/>
              </w:rPr>
              <w:t xml:space="preserve"> </w:t>
            </w:r>
            <w:proofErr w:type="spellStart"/>
            <w:r w:rsidRPr="00092B17">
              <w:rPr>
                <w:rFonts w:cs="Arial"/>
                <w:lang w:val="fr-FR"/>
              </w:rPr>
              <w:t>perianth</w:t>
            </w:r>
            <w:proofErr w:type="spellEnd"/>
            <w:r w:rsidRPr="00092B17">
              <w:rPr>
                <w:rFonts w:cs="Arial"/>
                <w:lang w:val="fr-FR"/>
              </w:rPr>
              <w:t>”</w:t>
            </w:r>
          </w:p>
        </w:tc>
      </w:tr>
      <w:tr w:rsidR="001826AD" w:rsidRPr="00092B17" w:rsidTr="006B4271">
        <w:trPr>
          <w:cantSplit/>
        </w:trPr>
        <w:tc>
          <w:tcPr>
            <w:tcW w:w="1573" w:type="dxa"/>
          </w:tcPr>
          <w:p w:rsidR="001826AD" w:rsidRPr="00092B17" w:rsidRDefault="001826AD" w:rsidP="006B4271">
            <w:pPr>
              <w:rPr>
                <w:rFonts w:cs="Arial"/>
                <w:lang w:val="fr-FR"/>
              </w:rPr>
            </w:pPr>
            <w:r w:rsidRPr="00092B17">
              <w:rPr>
                <w:rFonts w:cs="Arial"/>
                <w:lang w:val="fr-FR"/>
              </w:rPr>
              <w:t>8.1 (b)</w:t>
            </w:r>
          </w:p>
        </w:tc>
        <w:tc>
          <w:tcPr>
            <w:tcW w:w="7925" w:type="dxa"/>
          </w:tcPr>
          <w:p w:rsidR="001826AD" w:rsidRPr="00092B17" w:rsidRDefault="001826AD" w:rsidP="006B4271">
            <w:pPr>
              <w:rPr>
                <w:rFonts w:cs="Arial"/>
                <w:lang w:val="fr-FR"/>
              </w:rPr>
            </w:pPr>
            <w:r w:rsidRPr="00092B17">
              <w:rPr>
                <w:rFonts w:cs="Arial"/>
                <w:lang w:val="fr-FR"/>
              </w:rPr>
              <w:t>S’applique uniquement au car. 4.  Doit être replacé sous Ad.4</w:t>
            </w:r>
          </w:p>
        </w:tc>
      </w:tr>
      <w:tr w:rsidR="001826AD" w:rsidRPr="00092B17" w:rsidTr="006B4271">
        <w:trPr>
          <w:cantSplit/>
        </w:trPr>
        <w:tc>
          <w:tcPr>
            <w:tcW w:w="1573" w:type="dxa"/>
          </w:tcPr>
          <w:p w:rsidR="001826AD" w:rsidRPr="00092B17" w:rsidRDefault="001826AD" w:rsidP="006B4271">
            <w:pPr>
              <w:rPr>
                <w:rFonts w:cs="Arial"/>
                <w:lang w:val="fr-FR"/>
              </w:rPr>
            </w:pPr>
            <w:r w:rsidRPr="00092B17">
              <w:rPr>
                <w:rFonts w:cs="Arial"/>
                <w:lang w:val="fr-FR"/>
              </w:rPr>
              <w:t>8.1 (c)</w:t>
            </w:r>
          </w:p>
        </w:tc>
        <w:tc>
          <w:tcPr>
            <w:tcW w:w="7925" w:type="dxa"/>
          </w:tcPr>
          <w:p w:rsidR="001826AD" w:rsidRPr="00092B17" w:rsidRDefault="001826AD" w:rsidP="006B4271">
            <w:pPr>
              <w:rPr>
                <w:rFonts w:cs="Arial"/>
                <w:lang w:val="fr-FR"/>
              </w:rPr>
            </w:pPr>
            <w:r w:rsidRPr="00092B17">
              <w:rPr>
                <w:rFonts w:cs="Arial"/>
                <w:lang w:val="fr-FR"/>
              </w:rPr>
              <w:t xml:space="preserve">– Les indications doivent être vérifiées, p. ex. 7 n’est pas </w:t>
            </w:r>
            <w:proofErr w:type="gramStart"/>
            <w:r w:rsidRPr="00092B17">
              <w:rPr>
                <w:rFonts w:cs="Arial"/>
                <w:lang w:val="fr-FR"/>
              </w:rPr>
              <w:t>correct</w:t>
            </w:r>
            <w:proofErr w:type="gramEnd"/>
          </w:p>
          <w:p w:rsidR="001826AD" w:rsidRPr="00092B17" w:rsidRDefault="001826AD" w:rsidP="006B4271">
            <w:pPr>
              <w:rPr>
                <w:rFonts w:cs="Arial"/>
                <w:lang w:val="fr-FR"/>
              </w:rPr>
            </w:pPr>
            <w:r w:rsidRPr="00092B17">
              <w:rPr>
                <w:rFonts w:cs="Arial"/>
                <w:lang w:val="fr-FR"/>
              </w:rPr>
              <w:t>– La longueur du pédicelle devrait être indiquée (car. 40)</w:t>
            </w:r>
          </w:p>
        </w:tc>
      </w:tr>
      <w:tr w:rsidR="001826AD" w:rsidRPr="00092B17" w:rsidTr="006B4271">
        <w:trPr>
          <w:cantSplit/>
        </w:trPr>
        <w:tc>
          <w:tcPr>
            <w:tcW w:w="1573" w:type="dxa"/>
          </w:tcPr>
          <w:p w:rsidR="001826AD" w:rsidRPr="00092B17" w:rsidRDefault="001826AD" w:rsidP="006B4271">
            <w:pPr>
              <w:rPr>
                <w:rFonts w:cs="Arial"/>
                <w:lang w:val="fr-FR"/>
              </w:rPr>
            </w:pPr>
            <w:r w:rsidRPr="00092B17">
              <w:rPr>
                <w:rFonts w:cs="Arial"/>
                <w:lang w:val="fr-FR"/>
              </w:rPr>
              <w:t>Ad. 6</w:t>
            </w:r>
          </w:p>
        </w:tc>
        <w:tc>
          <w:tcPr>
            <w:tcW w:w="7925" w:type="dxa"/>
          </w:tcPr>
          <w:p w:rsidR="001826AD" w:rsidRPr="00092B17" w:rsidRDefault="001826AD" w:rsidP="006B4271">
            <w:pPr>
              <w:rPr>
                <w:rFonts w:cs="Arial"/>
                <w:lang w:val="fr-FR"/>
              </w:rPr>
            </w:pPr>
            <w:r w:rsidRPr="00092B17">
              <w:rPr>
                <w:rFonts w:cs="Arial"/>
                <w:lang w:val="fr-FR"/>
              </w:rPr>
              <w:t xml:space="preserve">– les mêmes illustrations devraient être utilisées pour </w:t>
            </w:r>
            <w:proofErr w:type="gramStart"/>
            <w:r w:rsidRPr="00092B17">
              <w:rPr>
                <w:rFonts w:cs="Arial"/>
                <w:lang w:val="fr-FR"/>
              </w:rPr>
              <w:t>les car</w:t>
            </w:r>
            <w:proofErr w:type="gramEnd"/>
            <w:r w:rsidRPr="00092B17">
              <w:rPr>
                <w:rFonts w:cs="Arial"/>
                <w:lang w:val="fr-FR"/>
              </w:rPr>
              <w:t>. 6, 7 et 27</w:t>
            </w:r>
          </w:p>
          <w:p w:rsidR="001826AD" w:rsidRPr="00092B17" w:rsidRDefault="001826AD" w:rsidP="006B4271">
            <w:pPr>
              <w:rPr>
                <w:rFonts w:cs="Arial"/>
                <w:lang w:val="fr-FR"/>
              </w:rPr>
            </w:pPr>
            <w:r w:rsidRPr="00092B17">
              <w:rPr>
                <w:rFonts w:cs="Arial"/>
                <w:lang w:val="fr-FR"/>
              </w:rPr>
              <w:t>– ajouter car. 7 “Feuille : largeur du limbe”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11</w:t>
            </w:r>
          </w:p>
        </w:tc>
        <w:tc>
          <w:tcPr>
            <w:tcW w:w="7925" w:type="dxa"/>
          </w:tcPr>
          <w:p w:rsidR="001826AD" w:rsidRPr="00092B17" w:rsidRDefault="001826AD" w:rsidP="006B4271">
            <w:pPr>
              <w:keepNext/>
              <w:rPr>
                <w:rFonts w:cs="Arial"/>
                <w:lang w:val="fr-FR"/>
              </w:rPr>
            </w:pPr>
            <w:r w:rsidRPr="00092B17">
              <w:rPr>
                <w:rFonts w:cs="Arial"/>
                <w:lang w:val="fr-FR"/>
              </w:rPr>
              <w:t>l’illustration pour le niveau 3 à replacer dans le même cadre que l’illustration du niveau 4 (les niveaux 3 et 4 ont le même rapport entre longueur et largeur, seule la forme extérieure est différente);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12</w:t>
            </w:r>
          </w:p>
        </w:tc>
        <w:tc>
          <w:tcPr>
            <w:tcW w:w="7925" w:type="dxa"/>
          </w:tcPr>
          <w:p w:rsidR="001826AD" w:rsidRPr="00092B17" w:rsidRDefault="001826AD" w:rsidP="006B4271">
            <w:pPr>
              <w:keepNext/>
              <w:rPr>
                <w:rFonts w:cs="Arial"/>
                <w:lang w:val="fr-FR"/>
              </w:rPr>
            </w:pPr>
            <w:r w:rsidRPr="00092B17">
              <w:rPr>
                <w:rFonts w:cs="Arial"/>
                <w:lang w:val="fr-FR"/>
              </w:rPr>
              <w:t>vérifier s’il convient de le replacer avec des illustrations précises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17</w:t>
            </w:r>
          </w:p>
        </w:tc>
        <w:tc>
          <w:tcPr>
            <w:tcW w:w="7925" w:type="dxa"/>
          </w:tcPr>
          <w:p w:rsidR="001826AD" w:rsidRPr="00092B17" w:rsidRDefault="001826AD" w:rsidP="006B4271">
            <w:pPr>
              <w:keepNext/>
              <w:rPr>
                <w:rFonts w:cs="Arial"/>
                <w:lang w:val="fr-FR"/>
              </w:rPr>
            </w:pPr>
            <w:r w:rsidRPr="00092B17">
              <w:rPr>
                <w:rFonts w:cs="Arial"/>
                <w:lang w:val="fr-FR"/>
              </w:rPr>
              <w:t>à combiner avec Ad. 13</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18, 19</w:t>
            </w:r>
          </w:p>
        </w:tc>
        <w:tc>
          <w:tcPr>
            <w:tcW w:w="7925" w:type="dxa"/>
          </w:tcPr>
          <w:p w:rsidR="001826AD" w:rsidRPr="00092B17" w:rsidRDefault="001826AD" w:rsidP="006B4271">
            <w:pPr>
              <w:rPr>
                <w:rFonts w:cs="Arial"/>
                <w:lang w:val="fr-FR"/>
              </w:rPr>
            </w:pPr>
            <w:r w:rsidRPr="00092B17">
              <w:rPr>
                <w:rFonts w:cs="Arial"/>
                <w:lang w:val="fr-FR"/>
              </w:rPr>
              <w:t>– à combiner</w:t>
            </w:r>
          </w:p>
          <w:p w:rsidR="001826AD" w:rsidRPr="00092B17" w:rsidRDefault="001826AD" w:rsidP="006B4271">
            <w:pPr>
              <w:rPr>
                <w:rFonts w:cs="Arial"/>
                <w:lang w:val="fr-FR"/>
              </w:rPr>
            </w:pPr>
            <w:r w:rsidRPr="00092B17">
              <w:rPr>
                <w:lang w:val="fr-FR"/>
              </w:rPr>
              <w:t>– spécifier le lobe qui est à observer</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33</w:t>
            </w:r>
          </w:p>
        </w:tc>
        <w:tc>
          <w:tcPr>
            <w:tcW w:w="7925" w:type="dxa"/>
          </w:tcPr>
          <w:p w:rsidR="001826AD" w:rsidRPr="00092B17" w:rsidRDefault="001826AD" w:rsidP="006B4271">
            <w:pPr>
              <w:rPr>
                <w:rFonts w:cs="Arial"/>
                <w:lang w:val="fr-FR"/>
              </w:rPr>
            </w:pPr>
            <w:r w:rsidRPr="00092B17">
              <w:rPr>
                <w:rFonts w:cs="Arial"/>
                <w:lang w:val="fr-FR"/>
              </w:rPr>
              <w:t>– Il y a une confusion s’agissant des parties de l’inflorescence qui sont examinées.</w:t>
            </w:r>
          </w:p>
          <w:p w:rsidR="001826AD" w:rsidRPr="00092B17" w:rsidRDefault="001826AD" w:rsidP="006B4271">
            <w:pPr>
              <w:rPr>
                <w:rFonts w:cs="Arial"/>
                <w:lang w:val="fr-FR"/>
              </w:rPr>
            </w:pPr>
            <w:r w:rsidRPr="00092B17">
              <w:rPr>
                <w:rFonts w:cs="Arial"/>
                <w:lang w:val="fr-FR"/>
              </w:rPr>
              <w:t>– l’illustration pour le niveau “triangulaire” n’est pas claire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48</w:t>
            </w:r>
          </w:p>
        </w:tc>
        <w:tc>
          <w:tcPr>
            <w:tcW w:w="7925" w:type="dxa"/>
          </w:tcPr>
          <w:p w:rsidR="001826AD" w:rsidRPr="00092B17" w:rsidRDefault="001826AD" w:rsidP="006B4271">
            <w:pPr>
              <w:rPr>
                <w:rFonts w:cs="Arial"/>
                <w:lang w:val="fr-FR"/>
              </w:rPr>
            </w:pPr>
            <w:r w:rsidRPr="00092B17">
              <w:rPr>
                <w:rFonts w:cs="Arial"/>
                <w:lang w:val="fr-FR"/>
              </w:rPr>
              <w:t>ajouter un schéma pour illustrer “tépale” et “tépale collé”</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 xml:space="preserve">9.  </w:t>
            </w:r>
          </w:p>
        </w:tc>
        <w:tc>
          <w:tcPr>
            <w:tcW w:w="7925" w:type="dxa"/>
          </w:tcPr>
          <w:p w:rsidR="001826AD" w:rsidRPr="00092B17" w:rsidRDefault="001826AD" w:rsidP="006B4271">
            <w:pPr>
              <w:rPr>
                <w:rFonts w:cs="Arial"/>
                <w:lang w:val="fr-FR"/>
              </w:rPr>
            </w:pPr>
            <w:r w:rsidRPr="00092B17">
              <w:rPr>
                <w:rFonts w:cs="Arial"/>
                <w:lang w:val="fr-FR"/>
              </w:rPr>
              <w:t>libeller comme suit : “</w:t>
            </w:r>
            <w:proofErr w:type="spellStart"/>
            <w:r w:rsidRPr="00092B17">
              <w:rPr>
                <w:lang w:val="fr-FR"/>
              </w:rPr>
              <w:t>McGillivray</w:t>
            </w:r>
            <w:proofErr w:type="spellEnd"/>
            <w:r w:rsidRPr="00092B17">
              <w:rPr>
                <w:lang w:val="fr-FR"/>
              </w:rPr>
              <w:t xml:space="preserve">, D. J. and </w:t>
            </w:r>
            <w:proofErr w:type="spellStart"/>
            <w:r w:rsidRPr="00092B17">
              <w:rPr>
                <w:lang w:val="fr-FR"/>
              </w:rPr>
              <w:t>Makinson</w:t>
            </w:r>
            <w:proofErr w:type="spellEnd"/>
            <w:r w:rsidRPr="00092B17">
              <w:rPr>
                <w:lang w:val="fr-FR"/>
              </w:rPr>
              <w:t>, R. O., …”</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Questionnaire technique 1</w:t>
            </w:r>
          </w:p>
        </w:tc>
        <w:tc>
          <w:tcPr>
            <w:tcW w:w="7925" w:type="dxa"/>
          </w:tcPr>
          <w:p w:rsidR="001826AD" w:rsidRPr="00092B17" w:rsidRDefault="001826AD" w:rsidP="006B4271">
            <w:pPr>
              <w:keepNext/>
              <w:rPr>
                <w:rFonts w:cs="Arial"/>
                <w:lang w:val="fr-FR"/>
              </w:rPr>
            </w:pPr>
            <w:r w:rsidRPr="00092B17">
              <w:rPr>
                <w:rFonts w:cs="Arial"/>
                <w:lang w:val="fr-FR"/>
              </w:rPr>
              <w:t>vérifier s’il convient d’avoir des cadres intitulés “genre”;  “espèces (veuillez préciser)” et “nom commun”</w:t>
            </w:r>
          </w:p>
        </w:tc>
      </w:tr>
      <w:tr w:rsidR="001826AD" w:rsidRPr="00092B17" w:rsidTr="006B4271">
        <w:trPr>
          <w:cantSplit/>
        </w:trPr>
        <w:tc>
          <w:tcPr>
            <w:tcW w:w="1573" w:type="dxa"/>
          </w:tcPr>
          <w:p w:rsidR="001826AD" w:rsidRPr="00092B17" w:rsidRDefault="001826AD" w:rsidP="006B4271">
            <w:pPr>
              <w:rPr>
                <w:rFonts w:cs="Arial"/>
                <w:lang w:val="fr-FR"/>
              </w:rPr>
            </w:pPr>
            <w:r w:rsidRPr="00092B17">
              <w:rPr>
                <w:rFonts w:cs="Arial"/>
                <w:lang w:val="fr-FR"/>
              </w:rPr>
              <w:t>Questionnaire technique 1.3</w:t>
            </w:r>
          </w:p>
        </w:tc>
        <w:tc>
          <w:tcPr>
            <w:tcW w:w="7925" w:type="dxa"/>
          </w:tcPr>
          <w:p w:rsidR="001826AD" w:rsidRPr="00092B17" w:rsidRDefault="001826AD" w:rsidP="006B4271">
            <w:pPr>
              <w:rPr>
                <w:rFonts w:cs="Arial"/>
                <w:lang w:val="fr-FR"/>
              </w:rPr>
            </w:pPr>
            <w:r w:rsidRPr="00092B17">
              <w:rPr>
                <w:rFonts w:cs="Arial"/>
                <w:lang w:val="fr-FR"/>
              </w:rPr>
              <w:t>libeller comme suit : “1.3 Espèces (veuillez préciser)”</w:t>
            </w:r>
          </w:p>
        </w:tc>
      </w:tr>
    </w:tbl>
    <w:p w:rsidR="001826AD" w:rsidRPr="00092B17" w:rsidRDefault="001826AD" w:rsidP="001826AD">
      <w:pPr>
        <w:jc w:val="left"/>
        <w:rPr>
          <w:rFonts w:cs="Arial"/>
          <w:u w:val="single"/>
          <w:lang w:val="fr-FR"/>
        </w:rPr>
      </w:pPr>
    </w:p>
    <w:p w:rsidR="001826AD" w:rsidRPr="00092B17" w:rsidRDefault="001826AD" w:rsidP="001826AD">
      <w:pPr>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proofErr w:type="spellStart"/>
            <w:r w:rsidRPr="00092B17">
              <w:rPr>
                <w:rFonts w:cs="Arial"/>
                <w:caps w:val="0"/>
                <w:lang w:val="fr-FR"/>
              </w:rPr>
              <w:t>Plectranthus</w:t>
            </w:r>
            <w:proofErr w:type="spellEnd"/>
            <w:r w:rsidRPr="00092B17">
              <w:rPr>
                <w:rFonts w:cs="Arial"/>
                <w:caps w:val="0"/>
                <w:lang w:val="fr-FR"/>
              </w:rPr>
              <w:t xml:space="preserve"> (</w:t>
            </w:r>
            <w:proofErr w:type="spellStart"/>
            <w:r w:rsidRPr="00092B17">
              <w:rPr>
                <w:rFonts w:cs="Arial"/>
                <w:i/>
                <w:caps w:val="0"/>
                <w:lang w:val="fr-FR"/>
              </w:rPr>
              <w:t>Plectranthus</w:t>
            </w:r>
            <w:proofErr w:type="spellEnd"/>
            <w:r w:rsidRPr="00092B17">
              <w:rPr>
                <w:rFonts w:cs="Arial"/>
                <w:caps w:val="0"/>
                <w:lang w:val="fr-FR"/>
              </w:rPr>
              <w:t xml:space="preserve"> L’</w:t>
            </w:r>
            <w:proofErr w:type="spellStart"/>
            <w:r w:rsidRPr="00092B17">
              <w:rPr>
                <w:rFonts w:cs="Arial"/>
                <w:caps w:val="0"/>
                <w:lang w:val="fr-FR"/>
              </w:rPr>
              <w:t>Hér</w:t>
            </w:r>
            <w:proofErr w:type="spellEnd"/>
            <w:r w:rsidRPr="00092B17">
              <w:rPr>
                <w:rFonts w:cs="Arial"/>
                <w:caps w:val="0"/>
                <w:lang w:val="fr-FR"/>
              </w:rPr>
              <w:t>.)</w:t>
            </w:r>
          </w:p>
        </w:tc>
        <w:tc>
          <w:tcPr>
            <w:tcW w:w="2268" w:type="dxa"/>
            <w:vMerge w:val="restart"/>
            <w:shd w:val="clear" w:color="auto" w:fill="D9D9D9"/>
            <w:vAlign w:val="center"/>
          </w:tcPr>
          <w:p w:rsidR="001826AD" w:rsidRPr="00092B17" w:rsidRDefault="001826AD" w:rsidP="006B4271">
            <w:pPr>
              <w:rPr>
                <w:iCs/>
                <w:snapToGrid w:val="0"/>
                <w:lang w:val="fr-FR"/>
              </w:rPr>
            </w:pPr>
            <w:r w:rsidRPr="00092B17">
              <w:rPr>
                <w:lang w:val="fr-FR"/>
              </w:rPr>
              <w:t>TG/</w:t>
            </w:r>
            <w:proofErr w:type="gramStart"/>
            <w:r w:rsidRPr="00092B17">
              <w:rPr>
                <w:lang w:val="fr-FR"/>
              </w:rPr>
              <w:t>PLECT(</w:t>
            </w:r>
            <w:proofErr w:type="gramEnd"/>
            <w:r w:rsidRPr="00092B17">
              <w:rPr>
                <w:lang w:val="fr-FR"/>
              </w:rPr>
              <w:t>proj.4)</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w:t>
      </w:r>
      <w:proofErr w:type="gramStart"/>
      <w:r w:rsidRPr="00092B17">
        <w:rPr>
          <w:rFonts w:cs="Arial"/>
          <w:lang w:val="fr-FR"/>
        </w:rPr>
        <w:t>PLECT(</w:t>
      </w:r>
      <w:proofErr w:type="gramEnd"/>
      <w:r w:rsidRPr="00092B17">
        <w:rPr>
          <w:rFonts w:cs="Arial"/>
          <w:lang w:val="fr-FR"/>
        </w:rPr>
        <w:t>proj.4)) soumis au TC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16</w:t>
            </w:r>
          </w:p>
        </w:tc>
        <w:tc>
          <w:tcPr>
            <w:tcW w:w="7925" w:type="dxa"/>
          </w:tcPr>
          <w:p w:rsidR="001826AD" w:rsidRPr="00092B17" w:rsidRDefault="001826AD" w:rsidP="006B4271">
            <w:pPr>
              <w:rPr>
                <w:rFonts w:cs="Arial"/>
                <w:lang w:val="fr-FR"/>
              </w:rPr>
            </w:pPr>
            <w:r w:rsidRPr="00092B17">
              <w:rPr>
                <w:rFonts w:cs="Arial"/>
                <w:lang w:val="fr-FR"/>
              </w:rPr>
              <w:t xml:space="preserve">dans la version anglaise, libeller le niveau 2 comme suit : “on </w:t>
            </w:r>
            <w:proofErr w:type="spellStart"/>
            <w:r w:rsidRPr="00092B17">
              <w:rPr>
                <w:rFonts w:cs="Arial"/>
                <w:lang w:val="fr-FR"/>
              </w:rPr>
              <w:t>veins</w:t>
            </w:r>
            <w:proofErr w:type="spellEnd"/>
            <w:r w:rsidRPr="00092B17">
              <w:rPr>
                <w:rFonts w:cs="Arial"/>
                <w:lang w:val="fr-FR"/>
              </w:rPr>
              <w:t xml:space="preserve"> </w:t>
            </w:r>
            <w:proofErr w:type="spellStart"/>
            <w:r w:rsidRPr="00092B17">
              <w:rPr>
                <w:rFonts w:cs="Arial"/>
                <w:lang w:val="fr-FR"/>
              </w:rPr>
              <w:t>only</w:t>
            </w:r>
            <w:proofErr w:type="spellEnd"/>
            <w:r w:rsidRPr="00092B17">
              <w:rPr>
                <w:rFonts w:cs="Arial"/>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23</w:t>
            </w:r>
          </w:p>
        </w:tc>
        <w:tc>
          <w:tcPr>
            <w:tcW w:w="7925" w:type="dxa"/>
          </w:tcPr>
          <w:p w:rsidR="001826AD" w:rsidRPr="00092B17" w:rsidRDefault="001826AD" w:rsidP="006B4271">
            <w:pPr>
              <w:rPr>
                <w:rFonts w:cs="Arial"/>
                <w:lang w:val="fr-FR"/>
              </w:rPr>
            </w:pPr>
            <w:r w:rsidRPr="00092B17">
              <w:rPr>
                <w:rFonts w:cs="Arial"/>
                <w:lang w:val="fr-FR"/>
              </w:rPr>
              <w:t>ajouter une explication afin de préciser à quoi se réfère la pigmentation anthocyanique exactement</w:t>
            </w:r>
          </w:p>
          <w:p w:rsidR="001826AD" w:rsidRPr="00092B17" w:rsidRDefault="001826AD" w:rsidP="006B4271">
            <w:pPr>
              <w:rPr>
                <w:rFonts w:cs="Arial"/>
                <w:i/>
                <w:lang w:val="fr-FR"/>
              </w:rPr>
            </w:pPr>
            <w:r w:rsidRPr="00092B17">
              <w:rPr>
                <w:rFonts w:cs="Arial"/>
                <w:i/>
                <w:lang w:val="fr-FR"/>
              </w:rPr>
              <w:t>Expert principal : ajouter l’explication suivante sous 8.1 (b) : “La pubescence et la pigmentation anthocyanique de la branche florifère doivent être déterminées sur le tiers médian du rachis”.</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31</w:t>
            </w:r>
          </w:p>
        </w:tc>
        <w:tc>
          <w:tcPr>
            <w:tcW w:w="7925" w:type="dxa"/>
          </w:tcPr>
          <w:p w:rsidR="001826AD" w:rsidRPr="00092B17" w:rsidRDefault="001826AD" w:rsidP="006B4271">
            <w:pPr>
              <w:keepNext/>
              <w:rPr>
                <w:rFonts w:cs="Arial"/>
                <w:lang w:val="fr-FR"/>
              </w:rPr>
            </w:pPr>
            <w:r w:rsidRPr="00092B17">
              <w:rPr>
                <w:rFonts w:cs="Arial"/>
                <w:lang w:val="fr-FR"/>
              </w:rPr>
              <w:t>ajouter “de la face externe”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34</w:t>
            </w:r>
          </w:p>
        </w:tc>
        <w:tc>
          <w:tcPr>
            <w:tcW w:w="7925" w:type="dxa"/>
          </w:tcPr>
          <w:p w:rsidR="001826AD" w:rsidRPr="00092B17" w:rsidRDefault="001826AD" w:rsidP="006B4271">
            <w:pPr>
              <w:rPr>
                <w:rFonts w:cs="Arial"/>
                <w:lang w:val="fr-FR"/>
              </w:rPr>
            </w:pPr>
            <w:r w:rsidRPr="00092B17">
              <w:rPr>
                <w:rFonts w:cs="Arial"/>
                <w:lang w:val="fr-FR"/>
              </w:rPr>
              <w:t>ajouter une explication sur ce qui rend les taches ou marques pourpres importantes (contraste des couleurs ou taille?)</w:t>
            </w:r>
          </w:p>
          <w:p w:rsidR="001826AD" w:rsidRPr="00092B17" w:rsidRDefault="001826AD" w:rsidP="006B4271">
            <w:pPr>
              <w:rPr>
                <w:rFonts w:cs="Arial"/>
                <w:lang w:val="fr-FR"/>
              </w:rPr>
            </w:pPr>
            <w:r w:rsidRPr="00092B17">
              <w:rPr>
                <w:rFonts w:cs="Arial"/>
                <w:i/>
                <w:lang w:val="fr-FR"/>
              </w:rPr>
              <w:t>explication fournie par l’expert principal</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9.</w:t>
            </w:r>
          </w:p>
        </w:tc>
        <w:tc>
          <w:tcPr>
            <w:tcW w:w="7925" w:type="dxa"/>
          </w:tcPr>
          <w:p w:rsidR="001826AD" w:rsidRPr="00092B17" w:rsidRDefault="001826AD" w:rsidP="006B4271">
            <w:pPr>
              <w:rPr>
                <w:rFonts w:cs="Arial"/>
                <w:lang w:val="fr-FR"/>
              </w:rPr>
            </w:pPr>
            <w:r w:rsidRPr="00092B17">
              <w:rPr>
                <w:lang w:val="fr-FR"/>
              </w:rPr>
              <w:t xml:space="preserve">– libeller comme suit : “Van </w:t>
            </w:r>
            <w:proofErr w:type="spellStart"/>
            <w:r w:rsidRPr="00092B17">
              <w:rPr>
                <w:lang w:val="fr-FR"/>
              </w:rPr>
              <w:t>Jaarsveld</w:t>
            </w:r>
            <w:proofErr w:type="spellEnd"/>
            <w:r w:rsidRPr="00092B17">
              <w:rPr>
                <w:lang w:val="fr-FR"/>
              </w:rPr>
              <w:t xml:space="preserve">, E. J., 1981 : The S.A.  </w:t>
            </w:r>
            <w:proofErr w:type="spellStart"/>
            <w:r w:rsidRPr="00092B17">
              <w:rPr>
                <w:lang w:val="fr-FR"/>
              </w:rPr>
              <w:t>Plectranthus</w:t>
            </w:r>
            <w:proofErr w:type="spellEnd"/>
            <w:r w:rsidRPr="00092B17">
              <w:rPr>
                <w:lang w:val="fr-FR"/>
              </w:rPr>
              <w:t xml:space="preserve"> </w:t>
            </w:r>
            <w:proofErr w:type="spellStart"/>
            <w:r w:rsidRPr="00092B17">
              <w:rPr>
                <w:lang w:val="fr-FR"/>
              </w:rPr>
              <w:t>species</w:t>
            </w:r>
            <w:proofErr w:type="spellEnd"/>
            <w:r w:rsidRPr="00092B17">
              <w:rPr>
                <w:lang w:val="fr-FR"/>
              </w:rPr>
              <w:t xml:space="preserve"> as Garden Plants.  National </w:t>
            </w:r>
            <w:proofErr w:type="spellStart"/>
            <w:r w:rsidRPr="00092B17">
              <w:rPr>
                <w:lang w:val="fr-FR"/>
              </w:rPr>
              <w:t>Botanic</w:t>
            </w:r>
            <w:proofErr w:type="spellEnd"/>
            <w:r w:rsidRPr="00092B17">
              <w:rPr>
                <w:lang w:val="fr-FR"/>
              </w:rPr>
              <w:t xml:space="preserve"> Gardens of South </w:t>
            </w:r>
            <w:proofErr w:type="spellStart"/>
            <w:r w:rsidRPr="00092B17">
              <w:rPr>
                <w:lang w:val="fr-FR"/>
              </w:rPr>
              <w:t>Africa</w:t>
            </w:r>
            <w:proofErr w:type="spellEnd"/>
            <w:r w:rsidRPr="00092B17">
              <w:rPr>
                <w:lang w:val="fr-FR"/>
              </w:rPr>
              <w:t xml:space="preserve">.  Cape </w:t>
            </w:r>
            <w:proofErr w:type="spellStart"/>
            <w:r w:rsidRPr="00092B17">
              <w:rPr>
                <w:lang w:val="fr-FR"/>
              </w:rPr>
              <w:t>Town</w:t>
            </w:r>
            <w:proofErr w:type="spellEnd"/>
            <w:r w:rsidRPr="00092B17">
              <w:rPr>
                <w:lang w:val="fr-FR"/>
              </w:rPr>
              <w:t>, ZA, 9 pp.”</w:t>
            </w:r>
          </w:p>
          <w:p w:rsidR="001826AD" w:rsidRPr="00092B17" w:rsidRDefault="001826AD" w:rsidP="006B4271">
            <w:pPr>
              <w:rPr>
                <w:rFonts w:cs="Arial"/>
                <w:lang w:val="fr-FR"/>
              </w:rPr>
            </w:pPr>
            <w:r w:rsidRPr="00092B17">
              <w:rPr>
                <w:rFonts w:cs="Arial"/>
                <w:lang w:val="fr-FR"/>
              </w:rPr>
              <w:t xml:space="preserve">– compléter la référence “Van </w:t>
            </w:r>
            <w:proofErr w:type="spellStart"/>
            <w:r w:rsidRPr="00092B17">
              <w:rPr>
                <w:rFonts w:cs="Arial"/>
                <w:lang w:val="fr-FR"/>
              </w:rPr>
              <w:t>Jaarsveld</w:t>
            </w:r>
            <w:proofErr w:type="spellEnd"/>
            <w:r w:rsidRPr="00092B17">
              <w:rPr>
                <w:rFonts w:cs="Arial"/>
                <w:lang w:val="fr-FR"/>
              </w:rPr>
              <w:t xml:space="preserve">, E. J. The </w:t>
            </w:r>
            <w:proofErr w:type="spellStart"/>
            <w:r w:rsidRPr="00092B17">
              <w:rPr>
                <w:rFonts w:cs="Arial"/>
                <w:lang w:val="fr-FR"/>
              </w:rPr>
              <w:t>Plectranthus</w:t>
            </w:r>
            <w:proofErr w:type="spellEnd"/>
            <w:r w:rsidRPr="00092B17">
              <w:rPr>
                <w:rFonts w:cs="Arial"/>
                <w:lang w:val="fr-FR"/>
              </w:rPr>
              <w:t>…” (l’année manque)</w:t>
            </w:r>
          </w:p>
          <w:p w:rsidR="001826AD" w:rsidRPr="00092B17" w:rsidRDefault="001826AD" w:rsidP="006B4271">
            <w:pPr>
              <w:rPr>
                <w:rFonts w:cs="Arial"/>
                <w:lang w:val="fr-FR"/>
              </w:rPr>
            </w:pPr>
            <w:r w:rsidRPr="00092B17">
              <w:rPr>
                <w:rFonts w:cs="Arial"/>
                <w:i/>
                <w:lang w:val="fr-FR"/>
              </w:rPr>
              <w:t>référence complétée par l’expert principal</w:t>
            </w:r>
          </w:p>
        </w:tc>
      </w:tr>
    </w:tbl>
    <w:p w:rsidR="001826AD" w:rsidRPr="00092B17" w:rsidRDefault="001826AD" w:rsidP="001826AD">
      <w:pPr>
        <w:jc w:val="left"/>
        <w:rPr>
          <w:rFonts w:cs="Arial"/>
          <w:u w:val="single"/>
          <w:lang w:val="fr-FR"/>
        </w:rPr>
      </w:pPr>
    </w:p>
    <w:p w:rsidR="001826AD" w:rsidRPr="00416E75" w:rsidRDefault="001826AD" w:rsidP="001826AD">
      <w:pPr>
        <w:autoSpaceDE w:val="0"/>
        <w:autoSpaceDN w:val="0"/>
        <w:adjustRightInd w:val="0"/>
        <w:ind w:firstLine="567"/>
        <w:rPr>
          <w:rFonts w:cs="Arial"/>
          <w:lang w:val="fr-FR"/>
        </w:rPr>
      </w:pPr>
      <w:r w:rsidRPr="00416E75">
        <w:rPr>
          <w:rFonts w:cs="Arial"/>
          <w:lang w:val="fr-FR"/>
        </w:rPr>
        <w:t>b)</w:t>
      </w:r>
      <w:r w:rsidRPr="00416E75">
        <w:rPr>
          <w:rFonts w:cs="Arial"/>
          <w:lang w:val="fr-FR"/>
        </w:rPr>
        <w:tab/>
        <w:t>Modifications proposées par le TC</w:t>
      </w:r>
      <w:r w:rsidRPr="00416E75">
        <w:rPr>
          <w:rFonts w:cs="Arial"/>
          <w:lang w:val="fr-FR"/>
        </w:rPr>
        <w:noBreakHyphen/>
        <w:t>EDC en mars 2016, qui doivent être incorporées dans le document soumis au TC :</w:t>
      </w:r>
    </w:p>
    <w:p w:rsidR="001826AD" w:rsidRPr="00092B17" w:rsidRDefault="001826AD" w:rsidP="001826AD">
      <w:pPr>
        <w:jc w:val="left"/>
        <w:rPr>
          <w:rFonts w:cs="Arial"/>
          <w:u w:val="single"/>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w:t>
            </w:r>
          </w:p>
        </w:tc>
        <w:tc>
          <w:tcPr>
            <w:tcW w:w="7925" w:type="dxa"/>
          </w:tcPr>
          <w:p w:rsidR="001826AD" w:rsidRPr="00092B17" w:rsidRDefault="001826AD" w:rsidP="006B4271">
            <w:pPr>
              <w:keepNext/>
              <w:rPr>
                <w:rFonts w:cs="Arial"/>
                <w:lang w:val="fr-FR"/>
              </w:rPr>
            </w:pPr>
            <w:r w:rsidRPr="00092B17">
              <w:rPr>
                <w:rFonts w:cs="Arial"/>
                <w:lang w:val="fr-FR"/>
              </w:rPr>
              <w:t>vérifier si doit être indiqué comme PQ (en raison du niveau “retombante”) et avoir 4 notes uniquement</w:t>
            </w:r>
          </w:p>
          <w:p w:rsidR="001826AD" w:rsidRPr="00092B17" w:rsidRDefault="001826AD" w:rsidP="006B4271">
            <w:pPr>
              <w:keepNext/>
              <w:rPr>
                <w:rFonts w:cs="Arial"/>
                <w:i/>
                <w:lang w:val="fr-FR"/>
              </w:rPr>
            </w:pPr>
            <w:r w:rsidRPr="00092B17">
              <w:rPr>
                <w:rFonts w:cs="Arial"/>
                <w:i/>
                <w:lang w:val="fr-FR"/>
              </w:rPr>
              <w:t>Expert principal : accepté</w:t>
            </w:r>
          </w:p>
          <w:p w:rsidR="001826AD" w:rsidRPr="00092B17" w:rsidRDefault="001826AD" w:rsidP="006B4271">
            <w:pPr>
              <w:keepNext/>
              <w:rPr>
                <w:rFonts w:cs="Arial"/>
                <w:i/>
                <w:lang w:val="fr-FR"/>
              </w:rPr>
            </w:pPr>
            <w:r w:rsidRPr="00092B17">
              <w:rPr>
                <w:rFonts w:cs="Arial"/>
                <w:i/>
                <w:lang w:val="fr-FR"/>
              </w:rPr>
              <w:t>Le TWO a confirmé par correspondance que QN est correct</w:t>
            </w:r>
          </w:p>
          <w:p w:rsidR="001826AD" w:rsidRPr="00092B17" w:rsidRDefault="001826AD" w:rsidP="006B4271">
            <w:pPr>
              <w:keepNext/>
              <w:rPr>
                <w:rFonts w:cs="Arial"/>
                <w:i/>
                <w:lang w:val="fr-FR"/>
              </w:rPr>
            </w:pPr>
            <w:r w:rsidRPr="00092B17">
              <w:rPr>
                <w:rFonts w:cs="Arial"/>
                <w:i/>
                <w:lang w:val="fr-FR"/>
              </w:rPr>
              <w:t>Expert principal : faire figurer les niveaux (1) dressé, (3) demi</w:t>
            </w:r>
            <w:r w:rsidRPr="00092B17">
              <w:rPr>
                <w:rFonts w:cs="Arial"/>
                <w:i/>
                <w:lang w:val="fr-FR"/>
              </w:rPr>
              <w:noBreakHyphen/>
              <w:t>dressé, (5) étalé, (7) demi</w:t>
            </w:r>
            <w:r w:rsidRPr="00092B17">
              <w:rPr>
                <w:rFonts w:cs="Arial"/>
                <w:i/>
                <w:lang w:val="fr-FR"/>
              </w:rPr>
              <w:noBreakHyphen/>
              <w:t>étalé, (9) retombant</w:t>
            </w:r>
          </w:p>
        </w:tc>
      </w:tr>
    </w:tbl>
    <w:p w:rsidR="001826AD" w:rsidRPr="00092B17" w:rsidRDefault="001826AD" w:rsidP="001826AD">
      <w:pPr>
        <w:jc w:val="left"/>
        <w:rPr>
          <w:rFonts w:cs="Arial"/>
          <w:u w:val="single"/>
          <w:lang w:val="fr-FR"/>
        </w:rPr>
      </w:pPr>
    </w:p>
    <w:p w:rsidR="001826AD" w:rsidRPr="00092B17" w:rsidRDefault="001826AD" w:rsidP="001826AD">
      <w:pPr>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proofErr w:type="spellStart"/>
            <w:r w:rsidRPr="00092B17">
              <w:rPr>
                <w:rFonts w:cs="Arial"/>
                <w:caps w:val="0"/>
                <w:lang w:val="fr-FR"/>
              </w:rPr>
              <w:t>Salvia</w:t>
            </w:r>
            <w:proofErr w:type="spellEnd"/>
            <w:r w:rsidRPr="00092B17">
              <w:rPr>
                <w:rFonts w:cs="Arial"/>
                <w:caps w:val="0"/>
                <w:lang w:val="fr-FR"/>
              </w:rPr>
              <w:t xml:space="preserve"> (</w:t>
            </w:r>
            <w:proofErr w:type="spellStart"/>
            <w:r w:rsidRPr="00092B17">
              <w:rPr>
                <w:rFonts w:cs="Arial"/>
                <w:i/>
                <w:caps w:val="0"/>
                <w:lang w:val="fr-FR"/>
              </w:rPr>
              <w:t>Salvia</w:t>
            </w:r>
            <w:proofErr w:type="spellEnd"/>
            <w:r w:rsidRPr="00092B17">
              <w:rPr>
                <w:rFonts w:cs="Arial"/>
                <w:caps w:val="0"/>
                <w:lang w:val="fr-FR"/>
              </w:rPr>
              <w:t xml:space="preserve"> L.)</w:t>
            </w:r>
          </w:p>
        </w:tc>
        <w:tc>
          <w:tcPr>
            <w:tcW w:w="2268" w:type="dxa"/>
            <w:vMerge w:val="restart"/>
            <w:shd w:val="clear" w:color="auto" w:fill="D9D9D9"/>
            <w:vAlign w:val="center"/>
          </w:tcPr>
          <w:p w:rsidR="001826AD" w:rsidRPr="00092B17" w:rsidRDefault="001826AD" w:rsidP="006B4271">
            <w:pPr>
              <w:rPr>
                <w:iCs/>
                <w:snapToGrid w:val="0"/>
                <w:lang w:val="fr-FR"/>
              </w:rPr>
            </w:pPr>
            <w:r w:rsidRPr="00092B17">
              <w:rPr>
                <w:rFonts w:cs="Arial"/>
                <w:caps/>
                <w:lang w:val="fr-FR"/>
              </w:rPr>
              <w:t>TG/</w:t>
            </w:r>
            <w:proofErr w:type="gramStart"/>
            <w:r w:rsidRPr="00092B17">
              <w:rPr>
                <w:rFonts w:cs="Arial"/>
                <w:caps/>
                <w:lang w:val="fr-FR"/>
              </w:rPr>
              <w:t>SALVI(</w:t>
            </w:r>
            <w:proofErr w:type="gramEnd"/>
            <w:r w:rsidRPr="00092B17">
              <w:rPr>
                <w:rFonts w:cs="Arial"/>
                <w:lang w:val="fr-FR"/>
              </w:rPr>
              <w:t>proj</w:t>
            </w:r>
            <w:r w:rsidRPr="00092B17">
              <w:rPr>
                <w:rFonts w:cs="Arial"/>
                <w:caps/>
                <w:lang w:val="fr-FR"/>
              </w:rPr>
              <w:t>.4)</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w:t>
      </w:r>
      <w:proofErr w:type="gramStart"/>
      <w:r w:rsidRPr="00092B17">
        <w:rPr>
          <w:rFonts w:cs="Arial"/>
          <w:lang w:val="fr-FR"/>
        </w:rPr>
        <w:t>SALVI(</w:t>
      </w:r>
      <w:proofErr w:type="gramEnd"/>
      <w:r w:rsidRPr="00092B17">
        <w:rPr>
          <w:rFonts w:cs="Arial"/>
          <w:lang w:val="fr-FR"/>
        </w:rPr>
        <w:t>proj.4)) soumis au TC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Page de couverture</w:t>
            </w:r>
          </w:p>
        </w:tc>
        <w:tc>
          <w:tcPr>
            <w:tcW w:w="7925" w:type="dxa"/>
          </w:tcPr>
          <w:p w:rsidR="001826AD" w:rsidRPr="00092B17" w:rsidRDefault="001826AD" w:rsidP="006B4271">
            <w:pPr>
              <w:keepNext/>
              <w:rPr>
                <w:rFonts w:cs="Arial"/>
                <w:lang w:val="fr-FR"/>
              </w:rPr>
            </w:pPr>
            <w:r w:rsidRPr="00092B17">
              <w:rPr>
                <w:rFonts w:cs="Arial"/>
                <w:lang w:val="fr-FR"/>
              </w:rPr>
              <w:t>ajouter le nom commun allemand “</w:t>
            </w:r>
            <w:proofErr w:type="spellStart"/>
            <w:r w:rsidRPr="00092B17">
              <w:rPr>
                <w:rFonts w:cs="Arial"/>
                <w:lang w:val="fr-FR"/>
              </w:rPr>
              <w:t>Salvie</w:t>
            </w:r>
            <w:proofErr w:type="spellEnd"/>
            <w:r w:rsidRPr="00092B17">
              <w:rPr>
                <w:rFonts w:cs="Arial"/>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1.</w:t>
            </w:r>
          </w:p>
        </w:tc>
        <w:tc>
          <w:tcPr>
            <w:tcW w:w="7925" w:type="dxa"/>
          </w:tcPr>
          <w:p w:rsidR="001826AD" w:rsidRPr="00092B17" w:rsidRDefault="001826AD" w:rsidP="006B4271">
            <w:pPr>
              <w:keepNext/>
              <w:rPr>
                <w:rFonts w:cs="Arial"/>
                <w:lang w:val="fr-FR"/>
              </w:rPr>
            </w:pPr>
            <w:r w:rsidRPr="00092B17">
              <w:rPr>
                <w:rFonts w:cs="Arial"/>
                <w:lang w:val="fr-FR"/>
              </w:rPr>
              <w:t>– libeller “… pour examiner les variétés de type herbacé…”</w:t>
            </w:r>
          </w:p>
          <w:p w:rsidR="001826AD" w:rsidRPr="00092B17" w:rsidRDefault="001826AD" w:rsidP="006B4271">
            <w:pPr>
              <w:rPr>
                <w:rFonts w:cs="Arial"/>
                <w:lang w:val="fr-FR"/>
              </w:rPr>
            </w:pPr>
            <w:r w:rsidRPr="00092B17">
              <w:rPr>
                <w:rFonts w:cs="Arial"/>
                <w:lang w:val="fr-FR"/>
              </w:rPr>
              <w:t xml:space="preserve">– libeller le deuxième paragraphe comme suit : “Les caractères dans ces principes directeurs d’examen ont été élaborés pour différencier les variétés ornementales.  </w:t>
            </w:r>
            <w:r w:rsidRPr="00092B17">
              <w:rPr>
                <w:lang w:val="fr-FR"/>
              </w:rPr>
              <w:t>Ils peuvent aussi être utilisés pour différencier les variétés herbacées;  des caractères et des niveaux d’expression supplémentaires pourraient alors être nécessaires”.</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2.2</w:t>
            </w:r>
          </w:p>
        </w:tc>
        <w:tc>
          <w:tcPr>
            <w:tcW w:w="7925" w:type="dxa"/>
          </w:tcPr>
          <w:p w:rsidR="001826AD" w:rsidRPr="00092B17" w:rsidRDefault="001826AD" w:rsidP="006B4271">
            <w:pPr>
              <w:rPr>
                <w:rFonts w:cs="Arial"/>
                <w:lang w:val="fr-FR"/>
              </w:rPr>
            </w:pPr>
            <w:r w:rsidRPr="00092B17">
              <w:rPr>
                <w:rFonts w:cs="Arial"/>
                <w:lang w:val="fr-FR"/>
              </w:rPr>
              <w:t>supprimer la virgule après “…plantes…”</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2.3, 3.4.2</w:t>
            </w:r>
          </w:p>
        </w:tc>
        <w:tc>
          <w:tcPr>
            <w:tcW w:w="7925" w:type="dxa"/>
          </w:tcPr>
          <w:p w:rsidR="001826AD" w:rsidRPr="00092B17" w:rsidRDefault="001826AD" w:rsidP="006B4271">
            <w:pPr>
              <w:rPr>
                <w:rFonts w:cs="Arial"/>
                <w:lang w:val="fr-FR"/>
              </w:rPr>
            </w:pPr>
            <w:r w:rsidRPr="00092B17">
              <w:rPr>
                <w:rFonts w:cs="Arial"/>
                <w:lang w:val="fr-FR"/>
              </w:rPr>
              <w:t>dans la version anglaise, ajouter un tiret pour lire “</w:t>
            </w:r>
            <w:proofErr w:type="spellStart"/>
            <w:r w:rsidRPr="00092B17">
              <w:rPr>
                <w:rFonts w:cs="Arial"/>
                <w:lang w:val="fr-FR"/>
              </w:rPr>
              <w:t>seed</w:t>
            </w:r>
            <w:r w:rsidRPr="00092B17">
              <w:rPr>
                <w:rFonts w:cs="Arial"/>
                <w:lang w:val="fr-FR"/>
              </w:rPr>
              <w:noBreakHyphen/>
              <w:t>propagated</w:t>
            </w:r>
            <w:proofErr w:type="spellEnd"/>
            <w:r w:rsidRPr="00092B17">
              <w:rPr>
                <w:rFonts w:cs="Arial"/>
                <w:lang w:val="fr-FR"/>
              </w:rPr>
              <w:t xml:space="preserve"> </w:t>
            </w:r>
            <w:proofErr w:type="spellStart"/>
            <w:r w:rsidRPr="00092B17">
              <w:rPr>
                <w:rFonts w:cs="Arial"/>
                <w:lang w:val="fr-FR"/>
              </w:rPr>
              <w:t>varieties</w:t>
            </w:r>
            <w:proofErr w:type="spellEnd"/>
            <w:r w:rsidRPr="00092B17">
              <w:rPr>
                <w:rFonts w:cs="Arial"/>
                <w:lang w:val="fr-FR"/>
              </w:rPr>
              <w: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4.2.3</w:t>
            </w:r>
          </w:p>
        </w:tc>
        <w:tc>
          <w:tcPr>
            <w:tcW w:w="7925" w:type="dxa"/>
          </w:tcPr>
          <w:p w:rsidR="001826AD" w:rsidRPr="00092B17" w:rsidRDefault="001826AD" w:rsidP="006B4271">
            <w:pPr>
              <w:rPr>
                <w:rFonts w:cs="Arial"/>
                <w:lang w:val="fr-FR"/>
              </w:rPr>
            </w:pPr>
            <w:r w:rsidRPr="00092B17">
              <w:rPr>
                <w:rFonts w:cs="Arial"/>
                <w:lang w:val="fr-FR"/>
              </w:rPr>
              <w:t xml:space="preserve">vérifier auprès de l’expert principal s’il y a des variétés autogames </w:t>
            </w:r>
            <w:r w:rsidRPr="00092B17">
              <w:rPr>
                <w:rFonts w:cs="Arial"/>
                <w:u w:val="single"/>
                <w:lang w:val="fr-FR"/>
              </w:rPr>
              <w:t>et</w:t>
            </w:r>
            <w:r w:rsidRPr="00092B17">
              <w:rPr>
                <w:rFonts w:cs="Arial"/>
                <w:lang w:val="fr-FR"/>
              </w:rPr>
              <w:t xml:space="preserve"> allogames de ce genre.</w:t>
            </w:r>
          </w:p>
          <w:p w:rsidR="001826AD" w:rsidRPr="00092B17" w:rsidRDefault="001826AD" w:rsidP="006B4271">
            <w:pPr>
              <w:rPr>
                <w:rFonts w:cs="Arial"/>
                <w:i/>
                <w:lang w:val="fr-FR"/>
              </w:rPr>
            </w:pPr>
            <w:r w:rsidRPr="00092B17">
              <w:rPr>
                <w:rFonts w:cs="Arial"/>
                <w:i/>
                <w:lang w:val="fr-FR"/>
              </w:rPr>
              <w:t>Expert principal : Le texte ci</w:t>
            </w:r>
            <w:r w:rsidRPr="00092B17">
              <w:rPr>
                <w:rFonts w:cs="Arial"/>
                <w:i/>
                <w:lang w:val="fr-FR"/>
              </w:rPr>
              <w:noBreakHyphen/>
              <w:t>après figure dans l’ouvrage technique de la sauge.</w:t>
            </w:r>
          </w:p>
          <w:p w:rsidR="001826AD" w:rsidRPr="00092B17" w:rsidRDefault="001826AD" w:rsidP="006B4271">
            <w:pPr>
              <w:rPr>
                <w:rFonts w:cs="Arial"/>
                <w:lang w:val="fr-FR"/>
              </w:rPr>
            </w:pPr>
            <w:r w:rsidRPr="00092B17">
              <w:rPr>
                <w:rFonts w:cs="Arial"/>
                <w:i/>
                <w:lang w:val="fr-FR"/>
              </w:rPr>
              <w:t xml:space="preserve">“Les espèces à grandes fleurs sont principalement allogames et celles avec de petites fleurs sont principalement autogames.” (Yeo, C., 1995 : </w:t>
            </w:r>
            <w:proofErr w:type="spellStart"/>
            <w:r w:rsidRPr="00092B17">
              <w:rPr>
                <w:rFonts w:cs="Arial"/>
                <w:i/>
                <w:lang w:val="fr-FR"/>
              </w:rPr>
              <w:t>Salvias</w:t>
            </w:r>
            <w:proofErr w:type="spellEnd"/>
            <w:r w:rsidRPr="00092B17">
              <w:rPr>
                <w:rFonts w:cs="Arial"/>
                <w:i/>
                <w:lang w:val="fr-FR"/>
              </w:rPr>
              <w:t xml:space="preserve">.  </w:t>
            </w:r>
            <w:proofErr w:type="spellStart"/>
            <w:r w:rsidRPr="00092B17">
              <w:rPr>
                <w:rFonts w:cs="Arial"/>
                <w:i/>
                <w:lang w:val="fr-FR"/>
              </w:rPr>
              <w:t>Pleasant</w:t>
            </w:r>
            <w:proofErr w:type="spellEnd"/>
            <w:r w:rsidRPr="00092B17">
              <w:rPr>
                <w:rFonts w:cs="Arial"/>
                <w:i/>
                <w:lang w:val="fr-FR"/>
              </w:rPr>
              <w:t xml:space="preserve"> </w:t>
            </w:r>
            <w:proofErr w:type="spellStart"/>
            <w:r w:rsidRPr="00092B17">
              <w:rPr>
                <w:rFonts w:cs="Arial"/>
                <w:i/>
                <w:lang w:val="fr-FR"/>
              </w:rPr>
              <w:t>View</w:t>
            </w:r>
            <w:proofErr w:type="spellEnd"/>
            <w:r w:rsidRPr="00092B17">
              <w:rPr>
                <w:rFonts w:cs="Arial"/>
                <w:i/>
                <w:lang w:val="fr-FR"/>
              </w:rPr>
              <w:t xml:space="preserve"> Nursery.  Newton </w:t>
            </w:r>
            <w:proofErr w:type="spellStart"/>
            <w:r w:rsidRPr="00092B17">
              <w:rPr>
                <w:rFonts w:cs="Arial"/>
                <w:i/>
                <w:lang w:val="fr-FR"/>
              </w:rPr>
              <w:t>Abbot</w:t>
            </w:r>
            <w:proofErr w:type="spellEnd"/>
            <w:r w:rsidRPr="00092B17">
              <w:rPr>
                <w:rFonts w:cs="Arial"/>
                <w:i/>
                <w:lang w:val="fr-FR"/>
              </w:rPr>
              <w:t>, Devon, GB, p.8).  Il y a donc des variétés autogames, figurant sous 4.2.3 ainsi que des variétés allogames, figurant sous 4.2.4.</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4</w:t>
            </w:r>
          </w:p>
        </w:tc>
        <w:tc>
          <w:tcPr>
            <w:tcW w:w="7925" w:type="dxa"/>
          </w:tcPr>
          <w:p w:rsidR="001826AD" w:rsidRPr="00092B17" w:rsidRDefault="001826AD" w:rsidP="006B4271">
            <w:pPr>
              <w:rPr>
                <w:rFonts w:cs="Arial"/>
                <w:lang w:val="fr-FR"/>
              </w:rPr>
            </w:pPr>
            <w:r w:rsidRPr="00092B17">
              <w:rPr>
                <w:rFonts w:cs="Arial"/>
                <w:lang w:val="fr-FR"/>
              </w:rPr>
              <w:t xml:space="preserve">vérifier s’il convient d’ajouter des exemples de variétés pour </w:t>
            </w:r>
            <w:proofErr w:type="gramStart"/>
            <w:r w:rsidRPr="00092B17">
              <w:rPr>
                <w:rFonts w:cs="Arial"/>
                <w:lang w:val="fr-FR"/>
              </w:rPr>
              <w:t>les niveaux</w:t>
            </w:r>
            <w:proofErr w:type="gramEnd"/>
            <w:r w:rsidRPr="00092B17">
              <w:rPr>
                <w:rFonts w:cs="Arial"/>
                <w:lang w:val="fr-FR"/>
              </w:rPr>
              <w:t xml:space="preserve"> 1 et 5</w:t>
            </w:r>
          </w:p>
          <w:p w:rsidR="001826AD" w:rsidRPr="00092B17" w:rsidRDefault="001826AD" w:rsidP="006B4271">
            <w:pPr>
              <w:rPr>
                <w:rFonts w:cs="Arial"/>
                <w:i/>
                <w:lang w:val="fr-FR"/>
              </w:rPr>
            </w:pPr>
            <w:r w:rsidRPr="00092B17">
              <w:rPr>
                <w:rFonts w:cs="Arial"/>
                <w:i/>
                <w:lang w:val="fr-FR"/>
              </w:rPr>
              <w:t>exemples fournis par l’expert principal</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5</w:t>
            </w:r>
          </w:p>
        </w:tc>
        <w:tc>
          <w:tcPr>
            <w:tcW w:w="7925" w:type="dxa"/>
          </w:tcPr>
          <w:p w:rsidR="001826AD" w:rsidRPr="00092B17" w:rsidRDefault="001826AD" w:rsidP="006B4271">
            <w:pPr>
              <w:ind w:left="786" w:hanging="786"/>
              <w:rPr>
                <w:rFonts w:cs="Arial"/>
                <w:lang w:val="fr-FR"/>
              </w:rPr>
            </w:pPr>
            <w:r w:rsidRPr="00092B17">
              <w:rPr>
                <w:rFonts w:cs="Arial"/>
                <w:lang w:val="fr-FR"/>
              </w:rPr>
              <w:t>fournir des exemples de variétés</w:t>
            </w:r>
          </w:p>
          <w:p w:rsidR="001826AD" w:rsidRPr="00092B17" w:rsidRDefault="001826AD" w:rsidP="006B4271">
            <w:pPr>
              <w:ind w:left="786" w:hanging="786"/>
              <w:rPr>
                <w:rFonts w:cs="Arial"/>
                <w:lang w:val="fr-FR"/>
              </w:rPr>
            </w:pPr>
            <w:r w:rsidRPr="00092B17">
              <w:rPr>
                <w:rFonts w:cs="Arial"/>
                <w:i/>
                <w:lang w:val="fr-FR"/>
              </w:rPr>
              <w:t>exemples fournis par l’expert principal</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16 à 19</w:t>
            </w:r>
          </w:p>
        </w:tc>
        <w:tc>
          <w:tcPr>
            <w:tcW w:w="7925" w:type="dxa"/>
          </w:tcPr>
          <w:p w:rsidR="001826AD" w:rsidRPr="00092B17" w:rsidRDefault="001826AD" w:rsidP="006B4271">
            <w:pPr>
              <w:rPr>
                <w:rFonts w:cs="Arial"/>
                <w:lang w:val="fr-FR"/>
              </w:rPr>
            </w:pPr>
            <w:r w:rsidRPr="00092B17">
              <w:rPr>
                <w:rFonts w:cs="Arial"/>
                <w:lang w:val="fr-FR"/>
              </w:rPr>
              <w:t>supprimer “de la face supérieure”, voir (b)</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27</w:t>
            </w:r>
          </w:p>
        </w:tc>
        <w:tc>
          <w:tcPr>
            <w:tcW w:w="7925" w:type="dxa"/>
          </w:tcPr>
          <w:p w:rsidR="001826AD" w:rsidRPr="00092B17" w:rsidRDefault="001826AD" w:rsidP="006B4271">
            <w:pPr>
              <w:rPr>
                <w:rFonts w:cs="Arial"/>
                <w:lang w:val="fr-FR"/>
              </w:rPr>
            </w:pPr>
            <w:r w:rsidRPr="00092B17">
              <w:rPr>
                <w:rFonts w:cs="Arial"/>
                <w:lang w:val="fr-FR"/>
              </w:rPr>
              <w:t>– le niveau 1 doit être libellé comme suit : “dressé”</w:t>
            </w:r>
          </w:p>
          <w:p w:rsidR="001826AD" w:rsidRPr="00092B17" w:rsidRDefault="001826AD" w:rsidP="006B4271">
            <w:pPr>
              <w:rPr>
                <w:rFonts w:cs="Arial"/>
                <w:lang w:val="fr-FR"/>
              </w:rPr>
            </w:pPr>
            <w:r w:rsidRPr="00092B17">
              <w:rPr>
                <w:rFonts w:cs="Arial"/>
                <w:lang w:val="fr-FR"/>
              </w:rPr>
              <w:t>– le niveau 2 doit être libellé comme suit : “demi</w:t>
            </w:r>
            <w:r w:rsidRPr="00092B17">
              <w:rPr>
                <w:rFonts w:cs="Arial"/>
                <w:lang w:val="fr-FR"/>
              </w:rPr>
              <w:noBreakHyphen/>
              <w:t>dressé”</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28</w:t>
            </w:r>
          </w:p>
        </w:tc>
        <w:tc>
          <w:tcPr>
            <w:tcW w:w="7925" w:type="dxa"/>
          </w:tcPr>
          <w:p w:rsidR="001826AD" w:rsidRPr="00092B17" w:rsidRDefault="001826AD" w:rsidP="006B4271">
            <w:pPr>
              <w:rPr>
                <w:rFonts w:cs="Arial"/>
                <w:lang w:val="fr-FR"/>
              </w:rPr>
            </w:pPr>
            <w:r w:rsidRPr="00092B17">
              <w:rPr>
                <w:rFonts w:cs="Arial"/>
                <w:lang w:val="fr-FR"/>
              </w:rPr>
              <w:t>ajouter une explication/illustration afin de clarifier “persistance”</w:t>
            </w:r>
          </w:p>
          <w:p w:rsidR="001826AD" w:rsidRPr="00092B17" w:rsidRDefault="001826AD" w:rsidP="006B4271">
            <w:pPr>
              <w:rPr>
                <w:rFonts w:cs="Arial"/>
                <w:lang w:val="fr-FR"/>
              </w:rPr>
            </w:pPr>
            <w:r w:rsidRPr="00092B17">
              <w:rPr>
                <w:rFonts w:cs="Arial"/>
                <w:i/>
                <w:lang w:val="fr-FR"/>
              </w:rPr>
              <w:t>fournie par l’expert principal</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38 à 46</w:t>
            </w:r>
          </w:p>
        </w:tc>
        <w:tc>
          <w:tcPr>
            <w:tcW w:w="7925" w:type="dxa"/>
          </w:tcPr>
          <w:p w:rsidR="001826AD" w:rsidRPr="00092B17" w:rsidRDefault="001826AD" w:rsidP="006B4271">
            <w:pPr>
              <w:rPr>
                <w:rFonts w:cs="Arial"/>
                <w:lang w:val="fr-FR"/>
              </w:rPr>
            </w:pPr>
            <w:r w:rsidRPr="00092B17">
              <w:rPr>
                <w:rFonts w:cs="Arial"/>
                <w:lang w:val="fr-FR"/>
              </w:rPr>
              <w:t xml:space="preserve">remplacer “Labelle supérieur/inférieur de la corolle” par “Labelle supérieur/inférieur” </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45</w:t>
            </w:r>
          </w:p>
        </w:tc>
        <w:tc>
          <w:tcPr>
            <w:tcW w:w="7925" w:type="dxa"/>
          </w:tcPr>
          <w:p w:rsidR="001826AD" w:rsidRPr="00092B17" w:rsidRDefault="001826AD" w:rsidP="006B4271">
            <w:pPr>
              <w:rPr>
                <w:rFonts w:cs="Arial"/>
                <w:lang w:val="fr-FR"/>
              </w:rPr>
            </w:pPr>
            <w:r w:rsidRPr="00092B17">
              <w:rPr>
                <w:rFonts w:cs="Arial"/>
                <w:lang w:val="fr-FR"/>
              </w:rPr>
              <w:t>le niveau 5 doit être libellé comme suit : “partout”</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8.1 (a)</w:t>
            </w:r>
          </w:p>
        </w:tc>
        <w:tc>
          <w:tcPr>
            <w:tcW w:w="7925" w:type="dxa"/>
          </w:tcPr>
          <w:p w:rsidR="001826AD" w:rsidRPr="00092B17" w:rsidRDefault="001826AD" w:rsidP="006B4271">
            <w:pPr>
              <w:rPr>
                <w:rFonts w:cs="Arial"/>
                <w:lang w:val="fr-FR"/>
              </w:rPr>
            </w:pPr>
            <w:r w:rsidRPr="00092B17">
              <w:rPr>
                <w:rFonts w:cs="Arial"/>
                <w:lang w:val="fr-FR"/>
              </w:rPr>
              <w:t>L’explication s’applique à tous les caractères. (a) doit être supprimé et une phrase devrait être ajoutée au début du chapitre 8.1</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22</w:t>
            </w:r>
          </w:p>
        </w:tc>
        <w:tc>
          <w:tcPr>
            <w:tcW w:w="7925" w:type="dxa"/>
          </w:tcPr>
          <w:p w:rsidR="001826AD" w:rsidRPr="00092B17" w:rsidRDefault="001826AD" w:rsidP="006B4271">
            <w:pPr>
              <w:rPr>
                <w:rFonts w:cs="Arial"/>
                <w:lang w:val="fr-FR"/>
              </w:rPr>
            </w:pPr>
            <w:r w:rsidRPr="00092B17">
              <w:rPr>
                <w:rFonts w:cs="Arial"/>
                <w:lang w:val="fr-FR"/>
              </w:rPr>
              <w:t>supprimer l’illustration pour le niveau 2 (pas clair et inutile d’illustrer le niveau 2)</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42</w:t>
            </w:r>
          </w:p>
        </w:tc>
        <w:tc>
          <w:tcPr>
            <w:tcW w:w="7925" w:type="dxa"/>
          </w:tcPr>
          <w:p w:rsidR="001826AD" w:rsidRPr="00092B17" w:rsidRDefault="001826AD" w:rsidP="006B4271">
            <w:pPr>
              <w:rPr>
                <w:rFonts w:cs="Arial"/>
                <w:lang w:val="fr-FR"/>
              </w:rPr>
            </w:pPr>
            <w:r w:rsidRPr="00092B17">
              <w:rPr>
                <w:rFonts w:cs="Arial"/>
                <w:lang w:val="fr-FR"/>
              </w:rPr>
              <w:t>si possible, remplacer la photo pour la note 1</w:t>
            </w:r>
          </w:p>
          <w:p w:rsidR="001826AD" w:rsidRPr="00092B17" w:rsidRDefault="001826AD" w:rsidP="006B4271">
            <w:pPr>
              <w:rPr>
                <w:rFonts w:cs="Arial"/>
                <w:b/>
                <w:lang w:val="fr-FR"/>
              </w:rPr>
            </w:pPr>
            <w:r w:rsidRPr="00092B17">
              <w:rPr>
                <w:rFonts w:cs="Arial"/>
                <w:i/>
                <w:lang w:val="fr-FR"/>
              </w:rPr>
              <w:t>photo fournie par l’expert principal</w:t>
            </w:r>
          </w:p>
        </w:tc>
      </w:tr>
    </w:tbl>
    <w:p w:rsidR="001826AD" w:rsidRPr="00092B17" w:rsidRDefault="001826AD" w:rsidP="001826AD">
      <w:pPr>
        <w:jc w:val="left"/>
        <w:rPr>
          <w:rFonts w:cs="Arial"/>
          <w:u w:val="single"/>
          <w:lang w:val="fr-FR"/>
        </w:rPr>
      </w:pPr>
    </w:p>
    <w:p w:rsidR="001826AD" w:rsidRPr="00092B17" w:rsidRDefault="001826AD" w:rsidP="001826AD">
      <w:pPr>
        <w:autoSpaceDE w:val="0"/>
        <w:autoSpaceDN w:val="0"/>
        <w:adjustRightInd w:val="0"/>
        <w:ind w:firstLine="567"/>
        <w:rPr>
          <w:rFonts w:cs="Arial"/>
          <w:u w:val="single"/>
          <w:lang w:val="fr-FR"/>
        </w:rPr>
      </w:pPr>
      <w:r w:rsidRPr="00092B17">
        <w:rPr>
          <w:rFonts w:cs="Arial"/>
          <w:u w:val="single"/>
          <w:lang w:val="fr-FR"/>
        </w:rPr>
        <w:t>b)</w:t>
      </w:r>
      <w:r w:rsidRPr="00092B17">
        <w:rPr>
          <w:rFonts w:cs="Arial"/>
          <w:u w:val="single"/>
          <w:lang w:val="fr-FR"/>
        </w:rPr>
        <w:tab/>
        <w:t>Modifications proposées par le TC</w:t>
      </w:r>
      <w:r w:rsidRPr="00092B17">
        <w:rPr>
          <w:rFonts w:cs="Arial"/>
          <w:u w:val="single"/>
          <w:lang w:val="fr-FR"/>
        </w:rPr>
        <w:noBreakHyphen/>
        <w:t>EDC en mars 2016, qui doivent être incorporées dans le document soumis au TC :</w:t>
      </w:r>
    </w:p>
    <w:p w:rsidR="001826AD" w:rsidRPr="00092B17" w:rsidRDefault="001826AD" w:rsidP="001826AD">
      <w:pPr>
        <w:jc w:val="left"/>
        <w:rPr>
          <w:rFonts w:cs="Arial"/>
          <w:u w:val="single"/>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1.</w:t>
            </w:r>
          </w:p>
        </w:tc>
        <w:tc>
          <w:tcPr>
            <w:tcW w:w="7925" w:type="dxa"/>
          </w:tcPr>
          <w:p w:rsidR="001826AD" w:rsidRPr="00092B17" w:rsidRDefault="001826AD" w:rsidP="006B4271">
            <w:pPr>
              <w:rPr>
                <w:rFonts w:cs="Arial"/>
                <w:lang w:val="fr-FR"/>
              </w:rPr>
            </w:pPr>
            <w:r w:rsidRPr="00092B17">
              <w:rPr>
                <w:rFonts w:cs="Arial"/>
                <w:lang w:val="fr-FR"/>
              </w:rPr>
              <w:t xml:space="preserve">libeller comme suit : “Les caractères dans ces principes directeurs d’examen ont été élaborés pour différencier les variétés ornementales.  </w:t>
            </w:r>
            <w:r w:rsidRPr="00092B17">
              <w:rPr>
                <w:lang w:val="fr-FR"/>
              </w:rPr>
              <w:t>Ils peuvent aussi être utilisés pour différencier les variétés de type herbacé, bien que des caractères et des niveaux d’expression supplémentaires pourraient alors être nécessaires”.</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18</w:t>
            </w:r>
          </w:p>
        </w:tc>
        <w:tc>
          <w:tcPr>
            <w:tcW w:w="7925" w:type="dxa"/>
          </w:tcPr>
          <w:p w:rsidR="001826AD" w:rsidRPr="00092B17" w:rsidRDefault="001826AD" w:rsidP="006B4271">
            <w:pPr>
              <w:rPr>
                <w:rFonts w:cs="Arial"/>
                <w:lang w:val="fr-FR"/>
              </w:rPr>
            </w:pPr>
            <w:r w:rsidRPr="00092B17">
              <w:rPr>
                <w:rFonts w:cs="Arial"/>
                <w:lang w:val="fr-FR"/>
              </w:rPr>
              <w:t>ajouter (b)</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23, 24, 29, 31, 34 à 36, 41</w:t>
            </w:r>
          </w:p>
        </w:tc>
        <w:tc>
          <w:tcPr>
            <w:tcW w:w="7925" w:type="dxa"/>
          </w:tcPr>
          <w:p w:rsidR="001826AD" w:rsidRPr="00092B17" w:rsidRDefault="001826AD" w:rsidP="006B4271">
            <w:pPr>
              <w:rPr>
                <w:rFonts w:cs="Arial"/>
                <w:lang w:val="fr-FR"/>
              </w:rPr>
            </w:pPr>
            <w:r w:rsidRPr="00092B17">
              <w:rPr>
                <w:rFonts w:cs="Arial"/>
                <w:lang w:val="fr-FR"/>
              </w:rPr>
              <w:t>Vérifier si MG convient.  Devrait probablement être indiqué comme VG/MS</w:t>
            </w:r>
            <w:proofErr w:type="gramStart"/>
            <w:r w:rsidRPr="00092B17">
              <w:rPr>
                <w:rFonts w:cs="Arial"/>
                <w:lang w:val="fr-FR"/>
              </w:rPr>
              <w:t>.</w:t>
            </w:r>
            <w:proofErr w:type="gramEnd"/>
            <w:r w:rsidRPr="00092B17">
              <w:rPr>
                <w:rFonts w:cs="Arial"/>
                <w:lang w:val="fr-FR"/>
              </w:rPr>
              <w:br/>
              <w:t>Expert principal : à indiquer comme VG/MS</w:t>
            </w:r>
          </w:p>
          <w:p w:rsidR="001826AD" w:rsidRPr="00092B17" w:rsidRDefault="001826AD" w:rsidP="006B4271">
            <w:pPr>
              <w:rPr>
                <w:rFonts w:cs="Arial"/>
                <w:i/>
                <w:lang w:val="fr-FR"/>
              </w:rPr>
            </w:pPr>
            <w:r w:rsidRPr="00092B17">
              <w:rPr>
                <w:rFonts w:cs="Arial"/>
                <w:i/>
                <w:lang w:val="fr-FR"/>
              </w:rPr>
              <w:t>L’approbation par correspondance du TWO est requise</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28</w:t>
            </w:r>
          </w:p>
        </w:tc>
        <w:tc>
          <w:tcPr>
            <w:tcW w:w="7925" w:type="dxa"/>
          </w:tcPr>
          <w:p w:rsidR="001826AD" w:rsidRPr="00092B17" w:rsidRDefault="001826AD" w:rsidP="006B4271">
            <w:pPr>
              <w:rPr>
                <w:rFonts w:cs="Arial"/>
                <w:lang w:val="fr-FR"/>
              </w:rPr>
            </w:pPr>
            <w:r w:rsidRPr="00092B17">
              <w:rPr>
                <w:rFonts w:cs="Arial"/>
                <w:lang w:val="fr-FR"/>
              </w:rPr>
              <w:t xml:space="preserve"> La version anglaise doit être libellée comme suit : “</w:t>
            </w:r>
            <w:proofErr w:type="spellStart"/>
            <w:r w:rsidRPr="00092B17">
              <w:rPr>
                <w:rFonts w:cs="Arial"/>
                <w:lang w:val="fr-FR"/>
              </w:rPr>
              <w:t>Bract</w:t>
            </w:r>
            <w:proofErr w:type="spellEnd"/>
            <w:r w:rsidRPr="00092B17">
              <w:rPr>
                <w:rFonts w:cs="Arial"/>
                <w:lang w:val="fr-FR"/>
              </w:rPr>
              <w:t xml:space="preserve"> </w:t>
            </w:r>
            <w:proofErr w:type="spellStart"/>
            <w:r w:rsidRPr="00092B17">
              <w:rPr>
                <w:rFonts w:cs="Arial"/>
                <w:lang w:val="fr-FR"/>
              </w:rPr>
              <w:t>persistence</w:t>
            </w:r>
            <w:proofErr w:type="spellEnd"/>
            <w:r w:rsidRPr="00092B17">
              <w:rPr>
                <w:rFonts w:cs="Arial"/>
                <w:lang w:val="fr-FR"/>
              </w:rPr>
              <w:t xml:space="preserve"> </w:t>
            </w:r>
            <w:proofErr w:type="spellStart"/>
            <w:r w:rsidRPr="00092B17">
              <w:rPr>
                <w:rFonts w:cs="Arial"/>
                <w:lang w:val="fr-FR"/>
              </w:rPr>
              <w:t>should</w:t>
            </w:r>
            <w:proofErr w:type="spellEnd"/>
            <w:r w:rsidRPr="00092B17">
              <w:rPr>
                <w:rFonts w:cs="Arial"/>
                <w:lang w:val="fr-FR"/>
              </w:rPr>
              <w:t xml:space="preserve"> </w:t>
            </w:r>
            <w:proofErr w:type="spellStart"/>
            <w:r w:rsidRPr="00092B17">
              <w:rPr>
                <w:rFonts w:cs="Arial"/>
                <w:lang w:val="fr-FR"/>
              </w:rPr>
              <w:t>be</w:t>
            </w:r>
            <w:proofErr w:type="spellEnd"/>
            <w:r w:rsidRPr="00092B17">
              <w:rPr>
                <w:rFonts w:cs="Arial"/>
                <w:lang w:val="fr-FR"/>
              </w:rPr>
              <w:t xml:space="preserve"> </w:t>
            </w:r>
            <w:proofErr w:type="spellStart"/>
            <w:r w:rsidRPr="00092B17">
              <w:rPr>
                <w:rFonts w:cs="Arial"/>
                <w:lang w:val="fr-FR"/>
              </w:rPr>
              <w:t>observed</w:t>
            </w:r>
            <w:proofErr w:type="spellEnd"/>
            <w:r w:rsidRPr="00092B17">
              <w:rPr>
                <w:rFonts w:cs="Arial"/>
                <w:lang w:val="fr-FR"/>
              </w:rPr>
              <w:t xml:space="preserve"> at </w:t>
            </w:r>
            <w:r w:rsidRPr="00092B17">
              <w:rPr>
                <w:lang w:val="fr-FR"/>
              </w:rPr>
              <w:t xml:space="preserve">the stage of </w:t>
            </w:r>
            <w:proofErr w:type="spellStart"/>
            <w:r w:rsidRPr="00092B17">
              <w:rPr>
                <w:lang w:val="fr-FR"/>
              </w:rPr>
              <w:t>flowering</w:t>
            </w:r>
            <w:proofErr w:type="spellEnd"/>
            <w:r w:rsidRPr="00092B17">
              <w:rPr>
                <w:lang w:val="fr-FR"/>
              </w:rPr>
              <w:t xml:space="preserve"> </w:t>
            </w:r>
            <w:proofErr w:type="spellStart"/>
            <w:r w:rsidRPr="00092B17">
              <w:rPr>
                <w:lang w:val="fr-FR"/>
              </w:rPr>
              <w:t>when</w:t>
            </w:r>
            <w:proofErr w:type="spellEnd"/>
            <w:r w:rsidRPr="00092B17">
              <w:rPr>
                <w:lang w:val="fr-FR"/>
              </w:rPr>
              <w:t xml:space="preserve"> the </w:t>
            </w:r>
            <w:proofErr w:type="spellStart"/>
            <w:r w:rsidRPr="00092B17">
              <w:rPr>
                <w:lang w:val="fr-FR"/>
              </w:rPr>
              <w:t>bract</w:t>
            </w:r>
            <w:proofErr w:type="spellEnd"/>
            <w:r w:rsidRPr="00092B17">
              <w:rPr>
                <w:lang w:val="fr-FR"/>
              </w:rPr>
              <w:t xml:space="preserve"> </w:t>
            </w:r>
            <w:proofErr w:type="spellStart"/>
            <w:r w:rsidRPr="00092B17">
              <w:rPr>
                <w:strike/>
                <w:lang w:val="fr-FR"/>
              </w:rPr>
              <w:t>comes</w:t>
            </w:r>
            <w:proofErr w:type="spellEnd"/>
            <w:r w:rsidRPr="00092B17">
              <w:rPr>
                <w:strike/>
                <w:lang w:val="fr-FR"/>
              </w:rPr>
              <w:t xml:space="preserve"> off</w:t>
            </w:r>
            <w:r w:rsidRPr="00092B17">
              <w:rPr>
                <w:lang w:val="fr-FR"/>
              </w:rPr>
              <w:t xml:space="preserve"> </w:t>
            </w:r>
            <w:proofErr w:type="spellStart"/>
            <w:r w:rsidRPr="00092B17">
              <w:rPr>
                <w:u w:val="single"/>
                <w:lang w:val="fr-FR"/>
              </w:rPr>
              <w:t>detaches</w:t>
            </w:r>
            <w:proofErr w:type="spellEnd"/>
            <w:r w:rsidRPr="00092B17">
              <w:rPr>
                <w:u w:val="single"/>
                <w:lang w:val="fr-FR"/>
              </w:rPr>
              <w:t xml:space="preserve"> </w:t>
            </w:r>
            <w:proofErr w:type="spellStart"/>
            <w:r w:rsidRPr="00092B17">
              <w:rPr>
                <w:u w:val="single"/>
                <w:lang w:val="fr-FR"/>
              </w:rPr>
              <w:t>from</w:t>
            </w:r>
            <w:proofErr w:type="spellEnd"/>
            <w:r w:rsidRPr="00092B17">
              <w:rPr>
                <w:lang w:val="fr-FR"/>
              </w:rPr>
              <w:t xml:space="preserve"> the inflorescence.  …</w:t>
            </w:r>
            <w:r w:rsidRPr="00092B17">
              <w:rPr>
                <w:rFonts w:cs="Arial"/>
                <w:lang w:val="fr-FR"/>
              </w:rPr>
              <w:t>”</w:t>
            </w:r>
          </w:p>
        </w:tc>
      </w:tr>
    </w:tbl>
    <w:p w:rsidR="001826AD" w:rsidRPr="00092B17" w:rsidRDefault="001826AD" w:rsidP="001826AD">
      <w:pPr>
        <w:jc w:val="left"/>
        <w:rPr>
          <w:rFonts w:cs="Arial"/>
          <w:u w:val="single"/>
          <w:lang w:val="fr-FR"/>
        </w:rPr>
      </w:pPr>
    </w:p>
    <w:p w:rsidR="001826AD" w:rsidRPr="00092B17" w:rsidRDefault="001826AD" w:rsidP="001826AD">
      <w:pPr>
        <w:jc w:val="left"/>
        <w:rPr>
          <w:rFonts w:cs="Arial"/>
          <w:u w:val="single"/>
          <w:lang w:val="fr-FR"/>
        </w:rPr>
      </w:pPr>
    </w:p>
    <w:p w:rsidR="001826AD" w:rsidRPr="00092B17" w:rsidRDefault="001826AD" w:rsidP="001826AD">
      <w:pPr>
        <w:pStyle w:val="Heading1"/>
        <w:rPr>
          <w:lang w:val="fr-FR"/>
        </w:rPr>
      </w:pPr>
      <w:r w:rsidRPr="00092B17">
        <w:rPr>
          <w:lang w:val="fr-FR"/>
        </w:rPr>
        <w:t>3.</w:t>
      </w:r>
      <w:r w:rsidRPr="00092B17">
        <w:rPr>
          <w:lang w:val="fr-FR"/>
        </w:rPr>
        <w:tab/>
        <w:t>Révisions</w:t>
      </w:r>
    </w:p>
    <w:p w:rsidR="001826AD" w:rsidRPr="00092B17" w:rsidRDefault="001826AD" w:rsidP="001826AD">
      <w:pPr>
        <w:keepNext/>
        <w:jc w:val="left"/>
        <w:rPr>
          <w:rFonts w:cs="Arial"/>
          <w:u w:val="single"/>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r w:rsidRPr="00092B17">
              <w:rPr>
                <w:rFonts w:cs="Arial"/>
                <w:caps w:val="0"/>
                <w:lang w:val="fr-FR"/>
              </w:rPr>
              <w:t>Basil (</w:t>
            </w:r>
            <w:proofErr w:type="spellStart"/>
            <w:r w:rsidRPr="00092B17">
              <w:rPr>
                <w:i/>
                <w:caps w:val="0"/>
                <w:lang w:val="fr-FR"/>
              </w:rPr>
              <w:t>Ocimum</w:t>
            </w:r>
            <w:proofErr w:type="spellEnd"/>
            <w:r w:rsidRPr="00092B17">
              <w:rPr>
                <w:i/>
                <w:caps w:val="0"/>
                <w:lang w:val="fr-FR"/>
              </w:rPr>
              <w:t xml:space="preserve"> basilicum</w:t>
            </w:r>
            <w:r w:rsidRPr="00092B17">
              <w:rPr>
                <w:caps w:val="0"/>
                <w:lang w:val="fr-FR"/>
              </w:rPr>
              <w:t xml:space="preserve"> </w:t>
            </w:r>
            <w:r w:rsidRPr="00092B17">
              <w:rPr>
                <w:lang w:val="fr-FR"/>
              </w:rPr>
              <w:t>L.</w:t>
            </w:r>
            <w:r w:rsidRPr="00092B17">
              <w:rPr>
                <w:rFonts w:cs="Arial"/>
                <w:caps w:val="0"/>
                <w:lang w:val="fr-FR"/>
              </w:rPr>
              <w:t>)</w:t>
            </w:r>
          </w:p>
        </w:tc>
        <w:tc>
          <w:tcPr>
            <w:tcW w:w="2268" w:type="dxa"/>
            <w:vMerge w:val="restart"/>
            <w:shd w:val="clear" w:color="auto" w:fill="D9D9D9"/>
            <w:vAlign w:val="center"/>
          </w:tcPr>
          <w:p w:rsidR="001826AD" w:rsidRPr="00092B17" w:rsidRDefault="001826AD" w:rsidP="006B4271">
            <w:pPr>
              <w:keepNext/>
              <w:rPr>
                <w:iCs/>
                <w:snapToGrid w:val="0"/>
                <w:lang w:val="fr-FR"/>
              </w:rPr>
            </w:pPr>
            <w:r w:rsidRPr="00092B17">
              <w:rPr>
                <w:rFonts w:cs="Arial"/>
                <w:caps/>
                <w:lang w:val="fr-FR"/>
              </w:rPr>
              <w:t>TG/200/2(</w:t>
            </w:r>
            <w:r w:rsidRPr="00092B17">
              <w:rPr>
                <w:rFonts w:cs="Arial"/>
                <w:lang w:val="fr-FR"/>
              </w:rPr>
              <w:t>proj</w:t>
            </w:r>
            <w:r w:rsidRPr="00092B17">
              <w:rPr>
                <w:rFonts w:cs="Arial"/>
                <w:caps/>
                <w:lang w:val="fr-FR"/>
              </w:rPr>
              <w:t>.4)</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keepNext/>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TG/200/2(proj.4)) soumis au TC :</w:t>
      </w:r>
    </w:p>
    <w:p w:rsidR="001826AD" w:rsidRPr="00092B17" w:rsidRDefault="001826AD" w:rsidP="001826AD">
      <w:pPr>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w:t>
            </w:r>
          </w:p>
        </w:tc>
        <w:tc>
          <w:tcPr>
            <w:tcW w:w="7925" w:type="dxa"/>
          </w:tcPr>
          <w:p w:rsidR="001826AD" w:rsidRPr="00092B17" w:rsidRDefault="001826AD" w:rsidP="006B4271">
            <w:pPr>
              <w:keepNext/>
              <w:rPr>
                <w:rFonts w:cs="Arial"/>
                <w:lang w:val="fr-FR"/>
              </w:rPr>
            </w:pPr>
            <w:r w:rsidRPr="00092B17">
              <w:rPr>
                <w:rFonts w:cs="Arial"/>
                <w:lang w:val="fr-FR"/>
              </w:rPr>
              <w:t xml:space="preserve">faire figurer </w:t>
            </w:r>
            <w:proofErr w:type="gramStart"/>
            <w:r w:rsidRPr="00092B17">
              <w:rPr>
                <w:rFonts w:cs="Arial"/>
                <w:lang w:val="fr-FR"/>
              </w:rPr>
              <w:t>les niveaux dressé</w:t>
            </w:r>
            <w:proofErr w:type="gramEnd"/>
            <w:r w:rsidRPr="00092B17">
              <w:rPr>
                <w:rFonts w:cs="Arial"/>
                <w:lang w:val="fr-FR"/>
              </w:rPr>
              <w:t xml:space="preserve"> (1), dressé à demi</w:t>
            </w:r>
            <w:r w:rsidRPr="00092B17">
              <w:rPr>
                <w:rFonts w:cs="Arial"/>
                <w:lang w:val="fr-FR"/>
              </w:rPr>
              <w:noBreakHyphen/>
              <w:t>dressé (2), demi</w:t>
            </w:r>
            <w:r w:rsidRPr="00092B17">
              <w:rPr>
                <w:rFonts w:cs="Arial"/>
                <w:lang w:val="fr-FR"/>
              </w:rPr>
              <w:noBreakHyphen/>
              <w:t>dressé (3)</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7</w:t>
            </w:r>
          </w:p>
        </w:tc>
        <w:tc>
          <w:tcPr>
            <w:tcW w:w="7925" w:type="dxa"/>
          </w:tcPr>
          <w:p w:rsidR="001826AD" w:rsidRPr="00092B17" w:rsidRDefault="001826AD" w:rsidP="006B4271">
            <w:pPr>
              <w:rPr>
                <w:rFonts w:cs="Arial"/>
                <w:lang w:val="fr-FR"/>
              </w:rPr>
            </w:pPr>
            <w:r w:rsidRPr="00092B17">
              <w:rPr>
                <w:rFonts w:cs="Arial"/>
                <w:lang w:val="fr-FR"/>
              </w:rPr>
              <w:t>libeller comme suit : “Limbe : intensité de la pigmentation anthocyanique”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8</w:t>
            </w:r>
          </w:p>
        </w:tc>
        <w:tc>
          <w:tcPr>
            <w:tcW w:w="7925" w:type="dxa"/>
          </w:tcPr>
          <w:p w:rsidR="001826AD" w:rsidRPr="00092B17" w:rsidRDefault="001826AD" w:rsidP="006B4271">
            <w:pPr>
              <w:keepNext/>
              <w:rPr>
                <w:rFonts w:cs="Arial"/>
                <w:lang w:val="fr-FR"/>
              </w:rPr>
            </w:pPr>
            <w:r w:rsidRPr="00092B17">
              <w:rPr>
                <w:rFonts w:cs="Arial"/>
                <w:lang w:val="fr-FR"/>
              </w:rPr>
              <w:t>libeller comme suit : “Limbe : distribution de la pigmentation anthocyanique”</w:t>
            </w:r>
          </w:p>
          <w:p w:rsidR="001826AD" w:rsidRPr="00092B17" w:rsidRDefault="001826AD" w:rsidP="006B4271">
            <w:pPr>
              <w:keepNext/>
              <w:rPr>
                <w:rFonts w:cs="Arial"/>
                <w:lang w:val="fr-FR"/>
              </w:rPr>
            </w:pPr>
            <w:r w:rsidRPr="00092B17">
              <w:rPr>
                <w:rFonts w:cs="Arial"/>
                <w:lang w:val="fr-FR"/>
              </w:rPr>
              <w:t>– le niveau 1 doit être libellé comme suit : “principalement le long des nervures”</w:t>
            </w:r>
          </w:p>
          <w:p w:rsidR="001826AD" w:rsidRPr="00092B17" w:rsidRDefault="001826AD" w:rsidP="006B4271">
            <w:pPr>
              <w:keepNext/>
              <w:rPr>
                <w:rFonts w:cs="Arial"/>
                <w:lang w:val="fr-FR"/>
              </w:rPr>
            </w:pPr>
            <w:r w:rsidRPr="00092B17">
              <w:rPr>
                <w:rFonts w:cs="Arial"/>
                <w:lang w:val="fr-FR"/>
              </w:rPr>
              <w:t>– le niveau 3 doit être libellé comme suit : “sur la partie basale et centrale”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15</w:t>
            </w:r>
          </w:p>
        </w:tc>
        <w:tc>
          <w:tcPr>
            <w:tcW w:w="7925" w:type="dxa"/>
          </w:tcPr>
          <w:p w:rsidR="001826AD" w:rsidRPr="00092B17" w:rsidRDefault="001826AD" w:rsidP="006B4271">
            <w:pPr>
              <w:keepNext/>
              <w:rPr>
                <w:rFonts w:cs="Arial"/>
                <w:lang w:val="fr-FR"/>
              </w:rPr>
            </w:pPr>
            <w:r w:rsidRPr="00092B17">
              <w:rPr>
                <w:rFonts w:cs="Arial"/>
                <w:lang w:val="fr-FR"/>
              </w:rPr>
              <w:t>ajouter (a)</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car. 18</w:t>
            </w:r>
          </w:p>
        </w:tc>
        <w:tc>
          <w:tcPr>
            <w:tcW w:w="7925" w:type="dxa"/>
          </w:tcPr>
          <w:p w:rsidR="001826AD" w:rsidRPr="00092B17" w:rsidRDefault="001826AD" w:rsidP="006B4271">
            <w:pPr>
              <w:rPr>
                <w:rFonts w:cs="Arial"/>
                <w:lang w:val="fr-FR"/>
              </w:rPr>
            </w:pPr>
            <w:r w:rsidRPr="00092B17">
              <w:rPr>
                <w:rFonts w:cs="Arial"/>
                <w:lang w:val="fr-FR"/>
              </w:rPr>
              <w:t>– libeller comme suit : “Fleur : pilosité du sépale supérieur” (voir illustration au chapitre 8.1 (b))</w:t>
            </w:r>
          </w:p>
          <w:p w:rsidR="001826AD" w:rsidRPr="00092B17" w:rsidRDefault="001826AD" w:rsidP="006B4271">
            <w:pPr>
              <w:rPr>
                <w:rFonts w:cs="Arial"/>
                <w:lang w:val="fr-FR"/>
              </w:rPr>
            </w:pPr>
            <w:r w:rsidRPr="00092B17">
              <w:rPr>
                <w:rFonts w:cs="Arial"/>
                <w:lang w:val="fr-FR"/>
              </w:rPr>
              <w:t xml:space="preserve">– (DE : </w:t>
            </w:r>
            <w:proofErr w:type="spellStart"/>
            <w:r w:rsidRPr="00092B17">
              <w:rPr>
                <w:rFonts w:cs="Arial"/>
                <w:lang w:val="fr-FR"/>
              </w:rPr>
              <w:t>Blüte</w:t>
            </w:r>
            <w:proofErr w:type="spellEnd"/>
            <w:r w:rsidRPr="00092B17">
              <w:rPr>
                <w:rFonts w:cs="Arial"/>
                <w:lang w:val="fr-FR"/>
              </w:rPr>
              <w:t xml:space="preserve"> : </w:t>
            </w:r>
            <w:proofErr w:type="spellStart"/>
            <w:r w:rsidRPr="00092B17">
              <w:rPr>
                <w:rFonts w:cs="Arial"/>
                <w:lang w:val="fr-FR"/>
              </w:rPr>
              <w:t>Behaarung</w:t>
            </w:r>
            <w:proofErr w:type="spellEnd"/>
            <w:r w:rsidRPr="00092B17">
              <w:rPr>
                <w:rFonts w:cs="Arial"/>
                <w:lang w:val="fr-FR"/>
              </w:rPr>
              <w:t xml:space="preserve"> des </w:t>
            </w:r>
            <w:proofErr w:type="spellStart"/>
            <w:r w:rsidRPr="00092B17">
              <w:rPr>
                <w:rFonts w:cs="Arial"/>
                <w:lang w:val="fr-FR"/>
              </w:rPr>
              <w:t>oberen</w:t>
            </w:r>
            <w:proofErr w:type="spellEnd"/>
            <w:r w:rsidRPr="00092B17">
              <w:rPr>
                <w:rFonts w:cs="Arial"/>
                <w:lang w:val="fr-FR"/>
              </w:rPr>
              <w:t xml:space="preserve"> </w:t>
            </w:r>
            <w:proofErr w:type="spellStart"/>
            <w:r w:rsidRPr="00092B17">
              <w:rPr>
                <w:rFonts w:cs="Arial"/>
                <w:lang w:val="fr-FR"/>
              </w:rPr>
              <w:t>Kelchblattes</w:t>
            </w:r>
            <w:proofErr w:type="spellEnd"/>
            <w:r w:rsidRPr="00092B17">
              <w:rPr>
                <w:rFonts w:cs="Arial"/>
                <w:lang w:val="fr-FR"/>
              </w:rPr>
              <w:t>)</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8.1 (a)</w:t>
            </w:r>
          </w:p>
        </w:tc>
        <w:tc>
          <w:tcPr>
            <w:tcW w:w="7925" w:type="dxa"/>
          </w:tcPr>
          <w:p w:rsidR="001826AD" w:rsidRPr="00092B17" w:rsidRDefault="001826AD" w:rsidP="006B4271">
            <w:pPr>
              <w:tabs>
                <w:tab w:val="left" w:pos="1418"/>
              </w:tabs>
              <w:rPr>
                <w:rFonts w:cs="Arial"/>
                <w:lang w:val="fr-FR"/>
              </w:rPr>
            </w:pPr>
            <w:r w:rsidRPr="00092B17">
              <w:rPr>
                <w:rFonts w:cs="Arial"/>
                <w:lang w:val="fr-FR"/>
              </w:rPr>
              <w:t xml:space="preserve">libeller comme suit : “Les observations doivent être effectuées </w:t>
            </w:r>
            <w:r w:rsidRPr="00092B17">
              <w:rPr>
                <w:lang w:val="fr-FR"/>
              </w:rPr>
              <w:t>sur des feuilles externes complètement développées provenant de la partie médiane de la plante.”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8.1 (b)</w:t>
            </w:r>
          </w:p>
        </w:tc>
        <w:tc>
          <w:tcPr>
            <w:tcW w:w="7925" w:type="dxa"/>
          </w:tcPr>
          <w:p w:rsidR="001826AD" w:rsidRPr="00092B17" w:rsidRDefault="001826AD" w:rsidP="006B4271">
            <w:pPr>
              <w:rPr>
                <w:rFonts w:cs="Arial"/>
                <w:lang w:val="fr-FR"/>
              </w:rPr>
            </w:pPr>
            <w:r w:rsidRPr="00092B17">
              <w:rPr>
                <w:rFonts w:cs="Arial"/>
                <w:lang w:val="fr-FR"/>
              </w:rPr>
              <w:t>libeller comme suit : “Sépale supérieur” au lieu de “Bractée”</w:t>
            </w:r>
          </w:p>
        </w:tc>
      </w:tr>
      <w:tr w:rsidR="001826AD" w:rsidRPr="00092B17" w:rsidTr="006B4271">
        <w:tc>
          <w:tcPr>
            <w:tcW w:w="1573" w:type="dxa"/>
          </w:tcPr>
          <w:p w:rsidR="001826AD" w:rsidRPr="00092B17" w:rsidDel="00FD1D9C" w:rsidRDefault="001826AD" w:rsidP="006B4271">
            <w:pPr>
              <w:rPr>
                <w:rFonts w:cs="Arial"/>
                <w:lang w:val="fr-FR"/>
              </w:rPr>
            </w:pPr>
            <w:r w:rsidRPr="00092B17">
              <w:rPr>
                <w:rFonts w:cs="Arial"/>
                <w:lang w:val="fr-FR"/>
              </w:rPr>
              <w:t>Ad. 2</w:t>
            </w:r>
          </w:p>
        </w:tc>
        <w:tc>
          <w:tcPr>
            <w:tcW w:w="7925" w:type="dxa"/>
          </w:tcPr>
          <w:p w:rsidR="001826AD" w:rsidRPr="00092B17" w:rsidDel="00FD1D9C" w:rsidRDefault="001826AD" w:rsidP="006B4271">
            <w:pPr>
              <w:rPr>
                <w:rFonts w:cs="Arial"/>
                <w:lang w:val="fr-FR"/>
              </w:rPr>
            </w:pPr>
            <w:r w:rsidRPr="00092B17">
              <w:rPr>
                <w:rFonts w:cs="Arial"/>
                <w:lang w:val="fr-FR"/>
              </w:rPr>
              <w:t>remplacer “mesuré” par “observé” (car. VG)</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Ad. 9</w:t>
            </w:r>
          </w:p>
        </w:tc>
        <w:tc>
          <w:tcPr>
            <w:tcW w:w="7925" w:type="dxa"/>
          </w:tcPr>
          <w:p w:rsidR="001826AD" w:rsidRPr="00092B17" w:rsidRDefault="001826AD" w:rsidP="006B4271">
            <w:pPr>
              <w:rPr>
                <w:rFonts w:cs="Arial"/>
                <w:lang w:val="fr-FR"/>
              </w:rPr>
            </w:pPr>
            <w:r w:rsidRPr="00092B17">
              <w:rPr>
                <w:rFonts w:cs="Arial"/>
                <w:lang w:val="fr-FR"/>
              </w:rPr>
              <w:t>supprimer</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16</w:t>
            </w:r>
          </w:p>
        </w:tc>
        <w:tc>
          <w:tcPr>
            <w:tcW w:w="7925" w:type="dxa"/>
          </w:tcPr>
          <w:p w:rsidR="001826AD" w:rsidRPr="00092B17" w:rsidRDefault="001826AD" w:rsidP="006B4271">
            <w:pPr>
              <w:rPr>
                <w:rFonts w:cs="Arial"/>
                <w:lang w:val="fr-FR"/>
              </w:rPr>
            </w:pPr>
            <w:r w:rsidRPr="00092B17">
              <w:rPr>
                <w:rFonts w:cs="Arial"/>
                <w:lang w:val="fr-FR"/>
              </w:rPr>
              <w:t>libeller comme suit : “La longueur s’observe sur la tige florale principale”.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Ad. 21</w:t>
            </w:r>
          </w:p>
        </w:tc>
        <w:tc>
          <w:tcPr>
            <w:tcW w:w="7925" w:type="dxa"/>
          </w:tcPr>
          <w:p w:rsidR="001826AD" w:rsidRPr="00092B17" w:rsidRDefault="001826AD" w:rsidP="006B4271">
            <w:pPr>
              <w:rPr>
                <w:rFonts w:cs="Arial"/>
                <w:lang w:val="fr-FR"/>
              </w:rPr>
            </w:pPr>
            <w:r w:rsidRPr="00092B17">
              <w:rPr>
                <w:rFonts w:cs="Arial"/>
                <w:lang w:val="fr-FR"/>
              </w:rPr>
              <w:t>– libeller comme suit : “L’époque de début de la floraison est…”</w:t>
            </w:r>
          </w:p>
          <w:p w:rsidR="001826AD" w:rsidRPr="00092B17" w:rsidRDefault="001826AD" w:rsidP="006B4271">
            <w:pPr>
              <w:rPr>
                <w:rFonts w:cs="Arial"/>
                <w:lang w:val="fr-FR"/>
              </w:rPr>
            </w:pPr>
            <w:r w:rsidRPr="00092B17">
              <w:rPr>
                <w:rFonts w:cs="Arial"/>
                <w:lang w:val="fr-FR"/>
              </w:rPr>
              <w:t>– spécifier “fleurir” (p. ex. 10% des fleurons sont ouverts?)</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9.</w:t>
            </w:r>
          </w:p>
        </w:tc>
        <w:tc>
          <w:tcPr>
            <w:tcW w:w="7925" w:type="dxa"/>
          </w:tcPr>
          <w:p w:rsidR="001826AD" w:rsidRPr="00092B17" w:rsidRDefault="001826AD" w:rsidP="006B4271">
            <w:pPr>
              <w:rPr>
                <w:rFonts w:cs="Arial"/>
                <w:lang w:val="fr-FR"/>
              </w:rPr>
            </w:pPr>
            <w:r w:rsidRPr="00092B17">
              <w:rPr>
                <w:rFonts w:cs="Arial"/>
                <w:lang w:val="fr-FR"/>
              </w:rPr>
              <w:t>inverser les deux premières références à la littérature (ordre alphabétique)</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Questionnaire technique 4.2</w:t>
            </w:r>
          </w:p>
        </w:tc>
        <w:tc>
          <w:tcPr>
            <w:tcW w:w="7925" w:type="dxa"/>
          </w:tcPr>
          <w:p w:rsidR="001826AD" w:rsidRPr="00092B17" w:rsidRDefault="001826AD" w:rsidP="006B4271">
            <w:pPr>
              <w:rPr>
                <w:rFonts w:cs="Arial"/>
                <w:lang w:val="fr-FR"/>
              </w:rPr>
            </w:pPr>
            <w:r w:rsidRPr="00092B17">
              <w:rPr>
                <w:rFonts w:cs="Arial"/>
                <w:lang w:val="fr-FR"/>
              </w:rPr>
              <w:t>La section sur la formule hybride devrait être supprimée.  Pas d’expérience avec des hybrides à ce jour, les lignées parentales ne seraient pas incluses dans le test.</w:t>
            </w:r>
          </w:p>
        </w:tc>
      </w:tr>
    </w:tbl>
    <w:p w:rsidR="001826AD" w:rsidRPr="00092B17" w:rsidRDefault="001826AD" w:rsidP="001826AD">
      <w:pPr>
        <w:jc w:val="left"/>
        <w:rPr>
          <w:rFonts w:cs="Arial"/>
          <w:lang w:val="fr-FR"/>
        </w:rPr>
      </w:pPr>
    </w:p>
    <w:p w:rsidR="001826AD" w:rsidRPr="00416E75" w:rsidRDefault="001826AD" w:rsidP="001826AD">
      <w:pPr>
        <w:autoSpaceDE w:val="0"/>
        <w:autoSpaceDN w:val="0"/>
        <w:adjustRightInd w:val="0"/>
        <w:ind w:firstLine="567"/>
        <w:rPr>
          <w:rFonts w:cs="Arial"/>
          <w:lang w:val="fr-FR"/>
        </w:rPr>
      </w:pPr>
      <w:r w:rsidRPr="00416E75">
        <w:rPr>
          <w:rFonts w:cs="Arial"/>
          <w:lang w:val="fr-FR"/>
        </w:rPr>
        <w:t>b)</w:t>
      </w:r>
      <w:r w:rsidRPr="00416E75">
        <w:rPr>
          <w:rFonts w:cs="Arial"/>
          <w:lang w:val="fr-FR"/>
        </w:rPr>
        <w:tab/>
        <w:t>Modifications proposées par le TC</w:t>
      </w:r>
      <w:r w:rsidRPr="00416E75">
        <w:rPr>
          <w:rFonts w:cs="Arial"/>
          <w:lang w:val="fr-FR"/>
        </w:rPr>
        <w:noBreakHyphen/>
        <w:t>EDC en mars 2016, qui doivent être incorporées dans le document soumis au TC :</w:t>
      </w:r>
    </w:p>
    <w:p w:rsidR="001826AD" w:rsidRPr="00092B17" w:rsidRDefault="001826AD" w:rsidP="001826AD">
      <w:pPr>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Tableau des caractères</w:t>
            </w:r>
          </w:p>
        </w:tc>
        <w:tc>
          <w:tcPr>
            <w:tcW w:w="7925" w:type="dxa"/>
          </w:tcPr>
          <w:p w:rsidR="001826AD" w:rsidRPr="00092B17" w:rsidRDefault="001826AD" w:rsidP="006B4271">
            <w:pPr>
              <w:keepNext/>
              <w:rPr>
                <w:rFonts w:cs="Arial"/>
                <w:lang w:val="fr-FR"/>
              </w:rPr>
            </w:pPr>
            <w:r w:rsidRPr="00092B17">
              <w:rPr>
                <w:rFonts w:cs="Arial"/>
                <w:lang w:val="fr-FR"/>
              </w:rPr>
              <w:t>vérifier s’il convient d’ajouter plus de (*)</w:t>
            </w:r>
          </w:p>
          <w:p w:rsidR="001826AD" w:rsidRPr="00092B17" w:rsidRDefault="001826AD" w:rsidP="006B4271">
            <w:pPr>
              <w:rPr>
                <w:i/>
                <w:lang w:val="fr-FR"/>
              </w:rPr>
            </w:pPr>
            <w:r w:rsidRPr="00092B17">
              <w:rPr>
                <w:rFonts w:cs="Arial"/>
                <w:i/>
                <w:lang w:val="fr-FR"/>
              </w:rPr>
              <w:t xml:space="preserve">Expert principal : </w:t>
            </w:r>
            <w:r w:rsidRPr="00092B17">
              <w:rPr>
                <w:i/>
                <w:lang w:val="fr-FR"/>
              </w:rPr>
              <w:t>Nous proposons d’ajouter un (*) supplémentaire aux caractères suivants :</w:t>
            </w:r>
          </w:p>
          <w:p w:rsidR="001826AD" w:rsidRPr="00092B17" w:rsidRDefault="001826AD" w:rsidP="006B4271">
            <w:pPr>
              <w:rPr>
                <w:i/>
                <w:lang w:val="fr-FR"/>
              </w:rPr>
            </w:pPr>
            <w:r w:rsidRPr="00092B17">
              <w:rPr>
                <w:i/>
                <w:lang w:val="fr-FR"/>
              </w:rPr>
              <w:t>Car.  2 “Plante : hauteur” (il y avait un * dans les principes directeurs d’examen précédents)</w:t>
            </w:r>
          </w:p>
          <w:p w:rsidR="001826AD" w:rsidRPr="00092B17" w:rsidRDefault="001826AD" w:rsidP="006B4271">
            <w:pPr>
              <w:rPr>
                <w:i/>
                <w:lang w:val="fr-FR"/>
              </w:rPr>
            </w:pPr>
            <w:r w:rsidRPr="00092B17">
              <w:rPr>
                <w:i/>
                <w:lang w:val="fr-FR"/>
              </w:rPr>
              <w:t>Car. 8 “Limbe : distribution de la pigmentation anthocyanique”</w:t>
            </w:r>
          </w:p>
          <w:p w:rsidR="001826AD" w:rsidRPr="00092B17" w:rsidRDefault="001826AD" w:rsidP="006B4271">
            <w:pPr>
              <w:rPr>
                <w:i/>
                <w:lang w:val="fr-FR"/>
              </w:rPr>
            </w:pPr>
            <w:r w:rsidRPr="00092B17">
              <w:rPr>
                <w:i/>
                <w:lang w:val="fr-FR"/>
              </w:rPr>
              <w:t>Car. 16 “Tige florale : longueur (il y avait un * dans les principes directeurs d’examen précédents)”</w:t>
            </w:r>
          </w:p>
          <w:p w:rsidR="001826AD" w:rsidRPr="00092B17" w:rsidRDefault="001826AD" w:rsidP="006B4271">
            <w:pPr>
              <w:rPr>
                <w:i/>
                <w:lang w:val="fr-FR"/>
              </w:rPr>
            </w:pPr>
            <w:r w:rsidRPr="00092B17">
              <w:rPr>
                <w:i/>
                <w:lang w:val="fr-FR"/>
              </w:rPr>
              <w:t>Car. 17 “Tige florale : longueur des entre</w:t>
            </w:r>
            <w:r w:rsidRPr="00092B17">
              <w:rPr>
                <w:i/>
                <w:lang w:val="fr-FR"/>
              </w:rPr>
              <w:noBreakHyphen/>
              <w:t>nœuds”</w:t>
            </w:r>
          </w:p>
          <w:p w:rsidR="001826AD" w:rsidRPr="00092B17" w:rsidRDefault="001826AD" w:rsidP="006B4271">
            <w:pPr>
              <w:rPr>
                <w:i/>
                <w:lang w:val="fr-FR"/>
              </w:rPr>
            </w:pPr>
            <w:r w:rsidRPr="00092B17">
              <w:rPr>
                <w:i/>
                <w:lang w:val="fr-FR"/>
              </w:rPr>
              <w:t>Car. 19 “Fleur : couleur de la corolle”</w:t>
            </w:r>
          </w:p>
          <w:p w:rsidR="001826AD" w:rsidRPr="00092B17" w:rsidRDefault="001826AD" w:rsidP="006B4271">
            <w:pPr>
              <w:rPr>
                <w:i/>
                <w:lang w:val="fr-FR"/>
              </w:rPr>
            </w:pPr>
            <w:r w:rsidRPr="00092B17">
              <w:rPr>
                <w:i/>
                <w:lang w:val="fr-FR"/>
              </w:rPr>
              <w:t>Car. 20 “Fleur : couleur du style”</w:t>
            </w:r>
          </w:p>
          <w:p w:rsidR="001826AD" w:rsidRPr="00092B17" w:rsidRDefault="001826AD" w:rsidP="006B4271">
            <w:pPr>
              <w:rPr>
                <w:rFonts w:cs="Arial"/>
                <w:lang w:val="fr-FR"/>
              </w:rPr>
            </w:pPr>
            <w:r w:rsidRPr="00092B17">
              <w:rPr>
                <w:rFonts w:cs="Arial"/>
                <w:i/>
                <w:lang w:val="fr-FR"/>
              </w:rPr>
              <w:t>L’approbation par correspondance du TWV est requise</w:t>
            </w:r>
          </w:p>
        </w:tc>
      </w:tr>
      <w:tr w:rsidR="001826AD" w:rsidRPr="00092B17" w:rsidTr="006B4271">
        <w:tc>
          <w:tcPr>
            <w:tcW w:w="1573" w:type="dxa"/>
          </w:tcPr>
          <w:p w:rsidR="001826AD" w:rsidRPr="00092B17" w:rsidRDefault="001826AD" w:rsidP="006B4271">
            <w:pPr>
              <w:rPr>
                <w:rFonts w:cs="Arial"/>
                <w:lang w:val="fr-FR"/>
              </w:rPr>
            </w:pPr>
            <w:r w:rsidRPr="00092B17">
              <w:rPr>
                <w:rFonts w:cs="Arial"/>
                <w:lang w:val="fr-FR"/>
              </w:rPr>
              <w:t>car. 19</w:t>
            </w:r>
          </w:p>
        </w:tc>
        <w:tc>
          <w:tcPr>
            <w:tcW w:w="7925" w:type="dxa"/>
          </w:tcPr>
          <w:p w:rsidR="001826AD" w:rsidRPr="00092B17" w:rsidRDefault="001826AD" w:rsidP="006B4271">
            <w:pPr>
              <w:rPr>
                <w:rFonts w:cs="Arial"/>
                <w:lang w:val="fr-FR"/>
              </w:rPr>
            </w:pPr>
            <w:r w:rsidRPr="00092B17">
              <w:rPr>
                <w:rFonts w:cs="Arial"/>
                <w:lang w:val="fr-FR"/>
              </w:rPr>
              <w:t>ajouter (*), voir le questionnaire technique, section 5</w:t>
            </w:r>
          </w:p>
          <w:p w:rsidR="001826AD" w:rsidRPr="00092B17" w:rsidRDefault="001826AD" w:rsidP="006B4271">
            <w:pPr>
              <w:rPr>
                <w:rFonts w:cs="Arial"/>
                <w:i/>
                <w:lang w:val="fr-FR"/>
              </w:rPr>
            </w:pPr>
            <w:r w:rsidRPr="00092B17">
              <w:rPr>
                <w:rFonts w:cs="Arial"/>
                <w:i/>
                <w:lang w:val="fr-FR"/>
              </w:rPr>
              <w:t>Voir l’observation générale sur le Tableau des caractères ci</w:t>
            </w:r>
            <w:r w:rsidRPr="00092B17">
              <w:rPr>
                <w:rFonts w:cs="Arial"/>
                <w:i/>
                <w:lang w:val="fr-FR"/>
              </w:rPr>
              <w:noBreakHyphen/>
              <w:t>dessus.  L’approbation par correspondance du TWV est requise</w:t>
            </w:r>
          </w:p>
        </w:tc>
      </w:tr>
      <w:tr w:rsidR="001826AD" w:rsidRPr="00092B17" w:rsidTr="006B4271">
        <w:tc>
          <w:tcPr>
            <w:tcW w:w="1573" w:type="dxa"/>
          </w:tcPr>
          <w:p w:rsidR="001826AD" w:rsidRPr="00092B17" w:rsidRDefault="001826AD" w:rsidP="006B4271">
            <w:pPr>
              <w:jc w:val="left"/>
              <w:rPr>
                <w:rFonts w:cs="Arial"/>
                <w:lang w:val="fr-FR"/>
              </w:rPr>
            </w:pPr>
            <w:r w:rsidRPr="00092B17">
              <w:rPr>
                <w:rFonts w:cs="Arial"/>
                <w:lang w:val="fr-FR"/>
              </w:rPr>
              <w:t>Questionnaire technique 5</w:t>
            </w:r>
          </w:p>
        </w:tc>
        <w:tc>
          <w:tcPr>
            <w:tcW w:w="7925" w:type="dxa"/>
          </w:tcPr>
          <w:p w:rsidR="001826AD" w:rsidRPr="00092B17" w:rsidRDefault="001826AD" w:rsidP="006B4271">
            <w:pPr>
              <w:rPr>
                <w:rFonts w:cs="Arial"/>
                <w:lang w:val="fr-FR"/>
              </w:rPr>
            </w:pPr>
            <w:r w:rsidRPr="00092B17">
              <w:rPr>
                <w:rFonts w:cs="Arial"/>
                <w:lang w:val="fr-FR"/>
              </w:rPr>
              <w:t>vérifier s’il convient d’ajouter le car. 4 au chapitre 5.3 (caractère de groupement)</w:t>
            </w:r>
          </w:p>
          <w:p w:rsidR="001826AD" w:rsidRPr="00092B17" w:rsidRDefault="001826AD" w:rsidP="006B4271">
            <w:pPr>
              <w:rPr>
                <w:rFonts w:cs="Arial"/>
                <w:i/>
                <w:lang w:val="fr-FR"/>
              </w:rPr>
            </w:pPr>
            <w:r w:rsidRPr="00092B17">
              <w:rPr>
                <w:rFonts w:cs="Arial"/>
                <w:i/>
                <w:lang w:val="fr-FR"/>
              </w:rPr>
              <w:t xml:space="preserve">Expert principal : </w:t>
            </w:r>
            <w:r w:rsidRPr="00092B17">
              <w:rPr>
                <w:i/>
                <w:lang w:val="fr-FR"/>
              </w:rPr>
              <w:t>Pas de groupement avec car 4.  “Limbe : forme” mais l’intégrer au questionnaire technique uniquement.</w:t>
            </w:r>
          </w:p>
        </w:tc>
      </w:tr>
    </w:tbl>
    <w:p w:rsidR="001826AD" w:rsidRPr="00092B17" w:rsidRDefault="001826AD" w:rsidP="001826AD">
      <w:pPr>
        <w:jc w:val="left"/>
        <w:rPr>
          <w:rFonts w:cs="Arial"/>
          <w:lang w:val="fr-FR"/>
        </w:rPr>
      </w:pPr>
    </w:p>
    <w:p w:rsidR="001826AD" w:rsidRPr="00092B17" w:rsidRDefault="001826AD" w:rsidP="001826AD">
      <w:pPr>
        <w:jc w:val="left"/>
        <w:rPr>
          <w:rFonts w:cs="Arial"/>
          <w:lang w:val="fr-F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1826AD" w:rsidRPr="00092B17" w:rsidTr="006B4271">
        <w:trPr>
          <w:cantSplit/>
          <w:trHeight w:val="310"/>
        </w:trPr>
        <w:tc>
          <w:tcPr>
            <w:tcW w:w="3600" w:type="dxa"/>
            <w:vMerge w:val="restart"/>
            <w:shd w:val="clear" w:color="auto" w:fill="D9D9D9"/>
            <w:vAlign w:val="center"/>
          </w:tcPr>
          <w:p w:rsidR="001826AD" w:rsidRPr="00092B17" w:rsidRDefault="001826AD" w:rsidP="006B4271">
            <w:pPr>
              <w:pStyle w:val="TitleofDoc"/>
              <w:keepNext/>
              <w:tabs>
                <w:tab w:val="left" w:pos="5245"/>
                <w:tab w:val="left" w:pos="7008"/>
              </w:tabs>
              <w:spacing w:before="80" w:after="80"/>
              <w:jc w:val="left"/>
              <w:rPr>
                <w:rFonts w:cs="Arial"/>
                <w:caps w:val="0"/>
                <w:lang w:val="fr-FR"/>
              </w:rPr>
            </w:pPr>
            <w:proofErr w:type="spellStart"/>
            <w:r w:rsidRPr="00092B17">
              <w:rPr>
                <w:rFonts w:cs="Arial"/>
                <w:caps w:val="0"/>
                <w:lang w:val="fr-FR"/>
              </w:rPr>
              <w:t>Calibrachoa</w:t>
            </w:r>
            <w:proofErr w:type="spellEnd"/>
            <w:r w:rsidRPr="00092B17">
              <w:rPr>
                <w:rFonts w:cs="Arial"/>
                <w:caps w:val="0"/>
                <w:lang w:val="fr-FR"/>
              </w:rPr>
              <w:t xml:space="preserve"> (</w:t>
            </w:r>
            <w:proofErr w:type="spellStart"/>
            <w:r w:rsidRPr="00092B17">
              <w:rPr>
                <w:rFonts w:cs="Arial"/>
                <w:i/>
                <w:caps w:val="0"/>
                <w:lang w:val="fr-FR"/>
              </w:rPr>
              <w:t>Calibrachoa</w:t>
            </w:r>
            <w:proofErr w:type="spellEnd"/>
            <w:r w:rsidRPr="00092B17">
              <w:rPr>
                <w:rFonts w:cs="Arial"/>
                <w:caps w:val="0"/>
                <w:lang w:val="fr-FR"/>
              </w:rPr>
              <w:t xml:space="preserve"> </w:t>
            </w:r>
            <w:proofErr w:type="spellStart"/>
            <w:r w:rsidRPr="00092B17">
              <w:rPr>
                <w:rFonts w:cs="Arial"/>
                <w:caps w:val="0"/>
                <w:lang w:val="fr-FR"/>
              </w:rPr>
              <w:t>Cerv</w:t>
            </w:r>
            <w:proofErr w:type="spellEnd"/>
            <w:r w:rsidRPr="00092B17">
              <w:rPr>
                <w:rFonts w:cs="Arial"/>
                <w:caps w:val="0"/>
                <w:lang w:val="fr-FR"/>
              </w:rPr>
              <w:t>.)</w:t>
            </w:r>
          </w:p>
        </w:tc>
        <w:tc>
          <w:tcPr>
            <w:tcW w:w="2268" w:type="dxa"/>
            <w:vMerge w:val="restart"/>
            <w:shd w:val="clear" w:color="auto" w:fill="D9D9D9"/>
            <w:vAlign w:val="center"/>
          </w:tcPr>
          <w:p w:rsidR="001826AD" w:rsidRPr="00092B17" w:rsidRDefault="001826AD" w:rsidP="006B4271">
            <w:pPr>
              <w:keepNext/>
              <w:rPr>
                <w:iCs/>
                <w:snapToGrid w:val="0"/>
                <w:lang w:val="fr-FR"/>
              </w:rPr>
            </w:pPr>
            <w:r w:rsidRPr="00092B17">
              <w:rPr>
                <w:rFonts w:cs="Arial"/>
                <w:caps/>
                <w:lang w:val="fr-FR"/>
              </w:rPr>
              <w:t>TG/207/2(</w:t>
            </w:r>
            <w:r w:rsidRPr="00092B17">
              <w:rPr>
                <w:rFonts w:cs="Arial"/>
                <w:lang w:val="fr-FR"/>
              </w:rPr>
              <w:t>proj</w:t>
            </w:r>
            <w:r w:rsidRPr="00092B17">
              <w:rPr>
                <w:rFonts w:cs="Arial"/>
                <w:caps/>
                <w:lang w:val="fr-FR"/>
              </w:rPr>
              <w:t>.4)</w:t>
            </w:r>
          </w:p>
        </w:tc>
      </w:tr>
      <w:tr w:rsidR="001826AD" w:rsidRPr="00092B17" w:rsidTr="006B4271">
        <w:trPr>
          <w:cantSplit/>
          <w:trHeight w:hRule="exact" w:val="74"/>
        </w:trPr>
        <w:tc>
          <w:tcPr>
            <w:tcW w:w="3600" w:type="dxa"/>
            <w:vMerge/>
            <w:shd w:val="clear" w:color="auto" w:fill="D9D9D9"/>
            <w:vAlign w:val="center"/>
          </w:tcPr>
          <w:p w:rsidR="001826AD" w:rsidRPr="00092B17" w:rsidRDefault="001826AD" w:rsidP="006B4271">
            <w:pPr>
              <w:pStyle w:val="TitleofDoc"/>
              <w:keepNext/>
              <w:tabs>
                <w:tab w:val="left" w:pos="5245"/>
                <w:tab w:val="left" w:pos="7008"/>
              </w:tabs>
              <w:spacing w:before="0"/>
              <w:jc w:val="left"/>
              <w:rPr>
                <w:rFonts w:cs="Arial"/>
                <w:caps w:val="0"/>
                <w:lang w:val="fr-FR"/>
              </w:rPr>
            </w:pPr>
          </w:p>
        </w:tc>
        <w:tc>
          <w:tcPr>
            <w:tcW w:w="2268" w:type="dxa"/>
            <w:vMerge/>
            <w:shd w:val="clear" w:color="auto" w:fill="D9D9D9"/>
            <w:vAlign w:val="center"/>
          </w:tcPr>
          <w:p w:rsidR="001826AD" w:rsidRPr="00092B17" w:rsidRDefault="001826AD" w:rsidP="006B4271">
            <w:pPr>
              <w:pStyle w:val="BodyText"/>
              <w:keepNext/>
              <w:jc w:val="left"/>
              <w:rPr>
                <w:rFonts w:cs="Arial"/>
                <w:iCs/>
                <w:snapToGrid w:val="0"/>
                <w:lang w:val="fr-FR"/>
              </w:rPr>
            </w:pPr>
          </w:p>
        </w:tc>
      </w:tr>
    </w:tbl>
    <w:p w:rsidR="001826AD" w:rsidRPr="00092B17" w:rsidRDefault="001826AD" w:rsidP="001826AD">
      <w:pPr>
        <w:keepNext/>
        <w:jc w:val="left"/>
        <w:rPr>
          <w:rFonts w:cs="Arial"/>
          <w:lang w:val="fr-FR"/>
        </w:rPr>
      </w:pPr>
    </w:p>
    <w:p w:rsidR="001826AD" w:rsidRPr="00092B17" w:rsidRDefault="001826AD" w:rsidP="001826AD">
      <w:pPr>
        <w:keepNext/>
        <w:autoSpaceDE w:val="0"/>
        <w:autoSpaceDN w:val="0"/>
        <w:adjustRightInd w:val="0"/>
        <w:ind w:firstLine="567"/>
        <w:rPr>
          <w:rFonts w:cs="Arial"/>
          <w:lang w:val="fr-FR"/>
        </w:rPr>
      </w:pPr>
      <w:r w:rsidRPr="00092B17">
        <w:rPr>
          <w:rFonts w:cs="Arial"/>
          <w:lang w:val="fr-FR"/>
        </w:rPr>
        <w:t>a)</w:t>
      </w:r>
      <w:r w:rsidRPr="00092B17">
        <w:rPr>
          <w:rFonts w:cs="Arial"/>
          <w:lang w:val="fr-FR"/>
        </w:rPr>
        <w:tab/>
        <w:t>Le tableau ci</w:t>
      </w:r>
      <w:r w:rsidRPr="00092B17">
        <w:rPr>
          <w:rFonts w:cs="Arial"/>
          <w:lang w:val="fr-FR"/>
        </w:rPr>
        <w:noBreakHyphen/>
        <w:t>après contient les observations formulées par le Comité de rédaction élargi à sa réunion les 6 et 7 janvier 2016.  Toutes ces observations figurent déjà dans le projet des principes directeurs d’examen (document TG/207/2(proj.4)) soumis au TC :</w:t>
      </w:r>
    </w:p>
    <w:p w:rsidR="001826AD" w:rsidRPr="00092B17" w:rsidRDefault="001826AD" w:rsidP="001826AD">
      <w:pPr>
        <w:keepNext/>
        <w:jc w:val="left"/>
        <w:rPr>
          <w:rFonts w:cs="Arial"/>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Page de couverture</w:t>
            </w:r>
          </w:p>
        </w:tc>
        <w:tc>
          <w:tcPr>
            <w:tcW w:w="7925" w:type="dxa"/>
          </w:tcPr>
          <w:p w:rsidR="001826AD" w:rsidRPr="00092B17" w:rsidRDefault="001826AD" w:rsidP="006B4271">
            <w:pPr>
              <w:keepNext/>
              <w:rPr>
                <w:rFonts w:cs="Arial"/>
                <w:lang w:val="fr-FR"/>
              </w:rPr>
            </w:pPr>
            <w:r w:rsidRPr="00092B17">
              <w:rPr>
                <w:rFonts w:cs="Arial"/>
                <w:lang w:val="fr-FR"/>
              </w:rPr>
              <w:t>nom botanique à libeller comme suit : “</w:t>
            </w:r>
            <w:proofErr w:type="spellStart"/>
            <w:r w:rsidRPr="00092B17">
              <w:rPr>
                <w:i/>
                <w:iCs/>
                <w:lang w:val="fr-FR"/>
              </w:rPr>
              <w:t>Calibrachoa</w:t>
            </w:r>
            <w:proofErr w:type="spellEnd"/>
            <w:r w:rsidRPr="00092B17">
              <w:rPr>
                <w:lang w:val="fr-FR"/>
              </w:rPr>
              <w:t> </w:t>
            </w:r>
            <w:proofErr w:type="spellStart"/>
            <w:r w:rsidRPr="00092B17">
              <w:rPr>
                <w:lang w:val="fr-FR"/>
              </w:rPr>
              <w:t>Cerv</w:t>
            </w:r>
            <w:proofErr w:type="spellEnd"/>
            <w:r w:rsidRPr="00092B17">
              <w:rPr>
                <w:lang w:val="fr-FR"/>
              </w:rPr>
              <w:t>.”</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6</w:t>
            </w:r>
          </w:p>
        </w:tc>
        <w:tc>
          <w:tcPr>
            <w:tcW w:w="7925" w:type="dxa"/>
          </w:tcPr>
          <w:p w:rsidR="001826AD" w:rsidRPr="00092B17" w:rsidRDefault="001826AD" w:rsidP="006B4271">
            <w:pPr>
              <w:keepNext/>
              <w:rPr>
                <w:rFonts w:cs="Arial"/>
                <w:lang w:val="fr-FR"/>
              </w:rPr>
            </w:pPr>
            <w:r w:rsidRPr="00092B17">
              <w:rPr>
                <w:rFonts w:cs="Arial"/>
                <w:lang w:val="fr-FR"/>
              </w:rPr>
              <w:t>le niveau 2 doit être libellé comme suit : “obtus” (voir l’illustration sous Ad. 6)</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11</w:t>
            </w:r>
          </w:p>
        </w:tc>
        <w:tc>
          <w:tcPr>
            <w:tcW w:w="7925" w:type="dxa"/>
          </w:tcPr>
          <w:p w:rsidR="001826AD" w:rsidRPr="00092B17" w:rsidRDefault="001826AD" w:rsidP="006B4271">
            <w:pPr>
              <w:keepNext/>
              <w:rPr>
                <w:rFonts w:cs="Arial"/>
                <w:lang w:val="fr-FR"/>
              </w:rPr>
            </w:pPr>
            <w:r w:rsidRPr="00092B17">
              <w:rPr>
                <w:rFonts w:cs="Arial"/>
                <w:lang w:val="fr-FR"/>
              </w:rPr>
              <w:t>libeller l’exemple de variété pour le niveau 5 comme suit : “</w:t>
            </w:r>
            <w:proofErr w:type="spellStart"/>
            <w:r w:rsidRPr="00092B17">
              <w:rPr>
                <w:rFonts w:cs="Arial"/>
                <w:lang w:val="fr-FR"/>
              </w:rPr>
              <w:t>Dualkospi</w:t>
            </w:r>
            <w:proofErr w:type="spellEnd"/>
            <w:r w:rsidRPr="00092B17">
              <w:rPr>
                <w:rFonts w:cs="Arial"/>
                <w:lang w:val="fr-FR"/>
              </w:rPr>
              <w:t>”</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17, 18</w:t>
            </w:r>
          </w:p>
        </w:tc>
        <w:tc>
          <w:tcPr>
            <w:tcW w:w="7925" w:type="dxa"/>
          </w:tcPr>
          <w:p w:rsidR="001826AD" w:rsidRPr="00092B17" w:rsidRDefault="001826AD" w:rsidP="006B4271">
            <w:pPr>
              <w:keepNext/>
              <w:rPr>
                <w:rFonts w:cs="Arial"/>
                <w:lang w:val="fr-FR"/>
              </w:rPr>
            </w:pPr>
            <w:r w:rsidRPr="00092B17">
              <w:rPr>
                <w:rFonts w:cs="Arial"/>
                <w:lang w:val="fr-FR"/>
              </w:rPr>
              <w:t>libeller comme suit : “</w:t>
            </w:r>
            <w:r w:rsidRPr="00092B17">
              <w:rPr>
                <w:rFonts w:cs="Arial"/>
                <w:u w:val="single"/>
                <w:lang w:val="fr-FR"/>
              </w:rPr>
              <w:t>Seulement les variétés avec fleur : type : simple</w:t>
            </w:r>
            <w:r w:rsidRPr="00092B17">
              <w:rPr>
                <w:u w:val="single"/>
                <w:lang w:val="fr-FR"/>
              </w:rPr>
              <w:t> :</w:t>
            </w:r>
            <w:r w:rsidRPr="00092B17">
              <w:rPr>
                <w:lang w:val="fr-FR"/>
              </w:rPr>
              <w:t>”</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18</w:t>
            </w:r>
          </w:p>
        </w:tc>
        <w:tc>
          <w:tcPr>
            <w:tcW w:w="7925" w:type="dxa"/>
          </w:tcPr>
          <w:p w:rsidR="001826AD" w:rsidRPr="00092B17" w:rsidRDefault="001826AD" w:rsidP="006B4271">
            <w:pPr>
              <w:keepNext/>
              <w:rPr>
                <w:rFonts w:cs="Arial"/>
                <w:lang w:val="fr-FR"/>
              </w:rPr>
            </w:pPr>
            <w:r w:rsidRPr="00092B17">
              <w:rPr>
                <w:rFonts w:cs="Arial"/>
                <w:lang w:val="fr-FR"/>
              </w:rPr>
              <w:t>le niveau 1 doit être libellé comme suit : “partiellement arrondi” et le niveau 3 doit être libellé comme suit : “partiellement étoilé”</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20</w:t>
            </w:r>
          </w:p>
        </w:tc>
        <w:tc>
          <w:tcPr>
            <w:tcW w:w="7925" w:type="dxa"/>
          </w:tcPr>
          <w:p w:rsidR="001826AD" w:rsidRPr="00092B17" w:rsidRDefault="001826AD" w:rsidP="006B4271">
            <w:pPr>
              <w:keepNext/>
              <w:rPr>
                <w:rFonts w:cs="Arial"/>
                <w:lang w:val="fr-FR"/>
              </w:rPr>
            </w:pPr>
            <w:r w:rsidRPr="00092B17">
              <w:rPr>
                <w:rFonts w:cs="Arial"/>
                <w:lang w:val="fr-FR"/>
              </w:rPr>
              <w:t>libeller comme suit : “</w:t>
            </w:r>
            <w:r w:rsidRPr="00092B17">
              <w:rPr>
                <w:rFonts w:cs="Arial"/>
                <w:u w:val="single"/>
                <w:lang w:val="fr-FR"/>
              </w:rPr>
              <w:t>Seulement les variétés avec fleur : type : simple</w:t>
            </w:r>
            <w:r w:rsidRPr="00092B17">
              <w:rPr>
                <w:u w:val="single"/>
                <w:lang w:val="fr-FR"/>
              </w:rPr>
              <w:t> :</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24</w:t>
            </w:r>
          </w:p>
        </w:tc>
        <w:tc>
          <w:tcPr>
            <w:tcW w:w="7925" w:type="dxa"/>
          </w:tcPr>
          <w:p w:rsidR="001826AD" w:rsidRPr="00092B17" w:rsidRDefault="001826AD" w:rsidP="006B4271">
            <w:pPr>
              <w:keepNext/>
              <w:rPr>
                <w:rFonts w:cs="Arial"/>
                <w:lang w:val="fr-FR"/>
              </w:rPr>
            </w:pPr>
            <w:r w:rsidRPr="00092B17">
              <w:rPr>
                <w:rFonts w:cs="Arial"/>
                <w:lang w:val="fr-FR"/>
              </w:rPr>
              <w:t>vérifier si doit être libellé comme suit : “Fleur : changement de couleur durant le cycle de végétation” et vérifier s’il convient de replacer LE après car. 26</w:t>
            </w:r>
          </w:p>
          <w:p w:rsidR="001826AD" w:rsidRPr="00092B17" w:rsidRDefault="001826AD" w:rsidP="006B4271">
            <w:pPr>
              <w:keepNext/>
              <w:rPr>
                <w:rFonts w:cs="Arial"/>
                <w:i/>
                <w:lang w:val="fr-FR"/>
              </w:rPr>
            </w:pPr>
            <w:r w:rsidRPr="00092B17">
              <w:rPr>
                <w:rFonts w:cs="Arial"/>
                <w:i/>
                <w:lang w:val="fr-FR"/>
              </w:rPr>
              <w:t>Expert principal : accepté</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8.1 (b)</w:t>
            </w:r>
          </w:p>
        </w:tc>
        <w:tc>
          <w:tcPr>
            <w:tcW w:w="7925" w:type="dxa"/>
          </w:tcPr>
          <w:p w:rsidR="001826AD" w:rsidRPr="00092B17" w:rsidRDefault="001826AD" w:rsidP="006B4271">
            <w:pPr>
              <w:rPr>
                <w:rFonts w:cs="Arial"/>
                <w:lang w:val="fr-FR"/>
              </w:rPr>
            </w:pPr>
            <w:r w:rsidRPr="00092B17">
              <w:rPr>
                <w:lang w:val="fr-FR"/>
              </w:rPr>
              <w:t>libeller la deuxième phrase comme suit : “Les observations sur les variétés dont la couleur des fleurs change doivent être effectuées sur la couleur prédominante de la fleur au cours du cycle de végétation”.</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16</w:t>
            </w:r>
          </w:p>
        </w:tc>
        <w:tc>
          <w:tcPr>
            <w:tcW w:w="7925" w:type="dxa"/>
          </w:tcPr>
          <w:p w:rsidR="001826AD" w:rsidRPr="00092B17" w:rsidRDefault="001826AD" w:rsidP="006B4271">
            <w:pPr>
              <w:rPr>
                <w:lang w:val="fr-FR"/>
              </w:rPr>
            </w:pPr>
            <w:r w:rsidRPr="00092B17">
              <w:rPr>
                <w:lang w:val="fr-FR"/>
              </w:rPr>
              <w:t>Dans la deuxième phrase de l’explication, (car. 18) devrait être remplacé par (car. 17).</w:t>
            </w:r>
          </w:p>
        </w:tc>
      </w:tr>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Ad. 24</w:t>
            </w:r>
          </w:p>
        </w:tc>
        <w:tc>
          <w:tcPr>
            <w:tcW w:w="7925" w:type="dxa"/>
          </w:tcPr>
          <w:p w:rsidR="001826AD" w:rsidRPr="00092B17" w:rsidRDefault="001826AD" w:rsidP="006B4271">
            <w:pPr>
              <w:rPr>
                <w:lang w:val="fr-FR"/>
              </w:rPr>
            </w:pPr>
            <w:r w:rsidRPr="00092B17">
              <w:rPr>
                <w:lang w:val="fr-FR"/>
              </w:rPr>
              <w:t xml:space="preserve">– libeller comme suit : “Certaines variétés de </w:t>
            </w:r>
            <w:proofErr w:type="spellStart"/>
            <w:r w:rsidRPr="00092B17">
              <w:rPr>
                <w:lang w:val="fr-FR"/>
              </w:rPr>
              <w:t>Calibrachoa</w:t>
            </w:r>
            <w:proofErr w:type="spellEnd"/>
            <w:r w:rsidRPr="00092B17">
              <w:rPr>
                <w:lang w:val="fr-FR"/>
              </w:rPr>
              <w:t xml:space="preserve"> peuvent avoir des fleurs qui réagissent de façon importante à la lumière et aux conditions de température.  Par conséquent, des fleurs au même stade de développement peuvent présenter des couleurs principales et secondaires différentes pour la même plante au cours du cycle de végétation”.</w:t>
            </w:r>
          </w:p>
        </w:tc>
      </w:tr>
    </w:tbl>
    <w:p w:rsidR="001826AD" w:rsidRPr="00092B17" w:rsidRDefault="001826AD" w:rsidP="001826AD">
      <w:pPr>
        <w:jc w:val="left"/>
        <w:rPr>
          <w:rFonts w:cs="Arial"/>
          <w:lang w:val="fr-FR"/>
        </w:rPr>
      </w:pPr>
    </w:p>
    <w:p w:rsidR="001826AD" w:rsidRPr="00416E75" w:rsidRDefault="001826AD" w:rsidP="001826AD">
      <w:pPr>
        <w:autoSpaceDE w:val="0"/>
        <w:autoSpaceDN w:val="0"/>
        <w:adjustRightInd w:val="0"/>
        <w:ind w:firstLine="567"/>
        <w:rPr>
          <w:rFonts w:cs="Arial"/>
          <w:lang w:val="fr-FR"/>
        </w:rPr>
      </w:pPr>
      <w:r w:rsidRPr="00416E75">
        <w:rPr>
          <w:rFonts w:cs="Arial"/>
          <w:lang w:val="fr-FR"/>
        </w:rPr>
        <w:t>b)</w:t>
      </w:r>
      <w:r w:rsidRPr="00416E75">
        <w:rPr>
          <w:rFonts w:cs="Arial"/>
          <w:lang w:val="fr-FR"/>
        </w:rPr>
        <w:tab/>
        <w:t>Modifications proposées par le TC</w:t>
      </w:r>
      <w:r w:rsidRPr="00416E75">
        <w:rPr>
          <w:rFonts w:cs="Arial"/>
          <w:lang w:val="fr-FR"/>
        </w:rPr>
        <w:noBreakHyphen/>
        <w:t>EDC en mars 2016, qui doivent être incorporées dans le document soumis au TC :</w:t>
      </w:r>
    </w:p>
    <w:p w:rsidR="001826AD" w:rsidRPr="00092B17" w:rsidRDefault="001826AD" w:rsidP="001826AD">
      <w:pPr>
        <w:jc w:val="left"/>
        <w:rPr>
          <w:rFonts w:cs="Arial"/>
          <w:u w:val="single"/>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1826AD" w:rsidRPr="00092B17" w:rsidTr="006B4271">
        <w:trPr>
          <w:cantSplit/>
        </w:trPr>
        <w:tc>
          <w:tcPr>
            <w:tcW w:w="1573" w:type="dxa"/>
          </w:tcPr>
          <w:p w:rsidR="001826AD" w:rsidRPr="00092B17" w:rsidRDefault="001826AD" w:rsidP="006B4271">
            <w:pPr>
              <w:jc w:val="left"/>
              <w:rPr>
                <w:rFonts w:cs="Arial"/>
                <w:lang w:val="fr-FR"/>
              </w:rPr>
            </w:pPr>
            <w:r w:rsidRPr="00092B17">
              <w:rPr>
                <w:rFonts w:cs="Arial"/>
                <w:lang w:val="fr-FR"/>
              </w:rPr>
              <w:t>car. 26</w:t>
            </w:r>
          </w:p>
        </w:tc>
        <w:tc>
          <w:tcPr>
            <w:tcW w:w="7925" w:type="dxa"/>
          </w:tcPr>
          <w:p w:rsidR="001826AD" w:rsidRPr="00092B17" w:rsidRDefault="001826AD" w:rsidP="006B4271">
            <w:pPr>
              <w:rPr>
                <w:rFonts w:cs="Arial"/>
                <w:lang w:val="fr-FR"/>
              </w:rPr>
            </w:pPr>
            <w:r w:rsidRPr="00092B17">
              <w:rPr>
                <w:rFonts w:cs="Arial"/>
                <w:lang w:val="fr-FR"/>
              </w:rPr>
              <w:t>ajouter (b)</w:t>
            </w:r>
          </w:p>
        </w:tc>
      </w:tr>
    </w:tbl>
    <w:p w:rsidR="001826AD" w:rsidRPr="00092B17" w:rsidRDefault="001826AD" w:rsidP="001826AD">
      <w:pPr>
        <w:jc w:val="left"/>
        <w:rPr>
          <w:rFonts w:cs="Arial"/>
          <w:lang w:val="fr-FR"/>
        </w:rPr>
      </w:pPr>
    </w:p>
    <w:p w:rsidR="001826AD" w:rsidRPr="00092B17" w:rsidRDefault="001826AD" w:rsidP="001826AD">
      <w:pPr>
        <w:jc w:val="left"/>
        <w:rPr>
          <w:rFonts w:cs="Arial"/>
          <w:lang w:val="fr-FR"/>
        </w:rPr>
      </w:pPr>
    </w:p>
    <w:p w:rsidR="001826AD" w:rsidRPr="00092B17" w:rsidRDefault="001826AD" w:rsidP="001826AD">
      <w:pPr>
        <w:jc w:val="left"/>
        <w:rPr>
          <w:rFonts w:cs="Arial"/>
          <w:lang w:val="fr-FR"/>
        </w:rPr>
      </w:pPr>
    </w:p>
    <w:p w:rsidR="001826AD" w:rsidRPr="00092B17" w:rsidRDefault="001826AD" w:rsidP="001826AD">
      <w:pPr>
        <w:jc w:val="right"/>
        <w:rPr>
          <w:rFonts w:cs="Arial"/>
          <w:lang w:val="fr-FR"/>
        </w:rPr>
      </w:pPr>
      <w:r w:rsidRPr="00092B17">
        <w:rPr>
          <w:rFonts w:cs="Arial"/>
          <w:lang w:val="fr-FR"/>
        </w:rPr>
        <w:t>[Fin de l’annexe II et du document]</w:t>
      </w:r>
    </w:p>
    <w:p w:rsidR="001826AD" w:rsidRPr="007B3C74" w:rsidRDefault="001826AD" w:rsidP="007B3C74"/>
    <w:sectPr w:rsidR="001826AD" w:rsidRPr="007B3C74" w:rsidSect="007B3C74">
      <w:headerReference w:type="default" r:id="rId19"/>
      <w:headerReference w:type="first" r:id="rId20"/>
      <w:footerReference w:type="first" r:id="rId2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E2" w:rsidRDefault="004570E2" w:rsidP="006655D3">
      <w:r>
        <w:separator/>
      </w:r>
    </w:p>
    <w:p w:rsidR="004570E2" w:rsidRDefault="004570E2" w:rsidP="006655D3"/>
    <w:p w:rsidR="004570E2" w:rsidRDefault="004570E2" w:rsidP="006655D3"/>
  </w:endnote>
  <w:endnote w:type="continuationSeparator" w:id="0">
    <w:p w:rsidR="004570E2" w:rsidRDefault="004570E2" w:rsidP="006655D3">
      <w:r>
        <w:separator/>
      </w:r>
    </w:p>
    <w:p w:rsidR="004570E2" w:rsidRPr="005054F1" w:rsidRDefault="004570E2">
      <w:pPr>
        <w:pStyle w:val="Footer"/>
        <w:spacing w:after="60"/>
        <w:rPr>
          <w:sz w:val="18"/>
          <w:lang w:val="fr-CH"/>
        </w:rPr>
      </w:pPr>
      <w:r w:rsidRPr="005054F1">
        <w:rPr>
          <w:sz w:val="18"/>
          <w:lang w:val="fr-CH"/>
        </w:rPr>
        <w:t>[Suite de la note de la page précédente]</w:t>
      </w:r>
    </w:p>
    <w:p w:rsidR="004570E2" w:rsidRPr="005054F1" w:rsidRDefault="004570E2" w:rsidP="006655D3">
      <w:pPr>
        <w:rPr>
          <w:lang w:val="fr-CH"/>
        </w:rPr>
      </w:pPr>
    </w:p>
    <w:p w:rsidR="004570E2" w:rsidRPr="005054F1" w:rsidRDefault="004570E2" w:rsidP="006655D3">
      <w:pPr>
        <w:rPr>
          <w:lang w:val="fr-CH"/>
        </w:rPr>
      </w:pPr>
    </w:p>
  </w:endnote>
  <w:endnote w:type="continuationNotice" w:id="1">
    <w:p w:rsidR="004570E2" w:rsidRPr="005054F1" w:rsidRDefault="004570E2" w:rsidP="006655D3">
      <w:pPr>
        <w:rPr>
          <w:lang w:val="fr-CH"/>
        </w:rPr>
      </w:pPr>
      <w:r w:rsidRPr="005054F1">
        <w:rPr>
          <w:lang w:val="fr-CH"/>
        </w:rPr>
        <w:t>[Suite de la note page suivante]</w:t>
      </w:r>
    </w:p>
    <w:p w:rsidR="004570E2" w:rsidRPr="005054F1" w:rsidRDefault="004570E2" w:rsidP="006655D3">
      <w:pPr>
        <w:rPr>
          <w:lang w:val="fr-CH"/>
        </w:rPr>
      </w:pPr>
    </w:p>
    <w:p w:rsidR="004570E2" w:rsidRPr="005054F1" w:rsidRDefault="004570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Pr="009719D9" w:rsidRDefault="004570E2" w:rsidP="00971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Pr="00416E75" w:rsidRDefault="004570E2" w:rsidP="0041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E2" w:rsidRDefault="004570E2" w:rsidP="006655D3">
      <w:r>
        <w:separator/>
      </w:r>
    </w:p>
  </w:footnote>
  <w:footnote w:type="continuationSeparator" w:id="0">
    <w:p w:rsidR="004570E2" w:rsidRDefault="004570E2" w:rsidP="006655D3">
      <w:r>
        <w:separator/>
      </w:r>
    </w:p>
  </w:footnote>
  <w:footnote w:type="continuationNotice" w:id="1">
    <w:p w:rsidR="004570E2" w:rsidRPr="00AB530F" w:rsidRDefault="004570E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Pr="00C5280D" w:rsidRDefault="004570E2" w:rsidP="001826AD">
    <w:pPr>
      <w:pStyle w:val="Header"/>
      <w:rPr>
        <w:rStyle w:val="PageNumber"/>
        <w:lang w:val="en-US"/>
      </w:rPr>
    </w:pPr>
    <w:r>
      <w:rPr>
        <w:rStyle w:val="PageNumber"/>
        <w:lang w:val="en-US"/>
      </w:rPr>
      <w:t>TC/52/29 Rev.</w:t>
    </w:r>
  </w:p>
  <w:p w:rsidR="004570E2" w:rsidRPr="00C5280D" w:rsidRDefault="004570E2" w:rsidP="001826A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3758">
      <w:rPr>
        <w:rStyle w:val="PageNumber"/>
        <w:noProof/>
        <w:lang w:val="en-US"/>
      </w:rPr>
      <w:t>30</w:t>
    </w:r>
    <w:r w:rsidRPr="00C5280D">
      <w:rPr>
        <w:rStyle w:val="PageNumber"/>
        <w:lang w:val="en-US"/>
      </w:rPr>
      <w:fldChar w:fldCharType="end"/>
    </w:r>
  </w:p>
  <w:p w:rsidR="004570E2" w:rsidRPr="00C5280D" w:rsidRDefault="004570E2" w:rsidP="001826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Pr="001C7017" w:rsidRDefault="004570E2" w:rsidP="00EB048E">
    <w:pPr>
      <w:pStyle w:val="Header"/>
      <w:rPr>
        <w:rStyle w:val="PageNumber"/>
        <w:lang w:val="pt-BR"/>
      </w:rPr>
    </w:pPr>
    <w:r>
      <w:rPr>
        <w:rStyle w:val="PageNumber"/>
        <w:lang w:val="pt-BR"/>
      </w:rPr>
      <w:t>TC/52/29 Rev.</w:t>
    </w:r>
  </w:p>
  <w:p w:rsidR="004570E2" w:rsidRPr="001C7017" w:rsidRDefault="004570E2" w:rsidP="0069746E">
    <w:pPr>
      <w:pStyle w:val="Header"/>
      <w:rPr>
        <w:lang w:val="pt-BR"/>
      </w:rPr>
    </w:pPr>
    <w:r w:rsidRPr="0032029D">
      <w:rPr>
        <w:lang w:val="pt-BR"/>
      </w:rPr>
      <w:t>Annex I / Annexe I / Anlage I / Anexo I</w:t>
    </w:r>
    <w:r w:rsidRPr="0032029D">
      <w:rPr>
        <w:lang w:val="pt-BR"/>
      </w:rPr>
      <w:br/>
    </w:r>
    <w:r w:rsidRPr="001C7017">
      <w:rPr>
        <w:lang w:val="pt-BR"/>
      </w:rPr>
      <w:t xml:space="preserve">page </w:t>
    </w:r>
    <w:r w:rsidRPr="003F5638">
      <w:rPr>
        <w:lang w:val="en-US"/>
      </w:rPr>
      <w:fldChar w:fldCharType="begin"/>
    </w:r>
    <w:r w:rsidRPr="001C7017">
      <w:rPr>
        <w:lang w:val="pt-BR"/>
      </w:rPr>
      <w:instrText xml:space="preserve"> PAGE   \* MERGEFORMAT </w:instrText>
    </w:r>
    <w:r w:rsidRPr="003F5638">
      <w:rPr>
        <w:lang w:val="en-US"/>
      </w:rPr>
      <w:fldChar w:fldCharType="separate"/>
    </w:r>
    <w:r w:rsidR="00EB3758">
      <w:rPr>
        <w:noProof/>
        <w:lang w:val="pt-BR"/>
      </w:rPr>
      <w:t>7</w:t>
    </w:r>
    <w:r w:rsidRPr="003F5638">
      <w:rPr>
        <w:noProof/>
        <w:lang w:val="en-US"/>
      </w:rPr>
      <w:fldChar w:fldCharType="end"/>
    </w:r>
    <w:r w:rsidRPr="001C7017">
      <w:rPr>
        <w:lang w:val="pt-BR"/>
      </w:rPr>
      <w:t xml:space="preserve"> / Seite </w:t>
    </w:r>
    <w:r w:rsidRPr="003F5638">
      <w:rPr>
        <w:lang w:val="en-US"/>
      </w:rPr>
      <w:fldChar w:fldCharType="begin"/>
    </w:r>
    <w:r w:rsidRPr="001C7017">
      <w:rPr>
        <w:lang w:val="pt-BR"/>
      </w:rPr>
      <w:instrText xml:space="preserve"> PAGE   \* MERGEFORMAT </w:instrText>
    </w:r>
    <w:r w:rsidRPr="003F5638">
      <w:rPr>
        <w:lang w:val="en-US"/>
      </w:rPr>
      <w:fldChar w:fldCharType="separate"/>
    </w:r>
    <w:r w:rsidR="00EB3758">
      <w:rPr>
        <w:noProof/>
        <w:lang w:val="pt-BR"/>
      </w:rPr>
      <w:t>7</w:t>
    </w:r>
    <w:r w:rsidRPr="003F5638">
      <w:rPr>
        <w:noProof/>
        <w:lang w:val="en-US"/>
      </w:rPr>
      <w:fldChar w:fldCharType="end"/>
    </w:r>
    <w:r w:rsidRPr="001C7017">
      <w:rPr>
        <w:lang w:val="pt-BR"/>
      </w:rPr>
      <w:t xml:space="preserve"> / página </w:t>
    </w:r>
    <w:r w:rsidRPr="003F5638">
      <w:rPr>
        <w:lang w:val="en-US"/>
      </w:rPr>
      <w:fldChar w:fldCharType="begin"/>
    </w:r>
    <w:r w:rsidRPr="001C7017">
      <w:rPr>
        <w:lang w:val="pt-BR"/>
      </w:rPr>
      <w:instrText xml:space="preserve"> PAGE   \* MERGEFORMAT </w:instrText>
    </w:r>
    <w:r w:rsidRPr="003F5638">
      <w:rPr>
        <w:lang w:val="en-US"/>
      </w:rPr>
      <w:fldChar w:fldCharType="separate"/>
    </w:r>
    <w:r w:rsidR="00EB3758">
      <w:rPr>
        <w:noProof/>
        <w:lang w:val="pt-BR"/>
      </w:rPr>
      <w:t>7</w:t>
    </w:r>
    <w:r w:rsidRPr="003F5638">
      <w:rPr>
        <w:noProof/>
        <w:lang w:val="en-US"/>
      </w:rPr>
      <w:fldChar w:fldCharType="end"/>
    </w:r>
  </w:p>
  <w:p w:rsidR="004570E2" w:rsidRPr="001C7017" w:rsidRDefault="004570E2"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Default="004570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Default="004570E2" w:rsidP="005677E1">
    <w:pPr>
      <w:pStyle w:val="Header"/>
      <w:rPr>
        <w:lang w:val="fr-CH"/>
      </w:rPr>
    </w:pPr>
    <w:r>
      <w:rPr>
        <w:lang w:val="fr-CH"/>
      </w:rPr>
      <w:t xml:space="preserve">TC/52/29 </w:t>
    </w:r>
    <w:proofErr w:type="spellStart"/>
    <w:r>
      <w:rPr>
        <w:lang w:val="fr-CH"/>
      </w:rPr>
      <w:t>Rev</w:t>
    </w:r>
    <w:proofErr w:type="spellEnd"/>
    <w:r>
      <w:rPr>
        <w:lang w:val="fr-CH"/>
      </w:rPr>
      <w:t>.</w:t>
    </w:r>
  </w:p>
  <w:p w:rsidR="004570E2" w:rsidRDefault="004570E2" w:rsidP="005677E1">
    <w:pPr>
      <w:pStyle w:val="Header"/>
      <w:rPr>
        <w:lang w:val="fr-CH"/>
      </w:rPr>
    </w:pPr>
    <w:r>
      <w:rPr>
        <w:lang w:val="fr-CH"/>
      </w:rPr>
      <w:t xml:space="preserve">Annexe II, page </w:t>
    </w:r>
    <w:r w:rsidRPr="00A65AE9">
      <w:rPr>
        <w:lang w:val="fr-CH"/>
      </w:rPr>
      <w:fldChar w:fldCharType="begin"/>
    </w:r>
    <w:r w:rsidRPr="00A65AE9">
      <w:rPr>
        <w:lang w:val="fr-CH"/>
      </w:rPr>
      <w:instrText xml:space="preserve"> PAGE   \* MERGEFORMAT </w:instrText>
    </w:r>
    <w:r w:rsidRPr="00A65AE9">
      <w:rPr>
        <w:lang w:val="fr-CH"/>
      </w:rPr>
      <w:fldChar w:fldCharType="separate"/>
    </w:r>
    <w:r w:rsidR="00EB3758">
      <w:rPr>
        <w:noProof/>
        <w:lang w:val="fr-CH"/>
      </w:rPr>
      <w:t>11</w:t>
    </w:r>
    <w:r w:rsidRPr="00A65AE9">
      <w:rPr>
        <w:noProof/>
        <w:lang w:val="fr-CH"/>
      </w:rPr>
      <w:fldChar w:fldCharType="end"/>
    </w:r>
  </w:p>
  <w:p w:rsidR="004570E2" w:rsidRPr="00C30760" w:rsidRDefault="004570E2" w:rsidP="005677E1">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2" w:rsidRDefault="004570E2" w:rsidP="001826AD">
    <w:pPr>
      <w:pStyle w:val="Header"/>
      <w:rPr>
        <w:lang w:val="fr-CH"/>
      </w:rPr>
    </w:pPr>
    <w:r>
      <w:rPr>
        <w:lang w:val="fr-CH"/>
      </w:rPr>
      <w:t xml:space="preserve">TC/52/29 </w:t>
    </w:r>
    <w:proofErr w:type="spellStart"/>
    <w:r>
      <w:rPr>
        <w:lang w:val="fr-CH"/>
      </w:rPr>
      <w:t>Rev</w:t>
    </w:r>
    <w:proofErr w:type="spellEnd"/>
    <w:r>
      <w:rPr>
        <w:lang w:val="fr-CH"/>
      </w:rPr>
      <w:t>.</w:t>
    </w:r>
  </w:p>
  <w:p w:rsidR="004570E2" w:rsidRDefault="004570E2" w:rsidP="001826AD">
    <w:pPr>
      <w:pStyle w:val="Header"/>
      <w:rPr>
        <w:lang w:val="fr-CH"/>
      </w:rPr>
    </w:pPr>
  </w:p>
  <w:p w:rsidR="004570E2" w:rsidRDefault="004570E2" w:rsidP="001826AD">
    <w:pPr>
      <w:pStyle w:val="Header"/>
      <w:rPr>
        <w:lang w:val="fr-CH"/>
      </w:rPr>
    </w:pPr>
    <w:r>
      <w:rPr>
        <w:lang w:val="fr-CH"/>
      </w:rPr>
      <w:t>ANNEXE II</w:t>
    </w:r>
  </w:p>
  <w:p w:rsidR="004570E2" w:rsidRDefault="004570E2" w:rsidP="00182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24"/>
    <w:multiLevelType w:val="hybridMultilevel"/>
    <w:tmpl w:val="F67EEA1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1405F5D"/>
    <w:multiLevelType w:val="hybridMultilevel"/>
    <w:tmpl w:val="FBA479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3B2C"/>
    <w:multiLevelType w:val="hybridMultilevel"/>
    <w:tmpl w:val="C73267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52A2F"/>
    <w:multiLevelType w:val="singleLevel"/>
    <w:tmpl w:val="B98EFAB6"/>
    <w:lvl w:ilvl="0">
      <w:start w:val="1"/>
      <w:numFmt w:val="lowerLetter"/>
      <w:lvlText w:val="%1)"/>
      <w:lvlJc w:val="left"/>
      <w:pPr>
        <w:tabs>
          <w:tab w:val="num" w:pos="360"/>
        </w:tabs>
        <w:ind w:left="360" w:hanging="360"/>
      </w:pPr>
      <w:rPr>
        <w:rFonts w:hint="default"/>
      </w:rPr>
    </w:lvl>
  </w:abstractNum>
  <w:abstractNum w:abstractNumId="10">
    <w:nsid w:val="2CC07DC8"/>
    <w:multiLevelType w:val="hybridMultilevel"/>
    <w:tmpl w:val="8B5EFE7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DAC20230"/>
    <w:lvl w:ilvl="0" w:tplc="08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F00DD"/>
    <w:multiLevelType w:val="hybridMultilevel"/>
    <w:tmpl w:val="E6A027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CE974C8"/>
    <w:multiLevelType w:val="hybridMultilevel"/>
    <w:tmpl w:val="EA1825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0"/>
  </w:num>
  <w:num w:numId="5">
    <w:abstractNumId w:val="8"/>
  </w:num>
  <w:num w:numId="6">
    <w:abstractNumId w:val="7"/>
  </w:num>
  <w:num w:numId="7">
    <w:abstractNumId w:val="13"/>
  </w:num>
  <w:num w:numId="8">
    <w:abstractNumId w:val="9"/>
  </w:num>
  <w:num w:numId="9">
    <w:abstractNumId w:val="16"/>
  </w:num>
  <w:num w:numId="10">
    <w:abstractNumId w:val="11"/>
  </w:num>
  <w:num w:numId="11">
    <w:abstractNumId w:val="15"/>
  </w:num>
  <w:num w:numId="12">
    <w:abstractNumId w:val="24"/>
  </w:num>
  <w:num w:numId="13">
    <w:abstractNumId w:val="5"/>
  </w:num>
  <w:num w:numId="14">
    <w:abstractNumId w:val="19"/>
  </w:num>
  <w:num w:numId="15">
    <w:abstractNumId w:val="23"/>
  </w:num>
  <w:num w:numId="16">
    <w:abstractNumId w:val="3"/>
  </w:num>
  <w:num w:numId="17">
    <w:abstractNumId w:val="21"/>
  </w:num>
  <w:num w:numId="18">
    <w:abstractNumId w:val="20"/>
  </w:num>
  <w:num w:numId="19">
    <w:abstractNumId w:val="1"/>
  </w:num>
  <w:num w:numId="20">
    <w:abstractNumId w:val="17"/>
  </w:num>
  <w:num w:numId="21">
    <w:abstractNumId w:val="6"/>
  </w:num>
  <w:num w:numId="22">
    <w:abstractNumId w:val="4"/>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5054F1"/>
    <w:rsid w:val="00001363"/>
    <w:rsid w:val="0000241E"/>
    <w:rsid w:val="00002D9F"/>
    <w:rsid w:val="00004967"/>
    <w:rsid w:val="00005786"/>
    <w:rsid w:val="0001048D"/>
    <w:rsid w:val="00010CF3"/>
    <w:rsid w:val="00011E27"/>
    <w:rsid w:val="000148BC"/>
    <w:rsid w:val="00015903"/>
    <w:rsid w:val="00024AB8"/>
    <w:rsid w:val="00026D60"/>
    <w:rsid w:val="00027B55"/>
    <w:rsid w:val="00030854"/>
    <w:rsid w:val="00031F3D"/>
    <w:rsid w:val="00033D1C"/>
    <w:rsid w:val="00035F47"/>
    <w:rsid w:val="00036028"/>
    <w:rsid w:val="00044176"/>
    <w:rsid w:val="00044418"/>
    <w:rsid w:val="00044642"/>
    <w:rsid w:val="000446B9"/>
    <w:rsid w:val="0004610B"/>
    <w:rsid w:val="000471DF"/>
    <w:rsid w:val="00047E21"/>
    <w:rsid w:val="00050C4D"/>
    <w:rsid w:val="00050E16"/>
    <w:rsid w:val="00052D68"/>
    <w:rsid w:val="0005382F"/>
    <w:rsid w:val="00055EC4"/>
    <w:rsid w:val="00061A61"/>
    <w:rsid w:val="000634EB"/>
    <w:rsid w:val="000640FB"/>
    <w:rsid w:val="00065F71"/>
    <w:rsid w:val="00074228"/>
    <w:rsid w:val="00074C92"/>
    <w:rsid w:val="000770E4"/>
    <w:rsid w:val="00077BCC"/>
    <w:rsid w:val="00080F66"/>
    <w:rsid w:val="00083ACD"/>
    <w:rsid w:val="00085505"/>
    <w:rsid w:val="000868CF"/>
    <w:rsid w:val="00086F4D"/>
    <w:rsid w:val="00091E13"/>
    <w:rsid w:val="0009320D"/>
    <w:rsid w:val="00094D46"/>
    <w:rsid w:val="000955A2"/>
    <w:rsid w:val="000A0313"/>
    <w:rsid w:val="000A164F"/>
    <w:rsid w:val="000A406D"/>
    <w:rsid w:val="000B6A6E"/>
    <w:rsid w:val="000C7021"/>
    <w:rsid w:val="000D1009"/>
    <w:rsid w:val="000D1E46"/>
    <w:rsid w:val="000D6104"/>
    <w:rsid w:val="000D6BBC"/>
    <w:rsid w:val="000D7780"/>
    <w:rsid w:val="000E35D9"/>
    <w:rsid w:val="000E3E4C"/>
    <w:rsid w:val="000F2351"/>
    <w:rsid w:val="000F2CD3"/>
    <w:rsid w:val="000F2F11"/>
    <w:rsid w:val="000F587F"/>
    <w:rsid w:val="00105929"/>
    <w:rsid w:val="00110C36"/>
    <w:rsid w:val="001131D5"/>
    <w:rsid w:val="00116778"/>
    <w:rsid w:val="00120445"/>
    <w:rsid w:val="001211B0"/>
    <w:rsid w:val="00123745"/>
    <w:rsid w:val="00124535"/>
    <w:rsid w:val="0012534E"/>
    <w:rsid w:val="00132C8B"/>
    <w:rsid w:val="0013439F"/>
    <w:rsid w:val="0013583D"/>
    <w:rsid w:val="00135B71"/>
    <w:rsid w:val="00136493"/>
    <w:rsid w:val="0013737C"/>
    <w:rsid w:val="00140331"/>
    <w:rsid w:val="00141D15"/>
    <w:rsid w:val="00141DB8"/>
    <w:rsid w:val="001422A2"/>
    <w:rsid w:val="00142B49"/>
    <w:rsid w:val="001437A1"/>
    <w:rsid w:val="001446A8"/>
    <w:rsid w:val="00145B82"/>
    <w:rsid w:val="0015330C"/>
    <w:rsid w:val="00153333"/>
    <w:rsid w:val="00156F8A"/>
    <w:rsid w:val="001628A9"/>
    <w:rsid w:val="00163A8E"/>
    <w:rsid w:val="00165D32"/>
    <w:rsid w:val="001746E9"/>
    <w:rsid w:val="0017474A"/>
    <w:rsid w:val="00175474"/>
    <w:rsid w:val="001758C6"/>
    <w:rsid w:val="00176324"/>
    <w:rsid w:val="0018043D"/>
    <w:rsid w:val="001815D5"/>
    <w:rsid w:val="001826AD"/>
    <w:rsid w:val="00182B99"/>
    <w:rsid w:val="00185B2D"/>
    <w:rsid w:val="00187166"/>
    <w:rsid w:val="00187568"/>
    <w:rsid w:val="001913DE"/>
    <w:rsid w:val="00192B45"/>
    <w:rsid w:val="00193DA3"/>
    <w:rsid w:val="00196A29"/>
    <w:rsid w:val="00196BC4"/>
    <w:rsid w:val="001A2173"/>
    <w:rsid w:val="001A2CA1"/>
    <w:rsid w:val="001B0E87"/>
    <w:rsid w:val="001B76D9"/>
    <w:rsid w:val="001C0436"/>
    <w:rsid w:val="001C34C0"/>
    <w:rsid w:val="001C36B0"/>
    <w:rsid w:val="001C7017"/>
    <w:rsid w:val="001C707F"/>
    <w:rsid w:val="001D16F2"/>
    <w:rsid w:val="001D193A"/>
    <w:rsid w:val="001E1BCF"/>
    <w:rsid w:val="001F15D3"/>
    <w:rsid w:val="001F1A4F"/>
    <w:rsid w:val="001F3707"/>
    <w:rsid w:val="001F4366"/>
    <w:rsid w:val="001F57FA"/>
    <w:rsid w:val="001F795F"/>
    <w:rsid w:val="002018E2"/>
    <w:rsid w:val="00207364"/>
    <w:rsid w:val="00211A69"/>
    <w:rsid w:val="00212CAF"/>
    <w:rsid w:val="0021332C"/>
    <w:rsid w:val="00213982"/>
    <w:rsid w:val="00214601"/>
    <w:rsid w:val="002176E9"/>
    <w:rsid w:val="002178E1"/>
    <w:rsid w:val="002211FA"/>
    <w:rsid w:val="00221605"/>
    <w:rsid w:val="00223804"/>
    <w:rsid w:val="00223DA9"/>
    <w:rsid w:val="00225203"/>
    <w:rsid w:val="00232195"/>
    <w:rsid w:val="00236CE0"/>
    <w:rsid w:val="002439DC"/>
    <w:rsid w:val="00243C51"/>
    <w:rsid w:val="0024416D"/>
    <w:rsid w:val="00244A0E"/>
    <w:rsid w:val="00246670"/>
    <w:rsid w:val="002466CC"/>
    <w:rsid w:val="00246DB6"/>
    <w:rsid w:val="00252112"/>
    <w:rsid w:val="00253638"/>
    <w:rsid w:val="00256FD3"/>
    <w:rsid w:val="00263879"/>
    <w:rsid w:val="00271911"/>
    <w:rsid w:val="0027351C"/>
    <w:rsid w:val="00277774"/>
    <w:rsid w:val="00277C91"/>
    <w:rsid w:val="002800A0"/>
    <w:rsid w:val="002801B3"/>
    <w:rsid w:val="00281060"/>
    <w:rsid w:val="00282AA7"/>
    <w:rsid w:val="00284FDE"/>
    <w:rsid w:val="00284FEF"/>
    <w:rsid w:val="002940E8"/>
    <w:rsid w:val="00294F82"/>
    <w:rsid w:val="002A0CA6"/>
    <w:rsid w:val="002A47D0"/>
    <w:rsid w:val="002A5F27"/>
    <w:rsid w:val="002A6E50"/>
    <w:rsid w:val="002A750F"/>
    <w:rsid w:val="002A79E4"/>
    <w:rsid w:val="002B2D31"/>
    <w:rsid w:val="002B46EB"/>
    <w:rsid w:val="002B496F"/>
    <w:rsid w:val="002B4A2E"/>
    <w:rsid w:val="002B699D"/>
    <w:rsid w:val="002C256A"/>
    <w:rsid w:val="002C3DF3"/>
    <w:rsid w:val="002D68AE"/>
    <w:rsid w:val="002E0F36"/>
    <w:rsid w:val="002E41F7"/>
    <w:rsid w:val="002E4E8A"/>
    <w:rsid w:val="002E561B"/>
    <w:rsid w:val="002E6737"/>
    <w:rsid w:val="002F39AA"/>
    <w:rsid w:val="002F3E4E"/>
    <w:rsid w:val="002F4CF2"/>
    <w:rsid w:val="003017FC"/>
    <w:rsid w:val="00303077"/>
    <w:rsid w:val="0030365C"/>
    <w:rsid w:val="00305251"/>
    <w:rsid w:val="003053C1"/>
    <w:rsid w:val="003058ED"/>
    <w:rsid w:val="00305A7F"/>
    <w:rsid w:val="00306E79"/>
    <w:rsid w:val="00314928"/>
    <w:rsid w:val="003152AE"/>
    <w:rsid w:val="003152FE"/>
    <w:rsid w:val="0031555C"/>
    <w:rsid w:val="00322D8C"/>
    <w:rsid w:val="00327436"/>
    <w:rsid w:val="00331CAB"/>
    <w:rsid w:val="00335806"/>
    <w:rsid w:val="0034044F"/>
    <w:rsid w:val="00340AE0"/>
    <w:rsid w:val="00342006"/>
    <w:rsid w:val="003424A2"/>
    <w:rsid w:val="00343E80"/>
    <w:rsid w:val="00344BD6"/>
    <w:rsid w:val="003470B4"/>
    <w:rsid w:val="0034756D"/>
    <w:rsid w:val="00347EE3"/>
    <w:rsid w:val="00350A49"/>
    <w:rsid w:val="00354101"/>
    <w:rsid w:val="00354CBF"/>
    <w:rsid w:val="0035528D"/>
    <w:rsid w:val="0035697B"/>
    <w:rsid w:val="003570DF"/>
    <w:rsid w:val="00361821"/>
    <w:rsid w:val="003634A8"/>
    <w:rsid w:val="003649F6"/>
    <w:rsid w:val="00367FE0"/>
    <w:rsid w:val="0037166B"/>
    <w:rsid w:val="0037490D"/>
    <w:rsid w:val="00376B8A"/>
    <w:rsid w:val="00384BC5"/>
    <w:rsid w:val="00385112"/>
    <w:rsid w:val="00386B83"/>
    <w:rsid w:val="00387FE9"/>
    <w:rsid w:val="003932C7"/>
    <w:rsid w:val="00393447"/>
    <w:rsid w:val="00394187"/>
    <w:rsid w:val="003959CE"/>
    <w:rsid w:val="003A03CA"/>
    <w:rsid w:val="003A6BF1"/>
    <w:rsid w:val="003A7C13"/>
    <w:rsid w:val="003B579B"/>
    <w:rsid w:val="003B69AD"/>
    <w:rsid w:val="003B6E00"/>
    <w:rsid w:val="003C489A"/>
    <w:rsid w:val="003C5106"/>
    <w:rsid w:val="003C5A04"/>
    <w:rsid w:val="003C71C0"/>
    <w:rsid w:val="003C7EF3"/>
    <w:rsid w:val="003D227C"/>
    <w:rsid w:val="003D2B4D"/>
    <w:rsid w:val="003D380D"/>
    <w:rsid w:val="003D3E08"/>
    <w:rsid w:val="003D56E8"/>
    <w:rsid w:val="003E1831"/>
    <w:rsid w:val="003E4378"/>
    <w:rsid w:val="003E5194"/>
    <w:rsid w:val="003E546A"/>
    <w:rsid w:val="003E5A44"/>
    <w:rsid w:val="003F0083"/>
    <w:rsid w:val="003F4158"/>
    <w:rsid w:val="004104EE"/>
    <w:rsid w:val="00412959"/>
    <w:rsid w:val="004155F0"/>
    <w:rsid w:val="00416E75"/>
    <w:rsid w:val="00420F81"/>
    <w:rsid w:val="0042104C"/>
    <w:rsid w:val="004237BE"/>
    <w:rsid w:val="004308D2"/>
    <w:rsid w:val="00430FFD"/>
    <w:rsid w:val="00432B65"/>
    <w:rsid w:val="0043346A"/>
    <w:rsid w:val="00440CFF"/>
    <w:rsid w:val="004447A0"/>
    <w:rsid w:val="00444A88"/>
    <w:rsid w:val="00446B56"/>
    <w:rsid w:val="00447EE1"/>
    <w:rsid w:val="0045067E"/>
    <w:rsid w:val="00453B88"/>
    <w:rsid w:val="004541DF"/>
    <w:rsid w:val="004570E2"/>
    <w:rsid w:val="0045784D"/>
    <w:rsid w:val="004578EB"/>
    <w:rsid w:val="0046109A"/>
    <w:rsid w:val="004645BD"/>
    <w:rsid w:val="00465643"/>
    <w:rsid w:val="00466AC0"/>
    <w:rsid w:val="0047226D"/>
    <w:rsid w:val="00473D66"/>
    <w:rsid w:val="00474DA4"/>
    <w:rsid w:val="00476077"/>
    <w:rsid w:val="00476B4D"/>
    <w:rsid w:val="004805FA"/>
    <w:rsid w:val="00480BED"/>
    <w:rsid w:val="00480F03"/>
    <w:rsid w:val="00487549"/>
    <w:rsid w:val="00487767"/>
    <w:rsid w:val="00492CC7"/>
    <w:rsid w:val="004935D2"/>
    <w:rsid w:val="00494DCA"/>
    <w:rsid w:val="00495F58"/>
    <w:rsid w:val="004A28C3"/>
    <w:rsid w:val="004A5603"/>
    <w:rsid w:val="004B1215"/>
    <w:rsid w:val="004B1270"/>
    <w:rsid w:val="004B2055"/>
    <w:rsid w:val="004B2326"/>
    <w:rsid w:val="004B29AF"/>
    <w:rsid w:val="004B5B76"/>
    <w:rsid w:val="004B6CBD"/>
    <w:rsid w:val="004B763A"/>
    <w:rsid w:val="004C096C"/>
    <w:rsid w:val="004C12AA"/>
    <w:rsid w:val="004C2CF9"/>
    <w:rsid w:val="004C3C67"/>
    <w:rsid w:val="004C45F2"/>
    <w:rsid w:val="004D047D"/>
    <w:rsid w:val="004E50E9"/>
    <w:rsid w:val="004E6650"/>
    <w:rsid w:val="004E69CD"/>
    <w:rsid w:val="004F0EB4"/>
    <w:rsid w:val="004F2239"/>
    <w:rsid w:val="004F305A"/>
    <w:rsid w:val="005000AF"/>
    <w:rsid w:val="005021EB"/>
    <w:rsid w:val="005054F1"/>
    <w:rsid w:val="00506DE2"/>
    <w:rsid w:val="00512164"/>
    <w:rsid w:val="0051346F"/>
    <w:rsid w:val="00513D83"/>
    <w:rsid w:val="00514F1A"/>
    <w:rsid w:val="00520297"/>
    <w:rsid w:val="00523055"/>
    <w:rsid w:val="00526C41"/>
    <w:rsid w:val="00530BD8"/>
    <w:rsid w:val="00533595"/>
    <w:rsid w:val="005338F9"/>
    <w:rsid w:val="00536135"/>
    <w:rsid w:val="00541282"/>
    <w:rsid w:val="0054252F"/>
    <w:rsid w:val="0054281C"/>
    <w:rsid w:val="00544581"/>
    <w:rsid w:val="00545275"/>
    <w:rsid w:val="0054656D"/>
    <w:rsid w:val="00550345"/>
    <w:rsid w:val="0055268D"/>
    <w:rsid w:val="00554CCB"/>
    <w:rsid w:val="00556AD9"/>
    <w:rsid w:val="00556FD5"/>
    <w:rsid w:val="005621A1"/>
    <w:rsid w:val="005627BC"/>
    <w:rsid w:val="005641C8"/>
    <w:rsid w:val="00566CBE"/>
    <w:rsid w:val="005677E1"/>
    <w:rsid w:val="00567D9E"/>
    <w:rsid w:val="005752E4"/>
    <w:rsid w:val="0057560F"/>
    <w:rsid w:val="00576BE4"/>
    <w:rsid w:val="00577A4E"/>
    <w:rsid w:val="00580D4F"/>
    <w:rsid w:val="00583F47"/>
    <w:rsid w:val="00592939"/>
    <w:rsid w:val="0059305E"/>
    <w:rsid w:val="0059461C"/>
    <w:rsid w:val="005A194D"/>
    <w:rsid w:val="005A400A"/>
    <w:rsid w:val="005A61CD"/>
    <w:rsid w:val="005A7A0C"/>
    <w:rsid w:val="005B1488"/>
    <w:rsid w:val="005B46EA"/>
    <w:rsid w:val="005C638C"/>
    <w:rsid w:val="005C6BF0"/>
    <w:rsid w:val="005D1BBB"/>
    <w:rsid w:val="005D6C06"/>
    <w:rsid w:val="005E1662"/>
    <w:rsid w:val="005E213D"/>
    <w:rsid w:val="005F013F"/>
    <w:rsid w:val="005F1B9A"/>
    <w:rsid w:val="005F2740"/>
    <w:rsid w:val="00601954"/>
    <w:rsid w:val="00602154"/>
    <w:rsid w:val="006024AD"/>
    <w:rsid w:val="00602D00"/>
    <w:rsid w:val="006032DD"/>
    <w:rsid w:val="0060599B"/>
    <w:rsid w:val="00611A60"/>
    <w:rsid w:val="00612379"/>
    <w:rsid w:val="006129B9"/>
    <w:rsid w:val="0061555F"/>
    <w:rsid w:val="0061613E"/>
    <w:rsid w:val="006205CE"/>
    <w:rsid w:val="0062070E"/>
    <w:rsid w:val="00623ED1"/>
    <w:rsid w:val="00626C6A"/>
    <w:rsid w:val="006330C9"/>
    <w:rsid w:val="00636D2A"/>
    <w:rsid w:val="006379E2"/>
    <w:rsid w:val="00641185"/>
    <w:rsid w:val="00641200"/>
    <w:rsid w:val="006425AC"/>
    <w:rsid w:val="00644A26"/>
    <w:rsid w:val="0065236C"/>
    <w:rsid w:val="00653D5C"/>
    <w:rsid w:val="00657355"/>
    <w:rsid w:val="00662842"/>
    <w:rsid w:val="00664D67"/>
    <w:rsid w:val="006655D3"/>
    <w:rsid w:val="00665E1C"/>
    <w:rsid w:val="00667404"/>
    <w:rsid w:val="00685235"/>
    <w:rsid w:val="00687EB4"/>
    <w:rsid w:val="00690279"/>
    <w:rsid w:val="00696B1B"/>
    <w:rsid w:val="0069746E"/>
    <w:rsid w:val="00697E48"/>
    <w:rsid w:val="006A14BB"/>
    <w:rsid w:val="006A3DB0"/>
    <w:rsid w:val="006A6373"/>
    <w:rsid w:val="006B17D2"/>
    <w:rsid w:val="006B3EA8"/>
    <w:rsid w:val="006B4271"/>
    <w:rsid w:val="006B63AA"/>
    <w:rsid w:val="006B7121"/>
    <w:rsid w:val="006B76CC"/>
    <w:rsid w:val="006C224E"/>
    <w:rsid w:val="006C55BD"/>
    <w:rsid w:val="006C661B"/>
    <w:rsid w:val="006C697C"/>
    <w:rsid w:val="006C6BA4"/>
    <w:rsid w:val="006C7EDF"/>
    <w:rsid w:val="006D159A"/>
    <w:rsid w:val="006D4B5E"/>
    <w:rsid w:val="006D69AC"/>
    <w:rsid w:val="006D6D52"/>
    <w:rsid w:val="006D780A"/>
    <w:rsid w:val="006E0EE4"/>
    <w:rsid w:val="006E2198"/>
    <w:rsid w:val="006E3D9D"/>
    <w:rsid w:val="006E496A"/>
    <w:rsid w:val="006E5174"/>
    <w:rsid w:val="006E543E"/>
    <w:rsid w:val="006E6ABE"/>
    <w:rsid w:val="006F20E9"/>
    <w:rsid w:val="006F245D"/>
    <w:rsid w:val="006F2D11"/>
    <w:rsid w:val="006F3D99"/>
    <w:rsid w:val="006F5251"/>
    <w:rsid w:val="006F7955"/>
    <w:rsid w:val="00700A92"/>
    <w:rsid w:val="0070169B"/>
    <w:rsid w:val="00704DB8"/>
    <w:rsid w:val="00705307"/>
    <w:rsid w:val="00705695"/>
    <w:rsid w:val="00715DDD"/>
    <w:rsid w:val="0072050B"/>
    <w:rsid w:val="00730B1F"/>
    <w:rsid w:val="007314B9"/>
    <w:rsid w:val="0073161A"/>
    <w:rsid w:val="00732DEC"/>
    <w:rsid w:val="00735BD5"/>
    <w:rsid w:val="007363B3"/>
    <w:rsid w:val="0074496A"/>
    <w:rsid w:val="00744F0D"/>
    <w:rsid w:val="007455AC"/>
    <w:rsid w:val="00746064"/>
    <w:rsid w:val="00746C6E"/>
    <w:rsid w:val="0075488A"/>
    <w:rsid w:val="007556F6"/>
    <w:rsid w:val="00757F04"/>
    <w:rsid w:val="00760713"/>
    <w:rsid w:val="00760EEF"/>
    <w:rsid w:val="00763BF7"/>
    <w:rsid w:val="007646DB"/>
    <w:rsid w:val="00765BC8"/>
    <w:rsid w:val="00773E56"/>
    <w:rsid w:val="0077547D"/>
    <w:rsid w:val="00777EE5"/>
    <w:rsid w:val="00782060"/>
    <w:rsid w:val="00784836"/>
    <w:rsid w:val="0079023E"/>
    <w:rsid w:val="00791DD3"/>
    <w:rsid w:val="007978BA"/>
    <w:rsid w:val="007A2854"/>
    <w:rsid w:val="007A5D5B"/>
    <w:rsid w:val="007A72E5"/>
    <w:rsid w:val="007B3C74"/>
    <w:rsid w:val="007B45FA"/>
    <w:rsid w:val="007B5754"/>
    <w:rsid w:val="007B745A"/>
    <w:rsid w:val="007C19C4"/>
    <w:rsid w:val="007C1FD9"/>
    <w:rsid w:val="007C7EDE"/>
    <w:rsid w:val="007D0B9D"/>
    <w:rsid w:val="007D18CC"/>
    <w:rsid w:val="007D19B0"/>
    <w:rsid w:val="007D53FB"/>
    <w:rsid w:val="007D58FD"/>
    <w:rsid w:val="007E24F2"/>
    <w:rsid w:val="007E66FB"/>
    <w:rsid w:val="007E79DB"/>
    <w:rsid w:val="007F0498"/>
    <w:rsid w:val="007F236D"/>
    <w:rsid w:val="007F371D"/>
    <w:rsid w:val="007F450C"/>
    <w:rsid w:val="007F498F"/>
    <w:rsid w:val="007F6C28"/>
    <w:rsid w:val="008010D0"/>
    <w:rsid w:val="0080295F"/>
    <w:rsid w:val="00804C26"/>
    <w:rsid w:val="00805366"/>
    <w:rsid w:val="0080652F"/>
    <w:rsid w:val="0080679D"/>
    <w:rsid w:val="00806FEF"/>
    <w:rsid w:val="008108B0"/>
    <w:rsid w:val="00811B20"/>
    <w:rsid w:val="00813BE7"/>
    <w:rsid w:val="008162F1"/>
    <w:rsid w:val="0082296E"/>
    <w:rsid w:val="00824099"/>
    <w:rsid w:val="00824A93"/>
    <w:rsid w:val="008265D7"/>
    <w:rsid w:val="00833023"/>
    <w:rsid w:val="00837927"/>
    <w:rsid w:val="00841729"/>
    <w:rsid w:val="00845065"/>
    <w:rsid w:val="00845F0A"/>
    <w:rsid w:val="00846D7C"/>
    <w:rsid w:val="0085201A"/>
    <w:rsid w:val="0086267D"/>
    <w:rsid w:val="00864E97"/>
    <w:rsid w:val="00866006"/>
    <w:rsid w:val="0086797D"/>
    <w:rsid w:val="00867AC1"/>
    <w:rsid w:val="008748FC"/>
    <w:rsid w:val="00875B91"/>
    <w:rsid w:val="00877C27"/>
    <w:rsid w:val="00881612"/>
    <w:rsid w:val="008854FB"/>
    <w:rsid w:val="008859CE"/>
    <w:rsid w:val="00885C6C"/>
    <w:rsid w:val="008917BF"/>
    <w:rsid w:val="00892FD7"/>
    <w:rsid w:val="00895EC6"/>
    <w:rsid w:val="008A38EB"/>
    <w:rsid w:val="008A527D"/>
    <w:rsid w:val="008A6CED"/>
    <w:rsid w:val="008A743F"/>
    <w:rsid w:val="008A7B1B"/>
    <w:rsid w:val="008B4A82"/>
    <w:rsid w:val="008B5B9F"/>
    <w:rsid w:val="008B7A30"/>
    <w:rsid w:val="008C0970"/>
    <w:rsid w:val="008C14B0"/>
    <w:rsid w:val="008C6F56"/>
    <w:rsid w:val="008D0BC5"/>
    <w:rsid w:val="008D11A4"/>
    <w:rsid w:val="008D1248"/>
    <w:rsid w:val="008D13BB"/>
    <w:rsid w:val="008D2A5D"/>
    <w:rsid w:val="008D2CF7"/>
    <w:rsid w:val="008E1037"/>
    <w:rsid w:val="008E11FC"/>
    <w:rsid w:val="008E2B99"/>
    <w:rsid w:val="008E5A2E"/>
    <w:rsid w:val="008E62C7"/>
    <w:rsid w:val="008E675C"/>
    <w:rsid w:val="008F31AB"/>
    <w:rsid w:val="00900C26"/>
    <w:rsid w:val="00900E0E"/>
    <w:rsid w:val="00901142"/>
    <w:rsid w:val="0090197F"/>
    <w:rsid w:val="00904A9F"/>
    <w:rsid w:val="0090533A"/>
    <w:rsid w:val="00906DDC"/>
    <w:rsid w:val="00914363"/>
    <w:rsid w:val="00915D1D"/>
    <w:rsid w:val="0093050A"/>
    <w:rsid w:val="00934E09"/>
    <w:rsid w:val="00936253"/>
    <w:rsid w:val="009369B8"/>
    <w:rsid w:val="009407C6"/>
    <w:rsid w:val="0094177F"/>
    <w:rsid w:val="0094218A"/>
    <w:rsid w:val="00942BBE"/>
    <w:rsid w:val="009518FC"/>
    <w:rsid w:val="00951F9C"/>
    <w:rsid w:val="00952DD4"/>
    <w:rsid w:val="0095559D"/>
    <w:rsid w:val="0095742A"/>
    <w:rsid w:val="00961DC9"/>
    <w:rsid w:val="00965C44"/>
    <w:rsid w:val="00970FED"/>
    <w:rsid w:val="009717A6"/>
    <w:rsid w:val="009719D9"/>
    <w:rsid w:val="00973B01"/>
    <w:rsid w:val="00973FC7"/>
    <w:rsid w:val="00990778"/>
    <w:rsid w:val="009925E9"/>
    <w:rsid w:val="00992C88"/>
    <w:rsid w:val="00992D82"/>
    <w:rsid w:val="00993146"/>
    <w:rsid w:val="009933BC"/>
    <w:rsid w:val="00993D76"/>
    <w:rsid w:val="00997029"/>
    <w:rsid w:val="009977C4"/>
    <w:rsid w:val="009A0039"/>
    <w:rsid w:val="009A0DB0"/>
    <w:rsid w:val="009A638E"/>
    <w:rsid w:val="009B180A"/>
    <w:rsid w:val="009B1F5B"/>
    <w:rsid w:val="009B440E"/>
    <w:rsid w:val="009B5F53"/>
    <w:rsid w:val="009C0405"/>
    <w:rsid w:val="009C1BCC"/>
    <w:rsid w:val="009C28C1"/>
    <w:rsid w:val="009C517D"/>
    <w:rsid w:val="009C5BB0"/>
    <w:rsid w:val="009D0C76"/>
    <w:rsid w:val="009D1E7E"/>
    <w:rsid w:val="009D59A4"/>
    <w:rsid w:val="009D690D"/>
    <w:rsid w:val="009D6E85"/>
    <w:rsid w:val="009D7A83"/>
    <w:rsid w:val="009E1462"/>
    <w:rsid w:val="009E1CE8"/>
    <w:rsid w:val="009E4EFD"/>
    <w:rsid w:val="009E65B6"/>
    <w:rsid w:val="009E7F22"/>
    <w:rsid w:val="009F1042"/>
    <w:rsid w:val="009F373C"/>
    <w:rsid w:val="009F484B"/>
    <w:rsid w:val="00A10BCA"/>
    <w:rsid w:val="00A1634D"/>
    <w:rsid w:val="00A2322C"/>
    <w:rsid w:val="00A24C10"/>
    <w:rsid w:val="00A30675"/>
    <w:rsid w:val="00A30B0A"/>
    <w:rsid w:val="00A31238"/>
    <w:rsid w:val="00A32496"/>
    <w:rsid w:val="00A32885"/>
    <w:rsid w:val="00A36906"/>
    <w:rsid w:val="00A416B9"/>
    <w:rsid w:val="00A42476"/>
    <w:rsid w:val="00A42AC3"/>
    <w:rsid w:val="00A430CF"/>
    <w:rsid w:val="00A439FF"/>
    <w:rsid w:val="00A43A8B"/>
    <w:rsid w:val="00A47081"/>
    <w:rsid w:val="00A54309"/>
    <w:rsid w:val="00A6010F"/>
    <w:rsid w:val="00A616D8"/>
    <w:rsid w:val="00A628CA"/>
    <w:rsid w:val="00A6341B"/>
    <w:rsid w:val="00A6450C"/>
    <w:rsid w:val="00A80C92"/>
    <w:rsid w:val="00A844BC"/>
    <w:rsid w:val="00A84908"/>
    <w:rsid w:val="00A95C5C"/>
    <w:rsid w:val="00AA002A"/>
    <w:rsid w:val="00AA1E7E"/>
    <w:rsid w:val="00AA3D41"/>
    <w:rsid w:val="00AA5D7A"/>
    <w:rsid w:val="00AA69FA"/>
    <w:rsid w:val="00AB03AA"/>
    <w:rsid w:val="00AB27A6"/>
    <w:rsid w:val="00AB29B0"/>
    <w:rsid w:val="00AB2B93"/>
    <w:rsid w:val="00AB35C0"/>
    <w:rsid w:val="00AB3A19"/>
    <w:rsid w:val="00AB43A1"/>
    <w:rsid w:val="00AB4914"/>
    <w:rsid w:val="00AB530F"/>
    <w:rsid w:val="00AB70BC"/>
    <w:rsid w:val="00AB7E5B"/>
    <w:rsid w:val="00AC0EBC"/>
    <w:rsid w:val="00AC212E"/>
    <w:rsid w:val="00AC235B"/>
    <w:rsid w:val="00AD34EC"/>
    <w:rsid w:val="00AD669F"/>
    <w:rsid w:val="00AD7ACA"/>
    <w:rsid w:val="00AE0EF1"/>
    <w:rsid w:val="00AE2937"/>
    <w:rsid w:val="00AE2CAA"/>
    <w:rsid w:val="00AE47B3"/>
    <w:rsid w:val="00AF2407"/>
    <w:rsid w:val="00AF2E58"/>
    <w:rsid w:val="00B032FA"/>
    <w:rsid w:val="00B03767"/>
    <w:rsid w:val="00B03922"/>
    <w:rsid w:val="00B0491C"/>
    <w:rsid w:val="00B07301"/>
    <w:rsid w:val="00B10349"/>
    <w:rsid w:val="00B10D5F"/>
    <w:rsid w:val="00B11366"/>
    <w:rsid w:val="00B1393A"/>
    <w:rsid w:val="00B17401"/>
    <w:rsid w:val="00B224DE"/>
    <w:rsid w:val="00B23896"/>
    <w:rsid w:val="00B26252"/>
    <w:rsid w:val="00B303A6"/>
    <w:rsid w:val="00B324D4"/>
    <w:rsid w:val="00B33812"/>
    <w:rsid w:val="00B343C3"/>
    <w:rsid w:val="00B34592"/>
    <w:rsid w:val="00B37889"/>
    <w:rsid w:val="00B378DC"/>
    <w:rsid w:val="00B4215F"/>
    <w:rsid w:val="00B46575"/>
    <w:rsid w:val="00B52202"/>
    <w:rsid w:val="00B53E61"/>
    <w:rsid w:val="00B554EF"/>
    <w:rsid w:val="00B6330B"/>
    <w:rsid w:val="00B64276"/>
    <w:rsid w:val="00B75539"/>
    <w:rsid w:val="00B83083"/>
    <w:rsid w:val="00B84BBD"/>
    <w:rsid w:val="00B93B39"/>
    <w:rsid w:val="00B93D8A"/>
    <w:rsid w:val="00BA14DE"/>
    <w:rsid w:val="00BA313C"/>
    <w:rsid w:val="00BA40CE"/>
    <w:rsid w:val="00BA43FB"/>
    <w:rsid w:val="00BA6C5E"/>
    <w:rsid w:val="00BB0001"/>
    <w:rsid w:val="00BB03CA"/>
    <w:rsid w:val="00BB0C6F"/>
    <w:rsid w:val="00BB1464"/>
    <w:rsid w:val="00BB5777"/>
    <w:rsid w:val="00BC127D"/>
    <w:rsid w:val="00BC1544"/>
    <w:rsid w:val="00BC16B2"/>
    <w:rsid w:val="00BC1FE6"/>
    <w:rsid w:val="00BC4359"/>
    <w:rsid w:val="00BC72AC"/>
    <w:rsid w:val="00BD182E"/>
    <w:rsid w:val="00BD191D"/>
    <w:rsid w:val="00BD7B28"/>
    <w:rsid w:val="00BE002D"/>
    <w:rsid w:val="00BE2495"/>
    <w:rsid w:val="00BE5B2A"/>
    <w:rsid w:val="00BF08C6"/>
    <w:rsid w:val="00BF1B62"/>
    <w:rsid w:val="00BF3895"/>
    <w:rsid w:val="00BF60BC"/>
    <w:rsid w:val="00BF6152"/>
    <w:rsid w:val="00BF7C52"/>
    <w:rsid w:val="00C0259C"/>
    <w:rsid w:val="00C03FAF"/>
    <w:rsid w:val="00C061B6"/>
    <w:rsid w:val="00C15B57"/>
    <w:rsid w:val="00C23918"/>
    <w:rsid w:val="00C2446C"/>
    <w:rsid w:val="00C36AE5"/>
    <w:rsid w:val="00C41F17"/>
    <w:rsid w:val="00C43297"/>
    <w:rsid w:val="00C45E58"/>
    <w:rsid w:val="00C504DA"/>
    <w:rsid w:val="00C52551"/>
    <w:rsid w:val="00C5280D"/>
    <w:rsid w:val="00C55E11"/>
    <w:rsid w:val="00C5791C"/>
    <w:rsid w:val="00C65C38"/>
    <w:rsid w:val="00C66290"/>
    <w:rsid w:val="00C679CE"/>
    <w:rsid w:val="00C71E83"/>
    <w:rsid w:val="00C72B7A"/>
    <w:rsid w:val="00C7576C"/>
    <w:rsid w:val="00C81A95"/>
    <w:rsid w:val="00C81EC1"/>
    <w:rsid w:val="00C85F6A"/>
    <w:rsid w:val="00C8783A"/>
    <w:rsid w:val="00C9442E"/>
    <w:rsid w:val="00C9536F"/>
    <w:rsid w:val="00C95F39"/>
    <w:rsid w:val="00C973F2"/>
    <w:rsid w:val="00CA0B5B"/>
    <w:rsid w:val="00CA0BC4"/>
    <w:rsid w:val="00CA304C"/>
    <w:rsid w:val="00CA4227"/>
    <w:rsid w:val="00CA4686"/>
    <w:rsid w:val="00CA774A"/>
    <w:rsid w:val="00CA7CF0"/>
    <w:rsid w:val="00CB4D3E"/>
    <w:rsid w:val="00CC0374"/>
    <w:rsid w:val="00CC11AB"/>
    <w:rsid w:val="00CC11B0"/>
    <w:rsid w:val="00CC180D"/>
    <w:rsid w:val="00CC22E6"/>
    <w:rsid w:val="00CC4662"/>
    <w:rsid w:val="00CC659D"/>
    <w:rsid w:val="00CD3CAE"/>
    <w:rsid w:val="00CD7561"/>
    <w:rsid w:val="00CE0A26"/>
    <w:rsid w:val="00CE4536"/>
    <w:rsid w:val="00CE70A0"/>
    <w:rsid w:val="00CF1439"/>
    <w:rsid w:val="00CF4B55"/>
    <w:rsid w:val="00CF75D2"/>
    <w:rsid w:val="00CF75FC"/>
    <w:rsid w:val="00CF7E36"/>
    <w:rsid w:val="00D068F4"/>
    <w:rsid w:val="00D13130"/>
    <w:rsid w:val="00D217FE"/>
    <w:rsid w:val="00D2320A"/>
    <w:rsid w:val="00D3092D"/>
    <w:rsid w:val="00D3375A"/>
    <w:rsid w:val="00D3708D"/>
    <w:rsid w:val="00D40426"/>
    <w:rsid w:val="00D405C5"/>
    <w:rsid w:val="00D44873"/>
    <w:rsid w:val="00D45DB2"/>
    <w:rsid w:val="00D475E1"/>
    <w:rsid w:val="00D47DF7"/>
    <w:rsid w:val="00D529B8"/>
    <w:rsid w:val="00D52E11"/>
    <w:rsid w:val="00D53C37"/>
    <w:rsid w:val="00D5424D"/>
    <w:rsid w:val="00D56CD4"/>
    <w:rsid w:val="00D57C96"/>
    <w:rsid w:val="00D61528"/>
    <w:rsid w:val="00D63751"/>
    <w:rsid w:val="00D63C9B"/>
    <w:rsid w:val="00D650C0"/>
    <w:rsid w:val="00D65348"/>
    <w:rsid w:val="00D66CEE"/>
    <w:rsid w:val="00D76528"/>
    <w:rsid w:val="00D76963"/>
    <w:rsid w:val="00D76FA0"/>
    <w:rsid w:val="00D808F2"/>
    <w:rsid w:val="00D81689"/>
    <w:rsid w:val="00D8270A"/>
    <w:rsid w:val="00D8287C"/>
    <w:rsid w:val="00D84837"/>
    <w:rsid w:val="00D86B6D"/>
    <w:rsid w:val="00D91203"/>
    <w:rsid w:val="00D95174"/>
    <w:rsid w:val="00D975AB"/>
    <w:rsid w:val="00D97E66"/>
    <w:rsid w:val="00DA287B"/>
    <w:rsid w:val="00DA6F36"/>
    <w:rsid w:val="00DB364F"/>
    <w:rsid w:val="00DB3AA3"/>
    <w:rsid w:val="00DB3C83"/>
    <w:rsid w:val="00DB4004"/>
    <w:rsid w:val="00DB596E"/>
    <w:rsid w:val="00DB5FEE"/>
    <w:rsid w:val="00DB7773"/>
    <w:rsid w:val="00DB7F64"/>
    <w:rsid w:val="00DC00EA"/>
    <w:rsid w:val="00DC0D3D"/>
    <w:rsid w:val="00DC2FA8"/>
    <w:rsid w:val="00DC7AAF"/>
    <w:rsid w:val="00DD02C3"/>
    <w:rsid w:val="00DD2236"/>
    <w:rsid w:val="00DD28FE"/>
    <w:rsid w:val="00DD3C4B"/>
    <w:rsid w:val="00DD3F98"/>
    <w:rsid w:val="00DD754D"/>
    <w:rsid w:val="00DE0951"/>
    <w:rsid w:val="00DE0E20"/>
    <w:rsid w:val="00DE190E"/>
    <w:rsid w:val="00DE22A7"/>
    <w:rsid w:val="00DE79B7"/>
    <w:rsid w:val="00DF1DEE"/>
    <w:rsid w:val="00DF4466"/>
    <w:rsid w:val="00E02F62"/>
    <w:rsid w:val="00E03F79"/>
    <w:rsid w:val="00E10364"/>
    <w:rsid w:val="00E20A3C"/>
    <w:rsid w:val="00E2275C"/>
    <w:rsid w:val="00E32F7E"/>
    <w:rsid w:val="00E36E0C"/>
    <w:rsid w:val="00E37985"/>
    <w:rsid w:val="00E37EBB"/>
    <w:rsid w:val="00E4182C"/>
    <w:rsid w:val="00E56D61"/>
    <w:rsid w:val="00E61099"/>
    <w:rsid w:val="00E62022"/>
    <w:rsid w:val="00E7054C"/>
    <w:rsid w:val="00E71D39"/>
    <w:rsid w:val="00E72D49"/>
    <w:rsid w:val="00E72E88"/>
    <w:rsid w:val="00E73325"/>
    <w:rsid w:val="00E745FA"/>
    <w:rsid w:val="00E7495B"/>
    <w:rsid w:val="00E74DFE"/>
    <w:rsid w:val="00E75785"/>
    <w:rsid w:val="00E7593C"/>
    <w:rsid w:val="00E7678A"/>
    <w:rsid w:val="00E80C62"/>
    <w:rsid w:val="00E8305C"/>
    <w:rsid w:val="00E84531"/>
    <w:rsid w:val="00E87968"/>
    <w:rsid w:val="00E90B4D"/>
    <w:rsid w:val="00E935F1"/>
    <w:rsid w:val="00E94A81"/>
    <w:rsid w:val="00EA05CE"/>
    <w:rsid w:val="00EA14BC"/>
    <w:rsid w:val="00EA1FFB"/>
    <w:rsid w:val="00EA2B11"/>
    <w:rsid w:val="00EB00F6"/>
    <w:rsid w:val="00EB048E"/>
    <w:rsid w:val="00EB080F"/>
    <w:rsid w:val="00EB15BE"/>
    <w:rsid w:val="00EB3758"/>
    <w:rsid w:val="00EB7661"/>
    <w:rsid w:val="00EC44B9"/>
    <w:rsid w:val="00ED03D4"/>
    <w:rsid w:val="00ED2EEF"/>
    <w:rsid w:val="00ED3411"/>
    <w:rsid w:val="00ED36C9"/>
    <w:rsid w:val="00ED6337"/>
    <w:rsid w:val="00ED6C3C"/>
    <w:rsid w:val="00ED775D"/>
    <w:rsid w:val="00EE0350"/>
    <w:rsid w:val="00EE34DF"/>
    <w:rsid w:val="00EE52A8"/>
    <w:rsid w:val="00EF1A18"/>
    <w:rsid w:val="00EF2F89"/>
    <w:rsid w:val="00EF5B24"/>
    <w:rsid w:val="00EF60E8"/>
    <w:rsid w:val="00EF698D"/>
    <w:rsid w:val="00F00F70"/>
    <w:rsid w:val="00F02C50"/>
    <w:rsid w:val="00F062E6"/>
    <w:rsid w:val="00F06D7D"/>
    <w:rsid w:val="00F0710F"/>
    <w:rsid w:val="00F1237A"/>
    <w:rsid w:val="00F1568C"/>
    <w:rsid w:val="00F1692C"/>
    <w:rsid w:val="00F22CBD"/>
    <w:rsid w:val="00F25A25"/>
    <w:rsid w:val="00F25C67"/>
    <w:rsid w:val="00F30F4A"/>
    <w:rsid w:val="00F3207E"/>
    <w:rsid w:val="00F355B9"/>
    <w:rsid w:val="00F363DF"/>
    <w:rsid w:val="00F37D26"/>
    <w:rsid w:val="00F37FA5"/>
    <w:rsid w:val="00F415A5"/>
    <w:rsid w:val="00F45372"/>
    <w:rsid w:val="00F47122"/>
    <w:rsid w:val="00F52954"/>
    <w:rsid w:val="00F541C3"/>
    <w:rsid w:val="00F560F7"/>
    <w:rsid w:val="00F6334D"/>
    <w:rsid w:val="00F67490"/>
    <w:rsid w:val="00F75AA3"/>
    <w:rsid w:val="00F7676B"/>
    <w:rsid w:val="00F777A7"/>
    <w:rsid w:val="00F8269C"/>
    <w:rsid w:val="00F8490B"/>
    <w:rsid w:val="00F85A58"/>
    <w:rsid w:val="00F945D9"/>
    <w:rsid w:val="00F95EDE"/>
    <w:rsid w:val="00F978A9"/>
    <w:rsid w:val="00FA1008"/>
    <w:rsid w:val="00FA49AB"/>
    <w:rsid w:val="00FA6A06"/>
    <w:rsid w:val="00FB24A4"/>
    <w:rsid w:val="00FB32FC"/>
    <w:rsid w:val="00FB4917"/>
    <w:rsid w:val="00FB624A"/>
    <w:rsid w:val="00FB765F"/>
    <w:rsid w:val="00FD0B66"/>
    <w:rsid w:val="00FD2926"/>
    <w:rsid w:val="00FE080A"/>
    <w:rsid w:val="00FE39C7"/>
    <w:rsid w:val="00FE6A11"/>
    <w:rsid w:val="00FF11E4"/>
    <w:rsid w:val="00FF466E"/>
    <w:rsid w:val="00FF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570E2"/>
    <w:pPr>
      <w:keepNext/>
      <w:tabs>
        <w:tab w:val="left" w:pos="567"/>
      </w:tabs>
      <w:jc w:val="both"/>
      <w:outlineLvl w:val="2"/>
    </w:pPr>
    <w:rPr>
      <w:rFonts w:ascii="Arial" w:hAnsi="Arial"/>
      <w:i/>
      <w:snapToGrid w:val="0"/>
      <w:lang w:val="fr-FR"/>
    </w:rPr>
  </w:style>
  <w:style w:type="paragraph" w:styleId="Heading4">
    <w:name w:val="heading 4"/>
    <w:next w:val="Normal"/>
    <w:link w:val="Heading4Char"/>
    <w:autoRedefine/>
    <w:qFormat/>
    <w:rsid w:val="000D1E46"/>
    <w:pPr>
      <w:keepNext/>
      <w:ind w:left="1134" w:hanging="567"/>
      <w:jc w:val="both"/>
      <w:outlineLvl w:val="3"/>
    </w:pPr>
    <w:rPr>
      <w:rFonts w:ascii="Arial" w:hAnsi="Arial"/>
      <w:i/>
      <w:snapToGrid w:val="0"/>
      <w:lang w:val="fr-FR"/>
    </w:rPr>
  </w:style>
  <w:style w:type="paragraph" w:styleId="Heading5">
    <w:name w:val="heading 5"/>
    <w:next w:val="Normal"/>
    <w:link w:val="Heading5Char"/>
    <w:autoRedefine/>
    <w:qFormat/>
    <w:rsid w:val="004C3C67"/>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5A7A0C"/>
    <w:pPr>
      <w:outlineLvl w:val="5"/>
    </w:pPr>
    <w:rPr>
      <w:lang w:val="es-ES_tradnl"/>
    </w:rPr>
  </w:style>
  <w:style w:type="paragraph" w:styleId="Heading7">
    <w:name w:val="heading 7"/>
    <w:basedOn w:val="Normal"/>
    <w:next w:val="Normal"/>
    <w:link w:val="Heading7Char"/>
    <w:qFormat/>
    <w:rsid w:val="005A7A0C"/>
    <w:pPr>
      <w:spacing w:before="240" w:after="60"/>
      <w:outlineLvl w:val="6"/>
    </w:pPr>
    <w:rPr>
      <w:szCs w:val="24"/>
    </w:rPr>
  </w:style>
  <w:style w:type="paragraph" w:styleId="Heading8">
    <w:name w:val="heading 8"/>
    <w:basedOn w:val="Normal"/>
    <w:next w:val="Normal"/>
    <w:link w:val="Heading8Char"/>
    <w:qFormat/>
    <w:rsid w:val="005A7A0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link w:val="Heading2"/>
    <w:rsid w:val="00FB765F"/>
    <w:rPr>
      <w:rFonts w:ascii="Arial" w:hAnsi="Arial"/>
      <w:u w:val="single"/>
    </w:rPr>
  </w:style>
  <w:style w:type="character" w:customStyle="1" w:styleId="Heading3Char">
    <w:name w:val="Heading 3 Char"/>
    <w:link w:val="Heading3"/>
    <w:locked/>
    <w:rsid w:val="004570E2"/>
    <w:rPr>
      <w:rFonts w:ascii="Arial" w:hAnsi="Arial"/>
      <w:i/>
      <w:snapToGrid w:val="0"/>
      <w:lang w:val="fr-FR"/>
    </w:rPr>
  </w:style>
  <w:style w:type="character" w:customStyle="1" w:styleId="Heading4Char">
    <w:name w:val="Heading 4 Char"/>
    <w:link w:val="Heading4"/>
    <w:rsid w:val="000D1E46"/>
    <w:rPr>
      <w:rFonts w:ascii="Arial" w:hAnsi="Arial"/>
      <w:i/>
      <w:snapToGrid w:val="0"/>
      <w:lang w:val="fr-FR"/>
    </w:rPr>
  </w:style>
  <w:style w:type="character" w:customStyle="1" w:styleId="Heading5Char">
    <w:name w:val="Heading 5 Char"/>
    <w:link w:val="Heading5"/>
    <w:rsid w:val="004C3C67"/>
    <w:rPr>
      <w:rFonts w:ascii="Arial" w:hAnsi="Arial" w:cs="Arial"/>
      <w:snapToGrid w:val="0"/>
      <w:u w:val="single"/>
    </w:rPr>
  </w:style>
  <w:style w:type="character" w:customStyle="1" w:styleId="Heading1Char">
    <w:name w:val="Heading 1 Char"/>
    <w:aliases w:val="COMMON NAME Char,common Char"/>
    <w:basedOn w:val="DefaultParagraphFont"/>
    <w:link w:val="Heading1"/>
    <w:rsid w:val="00221605"/>
    <w:rPr>
      <w:rFonts w:ascii="Arial" w:hAnsi="Arial"/>
      <w:caps/>
    </w:rPr>
  </w:style>
  <w:style w:type="character" w:styleId="Emphasis">
    <w:name w:val="Emphasis"/>
    <w:basedOn w:val="DefaultParagraphFont"/>
    <w:qFormat/>
    <w:rsid w:val="009F373C"/>
    <w:rPr>
      <w:i/>
      <w:iCs/>
    </w:rPr>
  </w:style>
  <w:style w:type="paragraph" w:styleId="ListParagraph">
    <w:name w:val="List Paragraph"/>
    <w:basedOn w:val="Normal"/>
    <w:uiPriority w:val="34"/>
    <w:qFormat/>
    <w:rsid w:val="00556FD5"/>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915D1D"/>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E80C62"/>
    <w:rPr>
      <w:rFonts w:ascii="Arial" w:hAnsi="Arial"/>
      <w:i/>
    </w:rPr>
  </w:style>
  <w:style w:type="table" w:styleId="TableGrid">
    <w:name w:val="Table Grid"/>
    <w:basedOn w:val="TableNormal"/>
    <w:rsid w:val="00CC466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645BD"/>
    <w:rPr>
      <w:rFonts w:ascii="Arial" w:hAnsi="Arial"/>
      <w:lang w:val="fr-FR"/>
    </w:rPr>
  </w:style>
  <w:style w:type="paragraph" w:customStyle="1" w:styleId="tgchartextcentered">
    <w:name w:val="tg_char_text_centered"/>
    <w:basedOn w:val="Normal"/>
    <w:rsid w:val="00EA14BC"/>
    <w:pPr>
      <w:spacing w:before="80" w:after="80"/>
      <w:jc w:val="center"/>
    </w:pPr>
    <w:rPr>
      <w:b/>
      <w:sz w:val="16"/>
    </w:rPr>
  </w:style>
  <w:style w:type="paragraph" w:customStyle="1" w:styleId="tgchartext">
    <w:name w:val="tg_char_text"/>
    <w:basedOn w:val="Normal"/>
    <w:rsid w:val="00EA14BC"/>
    <w:pPr>
      <w:spacing w:before="80" w:after="80"/>
      <w:jc w:val="left"/>
    </w:pPr>
    <w:rPr>
      <w:sz w:val="16"/>
    </w:rPr>
  </w:style>
  <w:style w:type="character" w:customStyle="1" w:styleId="FootnoteTextChar">
    <w:name w:val="Footnote Text Char"/>
    <w:link w:val="FootnoteText"/>
    <w:rsid w:val="00033D1C"/>
    <w:rPr>
      <w:rFonts w:ascii="Arial" w:hAnsi="Arial"/>
      <w:sz w:val="16"/>
    </w:rPr>
  </w:style>
  <w:style w:type="character" w:customStyle="1" w:styleId="pldetailsChar">
    <w:name w:val="pldetails Char"/>
    <w:link w:val="pldetails"/>
    <w:locked/>
    <w:rsid w:val="00C71E83"/>
    <w:rPr>
      <w:rFonts w:ascii="Arial" w:hAnsi="Arial"/>
      <w:noProof/>
      <w:snapToGrid w:val="0"/>
    </w:rPr>
  </w:style>
  <w:style w:type="character" w:customStyle="1" w:styleId="Heading6Char">
    <w:name w:val="Heading 6 Char"/>
    <w:basedOn w:val="DefaultParagraphFont"/>
    <w:link w:val="Heading6"/>
    <w:rsid w:val="005A7A0C"/>
    <w:rPr>
      <w:rFonts w:ascii="Arial" w:hAnsi="Arial"/>
      <w:lang w:val="es-ES_tradnl"/>
    </w:rPr>
  </w:style>
  <w:style w:type="character" w:customStyle="1" w:styleId="Heading7Char">
    <w:name w:val="Heading 7 Char"/>
    <w:basedOn w:val="DefaultParagraphFont"/>
    <w:link w:val="Heading7"/>
    <w:rsid w:val="005A7A0C"/>
    <w:rPr>
      <w:rFonts w:ascii="Arial" w:hAnsi="Arial"/>
      <w:szCs w:val="24"/>
    </w:rPr>
  </w:style>
  <w:style w:type="character" w:customStyle="1" w:styleId="Heading8Char">
    <w:name w:val="Heading 8 Char"/>
    <w:basedOn w:val="DefaultParagraphFont"/>
    <w:link w:val="Heading8"/>
    <w:rsid w:val="005A7A0C"/>
    <w:rPr>
      <w:rFonts w:ascii="Arial" w:hAnsi="Arial"/>
      <w:u w:val="single"/>
    </w:rPr>
  </w:style>
  <w:style w:type="paragraph" w:styleId="NormalWeb">
    <w:name w:val="Normal (Web)"/>
    <w:basedOn w:val="Normal"/>
    <w:rsid w:val="005A7A0C"/>
    <w:pPr>
      <w:spacing w:before="100" w:beforeAutospacing="1" w:after="100" w:afterAutospacing="1"/>
      <w:jc w:val="left"/>
    </w:pPr>
    <w:rPr>
      <w:szCs w:val="24"/>
    </w:rPr>
  </w:style>
  <w:style w:type="paragraph" w:customStyle="1" w:styleId="pdflink">
    <w:name w:val="pdflink"/>
    <w:basedOn w:val="Normal"/>
    <w:next w:val="Normal"/>
    <w:rsid w:val="005A7A0C"/>
    <w:rPr>
      <w:color w:val="800000"/>
      <w:u w:val="words"/>
    </w:rPr>
  </w:style>
  <w:style w:type="paragraph" w:customStyle="1" w:styleId="Draft">
    <w:name w:val="Draft"/>
    <w:basedOn w:val="Normal"/>
    <w:next w:val="preparedby"/>
    <w:rsid w:val="005A7A0C"/>
    <w:pPr>
      <w:spacing w:before="720" w:after="480"/>
      <w:jc w:val="center"/>
    </w:pPr>
    <w:rPr>
      <w:caps/>
      <w:sz w:val="28"/>
    </w:rPr>
  </w:style>
  <w:style w:type="paragraph" w:customStyle="1" w:styleId="quote1">
    <w:name w:val="quote1"/>
    <w:basedOn w:val="Normal"/>
    <w:semiHidden/>
    <w:rsid w:val="005A7A0C"/>
    <w:pPr>
      <w:ind w:left="567" w:right="565" w:firstLine="567"/>
    </w:pPr>
    <w:rPr>
      <w:snapToGrid w:val="0"/>
      <w:sz w:val="22"/>
      <w:szCs w:val="22"/>
    </w:rPr>
  </w:style>
  <w:style w:type="paragraph" w:customStyle="1" w:styleId="tqparabox">
    <w:name w:val="tqparabox"/>
    <w:basedOn w:val="Normal"/>
    <w:rsid w:val="005A7A0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A7A0C"/>
    <w:pPr>
      <w:ind w:left="1200"/>
    </w:pPr>
  </w:style>
  <w:style w:type="paragraph" w:styleId="BodyTextIndent">
    <w:name w:val="Body Text Indent"/>
    <w:basedOn w:val="Normal"/>
    <w:link w:val="BodyTextIndentChar"/>
    <w:rsid w:val="005A7A0C"/>
    <w:pPr>
      <w:ind w:left="567"/>
    </w:pPr>
    <w:rPr>
      <w:lang w:val="es-ES_tradnl"/>
    </w:rPr>
  </w:style>
  <w:style w:type="character" w:customStyle="1" w:styleId="BodyTextIndentChar">
    <w:name w:val="Body Text Indent Char"/>
    <w:basedOn w:val="DefaultParagraphFont"/>
    <w:link w:val="BodyTextIndent"/>
    <w:rsid w:val="005A7A0C"/>
    <w:rPr>
      <w:rFonts w:ascii="Arial" w:hAnsi="Arial"/>
      <w:lang w:val="es-ES_tradnl"/>
    </w:rPr>
  </w:style>
  <w:style w:type="paragraph" w:customStyle="1" w:styleId="twpcheck">
    <w:name w:val="twpcheck"/>
    <w:basedOn w:val="Normal"/>
    <w:rsid w:val="005A7A0C"/>
    <w:pPr>
      <w:spacing w:before="80" w:after="80"/>
      <w:jc w:val="left"/>
    </w:pPr>
    <w:rPr>
      <w:rFonts w:cs="Arial"/>
      <w:snapToGrid w:val="0"/>
      <w:sz w:val="16"/>
      <w:szCs w:val="16"/>
    </w:rPr>
  </w:style>
  <w:style w:type="paragraph" w:customStyle="1" w:styleId="DecisionInvitingPara">
    <w:name w:val="Decision Inviting Para."/>
    <w:basedOn w:val="Normal"/>
    <w:rsid w:val="005A7A0C"/>
    <w:pPr>
      <w:ind w:left="4536"/>
    </w:pPr>
    <w:rPr>
      <w:i/>
      <w:lang w:val="es-ES_tradnl"/>
    </w:rPr>
  </w:style>
  <w:style w:type="paragraph" w:customStyle="1" w:styleId="Enttepair">
    <w:name w:val="Entête_pair"/>
    <w:basedOn w:val="Normal"/>
    <w:next w:val="Normal"/>
    <w:rsid w:val="005A7A0C"/>
    <w:pPr>
      <w:pBdr>
        <w:bottom w:val="single" w:sz="4" w:space="1" w:color="auto"/>
      </w:pBdr>
      <w:jc w:val="left"/>
    </w:pPr>
    <w:rPr>
      <w:szCs w:val="24"/>
    </w:rPr>
  </w:style>
  <w:style w:type="paragraph" w:customStyle="1" w:styleId="Entteimpair">
    <w:name w:val="Entête_impair"/>
    <w:basedOn w:val="Normal"/>
    <w:next w:val="Normal"/>
    <w:rsid w:val="005A7A0C"/>
    <w:pPr>
      <w:pBdr>
        <w:bottom w:val="single" w:sz="4" w:space="1" w:color="auto"/>
      </w:pBdr>
      <w:jc w:val="right"/>
    </w:pPr>
  </w:style>
  <w:style w:type="paragraph" w:styleId="E-mailSignature">
    <w:name w:val="E-mail Signature"/>
    <w:basedOn w:val="Normal"/>
    <w:link w:val="E-mailSignatureChar"/>
    <w:rsid w:val="005A7A0C"/>
  </w:style>
  <w:style w:type="character" w:customStyle="1" w:styleId="E-mailSignatureChar">
    <w:name w:val="E-mail Signature Char"/>
    <w:basedOn w:val="DefaultParagraphFont"/>
    <w:link w:val="E-mailSignature"/>
    <w:rsid w:val="005A7A0C"/>
    <w:rPr>
      <w:rFonts w:ascii="Arial" w:hAnsi="Arial"/>
    </w:rPr>
  </w:style>
  <w:style w:type="paragraph" w:styleId="EnvelopeAddress">
    <w:name w:val="envelope address"/>
    <w:basedOn w:val="Normal"/>
    <w:rsid w:val="005A7A0C"/>
    <w:pPr>
      <w:framePr w:w="7920" w:h="1980" w:hRule="exact" w:hSpace="180" w:wrap="auto" w:hAnchor="page" w:xAlign="center" w:yAlign="bottom"/>
      <w:ind w:left="2880"/>
    </w:pPr>
    <w:rPr>
      <w:rFonts w:cs="Arial"/>
      <w:szCs w:val="24"/>
    </w:rPr>
  </w:style>
  <w:style w:type="paragraph" w:styleId="EnvelopeReturn">
    <w:name w:val="envelope return"/>
    <w:basedOn w:val="Normal"/>
    <w:rsid w:val="005A7A0C"/>
    <w:rPr>
      <w:rFonts w:cs="Arial"/>
    </w:rPr>
  </w:style>
  <w:style w:type="character" w:styleId="HTMLAcronym">
    <w:name w:val="HTML Acronym"/>
    <w:basedOn w:val="DefaultParagraphFont"/>
    <w:rsid w:val="005A7A0C"/>
  </w:style>
  <w:style w:type="paragraph" w:styleId="HTMLAddress">
    <w:name w:val="HTML Address"/>
    <w:basedOn w:val="Normal"/>
    <w:link w:val="HTMLAddressChar"/>
    <w:rsid w:val="005A7A0C"/>
    <w:rPr>
      <w:i/>
      <w:iCs/>
    </w:rPr>
  </w:style>
  <w:style w:type="character" w:customStyle="1" w:styleId="HTMLAddressChar">
    <w:name w:val="HTML Address Char"/>
    <w:basedOn w:val="DefaultParagraphFont"/>
    <w:link w:val="HTMLAddress"/>
    <w:rsid w:val="005A7A0C"/>
    <w:rPr>
      <w:rFonts w:ascii="Arial" w:hAnsi="Arial"/>
      <w:i/>
      <w:iCs/>
    </w:rPr>
  </w:style>
  <w:style w:type="character" w:styleId="HTMLCite">
    <w:name w:val="HTML Cite"/>
    <w:basedOn w:val="DefaultParagraphFont"/>
    <w:rsid w:val="005A7A0C"/>
    <w:rPr>
      <w:i/>
      <w:iCs/>
    </w:rPr>
  </w:style>
  <w:style w:type="character" w:styleId="HTMLCode">
    <w:name w:val="HTML Code"/>
    <w:basedOn w:val="DefaultParagraphFont"/>
    <w:rsid w:val="005A7A0C"/>
    <w:rPr>
      <w:rFonts w:ascii="Courier New" w:hAnsi="Courier New" w:cs="Courier New"/>
      <w:sz w:val="20"/>
      <w:szCs w:val="20"/>
    </w:rPr>
  </w:style>
  <w:style w:type="character" w:styleId="HTMLDefinition">
    <w:name w:val="HTML Definition"/>
    <w:basedOn w:val="DefaultParagraphFont"/>
    <w:rsid w:val="005A7A0C"/>
    <w:rPr>
      <w:i/>
      <w:iCs/>
    </w:rPr>
  </w:style>
  <w:style w:type="character" w:styleId="HTMLKeyboard">
    <w:name w:val="HTML Keyboard"/>
    <w:basedOn w:val="DefaultParagraphFont"/>
    <w:rsid w:val="005A7A0C"/>
    <w:rPr>
      <w:rFonts w:ascii="Courier New" w:hAnsi="Courier New" w:cs="Courier New"/>
      <w:sz w:val="20"/>
      <w:szCs w:val="20"/>
    </w:rPr>
  </w:style>
  <w:style w:type="paragraph" w:styleId="HTMLPreformatted">
    <w:name w:val="HTML Preformatted"/>
    <w:basedOn w:val="Normal"/>
    <w:link w:val="HTMLPreformattedChar"/>
    <w:rsid w:val="005A7A0C"/>
    <w:rPr>
      <w:rFonts w:ascii="Courier New" w:hAnsi="Courier New" w:cs="Courier New"/>
    </w:rPr>
  </w:style>
  <w:style w:type="character" w:customStyle="1" w:styleId="HTMLPreformattedChar">
    <w:name w:val="HTML Preformatted Char"/>
    <w:basedOn w:val="DefaultParagraphFont"/>
    <w:link w:val="HTMLPreformatted"/>
    <w:rsid w:val="005A7A0C"/>
    <w:rPr>
      <w:rFonts w:ascii="Courier New" w:hAnsi="Courier New" w:cs="Courier New"/>
    </w:rPr>
  </w:style>
  <w:style w:type="character" w:styleId="HTMLSample">
    <w:name w:val="HTML Sample"/>
    <w:basedOn w:val="DefaultParagraphFont"/>
    <w:rsid w:val="005A7A0C"/>
    <w:rPr>
      <w:rFonts w:ascii="Courier New" w:hAnsi="Courier New" w:cs="Courier New"/>
    </w:rPr>
  </w:style>
  <w:style w:type="character" w:styleId="HTMLTypewriter">
    <w:name w:val="HTML Typewriter"/>
    <w:basedOn w:val="DefaultParagraphFont"/>
    <w:rsid w:val="005A7A0C"/>
    <w:rPr>
      <w:rFonts w:ascii="Courier New" w:hAnsi="Courier New" w:cs="Courier New"/>
      <w:sz w:val="20"/>
      <w:szCs w:val="20"/>
    </w:rPr>
  </w:style>
  <w:style w:type="character" w:styleId="HTMLVariable">
    <w:name w:val="HTML Variable"/>
    <w:basedOn w:val="DefaultParagraphFont"/>
    <w:rsid w:val="005A7A0C"/>
    <w:rPr>
      <w:i/>
      <w:iCs/>
    </w:rPr>
  </w:style>
  <w:style w:type="character" w:styleId="LineNumber">
    <w:name w:val="line number"/>
    <w:basedOn w:val="DefaultParagraphFont"/>
    <w:rsid w:val="005A7A0C"/>
  </w:style>
  <w:style w:type="paragraph" w:styleId="List">
    <w:name w:val="List"/>
    <w:basedOn w:val="Normal"/>
    <w:rsid w:val="005A7A0C"/>
    <w:pPr>
      <w:ind w:left="360" w:hanging="360"/>
    </w:pPr>
  </w:style>
  <w:style w:type="paragraph" w:styleId="List2">
    <w:name w:val="List 2"/>
    <w:basedOn w:val="Normal"/>
    <w:rsid w:val="005A7A0C"/>
    <w:pPr>
      <w:ind w:left="720" w:hanging="360"/>
    </w:pPr>
  </w:style>
  <w:style w:type="paragraph" w:styleId="List3">
    <w:name w:val="List 3"/>
    <w:basedOn w:val="Normal"/>
    <w:rsid w:val="005A7A0C"/>
    <w:pPr>
      <w:ind w:left="1080" w:hanging="360"/>
    </w:pPr>
  </w:style>
  <w:style w:type="paragraph" w:styleId="List4">
    <w:name w:val="List 4"/>
    <w:basedOn w:val="Normal"/>
    <w:rsid w:val="005A7A0C"/>
    <w:pPr>
      <w:ind w:left="1440" w:hanging="360"/>
    </w:pPr>
  </w:style>
  <w:style w:type="paragraph" w:styleId="List5">
    <w:name w:val="List 5"/>
    <w:basedOn w:val="Normal"/>
    <w:rsid w:val="005A7A0C"/>
    <w:pPr>
      <w:ind w:left="1800" w:hanging="360"/>
    </w:pPr>
  </w:style>
  <w:style w:type="paragraph" w:styleId="ListBullet">
    <w:name w:val="List Bullet"/>
    <w:basedOn w:val="Normal"/>
    <w:autoRedefine/>
    <w:rsid w:val="005A7A0C"/>
    <w:pPr>
      <w:tabs>
        <w:tab w:val="num" w:pos="360"/>
      </w:tabs>
      <w:ind w:left="360" w:hanging="360"/>
    </w:pPr>
    <w:rPr>
      <w:bCs/>
      <w:szCs w:val="24"/>
      <w:lang w:val="es-ES" w:eastAsia="zh-CN"/>
    </w:rPr>
  </w:style>
  <w:style w:type="paragraph" w:styleId="ListBullet2">
    <w:name w:val="List Bullet 2"/>
    <w:basedOn w:val="Normal"/>
    <w:rsid w:val="005A7A0C"/>
    <w:pPr>
      <w:tabs>
        <w:tab w:val="num" w:pos="720"/>
      </w:tabs>
      <w:ind w:left="720" w:hanging="360"/>
    </w:pPr>
  </w:style>
  <w:style w:type="paragraph" w:styleId="ListBullet3">
    <w:name w:val="List Bullet 3"/>
    <w:basedOn w:val="Normal"/>
    <w:rsid w:val="005A7A0C"/>
    <w:pPr>
      <w:tabs>
        <w:tab w:val="num" w:pos="1080"/>
      </w:tabs>
      <w:ind w:left="1080" w:hanging="360"/>
    </w:pPr>
  </w:style>
  <w:style w:type="paragraph" w:styleId="ListBullet4">
    <w:name w:val="List Bullet 4"/>
    <w:basedOn w:val="Normal"/>
    <w:rsid w:val="005A7A0C"/>
    <w:pPr>
      <w:tabs>
        <w:tab w:val="num" w:pos="1440"/>
      </w:tabs>
      <w:ind w:left="1440" w:hanging="360"/>
    </w:pPr>
  </w:style>
  <w:style w:type="paragraph" w:styleId="ListBullet5">
    <w:name w:val="List Bullet 5"/>
    <w:basedOn w:val="Normal"/>
    <w:rsid w:val="005A7A0C"/>
    <w:pPr>
      <w:tabs>
        <w:tab w:val="num" w:pos="1800"/>
      </w:tabs>
      <w:ind w:left="1800" w:hanging="360"/>
    </w:pPr>
  </w:style>
  <w:style w:type="paragraph" w:styleId="ListContinue">
    <w:name w:val="List Continue"/>
    <w:basedOn w:val="Normal"/>
    <w:rsid w:val="005A7A0C"/>
    <w:pPr>
      <w:spacing w:after="120"/>
      <w:ind w:left="360"/>
    </w:pPr>
  </w:style>
  <w:style w:type="paragraph" w:styleId="ListContinue2">
    <w:name w:val="List Continue 2"/>
    <w:basedOn w:val="Normal"/>
    <w:rsid w:val="005A7A0C"/>
    <w:pPr>
      <w:spacing w:after="120"/>
      <w:ind w:left="720"/>
    </w:pPr>
  </w:style>
  <w:style w:type="paragraph" w:styleId="ListContinue3">
    <w:name w:val="List Continue 3"/>
    <w:basedOn w:val="Normal"/>
    <w:rsid w:val="005A7A0C"/>
    <w:pPr>
      <w:spacing w:after="120"/>
      <w:ind w:left="1080"/>
    </w:pPr>
  </w:style>
  <w:style w:type="paragraph" w:styleId="ListContinue4">
    <w:name w:val="List Continue 4"/>
    <w:basedOn w:val="Normal"/>
    <w:rsid w:val="005A7A0C"/>
    <w:pPr>
      <w:spacing w:after="120"/>
      <w:ind w:left="1440"/>
    </w:pPr>
  </w:style>
  <w:style w:type="paragraph" w:styleId="ListContinue5">
    <w:name w:val="List Continue 5"/>
    <w:basedOn w:val="Normal"/>
    <w:rsid w:val="005A7A0C"/>
    <w:pPr>
      <w:spacing w:after="120"/>
      <w:ind w:left="1800"/>
    </w:pPr>
  </w:style>
  <w:style w:type="paragraph" w:styleId="ListNumber">
    <w:name w:val="List Number"/>
    <w:basedOn w:val="Normal"/>
    <w:rsid w:val="005A7A0C"/>
    <w:pPr>
      <w:tabs>
        <w:tab w:val="num" w:pos="360"/>
      </w:tabs>
      <w:ind w:left="360" w:hanging="360"/>
    </w:pPr>
  </w:style>
  <w:style w:type="paragraph" w:styleId="ListNumber2">
    <w:name w:val="List Number 2"/>
    <w:basedOn w:val="Normal"/>
    <w:rsid w:val="005A7A0C"/>
    <w:pPr>
      <w:tabs>
        <w:tab w:val="num" w:pos="720"/>
      </w:tabs>
      <w:ind w:left="720" w:hanging="360"/>
    </w:pPr>
  </w:style>
  <w:style w:type="paragraph" w:styleId="ListNumber3">
    <w:name w:val="List Number 3"/>
    <w:basedOn w:val="Normal"/>
    <w:rsid w:val="005A7A0C"/>
    <w:pPr>
      <w:tabs>
        <w:tab w:val="num" w:pos="1080"/>
      </w:tabs>
      <w:ind w:left="1080" w:hanging="360"/>
    </w:pPr>
  </w:style>
  <w:style w:type="paragraph" w:styleId="ListNumber4">
    <w:name w:val="List Number 4"/>
    <w:basedOn w:val="Normal"/>
    <w:rsid w:val="005A7A0C"/>
    <w:pPr>
      <w:tabs>
        <w:tab w:val="num" w:pos="1440"/>
      </w:tabs>
      <w:ind w:left="1440" w:hanging="360"/>
    </w:pPr>
  </w:style>
  <w:style w:type="paragraph" w:styleId="ListNumber5">
    <w:name w:val="List Number 5"/>
    <w:basedOn w:val="Normal"/>
    <w:rsid w:val="005A7A0C"/>
    <w:pPr>
      <w:tabs>
        <w:tab w:val="num" w:pos="1800"/>
      </w:tabs>
      <w:ind w:left="1800" w:hanging="360"/>
    </w:pPr>
  </w:style>
  <w:style w:type="paragraph" w:styleId="MessageHeader">
    <w:name w:val="Message Header"/>
    <w:basedOn w:val="Normal"/>
    <w:link w:val="MessageHeaderChar"/>
    <w:rsid w:val="005A7A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A7A0C"/>
    <w:rPr>
      <w:rFonts w:ascii="Arial" w:hAnsi="Arial" w:cs="Arial"/>
      <w:szCs w:val="24"/>
      <w:shd w:val="pct20" w:color="auto" w:fill="auto"/>
    </w:rPr>
  </w:style>
  <w:style w:type="paragraph" w:styleId="NoteHeading">
    <w:name w:val="Note Heading"/>
    <w:basedOn w:val="Normal"/>
    <w:next w:val="Normal"/>
    <w:link w:val="NoteHeadingChar"/>
    <w:rsid w:val="005A7A0C"/>
  </w:style>
  <w:style w:type="character" w:customStyle="1" w:styleId="NoteHeadingChar">
    <w:name w:val="Note Heading Char"/>
    <w:basedOn w:val="DefaultParagraphFont"/>
    <w:link w:val="NoteHeading"/>
    <w:rsid w:val="005A7A0C"/>
    <w:rPr>
      <w:rFonts w:ascii="Arial" w:hAnsi="Arial"/>
    </w:rPr>
  </w:style>
  <w:style w:type="paragraph" w:styleId="Salutation">
    <w:name w:val="Salutation"/>
    <w:basedOn w:val="Normal"/>
    <w:next w:val="Normal"/>
    <w:link w:val="SalutationChar"/>
    <w:rsid w:val="005A7A0C"/>
  </w:style>
  <w:style w:type="character" w:customStyle="1" w:styleId="SalutationChar">
    <w:name w:val="Salutation Char"/>
    <w:basedOn w:val="DefaultParagraphFont"/>
    <w:link w:val="Salutation"/>
    <w:rsid w:val="005A7A0C"/>
    <w:rPr>
      <w:rFonts w:ascii="Arial" w:hAnsi="Arial"/>
    </w:rPr>
  </w:style>
  <w:style w:type="character" w:styleId="Strong">
    <w:name w:val="Strong"/>
    <w:basedOn w:val="DefaultParagraphFont"/>
    <w:qFormat/>
    <w:rsid w:val="005A7A0C"/>
    <w:rPr>
      <w:b/>
      <w:bCs/>
    </w:rPr>
  </w:style>
  <w:style w:type="paragraph" w:styleId="Subtitle">
    <w:name w:val="Subtitle"/>
    <w:basedOn w:val="Normal"/>
    <w:link w:val="SubtitleChar"/>
    <w:qFormat/>
    <w:rsid w:val="005A7A0C"/>
    <w:pPr>
      <w:spacing w:after="60"/>
      <w:jc w:val="center"/>
      <w:outlineLvl w:val="1"/>
    </w:pPr>
    <w:rPr>
      <w:rFonts w:cs="Arial"/>
      <w:szCs w:val="24"/>
    </w:rPr>
  </w:style>
  <w:style w:type="character" w:customStyle="1" w:styleId="SubtitleChar">
    <w:name w:val="Subtitle Char"/>
    <w:basedOn w:val="DefaultParagraphFont"/>
    <w:link w:val="Subtitle"/>
    <w:rsid w:val="005A7A0C"/>
    <w:rPr>
      <w:rFonts w:ascii="Arial" w:hAnsi="Arial" w:cs="Arial"/>
      <w:szCs w:val="24"/>
    </w:rPr>
  </w:style>
  <w:style w:type="table" w:styleId="Table3Deffects1">
    <w:name w:val="Table 3D effects 1"/>
    <w:basedOn w:val="TableNormal"/>
    <w:rsid w:val="005A7A0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A0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A0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A0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A0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A0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A0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A0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A0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A0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A0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A0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A0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A0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A0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A0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A0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A0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A0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A0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A0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A0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A0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A0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A0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A0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A0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A0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A0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A0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A0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A0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A0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A0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A0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A7A0C"/>
    <w:pPr>
      <w:ind w:left="1440"/>
    </w:pPr>
  </w:style>
  <w:style w:type="paragraph" w:styleId="TOC8">
    <w:name w:val="toc 8"/>
    <w:basedOn w:val="Normal"/>
    <w:next w:val="Normal"/>
    <w:autoRedefine/>
    <w:rsid w:val="005A7A0C"/>
    <w:pPr>
      <w:ind w:left="1680"/>
    </w:pPr>
  </w:style>
  <w:style w:type="paragraph" w:styleId="TOC9">
    <w:name w:val="toc 9"/>
    <w:basedOn w:val="Normal"/>
    <w:next w:val="Normal"/>
    <w:autoRedefine/>
    <w:rsid w:val="005A7A0C"/>
    <w:pPr>
      <w:ind w:left="1920"/>
    </w:pPr>
  </w:style>
  <w:style w:type="character" w:styleId="FollowedHyperlink">
    <w:name w:val="FollowedHyperlink"/>
    <w:basedOn w:val="DefaultParagraphFont"/>
    <w:rsid w:val="005A7A0C"/>
    <w:rPr>
      <w:color w:val="606420"/>
      <w:u w:val="single"/>
    </w:rPr>
  </w:style>
  <w:style w:type="paragraph" w:styleId="BlockText">
    <w:name w:val="Block Text"/>
    <w:basedOn w:val="Normal"/>
    <w:rsid w:val="005A7A0C"/>
    <w:pPr>
      <w:ind w:left="567" w:right="566"/>
    </w:pPr>
    <w:rPr>
      <w:sz w:val="22"/>
    </w:rPr>
  </w:style>
  <w:style w:type="paragraph" w:styleId="Caption">
    <w:name w:val="caption"/>
    <w:basedOn w:val="Normal"/>
    <w:next w:val="Normal"/>
    <w:qFormat/>
    <w:rsid w:val="005A7A0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A7A0C"/>
    <w:rPr>
      <w:sz w:val="22"/>
      <w:lang w:val="es-ES_tradnl"/>
    </w:rPr>
  </w:style>
  <w:style w:type="character" w:customStyle="1" w:styleId="CommentTextChar">
    <w:name w:val="Comment Text Char"/>
    <w:basedOn w:val="DefaultParagraphFont"/>
    <w:link w:val="CommentText"/>
    <w:rsid w:val="005A7A0C"/>
    <w:rPr>
      <w:rFonts w:ascii="Arial" w:hAnsi="Arial"/>
      <w:sz w:val="22"/>
      <w:lang w:val="es-ES_tradnl"/>
    </w:rPr>
  </w:style>
  <w:style w:type="paragraph" w:customStyle="1" w:styleId="Committee">
    <w:name w:val="Committee"/>
    <w:basedOn w:val="Title"/>
    <w:rsid w:val="005A7A0C"/>
    <w:rPr>
      <w:caps w:val="0"/>
    </w:rPr>
  </w:style>
  <w:style w:type="paragraph" w:customStyle="1" w:styleId="n">
    <w:name w:val="n"/>
    <w:basedOn w:val="Header"/>
    <w:rsid w:val="005A7A0C"/>
  </w:style>
  <w:style w:type="paragraph" w:customStyle="1" w:styleId="TitleofSection">
    <w:name w:val="Title of Section"/>
    <w:basedOn w:val="TitleofDoc"/>
    <w:rsid w:val="005A7A0C"/>
    <w:pPr>
      <w:spacing w:before="120" w:after="120"/>
    </w:pPr>
    <w:rPr>
      <w:b/>
      <w:caps w:val="0"/>
      <w:lang w:eastAsia="de-DE"/>
    </w:rPr>
  </w:style>
  <w:style w:type="paragraph" w:customStyle="1" w:styleId="TOCAnnex">
    <w:name w:val="TOC Annex"/>
    <w:basedOn w:val="Normal"/>
    <w:rsid w:val="005A7A0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A7A0C"/>
    <w:pPr>
      <w:jc w:val="center"/>
    </w:pPr>
    <w:rPr>
      <w:b/>
      <w:caps/>
      <w:szCs w:val="24"/>
    </w:rPr>
  </w:style>
  <w:style w:type="paragraph" w:customStyle="1" w:styleId="Notetoarticle">
    <w:name w:val="Note to article"/>
    <w:basedOn w:val="Normal"/>
    <w:semiHidden/>
    <w:rsid w:val="005A7A0C"/>
  </w:style>
  <w:style w:type="paragraph" w:styleId="PlainText">
    <w:name w:val="Plain Text"/>
    <w:basedOn w:val="Normal"/>
    <w:link w:val="PlainTextChar"/>
    <w:rsid w:val="005A7A0C"/>
    <w:rPr>
      <w:rFonts w:ascii="Courier New" w:hAnsi="Courier New" w:cs="Courier New"/>
      <w:lang w:eastAsia="fr-FR"/>
    </w:rPr>
  </w:style>
  <w:style w:type="character" w:customStyle="1" w:styleId="PlainTextChar">
    <w:name w:val="Plain Text Char"/>
    <w:basedOn w:val="DefaultParagraphFont"/>
    <w:link w:val="PlainText"/>
    <w:rsid w:val="005A7A0C"/>
    <w:rPr>
      <w:rFonts w:ascii="Courier New" w:hAnsi="Courier New" w:cs="Courier New"/>
      <w:lang w:eastAsia="fr-FR"/>
    </w:rPr>
  </w:style>
  <w:style w:type="character" w:customStyle="1" w:styleId="FooterChar">
    <w:name w:val="Footer Char"/>
    <w:aliases w:val="doc_path_name Char"/>
    <w:link w:val="Footer"/>
    <w:rsid w:val="005A7A0C"/>
    <w:rPr>
      <w:rFonts w:ascii="Arial" w:hAnsi="Arial"/>
      <w:sz w:val="14"/>
    </w:rPr>
  </w:style>
  <w:style w:type="character" w:styleId="CommentReference">
    <w:name w:val="annotation reference"/>
    <w:basedOn w:val="DefaultParagraphFont"/>
    <w:rsid w:val="005A7A0C"/>
    <w:rPr>
      <w:rFonts w:cs="Times New Roman"/>
      <w:sz w:val="16"/>
      <w:szCs w:val="16"/>
    </w:rPr>
  </w:style>
  <w:style w:type="paragraph" w:styleId="Revision">
    <w:name w:val="Revision"/>
    <w:hidden/>
    <w:uiPriority w:val="99"/>
    <w:semiHidden/>
    <w:rsid w:val="005A7A0C"/>
    <w:rPr>
      <w:rFonts w:ascii="Arial" w:hAnsi="Arial"/>
    </w:rPr>
  </w:style>
  <w:style w:type="paragraph" w:styleId="CommentSubject">
    <w:name w:val="annotation subject"/>
    <w:basedOn w:val="CommentText"/>
    <w:next w:val="CommentText"/>
    <w:link w:val="CommentSubjectChar"/>
    <w:rsid w:val="005A7A0C"/>
    <w:rPr>
      <w:b/>
      <w:bCs/>
      <w:sz w:val="20"/>
      <w:lang w:val="en-US"/>
    </w:rPr>
  </w:style>
  <w:style w:type="character" w:customStyle="1" w:styleId="CommentSubjectChar">
    <w:name w:val="Comment Subject Char"/>
    <w:basedOn w:val="CommentTextChar"/>
    <w:link w:val="CommentSubject"/>
    <w:rsid w:val="005A7A0C"/>
    <w:rPr>
      <w:rFonts w:ascii="Arial" w:hAnsi="Arial"/>
      <w:b/>
      <w:bCs/>
      <w:sz w:val="22"/>
      <w:lang w:val="es-ES_tradnl"/>
    </w:rPr>
  </w:style>
  <w:style w:type="paragraph" w:customStyle="1" w:styleId="Normaltg">
    <w:name w:val="Normaltg"/>
    <w:basedOn w:val="Normal"/>
    <w:link w:val="NormaltgChar"/>
    <w:rsid w:val="005A7A0C"/>
    <w:rPr>
      <w:rFonts w:cs="Angsana New"/>
      <w:szCs w:val="24"/>
      <w:lang w:eastAsia="ja-JP" w:bidi="th-TH"/>
    </w:rPr>
  </w:style>
  <w:style w:type="character" w:customStyle="1" w:styleId="NormaltgChar">
    <w:name w:val="Normaltg Char"/>
    <w:link w:val="Normaltg"/>
    <w:rsid w:val="005A7A0C"/>
    <w:rPr>
      <w:rFonts w:ascii="Arial" w:hAnsi="Arial" w:cs="Angsana New"/>
      <w:szCs w:val="24"/>
      <w:lang w:eastAsia="ja-JP" w:bidi="th-TH"/>
    </w:rPr>
  </w:style>
  <w:style w:type="character" w:customStyle="1" w:styleId="hps">
    <w:name w:val="hps"/>
    <w:basedOn w:val="DefaultParagraphFont"/>
    <w:rsid w:val="005A7A0C"/>
  </w:style>
  <w:style w:type="character" w:customStyle="1" w:styleId="Standaardalinea-lettertype">
    <w:name w:val="Standaardalinea-lettertype"/>
    <w:rsid w:val="005A7A0C"/>
  </w:style>
  <w:style w:type="character" w:customStyle="1" w:styleId="BodyTextChar">
    <w:name w:val="Body Text Char"/>
    <w:basedOn w:val="DefaultParagraphFont"/>
    <w:link w:val="BodyText"/>
    <w:rsid w:val="005A7A0C"/>
    <w:rPr>
      <w:rFonts w:ascii="Arial" w:hAnsi="Arial"/>
    </w:rPr>
  </w:style>
  <w:style w:type="character" w:customStyle="1" w:styleId="Heading9Char">
    <w:name w:val="Heading 9 Char"/>
    <w:basedOn w:val="DefaultParagraphFont"/>
    <w:link w:val="Heading9"/>
    <w:rsid w:val="001826AD"/>
    <w:rPr>
      <w:rFonts w:ascii="Arial" w:hAnsi="Arial"/>
      <w:i/>
      <w:sz w:val="18"/>
    </w:rPr>
  </w:style>
  <w:style w:type="character" w:customStyle="1" w:styleId="TitleChar">
    <w:name w:val="Title Char"/>
    <w:basedOn w:val="DefaultParagraphFont"/>
    <w:link w:val="Title"/>
    <w:rsid w:val="001826AD"/>
    <w:rPr>
      <w:rFonts w:ascii="Arial" w:hAnsi="Arial"/>
      <w:b/>
      <w:caps/>
      <w:kern w:val="28"/>
      <w:sz w:val="30"/>
    </w:rPr>
  </w:style>
  <w:style w:type="character" w:customStyle="1" w:styleId="ClosingChar">
    <w:name w:val="Closing Char"/>
    <w:basedOn w:val="DefaultParagraphFont"/>
    <w:link w:val="Closing"/>
    <w:rsid w:val="001826AD"/>
    <w:rPr>
      <w:rFonts w:ascii="Arial" w:hAnsi="Arial"/>
    </w:rPr>
  </w:style>
  <w:style w:type="character" w:customStyle="1" w:styleId="MacroTextChar">
    <w:name w:val="Macro Text Char"/>
    <w:basedOn w:val="DefaultParagraphFont"/>
    <w:link w:val="MacroText"/>
    <w:semiHidden/>
    <w:rsid w:val="001826AD"/>
    <w:rPr>
      <w:rFonts w:ascii="Courier New" w:hAnsi="Courier New"/>
      <w:sz w:val="16"/>
    </w:rPr>
  </w:style>
  <w:style w:type="character" w:customStyle="1" w:styleId="SignatureChar">
    <w:name w:val="Signature Char"/>
    <w:basedOn w:val="DefaultParagraphFont"/>
    <w:link w:val="Signature"/>
    <w:rsid w:val="001826AD"/>
    <w:rPr>
      <w:rFonts w:ascii="Arial" w:hAnsi="Arial"/>
    </w:rPr>
  </w:style>
  <w:style w:type="character" w:customStyle="1" w:styleId="EndnoteTextChar">
    <w:name w:val="Endnote Text Char"/>
    <w:basedOn w:val="DefaultParagraphFont"/>
    <w:link w:val="EndnoteText"/>
    <w:rsid w:val="001826AD"/>
    <w:rPr>
      <w:rFonts w:ascii="Arial" w:hAnsi="Arial"/>
    </w:rPr>
  </w:style>
  <w:style w:type="character" w:customStyle="1" w:styleId="DateChar">
    <w:name w:val="Date Char"/>
    <w:basedOn w:val="DefaultParagraphFont"/>
    <w:link w:val="Date"/>
    <w:rsid w:val="001826AD"/>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570E2"/>
    <w:pPr>
      <w:keepNext/>
      <w:tabs>
        <w:tab w:val="left" w:pos="567"/>
      </w:tabs>
      <w:jc w:val="both"/>
      <w:outlineLvl w:val="2"/>
    </w:pPr>
    <w:rPr>
      <w:rFonts w:ascii="Arial" w:hAnsi="Arial"/>
      <w:i/>
      <w:snapToGrid w:val="0"/>
      <w:lang w:val="fr-FR"/>
    </w:rPr>
  </w:style>
  <w:style w:type="paragraph" w:styleId="Heading4">
    <w:name w:val="heading 4"/>
    <w:next w:val="Normal"/>
    <w:link w:val="Heading4Char"/>
    <w:autoRedefine/>
    <w:qFormat/>
    <w:rsid w:val="000D1E46"/>
    <w:pPr>
      <w:keepNext/>
      <w:ind w:left="1134" w:hanging="567"/>
      <w:jc w:val="both"/>
      <w:outlineLvl w:val="3"/>
    </w:pPr>
    <w:rPr>
      <w:rFonts w:ascii="Arial" w:hAnsi="Arial"/>
      <w:i/>
      <w:snapToGrid w:val="0"/>
      <w:lang w:val="fr-FR"/>
    </w:rPr>
  </w:style>
  <w:style w:type="paragraph" w:styleId="Heading5">
    <w:name w:val="heading 5"/>
    <w:next w:val="Normal"/>
    <w:link w:val="Heading5Char"/>
    <w:autoRedefine/>
    <w:qFormat/>
    <w:rsid w:val="004C3C67"/>
    <w:pPr>
      <w:keepNext/>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5A7A0C"/>
    <w:pPr>
      <w:outlineLvl w:val="5"/>
    </w:pPr>
    <w:rPr>
      <w:lang w:val="es-ES_tradnl"/>
    </w:rPr>
  </w:style>
  <w:style w:type="paragraph" w:styleId="Heading7">
    <w:name w:val="heading 7"/>
    <w:basedOn w:val="Normal"/>
    <w:next w:val="Normal"/>
    <w:link w:val="Heading7Char"/>
    <w:qFormat/>
    <w:rsid w:val="005A7A0C"/>
    <w:pPr>
      <w:spacing w:before="240" w:after="60"/>
      <w:outlineLvl w:val="6"/>
    </w:pPr>
    <w:rPr>
      <w:szCs w:val="24"/>
    </w:rPr>
  </w:style>
  <w:style w:type="paragraph" w:styleId="Heading8">
    <w:name w:val="heading 8"/>
    <w:basedOn w:val="Normal"/>
    <w:next w:val="Normal"/>
    <w:link w:val="Heading8Char"/>
    <w:qFormat/>
    <w:rsid w:val="005A7A0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link w:val="Heading2"/>
    <w:rsid w:val="00FB765F"/>
    <w:rPr>
      <w:rFonts w:ascii="Arial" w:hAnsi="Arial"/>
      <w:u w:val="single"/>
    </w:rPr>
  </w:style>
  <w:style w:type="character" w:customStyle="1" w:styleId="Heading3Char">
    <w:name w:val="Heading 3 Char"/>
    <w:link w:val="Heading3"/>
    <w:locked/>
    <w:rsid w:val="004570E2"/>
    <w:rPr>
      <w:rFonts w:ascii="Arial" w:hAnsi="Arial"/>
      <w:i/>
      <w:snapToGrid w:val="0"/>
      <w:lang w:val="fr-FR"/>
    </w:rPr>
  </w:style>
  <w:style w:type="character" w:customStyle="1" w:styleId="Heading4Char">
    <w:name w:val="Heading 4 Char"/>
    <w:link w:val="Heading4"/>
    <w:rsid w:val="000D1E46"/>
    <w:rPr>
      <w:rFonts w:ascii="Arial" w:hAnsi="Arial"/>
      <w:i/>
      <w:snapToGrid w:val="0"/>
      <w:lang w:val="fr-FR"/>
    </w:rPr>
  </w:style>
  <w:style w:type="character" w:customStyle="1" w:styleId="Heading5Char">
    <w:name w:val="Heading 5 Char"/>
    <w:link w:val="Heading5"/>
    <w:rsid w:val="004C3C67"/>
    <w:rPr>
      <w:rFonts w:ascii="Arial" w:hAnsi="Arial" w:cs="Arial"/>
      <w:snapToGrid w:val="0"/>
      <w:u w:val="single"/>
    </w:rPr>
  </w:style>
  <w:style w:type="character" w:customStyle="1" w:styleId="Heading1Char">
    <w:name w:val="Heading 1 Char"/>
    <w:aliases w:val="COMMON NAME Char,common Char"/>
    <w:basedOn w:val="DefaultParagraphFont"/>
    <w:link w:val="Heading1"/>
    <w:rsid w:val="00221605"/>
    <w:rPr>
      <w:rFonts w:ascii="Arial" w:hAnsi="Arial"/>
      <w:caps/>
    </w:rPr>
  </w:style>
  <w:style w:type="character" w:styleId="Emphasis">
    <w:name w:val="Emphasis"/>
    <w:basedOn w:val="DefaultParagraphFont"/>
    <w:qFormat/>
    <w:rsid w:val="009F373C"/>
    <w:rPr>
      <w:i/>
      <w:iCs/>
    </w:rPr>
  </w:style>
  <w:style w:type="paragraph" w:styleId="ListParagraph">
    <w:name w:val="List Paragraph"/>
    <w:basedOn w:val="Normal"/>
    <w:uiPriority w:val="34"/>
    <w:qFormat/>
    <w:rsid w:val="00556FD5"/>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915D1D"/>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E80C62"/>
    <w:rPr>
      <w:rFonts w:ascii="Arial" w:hAnsi="Arial"/>
      <w:i/>
    </w:rPr>
  </w:style>
  <w:style w:type="table" w:styleId="TableGrid">
    <w:name w:val="Table Grid"/>
    <w:basedOn w:val="TableNormal"/>
    <w:rsid w:val="00CC466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645BD"/>
    <w:rPr>
      <w:rFonts w:ascii="Arial" w:hAnsi="Arial"/>
      <w:lang w:val="fr-FR"/>
    </w:rPr>
  </w:style>
  <w:style w:type="paragraph" w:customStyle="1" w:styleId="tgchartextcentered">
    <w:name w:val="tg_char_text_centered"/>
    <w:basedOn w:val="Normal"/>
    <w:rsid w:val="00EA14BC"/>
    <w:pPr>
      <w:spacing w:before="80" w:after="80"/>
      <w:jc w:val="center"/>
    </w:pPr>
    <w:rPr>
      <w:b/>
      <w:sz w:val="16"/>
    </w:rPr>
  </w:style>
  <w:style w:type="paragraph" w:customStyle="1" w:styleId="tgchartext">
    <w:name w:val="tg_char_text"/>
    <w:basedOn w:val="Normal"/>
    <w:rsid w:val="00EA14BC"/>
    <w:pPr>
      <w:spacing w:before="80" w:after="80"/>
      <w:jc w:val="left"/>
    </w:pPr>
    <w:rPr>
      <w:sz w:val="16"/>
    </w:rPr>
  </w:style>
  <w:style w:type="character" w:customStyle="1" w:styleId="FootnoteTextChar">
    <w:name w:val="Footnote Text Char"/>
    <w:link w:val="FootnoteText"/>
    <w:rsid w:val="00033D1C"/>
    <w:rPr>
      <w:rFonts w:ascii="Arial" w:hAnsi="Arial"/>
      <w:sz w:val="16"/>
    </w:rPr>
  </w:style>
  <w:style w:type="character" w:customStyle="1" w:styleId="pldetailsChar">
    <w:name w:val="pldetails Char"/>
    <w:link w:val="pldetails"/>
    <w:locked/>
    <w:rsid w:val="00C71E83"/>
    <w:rPr>
      <w:rFonts w:ascii="Arial" w:hAnsi="Arial"/>
      <w:noProof/>
      <w:snapToGrid w:val="0"/>
    </w:rPr>
  </w:style>
  <w:style w:type="character" w:customStyle="1" w:styleId="Heading6Char">
    <w:name w:val="Heading 6 Char"/>
    <w:basedOn w:val="DefaultParagraphFont"/>
    <w:link w:val="Heading6"/>
    <w:rsid w:val="005A7A0C"/>
    <w:rPr>
      <w:rFonts w:ascii="Arial" w:hAnsi="Arial"/>
      <w:lang w:val="es-ES_tradnl"/>
    </w:rPr>
  </w:style>
  <w:style w:type="character" w:customStyle="1" w:styleId="Heading7Char">
    <w:name w:val="Heading 7 Char"/>
    <w:basedOn w:val="DefaultParagraphFont"/>
    <w:link w:val="Heading7"/>
    <w:rsid w:val="005A7A0C"/>
    <w:rPr>
      <w:rFonts w:ascii="Arial" w:hAnsi="Arial"/>
      <w:szCs w:val="24"/>
    </w:rPr>
  </w:style>
  <w:style w:type="character" w:customStyle="1" w:styleId="Heading8Char">
    <w:name w:val="Heading 8 Char"/>
    <w:basedOn w:val="DefaultParagraphFont"/>
    <w:link w:val="Heading8"/>
    <w:rsid w:val="005A7A0C"/>
    <w:rPr>
      <w:rFonts w:ascii="Arial" w:hAnsi="Arial"/>
      <w:u w:val="single"/>
    </w:rPr>
  </w:style>
  <w:style w:type="paragraph" w:styleId="NormalWeb">
    <w:name w:val="Normal (Web)"/>
    <w:basedOn w:val="Normal"/>
    <w:rsid w:val="005A7A0C"/>
    <w:pPr>
      <w:spacing w:before="100" w:beforeAutospacing="1" w:after="100" w:afterAutospacing="1"/>
      <w:jc w:val="left"/>
    </w:pPr>
    <w:rPr>
      <w:szCs w:val="24"/>
    </w:rPr>
  </w:style>
  <w:style w:type="paragraph" w:customStyle="1" w:styleId="pdflink">
    <w:name w:val="pdflink"/>
    <w:basedOn w:val="Normal"/>
    <w:next w:val="Normal"/>
    <w:rsid w:val="005A7A0C"/>
    <w:rPr>
      <w:color w:val="800000"/>
      <w:u w:val="words"/>
    </w:rPr>
  </w:style>
  <w:style w:type="paragraph" w:customStyle="1" w:styleId="Draft">
    <w:name w:val="Draft"/>
    <w:basedOn w:val="Normal"/>
    <w:next w:val="preparedby"/>
    <w:rsid w:val="005A7A0C"/>
    <w:pPr>
      <w:spacing w:before="720" w:after="480"/>
      <w:jc w:val="center"/>
    </w:pPr>
    <w:rPr>
      <w:caps/>
      <w:sz w:val="28"/>
    </w:rPr>
  </w:style>
  <w:style w:type="paragraph" w:customStyle="1" w:styleId="quote1">
    <w:name w:val="quote1"/>
    <w:basedOn w:val="Normal"/>
    <w:semiHidden/>
    <w:rsid w:val="005A7A0C"/>
    <w:pPr>
      <w:ind w:left="567" w:right="565" w:firstLine="567"/>
    </w:pPr>
    <w:rPr>
      <w:snapToGrid w:val="0"/>
      <w:sz w:val="22"/>
      <w:szCs w:val="22"/>
    </w:rPr>
  </w:style>
  <w:style w:type="paragraph" w:customStyle="1" w:styleId="tqparabox">
    <w:name w:val="tqparabox"/>
    <w:basedOn w:val="Normal"/>
    <w:rsid w:val="005A7A0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A7A0C"/>
    <w:pPr>
      <w:ind w:left="1200"/>
    </w:pPr>
  </w:style>
  <w:style w:type="paragraph" w:styleId="BodyTextIndent">
    <w:name w:val="Body Text Indent"/>
    <w:basedOn w:val="Normal"/>
    <w:link w:val="BodyTextIndentChar"/>
    <w:rsid w:val="005A7A0C"/>
    <w:pPr>
      <w:ind w:left="567"/>
    </w:pPr>
    <w:rPr>
      <w:lang w:val="es-ES_tradnl"/>
    </w:rPr>
  </w:style>
  <w:style w:type="character" w:customStyle="1" w:styleId="BodyTextIndentChar">
    <w:name w:val="Body Text Indent Char"/>
    <w:basedOn w:val="DefaultParagraphFont"/>
    <w:link w:val="BodyTextIndent"/>
    <w:rsid w:val="005A7A0C"/>
    <w:rPr>
      <w:rFonts w:ascii="Arial" w:hAnsi="Arial"/>
      <w:lang w:val="es-ES_tradnl"/>
    </w:rPr>
  </w:style>
  <w:style w:type="paragraph" w:customStyle="1" w:styleId="twpcheck">
    <w:name w:val="twpcheck"/>
    <w:basedOn w:val="Normal"/>
    <w:rsid w:val="005A7A0C"/>
    <w:pPr>
      <w:spacing w:before="80" w:after="80"/>
      <w:jc w:val="left"/>
    </w:pPr>
    <w:rPr>
      <w:rFonts w:cs="Arial"/>
      <w:snapToGrid w:val="0"/>
      <w:sz w:val="16"/>
      <w:szCs w:val="16"/>
    </w:rPr>
  </w:style>
  <w:style w:type="paragraph" w:customStyle="1" w:styleId="DecisionInvitingPara">
    <w:name w:val="Decision Inviting Para."/>
    <w:basedOn w:val="Normal"/>
    <w:rsid w:val="005A7A0C"/>
    <w:pPr>
      <w:ind w:left="4536"/>
    </w:pPr>
    <w:rPr>
      <w:i/>
      <w:lang w:val="es-ES_tradnl"/>
    </w:rPr>
  </w:style>
  <w:style w:type="paragraph" w:customStyle="1" w:styleId="Enttepair">
    <w:name w:val="Entête_pair"/>
    <w:basedOn w:val="Normal"/>
    <w:next w:val="Normal"/>
    <w:rsid w:val="005A7A0C"/>
    <w:pPr>
      <w:pBdr>
        <w:bottom w:val="single" w:sz="4" w:space="1" w:color="auto"/>
      </w:pBdr>
      <w:jc w:val="left"/>
    </w:pPr>
    <w:rPr>
      <w:szCs w:val="24"/>
    </w:rPr>
  </w:style>
  <w:style w:type="paragraph" w:customStyle="1" w:styleId="Entteimpair">
    <w:name w:val="Entête_impair"/>
    <w:basedOn w:val="Normal"/>
    <w:next w:val="Normal"/>
    <w:rsid w:val="005A7A0C"/>
    <w:pPr>
      <w:pBdr>
        <w:bottom w:val="single" w:sz="4" w:space="1" w:color="auto"/>
      </w:pBdr>
      <w:jc w:val="right"/>
    </w:pPr>
  </w:style>
  <w:style w:type="paragraph" w:styleId="E-mailSignature">
    <w:name w:val="E-mail Signature"/>
    <w:basedOn w:val="Normal"/>
    <w:link w:val="E-mailSignatureChar"/>
    <w:rsid w:val="005A7A0C"/>
  </w:style>
  <w:style w:type="character" w:customStyle="1" w:styleId="E-mailSignatureChar">
    <w:name w:val="E-mail Signature Char"/>
    <w:basedOn w:val="DefaultParagraphFont"/>
    <w:link w:val="E-mailSignature"/>
    <w:rsid w:val="005A7A0C"/>
    <w:rPr>
      <w:rFonts w:ascii="Arial" w:hAnsi="Arial"/>
    </w:rPr>
  </w:style>
  <w:style w:type="paragraph" w:styleId="EnvelopeAddress">
    <w:name w:val="envelope address"/>
    <w:basedOn w:val="Normal"/>
    <w:rsid w:val="005A7A0C"/>
    <w:pPr>
      <w:framePr w:w="7920" w:h="1980" w:hRule="exact" w:hSpace="180" w:wrap="auto" w:hAnchor="page" w:xAlign="center" w:yAlign="bottom"/>
      <w:ind w:left="2880"/>
    </w:pPr>
    <w:rPr>
      <w:rFonts w:cs="Arial"/>
      <w:szCs w:val="24"/>
    </w:rPr>
  </w:style>
  <w:style w:type="paragraph" w:styleId="EnvelopeReturn">
    <w:name w:val="envelope return"/>
    <w:basedOn w:val="Normal"/>
    <w:rsid w:val="005A7A0C"/>
    <w:rPr>
      <w:rFonts w:cs="Arial"/>
    </w:rPr>
  </w:style>
  <w:style w:type="character" w:styleId="HTMLAcronym">
    <w:name w:val="HTML Acronym"/>
    <w:basedOn w:val="DefaultParagraphFont"/>
    <w:rsid w:val="005A7A0C"/>
  </w:style>
  <w:style w:type="paragraph" w:styleId="HTMLAddress">
    <w:name w:val="HTML Address"/>
    <w:basedOn w:val="Normal"/>
    <w:link w:val="HTMLAddressChar"/>
    <w:rsid w:val="005A7A0C"/>
    <w:rPr>
      <w:i/>
      <w:iCs/>
    </w:rPr>
  </w:style>
  <w:style w:type="character" w:customStyle="1" w:styleId="HTMLAddressChar">
    <w:name w:val="HTML Address Char"/>
    <w:basedOn w:val="DefaultParagraphFont"/>
    <w:link w:val="HTMLAddress"/>
    <w:rsid w:val="005A7A0C"/>
    <w:rPr>
      <w:rFonts w:ascii="Arial" w:hAnsi="Arial"/>
      <w:i/>
      <w:iCs/>
    </w:rPr>
  </w:style>
  <w:style w:type="character" w:styleId="HTMLCite">
    <w:name w:val="HTML Cite"/>
    <w:basedOn w:val="DefaultParagraphFont"/>
    <w:rsid w:val="005A7A0C"/>
    <w:rPr>
      <w:i/>
      <w:iCs/>
    </w:rPr>
  </w:style>
  <w:style w:type="character" w:styleId="HTMLCode">
    <w:name w:val="HTML Code"/>
    <w:basedOn w:val="DefaultParagraphFont"/>
    <w:rsid w:val="005A7A0C"/>
    <w:rPr>
      <w:rFonts w:ascii="Courier New" w:hAnsi="Courier New" w:cs="Courier New"/>
      <w:sz w:val="20"/>
      <w:szCs w:val="20"/>
    </w:rPr>
  </w:style>
  <w:style w:type="character" w:styleId="HTMLDefinition">
    <w:name w:val="HTML Definition"/>
    <w:basedOn w:val="DefaultParagraphFont"/>
    <w:rsid w:val="005A7A0C"/>
    <w:rPr>
      <w:i/>
      <w:iCs/>
    </w:rPr>
  </w:style>
  <w:style w:type="character" w:styleId="HTMLKeyboard">
    <w:name w:val="HTML Keyboard"/>
    <w:basedOn w:val="DefaultParagraphFont"/>
    <w:rsid w:val="005A7A0C"/>
    <w:rPr>
      <w:rFonts w:ascii="Courier New" w:hAnsi="Courier New" w:cs="Courier New"/>
      <w:sz w:val="20"/>
      <w:szCs w:val="20"/>
    </w:rPr>
  </w:style>
  <w:style w:type="paragraph" w:styleId="HTMLPreformatted">
    <w:name w:val="HTML Preformatted"/>
    <w:basedOn w:val="Normal"/>
    <w:link w:val="HTMLPreformattedChar"/>
    <w:rsid w:val="005A7A0C"/>
    <w:rPr>
      <w:rFonts w:ascii="Courier New" w:hAnsi="Courier New" w:cs="Courier New"/>
    </w:rPr>
  </w:style>
  <w:style w:type="character" w:customStyle="1" w:styleId="HTMLPreformattedChar">
    <w:name w:val="HTML Preformatted Char"/>
    <w:basedOn w:val="DefaultParagraphFont"/>
    <w:link w:val="HTMLPreformatted"/>
    <w:rsid w:val="005A7A0C"/>
    <w:rPr>
      <w:rFonts w:ascii="Courier New" w:hAnsi="Courier New" w:cs="Courier New"/>
    </w:rPr>
  </w:style>
  <w:style w:type="character" w:styleId="HTMLSample">
    <w:name w:val="HTML Sample"/>
    <w:basedOn w:val="DefaultParagraphFont"/>
    <w:rsid w:val="005A7A0C"/>
    <w:rPr>
      <w:rFonts w:ascii="Courier New" w:hAnsi="Courier New" w:cs="Courier New"/>
    </w:rPr>
  </w:style>
  <w:style w:type="character" w:styleId="HTMLTypewriter">
    <w:name w:val="HTML Typewriter"/>
    <w:basedOn w:val="DefaultParagraphFont"/>
    <w:rsid w:val="005A7A0C"/>
    <w:rPr>
      <w:rFonts w:ascii="Courier New" w:hAnsi="Courier New" w:cs="Courier New"/>
      <w:sz w:val="20"/>
      <w:szCs w:val="20"/>
    </w:rPr>
  </w:style>
  <w:style w:type="character" w:styleId="HTMLVariable">
    <w:name w:val="HTML Variable"/>
    <w:basedOn w:val="DefaultParagraphFont"/>
    <w:rsid w:val="005A7A0C"/>
    <w:rPr>
      <w:i/>
      <w:iCs/>
    </w:rPr>
  </w:style>
  <w:style w:type="character" w:styleId="LineNumber">
    <w:name w:val="line number"/>
    <w:basedOn w:val="DefaultParagraphFont"/>
    <w:rsid w:val="005A7A0C"/>
  </w:style>
  <w:style w:type="paragraph" w:styleId="List">
    <w:name w:val="List"/>
    <w:basedOn w:val="Normal"/>
    <w:rsid w:val="005A7A0C"/>
    <w:pPr>
      <w:ind w:left="360" w:hanging="360"/>
    </w:pPr>
  </w:style>
  <w:style w:type="paragraph" w:styleId="List2">
    <w:name w:val="List 2"/>
    <w:basedOn w:val="Normal"/>
    <w:rsid w:val="005A7A0C"/>
    <w:pPr>
      <w:ind w:left="720" w:hanging="360"/>
    </w:pPr>
  </w:style>
  <w:style w:type="paragraph" w:styleId="List3">
    <w:name w:val="List 3"/>
    <w:basedOn w:val="Normal"/>
    <w:rsid w:val="005A7A0C"/>
    <w:pPr>
      <w:ind w:left="1080" w:hanging="360"/>
    </w:pPr>
  </w:style>
  <w:style w:type="paragraph" w:styleId="List4">
    <w:name w:val="List 4"/>
    <w:basedOn w:val="Normal"/>
    <w:rsid w:val="005A7A0C"/>
    <w:pPr>
      <w:ind w:left="1440" w:hanging="360"/>
    </w:pPr>
  </w:style>
  <w:style w:type="paragraph" w:styleId="List5">
    <w:name w:val="List 5"/>
    <w:basedOn w:val="Normal"/>
    <w:rsid w:val="005A7A0C"/>
    <w:pPr>
      <w:ind w:left="1800" w:hanging="360"/>
    </w:pPr>
  </w:style>
  <w:style w:type="paragraph" w:styleId="ListBullet">
    <w:name w:val="List Bullet"/>
    <w:basedOn w:val="Normal"/>
    <w:autoRedefine/>
    <w:rsid w:val="005A7A0C"/>
    <w:pPr>
      <w:tabs>
        <w:tab w:val="num" w:pos="360"/>
      </w:tabs>
      <w:ind w:left="360" w:hanging="360"/>
    </w:pPr>
    <w:rPr>
      <w:bCs/>
      <w:szCs w:val="24"/>
      <w:lang w:val="es-ES" w:eastAsia="zh-CN"/>
    </w:rPr>
  </w:style>
  <w:style w:type="paragraph" w:styleId="ListBullet2">
    <w:name w:val="List Bullet 2"/>
    <w:basedOn w:val="Normal"/>
    <w:rsid w:val="005A7A0C"/>
    <w:pPr>
      <w:tabs>
        <w:tab w:val="num" w:pos="720"/>
      </w:tabs>
      <w:ind w:left="720" w:hanging="360"/>
    </w:pPr>
  </w:style>
  <w:style w:type="paragraph" w:styleId="ListBullet3">
    <w:name w:val="List Bullet 3"/>
    <w:basedOn w:val="Normal"/>
    <w:rsid w:val="005A7A0C"/>
    <w:pPr>
      <w:tabs>
        <w:tab w:val="num" w:pos="1080"/>
      </w:tabs>
      <w:ind w:left="1080" w:hanging="360"/>
    </w:pPr>
  </w:style>
  <w:style w:type="paragraph" w:styleId="ListBullet4">
    <w:name w:val="List Bullet 4"/>
    <w:basedOn w:val="Normal"/>
    <w:rsid w:val="005A7A0C"/>
    <w:pPr>
      <w:tabs>
        <w:tab w:val="num" w:pos="1440"/>
      </w:tabs>
      <w:ind w:left="1440" w:hanging="360"/>
    </w:pPr>
  </w:style>
  <w:style w:type="paragraph" w:styleId="ListBullet5">
    <w:name w:val="List Bullet 5"/>
    <w:basedOn w:val="Normal"/>
    <w:rsid w:val="005A7A0C"/>
    <w:pPr>
      <w:tabs>
        <w:tab w:val="num" w:pos="1800"/>
      </w:tabs>
      <w:ind w:left="1800" w:hanging="360"/>
    </w:pPr>
  </w:style>
  <w:style w:type="paragraph" w:styleId="ListContinue">
    <w:name w:val="List Continue"/>
    <w:basedOn w:val="Normal"/>
    <w:rsid w:val="005A7A0C"/>
    <w:pPr>
      <w:spacing w:after="120"/>
      <w:ind w:left="360"/>
    </w:pPr>
  </w:style>
  <w:style w:type="paragraph" w:styleId="ListContinue2">
    <w:name w:val="List Continue 2"/>
    <w:basedOn w:val="Normal"/>
    <w:rsid w:val="005A7A0C"/>
    <w:pPr>
      <w:spacing w:after="120"/>
      <w:ind w:left="720"/>
    </w:pPr>
  </w:style>
  <w:style w:type="paragraph" w:styleId="ListContinue3">
    <w:name w:val="List Continue 3"/>
    <w:basedOn w:val="Normal"/>
    <w:rsid w:val="005A7A0C"/>
    <w:pPr>
      <w:spacing w:after="120"/>
      <w:ind w:left="1080"/>
    </w:pPr>
  </w:style>
  <w:style w:type="paragraph" w:styleId="ListContinue4">
    <w:name w:val="List Continue 4"/>
    <w:basedOn w:val="Normal"/>
    <w:rsid w:val="005A7A0C"/>
    <w:pPr>
      <w:spacing w:after="120"/>
      <w:ind w:left="1440"/>
    </w:pPr>
  </w:style>
  <w:style w:type="paragraph" w:styleId="ListContinue5">
    <w:name w:val="List Continue 5"/>
    <w:basedOn w:val="Normal"/>
    <w:rsid w:val="005A7A0C"/>
    <w:pPr>
      <w:spacing w:after="120"/>
      <w:ind w:left="1800"/>
    </w:pPr>
  </w:style>
  <w:style w:type="paragraph" w:styleId="ListNumber">
    <w:name w:val="List Number"/>
    <w:basedOn w:val="Normal"/>
    <w:rsid w:val="005A7A0C"/>
    <w:pPr>
      <w:tabs>
        <w:tab w:val="num" w:pos="360"/>
      </w:tabs>
      <w:ind w:left="360" w:hanging="360"/>
    </w:pPr>
  </w:style>
  <w:style w:type="paragraph" w:styleId="ListNumber2">
    <w:name w:val="List Number 2"/>
    <w:basedOn w:val="Normal"/>
    <w:rsid w:val="005A7A0C"/>
    <w:pPr>
      <w:tabs>
        <w:tab w:val="num" w:pos="720"/>
      </w:tabs>
      <w:ind w:left="720" w:hanging="360"/>
    </w:pPr>
  </w:style>
  <w:style w:type="paragraph" w:styleId="ListNumber3">
    <w:name w:val="List Number 3"/>
    <w:basedOn w:val="Normal"/>
    <w:rsid w:val="005A7A0C"/>
    <w:pPr>
      <w:tabs>
        <w:tab w:val="num" w:pos="1080"/>
      </w:tabs>
      <w:ind w:left="1080" w:hanging="360"/>
    </w:pPr>
  </w:style>
  <w:style w:type="paragraph" w:styleId="ListNumber4">
    <w:name w:val="List Number 4"/>
    <w:basedOn w:val="Normal"/>
    <w:rsid w:val="005A7A0C"/>
    <w:pPr>
      <w:tabs>
        <w:tab w:val="num" w:pos="1440"/>
      </w:tabs>
      <w:ind w:left="1440" w:hanging="360"/>
    </w:pPr>
  </w:style>
  <w:style w:type="paragraph" w:styleId="ListNumber5">
    <w:name w:val="List Number 5"/>
    <w:basedOn w:val="Normal"/>
    <w:rsid w:val="005A7A0C"/>
    <w:pPr>
      <w:tabs>
        <w:tab w:val="num" w:pos="1800"/>
      </w:tabs>
      <w:ind w:left="1800" w:hanging="360"/>
    </w:pPr>
  </w:style>
  <w:style w:type="paragraph" w:styleId="MessageHeader">
    <w:name w:val="Message Header"/>
    <w:basedOn w:val="Normal"/>
    <w:link w:val="MessageHeaderChar"/>
    <w:rsid w:val="005A7A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A7A0C"/>
    <w:rPr>
      <w:rFonts w:ascii="Arial" w:hAnsi="Arial" w:cs="Arial"/>
      <w:szCs w:val="24"/>
      <w:shd w:val="pct20" w:color="auto" w:fill="auto"/>
    </w:rPr>
  </w:style>
  <w:style w:type="paragraph" w:styleId="NoteHeading">
    <w:name w:val="Note Heading"/>
    <w:basedOn w:val="Normal"/>
    <w:next w:val="Normal"/>
    <w:link w:val="NoteHeadingChar"/>
    <w:rsid w:val="005A7A0C"/>
  </w:style>
  <w:style w:type="character" w:customStyle="1" w:styleId="NoteHeadingChar">
    <w:name w:val="Note Heading Char"/>
    <w:basedOn w:val="DefaultParagraphFont"/>
    <w:link w:val="NoteHeading"/>
    <w:rsid w:val="005A7A0C"/>
    <w:rPr>
      <w:rFonts w:ascii="Arial" w:hAnsi="Arial"/>
    </w:rPr>
  </w:style>
  <w:style w:type="paragraph" w:styleId="Salutation">
    <w:name w:val="Salutation"/>
    <w:basedOn w:val="Normal"/>
    <w:next w:val="Normal"/>
    <w:link w:val="SalutationChar"/>
    <w:rsid w:val="005A7A0C"/>
  </w:style>
  <w:style w:type="character" w:customStyle="1" w:styleId="SalutationChar">
    <w:name w:val="Salutation Char"/>
    <w:basedOn w:val="DefaultParagraphFont"/>
    <w:link w:val="Salutation"/>
    <w:rsid w:val="005A7A0C"/>
    <w:rPr>
      <w:rFonts w:ascii="Arial" w:hAnsi="Arial"/>
    </w:rPr>
  </w:style>
  <w:style w:type="character" w:styleId="Strong">
    <w:name w:val="Strong"/>
    <w:basedOn w:val="DefaultParagraphFont"/>
    <w:qFormat/>
    <w:rsid w:val="005A7A0C"/>
    <w:rPr>
      <w:b/>
      <w:bCs/>
    </w:rPr>
  </w:style>
  <w:style w:type="paragraph" w:styleId="Subtitle">
    <w:name w:val="Subtitle"/>
    <w:basedOn w:val="Normal"/>
    <w:link w:val="SubtitleChar"/>
    <w:qFormat/>
    <w:rsid w:val="005A7A0C"/>
    <w:pPr>
      <w:spacing w:after="60"/>
      <w:jc w:val="center"/>
      <w:outlineLvl w:val="1"/>
    </w:pPr>
    <w:rPr>
      <w:rFonts w:cs="Arial"/>
      <w:szCs w:val="24"/>
    </w:rPr>
  </w:style>
  <w:style w:type="character" w:customStyle="1" w:styleId="SubtitleChar">
    <w:name w:val="Subtitle Char"/>
    <w:basedOn w:val="DefaultParagraphFont"/>
    <w:link w:val="Subtitle"/>
    <w:rsid w:val="005A7A0C"/>
    <w:rPr>
      <w:rFonts w:ascii="Arial" w:hAnsi="Arial" w:cs="Arial"/>
      <w:szCs w:val="24"/>
    </w:rPr>
  </w:style>
  <w:style w:type="table" w:styleId="Table3Deffects1">
    <w:name w:val="Table 3D effects 1"/>
    <w:basedOn w:val="TableNormal"/>
    <w:rsid w:val="005A7A0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A0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A0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A0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A0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A0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A0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A0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A0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A0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A0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A0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A0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A0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A0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A0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A0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A0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A0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A0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A0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A0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A0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A0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A0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A0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A0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A0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A0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A0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A0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A0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A0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A0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A0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A7A0C"/>
    <w:pPr>
      <w:ind w:left="1440"/>
    </w:pPr>
  </w:style>
  <w:style w:type="paragraph" w:styleId="TOC8">
    <w:name w:val="toc 8"/>
    <w:basedOn w:val="Normal"/>
    <w:next w:val="Normal"/>
    <w:autoRedefine/>
    <w:rsid w:val="005A7A0C"/>
    <w:pPr>
      <w:ind w:left="1680"/>
    </w:pPr>
  </w:style>
  <w:style w:type="paragraph" w:styleId="TOC9">
    <w:name w:val="toc 9"/>
    <w:basedOn w:val="Normal"/>
    <w:next w:val="Normal"/>
    <w:autoRedefine/>
    <w:rsid w:val="005A7A0C"/>
    <w:pPr>
      <w:ind w:left="1920"/>
    </w:pPr>
  </w:style>
  <w:style w:type="character" w:styleId="FollowedHyperlink">
    <w:name w:val="FollowedHyperlink"/>
    <w:basedOn w:val="DefaultParagraphFont"/>
    <w:rsid w:val="005A7A0C"/>
    <w:rPr>
      <w:color w:val="606420"/>
      <w:u w:val="single"/>
    </w:rPr>
  </w:style>
  <w:style w:type="paragraph" w:styleId="BlockText">
    <w:name w:val="Block Text"/>
    <w:basedOn w:val="Normal"/>
    <w:rsid w:val="005A7A0C"/>
    <w:pPr>
      <w:ind w:left="567" w:right="566"/>
    </w:pPr>
    <w:rPr>
      <w:sz w:val="22"/>
    </w:rPr>
  </w:style>
  <w:style w:type="paragraph" w:styleId="Caption">
    <w:name w:val="caption"/>
    <w:basedOn w:val="Normal"/>
    <w:next w:val="Normal"/>
    <w:qFormat/>
    <w:rsid w:val="005A7A0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A7A0C"/>
    <w:rPr>
      <w:sz w:val="22"/>
      <w:lang w:val="es-ES_tradnl"/>
    </w:rPr>
  </w:style>
  <w:style w:type="character" w:customStyle="1" w:styleId="CommentTextChar">
    <w:name w:val="Comment Text Char"/>
    <w:basedOn w:val="DefaultParagraphFont"/>
    <w:link w:val="CommentText"/>
    <w:rsid w:val="005A7A0C"/>
    <w:rPr>
      <w:rFonts w:ascii="Arial" w:hAnsi="Arial"/>
      <w:sz w:val="22"/>
      <w:lang w:val="es-ES_tradnl"/>
    </w:rPr>
  </w:style>
  <w:style w:type="paragraph" w:customStyle="1" w:styleId="Committee">
    <w:name w:val="Committee"/>
    <w:basedOn w:val="Title"/>
    <w:rsid w:val="005A7A0C"/>
    <w:rPr>
      <w:caps w:val="0"/>
    </w:rPr>
  </w:style>
  <w:style w:type="paragraph" w:customStyle="1" w:styleId="n">
    <w:name w:val="n"/>
    <w:basedOn w:val="Header"/>
    <w:rsid w:val="005A7A0C"/>
  </w:style>
  <w:style w:type="paragraph" w:customStyle="1" w:styleId="TitleofSection">
    <w:name w:val="Title of Section"/>
    <w:basedOn w:val="TitleofDoc"/>
    <w:rsid w:val="005A7A0C"/>
    <w:pPr>
      <w:spacing w:before="120" w:after="120"/>
    </w:pPr>
    <w:rPr>
      <w:b/>
      <w:caps w:val="0"/>
      <w:lang w:eastAsia="de-DE"/>
    </w:rPr>
  </w:style>
  <w:style w:type="paragraph" w:customStyle="1" w:styleId="TOCAnnex">
    <w:name w:val="TOC Annex"/>
    <w:basedOn w:val="Normal"/>
    <w:rsid w:val="005A7A0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A7A0C"/>
    <w:pPr>
      <w:jc w:val="center"/>
    </w:pPr>
    <w:rPr>
      <w:b/>
      <w:caps/>
      <w:szCs w:val="24"/>
    </w:rPr>
  </w:style>
  <w:style w:type="paragraph" w:customStyle="1" w:styleId="Notetoarticle">
    <w:name w:val="Note to article"/>
    <w:basedOn w:val="Normal"/>
    <w:semiHidden/>
    <w:rsid w:val="005A7A0C"/>
  </w:style>
  <w:style w:type="paragraph" w:styleId="PlainText">
    <w:name w:val="Plain Text"/>
    <w:basedOn w:val="Normal"/>
    <w:link w:val="PlainTextChar"/>
    <w:rsid w:val="005A7A0C"/>
    <w:rPr>
      <w:rFonts w:ascii="Courier New" w:hAnsi="Courier New" w:cs="Courier New"/>
      <w:lang w:eastAsia="fr-FR"/>
    </w:rPr>
  </w:style>
  <w:style w:type="character" w:customStyle="1" w:styleId="PlainTextChar">
    <w:name w:val="Plain Text Char"/>
    <w:basedOn w:val="DefaultParagraphFont"/>
    <w:link w:val="PlainText"/>
    <w:rsid w:val="005A7A0C"/>
    <w:rPr>
      <w:rFonts w:ascii="Courier New" w:hAnsi="Courier New" w:cs="Courier New"/>
      <w:lang w:eastAsia="fr-FR"/>
    </w:rPr>
  </w:style>
  <w:style w:type="character" w:customStyle="1" w:styleId="FooterChar">
    <w:name w:val="Footer Char"/>
    <w:aliases w:val="doc_path_name Char"/>
    <w:link w:val="Footer"/>
    <w:rsid w:val="005A7A0C"/>
    <w:rPr>
      <w:rFonts w:ascii="Arial" w:hAnsi="Arial"/>
      <w:sz w:val="14"/>
    </w:rPr>
  </w:style>
  <w:style w:type="character" w:styleId="CommentReference">
    <w:name w:val="annotation reference"/>
    <w:basedOn w:val="DefaultParagraphFont"/>
    <w:rsid w:val="005A7A0C"/>
    <w:rPr>
      <w:rFonts w:cs="Times New Roman"/>
      <w:sz w:val="16"/>
      <w:szCs w:val="16"/>
    </w:rPr>
  </w:style>
  <w:style w:type="paragraph" w:styleId="Revision">
    <w:name w:val="Revision"/>
    <w:hidden/>
    <w:uiPriority w:val="99"/>
    <w:semiHidden/>
    <w:rsid w:val="005A7A0C"/>
    <w:rPr>
      <w:rFonts w:ascii="Arial" w:hAnsi="Arial"/>
    </w:rPr>
  </w:style>
  <w:style w:type="paragraph" w:styleId="CommentSubject">
    <w:name w:val="annotation subject"/>
    <w:basedOn w:val="CommentText"/>
    <w:next w:val="CommentText"/>
    <w:link w:val="CommentSubjectChar"/>
    <w:rsid w:val="005A7A0C"/>
    <w:rPr>
      <w:b/>
      <w:bCs/>
      <w:sz w:val="20"/>
      <w:lang w:val="en-US"/>
    </w:rPr>
  </w:style>
  <w:style w:type="character" w:customStyle="1" w:styleId="CommentSubjectChar">
    <w:name w:val="Comment Subject Char"/>
    <w:basedOn w:val="CommentTextChar"/>
    <w:link w:val="CommentSubject"/>
    <w:rsid w:val="005A7A0C"/>
    <w:rPr>
      <w:rFonts w:ascii="Arial" w:hAnsi="Arial"/>
      <w:b/>
      <w:bCs/>
      <w:sz w:val="22"/>
      <w:lang w:val="es-ES_tradnl"/>
    </w:rPr>
  </w:style>
  <w:style w:type="paragraph" w:customStyle="1" w:styleId="Normaltg">
    <w:name w:val="Normaltg"/>
    <w:basedOn w:val="Normal"/>
    <w:link w:val="NormaltgChar"/>
    <w:rsid w:val="005A7A0C"/>
    <w:rPr>
      <w:rFonts w:cs="Angsana New"/>
      <w:szCs w:val="24"/>
      <w:lang w:eastAsia="ja-JP" w:bidi="th-TH"/>
    </w:rPr>
  </w:style>
  <w:style w:type="character" w:customStyle="1" w:styleId="NormaltgChar">
    <w:name w:val="Normaltg Char"/>
    <w:link w:val="Normaltg"/>
    <w:rsid w:val="005A7A0C"/>
    <w:rPr>
      <w:rFonts w:ascii="Arial" w:hAnsi="Arial" w:cs="Angsana New"/>
      <w:szCs w:val="24"/>
      <w:lang w:eastAsia="ja-JP" w:bidi="th-TH"/>
    </w:rPr>
  </w:style>
  <w:style w:type="character" w:customStyle="1" w:styleId="hps">
    <w:name w:val="hps"/>
    <w:basedOn w:val="DefaultParagraphFont"/>
    <w:rsid w:val="005A7A0C"/>
  </w:style>
  <w:style w:type="character" w:customStyle="1" w:styleId="Standaardalinea-lettertype">
    <w:name w:val="Standaardalinea-lettertype"/>
    <w:rsid w:val="005A7A0C"/>
  </w:style>
  <w:style w:type="character" w:customStyle="1" w:styleId="BodyTextChar">
    <w:name w:val="Body Text Char"/>
    <w:basedOn w:val="DefaultParagraphFont"/>
    <w:link w:val="BodyText"/>
    <w:rsid w:val="005A7A0C"/>
    <w:rPr>
      <w:rFonts w:ascii="Arial" w:hAnsi="Arial"/>
    </w:rPr>
  </w:style>
  <w:style w:type="character" w:customStyle="1" w:styleId="Heading9Char">
    <w:name w:val="Heading 9 Char"/>
    <w:basedOn w:val="DefaultParagraphFont"/>
    <w:link w:val="Heading9"/>
    <w:rsid w:val="001826AD"/>
    <w:rPr>
      <w:rFonts w:ascii="Arial" w:hAnsi="Arial"/>
      <w:i/>
      <w:sz w:val="18"/>
    </w:rPr>
  </w:style>
  <w:style w:type="character" w:customStyle="1" w:styleId="TitleChar">
    <w:name w:val="Title Char"/>
    <w:basedOn w:val="DefaultParagraphFont"/>
    <w:link w:val="Title"/>
    <w:rsid w:val="001826AD"/>
    <w:rPr>
      <w:rFonts w:ascii="Arial" w:hAnsi="Arial"/>
      <w:b/>
      <w:caps/>
      <w:kern w:val="28"/>
      <w:sz w:val="30"/>
    </w:rPr>
  </w:style>
  <w:style w:type="character" w:customStyle="1" w:styleId="ClosingChar">
    <w:name w:val="Closing Char"/>
    <w:basedOn w:val="DefaultParagraphFont"/>
    <w:link w:val="Closing"/>
    <w:rsid w:val="001826AD"/>
    <w:rPr>
      <w:rFonts w:ascii="Arial" w:hAnsi="Arial"/>
    </w:rPr>
  </w:style>
  <w:style w:type="character" w:customStyle="1" w:styleId="MacroTextChar">
    <w:name w:val="Macro Text Char"/>
    <w:basedOn w:val="DefaultParagraphFont"/>
    <w:link w:val="MacroText"/>
    <w:semiHidden/>
    <w:rsid w:val="001826AD"/>
    <w:rPr>
      <w:rFonts w:ascii="Courier New" w:hAnsi="Courier New"/>
      <w:sz w:val="16"/>
    </w:rPr>
  </w:style>
  <w:style w:type="character" w:customStyle="1" w:styleId="SignatureChar">
    <w:name w:val="Signature Char"/>
    <w:basedOn w:val="DefaultParagraphFont"/>
    <w:link w:val="Signature"/>
    <w:rsid w:val="001826AD"/>
    <w:rPr>
      <w:rFonts w:ascii="Arial" w:hAnsi="Arial"/>
    </w:rPr>
  </w:style>
  <w:style w:type="character" w:customStyle="1" w:styleId="EndnoteTextChar">
    <w:name w:val="Endnote Text Char"/>
    <w:basedOn w:val="DefaultParagraphFont"/>
    <w:link w:val="EndnoteText"/>
    <w:rsid w:val="001826AD"/>
    <w:rPr>
      <w:rFonts w:ascii="Arial" w:hAnsi="Arial"/>
    </w:rPr>
  </w:style>
  <w:style w:type="character" w:customStyle="1" w:styleId="DateChar">
    <w:name w:val="Date Char"/>
    <w:basedOn w:val="DefaultParagraphFont"/>
    <w:link w:val="Date"/>
    <w:rsid w:val="001826A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518">
      <w:bodyDiv w:val="1"/>
      <w:marLeft w:val="0"/>
      <w:marRight w:val="0"/>
      <w:marTop w:val="0"/>
      <w:marBottom w:val="0"/>
      <w:divBdr>
        <w:top w:val="none" w:sz="0" w:space="0" w:color="auto"/>
        <w:left w:val="none" w:sz="0" w:space="0" w:color="auto"/>
        <w:bottom w:val="none" w:sz="0" w:space="0" w:color="auto"/>
        <w:right w:val="none" w:sz="0" w:space="0" w:color="auto"/>
      </w:divBdr>
    </w:div>
    <w:div w:id="629631206">
      <w:bodyDiv w:val="1"/>
      <w:marLeft w:val="0"/>
      <w:marRight w:val="0"/>
      <w:marTop w:val="0"/>
      <w:marBottom w:val="0"/>
      <w:divBdr>
        <w:top w:val="none" w:sz="0" w:space="0" w:color="auto"/>
        <w:left w:val="none" w:sz="0" w:space="0" w:color="auto"/>
        <w:bottom w:val="none" w:sz="0" w:space="0" w:color="auto"/>
        <w:right w:val="none" w:sz="0" w:space="0" w:color="auto"/>
      </w:divBdr>
    </w:div>
    <w:div w:id="812529046">
      <w:bodyDiv w:val="1"/>
      <w:marLeft w:val="0"/>
      <w:marRight w:val="0"/>
      <w:marTop w:val="0"/>
      <w:marBottom w:val="0"/>
      <w:divBdr>
        <w:top w:val="none" w:sz="0" w:space="0" w:color="auto"/>
        <w:left w:val="none" w:sz="0" w:space="0" w:color="auto"/>
        <w:bottom w:val="none" w:sz="0" w:space="0" w:color="auto"/>
        <w:right w:val="none" w:sz="0" w:space="0" w:color="auto"/>
      </w:divBdr>
      <w:divsChild>
        <w:div w:id="1928805570">
          <w:marLeft w:val="0"/>
          <w:marRight w:val="0"/>
          <w:marTop w:val="0"/>
          <w:marBottom w:val="0"/>
          <w:divBdr>
            <w:top w:val="none" w:sz="0" w:space="0" w:color="auto"/>
            <w:left w:val="none" w:sz="0" w:space="0" w:color="auto"/>
            <w:bottom w:val="none" w:sz="0" w:space="0" w:color="auto"/>
            <w:right w:val="none" w:sz="0" w:space="0" w:color="auto"/>
          </w:divBdr>
        </w:div>
        <w:div w:id="1865049063">
          <w:marLeft w:val="0"/>
          <w:marRight w:val="0"/>
          <w:marTop w:val="0"/>
          <w:marBottom w:val="0"/>
          <w:divBdr>
            <w:top w:val="none" w:sz="0" w:space="0" w:color="auto"/>
            <w:left w:val="none" w:sz="0" w:space="0" w:color="auto"/>
            <w:bottom w:val="none" w:sz="0" w:space="0" w:color="auto"/>
            <w:right w:val="none" w:sz="0" w:space="0" w:color="auto"/>
          </w:divBdr>
        </w:div>
      </w:divsChild>
    </w:div>
    <w:div w:id="1239899482">
      <w:bodyDiv w:val="1"/>
      <w:marLeft w:val="0"/>
      <w:marRight w:val="0"/>
      <w:marTop w:val="0"/>
      <w:marBottom w:val="0"/>
      <w:divBdr>
        <w:top w:val="none" w:sz="0" w:space="0" w:color="auto"/>
        <w:left w:val="none" w:sz="0" w:space="0" w:color="auto"/>
        <w:bottom w:val="none" w:sz="0" w:space="0" w:color="auto"/>
        <w:right w:val="none" w:sz="0" w:space="0" w:color="auto"/>
      </w:divBdr>
    </w:div>
    <w:div w:id="1722435041">
      <w:bodyDiv w:val="1"/>
      <w:marLeft w:val="0"/>
      <w:marRight w:val="0"/>
      <w:marTop w:val="0"/>
      <w:marBottom w:val="0"/>
      <w:divBdr>
        <w:top w:val="none" w:sz="0" w:space="0" w:color="auto"/>
        <w:left w:val="none" w:sz="0" w:space="0" w:color="auto"/>
        <w:bottom w:val="none" w:sz="0" w:space="0" w:color="auto"/>
        <w:right w:val="none" w:sz="0" w:space="0" w:color="auto"/>
      </w:divBdr>
    </w:div>
    <w:div w:id="20928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ihong.guo@ams.usd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uis.salaices@magrama.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dos@inia.es" TargetMode="External"/><Relationship Id="rId5" Type="http://schemas.openxmlformats.org/officeDocument/2006/relationships/settings" Target="settings.xml"/><Relationship Id="rId15" Type="http://schemas.openxmlformats.org/officeDocument/2006/relationships/hyperlink" Target="mailto:bertscholte@euroseeds.e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laine.wu@uspto.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6D06-8EEA-414E-8AED-FE93AA51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48</Pages>
  <Words>24476</Words>
  <Characters>139515</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keywords>PB/JLO/sc/ko</cp:keywords>
  <cp:lastModifiedBy>SANCHEZ-VIZCAINO GOMEZ Rosa Maria</cp:lastModifiedBy>
  <cp:revision>13</cp:revision>
  <cp:lastPrinted>2016-09-15T09:12:00Z</cp:lastPrinted>
  <dcterms:created xsi:type="dcterms:W3CDTF">2016-04-29T14:03:00Z</dcterms:created>
  <dcterms:modified xsi:type="dcterms:W3CDTF">2016-09-15T09:13:00Z</dcterms:modified>
</cp:coreProperties>
</file>