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2712DB" w:rsidTr="00C13808">
        <w:trPr>
          <w:trHeight w:val="1760"/>
        </w:trPr>
        <w:tc>
          <w:tcPr>
            <w:tcW w:w="4243" w:type="dxa"/>
          </w:tcPr>
          <w:p w:rsidR="000D7780" w:rsidRPr="004846EF" w:rsidRDefault="000D7780" w:rsidP="00F45372">
            <w:pPr>
              <w:rPr>
                <w:lang w:val="fr-FR"/>
              </w:rPr>
            </w:pPr>
          </w:p>
        </w:tc>
        <w:tc>
          <w:tcPr>
            <w:tcW w:w="1646" w:type="dxa"/>
            <w:vAlign w:val="center"/>
          </w:tcPr>
          <w:p w:rsidR="000D7780" w:rsidRPr="004846EF" w:rsidRDefault="00EB238B" w:rsidP="00F45372">
            <w:pPr>
              <w:pStyle w:val="LogoUPOV"/>
              <w:rPr>
                <w:lang w:val="fr-FR"/>
              </w:rPr>
            </w:pPr>
            <w:r w:rsidRPr="004846EF">
              <w:rPr>
                <w:noProof/>
              </w:rPr>
              <w:drawing>
                <wp:inline distT="0" distB="0" distL="0" distR="0" wp14:anchorId="68933510" wp14:editId="7267964E">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4846EF" w:rsidRDefault="00C13808" w:rsidP="00F45372">
            <w:pPr>
              <w:pStyle w:val="Lettrine"/>
              <w:rPr>
                <w:lang w:val="fr-FR"/>
              </w:rPr>
            </w:pPr>
            <w:r w:rsidRPr="004846EF">
              <w:rPr>
                <w:lang w:val="fr-FR"/>
              </w:rPr>
              <w:t>F</w:t>
            </w:r>
          </w:p>
          <w:p w:rsidR="000D7780" w:rsidRPr="006A4C34" w:rsidRDefault="006B17D2" w:rsidP="00F45372">
            <w:pPr>
              <w:pStyle w:val="Docoriginal"/>
              <w:rPr>
                <w:lang w:val="fr-FR"/>
              </w:rPr>
            </w:pPr>
            <w:r w:rsidRPr="006A4C34">
              <w:rPr>
                <w:lang w:val="fr-FR"/>
              </w:rPr>
              <w:t>T</w:t>
            </w:r>
            <w:r w:rsidR="0017474A" w:rsidRPr="006A4C34">
              <w:rPr>
                <w:lang w:val="fr-FR"/>
              </w:rPr>
              <w:t>C/</w:t>
            </w:r>
            <w:r w:rsidR="00A1007D" w:rsidRPr="006A4C34">
              <w:rPr>
                <w:lang w:val="fr-FR"/>
              </w:rPr>
              <w:t>5</w:t>
            </w:r>
            <w:r w:rsidR="00C4033D" w:rsidRPr="006A4C34">
              <w:rPr>
                <w:lang w:val="fr-FR"/>
              </w:rPr>
              <w:t>2</w:t>
            </w:r>
            <w:r w:rsidR="0017474A" w:rsidRPr="006A4C34">
              <w:rPr>
                <w:lang w:val="fr-FR"/>
              </w:rPr>
              <w:t>/</w:t>
            </w:r>
            <w:bookmarkStart w:id="0" w:name="Code"/>
            <w:bookmarkEnd w:id="0"/>
            <w:r w:rsidR="008E3F88" w:rsidRPr="006A4C34">
              <w:rPr>
                <w:lang w:val="fr-FR"/>
              </w:rPr>
              <w:t>21</w:t>
            </w:r>
          </w:p>
          <w:p w:rsidR="000D7780" w:rsidRPr="006A4C34" w:rsidRDefault="0061555F" w:rsidP="00F45372">
            <w:pPr>
              <w:pStyle w:val="Docoriginal"/>
              <w:rPr>
                <w:b w:val="0"/>
                <w:spacing w:val="0"/>
                <w:lang w:val="fr-FR"/>
              </w:rPr>
            </w:pPr>
            <w:r w:rsidRPr="006A4C34">
              <w:rPr>
                <w:rStyle w:val="StyleDoclangBold"/>
                <w:b/>
                <w:bCs/>
                <w:spacing w:val="0"/>
                <w:lang w:val="fr-FR"/>
              </w:rPr>
              <w:t>ORIGINAL</w:t>
            </w:r>
            <w:r w:rsidR="00B835B6" w:rsidRPr="006A4C34">
              <w:rPr>
                <w:rStyle w:val="StyleDoclangBold"/>
                <w:b/>
                <w:bCs/>
                <w:spacing w:val="0"/>
                <w:lang w:val="fr-FR"/>
              </w:rPr>
              <w:t> </w:t>
            </w:r>
            <w:r w:rsidR="000D7780" w:rsidRPr="006A4C34">
              <w:rPr>
                <w:rStyle w:val="StyleDoclangBold"/>
                <w:b/>
                <w:bCs/>
                <w:spacing w:val="0"/>
                <w:lang w:val="fr-FR"/>
              </w:rPr>
              <w:t>:</w:t>
            </w:r>
            <w:r w:rsidRPr="006A4C34">
              <w:rPr>
                <w:rStyle w:val="StyleDocoriginalNotBold1"/>
                <w:spacing w:val="0"/>
                <w:lang w:val="fr-FR"/>
              </w:rPr>
              <w:t xml:space="preserve"> </w:t>
            </w:r>
            <w:bookmarkStart w:id="1" w:name="Original"/>
            <w:bookmarkEnd w:id="1"/>
            <w:r w:rsidR="00C13808" w:rsidRPr="006A4C34">
              <w:rPr>
                <w:b w:val="0"/>
                <w:spacing w:val="0"/>
                <w:lang w:val="fr-FR"/>
              </w:rPr>
              <w:t>anglais</w:t>
            </w:r>
          </w:p>
          <w:p w:rsidR="000D7780" w:rsidRPr="004846EF" w:rsidRDefault="000D7780" w:rsidP="006A4C34">
            <w:pPr>
              <w:pStyle w:val="Docoriginal"/>
              <w:rPr>
                <w:lang w:val="fr-FR"/>
              </w:rPr>
            </w:pPr>
            <w:r w:rsidRPr="006A4C34">
              <w:rPr>
                <w:spacing w:val="0"/>
                <w:lang w:val="fr-FR"/>
              </w:rPr>
              <w:t>DATE</w:t>
            </w:r>
            <w:r w:rsidR="00B835B6" w:rsidRPr="006A4C34">
              <w:rPr>
                <w:spacing w:val="0"/>
                <w:lang w:val="fr-FR"/>
              </w:rPr>
              <w:t> </w:t>
            </w:r>
            <w:r w:rsidRPr="006A4C34">
              <w:rPr>
                <w:spacing w:val="0"/>
                <w:lang w:val="fr-FR"/>
              </w:rPr>
              <w:t>:</w:t>
            </w:r>
            <w:r w:rsidRPr="006A4C34">
              <w:rPr>
                <w:rStyle w:val="StyleDocoriginalNotBold1"/>
                <w:spacing w:val="0"/>
                <w:lang w:val="fr-FR"/>
              </w:rPr>
              <w:t xml:space="preserve"> </w:t>
            </w:r>
            <w:bookmarkStart w:id="2" w:name="Date"/>
            <w:bookmarkEnd w:id="2"/>
            <w:r w:rsidR="008E3F88" w:rsidRPr="006A4C34">
              <w:rPr>
                <w:b w:val="0"/>
                <w:spacing w:val="0"/>
                <w:lang w:val="fr-FR"/>
              </w:rPr>
              <w:t>2</w:t>
            </w:r>
            <w:r w:rsidR="006A4C34" w:rsidRPr="006A4C34">
              <w:rPr>
                <w:b w:val="0"/>
                <w:spacing w:val="0"/>
                <w:lang w:val="fr-FR"/>
              </w:rPr>
              <w:t>6</w:t>
            </w:r>
            <w:r w:rsidR="008E3F88" w:rsidRPr="006A4C34">
              <w:rPr>
                <w:b w:val="0"/>
                <w:spacing w:val="0"/>
                <w:lang w:val="fr-FR"/>
              </w:rPr>
              <w:t> janvier </w:t>
            </w:r>
            <w:r w:rsidR="001131D5" w:rsidRPr="006A4C34">
              <w:rPr>
                <w:b w:val="0"/>
                <w:spacing w:val="0"/>
                <w:lang w:val="fr-FR"/>
              </w:rPr>
              <w:t>201</w:t>
            </w:r>
            <w:r w:rsidR="008E3F88" w:rsidRPr="006A4C34">
              <w:rPr>
                <w:b w:val="0"/>
                <w:spacing w:val="0"/>
                <w:lang w:val="fr-FR"/>
              </w:rPr>
              <w:t>6</w:t>
            </w:r>
          </w:p>
        </w:tc>
      </w:tr>
      <w:tr w:rsidR="000D7780" w:rsidRPr="002712DB" w:rsidTr="00C13808">
        <w:tc>
          <w:tcPr>
            <w:tcW w:w="10131" w:type="dxa"/>
            <w:gridSpan w:val="3"/>
          </w:tcPr>
          <w:p w:rsidR="000D7780" w:rsidRPr="004846EF" w:rsidRDefault="00C13808" w:rsidP="00F45372">
            <w:pPr>
              <w:pStyle w:val="upove"/>
              <w:rPr>
                <w:sz w:val="28"/>
                <w:lang w:val="fr-FR"/>
              </w:rPr>
            </w:pPr>
            <w:r w:rsidRPr="004846EF">
              <w:rPr>
                <w:spacing w:val="6"/>
                <w:lang w:val="fr-FR"/>
              </w:rPr>
              <w:t>UNION INTERNATIONALE POUR LA PROTECTION DES OBTENTIONS VÉGÉTALES</w:t>
            </w:r>
          </w:p>
        </w:tc>
      </w:tr>
      <w:tr w:rsidR="000D7780" w:rsidRPr="004846EF" w:rsidTr="00C13808">
        <w:tc>
          <w:tcPr>
            <w:tcW w:w="10131" w:type="dxa"/>
            <w:gridSpan w:val="3"/>
          </w:tcPr>
          <w:p w:rsidR="000D7780" w:rsidRPr="004846EF" w:rsidRDefault="00AA3CEC" w:rsidP="00F45372">
            <w:pPr>
              <w:pStyle w:val="Country"/>
              <w:rPr>
                <w:lang w:val="fr-FR"/>
              </w:rPr>
            </w:pPr>
            <w:r w:rsidRPr="004846EF">
              <w:rPr>
                <w:lang w:val="fr-FR"/>
              </w:rPr>
              <w:t>Genève</w:t>
            </w:r>
          </w:p>
        </w:tc>
      </w:tr>
    </w:tbl>
    <w:p w:rsidR="000D7780" w:rsidRPr="004846EF" w:rsidRDefault="00C13808" w:rsidP="00F45372">
      <w:pPr>
        <w:pStyle w:val="Sessiontc"/>
        <w:rPr>
          <w:lang w:val="fr-FR"/>
        </w:rPr>
      </w:pPr>
      <w:r w:rsidRPr="004846EF">
        <w:rPr>
          <w:lang w:val="fr-FR"/>
        </w:rPr>
        <w:t>Comité TECHNIQUE</w:t>
      </w:r>
    </w:p>
    <w:p w:rsidR="00361821" w:rsidRPr="004846EF" w:rsidRDefault="00822473" w:rsidP="00F45372">
      <w:pPr>
        <w:pStyle w:val="Sessiontcplacedate"/>
        <w:rPr>
          <w:lang w:val="fr-FR"/>
        </w:rPr>
      </w:pPr>
      <w:r w:rsidRPr="004846EF">
        <w:rPr>
          <w:lang w:val="fr-FR"/>
        </w:rPr>
        <w:t>Cinquant</w:t>
      </w:r>
      <w:r w:rsidR="009A509B" w:rsidRPr="004846EF">
        <w:rPr>
          <w:lang w:val="fr-FR"/>
        </w:rPr>
        <w:t>e</w:t>
      </w:r>
      <w:r w:rsidR="00BC12C6">
        <w:rPr>
          <w:lang w:val="fr-FR"/>
        </w:rPr>
        <w:t>-</w:t>
      </w:r>
      <w:r w:rsidR="00C4033D" w:rsidRPr="004846EF">
        <w:rPr>
          <w:lang w:val="fr-FR"/>
        </w:rPr>
        <w:t>deux</w:t>
      </w:r>
      <w:r w:rsidR="00504E0E" w:rsidRPr="004846EF">
        <w:rPr>
          <w:lang w:val="fr-FR"/>
        </w:rPr>
        <w:t>ième</w:t>
      </w:r>
      <w:r w:rsidR="00B835B6" w:rsidRPr="004846EF">
        <w:rPr>
          <w:lang w:val="fr-FR"/>
        </w:rPr>
        <w:t> </w:t>
      </w:r>
      <w:r w:rsidR="00C13808" w:rsidRPr="004846EF">
        <w:rPr>
          <w:lang w:val="fr-FR"/>
        </w:rPr>
        <w:t xml:space="preserve">session </w:t>
      </w:r>
      <w:r w:rsidR="00C13808" w:rsidRPr="004846EF">
        <w:rPr>
          <w:lang w:val="fr-FR"/>
        </w:rPr>
        <w:br/>
        <w:t xml:space="preserve">Genève, </w:t>
      </w:r>
      <w:r w:rsidR="00C4033D" w:rsidRPr="004846EF">
        <w:rPr>
          <w:lang w:val="fr-FR"/>
        </w:rPr>
        <w:t>14</w:t>
      </w:r>
      <w:r w:rsidR="008E3F88" w:rsidRPr="004846EF">
        <w:rPr>
          <w:lang w:val="fr-FR"/>
        </w:rPr>
        <w:t xml:space="preserve"> – </w:t>
      </w:r>
      <w:r w:rsidR="00C4033D" w:rsidRPr="004846EF">
        <w:rPr>
          <w:lang w:val="fr-FR"/>
        </w:rPr>
        <w:t>16</w:t>
      </w:r>
      <w:r w:rsidR="008E3F88" w:rsidRPr="004846EF">
        <w:rPr>
          <w:lang w:val="fr-FR"/>
        </w:rPr>
        <w:t> mars </w:t>
      </w:r>
      <w:r w:rsidR="00C13808" w:rsidRPr="004846EF">
        <w:rPr>
          <w:lang w:val="fr-FR"/>
        </w:rPr>
        <w:t>201</w:t>
      </w:r>
      <w:r w:rsidR="00C4033D" w:rsidRPr="004846EF">
        <w:rPr>
          <w:lang w:val="fr-FR"/>
        </w:rPr>
        <w:t>6</w:t>
      </w:r>
    </w:p>
    <w:p w:rsidR="008E3F88" w:rsidRPr="0010333C" w:rsidRDefault="008E3F88" w:rsidP="008E3F88">
      <w:pPr>
        <w:pStyle w:val="Titleofdoc0"/>
        <w:rPr>
          <w:lang w:val="fr-FR"/>
        </w:rPr>
      </w:pPr>
      <w:bookmarkStart w:id="3" w:name="TitleOfDoc"/>
      <w:bookmarkEnd w:id="3"/>
      <w:r w:rsidRPr="0010333C">
        <w:rPr>
          <w:lang w:val="fr-FR"/>
        </w:rPr>
        <w:t>Questions concernant les descriptions variétales</w:t>
      </w:r>
    </w:p>
    <w:p w:rsidR="008E3F88" w:rsidRPr="004846EF" w:rsidRDefault="008E3F88" w:rsidP="008E3F88">
      <w:pPr>
        <w:pStyle w:val="preparedby1"/>
        <w:rPr>
          <w:color w:val="A6A6A6" w:themeColor="background1" w:themeShade="A6"/>
          <w:lang w:val="fr-FR"/>
        </w:rPr>
      </w:pPr>
      <w:bookmarkStart w:id="4" w:name="Prepared"/>
      <w:bookmarkEnd w:id="4"/>
      <w:r w:rsidRPr="004846EF">
        <w:rPr>
          <w:lang w:val="fr-FR"/>
        </w:rPr>
        <w:t>Document établi par le Bureau de l</w:t>
      </w:r>
      <w:r w:rsidR="00584454" w:rsidRPr="004846EF">
        <w:rPr>
          <w:lang w:val="fr-FR"/>
        </w:rPr>
        <w:t>’</w:t>
      </w:r>
      <w:r w:rsidRPr="004846EF">
        <w:rPr>
          <w:lang w:val="fr-FR"/>
        </w:rPr>
        <w:t xml:space="preserve">Union </w:t>
      </w:r>
      <w:r w:rsidRPr="004846EF">
        <w:rPr>
          <w:lang w:val="fr-FR"/>
        </w:rPr>
        <w:br/>
      </w:r>
      <w:r w:rsidRPr="004846EF">
        <w:rPr>
          <w:lang w:val="fr-FR"/>
        </w:rPr>
        <w:br/>
      </w:r>
      <w:r w:rsidRPr="004846EF">
        <w:rPr>
          <w:color w:val="A6A6A6" w:themeColor="background1" w:themeShade="A6"/>
          <w:lang w:val="fr-FR"/>
        </w:rPr>
        <w:t>Avertissement : le présent document ne représente pas les principes ou les orientations de l</w:t>
      </w:r>
      <w:r w:rsidR="00584454" w:rsidRPr="004846EF">
        <w:rPr>
          <w:color w:val="A6A6A6" w:themeColor="background1" w:themeShade="A6"/>
          <w:lang w:val="fr-FR"/>
        </w:rPr>
        <w:t>’</w:t>
      </w:r>
      <w:r w:rsidRPr="004846EF">
        <w:rPr>
          <w:color w:val="A6A6A6" w:themeColor="background1" w:themeShade="A6"/>
          <w:lang w:val="fr-FR"/>
        </w:rPr>
        <w:t>UPOV</w:t>
      </w:r>
    </w:p>
    <w:p w:rsidR="008E3F88" w:rsidRPr="0010333C" w:rsidRDefault="008E3F88" w:rsidP="0010333C">
      <w:pPr>
        <w:rPr>
          <w:lang w:val="fr-FR"/>
        </w:rPr>
      </w:pPr>
      <w:bookmarkStart w:id="5" w:name="_Toc418531189"/>
      <w:r w:rsidRPr="0010333C">
        <w:rPr>
          <w:lang w:val="fr-FR"/>
        </w:rPr>
        <w:t>RÉSUMÉ</w:t>
      </w:r>
    </w:p>
    <w:p w:rsidR="008E3F88" w:rsidRPr="0010333C" w:rsidRDefault="008E3F88" w:rsidP="0010333C">
      <w:pPr>
        <w:rPr>
          <w:lang w:val="fr-FR"/>
        </w:rPr>
      </w:pPr>
    </w:p>
    <w:p w:rsidR="008E3F88" w:rsidRPr="0010333C" w:rsidRDefault="008E3F88" w:rsidP="0010333C">
      <w:pPr>
        <w:rPr>
          <w:snapToGrid w:val="0"/>
          <w:lang w:val="fr-FR"/>
        </w:rPr>
      </w:pPr>
      <w:r w:rsidRPr="0010333C">
        <w:rPr>
          <w:snapToGrid w:val="0"/>
          <w:lang w:val="fr-FR"/>
        </w:rPr>
        <w:fldChar w:fldCharType="begin"/>
      </w:r>
      <w:r w:rsidRPr="0010333C">
        <w:rPr>
          <w:snapToGrid w:val="0"/>
          <w:lang w:val="fr-FR"/>
        </w:rPr>
        <w:instrText xml:space="preserve"> AUTONUM  </w:instrText>
      </w:r>
      <w:r w:rsidRPr="0010333C">
        <w:rPr>
          <w:snapToGrid w:val="0"/>
          <w:lang w:val="fr-FR"/>
        </w:rPr>
        <w:fldChar w:fldCharType="end"/>
      </w:r>
      <w:r w:rsidRPr="0010333C">
        <w:rPr>
          <w:snapToGrid w:val="0"/>
          <w:lang w:val="fr-FR"/>
        </w:rPr>
        <w:tab/>
        <w:t>Le présent document a pour objet d</w:t>
      </w:r>
      <w:r w:rsidR="00584454" w:rsidRPr="0010333C">
        <w:rPr>
          <w:snapToGrid w:val="0"/>
          <w:lang w:val="fr-FR"/>
        </w:rPr>
        <w:t>’</w:t>
      </w:r>
      <w:r w:rsidRPr="0010333C">
        <w:rPr>
          <w:snapToGrid w:val="0"/>
          <w:lang w:val="fr-FR"/>
        </w:rPr>
        <w:t>examiner les questions concernant le contrôle de la conformité du maintien de la variété et celles concernant les descriptions variétales, qui ont été soumises au Comité technique par le Comité administratif et juridique, ainsi que le rôle du matériel végétal utilisé comme base de l</w:t>
      </w:r>
      <w:r w:rsidR="00584454" w:rsidRPr="0010333C">
        <w:rPr>
          <w:snapToGrid w:val="0"/>
          <w:lang w:val="fr-FR"/>
        </w:rPr>
        <w:t>’</w:t>
      </w:r>
      <w:r w:rsidRPr="0010333C">
        <w:rPr>
          <w:snapToGrid w:val="0"/>
          <w:lang w:val="fr-FR"/>
        </w:rPr>
        <w:t>examen</w:t>
      </w:r>
      <w:r w:rsidR="00B835B6" w:rsidRPr="0010333C">
        <w:rPr>
          <w:snapToGrid w:val="0"/>
          <w:lang w:val="fr-FR"/>
        </w:rPr>
        <w:t> </w:t>
      </w:r>
      <w:r w:rsidRPr="0010333C">
        <w:rPr>
          <w:snapToGrid w:val="0"/>
          <w:lang w:val="fr-FR"/>
        </w:rPr>
        <w:t>DHS en relation avec ces questions.</w:t>
      </w:r>
    </w:p>
    <w:p w:rsidR="008E3F88" w:rsidRPr="0010333C" w:rsidRDefault="008E3F88" w:rsidP="0010333C">
      <w:pPr>
        <w:rPr>
          <w:snapToGrid w:val="0"/>
          <w:lang w:val="fr-FR"/>
        </w:rPr>
      </w:pPr>
    </w:p>
    <w:p w:rsidR="008E3F88" w:rsidRPr="0010333C" w:rsidRDefault="008E3F88" w:rsidP="0010333C">
      <w:pPr>
        <w:tabs>
          <w:tab w:val="left" w:pos="567"/>
          <w:tab w:val="left" w:pos="1134"/>
        </w:tabs>
        <w:rPr>
          <w:lang w:val="fr-FR"/>
        </w:rPr>
      </w:pPr>
      <w:r w:rsidRPr="0010333C">
        <w:rPr>
          <w:lang w:val="fr-FR"/>
        </w:rPr>
        <w:fldChar w:fldCharType="begin"/>
      </w:r>
      <w:r w:rsidRPr="0010333C">
        <w:rPr>
          <w:lang w:val="fr-FR"/>
        </w:rPr>
        <w:instrText xml:space="preserve"> AUTONUM  </w:instrText>
      </w:r>
      <w:r w:rsidRPr="0010333C">
        <w:rPr>
          <w:lang w:val="fr-FR"/>
        </w:rPr>
        <w:fldChar w:fldCharType="end"/>
      </w:r>
      <w:r w:rsidRPr="0010333C">
        <w:rPr>
          <w:lang w:val="fr-FR"/>
        </w:rPr>
        <w:tab/>
        <w:t>Le</w:t>
      </w:r>
      <w:r w:rsidR="00584454" w:rsidRPr="0010333C">
        <w:rPr>
          <w:lang w:val="fr-FR"/>
        </w:rPr>
        <w:t> TC</w:t>
      </w:r>
      <w:r w:rsidRPr="0010333C">
        <w:rPr>
          <w:lang w:val="fr-FR"/>
        </w:rPr>
        <w:t xml:space="preserve"> est invité</w:t>
      </w:r>
      <w:r w:rsidR="006A4C34">
        <w:rPr>
          <w:lang w:val="fr-FR"/>
        </w:rPr>
        <w:t xml:space="preserve"> à :</w:t>
      </w:r>
    </w:p>
    <w:p w:rsidR="008E3F88" w:rsidRPr="0010333C" w:rsidRDefault="008E3F88" w:rsidP="0010333C">
      <w:pPr>
        <w:tabs>
          <w:tab w:val="left" w:pos="567"/>
          <w:tab w:val="left" w:pos="1134"/>
          <w:tab w:val="left" w:pos="5387"/>
        </w:tabs>
        <w:rPr>
          <w:lang w:val="fr-FR"/>
        </w:rPr>
      </w:pPr>
    </w:p>
    <w:p w:rsidR="008E3F88" w:rsidRPr="0010333C" w:rsidRDefault="006A4C34" w:rsidP="0010333C">
      <w:pPr>
        <w:tabs>
          <w:tab w:val="left" w:pos="567"/>
          <w:tab w:val="left" w:pos="1134"/>
          <w:tab w:val="left" w:pos="5387"/>
          <w:tab w:val="left" w:pos="5954"/>
        </w:tabs>
        <w:rPr>
          <w:lang w:val="fr-FR"/>
        </w:rPr>
      </w:pPr>
      <w:r>
        <w:rPr>
          <w:lang w:val="fr-FR"/>
        </w:rPr>
        <w:tab/>
        <w:t>a)</w:t>
      </w:r>
      <w:r>
        <w:rPr>
          <w:lang w:val="fr-FR"/>
        </w:rPr>
        <w:tab/>
      </w:r>
      <w:r w:rsidR="008E3F88" w:rsidRPr="0010333C">
        <w:rPr>
          <w:lang w:val="fr-FR"/>
        </w:rPr>
        <w:t>noter que</w:t>
      </w:r>
      <w:r w:rsidR="00584454" w:rsidRPr="0010333C">
        <w:rPr>
          <w:lang w:val="fr-FR"/>
        </w:rPr>
        <w:t xml:space="preserve"> le CAJ</w:t>
      </w:r>
      <w:r w:rsidR="008E3F88" w:rsidRPr="0010333C">
        <w:rPr>
          <w:lang w:val="fr-FR"/>
        </w:rPr>
        <w:t>, à sa soixante</w:t>
      </w:r>
      <w:r w:rsidR="00B835B6" w:rsidRPr="0010333C">
        <w:rPr>
          <w:lang w:val="fr-FR"/>
        </w:rPr>
        <w:t> </w:t>
      </w:r>
      <w:r w:rsidR="008E3F88" w:rsidRPr="0010333C">
        <w:rPr>
          <w:lang w:val="fr-FR"/>
        </w:rPr>
        <w:t>et</w:t>
      </w:r>
      <w:r w:rsidR="00B835B6" w:rsidRPr="0010333C">
        <w:rPr>
          <w:lang w:val="fr-FR"/>
        </w:rPr>
        <w:t> </w:t>
      </w:r>
      <w:r w:rsidR="008E3F88" w:rsidRPr="0010333C">
        <w:rPr>
          <w:lang w:val="fr-FR"/>
        </w:rPr>
        <w:t>onzième</w:t>
      </w:r>
      <w:r w:rsidR="00B835B6" w:rsidRPr="0010333C">
        <w:rPr>
          <w:lang w:val="fr-FR"/>
        </w:rPr>
        <w:t> </w:t>
      </w:r>
      <w:r w:rsidR="008E3F88" w:rsidRPr="0010333C">
        <w:rPr>
          <w:lang w:val="fr-FR"/>
        </w:rPr>
        <w:t>session, a souscrit à la conclusion adoptée par</w:t>
      </w:r>
      <w:r w:rsidR="00584454" w:rsidRPr="0010333C">
        <w:rPr>
          <w:lang w:val="fr-FR"/>
        </w:rPr>
        <w:t xml:space="preserve"> le CAJ</w:t>
      </w:r>
      <w:r w:rsidR="00BB3EE2" w:rsidRPr="0010333C">
        <w:rPr>
          <w:lang w:val="fr-FR"/>
        </w:rPr>
        <w:noBreakHyphen/>
      </w:r>
      <w:r w:rsidR="008E3F88" w:rsidRPr="0010333C">
        <w:rPr>
          <w:lang w:val="fr-FR"/>
        </w:rPr>
        <w:t>AG, à sa neuvième</w:t>
      </w:r>
      <w:r w:rsidR="00B835B6" w:rsidRPr="0010333C">
        <w:rPr>
          <w:lang w:val="fr-FR"/>
        </w:rPr>
        <w:t> </w:t>
      </w:r>
      <w:r w:rsidR="008E3F88" w:rsidRPr="0010333C">
        <w:rPr>
          <w:lang w:val="fr-FR"/>
        </w:rPr>
        <w:t>session, sur</w:t>
      </w:r>
    </w:p>
    <w:p w:rsidR="008E3F88" w:rsidRPr="0010333C" w:rsidRDefault="008E3F88" w:rsidP="0010333C">
      <w:pPr>
        <w:tabs>
          <w:tab w:val="left" w:pos="567"/>
          <w:tab w:val="left" w:pos="1134"/>
          <w:tab w:val="left" w:pos="5387"/>
          <w:tab w:val="left" w:pos="5954"/>
        </w:tabs>
        <w:rPr>
          <w:lang w:val="fr-FR"/>
        </w:rPr>
      </w:pPr>
    </w:p>
    <w:p w:rsidR="008E3F88" w:rsidRPr="0010333C" w:rsidRDefault="008E3F88" w:rsidP="0010333C">
      <w:pPr>
        <w:tabs>
          <w:tab w:val="left" w:pos="567"/>
          <w:tab w:val="left" w:pos="1134"/>
          <w:tab w:val="left" w:pos="1701"/>
          <w:tab w:val="left" w:pos="5954"/>
        </w:tabs>
        <w:rPr>
          <w:lang w:val="fr-FR"/>
        </w:rPr>
      </w:pPr>
      <w:r w:rsidRPr="0010333C">
        <w:rPr>
          <w:lang w:val="fr-FR"/>
        </w:rPr>
        <w:tab/>
      </w:r>
      <w:r w:rsidRPr="0010333C">
        <w:rPr>
          <w:lang w:val="fr-FR"/>
        </w:rPr>
        <w:tab/>
      </w:r>
      <w:r w:rsidR="00BC12C6" w:rsidRPr="0010333C">
        <w:rPr>
          <w:lang w:val="fr-FR"/>
        </w:rPr>
        <w:t>i)</w:t>
      </w:r>
      <w:r w:rsidRPr="0010333C">
        <w:rPr>
          <w:lang w:val="fr-FR"/>
        </w:rPr>
        <w:tab/>
        <w:t>le but de la description variétale élaborée au moment de l</w:t>
      </w:r>
      <w:r w:rsidR="00584454" w:rsidRPr="0010333C">
        <w:rPr>
          <w:lang w:val="fr-FR"/>
        </w:rPr>
        <w:t>’</w:t>
      </w:r>
      <w:r w:rsidRPr="0010333C">
        <w:rPr>
          <w:lang w:val="fr-FR"/>
        </w:rPr>
        <w:t>octroi du droit d</w:t>
      </w:r>
      <w:r w:rsidR="00584454" w:rsidRPr="0010333C">
        <w:rPr>
          <w:lang w:val="fr-FR"/>
        </w:rPr>
        <w:t>’</w:t>
      </w:r>
      <w:r w:rsidRPr="0010333C">
        <w:rPr>
          <w:lang w:val="fr-FR"/>
        </w:rPr>
        <w:t>obtenteur (description variétale initiale), comme indiqué au paragraphe 12 du présent document</w:t>
      </w:r>
      <w:r w:rsidR="00BC12C6" w:rsidRPr="0010333C">
        <w:rPr>
          <w:lang w:val="fr-FR"/>
        </w:rPr>
        <w:t>,</w:t>
      </w:r>
      <w:r w:rsidRPr="0010333C">
        <w:rPr>
          <w:lang w:val="fr-FR"/>
        </w:rPr>
        <w:t xml:space="preserve"> et</w:t>
      </w:r>
    </w:p>
    <w:p w:rsidR="008E3F88" w:rsidRPr="0010333C" w:rsidRDefault="008E3F88" w:rsidP="0010333C">
      <w:pPr>
        <w:tabs>
          <w:tab w:val="left" w:pos="567"/>
          <w:tab w:val="left" w:pos="1134"/>
          <w:tab w:val="left" w:pos="5387"/>
          <w:tab w:val="left" w:pos="5954"/>
        </w:tabs>
        <w:rPr>
          <w:lang w:val="fr-FR"/>
        </w:rPr>
      </w:pPr>
    </w:p>
    <w:p w:rsidR="008E3F88" w:rsidRPr="0010333C" w:rsidRDefault="008E3F88" w:rsidP="0010333C">
      <w:pPr>
        <w:tabs>
          <w:tab w:val="left" w:pos="567"/>
          <w:tab w:val="left" w:pos="1134"/>
          <w:tab w:val="left" w:pos="1701"/>
          <w:tab w:val="left" w:pos="5954"/>
        </w:tabs>
        <w:rPr>
          <w:lang w:val="fr-FR"/>
        </w:rPr>
      </w:pPr>
      <w:r w:rsidRPr="0010333C">
        <w:rPr>
          <w:lang w:val="fr-FR"/>
        </w:rPr>
        <w:tab/>
      </w:r>
      <w:r w:rsidRPr="0010333C">
        <w:rPr>
          <w:lang w:val="fr-FR"/>
        </w:rPr>
        <w:tab/>
        <w:t>ii)</w:t>
      </w:r>
      <w:r w:rsidRPr="0010333C">
        <w:rPr>
          <w:lang w:val="fr-FR"/>
        </w:rPr>
        <w:tab/>
        <w:t>le statut de la description variétale initiale, au regard de la vérification de la conformité du matériel végétal à une variété protégée aux fins de la défense du droit d</w:t>
      </w:r>
      <w:r w:rsidR="00584454" w:rsidRPr="0010333C">
        <w:rPr>
          <w:lang w:val="fr-FR"/>
        </w:rPr>
        <w:t>’</w:t>
      </w:r>
      <w:r w:rsidRPr="0010333C">
        <w:rPr>
          <w:lang w:val="fr-FR"/>
        </w:rPr>
        <w:t>obtenteur, comme indiqué au paragraphe</w:t>
      </w:r>
      <w:r w:rsidR="00B835B6" w:rsidRPr="0010333C">
        <w:rPr>
          <w:lang w:val="fr-FR"/>
        </w:rPr>
        <w:t> </w:t>
      </w:r>
      <w:r w:rsidRPr="0010333C">
        <w:rPr>
          <w:lang w:val="fr-FR"/>
        </w:rPr>
        <w:t>13 du présent document</w:t>
      </w:r>
      <w:r w:rsidR="00BC12C6" w:rsidRPr="0010333C">
        <w:rPr>
          <w:lang w:val="fr-FR"/>
        </w:rPr>
        <w:t>,</w:t>
      </w:r>
    </w:p>
    <w:p w:rsidR="008E3F88" w:rsidRPr="0010333C" w:rsidRDefault="008E3F88" w:rsidP="0010333C">
      <w:pPr>
        <w:tabs>
          <w:tab w:val="left" w:pos="567"/>
          <w:tab w:val="left" w:pos="1134"/>
          <w:tab w:val="left" w:pos="5387"/>
          <w:tab w:val="left" w:pos="5954"/>
        </w:tabs>
        <w:rPr>
          <w:lang w:val="fr-FR"/>
        </w:rPr>
      </w:pPr>
    </w:p>
    <w:p w:rsidR="008E3F88" w:rsidRPr="0010333C" w:rsidRDefault="006A4C34" w:rsidP="0010333C">
      <w:pPr>
        <w:tabs>
          <w:tab w:val="left" w:pos="567"/>
          <w:tab w:val="left" w:pos="1134"/>
        </w:tabs>
        <w:rPr>
          <w:lang w:val="fr-FR"/>
        </w:rPr>
      </w:pPr>
      <w:r>
        <w:rPr>
          <w:lang w:val="fr-FR"/>
        </w:rPr>
        <w:tab/>
        <w:t>b)</w:t>
      </w:r>
      <w:r>
        <w:rPr>
          <w:lang w:val="fr-FR"/>
        </w:rPr>
        <w:tab/>
      </w:r>
      <w:r w:rsidR="008E3F88" w:rsidRPr="0010333C">
        <w:rPr>
          <w:lang w:val="fr-FR"/>
        </w:rPr>
        <w:t>prendre note des exposés sur les “questions concernant les descriptions variétales” présentés</w:t>
      </w:r>
      <w:r w:rsidR="00584454" w:rsidRPr="0010333C">
        <w:rPr>
          <w:lang w:val="fr-FR"/>
        </w:rPr>
        <w:t xml:space="preserve"> aux TWP</w:t>
      </w:r>
      <w:r w:rsidR="008E3F88" w:rsidRPr="0010333C">
        <w:rPr>
          <w:lang w:val="fr-FR"/>
        </w:rPr>
        <w:t>, à leurs sessions de</w:t>
      </w:r>
      <w:r w:rsidR="00B835B6" w:rsidRPr="0010333C">
        <w:rPr>
          <w:lang w:val="fr-FR"/>
        </w:rPr>
        <w:t> </w:t>
      </w:r>
      <w:r w:rsidR="008E3F88" w:rsidRPr="0010333C">
        <w:rPr>
          <w:lang w:val="fr-FR"/>
        </w:rPr>
        <w:t>2015, comme indiqué au paragraphe</w:t>
      </w:r>
      <w:r w:rsidR="00B835B6" w:rsidRPr="0010333C">
        <w:rPr>
          <w:lang w:val="fr-FR"/>
        </w:rPr>
        <w:t> </w:t>
      </w:r>
      <w:r w:rsidR="008E3F88" w:rsidRPr="0010333C">
        <w:rPr>
          <w:lang w:val="fr-FR"/>
        </w:rPr>
        <w:t>17 du présent document</w:t>
      </w:r>
      <w:r w:rsidR="00BC12C6" w:rsidRPr="0010333C">
        <w:rPr>
          <w:lang w:val="fr-FR"/>
        </w:rPr>
        <w:t>,</w:t>
      </w:r>
    </w:p>
    <w:p w:rsidR="008E3F88" w:rsidRPr="0010333C" w:rsidRDefault="008E3F88" w:rsidP="0010333C">
      <w:pPr>
        <w:tabs>
          <w:tab w:val="left" w:pos="567"/>
          <w:tab w:val="left" w:pos="1134"/>
          <w:tab w:val="left" w:pos="5387"/>
          <w:tab w:val="left" w:pos="5954"/>
        </w:tabs>
        <w:rPr>
          <w:lang w:val="fr-FR"/>
        </w:rPr>
      </w:pPr>
    </w:p>
    <w:p w:rsidR="008E3F88" w:rsidRPr="0010333C" w:rsidRDefault="006A4C34" w:rsidP="0010333C">
      <w:pPr>
        <w:keepLines/>
        <w:tabs>
          <w:tab w:val="left" w:pos="567"/>
          <w:tab w:val="left" w:pos="1134"/>
          <w:tab w:val="left" w:pos="5387"/>
          <w:tab w:val="left" w:pos="5954"/>
        </w:tabs>
        <w:rPr>
          <w:lang w:val="fr-FR"/>
        </w:rPr>
      </w:pPr>
      <w:r>
        <w:rPr>
          <w:lang w:val="fr-FR"/>
        </w:rPr>
        <w:tab/>
        <w:t>c)</w:t>
      </w:r>
      <w:r>
        <w:rPr>
          <w:lang w:val="fr-FR"/>
        </w:rPr>
        <w:tab/>
      </w:r>
      <w:r w:rsidR="008E3F88" w:rsidRPr="0010333C">
        <w:rPr>
          <w:lang w:val="fr-FR"/>
        </w:rPr>
        <w:t>prendre note des observations formulées par les TWP, à leurs sessions de</w:t>
      </w:r>
      <w:r w:rsidR="00B835B6" w:rsidRPr="0010333C">
        <w:rPr>
          <w:lang w:val="fr-FR"/>
        </w:rPr>
        <w:t> </w:t>
      </w:r>
      <w:r w:rsidR="008E3F88" w:rsidRPr="0010333C">
        <w:rPr>
          <w:lang w:val="fr-FR"/>
        </w:rPr>
        <w:t>2015, sur les questions concernant les descriptions variétales et le rôle du matériel végétal utilisé comme base de l</w:t>
      </w:r>
      <w:r w:rsidR="00584454" w:rsidRPr="0010333C">
        <w:rPr>
          <w:lang w:val="fr-FR"/>
        </w:rPr>
        <w:t>’</w:t>
      </w:r>
      <w:r w:rsidR="008E3F88" w:rsidRPr="0010333C">
        <w:rPr>
          <w:lang w:val="fr-FR"/>
        </w:rPr>
        <w:t>examen</w:t>
      </w:r>
      <w:r w:rsidR="00B835B6" w:rsidRPr="0010333C">
        <w:rPr>
          <w:lang w:val="fr-FR"/>
        </w:rPr>
        <w:t> </w:t>
      </w:r>
      <w:r w:rsidR="008E3F88" w:rsidRPr="0010333C">
        <w:rPr>
          <w:lang w:val="fr-FR"/>
        </w:rPr>
        <w:t>DHS, comme indiqué aux paragraphes</w:t>
      </w:r>
      <w:r w:rsidR="00B835B6" w:rsidRPr="0010333C">
        <w:rPr>
          <w:lang w:val="fr-FR"/>
        </w:rPr>
        <w:t> </w:t>
      </w:r>
      <w:r w:rsidR="008E3F88" w:rsidRPr="0010333C">
        <w:rPr>
          <w:lang w:val="fr-FR"/>
        </w:rPr>
        <w:t>18 à 40 du présent document</w:t>
      </w:r>
      <w:r w:rsidR="00BC12C6" w:rsidRPr="0010333C">
        <w:rPr>
          <w:lang w:val="fr-FR"/>
        </w:rPr>
        <w:t>,</w:t>
      </w:r>
      <w:r w:rsidR="008E3F88" w:rsidRPr="0010333C">
        <w:rPr>
          <w:lang w:val="fr-FR"/>
        </w:rPr>
        <w:t xml:space="preserve"> et</w:t>
      </w:r>
    </w:p>
    <w:p w:rsidR="008E3F88" w:rsidRPr="0010333C" w:rsidRDefault="008E3F88" w:rsidP="0010333C">
      <w:pPr>
        <w:tabs>
          <w:tab w:val="left" w:pos="567"/>
          <w:tab w:val="left" w:pos="1134"/>
          <w:tab w:val="left" w:pos="5387"/>
          <w:tab w:val="left" w:pos="5954"/>
        </w:tabs>
        <w:rPr>
          <w:lang w:val="fr-FR"/>
        </w:rPr>
      </w:pPr>
    </w:p>
    <w:p w:rsidR="008E3F88" w:rsidRPr="0010333C" w:rsidRDefault="006A4C34" w:rsidP="0010333C">
      <w:pPr>
        <w:tabs>
          <w:tab w:val="left" w:pos="567"/>
          <w:tab w:val="left" w:pos="1134"/>
        </w:tabs>
        <w:rPr>
          <w:lang w:val="fr-FR"/>
        </w:rPr>
      </w:pPr>
      <w:r>
        <w:rPr>
          <w:lang w:val="fr-FR"/>
        </w:rPr>
        <w:tab/>
        <w:t>d)</w:t>
      </w:r>
      <w:r>
        <w:rPr>
          <w:lang w:val="fr-FR"/>
        </w:rPr>
        <w:tab/>
      </w:r>
      <w:r w:rsidR="008E3F88" w:rsidRPr="0010333C">
        <w:rPr>
          <w:lang w:val="fr-FR"/>
        </w:rPr>
        <w:t>déterminer s</w:t>
      </w:r>
      <w:r w:rsidR="00584454" w:rsidRPr="0010333C">
        <w:rPr>
          <w:lang w:val="fr-FR"/>
        </w:rPr>
        <w:t>’</w:t>
      </w:r>
      <w:r w:rsidR="008E3F88" w:rsidRPr="0010333C">
        <w:rPr>
          <w:lang w:val="fr-FR"/>
        </w:rPr>
        <w:t>il convient d</w:t>
      </w:r>
      <w:r w:rsidR="00584454" w:rsidRPr="0010333C">
        <w:rPr>
          <w:lang w:val="fr-FR"/>
        </w:rPr>
        <w:t>’</w:t>
      </w:r>
      <w:r w:rsidR="008E3F88" w:rsidRPr="0010333C">
        <w:rPr>
          <w:lang w:val="fr-FR"/>
        </w:rPr>
        <w:t>inviter des experts à faire part</w:t>
      </w:r>
      <w:r w:rsidR="00584454" w:rsidRPr="0010333C">
        <w:rPr>
          <w:lang w:val="fr-FR"/>
        </w:rPr>
        <w:t xml:space="preserve"> aux TWP</w:t>
      </w:r>
      <w:r w:rsidR="008E3F88" w:rsidRPr="0010333C">
        <w:rPr>
          <w:lang w:val="fr-FR"/>
        </w:rPr>
        <w:t>, à leurs sessions de</w:t>
      </w:r>
      <w:r w:rsidR="00B835B6" w:rsidRPr="0010333C">
        <w:rPr>
          <w:lang w:val="fr-FR"/>
        </w:rPr>
        <w:t> </w:t>
      </w:r>
      <w:r w:rsidR="008E3F88" w:rsidRPr="0010333C">
        <w:rPr>
          <w:lang w:val="fr-FR"/>
        </w:rPr>
        <w:t>2016, de leurs données d</w:t>
      </w:r>
      <w:r w:rsidR="00584454" w:rsidRPr="0010333C">
        <w:rPr>
          <w:lang w:val="fr-FR"/>
        </w:rPr>
        <w:t>’</w:t>
      </w:r>
      <w:r w:rsidR="008E3F88" w:rsidRPr="0010333C">
        <w:rPr>
          <w:lang w:val="fr-FR"/>
        </w:rPr>
        <w:t>expérience concernant le rôle du matériel végétal utilisé comme base de l</w:t>
      </w:r>
      <w:r w:rsidR="00584454" w:rsidRPr="0010333C">
        <w:rPr>
          <w:lang w:val="fr-FR"/>
        </w:rPr>
        <w:t>’</w:t>
      </w:r>
      <w:r w:rsidR="008E3F88" w:rsidRPr="0010333C">
        <w:rPr>
          <w:lang w:val="fr-FR"/>
        </w:rPr>
        <w:t>examen</w:t>
      </w:r>
      <w:r w:rsidR="00B835B6" w:rsidRPr="0010333C">
        <w:rPr>
          <w:lang w:val="fr-FR"/>
        </w:rPr>
        <w:t> </w:t>
      </w:r>
      <w:r w:rsidR="008E3F88" w:rsidRPr="0010333C">
        <w:rPr>
          <w:lang w:val="fr-FR"/>
        </w:rPr>
        <w:t>DHS en relation avec les questions visées au paragraphe</w:t>
      </w:r>
      <w:r w:rsidR="00B835B6" w:rsidRPr="0010333C">
        <w:rPr>
          <w:lang w:val="fr-FR"/>
        </w:rPr>
        <w:t> </w:t>
      </w:r>
      <w:r w:rsidR="008E3F88" w:rsidRPr="0010333C">
        <w:rPr>
          <w:lang w:val="fr-FR"/>
        </w:rPr>
        <w:t>5 du présent document.</w:t>
      </w:r>
    </w:p>
    <w:p w:rsidR="008E3F88" w:rsidRPr="0010333C" w:rsidRDefault="008E3F88" w:rsidP="0010333C">
      <w:pPr>
        <w:tabs>
          <w:tab w:val="left" w:pos="567"/>
          <w:tab w:val="left" w:pos="1134"/>
        </w:tabs>
        <w:rPr>
          <w:rFonts w:eastAsia="SimSun"/>
          <w:lang w:val="fr-FR"/>
        </w:rPr>
      </w:pPr>
      <w:r w:rsidRPr="0010333C">
        <w:rPr>
          <w:rFonts w:eastAsia="SimSun"/>
          <w:lang w:val="fr-FR"/>
        </w:rPr>
        <w:br w:type="page"/>
      </w:r>
    </w:p>
    <w:p w:rsidR="008E3F88" w:rsidRPr="0010333C" w:rsidRDefault="008E3F88" w:rsidP="0010333C">
      <w:pPr>
        <w:rPr>
          <w:snapToGrid w:val="0"/>
          <w:lang w:val="fr-FR"/>
        </w:rPr>
      </w:pPr>
      <w:r w:rsidRPr="0010333C">
        <w:rPr>
          <w:lang w:val="fr-FR"/>
        </w:rPr>
        <w:lastRenderedPageBreak/>
        <w:fldChar w:fldCharType="begin"/>
      </w:r>
      <w:r w:rsidRPr="0010333C">
        <w:rPr>
          <w:lang w:val="fr-FR"/>
        </w:rPr>
        <w:instrText xml:space="preserve"> AUTONUM  </w:instrText>
      </w:r>
      <w:r w:rsidRPr="0010333C">
        <w:rPr>
          <w:lang w:val="fr-FR"/>
        </w:rPr>
        <w:fldChar w:fldCharType="end"/>
      </w:r>
      <w:r w:rsidRPr="0010333C">
        <w:rPr>
          <w:lang w:val="fr-FR"/>
        </w:rPr>
        <w:tab/>
        <w:t>La structure du présent document est la suivante</w:t>
      </w:r>
      <w:r w:rsidR="00B835B6" w:rsidRPr="0010333C">
        <w:rPr>
          <w:lang w:val="fr-FR"/>
        </w:rPr>
        <w:t> </w:t>
      </w:r>
      <w:r w:rsidRPr="0010333C">
        <w:rPr>
          <w:lang w:val="fr-FR"/>
        </w:rPr>
        <w:t>:</w:t>
      </w:r>
    </w:p>
    <w:p w:rsidR="008E3F88" w:rsidRPr="0010333C" w:rsidRDefault="008E3F88" w:rsidP="0010333C">
      <w:pPr>
        <w:rPr>
          <w:lang w:val="fr-FR"/>
        </w:rPr>
      </w:pPr>
    </w:p>
    <w:p w:rsidR="0010333C" w:rsidRDefault="008E3F88">
      <w:pPr>
        <w:pStyle w:val="TOC1"/>
        <w:rPr>
          <w:rFonts w:asciiTheme="minorHAnsi" w:eastAsiaTheme="minorEastAsia" w:hAnsiTheme="minorHAnsi" w:cstheme="minorBidi"/>
          <w:caps w:val="0"/>
          <w:noProof/>
          <w:sz w:val="22"/>
          <w:szCs w:val="22"/>
          <w:lang w:val="fr-FR" w:eastAsia="fr-FR"/>
        </w:rPr>
      </w:pPr>
      <w:r w:rsidRPr="0010333C">
        <w:rPr>
          <w:lang w:val="fr-FR"/>
        </w:rPr>
        <w:fldChar w:fldCharType="begin"/>
      </w:r>
      <w:r w:rsidRPr="0010333C">
        <w:rPr>
          <w:lang w:val="fr-FR"/>
        </w:rPr>
        <w:instrText xml:space="preserve"> TOC \o "1-3" \h \z \u </w:instrText>
      </w:r>
      <w:r w:rsidRPr="0010333C">
        <w:rPr>
          <w:lang w:val="fr-FR"/>
        </w:rPr>
        <w:fldChar w:fldCharType="separate"/>
      </w:r>
      <w:hyperlink w:anchor="_Toc441581734" w:history="1">
        <w:r w:rsidR="0010333C" w:rsidRPr="002F3A66">
          <w:rPr>
            <w:rStyle w:val="Hyperlink"/>
            <w:noProof/>
            <w:lang w:val="fr-FR"/>
          </w:rPr>
          <w:t>Généralités</w:t>
        </w:r>
        <w:r w:rsidR="0010333C">
          <w:rPr>
            <w:noProof/>
            <w:webHidden/>
          </w:rPr>
          <w:tab/>
        </w:r>
        <w:r w:rsidR="0010333C">
          <w:rPr>
            <w:noProof/>
            <w:webHidden/>
          </w:rPr>
          <w:fldChar w:fldCharType="begin"/>
        </w:r>
        <w:r w:rsidR="0010333C">
          <w:rPr>
            <w:noProof/>
            <w:webHidden/>
          </w:rPr>
          <w:instrText xml:space="preserve"> PAGEREF _Toc441581734 \h </w:instrText>
        </w:r>
        <w:r w:rsidR="0010333C">
          <w:rPr>
            <w:noProof/>
            <w:webHidden/>
          </w:rPr>
        </w:r>
        <w:r w:rsidR="0010333C">
          <w:rPr>
            <w:noProof/>
            <w:webHidden/>
          </w:rPr>
          <w:fldChar w:fldCharType="separate"/>
        </w:r>
        <w:r w:rsidR="0010333C">
          <w:rPr>
            <w:noProof/>
            <w:webHidden/>
          </w:rPr>
          <w:t>2</w:t>
        </w:r>
        <w:r w:rsidR="0010333C">
          <w:rPr>
            <w:noProof/>
            <w:webHidden/>
          </w:rPr>
          <w:fldChar w:fldCharType="end"/>
        </w:r>
      </w:hyperlink>
    </w:p>
    <w:p w:rsidR="0010333C" w:rsidRDefault="002906A8">
      <w:pPr>
        <w:pStyle w:val="TOC1"/>
        <w:rPr>
          <w:rFonts w:asciiTheme="minorHAnsi" w:eastAsiaTheme="minorEastAsia" w:hAnsiTheme="minorHAnsi" w:cstheme="minorBidi"/>
          <w:caps w:val="0"/>
          <w:noProof/>
          <w:sz w:val="22"/>
          <w:szCs w:val="22"/>
          <w:lang w:val="fr-FR" w:eastAsia="fr-FR"/>
        </w:rPr>
      </w:pPr>
      <w:hyperlink w:anchor="_Toc441581735" w:history="1">
        <w:r w:rsidR="0010333C" w:rsidRPr="002F3A66">
          <w:rPr>
            <w:rStyle w:val="Hyperlink"/>
            <w:noProof/>
            <w:lang w:val="fr-FR"/>
          </w:rPr>
          <w:t>faits nouveaux intervenus au sein du Comité technique en 2015</w:t>
        </w:r>
        <w:r w:rsidR="0010333C">
          <w:rPr>
            <w:noProof/>
            <w:webHidden/>
          </w:rPr>
          <w:tab/>
        </w:r>
        <w:r w:rsidR="0010333C">
          <w:rPr>
            <w:noProof/>
            <w:webHidden/>
          </w:rPr>
          <w:fldChar w:fldCharType="begin"/>
        </w:r>
        <w:r w:rsidR="0010333C">
          <w:rPr>
            <w:noProof/>
            <w:webHidden/>
          </w:rPr>
          <w:instrText xml:space="preserve"> PAGEREF _Toc441581735 \h </w:instrText>
        </w:r>
        <w:r w:rsidR="0010333C">
          <w:rPr>
            <w:noProof/>
            <w:webHidden/>
          </w:rPr>
        </w:r>
        <w:r w:rsidR="0010333C">
          <w:rPr>
            <w:noProof/>
            <w:webHidden/>
          </w:rPr>
          <w:fldChar w:fldCharType="separate"/>
        </w:r>
        <w:r w:rsidR="0010333C">
          <w:rPr>
            <w:noProof/>
            <w:webHidden/>
          </w:rPr>
          <w:t>3</w:t>
        </w:r>
        <w:r w:rsidR="0010333C">
          <w:rPr>
            <w:noProof/>
            <w:webHidden/>
          </w:rPr>
          <w:fldChar w:fldCharType="end"/>
        </w:r>
      </w:hyperlink>
    </w:p>
    <w:p w:rsidR="0010333C" w:rsidRDefault="002906A8">
      <w:pPr>
        <w:pStyle w:val="TOC1"/>
        <w:rPr>
          <w:rFonts w:asciiTheme="minorHAnsi" w:eastAsiaTheme="minorEastAsia" w:hAnsiTheme="minorHAnsi" w:cstheme="minorBidi"/>
          <w:caps w:val="0"/>
          <w:noProof/>
          <w:sz w:val="22"/>
          <w:szCs w:val="22"/>
          <w:lang w:val="fr-FR" w:eastAsia="fr-FR"/>
        </w:rPr>
      </w:pPr>
      <w:hyperlink w:anchor="_Toc441581736" w:history="1">
        <w:r w:rsidR="0010333C" w:rsidRPr="002F3A66">
          <w:rPr>
            <w:rStyle w:val="Hyperlink"/>
            <w:noProof/>
            <w:lang w:val="fr-FR"/>
          </w:rPr>
          <w:t>faits nouveaux intervenus au sein du caj en 2015</w:t>
        </w:r>
        <w:r w:rsidR="0010333C">
          <w:rPr>
            <w:noProof/>
            <w:webHidden/>
          </w:rPr>
          <w:tab/>
        </w:r>
        <w:r w:rsidR="0010333C">
          <w:rPr>
            <w:noProof/>
            <w:webHidden/>
          </w:rPr>
          <w:fldChar w:fldCharType="begin"/>
        </w:r>
        <w:r w:rsidR="0010333C">
          <w:rPr>
            <w:noProof/>
            <w:webHidden/>
          </w:rPr>
          <w:instrText xml:space="preserve"> PAGEREF _Toc441581736 \h </w:instrText>
        </w:r>
        <w:r w:rsidR="0010333C">
          <w:rPr>
            <w:noProof/>
            <w:webHidden/>
          </w:rPr>
        </w:r>
        <w:r w:rsidR="0010333C">
          <w:rPr>
            <w:noProof/>
            <w:webHidden/>
          </w:rPr>
          <w:fldChar w:fldCharType="separate"/>
        </w:r>
        <w:r w:rsidR="0010333C">
          <w:rPr>
            <w:noProof/>
            <w:webHidden/>
          </w:rPr>
          <w:t>3</w:t>
        </w:r>
        <w:r w:rsidR="0010333C">
          <w:rPr>
            <w:noProof/>
            <w:webHidden/>
          </w:rPr>
          <w:fldChar w:fldCharType="end"/>
        </w:r>
      </w:hyperlink>
    </w:p>
    <w:p w:rsidR="0010333C" w:rsidRDefault="002906A8">
      <w:pPr>
        <w:pStyle w:val="TOC1"/>
        <w:rPr>
          <w:rFonts w:asciiTheme="minorHAnsi" w:eastAsiaTheme="minorEastAsia" w:hAnsiTheme="minorHAnsi" w:cstheme="minorBidi"/>
          <w:caps w:val="0"/>
          <w:noProof/>
          <w:sz w:val="22"/>
          <w:szCs w:val="22"/>
          <w:lang w:val="fr-FR" w:eastAsia="fr-FR"/>
        </w:rPr>
      </w:pPr>
      <w:hyperlink w:anchor="_Toc441581737" w:history="1">
        <w:r w:rsidR="0010333C" w:rsidRPr="002F3A66">
          <w:rPr>
            <w:rStyle w:val="Hyperlink"/>
            <w:noProof/>
            <w:lang w:val="fr-FR"/>
          </w:rPr>
          <w:t>exposés présentés aux groupes de travail techniques à leurs sessions de 2015</w:t>
        </w:r>
        <w:r w:rsidR="0010333C">
          <w:rPr>
            <w:noProof/>
            <w:webHidden/>
          </w:rPr>
          <w:tab/>
        </w:r>
        <w:r w:rsidR="0010333C">
          <w:rPr>
            <w:noProof/>
            <w:webHidden/>
          </w:rPr>
          <w:fldChar w:fldCharType="begin"/>
        </w:r>
        <w:r w:rsidR="0010333C">
          <w:rPr>
            <w:noProof/>
            <w:webHidden/>
          </w:rPr>
          <w:instrText xml:space="preserve"> PAGEREF _Toc441581737 \h </w:instrText>
        </w:r>
        <w:r w:rsidR="0010333C">
          <w:rPr>
            <w:noProof/>
            <w:webHidden/>
          </w:rPr>
        </w:r>
        <w:r w:rsidR="0010333C">
          <w:rPr>
            <w:noProof/>
            <w:webHidden/>
          </w:rPr>
          <w:fldChar w:fldCharType="separate"/>
        </w:r>
        <w:r w:rsidR="0010333C">
          <w:rPr>
            <w:noProof/>
            <w:webHidden/>
          </w:rPr>
          <w:t>4</w:t>
        </w:r>
        <w:r w:rsidR="0010333C">
          <w:rPr>
            <w:noProof/>
            <w:webHidden/>
          </w:rPr>
          <w:fldChar w:fldCharType="end"/>
        </w:r>
      </w:hyperlink>
    </w:p>
    <w:p w:rsidR="0010333C" w:rsidRDefault="002906A8">
      <w:pPr>
        <w:pStyle w:val="TOC1"/>
        <w:rPr>
          <w:rFonts w:asciiTheme="minorHAnsi" w:eastAsiaTheme="minorEastAsia" w:hAnsiTheme="minorHAnsi" w:cstheme="minorBidi"/>
          <w:caps w:val="0"/>
          <w:noProof/>
          <w:sz w:val="22"/>
          <w:szCs w:val="22"/>
          <w:lang w:val="fr-FR" w:eastAsia="fr-FR"/>
        </w:rPr>
      </w:pPr>
      <w:hyperlink w:anchor="_Toc441581738" w:history="1">
        <w:r w:rsidR="0010333C" w:rsidRPr="002F3A66">
          <w:rPr>
            <w:rStyle w:val="Hyperlink"/>
            <w:noProof/>
            <w:lang w:val="fr-FR"/>
          </w:rPr>
          <w:t>OBSERVATIONS FORMULÉES PAR LES GROUPES DE TRAVAIL TECHNIQUES</w:t>
        </w:r>
        <w:r w:rsidR="0010333C">
          <w:rPr>
            <w:noProof/>
            <w:webHidden/>
          </w:rPr>
          <w:tab/>
        </w:r>
        <w:r w:rsidR="0010333C">
          <w:rPr>
            <w:noProof/>
            <w:webHidden/>
          </w:rPr>
          <w:fldChar w:fldCharType="begin"/>
        </w:r>
        <w:r w:rsidR="0010333C">
          <w:rPr>
            <w:noProof/>
            <w:webHidden/>
          </w:rPr>
          <w:instrText xml:space="preserve"> PAGEREF _Toc441581738 \h </w:instrText>
        </w:r>
        <w:r w:rsidR="0010333C">
          <w:rPr>
            <w:noProof/>
            <w:webHidden/>
          </w:rPr>
        </w:r>
        <w:r w:rsidR="0010333C">
          <w:rPr>
            <w:noProof/>
            <w:webHidden/>
          </w:rPr>
          <w:fldChar w:fldCharType="separate"/>
        </w:r>
        <w:r w:rsidR="0010333C">
          <w:rPr>
            <w:noProof/>
            <w:webHidden/>
          </w:rPr>
          <w:t>5</w:t>
        </w:r>
        <w:r w:rsidR="0010333C">
          <w:rPr>
            <w:noProof/>
            <w:webHidden/>
          </w:rPr>
          <w:fldChar w:fldCharType="end"/>
        </w:r>
      </w:hyperlink>
    </w:p>
    <w:p w:rsidR="0010333C" w:rsidRDefault="002906A8">
      <w:pPr>
        <w:pStyle w:val="TOC2"/>
        <w:rPr>
          <w:rFonts w:asciiTheme="minorHAnsi" w:eastAsiaTheme="minorEastAsia" w:hAnsiTheme="minorHAnsi" w:cstheme="minorBidi"/>
          <w:smallCaps w:val="0"/>
          <w:noProof/>
          <w:sz w:val="22"/>
          <w:szCs w:val="22"/>
          <w:lang w:val="fr-FR" w:eastAsia="fr-FR"/>
        </w:rPr>
      </w:pPr>
      <w:hyperlink w:anchor="_Toc441581739" w:history="1">
        <w:r w:rsidR="0010333C" w:rsidRPr="002F3A66">
          <w:rPr>
            <w:rStyle w:val="Hyperlink"/>
            <w:iCs/>
            <w:noProof/>
            <w:lang w:val="fr-FR"/>
          </w:rPr>
          <w:t>Groupe de travail technique sur les plantes potagères</w:t>
        </w:r>
        <w:r w:rsidR="0010333C">
          <w:rPr>
            <w:noProof/>
            <w:webHidden/>
          </w:rPr>
          <w:tab/>
        </w:r>
        <w:r w:rsidR="0010333C">
          <w:rPr>
            <w:noProof/>
            <w:webHidden/>
          </w:rPr>
          <w:fldChar w:fldCharType="begin"/>
        </w:r>
        <w:r w:rsidR="0010333C">
          <w:rPr>
            <w:noProof/>
            <w:webHidden/>
          </w:rPr>
          <w:instrText xml:space="preserve"> PAGEREF _Toc441581739 \h </w:instrText>
        </w:r>
        <w:r w:rsidR="0010333C">
          <w:rPr>
            <w:noProof/>
            <w:webHidden/>
          </w:rPr>
        </w:r>
        <w:r w:rsidR="0010333C">
          <w:rPr>
            <w:noProof/>
            <w:webHidden/>
          </w:rPr>
          <w:fldChar w:fldCharType="separate"/>
        </w:r>
        <w:r w:rsidR="0010333C">
          <w:rPr>
            <w:noProof/>
            <w:webHidden/>
          </w:rPr>
          <w:t>5</w:t>
        </w:r>
        <w:r w:rsidR="0010333C">
          <w:rPr>
            <w:noProof/>
            <w:webHidden/>
          </w:rPr>
          <w:fldChar w:fldCharType="end"/>
        </w:r>
      </w:hyperlink>
    </w:p>
    <w:p w:rsidR="0010333C" w:rsidRDefault="002906A8">
      <w:pPr>
        <w:pStyle w:val="TOC2"/>
        <w:rPr>
          <w:rFonts w:asciiTheme="minorHAnsi" w:eastAsiaTheme="minorEastAsia" w:hAnsiTheme="minorHAnsi" w:cstheme="minorBidi"/>
          <w:smallCaps w:val="0"/>
          <w:noProof/>
          <w:sz w:val="22"/>
          <w:szCs w:val="22"/>
          <w:lang w:val="fr-FR" w:eastAsia="fr-FR"/>
        </w:rPr>
      </w:pPr>
      <w:hyperlink w:anchor="_Toc441581740" w:history="1">
        <w:r w:rsidR="0010333C" w:rsidRPr="002F3A66">
          <w:rPr>
            <w:rStyle w:val="Hyperlink"/>
            <w:rFonts w:eastAsia="PMingLiU"/>
            <w:noProof/>
            <w:lang w:val="fr-FR"/>
          </w:rPr>
          <w:t>Groupe de travail technique sur les systèmes d’automatisation et les programmes d’ordinateur</w:t>
        </w:r>
        <w:r w:rsidR="0010333C">
          <w:rPr>
            <w:noProof/>
            <w:webHidden/>
          </w:rPr>
          <w:tab/>
        </w:r>
        <w:r w:rsidR="0010333C">
          <w:rPr>
            <w:noProof/>
            <w:webHidden/>
          </w:rPr>
          <w:fldChar w:fldCharType="begin"/>
        </w:r>
        <w:r w:rsidR="0010333C">
          <w:rPr>
            <w:noProof/>
            <w:webHidden/>
          </w:rPr>
          <w:instrText xml:space="preserve"> PAGEREF _Toc441581740 \h </w:instrText>
        </w:r>
        <w:r w:rsidR="0010333C">
          <w:rPr>
            <w:noProof/>
            <w:webHidden/>
          </w:rPr>
        </w:r>
        <w:r w:rsidR="0010333C">
          <w:rPr>
            <w:noProof/>
            <w:webHidden/>
          </w:rPr>
          <w:fldChar w:fldCharType="separate"/>
        </w:r>
        <w:r w:rsidR="0010333C">
          <w:rPr>
            <w:noProof/>
            <w:webHidden/>
          </w:rPr>
          <w:t>5</w:t>
        </w:r>
        <w:r w:rsidR="0010333C">
          <w:rPr>
            <w:noProof/>
            <w:webHidden/>
          </w:rPr>
          <w:fldChar w:fldCharType="end"/>
        </w:r>
      </w:hyperlink>
    </w:p>
    <w:p w:rsidR="0010333C" w:rsidRDefault="002906A8">
      <w:pPr>
        <w:pStyle w:val="TOC3"/>
        <w:rPr>
          <w:rFonts w:asciiTheme="minorHAnsi" w:eastAsiaTheme="minorEastAsia" w:hAnsiTheme="minorHAnsi" w:cstheme="minorBidi"/>
          <w:noProof/>
          <w:sz w:val="22"/>
          <w:szCs w:val="22"/>
          <w:lang w:eastAsia="fr-FR"/>
        </w:rPr>
      </w:pPr>
      <w:hyperlink w:anchor="_Toc441581741" w:history="1">
        <w:r w:rsidR="0010333C" w:rsidRPr="002F3A66">
          <w:rPr>
            <w:rStyle w:val="Hyperlink"/>
            <w:noProof/>
          </w:rPr>
          <w:t>Contrôle du maintien de la variété</w:t>
        </w:r>
        <w:r w:rsidR="0010333C">
          <w:rPr>
            <w:noProof/>
            <w:webHidden/>
          </w:rPr>
          <w:tab/>
        </w:r>
        <w:r w:rsidR="0010333C">
          <w:rPr>
            <w:noProof/>
            <w:webHidden/>
          </w:rPr>
          <w:fldChar w:fldCharType="begin"/>
        </w:r>
        <w:r w:rsidR="0010333C">
          <w:rPr>
            <w:noProof/>
            <w:webHidden/>
          </w:rPr>
          <w:instrText xml:space="preserve"> PAGEREF _Toc441581741 \h </w:instrText>
        </w:r>
        <w:r w:rsidR="0010333C">
          <w:rPr>
            <w:noProof/>
            <w:webHidden/>
          </w:rPr>
        </w:r>
        <w:r w:rsidR="0010333C">
          <w:rPr>
            <w:noProof/>
            <w:webHidden/>
          </w:rPr>
          <w:fldChar w:fldCharType="separate"/>
        </w:r>
        <w:r w:rsidR="0010333C">
          <w:rPr>
            <w:noProof/>
            <w:webHidden/>
          </w:rPr>
          <w:t>5</w:t>
        </w:r>
        <w:r w:rsidR="0010333C">
          <w:rPr>
            <w:noProof/>
            <w:webHidden/>
          </w:rPr>
          <w:fldChar w:fldCharType="end"/>
        </w:r>
      </w:hyperlink>
    </w:p>
    <w:p w:rsidR="0010333C" w:rsidRDefault="002906A8">
      <w:pPr>
        <w:pStyle w:val="TOC3"/>
        <w:rPr>
          <w:rFonts w:asciiTheme="minorHAnsi" w:eastAsiaTheme="minorEastAsia" w:hAnsiTheme="minorHAnsi" w:cstheme="minorBidi"/>
          <w:noProof/>
          <w:sz w:val="22"/>
          <w:szCs w:val="22"/>
          <w:lang w:eastAsia="fr-FR"/>
        </w:rPr>
      </w:pPr>
      <w:hyperlink w:anchor="_Toc441581742" w:history="1">
        <w:r w:rsidR="0010333C" w:rsidRPr="002F3A66">
          <w:rPr>
            <w:rStyle w:val="Hyperlink"/>
            <w:noProof/>
          </w:rPr>
          <w:t>Questions concernant les descriptions variétales</w:t>
        </w:r>
        <w:r w:rsidR="0010333C">
          <w:rPr>
            <w:noProof/>
            <w:webHidden/>
          </w:rPr>
          <w:tab/>
        </w:r>
        <w:r w:rsidR="0010333C">
          <w:rPr>
            <w:noProof/>
            <w:webHidden/>
          </w:rPr>
          <w:fldChar w:fldCharType="begin"/>
        </w:r>
        <w:r w:rsidR="0010333C">
          <w:rPr>
            <w:noProof/>
            <w:webHidden/>
          </w:rPr>
          <w:instrText xml:space="preserve"> PAGEREF _Toc441581742 \h </w:instrText>
        </w:r>
        <w:r w:rsidR="0010333C">
          <w:rPr>
            <w:noProof/>
            <w:webHidden/>
          </w:rPr>
        </w:r>
        <w:r w:rsidR="0010333C">
          <w:rPr>
            <w:noProof/>
            <w:webHidden/>
          </w:rPr>
          <w:fldChar w:fldCharType="separate"/>
        </w:r>
        <w:r w:rsidR="0010333C">
          <w:rPr>
            <w:noProof/>
            <w:webHidden/>
          </w:rPr>
          <w:t>6</w:t>
        </w:r>
        <w:r w:rsidR="0010333C">
          <w:rPr>
            <w:noProof/>
            <w:webHidden/>
          </w:rPr>
          <w:fldChar w:fldCharType="end"/>
        </w:r>
      </w:hyperlink>
    </w:p>
    <w:p w:rsidR="0010333C" w:rsidRDefault="002906A8">
      <w:pPr>
        <w:pStyle w:val="TOC2"/>
        <w:rPr>
          <w:rFonts w:asciiTheme="minorHAnsi" w:eastAsiaTheme="minorEastAsia" w:hAnsiTheme="minorHAnsi" w:cstheme="minorBidi"/>
          <w:smallCaps w:val="0"/>
          <w:noProof/>
          <w:sz w:val="22"/>
          <w:szCs w:val="22"/>
          <w:lang w:val="fr-FR" w:eastAsia="fr-FR"/>
        </w:rPr>
      </w:pPr>
      <w:hyperlink w:anchor="_Toc441581743" w:history="1">
        <w:r w:rsidR="0010333C" w:rsidRPr="002F3A66">
          <w:rPr>
            <w:rStyle w:val="Hyperlink"/>
            <w:noProof/>
            <w:lang w:val="fr-FR"/>
          </w:rPr>
          <w:t>Groupe de travail technique sur les plantes agricoles</w:t>
        </w:r>
        <w:r w:rsidR="0010333C">
          <w:rPr>
            <w:noProof/>
            <w:webHidden/>
          </w:rPr>
          <w:tab/>
        </w:r>
        <w:r w:rsidR="0010333C">
          <w:rPr>
            <w:noProof/>
            <w:webHidden/>
          </w:rPr>
          <w:fldChar w:fldCharType="begin"/>
        </w:r>
        <w:r w:rsidR="0010333C">
          <w:rPr>
            <w:noProof/>
            <w:webHidden/>
          </w:rPr>
          <w:instrText xml:space="preserve"> PAGEREF _Toc441581743 \h </w:instrText>
        </w:r>
        <w:r w:rsidR="0010333C">
          <w:rPr>
            <w:noProof/>
            <w:webHidden/>
          </w:rPr>
        </w:r>
        <w:r w:rsidR="0010333C">
          <w:rPr>
            <w:noProof/>
            <w:webHidden/>
          </w:rPr>
          <w:fldChar w:fldCharType="separate"/>
        </w:r>
        <w:r w:rsidR="0010333C">
          <w:rPr>
            <w:noProof/>
            <w:webHidden/>
          </w:rPr>
          <w:t>6</w:t>
        </w:r>
        <w:r w:rsidR="0010333C">
          <w:rPr>
            <w:noProof/>
            <w:webHidden/>
          </w:rPr>
          <w:fldChar w:fldCharType="end"/>
        </w:r>
      </w:hyperlink>
    </w:p>
    <w:p w:rsidR="0010333C" w:rsidRDefault="002906A8">
      <w:pPr>
        <w:pStyle w:val="TOC2"/>
        <w:rPr>
          <w:rFonts w:asciiTheme="minorHAnsi" w:eastAsiaTheme="minorEastAsia" w:hAnsiTheme="minorHAnsi" w:cstheme="minorBidi"/>
          <w:smallCaps w:val="0"/>
          <w:noProof/>
          <w:sz w:val="22"/>
          <w:szCs w:val="22"/>
          <w:lang w:val="fr-FR" w:eastAsia="fr-FR"/>
        </w:rPr>
      </w:pPr>
      <w:hyperlink w:anchor="_Toc441581744" w:history="1">
        <w:r w:rsidR="0010333C" w:rsidRPr="002F3A66">
          <w:rPr>
            <w:rStyle w:val="Hyperlink"/>
            <w:noProof/>
            <w:lang w:val="fr-FR"/>
          </w:rPr>
          <w:t>Groupe de travail technique sur les plantes fruitières</w:t>
        </w:r>
        <w:r w:rsidR="0010333C">
          <w:rPr>
            <w:noProof/>
            <w:webHidden/>
          </w:rPr>
          <w:tab/>
        </w:r>
        <w:r w:rsidR="0010333C">
          <w:rPr>
            <w:noProof/>
            <w:webHidden/>
          </w:rPr>
          <w:fldChar w:fldCharType="begin"/>
        </w:r>
        <w:r w:rsidR="0010333C">
          <w:rPr>
            <w:noProof/>
            <w:webHidden/>
          </w:rPr>
          <w:instrText xml:space="preserve"> PAGEREF _Toc441581744 \h </w:instrText>
        </w:r>
        <w:r w:rsidR="0010333C">
          <w:rPr>
            <w:noProof/>
            <w:webHidden/>
          </w:rPr>
        </w:r>
        <w:r w:rsidR="0010333C">
          <w:rPr>
            <w:noProof/>
            <w:webHidden/>
          </w:rPr>
          <w:fldChar w:fldCharType="separate"/>
        </w:r>
        <w:r w:rsidR="0010333C">
          <w:rPr>
            <w:noProof/>
            <w:webHidden/>
          </w:rPr>
          <w:t>6</w:t>
        </w:r>
        <w:r w:rsidR="0010333C">
          <w:rPr>
            <w:noProof/>
            <w:webHidden/>
          </w:rPr>
          <w:fldChar w:fldCharType="end"/>
        </w:r>
      </w:hyperlink>
    </w:p>
    <w:p w:rsidR="0010333C" w:rsidRDefault="002906A8">
      <w:pPr>
        <w:pStyle w:val="TOC2"/>
        <w:rPr>
          <w:rFonts w:asciiTheme="minorHAnsi" w:eastAsiaTheme="minorEastAsia" w:hAnsiTheme="minorHAnsi" w:cstheme="minorBidi"/>
          <w:smallCaps w:val="0"/>
          <w:noProof/>
          <w:sz w:val="22"/>
          <w:szCs w:val="22"/>
          <w:lang w:val="fr-FR" w:eastAsia="fr-FR"/>
        </w:rPr>
      </w:pPr>
      <w:hyperlink w:anchor="_Toc441581745" w:history="1">
        <w:r w:rsidR="0010333C" w:rsidRPr="002F3A66">
          <w:rPr>
            <w:rStyle w:val="Hyperlink"/>
            <w:noProof/>
            <w:lang w:val="fr-FR"/>
          </w:rPr>
          <w:t>Groupe de travail technique sur les plantes ornementales</w:t>
        </w:r>
        <w:r w:rsidR="0010333C">
          <w:rPr>
            <w:noProof/>
            <w:webHidden/>
          </w:rPr>
          <w:tab/>
        </w:r>
        <w:r w:rsidR="0010333C">
          <w:rPr>
            <w:noProof/>
            <w:webHidden/>
          </w:rPr>
          <w:fldChar w:fldCharType="begin"/>
        </w:r>
        <w:r w:rsidR="0010333C">
          <w:rPr>
            <w:noProof/>
            <w:webHidden/>
          </w:rPr>
          <w:instrText xml:space="preserve"> PAGEREF _Toc441581745 \h </w:instrText>
        </w:r>
        <w:r w:rsidR="0010333C">
          <w:rPr>
            <w:noProof/>
            <w:webHidden/>
          </w:rPr>
        </w:r>
        <w:r w:rsidR="0010333C">
          <w:rPr>
            <w:noProof/>
            <w:webHidden/>
          </w:rPr>
          <w:fldChar w:fldCharType="separate"/>
        </w:r>
        <w:r w:rsidR="0010333C">
          <w:rPr>
            <w:noProof/>
            <w:webHidden/>
          </w:rPr>
          <w:t>6</w:t>
        </w:r>
        <w:r w:rsidR="0010333C">
          <w:rPr>
            <w:noProof/>
            <w:webHidden/>
          </w:rPr>
          <w:fldChar w:fldCharType="end"/>
        </w:r>
      </w:hyperlink>
    </w:p>
    <w:p w:rsidR="008E3F88" w:rsidRPr="0010333C" w:rsidRDefault="008E3F88" w:rsidP="0010333C">
      <w:pPr>
        <w:ind w:left="851" w:hanging="851"/>
        <w:rPr>
          <w:lang w:val="fr-FR"/>
        </w:rPr>
      </w:pPr>
      <w:r w:rsidRPr="0010333C">
        <w:rPr>
          <w:lang w:val="fr-FR"/>
        </w:rPr>
        <w:fldChar w:fldCharType="end"/>
      </w:r>
    </w:p>
    <w:p w:rsidR="008E3F88" w:rsidRPr="0010333C" w:rsidRDefault="008E3F88" w:rsidP="0010333C">
      <w:pPr>
        <w:rPr>
          <w:rFonts w:cs="Arial"/>
          <w:lang w:val="fr-FR"/>
        </w:rPr>
      </w:pPr>
      <w:r w:rsidRPr="0010333C">
        <w:rPr>
          <w:rFonts w:cs="Arial"/>
          <w:lang w:val="fr-FR"/>
        </w:rPr>
        <w:fldChar w:fldCharType="begin"/>
      </w:r>
      <w:r w:rsidRPr="0010333C">
        <w:rPr>
          <w:rFonts w:cs="Arial"/>
          <w:lang w:val="fr-FR"/>
        </w:rPr>
        <w:instrText xml:space="preserve"> AUTONUM  </w:instrText>
      </w:r>
      <w:r w:rsidRPr="0010333C">
        <w:rPr>
          <w:rFonts w:cs="Arial"/>
          <w:lang w:val="fr-FR"/>
        </w:rPr>
        <w:fldChar w:fldCharType="end"/>
      </w:r>
      <w:r w:rsidRPr="0010333C">
        <w:rPr>
          <w:rFonts w:cs="Arial"/>
          <w:lang w:val="fr-FR"/>
        </w:rPr>
        <w:tab/>
        <w:t>Les abréviations ci</w:t>
      </w:r>
      <w:r w:rsidR="00BB3EE2" w:rsidRPr="0010333C">
        <w:rPr>
          <w:rFonts w:cs="Arial"/>
          <w:lang w:val="fr-FR"/>
        </w:rPr>
        <w:noBreakHyphen/>
      </w:r>
      <w:r w:rsidRPr="0010333C">
        <w:rPr>
          <w:rFonts w:cs="Arial"/>
          <w:lang w:val="fr-FR"/>
        </w:rPr>
        <w:t>après sont utilisées dans le présent document.</w:t>
      </w:r>
    </w:p>
    <w:p w:rsidR="008E3F88" w:rsidRPr="0010333C" w:rsidRDefault="008E3F88" w:rsidP="0010333C">
      <w:pPr>
        <w:ind w:left="1701" w:hanging="1134"/>
        <w:rPr>
          <w:rFonts w:cs="Arial"/>
          <w:lang w:val="fr-FR"/>
        </w:rPr>
      </w:pPr>
    </w:p>
    <w:p w:rsidR="00584454" w:rsidRPr="0010333C" w:rsidRDefault="008E3F88" w:rsidP="0010333C">
      <w:pPr>
        <w:ind w:left="1701" w:hanging="1134"/>
        <w:rPr>
          <w:rFonts w:cs="Arial"/>
          <w:lang w:val="fr-FR"/>
        </w:rPr>
      </w:pPr>
      <w:r w:rsidRPr="0010333C">
        <w:rPr>
          <w:rFonts w:cs="Arial"/>
          <w:lang w:val="fr-FR"/>
        </w:rPr>
        <w:t>CAJ</w:t>
      </w:r>
      <w:r w:rsidR="00B835B6" w:rsidRPr="0010333C">
        <w:rPr>
          <w:rFonts w:cs="Arial"/>
          <w:lang w:val="fr-FR"/>
        </w:rPr>
        <w:t> </w:t>
      </w:r>
      <w:r w:rsidRPr="0010333C">
        <w:rPr>
          <w:rFonts w:cs="Arial"/>
          <w:lang w:val="fr-FR"/>
        </w:rPr>
        <w:t xml:space="preserve">: </w:t>
      </w:r>
      <w:r w:rsidRPr="0010333C">
        <w:rPr>
          <w:rFonts w:cs="Arial"/>
          <w:lang w:val="fr-FR"/>
        </w:rPr>
        <w:tab/>
        <w:t>Comité administratif et juridique</w:t>
      </w:r>
    </w:p>
    <w:p w:rsidR="008E3F88" w:rsidRPr="0010333C" w:rsidRDefault="008E3F88" w:rsidP="0010333C">
      <w:pPr>
        <w:ind w:left="1701" w:hanging="1134"/>
        <w:rPr>
          <w:rFonts w:cs="Arial"/>
          <w:lang w:val="fr-FR"/>
        </w:rPr>
      </w:pPr>
      <w:r w:rsidRPr="0010333C">
        <w:rPr>
          <w:rFonts w:cs="Arial"/>
          <w:lang w:val="fr-FR"/>
        </w:rPr>
        <w:t>TC</w:t>
      </w:r>
      <w:r w:rsidR="00B835B6" w:rsidRPr="0010333C">
        <w:rPr>
          <w:rFonts w:cs="Arial"/>
          <w:lang w:val="fr-FR"/>
        </w:rPr>
        <w:t> </w:t>
      </w:r>
      <w:r w:rsidRPr="0010333C">
        <w:rPr>
          <w:rFonts w:cs="Arial"/>
          <w:lang w:val="fr-FR"/>
        </w:rPr>
        <w:t xml:space="preserve">: </w:t>
      </w:r>
      <w:r w:rsidRPr="0010333C">
        <w:rPr>
          <w:rFonts w:cs="Arial"/>
          <w:lang w:val="fr-FR"/>
        </w:rPr>
        <w:tab/>
        <w:t>Comité technique</w:t>
      </w:r>
    </w:p>
    <w:p w:rsidR="008E3F88" w:rsidRPr="0010333C" w:rsidRDefault="008E3F88" w:rsidP="0010333C">
      <w:pPr>
        <w:ind w:left="1701" w:hanging="1134"/>
        <w:rPr>
          <w:rFonts w:cs="Arial"/>
          <w:lang w:val="fr-FR"/>
        </w:rPr>
      </w:pPr>
      <w:r w:rsidRPr="0010333C">
        <w:rPr>
          <w:rFonts w:cs="Arial"/>
          <w:lang w:val="fr-FR"/>
        </w:rPr>
        <w:t>TC</w:t>
      </w:r>
      <w:r w:rsidR="00BB3EE2" w:rsidRPr="0010333C">
        <w:rPr>
          <w:rFonts w:cs="Arial"/>
          <w:lang w:val="fr-FR"/>
        </w:rPr>
        <w:noBreakHyphen/>
      </w:r>
      <w:r w:rsidRPr="0010333C">
        <w:rPr>
          <w:rFonts w:cs="Arial"/>
          <w:lang w:val="fr-FR"/>
        </w:rPr>
        <w:t>EDC</w:t>
      </w:r>
      <w:r w:rsidR="00B835B6" w:rsidRPr="0010333C">
        <w:rPr>
          <w:rFonts w:cs="Arial"/>
          <w:lang w:val="fr-FR"/>
        </w:rPr>
        <w:t> </w:t>
      </w:r>
      <w:r w:rsidRPr="0010333C">
        <w:rPr>
          <w:rFonts w:cs="Arial"/>
          <w:lang w:val="fr-FR"/>
        </w:rPr>
        <w:t xml:space="preserve">: </w:t>
      </w:r>
      <w:r w:rsidRPr="0010333C">
        <w:rPr>
          <w:rFonts w:cs="Arial"/>
          <w:lang w:val="fr-FR"/>
        </w:rPr>
        <w:tab/>
        <w:t>Comité de rédaction élargi</w:t>
      </w:r>
    </w:p>
    <w:p w:rsidR="008E3F88" w:rsidRPr="0010333C" w:rsidRDefault="008E3F88" w:rsidP="0010333C">
      <w:pPr>
        <w:ind w:left="1701" w:hanging="1134"/>
        <w:rPr>
          <w:rFonts w:cs="Arial"/>
          <w:lang w:val="fr-FR"/>
        </w:rPr>
      </w:pPr>
      <w:r w:rsidRPr="0010333C">
        <w:rPr>
          <w:rFonts w:cs="Arial"/>
          <w:lang w:val="fr-FR"/>
        </w:rPr>
        <w:t>TWA</w:t>
      </w:r>
      <w:r w:rsidR="00B835B6" w:rsidRPr="0010333C">
        <w:rPr>
          <w:rFonts w:cs="Arial"/>
          <w:lang w:val="fr-FR"/>
        </w:rPr>
        <w:t> </w:t>
      </w:r>
      <w:r w:rsidRPr="0010333C">
        <w:rPr>
          <w:rFonts w:cs="Arial"/>
          <w:lang w:val="fr-FR"/>
        </w:rPr>
        <w:t xml:space="preserve">: </w:t>
      </w:r>
      <w:r w:rsidRPr="0010333C">
        <w:rPr>
          <w:rFonts w:cs="Arial"/>
          <w:lang w:val="fr-FR"/>
        </w:rPr>
        <w:tab/>
        <w:t>Groupe de travail technique sur les plantes agricoles</w:t>
      </w:r>
    </w:p>
    <w:p w:rsidR="008E3F88" w:rsidRPr="0010333C" w:rsidRDefault="008E3F88" w:rsidP="0010333C">
      <w:pPr>
        <w:ind w:left="1701" w:hanging="1134"/>
        <w:rPr>
          <w:rFonts w:cs="Arial"/>
          <w:lang w:val="fr-FR"/>
        </w:rPr>
      </w:pPr>
      <w:r w:rsidRPr="0010333C">
        <w:rPr>
          <w:rFonts w:cs="Arial"/>
          <w:lang w:val="fr-FR"/>
        </w:rPr>
        <w:t>TWC</w:t>
      </w:r>
      <w:r w:rsidR="00B835B6" w:rsidRPr="0010333C">
        <w:rPr>
          <w:rFonts w:cs="Arial"/>
          <w:lang w:val="fr-FR"/>
        </w:rPr>
        <w:t> </w:t>
      </w:r>
      <w:r w:rsidRPr="0010333C">
        <w:rPr>
          <w:rFonts w:cs="Arial"/>
          <w:lang w:val="fr-FR"/>
        </w:rPr>
        <w:t xml:space="preserve">: </w:t>
      </w:r>
      <w:r w:rsidRPr="0010333C">
        <w:rPr>
          <w:rFonts w:cs="Arial"/>
          <w:lang w:val="fr-FR"/>
        </w:rPr>
        <w:tab/>
        <w:t>Groupe de travail technique sur les systèmes d</w:t>
      </w:r>
      <w:r w:rsidR="00584454" w:rsidRPr="0010333C">
        <w:rPr>
          <w:rFonts w:cs="Arial"/>
          <w:lang w:val="fr-FR"/>
        </w:rPr>
        <w:t>’</w:t>
      </w:r>
      <w:r w:rsidRPr="0010333C">
        <w:rPr>
          <w:rFonts w:cs="Arial"/>
          <w:lang w:val="fr-FR"/>
        </w:rPr>
        <w:t>automatisation et les programmes d</w:t>
      </w:r>
      <w:r w:rsidR="00584454" w:rsidRPr="0010333C">
        <w:rPr>
          <w:rFonts w:cs="Arial"/>
          <w:lang w:val="fr-FR"/>
        </w:rPr>
        <w:t>’</w:t>
      </w:r>
      <w:r w:rsidRPr="0010333C">
        <w:rPr>
          <w:rFonts w:cs="Arial"/>
          <w:lang w:val="fr-FR"/>
        </w:rPr>
        <w:t>ordinateur</w:t>
      </w:r>
    </w:p>
    <w:p w:rsidR="00584454" w:rsidRPr="0010333C" w:rsidRDefault="008E3F88" w:rsidP="0010333C">
      <w:pPr>
        <w:ind w:left="1701" w:hanging="1134"/>
        <w:rPr>
          <w:rFonts w:cs="Arial"/>
          <w:lang w:val="fr-FR"/>
        </w:rPr>
      </w:pPr>
      <w:r w:rsidRPr="0010333C">
        <w:rPr>
          <w:rFonts w:cs="Arial"/>
          <w:lang w:val="fr-FR"/>
        </w:rPr>
        <w:t>TWF</w:t>
      </w:r>
      <w:r w:rsidR="00B835B6" w:rsidRPr="0010333C">
        <w:rPr>
          <w:rFonts w:cs="Arial"/>
          <w:lang w:val="fr-FR"/>
        </w:rPr>
        <w:t> </w:t>
      </w:r>
      <w:r w:rsidRPr="0010333C">
        <w:rPr>
          <w:rFonts w:cs="Arial"/>
          <w:lang w:val="fr-FR"/>
        </w:rPr>
        <w:t xml:space="preserve">: </w:t>
      </w:r>
      <w:r w:rsidRPr="0010333C">
        <w:rPr>
          <w:rFonts w:cs="Arial"/>
          <w:lang w:val="fr-FR"/>
        </w:rPr>
        <w:tab/>
        <w:t>Groupe de travail technique sur les plantes fruitières</w:t>
      </w:r>
    </w:p>
    <w:p w:rsidR="00584454" w:rsidRPr="0010333C" w:rsidRDefault="008E3F88" w:rsidP="0010333C">
      <w:pPr>
        <w:ind w:left="1701" w:hanging="1134"/>
        <w:rPr>
          <w:rFonts w:cs="Arial"/>
          <w:lang w:val="fr-FR"/>
        </w:rPr>
      </w:pPr>
      <w:r w:rsidRPr="0010333C">
        <w:rPr>
          <w:rFonts w:cs="Arial"/>
          <w:lang w:val="fr-FR"/>
        </w:rPr>
        <w:t>TWO</w:t>
      </w:r>
      <w:r w:rsidR="00B835B6" w:rsidRPr="0010333C">
        <w:rPr>
          <w:rFonts w:cs="Arial"/>
          <w:lang w:val="fr-FR"/>
        </w:rPr>
        <w:t> </w:t>
      </w:r>
      <w:r w:rsidRPr="0010333C">
        <w:rPr>
          <w:rFonts w:cs="Arial"/>
          <w:lang w:val="fr-FR"/>
        </w:rPr>
        <w:t xml:space="preserve">: </w:t>
      </w:r>
      <w:r w:rsidRPr="0010333C">
        <w:rPr>
          <w:rFonts w:cs="Arial"/>
          <w:lang w:val="fr-FR"/>
        </w:rPr>
        <w:tab/>
        <w:t>Groupe de travail technique sur les plantes ornementales et les arbres forestiers</w:t>
      </w:r>
    </w:p>
    <w:p w:rsidR="008E3F88" w:rsidRPr="0010333C" w:rsidRDefault="008E3F88" w:rsidP="0010333C">
      <w:pPr>
        <w:ind w:left="1701" w:hanging="1134"/>
        <w:rPr>
          <w:rFonts w:cs="Arial"/>
          <w:lang w:val="fr-FR"/>
        </w:rPr>
      </w:pPr>
      <w:r w:rsidRPr="0010333C">
        <w:rPr>
          <w:rFonts w:cs="Arial"/>
          <w:lang w:val="fr-FR"/>
        </w:rPr>
        <w:t>TWV</w:t>
      </w:r>
      <w:r w:rsidR="00B835B6" w:rsidRPr="0010333C">
        <w:rPr>
          <w:rFonts w:cs="Arial"/>
          <w:lang w:val="fr-FR"/>
        </w:rPr>
        <w:t> </w:t>
      </w:r>
      <w:r w:rsidRPr="0010333C">
        <w:rPr>
          <w:rFonts w:cs="Arial"/>
          <w:lang w:val="fr-FR"/>
        </w:rPr>
        <w:t xml:space="preserve">: </w:t>
      </w:r>
      <w:r w:rsidRPr="0010333C">
        <w:rPr>
          <w:rFonts w:cs="Arial"/>
          <w:lang w:val="fr-FR"/>
        </w:rPr>
        <w:tab/>
        <w:t>Groupe de travail technique sur les plantes potagères</w:t>
      </w:r>
    </w:p>
    <w:p w:rsidR="008E3F88" w:rsidRPr="0010333C" w:rsidRDefault="008E3F88" w:rsidP="0010333C">
      <w:pPr>
        <w:ind w:left="1701" w:hanging="1134"/>
        <w:rPr>
          <w:rFonts w:cs="Arial"/>
          <w:lang w:val="fr-FR"/>
        </w:rPr>
      </w:pPr>
      <w:r w:rsidRPr="0010333C">
        <w:rPr>
          <w:rFonts w:cs="Arial"/>
          <w:lang w:val="fr-FR"/>
        </w:rPr>
        <w:t>TW</w:t>
      </w:r>
      <w:r w:rsidR="00997C61" w:rsidRPr="0010333C">
        <w:rPr>
          <w:rFonts w:cs="Arial"/>
          <w:lang w:val="fr-FR"/>
        </w:rPr>
        <w:t>P</w:t>
      </w:r>
      <w:r w:rsidRPr="0010333C">
        <w:rPr>
          <w:rFonts w:cs="Arial"/>
          <w:lang w:val="fr-FR"/>
        </w:rPr>
        <w:t xml:space="preserve"> : </w:t>
      </w:r>
      <w:r w:rsidRPr="0010333C">
        <w:rPr>
          <w:rFonts w:cs="Arial"/>
          <w:lang w:val="fr-FR"/>
        </w:rPr>
        <w:tab/>
        <w:t>Groupe</w:t>
      </w:r>
      <w:r w:rsidR="00997C61" w:rsidRPr="0010333C">
        <w:rPr>
          <w:rFonts w:cs="Arial"/>
          <w:lang w:val="fr-FR"/>
        </w:rPr>
        <w:t xml:space="preserve">s </w:t>
      </w:r>
      <w:r w:rsidRPr="0010333C">
        <w:rPr>
          <w:rFonts w:cs="Arial"/>
          <w:lang w:val="fr-FR"/>
        </w:rPr>
        <w:t>de travail technique</w:t>
      </w:r>
      <w:r w:rsidR="00997C61" w:rsidRPr="0010333C">
        <w:rPr>
          <w:rFonts w:cs="Arial"/>
          <w:lang w:val="fr-FR"/>
        </w:rPr>
        <w:t>s</w:t>
      </w:r>
    </w:p>
    <w:p w:rsidR="008E3F88" w:rsidRPr="0010333C" w:rsidRDefault="008E3F88" w:rsidP="0010333C">
      <w:pPr>
        <w:rPr>
          <w:lang w:val="fr-FR"/>
        </w:rPr>
      </w:pPr>
    </w:p>
    <w:p w:rsidR="008E3F88" w:rsidRPr="0010333C" w:rsidRDefault="008E3F88" w:rsidP="0010333C">
      <w:pPr>
        <w:jc w:val="left"/>
        <w:rPr>
          <w:lang w:val="fr-FR"/>
        </w:rPr>
      </w:pPr>
    </w:p>
    <w:p w:rsidR="008E3F88" w:rsidRPr="0010333C" w:rsidRDefault="008E3F88" w:rsidP="0010333C">
      <w:pPr>
        <w:pStyle w:val="Heading1"/>
        <w:rPr>
          <w:lang w:val="fr-FR"/>
        </w:rPr>
      </w:pPr>
      <w:bookmarkStart w:id="6" w:name="_Toc441581734"/>
      <w:bookmarkStart w:id="7" w:name="_Toc418531190"/>
      <w:bookmarkEnd w:id="5"/>
      <w:r w:rsidRPr="0010333C">
        <w:rPr>
          <w:lang w:val="fr-FR"/>
        </w:rPr>
        <w:t>Généralités</w:t>
      </w:r>
      <w:bookmarkEnd w:id="6"/>
    </w:p>
    <w:p w:rsidR="008E3F88" w:rsidRPr="0010333C" w:rsidRDefault="008E3F88" w:rsidP="0010333C">
      <w:pPr>
        <w:rPr>
          <w:lang w:val="fr-FR"/>
        </w:rPr>
      </w:pPr>
    </w:p>
    <w:bookmarkEnd w:id="7"/>
    <w:p w:rsidR="008E3F88" w:rsidRPr="0010333C" w:rsidRDefault="008E3F88" w:rsidP="0010333C">
      <w:pPr>
        <w:rPr>
          <w:rFonts w:cs="Arial"/>
          <w:lang w:val="fr-FR"/>
        </w:rPr>
      </w:pPr>
      <w:r w:rsidRPr="0010333C">
        <w:rPr>
          <w:rFonts w:cs="Arial"/>
          <w:lang w:val="fr-FR"/>
        </w:rPr>
        <w:fldChar w:fldCharType="begin"/>
      </w:r>
      <w:r w:rsidRPr="0010333C">
        <w:rPr>
          <w:rFonts w:cs="Arial"/>
          <w:lang w:val="fr-FR"/>
        </w:rPr>
        <w:instrText xml:space="preserve"> AUTONUM  </w:instrText>
      </w:r>
      <w:r w:rsidRPr="0010333C">
        <w:rPr>
          <w:rFonts w:cs="Arial"/>
          <w:lang w:val="fr-FR"/>
        </w:rPr>
        <w:fldChar w:fldCharType="end"/>
      </w:r>
      <w:r w:rsidRPr="0010333C">
        <w:rPr>
          <w:rFonts w:cs="Arial"/>
          <w:lang w:val="fr-FR"/>
        </w:rPr>
        <w:tab/>
        <w:t>À sa soixante</w:t>
      </w:r>
      <w:r w:rsidR="00BB3EE2" w:rsidRPr="0010333C">
        <w:rPr>
          <w:rFonts w:cs="Arial"/>
          <w:lang w:val="fr-FR"/>
        </w:rPr>
        <w:noBreakHyphen/>
      </w:r>
      <w:r w:rsidRPr="0010333C">
        <w:rPr>
          <w:rFonts w:cs="Arial"/>
          <w:lang w:val="fr-FR"/>
        </w:rPr>
        <w:t>neuvième</w:t>
      </w:r>
      <w:r w:rsidR="00B835B6" w:rsidRPr="0010333C">
        <w:rPr>
          <w:rFonts w:cs="Arial"/>
          <w:lang w:val="fr-FR"/>
        </w:rPr>
        <w:t> </w:t>
      </w:r>
      <w:r w:rsidRPr="0010333C">
        <w:rPr>
          <w:rFonts w:cs="Arial"/>
          <w:lang w:val="fr-FR"/>
        </w:rPr>
        <w:t>session tenue à Genève le 1</w:t>
      </w:r>
      <w:r w:rsidR="00584454" w:rsidRPr="0010333C">
        <w:rPr>
          <w:rFonts w:cs="Arial"/>
          <w:lang w:val="fr-FR"/>
        </w:rPr>
        <w:t>0 avril 20</w:t>
      </w:r>
      <w:r w:rsidRPr="0010333C">
        <w:rPr>
          <w:rFonts w:cs="Arial"/>
          <w:lang w:val="fr-FR"/>
        </w:rPr>
        <w:t>14,</w:t>
      </w:r>
      <w:r w:rsidR="00584454" w:rsidRPr="0010333C">
        <w:rPr>
          <w:rFonts w:cs="Arial"/>
          <w:lang w:val="fr-FR"/>
        </w:rPr>
        <w:t xml:space="preserve"> le CAJ</w:t>
      </w:r>
      <w:r w:rsidRPr="0010333C">
        <w:rPr>
          <w:rFonts w:cs="Arial"/>
          <w:lang w:val="fr-FR"/>
        </w:rPr>
        <w:t>, conformément à la proposition faite par</w:t>
      </w:r>
      <w:r w:rsidR="00584454" w:rsidRPr="0010333C">
        <w:rPr>
          <w:rFonts w:cs="Arial"/>
          <w:lang w:val="fr-FR"/>
        </w:rPr>
        <w:t xml:space="preserve"> le CAJ</w:t>
      </w:r>
      <w:r w:rsidR="00BB3EE2" w:rsidRPr="0010333C">
        <w:rPr>
          <w:rFonts w:cs="Arial"/>
          <w:lang w:val="fr-FR"/>
        </w:rPr>
        <w:noBreakHyphen/>
      </w:r>
      <w:r w:rsidRPr="0010333C">
        <w:rPr>
          <w:rFonts w:cs="Arial"/>
          <w:lang w:val="fr-FR"/>
        </w:rPr>
        <w:t>AG, est convenu d</w:t>
      </w:r>
      <w:r w:rsidR="00584454" w:rsidRPr="0010333C">
        <w:rPr>
          <w:rFonts w:cs="Arial"/>
          <w:lang w:val="fr-FR"/>
        </w:rPr>
        <w:t>’</w:t>
      </w:r>
      <w:r w:rsidRPr="0010333C">
        <w:rPr>
          <w:rFonts w:cs="Arial"/>
          <w:lang w:val="fr-FR"/>
        </w:rPr>
        <w:t>inviter le</w:t>
      </w:r>
      <w:r w:rsidR="00584454" w:rsidRPr="0010333C">
        <w:rPr>
          <w:rFonts w:cs="Arial"/>
          <w:lang w:val="fr-FR"/>
        </w:rPr>
        <w:t> TC</w:t>
      </w:r>
      <w:r w:rsidRPr="0010333C">
        <w:rPr>
          <w:rFonts w:cs="Arial"/>
          <w:lang w:val="fr-FR"/>
        </w:rPr>
        <w:t xml:space="preserve"> à envisager l</w:t>
      </w:r>
      <w:r w:rsidR="00584454" w:rsidRPr="0010333C">
        <w:rPr>
          <w:rFonts w:cs="Arial"/>
          <w:lang w:val="fr-FR"/>
        </w:rPr>
        <w:t>’</w:t>
      </w:r>
      <w:r w:rsidRPr="0010333C">
        <w:rPr>
          <w:rFonts w:cs="Arial"/>
          <w:lang w:val="fr-FR"/>
        </w:rPr>
        <w:t>élaboration d</w:t>
      </w:r>
      <w:r w:rsidR="00584454" w:rsidRPr="0010333C">
        <w:rPr>
          <w:rFonts w:cs="Arial"/>
          <w:lang w:val="fr-FR"/>
        </w:rPr>
        <w:t>’</w:t>
      </w:r>
      <w:r w:rsidRPr="0010333C">
        <w:rPr>
          <w:rFonts w:cs="Arial"/>
          <w:lang w:val="fr-FR"/>
        </w:rPr>
        <w:t>orientations sur les questions suivantes concernant les descriptions variétales (voir le paragraphe</w:t>
      </w:r>
      <w:r w:rsidR="00B835B6" w:rsidRPr="0010333C">
        <w:rPr>
          <w:rFonts w:cs="Arial"/>
          <w:lang w:val="fr-FR"/>
        </w:rPr>
        <w:t> </w:t>
      </w:r>
      <w:r w:rsidRPr="0010333C">
        <w:rPr>
          <w:rFonts w:cs="Arial"/>
          <w:lang w:val="fr-FR"/>
        </w:rPr>
        <w:t>19 du document CAJ/69/13 “Compte rendu”)</w:t>
      </w:r>
      <w:r w:rsidR="00B835B6" w:rsidRPr="0010333C">
        <w:rPr>
          <w:rFonts w:cs="Arial"/>
          <w:lang w:val="fr-FR"/>
        </w:rPr>
        <w:t> </w:t>
      </w:r>
      <w:r w:rsidRPr="0010333C">
        <w:rPr>
          <w:rFonts w:cs="Arial"/>
          <w:lang w:val="fr-FR"/>
        </w:rPr>
        <w:t>:</w:t>
      </w:r>
    </w:p>
    <w:p w:rsidR="008E3F88" w:rsidRPr="0010333C" w:rsidRDefault="008E3F88" w:rsidP="0010333C">
      <w:pPr>
        <w:tabs>
          <w:tab w:val="left" w:pos="810"/>
        </w:tabs>
        <w:rPr>
          <w:rFonts w:cs="Arial"/>
          <w:lang w:val="fr-FR"/>
        </w:rPr>
      </w:pPr>
    </w:p>
    <w:p w:rsidR="00584454" w:rsidRPr="0010333C" w:rsidRDefault="008E3F88" w:rsidP="0010333C">
      <w:pPr>
        <w:rPr>
          <w:rFonts w:cs="Arial"/>
          <w:lang w:val="fr-FR"/>
        </w:rPr>
      </w:pPr>
      <w:r w:rsidRPr="0010333C">
        <w:rPr>
          <w:rFonts w:cs="Arial"/>
          <w:lang w:val="fr-FR"/>
        </w:rPr>
        <w:tab/>
        <w:t>a)</w:t>
      </w:r>
      <w:r w:rsidRPr="0010333C">
        <w:rPr>
          <w:rFonts w:cs="Arial"/>
          <w:lang w:val="fr-FR"/>
        </w:rPr>
        <w:tab/>
        <w:t>l</w:t>
      </w:r>
      <w:r w:rsidR="00584454" w:rsidRPr="0010333C">
        <w:rPr>
          <w:rFonts w:cs="Arial"/>
          <w:lang w:val="fr-FR"/>
        </w:rPr>
        <w:t>’</w:t>
      </w:r>
      <w:r w:rsidRPr="0010333C">
        <w:rPr>
          <w:rFonts w:cs="Arial"/>
          <w:lang w:val="fr-FR"/>
        </w:rPr>
        <w:t>utilisation des informations, des documents ou du matériel fournis par l</w:t>
      </w:r>
      <w:r w:rsidR="00584454" w:rsidRPr="0010333C">
        <w:rPr>
          <w:rFonts w:cs="Arial"/>
          <w:lang w:val="fr-FR"/>
        </w:rPr>
        <w:t>’</w:t>
      </w:r>
      <w:r w:rsidRPr="0010333C">
        <w:rPr>
          <w:rFonts w:cs="Arial"/>
          <w:lang w:val="fr-FR"/>
        </w:rPr>
        <w:t>obtenteur aux fins du contrôle du maintien de la variété, comme énoncé au paragraphe</w:t>
      </w:r>
      <w:r w:rsidR="00B835B6" w:rsidRPr="0010333C">
        <w:rPr>
          <w:rFonts w:cs="Arial"/>
          <w:lang w:val="fr-FR"/>
        </w:rPr>
        <w:t> </w:t>
      </w:r>
      <w:r w:rsidRPr="0010333C">
        <w:rPr>
          <w:rFonts w:cs="Arial"/>
          <w:lang w:val="fr-FR"/>
        </w:rPr>
        <w:t>15 du document CAJ</w:t>
      </w:r>
      <w:r w:rsidR="00BB3EE2" w:rsidRPr="0010333C">
        <w:rPr>
          <w:rFonts w:cs="Arial"/>
          <w:lang w:val="fr-FR"/>
        </w:rPr>
        <w:noBreakHyphen/>
      </w:r>
      <w:r w:rsidRPr="0010333C">
        <w:rPr>
          <w:rFonts w:cs="Arial"/>
          <w:lang w:val="fr-FR"/>
        </w:rPr>
        <w:t>AG/13/8/4 “</w:t>
      </w:r>
      <w:proofErr w:type="spellStart"/>
      <w:r w:rsidR="005556C7" w:rsidRPr="005556C7">
        <w:rPr>
          <w:i/>
          <w:lang w:val="fr-FR"/>
        </w:rPr>
        <w:t>Matters</w:t>
      </w:r>
      <w:proofErr w:type="spellEnd"/>
      <w:r w:rsidR="005556C7" w:rsidRPr="005556C7">
        <w:rPr>
          <w:i/>
          <w:lang w:val="fr-FR"/>
        </w:rPr>
        <w:t xml:space="preserve"> </w:t>
      </w:r>
      <w:proofErr w:type="spellStart"/>
      <w:r w:rsidR="005556C7" w:rsidRPr="005556C7">
        <w:rPr>
          <w:i/>
          <w:lang w:val="fr-FR"/>
        </w:rPr>
        <w:t>concerning</w:t>
      </w:r>
      <w:proofErr w:type="spellEnd"/>
      <w:r w:rsidR="005556C7" w:rsidRPr="005556C7">
        <w:rPr>
          <w:i/>
          <w:lang w:val="fr-FR"/>
        </w:rPr>
        <w:t xml:space="preserve"> </w:t>
      </w:r>
      <w:proofErr w:type="spellStart"/>
      <w:r w:rsidR="005556C7" w:rsidRPr="005556C7">
        <w:rPr>
          <w:i/>
          <w:lang w:val="fr-FR"/>
        </w:rPr>
        <w:t>cancellation</w:t>
      </w:r>
      <w:proofErr w:type="spellEnd"/>
      <w:r w:rsidR="005556C7" w:rsidRPr="005556C7">
        <w:rPr>
          <w:i/>
          <w:lang w:val="fr-FR"/>
        </w:rPr>
        <w:t xml:space="preserve"> of the </w:t>
      </w:r>
      <w:proofErr w:type="spellStart"/>
      <w:r w:rsidR="005556C7" w:rsidRPr="005556C7">
        <w:rPr>
          <w:i/>
          <w:lang w:val="fr-FR"/>
        </w:rPr>
        <w:t>breeder's</w:t>
      </w:r>
      <w:proofErr w:type="spellEnd"/>
      <w:r w:rsidR="005556C7" w:rsidRPr="005556C7">
        <w:rPr>
          <w:i/>
          <w:lang w:val="fr-FR"/>
        </w:rPr>
        <w:t xml:space="preserve"> right</w:t>
      </w:r>
      <w:r w:rsidRPr="0010333C">
        <w:rPr>
          <w:rFonts w:cs="Arial"/>
          <w:lang w:val="fr-FR"/>
        </w:rPr>
        <w:t>”, en précisant que les informations, les documents ou le matériel pourraient être conservés dans un au</w:t>
      </w:r>
      <w:r w:rsidR="006A4C34">
        <w:rPr>
          <w:rFonts w:cs="Arial"/>
          <w:lang w:val="fr-FR"/>
        </w:rPr>
        <w:t>tre pays;</w:t>
      </w:r>
    </w:p>
    <w:p w:rsidR="008E3F88" w:rsidRPr="0010333C" w:rsidRDefault="008E3F88" w:rsidP="0010333C">
      <w:pPr>
        <w:tabs>
          <w:tab w:val="left" w:pos="7500"/>
        </w:tabs>
        <w:rPr>
          <w:rFonts w:cs="Arial"/>
          <w:lang w:val="fr-FR"/>
        </w:rPr>
      </w:pPr>
    </w:p>
    <w:p w:rsidR="008E3F88" w:rsidRPr="0010333C" w:rsidRDefault="008E3F88" w:rsidP="0010333C">
      <w:pPr>
        <w:rPr>
          <w:rFonts w:cs="Arial"/>
          <w:lang w:val="fr-FR"/>
        </w:rPr>
      </w:pPr>
      <w:r w:rsidRPr="0010333C">
        <w:rPr>
          <w:rFonts w:cs="Arial"/>
          <w:lang w:val="fr-FR"/>
        </w:rPr>
        <w:tab/>
        <w:t>b)</w:t>
      </w:r>
      <w:r w:rsidRPr="0010333C">
        <w:rPr>
          <w:rFonts w:cs="Arial"/>
          <w:lang w:val="fr-FR"/>
        </w:rPr>
        <w:tab/>
        <w:t>l</w:t>
      </w:r>
      <w:r w:rsidR="00584454" w:rsidRPr="0010333C">
        <w:rPr>
          <w:rFonts w:cs="Arial"/>
          <w:lang w:val="fr-FR"/>
        </w:rPr>
        <w:t>’</w:t>
      </w:r>
      <w:r w:rsidRPr="0010333C">
        <w:rPr>
          <w:rFonts w:cs="Arial"/>
          <w:lang w:val="fr-FR"/>
        </w:rPr>
        <w:t>utilisation de principes directeurs d</w:t>
      </w:r>
      <w:r w:rsidR="00584454" w:rsidRPr="0010333C">
        <w:rPr>
          <w:rFonts w:cs="Arial"/>
          <w:lang w:val="fr-FR"/>
        </w:rPr>
        <w:t>’</w:t>
      </w:r>
      <w:r w:rsidRPr="0010333C">
        <w:rPr>
          <w:rFonts w:cs="Arial"/>
          <w:lang w:val="fr-FR"/>
        </w:rPr>
        <w:t>examen aux fins du contrôle du maintien de la variété qui se distinguent des principes directeurs utilisés pour l</w:t>
      </w:r>
      <w:r w:rsidR="00584454" w:rsidRPr="0010333C">
        <w:rPr>
          <w:rFonts w:cs="Arial"/>
          <w:lang w:val="fr-FR"/>
        </w:rPr>
        <w:t>’</w:t>
      </w:r>
      <w:r w:rsidRPr="0010333C">
        <w:rPr>
          <w:rFonts w:cs="Arial"/>
          <w:lang w:val="fr-FR"/>
        </w:rPr>
        <w:t>examen de la distinction, de l</w:t>
      </w:r>
      <w:r w:rsidR="00584454" w:rsidRPr="0010333C">
        <w:rPr>
          <w:rFonts w:cs="Arial"/>
          <w:lang w:val="fr-FR"/>
        </w:rPr>
        <w:t>’</w:t>
      </w:r>
      <w:r w:rsidRPr="0010333C">
        <w:rPr>
          <w:rFonts w:cs="Arial"/>
          <w:lang w:val="fr-FR"/>
        </w:rPr>
        <w:t>homogénéité et de la stabilité (examen “DHS”);</w:t>
      </w:r>
    </w:p>
    <w:p w:rsidR="008E3F88" w:rsidRPr="0010333C" w:rsidRDefault="008E3F88" w:rsidP="0010333C">
      <w:pPr>
        <w:ind w:left="567" w:right="567"/>
        <w:rPr>
          <w:lang w:val="fr-FR"/>
        </w:rPr>
      </w:pPr>
    </w:p>
    <w:p w:rsidR="008E3F88" w:rsidRPr="0010333C" w:rsidRDefault="008E3F88" w:rsidP="0010333C">
      <w:pPr>
        <w:ind w:firstLine="567"/>
        <w:rPr>
          <w:lang w:val="fr-FR"/>
        </w:rPr>
      </w:pPr>
      <w:r w:rsidRPr="0010333C">
        <w:rPr>
          <w:lang w:val="fr-FR"/>
        </w:rPr>
        <w:t>c</w:t>
      </w:r>
      <w:r w:rsidR="00997C61" w:rsidRPr="0010333C">
        <w:rPr>
          <w:lang w:val="fr-FR"/>
        </w:rPr>
        <w:t>)</w:t>
      </w:r>
      <w:r w:rsidRPr="0010333C">
        <w:rPr>
          <w:lang w:val="fr-FR"/>
        </w:rPr>
        <w:tab/>
        <w:t>le statut de la description variétale initiale, au regard de la vérification de la conformité du matériel végétal à une variété protégée, aux fins de</w:t>
      </w:r>
    </w:p>
    <w:p w:rsidR="008E3F88" w:rsidRPr="0010333C" w:rsidRDefault="008E3F88" w:rsidP="0010333C">
      <w:pPr>
        <w:ind w:firstLine="567"/>
        <w:rPr>
          <w:lang w:val="fr-FR"/>
        </w:rPr>
      </w:pPr>
    </w:p>
    <w:p w:rsidR="008E3F88" w:rsidRPr="0010333C" w:rsidRDefault="008E3F88" w:rsidP="0010333C">
      <w:pPr>
        <w:ind w:left="1701" w:hanging="567"/>
        <w:rPr>
          <w:lang w:val="fr-FR"/>
        </w:rPr>
      </w:pPr>
      <w:r w:rsidRPr="0010333C">
        <w:rPr>
          <w:lang w:val="fr-FR"/>
        </w:rPr>
        <w:t>i)</w:t>
      </w:r>
      <w:r w:rsidRPr="0010333C">
        <w:rPr>
          <w:lang w:val="fr-FR"/>
        </w:rPr>
        <w:tab/>
        <w:t>vérifier le maintien de la variété (article</w:t>
      </w:r>
      <w:r w:rsidR="00B835B6" w:rsidRPr="0010333C">
        <w:rPr>
          <w:lang w:val="fr-FR"/>
        </w:rPr>
        <w:t> </w:t>
      </w:r>
      <w:r w:rsidRPr="0010333C">
        <w:rPr>
          <w:lang w:val="fr-FR"/>
        </w:rPr>
        <w:t>22 de l</w:t>
      </w:r>
      <w:r w:rsidR="00584454" w:rsidRPr="0010333C">
        <w:rPr>
          <w:lang w:val="fr-FR"/>
        </w:rPr>
        <w:t>’</w:t>
      </w:r>
      <w:r w:rsidRPr="0010333C">
        <w:rPr>
          <w:lang w:val="fr-FR"/>
        </w:rPr>
        <w:t>Acte de</w:t>
      </w:r>
      <w:r w:rsidR="00B835B6" w:rsidRPr="0010333C">
        <w:rPr>
          <w:lang w:val="fr-FR"/>
        </w:rPr>
        <w:t> </w:t>
      </w:r>
      <w:r w:rsidRPr="0010333C">
        <w:rPr>
          <w:lang w:val="fr-FR"/>
        </w:rPr>
        <w:t>1991, article</w:t>
      </w:r>
      <w:r w:rsidR="00B835B6" w:rsidRPr="0010333C">
        <w:rPr>
          <w:lang w:val="fr-FR"/>
        </w:rPr>
        <w:t> </w:t>
      </w:r>
      <w:r w:rsidRPr="0010333C">
        <w:rPr>
          <w:lang w:val="fr-FR"/>
        </w:rPr>
        <w:t>10 de l</w:t>
      </w:r>
      <w:r w:rsidR="00584454" w:rsidRPr="0010333C">
        <w:rPr>
          <w:lang w:val="fr-FR"/>
        </w:rPr>
        <w:t>’</w:t>
      </w:r>
      <w:r w:rsidRPr="0010333C">
        <w:rPr>
          <w:lang w:val="fr-FR"/>
        </w:rPr>
        <w:t>Acte de</w:t>
      </w:r>
      <w:r w:rsidR="00B835B6" w:rsidRPr="0010333C">
        <w:rPr>
          <w:lang w:val="fr-FR"/>
        </w:rPr>
        <w:t> </w:t>
      </w:r>
      <w:r w:rsidRPr="0010333C">
        <w:rPr>
          <w:lang w:val="fr-FR"/>
        </w:rPr>
        <w:t>1978);</w:t>
      </w:r>
    </w:p>
    <w:p w:rsidR="00584454" w:rsidRPr="0010333C" w:rsidRDefault="008E3F88" w:rsidP="005556C7">
      <w:pPr>
        <w:ind w:left="1689" w:hanging="555"/>
        <w:rPr>
          <w:lang w:val="fr-FR"/>
        </w:rPr>
      </w:pPr>
      <w:r w:rsidRPr="0010333C">
        <w:rPr>
          <w:lang w:val="fr-FR"/>
        </w:rPr>
        <w:t>ii)</w:t>
      </w:r>
      <w:r w:rsidRPr="0010333C">
        <w:rPr>
          <w:lang w:val="fr-FR"/>
        </w:rPr>
        <w:tab/>
        <w:t>l</w:t>
      </w:r>
      <w:r w:rsidR="00584454" w:rsidRPr="0010333C">
        <w:rPr>
          <w:lang w:val="fr-FR"/>
        </w:rPr>
        <w:t>’</w:t>
      </w:r>
      <w:r w:rsidRPr="0010333C">
        <w:rPr>
          <w:lang w:val="fr-FR"/>
        </w:rPr>
        <w:t>examen de la distinction, de l</w:t>
      </w:r>
      <w:r w:rsidR="00584454" w:rsidRPr="0010333C">
        <w:rPr>
          <w:lang w:val="fr-FR"/>
        </w:rPr>
        <w:t>’</w:t>
      </w:r>
      <w:r w:rsidRPr="0010333C">
        <w:rPr>
          <w:lang w:val="fr-FR"/>
        </w:rPr>
        <w:t>homogénéité et de la stabilité (examen “DHS”) des variétés candidates;</w:t>
      </w:r>
    </w:p>
    <w:p w:rsidR="008E3F88" w:rsidRPr="0010333C" w:rsidRDefault="008E3F88" w:rsidP="0010333C">
      <w:pPr>
        <w:ind w:left="567" w:right="567"/>
        <w:rPr>
          <w:lang w:val="fr-FR"/>
        </w:rPr>
      </w:pPr>
    </w:p>
    <w:p w:rsidR="008E3F88" w:rsidRPr="0010333C" w:rsidRDefault="008E3F88" w:rsidP="0010333C">
      <w:pPr>
        <w:ind w:right="567" w:firstLine="567"/>
        <w:rPr>
          <w:lang w:val="fr-FR"/>
        </w:rPr>
      </w:pPr>
      <w:r w:rsidRPr="0010333C">
        <w:rPr>
          <w:lang w:val="fr-FR"/>
        </w:rPr>
        <w:t>d)</w:t>
      </w:r>
      <w:r w:rsidRPr="0010333C">
        <w:rPr>
          <w:lang w:val="fr-FR"/>
        </w:rPr>
        <w:tab/>
        <w:t>le statut d</w:t>
      </w:r>
      <w:r w:rsidR="00584454" w:rsidRPr="0010333C">
        <w:rPr>
          <w:lang w:val="fr-FR"/>
        </w:rPr>
        <w:t>’</w:t>
      </w:r>
      <w:r w:rsidRPr="0010333C">
        <w:rPr>
          <w:lang w:val="fr-FR"/>
        </w:rPr>
        <w:t>une description variétale modifiée fournie, par exemple, à la suite</w:t>
      </w:r>
    </w:p>
    <w:p w:rsidR="008E3F88" w:rsidRPr="0010333C" w:rsidRDefault="008E3F88" w:rsidP="0010333C">
      <w:pPr>
        <w:ind w:right="567" w:firstLine="567"/>
        <w:rPr>
          <w:lang w:val="fr-FR"/>
        </w:rPr>
      </w:pPr>
    </w:p>
    <w:p w:rsidR="008E3F88" w:rsidRPr="0010333C" w:rsidRDefault="008E3F88" w:rsidP="0010333C">
      <w:pPr>
        <w:spacing w:after="60"/>
        <w:ind w:left="1701" w:hanging="567"/>
        <w:rPr>
          <w:lang w:val="fr-FR"/>
        </w:rPr>
      </w:pPr>
      <w:r w:rsidRPr="0010333C">
        <w:rPr>
          <w:lang w:val="fr-FR"/>
        </w:rPr>
        <w:t>i)</w:t>
      </w:r>
      <w:r w:rsidRPr="0010333C">
        <w:rPr>
          <w:lang w:val="fr-FR"/>
        </w:rPr>
        <w:tab/>
        <w:t>d</w:t>
      </w:r>
      <w:r w:rsidR="00584454" w:rsidRPr="0010333C">
        <w:rPr>
          <w:lang w:val="fr-FR"/>
        </w:rPr>
        <w:t>’</w:t>
      </w:r>
      <w:r w:rsidRPr="0010333C">
        <w:rPr>
          <w:lang w:val="fr-FR"/>
        </w:rPr>
        <w:t>un réétalonnage de l</w:t>
      </w:r>
      <w:r w:rsidR="00584454" w:rsidRPr="0010333C">
        <w:rPr>
          <w:lang w:val="fr-FR"/>
        </w:rPr>
        <w:t>’</w:t>
      </w:r>
      <w:r w:rsidRPr="0010333C">
        <w:rPr>
          <w:lang w:val="fr-FR"/>
        </w:rPr>
        <w:t>échelle des principes directeurs d</w:t>
      </w:r>
      <w:r w:rsidR="00584454" w:rsidRPr="0010333C">
        <w:rPr>
          <w:lang w:val="fr-FR"/>
        </w:rPr>
        <w:t>’</w:t>
      </w:r>
      <w:r w:rsidRPr="0010333C">
        <w:rPr>
          <w:lang w:val="fr-FR"/>
        </w:rPr>
        <w:t>examen (en particulier pour les caractères non signalés par un astérisque);</w:t>
      </w:r>
    </w:p>
    <w:p w:rsidR="008E3F88" w:rsidRPr="0010333C" w:rsidRDefault="007D189A" w:rsidP="0010333C">
      <w:pPr>
        <w:spacing w:after="60"/>
        <w:ind w:left="1701" w:hanging="567"/>
        <w:rPr>
          <w:lang w:val="fr-FR"/>
        </w:rPr>
      </w:pPr>
      <w:r w:rsidRPr="0010333C">
        <w:rPr>
          <w:lang w:val="fr-FR"/>
        </w:rPr>
        <w:t>ii)</w:t>
      </w:r>
      <w:r w:rsidR="008E3F88" w:rsidRPr="0010333C">
        <w:rPr>
          <w:lang w:val="fr-FR"/>
        </w:rPr>
        <w:tab/>
        <w:t>d</w:t>
      </w:r>
      <w:r w:rsidR="00584454" w:rsidRPr="0010333C">
        <w:rPr>
          <w:lang w:val="fr-FR"/>
        </w:rPr>
        <w:t>’</w:t>
      </w:r>
      <w:r w:rsidR="008E3F88" w:rsidRPr="0010333C">
        <w:rPr>
          <w:lang w:val="fr-FR"/>
        </w:rPr>
        <w:t>une variation due aux conditions environnementales des années d</w:t>
      </w:r>
      <w:r w:rsidR="00584454" w:rsidRPr="0010333C">
        <w:rPr>
          <w:lang w:val="fr-FR"/>
        </w:rPr>
        <w:t>’</w:t>
      </w:r>
      <w:r w:rsidR="008E3F88" w:rsidRPr="0010333C">
        <w:rPr>
          <w:lang w:val="fr-FR"/>
        </w:rPr>
        <w:t>essai pour les caractères influencés par le milieu;</w:t>
      </w:r>
    </w:p>
    <w:p w:rsidR="008E3F88" w:rsidRPr="0010333C" w:rsidRDefault="008E3F88" w:rsidP="0010333C">
      <w:pPr>
        <w:keepNext/>
        <w:keepLines/>
        <w:spacing w:after="60"/>
        <w:ind w:left="1701" w:hanging="567"/>
        <w:rPr>
          <w:lang w:val="fr-FR"/>
        </w:rPr>
      </w:pPr>
      <w:r w:rsidRPr="0010333C">
        <w:rPr>
          <w:lang w:val="fr-FR"/>
        </w:rPr>
        <w:lastRenderedPageBreak/>
        <w:t>iii)</w:t>
      </w:r>
      <w:r w:rsidRPr="0010333C">
        <w:rPr>
          <w:lang w:val="fr-FR"/>
        </w:rPr>
        <w:tab/>
        <w:t>d</w:t>
      </w:r>
      <w:r w:rsidR="00584454" w:rsidRPr="0010333C">
        <w:rPr>
          <w:lang w:val="fr-FR"/>
        </w:rPr>
        <w:t>’</w:t>
      </w:r>
      <w:r w:rsidRPr="0010333C">
        <w:rPr>
          <w:lang w:val="fr-FR"/>
        </w:rPr>
        <w:t>une variation due à l</w:t>
      </w:r>
      <w:r w:rsidR="00584454" w:rsidRPr="0010333C">
        <w:rPr>
          <w:lang w:val="fr-FR"/>
        </w:rPr>
        <w:t>’</w:t>
      </w:r>
      <w:r w:rsidRPr="0010333C">
        <w:rPr>
          <w:lang w:val="fr-FR"/>
        </w:rPr>
        <w:t>observation effectuée par différents experts;  ou</w:t>
      </w:r>
    </w:p>
    <w:p w:rsidR="00584454" w:rsidRPr="0010333C" w:rsidRDefault="008E3F88" w:rsidP="0010333C">
      <w:pPr>
        <w:keepNext/>
        <w:keepLines/>
        <w:ind w:left="1701" w:hanging="567"/>
        <w:rPr>
          <w:lang w:val="fr-FR"/>
        </w:rPr>
      </w:pPr>
      <w:r w:rsidRPr="0010333C">
        <w:rPr>
          <w:lang w:val="fr-FR"/>
        </w:rPr>
        <w:t>iv)</w:t>
      </w:r>
      <w:r w:rsidRPr="0010333C">
        <w:rPr>
          <w:lang w:val="fr-FR"/>
        </w:rPr>
        <w:tab/>
        <w:t>de l</w:t>
      </w:r>
      <w:r w:rsidR="00584454" w:rsidRPr="0010333C">
        <w:rPr>
          <w:lang w:val="fr-FR"/>
        </w:rPr>
        <w:t>’</w:t>
      </w:r>
      <w:r w:rsidRPr="0010333C">
        <w:rPr>
          <w:lang w:val="fr-FR"/>
        </w:rPr>
        <w:t>utilisation de différentes versions d</w:t>
      </w:r>
      <w:r w:rsidR="00584454" w:rsidRPr="0010333C">
        <w:rPr>
          <w:lang w:val="fr-FR"/>
        </w:rPr>
        <w:t>’</w:t>
      </w:r>
      <w:r w:rsidRPr="0010333C">
        <w:rPr>
          <w:lang w:val="fr-FR"/>
        </w:rPr>
        <w:t>échelles (par exemple, différentes versions du code RHS des couleurs);  et</w:t>
      </w:r>
    </w:p>
    <w:p w:rsidR="008E3F88" w:rsidRPr="0010333C" w:rsidRDefault="008E3F88" w:rsidP="0010333C">
      <w:pPr>
        <w:ind w:left="567" w:right="567"/>
        <w:rPr>
          <w:lang w:val="fr-FR"/>
        </w:rPr>
      </w:pPr>
    </w:p>
    <w:p w:rsidR="008E3F88" w:rsidRPr="0010333C" w:rsidRDefault="008E3F88" w:rsidP="0010333C">
      <w:pPr>
        <w:ind w:left="567" w:right="567"/>
        <w:rPr>
          <w:lang w:val="fr-FR"/>
        </w:rPr>
      </w:pPr>
      <w:r w:rsidRPr="0010333C">
        <w:rPr>
          <w:lang w:val="fr-FR"/>
        </w:rPr>
        <w:t>e)</w:t>
      </w:r>
      <w:r w:rsidRPr="0010333C">
        <w:rPr>
          <w:lang w:val="fr-FR"/>
        </w:rPr>
        <w:tab/>
        <w:t>le cas où une erreur est décelée par la suite dans la description variétale initiale.</w:t>
      </w:r>
    </w:p>
    <w:p w:rsidR="0010333C" w:rsidRPr="0010333C" w:rsidRDefault="0010333C" w:rsidP="0010333C">
      <w:pPr>
        <w:ind w:right="567"/>
        <w:rPr>
          <w:szCs w:val="18"/>
          <w:lang w:val="fr-FR"/>
        </w:rPr>
      </w:pPr>
    </w:p>
    <w:p w:rsidR="0010333C" w:rsidRPr="0010333C" w:rsidRDefault="0010333C" w:rsidP="0010333C">
      <w:pPr>
        <w:ind w:right="567"/>
        <w:rPr>
          <w:szCs w:val="18"/>
          <w:lang w:val="fr-FR"/>
        </w:rPr>
      </w:pPr>
    </w:p>
    <w:p w:rsidR="008E3F88" w:rsidRPr="0010333C" w:rsidRDefault="008E3F88" w:rsidP="0010333C">
      <w:pPr>
        <w:pStyle w:val="Heading1"/>
        <w:rPr>
          <w:lang w:val="fr-FR"/>
        </w:rPr>
      </w:pPr>
      <w:bookmarkStart w:id="8" w:name="_Toc441581735"/>
      <w:r w:rsidRPr="0010333C">
        <w:rPr>
          <w:lang w:val="fr-FR"/>
        </w:rPr>
        <w:t>faits nouveaux intervenus au sein du Comité technique en</w:t>
      </w:r>
      <w:r w:rsidR="00B835B6" w:rsidRPr="0010333C">
        <w:rPr>
          <w:lang w:val="fr-FR"/>
        </w:rPr>
        <w:t> </w:t>
      </w:r>
      <w:r w:rsidRPr="0010333C">
        <w:rPr>
          <w:lang w:val="fr-FR"/>
        </w:rPr>
        <w:t>2015</w:t>
      </w:r>
      <w:bookmarkEnd w:id="8"/>
    </w:p>
    <w:p w:rsidR="008E3F88" w:rsidRPr="0010333C" w:rsidRDefault="008E3F88" w:rsidP="0010333C">
      <w:pPr>
        <w:keepNext/>
        <w:jc w:val="left"/>
        <w:rPr>
          <w:lang w:val="fr-FR"/>
        </w:rPr>
      </w:pPr>
    </w:p>
    <w:p w:rsidR="008E3F88" w:rsidRPr="0010333C" w:rsidRDefault="008E3F88" w:rsidP="0010333C">
      <w:pPr>
        <w:rPr>
          <w:lang w:val="fr-FR"/>
        </w:rPr>
      </w:pPr>
      <w:r w:rsidRPr="0010333C">
        <w:rPr>
          <w:lang w:val="fr-FR"/>
        </w:rPr>
        <w:fldChar w:fldCharType="begin"/>
      </w:r>
      <w:r w:rsidRPr="0010333C">
        <w:rPr>
          <w:lang w:val="fr-FR"/>
        </w:rPr>
        <w:instrText xml:space="preserve"> AUTONUM  </w:instrText>
      </w:r>
      <w:r w:rsidRPr="0010333C">
        <w:rPr>
          <w:lang w:val="fr-FR"/>
        </w:rPr>
        <w:fldChar w:fldCharType="end"/>
      </w:r>
      <w:r w:rsidRPr="0010333C">
        <w:rPr>
          <w:lang w:val="fr-FR"/>
        </w:rPr>
        <w:tab/>
        <w:t>À sa cinquante</w:t>
      </w:r>
      <w:r w:rsidR="00B835B6" w:rsidRPr="0010333C">
        <w:rPr>
          <w:lang w:val="fr-FR"/>
        </w:rPr>
        <w:t> </w:t>
      </w:r>
      <w:r w:rsidRPr="0010333C">
        <w:rPr>
          <w:lang w:val="fr-FR"/>
        </w:rPr>
        <w:t>et</w:t>
      </w:r>
      <w:r w:rsidR="00B835B6" w:rsidRPr="0010333C">
        <w:rPr>
          <w:lang w:val="fr-FR"/>
        </w:rPr>
        <w:t> </w:t>
      </w:r>
      <w:r w:rsidRPr="0010333C">
        <w:rPr>
          <w:lang w:val="fr-FR"/>
        </w:rPr>
        <w:t>unième</w:t>
      </w:r>
      <w:r w:rsidR="00B835B6" w:rsidRPr="0010333C">
        <w:rPr>
          <w:lang w:val="fr-FR"/>
        </w:rPr>
        <w:t> </w:t>
      </w:r>
      <w:r w:rsidRPr="0010333C">
        <w:rPr>
          <w:lang w:val="fr-FR"/>
        </w:rPr>
        <w:t>session tenue à Genève du 23 au 2</w:t>
      </w:r>
      <w:r w:rsidR="00584454" w:rsidRPr="0010333C">
        <w:rPr>
          <w:lang w:val="fr-FR"/>
        </w:rPr>
        <w:t>5 mars 20</w:t>
      </w:r>
      <w:r w:rsidRPr="0010333C">
        <w:rPr>
          <w:lang w:val="fr-FR"/>
        </w:rPr>
        <w:t>15, le</w:t>
      </w:r>
      <w:r w:rsidR="00584454" w:rsidRPr="0010333C">
        <w:rPr>
          <w:lang w:val="fr-FR"/>
        </w:rPr>
        <w:t> TC</w:t>
      </w:r>
      <w:r w:rsidRPr="0010333C">
        <w:rPr>
          <w:lang w:val="fr-FR"/>
        </w:rPr>
        <w:t xml:space="preserve"> a examiné le </w:t>
      </w:r>
      <w:r w:rsidR="00584454" w:rsidRPr="0010333C">
        <w:rPr>
          <w:lang w:val="fr-FR"/>
        </w:rPr>
        <w:t>document TC</w:t>
      </w:r>
      <w:r w:rsidRPr="0010333C">
        <w:rPr>
          <w:lang w:val="fr-FR"/>
        </w:rPr>
        <w:t>/51/3</w:t>
      </w:r>
      <w:bookmarkStart w:id="9" w:name="_GoBack"/>
      <w:bookmarkEnd w:id="9"/>
      <w:r w:rsidRPr="0010333C">
        <w:rPr>
          <w:lang w:val="fr-FR"/>
        </w:rPr>
        <w:t>8 “Questions concernant les descriptions variétales” (voir les paragraphes</w:t>
      </w:r>
      <w:r w:rsidR="00B835B6" w:rsidRPr="0010333C">
        <w:rPr>
          <w:lang w:val="fr-FR"/>
        </w:rPr>
        <w:t> </w:t>
      </w:r>
      <w:r w:rsidRPr="0010333C">
        <w:rPr>
          <w:lang w:val="fr-FR"/>
        </w:rPr>
        <w:t xml:space="preserve">214 à 219 du </w:t>
      </w:r>
      <w:r w:rsidR="00584454" w:rsidRPr="0010333C">
        <w:rPr>
          <w:lang w:val="fr-FR"/>
        </w:rPr>
        <w:t>document TC</w:t>
      </w:r>
      <w:r w:rsidRPr="0010333C">
        <w:rPr>
          <w:lang w:val="fr-FR"/>
        </w:rPr>
        <w:t>/51/39 “Compte rendu”).</w:t>
      </w:r>
    </w:p>
    <w:p w:rsidR="008E3F88" w:rsidRPr="0010333C" w:rsidRDefault="008E3F88" w:rsidP="0010333C">
      <w:pPr>
        <w:rPr>
          <w:lang w:val="fr-FR"/>
        </w:rPr>
      </w:pPr>
    </w:p>
    <w:p w:rsidR="008E3F88" w:rsidRPr="0010333C" w:rsidRDefault="008E3F88" w:rsidP="0010333C">
      <w:pPr>
        <w:rPr>
          <w:lang w:val="fr-FR"/>
        </w:rPr>
      </w:pPr>
      <w:r w:rsidRPr="0010333C">
        <w:rPr>
          <w:lang w:val="fr-FR"/>
        </w:rPr>
        <w:fldChar w:fldCharType="begin"/>
      </w:r>
      <w:r w:rsidRPr="0010333C">
        <w:rPr>
          <w:lang w:val="fr-FR"/>
        </w:rPr>
        <w:instrText xml:space="preserve"> AUTONUM  </w:instrText>
      </w:r>
      <w:r w:rsidRPr="0010333C">
        <w:rPr>
          <w:lang w:val="fr-FR"/>
        </w:rPr>
        <w:fldChar w:fldCharType="end"/>
      </w:r>
      <w:r w:rsidRPr="0010333C">
        <w:rPr>
          <w:lang w:val="fr-FR"/>
        </w:rPr>
        <w:tab/>
        <w:t>Le</w:t>
      </w:r>
      <w:r w:rsidR="00584454" w:rsidRPr="0010333C">
        <w:rPr>
          <w:lang w:val="fr-FR"/>
        </w:rPr>
        <w:t> TC</w:t>
      </w:r>
      <w:r w:rsidRPr="0010333C">
        <w:rPr>
          <w:lang w:val="fr-FR"/>
        </w:rPr>
        <w:t xml:space="preserve"> est convenu d</w:t>
      </w:r>
      <w:r w:rsidR="00584454" w:rsidRPr="0010333C">
        <w:rPr>
          <w:lang w:val="fr-FR"/>
        </w:rPr>
        <w:t>’</w:t>
      </w:r>
      <w:r w:rsidRPr="0010333C">
        <w:rPr>
          <w:lang w:val="fr-FR"/>
        </w:rPr>
        <w:t>inviter des experts à faire part</w:t>
      </w:r>
      <w:r w:rsidR="00584454" w:rsidRPr="0010333C">
        <w:rPr>
          <w:lang w:val="fr-FR"/>
        </w:rPr>
        <w:t xml:space="preserve"> aux TWP</w:t>
      </w:r>
      <w:r w:rsidRPr="0010333C">
        <w:rPr>
          <w:lang w:val="fr-FR"/>
        </w:rPr>
        <w:t>, à leurs sessions de</w:t>
      </w:r>
      <w:r w:rsidR="00B835B6" w:rsidRPr="0010333C">
        <w:rPr>
          <w:lang w:val="fr-FR"/>
        </w:rPr>
        <w:t> </w:t>
      </w:r>
      <w:r w:rsidRPr="0010333C">
        <w:rPr>
          <w:lang w:val="fr-FR"/>
        </w:rPr>
        <w:t>2015, de leurs données d</w:t>
      </w:r>
      <w:r w:rsidR="00584454" w:rsidRPr="0010333C">
        <w:rPr>
          <w:lang w:val="fr-FR"/>
        </w:rPr>
        <w:t>’</w:t>
      </w:r>
      <w:r w:rsidRPr="0010333C">
        <w:rPr>
          <w:lang w:val="fr-FR"/>
        </w:rPr>
        <w:t>expérience concernant l</w:t>
      </w:r>
      <w:r w:rsidR="00584454" w:rsidRPr="0010333C">
        <w:rPr>
          <w:lang w:val="fr-FR"/>
        </w:rPr>
        <w:t>’</w:t>
      </w:r>
      <w:r w:rsidRPr="0010333C">
        <w:rPr>
          <w:lang w:val="fr-FR"/>
        </w:rPr>
        <w:t>utilisation des informations, des documents ou du matériel fournis par l</w:t>
      </w:r>
      <w:r w:rsidR="00584454" w:rsidRPr="0010333C">
        <w:rPr>
          <w:lang w:val="fr-FR"/>
        </w:rPr>
        <w:t>’</w:t>
      </w:r>
      <w:r w:rsidRPr="0010333C">
        <w:rPr>
          <w:lang w:val="fr-FR"/>
        </w:rPr>
        <w:t>obtenteur aux fins du contrôle du maintien de la variété et l</w:t>
      </w:r>
      <w:r w:rsidR="00584454" w:rsidRPr="0010333C">
        <w:rPr>
          <w:lang w:val="fr-FR"/>
        </w:rPr>
        <w:t>’</w:t>
      </w:r>
      <w:r w:rsidRPr="0010333C">
        <w:rPr>
          <w:lang w:val="fr-FR"/>
        </w:rPr>
        <w:t>utilisation de principes directeurs d</w:t>
      </w:r>
      <w:r w:rsidR="00584454" w:rsidRPr="0010333C">
        <w:rPr>
          <w:lang w:val="fr-FR"/>
        </w:rPr>
        <w:t>’</w:t>
      </w:r>
      <w:r w:rsidRPr="0010333C">
        <w:rPr>
          <w:lang w:val="fr-FR"/>
        </w:rPr>
        <w:t>examen aux fins du contrôle du maintien de la variété qui se distinguent des principes directeurs utilisés pour l</w:t>
      </w:r>
      <w:r w:rsidR="00584454" w:rsidRPr="0010333C">
        <w:rPr>
          <w:lang w:val="fr-FR"/>
        </w:rPr>
        <w:t>’</w:t>
      </w:r>
      <w:r w:rsidRPr="0010333C">
        <w:rPr>
          <w:lang w:val="fr-FR"/>
        </w:rPr>
        <w:t>examen</w:t>
      </w:r>
      <w:r w:rsidR="00B835B6" w:rsidRPr="0010333C">
        <w:rPr>
          <w:lang w:val="fr-FR"/>
        </w:rPr>
        <w:t> </w:t>
      </w:r>
      <w:r w:rsidRPr="0010333C">
        <w:rPr>
          <w:lang w:val="fr-FR"/>
        </w:rPr>
        <w:t>DHS.</w:t>
      </w:r>
    </w:p>
    <w:p w:rsidR="008E3F88" w:rsidRPr="0010333C" w:rsidRDefault="008E3F88" w:rsidP="0010333C">
      <w:pPr>
        <w:rPr>
          <w:lang w:val="fr-FR"/>
        </w:rPr>
      </w:pPr>
    </w:p>
    <w:p w:rsidR="008E3F88" w:rsidRPr="0010333C" w:rsidRDefault="008E3F88" w:rsidP="0010333C">
      <w:pPr>
        <w:rPr>
          <w:lang w:val="fr-FR"/>
        </w:rPr>
      </w:pPr>
      <w:r w:rsidRPr="0010333C">
        <w:rPr>
          <w:lang w:val="fr-FR"/>
        </w:rPr>
        <w:fldChar w:fldCharType="begin"/>
      </w:r>
      <w:r w:rsidRPr="0010333C">
        <w:rPr>
          <w:lang w:val="fr-FR"/>
        </w:rPr>
        <w:instrText xml:space="preserve"> AUTONUM  </w:instrText>
      </w:r>
      <w:r w:rsidRPr="0010333C">
        <w:rPr>
          <w:lang w:val="fr-FR"/>
        </w:rPr>
        <w:fldChar w:fldCharType="end"/>
      </w:r>
      <w:r w:rsidRPr="0010333C">
        <w:rPr>
          <w:lang w:val="fr-FR"/>
        </w:rPr>
        <w:tab/>
        <w:t>Le</w:t>
      </w:r>
      <w:r w:rsidR="00584454" w:rsidRPr="0010333C">
        <w:rPr>
          <w:lang w:val="fr-FR"/>
        </w:rPr>
        <w:t> TC</w:t>
      </w:r>
      <w:r w:rsidRPr="0010333C">
        <w:rPr>
          <w:lang w:val="fr-FR"/>
        </w:rPr>
        <w:t xml:space="preserve"> a pris note de l</w:t>
      </w:r>
      <w:r w:rsidR="00584454" w:rsidRPr="0010333C">
        <w:rPr>
          <w:lang w:val="fr-FR"/>
        </w:rPr>
        <w:t>’</w:t>
      </w:r>
      <w:r w:rsidRPr="0010333C">
        <w:rPr>
          <w:lang w:val="fr-FR"/>
        </w:rPr>
        <w:t>existence de différentes approches en matière d</w:t>
      </w:r>
      <w:r w:rsidR="00584454" w:rsidRPr="0010333C">
        <w:rPr>
          <w:lang w:val="fr-FR"/>
        </w:rPr>
        <w:t>’</w:t>
      </w:r>
      <w:r w:rsidRPr="0010333C">
        <w:rPr>
          <w:lang w:val="fr-FR"/>
        </w:rPr>
        <w:t>élaboration des descriptions variétales et de contrôle du maintien de la variété parmi les membres de l</w:t>
      </w:r>
      <w:r w:rsidR="00584454" w:rsidRPr="0010333C">
        <w:rPr>
          <w:lang w:val="fr-FR"/>
        </w:rPr>
        <w:t>’</w:t>
      </w:r>
      <w:r w:rsidRPr="0010333C">
        <w:rPr>
          <w:lang w:val="fr-FR"/>
        </w:rPr>
        <w:t>UPOV et selon les différents systèmes d</w:t>
      </w:r>
      <w:r w:rsidR="00584454" w:rsidRPr="0010333C">
        <w:rPr>
          <w:lang w:val="fr-FR"/>
        </w:rPr>
        <w:t>’</w:t>
      </w:r>
      <w:r w:rsidRPr="0010333C">
        <w:rPr>
          <w:lang w:val="fr-FR"/>
        </w:rPr>
        <w:t>examen</w:t>
      </w:r>
      <w:r w:rsidR="00B835B6" w:rsidRPr="0010333C">
        <w:rPr>
          <w:lang w:val="fr-FR"/>
        </w:rPr>
        <w:t> </w:t>
      </w:r>
      <w:r w:rsidRPr="0010333C">
        <w:rPr>
          <w:lang w:val="fr-FR"/>
        </w:rPr>
        <w:t>DHS.</w:t>
      </w:r>
    </w:p>
    <w:p w:rsidR="008E3F88" w:rsidRPr="0010333C" w:rsidRDefault="008E3F88" w:rsidP="0010333C">
      <w:pPr>
        <w:rPr>
          <w:lang w:val="fr-FR"/>
        </w:rPr>
      </w:pPr>
    </w:p>
    <w:p w:rsidR="00584454" w:rsidRPr="0010333C" w:rsidRDefault="008E3F88" w:rsidP="0010333C">
      <w:pPr>
        <w:rPr>
          <w:lang w:val="fr-FR"/>
        </w:rPr>
      </w:pPr>
      <w:r w:rsidRPr="0010333C">
        <w:rPr>
          <w:lang w:val="fr-FR"/>
        </w:rPr>
        <w:fldChar w:fldCharType="begin"/>
      </w:r>
      <w:r w:rsidRPr="0010333C">
        <w:rPr>
          <w:lang w:val="fr-FR"/>
        </w:rPr>
        <w:instrText xml:space="preserve"> AUTONUM  </w:instrText>
      </w:r>
      <w:r w:rsidRPr="0010333C">
        <w:rPr>
          <w:lang w:val="fr-FR"/>
        </w:rPr>
        <w:fldChar w:fldCharType="end"/>
      </w:r>
      <w:r w:rsidRPr="0010333C">
        <w:rPr>
          <w:lang w:val="fr-FR"/>
        </w:rPr>
        <w:tab/>
        <w:t>Le</w:t>
      </w:r>
      <w:r w:rsidR="00584454" w:rsidRPr="0010333C">
        <w:rPr>
          <w:lang w:val="fr-FR"/>
        </w:rPr>
        <w:t> TC</w:t>
      </w:r>
      <w:r w:rsidRPr="0010333C">
        <w:rPr>
          <w:lang w:val="fr-FR"/>
        </w:rPr>
        <w:t xml:space="preserve"> a pris note des informations figurant aux paragraphes</w:t>
      </w:r>
      <w:r w:rsidR="00B835B6" w:rsidRPr="0010333C">
        <w:rPr>
          <w:lang w:val="fr-FR"/>
        </w:rPr>
        <w:t> </w:t>
      </w:r>
      <w:r w:rsidRPr="0010333C">
        <w:rPr>
          <w:lang w:val="fr-FR"/>
        </w:rPr>
        <w:t xml:space="preserve">9 à 12 du </w:t>
      </w:r>
      <w:r w:rsidR="00584454" w:rsidRPr="0010333C">
        <w:rPr>
          <w:lang w:val="fr-FR"/>
        </w:rPr>
        <w:t>document TC</w:t>
      </w:r>
      <w:r w:rsidRPr="0010333C">
        <w:rPr>
          <w:lang w:val="fr-FR"/>
        </w:rPr>
        <w:t>/51/38, relatives aux questions concernant les descriptions variétales visées au paragraphe</w:t>
      </w:r>
      <w:r w:rsidR="00B835B6" w:rsidRPr="0010333C">
        <w:rPr>
          <w:lang w:val="fr-FR"/>
        </w:rPr>
        <w:t> </w:t>
      </w:r>
      <w:r w:rsidRPr="0010333C">
        <w:rPr>
          <w:lang w:val="fr-FR"/>
        </w:rPr>
        <w:t>8 du</w:t>
      </w:r>
      <w:r w:rsidR="00584454" w:rsidRPr="0010333C">
        <w:rPr>
          <w:lang w:val="fr-FR"/>
        </w:rPr>
        <w:t> TC</w:t>
      </w:r>
      <w:r w:rsidRPr="0010333C">
        <w:rPr>
          <w:lang w:val="fr-FR"/>
        </w:rPr>
        <w:t>/51/38.</w:t>
      </w:r>
    </w:p>
    <w:p w:rsidR="008E3F88" w:rsidRPr="0010333C" w:rsidRDefault="008E3F88" w:rsidP="0010333C">
      <w:pPr>
        <w:rPr>
          <w:lang w:val="fr-FR"/>
        </w:rPr>
      </w:pPr>
    </w:p>
    <w:p w:rsidR="008E3F88" w:rsidRPr="0010333C" w:rsidRDefault="008E3F88" w:rsidP="0010333C">
      <w:pPr>
        <w:rPr>
          <w:lang w:val="fr-FR"/>
        </w:rPr>
      </w:pPr>
      <w:r w:rsidRPr="0010333C">
        <w:rPr>
          <w:lang w:val="fr-FR"/>
        </w:rPr>
        <w:fldChar w:fldCharType="begin"/>
      </w:r>
      <w:r w:rsidRPr="0010333C">
        <w:rPr>
          <w:lang w:val="fr-FR"/>
        </w:rPr>
        <w:instrText xml:space="preserve"> AUTONUM  </w:instrText>
      </w:r>
      <w:r w:rsidRPr="0010333C">
        <w:rPr>
          <w:lang w:val="fr-FR"/>
        </w:rPr>
        <w:fldChar w:fldCharType="end"/>
      </w:r>
      <w:r w:rsidRPr="0010333C">
        <w:rPr>
          <w:lang w:val="fr-FR"/>
        </w:rPr>
        <w:tab/>
        <w:t>Le</w:t>
      </w:r>
      <w:r w:rsidR="00584454" w:rsidRPr="0010333C">
        <w:rPr>
          <w:lang w:val="fr-FR"/>
        </w:rPr>
        <w:t> TC</w:t>
      </w:r>
      <w:r w:rsidRPr="0010333C">
        <w:rPr>
          <w:lang w:val="fr-FR"/>
        </w:rPr>
        <w:t xml:space="preserve"> est convenu d</w:t>
      </w:r>
      <w:r w:rsidR="00584454" w:rsidRPr="0010333C">
        <w:rPr>
          <w:lang w:val="fr-FR"/>
        </w:rPr>
        <w:t>’</w:t>
      </w:r>
      <w:r w:rsidRPr="0010333C">
        <w:rPr>
          <w:lang w:val="fr-FR"/>
        </w:rPr>
        <w:t>inviter des experts à indiquer</w:t>
      </w:r>
      <w:r w:rsidR="00584454" w:rsidRPr="0010333C">
        <w:rPr>
          <w:lang w:val="fr-FR"/>
        </w:rPr>
        <w:t xml:space="preserve"> aux TWP</w:t>
      </w:r>
      <w:r w:rsidRPr="0010333C">
        <w:rPr>
          <w:lang w:val="fr-FR"/>
        </w:rPr>
        <w:t>, à leurs sessions de</w:t>
      </w:r>
      <w:r w:rsidR="00B835B6" w:rsidRPr="0010333C">
        <w:rPr>
          <w:lang w:val="fr-FR"/>
        </w:rPr>
        <w:t> </w:t>
      </w:r>
      <w:r w:rsidRPr="0010333C">
        <w:rPr>
          <w:lang w:val="fr-FR"/>
        </w:rPr>
        <w:t>2015, la façon dont les descriptions variétales sont élaborées lors de l</w:t>
      </w:r>
      <w:r w:rsidR="00584454" w:rsidRPr="0010333C">
        <w:rPr>
          <w:lang w:val="fr-FR"/>
        </w:rPr>
        <w:t>’</w:t>
      </w:r>
      <w:r w:rsidRPr="0010333C">
        <w:rPr>
          <w:lang w:val="fr-FR"/>
        </w:rPr>
        <w:t>examen</w:t>
      </w:r>
      <w:r w:rsidR="00B835B6" w:rsidRPr="0010333C">
        <w:rPr>
          <w:lang w:val="fr-FR"/>
        </w:rPr>
        <w:t> </w:t>
      </w:r>
      <w:r w:rsidRPr="0010333C">
        <w:rPr>
          <w:lang w:val="fr-FR"/>
        </w:rPr>
        <w:t>DHS, leur utilisation après l</w:t>
      </w:r>
      <w:r w:rsidR="00584454" w:rsidRPr="0010333C">
        <w:rPr>
          <w:lang w:val="fr-FR"/>
        </w:rPr>
        <w:t>’</w:t>
      </w:r>
      <w:r w:rsidRPr="0010333C">
        <w:rPr>
          <w:lang w:val="fr-FR"/>
        </w:rPr>
        <w:t>octroi d</w:t>
      </w:r>
      <w:r w:rsidR="00584454" w:rsidRPr="0010333C">
        <w:rPr>
          <w:lang w:val="fr-FR"/>
        </w:rPr>
        <w:t>’</w:t>
      </w:r>
      <w:r w:rsidRPr="0010333C">
        <w:rPr>
          <w:lang w:val="fr-FR"/>
        </w:rPr>
        <w:t>un droit d</w:t>
      </w:r>
      <w:r w:rsidR="00584454" w:rsidRPr="0010333C">
        <w:rPr>
          <w:lang w:val="fr-FR"/>
        </w:rPr>
        <w:t>’</w:t>
      </w:r>
      <w:r w:rsidRPr="0010333C">
        <w:rPr>
          <w:lang w:val="fr-FR"/>
        </w:rPr>
        <w:t>obtenteur et la façon dont le maintien de la variété est vérif</w:t>
      </w:r>
      <w:r w:rsidR="00BB3EE2" w:rsidRPr="0010333C">
        <w:rPr>
          <w:lang w:val="fr-FR"/>
        </w:rPr>
        <w:t>ié.  En</w:t>
      </w:r>
      <w:r w:rsidRPr="0010333C">
        <w:rPr>
          <w:lang w:val="fr-FR"/>
        </w:rPr>
        <w:t xml:space="preserve"> particulier, il a pris note de l</w:t>
      </w:r>
      <w:r w:rsidR="00584454" w:rsidRPr="0010333C">
        <w:rPr>
          <w:lang w:val="fr-FR"/>
        </w:rPr>
        <w:t>’</w:t>
      </w:r>
      <w:r w:rsidRPr="0010333C">
        <w:rPr>
          <w:lang w:val="fr-FR"/>
        </w:rPr>
        <w:t>incidence éventuelle de l</w:t>
      </w:r>
      <w:r w:rsidR="00584454" w:rsidRPr="0010333C">
        <w:rPr>
          <w:lang w:val="fr-FR"/>
        </w:rPr>
        <w:t>’</w:t>
      </w:r>
      <w:r w:rsidRPr="0010333C">
        <w:rPr>
          <w:lang w:val="fr-FR"/>
        </w:rPr>
        <w:t>interaction entre génotype et environnement dans l</w:t>
      </w:r>
      <w:r w:rsidR="00584454" w:rsidRPr="0010333C">
        <w:rPr>
          <w:lang w:val="fr-FR"/>
        </w:rPr>
        <w:t>’</w:t>
      </w:r>
      <w:r w:rsidRPr="0010333C">
        <w:rPr>
          <w:lang w:val="fr-FR"/>
        </w:rPr>
        <w:t>élaboration des descriptions variétales.</w:t>
      </w:r>
    </w:p>
    <w:p w:rsidR="008E3F88" w:rsidRPr="0010333C" w:rsidRDefault="008E3F88" w:rsidP="0010333C">
      <w:pPr>
        <w:rPr>
          <w:lang w:val="fr-FR"/>
        </w:rPr>
      </w:pPr>
    </w:p>
    <w:p w:rsidR="008E3F88" w:rsidRPr="0010333C" w:rsidRDefault="008E3F88" w:rsidP="0010333C">
      <w:pPr>
        <w:rPr>
          <w:lang w:val="fr-FR"/>
        </w:rPr>
      </w:pPr>
      <w:r w:rsidRPr="0010333C">
        <w:rPr>
          <w:lang w:val="fr-FR"/>
        </w:rPr>
        <w:fldChar w:fldCharType="begin"/>
      </w:r>
      <w:r w:rsidRPr="0010333C">
        <w:rPr>
          <w:lang w:val="fr-FR"/>
        </w:rPr>
        <w:instrText xml:space="preserve"> AUTONUM  </w:instrText>
      </w:r>
      <w:r w:rsidRPr="0010333C">
        <w:rPr>
          <w:lang w:val="fr-FR"/>
        </w:rPr>
        <w:fldChar w:fldCharType="end"/>
      </w:r>
      <w:r w:rsidRPr="0010333C">
        <w:rPr>
          <w:lang w:val="fr-FR"/>
        </w:rPr>
        <w:tab/>
        <w:t>Le</w:t>
      </w:r>
      <w:r w:rsidR="00584454" w:rsidRPr="0010333C">
        <w:rPr>
          <w:lang w:val="fr-FR"/>
        </w:rPr>
        <w:t> TC</w:t>
      </w:r>
      <w:r w:rsidRPr="0010333C">
        <w:rPr>
          <w:lang w:val="fr-FR"/>
        </w:rPr>
        <w:t xml:space="preserve"> est convenu d</w:t>
      </w:r>
      <w:r w:rsidR="00584454" w:rsidRPr="0010333C">
        <w:rPr>
          <w:lang w:val="fr-FR"/>
        </w:rPr>
        <w:t>’</w:t>
      </w:r>
      <w:r w:rsidRPr="0010333C">
        <w:rPr>
          <w:lang w:val="fr-FR"/>
        </w:rPr>
        <w:t>inviter des experts à présenter</w:t>
      </w:r>
      <w:r w:rsidR="00584454" w:rsidRPr="0010333C">
        <w:rPr>
          <w:lang w:val="fr-FR"/>
        </w:rPr>
        <w:t xml:space="preserve"> aux TWP</w:t>
      </w:r>
      <w:r w:rsidRPr="0010333C">
        <w:rPr>
          <w:lang w:val="fr-FR"/>
        </w:rPr>
        <w:t>, à leurs sessions de</w:t>
      </w:r>
      <w:r w:rsidR="00B835B6" w:rsidRPr="0010333C">
        <w:rPr>
          <w:lang w:val="fr-FR"/>
        </w:rPr>
        <w:t> </w:t>
      </w:r>
      <w:r w:rsidRPr="0010333C">
        <w:rPr>
          <w:lang w:val="fr-FR"/>
        </w:rPr>
        <w:t>2015, le rôle du matériel végétal utilisé comme base de l</w:t>
      </w:r>
      <w:r w:rsidR="00584454" w:rsidRPr="0010333C">
        <w:rPr>
          <w:lang w:val="fr-FR"/>
        </w:rPr>
        <w:t>’</w:t>
      </w:r>
      <w:r w:rsidRPr="0010333C">
        <w:rPr>
          <w:lang w:val="fr-FR"/>
        </w:rPr>
        <w:t>examen</w:t>
      </w:r>
      <w:r w:rsidR="00B835B6" w:rsidRPr="0010333C">
        <w:rPr>
          <w:lang w:val="fr-FR"/>
        </w:rPr>
        <w:t> </w:t>
      </w:r>
      <w:r w:rsidRPr="0010333C">
        <w:rPr>
          <w:lang w:val="fr-FR"/>
        </w:rPr>
        <w:t>DHS en relation avec les questions visées au paragraphe</w:t>
      </w:r>
      <w:r w:rsidR="00B835B6" w:rsidRPr="0010333C">
        <w:rPr>
          <w:lang w:val="fr-FR"/>
        </w:rPr>
        <w:t> </w:t>
      </w:r>
      <w:r w:rsidRPr="0010333C">
        <w:rPr>
          <w:lang w:val="fr-FR"/>
        </w:rPr>
        <w:t xml:space="preserve">8 du </w:t>
      </w:r>
      <w:r w:rsidR="00584454" w:rsidRPr="0010333C">
        <w:rPr>
          <w:lang w:val="fr-FR"/>
        </w:rPr>
        <w:t>document TC</w:t>
      </w:r>
      <w:r w:rsidRPr="0010333C">
        <w:rPr>
          <w:lang w:val="fr-FR"/>
        </w:rPr>
        <w:t>/51/38.</w:t>
      </w:r>
    </w:p>
    <w:p w:rsidR="008E3F88" w:rsidRPr="0010333C" w:rsidRDefault="008E3F88" w:rsidP="0010333C">
      <w:pPr>
        <w:rPr>
          <w:lang w:val="fr-FR"/>
        </w:rPr>
      </w:pPr>
    </w:p>
    <w:p w:rsidR="008E3F88" w:rsidRPr="0010333C" w:rsidRDefault="008E3F88" w:rsidP="0010333C">
      <w:pPr>
        <w:rPr>
          <w:lang w:val="fr-FR"/>
        </w:rPr>
      </w:pPr>
    </w:p>
    <w:p w:rsidR="008E3F88" w:rsidRPr="0010333C" w:rsidRDefault="008E3F88" w:rsidP="0010333C">
      <w:pPr>
        <w:pStyle w:val="Heading1"/>
        <w:rPr>
          <w:lang w:val="fr-FR"/>
        </w:rPr>
      </w:pPr>
      <w:bookmarkStart w:id="10" w:name="_Toc441581736"/>
      <w:r w:rsidRPr="0010333C">
        <w:rPr>
          <w:lang w:val="fr-FR"/>
        </w:rPr>
        <w:t>faits nouveaux intervenus au sein du caj en</w:t>
      </w:r>
      <w:r w:rsidR="00B835B6" w:rsidRPr="0010333C">
        <w:rPr>
          <w:lang w:val="fr-FR"/>
        </w:rPr>
        <w:t> </w:t>
      </w:r>
      <w:r w:rsidRPr="0010333C">
        <w:rPr>
          <w:lang w:val="fr-FR"/>
        </w:rPr>
        <w:t>2015</w:t>
      </w:r>
      <w:bookmarkEnd w:id="10"/>
    </w:p>
    <w:p w:rsidR="008E3F88" w:rsidRPr="0010333C" w:rsidRDefault="008E3F88" w:rsidP="0010333C">
      <w:pPr>
        <w:ind w:right="567"/>
        <w:rPr>
          <w:szCs w:val="18"/>
          <w:lang w:val="fr-FR"/>
        </w:rPr>
      </w:pPr>
    </w:p>
    <w:p w:rsidR="008E3F88" w:rsidRPr="0010333C" w:rsidRDefault="008E3F88" w:rsidP="0010333C">
      <w:pPr>
        <w:rPr>
          <w:lang w:val="fr-FR"/>
        </w:rPr>
      </w:pPr>
      <w:r w:rsidRPr="0010333C">
        <w:rPr>
          <w:lang w:val="fr-FR"/>
        </w:rPr>
        <w:fldChar w:fldCharType="begin"/>
      </w:r>
      <w:r w:rsidRPr="0010333C">
        <w:rPr>
          <w:lang w:val="fr-FR"/>
        </w:rPr>
        <w:instrText xml:space="preserve"> AUTONUM  </w:instrText>
      </w:r>
      <w:r w:rsidRPr="0010333C">
        <w:rPr>
          <w:lang w:val="fr-FR"/>
        </w:rPr>
        <w:fldChar w:fldCharType="end"/>
      </w:r>
      <w:r w:rsidRPr="0010333C">
        <w:rPr>
          <w:lang w:val="fr-FR"/>
        </w:rPr>
        <w:tab/>
        <w:t>À sa soixante</w:t>
      </w:r>
      <w:r w:rsidR="00B835B6" w:rsidRPr="0010333C">
        <w:rPr>
          <w:lang w:val="fr-FR"/>
        </w:rPr>
        <w:t> </w:t>
      </w:r>
      <w:r w:rsidRPr="0010333C">
        <w:rPr>
          <w:lang w:val="fr-FR"/>
        </w:rPr>
        <w:t>et</w:t>
      </w:r>
      <w:r w:rsidR="00B835B6" w:rsidRPr="0010333C">
        <w:rPr>
          <w:lang w:val="fr-FR"/>
        </w:rPr>
        <w:t> </w:t>
      </w:r>
      <w:r w:rsidRPr="0010333C">
        <w:rPr>
          <w:lang w:val="fr-FR"/>
        </w:rPr>
        <w:t>onzième</w:t>
      </w:r>
      <w:r w:rsidR="00B835B6" w:rsidRPr="0010333C">
        <w:rPr>
          <w:lang w:val="fr-FR"/>
        </w:rPr>
        <w:t> </w:t>
      </w:r>
      <w:r w:rsidRPr="0010333C">
        <w:rPr>
          <w:lang w:val="fr-FR"/>
        </w:rPr>
        <w:t>session tenue à Genève le 2</w:t>
      </w:r>
      <w:r w:rsidR="00584454" w:rsidRPr="0010333C">
        <w:rPr>
          <w:lang w:val="fr-FR"/>
        </w:rPr>
        <w:t>6 mars 20</w:t>
      </w:r>
      <w:r w:rsidRPr="0010333C">
        <w:rPr>
          <w:lang w:val="fr-FR"/>
        </w:rPr>
        <w:t>15,</w:t>
      </w:r>
      <w:r w:rsidR="00584454" w:rsidRPr="0010333C">
        <w:rPr>
          <w:lang w:val="fr-FR"/>
        </w:rPr>
        <w:t xml:space="preserve"> le CAJ</w:t>
      </w:r>
      <w:r w:rsidRPr="0010333C">
        <w:rPr>
          <w:lang w:val="fr-FR"/>
        </w:rPr>
        <w:t xml:space="preserve"> a souscrit à la conclusion adoptée par</w:t>
      </w:r>
      <w:r w:rsidR="00584454" w:rsidRPr="0010333C">
        <w:rPr>
          <w:lang w:val="fr-FR"/>
        </w:rPr>
        <w:t xml:space="preserve"> le CAJ</w:t>
      </w:r>
      <w:r w:rsidR="00BB3EE2" w:rsidRPr="0010333C">
        <w:rPr>
          <w:lang w:val="fr-FR"/>
        </w:rPr>
        <w:noBreakHyphen/>
      </w:r>
      <w:r w:rsidRPr="0010333C">
        <w:rPr>
          <w:lang w:val="fr-FR"/>
        </w:rPr>
        <w:t>AG, à sa neuvième</w:t>
      </w:r>
      <w:r w:rsidR="00B835B6" w:rsidRPr="0010333C">
        <w:rPr>
          <w:lang w:val="fr-FR"/>
        </w:rPr>
        <w:t> </w:t>
      </w:r>
      <w:r w:rsidRPr="0010333C">
        <w:rPr>
          <w:lang w:val="fr-FR"/>
        </w:rPr>
        <w:t>session, sur le ou les buts de la description variétale élaborée au moment de l</w:t>
      </w:r>
      <w:r w:rsidR="00584454" w:rsidRPr="0010333C">
        <w:rPr>
          <w:lang w:val="fr-FR"/>
        </w:rPr>
        <w:t>’</w:t>
      </w:r>
      <w:r w:rsidRPr="0010333C">
        <w:rPr>
          <w:lang w:val="fr-FR"/>
        </w:rPr>
        <w:t>octroi du droit d</w:t>
      </w:r>
      <w:r w:rsidR="00584454" w:rsidRPr="0010333C">
        <w:rPr>
          <w:lang w:val="fr-FR"/>
        </w:rPr>
        <w:t>’</w:t>
      </w:r>
      <w:r w:rsidRPr="0010333C">
        <w:rPr>
          <w:lang w:val="fr-FR"/>
        </w:rPr>
        <w:t>obtenteur (description variétale initiale), comme indiqué au paragraphe</w:t>
      </w:r>
      <w:r w:rsidR="00B835B6" w:rsidRPr="0010333C">
        <w:rPr>
          <w:lang w:val="fr-FR"/>
        </w:rPr>
        <w:t> </w:t>
      </w:r>
      <w:r w:rsidRPr="0010333C">
        <w:rPr>
          <w:lang w:val="fr-FR"/>
        </w:rPr>
        <w:t>37 du document CAJ/71/2, reproduit ci</w:t>
      </w:r>
      <w:r w:rsidR="00BB3EE2" w:rsidRPr="0010333C">
        <w:rPr>
          <w:lang w:val="fr-FR"/>
        </w:rPr>
        <w:noBreakHyphen/>
      </w:r>
      <w:r w:rsidRPr="0010333C">
        <w:rPr>
          <w:lang w:val="fr-FR"/>
        </w:rPr>
        <w:t>dessous (voir les paragraphes</w:t>
      </w:r>
      <w:r w:rsidR="00B835B6" w:rsidRPr="0010333C">
        <w:rPr>
          <w:lang w:val="fr-FR"/>
        </w:rPr>
        <w:t> </w:t>
      </w:r>
      <w:r w:rsidRPr="0010333C">
        <w:rPr>
          <w:lang w:val="fr-FR"/>
        </w:rPr>
        <w:t xml:space="preserve">30 à 33 du document CAJ/71/11 </w:t>
      </w:r>
      <w:r w:rsidR="00B835B6" w:rsidRPr="0010333C">
        <w:rPr>
          <w:lang w:val="fr-FR"/>
        </w:rPr>
        <w:t>“</w:t>
      </w:r>
      <w:r w:rsidRPr="0010333C">
        <w:rPr>
          <w:lang w:val="fr-FR"/>
        </w:rPr>
        <w:t>Compte rendu</w:t>
      </w:r>
      <w:r w:rsidR="00B835B6" w:rsidRPr="0010333C">
        <w:rPr>
          <w:lang w:val="fr-FR"/>
        </w:rPr>
        <w:t>”</w:t>
      </w:r>
      <w:r w:rsidRPr="0010333C">
        <w:rPr>
          <w:lang w:val="fr-FR"/>
        </w:rPr>
        <w:t>)</w:t>
      </w:r>
      <w:r w:rsidR="00B835B6" w:rsidRPr="0010333C">
        <w:rPr>
          <w:lang w:val="fr-FR"/>
        </w:rPr>
        <w:t> </w:t>
      </w:r>
      <w:r w:rsidRPr="0010333C">
        <w:rPr>
          <w:lang w:val="fr-FR"/>
        </w:rPr>
        <w:t>:</w:t>
      </w:r>
    </w:p>
    <w:p w:rsidR="008E3F88" w:rsidRPr="0010333C" w:rsidRDefault="008E3F88" w:rsidP="0010333C">
      <w:pPr>
        <w:rPr>
          <w:lang w:val="fr-FR"/>
        </w:rPr>
      </w:pPr>
    </w:p>
    <w:p w:rsidR="008E3F88" w:rsidRPr="0010333C" w:rsidRDefault="008E3F88" w:rsidP="0010333C">
      <w:pPr>
        <w:ind w:left="567" w:right="567"/>
        <w:rPr>
          <w:sz w:val="18"/>
          <w:lang w:val="fr-FR"/>
        </w:rPr>
      </w:pPr>
      <w:r w:rsidRPr="0010333C">
        <w:rPr>
          <w:sz w:val="18"/>
          <w:lang w:val="fr-FR"/>
        </w:rPr>
        <w:t>“37.</w:t>
      </w:r>
      <w:r w:rsidRPr="0010333C">
        <w:rPr>
          <w:sz w:val="18"/>
          <w:lang w:val="fr-FR"/>
        </w:rPr>
        <w:tab/>
        <w:t>Le CAJ</w:t>
      </w:r>
      <w:r w:rsidR="00BB3EE2" w:rsidRPr="0010333C">
        <w:rPr>
          <w:sz w:val="18"/>
          <w:lang w:val="fr-FR"/>
        </w:rPr>
        <w:noBreakHyphen/>
      </w:r>
      <w:r w:rsidRPr="0010333C">
        <w:rPr>
          <w:sz w:val="18"/>
          <w:lang w:val="fr-FR"/>
        </w:rPr>
        <w:t>AG est convenu que, sur la base de la section</w:t>
      </w:r>
      <w:r w:rsidR="00B835B6" w:rsidRPr="0010333C">
        <w:rPr>
          <w:sz w:val="18"/>
          <w:lang w:val="fr-FR"/>
        </w:rPr>
        <w:t> </w:t>
      </w:r>
      <w:r w:rsidRPr="0010333C">
        <w:rPr>
          <w:sz w:val="18"/>
          <w:lang w:val="fr-FR"/>
        </w:rPr>
        <w:t>6 “Rapport UPOV d</w:t>
      </w:r>
      <w:r w:rsidR="00584454" w:rsidRPr="0010333C">
        <w:rPr>
          <w:sz w:val="18"/>
          <w:lang w:val="fr-FR"/>
        </w:rPr>
        <w:t>’</w:t>
      </w:r>
      <w:r w:rsidRPr="0010333C">
        <w:rPr>
          <w:sz w:val="18"/>
          <w:lang w:val="fr-FR"/>
        </w:rPr>
        <w:t>examen technique et Formulaire UPOV de description variétale” du document TGP/5 “Expérience et coopération en matière d</w:t>
      </w:r>
      <w:r w:rsidR="00584454" w:rsidRPr="0010333C">
        <w:rPr>
          <w:sz w:val="18"/>
          <w:lang w:val="fr-FR"/>
        </w:rPr>
        <w:t>’</w:t>
      </w:r>
      <w:r w:rsidRPr="0010333C">
        <w:rPr>
          <w:sz w:val="18"/>
          <w:lang w:val="fr-FR"/>
        </w:rPr>
        <w:t>examen</w:t>
      </w:r>
      <w:r w:rsidR="00B835B6" w:rsidRPr="0010333C">
        <w:rPr>
          <w:sz w:val="18"/>
          <w:lang w:val="fr-FR"/>
        </w:rPr>
        <w:t> </w:t>
      </w:r>
      <w:r w:rsidRPr="0010333C">
        <w:rPr>
          <w:sz w:val="18"/>
          <w:lang w:val="fr-FR"/>
        </w:rPr>
        <w:t>DHS”, le but de la description variétale élaborée au moment de l</w:t>
      </w:r>
      <w:r w:rsidR="00584454" w:rsidRPr="0010333C">
        <w:rPr>
          <w:sz w:val="18"/>
          <w:lang w:val="fr-FR"/>
        </w:rPr>
        <w:t>’</w:t>
      </w:r>
      <w:r w:rsidRPr="0010333C">
        <w:rPr>
          <w:sz w:val="18"/>
          <w:lang w:val="fr-FR"/>
        </w:rPr>
        <w:t>octroi du droit d</w:t>
      </w:r>
      <w:r w:rsidR="00584454" w:rsidRPr="0010333C">
        <w:rPr>
          <w:sz w:val="18"/>
          <w:lang w:val="fr-FR"/>
        </w:rPr>
        <w:t>’</w:t>
      </w:r>
      <w:r w:rsidRPr="0010333C">
        <w:rPr>
          <w:sz w:val="18"/>
          <w:lang w:val="fr-FR"/>
        </w:rPr>
        <w:t>obtenteur (description variétale initiale) pourrait être résumé comme suit</w:t>
      </w:r>
      <w:r w:rsidR="00B835B6" w:rsidRPr="0010333C">
        <w:rPr>
          <w:sz w:val="18"/>
          <w:lang w:val="fr-FR"/>
        </w:rPr>
        <w:t> </w:t>
      </w:r>
      <w:r w:rsidRPr="0010333C">
        <w:rPr>
          <w:sz w:val="18"/>
          <w:lang w:val="fr-FR"/>
        </w:rPr>
        <w:t>:</w:t>
      </w:r>
    </w:p>
    <w:p w:rsidR="008E3F88" w:rsidRPr="0010333C" w:rsidRDefault="008E3F88" w:rsidP="0010333C">
      <w:pPr>
        <w:ind w:left="567" w:right="567"/>
        <w:rPr>
          <w:sz w:val="18"/>
          <w:lang w:val="fr-FR"/>
        </w:rPr>
      </w:pPr>
    </w:p>
    <w:p w:rsidR="008E3F88" w:rsidRPr="0010333C" w:rsidRDefault="008E3F88" w:rsidP="0010333C">
      <w:pPr>
        <w:ind w:left="1134" w:right="567"/>
        <w:rPr>
          <w:sz w:val="18"/>
          <w:lang w:val="fr-FR"/>
        </w:rPr>
      </w:pPr>
      <w:r w:rsidRPr="0010333C">
        <w:rPr>
          <w:sz w:val="18"/>
          <w:lang w:val="fr-FR"/>
        </w:rPr>
        <w:t>“</w:t>
      </w:r>
      <w:proofErr w:type="gramStart"/>
      <w:r w:rsidRPr="0010333C">
        <w:rPr>
          <w:sz w:val="18"/>
          <w:lang w:val="fr-FR"/>
        </w:rPr>
        <w:t>a</w:t>
      </w:r>
      <w:proofErr w:type="gramEnd"/>
      <w:r w:rsidRPr="0010333C">
        <w:rPr>
          <w:sz w:val="18"/>
          <w:lang w:val="fr-FR"/>
        </w:rPr>
        <w:t>)</w:t>
      </w:r>
      <w:r w:rsidRPr="0010333C">
        <w:rPr>
          <w:sz w:val="18"/>
          <w:lang w:val="fr-FR"/>
        </w:rPr>
        <w:tab/>
        <w:t>décrire les caractères de la variété;  et</w:t>
      </w:r>
    </w:p>
    <w:p w:rsidR="008E3F88" w:rsidRPr="0010333C" w:rsidRDefault="008E3F88" w:rsidP="0010333C">
      <w:pPr>
        <w:ind w:left="1134" w:right="567"/>
        <w:rPr>
          <w:sz w:val="18"/>
          <w:lang w:val="fr-FR"/>
        </w:rPr>
      </w:pPr>
      <w:r w:rsidRPr="0010333C">
        <w:rPr>
          <w:sz w:val="18"/>
          <w:lang w:val="fr-FR"/>
        </w:rPr>
        <w:t>“</w:t>
      </w:r>
      <w:proofErr w:type="gramStart"/>
      <w:r w:rsidRPr="0010333C">
        <w:rPr>
          <w:sz w:val="18"/>
          <w:lang w:val="fr-FR"/>
        </w:rPr>
        <w:t>b</w:t>
      </w:r>
      <w:proofErr w:type="gramEnd"/>
      <w:r w:rsidRPr="0010333C">
        <w:rPr>
          <w:sz w:val="18"/>
          <w:lang w:val="fr-FR"/>
        </w:rPr>
        <w:t>)</w:t>
      </w:r>
      <w:r w:rsidRPr="0010333C">
        <w:rPr>
          <w:sz w:val="18"/>
          <w:lang w:val="fr-FR"/>
        </w:rPr>
        <w:tab/>
        <w:t>identifier les variétés voisines et les différences par rapport à ces variétés, et en dresser la liste;</w:t>
      </w:r>
    </w:p>
    <w:p w:rsidR="008E3F88" w:rsidRPr="0010333C" w:rsidRDefault="008E3F88" w:rsidP="0010333C">
      <w:pPr>
        <w:ind w:left="1134" w:right="567" w:firstLine="555"/>
        <w:rPr>
          <w:sz w:val="18"/>
          <w:lang w:val="fr-FR"/>
        </w:rPr>
      </w:pPr>
      <w:r w:rsidRPr="0010333C">
        <w:rPr>
          <w:sz w:val="18"/>
          <w:lang w:val="fr-FR"/>
        </w:rPr>
        <w:t>“</w:t>
      </w:r>
      <w:proofErr w:type="gramStart"/>
      <w:r w:rsidRPr="0010333C">
        <w:rPr>
          <w:sz w:val="18"/>
          <w:lang w:val="fr-FR"/>
        </w:rPr>
        <w:t>avec</w:t>
      </w:r>
      <w:proofErr w:type="gramEnd"/>
      <w:r w:rsidRPr="0010333C">
        <w:rPr>
          <w:sz w:val="18"/>
          <w:lang w:val="fr-FR"/>
        </w:rPr>
        <w:t xml:space="preserve"> les informations sur la base pour a) et b), </w:t>
      </w:r>
      <w:r w:rsidR="00584454" w:rsidRPr="0010333C">
        <w:rPr>
          <w:sz w:val="18"/>
          <w:lang w:val="fr-FR"/>
        </w:rPr>
        <w:t>à savoir</w:t>
      </w:r>
      <w:r w:rsidRPr="0010333C">
        <w:rPr>
          <w:sz w:val="18"/>
          <w:lang w:val="fr-FR"/>
        </w:rPr>
        <w:t> :</w:t>
      </w:r>
    </w:p>
    <w:p w:rsidR="008E3F88" w:rsidRPr="0010333C" w:rsidRDefault="008E3F88" w:rsidP="0010333C">
      <w:pPr>
        <w:ind w:left="2268" w:right="567" w:hanging="567"/>
        <w:rPr>
          <w:sz w:val="18"/>
          <w:lang w:val="fr-FR"/>
        </w:rPr>
      </w:pPr>
      <w:r w:rsidRPr="0010333C">
        <w:rPr>
          <w:sz w:val="18"/>
          <w:lang w:val="fr-FR"/>
        </w:rPr>
        <w:t>“</w:t>
      </w:r>
      <w:r w:rsidRPr="0010333C">
        <w:rPr>
          <w:sz w:val="14"/>
          <w:lang w:val="fr-FR"/>
        </w:rPr>
        <w:sym w:font="Wingdings 2" w:char="F097"/>
      </w:r>
      <w:r w:rsidRPr="0010333C">
        <w:rPr>
          <w:sz w:val="18"/>
          <w:lang w:val="fr-FR"/>
        </w:rPr>
        <w:tab/>
        <w:t>Date et référence du document contenant les principes directeurs d</w:t>
      </w:r>
      <w:r w:rsidR="00584454" w:rsidRPr="0010333C">
        <w:rPr>
          <w:sz w:val="18"/>
          <w:lang w:val="fr-FR"/>
        </w:rPr>
        <w:t>’</w:t>
      </w:r>
      <w:r w:rsidRPr="0010333C">
        <w:rPr>
          <w:sz w:val="18"/>
          <w:lang w:val="fr-FR"/>
        </w:rPr>
        <w:t>examen de l</w:t>
      </w:r>
      <w:r w:rsidR="00584454" w:rsidRPr="0010333C">
        <w:rPr>
          <w:sz w:val="18"/>
          <w:lang w:val="fr-FR"/>
        </w:rPr>
        <w:t>’</w:t>
      </w:r>
      <w:r w:rsidRPr="0010333C">
        <w:rPr>
          <w:sz w:val="18"/>
          <w:lang w:val="fr-FR"/>
        </w:rPr>
        <w:t>UPOV;</w:t>
      </w:r>
    </w:p>
    <w:p w:rsidR="008E3F88" w:rsidRPr="0010333C" w:rsidRDefault="008E3F88" w:rsidP="0010333C">
      <w:pPr>
        <w:ind w:left="2268" w:right="567" w:hanging="567"/>
        <w:rPr>
          <w:sz w:val="18"/>
          <w:lang w:val="fr-FR"/>
        </w:rPr>
      </w:pPr>
      <w:r w:rsidRPr="0010333C">
        <w:rPr>
          <w:sz w:val="18"/>
          <w:lang w:val="fr-FR"/>
        </w:rPr>
        <w:t>“</w:t>
      </w:r>
      <w:r w:rsidRPr="0010333C">
        <w:rPr>
          <w:sz w:val="14"/>
          <w:lang w:val="fr-FR"/>
        </w:rPr>
        <w:sym w:font="Wingdings 2" w:char="F097"/>
      </w:r>
      <w:r w:rsidRPr="0010333C">
        <w:rPr>
          <w:sz w:val="18"/>
          <w:lang w:val="fr-FR"/>
        </w:rPr>
        <w:tab/>
        <w:t>Date et/ou référence des principes directeurs du service ayant établi le rapport d</w:t>
      </w:r>
      <w:r w:rsidR="00584454" w:rsidRPr="0010333C">
        <w:rPr>
          <w:sz w:val="18"/>
          <w:lang w:val="fr-FR"/>
        </w:rPr>
        <w:t>’</w:t>
      </w:r>
      <w:r w:rsidRPr="0010333C">
        <w:rPr>
          <w:sz w:val="18"/>
          <w:lang w:val="fr-FR"/>
        </w:rPr>
        <w:t>examen;</w:t>
      </w:r>
    </w:p>
    <w:p w:rsidR="008E3F88" w:rsidRPr="0010333C" w:rsidRDefault="008E3F88" w:rsidP="0010333C">
      <w:pPr>
        <w:ind w:left="1701" w:right="567"/>
        <w:rPr>
          <w:sz w:val="18"/>
          <w:lang w:val="fr-FR"/>
        </w:rPr>
      </w:pPr>
      <w:r w:rsidRPr="0010333C">
        <w:rPr>
          <w:sz w:val="18"/>
          <w:lang w:val="fr-FR"/>
        </w:rPr>
        <w:t>“</w:t>
      </w:r>
      <w:r w:rsidRPr="0010333C">
        <w:rPr>
          <w:sz w:val="14"/>
          <w:lang w:val="fr-FR"/>
        </w:rPr>
        <w:sym w:font="Wingdings 2" w:char="F097"/>
      </w:r>
      <w:r w:rsidRPr="0010333C">
        <w:rPr>
          <w:sz w:val="18"/>
          <w:lang w:val="fr-FR"/>
        </w:rPr>
        <w:tab/>
        <w:t>Service ayant établi le rapport d</w:t>
      </w:r>
      <w:r w:rsidR="00584454" w:rsidRPr="0010333C">
        <w:rPr>
          <w:sz w:val="18"/>
          <w:lang w:val="fr-FR"/>
        </w:rPr>
        <w:t>’</w:t>
      </w:r>
      <w:r w:rsidRPr="0010333C">
        <w:rPr>
          <w:sz w:val="18"/>
          <w:lang w:val="fr-FR"/>
        </w:rPr>
        <w:t>examen;</w:t>
      </w:r>
    </w:p>
    <w:p w:rsidR="008E3F88" w:rsidRPr="0010333C" w:rsidRDefault="008E3F88" w:rsidP="0010333C">
      <w:pPr>
        <w:ind w:left="1701" w:right="567"/>
        <w:rPr>
          <w:sz w:val="18"/>
          <w:lang w:val="fr-FR"/>
        </w:rPr>
      </w:pPr>
      <w:r w:rsidRPr="0010333C">
        <w:rPr>
          <w:sz w:val="18"/>
          <w:lang w:val="fr-FR"/>
        </w:rPr>
        <w:t>“</w:t>
      </w:r>
      <w:r w:rsidRPr="0010333C">
        <w:rPr>
          <w:sz w:val="14"/>
          <w:lang w:val="fr-FR"/>
        </w:rPr>
        <w:sym w:font="Wingdings 2" w:char="F097"/>
      </w:r>
      <w:r w:rsidRPr="0010333C">
        <w:rPr>
          <w:sz w:val="18"/>
          <w:lang w:val="fr-FR"/>
        </w:rPr>
        <w:tab/>
        <w:t>Station(s) et lieu(x) d</w:t>
      </w:r>
      <w:r w:rsidR="00584454" w:rsidRPr="0010333C">
        <w:rPr>
          <w:sz w:val="18"/>
          <w:lang w:val="fr-FR"/>
        </w:rPr>
        <w:t>’</w:t>
      </w:r>
      <w:r w:rsidRPr="0010333C">
        <w:rPr>
          <w:sz w:val="18"/>
          <w:lang w:val="fr-FR"/>
        </w:rPr>
        <w:t>examen;</w:t>
      </w:r>
    </w:p>
    <w:p w:rsidR="008E3F88" w:rsidRPr="0010333C" w:rsidRDefault="008E3F88" w:rsidP="0010333C">
      <w:pPr>
        <w:ind w:left="1701" w:right="567"/>
        <w:rPr>
          <w:sz w:val="18"/>
          <w:lang w:val="fr-FR"/>
        </w:rPr>
      </w:pPr>
      <w:r w:rsidRPr="0010333C">
        <w:rPr>
          <w:sz w:val="18"/>
          <w:lang w:val="fr-FR"/>
        </w:rPr>
        <w:t>“</w:t>
      </w:r>
      <w:r w:rsidRPr="0010333C">
        <w:rPr>
          <w:sz w:val="14"/>
          <w:lang w:val="fr-FR"/>
        </w:rPr>
        <w:sym w:font="Wingdings 2" w:char="F097"/>
      </w:r>
      <w:r w:rsidRPr="0010333C">
        <w:rPr>
          <w:sz w:val="18"/>
          <w:lang w:val="fr-FR"/>
        </w:rPr>
        <w:tab/>
        <w:t>Période d</w:t>
      </w:r>
      <w:r w:rsidR="00584454" w:rsidRPr="0010333C">
        <w:rPr>
          <w:sz w:val="18"/>
          <w:lang w:val="fr-FR"/>
        </w:rPr>
        <w:t>’</w:t>
      </w:r>
      <w:r w:rsidRPr="0010333C">
        <w:rPr>
          <w:sz w:val="18"/>
          <w:lang w:val="fr-FR"/>
        </w:rPr>
        <w:t>examen;</w:t>
      </w:r>
    </w:p>
    <w:p w:rsidR="008E3F88" w:rsidRPr="0010333C" w:rsidRDefault="008E3F88" w:rsidP="0010333C">
      <w:pPr>
        <w:ind w:left="1701" w:right="567"/>
        <w:rPr>
          <w:sz w:val="18"/>
          <w:lang w:val="fr-FR"/>
        </w:rPr>
      </w:pPr>
      <w:r w:rsidRPr="0010333C">
        <w:rPr>
          <w:sz w:val="18"/>
          <w:lang w:val="fr-FR"/>
        </w:rPr>
        <w:t>“</w:t>
      </w:r>
      <w:r w:rsidRPr="0010333C">
        <w:rPr>
          <w:sz w:val="14"/>
          <w:lang w:val="fr-FR"/>
        </w:rPr>
        <w:sym w:font="Wingdings 2" w:char="F097"/>
      </w:r>
      <w:r w:rsidRPr="0010333C">
        <w:rPr>
          <w:sz w:val="18"/>
          <w:lang w:val="fr-FR"/>
        </w:rPr>
        <w:tab/>
        <w:t>Date et lieu de publication du document;</w:t>
      </w:r>
    </w:p>
    <w:p w:rsidR="008E3F88" w:rsidRPr="0010333C" w:rsidRDefault="008E3F88" w:rsidP="0010333C">
      <w:pPr>
        <w:ind w:left="1701" w:right="567"/>
        <w:rPr>
          <w:sz w:val="18"/>
          <w:lang w:val="fr-FR"/>
        </w:rPr>
      </w:pPr>
      <w:r w:rsidRPr="0010333C">
        <w:rPr>
          <w:sz w:val="18"/>
          <w:lang w:val="fr-FR"/>
        </w:rPr>
        <w:t>“</w:t>
      </w:r>
      <w:r w:rsidRPr="0010333C">
        <w:rPr>
          <w:sz w:val="14"/>
          <w:lang w:val="fr-FR"/>
        </w:rPr>
        <w:sym w:font="Wingdings 2" w:char="F097"/>
      </w:r>
      <w:r w:rsidRPr="0010333C">
        <w:rPr>
          <w:sz w:val="18"/>
          <w:lang w:val="fr-FR"/>
        </w:rPr>
        <w:tab/>
        <w:t>Groupe : (tableau : caractères;  niveaux d</w:t>
      </w:r>
      <w:r w:rsidR="00584454" w:rsidRPr="0010333C">
        <w:rPr>
          <w:sz w:val="18"/>
          <w:lang w:val="fr-FR"/>
        </w:rPr>
        <w:t>’</w:t>
      </w:r>
      <w:r w:rsidRPr="0010333C">
        <w:rPr>
          <w:sz w:val="18"/>
          <w:lang w:val="fr-FR"/>
        </w:rPr>
        <w:t>expression;  note;  observations);</w:t>
      </w:r>
    </w:p>
    <w:p w:rsidR="008E3F88" w:rsidRPr="0010333C" w:rsidRDefault="008E3F88" w:rsidP="0010333C">
      <w:pPr>
        <w:ind w:left="1701" w:right="567"/>
        <w:rPr>
          <w:sz w:val="18"/>
          <w:lang w:val="fr-FR"/>
        </w:rPr>
      </w:pPr>
      <w:r w:rsidRPr="0010333C">
        <w:rPr>
          <w:sz w:val="18"/>
          <w:lang w:val="fr-FR"/>
        </w:rPr>
        <w:t>“</w:t>
      </w:r>
      <w:r w:rsidRPr="0010333C">
        <w:rPr>
          <w:sz w:val="14"/>
          <w:lang w:val="fr-FR"/>
        </w:rPr>
        <w:sym w:font="Wingdings 2" w:char="F097"/>
      </w:r>
      <w:r w:rsidRPr="0010333C">
        <w:rPr>
          <w:sz w:val="18"/>
          <w:lang w:val="fr-FR"/>
        </w:rPr>
        <w:tab/>
        <w:t>Renseignements complémentaires;</w:t>
      </w:r>
    </w:p>
    <w:p w:rsidR="008E3F88" w:rsidRPr="0010333C" w:rsidRDefault="008E3F88" w:rsidP="0010333C">
      <w:pPr>
        <w:ind w:left="1701" w:right="567"/>
        <w:rPr>
          <w:sz w:val="18"/>
          <w:lang w:val="fr-FR"/>
        </w:rPr>
      </w:pPr>
      <w:r w:rsidRPr="0010333C">
        <w:rPr>
          <w:sz w:val="18"/>
          <w:lang w:val="fr-FR"/>
        </w:rPr>
        <w:tab/>
        <w:t>“</w:t>
      </w:r>
      <w:proofErr w:type="gramStart"/>
      <w:r w:rsidRPr="0010333C">
        <w:rPr>
          <w:sz w:val="18"/>
          <w:lang w:val="fr-FR"/>
        </w:rPr>
        <w:t>a</w:t>
      </w:r>
      <w:proofErr w:type="gramEnd"/>
      <w:r w:rsidRPr="0010333C">
        <w:rPr>
          <w:sz w:val="18"/>
          <w:lang w:val="fr-FR"/>
        </w:rPr>
        <w:t>)</w:t>
      </w:r>
      <w:r w:rsidRPr="0010333C">
        <w:rPr>
          <w:sz w:val="18"/>
          <w:lang w:val="fr-FR"/>
        </w:rPr>
        <w:tab/>
        <w:t>Données additionnelles;</w:t>
      </w:r>
    </w:p>
    <w:p w:rsidR="008E3F88" w:rsidRPr="0010333C" w:rsidRDefault="008E3F88" w:rsidP="0010333C">
      <w:pPr>
        <w:ind w:left="1701" w:right="567"/>
        <w:rPr>
          <w:sz w:val="18"/>
          <w:lang w:val="fr-FR"/>
        </w:rPr>
      </w:pPr>
      <w:r w:rsidRPr="0010333C">
        <w:rPr>
          <w:sz w:val="18"/>
          <w:lang w:val="fr-FR"/>
        </w:rPr>
        <w:lastRenderedPageBreak/>
        <w:tab/>
        <w:t>“b)</w:t>
      </w:r>
      <w:r w:rsidRPr="0010333C">
        <w:rPr>
          <w:sz w:val="18"/>
          <w:lang w:val="fr-FR"/>
        </w:rPr>
        <w:tab/>
        <w:t>Photographie (le cas échéant);</w:t>
      </w:r>
    </w:p>
    <w:p w:rsidR="008E3F88" w:rsidRPr="0010333C" w:rsidRDefault="008E3F88" w:rsidP="0010333C">
      <w:pPr>
        <w:ind w:left="1701" w:right="567"/>
        <w:rPr>
          <w:sz w:val="18"/>
          <w:lang w:val="fr-FR"/>
        </w:rPr>
      </w:pPr>
      <w:r w:rsidRPr="0010333C">
        <w:rPr>
          <w:sz w:val="18"/>
          <w:lang w:val="fr-FR"/>
        </w:rPr>
        <w:tab/>
        <w:t>“c)</w:t>
      </w:r>
      <w:r w:rsidRPr="0010333C">
        <w:rPr>
          <w:sz w:val="18"/>
          <w:lang w:val="fr-FR"/>
        </w:rPr>
        <w:tab/>
        <w:t>Version du code RHS des couleurs utilisée (le cas échéant);</w:t>
      </w:r>
    </w:p>
    <w:p w:rsidR="008E3F88" w:rsidRPr="0010333C" w:rsidRDefault="008E3F88" w:rsidP="0010333C">
      <w:pPr>
        <w:ind w:left="1134" w:right="567"/>
        <w:rPr>
          <w:sz w:val="18"/>
          <w:lang w:val="fr-FR"/>
        </w:rPr>
      </w:pPr>
      <w:r w:rsidRPr="0010333C">
        <w:rPr>
          <w:sz w:val="18"/>
          <w:lang w:val="fr-FR"/>
        </w:rPr>
        <w:tab/>
      </w:r>
      <w:r w:rsidRPr="0010333C">
        <w:rPr>
          <w:sz w:val="18"/>
          <w:lang w:val="fr-FR"/>
        </w:rPr>
        <w:tab/>
        <w:t>“d)</w:t>
      </w:r>
      <w:r w:rsidRPr="0010333C">
        <w:rPr>
          <w:sz w:val="18"/>
          <w:lang w:val="fr-FR"/>
        </w:rPr>
        <w:tab/>
        <w:t>Observations.”</w:t>
      </w:r>
    </w:p>
    <w:p w:rsidR="008E3F88" w:rsidRPr="0010333C" w:rsidRDefault="008E3F88" w:rsidP="0010333C">
      <w:pPr>
        <w:rPr>
          <w:lang w:val="fr-FR"/>
        </w:rPr>
      </w:pPr>
    </w:p>
    <w:p w:rsidR="008E3F88" w:rsidRPr="0010333C" w:rsidRDefault="008E3F88" w:rsidP="0010333C">
      <w:pPr>
        <w:rPr>
          <w:lang w:val="fr-FR"/>
        </w:rPr>
      </w:pPr>
      <w:r w:rsidRPr="0010333C">
        <w:rPr>
          <w:lang w:val="fr-FR"/>
        </w:rPr>
        <w:fldChar w:fldCharType="begin"/>
      </w:r>
      <w:r w:rsidRPr="0010333C">
        <w:rPr>
          <w:lang w:val="fr-FR"/>
        </w:rPr>
        <w:instrText xml:space="preserve"> AUTONUM  </w:instrText>
      </w:r>
      <w:r w:rsidRPr="0010333C">
        <w:rPr>
          <w:lang w:val="fr-FR"/>
        </w:rPr>
        <w:fldChar w:fldCharType="end"/>
      </w:r>
      <w:r w:rsidRPr="0010333C">
        <w:rPr>
          <w:lang w:val="fr-FR"/>
        </w:rPr>
        <w:tab/>
        <w:t>Le CAJ a souscrit à la conclusion adoptée par le CAJ</w:t>
      </w:r>
      <w:r w:rsidR="00BB3EE2" w:rsidRPr="0010333C">
        <w:rPr>
          <w:lang w:val="fr-FR"/>
        </w:rPr>
        <w:noBreakHyphen/>
      </w:r>
      <w:r w:rsidRPr="0010333C">
        <w:rPr>
          <w:lang w:val="fr-FR"/>
        </w:rPr>
        <w:t>AG, à sa neuvième session, sur le statut de la description variétale initiale, au regard de la vérification de la conformité du matériel végétal à une variété protégée aux fins de la défense du droit d</w:t>
      </w:r>
      <w:r w:rsidR="00584454" w:rsidRPr="0010333C">
        <w:rPr>
          <w:lang w:val="fr-FR"/>
        </w:rPr>
        <w:t>’</w:t>
      </w:r>
      <w:r w:rsidRPr="0010333C">
        <w:rPr>
          <w:lang w:val="fr-FR"/>
        </w:rPr>
        <w:t>obtenteur, comme indiqué aux paragraphes 38 et 39 du document CAJ/71/2, reproduits ci</w:t>
      </w:r>
      <w:r w:rsidR="00BB3EE2" w:rsidRPr="0010333C">
        <w:rPr>
          <w:szCs w:val="22"/>
          <w:lang w:val="fr-FR"/>
        </w:rPr>
        <w:noBreakHyphen/>
      </w:r>
      <w:r w:rsidRPr="0010333C">
        <w:rPr>
          <w:szCs w:val="22"/>
          <w:lang w:val="fr-FR"/>
        </w:rPr>
        <w:t>dessous</w:t>
      </w:r>
      <w:r w:rsidR="00B835B6" w:rsidRPr="0010333C">
        <w:rPr>
          <w:lang w:val="fr-FR"/>
        </w:rPr>
        <w:t> </w:t>
      </w:r>
      <w:r w:rsidRPr="0010333C">
        <w:rPr>
          <w:lang w:val="fr-FR"/>
        </w:rPr>
        <w:t>:</w:t>
      </w:r>
    </w:p>
    <w:p w:rsidR="008E3F88" w:rsidRPr="0010333C" w:rsidRDefault="008E3F88" w:rsidP="0010333C">
      <w:pPr>
        <w:rPr>
          <w:lang w:val="fr-FR"/>
        </w:rPr>
      </w:pPr>
    </w:p>
    <w:p w:rsidR="008E3F88" w:rsidRPr="0010333C" w:rsidRDefault="008E3F88" w:rsidP="0010333C">
      <w:pPr>
        <w:ind w:left="567" w:right="567"/>
        <w:rPr>
          <w:snapToGrid w:val="0"/>
          <w:spacing w:val="-2"/>
          <w:sz w:val="18"/>
          <w:szCs w:val="18"/>
          <w:lang w:val="fr-FR"/>
        </w:rPr>
      </w:pPr>
      <w:r w:rsidRPr="0010333C">
        <w:rPr>
          <w:snapToGrid w:val="0"/>
          <w:spacing w:val="-2"/>
          <w:sz w:val="18"/>
          <w:szCs w:val="18"/>
          <w:lang w:val="fr-FR"/>
        </w:rPr>
        <w:t>“38.</w:t>
      </w:r>
      <w:r w:rsidRPr="0010333C">
        <w:rPr>
          <w:snapToGrid w:val="0"/>
          <w:spacing w:val="-2"/>
          <w:sz w:val="18"/>
          <w:szCs w:val="18"/>
          <w:lang w:val="fr-FR"/>
        </w:rPr>
        <w:tab/>
        <w:t>Le CAJ</w:t>
      </w:r>
      <w:r w:rsidR="00BB3EE2" w:rsidRPr="0010333C">
        <w:rPr>
          <w:snapToGrid w:val="0"/>
          <w:spacing w:val="-2"/>
          <w:sz w:val="18"/>
          <w:szCs w:val="18"/>
          <w:lang w:val="fr-FR"/>
        </w:rPr>
        <w:noBreakHyphen/>
      </w:r>
      <w:r w:rsidRPr="0010333C">
        <w:rPr>
          <w:snapToGrid w:val="0"/>
          <w:spacing w:val="-2"/>
          <w:sz w:val="18"/>
          <w:szCs w:val="18"/>
          <w:lang w:val="fr-FR"/>
        </w:rPr>
        <w:t>AG a examiné le statut de la description variétale initiale, au regard de la vérification du matériel végétal d</w:t>
      </w:r>
      <w:r w:rsidR="00584454" w:rsidRPr="0010333C">
        <w:rPr>
          <w:snapToGrid w:val="0"/>
          <w:spacing w:val="-2"/>
          <w:sz w:val="18"/>
          <w:szCs w:val="18"/>
          <w:lang w:val="fr-FR"/>
        </w:rPr>
        <w:t>’</w:t>
      </w:r>
      <w:r w:rsidRPr="0010333C">
        <w:rPr>
          <w:snapToGrid w:val="0"/>
          <w:spacing w:val="-2"/>
          <w:sz w:val="18"/>
          <w:szCs w:val="18"/>
          <w:lang w:val="fr-FR"/>
        </w:rPr>
        <w:t>une variété protégée aux fins de la défense du droit d</w:t>
      </w:r>
      <w:r w:rsidR="00584454" w:rsidRPr="0010333C">
        <w:rPr>
          <w:snapToGrid w:val="0"/>
          <w:spacing w:val="-2"/>
          <w:sz w:val="18"/>
          <w:szCs w:val="18"/>
          <w:lang w:val="fr-FR"/>
        </w:rPr>
        <w:t>’</w:t>
      </w:r>
      <w:r w:rsidRPr="0010333C">
        <w:rPr>
          <w:snapToGrid w:val="0"/>
          <w:spacing w:val="-2"/>
          <w:sz w:val="18"/>
          <w:szCs w:val="18"/>
          <w:lang w:val="fr-FR"/>
        </w:rPr>
        <w:t>obtenteur, et a noté que les orientations de l</w:t>
      </w:r>
      <w:r w:rsidR="00584454" w:rsidRPr="0010333C">
        <w:rPr>
          <w:snapToGrid w:val="0"/>
          <w:spacing w:val="-2"/>
          <w:sz w:val="18"/>
          <w:szCs w:val="18"/>
          <w:lang w:val="fr-FR"/>
        </w:rPr>
        <w:t>’</w:t>
      </w:r>
      <w:r w:rsidRPr="0010333C">
        <w:rPr>
          <w:snapToGrid w:val="0"/>
          <w:spacing w:val="-2"/>
          <w:sz w:val="18"/>
          <w:szCs w:val="18"/>
          <w:lang w:val="fr-FR"/>
        </w:rPr>
        <w:t>UPOV sur la défense des droits d</w:t>
      </w:r>
      <w:r w:rsidR="00584454" w:rsidRPr="0010333C">
        <w:rPr>
          <w:snapToGrid w:val="0"/>
          <w:spacing w:val="-2"/>
          <w:sz w:val="18"/>
          <w:szCs w:val="18"/>
          <w:lang w:val="fr-FR"/>
        </w:rPr>
        <w:t>’</w:t>
      </w:r>
      <w:r w:rsidRPr="0010333C">
        <w:rPr>
          <w:snapToGrid w:val="0"/>
          <w:spacing w:val="-2"/>
          <w:sz w:val="18"/>
          <w:szCs w:val="18"/>
          <w:lang w:val="fr-FR"/>
        </w:rPr>
        <w:t>obtenteur figurant dans le document UPOV/EXN/ENF/1 “Notes explicatives sur la défense des droits d</w:t>
      </w:r>
      <w:r w:rsidR="00584454" w:rsidRPr="0010333C">
        <w:rPr>
          <w:snapToGrid w:val="0"/>
          <w:spacing w:val="-2"/>
          <w:sz w:val="18"/>
          <w:szCs w:val="18"/>
          <w:lang w:val="fr-FR"/>
        </w:rPr>
        <w:t>’</w:t>
      </w:r>
      <w:r w:rsidRPr="0010333C">
        <w:rPr>
          <w:snapToGrid w:val="0"/>
          <w:spacing w:val="-2"/>
          <w:sz w:val="18"/>
          <w:szCs w:val="18"/>
          <w:lang w:val="fr-FR"/>
        </w:rPr>
        <w:t xml:space="preserve">obtenteur selon la </w:t>
      </w:r>
      <w:r w:rsidR="00584454" w:rsidRPr="0010333C">
        <w:rPr>
          <w:snapToGrid w:val="0"/>
          <w:spacing w:val="-2"/>
          <w:sz w:val="18"/>
          <w:szCs w:val="18"/>
          <w:lang w:val="fr-FR"/>
        </w:rPr>
        <w:t>Convention UPOV</w:t>
      </w:r>
      <w:r w:rsidRPr="0010333C">
        <w:rPr>
          <w:snapToGrid w:val="0"/>
          <w:spacing w:val="-2"/>
          <w:sz w:val="18"/>
          <w:szCs w:val="18"/>
          <w:lang w:val="fr-FR"/>
        </w:rPr>
        <w:t>” expliquent ce qui suit</w:t>
      </w:r>
      <w:r w:rsidRPr="0010333C">
        <w:rPr>
          <w:rStyle w:val="FootnoteReference"/>
          <w:snapToGrid w:val="0"/>
          <w:spacing w:val="-2"/>
          <w:sz w:val="18"/>
          <w:szCs w:val="18"/>
          <w:lang w:val="fr-FR"/>
        </w:rPr>
        <w:footnoteReference w:id="2"/>
      </w:r>
      <w:r w:rsidRPr="0010333C">
        <w:rPr>
          <w:snapToGrid w:val="0"/>
          <w:spacing w:val="-2"/>
          <w:sz w:val="18"/>
          <w:szCs w:val="18"/>
          <w:lang w:val="fr-FR"/>
        </w:rPr>
        <w:t> :</w:t>
      </w:r>
    </w:p>
    <w:p w:rsidR="008E3F88" w:rsidRPr="0010333C" w:rsidRDefault="008E3F88" w:rsidP="0010333C">
      <w:pPr>
        <w:pStyle w:val="ListParagraph"/>
        <w:ind w:left="567" w:right="567"/>
        <w:rPr>
          <w:snapToGrid w:val="0"/>
          <w:sz w:val="18"/>
          <w:szCs w:val="18"/>
          <w:lang w:val="fr-FR"/>
        </w:rPr>
      </w:pPr>
    </w:p>
    <w:p w:rsidR="008E3F88" w:rsidRPr="0010333C" w:rsidRDefault="008E3F88" w:rsidP="0010333C">
      <w:pPr>
        <w:pStyle w:val="ListParagraph"/>
        <w:ind w:left="567" w:right="567"/>
        <w:rPr>
          <w:snapToGrid w:val="0"/>
          <w:sz w:val="18"/>
          <w:szCs w:val="18"/>
          <w:lang w:val="fr-FR"/>
        </w:rPr>
      </w:pPr>
      <w:r w:rsidRPr="0010333C">
        <w:rPr>
          <w:snapToGrid w:val="0"/>
          <w:sz w:val="18"/>
          <w:szCs w:val="18"/>
          <w:lang w:val="fr-FR"/>
        </w:rPr>
        <w:t>“SECTION</w:t>
      </w:r>
      <w:r w:rsidR="00BC12C6" w:rsidRPr="0010333C">
        <w:rPr>
          <w:snapToGrid w:val="0"/>
          <w:sz w:val="18"/>
          <w:szCs w:val="18"/>
          <w:lang w:val="fr-FR"/>
        </w:rPr>
        <w:t> </w:t>
      </w:r>
      <w:r w:rsidRPr="0010333C">
        <w:rPr>
          <w:snapToGrid w:val="0"/>
          <w:sz w:val="18"/>
          <w:szCs w:val="18"/>
          <w:lang w:val="fr-FR"/>
        </w:rPr>
        <w:t>II : Quelques mesures possibles pour la défense des droits d</w:t>
      </w:r>
      <w:r w:rsidR="00584454" w:rsidRPr="0010333C">
        <w:rPr>
          <w:snapToGrid w:val="0"/>
          <w:sz w:val="18"/>
          <w:szCs w:val="18"/>
          <w:lang w:val="fr-FR"/>
        </w:rPr>
        <w:t>’</w:t>
      </w:r>
      <w:r w:rsidRPr="0010333C">
        <w:rPr>
          <w:snapToGrid w:val="0"/>
          <w:sz w:val="18"/>
          <w:szCs w:val="18"/>
          <w:lang w:val="fr-FR"/>
        </w:rPr>
        <w:t>obtenteur</w:t>
      </w:r>
    </w:p>
    <w:p w:rsidR="008E3F88" w:rsidRPr="0010333C" w:rsidRDefault="008E3F88" w:rsidP="0010333C">
      <w:pPr>
        <w:pStyle w:val="ListParagraph"/>
        <w:ind w:left="567" w:right="567"/>
        <w:rPr>
          <w:snapToGrid w:val="0"/>
          <w:sz w:val="18"/>
          <w:szCs w:val="18"/>
          <w:lang w:val="fr-FR"/>
        </w:rPr>
      </w:pPr>
    </w:p>
    <w:p w:rsidR="008E3F88" w:rsidRPr="0010333C" w:rsidRDefault="008E3F88" w:rsidP="0010333C">
      <w:pPr>
        <w:pStyle w:val="ListParagraph"/>
        <w:ind w:left="567" w:right="567"/>
        <w:rPr>
          <w:snapToGrid w:val="0"/>
          <w:sz w:val="18"/>
          <w:szCs w:val="18"/>
          <w:lang w:val="fr-FR"/>
        </w:rPr>
      </w:pPr>
      <w:r w:rsidRPr="0010333C">
        <w:rPr>
          <w:snapToGrid w:val="0"/>
          <w:sz w:val="18"/>
          <w:szCs w:val="18"/>
          <w:lang w:val="fr-FR"/>
        </w:rPr>
        <w:t>“S</w:t>
      </w:r>
      <w:r w:rsidR="00584454" w:rsidRPr="0010333C">
        <w:rPr>
          <w:snapToGrid w:val="0"/>
          <w:sz w:val="18"/>
          <w:szCs w:val="18"/>
          <w:lang w:val="fr-FR"/>
        </w:rPr>
        <w:t>’</w:t>
      </w:r>
      <w:r w:rsidRPr="0010333C">
        <w:rPr>
          <w:snapToGrid w:val="0"/>
          <w:sz w:val="18"/>
          <w:szCs w:val="18"/>
          <w:lang w:val="fr-FR"/>
        </w:rPr>
        <w:t xml:space="preserve">il est vrai que la </w:t>
      </w:r>
      <w:r w:rsidR="00584454" w:rsidRPr="0010333C">
        <w:rPr>
          <w:snapToGrid w:val="0"/>
          <w:sz w:val="18"/>
          <w:szCs w:val="18"/>
          <w:lang w:val="fr-FR"/>
        </w:rPr>
        <w:t>Convention UPOV</w:t>
      </w:r>
      <w:r w:rsidRPr="0010333C">
        <w:rPr>
          <w:snapToGrid w:val="0"/>
          <w:sz w:val="18"/>
          <w:szCs w:val="18"/>
          <w:lang w:val="fr-FR"/>
        </w:rPr>
        <w:t xml:space="preserve"> exige des membres de l</w:t>
      </w:r>
      <w:r w:rsidR="00584454" w:rsidRPr="0010333C">
        <w:rPr>
          <w:snapToGrid w:val="0"/>
          <w:sz w:val="18"/>
          <w:szCs w:val="18"/>
          <w:lang w:val="fr-FR"/>
        </w:rPr>
        <w:t>’</w:t>
      </w:r>
      <w:r w:rsidRPr="0010333C">
        <w:rPr>
          <w:snapToGrid w:val="0"/>
          <w:sz w:val="18"/>
          <w:szCs w:val="18"/>
          <w:lang w:val="fr-FR"/>
        </w:rPr>
        <w:t>Union que ceux</w:t>
      </w:r>
      <w:r w:rsidR="00BB3EE2" w:rsidRPr="0010333C">
        <w:rPr>
          <w:snapToGrid w:val="0"/>
          <w:sz w:val="18"/>
          <w:szCs w:val="18"/>
          <w:lang w:val="fr-FR"/>
        </w:rPr>
        <w:noBreakHyphen/>
      </w:r>
      <w:r w:rsidRPr="0010333C">
        <w:rPr>
          <w:snapToGrid w:val="0"/>
          <w:sz w:val="18"/>
          <w:szCs w:val="18"/>
          <w:lang w:val="fr-FR"/>
        </w:rPr>
        <w:t>ci prévoient les recours légaux appropriés permettant de défendre efficacement les droits d</w:t>
      </w:r>
      <w:r w:rsidR="00584454" w:rsidRPr="0010333C">
        <w:rPr>
          <w:snapToGrid w:val="0"/>
          <w:sz w:val="18"/>
          <w:szCs w:val="18"/>
          <w:lang w:val="fr-FR"/>
        </w:rPr>
        <w:t>’</w:t>
      </w:r>
      <w:r w:rsidRPr="0010333C">
        <w:rPr>
          <w:snapToGrid w:val="0"/>
          <w:sz w:val="18"/>
          <w:szCs w:val="18"/>
          <w:lang w:val="fr-FR"/>
        </w:rPr>
        <w:t>obtenteur, il n</w:t>
      </w:r>
      <w:r w:rsidR="00584454" w:rsidRPr="0010333C">
        <w:rPr>
          <w:snapToGrid w:val="0"/>
          <w:sz w:val="18"/>
          <w:szCs w:val="18"/>
          <w:lang w:val="fr-FR"/>
        </w:rPr>
        <w:t>’</w:t>
      </w:r>
      <w:r w:rsidRPr="0010333C">
        <w:rPr>
          <w:snapToGrid w:val="0"/>
          <w:sz w:val="18"/>
          <w:szCs w:val="18"/>
          <w:lang w:val="fr-FR"/>
        </w:rPr>
        <w:t>en reste pas moins que c</w:t>
      </w:r>
      <w:r w:rsidR="00584454" w:rsidRPr="0010333C">
        <w:rPr>
          <w:snapToGrid w:val="0"/>
          <w:sz w:val="18"/>
          <w:szCs w:val="18"/>
          <w:lang w:val="fr-FR"/>
        </w:rPr>
        <w:t>’</w:t>
      </w:r>
      <w:r w:rsidRPr="0010333C">
        <w:rPr>
          <w:snapToGrid w:val="0"/>
          <w:sz w:val="18"/>
          <w:szCs w:val="18"/>
          <w:lang w:val="fr-FR"/>
        </w:rPr>
        <w:t>est aux obtenteurs qu</w:t>
      </w:r>
      <w:r w:rsidR="00584454" w:rsidRPr="0010333C">
        <w:rPr>
          <w:snapToGrid w:val="0"/>
          <w:sz w:val="18"/>
          <w:szCs w:val="18"/>
          <w:lang w:val="fr-FR"/>
        </w:rPr>
        <w:t>’</w:t>
      </w:r>
      <w:r w:rsidRPr="0010333C">
        <w:rPr>
          <w:snapToGrid w:val="0"/>
          <w:sz w:val="18"/>
          <w:szCs w:val="18"/>
          <w:lang w:val="fr-FR"/>
        </w:rPr>
        <w:t>il incombe de défendre leurs droits.</w:t>
      </w:r>
    </w:p>
    <w:p w:rsidR="008E3F88" w:rsidRPr="0010333C" w:rsidRDefault="008E3F88" w:rsidP="0010333C">
      <w:pPr>
        <w:pStyle w:val="ListParagraph"/>
        <w:ind w:left="567" w:right="567"/>
        <w:rPr>
          <w:snapToGrid w:val="0"/>
          <w:sz w:val="18"/>
          <w:szCs w:val="18"/>
          <w:lang w:val="fr-FR"/>
        </w:rPr>
      </w:pPr>
      <w:r w:rsidRPr="0010333C">
        <w:rPr>
          <w:snapToGrid w:val="0"/>
          <w:sz w:val="18"/>
          <w:szCs w:val="18"/>
          <w:lang w:val="fr-FR"/>
        </w:rPr>
        <w:t>[…]</w:t>
      </w:r>
    </w:p>
    <w:p w:rsidR="008E3F88" w:rsidRPr="0010333C" w:rsidRDefault="008E3F88" w:rsidP="0010333C">
      <w:pPr>
        <w:ind w:left="567" w:right="567"/>
        <w:rPr>
          <w:snapToGrid w:val="0"/>
          <w:sz w:val="18"/>
          <w:szCs w:val="18"/>
          <w:lang w:val="fr-FR"/>
        </w:rPr>
      </w:pPr>
      <w:r w:rsidRPr="0010333C">
        <w:rPr>
          <w:snapToGrid w:val="0"/>
          <w:sz w:val="18"/>
          <w:szCs w:val="18"/>
          <w:lang w:val="fr-FR"/>
        </w:rPr>
        <w:t>“39.</w:t>
      </w:r>
      <w:r w:rsidRPr="0010333C">
        <w:rPr>
          <w:snapToGrid w:val="0"/>
          <w:sz w:val="18"/>
          <w:szCs w:val="18"/>
          <w:lang w:val="fr-FR"/>
        </w:rPr>
        <w:tab/>
        <w:t>Le CAJ</w:t>
      </w:r>
      <w:r w:rsidR="00BB3EE2" w:rsidRPr="0010333C">
        <w:rPr>
          <w:snapToGrid w:val="0"/>
          <w:sz w:val="18"/>
          <w:szCs w:val="18"/>
          <w:lang w:val="fr-FR"/>
        </w:rPr>
        <w:noBreakHyphen/>
      </w:r>
      <w:r w:rsidRPr="0010333C">
        <w:rPr>
          <w:snapToGrid w:val="0"/>
          <w:sz w:val="18"/>
          <w:szCs w:val="18"/>
          <w:lang w:val="fr-FR"/>
        </w:rPr>
        <w:t>AG est convenu que, s</w:t>
      </w:r>
      <w:r w:rsidR="00584454" w:rsidRPr="0010333C">
        <w:rPr>
          <w:snapToGrid w:val="0"/>
          <w:sz w:val="18"/>
          <w:szCs w:val="18"/>
          <w:lang w:val="fr-FR"/>
        </w:rPr>
        <w:t>’</w:t>
      </w:r>
      <w:r w:rsidRPr="0010333C">
        <w:rPr>
          <w:snapToGrid w:val="0"/>
          <w:sz w:val="18"/>
          <w:szCs w:val="18"/>
          <w:lang w:val="fr-FR"/>
        </w:rPr>
        <w:t>agissant de l</w:t>
      </w:r>
      <w:r w:rsidR="00584454" w:rsidRPr="0010333C">
        <w:rPr>
          <w:snapToGrid w:val="0"/>
          <w:sz w:val="18"/>
          <w:szCs w:val="18"/>
          <w:lang w:val="fr-FR"/>
        </w:rPr>
        <w:t>’</w:t>
      </w:r>
      <w:r w:rsidRPr="0010333C">
        <w:rPr>
          <w:snapToGrid w:val="0"/>
          <w:sz w:val="18"/>
          <w:szCs w:val="18"/>
          <w:lang w:val="fr-FR"/>
        </w:rPr>
        <w:t>utilisation de la description variétale initiale, il y avait lieu de rappeler que la description des caractères de la variété et la base de la distinction de la variété la plus semblable étaient liées aux circonstances de l</w:t>
      </w:r>
      <w:r w:rsidR="00584454" w:rsidRPr="0010333C">
        <w:rPr>
          <w:snapToGrid w:val="0"/>
          <w:sz w:val="18"/>
          <w:szCs w:val="18"/>
          <w:lang w:val="fr-FR"/>
        </w:rPr>
        <w:t>’</w:t>
      </w:r>
      <w:r w:rsidRPr="0010333C">
        <w:rPr>
          <w:snapToGrid w:val="0"/>
          <w:sz w:val="18"/>
          <w:szCs w:val="18"/>
          <w:lang w:val="fr-FR"/>
        </w:rPr>
        <w:t xml:space="preserve">examen DHS comme indiqué dans le paragraphe 10.c) du document, </w:t>
      </w:r>
      <w:r w:rsidR="00584454" w:rsidRPr="0010333C">
        <w:rPr>
          <w:snapToGrid w:val="0"/>
          <w:sz w:val="18"/>
          <w:szCs w:val="18"/>
          <w:lang w:val="fr-FR"/>
        </w:rPr>
        <w:t>à savoir</w:t>
      </w:r>
      <w:r w:rsidRPr="0010333C">
        <w:rPr>
          <w:rStyle w:val="FootnoteReference"/>
          <w:snapToGrid w:val="0"/>
          <w:sz w:val="18"/>
          <w:szCs w:val="18"/>
          <w:lang w:val="fr-FR"/>
        </w:rPr>
        <w:footnoteReference w:id="3"/>
      </w:r>
      <w:r w:rsidRPr="0010333C">
        <w:rPr>
          <w:snapToGrid w:val="0"/>
          <w:sz w:val="18"/>
          <w:szCs w:val="18"/>
          <w:lang w:val="fr-FR"/>
        </w:rPr>
        <w:t> :</w:t>
      </w:r>
    </w:p>
    <w:p w:rsidR="008E3F88" w:rsidRPr="0010333C" w:rsidRDefault="008E3F88" w:rsidP="0010333C">
      <w:pPr>
        <w:ind w:left="567" w:right="567"/>
        <w:rPr>
          <w:snapToGrid w:val="0"/>
          <w:sz w:val="18"/>
          <w:szCs w:val="18"/>
          <w:lang w:val="fr-FR"/>
        </w:rPr>
      </w:pPr>
    </w:p>
    <w:p w:rsidR="008E3F88" w:rsidRPr="0010333C" w:rsidRDefault="008E3F88" w:rsidP="0010333C">
      <w:pPr>
        <w:pStyle w:val="ListParagraph"/>
        <w:keepNext/>
        <w:tabs>
          <w:tab w:val="left" w:pos="567"/>
          <w:tab w:val="left" w:pos="1134"/>
        </w:tabs>
        <w:ind w:left="567" w:right="567"/>
        <w:rPr>
          <w:sz w:val="18"/>
          <w:szCs w:val="18"/>
          <w:lang w:val="fr-FR"/>
        </w:rPr>
      </w:pPr>
      <w:r w:rsidRPr="0010333C">
        <w:rPr>
          <w:snapToGrid w:val="0"/>
          <w:sz w:val="18"/>
          <w:szCs w:val="18"/>
          <w:lang w:val="fr-FR"/>
        </w:rPr>
        <w:t>“</w:t>
      </w:r>
      <w:r w:rsidRPr="0010333C">
        <w:rPr>
          <w:sz w:val="14"/>
          <w:lang w:val="fr-FR"/>
        </w:rPr>
        <w:sym w:font="Wingdings 2" w:char="F097"/>
      </w:r>
      <w:r w:rsidRPr="0010333C">
        <w:rPr>
          <w:sz w:val="18"/>
          <w:lang w:val="fr-FR"/>
        </w:rPr>
        <w:tab/>
      </w:r>
      <w:r w:rsidRPr="0010333C">
        <w:rPr>
          <w:sz w:val="18"/>
          <w:szCs w:val="18"/>
          <w:lang w:val="fr-FR"/>
        </w:rPr>
        <w:t>Date et référence du document contenant les principes directeurs d</w:t>
      </w:r>
      <w:r w:rsidR="00584454" w:rsidRPr="0010333C">
        <w:rPr>
          <w:sz w:val="18"/>
          <w:szCs w:val="18"/>
          <w:lang w:val="fr-FR"/>
        </w:rPr>
        <w:t>’</w:t>
      </w:r>
      <w:r w:rsidRPr="0010333C">
        <w:rPr>
          <w:sz w:val="18"/>
          <w:szCs w:val="18"/>
          <w:lang w:val="fr-FR"/>
        </w:rPr>
        <w:t>examen de l</w:t>
      </w:r>
      <w:r w:rsidR="00584454" w:rsidRPr="0010333C">
        <w:rPr>
          <w:sz w:val="18"/>
          <w:szCs w:val="18"/>
          <w:lang w:val="fr-FR"/>
        </w:rPr>
        <w:t>’</w:t>
      </w:r>
      <w:r w:rsidRPr="0010333C">
        <w:rPr>
          <w:sz w:val="18"/>
          <w:szCs w:val="18"/>
          <w:lang w:val="fr-FR"/>
        </w:rPr>
        <w:t>UPOV;</w:t>
      </w:r>
    </w:p>
    <w:p w:rsidR="008E3F88" w:rsidRPr="0010333C" w:rsidRDefault="008E3F88" w:rsidP="0010333C">
      <w:pPr>
        <w:pStyle w:val="ListParagraph"/>
        <w:tabs>
          <w:tab w:val="left" w:pos="567"/>
          <w:tab w:val="left" w:pos="1134"/>
          <w:tab w:val="left" w:pos="5103"/>
        </w:tabs>
        <w:ind w:left="567" w:right="567"/>
        <w:rPr>
          <w:sz w:val="18"/>
          <w:szCs w:val="18"/>
          <w:lang w:val="fr-FR"/>
        </w:rPr>
      </w:pPr>
      <w:r w:rsidRPr="0010333C">
        <w:rPr>
          <w:snapToGrid w:val="0"/>
          <w:sz w:val="18"/>
          <w:szCs w:val="18"/>
          <w:lang w:val="fr-FR"/>
        </w:rPr>
        <w:t>“</w:t>
      </w:r>
      <w:r w:rsidRPr="0010333C">
        <w:rPr>
          <w:sz w:val="14"/>
          <w:lang w:val="fr-FR"/>
        </w:rPr>
        <w:sym w:font="Wingdings 2" w:char="F097"/>
      </w:r>
      <w:r w:rsidRPr="0010333C">
        <w:rPr>
          <w:sz w:val="18"/>
          <w:lang w:val="fr-FR"/>
        </w:rPr>
        <w:tab/>
      </w:r>
      <w:r w:rsidRPr="0010333C">
        <w:rPr>
          <w:sz w:val="18"/>
          <w:szCs w:val="18"/>
          <w:lang w:val="fr-FR"/>
        </w:rPr>
        <w:t>Date et/ou référence des principes directeurs du service ayant établi le rapport d</w:t>
      </w:r>
      <w:r w:rsidR="00584454" w:rsidRPr="0010333C">
        <w:rPr>
          <w:sz w:val="18"/>
          <w:szCs w:val="18"/>
          <w:lang w:val="fr-FR"/>
        </w:rPr>
        <w:t>’</w:t>
      </w:r>
      <w:r w:rsidRPr="0010333C">
        <w:rPr>
          <w:sz w:val="18"/>
          <w:szCs w:val="18"/>
          <w:lang w:val="fr-FR"/>
        </w:rPr>
        <w:t>examen;</w:t>
      </w:r>
    </w:p>
    <w:p w:rsidR="008E3F88" w:rsidRPr="0010333C" w:rsidRDefault="008E3F88" w:rsidP="0010333C">
      <w:pPr>
        <w:pStyle w:val="ListParagraph"/>
        <w:tabs>
          <w:tab w:val="left" w:pos="567"/>
          <w:tab w:val="left" w:pos="1134"/>
          <w:tab w:val="left" w:pos="5103"/>
        </w:tabs>
        <w:ind w:left="567" w:right="567"/>
        <w:rPr>
          <w:sz w:val="18"/>
          <w:szCs w:val="18"/>
          <w:lang w:val="fr-FR"/>
        </w:rPr>
      </w:pPr>
      <w:r w:rsidRPr="0010333C">
        <w:rPr>
          <w:snapToGrid w:val="0"/>
          <w:sz w:val="18"/>
          <w:szCs w:val="18"/>
          <w:lang w:val="fr-FR"/>
        </w:rPr>
        <w:t>“</w:t>
      </w:r>
      <w:r w:rsidRPr="0010333C">
        <w:rPr>
          <w:sz w:val="14"/>
          <w:lang w:val="fr-FR"/>
        </w:rPr>
        <w:sym w:font="Wingdings 2" w:char="F097"/>
      </w:r>
      <w:r w:rsidRPr="0010333C">
        <w:rPr>
          <w:sz w:val="18"/>
          <w:lang w:val="fr-FR"/>
        </w:rPr>
        <w:tab/>
      </w:r>
      <w:r w:rsidRPr="0010333C">
        <w:rPr>
          <w:sz w:val="18"/>
          <w:szCs w:val="18"/>
          <w:lang w:val="fr-FR"/>
        </w:rPr>
        <w:t>Service ayant établi le rapport d</w:t>
      </w:r>
      <w:r w:rsidR="00584454" w:rsidRPr="0010333C">
        <w:rPr>
          <w:sz w:val="18"/>
          <w:szCs w:val="18"/>
          <w:lang w:val="fr-FR"/>
        </w:rPr>
        <w:t>’</w:t>
      </w:r>
      <w:r w:rsidRPr="0010333C">
        <w:rPr>
          <w:sz w:val="18"/>
          <w:szCs w:val="18"/>
          <w:lang w:val="fr-FR"/>
        </w:rPr>
        <w:t>examen;</w:t>
      </w:r>
    </w:p>
    <w:p w:rsidR="008E3F88" w:rsidRPr="0010333C" w:rsidRDefault="008E3F88" w:rsidP="0010333C">
      <w:pPr>
        <w:pStyle w:val="ListParagraph"/>
        <w:tabs>
          <w:tab w:val="left" w:pos="567"/>
          <w:tab w:val="left" w:pos="1134"/>
          <w:tab w:val="left" w:pos="5103"/>
        </w:tabs>
        <w:ind w:left="567" w:right="567"/>
        <w:rPr>
          <w:sz w:val="18"/>
          <w:szCs w:val="18"/>
          <w:lang w:val="fr-FR"/>
        </w:rPr>
      </w:pPr>
      <w:r w:rsidRPr="0010333C">
        <w:rPr>
          <w:snapToGrid w:val="0"/>
          <w:sz w:val="18"/>
          <w:szCs w:val="18"/>
          <w:lang w:val="fr-FR"/>
        </w:rPr>
        <w:t>“</w:t>
      </w:r>
      <w:r w:rsidRPr="0010333C">
        <w:rPr>
          <w:sz w:val="14"/>
          <w:lang w:val="fr-FR"/>
        </w:rPr>
        <w:sym w:font="Wingdings 2" w:char="F097"/>
      </w:r>
      <w:r w:rsidRPr="0010333C">
        <w:rPr>
          <w:sz w:val="18"/>
          <w:lang w:val="fr-FR"/>
        </w:rPr>
        <w:tab/>
      </w:r>
      <w:r w:rsidRPr="0010333C">
        <w:rPr>
          <w:sz w:val="18"/>
          <w:szCs w:val="18"/>
          <w:lang w:val="fr-FR"/>
        </w:rPr>
        <w:t>Station(s) et lieu(x) d</w:t>
      </w:r>
      <w:r w:rsidR="00584454" w:rsidRPr="0010333C">
        <w:rPr>
          <w:sz w:val="18"/>
          <w:szCs w:val="18"/>
          <w:lang w:val="fr-FR"/>
        </w:rPr>
        <w:t>’</w:t>
      </w:r>
      <w:r w:rsidRPr="0010333C">
        <w:rPr>
          <w:sz w:val="18"/>
          <w:szCs w:val="18"/>
          <w:lang w:val="fr-FR"/>
        </w:rPr>
        <w:t>examen;</w:t>
      </w:r>
    </w:p>
    <w:p w:rsidR="008E3F88" w:rsidRPr="0010333C" w:rsidRDefault="008E3F88" w:rsidP="0010333C">
      <w:pPr>
        <w:pStyle w:val="ListParagraph"/>
        <w:tabs>
          <w:tab w:val="left" w:pos="567"/>
          <w:tab w:val="left" w:pos="1134"/>
          <w:tab w:val="left" w:pos="5103"/>
        </w:tabs>
        <w:ind w:left="567" w:right="567"/>
        <w:rPr>
          <w:sz w:val="18"/>
          <w:szCs w:val="18"/>
          <w:lang w:val="fr-FR"/>
        </w:rPr>
      </w:pPr>
      <w:r w:rsidRPr="0010333C">
        <w:rPr>
          <w:snapToGrid w:val="0"/>
          <w:sz w:val="18"/>
          <w:szCs w:val="18"/>
          <w:lang w:val="fr-FR"/>
        </w:rPr>
        <w:t>“</w:t>
      </w:r>
      <w:r w:rsidRPr="0010333C">
        <w:rPr>
          <w:sz w:val="14"/>
          <w:lang w:val="fr-FR"/>
        </w:rPr>
        <w:sym w:font="Wingdings 2" w:char="F097"/>
      </w:r>
      <w:r w:rsidRPr="0010333C">
        <w:rPr>
          <w:sz w:val="18"/>
          <w:lang w:val="fr-FR"/>
        </w:rPr>
        <w:tab/>
      </w:r>
      <w:r w:rsidRPr="0010333C">
        <w:rPr>
          <w:sz w:val="18"/>
          <w:szCs w:val="18"/>
          <w:lang w:val="fr-FR"/>
        </w:rPr>
        <w:t>Période d</w:t>
      </w:r>
      <w:r w:rsidR="00584454" w:rsidRPr="0010333C">
        <w:rPr>
          <w:sz w:val="18"/>
          <w:szCs w:val="18"/>
          <w:lang w:val="fr-FR"/>
        </w:rPr>
        <w:t>’</w:t>
      </w:r>
      <w:r w:rsidRPr="0010333C">
        <w:rPr>
          <w:sz w:val="18"/>
          <w:szCs w:val="18"/>
          <w:lang w:val="fr-FR"/>
        </w:rPr>
        <w:t>examen;</w:t>
      </w:r>
    </w:p>
    <w:p w:rsidR="008E3F88" w:rsidRPr="0010333C" w:rsidRDefault="008E3F88" w:rsidP="0010333C">
      <w:pPr>
        <w:pStyle w:val="ListParagraph"/>
        <w:tabs>
          <w:tab w:val="left" w:pos="567"/>
          <w:tab w:val="left" w:pos="1134"/>
          <w:tab w:val="left" w:pos="5103"/>
        </w:tabs>
        <w:ind w:left="567" w:right="567"/>
        <w:rPr>
          <w:sz w:val="18"/>
          <w:szCs w:val="18"/>
          <w:lang w:val="fr-FR"/>
        </w:rPr>
      </w:pPr>
      <w:r w:rsidRPr="0010333C">
        <w:rPr>
          <w:snapToGrid w:val="0"/>
          <w:sz w:val="18"/>
          <w:szCs w:val="18"/>
          <w:lang w:val="fr-FR"/>
        </w:rPr>
        <w:t>“</w:t>
      </w:r>
      <w:r w:rsidRPr="0010333C">
        <w:rPr>
          <w:sz w:val="14"/>
          <w:lang w:val="fr-FR"/>
        </w:rPr>
        <w:sym w:font="Wingdings 2" w:char="F097"/>
      </w:r>
      <w:r w:rsidRPr="0010333C">
        <w:rPr>
          <w:sz w:val="18"/>
          <w:lang w:val="fr-FR"/>
        </w:rPr>
        <w:tab/>
      </w:r>
      <w:r w:rsidRPr="0010333C">
        <w:rPr>
          <w:sz w:val="18"/>
          <w:szCs w:val="18"/>
          <w:lang w:val="fr-FR"/>
        </w:rPr>
        <w:t>Date et lieu de publication du document;</w:t>
      </w:r>
    </w:p>
    <w:p w:rsidR="008E3F88" w:rsidRPr="0010333C" w:rsidRDefault="008E3F88" w:rsidP="0010333C">
      <w:pPr>
        <w:pStyle w:val="ListParagraph"/>
        <w:tabs>
          <w:tab w:val="left" w:pos="1134"/>
        </w:tabs>
        <w:ind w:left="567" w:right="567"/>
        <w:rPr>
          <w:sz w:val="18"/>
          <w:szCs w:val="18"/>
          <w:lang w:val="fr-FR"/>
        </w:rPr>
      </w:pPr>
      <w:r w:rsidRPr="0010333C">
        <w:rPr>
          <w:snapToGrid w:val="0"/>
          <w:sz w:val="18"/>
          <w:szCs w:val="18"/>
          <w:lang w:val="fr-FR"/>
        </w:rPr>
        <w:t>“</w:t>
      </w:r>
      <w:r w:rsidRPr="0010333C">
        <w:rPr>
          <w:sz w:val="14"/>
          <w:lang w:val="fr-FR"/>
        </w:rPr>
        <w:sym w:font="Wingdings 2" w:char="F097"/>
      </w:r>
      <w:r w:rsidRPr="0010333C">
        <w:rPr>
          <w:sz w:val="18"/>
          <w:lang w:val="fr-FR"/>
        </w:rPr>
        <w:tab/>
      </w:r>
      <w:r w:rsidRPr="0010333C">
        <w:rPr>
          <w:sz w:val="18"/>
          <w:szCs w:val="18"/>
          <w:lang w:val="fr-FR"/>
        </w:rPr>
        <w:t>Groupe : (tableau : caractères;  niveaux d</w:t>
      </w:r>
      <w:r w:rsidR="00584454" w:rsidRPr="0010333C">
        <w:rPr>
          <w:sz w:val="18"/>
          <w:szCs w:val="18"/>
          <w:lang w:val="fr-FR"/>
        </w:rPr>
        <w:t>’</w:t>
      </w:r>
      <w:r w:rsidRPr="0010333C">
        <w:rPr>
          <w:sz w:val="18"/>
          <w:szCs w:val="18"/>
          <w:lang w:val="fr-FR"/>
        </w:rPr>
        <w:t>expression;  note;  observations);</w:t>
      </w:r>
    </w:p>
    <w:p w:rsidR="008E3F88" w:rsidRPr="0010333C" w:rsidRDefault="008E3F88" w:rsidP="0010333C">
      <w:pPr>
        <w:pStyle w:val="ListParagraph"/>
        <w:tabs>
          <w:tab w:val="left" w:pos="1134"/>
        </w:tabs>
        <w:ind w:left="567" w:right="567"/>
        <w:rPr>
          <w:sz w:val="18"/>
          <w:szCs w:val="18"/>
          <w:lang w:val="fr-FR"/>
        </w:rPr>
      </w:pPr>
      <w:r w:rsidRPr="0010333C">
        <w:rPr>
          <w:snapToGrid w:val="0"/>
          <w:sz w:val="18"/>
          <w:szCs w:val="18"/>
          <w:lang w:val="fr-FR"/>
        </w:rPr>
        <w:t>“</w:t>
      </w:r>
      <w:r w:rsidRPr="0010333C">
        <w:rPr>
          <w:sz w:val="14"/>
          <w:lang w:val="fr-FR"/>
        </w:rPr>
        <w:sym w:font="Wingdings 2" w:char="F097"/>
      </w:r>
      <w:r w:rsidRPr="0010333C">
        <w:rPr>
          <w:sz w:val="18"/>
          <w:lang w:val="fr-FR"/>
        </w:rPr>
        <w:tab/>
      </w:r>
      <w:r w:rsidRPr="0010333C">
        <w:rPr>
          <w:sz w:val="18"/>
          <w:szCs w:val="18"/>
          <w:lang w:val="fr-FR"/>
        </w:rPr>
        <w:t>Renseignements complémentaires;</w:t>
      </w:r>
    </w:p>
    <w:p w:rsidR="008E3F88" w:rsidRPr="0010333C" w:rsidRDefault="008E3F88" w:rsidP="0010333C">
      <w:pPr>
        <w:ind w:left="567" w:right="567"/>
        <w:rPr>
          <w:sz w:val="18"/>
          <w:szCs w:val="18"/>
          <w:lang w:val="fr-FR"/>
        </w:rPr>
      </w:pPr>
      <w:r w:rsidRPr="0010333C">
        <w:rPr>
          <w:sz w:val="18"/>
          <w:szCs w:val="18"/>
          <w:lang w:val="fr-FR"/>
        </w:rPr>
        <w:tab/>
      </w:r>
      <w:r w:rsidRPr="0010333C">
        <w:rPr>
          <w:snapToGrid w:val="0"/>
          <w:sz w:val="18"/>
          <w:szCs w:val="18"/>
          <w:lang w:val="fr-FR"/>
        </w:rPr>
        <w:t>“</w:t>
      </w:r>
      <w:proofErr w:type="gramStart"/>
      <w:r w:rsidRPr="0010333C">
        <w:rPr>
          <w:sz w:val="18"/>
          <w:szCs w:val="18"/>
          <w:lang w:val="fr-FR"/>
        </w:rPr>
        <w:t>a</w:t>
      </w:r>
      <w:proofErr w:type="gramEnd"/>
      <w:r w:rsidRPr="0010333C">
        <w:rPr>
          <w:sz w:val="18"/>
          <w:szCs w:val="18"/>
          <w:lang w:val="fr-FR"/>
        </w:rPr>
        <w:t>)</w:t>
      </w:r>
      <w:r w:rsidRPr="0010333C">
        <w:rPr>
          <w:sz w:val="18"/>
          <w:szCs w:val="18"/>
          <w:lang w:val="fr-FR"/>
        </w:rPr>
        <w:tab/>
        <w:t>Données additionnelles;</w:t>
      </w:r>
    </w:p>
    <w:p w:rsidR="008E3F88" w:rsidRPr="0010333C" w:rsidRDefault="008E3F88" w:rsidP="0010333C">
      <w:pPr>
        <w:ind w:left="567" w:right="567"/>
        <w:rPr>
          <w:sz w:val="18"/>
          <w:szCs w:val="18"/>
          <w:lang w:val="fr-FR"/>
        </w:rPr>
      </w:pPr>
      <w:r w:rsidRPr="0010333C">
        <w:rPr>
          <w:sz w:val="18"/>
          <w:szCs w:val="18"/>
          <w:lang w:val="fr-FR"/>
        </w:rPr>
        <w:tab/>
      </w:r>
      <w:r w:rsidRPr="0010333C">
        <w:rPr>
          <w:snapToGrid w:val="0"/>
          <w:sz w:val="18"/>
          <w:szCs w:val="18"/>
          <w:lang w:val="fr-FR"/>
        </w:rPr>
        <w:t>“</w:t>
      </w:r>
      <w:r w:rsidRPr="0010333C">
        <w:rPr>
          <w:sz w:val="18"/>
          <w:szCs w:val="18"/>
          <w:lang w:val="fr-FR"/>
        </w:rPr>
        <w:t>b)</w:t>
      </w:r>
      <w:r w:rsidRPr="0010333C">
        <w:rPr>
          <w:sz w:val="18"/>
          <w:szCs w:val="18"/>
          <w:lang w:val="fr-FR"/>
        </w:rPr>
        <w:tab/>
        <w:t>Photographie (le cas échéant);</w:t>
      </w:r>
    </w:p>
    <w:p w:rsidR="008E3F88" w:rsidRPr="0010333C" w:rsidRDefault="008E3F88" w:rsidP="0010333C">
      <w:pPr>
        <w:ind w:left="567" w:right="567"/>
        <w:rPr>
          <w:sz w:val="18"/>
          <w:szCs w:val="18"/>
          <w:lang w:val="fr-FR"/>
        </w:rPr>
      </w:pPr>
      <w:r w:rsidRPr="0010333C">
        <w:rPr>
          <w:sz w:val="18"/>
          <w:szCs w:val="18"/>
          <w:lang w:val="fr-FR"/>
        </w:rPr>
        <w:tab/>
      </w:r>
      <w:r w:rsidRPr="0010333C">
        <w:rPr>
          <w:snapToGrid w:val="0"/>
          <w:sz w:val="18"/>
          <w:szCs w:val="18"/>
          <w:lang w:val="fr-FR"/>
        </w:rPr>
        <w:t>“</w:t>
      </w:r>
      <w:r w:rsidRPr="0010333C">
        <w:rPr>
          <w:sz w:val="18"/>
          <w:szCs w:val="18"/>
          <w:lang w:val="fr-FR"/>
        </w:rPr>
        <w:t>c)</w:t>
      </w:r>
      <w:r w:rsidRPr="0010333C">
        <w:rPr>
          <w:sz w:val="18"/>
          <w:szCs w:val="18"/>
          <w:lang w:val="fr-FR"/>
        </w:rPr>
        <w:tab/>
        <w:t>Version du code RHS des couleurs utilisée (le cas échéant);</w:t>
      </w:r>
    </w:p>
    <w:p w:rsidR="008E3F88" w:rsidRPr="0010333C" w:rsidRDefault="008E3F88" w:rsidP="0010333C">
      <w:pPr>
        <w:rPr>
          <w:sz w:val="18"/>
          <w:szCs w:val="18"/>
          <w:lang w:val="fr-FR"/>
        </w:rPr>
      </w:pPr>
      <w:r w:rsidRPr="0010333C">
        <w:rPr>
          <w:sz w:val="18"/>
          <w:szCs w:val="18"/>
          <w:lang w:val="fr-FR"/>
        </w:rPr>
        <w:tab/>
      </w:r>
      <w:r w:rsidRPr="0010333C">
        <w:rPr>
          <w:sz w:val="18"/>
          <w:szCs w:val="18"/>
          <w:lang w:val="fr-FR"/>
        </w:rPr>
        <w:tab/>
      </w:r>
      <w:r w:rsidRPr="0010333C">
        <w:rPr>
          <w:snapToGrid w:val="0"/>
          <w:sz w:val="18"/>
          <w:szCs w:val="18"/>
          <w:lang w:val="fr-FR"/>
        </w:rPr>
        <w:t>“</w:t>
      </w:r>
      <w:r w:rsidRPr="0010333C">
        <w:rPr>
          <w:sz w:val="18"/>
          <w:szCs w:val="18"/>
          <w:lang w:val="fr-FR"/>
        </w:rPr>
        <w:t>d)</w:t>
      </w:r>
      <w:r w:rsidRPr="0010333C">
        <w:rPr>
          <w:sz w:val="18"/>
          <w:szCs w:val="18"/>
          <w:lang w:val="fr-FR"/>
        </w:rPr>
        <w:tab/>
        <w:t>Observations.”</w:t>
      </w:r>
    </w:p>
    <w:p w:rsidR="008E3F88" w:rsidRPr="0010333C" w:rsidRDefault="008E3F88" w:rsidP="0010333C">
      <w:pPr>
        <w:rPr>
          <w:lang w:val="fr-FR"/>
        </w:rPr>
      </w:pPr>
    </w:p>
    <w:p w:rsidR="008E3F88" w:rsidRPr="0010333C" w:rsidRDefault="008E3F88" w:rsidP="0010333C">
      <w:pPr>
        <w:rPr>
          <w:lang w:val="fr-FR"/>
        </w:rPr>
      </w:pPr>
      <w:r w:rsidRPr="0010333C">
        <w:rPr>
          <w:lang w:val="fr-FR"/>
        </w:rPr>
        <w:fldChar w:fldCharType="begin"/>
      </w:r>
      <w:r w:rsidRPr="0010333C">
        <w:rPr>
          <w:lang w:val="fr-FR"/>
        </w:rPr>
        <w:instrText xml:space="preserve"> AUTONUM  </w:instrText>
      </w:r>
      <w:r w:rsidRPr="0010333C">
        <w:rPr>
          <w:lang w:val="fr-FR"/>
        </w:rPr>
        <w:fldChar w:fldCharType="end"/>
      </w:r>
      <w:r w:rsidRPr="0010333C">
        <w:rPr>
          <w:lang w:val="fr-FR"/>
        </w:rPr>
        <w:tab/>
        <w:t>Le CAJ a noté que le</w:t>
      </w:r>
      <w:r w:rsidR="00584454" w:rsidRPr="0010333C">
        <w:rPr>
          <w:lang w:val="fr-FR"/>
        </w:rPr>
        <w:t> TC</w:t>
      </w:r>
      <w:r w:rsidRPr="0010333C">
        <w:rPr>
          <w:lang w:val="fr-FR"/>
        </w:rPr>
        <w:t xml:space="preserve"> avait pris note de l</w:t>
      </w:r>
      <w:r w:rsidR="00584454" w:rsidRPr="0010333C">
        <w:rPr>
          <w:lang w:val="fr-FR"/>
        </w:rPr>
        <w:t>’</w:t>
      </w:r>
      <w:r w:rsidRPr="0010333C">
        <w:rPr>
          <w:lang w:val="fr-FR"/>
        </w:rPr>
        <w:t>existence de différentes approches pour l</w:t>
      </w:r>
      <w:r w:rsidR="00584454" w:rsidRPr="0010333C">
        <w:rPr>
          <w:lang w:val="fr-FR"/>
        </w:rPr>
        <w:t>’</w:t>
      </w:r>
      <w:r w:rsidRPr="0010333C">
        <w:rPr>
          <w:lang w:val="fr-FR"/>
        </w:rPr>
        <w:t>établissement de descriptions variétales et le contrôle du maintien des variétés dans différents membres de l</w:t>
      </w:r>
      <w:r w:rsidR="00584454" w:rsidRPr="0010333C">
        <w:rPr>
          <w:lang w:val="fr-FR"/>
        </w:rPr>
        <w:t>’</w:t>
      </w:r>
      <w:r w:rsidRPr="0010333C">
        <w:rPr>
          <w:lang w:val="fr-FR"/>
        </w:rPr>
        <w:t>UPOV et selon divers systèmes d</w:t>
      </w:r>
      <w:r w:rsidR="00584454" w:rsidRPr="0010333C">
        <w:rPr>
          <w:lang w:val="fr-FR"/>
        </w:rPr>
        <w:t>’</w:t>
      </w:r>
      <w:r w:rsidRPr="0010333C">
        <w:rPr>
          <w:lang w:val="fr-FR"/>
        </w:rPr>
        <w:t>examen </w:t>
      </w:r>
      <w:r w:rsidR="00BB3EE2" w:rsidRPr="0010333C">
        <w:rPr>
          <w:lang w:val="fr-FR"/>
        </w:rPr>
        <w:t>DHS.  Il</w:t>
      </w:r>
      <w:r w:rsidRPr="0010333C">
        <w:rPr>
          <w:lang w:val="fr-FR"/>
        </w:rPr>
        <w:t xml:space="preserve"> a également noté que le</w:t>
      </w:r>
      <w:r w:rsidR="00584454" w:rsidRPr="0010333C">
        <w:rPr>
          <w:lang w:val="fr-FR"/>
        </w:rPr>
        <w:t> TC</w:t>
      </w:r>
      <w:r w:rsidRPr="0010333C">
        <w:rPr>
          <w:lang w:val="fr-FR"/>
        </w:rPr>
        <w:t xml:space="preserve"> était convenu d</w:t>
      </w:r>
      <w:r w:rsidR="00584454" w:rsidRPr="0010333C">
        <w:rPr>
          <w:lang w:val="fr-FR"/>
        </w:rPr>
        <w:t>’</w:t>
      </w:r>
      <w:r w:rsidRPr="0010333C">
        <w:rPr>
          <w:lang w:val="fr-FR"/>
        </w:rPr>
        <w:t>inviter des experts à expliquer aux groupes de travail techniques, à leurs sessions de 2015, comment les descriptions variétales étaient établies dans le cadre de l</w:t>
      </w:r>
      <w:r w:rsidR="00584454" w:rsidRPr="0010333C">
        <w:rPr>
          <w:lang w:val="fr-FR"/>
        </w:rPr>
        <w:t>’</w:t>
      </w:r>
      <w:r w:rsidRPr="0010333C">
        <w:rPr>
          <w:lang w:val="fr-FR"/>
        </w:rPr>
        <w:t>examen DHS et utilisées après l</w:t>
      </w:r>
      <w:r w:rsidR="00584454" w:rsidRPr="0010333C">
        <w:rPr>
          <w:lang w:val="fr-FR"/>
        </w:rPr>
        <w:t>’</w:t>
      </w:r>
      <w:r w:rsidRPr="0010333C">
        <w:rPr>
          <w:lang w:val="fr-FR"/>
        </w:rPr>
        <w:t>octroi d</w:t>
      </w:r>
      <w:r w:rsidR="00584454" w:rsidRPr="0010333C">
        <w:rPr>
          <w:lang w:val="fr-FR"/>
        </w:rPr>
        <w:t>’</w:t>
      </w:r>
      <w:r w:rsidRPr="0010333C">
        <w:rPr>
          <w:lang w:val="fr-FR"/>
        </w:rPr>
        <w:t>un droit d</w:t>
      </w:r>
      <w:r w:rsidR="00584454" w:rsidRPr="0010333C">
        <w:rPr>
          <w:lang w:val="fr-FR"/>
        </w:rPr>
        <w:t>’</w:t>
      </w:r>
      <w:r w:rsidRPr="0010333C">
        <w:rPr>
          <w:lang w:val="fr-FR"/>
        </w:rPr>
        <w:t>obtenteur et comment le maintien de la variété était contrô</w:t>
      </w:r>
      <w:r w:rsidR="00BB3EE2" w:rsidRPr="0010333C">
        <w:rPr>
          <w:lang w:val="fr-FR"/>
        </w:rPr>
        <w:t>lé.  Le</w:t>
      </w:r>
      <w:r w:rsidRPr="0010333C">
        <w:rPr>
          <w:lang w:val="fr-FR"/>
        </w:rPr>
        <w:t> CAJ a noté également que le</w:t>
      </w:r>
      <w:r w:rsidR="00584454" w:rsidRPr="0010333C">
        <w:rPr>
          <w:lang w:val="fr-FR"/>
        </w:rPr>
        <w:t> TC</w:t>
      </w:r>
      <w:r w:rsidRPr="0010333C">
        <w:rPr>
          <w:lang w:val="fr-FR"/>
        </w:rPr>
        <w:t xml:space="preserve"> était convenu que des experts devaient aussi être invités à expliquer aux groupes de travail techniques, à leurs sessions de 2015, le rôle du matériel végétal utilisé comme base de l</w:t>
      </w:r>
      <w:r w:rsidR="00584454" w:rsidRPr="0010333C">
        <w:rPr>
          <w:lang w:val="fr-FR"/>
        </w:rPr>
        <w:t>’</w:t>
      </w:r>
      <w:r w:rsidRPr="0010333C">
        <w:rPr>
          <w:lang w:val="fr-FR"/>
        </w:rPr>
        <w:t xml:space="preserve">examen DHS en relation avec les questions visées au paragraphe 8 du </w:t>
      </w:r>
      <w:r w:rsidR="00584454" w:rsidRPr="0010333C">
        <w:rPr>
          <w:lang w:val="fr-FR"/>
        </w:rPr>
        <w:t>document TC</w:t>
      </w:r>
      <w:r w:rsidRPr="0010333C">
        <w:rPr>
          <w:lang w:val="fr-FR"/>
        </w:rPr>
        <w:t>/51/38.</w:t>
      </w:r>
    </w:p>
    <w:p w:rsidR="008E3F88" w:rsidRPr="0010333C" w:rsidRDefault="008E3F88" w:rsidP="0010333C">
      <w:pPr>
        <w:rPr>
          <w:lang w:val="fr-FR"/>
        </w:rPr>
      </w:pPr>
    </w:p>
    <w:p w:rsidR="008E3F88" w:rsidRPr="0010333C" w:rsidRDefault="008E3F88" w:rsidP="0010333C">
      <w:pPr>
        <w:rPr>
          <w:lang w:val="fr-FR"/>
        </w:rPr>
      </w:pPr>
      <w:r w:rsidRPr="0010333C">
        <w:rPr>
          <w:lang w:val="fr-FR"/>
        </w:rPr>
        <w:fldChar w:fldCharType="begin"/>
      </w:r>
      <w:r w:rsidRPr="0010333C">
        <w:rPr>
          <w:lang w:val="fr-FR"/>
        </w:rPr>
        <w:instrText xml:space="preserve"> AUTONUM  </w:instrText>
      </w:r>
      <w:r w:rsidRPr="0010333C">
        <w:rPr>
          <w:lang w:val="fr-FR"/>
        </w:rPr>
        <w:fldChar w:fldCharType="end"/>
      </w:r>
      <w:r w:rsidRPr="0010333C">
        <w:rPr>
          <w:lang w:val="fr-FR"/>
        </w:rPr>
        <w:tab/>
        <w:t>Le CAJ a noté que le</w:t>
      </w:r>
      <w:r w:rsidR="00584454" w:rsidRPr="0010333C">
        <w:rPr>
          <w:lang w:val="fr-FR"/>
        </w:rPr>
        <w:t> TC</w:t>
      </w:r>
      <w:r w:rsidRPr="0010333C">
        <w:rPr>
          <w:lang w:val="fr-FR"/>
        </w:rPr>
        <w:t xml:space="preserve"> était convenu d</w:t>
      </w:r>
      <w:r w:rsidR="00584454" w:rsidRPr="0010333C">
        <w:rPr>
          <w:lang w:val="fr-FR"/>
        </w:rPr>
        <w:t>’</w:t>
      </w:r>
      <w:r w:rsidRPr="0010333C">
        <w:rPr>
          <w:lang w:val="fr-FR"/>
        </w:rPr>
        <w:t>inscrire à l</w:t>
      </w:r>
      <w:r w:rsidR="00584454" w:rsidRPr="0010333C">
        <w:rPr>
          <w:lang w:val="fr-FR"/>
        </w:rPr>
        <w:t>’</w:t>
      </w:r>
      <w:r w:rsidRPr="0010333C">
        <w:rPr>
          <w:lang w:val="fr-FR"/>
        </w:rPr>
        <w:t>ordre du jour de sa cinquante</w:t>
      </w:r>
      <w:r w:rsidR="00BB3EE2" w:rsidRPr="0010333C">
        <w:rPr>
          <w:lang w:val="fr-FR"/>
        </w:rPr>
        <w:noBreakHyphen/>
      </w:r>
      <w:r w:rsidRPr="0010333C">
        <w:rPr>
          <w:lang w:val="fr-FR"/>
        </w:rPr>
        <w:t>deuxième session, prévue à Genève en 2016, un débat sur les descriptions variétales et le rôle du matériel végétal, notamment le nombre minimal de cycles de végétation pour l</w:t>
      </w:r>
      <w:r w:rsidR="00584454" w:rsidRPr="0010333C">
        <w:rPr>
          <w:lang w:val="fr-FR"/>
        </w:rPr>
        <w:t>’</w:t>
      </w:r>
      <w:r w:rsidRPr="0010333C">
        <w:rPr>
          <w:lang w:val="fr-FR"/>
        </w:rPr>
        <w:t>examen DHS.</w:t>
      </w:r>
      <w:bookmarkStart w:id="11" w:name="_Toc440377316"/>
    </w:p>
    <w:p w:rsidR="008E3F88" w:rsidRPr="0010333C" w:rsidRDefault="008E3F88" w:rsidP="0010333C">
      <w:pPr>
        <w:rPr>
          <w:lang w:val="fr-FR"/>
        </w:rPr>
      </w:pPr>
    </w:p>
    <w:p w:rsidR="008E3F88" w:rsidRPr="0010333C" w:rsidRDefault="008E3F88" w:rsidP="0010333C">
      <w:pPr>
        <w:rPr>
          <w:lang w:val="fr-FR"/>
        </w:rPr>
      </w:pPr>
    </w:p>
    <w:p w:rsidR="008E3F88" w:rsidRPr="0010333C" w:rsidRDefault="008E3F88" w:rsidP="0010333C">
      <w:pPr>
        <w:pStyle w:val="Heading1"/>
        <w:rPr>
          <w:lang w:val="fr-FR"/>
        </w:rPr>
      </w:pPr>
      <w:bookmarkStart w:id="12" w:name="_Toc441581737"/>
      <w:r w:rsidRPr="0010333C">
        <w:rPr>
          <w:lang w:val="fr-FR"/>
        </w:rPr>
        <w:t>exposés présentés aux groupes de travail techniques à leurs sessions de</w:t>
      </w:r>
      <w:r w:rsidR="00B835B6" w:rsidRPr="0010333C">
        <w:rPr>
          <w:lang w:val="fr-FR"/>
        </w:rPr>
        <w:t> </w:t>
      </w:r>
      <w:r w:rsidRPr="0010333C">
        <w:rPr>
          <w:lang w:val="fr-FR"/>
        </w:rPr>
        <w:t>2015</w:t>
      </w:r>
      <w:bookmarkEnd w:id="12"/>
    </w:p>
    <w:p w:rsidR="008E3F88" w:rsidRPr="0010333C" w:rsidRDefault="008E3F88" w:rsidP="0010333C">
      <w:pPr>
        <w:rPr>
          <w:rFonts w:cs="Arial"/>
          <w:lang w:val="fr-FR"/>
        </w:rPr>
      </w:pPr>
    </w:p>
    <w:p w:rsidR="008E3F88" w:rsidRPr="0010333C" w:rsidRDefault="008E3F88" w:rsidP="0010333C">
      <w:pPr>
        <w:rPr>
          <w:lang w:val="fr-FR"/>
        </w:rPr>
      </w:pPr>
      <w:r w:rsidRPr="0010333C">
        <w:rPr>
          <w:lang w:val="fr-FR"/>
        </w:rPr>
        <w:fldChar w:fldCharType="begin"/>
      </w:r>
      <w:r w:rsidRPr="0010333C">
        <w:rPr>
          <w:lang w:val="fr-FR"/>
        </w:rPr>
        <w:instrText xml:space="preserve"> AUTONUM  </w:instrText>
      </w:r>
      <w:r w:rsidRPr="0010333C">
        <w:rPr>
          <w:lang w:val="fr-FR"/>
        </w:rPr>
        <w:fldChar w:fldCharType="end"/>
      </w:r>
      <w:r w:rsidRPr="0010333C">
        <w:rPr>
          <w:lang w:val="fr-FR"/>
        </w:rPr>
        <w:tab/>
        <w:t xml:space="preserve">Le </w:t>
      </w:r>
      <w:r w:rsidR="00584454" w:rsidRPr="0010333C">
        <w:rPr>
          <w:lang w:val="fr-FR"/>
        </w:rPr>
        <w:t>5 mai 20</w:t>
      </w:r>
      <w:r w:rsidRPr="0010333C">
        <w:rPr>
          <w:lang w:val="fr-FR"/>
        </w:rPr>
        <w:t>15, par le biais de la circulaire E</w:t>
      </w:r>
      <w:r w:rsidR="00BB3EE2" w:rsidRPr="0010333C">
        <w:rPr>
          <w:rFonts w:eastAsia="MS Gothic" w:cs="Arial"/>
          <w:lang w:val="fr-FR"/>
        </w:rPr>
        <w:noBreakHyphen/>
      </w:r>
      <w:r w:rsidRPr="0010333C">
        <w:rPr>
          <w:lang w:val="fr-FR"/>
        </w:rPr>
        <w:t>15/108, le</w:t>
      </w:r>
      <w:r w:rsidR="00584454" w:rsidRPr="0010333C">
        <w:rPr>
          <w:lang w:val="fr-FR"/>
        </w:rPr>
        <w:t> TC</w:t>
      </w:r>
      <w:r w:rsidRPr="0010333C">
        <w:rPr>
          <w:lang w:val="fr-FR"/>
        </w:rPr>
        <w:t xml:space="preserve"> et les experts</w:t>
      </w:r>
      <w:r w:rsidR="00584454" w:rsidRPr="0010333C">
        <w:rPr>
          <w:lang w:val="fr-FR"/>
        </w:rPr>
        <w:t xml:space="preserve"> des TWP</w:t>
      </w:r>
      <w:r w:rsidRPr="0010333C">
        <w:rPr>
          <w:lang w:val="fr-FR"/>
        </w:rPr>
        <w:t xml:space="preserve"> ont </w:t>
      </w:r>
      <w:r w:rsidRPr="0010333C">
        <w:rPr>
          <w:rFonts w:cs="Arial"/>
          <w:lang w:val="fr-FR"/>
        </w:rPr>
        <w:t>é</w:t>
      </w:r>
      <w:r w:rsidRPr="0010333C">
        <w:rPr>
          <w:lang w:val="fr-FR"/>
        </w:rPr>
        <w:t>t</w:t>
      </w:r>
      <w:r w:rsidRPr="0010333C">
        <w:rPr>
          <w:rFonts w:cs="Arial"/>
          <w:lang w:val="fr-FR"/>
        </w:rPr>
        <w:t>é</w:t>
      </w:r>
      <w:r w:rsidRPr="0010333C">
        <w:rPr>
          <w:lang w:val="fr-FR"/>
        </w:rPr>
        <w:t xml:space="preserve"> invit</w:t>
      </w:r>
      <w:r w:rsidRPr="0010333C">
        <w:rPr>
          <w:rFonts w:cs="Arial"/>
          <w:lang w:val="fr-FR"/>
        </w:rPr>
        <w:t>é</w:t>
      </w:r>
      <w:r w:rsidRPr="0010333C">
        <w:rPr>
          <w:lang w:val="fr-FR"/>
        </w:rPr>
        <w:t xml:space="preserve">s </w:t>
      </w:r>
      <w:r w:rsidRPr="0010333C">
        <w:rPr>
          <w:rFonts w:cs="Arial"/>
          <w:lang w:val="fr-FR"/>
        </w:rPr>
        <w:t>à</w:t>
      </w:r>
      <w:r w:rsidRPr="0010333C">
        <w:rPr>
          <w:lang w:val="fr-FR"/>
        </w:rPr>
        <w:t xml:space="preserve"> pr</w:t>
      </w:r>
      <w:r w:rsidRPr="0010333C">
        <w:rPr>
          <w:rFonts w:cs="Arial"/>
          <w:lang w:val="fr-FR"/>
        </w:rPr>
        <w:t>é</w:t>
      </w:r>
      <w:r w:rsidRPr="0010333C">
        <w:rPr>
          <w:lang w:val="fr-FR"/>
        </w:rPr>
        <w:t>senter des expos</w:t>
      </w:r>
      <w:r w:rsidRPr="0010333C">
        <w:rPr>
          <w:rFonts w:cs="Arial"/>
          <w:lang w:val="fr-FR"/>
        </w:rPr>
        <w:t>é</w:t>
      </w:r>
      <w:r w:rsidRPr="0010333C">
        <w:rPr>
          <w:lang w:val="fr-FR"/>
        </w:rPr>
        <w:t>s</w:t>
      </w:r>
      <w:r w:rsidR="00584454" w:rsidRPr="0010333C">
        <w:rPr>
          <w:lang w:val="fr-FR"/>
        </w:rPr>
        <w:t xml:space="preserve"> aux TWP</w:t>
      </w:r>
      <w:r w:rsidRPr="0010333C">
        <w:rPr>
          <w:lang w:val="fr-FR"/>
        </w:rPr>
        <w:t xml:space="preserve">, </w:t>
      </w:r>
      <w:r w:rsidRPr="0010333C">
        <w:rPr>
          <w:rFonts w:cs="Arial"/>
          <w:lang w:val="fr-FR"/>
        </w:rPr>
        <w:t>à</w:t>
      </w:r>
      <w:r w:rsidRPr="0010333C">
        <w:rPr>
          <w:lang w:val="fr-FR"/>
        </w:rPr>
        <w:t xml:space="preserve"> leurs sessions de</w:t>
      </w:r>
      <w:r w:rsidR="00B835B6" w:rsidRPr="0010333C">
        <w:rPr>
          <w:lang w:val="fr-FR"/>
        </w:rPr>
        <w:t> </w:t>
      </w:r>
      <w:r w:rsidRPr="0010333C">
        <w:rPr>
          <w:lang w:val="fr-FR"/>
        </w:rPr>
        <w:t>2015, sur leurs données d</w:t>
      </w:r>
      <w:r w:rsidR="00584454" w:rsidRPr="0010333C">
        <w:rPr>
          <w:lang w:val="fr-FR"/>
        </w:rPr>
        <w:t>’</w:t>
      </w:r>
      <w:r w:rsidRPr="0010333C">
        <w:rPr>
          <w:lang w:val="fr-FR"/>
        </w:rPr>
        <w:t>expérience concernant les descriptions variétales et le contrôle du maintien de la variété, et notamment</w:t>
      </w:r>
      <w:r w:rsidR="00B835B6" w:rsidRPr="0010333C">
        <w:rPr>
          <w:lang w:val="fr-FR"/>
        </w:rPr>
        <w:t> </w:t>
      </w:r>
      <w:r w:rsidRPr="0010333C">
        <w:rPr>
          <w:lang w:val="fr-FR"/>
        </w:rPr>
        <w:t>:</w:t>
      </w:r>
    </w:p>
    <w:p w:rsidR="008E3F88" w:rsidRPr="0010333C" w:rsidRDefault="008E3F88" w:rsidP="0010333C">
      <w:pPr>
        <w:rPr>
          <w:lang w:val="fr-FR"/>
        </w:rPr>
      </w:pPr>
    </w:p>
    <w:p w:rsidR="008E3F88" w:rsidRPr="0010333C" w:rsidRDefault="008E3F88" w:rsidP="0010333C">
      <w:pPr>
        <w:pStyle w:val="ListParagraph"/>
        <w:numPr>
          <w:ilvl w:val="0"/>
          <w:numId w:val="2"/>
        </w:numPr>
        <w:ind w:left="1134" w:hanging="567"/>
        <w:rPr>
          <w:lang w:val="fr-FR"/>
        </w:rPr>
      </w:pPr>
      <w:r w:rsidRPr="0010333C">
        <w:rPr>
          <w:lang w:val="fr-FR"/>
        </w:rPr>
        <w:t>l</w:t>
      </w:r>
      <w:r w:rsidR="00584454" w:rsidRPr="0010333C">
        <w:rPr>
          <w:lang w:val="fr-FR"/>
        </w:rPr>
        <w:t>’</w:t>
      </w:r>
      <w:r w:rsidRPr="0010333C">
        <w:rPr>
          <w:lang w:val="fr-FR"/>
        </w:rPr>
        <w:t>utilisation des renseignements, des documents ou du matériel fournis par l</w:t>
      </w:r>
      <w:r w:rsidR="00584454" w:rsidRPr="0010333C">
        <w:rPr>
          <w:lang w:val="fr-FR"/>
        </w:rPr>
        <w:t>’</w:t>
      </w:r>
      <w:r w:rsidRPr="0010333C">
        <w:rPr>
          <w:lang w:val="fr-FR"/>
        </w:rPr>
        <w:t>obtenteur aux fins du contrôle du maintien de la variété;</w:t>
      </w:r>
    </w:p>
    <w:p w:rsidR="008E3F88" w:rsidRPr="0010333C" w:rsidRDefault="008E3F88" w:rsidP="0010333C">
      <w:pPr>
        <w:ind w:left="1134" w:hanging="567"/>
        <w:rPr>
          <w:lang w:val="fr-FR"/>
        </w:rPr>
      </w:pPr>
    </w:p>
    <w:p w:rsidR="00584454" w:rsidRPr="0010333C" w:rsidRDefault="008E3F88" w:rsidP="0010333C">
      <w:pPr>
        <w:pStyle w:val="ListParagraph"/>
        <w:numPr>
          <w:ilvl w:val="0"/>
          <w:numId w:val="2"/>
        </w:numPr>
        <w:ind w:left="1134" w:hanging="567"/>
        <w:rPr>
          <w:lang w:val="fr-FR"/>
        </w:rPr>
      </w:pPr>
      <w:r w:rsidRPr="0010333C">
        <w:rPr>
          <w:lang w:val="fr-FR"/>
        </w:rPr>
        <w:lastRenderedPageBreak/>
        <w:t>l</w:t>
      </w:r>
      <w:r w:rsidR="00584454" w:rsidRPr="0010333C">
        <w:rPr>
          <w:lang w:val="fr-FR"/>
        </w:rPr>
        <w:t>’</w:t>
      </w:r>
      <w:r w:rsidRPr="0010333C">
        <w:rPr>
          <w:lang w:val="fr-FR"/>
        </w:rPr>
        <w:t>utilisation des principes directeurs d</w:t>
      </w:r>
      <w:r w:rsidR="00584454" w:rsidRPr="0010333C">
        <w:rPr>
          <w:lang w:val="fr-FR"/>
        </w:rPr>
        <w:t>’</w:t>
      </w:r>
      <w:r w:rsidRPr="0010333C">
        <w:rPr>
          <w:lang w:val="fr-FR"/>
        </w:rPr>
        <w:t>examen aux fins du contrôle du maintien de la variété qui se distinguent des principes directeurs utilisés pour l</w:t>
      </w:r>
      <w:r w:rsidR="00584454" w:rsidRPr="0010333C">
        <w:rPr>
          <w:lang w:val="fr-FR"/>
        </w:rPr>
        <w:t>’</w:t>
      </w:r>
      <w:r w:rsidRPr="0010333C">
        <w:rPr>
          <w:lang w:val="fr-FR"/>
        </w:rPr>
        <w:t>examen</w:t>
      </w:r>
      <w:r w:rsidR="00B835B6" w:rsidRPr="0010333C">
        <w:rPr>
          <w:lang w:val="fr-FR"/>
        </w:rPr>
        <w:t> </w:t>
      </w:r>
      <w:r w:rsidRPr="0010333C">
        <w:rPr>
          <w:lang w:val="fr-FR"/>
        </w:rPr>
        <w:t>DHS;</w:t>
      </w:r>
    </w:p>
    <w:p w:rsidR="008E3F88" w:rsidRPr="0010333C" w:rsidRDefault="008E3F88" w:rsidP="0010333C">
      <w:pPr>
        <w:ind w:left="1134" w:hanging="567"/>
        <w:rPr>
          <w:lang w:val="fr-FR"/>
        </w:rPr>
      </w:pPr>
    </w:p>
    <w:p w:rsidR="008E3F88" w:rsidRPr="0010333C" w:rsidRDefault="008E3F88" w:rsidP="0010333C">
      <w:pPr>
        <w:pStyle w:val="ListParagraph"/>
        <w:numPr>
          <w:ilvl w:val="0"/>
          <w:numId w:val="2"/>
        </w:numPr>
        <w:ind w:left="1134" w:hanging="567"/>
        <w:rPr>
          <w:lang w:val="fr-FR"/>
        </w:rPr>
      </w:pPr>
      <w:r w:rsidRPr="0010333C">
        <w:rPr>
          <w:lang w:val="fr-FR"/>
        </w:rPr>
        <w:t>la façon dont les descriptions variétales sont établies dans le cadre de l</w:t>
      </w:r>
      <w:r w:rsidR="00584454" w:rsidRPr="0010333C">
        <w:rPr>
          <w:lang w:val="fr-FR"/>
        </w:rPr>
        <w:t>’</w:t>
      </w:r>
      <w:r w:rsidRPr="0010333C">
        <w:rPr>
          <w:lang w:val="fr-FR"/>
        </w:rPr>
        <w:t>examen</w:t>
      </w:r>
      <w:r w:rsidR="00B835B6" w:rsidRPr="0010333C">
        <w:rPr>
          <w:lang w:val="fr-FR"/>
        </w:rPr>
        <w:t> </w:t>
      </w:r>
      <w:r w:rsidRPr="0010333C">
        <w:rPr>
          <w:lang w:val="fr-FR"/>
        </w:rPr>
        <w:t>DHS et utilisées après l</w:t>
      </w:r>
      <w:r w:rsidR="00584454" w:rsidRPr="0010333C">
        <w:rPr>
          <w:lang w:val="fr-FR"/>
        </w:rPr>
        <w:t>’</w:t>
      </w:r>
      <w:r w:rsidRPr="0010333C">
        <w:rPr>
          <w:lang w:val="fr-FR"/>
        </w:rPr>
        <w:t>octroi d</w:t>
      </w:r>
      <w:r w:rsidR="00584454" w:rsidRPr="0010333C">
        <w:rPr>
          <w:lang w:val="fr-FR"/>
        </w:rPr>
        <w:t>’</w:t>
      </w:r>
      <w:r w:rsidRPr="0010333C">
        <w:rPr>
          <w:lang w:val="fr-FR"/>
        </w:rPr>
        <w:t>un droit d</w:t>
      </w:r>
      <w:r w:rsidR="00584454" w:rsidRPr="0010333C">
        <w:rPr>
          <w:lang w:val="fr-FR"/>
        </w:rPr>
        <w:t>’</w:t>
      </w:r>
      <w:r w:rsidRPr="0010333C">
        <w:rPr>
          <w:lang w:val="fr-FR"/>
        </w:rPr>
        <w:t>obtenteur et la façon dont le maintien de la variété est contrôlé;</w:t>
      </w:r>
    </w:p>
    <w:p w:rsidR="008E3F88" w:rsidRPr="0010333C" w:rsidRDefault="008E3F88" w:rsidP="0010333C">
      <w:pPr>
        <w:ind w:left="1134" w:hanging="567"/>
        <w:rPr>
          <w:lang w:val="fr-FR"/>
        </w:rPr>
      </w:pPr>
    </w:p>
    <w:p w:rsidR="008E3F88" w:rsidRPr="0010333C" w:rsidRDefault="008E3F88" w:rsidP="0010333C">
      <w:pPr>
        <w:pStyle w:val="ListParagraph"/>
        <w:numPr>
          <w:ilvl w:val="0"/>
          <w:numId w:val="2"/>
        </w:numPr>
        <w:ind w:left="1134" w:hanging="567"/>
        <w:rPr>
          <w:lang w:val="fr-FR"/>
        </w:rPr>
      </w:pPr>
      <w:r w:rsidRPr="0010333C">
        <w:rPr>
          <w:lang w:val="fr-FR"/>
        </w:rPr>
        <w:t>le rôle du matériel végétal utilisé comme base de l</w:t>
      </w:r>
      <w:r w:rsidR="00584454" w:rsidRPr="0010333C">
        <w:rPr>
          <w:lang w:val="fr-FR"/>
        </w:rPr>
        <w:t>’</w:t>
      </w:r>
      <w:r w:rsidRPr="0010333C">
        <w:rPr>
          <w:lang w:val="fr-FR"/>
        </w:rPr>
        <w:t>examen</w:t>
      </w:r>
      <w:r w:rsidR="00B835B6" w:rsidRPr="0010333C">
        <w:rPr>
          <w:lang w:val="fr-FR"/>
        </w:rPr>
        <w:t> </w:t>
      </w:r>
      <w:r w:rsidRPr="0010333C">
        <w:rPr>
          <w:lang w:val="fr-FR"/>
        </w:rPr>
        <w:t>DHS en relation avec la vérification de la conformité du matériel végétal à une variété protégée, une description variétale modifiée ou dans le cas où une erreur est décelée par la suite dans la description variétale initiale.</w:t>
      </w:r>
    </w:p>
    <w:p w:rsidR="008E3F88" w:rsidRPr="0010333C" w:rsidRDefault="008E3F88" w:rsidP="0010333C">
      <w:pPr>
        <w:jc w:val="left"/>
        <w:rPr>
          <w:lang w:val="fr-FR"/>
        </w:rPr>
      </w:pPr>
    </w:p>
    <w:p w:rsidR="008E3F88" w:rsidRPr="0010333C" w:rsidRDefault="008E3F88" w:rsidP="0010333C">
      <w:pPr>
        <w:rPr>
          <w:lang w:val="fr-FR"/>
        </w:rPr>
      </w:pPr>
      <w:r w:rsidRPr="0010333C">
        <w:rPr>
          <w:lang w:val="fr-FR"/>
        </w:rPr>
        <w:fldChar w:fldCharType="begin"/>
      </w:r>
      <w:r w:rsidRPr="0010333C">
        <w:rPr>
          <w:lang w:val="fr-FR"/>
        </w:rPr>
        <w:instrText xml:space="preserve"> AUTONUM  </w:instrText>
      </w:r>
      <w:r w:rsidRPr="0010333C">
        <w:rPr>
          <w:lang w:val="fr-FR"/>
        </w:rPr>
        <w:fldChar w:fldCharType="end"/>
      </w:r>
      <w:r w:rsidRPr="0010333C">
        <w:rPr>
          <w:lang w:val="fr-FR"/>
        </w:rPr>
        <w:tab/>
        <w:t>Les exposés ci</w:t>
      </w:r>
      <w:r w:rsidR="00BB3EE2" w:rsidRPr="0010333C">
        <w:rPr>
          <w:lang w:val="fr-FR"/>
        </w:rPr>
        <w:noBreakHyphen/>
      </w:r>
      <w:r w:rsidRPr="0010333C">
        <w:rPr>
          <w:lang w:val="fr-FR"/>
        </w:rPr>
        <w:t>après ont été présentés</w:t>
      </w:r>
      <w:r w:rsidR="00584454" w:rsidRPr="0010333C">
        <w:rPr>
          <w:lang w:val="fr-FR"/>
        </w:rPr>
        <w:t xml:space="preserve"> aux TWP</w:t>
      </w:r>
      <w:r w:rsidRPr="0010333C">
        <w:rPr>
          <w:lang w:val="fr-FR"/>
        </w:rPr>
        <w:t xml:space="preserve"> à leurs sessions de</w:t>
      </w:r>
      <w:r w:rsidR="00B835B6" w:rsidRPr="0010333C">
        <w:rPr>
          <w:lang w:val="fr-FR"/>
        </w:rPr>
        <w:t> </w:t>
      </w:r>
      <w:r w:rsidRPr="0010333C">
        <w:rPr>
          <w:lang w:val="fr-FR"/>
        </w:rPr>
        <w:t>2015.</w:t>
      </w:r>
    </w:p>
    <w:p w:rsidR="008E3F88" w:rsidRPr="0010333C" w:rsidRDefault="008E3F88" w:rsidP="0010333C">
      <w:pPr>
        <w:rPr>
          <w:lang w:val="fr-FR"/>
        </w:rPr>
      </w:pPr>
    </w:p>
    <w:tbl>
      <w:tblPr>
        <w:tblStyle w:val="TableGrid"/>
        <w:tblW w:w="0" w:type="auto"/>
        <w:tblLook w:val="04A0" w:firstRow="1" w:lastRow="0" w:firstColumn="1" w:lastColumn="0" w:noHBand="0" w:noVBand="1"/>
      </w:tblPr>
      <w:tblGrid>
        <w:gridCol w:w="817"/>
        <w:gridCol w:w="5528"/>
        <w:gridCol w:w="1687"/>
        <w:gridCol w:w="1823"/>
      </w:tblGrid>
      <w:tr w:rsidR="0010333C" w:rsidRPr="0010333C" w:rsidTr="00BC12C6">
        <w:trPr>
          <w:cantSplit/>
          <w:trHeight w:val="554"/>
        </w:trPr>
        <w:tc>
          <w:tcPr>
            <w:tcW w:w="817" w:type="dxa"/>
            <w:vAlign w:val="center"/>
          </w:tcPr>
          <w:p w:rsidR="008E3F88" w:rsidRPr="0010333C" w:rsidRDefault="008E3F88" w:rsidP="0010333C">
            <w:pPr>
              <w:jc w:val="left"/>
              <w:rPr>
                <w:lang w:val="fr-FR"/>
              </w:rPr>
            </w:pPr>
            <w:r w:rsidRPr="0010333C">
              <w:rPr>
                <w:lang w:val="fr-FR"/>
              </w:rPr>
              <w:t>TWP</w:t>
            </w:r>
          </w:p>
        </w:tc>
        <w:tc>
          <w:tcPr>
            <w:tcW w:w="5528" w:type="dxa"/>
            <w:vAlign w:val="center"/>
          </w:tcPr>
          <w:p w:rsidR="008E3F88" w:rsidRPr="0010333C" w:rsidRDefault="008E3F88" w:rsidP="0010333C">
            <w:pPr>
              <w:jc w:val="left"/>
              <w:rPr>
                <w:lang w:val="fr-FR"/>
              </w:rPr>
            </w:pPr>
            <w:r w:rsidRPr="0010333C">
              <w:rPr>
                <w:lang w:val="fr-FR"/>
              </w:rPr>
              <w:t>Titre</w:t>
            </w:r>
          </w:p>
        </w:tc>
        <w:tc>
          <w:tcPr>
            <w:tcW w:w="1687" w:type="dxa"/>
            <w:vAlign w:val="center"/>
          </w:tcPr>
          <w:p w:rsidR="008E3F88" w:rsidRPr="0010333C" w:rsidRDefault="008E3F88" w:rsidP="0010333C">
            <w:pPr>
              <w:jc w:val="left"/>
              <w:rPr>
                <w:lang w:val="fr-FR"/>
              </w:rPr>
            </w:pPr>
            <w:r w:rsidRPr="0010333C">
              <w:rPr>
                <w:lang w:val="fr-FR"/>
              </w:rPr>
              <w:t>Conférencier</w:t>
            </w:r>
          </w:p>
        </w:tc>
        <w:tc>
          <w:tcPr>
            <w:tcW w:w="1823" w:type="dxa"/>
            <w:vAlign w:val="center"/>
          </w:tcPr>
          <w:p w:rsidR="008E3F88" w:rsidRPr="0010333C" w:rsidRDefault="008E3F88" w:rsidP="0010333C">
            <w:pPr>
              <w:jc w:val="left"/>
              <w:rPr>
                <w:lang w:val="fr-FR"/>
              </w:rPr>
            </w:pPr>
            <w:r w:rsidRPr="0010333C">
              <w:rPr>
                <w:lang w:val="fr-FR"/>
              </w:rPr>
              <w:t>Reproduit dans le document</w:t>
            </w:r>
          </w:p>
        </w:tc>
      </w:tr>
      <w:tr w:rsidR="0010333C" w:rsidRPr="0010333C" w:rsidTr="00BC12C6">
        <w:trPr>
          <w:cantSplit/>
        </w:trPr>
        <w:tc>
          <w:tcPr>
            <w:tcW w:w="817" w:type="dxa"/>
          </w:tcPr>
          <w:p w:rsidR="008E3F88" w:rsidRPr="0010333C" w:rsidRDefault="008E3F88" w:rsidP="0010333C">
            <w:pPr>
              <w:ind w:right="34"/>
              <w:jc w:val="left"/>
              <w:rPr>
                <w:lang w:val="fr-FR"/>
              </w:rPr>
            </w:pPr>
            <w:r w:rsidRPr="0010333C">
              <w:rPr>
                <w:lang w:val="fr-FR"/>
              </w:rPr>
              <w:t>TWV;</w:t>
            </w:r>
          </w:p>
          <w:p w:rsidR="008E3F88" w:rsidRPr="0010333C" w:rsidRDefault="008E3F88" w:rsidP="0010333C">
            <w:pPr>
              <w:ind w:right="34"/>
              <w:jc w:val="left"/>
              <w:rPr>
                <w:lang w:val="fr-FR"/>
              </w:rPr>
            </w:pPr>
            <w:r w:rsidRPr="0010333C">
              <w:rPr>
                <w:lang w:val="fr-FR"/>
              </w:rPr>
              <w:t>TWA;</w:t>
            </w:r>
          </w:p>
          <w:p w:rsidR="008E3F88" w:rsidRPr="0010333C" w:rsidRDefault="008E3F88" w:rsidP="0010333C">
            <w:pPr>
              <w:ind w:right="34"/>
              <w:jc w:val="left"/>
              <w:rPr>
                <w:lang w:val="fr-FR"/>
              </w:rPr>
            </w:pPr>
            <w:r w:rsidRPr="0010333C">
              <w:rPr>
                <w:lang w:val="fr-FR"/>
              </w:rPr>
              <w:t>TWF;</w:t>
            </w:r>
          </w:p>
          <w:p w:rsidR="008E3F88" w:rsidRPr="0010333C" w:rsidRDefault="008E3F88" w:rsidP="0010333C">
            <w:pPr>
              <w:ind w:right="34"/>
              <w:jc w:val="left"/>
              <w:rPr>
                <w:lang w:val="fr-FR"/>
              </w:rPr>
            </w:pPr>
            <w:r w:rsidRPr="0010333C">
              <w:rPr>
                <w:lang w:val="fr-FR"/>
              </w:rPr>
              <w:t>TWO</w:t>
            </w:r>
          </w:p>
        </w:tc>
        <w:tc>
          <w:tcPr>
            <w:tcW w:w="5528" w:type="dxa"/>
            <w:vAlign w:val="center"/>
          </w:tcPr>
          <w:p w:rsidR="008E3F88" w:rsidRPr="0010333C" w:rsidRDefault="008E3F88" w:rsidP="0010333C">
            <w:pPr>
              <w:spacing w:before="60" w:after="60"/>
              <w:ind w:right="34"/>
              <w:jc w:val="left"/>
              <w:rPr>
                <w:lang w:val="fr-FR"/>
              </w:rPr>
            </w:pPr>
            <w:r w:rsidRPr="0010333C">
              <w:rPr>
                <w:lang w:val="fr-FR"/>
              </w:rPr>
              <w:t>Données d</w:t>
            </w:r>
            <w:r w:rsidR="00584454" w:rsidRPr="0010333C">
              <w:rPr>
                <w:lang w:val="fr-FR"/>
              </w:rPr>
              <w:t>’</w:t>
            </w:r>
            <w:r w:rsidRPr="0010333C">
              <w:rPr>
                <w:lang w:val="fr-FR"/>
              </w:rPr>
              <w:t>expérience concernant les descriptions variétales et le contrôle du maintien de la variété à l</w:t>
            </w:r>
            <w:r w:rsidR="00584454" w:rsidRPr="0010333C">
              <w:rPr>
                <w:lang w:val="fr-FR"/>
              </w:rPr>
              <w:t>’</w:t>
            </w:r>
            <w:r w:rsidRPr="0010333C">
              <w:rPr>
                <w:lang w:val="fr-FR"/>
              </w:rPr>
              <w:t xml:space="preserve">Office communautaire des variétés végétales (OCVV) </w:t>
            </w:r>
          </w:p>
        </w:tc>
        <w:tc>
          <w:tcPr>
            <w:tcW w:w="1687" w:type="dxa"/>
          </w:tcPr>
          <w:p w:rsidR="008E3F88" w:rsidRPr="0010333C" w:rsidRDefault="008E3F88" w:rsidP="0010333C">
            <w:pPr>
              <w:spacing w:before="60" w:after="60"/>
              <w:ind w:right="-108"/>
              <w:jc w:val="left"/>
              <w:rPr>
                <w:lang w:val="fr-FR"/>
              </w:rPr>
            </w:pPr>
            <w:r w:rsidRPr="0010333C">
              <w:rPr>
                <w:lang w:val="fr-FR"/>
              </w:rPr>
              <w:t>Union européenne</w:t>
            </w:r>
          </w:p>
        </w:tc>
        <w:tc>
          <w:tcPr>
            <w:tcW w:w="1823" w:type="dxa"/>
          </w:tcPr>
          <w:p w:rsidR="008E3F88" w:rsidRPr="006A4C34" w:rsidRDefault="008E3F88" w:rsidP="0010333C">
            <w:r w:rsidRPr="006A4C34">
              <w:t>TWV/49/10</w:t>
            </w:r>
            <w:r w:rsidR="00B835B6" w:rsidRPr="006A4C34">
              <w:t> </w:t>
            </w:r>
            <w:r w:rsidRPr="006A4C34">
              <w:t>Add.;</w:t>
            </w:r>
          </w:p>
          <w:p w:rsidR="008E3F88" w:rsidRPr="006A4C34" w:rsidRDefault="008E3F88" w:rsidP="0010333C">
            <w:r w:rsidRPr="006A4C34">
              <w:t>TWA/44/10</w:t>
            </w:r>
            <w:r w:rsidR="00B835B6" w:rsidRPr="006A4C34">
              <w:t> </w:t>
            </w:r>
            <w:r w:rsidRPr="006A4C34">
              <w:t>Add.;</w:t>
            </w:r>
          </w:p>
          <w:p w:rsidR="008E3F88" w:rsidRPr="006A4C34" w:rsidRDefault="008E3F88" w:rsidP="0010333C">
            <w:r w:rsidRPr="006A4C34">
              <w:t>TWF/46/10</w:t>
            </w:r>
            <w:r w:rsidR="00B835B6" w:rsidRPr="006A4C34">
              <w:t> </w:t>
            </w:r>
            <w:r w:rsidRPr="006A4C34">
              <w:t>Add.;</w:t>
            </w:r>
          </w:p>
          <w:p w:rsidR="008E3F88" w:rsidRPr="0010333C" w:rsidRDefault="008E3F88" w:rsidP="0010333C">
            <w:pPr>
              <w:rPr>
                <w:lang w:val="fr-FR"/>
              </w:rPr>
            </w:pPr>
            <w:r w:rsidRPr="0010333C">
              <w:rPr>
                <w:lang w:val="fr-FR"/>
              </w:rPr>
              <w:t>TWO/48/10</w:t>
            </w:r>
            <w:r w:rsidR="00B835B6" w:rsidRPr="0010333C">
              <w:rPr>
                <w:lang w:val="fr-FR"/>
              </w:rPr>
              <w:t> </w:t>
            </w:r>
            <w:proofErr w:type="spellStart"/>
            <w:r w:rsidRPr="0010333C">
              <w:rPr>
                <w:lang w:val="fr-FR"/>
              </w:rPr>
              <w:t>Add</w:t>
            </w:r>
            <w:proofErr w:type="spellEnd"/>
            <w:r w:rsidRPr="0010333C">
              <w:rPr>
                <w:lang w:val="fr-FR"/>
              </w:rPr>
              <w:t>.</w:t>
            </w:r>
          </w:p>
        </w:tc>
      </w:tr>
      <w:tr w:rsidR="0010333C" w:rsidRPr="0010333C" w:rsidTr="00BC12C6">
        <w:trPr>
          <w:cantSplit/>
        </w:trPr>
        <w:tc>
          <w:tcPr>
            <w:tcW w:w="817" w:type="dxa"/>
          </w:tcPr>
          <w:p w:rsidR="008E3F88" w:rsidRPr="0010333C" w:rsidRDefault="008E3F88" w:rsidP="0010333C">
            <w:pPr>
              <w:ind w:right="34"/>
              <w:jc w:val="left"/>
              <w:rPr>
                <w:lang w:val="fr-FR"/>
              </w:rPr>
            </w:pPr>
            <w:r w:rsidRPr="0010333C">
              <w:rPr>
                <w:lang w:val="fr-FR"/>
              </w:rPr>
              <w:t>TWV</w:t>
            </w:r>
          </w:p>
        </w:tc>
        <w:tc>
          <w:tcPr>
            <w:tcW w:w="5528" w:type="dxa"/>
            <w:vAlign w:val="center"/>
          </w:tcPr>
          <w:p w:rsidR="008E3F88" w:rsidRPr="0010333C" w:rsidRDefault="008E3F88" w:rsidP="0010333C">
            <w:pPr>
              <w:spacing w:before="60" w:after="60"/>
              <w:ind w:right="34"/>
              <w:jc w:val="left"/>
              <w:rPr>
                <w:lang w:val="fr-FR"/>
              </w:rPr>
            </w:pPr>
            <w:r w:rsidRPr="0010333C">
              <w:rPr>
                <w:lang w:val="fr-FR"/>
              </w:rPr>
              <w:t xml:space="preserve">Contrôle du maintien des variétés potagères </w:t>
            </w:r>
          </w:p>
        </w:tc>
        <w:tc>
          <w:tcPr>
            <w:tcW w:w="1687" w:type="dxa"/>
          </w:tcPr>
          <w:p w:rsidR="008E3F88" w:rsidRPr="0010333C" w:rsidRDefault="008E3F88" w:rsidP="0010333C">
            <w:pPr>
              <w:spacing w:before="60" w:after="60"/>
              <w:ind w:right="-108"/>
              <w:jc w:val="left"/>
              <w:rPr>
                <w:lang w:val="fr-FR"/>
              </w:rPr>
            </w:pPr>
            <w:r w:rsidRPr="0010333C">
              <w:rPr>
                <w:lang w:val="fr-FR"/>
              </w:rPr>
              <w:t>Pays</w:t>
            </w:r>
            <w:r w:rsidR="00BB3EE2" w:rsidRPr="0010333C">
              <w:rPr>
                <w:lang w:val="fr-FR"/>
              </w:rPr>
              <w:noBreakHyphen/>
            </w:r>
            <w:r w:rsidRPr="0010333C">
              <w:rPr>
                <w:lang w:val="fr-FR"/>
              </w:rPr>
              <w:t>Bas</w:t>
            </w:r>
          </w:p>
        </w:tc>
        <w:tc>
          <w:tcPr>
            <w:tcW w:w="1823" w:type="dxa"/>
          </w:tcPr>
          <w:p w:rsidR="008E3F88" w:rsidRPr="0010333C" w:rsidRDefault="008E3F88" w:rsidP="0010333C">
            <w:pPr>
              <w:rPr>
                <w:lang w:val="fr-FR"/>
              </w:rPr>
            </w:pPr>
            <w:r w:rsidRPr="0010333C">
              <w:rPr>
                <w:lang w:val="fr-FR"/>
              </w:rPr>
              <w:t>TWV/49/10</w:t>
            </w:r>
            <w:r w:rsidR="00B835B6" w:rsidRPr="0010333C">
              <w:rPr>
                <w:lang w:val="fr-FR"/>
              </w:rPr>
              <w:t> </w:t>
            </w:r>
            <w:proofErr w:type="spellStart"/>
            <w:r w:rsidRPr="0010333C">
              <w:rPr>
                <w:lang w:val="fr-FR"/>
              </w:rPr>
              <w:t>Add</w:t>
            </w:r>
            <w:proofErr w:type="spellEnd"/>
            <w:r w:rsidRPr="0010333C">
              <w:rPr>
                <w:lang w:val="fr-FR"/>
              </w:rPr>
              <w:t>.</w:t>
            </w:r>
          </w:p>
        </w:tc>
      </w:tr>
      <w:tr w:rsidR="0010333C" w:rsidRPr="0010333C" w:rsidTr="00BC12C6">
        <w:trPr>
          <w:cantSplit/>
        </w:trPr>
        <w:tc>
          <w:tcPr>
            <w:tcW w:w="817" w:type="dxa"/>
          </w:tcPr>
          <w:p w:rsidR="008E3F88" w:rsidRPr="0010333C" w:rsidRDefault="008E3F88" w:rsidP="0010333C">
            <w:pPr>
              <w:ind w:right="34"/>
              <w:jc w:val="left"/>
              <w:rPr>
                <w:lang w:val="fr-FR"/>
              </w:rPr>
            </w:pPr>
            <w:r w:rsidRPr="0010333C">
              <w:rPr>
                <w:lang w:val="fr-FR"/>
              </w:rPr>
              <w:t>TWV</w:t>
            </w:r>
          </w:p>
        </w:tc>
        <w:tc>
          <w:tcPr>
            <w:tcW w:w="5528" w:type="dxa"/>
            <w:vAlign w:val="center"/>
          </w:tcPr>
          <w:p w:rsidR="008E3F88" w:rsidRPr="0010333C" w:rsidRDefault="008E3F88" w:rsidP="0010333C">
            <w:pPr>
              <w:spacing w:before="60" w:after="60"/>
              <w:ind w:right="34"/>
              <w:jc w:val="left"/>
              <w:rPr>
                <w:lang w:val="fr-FR"/>
              </w:rPr>
            </w:pPr>
            <w:r w:rsidRPr="0010333C">
              <w:rPr>
                <w:lang w:val="fr-FR"/>
              </w:rPr>
              <w:t>Contrôle du maintien de la variété en République de Corée</w:t>
            </w:r>
          </w:p>
        </w:tc>
        <w:tc>
          <w:tcPr>
            <w:tcW w:w="1687" w:type="dxa"/>
          </w:tcPr>
          <w:p w:rsidR="008E3F88" w:rsidRPr="0010333C" w:rsidRDefault="008E3F88" w:rsidP="0010333C">
            <w:pPr>
              <w:spacing w:before="60" w:after="60"/>
              <w:ind w:right="-108"/>
              <w:jc w:val="left"/>
              <w:rPr>
                <w:lang w:val="fr-FR"/>
              </w:rPr>
            </w:pPr>
            <w:r w:rsidRPr="0010333C">
              <w:rPr>
                <w:lang w:val="fr-FR"/>
              </w:rPr>
              <w:t>République de Corée</w:t>
            </w:r>
          </w:p>
        </w:tc>
        <w:tc>
          <w:tcPr>
            <w:tcW w:w="1823" w:type="dxa"/>
          </w:tcPr>
          <w:p w:rsidR="008E3F88" w:rsidRPr="0010333C" w:rsidRDefault="008E3F88" w:rsidP="0010333C">
            <w:pPr>
              <w:rPr>
                <w:lang w:val="fr-FR"/>
              </w:rPr>
            </w:pPr>
            <w:r w:rsidRPr="0010333C">
              <w:rPr>
                <w:lang w:val="fr-FR"/>
              </w:rPr>
              <w:t>TWV/49/10</w:t>
            </w:r>
            <w:r w:rsidR="00B835B6" w:rsidRPr="0010333C">
              <w:rPr>
                <w:lang w:val="fr-FR"/>
              </w:rPr>
              <w:t> </w:t>
            </w:r>
            <w:proofErr w:type="spellStart"/>
            <w:r w:rsidRPr="0010333C">
              <w:rPr>
                <w:lang w:val="fr-FR"/>
              </w:rPr>
              <w:t>Add</w:t>
            </w:r>
            <w:proofErr w:type="spellEnd"/>
            <w:r w:rsidRPr="0010333C">
              <w:rPr>
                <w:lang w:val="fr-FR"/>
              </w:rPr>
              <w:t>.</w:t>
            </w:r>
          </w:p>
        </w:tc>
      </w:tr>
      <w:tr w:rsidR="008E3F88" w:rsidRPr="0010333C" w:rsidTr="00BC12C6">
        <w:trPr>
          <w:cantSplit/>
        </w:trPr>
        <w:tc>
          <w:tcPr>
            <w:tcW w:w="817" w:type="dxa"/>
          </w:tcPr>
          <w:p w:rsidR="008E3F88" w:rsidRPr="0010333C" w:rsidRDefault="008E3F88" w:rsidP="0010333C">
            <w:pPr>
              <w:ind w:right="34"/>
              <w:jc w:val="left"/>
              <w:rPr>
                <w:lang w:val="fr-FR"/>
              </w:rPr>
            </w:pPr>
            <w:r w:rsidRPr="0010333C">
              <w:rPr>
                <w:lang w:val="fr-FR"/>
              </w:rPr>
              <w:t>TWV</w:t>
            </w:r>
          </w:p>
        </w:tc>
        <w:tc>
          <w:tcPr>
            <w:tcW w:w="5528" w:type="dxa"/>
            <w:vAlign w:val="center"/>
          </w:tcPr>
          <w:p w:rsidR="008E3F88" w:rsidRPr="0010333C" w:rsidRDefault="008E3F88" w:rsidP="0010333C">
            <w:pPr>
              <w:spacing w:before="60" w:after="60"/>
              <w:ind w:right="34"/>
              <w:jc w:val="left"/>
              <w:rPr>
                <w:lang w:val="fr-FR"/>
              </w:rPr>
            </w:pPr>
            <w:r w:rsidRPr="0010333C">
              <w:rPr>
                <w:lang w:val="fr-FR"/>
              </w:rPr>
              <w:t xml:space="preserve">Contrôle du maintien de la variété et </w:t>
            </w:r>
            <w:r w:rsidRPr="0010333C">
              <w:rPr>
                <w:lang w:val="fr-FR"/>
              </w:rPr>
              <w:br/>
              <w:t xml:space="preserve">questions concernant les descriptions variétales </w:t>
            </w:r>
          </w:p>
        </w:tc>
        <w:tc>
          <w:tcPr>
            <w:tcW w:w="1687" w:type="dxa"/>
          </w:tcPr>
          <w:p w:rsidR="008E3F88" w:rsidRPr="0010333C" w:rsidRDefault="008E3F88" w:rsidP="0010333C">
            <w:pPr>
              <w:spacing w:before="60" w:after="60"/>
              <w:ind w:right="-108"/>
              <w:jc w:val="left"/>
              <w:rPr>
                <w:lang w:val="fr-FR"/>
              </w:rPr>
            </w:pPr>
            <w:r w:rsidRPr="0010333C">
              <w:rPr>
                <w:lang w:val="fr-FR"/>
              </w:rPr>
              <w:t>Espagne</w:t>
            </w:r>
          </w:p>
        </w:tc>
        <w:tc>
          <w:tcPr>
            <w:tcW w:w="1823" w:type="dxa"/>
          </w:tcPr>
          <w:p w:rsidR="008E3F88" w:rsidRPr="0010333C" w:rsidRDefault="008E3F88" w:rsidP="0010333C">
            <w:pPr>
              <w:rPr>
                <w:lang w:val="fr-FR"/>
              </w:rPr>
            </w:pPr>
            <w:r w:rsidRPr="0010333C">
              <w:rPr>
                <w:lang w:val="fr-FR"/>
              </w:rPr>
              <w:t>TWV/49/10</w:t>
            </w:r>
            <w:r w:rsidR="00B835B6" w:rsidRPr="0010333C">
              <w:rPr>
                <w:lang w:val="fr-FR"/>
              </w:rPr>
              <w:t> </w:t>
            </w:r>
            <w:proofErr w:type="spellStart"/>
            <w:r w:rsidRPr="0010333C">
              <w:rPr>
                <w:lang w:val="fr-FR"/>
              </w:rPr>
              <w:t>Add</w:t>
            </w:r>
            <w:proofErr w:type="spellEnd"/>
            <w:r w:rsidRPr="0010333C">
              <w:rPr>
                <w:lang w:val="fr-FR"/>
              </w:rPr>
              <w:t>.</w:t>
            </w:r>
          </w:p>
        </w:tc>
      </w:tr>
    </w:tbl>
    <w:p w:rsidR="008E3F88" w:rsidRPr="0010333C" w:rsidRDefault="008E3F88" w:rsidP="0010333C">
      <w:pPr>
        <w:rPr>
          <w:lang w:val="fr-FR"/>
        </w:rPr>
      </w:pPr>
    </w:p>
    <w:p w:rsidR="008E3F88" w:rsidRPr="0010333C" w:rsidRDefault="008E3F88" w:rsidP="0010333C">
      <w:pPr>
        <w:rPr>
          <w:lang w:val="fr-FR"/>
        </w:rPr>
      </w:pPr>
    </w:p>
    <w:p w:rsidR="00584454" w:rsidRPr="0010333C" w:rsidRDefault="008E3F88" w:rsidP="0010333C">
      <w:pPr>
        <w:pStyle w:val="Heading1"/>
        <w:rPr>
          <w:lang w:val="fr-FR"/>
        </w:rPr>
      </w:pPr>
      <w:bookmarkStart w:id="13" w:name="_Toc441581738"/>
      <w:bookmarkEnd w:id="11"/>
      <w:r w:rsidRPr="0010333C">
        <w:rPr>
          <w:lang w:val="fr-FR"/>
        </w:rPr>
        <w:t>OBSERVATIONS FORMULÉES PAR LES GROUPES DE TRAVAIL TECHNIQUES</w:t>
      </w:r>
      <w:bookmarkEnd w:id="13"/>
    </w:p>
    <w:p w:rsidR="008E3F88" w:rsidRPr="0010333C" w:rsidRDefault="008E3F88" w:rsidP="0010333C">
      <w:pPr>
        <w:rPr>
          <w:lang w:val="fr-FR"/>
        </w:rPr>
      </w:pPr>
    </w:p>
    <w:p w:rsidR="008E3F88" w:rsidRPr="0010333C" w:rsidRDefault="008E3F88" w:rsidP="0010333C">
      <w:pPr>
        <w:pStyle w:val="Heading2"/>
        <w:rPr>
          <w:rStyle w:val="Emphasis"/>
          <w:i w:val="0"/>
          <w:iCs w:val="0"/>
          <w:lang w:val="fr-FR"/>
        </w:rPr>
      </w:pPr>
      <w:bookmarkStart w:id="14" w:name="_Toc441581739"/>
      <w:r w:rsidRPr="0010333C">
        <w:rPr>
          <w:rStyle w:val="Emphasis"/>
          <w:i w:val="0"/>
          <w:lang w:val="fr-FR"/>
        </w:rPr>
        <w:t>Groupe de travail technique sur les plantes potagères</w:t>
      </w:r>
      <w:bookmarkEnd w:id="14"/>
    </w:p>
    <w:p w:rsidR="008E3F88" w:rsidRPr="0010333C" w:rsidRDefault="008E3F88" w:rsidP="0010333C">
      <w:pPr>
        <w:rPr>
          <w:lang w:val="fr-FR"/>
        </w:rPr>
      </w:pPr>
    </w:p>
    <w:p w:rsidR="00584454" w:rsidRPr="0010333C" w:rsidRDefault="008E3F88" w:rsidP="0010333C">
      <w:pPr>
        <w:rPr>
          <w:snapToGrid w:val="0"/>
          <w:lang w:val="fr-FR"/>
        </w:rPr>
      </w:pPr>
      <w:r w:rsidRPr="0010333C">
        <w:rPr>
          <w:snapToGrid w:val="0"/>
          <w:lang w:val="fr-FR"/>
        </w:rPr>
        <w:fldChar w:fldCharType="begin"/>
      </w:r>
      <w:r w:rsidRPr="0010333C">
        <w:rPr>
          <w:snapToGrid w:val="0"/>
          <w:lang w:val="fr-FR"/>
        </w:rPr>
        <w:instrText xml:space="preserve"> AUTONUM  </w:instrText>
      </w:r>
      <w:r w:rsidRPr="0010333C">
        <w:rPr>
          <w:snapToGrid w:val="0"/>
          <w:lang w:val="fr-FR"/>
        </w:rPr>
        <w:fldChar w:fldCharType="end"/>
      </w:r>
      <w:r w:rsidRPr="0010333C">
        <w:rPr>
          <w:snapToGrid w:val="0"/>
          <w:lang w:val="fr-FR"/>
        </w:rPr>
        <w:tab/>
        <w:t>À sa quarante</w:t>
      </w:r>
      <w:r w:rsidR="00BB3EE2" w:rsidRPr="0010333C">
        <w:rPr>
          <w:snapToGrid w:val="0"/>
          <w:szCs w:val="22"/>
          <w:lang w:val="fr-FR"/>
        </w:rPr>
        <w:noBreakHyphen/>
      </w:r>
      <w:r w:rsidRPr="0010333C">
        <w:rPr>
          <w:snapToGrid w:val="0"/>
          <w:szCs w:val="22"/>
          <w:lang w:val="fr-FR"/>
        </w:rPr>
        <w:t>neuvième</w:t>
      </w:r>
      <w:r w:rsidR="00B835B6" w:rsidRPr="0010333C">
        <w:rPr>
          <w:snapToGrid w:val="0"/>
          <w:szCs w:val="22"/>
          <w:lang w:val="fr-FR"/>
        </w:rPr>
        <w:t> </w:t>
      </w:r>
      <w:r w:rsidRPr="0010333C">
        <w:rPr>
          <w:lang w:val="fr-FR"/>
        </w:rPr>
        <w:t>session</w:t>
      </w:r>
      <w:r w:rsidRPr="0010333C">
        <w:rPr>
          <w:snapToGrid w:val="0"/>
          <w:lang w:val="fr-FR"/>
        </w:rPr>
        <w:t xml:space="preserve"> tenue à Angers (France) du 15 au 1</w:t>
      </w:r>
      <w:r w:rsidR="00584454" w:rsidRPr="0010333C">
        <w:rPr>
          <w:snapToGrid w:val="0"/>
          <w:lang w:val="fr-FR"/>
        </w:rPr>
        <w:t>9 juin 20</w:t>
      </w:r>
      <w:r w:rsidRPr="0010333C">
        <w:rPr>
          <w:snapToGrid w:val="0"/>
          <w:lang w:val="fr-FR"/>
        </w:rPr>
        <w:t>15,</w:t>
      </w:r>
      <w:r w:rsidR="00584454" w:rsidRPr="0010333C">
        <w:rPr>
          <w:snapToGrid w:val="0"/>
          <w:lang w:val="fr-FR"/>
        </w:rPr>
        <w:t xml:space="preserve"> le TWV</w:t>
      </w:r>
      <w:r w:rsidRPr="0010333C">
        <w:rPr>
          <w:snapToGrid w:val="0"/>
          <w:lang w:val="fr-FR"/>
        </w:rPr>
        <w:t xml:space="preserve"> a examiné le document TWV/49/10 </w:t>
      </w:r>
      <w:r w:rsidR="005556C7">
        <w:rPr>
          <w:lang w:val="fr-FR"/>
        </w:rPr>
        <w:t>“</w:t>
      </w:r>
      <w:proofErr w:type="spellStart"/>
      <w:r w:rsidR="005556C7" w:rsidRPr="005556C7">
        <w:rPr>
          <w:i/>
          <w:lang w:val="fr-FR"/>
        </w:rPr>
        <w:t>Matters</w:t>
      </w:r>
      <w:proofErr w:type="spellEnd"/>
      <w:r w:rsidR="005556C7" w:rsidRPr="005556C7">
        <w:rPr>
          <w:i/>
          <w:lang w:val="fr-FR"/>
        </w:rPr>
        <w:t xml:space="preserve"> </w:t>
      </w:r>
      <w:proofErr w:type="spellStart"/>
      <w:r w:rsidR="005556C7" w:rsidRPr="005556C7">
        <w:rPr>
          <w:i/>
          <w:lang w:val="fr-FR"/>
        </w:rPr>
        <w:t>concerning</w:t>
      </w:r>
      <w:proofErr w:type="spellEnd"/>
      <w:r w:rsidR="005556C7" w:rsidRPr="005556C7">
        <w:rPr>
          <w:i/>
          <w:lang w:val="fr-FR"/>
        </w:rPr>
        <w:t xml:space="preserve"> </w:t>
      </w:r>
      <w:proofErr w:type="spellStart"/>
      <w:r w:rsidR="005556C7" w:rsidRPr="005556C7">
        <w:rPr>
          <w:i/>
          <w:lang w:val="fr-FR"/>
        </w:rPr>
        <w:t>Variety</w:t>
      </w:r>
      <w:proofErr w:type="spellEnd"/>
      <w:r w:rsidR="005556C7" w:rsidRPr="005556C7">
        <w:rPr>
          <w:i/>
          <w:lang w:val="fr-FR"/>
        </w:rPr>
        <w:t xml:space="preserve"> D</w:t>
      </w:r>
      <w:r w:rsidRPr="005556C7">
        <w:rPr>
          <w:i/>
          <w:lang w:val="fr-FR"/>
        </w:rPr>
        <w:t>escriptions</w:t>
      </w:r>
      <w:r w:rsidRPr="0010333C">
        <w:rPr>
          <w:lang w:val="fr-FR"/>
        </w:rPr>
        <w:t>” (voir les paragraphes</w:t>
      </w:r>
      <w:r w:rsidR="00B835B6" w:rsidRPr="0010333C">
        <w:rPr>
          <w:lang w:val="fr-FR"/>
        </w:rPr>
        <w:t> </w:t>
      </w:r>
      <w:r w:rsidRPr="0010333C">
        <w:rPr>
          <w:lang w:val="fr-FR"/>
        </w:rPr>
        <w:t>73 à 75 du document TWV/49/32</w:t>
      </w:r>
      <w:r w:rsidR="00B835B6" w:rsidRPr="0010333C">
        <w:rPr>
          <w:lang w:val="fr-FR"/>
        </w:rPr>
        <w:t> </w:t>
      </w:r>
      <w:proofErr w:type="spellStart"/>
      <w:r w:rsidRPr="0010333C">
        <w:rPr>
          <w:lang w:val="fr-FR"/>
        </w:rPr>
        <w:t>Rev</w:t>
      </w:r>
      <w:proofErr w:type="spellEnd"/>
      <w:r w:rsidRPr="0010333C">
        <w:rPr>
          <w:lang w:val="fr-FR"/>
        </w:rPr>
        <w:t>. “</w:t>
      </w:r>
      <w:proofErr w:type="spellStart"/>
      <w:r w:rsidR="005556C7" w:rsidRPr="005556C7">
        <w:rPr>
          <w:i/>
          <w:lang w:val="fr-FR"/>
        </w:rPr>
        <w:t>Revised</w:t>
      </w:r>
      <w:proofErr w:type="spellEnd"/>
      <w:r w:rsidR="005556C7" w:rsidRPr="005556C7">
        <w:rPr>
          <w:i/>
          <w:lang w:val="fr-FR"/>
        </w:rPr>
        <w:t xml:space="preserve"> Report</w:t>
      </w:r>
      <w:r w:rsidRPr="0010333C">
        <w:rPr>
          <w:lang w:val="fr-FR"/>
        </w:rPr>
        <w:t>”)</w:t>
      </w:r>
      <w:r w:rsidRPr="0010333C">
        <w:rPr>
          <w:snapToGrid w:val="0"/>
          <w:lang w:val="fr-FR"/>
        </w:rPr>
        <w:t>.</w:t>
      </w:r>
    </w:p>
    <w:p w:rsidR="008E3F88" w:rsidRPr="0010333C" w:rsidRDefault="008E3F88" w:rsidP="0010333C">
      <w:pPr>
        <w:rPr>
          <w:snapToGrid w:val="0"/>
          <w:lang w:val="fr-FR"/>
        </w:rPr>
      </w:pPr>
    </w:p>
    <w:p w:rsidR="008E3F88" w:rsidRPr="0010333C" w:rsidRDefault="008E3F88" w:rsidP="0010333C">
      <w:pPr>
        <w:rPr>
          <w:lang w:val="fr-FR"/>
        </w:rPr>
      </w:pPr>
      <w:r w:rsidRPr="0010333C">
        <w:rPr>
          <w:lang w:val="fr-FR"/>
        </w:rPr>
        <w:fldChar w:fldCharType="begin"/>
      </w:r>
      <w:r w:rsidRPr="0010333C">
        <w:rPr>
          <w:lang w:val="fr-FR"/>
        </w:rPr>
        <w:instrText xml:space="preserve"> AUTONUM  </w:instrText>
      </w:r>
      <w:r w:rsidRPr="0010333C">
        <w:rPr>
          <w:lang w:val="fr-FR"/>
        </w:rPr>
        <w:fldChar w:fldCharType="end"/>
      </w:r>
      <w:r w:rsidRPr="0010333C">
        <w:rPr>
          <w:lang w:val="fr-FR"/>
        </w:rPr>
        <w:tab/>
        <w:t>Le TWV a pris note de l</w:t>
      </w:r>
      <w:r w:rsidR="00584454" w:rsidRPr="0010333C">
        <w:rPr>
          <w:lang w:val="fr-FR"/>
        </w:rPr>
        <w:t>’</w:t>
      </w:r>
      <w:r w:rsidRPr="0010333C">
        <w:rPr>
          <w:lang w:val="fr-FR"/>
        </w:rPr>
        <w:t>harmonisation des approches adoptées dans le secteur potager pour le contrôle des variétés et de la conception et de l</w:t>
      </w:r>
      <w:r w:rsidR="00584454" w:rsidRPr="0010333C">
        <w:rPr>
          <w:lang w:val="fr-FR"/>
        </w:rPr>
        <w:t>’</w:t>
      </w:r>
      <w:r w:rsidRPr="0010333C">
        <w:rPr>
          <w:lang w:val="fr-FR"/>
        </w:rPr>
        <w:t>utilisation communes des descriptions variétales dans les membres de l</w:t>
      </w:r>
      <w:r w:rsidR="00584454" w:rsidRPr="0010333C">
        <w:rPr>
          <w:lang w:val="fr-FR"/>
        </w:rPr>
        <w:t>’</w:t>
      </w:r>
      <w:r w:rsidRPr="0010333C">
        <w:rPr>
          <w:lang w:val="fr-FR"/>
        </w:rPr>
        <w:t>Union.</w:t>
      </w:r>
    </w:p>
    <w:p w:rsidR="008E3F88" w:rsidRPr="0010333C" w:rsidRDefault="008E3F88" w:rsidP="0010333C">
      <w:pPr>
        <w:tabs>
          <w:tab w:val="left" w:pos="2670"/>
        </w:tabs>
        <w:rPr>
          <w:lang w:val="fr-FR"/>
        </w:rPr>
      </w:pPr>
    </w:p>
    <w:p w:rsidR="008E3F88" w:rsidRPr="0010333C" w:rsidRDefault="008E3F88" w:rsidP="0010333C">
      <w:pPr>
        <w:pStyle w:val="Heading2"/>
        <w:rPr>
          <w:rFonts w:eastAsia="PMingLiU"/>
          <w:lang w:val="fr-FR"/>
        </w:rPr>
      </w:pPr>
      <w:bookmarkStart w:id="15" w:name="_Toc441581740"/>
      <w:r w:rsidRPr="0010333C">
        <w:rPr>
          <w:rFonts w:eastAsia="PMingLiU"/>
          <w:lang w:val="fr-FR"/>
        </w:rPr>
        <w:t>Groupe de travail technique sur les systèmes d</w:t>
      </w:r>
      <w:r w:rsidR="00584454" w:rsidRPr="0010333C">
        <w:rPr>
          <w:rFonts w:eastAsia="PMingLiU"/>
          <w:lang w:val="fr-FR"/>
        </w:rPr>
        <w:t>’</w:t>
      </w:r>
      <w:r w:rsidRPr="0010333C">
        <w:rPr>
          <w:rFonts w:eastAsia="PMingLiU"/>
          <w:lang w:val="fr-FR"/>
        </w:rPr>
        <w:t>automatisation et les programmes d</w:t>
      </w:r>
      <w:r w:rsidR="00584454" w:rsidRPr="0010333C">
        <w:rPr>
          <w:rFonts w:eastAsia="PMingLiU"/>
          <w:lang w:val="fr-FR"/>
        </w:rPr>
        <w:t>’</w:t>
      </w:r>
      <w:r w:rsidRPr="0010333C">
        <w:rPr>
          <w:rFonts w:eastAsia="PMingLiU"/>
          <w:lang w:val="fr-FR"/>
        </w:rPr>
        <w:t>ordinateur</w:t>
      </w:r>
      <w:bookmarkEnd w:id="15"/>
    </w:p>
    <w:p w:rsidR="008E3F88" w:rsidRPr="0010333C" w:rsidRDefault="008E3F88" w:rsidP="0010333C">
      <w:pPr>
        <w:rPr>
          <w:lang w:val="fr-FR"/>
        </w:rPr>
      </w:pPr>
    </w:p>
    <w:p w:rsidR="008E3F88" w:rsidRPr="0010333C" w:rsidRDefault="008E3F88" w:rsidP="0010333C">
      <w:pPr>
        <w:pStyle w:val="Heading3"/>
        <w:rPr>
          <w:lang w:val="fr-FR"/>
        </w:rPr>
      </w:pPr>
      <w:bookmarkStart w:id="16" w:name="_Toc441581741"/>
      <w:r w:rsidRPr="0010333C">
        <w:rPr>
          <w:lang w:val="fr-FR"/>
        </w:rPr>
        <w:t>Contrôle du maintien de la variété</w:t>
      </w:r>
      <w:bookmarkEnd w:id="16"/>
    </w:p>
    <w:p w:rsidR="008E3F88" w:rsidRPr="0010333C" w:rsidRDefault="008E3F88" w:rsidP="0010333C">
      <w:pPr>
        <w:rPr>
          <w:lang w:val="fr-FR"/>
        </w:rPr>
      </w:pPr>
    </w:p>
    <w:p w:rsidR="008E3F88" w:rsidRPr="0010333C" w:rsidRDefault="008E3F88" w:rsidP="0010333C">
      <w:pPr>
        <w:rPr>
          <w:lang w:val="fr-FR"/>
        </w:rPr>
      </w:pPr>
      <w:r w:rsidRPr="0010333C">
        <w:rPr>
          <w:snapToGrid w:val="0"/>
          <w:lang w:val="fr-FR"/>
        </w:rPr>
        <w:fldChar w:fldCharType="begin"/>
      </w:r>
      <w:r w:rsidRPr="0010333C">
        <w:rPr>
          <w:snapToGrid w:val="0"/>
          <w:lang w:val="fr-FR"/>
        </w:rPr>
        <w:instrText xml:space="preserve"> AUTONUM  </w:instrText>
      </w:r>
      <w:r w:rsidRPr="0010333C">
        <w:rPr>
          <w:snapToGrid w:val="0"/>
          <w:lang w:val="fr-FR"/>
        </w:rPr>
        <w:fldChar w:fldCharType="end"/>
      </w:r>
      <w:r w:rsidRPr="0010333C">
        <w:rPr>
          <w:snapToGrid w:val="0"/>
          <w:lang w:val="fr-FR"/>
        </w:rPr>
        <w:tab/>
        <w:t>À sa trente</w:t>
      </w:r>
      <w:r w:rsidR="00BB3EE2" w:rsidRPr="0010333C">
        <w:rPr>
          <w:snapToGrid w:val="0"/>
          <w:szCs w:val="22"/>
          <w:lang w:val="fr-FR"/>
        </w:rPr>
        <w:noBreakHyphen/>
      </w:r>
      <w:r w:rsidRPr="0010333C">
        <w:rPr>
          <w:snapToGrid w:val="0"/>
          <w:szCs w:val="22"/>
          <w:lang w:val="fr-FR"/>
        </w:rPr>
        <w:t>troisième</w:t>
      </w:r>
      <w:r w:rsidR="00B835B6" w:rsidRPr="0010333C">
        <w:rPr>
          <w:snapToGrid w:val="0"/>
          <w:szCs w:val="22"/>
          <w:lang w:val="fr-FR"/>
        </w:rPr>
        <w:t> </w:t>
      </w:r>
      <w:r w:rsidRPr="0010333C">
        <w:rPr>
          <w:snapToGrid w:val="0"/>
          <w:szCs w:val="22"/>
          <w:lang w:val="fr-FR"/>
        </w:rPr>
        <w:t>session tenue à Natal (Brésil) du 3</w:t>
      </w:r>
      <w:r w:rsidR="00584454" w:rsidRPr="0010333C">
        <w:rPr>
          <w:snapToGrid w:val="0"/>
          <w:szCs w:val="22"/>
          <w:lang w:val="fr-FR"/>
        </w:rPr>
        <w:t>0 juin</w:t>
      </w:r>
      <w:r w:rsidRPr="0010333C">
        <w:rPr>
          <w:snapToGrid w:val="0"/>
          <w:szCs w:val="22"/>
          <w:lang w:val="fr-FR"/>
        </w:rPr>
        <w:t xml:space="preserve"> au </w:t>
      </w:r>
      <w:r w:rsidR="00584454" w:rsidRPr="0010333C">
        <w:rPr>
          <w:snapToGrid w:val="0"/>
          <w:szCs w:val="22"/>
          <w:lang w:val="fr-FR"/>
        </w:rPr>
        <w:t>3 juillet 20</w:t>
      </w:r>
      <w:r w:rsidRPr="0010333C">
        <w:rPr>
          <w:snapToGrid w:val="0"/>
          <w:szCs w:val="22"/>
          <w:lang w:val="fr-FR"/>
        </w:rPr>
        <w:t>15,</w:t>
      </w:r>
      <w:r w:rsidR="00584454" w:rsidRPr="0010333C">
        <w:rPr>
          <w:snapToGrid w:val="0"/>
          <w:szCs w:val="22"/>
          <w:lang w:val="fr-FR"/>
        </w:rPr>
        <w:t xml:space="preserve"> le </w:t>
      </w:r>
      <w:r w:rsidR="00584454" w:rsidRPr="0010333C">
        <w:rPr>
          <w:snapToGrid w:val="0"/>
          <w:lang w:val="fr-FR"/>
        </w:rPr>
        <w:t>TWC</w:t>
      </w:r>
      <w:r w:rsidRPr="0010333C">
        <w:rPr>
          <w:snapToGrid w:val="0"/>
          <w:lang w:val="fr-FR"/>
        </w:rPr>
        <w:t xml:space="preserve"> a examiné le document TWC/33/10 </w:t>
      </w:r>
      <w:r w:rsidR="005556C7">
        <w:rPr>
          <w:lang w:val="fr-FR"/>
        </w:rPr>
        <w:t>“</w:t>
      </w:r>
      <w:proofErr w:type="spellStart"/>
      <w:r w:rsidR="005556C7" w:rsidRPr="005556C7">
        <w:rPr>
          <w:i/>
          <w:lang w:val="fr-FR"/>
        </w:rPr>
        <w:t>Matters</w:t>
      </w:r>
      <w:proofErr w:type="spellEnd"/>
      <w:r w:rsidR="005556C7" w:rsidRPr="005556C7">
        <w:rPr>
          <w:i/>
          <w:lang w:val="fr-FR"/>
        </w:rPr>
        <w:t xml:space="preserve"> </w:t>
      </w:r>
      <w:proofErr w:type="spellStart"/>
      <w:r w:rsidR="005556C7" w:rsidRPr="005556C7">
        <w:rPr>
          <w:i/>
          <w:lang w:val="fr-FR"/>
        </w:rPr>
        <w:t>concerning</w:t>
      </w:r>
      <w:proofErr w:type="spellEnd"/>
      <w:r w:rsidR="005556C7" w:rsidRPr="005556C7">
        <w:rPr>
          <w:i/>
          <w:lang w:val="fr-FR"/>
        </w:rPr>
        <w:t xml:space="preserve"> </w:t>
      </w:r>
      <w:proofErr w:type="spellStart"/>
      <w:r w:rsidR="005556C7" w:rsidRPr="005556C7">
        <w:rPr>
          <w:i/>
          <w:lang w:val="fr-FR"/>
        </w:rPr>
        <w:t>Variety</w:t>
      </w:r>
      <w:proofErr w:type="spellEnd"/>
      <w:r w:rsidR="005556C7" w:rsidRPr="005556C7">
        <w:rPr>
          <w:i/>
          <w:lang w:val="fr-FR"/>
        </w:rPr>
        <w:t xml:space="preserve"> D</w:t>
      </w:r>
      <w:r w:rsidRPr="005556C7">
        <w:rPr>
          <w:i/>
          <w:lang w:val="fr-FR"/>
        </w:rPr>
        <w:t>escriptions</w:t>
      </w:r>
      <w:r w:rsidRPr="0010333C">
        <w:rPr>
          <w:lang w:val="fr-FR"/>
        </w:rPr>
        <w:t>”</w:t>
      </w:r>
      <w:r w:rsidRPr="0010333C">
        <w:rPr>
          <w:snapToGrid w:val="0"/>
          <w:lang w:val="fr-FR"/>
        </w:rPr>
        <w:t>.</w:t>
      </w:r>
    </w:p>
    <w:p w:rsidR="008E3F88" w:rsidRPr="0010333C" w:rsidRDefault="008E3F88" w:rsidP="0010333C">
      <w:pPr>
        <w:rPr>
          <w:lang w:val="fr-FR"/>
        </w:rPr>
      </w:pPr>
    </w:p>
    <w:p w:rsidR="008E3F88" w:rsidRPr="0010333C" w:rsidRDefault="008E3F88" w:rsidP="0010333C">
      <w:pPr>
        <w:rPr>
          <w:lang w:val="fr-FR"/>
        </w:rPr>
      </w:pPr>
      <w:r w:rsidRPr="0010333C">
        <w:rPr>
          <w:lang w:val="fr-FR"/>
        </w:rPr>
        <w:fldChar w:fldCharType="begin"/>
      </w:r>
      <w:r w:rsidRPr="0010333C">
        <w:rPr>
          <w:lang w:val="fr-FR"/>
        </w:rPr>
        <w:instrText xml:space="preserve"> AUTONUM  </w:instrText>
      </w:r>
      <w:r w:rsidRPr="0010333C">
        <w:rPr>
          <w:lang w:val="fr-FR"/>
        </w:rPr>
        <w:fldChar w:fldCharType="end"/>
      </w:r>
      <w:r w:rsidRPr="0010333C">
        <w:rPr>
          <w:lang w:val="fr-FR"/>
        </w:rPr>
        <w:tab/>
        <w:t>Le TWC a examiné l</w:t>
      </w:r>
      <w:r w:rsidR="00584454" w:rsidRPr="0010333C">
        <w:rPr>
          <w:lang w:val="fr-FR"/>
        </w:rPr>
        <w:t>’</w:t>
      </w:r>
      <w:r w:rsidRPr="0010333C">
        <w:rPr>
          <w:lang w:val="fr-FR"/>
        </w:rPr>
        <w:t>utilisation de principes directeurs d</w:t>
      </w:r>
      <w:r w:rsidR="00584454" w:rsidRPr="0010333C">
        <w:rPr>
          <w:lang w:val="fr-FR"/>
        </w:rPr>
        <w:t>’</w:t>
      </w:r>
      <w:r w:rsidRPr="0010333C">
        <w:rPr>
          <w:lang w:val="fr-FR"/>
        </w:rPr>
        <w:t>examen aux fins du contrôle du maintien de la variété qui se distinguent des principes directeurs utilisés pour l</w:t>
      </w:r>
      <w:r w:rsidR="00584454" w:rsidRPr="0010333C">
        <w:rPr>
          <w:lang w:val="fr-FR"/>
        </w:rPr>
        <w:t>’</w:t>
      </w:r>
      <w:r w:rsidRPr="0010333C">
        <w:rPr>
          <w:lang w:val="fr-FR"/>
        </w:rPr>
        <w:t>examen</w:t>
      </w:r>
      <w:r w:rsidR="00B835B6" w:rsidRPr="0010333C">
        <w:rPr>
          <w:lang w:val="fr-FR"/>
        </w:rPr>
        <w:t> </w:t>
      </w:r>
      <w:r w:rsidR="00BB3EE2" w:rsidRPr="0010333C">
        <w:rPr>
          <w:lang w:val="fr-FR"/>
        </w:rPr>
        <w:t>DHS.  Il</w:t>
      </w:r>
      <w:r w:rsidRPr="0010333C">
        <w:rPr>
          <w:lang w:val="fr-FR"/>
        </w:rPr>
        <w:t xml:space="preserve"> a noté que tous les membres de l</w:t>
      </w:r>
      <w:r w:rsidR="00584454" w:rsidRPr="0010333C">
        <w:rPr>
          <w:lang w:val="fr-FR"/>
        </w:rPr>
        <w:t>’</w:t>
      </w:r>
      <w:r w:rsidRPr="0010333C">
        <w:rPr>
          <w:lang w:val="fr-FR"/>
        </w:rPr>
        <w:t>UPOV n</w:t>
      </w:r>
      <w:r w:rsidR="00584454" w:rsidRPr="0010333C">
        <w:rPr>
          <w:lang w:val="fr-FR"/>
        </w:rPr>
        <w:t>’</w:t>
      </w:r>
      <w:r w:rsidRPr="0010333C">
        <w:rPr>
          <w:lang w:val="fr-FR"/>
        </w:rPr>
        <w:t>exigeaient pas le contrôle du maintien de la varié</w:t>
      </w:r>
      <w:r w:rsidR="00BB3EE2" w:rsidRPr="0010333C">
        <w:rPr>
          <w:lang w:val="fr-FR"/>
        </w:rPr>
        <w:t>té.  Le</w:t>
      </w:r>
      <w:r w:rsidR="00584454" w:rsidRPr="0010333C">
        <w:rPr>
          <w:lang w:val="fr-FR"/>
        </w:rPr>
        <w:t> TWC</w:t>
      </w:r>
      <w:r w:rsidRPr="0010333C">
        <w:rPr>
          <w:lang w:val="fr-FR"/>
        </w:rPr>
        <w:t xml:space="preserve"> a noté que la Chine utilisait les données provenant de l</w:t>
      </w:r>
      <w:r w:rsidR="00584454" w:rsidRPr="0010333C">
        <w:rPr>
          <w:lang w:val="fr-FR"/>
        </w:rPr>
        <w:t>’</w:t>
      </w:r>
      <w:r w:rsidRPr="0010333C">
        <w:rPr>
          <w:lang w:val="fr-FR"/>
        </w:rPr>
        <w:t>essai initial pour établir une nouvelle description variétale en cas de modification des principes directeurs d</w:t>
      </w:r>
      <w:r w:rsidR="00584454" w:rsidRPr="0010333C">
        <w:rPr>
          <w:lang w:val="fr-FR"/>
        </w:rPr>
        <w:t>’</w:t>
      </w:r>
      <w:r w:rsidRPr="0010333C">
        <w:rPr>
          <w:lang w:val="fr-FR"/>
        </w:rPr>
        <w:t>examen.</w:t>
      </w:r>
    </w:p>
    <w:p w:rsidR="008E3F88" w:rsidRPr="0010333C" w:rsidRDefault="008E3F88" w:rsidP="0010333C">
      <w:pPr>
        <w:rPr>
          <w:lang w:val="fr-FR"/>
        </w:rPr>
      </w:pPr>
    </w:p>
    <w:p w:rsidR="008E3F88" w:rsidRPr="0010333C" w:rsidRDefault="008E3F88" w:rsidP="0010333C">
      <w:pPr>
        <w:rPr>
          <w:lang w:val="fr-FR"/>
        </w:rPr>
      </w:pPr>
      <w:r w:rsidRPr="0010333C">
        <w:rPr>
          <w:lang w:val="fr-FR"/>
        </w:rPr>
        <w:fldChar w:fldCharType="begin"/>
      </w:r>
      <w:r w:rsidRPr="0010333C">
        <w:rPr>
          <w:lang w:val="fr-FR"/>
        </w:rPr>
        <w:instrText xml:space="preserve"> AUTONUM  </w:instrText>
      </w:r>
      <w:r w:rsidRPr="0010333C">
        <w:rPr>
          <w:lang w:val="fr-FR"/>
        </w:rPr>
        <w:fldChar w:fldCharType="end"/>
      </w:r>
      <w:r w:rsidRPr="0010333C">
        <w:rPr>
          <w:lang w:val="fr-FR"/>
        </w:rPr>
        <w:tab/>
        <w:t>Le TWC a examiné les données d</w:t>
      </w:r>
      <w:r w:rsidR="00584454" w:rsidRPr="0010333C">
        <w:rPr>
          <w:lang w:val="fr-FR"/>
        </w:rPr>
        <w:t>’</w:t>
      </w:r>
      <w:r w:rsidRPr="0010333C">
        <w:rPr>
          <w:lang w:val="fr-FR"/>
        </w:rPr>
        <w:t>expérience présentées par les experts concernant l</w:t>
      </w:r>
      <w:r w:rsidR="00584454" w:rsidRPr="0010333C">
        <w:rPr>
          <w:lang w:val="fr-FR"/>
        </w:rPr>
        <w:t>’</w:t>
      </w:r>
      <w:r w:rsidRPr="0010333C">
        <w:rPr>
          <w:lang w:val="fr-FR"/>
        </w:rPr>
        <w:t>utilisation des informations, des documents ou du matériel fournis par l</w:t>
      </w:r>
      <w:r w:rsidR="00584454" w:rsidRPr="0010333C">
        <w:rPr>
          <w:lang w:val="fr-FR"/>
        </w:rPr>
        <w:t>’</w:t>
      </w:r>
      <w:r w:rsidRPr="0010333C">
        <w:rPr>
          <w:lang w:val="fr-FR"/>
        </w:rPr>
        <w:t>obtenteur aux fins du contrôle du maintien de la variété et a noté que certains services cultivaient l</w:t>
      </w:r>
      <w:r w:rsidR="00584454" w:rsidRPr="0010333C">
        <w:rPr>
          <w:lang w:val="fr-FR"/>
        </w:rPr>
        <w:t>’</w:t>
      </w:r>
      <w:r w:rsidRPr="0010333C">
        <w:rPr>
          <w:lang w:val="fr-FR"/>
        </w:rPr>
        <w:t>échantillon de référence parallèlement au nouveau matériel végétal aux fins du contrôle du maintien de la variété (voir les paragraphes</w:t>
      </w:r>
      <w:r w:rsidR="00B835B6" w:rsidRPr="0010333C">
        <w:rPr>
          <w:lang w:val="fr-FR"/>
        </w:rPr>
        <w:t> </w:t>
      </w:r>
      <w:r w:rsidRPr="0010333C">
        <w:rPr>
          <w:lang w:val="fr-FR"/>
        </w:rPr>
        <w:t>62 à 64 du document TWC/33/30 “</w:t>
      </w:r>
      <w:r w:rsidRPr="005556C7">
        <w:rPr>
          <w:i/>
          <w:lang w:val="fr-FR"/>
        </w:rPr>
        <w:t>Report</w:t>
      </w:r>
      <w:r w:rsidRPr="0010333C">
        <w:rPr>
          <w:lang w:val="fr-FR"/>
        </w:rPr>
        <w:t>”).</w:t>
      </w:r>
    </w:p>
    <w:p w:rsidR="008E3F88" w:rsidRPr="0010333C" w:rsidRDefault="008E3F88" w:rsidP="0010333C">
      <w:pPr>
        <w:rPr>
          <w:lang w:val="fr-FR"/>
        </w:rPr>
      </w:pPr>
    </w:p>
    <w:p w:rsidR="008E3F88" w:rsidRPr="0010333C" w:rsidRDefault="008E3F88" w:rsidP="0010333C">
      <w:pPr>
        <w:pStyle w:val="Heading3"/>
        <w:rPr>
          <w:lang w:val="fr-FR"/>
        </w:rPr>
      </w:pPr>
      <w:bookmarkStart w:id="17" w:name="_Toc441581742"/>
      <w:r w:rsidRPr="0010333C">
        <w:rPr>
          <w:lang w:val="fr-FR"/>
        </w:rPr>
        <w:lastRenderedPageBreak/>
        <w:t>Questions concernant les descriptions variétales</w:t>
      </w:r>
      <w:bookmarkEnd w:id="17"/>
    </w:p>
    <w:p w:rsidR="008E3F88" w:rsidRPr="0010333C" w:rsidRDefault="008E3F88" w:rsidP="0010333C">
      <w:pPr>
        <w:keepNext/>
        <w:rPr>
          <w:lang w:val="fr-FR"/>
        </w:rPr>
      </w:pPr>
    </w:p>
    <w:p w:rsidR="008E3F88" w:rsidRPr="0010333C" w:rsidRDefault="008E3F88" w:rsidP="0010333C">
      <w:pPr>
        <w:keepNext/>
        <w:rPr>
          <w:lang w:val="fr-FR"/>
        </w:rPr>
      </w:pPr>
      <w:r w:rsidRPr="0010333C">
        <w:rPr>
          <w:lang w:val="fr-FR"/>
        </w:rPr>
        <w:fldChar w:fldCharType="begin"/>
      </w:r>
      <w:r w:rsidRPr="0010333C">
        <w:rPr>
          <w:lang w:val="fr-FR"/>
        </w:rPr>
        <w:instrText xml:space="preserve"> AUTONUM  </w:instrText>
      </w:r>
      <w:r w:rsidRPr="0010333C">
        <w:rPr>
          <w:lang w:val="fr-FR"/>
        </w:rPr>
        <w:fldChar w:fldCharType="end"/>
      </w:r>
      <w:r w:rsidRPr="0010333C">
        <w:rPr>
          <w:lang w:val="fr-FR"/>
        </w:rPr>
        <w:tab/>
        <w:t>Le TWC a examiné les données d</w:t>
      </w:r>
      <w:r w:rsidR="00584454" w:rsidRPr="0010333C">
        <w:rPr>
          <w:lang w:val="fr-FR"/>
        </w:rPr>
        <w:t>’</w:t>
      </w:r>
      <w:r w:rsidRPr="0010333C">
        <w:rPr>
          <w:lang w:val="fr-FR"/>
        </w:rPr>
        <w:t>expérience présentées par les experts concernant la façon dont les descriptions variétales sont élaborées lors de l</w:t>
      </w:r>
      <w:r w:rsidR="00584454" w:rsidRPr="0010333C">
        <w:rPr>
          <w:lang w:val="fr-FR"/>
        </w:rPr>
        <w:t>’</w:t>
      </w:r>
      <w:r w:rsidRPr="0010333C">
        <w:rPr>
          <w:lang w:val="fr-FR"/>
        </w:rPr>
        <w:t>examen</w:t>
      </w:r>
      <w:r w:rsidR="00B835B6" w:rsidRPr="0010333C">
        <w:rPr>
          <w:lang w:val="fr-FR"/>
        </w:rPr>
        <w:t> </w:t>
      </w:r>
      <w:r w:rsidRPr="0010333C">
        <w:rPr>
          <w:lang w:val="fr-FR"/>
        </w:rPr>
        <w:t>DHS et a noté que, dans certains membres de l</w:t>
      </w:r>
      <w:r w:rsidR="00584454" w:rsidRPr="0010333C">
        <w:rPr>
          <w:lang w:val="fr-FR"/>
        </w:rPr>
        <w:t>’</w:t>
      </w:r>
      <w:r w:rsidRPr="0010333C">
        <w:rPr>
          <w:lang w:val="fr-FR"/>
        </w:rPr>
        <w:t>UPOV, les descriptions variétales étaient élaborées par le service et que, dans d</w:t>
      </w:r>
      <w:r w:rsidR="00584454" w:rsidRPr="0010333C">
        <w:rPr>
          <w:lang w:val="fr-FR"/>
        </w:rPr>
        <w:t>’</w:t>
      </w:r>
      <w:r w:rsidRPr="0010333C">
        <w:rPr>
          <w:lang w:val="fr-FR"/>
        </w:rPr>
        <w:t>autres, c</w:t>
      </w:r>
      <w:r w:rsidR="00997C61" w:rsidRPr="0010333C">
        <w:rPr>
          <w:lang w:val="fr-FR"/>
        </w:rPr>
        <w:t xml:space="preserve">ette tâche </w:t>
      </w:r>
      <w:r w:rsidRPr="0010333C">
        <w:rPr>
          <w:lang w:val="fr-FR"/>
        </w:rPr>
        <w:t>était</w:t>
      </w:r>
      <w:r w:rsidR="00997C61" w:rsidRPr="0010333C">
        <w:rPr>
          <w:lang w:val="fr-FR"/>
        </w:rPr>
        <w:t xml:space="preserve"> effectuée par</w:t>
      </w:r>
      <w:r w:rsidRPr="0010333C">
        <w:rPr>
          <w:lang w:val="fr-FR"/>
        </w:rPr>
        <w:t xml:space="preserve"> les obtenteurs.</w:t>
      </w:r>
    </w:p>
    <w:p w:rsidR="008E3F88" w:rsidRPr="0010333C" w:rsidRDefault="008E3F88" w:rsidP="0010333C">
      <w:pPr>
        <w:rPr>
          <w:lang w:val="fr-FR"/>
        </w:rPr>
      </w:pPr>
    </w:p>
    <w:p w:rsidR="00584454" w:rsidRPr="0010333C" w:rsidRDefault="008E3F88" w:rsidP="0010333C">
      <w:pPr>
        <w:rPr>
          <w:lang w:val="fr-FR"/>
        </w:rPr>
      </w:pPr>
      <w:r w:rsidRPr="0010333C">
        <w:rPr>
          <w:lang w:val="fr-FR"/>
        </w:rPr>
        <w:fldChar w:fldCharType="begin"/>
      </w:r>
      <w:r w:rsidRPr="0010333C">
        <w:rPr>
          <w:lang w:val="fr-FR"/>
        </w:rPr>
        <w:instrText xml:space="preserve"> AUTONUM  </w:instrText>
      </w:r>
      <w:r w:rsidRPr="0010333C">
        <w:rPr>
          <w:lang w:val="fr-FR"/>
        </w:rPr>
        <w:fldChar w:fldCharType="end"/>
      </w:r>
      <w:r w:rsidRPr="0010333C">
        <w:rPr>
          <w:lang w:val="fr-FR"/>
        </w:rPr>
        <w:tab/>
        <w:t>Le TWC a examiné les données d</w:t>
      </w:r>
      <w:r w:rsidR="00584454" w:rsidRPr="0010333C">
        <w:rPr>
          <w:lang w:val="fr-FR"/>
        </w:rPr>
        <w:t>’</w:t>
      </w:r>
      <w:r w:rsidRPr="0010333C">
        <w:rPr>
          <w:lang w:val="fr-FR"/>
        </w:rPr>
        <w:t>expérience présentées par les experts concernant l</w:t>
      </w:r>
      <w:r w:rsidR="00584454" w:rsidRPr="0010333C">
        <w:rPr>
          <w:lang w:val="fr-FR"/>
        </w:rPr>
        <w:t>’</w:t>
      </w:r>
      <w:r w:rsidRPr="0010333C">
        <w:rPr>
          <w:lang w:val="fr-FR"/>
        </w:rPr>
        <w:t>utilisation des descriptions variétales après l</w:t>
      </w:r>
      <w:r w:rsidR="00584454" w:rsidRPr="0010333C">
        <w:rPr>
          <w:lang w:val="fr-FR"/>
        </w:rPr>
        <w:t>’</w:t>
      </w:r>
      <w:r w:rsidRPr="0010333C">
        <w:rPr>
          <w:lang w:val="fr-FR"/>
        </w:rPr>
        <w:t>octroi d</w:t>
      </w:r>
      <w:r w:rsidR="00584454" w:rsidRPr="0010333C">
        <w:rPr>
          <w:lang w:val="fr-FR"/>
        </w:rPr>
        <w:t>’</w:t>
      </w:r>
      <w:r w:rsidRPr="0010333C">
        <w:rPr>
          <w:lang w:val="fr-FR"/>
        </w:rPr>
        <w:t>un droit d</w:t>
      </w:r>
      <w:r w:rsidR="00584454" w:rsidRPr="0010333C">
        <w:rPr>
          <w:lang w:val="fr-FR"/>
        </w:rPr>
        <w:t>’</w:t>
      </w:r>
      <w:r w:rsidRPr="0010333C">
        <w:rPr>
          <w:lang w:val="fr-FR"/>
        </w:rPr>
        <w:t>obtenteur et a noté que le Brésil utilisait les descriptions variétales pour contrôler le maintien des variétés, notamment pour les caractères QL et PQ.  Il a noté que, dans de nombreux pays, des informations additionnelles pouvaient être ajoutées aux bases de données des descriptions variétales pour compléter les informations relatives à une varié</w:t>
      </w:r>
      <w:r w:rsidR="00BB3EE2" w:rsidRPr="0010333C">
        <w:rPr>
          <w:lang w:val="fr-FR"/>
        </w:rPr>
        <w:t>té.  Le</w:t>
      </w:r>
      <w:r w:rsidR="00584454" w:rsidRPr="0010333C">
        <w:rPr>
          <w:lang w:val="fr-FR"/>
        </w:rPr>
        <w:t> TWC</w:t>
      </w:r>
      <w:r w:rsidRPr="0010333C">
        <w:rPr>
          <w:lang w:val="fr-FR"/>
        </w:rPr>
        <w:t xml:space="preserve"> a noté </w:t>
      </w:r>
      <w:r w:rsidRPr="0010333C">
        <w:rPr>
          <w:szCs w:val="22"/>
          <w:lang w:val="fr-FR"/>
        </w:rPr>
        <w:t xml:space="preserve">que, en </w:t>
      </w:r>
      <w:r w:rsidRPr="0010333C">
        <w:rPr>
          <w:lang w:val="fr-FR"/>
        </w:rPr>
        <w:t>Allemagne, la description variétale avait été stockée dans un fichi</w:t>
      </w:r>
      <w:r w:rsidR="00BB3EE2" w:rsidRPr="0010333C">
        <w:rPr>
          <w:lang w:val="fr-FR"/>
        </w:rPr>
        <w:t>er.  Il</w:t>
      </w:r>
      <w:r w:rsidRPr="0010333C">
        <w:rPr>
          <w:lang w:val="fr-FR"/>
        </w:rPr>
        <w:t xml:space="preserve"> était possible d</w:t>
      </w:r>
      <w:r w:rsidR="00584454" w:rsidRPr="0010333C">
        <w:rPr>
          <w:lang w:val="fr-FR"/>
        </w:rPr>
        <w:t>’</w:t>
      </w:r>
      <w:r w:rsidRPr="0010333C">
        <w:rPr>
          <w:lang w:val="fr-FR"/>
        </w:rPr>
        <w:t>utiliser les données en question pour établir une nouvelle échelle dans la base de données en cas de modification des principes directeurs techniqu</w:t>
      </w:r>
      <w:r w:rsidR="00BB3EE2" w:rsidRPr="0010333C">
        <w:rPr>
          <w:lang w:val="fr-FR"/>
        </w:rPr>
        <w:t>es.  Le</w:t>
      </w:r>
      <w:r w:rsidR="00584454" w:rsidRPr="0010333C">
        <w:rPr>
          <w:lang w:val="fr-FR"/>
        </w:rPr>
        <w:t> TWC</w:t>
      </w:r>
      <w:r w:rsidRPr="0010333C">
        <w:rPr>
          <w:lang w:val="fr-FR"/>
        </w:rPr>
        <w:t xml:space="preserve"> a également noté </w:t>
      </w:r>
      <w:r w:rsidRPr="0010333C">
        <w:rPr>
          <w:szCs w:val="22"/>
          <w:lang w:val="fr-FR"/>
        </w:rPr>
        <w:t xml:space="preserve">que, </w:t>
      </w:r>
      <w:r w:rsidR="00997C61" w:rsidRPr="0010333C">
        <w:rPr>
          <w:szCs w:val="22"/>
          <w:lang w:val="fr-FR"/>
        </w:rPr>
        <w:t>dans ce pays</w:t>
      </w:r>
      <w:r w:rsidRPr="0010333C">
        <w:rPr>
          <w:lang w:val="fr-FR"/>
        </w:rPr>
        <w:t>, lorsque les caractères ne pouvaient pas être modifiés, un nouveau caractère pouvait être ajouté à la base de données.</w:t>
      </w:r>
    </w:p>
    <w:p w:rsidR="008E3F88" w:rsidRPr="0010333C" w:rsidRDefault="008E3F88" w:rsidP="0010333C">
      <w:pPr>
        <w:rPr>
          <w:lang w:val="fr-FR" w:eastAsia="ja-JP"/>
        </w:rPr>
      </w:pPr>
    </w:p>
    <w:p w:rsidR="008E3F88" w:rsidRPr="0010333C" w:rsidRDefault="008E3F88" w:rsidP="0010333C">
      <w:pPr>
        <w:rPr>
          <w:lang w:val="fr-FR"/>
        </w:rPr>
      </w:pPr>
      <w:r w:rsidRPr="0010333C">
        <w:rPr>
          <w:lang w:val="fr-FR"/>
        </w:rPr>
        <w:fldChar w:fldCharType="begin"/>
      </w:r>
      <w:r w:rsidRPr="0010333C">
        <w:rPr>
          <w:lang w:val="fr-FR"/>
        </w:rPr>
        <w:instrText xml:space="preserve"> AUTONUM  </w:instrText>
      </w:r>
      <w:r w:rsidRPr="0010333C">
        <w:rPr>
          <w:lang w:val="fr-FR"/>
        </w:rPr>
        <w:fldChar w:fldCharType="end"/>
      </w:r>
      <w:r w:rsidRPr="0010333C">
        <w:rPr>
          <w:lang w:val="fr-FR"/>
        </w:rPr>
        <w:tab/>
        <w:t>Le TWC a examiné les données d</w:t>
      </w:r>
      <w:r w:rsidR="00584454" w:rsidRPr="0010333C">
        <w:rPr>
          <w:lang w:val="fr-FR"/>
        </w:rPr>
        <w:t>’</w:t>
      </w:r>
      <w:r w:rsidRPr="0010333C">
        <w:rPr>
          <w:lang w:val="fr-FR"/>
        </w:rPr>
        <w:t>expérience présentées par les experts concernant le rôle du matériel végétal utilisé comme base de l</w:t>
      </w:r>
      <w:r w:rsidR="00584454" w:rsidRPr="0010333C">
        <w:rPr>
          <w:lang w:val="fr-FR"/>
        </w:rPr>
        <w:t>’</w:t>
      </w:r>
      <w:r w:rsidRPr="0010333C">
        <w:rPr>
          <w:lang w:val="fr-FR"/>
        </w:rPr>
        <w:t>examen</w:t>
      </w:r>
      <w:r w:rsidR="00B835B6" w:rsidRPr="0010333C">
        <w:rPr>
          <w:lang w:val="fr-FR"/>
        </w:rPr>
        <w:t> </w:t>
      </w:r>
      <w:r w:rsidRPr="0010333C">
        <w:rPr>
          <w:lang w:val="fr-FR"/>
        </w:rPr>
        <w:t>DHS et a noté que, dans certains membres, par exemple aux Pays</w:t>
      </w:r>
      <w:r w:rsidR="00BB3EE2" w:rsidRPr="0010333C">
        <w:rPr>
          <w:szCs w:val="22"/>
          <w:lang w:val="fr-FR"/>
        </w:rPr>
        <w:noBreakHyphen/>
      </w:r>
      <w:r w:rsidRPr="0010333C">
        <w:rPr>
          <w:szCs w:val="22"/>
          <w:lang w:val="fr-FR"/>
        </w:rPr>
        <w:t>Bas, le matériel végétal était considéré comme représentant la variété alors que sa description n</w:t>
      </w:r>
      <w:r w:rsidR="00584454" w:rsidRPr="0010333C">
        <w:rPr>
          <w:szCs w:val="22"/>
          <w:lang w:val="fr-FR"/>
        </w:rPr>
        <w:t>’</w:t>
      </w:r>
      <w:r w:rsidRPr="0010333C">
        <w:rPr>
          <w:szCs w:val="22"/>
          <w:lang w:val="fr-FR"/>
        </w:rPr>
        <w:t>avait qu</w:t>
      </w:r>
      <w:r w:rsidR="00584454" w:rsidRPr="0010333C">
        <w:rPr>
          <w:szCs w:val="22"/>
          <w:lang w:val="fr-FR"/>
        </w:rPr>
        <w:t>’</w:t>
      </w:r>
      <w:r w:rsidRPr="0010333C">
        <w:rPr>
          <w:szCs w:val="22"/>
          <w:lang w:val="fr-FR"/>
        </w:rPr>
        <w:t>une valeur limit</w:t>
      </w:r>
      <w:r w:rsidR="00BB3EE2" w:rsidRPr="0010333C">
        <w:rPr>
          <w:szCs w:val="22"/>
          <w:lang w:val="fr-FR"/>
        </w:rPr>
        <w:t>ée.  Il</w:t>
      </w:r>
      <w:r w:rsidRPr="0010333C">
        <w:rPr>
          <w:szCs w:val="22"/>
          <w:lang w:val="fr-FR"/>
        </w:rPr>
        <w:t xml:space="preserve"> a noté que, dans certains membres, la description variétale pouvait évoluer et que d</w:t>
      </w:r>
      <w:r w:rsidR="00584454" w:rsidRPr="0010333C">
        <w:rPr>
          <w:szCs w:val="22"/>
          <w:lang w:val="fr-FR"/>
        </w:rPr>
        <w:t>’</w:t>
      </w:r>
      <w:r w:rsidRPr="0010333C">
        <w:rPr>
          <w:szCs w:val="22"/>
          <w:lang w:val="fr-FR"/>
        </w:rPr>
        <w:t>autres descriptions de la même variété pouvaient être ajoutées à la base de données sans qu</w:t>
      </w:r>
      <w:r w:rsidR="00584454" w:rsidRPr="0010333C">
        <w:rPr>
          <w:szCs w:val="22"/>
          <w:lang w:val="fr-FR"/>
        </w:rPr>
        <w:t>’</w:t>
      </w:r>
      <w:r w:rsidRPr="0010333C">
        <w:rPr>
          <w:szCs w:val="22"/>
          <w:lang w:val="fr-FR"/>
        </w:rPr>
        <w:t>il soit nécessaire de modifier la description variétale initia</w:t>
      </w:r>
      <w:r w:rsidR="00BB3EE2" w:rsidRPr="0010333C">
        <w:rPr>
          <w:szCs w:val="22"/>
          <w:lang w:val="fr-FR"/>
        </w:rPr>
        <w:t>le.  Le</w:t>
      </w:r>
      <w:r w:rsidR="00584454" w:rsidRPr="0010333C">
        <w:rPr>
          <w:szCs w:val="22"/>
          <w:lang w:val="fr-FR"/>
        </w:rPr>
        <w:t> TWC</w:t>
      </w:r>
      <w:r w:rsidRPr="0010333C">
        <w:rPr>
          <w:szCs w:val="22"/>
          <w:lang w:val="fr-FR"/>
        </w:rPr>
        <w:t xml:space="preserve"> a également noté que, en Argentine, la description variétale ne pouvait être modifiée que si la variété n</w:t>
      </w:r>
      <w:r w:rsidR="00584454" w:rsidRPr="0010333C">
        <w:rPr>
          <w:szCs w:val="22"/>
          <w:lang w:val="fr-FR"/>
        </w:rPr>
        <w:t>’</w:t>
      </w:r>
      <w:r w:rsidRPr="0010333C">
        <w:rPr>
          <w:szCs w:val="22"/>
          <w:lang w:val="fr-FR"/>
        </w:rPr>
        <w:t>était pas commercialisée et que, au Brésil, elle ne pouvait pas être modifiée après la délivrance du titre</w:t>
      </w:r>
      <w:r w:rsidRPr="0010333C">
        <w:rPr>
          <w:lang w:val="fr-FR"/>
        </w:rPr>
        <w:t xml:space="preserve"> (voir les paragraphes</w:t>
      </w:r>
      <w:r w:rsidR="00B835B6" w:rsidRPr="0010333C">
        <w:rPr>
          <w:lang w:val="fr-FR"/>
        </w:rPr>
        <w:t> </w:t>
      </w:r>
      <w:r w:rsidRPr="0010333C">
        <w:rPr>
          <w:lang w:val="fr-FR"/>
        </w:rPr>
        <w:t xml:space="preserve">65 à 67 du </w:t>
      </w:r>
      <w:r w:rsidR="00584454" w:rsidRPr="0010333C">
        <w:rPr>
          <w:lang w:val="fr-FR"/>
        </w:rPr>
        <w:t>document TW</w:t>
      </w:r>
      <w:r w:rsidRPr="0010333C">
        <w:rPr>
          <w:lang w:val="fr-FR"/>
        </w:rPr>
        <w:t>C/33/30 “</w:t>
      </w:r>
      <w:r w:rsidRPr="005556C7">
        <w:rPr>
          <w:i/>
          <w:lang w:val="fr-FR"/>
        </w:rPr>
        <w:t>Report</w:t>
      </w:r>
      <w:r w:rsidRPr="0010333C">
        <w:rPr>
          <w:lang w:val="fr-FR"/>
        </w:rPr>
        <w:t>”).</w:t>
      </w:r>
    </w:p>
    <w:p w:rsidR="008E3F88" w:rsidRPr="0010333C" w:rsidRDefault="008E3F88" w:rsidP="0010333C">
      <w:pPr>
        <w:rPr>
          <w:lang w:val="fr-FR"/>
        </w:rPr>
      </w:pPr>
    </w:p>
    <w:p w:rsidR="00584454" w:rsidRPr="0010333C" w:rsidRDefault="008E3F88" w:rsidP="0010333C">
      <w:pPr>
        <w:pStyle w:val="Heading2"/>
        <w:rPr>
          <w:lang w:val="fr-FR"/>
        </w:rPr>
      </w:pPr>
      <w:bookmarkStart w:id="18" w:name="_Toc440299523"/>
      <w:bookmarkStart w:id="19" w:name="_Toc440377319"/>
      <w:bookmarkStart w:id="20" w:name="_Toc441581743"/>
      <w:r w:rsidRPr="0010333C">
        <w:rPr>
          <w:lang w:val="fr-FR"/>
        </w:rPr>
        <w:t>Groupe de travail technique sur les plantes agricoles</w:t>
      </w:r>
      <w:bookmarkEnd w:id="18"/>
      <w:bookmarkEnd w:id="19"/>
      <w:bookmarkEnd w:id="20"/>
    </w:p>
    <w:p w:rsidR="008E3F88" w:rsidRPr="0010333C" w:rsidRDefault="008E3F88" w:rsidP="0010333C">
      <w:pPr>
        <w:rPr>
          <w:lang w:val="fr-FR"/>
        </w:rPr>
      </w:pPr>
    </w:p>
    <w:p w:rsidR="008E3F88" w:rsidRPr="0010333C" w:rsidRDefault="008E3F88" w:rsidP="0010333C">
      <w:pPr>
        <w:rPr>
          <w:lang w:val="fr-FR"/>
        </w:rPr>
      </w:pPr>
      <w:r w:rsidRPr="0010333C">
        <w:rPr>
          <w:lang w:val="fr-FR"/>
        </w:rPr>
        <w:fldChar w:fldCharType="begin"/>
      </w:r>
      <w:r w:rsidRPr="0010333C">
        <w:rPr>
          <w:lang w:val="fr-FR"/>
        </w:rPr>
        <w:instrText xml:space="preserve"> AUTONUM  </w:instrText>
      </w:r>
      <w:r w:rsidRPr="0010333C">
        <w:rPr>
          <w:lang w:val="fr-FR"/>
        </w:rPr>
        <w:fldChar w:fldCharType="end"/>
      </w:r>
      <w:r w:rsidRPr="0010333C">
        <w:rPr>
          <w:lang w:val="fr-FR"/>
        </w:rPr>
        <w:tab/>
        <w:t>À sa quarante</w:t>
      </w:r>
      <w:r w:rsidR="00BB3EE2" w:rsidRPr="0010333C">
        <w:rPr>
          <w:szCs w:val="22"/>
          <w:lang w:val="fr-FR"/>
        </w:rPr>
        <w:noBreakHyphen/>
      </w:r>
      <w:r w:rsidRPr="0010333C">
        <w:rPr>
          <w:szCs w:val="22"/>
          <w:lang w:val="fr-FR"/>
        </w:rPr>
        <w:t>quatrième</w:t>
      </w:r>
      <w:r w:rsidR="00B835B6" w:rsidRPr="0010333C">
        <w:rPr>
          <w:szCs w:val="22"/>
          <w:lang w:val="fr-FR"/>
        </w:rPr>
        <w:t> </w:t>
      </w:r>
      <w:r w:rsidRPr="0010333C">
        <w:rPr>
          <w:szCs w:val="22"/>
          <w:lang w:val="fr-FR"/>
        </w:rPr>
        <w:t xml:space="preserve">session tenue à </w:t>
      </w:r>
      <w:r w:rsidRPr="0010333C">
        <w:rPr>
          <w:snapToGrid w:val="0"/>
          <w:lang w:val="fr-FR"/>
        </w:rPr>
        <w:t>Obihiro (Japon) du 6 au 1</w:t>
      </w:r>
      <w:r w:rsidR="00584454" w:rsidRPr="0010333C">
        <w:rPr>
          <w:snapToGrid w:val="0"/>
          <w:lang w:val="fr-FR"/>
        </w:rPr>
        <w:t>0 juillet 20</w:t>
      </w:r>
      <w:r w:rsidRPr="0010333C">
        <w:rPr>
          <w:snapToGrid w:val="0"/>
          <w:lang w:val="fr-FR"/>
        </w:rPr>
        <w:t>15,</w:t>
      </w:r>
      <w:r w:rsidR="00584454" w:rsidRPr="0010333C">
        <w:rPr>
          <w:lang w:val="fr-FR"/>
        </w:rPr>
        <w:t xml:space="preserve"> </w:t>
      </w:r>
      <w:r w:rsidR="00584454" w:rsidRPr="0010333C">
        <w:rPr>
          <w:snapToGrid w:val="0"/>
          <w:lang w:val="fr-FR"/>
        </w:rPr>
        <w:t>le</w:t>
      </w:r>
      <w:r w:rsidR="00584454" w:rsidRPr="0010333C">
        <w:rPr>
          <w:lang w:val="fr-FR"/>
        </w:rPr>
        <w:t> </w:t>
      </w:r>
      <w:r w:rsidR="00584454" w:rsidRPr="0010333C">
        <w:rPr>
          <w:snapToGrid w:val="0"/>
          <w:lang w:val="fr-FR"/>
        </w:rPr>
        <w:t>TWA</w:t>
      </w:r>
      <w:r w:rsidRPr="0010333C">
        <w:rPr>
          <w:snapToGrid w:val="0"/>
          <w:lang w:val="fr-FR"/>
        </w:rPr>
        <w:t xml:space="preserve"> a examiné le document TWA/44/10 </w:t>
      </w:r>
      <w:r w:rsidR="005556C7">
        <w:rPr>
          <w:lang w:val="fr-FR"/>
        </w:rPr>
        <w:t>“</w:t>
      </w:r>
      <w:proofErr w:type="spellStart"/>
      <w:r w:rsidR="005556C7" w:rsidRPr="005556C7">
        <w:rPr>
          <w:i/>
          <w:lang w:val="fr-FR"/>
        </w:rPr>
        <w:t>Matters</w:t>
      </w:r>
      <w:proofErr w:type="spellEnd"/>
      <w:r w:rsidR="005556C7" w:rsidRPr="005556C7">
        <w:rPr>
          <w:i/>
          <w:lang w:val="fr-FR"/>
        </w:rPr>
        <w:t xml:space="preserve"> </w:t>
      </w:r>
      <w:proofErr w:type="spellStart"/>
      <w:r w:rsidR="005556C7" w:rsidRPr="005556C7">
        <w:rPr>
          <w:i/>
          <w:lang w:val="fr-FR"/>
        </w:rPr>
        <w:t>concerning</w:t>
      </w:r>
      <w:proofErr w:type="spellEnd"/>
      <w:r w:rsidR="005556C7" w:rsidRPr="005556C7">
        <w:rPr>
          <w:i/>
          <w:lang w:val="fr-FR"/>
        </w:rPr>
        <w:t xml:space="preserve"> </w:t>
      </w:r>
      <w:proofErr w:type="spellStart"/>
      <w:r w:rsidR="005556C7" w:rsidRPr="005556C7">
        <w:rPr>
          <w:i/>
          <w:lang w:val="fr-FR"/>
        </w:rPr>
        <w:t>Variety</w:t>
      </w:r>
      <w:proofErr w:type="spellEnd"/>
      <w:r w:rsidR="005556C7" w:rsidRPr="005556C7">
        <w:rPr>
          <w:i/>
          <w:lang w:val="fr-FR"/>
        </w:rPr>
        <w:t xml:space="preserve"> D</w:t>
      </w:r>
      <w:r w:rsidRPr="005556C7">
        <w:rPr>
          <w:i/>
          <w:lang w:val="fr-FR"/>
        </w:rPr>
        <w:t>escriptions</w:t>
      </w:r>
      <w:r w:rsidRPr="0010333C">
        <w:rPr>
          <w:lang w:val="fr-FR"/>
        </w:rPr>
        <w:t>” (voir les paragraphes</w:t>
      </w:r>
      <w:r w:rsidR="00B835B6" w:rsidRPr="0010333C">
        <w:rPr>
          <w:lang w:val="fr-FR"/>
        </w:rPr>
        <w:t> </w:t>
      </w:r>
      <w:r w:rsidRPr="0010333C">
        <w:rPr>
          <w:lang w:val="fr-FR"/>
        </w:rPr>
        <w:t xml:space="preserve">56 à 58 du </w:t>
      </w:r>
      <w:r w:rsidR="00584454" w:rsidRPr="0010333C">
        <w:rPr>
          <w:lang w:val="fr-FR"/>
        </w:rPr>
        <w:t>document TW</w:t>
      </w:r>
      <w:r w:rsidRPr="0010333C">
        <w:rPr>
          <w:lang w:val="fr-FR"/>
        </w:rPr>
        <w:t>A/4</w:t>
      </w:r>
      <w:r w:rsidR="005556C7">
        <w:rPr>
          <w:lang w:val="fr-FR"/>
        </w:rPr>
        <w:t>4</w:t>
      </w:r>
      <w:r w:rsidRPr="0010333C">
        <w:rPr>
          <w:lang w:val="fr-FR"/>
        </w:rPr>
        <w:t>/23 “</w:t>
      </w:r>
      <w:r w:rsidRPr="005556C7">
        <w:rPr>
          <w:i/>
          <w:lang w:val="fr-FR"/>
        </w:rPr>
        <w:t>Report</w:t>
      </w:r>
      <w:r w:rsidRPr="0010333C">
        <w:rPr>
          <w:lang w:val="fr-FR"/>
        </w:rPr>
        <w:t>”).</w:t>
      </w:r>
    </w:p>
    <w:p w:rsidR="008E3F88" w:rsidRPr="0010333C" w:rsidRDefault="008E3F88" w:rsidP="0010333C">
      <w:pPr>
        <w:rPr>
          <w:lang w:val="fr-FR"/>
        </w:rPr>
      </w:pPr>
    </w:p>
    <w:p w:rsidR="008E3F88" w:rsidRPr="0010333C" w:rsidRDefault="008E3F88" w:rsidP="0010333C">
      <w:pPr>
        <w:tabs>
          <w:tab w:val="left" w:pos="567"/>
          <w:tab w:val="left" w:pos="1134"/>
          <w:tab w:val="left" w:pos="1890"/>
        </w:tabs>
        <w:rPr>
          <w:lang w:val="fr-FR"/>
        </w:rPr>
      </w:pPr>
      <w:r w:rsidRPr="0010333C">
        <w:rPr>
          <w:lang w:val="fr-FR"/>
        </w:rPr>
        <w:fldChar w:fldCharType="begin"/>
      </w:r>
      <w:r w:rsidRPr="0010333C">
        <w:rPr>
          <w:lang w:val="fr-FR"/>
        </w:rPr>
        <w:instrText xml:space="preserve"> AUTONUM  </w:instrText>
      </w:r>
      <w:r w:rsidRPr="0010333C">
        <w:rPr>
          <w:lang w:val="fr-FR"/>
        </w:rPr>
        <w:fldChar w:fldCharType="end"/>
      </w:r>
      <w:r w:rsidRPr="0010333C">
        <w:rPr>
          <w:lang w:val="fr-FR"/>
        </w:rPr>
        <w:tab/>
        <w:t>Le TWA a pris note des données d</w:t>
      </w:r>
      <w:r w:rsidR="00584454" w:rsidRPr="0010333C">
        <w:rPr>
          <w:lang w:val="fr-FR"/>
        </w:rPr>
        <w:t>’</w:t>
      </w:r>
      <w:r w:rsidRPr="0010333C">
        <w:rPr>
          <w:lang w:val="fr-FR"/>
        </w:rPr>
        <w:t>expérience des services d</w:t>
      </w:r>
      <w:r w:rsidR="00584454" w:rsidRPr="0010333C">
        <w:rPr>
          <w:lang w:val="fr-FR"/>
        </w:rPr>
        <w:t>’</w:t>
      </w:r>
      <w:r w:rsidRPr="0010333C">
        <w:rPr>
          <w:lang w:val="fr-FR"/>
        </w:rPr>
        <w:t>examen de l</w:t>
      </w:r>
      <w:r w:rsidR="00584454" w:rsidRPr="0010333C">
        <w:rPr>
          <w:lang w:val="fr-FR"/>
        </w:rPr>
        <w:t>’</w:t>
      </w:r>
      <w:r w:rsidRPr="0010333C">
        <w:rPr>
          <w:lang w:val="fr-FR"/>
        </w:rPr>
        <w:t>Union européenne et a relevé que, pour les plantes agricoles, un échantillon de référence du matériel végétal soumis aux fins de l</w:t>
      </w:r>
      <w:r w:rsidR="00584454" w:rsidRPr="0010333C">
        <w:rPr>
          <w:lang w:val="fr-FR"/>
        </w:rPr>
        <w:t>’</w:t>
      </w:r>
      <w:r w:rsidRPr="0010333C">
        <w:rPr>
          <w:lang w:val="fr-FR"/>
        </w:rPr>
        <w:t>examen</w:t>
      </w:r>
      <w:r w:rsidR="00B835B6" w:rsidRPr="0010333C">
        <w:rPr>
          <w:lang w:val="fr-FR"/>
        </w:rPr>
        <w:t> </w:t>
      </w:r>
      <w:r w:rsidRPr="0010333C">
        <w:rPr>
          <w:lang w:val="fr-FR"/>
        </w:rPr>
        <w:t>DHS était généralement conservé par le service et utilisé pour contrôler le maintien de la variété par rapport au matériel remis par l</w:t>
      </w:r>
      <w:r w:rsidR="00584454" w:rsidRPr="0010333C">
        <w:rPr>
          <w:lang w:val="fr-FR"/>
        </w:rPr>
        <w:t>’</w:t>
      </w:r>
      <w:r w:rsidRPr="0010333C">
        <w:rPr>
          <w:lang w:val="fr-FR"/>
        </w:rPr>
        <w:t>obtenteur.</w:t>
      </w:r>
    </w:p>
    <w:p w:rsidR="008E3F88" w:rsidRPr="0010333C" w:rsidRDefault="008E3F88" w:rsidP="0010333C">
      <w:pPr>
        <w:rPr>
          <w:lang w:val="fr-FR"/>
        </w:rPr>
      </w:pPr>
    </w:p>
    <w:p w:rsidR="008E3F88" w:rsidRPr="0010333C" w:rsidRDefault="008E3F88" w:rsidP="0010333C">
      <w:pPr>
        <w:tabs>
          <w:tab w:val="left" w:pos="567"/>
          <w:tab w:val="left" w:pos="5954"/>
        </w:tabs>
        <w:rPr>
          <w:lang w:val="fr-FR"/>
        </w:rPr>
      </w:pPr>
      <w:r w:rsidRPr="0010333C">
        <w:rPr>
          <w:lang w:val="fr-FR"/>
        </w:rPr>
        <w:fldChar w:fldCharType="begin"/>
      </w:r>
      <w:r w:rsidRPr="0010333C">
        <w:rPr>
          <w:lang w:val="fr-FR"/>
        </w:rPr>
        <w:instrText xml:space="preserve"> AUTONUM  </w:instrText>
      </w:r>
      <w:r w:rsidRPr="0010333C">
        <w:rPr>
          <w:lang w:val="fr-FR"/>
        </w:rPr>
        <w:fldChar w:fldCharType="end"/>
      </w:r>
      <w:r w:rsidRPr="0010333C">
        <w:rPr>
          <w:lang w:val="fr-FR"/>
        </w:rPr>
        <w:tab/>
        <w:t xml:space="preserve">Le TWA est </w:t>
      </w:r>
      <w:proofErr w:type="gramStart"/>
      <w:r w:rsidRPr="0010333C">
        <w:rPr>
          <w:lang w:val="fr-FR"/>
        </w:rPr>
        <w:t>convenu</w:t>
      </w:r>
      <w:proofErr w:type="gramEnd"/>
      <w:r w:rsidRPr="0010333C">
        <w:rPr>
          <w:lang w:val="fr-FR"/>
        </w:rPr>
        <w:t xml:space="preserve"> d</w:t>
      </w:r>
      <w:r w:rsidR="00584454" w:rsidRPr="0010333C">
        <w:rPr>
          <w:lang w:val="fr-FR"/>
        </w:rPr>
        <w:t>’</w:t>
      </w:r>
      <w:r w:rsidRPr="0010333C">
        <w:rPr>
          <w:lang w:val="fr-FR"/>
        </w:rPr>
        <w:t>inviter l</w:t>
      </w:r>
      <w:r w:rsidR="00584454" w:rsidRPr="0010333C">
        <w:rPr>
          <w:lang w:val="fr-FR"/>
        </w:rPr>
        <w:t>’</w:t>
      </w:r>
      <w:r w:rsidRPr="0010333C">
        <w:rPr>
          <w:lang w:val="fr-FR"/>
        </w:rPr>
        <w:t>Allemagne, l</w:t>
      </w:r>
      <w:r w:rsidR="00584454" w:rsidRPr="0010333C">
        <w:rPr>
          <w:lang w:val="fr-FR"/>
        </w:rPr>
        <w:t>’</w:t>
      </w:r>
      <w:r w:rsidRPr="0010333C">
        <w:rPr>
          <w:lang w:val="fr-FR"/>
        </w:rPr>
        <w:t>Australie et l</w:t>
      </w:r>
      <w:r w:rsidR="00584454" w:rsidRPr="0010333C">
        <w:rPr>
          <w:lang w:val="fr-FR"/>
        </w:rPr>
        <w:t>’</w:t>
      </w:r>
      <w:r w:rsidRPr="0010333C">
        <w:rPr>
          <w:lang w:val="fr-FR"/>
        </w:rPr>
        <w:t>Union européenne à présenter des exposés sur les questions concernant les descriptions variétales à sa quarante</w:t>
      </w:r>
      <w:r w:rsidR="00BB3EE2" w:rsidRPr="0010333C">
        <w:rPr>
          <w:szCs w:val="22"/>
          <w:lang w:val="fr-FR"/>
        </w:rPr>
        <w:noBreakHyphen/>
      </w:r>
      <w:r w:rsidRPr="0010333C">
        <w:rPr>
          <w:szCs w:val="22"/>
          <w:lang w:val="fr-FR"/>
        </w:rPr>
        <w:t>cinquième</w:t>
      </w:r>
      <w:r w:rsidR="00B835B6" w:rsidRPr="0010333C">
        <w:rPr>
          <w:szCs w:val="22"/>
          <w:lang w:val="fr-FR"/>
        </w:rPr>
        <w:t> </w:t>
      </w:r>
      <w:r w:rsidRPr="0010333C">
        <w:rPr>
          <w:szCs w:val="22"/>
          <w:lang w:val="fr-FR"/>
        </w:rPr>
        <w:t>session prévue en</w:t>
      </w:r>
      <w:r w:rsidR="00B835B6" w:rsidRPr="0010333C">
        <w:rPr>
          <w:szCs w:val="22"/>
          <w:lang w:val="fr-FR"/>
        </w:rPr>
        <w:t> </w:t>
      </w:r>
      <w:r w:rsidRPr="0010333C">
        <w:rPr>
          <w:szCs w:val="22"/>
          <w:lang w:val="fr-FR"/>
        </w:rPr>
        <w:t>2016.</w:t>
      </w:r>
    </w:p>
    <w:p w:rsidR="008E3F88" w:rsidRPr="0010333C" w:rsidRDefault="008E3F88" w:rsidP="0010333C">
      <w:pPr>
        <w:rPr>
          <w:lang w:val="fr-FR"/>
        </w:rPr>
      </w:pPr>
    </w:p>
    <w:p w:rsidR="008E3F88" w:rsidRPr="0010333C" w:rsidRDefault="008E3F88" w:rsidP="0010333C">
      <w:pPr>
        <w:pStyle w:val="Heading2"/>
        <w:rPr>
          <w:lang w:val="fr-FR"/>
        </w:rPr>
      </w:pPr>
      <w:bookmarkStart w:id="21" w:name="_Toc441581744"/>
      <w:r w:rsidRPr="0010333C">
        <w:rPr>
          <w:lang w:val="fr-FR"/>
        </w:rPr>
        <w:t>Groupe de travail technique sur les plantes fruitières</w:t>
      </w:r>
      <w:bookmarkEnd w:id="21"/>
    </w:p>
    <w:p w:rsidR="008E3F88" w:rsidRPr="0010333C" w:rsidRDefault="008E3F88" w:rsidP="0010333C">
      <w:pPr>
        <w:rPr>
          <w:lang w:val="fr-FR"/>
        </w:rPr>
      </w:pPr>
    </w:p>
    <w:p w:rsidR="008E3F88" w:rsidRPr="0010333C" w:rsidRDefault="008E3F88" w:rsidP="0010333C">
      <w:pPr>
        <w:rPr>
          <w:lang w:val="fr-FR"/>
        </w:rPr>
      </w:pPr>
      <w:r w:rsidRPr="0010333C">
        <w:rPr>
          <w:lang w:val="fr-FR"/>
        </w:rPr>
        <w:fldChar w:fldCharType="begin"/>
      </w:r>
      <w:r w:rsidRPr="0010333C">
        <w:rPr>
          <w:lang w:val="fr-FR"/>
        </w:rPr>
        <w:instrText xml:space="preserve"> AUTONUM  </w:instrText>
      </w:r>
      <w:r w:rsidRPr="0010333C">
        <w:rPr>
          <w:lang w:val="fr-FR"/>
        </w:rPr>
        <w:fldChar w:fldCharType="end"/>
      </w:r>
      <w:r w:rsidRPr="0010333C">
        <w:rPr>
          <w:lang w:val="fr-FR"/>
        </w:rPr>
        <w:tab/>
      </w:r>
      <w:r w:rsidRPr="0010333C">
        <w:rPr>
          <w:snapToGrid w:val="0"/>
          <w:lang w:val="fr-FR"/>
        </w:rPr>
        <w:t>À sa quarante</w:t>
      </w:r>
      <w:r w:rsidR="00BB3EE2" w:rsidRPr="0010333C">
        <w:rPr>
          <w:snapToGrid w:val="0"/>
          <w:szCs w:val="22"/>
          <w:lang w:val="fr-FR"/>
        </w:rPr>
        <w:noBreakHyphen/>
      </w:r>
      <w:r w:rsidRPr="0010333C">
        <w:rPr>
          <w:snapToGrid w:val="0"/>
          <w:szCs w:val="22"/>
          <w:lang w:val="fr-FR"/>
        </w:rPr>
        <w:t>sixième</w:t>
      </w:r>
      <w:r w:rsidR="00B835B6" w:rsidRPr="0010333C">
        <w:rPr>
          <w:snapToGrid w:val="0"/>
          <w:szCs w:val="22"/>
          <w:lang w:val="fr-FR"/>
        </w:rPr>
        <w:t> </w:t>
      </w:r>
      <w:r w:rsidRPr="0010333C">
        <w:rPr>
          <w:snapToGrid w:val="0"/>
          <w:szCs w:val="22"/>
          <w:lang w:val="fr-FR"/>
        </w:rPr>
        <w:t>session</w:t>
      </w:r>
      <w:r w:rsidRPr="0010333C">
        <w:rPr>
          <w:snapToGrid w:val="0"/>
          <w:lang w:val="fr-FR"/>
        </w:rPr>
        <w:t xml:space="preserve"> tenue à Mpumalanga (Afrique du Sud) du 24 au 2</w:t>
      </w:r>
      <w:r w:rsidR="00584454" w:rsidRPr="0010333C">
        <w:rPr>
          <w:snapToGrid w:val="0"/>
          <w:lang w:val="fr-FR"/>
        </w:rPr>
        <w:t>8 août 20</w:t>
      </w:r>
      <w:r w:rsidRPr="0010333C">
        <w:rPr>
          <w:snapToGrid w:val="0"/>
          <w:lang w:val="fr-FR"/>
        </w:rPr>
        <w:t>15,</w:t>
      </w:r>
      <w:r w:rsidR="00584454" w:rsidRPr="0010333C">
        <w:rPr>
          <w:snapToGrid w:val="0"/>
          <w:lang w:val="fr-FR"/>
        </w:rPr>
        <w:t xml:space="preserve"> le TWF</w:t>
      </w:r>
      <w:r w:rsidRPr="0010333C">
        <w:rPr>
          <w:snapToGrid w:val="0"/>
          <w:lang w:val="fr-FR"/>
        </w:rPr>
        <w:t xml:space="preserve"> a examiné le document TWF/46/10 </w:t>
      </w:r>
      <w:r w:rsidRPr="0010333C">
        <w:rPr>
          <w:lang w:val="fr-FR"/>
        </w:rPr>
        <w:t>“</w:t>
      </w:r>
      <w:proofErr w:type="spellStart"/>
      <w:r w:rsidRPr="002906A8">
        <w:rPr>
          <w:i/>
          <w:lang w:val="fr-FR"/>
        </w:rPr>
        <w:t>Matters</w:t>
      </w:r>
      <w:proofErr w:type="spellEnd"/>
      <w:r w:rsidRPr="002906A8">
        <w:rPr>
          <w:i/>
          <w:lang w:val="fr-FR"/>
        </w:rPr>
        <w:t xml:space="preserve"> </w:t>
      </w:r>
      <w:proofErr w:type="spellStart"/>
      <w:r w:rsidRPr="002906A8">
        <w:rPr>
          <w:i/>
          <w:lang w:val="fr-FR"/>
        </w:rPr>
        <w:t>concerning</w:t>
      </w:r>
      <w:proofErr w:type="spellEnd"/>
      <w:r w:rsidRPr="002906A8">
        <w:rPr>
          <w:i/>
          <w:lang w:val="fr-FR"/>
        </w:rPr>
        <w:t xml:space="preserve"> </w:t>
      </w:r>
      <w:proofErr w:type="spellStart"/>
      <w:r w:rsidR="002906A8">
        <w:rPr>
          <w:i/>
          <w:lang w:val="fr-FR"/>
        </w:rPr>
        <w:t>V</w:t>
      </w:r>
      <w:r w:rsidRPr="002906A8">
        <w:rPr>
          <w:i/>
          <w:lang w:val="fr-FR"/>
        </w:rPr>
        <w:t>ariety</w:t>
      </w:r>
      <w:proofErr w:type="spellEnd"/>
      <w:r w:rsidRPr="002906A8">
        <w:rPr>
          <w:i/>
          <w:lang w:val="fr-FR"/>
        </w:rPr>
        <w:t xml:space="preserve"> </w:t>
      </w:r>
      <w:r w:rsidR="002906A8">
        <w:rPr>
          <w:i/>
          <w:lang w:val="fr-FR"/>
        </w:rPr>
        <w:t>D</w:t>
      </w:r>
      <w:r w:rsidRPr="002906A8">
        <w:rPr>
          <w:i/>
          <w:lang w:val="fr-FR"/>
        </w:rPr>
        <w:t>escriptions</w:t>
      </w:r>
      <w:r w:rsidRPr="0010333C">
        <w:rPr>
          <w:lang w:val="fr-FR"/>
        </w:rPr>
        <w:t>” (voir les paragraphes</w:t>
      </w:r>
      <w:r w:rsidR="00B835B6" w:rsidRPr="0010333C">
        <w:rPr>
          <w:lang w:val="fr-FR"/>
        </w:rPr>
        <w:t> </w:t>
      </w:r>
      <w:r w:rsidRPr="0010333C">
        <w:rPr>
          <w:lang w:val="fr-FR"/>
        </w:rPr>
        <w:t>64 et 65 du document TWF/46/29</w:t>
      </w:r>
      <w:r w:rsidR="002906A8">
        <w:rPr>
          <w:lang w:val="fr-FR"/>
        </w:rPr>
        <w:t xml:space="preserve"> </w:t>
      </w:r>
      <w:proofErr w:type="spellStart"/>
      <w:r w:rsidR="002906A8">
        <w:rPr>
          <w:lang w:val="fr-FR"/>
        </w:rPr>
        <w:t>Rev</w:t>
      </w:r>
      <w:proofErr w:type="spellEnd"/>
      <w:r w:rsidR="002906A8">
        <w:rPr>
          <w:lang w:val="fr-FR"/>
        </w:rPr>
        <w:t>.</w:t>
      </w:r>
      <w:r w:rsidRPr="0010333C">
        <w:rPr>
          <w:lang w:val="fr-FR"/>
        </w:rPr>
        <w:t xml:space="preserve"> “</w:t>
      </w:r>
      <w:proofErr w:type="spellStart"/>
      <w:r w:rsidRPr="002906A8">
        <w:rPr>
          <w:i/>
          <w:lang w:val="fr-FR"/>
        </w:rPr>
        <w:t>R</w:t>
      </w:r>
      <w:r w:rsidR="002906A8" w:rsidRPr="002906A8">
        <w:rPr>
          <w:i/>
          <w:lang w:val="fr-FR"/>
        </w:rPr>
        <w:t>evised</w:t>
      </w:r>
      <w:proofErr w:type="spellEnd"/>
      <w:r w:rsidR="002906A8" w:rsidRPr="002906A8">
        <w:rPr>
          <w:i/>
          <w:lang w:val="fr-FR"/>
        </w:rPr>
        <w:t xml:space="preserve"> R</w:t>
      </w:r>
      <w:r w:rsidRPr="002906A8">
        <w:rPr>
          <w:i/>
          <w:lang w:val="fr-FR"/>
        </w:rPr>
        <w:t>eport</w:t>
      </w:r>
      <w:r w:rsidRPr="0010333C">
        <w:rPr>
          <w:lang w:val="fr-FR"/>
        </w:rPr>
        <w:t>”).</w:t>
      </w:r>
    </w:p>
    <w:p w:rsidR="008E3F88" w:rsidRPr="0010333C" w:rsidRDefault="008E3F88" w:rsidP="0010333C">
      <w:pPr>
        <w:rPr>
          <w:lang w:val="fr-FR"/>
        </w:rPr>
      </w:pPr>
    </w:p>
    <w:p w:rsidR="008E3F88" w:rsidRPr="0010333C" w:rsidRDefault="008E3F88" w:rsidP="0010333C">
      <w:pPr>
        <w:rPr>
          <w:lang w:val="fr-FR"/>
        </w:rPr>
      </w:pPr>
      <w:r w:rsidRPr="0010333C">
        <w:rPr>
          <w:lang w:val="fr-FR"/>
        </w:rPr>
        <w:fldChar w:fldCharType="begin"/>
      </w:r>
      <w:r w:rsidRPr="0010333C">
        <w:rPr>
          <w:lang w:val="fr-FR"/>
        </w:rPr>
        <w:instrText xml:space="preserve"> AUTONUM  </w:instrText>
      </w:r>
      <w:r w:rsidRPr="0010333C">
        <w:rPr>
          <w:lang w:val="fr-FR"/>
        </w:rPr>
        <w:fldChar w:fldCharType="end"/>
      </w:r>
      <w:r w:rsidRPr="0010333C">
        <w:rPr>
          <w:lang w:val="fr-FR"/>
        </w:rPr>
        <w:tab/>
        <w:t>Le TWF est convenu que le matériel végétal utilisé comme base de l</w:t>
      </w:r>
      <w:r w:rsidR="00584454" w:rsidRPr="0010333C">
        <w:rPr>
          <w:lang w:val="fr-FR"/>
        </w:rPr>
        <w:t>’</w:t>
      </w:r>
      <w:r w:rsidRPr="0010333C">
        <w:rPr>
          <w:lang w:val="fr-FR"/>
        </w:rPr>
        <w:t>examen</w:t>
      </w:r>
      <w:r w:rsidR="00B835B6" w:rsidRPr="0010333C">
        <w:rPr>
          <w:lang w:val="fr-FR"/>
        </w:rPr>
        <w:t> </w:t>
      </w:r>
      <w:r w:rsidRPr="0010333C">
        <w:rPr>
          <w:lang w:val="fr-FR"/>
        </w:rPr>
        <w:t>DHS était représentatif de la variété protég</w:t>
      </w:r>
      <w:r w:rsidR="00BB3EE2" w:rsidRPr="0010333C">
        <w:rPr>
          <w:lang w:val="fr-FR"/>
        </w:rPr>
        <w:t>ée.  Il</w:t>
      </w:r>
      <w:r w:rsidRPr="0010333C">
        <w:rPr>
          <w:lang w:val="fr-FR"/>
        </w:rPr>
        <w:t xml:space="preserve"> est convenu que, chaque fois que c</w:t>
      </w:r>
      <w:r w:rsidR="00584454" w:rsidRPr="0010333C">
        <w:rPr>
          <w:lang w:val="fr-FR"/>
        </w:rPr>
        <w:t>’</w:t>
      </w:r>
      <w:r w:rsidRPr="0010333C">
        <w:rPr>
          <w:lang w:val="fr-FR"/>
        </w:rPr>
        <w:t>était possible, les services devaient conserver un échantillon de référence du matériel végétal relatif à une variété protég</w:t>
      </w:r>
      <w:r w:rsidR="00BB3EE2" w:rsidRPr="0010333C">
        <w:rPr>
          <w:lang w:val="fr-FR"/>
        </w:rPr>
        <w:t>ée.  Le</w:t>
      </w:r>
      <w:r w:rsidR="00584454" w:rsidRPr="0010333C">
        <w:rPr>
          <w:lang w:val="fr-FR"/>
        </w:rPr>
        <w:t> TWF</w:t>
      </w:r>
      <w:r w:rsidRPr="0010333C">
        <w:rPr>
          <w:lang w:val="fr-FR"/>
        </w:rPr>
        <w:t xml:space="preserve"> est convenu qu</w:t>
      </w:r>
      <w:r w:rsidR="00584454" w:rsidRPr="0010333C">
        <w:rPr>
          <w:lang w:val="fr-FR"/>
        </w:rPr>
        <w:t>’</w:t>
      </w:r>
      <w:r w:rsidRPr="0010333C">
        <w:rPr>
          <w:lang w:val="fr-FR"/>
        </w:rPr>
        <w:t>une description variétale connaissait des limitations dues à son lien avec les circonstances de l</w:t>
      </w:r>
      <w:r w:rsidR="00584454" w:rsidRPr="0010333C">
        <w:rPr>
          <w:lang w:val="fr-FR"/>
        </w:rPr>
        <w:t>’</w:t>
      </w:r>
      <w:r w:rsidRPr="0010333C">
        <w:rPr>
          <w:lang w:val="fr-FR"/>
        </w:rPr>
        <w:t>examen</w:t>
      </w:r>
      <w:r w:rsidR="00B835B6" w:rsidRPr="0010333C">
        <w:rPr>
          <w:lang w:val="fr-FR"/>
        </w:rPr>
        <w:t> </w:t>
      </w:r>
      <w:r w:rsidRPr="0010333C">
        <w:rPr>
          <w:lang w:val="fr-FR"/>
        </w:rPr>
        <w:t>DHS mais était un élément important du système de protection des obtentions végétales et un instrument utile pour l</w:t>
      </w:r>
      <w:r w:rsidR="00584454" w:rsidRPr="0010333C">
        <w:rPr>
          <w:lang w:val="fr-FR"/>
        </w:rPr>
        <w:t>’</w:t>
      </w:r>
      <w:r w:rsidRPr="0010333C">
        <w:rPr>
          <w:lang w:val="fr-FR"/>
        </w:rPr>
        <w:t>analyse de la distinction.</w:t>
      </w:r>
    </w:p>
    <w:p w:rsidR="008E3F88" w:rsidRPr="0010333C" w:rsidRDefault="008E3F88" w:rsidP="0010333C">
      <w:pPr>
        <w:rPr>
          <w:lang w:val="fr-FR"/>
        </w:rPr>
      </w:pPr>
    </w:p>
    <w:p w:rsidR="008E3F88" w:rsidRPr="0010333C" w:rsidRDefault="008E3F88" w:rsidP="0010333C">
      <w:pPr>
        <w:pStyle w:val="Heading2"/>
        <w:rPr>
          <w:lang w:val="fr-FR"/>
        </w:rPr>
      </w:pPr>
      <w:bookmarkStart w:id="22" w:name="_Toc440299525"/>
      <w:bookmarkStart w:id="23" w:name="_Toc440377321"/>
      <w:bookmarkStart w:id="24" w:name="_Toc441581745"/>
      <w:r w:rsidRPr="0010333C">
        <w:rPr>
          <w:lang w:val="fr-FR"/>
        </w:rPr>
        <w:t>Groupe de travail technique sur les plantes ornementales</w:t>
      </w:r>
      <w:bookmarkEnd w:id="22"/>
      <w:bookmarkEnd w:id="23"/>
      <w:bookmarkEnd w:id="24"/>
    </w:p>
    <w:p w:rsidR="008E3F88" w:rsidRPr="0010333C" w:rsidRDefault="008E3F88" w:rsidP="0010333C">
      <w:pPr>
        <w:rPr>
          <w:lang w:val="fr-FR"/>
        </w:rPr>
      </w:pPr>
    </w:p>
    <w:p w:rsidR="008E3F88" w:rsidRPr="0010333C" w:rsidRDefault="008E3F88" w:rsidP="0010333C">
      <w:pPr>
        <w:rPr>
          <w:lang w:val="fr-FR"/>
        </w:rPr>
      </w:pPr>
      <w:r w:rsidRPr="0010333C">
        <w:rPr>
          <w:lang w:val="fr-FR"/>
        </w:rPr>
        <w:fldChar w:fldCharType="begin"/>
      </w:r>
      <w:r w:rsidRPr="0010333C">
        <w:rPr>
          <w:lang w:val="fr-FR"/>
        </w:rPr>
        <w:instrText xml:space="preserve"> AUTONUM  </w:instrText>
      </w:r>
      <w:r w:rsidRPr="0010333C">
        <w:rPr>
          <w:lang w:val="fr-FR"/>
        </w:rPr>
        <w:fldChar w:fldCharType="end"/>
      </w:r>
      <w:r w:rsidRPr="0010333C">
        <w:rPr>
          <w:lang w:val="fr-FR"/>
        </w:rPr>
        <w:tab/>
      </w:r>
      <w:r w:rsidRPr="0010333C">
        <w:rPr>
          <w:snapToGrid w:val="0"/>
          <w:lang w:val="fr-FR"/>
        </w:rPr>
        <w:t>À sa quarante</w:t>
      </w:r>
      <w:r w:rsidR="00BB3EE2" w:rsidRPr="0010333C">
        <w:rPr>
          <w:snapToGrid w:val="0"/>
          <w:szCs w:val="22"/>
          <w:lang w:val="fr-FR"/>
        </w:rPr>
        <w:noBreakHyphen/>
      </w:r>
      <w:r w:rsidRPr="0010333C">
        <w:rPr>
          <w:snapToGrid w:val="0"/>
          <w:szCs w:val="22"/>
          <w:lang w:val="fr-FR"/>
        </w:rPr>
        <w:t>huitième</w:t>
      </w:r>
      <w:r w:rsidR="00B835B6" w:rsidRPr="0010333C">
        <w:rPr>
          <w:snapToGrid w:val="0"/>
          <w:szCs w:val="22"/>
          <w:lang w:val="fr-FR"/>
        </w:rPr>
        <w:t> </w:t>
      </w:r>
      <w:r w:rsidRPr="0010333C">
        <w:rPr>
          <w:snapToGrid w:val="0"/>
          <w:szCs w:val="22"/>
          <w:lang w:val="fr-FR"/>
        </w:rPr>
        <w:t>session</w:t>
      </w:r>
      <w:r w:rsidRPr="0010333C">
        <w:rPr>
          <w:snapToGrid w:val="0"/>
          <w:lang w:val="fr-FR"/>
        </w:rPr>
        <w:t xml:space="preserve"> tenue à Cambridge (Royaume</w:t>
      </w:r>
      <w:r w:rsidR="00BB3EE2" w:rsidRPr="0010333C">
        <w:rPr>
          <w:snapToGrid w:val="0"/>
          <w:lang w:val="fr-FR"/>
        </w:rPr>
        <w:noBreakHyphen/>
      </w:r>
      <w:r w:rsidRPr="0010333C">
        <w:rPr>
          <w:snapToGrid w:val="0"/>
          <w:lang w:val="fr-FR"/>
        </w:rPr>
        <w:t>Uni</w:t>
      </w:r>
      <w:r w:rsidRPr="0010333C">
        <w:rPr>
          <w:snapToGrid w:val="0"/>
          <w:szCs w:val="22"/>
          <w:lang w:val="fr-FR"/>
        </w:rPr>
        <w:t>) du 14 au 1</w:t>
      </w:r>
      <w:r w:rsidR="00584454" w:rsidRPr="0010333C">
        <w:rPr>
          <w:snapToGrid w:val="0"/>
          <w:szCs w:val="22"/>
          <w:lang w:val="fr-FR"/>
        </w:rPr>
        <w:t>8 septembre 20</w:t>
      </w:r>
      <w:r w:rsidRPr="0010333C">
        <w:rPr>
          <w:snapToGrid w:val="0"/>
          <w:szCs w:val="22"/>
          <w:lang w:val="fr-FR"/>
        </w:rPr>
        <w:t>15,</w:t>
      </w:r>
      <w:r w:rsidR="00584454" w:rsidRPr="0010333C">
        <w:rPr>
          <w:snapToGrid w:val="0"/>
          <w:lang w:val="fr-FR"/>
        </w:rPr>
        <w:t xml:space="preserve"> le TWO</w:t>
      </w:r>
      <w:r w:rsidRPr="0010333C">
        <w:rPr>
          <w:snapToGrid w:val="0"/>
          <w:lang w:val="fr-FR"/>
        </w:rPr>
        <w:t xml:space="preserve"> a examiné le document TWO/48/10 </w:t>
      </w:r>
      <w:r w:rsidRPr="0010333C">
        <w:rPr>
          <w:lang w:val="fr-FR"/>
        </w:rPr>
        <w:t>“</w:t>
      </w:r>
      <w:proofErr w:type="spellStart"/>
      <w:r w:rsidR="002906A8">
        <w:rPr>
          <w:i/>
          <w:lang w:val="fr-FR"/>
        </w:rPr>
        <w:t>Matters</w:t>
      </w:r>
      <w:proofErr w:type="spellEnd"/>
      <w:r w:rsidR="002906A8">
        <w:rPr>
          <w:i/>
          <w:lang w:val="fr-FR"/>
        </w:rPr>
        <w:t xml:space="preserve"> </w:t>
      </w:r>
      <w:proofErr w:type="spellStart"/>
      <w:r w:rsidR="002906A8">
        <w:rPr>
          <w:i/>
          <w:lang w:val="fr-FR"/>
        </w:rPr>
        <w:t>concerning</w:t>
      </w:r>
      <w:proofErr w:type="spellEnd"/>
      <w:r w:rsidR="002906A8">
        <w:rPr>
          <w:i/>
          <w:lang w:val="fr-FR"/>
        </w:rPr>
        <w:t xml:space="preserve"> </w:t>
      </w:r>
      <w:proofErr w:type="spellStart"/>
      <w:r w:rsidR="002906A8">
        <w:rPr>
          <w:i/>
          <w:lang w:val="fr-FR"/>
        </w:rPr>
        <w:t>Variety</w:t>
      </w:r>
      <w:proofErr w:type="spellEnd"/>
      <w:r w:rsidR="002906A8">
        <w:rPr>
          <w:i/>
          <w:lang w:val="fr-FR"/>
        </w:rPr>
        <w:t xml:space="preserve"> D</w:t>
      </w:r>
      <w:r w:rsidRPr="002906A8">
        <w:rPr>
          <w:i/>
          <w:lang w:val="fr-FR"/>
        </w:rPr>
        <w:t>escriptions</w:t>
      </w:r>
      <w:r w:rsidRPr="0010333C">
        <w:rPr>
          <w:lang w:val="fr-FR"/>
        </w:rPr>
        <w:t>” (voir les paragraphes</w:t>
      </w:r>
      <w:r w:rsidR="00B835B6" w:rsidRPr="0010333C">
        <w:rPr>
          <w:lang w:val="fr-FR"/>
        </w:rPr>
        <w:t> </w:t>
      </w:r>
      <w:r w:rsidRPr="0010333C">
        <w:rPr>
          <w:lang w:val="fr-FR"/>
        </w:rPr>
        <w:t xml:space="preserve">60 à 69 du </w:t>
      </w:r>
      <w:r w:rsidR="00584454" w:rsidRPr="0010333C">
        <w:rPr>
          <w:lang w:val="fr-FR"/>
        </w:rPr>
        <w:t>document TW</w:t>
      </w:r>
      <w:r w:rsidRPr="0010333C">
        <w:rPr>
          <w:lang w:val="fr-FR"/>
        </w:rPr>
        <w:t>O/48/26 “</w:t>
      </w:r>
      <w:r w:rsidRPr="002906A8">
        <w:rPr>
          <w:i/>
          <w:lang w:val="fr-FR"/>
        </w:rPr>
        <w:t>Report</w:t>
      </w:r>
      <w:r w:rsidRPr="0010333C">
        <w:rPr>
          <w:lang w:val="fr-FR"/>
        </w:rPr>
        <w:t>”).</w:t>
      </w:r>
    </w:p>
    <w:p w:rsidR="008E3F88" w:rsidRPr="0010333C" w:rsidRDefault="008E3F88" w:rsidP="0010333C">
      <w:pPr>
        <w:tabs>
          <w:tab w:val="left" w:pos="5610"/>
        </w:tabs>
        <w:rPr>
          <w:lang w:val="fr-FR"/>
        </w:rPr>
      </w:pPr>
    </w:p>
    <w:p w:rsidR="008E3F88" w:rsidRPr="0010333C" w:rsidRDefault="008E3F88" w:rsidP="0010333C">
      <w:pPr>
        <w:rPr>
          <w:lang w:val="fr-FR"/>
        </w:rPr>
      </w:pPr>
      <w:r w:rsidRPr="0010333C">
        <w:rPr>
          <w:lang w:val="fr-FR"/>
        </w:rPr>
        <w:fldChar w:fldCharType="begin"/>
      </w:r>
      <w:r w:rsidRPr="0010333C">
        <w:rPr>
          <w:lang w:val="fr-FR"/>
        </w:rPr>
        <w:instrText xml:space="preserve"> AUTONUM  </w:instrText>
      </w:r>
      <w:r w:rsidRPr="0010333C">
        <w:rPr>
          <w:lang w:val="fr-FR"/>
        </w:rPr>
        <w:fldChar w:fldCharType="end"/>
      </w:r>
      <w:r w:rsidRPr="0010333C">
        <w:rPr>
          <w:lang w:val="fr-FR"/>
        </w:rPr>
        <w:tab/>
        <w:t>Le TWO a examiné l</w:t>
      </w:r>
      <w:r w:rsidR="00584454" w:rsidRPr="0010333C">
        <w:rPr>
          <w:lang w:val="fr-FR"/>
        </w:rPr>
        <w:t>’</w:t>
      </w:r>
      <w:r w:rsidRPr="0010333C">
        <w:rPr>
          <w:lang w:val="fr-FR"/>
        </w:rPr>
        <w:t>utilisation, aux fins du contrôle du maintien de la variété, de principes directeurs d</w:t>
      </w:r>
      <w:r w:rsidR="00584454" w:rsidRPr="0010333C">
        <w:rPr>
          <w:lang w:val="fr-FR"/>
        </w:rPr>
        <w:t>’</w:t>
      </w:r>
      <w:r w:rsidRPr="0010333C">
        <w:rPr>
          <w:lang w:val="fr-FR"/>
        </w:rPr>
        <w:t>examen qui se distinguent de</w:t>
      </w:r>
      <w:r w:rsidR="00997C61" w:rsidRPr="0010333C">
        <w:rPr>
          <w:lang w:val="fr-FR"/>
        </w:rPr>
        <w:t xml:space="preserve"> ceux qui sont</w:t>
      </w:r>
      <w:r w:rsidRPr="0010333C">
        <w:rPr>
          <w:lang w:val="fr-FR"/>
        </w:rPr>
        <w:t xml:space="preserve"> utilisés pour l</w:t>
      </w:r>
      <w:r w:rsidR="00584454" w:rsidRPr="0010333C">
        <w:rPr>
          <w:lang w:val="fr-FR"/>
        </w:rPr>
        <w:t>’</w:t>
      </w:r>
      <w:r w:rsidRPr="0010333C">
        <w:rPr>
          <w:lang w:val="fr-FR"/>
        </w:rPr>
        <w:t>examen</w:t>
      </w:r>
      <w:r w:rsidR="00B835B6" w:rsidRPr="0010333C">
        <w:rPr>
          <w:lang w:val="fr-FR"/>
        </w:rPr>
        <w:t> </w:t>
      </w:r>
      <w:r w:rsidR="00BB3EE2" w:rsidRPr="0010333C">
        <w:rPr>
          <w:lang w:val="fr-FR"/>
        </w:rPr>
        <w:t>DHS.  Il</w:t>
      </w:r>
      <w:r w:rsidRPr="0010333C">
        <w:rPr>
          <w:lang w:val="fr-FR"/>
        </w:rPr>
        <w:t xml:space="preserve"> a noté que, souvent, d</w:t>
      </w:r>
      <w:r w:rsidR="00584454" w:rsidRPr="0010333C">
        <w:rPr>
          <w:lang w:val="fr-FR"/>
        </w:rPr>
        <w:t>’</w:t>
      </w:r>
      <w:r w:rsidRPr="0010333C">
        <w:rPr>
          <w:lang w:val="fr-FR"/>
        </w:rPr>
        <w:t xml:space="preserve">autres </w:t>
      </w:r>
      <w:r w:rsidRPr="0010333C">
        <w:rPr>
          <w:lang w:val="fr-FR"/>
        </w:rPr>
        <w:lastRenderedPageBreak/>
        <w:t>principes directeurs d</w:t>
      </w:r>
      <w:r w:rsidR="00584454" w:rsidRPr="0010333C">
        <w:rPr>
          <w:lang w:val="fr-FR"/>
        </w:rPr>
        <w:t>’</w:t>
      </w:r>
      <w:r w:rsidRPr="0010333C">
        <w:rPr>
          <w:lang w:val="fr-FR"/>
        </w:rPr>
        <w:t>examen étaient utiles aux fins du contrôle du maintien d</w:t>
      </w:r>
      <w:r w:rsidR="00584454" w:rsidRPr="0010333C">
        <w:rPr>
          <w:lang w:val="fr-FR"/>
        </w:rPr>
        <w:t>’</w:t>
      </w:r>
      <w:r w:rsidRPr="0010333C">
        <w:rPr>
          <w:lang w:val="fr-FR"/>
        </w:rPr>
        <w:t>une variété car de nombreux caractères et niveaux d</w:t>
      </w:r>
      <w:r w:rsidR="00584454" w:rsidRPr="0010333C">
        <w:rPr>
          <w:lang w:val="fr-FR"/>
        </w:rPr>
        <w:t>’</w:t>
      </w:r>
      <w:r w:rsidRPr="0010333C">
        <w:rPr>
          <w:lang w:val="fr-FR"/>
        </w:rPr>
        <w:t>expression étaient pour l</w:t>
      </w:r>
      <w:r w:rsidR="00584454" w:rsidRPr="0010333C">
        <w:rPr>
          <w:lang w:val="fr-FR"/>
        </w:rPr>
        <w:t>’</w:t>
      </w:r>
      <w:r w:rsidRPr="0010333C">
        <w:rPr>
          <w:lang w:val="fr-FR"/>
        </w:rPr>
        <w:t>essentiel identiques.</w:t>
      </w:r>
    </w:p>
    <w:p w:rsidR="008E3F88" w:rsidRPr="0010333C" w:rsidRDefault="008E3F88" w:rsidP="0010333C">
      <w:pPr>
        <w:tabs>
          <w:tab w:val="left" w:pos="5610"/>
        </w:tabs>
        <w:rPr>
          <w:lang w:val="fr-FR"/>
        </w:rPr>
      </w:pPr>
    </w:p>
    <w:p w:rsidR="008E3F88" w:rsidRPr="0010333C" w:rsidRDefault="008E3F88" w:rsidP="0010333C">
      <w:pPr>
        <w:rPr>
          <w:lang w:val="fr-FR"/>
        </w:rPr>
      </w:pPr>
      <w:r w:rsidRPr="0010333C">
        <w:rPr>
          <w:lang w:val="fr-FR"/>
        </w:rPr>
        <w:fldChar w:fldCharType="begin"/>
      </w:r>
      <w:r w:rsidRPr="0010333C">
        <w:rPr>
          <w:lang w:val="fr-FR"/>
        </w:rPr>
        <w:instrText xml:space="preserve"> AUTONUM  </w:instrText>
      </w:r>
      <w:r w:rsidRPr="0010333C">
        <w:rPr>
          <w:lang w:val="fr-FR"/>
        </w:rPr>
        <w:fldChar w:fldCharType="end"/>
      </w:r>
      <w:r w:rsidRPr="0010333C">
        <w:rPr>
          <w:lang w:val="fr-FR"/>
        </w:rPr>
        <w:tab/>
        <w:t xml:space="preserve">Le TWO a noté </w:t>
      </w:r>
      <w:r w:rsidRPr="0010333C">
        <w:rPr>
          <w:szCs w:val="22"/>
          <w:lang w:val="fr-FR"/>
        </w:rPr>
        <w:t xml:space="preserve">que, au </w:t>
      </w:r>
      <w:r w:rsidRPr="0010333C">
        <w:rPr>
          <w:snapToGrid w:val="0"/>
          <w:lang w:val="fr-FR"/>
        </w:rPr>
        <w:t>Royaume</w:t>
      </w:r>
      <w:r w:rsidR="00BB3EE2" w:rsidRPr="0010333C">
        <w:rPr>
          <w:snapToGrid w:val="0"/>
          <w:lang w:val="fr-FR"/>
        </w:rPr>
        <w:noBreakHyphen/>
      </w:r>
      <w:r w:rsidRPr="0010333C">
        <w:rPr>
          <w:snapToGrid w:val="0"/>
          <w:lang w:val="fr-FR"/>
        </w:rPr>
        <w:t>Uni</w:t>
      </w:r>
      <w:r w:rsidRPr="0010333C">
        <w:rPr>
          <w:lang w:val="fr-FR"/>
        </w:rPr>
        <w:t>, les principes directeurs utilisés pour l</w:t>
      </w:r>
      <w:r w:rsidR="00584454" w:rsidRPr="0010333C">
        <w:rPr>
          <w:lang w:val="fr-FR"/>
        </w:rPr>
        <w:t>’</w:t>
      </w:r>
      <w:r w:rsidRPr="0010333C">
        <w:rPr>
          <w:lang w:val="fr-FR"/>
        </w:rPr>
        <w:t>examen</w:t>
      </w:r>
      <w:r w:rsidR="00B835B6" w:rsidRPr="0010333C">
        <w:rPr>
          <w:lang w:val="fr-FR"/>
        </w:rPr>
        <w:t> </w:t>
      </w:r>
      <w:r w:rsidRPr="0010333C">
        <w:rPr>
          <w:lang w:val="fr-FR"/>
        </w:rPr>
        <w:t>DHS étaient également utilisés pour le contrôle du maintien de la variété.</w:t>
      </w:r>
    </w:p>
    <w:p w:rsidR="008E3F88" w:rsidRPr="0010333C" w:rsidRDefault="008E3F88" w:rsidP="0010333C">
      <w:pPr>
        <w:rPr>
          <w:lang w:val="fr-FR"/>
        </w:rPr>
      </w:pPr>
    </w:p>
    <w:p w:rsidR="008E3F88" w:rsidRPr="0010333C" w:rsidRDefault="008E3F88" w:rsidP="0010333C">
      <w:pPr>
        <w:rPr>
          <w:lang w:val="fr-FR"/>
        </w:rPr>
      </w:pPr>
      <w:r w:rsidRPr="0010333C">
        <w:rPr>
          <w:lang w:val="fr-FR"/>
        </w:rPr>
        <w:fldChar w:fldCharType="begin"/>
      </w:r>
      <w:r w:rsidRPr="0010333C">
        <w:rPr>
          <w:lang w:val="fr-FR"/>
        </w:rPr>
        <w:instrText xml:space="preserve"> AUTONUM  </w:instrText>
      </w:r>
      <w:r w:rsidRPr="0010333C">
        <w:rPr>
          <w:lang w:val="fr-FR"/>
        </w:rPr>
        <w:fldChar w:fldCharType="end"/>
      </w:r>
      <w:r w:rsidRPr="0010333C">
        <w:rPr>
          <w:lang w:val="fr-FR"/>
        </w:rPr>
        <w:tab/>
        <w:t>Le TWO a noté que l</w:t>
      </w:r>
      <w:r w:rsidR="00584454" w:rsidRPr="0010333C">
        <w:rPr>
          <w:lang w:val="fr-FR"/>
        </w:rPr>
        <w:t>’</w:t>
      </w:r>
      <w:r w:rsidRPr="0010333C">
        <w:rPr>
          <w:lang w:val="fr-FR"/>
        </w:rPr>
        <w:t>Allemagne et les Pays</w:t>
      </w:r>
      <w:r w:rsidR="00BB3EE2" w:rsidRPr="0010333C">
        <w:rPr>
          <w:szCs w:val="22"/>
          <w:lang w:val="fr-FR"/>
        </w:rPr>
        <w:noBreakHyphen/>
      </w:r>
      <w:r w:rsidRPr="0010333C">
        <w:rPr>
          <w:szCs w:val="22"/>
          <w:lang w:val="fr-FR"/>
        </w:rPr>
        <w:t>Bas utilisaient les données provenant de l</w:t>
      </w:r>
      <w:r w:rsidR="00584454" w:rsidRPr="0010333C">
        <w:rPr>
          <w:szCs w:val="22"/>
          <w:lang w:val="fr-FR"/>
        </w:rPr>
        <w:t>’</w:t>
      </w:r>
      <w:r w:rsidRPr="0010333C">
        <w:rPr>
          <w:szCs w:val="22"/>
          <w:lang w:val="fr-FR"/>
        </w:rPr>
        <w:t>examen</w:t>
      </w:r>
      <w:r w:rsidR="00B835B6" w:rsidRPr="0010333C">
        <w:rPr>
          <w:szCs w:val="22"/>
          <w:lang w:val="fr-FR"/>
        </w:rPr>
        <w:t> </w:t>
      </w:r>
      <w:r w:rsidRPr="0010333C">
        <w:rPr>
          <w:szCs w:val="22"/>
          <w:lang w:val="fr-FR"/>
        </w:rPr>
        <w:t>DHS et des informations additionnelles, telles que des photographies, pour contrôler le maintien de la variété.</w:t>
      </w:r>
    </w:p>
    <w:p w:rsidR="008E3F88" w:rsidRPr="0010333C" w:rsidRDefault="008E3F88" w:rsidP="0010333C">
      <w:pPr>
        <w:rPr>
          <w:lang w:val="fr-FR"/>
        </w:rPr>
      </w:pPr>
    </w:p>
    <w:p w:rsidR="008E3F88" w:rsidRPr="0010333C" w:rsidRDefault="008E3F88" w:rsidP="0010333C">
      <w:pPr>
        <w:tabs>
          <w:tab w:val="left" w:pos="567"/>
        </w:tabs>
        <w:rPr>
          <w:lang w:val="fr-FR"/>
        </w:rPr>
      </w:pPr>
      <w:r w:rsidRPr="0010333C">
        <w:rPr>
          <w:lang w:val="fr-FR"/>
        </w:rPr>
        <w:fldChar w:fldCharType="begin"/>
      </w:r>
      <w:r w:rsidRPr="0010333C">
        <w:rPr>
          <w:lang w:val="fr-FR"/>
        </w:rPr>
        <w:instrText xml:space="preserve"> AUTONUM  </w:instrText>
      </w:r>
      <w:r w:rsidRPr="0010333C">
        <w:rPr>
          <w:lang w:val="fr-FR"/>
        </w:rPr>
        <w:fldChar w:fldCharType="end"/>
      </w:r>
      <w:r w:rsidRPr="0010333C">
        <w:rPr>
          <w:lang w:val="fr-FR"/>
        </w:rPr>
        <w:tab/>
        <w:t>Le TWO a noté que, dans certains membres, en cas de litige, de longues discussions étaient menées sur l</w:t>
      </w:r>
      <w:r w:rsidR="00584454" w:rsidRPr="0010333C">
        <w:rPr>
          <w:lang w:val="fr-FR"/>
        </w:rPr>
        <w:t>’</w:t>
      </w:r>
      <w:r w:rsidRPr="0010333C">
        <w:rPr>
          <w:lang w:val="fr-FR"/>
        </w:rPr>
        <w:t>accès au matériel végétal qui n</w:t>
      </w:r>
      <w:r w:rsidR="00584454" w:rsidRPr="0010333C">
        <w:rPr>
          <w:lang w:val="fr-FR"/>
        </w:rPr>
        <w:t>’</w:t>
      </w:r>
      <w:r w:rsidRPr="0010333C">
        <w:rPr>
          <w:lang w:val="fr-FR"/>
        </w:rPr>
        <w:t>était pas conservé par le service et la titularité de ce matériel végétal et il est convenu que le contrôle de conformité était plus difficile à réaliser lorsque le service ne conservait pas d</w:t>
      </w:r>
      <w:r w:rsidR="00584454" w:rsidRPr="0010333C">
        <w:rPr>
          <w:lang w:val="fr-FR"/>
        </w:rPr>
        <w:t>’</w:t>
      </w:r>
      <w:r w:rsidRPr="0010333C">
        <w:rPr>
          <w:lang w:val="fr-FR"/>
        </w:rPr>
        <w:t>échantillon de référence du matériel utilisé pour l</w:t>
      </w:r>
      <w:r w:rsidR="00584454" w:rsidRPr="0010333C">
        <w:rPr>
          <w:lang w:val="fr-FR"/>
        </w:rPr>
        <w:t>’</w:t>
      </w:r>
      <w:r w:rsidRPr="0010333C">
        <w:rPr>
          <w:lang w:val="fr-FR"/>
        </w:rPr>
        <w:t>examen</w:t>
      </w:r>
      <w:r w:rsidR="00B835B6" w:rsidRPr="0010333C">
        <w:rPr>
          <w:lang w:val="fr-FR"/>
        </w:rPr>
        <w:t> </w:t>
      </w:r>
      <w:r w:rsidRPr="0010333C">
        <w:rPr>
          <w:lang w:val="fr-FR"/>
        </w:rPr>
        <w:t>DHS.</w:t>
      </w:r>
    </w:p>
    <w:p w:rsidR="008E3F88" w:rsidRPr="0010333C" w:rsidRDefault="008E3F88" w:rsidP="0010333C">
      <w:pPr>
        <w:tabs>
          <w:tab w:val="left" w:pos="567"/>
        </w:tabs>
        <w:rPr>
          <w:lang w:val="fr-FR"/>
        </w:rPr>
      </w:pPr>
    </w:p>
    <w:p w:rsidR="00584454" w:rsidRPr="0010333C" w:rsidRDefault="008E3F88" w:rsidP="0010333C">
      <w:pPr>
        <w:rPr>
          <w:lang w:val="fr-FR"/>
        </w:rPr>
      </w:pPr>
      <w:r w:rsidRPr="0010333C">
        <w:rPr>
          <w:lang w:val="fr-FR"/>
        </w:rPr>
        <w:fldChar w:fldCharType="begin"/>
      </w:r>
      <w:r w:rsidRPr="0010333C">
        <w:rPr>
          <w:lang w:val="fr-FR"/>
        </w:rPr>
        <w:instrText xml:space="preserve"> AUTONUM  </w:instrText>
      </w:r>
      <w:r w:rsidRPr="0010333C">
        <w:rPr>
          <w:lang w:val="fr-FR"/>
        </w:rPr>
        <w:fldChar w:fldCharType="end"/>
      </w:r>
      <w:r w:rsidRPr="0010333C">
        <w:rPr>
          <w:lang w:val="fr-FR"/>
        </w:rPr>
        <w:tab/>
        <w:t xml:space="preserve">Le TWO a noté </w:t>
      </w:r>
      <w:r w:rsidRPr="0010333C">
        <w:rPr>
          <w:szCs w:val="22"/>
          <w:lang w:val="fr-FR"/>
        </w:rPr>
        <w:t xml:space="preserve">que, en </w:t>
      </w:r>
      <w:r w:rsidRPr="0010333C">
        <w:rPr>
          <w:lang w:val="fr-FR"/>
        </w:rPr>
        <w:t>Allemagne, il était demandé aux obtenteurs de fournir un nouveau matériel végétal relatif aux variétés protégées aux fins de l</w:t>
      </w:r>
      <w:r w:rsidR="00584454" w:rsidRPr="0010333C">
        <w:rPr>
          <w:lang w:val="fr-FR"/>
        </w:rPr>
        <w:t>’</w:t>
      </w:r>
      <w:r w:rsidRPr="0010333C">
        <w:rPr>
          <w:lang w:val="fr-FR"/>
        </w:rPr>
        <w:t>établissement de la distinction par rapport à des variétés candidates d</w:t>
      </w:r>
      <w:r w:rsidR="00584454" w:rsidRPr="0010333C">
        <w:rPr>
          <w:lang w:val="fr-FR"/>
        </w:rPr>
        <w:t>’</w:t>
      </w:r>
      <w:r w:rsidRPr="0010333C">
        <w:rPr>
          <w:lang w:val="fr-FR"/>
        </w:rPr>
        <w:t>espèces pour lesquelles il n</w:t>
      </w:r>
      <w:r w:rsidR="00584454" w:rsidRPr="0010333C">
        <w:rPr>
          <w:lang w:val="fr-FR"/>
        </w:rPr>
        <w:t>’</w:t>
      </w:r>
      <w:r w:rsidRPr="0010333C">
        <w:rPr>
          <w:lang w:val="fr-FR"/>
        </w:rPr>
        <w:t>existait pas de collection de matériel viva</w:t>
      </w:r>
      <w:r w:rsidR="00BB3EE2" w:rsidRPr="0010333C">
        <w:rPr>
          <w:lang w:val="fr-FR"/>
        </w:rPr>
        <w:t>nt.  Le</w:t>
      </w:r>
      <w:r w:rsidRPr="0010333C">
        <w:rPr>
          <w:lang w:val="fr-FR"/>
        </w:rPr>
        <w:t xml:space="preserve"> matériel végétal fourni était contrôlé aux fins du maintien de la variété.</w:t>
      </w:r>
    </w:p>
    <w:p w:rsidR="008E3F88" w:rsidRPr="0010333C" w:rsidRDefault="008E3F88" w:rsidP="0010333C">
      <w:pPr>
        <w:tabs>
          <w:tab w:val="left" w:pos="5387"/>
          <w:tab w:val="left" w:pos="5954"/>
        </w:tabs>
        <w:rPr>
          <w:lang w:val="fr-FR"/>
        </w:rPr>
      </w:pPr>
    </w:p>
    <w:p w:rsidR="008E3F88" w:rsidRPr="0010333C" w:rsidRDefault="008E3F88" w:rsidP="0010333C">
      <w:pPr>
        <w:tabs>
          <w:tab w:val="left" w:pos="567"/>
          <w:tab w:val="left" w:pos="5954"/>
        </w:tabs>
        <w:rPr>
          <w:lang w:val="fr-FR"/>
        </w:rPr>
      </w:pPr>
      <w:r w:rsidRPr="0010333C">
        <w:rPr>
          <w:lang w:val="fr-FR"/>
        </w:rPr>
        <w:fldChar w:fldCharType="begin"/>
      </w:r>
      <w:r w:rsidRPr="0010333C">
        <w:rPr>
          <w:lang w:val="fr-FR"/>
        </w:rPr>
        <w:instrText xml:space="preserve"> AUTONUM  </w:instrText>
      </w:r>
      <w:r w:rsidRPr="0010333C">
        <w:rPr>
          <w:lang w:val="fr-FR"/>
        </w:rPr>
        <w:fldChar w:fldCharType="end"/>
      </w:r>
      <w:r w:rsidRPr="0010333C">
        <w:rPr>
          <w:lang w:val="fr-FR"/>
        </w:rPr>
        <w:tab/>
        <w:t xml:space="preserve">Le TWO a noté </w:t>
      </w:r>
      <w:r w:rsidRPr="0010333C">
        <w:rPr>
          <w:szCs w:val="22"/>
          <w:lang w:val="fr-FR"/>
        </w:rPr>
        <w:t xml:space="preserve">que, en </w:t>
      </w:r>
      <w:r w:rsidRPr="0010333C">
        <w:rPr>
          <w:lang w:val="fr-FR"/>
        </w:rPr>
        <w:t>Nouvelle</w:t>
      </w:r>
      <w:r w:rsidR="00BB3EE2" w:rsidRPr="0010333C">
        <w:rPr>
          <w:szCs w:val="22"/>
          <w:lang w:val="fr-FR"/>
        </w:rPr>
        <w:noBreakHyphen/>
      </w:r>
      <w:r w:rsidRPr="0010333C">
        <w:rPr>
          <w:szCs w:val="22"/>
          <w:lang w:val="fr-FR"/>
        </w:rPr>
        <w:t>Zélande, le contrôle du maintien pouvait être réalisé lors de la culture d</w:t>
      </w:r>
      <w:r w:rsidR="00584454" w:rsidRPr="0010333C">
        <w:rPr>
          <w:szCs w:val="22"/>
          <w:lang w:val="fr-FR"/>
        </w:rPr>
        <w:t>’</w:t>
      </w:r>
      <w:r w:rsidRPr="0010333C">
        <w:rPr>
          <w:szCs w:val="22"/>
          <w:lang w:val="fr-FR"/>
        </w:rPr>
        <w:t>une variété à des fins de comparaison au moment de l</w:t>
      </w:r>
      <w:r w:rsidR="00584454" w:rsidRPr="0010333C">
        <w:rPr>
          <w:szCs w:val="22"/>
          <w:lang w:val="fr-FR"/>
        </w:rPr>
        <w:t>’</w:t>
      </w:r>
      <w:r w:rsidRPr="0010333C">
        <w:rPr>
          <w:szCs w:val="22"/>
          <w:lang w:val="fr-FR"/>
        </w:rPr>
        <w:t>examen</w:t>
      </w:r>
      <w:r w:rsidR="00B835B6" w:rsidRPr="0010333C">
        <w:rPr>
          <w:szCs w:val="22"/>
          <w:lang w:val="fr-FR"/>
        </w:rPr>
        <w:t> </w:t>
      </w:r>
      <w:r w:rsidRPr="0010333C">
        <w:rPr>
          <w:szCs w:val="22"/>
          <w:lang w:val="fr-FR"/>
        </w:rPr>
        <w:t>DHS d</w:t>
      </w:r>
      <w:r w:rsidR="00584454" w:rsidRPr="0010333C">
        <w:rPr>
          <w:szCs w:val="22"/>
          <w:lang w:val="fr-FR"/>
        </w:rPr>
        <w:t>’</w:t>
      </w:r>
      <w:r w:rsidRPr="0010333C">
        <w:rPr>
          <w:szCs w:val="22"/>
          <w:lang w:val="fr-FR"/>
        </w:rPr>
        <w:t>autres variétés.</w:t>
      </w:r>
    </w:p>
    <w:p w:rsidR="008E3F88" w:rsidRPr="0010333C" w:rsidRDefault="008E3F88" w:rsidP="0010333C">
      <w:pPr>
        <w:rPr>
          <w:lang w:val="fr-FR"/>
        </w:rPr>
      </w:pPr>
    </w:p>
    <w:p w:rsidR="00584454" w:rsidRPr="0010333C" w:rsidRDefault="008E3F88" w:rsidP="0010333C">
      <w:pPr>
        <w:rPr>
          <w:lang w:val="fr-FR"/>
        </w:rPr>
      </w:pPr>
      <w:r w:rsidRPr="0010333C">
        <w:rPr>
          <w:lang w:val="fr-FR"/>
        </w:rPr>
        <w:fldChar w:fldCharType="begin"/>
      </w:r>
      <w:r w:rsidRPr="0010333C">
        <w:rPr>
          <w:lang w:val="fr-FR"/>
        </w:rPr>
        <w:instrText xml:space="preserve"> AUTONUM  </w:instrText>
      </w:r>
      <w:r w:rsidRPr="0010333C">
        <w:rPr>
          <w:lang w:val="fr-FR"/>
        </w:rPr>
        <w:fldChar w:fldCharType="end"/>
      </w:r>
      <w:r w:rsidRPr="0010333C">
        <w:rPr>
          <w:lang w:val="fr-FR"/>
        </w:rPr>
        <w:tab/>
        <w:t>Le TWO a noté que, pour les plantes ornementales, il n</w:t>
      </w:r>
      <w:r w:rsidR="00584454" w:rsidRPr="0010333C">
        <w:rPr>
          <w:lang w:val="fr-FR"/>
        </w:rPr>
        <w:t>’</w:t>
      </w:r>
      <w:r w:rsidRPr="0010333C">
        <w:rPr>
          <w:lang w:val="fr-FR"/>
        </w:rPr>
        <w:t xml:space="preserve">était pas toujours possible ou </w:t>
      </w:r>
      <w:r w:rsidR="00997C61" w:rsidRPr="0010333C">
        <w:rPr>
          <w:lang w:val="fr-FR"/>
        </w:rPr>
        <w:t>réali</w:t>
      </w:r>
      <w:r w:rsidRPr="0010333C">
        <w:rPr>
          <w:lang w:val="fr-FR"/>
        </w:rPr>
        <w:t>sable pour les services de conserver une collection de matériel végétal vivant aux fins de l</w:t>
      </w:r>
      <w:r w:rsidR="00584454" w:rsidRPr="0010333C">
        <w:rPr>
          <w:lang w:val="fr-FR"/>
        </w:rPr>
        <w:t>’</w:t>
      </w:r>
      <w:r w:rsidRPr="0010333C">
        <w:rPr>
          <w:lang w:val="fr-FR"/>
        </w:rPr>
        <w:t>examen</w:t>
      </w:r>
      <w:r w:rsidR="00B835B6" w:rsidRPr="0010333C">
        <w:rPr>
          <w:lang w:val="fr-FR"/>
        </w:rPr>
        <w:t> </w:t>
      </w:r>
      <w:r w:rsidRPr="0010333C">
        <w:rPr>
          <w:lang w:val="fr-FR"/>
        </w:rPr>
        <w:t>DHS et que, dans ce cas, les descriptions variétales élaborées lors de l</w:t>
      </w:r>
      <w:r w:rsidR="00584454" w:rsidRPr="0010333C">
        <w:rPr>
          <w:lang w:val="fr-FR"/>
        </w:rPr>
        <w:t>’</w:t>
      </w:r>
      <w:r w:rsidRPr="0010333C">
        <w:rPr>
          <w:lang w:val="fr-FR"/>
        </w:rPr>
        <w:t>examen</w:t>
      </w:r>
      <w:r w:rsidR="00B835B6" w:rsidRPr="0010333C">
        <w:rPr>
          <w:lang w:val="fr-FR"/>
        </w:rPr>
        <w:t> </w:t>
      </w:r>
      <w:r w:rsidRPr="0010333C">
        <w:rPr>
          <w:lang w:val="fr-FR"/>
        </w:rPr>
        <w:t>DHS étaient utilisées pour la sélection de variétés similaires aux fins de l</w:t>
      </w:r>
      <w:r w:rsidR="00584454" w:rsidRPr="0010333C">
        <w:rPr>
          <w:lang w:val="fr-FR"/>
        </w:rPr>
        <w:t>’</w:t>
      </w:r>
      <w:r w:rsidRPr="0010333C">
        <w:rPr>
          <w:lang w:val="fr-FR"/>
        </w:rPr>
        <w:t>examen de la distinction de variétés candidates.</w:t>
      </w:r>
    </w:p>
    <w:p w:rsidR="008E3F88" w:rsidRPr="0010333C" w:rsidRDefault="008E3F88" w:rsidP="0010333C">
      <w:pPr>
        <w:rPr>
          <w:lang w:val="fr-FR"/>
        </w:rPr>
      </w:pPr>
    </w:p>
    <w:p w:rsidR="008E3F88" w:rsidRPr="0010333C" w:rsidRDefault="008E3F88" w:rsidP="0010333C">
      <w:pPr>
        <w:rPr>
          <w:lang w:val="fr-FR"/>
        </w:rPr>
      </w:pPr>
      <w:r w:rsidRPr="0010333C">
        <w:rPr>
          <w:lang w:val="fr-FR"/>
        </w:rPr>
        <w:fldChar w:fldCharType="begin"/>
      </w:r>
      <w:r w:rsidRPr="0010333C">
        <w:rPr>
          <w:lang w:val="fr-FR"/>
        </w:rPr>
        <w:instrText xml:space="preserve"> AUTONUM  </w:instrText>
      </w:r>
      <w:r w:rsidRPr="0010333C">
        <w:rPr>
          <w:lang w:val="fr-FR"/>
        </w:rPr>
        <w:fldChar w:fldCharType="end"/>
      </w:r>
      <w:r w:rsidRPr="0010333C">
        <w:rPr>
          <w:lang w:val="fr-FR"/>
        </w:rPr>
        <w:tab/>
        <w:t>La CIOPORA a expliqué que les descriptions variétales étaient importantes pour la défense des droits d</w:t>
      </w:r>
      <w:r w:rsidR="00584454" w:rsidRPr="0010333C">
        <w:rPr>
          <w:lang w:val="fr-FR"/>
        </w:rPr>
        <w:t>’</w:t>
      </w:r>
      <w:r w:rsidRPr="0010333C">
        <w:rPr>
          <w:lang w:val="fr-FR"/>
        </w:rPr>
        <w:t>obtenteur et étaient souvent remises en question lorsque l</w:t>
      </w:r>
      <w:r w:rsidR="00584454" w:rsidRPr="0010333C">
        <w:rPr>
          <w:lang w:val="fr-FR"/>
        </w:rPr>
        <w:t>’</w:t>
      </w:r>
      <w:r w:rsidRPr="0010333C">
        <w:rPr>
          <w:lang w:val="fr-FR"/>
        </w:rPr>
        <w:t>on s</w:t>
      </w:r>
      <w:r w:rsidR="00584454" w:rsidRPr="0010333C">
        <w:rPr>
          <w:lang w:val="fr-FR"/>
        </w:rPr>
        <w:t>’</w:t>
      </w:r>
      <w:r w:rsidRPr="0010333C">
        <w:rPr>
          <w:lang w:val="fr-FR"/>
        </w:rPr>
        <w:t>efforçait de déterminer si le matériel végétal en question appartenait à la variété protégée.</w:t>
      </w:r>
    </w:p>
    <w:p w:rsidR="008E3F88" w:rsidRPr="0010333C" w:rsidRDefault="008E3F88" w:rsidP="0010333C">
      <w:pPr>
        <w:rPr>
          <w:lang w:val="fr-FR"/>
        </w:rPr>
      </w:pPr>
    </w:p>
    <w:p w:rsidR="008E3F88" w:rsidRPr="0010333C" w:rsidRDefault="008E3F88" w:rsidP="0010333C">
      <w:pPr>
        <w:tabs>
          <w:tab w:val="left" w:pos="567"/>
        </w:tabs>
        <w:rPr>
          <w:lang w:val="fr-FR"/>
        </w:rPr>
      </w:pPr>
      <w:r w:rsidRPr="0010333C">
        <w:rPr>
          <w:lang w:val="fr-FR"/>
        </w:rPr>
        <w:fldChar w:fldCharType="begin"/>
      </w:r>
      <w:r w:rsidRPr="0010333C">
        <w:rPr>
          <w:lang w:val="fr-FR"/>
        </w:rPr>
        <w:instrText xml:space="preserve"> AUTONUM  </w:instrText>
      </w:r>
      <w:r w:rsidRPr="0010333C">
        <w:rPr>
          <w:lang w:val="fr-FR"/>
        </w:rPr>
        <w:fldChar w:fldCharType="end"/>
      </w:r>
      <w:r w:rsidRPr="0010333C">
        <w:rPr>
          <w:lang w:val="fr-FR"/>
        </w:rPr>
        <w:tab/>
      </w:r>
      <w:r w:rsidRPr="0010333C">
        <w:rPr>
          <w:rFonts w:eastAsia="SimSun"/>
          <w:lang w:val="fr-FR"/>
        </w:rPr>
        <w:t>Le TWO est convenu d</w:t>
      </w:r>
      <w:r w:rsidR="00584454" w:rsidRPr="0010333C">
        <w:rPr>
          <w:rFonts w:eastAsia="SimSun"/>
          <w:lang w:val="fr-FR"/>
        </w:rPr>
        <w:t>’</w:t>
      </w:r>
      <w:r w:rsidRPr="0010333C">
        <w:rPr>
          <w:rFonts w:eastAsia="SimSun"/>
          <w:lang w:val="fr-FR"/>
        </w:rPr>
        <w:t>inviter l</w:t>
      </w:r>
      <w:r w:rsidR="00584454" w:rsidRPr="0010333C">
        <w:rPr>
          <w:rFonts w:eastAsia="SimSun"/>
          <w:lang w:val="fr-FR"/>
        </w:rPr>
        <w:t>’</w:t>
      </w:r>
      <w:r w:rsidRPr="0010333C">
        <w:rPr>
          <w:rFonts w:eastAsia="SimSun"/>
          <w:lang w:val="fr-FR"/>
        </w:rPr>
        <w:t>Allemagne, l</w:t>
      </w:r>
      <w:r w:rsidR="00584454" w:rsidRPr="0010333C">
        <w:rPr>
          <w:rFonts w:eastAsia="SimSun"/>
          <w:lang w:val="fr-FR"/>
        </w:rPr>
        <w:t>’</w:t>
      </w:r>
      <w:r w:rsidRPr="0010333C">
        <w:rPr>
          <w:rFonts w:eastAsia="SimSun"/>
          <w:lang w:val="fr-FR"/>
        </w:rPr>
        <w:t>Australie, les Pays</w:t>
      </w:r>
      <w:r w:rsidR="00BB3EE2" w:rsidRPr="0010333C">
        <w:rPr>
          <w:rFonts w:eastAsia="SimSun"/>
          <w:szCs w:val="22"/>
          <w:lang w:val="fr-FR"/>
        </w:rPr>
        <w:noBreakHyphen/>
      </w:r>
      <w:r w:rsidRPr="0010333C">
        <w:rPr>
          <w:rFonts w:eastAsia="SimSun"/>
          <w:szCs w:val="22"/>
          <w:lang w:val="fr-FR"/>
        </w:rPr>
        <w:t>Bas et</w:t>
      </w:r>
      <w:r w:rsidRPr="0010333C">
        <w:rPr>
          <w:rFonts w:eastAsia="SimSun"/>
          <w:lang w:val="fr-FR"/>
        </w:rPr>
        <w:t xml:space="preserve"> l</w:t>
      </w:r>
      <w:r w:rsidR="00584454" w:rsidRPr="0010333C">
        <w:rPr>
          <w:rFonts w:eastAsia="SimSun"/>
          <w:lang w:val="fr-FR"/>
        </w:rPr>
        <w:t>’</w:t>
      </w:r>
      <w:r w:rsidRPr="0010333C">
        <w:rPr>
          <w:rFonts w:eastAsia="SimSun"/>
          <w:lang w:val="fr-FR"/>
        </w:rPr>
        <w:t>Union européenne à présenter des exposés sur les questions concernant les descriptions variétales à sa quarante</w:t>
      </w:r>
      <w:r w:rsidR="00BB3EE2" w:rsidRPr="0010333C">
        <w:rPr>
          <w:rFonts w:eastAsia="SimSun"/>
          <w:szCs w:val="22"/>
          <w:lang w:val="fr-FR"/>
        </w:rPr>
        <w:noBreakHyphen/>
      </w:r>
      <w:r w:rsidRPr="0010333C">
        <w:rPr>
          <w:rFonts w:eastAsia="SimSun"/>
          <w:szCs w:val="22"/>
          <w:lang w:val="fr-FR"/>
        </w:rPr>
        <w:t>neuvième</w:t>
      </w:r>
      <w:r w:rsidR="00B835B6" w:rsidRPr="0010333C">
        <w:rPr>
          <w:rFonts w:eastAsia="SimSun"/>
          <w:szCs w:val="22"/>
          <w:lang w:val="fr-FR"/>
        </w:rPr>
        <w:t> </w:t>
      </w:r>
      <w:r w:rsidRPr="0010333C">
        <w:rPr>
          <w:rFonts w:eastAsia="SimSun"/>
          <w:szCs w:val="22"/>
          <w:lang w:val="fr-FR"/>
        </w:rPr>
        <w:t xml:space="preserve">session prévue </w:t>
      </w:r>
      <w:r w:rsidRPr="0010333C">
        <w:rPr>
          <w:lang w:val="fr-FR"/>
        </w:rPr>
        <w:t>en</w:t>
      </w:r>
      <w:r w:rsidR="00B835B6" w:rsidRPr="0010333C">
        <w:rPr>
          <w:lang w:val="fr-FR"/>
        </w:rPr>
        <w:t> </w:t>
      </w:r>
      <w:r w:rsidRPr="0010333C">
        <w:rPr>
          <w:lang w:val="fr-FR"/>
        </w:rPr>
        <w:t>2016.</w:t>
      </w:r>
    </w:p>
    <w:p w:rsidR="008E3F88" w:rsidRPr="0010333C" w:rsidRDefault="008E3F88" w:rsidP="0010333C">
      <w:pPr>
        <w:rPr>
          <w:rFonts w:cs="Arial"/>
          <w:lang w:val="fr-FR"/>
        </w:rPr>
      </w:pPr>
    </w:p>
    <w:p w:rsidR="00584454" w:rsidRPr="0010333C" w:rsidRDefault="008E3F88" w:rsidP="0010333C">
      <w:pPr>
        <w:pStyle w:val="DecisionParagraphs"/>
        <w:tabs>
          <w:tab w:val="left" w:pos="5954"/>
          <w:tab w:val="left" w:pos="6521"/>
        </w:tabs>
        <w:rPr>
          <w:lang w:val="fr-FR"/>
        </w:rPr>
      </w:pPr>
      <w:r w:rsidRPr="0010333C">
        <w:rPr>
          <w:lang w:val="fr-FR"/>
        </w:rPr>
        <w:fldChar w:fldCharType="begin"/>
      </w:r>
      <w:r w:rsidRPr="0010333C">
        <w:rPr>
          <w:lang w:val="fr-FR"/>
        </w:rPr>
        <w:instrText xml:space="preserve"> AUTONUM  </w:instrText>
      </w:r>
      <w:r w:rsidRPr="0010333C">
        <w:rPr>
          <w:lang w:val="fr-FR"/>
        </w:rPr>
        <w:fldChar w:fldCharType="end"/>
      </w:r>
      <w:r w:rsidRPr="0010333C">
        <w:rPr>
          <w:lang w:val="fr-FR"/>
        </w:rPr>
        <w:tab/>
        <w:t>Le</w:t>
      </w:r>
      <w:r w:rsidR="00584454" w:rsidRPr="0010333C">
        <w:rPr>
          <w:lang w:val="fr-FR"/>
        </w:rPr>
        <w:t> TC</w:t>
      </w:r>
      <w:r w:rsidRPr="0010333C">
        <w:rPr>
          <w:lang w:val="fr-FR"/>
        </w:rPr>
        <w:t xml:space="preserve"> est invité</w:t>
      </w:r>
      <w:r w:rsidR="006A4C34">
        <w:rPr>
          <w:lang w:val="fr-FR"/>
        </w:rPr>
        <w:t xml:space="preserve"> à :</w:t>
      </w:r>
    </w:p>
    <w:p w:rsidR="008E3F88" w:rsidRPr="0010333C" w:rsidRDefault="008E3F88" w:rsidP="0010333C">
      <w:pPr>
        <w:pStyle w:val="DecisionParagraphs"/>
        <w:tabs>
          <w:tab w:val="left" w:pos="5954"/>
          <w:tab w:val="left" w:pos="6521"/>
        </w:tabs>
        <w:rPr>
          <w:lang w:val="fr-FR"/>
        </w:rPr>
      </w:pPr>
    </w:p>
    <w:p w:rsidR="00584454" w:rsidRPr="0010333C" w:rsidRDefault="006A4C34" w:rsidP="0010333C">
      <w:pPr>
        <w:pStyle w:val="DecisionParagraphs"/>
        <w:tabs>
          <w:tab w:val="left" w:pos="5954"/>
          <w:tab w:val="left" w:pos="6521"/>
        </w:tabs>
        <w:rPr>
          <w:lang w:val="fr-FR"/>
        </w:rPr>
      </w:pPr>
      <w:r>
        <w:rPr>
          <w:lang w:val="fr-FR"/>
        </w:rPr>
        <w:tab/>
        <w:t>a)</w:t>
      </w:r>
      <w:r>
        <w:rPr>
          <w:lang w:val="fr-FR"/>
        </w:rPr>
        <w:tab/>
      </w:r>
      <w:r w:rsidR="008E3F88" w:rsidRPr="0010333C">
        <w:rPr>
          <w:lang w:val="fr-FR"/>
        </w:rPr>
        <w:t>noter que</w:t>
      </w:r>
      <w:r w:rsidR="00584454" w:rsidRPr="0010333C">
        <w:rPr>
          <w:lang w:val="fr-FR"/>
        </w:rPr>
        <w:t xml:space="preserve"> le CAJ</w:t>
      </w:r>
      <w:r w:rsidR="008E3F88" w:rsidRPr="0010333C">
        <w:rPr>
          <w:lang w:val="fr-FR"/>
        </w:rPr>
        <w:t>, à sa soixante</w:t>
      </w:r>
      <w:r w:rsidR="00B835B6" w:rsidRPr="0010333C">
        <w:rPr>
          <w:lang w:val="fr-FR"/>
        </w:rPr>
        <w:t> </w:t>
      </w:r>
      <w:r w:rsidR="008E3F88" w:rsidRPr="0010333C">
        <w:rPr>
          <w:lang w:val="fr-FR"/>
        </w:rPr>
        <w:t>et</w:t>
      </w:r>
      <w:r w:rsidR="00B835B6" w:rsidRPr="0010333C">
        <w:rPr>
          <w:lang w:val="fr-FR"/>
        </w:rPr>
        <w:t> </w:t>
      </w:r>
      <w:r w:rsidR="008E3F88" w:rsidRPr="0010333C">
        <w:rPr>
          <w:lang w:val="fr-FR"/>
        </w:rPr>
        <w:t>onzième</w:t>
      </w:r>
      <w:r w:rsidR="00B835B6" w:rsidRPr="0010333C">
        <w:rPr>
          <w:lang w:val="fr-FR"/>
        </w:rPr>
        <w:t> </w:t>
      </w:r>
      <w:r w:rsidR="008E3F88" w:rsidRPr="0010333C">
        <w:rPr>
          <w:lang w:val="fr-FR"/>
        </w:rPr>
        <w:t>session, a souscrit à la conclusion adoptée par</w:t>
      </w:r>
      <w:r w:rsidR="00584454" w:rsidRPr="0010333C">
        <w:rPr>
          <w:lang w:val="fr-FR"/>
        </w:rPr>
        <w:t xml:space="preserve"> le CAJ</w:t>
      </w:r>
      <w:r w:rsidR="00BB3EE2" w:rsidRPr="0010333C">
        <w:rPr>
          <w:lang w:val="fr-FR"/>
        </w:rPr>
        <w:noBreakHyphen/>
      </w:r>
      <w:r w:rsidR="008E3F88" w:rsidRPr="0010333C">
        <w:rPr>
          <w:lang w:val="fr-FR"/>
        </w:rPr>
        <w:t>AG, à sa neuvième</w:t>
      </w:r>
      <w:r w:rsidR="00B835B6" w:rsidRPr="0010333C">
        <w:rPr>
          <w:lang w:val="fr-FR"/>
        </w:rPr>
        <w:t> </w:t>
      </w:r>
      <w:r w:rsidR="008E3F88" w:rsidRPr="0010333C">
        <w:rPr>
          <w:lang w:val="fr-FR"/>
        </w:rPr>
        <w:t>session, sur</w:t>
      </w:r>
    </w:p>
    <w:p w:rsidR="008E3F88" w:rsidRPr="0010333C" w:rsidRDefault="008E3F88" w:rsidP="0010333C">
      <w:pPr>
        <w:pStyle w:val="DecisionParagraphs"/>
        <w:tabs>
          <w:tab w:val="left" w:pos="5954"/>
          <w:tab w:val="left" w:pos="6521"/>
        </w:tabs>
        <w:rPr>
          <w:lang w:val="fr-FR"/>
        </w:rPr>
      </w:pPr>
    </w:p>
    <w:p w:rsidR="008E3F88" w:rsidRPr="0010333C" w:rsidRDefault="008E3F88" w:rsidP="0010333C">
      <w:pPr>
        <w:pStyle w:val="DecisionParagraphs"/>
        <w:tabs>
          <w:tab w:val="left" w:pos="5954"/>
          <w:tab w:val="left" w:pos="6521"/>
        </w:tabs>
        <w:rPr>
          <w:lang w:val="fr-FR"/>
        </w:rPr>
      </w:pPr>
      <w:r w:rsidRPr="0010333C">
        <w:rPr>
          <w:lang w:val="fr-FR"/>
        </w:rPr>
        <w:tab/>
      </w:r>
      <w:r w:rsidRPr="0010333C">
        <w:rPr>
          <w:lang w:val="fr-FR"/>
        </w:rPr>
        <w:tab/>
        <w:t>i)</w:t>
      </w:r>
      <w:r w:rsidRPr="0010333C">
        <w:rPr>
          <w:lang w:val="fr-FR"/>
        </w:rPr>
        <w:tab/>
        <w:t>le but de la description variétale élaborée au moment de l</w:t>
      </w:r>
      <w:r w:rsidR="00584454" w:rsidRPr="0010333C">
        <w:rPr>
          <w:lang w:val="fr-FR"/>
        </w:rPr>
        <w:t>’</w:t>
      </w:r>
      <w:r w:rsidRPr="0010333C">
        <w:rPr>
          <w:lang w:val="fr-FR"/>
        </w:rPr>
        <w:t>octroi du droit d</w:t>
      </w:r>
      <w:r w:rsidR="00584454" w:rsidRPr="0010333C">
        <w:rPr>
          <w:lang w:val="fr-FR"/>
        </w:rPr>
        <w:t>’</w:t>
      </w:r>
      <w:r w:rsidRPr="0010333C">
        <w:rPr>
          <w:lang w:val="fr-FR"/>
        </w:rPr>
        <w:t>obtenteur (description variétale initiale), comme indiqué au paragraphe 12 du présent document</w:t>
      </w:r>
      <w:r w:rsidR="00BB3EE2" w:rsidRPr="0010333C">
        <w:rPr>
          <w:lang w:val="fr-FR"/>
        </w:rPr>
        <w:t>,</w:t>
      </w:r>
      <w:r w:rsidRPr="0010333C">
        <w:rPr>
          <w:lang w:val="fr-FR"/>
        </w:rPr>
        <w:t xml:space="preserve"> et</w:t>
      </w:r>
    </w:p>
    <w:p w:rsidR="008E3F88" w:rsidRPr="0010333C" w:rsidRDefault="008E3F88" w:rsidP="0010333C">
      <w:pPr>
        <w:pStyle w:val="DecisionParagraphs"/>
        <w:tabs>
          <w:tab w:val="left" w:pos="5954"/>
          <w:tab w:val="left" w:pos="6521"/>
        </w:tabs>
        <w:rPr>
          <w:lang w:val="fr-FR"/>
        </w:rPr>
      </w:pPr>
    </w:p>
    <w:p w:rsidR="008E3F88" w:rsidRPr="0010333C" w:rsidRDefault="008E3F88" w:rsidP="0010333C">
      <w:pPr>
        <w:pStyle w:val="DecisionParagraphs"/>
        <w:tabs>
          <w:tab w:val="left" w:pos="5954"/>
          <w:tab w:val="left" w:pos="6521"/>
        </w:tabs>
        <w:rPr>
          <w:lang w:val="fr-FR"/>
        </w:rPr>
      </w:pPr>
      <w:r w:rsidRPr="0010333C">
        <w:rPr>
          <w:lang w:val="fr-FR"/>
        </w:rPr>
        <w:tab/>
      </w:r>
      <w:r w:rsidRPr="0010333C">
        <w:rPr>
          <w:lang w:val="fr-FR"/>
        </w:rPr>
        <w:tab/>
        <w:t>ii)</w:t>
      </w:r>
      <w:r w:rsidRPr="0010333C">
        <w:rPr>
          <w:lang w:val="fr-FR"/>
        </w:rPr>
        <w:tab/>
        <w:t>le statut de la description variétale initiale, au regard de la vérification de la conformité du matériel végétal à une variété protégée aux fins de la défense du droit d</w:t>
      </w:r>
      <w:r w:rsidR="00584454" w:rsidRPr="0010333C">
        <w:rPr>
          <w:lang w:val="fr-FR"/>
        </w:rPr>
        <w:t>’</w:t>
      </w:r>
      <w:r w:rsidRPr="0010333C">
        <w:rPr>
          <w:lang w:val="fr-FR"/>
        </w:rPr>
        <w:t>obtenteur, comme indiqué au paragraphe</w:t>
      </w:r>
      <w:r w:rsidR="00B835B6" w:rsidRPr="0010333C">
        <w:rPr>
          <w:lang w:val="fr-FR"/>
        </w:rPr>
        <w:t> </w:t>
      </w:r>
      <w:r w:rsidRPr="0010333C">
        <w:rPr>
          <w:lang w:val="fr-FR"/>
        </w:rPr>
        <w:t>13 du présent document</w:t>
      </w:r>
      <w:r w:rsidR="00BB3EE2" w:rsidRPr="0010333C">
        <w:rPr>
          <w:lang w:val="fr-FR"/>
        </w:rPr>
        <w:t>,</w:t>
      </w:r>
    </w:p>
    <w:p w:rsidR="008E3F88" w:rsidRPr="0010333C" w:rsidRDefault="008E3F88" w:rsidP="0010333C">
      <w:pPr>
        <w:pStyle w:val="DecisionParagraphs"/>
        <w:tabs>
          <w:tab w:val="left" w:pos="5954"/>
          <w:tab w:val="left" w:pos="6521"/>
        </w:tabs>
        <w:rPr>
          <w:lang w:val="fr-FR"/>
        </w:rPr>
      </w:pPr>
    </w:p>
    <w:p w:rsidR="008E3F88" w:rsidRPr="0010333C" w:rsidRDefault="006A4C34" w:rsidP="0010333C">
      <w:pPr>
        <w:pStyle w:val="DecisionParagraphs"/>
        <w:tabs>
          <w:tab w:val="left" w:pos="5954"/>
          <w:tab w:val="left" w:pos="6521"/>
        </w:tabs>
        <w:rPr>
          <w:lang w:val="fr-FR"/>
        </w:rPr>
      </w:pPr>
      <w:r>
        <w:rPr>
          <w:lang w:val="fr-FR"/>
        </w:rPr>
        <w:tab/>
        <w:t>b)</w:t>
      </w:r>
      <w:r>
        <w:rPr>
          <w:lang w:val="fr-FR"/>
        </w:rPr>
        <w:tab/>
      </w:r>
      <w:r w:rsidR="008E3F88" w:rsidRPr="0010333C">
        <w:rPr>
          <w:lang w:val="fr-FR"/>
        </w:rPr>
        <w:t>prendre note des exposés sur les “questions concernant les descriptions variétales” présentés</w:t>
      </w:r>
      <w:r w:rsidR="00584454" w:rsidRPr="0010333C">
        <w:rPr>
          <w:lang w:val="fr-FR"/>
        </w:rPr>
        <w:t xml:space="preserve"> aux TWP</w:t>
      </w:r>
      <w:r w:rsidR="008E3F88" w:rsidRPr="0010333C">
        <w:rPr>
          <w:lang w:val="fr-FR"/>
        </w:rPr>
        <w:t>, à leurs sessions de</w:t>
      </w:r>
      <w:r w:rsidR="00B835B6" w:rsidRPr="0010333C">
        <w:rPr>
          <w:lang w:val="fr-FR"/>
        </w:rPr>
        <w:t> </w:t>
      </w:r>
      <w:r w:rsidR="008E3F88" w:rsidRPr="0010333C">
        <w:rPr>
          <w:lang w:val="fr-FR"/>
        </w:rPr>
        <w:t>2015, comme indiqué au paragraphe</w:t>
      </w:r>
      <w:r w:rsidR="00B835B6" w:rsidRPr="0010333C">
        <w:rPr>
          <w:lang w:val="fr-FR"/>
        </w:rPr>
        <w:t> </w:t>
      </w:r>
      <w:r w:rsidR="008E3F88" w:rsidRPr="0010333C">
        <w:rPr>
          <w:lang w:val="fr-FR"/>
        </w:rPr>
        <w:t>17 du présent document</w:t>
      </w:r>
      <w:r w:rsidR="00BB3EE2" w:rsidRPr="0010333C">
        <w:rPr>
          <w:lang w:val="fr-FR"/>
        </w:rPr>
        <w:t>,</w:t>
      </w:r>
    </w:p>
    <w:p w:rsidR="008E3F88" w:rsidRPr="0010333C" w:rsidRDefault="008E3F88" w:rsidP="0010333C">
      <w:pPr>
        <w:pStyle w:val="DecisionParagraphs"/>
        <w:tabs>
          <w:tab w:val="left" w:pos="5954"/>
          <w:tab w:val="left" w:pos="6521"/>
        </w:tabs>
        <w:rPr>
          <w:lang w:val="fr-FR"/>
        </w:rPr>
      </w:pPr>
    </w:p>
    <w:p w:rsidR="008E3F88" w:rsidRPr="0010333C" w:rsidRDefault="006A4C34" w:rsidP="0010333C">
      <w:pPr>
        <w:pStyle w:val="DecisionParagraphs"/>
        <w:tabs>
          <w:tab w:val="left" w:pos="5954"/>
          <w:tab w:val="left" w:pos="6521"/>
        </w:tabs>
        <w:rPr>
          <w:lang w:val="fr-FR"/>
        </w:rPr>
      </w:pPr>
      <w:r>
        <w:rPr>
          <w:lang w:val="fr-FR"/>
        </w:rPr>
        <w:tab/>
        <w:t>c)</w:t>
      </w:r>
      <w:r>
        <w:rPr>
          <w:lang w:val="fr-FR"/>
        </w:rPr>
        <w:tab/>
      </w:r>
      <w:r w:rsidR="008E3F88" w:rsidRPr="0010333C">
        <w:rPr>
          <w:lang w:val="fr-FR"/>
        </w:rPr>
        <w:t>prendre note des observations formulées par</w:t>
      </w:r>
      <w:r w:rsidR="00584454" w:rsidRPr="0010333C">
        <w:rPr>
          <w:lang w:val="fr-FR"/>
        </w:rPr>
        <w:t xml:space="preserve"> les TWP</w:t>
      </w:r>
      <w:r w:rsidR="008E3F88" w:rsidRPr="0010333C">
        <w:rPr>
          <w:lang w:val="fr-FR"/>
        </w:rPr>
        <w:t>, à leurs sessions de</w:t>
      </w:r>
      <w:r w:rsidR="00B835B6" w:rsidRPr="0010333C">
        <w:rPr>
          <w:lang w:val="fr-FR"/>
        </w:rPr>
        <w:t> </w:t>
      </w:r>
      <w:r w:rsidR="008E3F88" w:rsidRPr="0010333C">
        <w:rPr>
          <w:lang w:val="fr-FR"/>
        </w:rPr>
        <w:t xml:space="preserve">2015, sur les questions concernant les descriptions variétales et le rôle du matériel végétal utilisé comme base de </w:t>
      </w:r>
      <w:r w:rsidR="008E3F88" w:rsidRPr="0010333C">
        <w:rPr>
          <w:lang w:val="fr-FR"/>
        </w:rPr>
        <w:lastRenderedPageBreak/>
        <w:t>l</w:t>
      </w:r>
      <w:r w:rsidR="00584454" w:rsidRPr="0010333C">
        <w:rPr>
          <w:lang w:val="fr-FR"/>
        </w:rPr>
        <w:t>’</w:t>
      </w:r>
      <w:r w:rsidR="008E3F88" w:rsidRPr="0010333C">
        <w:rPr>
          <w:lang w:val="fr-FR"/>
        </w:rPr>
        <w:t>examen</w:t>
      </w:r>
      <w:r w:rsidR="00B835B6" w:rsidRPr="0010333C">
        <w:rPr>
          <w:lang w:val="fr-FR"/>
        </w:rPr>
        <w:t> </w:t>
      </w:r>
      <w:r w:rsidR="008E3F88" w:rsidRPr="0010333C">
        <w:rPr>
          <w:lang w:val="fr-FR"/>
        </w:rPr>
        <w:t>DHS, comme indiqué aux paragraphes</w:t>
      </w:r>
      <w:r w:rsidR="00B835B6" w:rsidRPr="0010333C">
        <w:rPr>
          <w:lang w:val="fr-FR"/>
        </w:rPr>
        <w:t> </w:t>
      </w:r>
      <w:r w:rsidR="0010333C">
        <w:rPr>
          <w:lang w:val="fr-FR"/>
        </w:rPr>
        <w:t>18 à </w:t>
      </w:r>
      <w:r w:rsidR="008E3F88" w:rsidRPr="0010333C">
        <w:rPr>
          <w:lang w:val="fr-FR"/>
        </w:rPr>
        <w:t>40 du présent document</w:t>
      </w:r>
      <w:r w:rsidR="00BB3EE2" w:rsidRPr="0010333C">
        <w:rPr>
          <w:lang w:val="fr-FR"/>
        </w:rPr>
        <w:t>,</w:t>
      </w:r>
      <w:r w:rsidR="008E3F88" w:rsidRPr="0010333C">
        <w:rPr>
          <w:lang w:val="fr-FR"/>
        </w:rPr>
        <w:t xml:space="preserve"> et</w:t>
      </w:r>
    </w:p>
    <w:p w:rsidR="008E3F88" w:rsidRPr="0010333C" w:rsidRDefault="008E3F88" w:rsidP="0010333C">
      <w:pPr>
        <w:pStyle w:val="DecisionParagraphs"/>
        <w:tabs>
          <w:tab w:val="left" w:pos="5954"/>
          <w:tab w:val="left" w:pos="6521"/>
        </w:tabs>
        <w:rPr>
          <w:lang w:val="fr-FR"/>
        </w:rPr>
      </w:pPr>
    </w:p>
    <w:p w:rsidR="008E3F88" w:rsidRPr="0010333C" w:rsidRDefault="006A4C34" w:rsidP="0010333C">
      <w:pPr>
        <w:pStyle w:val="DecisionParagraphs"/>
        <w:tabs>
          <w:tab w:val="left" w:pos="5954"/>
          <w:tab w:val="left" w:pos="6521"/>
        </w:tabs>
        <w:rPr>
          <w:rFonts w:eastAsia="SimSun"/>
          <w:lang w:val="fr-FR"/>
        </w:rPr>
      </w:pPr>
      <w:r>
        <w:rPr>
          <w:lang w:val="fr-FR"/>
        </w:rPr>
        <w:tab/>
        <w:t>d)</w:t>
      </w:r>
      <w:r>
        <w:rPr>
          <w:lang w:val="fr-FR"/>
        </w:rPr>
        <w:tab/>
      </w:r>
      <w:r w:rsidR="008E3F88" w:rsidRPr="0010333C">
        <w:rPr>
          <w:lang w:val="fr-FR"/>
        </w:rPr>
        <w:t>déterminer s</w:t>
      </w:r>
      <w:r w:rsidR="00584454" w:rsidRPr="0010333C">
        <w:rPr>
          <w:lang w:val="fr-FR"/>
        </w:rPr>
        <w:t>’</w:t>
      </w:r>
      <w:r w:rsidR="008E3F88" w:rsidRPr="0010333C">
        <w:rPr>
          <w:lang w:val="fr-FR"/>
        </w:rPr>
        <w:t>il convient d</w:t>
      </w:r>
      <w:r w:rsidR="00584454" w:rsidRPr="0010333C">
        <w:rPr>
          <w:lang w:val="fr-FR"/>
        </w:rPr>
        <w:t>’</w:t>
      </w:r>
      <w:r w:rsidR="008E3F88" w:rsidRPr="0010333C">
        <w:rPr>
          <w:lang w:val="fr-FR"/>
        </w:rPr>
        <w:t>inviter des experts à faire part</w:t>
      </w:r>
      <w:r w:rsidR="00584454" w:rsidRPr="0010333C">
        <w:rPr>
          <w:lang w:val="fr-FR"/>
        </w:rPr>
        <w:t xml:space="preserve"> aux TWP</w:t>
      </w:r>
      <w:r w:rsidR="008E3F88" w:rsidRPr="0010333C">
        <w:rPr>
          <w:lang w:val="fr-FR"/>
        </w:rPr>
        <w:t>, à leurs sessions de</w:t>
      </w:r>
      <w:r w:rsidR="00B835B6" w:rsidRPr="0010333C">
        <w:rPr>
          <w:lang w:val="fr-FR"/>
        </w:rPr>
        <w:t> </w:t>
      </w:r>
      <w:r w:rsidR="008E3F88" w:rsidRPr="0010333C">
        <w:rPr>
          <w:lang w:val="fr-FR"/>
        </w:rPr>
        <w:t>2016, de leurs données d</w:t>
      </w:r>
      <w:r w:rsidR="00584454" w:rsidRPr="0010333C">
        <w:rPr>
          <w:lang w:val="fr-FR"/>
        </w:rPr>
        <w:t>’</w:t>
      </w:r>
      <w:r w:rsidR="008E3F88" w:rsidRPr="0010333C">
        <w:rPr>
          <w:lang w:val="fr-FR"/>
        </w:rPr>
        <w:t>expérience concernant le rôle du matériel végétal utilisé comme base de l</w:t>
      </w:r>
      <w:r w:rsidR="00584454" w:rsidRPr="0010333C">
        <w:rPr>
          <w:lang w:val="fr-FR"/>
        </w:rPr>
        <w:t>’</w:t>
      </w:r>
      <w:r w:rsidR="008E3F88" w:rsidRPr="0010333C">
        <w:rPr>
          <w:lang w:val="fr-FR"/>
        </w:rPr>
        <w:t>examen</w:t>
      </w:r>
      <w:r w:rsidR="00B835B6" w:rsidRPr="0010333C">
        <w:rPr>
          <w:lang w:val="fr-FR"/>
        </w:rPr>
        <w:t> </w:t>
      </w:r>
      <w:r w:rsidR="008E3F88" w:rsidRPr="0010333C">
        <w:rPr>
          <w:lang w:val="fr-FR"/>
        </w:rPr>
        <w:t>DHS en relation avec les questions présentées au paragraphe</w:t>
      </w:r>
      <w:r w:rsidR="00B835B6" w:rsidRPr="0010333C">
        <w:rPr>
          <w:lang w:val="fr-FR"/>
        </w:rPr>
        <w:t> </w:t>
      </w:r>
      <w:r w:rsidR="008E3F88" w:rsidRPr="0010333C">
        <w:rPr>
          <w:lang w:val="fr-FR"/>
        </w:rPr>
        <w:t>5 du présent document.</w:t>
      </w:r>
    </w:p>
    <w:p w:rsidR="008E3F88" w:rsidRPr="0010333C" w:rsidRDefault="008E3F88" w:rsidP="0010333C">
      <w:pPr>
        <w:rPr>
          <w:rFonts w:eastAsia="SimSun"/>
          <w:lang w:val="fr-FR"/>
        </w:rPr>
      </w:pPr>
    </w:p>
    <w:p w:rsidR="008E3F88" w:rsidRPr="0010333C" w:rsidRDefault="008E3F88" w:rsidP="0010333C">
      <w:pPr>
        <w:rPr>
          <w:rFonts w:eastAsia="SimSun"/>
          <w:lang w:val="fr-FR"/>
        </w:rPr>
      </w:pPr>
    </w:p>
    <w:p w:rsidR="008E3F88" w:rsidRPr="0010333C" w:rsidRDefault="008E3F88" w:rsidP="0010333C">
      <w:pPr>
        <w:rPr>
          <w:rFonts w:eastAsia="SimSun"/>
          <w:lang w:val="fr-FR"/>
        </w:rPr>
      </w:pPr>
    </w:p>
    <w:p w:rsidR="008E3F88" w:rsidRPr="0010333C" w:rsidRDefault="008E3F88" w:rsidP="0010333C">
      <w:pPr>
        <w:jc w:val="right"/>
        <w:rPr>
          <w:rFonts w:eastAsia="SimSun"/>
          <w:lang w:val="fr-FR"/>
        </w:rPr>
      </w:pPr>
      <w:r w:rsidRPr="0010333C">
        <w:rPr>
          <w:rFonts w:eastAsia="SimSun"/>
          <w:lang w:val="fr-FR"/>
        </w:rPr>
        <w:t>[Fin du document]</w:t>
      </w:r>
    </w:p>
    <w:sectPr w:rsidR="008E3F88" w:rsidRPr="0010333C" w:rsidSect="00584454">
      <w:headerReference w:type="default" r:id="rId9"/>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2C6" w:rsidRDefault="00BC12C6" w:rsidP="00F45372">
      <w:r>
        <w:separator/>
      </w:r>
    </w:p>
    <w:p w:rsidR="00BC12C6" w:rsidRDefault="00BC12C6" w:rsidP="00F45372"/>
    <w:p w:rsidR="00BC12C6" w:rsidRDefault="00BC12C6" w:rsidP="00F45372"/>
  </w:endnote>
  <w:endnote w:type="continuationSeparator" w:id="0">
    <w:p w:rsidR="00BC12C6" w:rsidRDefault="00BC12C6" w:rsidP="00F45372">
      <w:r>
        <w:separator/>
      </w:r>
    </w:p>
    <w:p w:rsidR="00BC12C6" w:rsidRPr="00681A3D" w:rsidRDefault="00BC12C6">
      <w:pPr>
        <w:pStyle w:val="Footer"/>
        <w:spacing w:after="60"/>
        <w:rPr>
          <w:sz w:val="18"/>
          <w:lang w:val="fr-CH"/>
        </w:rPr>
      </w:pPr>
      <w:r w:rsidRPr="00681A3D">
        <w:rPr>
          <w:sz w:val="18"/>
          <w:lang w:val="fr-CH"/>
        </w:rPr>
        <w:t>[Suite de la note de la page précédente]</w:t>
      </w:r>
    </w:p>
    <w:p w:rsidR="00BC12C6" w:rsidRPr="00681A3D" w:rsidRDefault="00BC12C6" w:rsidP="00F45372">
      <w:pPr>
        <w:rPr>
          <w:lang w:val="fr-CH"/>
        </w:rPr>
      </w:pPr>
    </w:p>
    <w:p w:rsidR="00BC12C6" w:rsidRPr="00681A3D" w:rsidRDefault="00BC12C6" w:rsidP="00F45372">
      <w:pPr>
        <w:rPr>
          <w:lang w:val="fr-CH"/>
        </w:rPr>
      </w:pPr>
    </w:p>
  </w:endnote>
  <w:endnote w:type="continuationNotice" w:id="1">
    <w:p w:rsidR="00BC12C6" w:rsidRPr="00681A3D" w:rsidRDefault="00BC12C6" w:rsidP="00F45372">
      <w:pPr>
        <w:rPr>
          <w:lang w:val="fr-CH"/>
        </w:rPr>
      </w:pPr>
      <w:r w:rsidRPr="00681A3D">
        <w:rPr>
          <w:lang w:val="fr-CH"/>
        </w:rPr>
        <w:t>[Suite de la note page suivante]</w:t>
      </w:r>
    </w:p>
    <w:p w:rsidR="00BC12C6" w:rsidRPr="00681A3D" w:rsidRDefault="00BC12C6" w:rsidP="00F45372">
      <w:pPr>
        <w:rPr>
          <w:lang w:val="fr-CH"/>
        </w:rPr>
      </w:pPr>
    </w:p>
    <w:p w:rsidR="00BC12C6" w:rsidRPr="00681A3D" w:rsidRDefault="00BC12C6"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2C6" w:rsidRDefault="00BC12C6" w:rsidP="00F45372">
      <w:r>
        <w:separator/>
      </w:r>
    </w:p>
  </w:footnote>
  <w:footnote w:type="continuationSeparator" w:id="0">
    <w:p w:rsidR="00BC12C6" w:rsidRDefault="00BC12C6" w:rsidP="00F45372">
      <w:r>
        <w:separator/>
      </w:r>
    </w:p>
  </w:footnote>
  <w:footnote w:type="continuationNotice" w:id="1">
    <w:p w:rsidR="00BC12C6" w:rsidRPr="00F161EB" w:rsidRDefault="00BC12C6" w:rsidP="00F161EB">
      <w:pPr>
        <w:pStyle w:val="Footer"/>
      </w:pPr>
    </w:p>
  </w:footnote>
  <w:footnote w:id="2">
    <w:p w:rsidR="00BC12C6" w:rsidRPr="00C06AC6" w:rsidRDefault="00BC12C6" w:rsidP="007D189A">
      <w:pPr>
        <w:pStyle w:val="FootnoteText"/>
        <w:ind w:left="0" w:firstLine="0"/>
        <w:rPr>
          <w:lang w:val="fr-CH"/>
        </w:rPr>
      </w:pPr>
      <w:r>
        <w:rPr>
          <w:rStyle w:val="FootnoteReference"/>
        </w:rPr>
        <w:footnoteRef/>
      </w:r>
      <w:r w:rsidRPr="006A4C34">
        <w:rPr>
          <w:lang w:val="fr-FR"/>
        </w:rPr>
        <w:t xml:space="preserve"> </w:t>
      </w:r>
      <w:r>
        <w:rPr>
          <w:lang w:val="fr-CH"/>
        </w:rPr>
        <w:tab/>
        <w:t>Voir le paragraphe 21 du document CAJ</w:t>
      </w:r>
      <w:r w:rsidRPr="00C06AC6">
        <w:rPr>
          <w:lang w:val="fr-FR"/>
        </w:rPr>
        <w:noBreakHyphen/>
      </w:r>
      <w:r>
        <w:rPr>
          <w:lang w:val="fr-FR"/>
        </w:rPr>
        <w:t>AG/14/9/6 “Compte rendu des conclusions”.</w:t>
      </w:r>
    </w:p>
  </w:footnote>
  <w:footnote w:id="3">
    <w:p w:rsidR="00BC12C6" w:rsidRPr="00C06AC6" w:rsidRDefault="00BC12C6" w:rsidP="007D189A">
      <w:pPr>
        <w:pStyle w:val="FootnoteText"/>
        <w:ind w:left="0" w:firstLine="0"/>
        <w:rPr>
          <w:lang w:val="fr-CH"/>
        </w:rPr>
      </w:pPr>
      <w:r>
        <w:rPr>
          <w:rStyle w:val="FootnoteReference"/>
        </w:rPr>
        <w:footnoteRef/>
      </w:r>
      <w:r w:rsidRPr="006A4C34">
        <w:rPr>
          <w:lang w:val="fr-FR"/>
        </w:rPr>
        <w:t xml:space="preserve"> </w:t>
      </w:r>
      <w:r>
        <w:rPr>
          <w:lang w:val="fr-CH"/>
        </w:rPr>
        <w:tab/>
        <w:t>Voir le paragraphe 22 du document CAJ</w:t>
      </w:r>
      <w:r w:rsidRPr="00C06AC6">
        <w:rPr>
          <w:lang w:val="fr-FR"/>
        </w:rPr>
        <w:noBreakHyphen/>
      </w:r>
      <w:r>
        <w:rPr>
          <w:lang w:val="fr-FR"/>
        </w:rPr>
        <w:t>AG/14/9/6 “Compte rendu des conclusions”.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2C6" w:rsidRPr="00997029" w:rsidRDefault="00BC12C6" w:rsidP="00EB048E">
    <w:pPr>
      <w:pStyle w:val="Header"/>
      <w:rPr>
        <w:rStyle w:val="PageNumber"/>
      </w:rPr>
    </w:pPr>
    <w:r w:rsidRPr="00997029">
      <w:rPr>
        <w:rStyle w:val="PageNumber"/>
      </w:rPr>
      <w:t>T</w:t>
    </w:r>
    <w:r>
      <w:rPr>
        <w:rStyle w:val="PageNumber"/>
      </w:rPr>
      <w:t>C/52</w:t>
    </w:r>
    <w:r w:rsidRPr="00997029">
      <w:rPr>
        <w:rStyle w:val="PageNumber"/>
      </w:rPr>
      <w:t>/</w:t>
    </w:r>
    <w:r>
      <w:rPr>
        <w:rStyle w:val="PageNumber"/>
      </w:rPr>
      <w:t>21</w:t>
    </w:r>
  </w:p>
  <w:p w:rsidR="00BC12C6" w:rsidRPr="00997029" w:rsidRDefault="00BC12C6" w:rsidP="00EB048E">
    <w:pPr>
      <w:pStyle w:val="Header"/>
    </w:pPr>
    <w:proofErr w:type="gramStart"/>
    <w:r w:rsidRPr="00997029">
      <w:t>page</w:t>
    </w:r>
    <w:proofErr w:type="gramEnd"/>
    <w:r>
      <w:t>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2906A8">
      <w:rPr>
        <w:rStyle w:val="PageNumber"/>
        <w:noProof/>
      </w:rPr>
      <w:t>2</w:t>
    </w:r>
    <w:r w:rsidRPr="00997029">
      <w:rPr>
        <w:rStyle w:val="PageNumber"/>
      </w:rPr>
      <w:fldChar w:fldCharType="end"/>
    </w:r>
  </w:p>
  <w:p w:rsidR="00BC12C6" w:rsidRPr="00997029" w:rsidRDefault="00BC12C6" w:rsidP="00F453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A39F2"/>
    <w:multiLevelType w:val="hybridMultilevel"/>
    <w:tmpl w:val="87683F30"/>
    <w:lvl w:ilvl="0" w:tplc="87E0FD64">
      <w:start w:val="4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8277FA"/>
    <w:multiLevelType w:val="hybridMultilevel"/>
    <w:tmpl w:val="780E322A"/>
    <w:lvl w:ilvl="0" w:tplc="373A33DA">
      <w:numFmt w:val="bullet"/>
      <w:lvlText w:val="-"/>
      <w:lvlJc w:val="left"/>
      <w:pPr>
        <w:ind w:left="927" w:hanging="360"/>
      </w:pPr>
      <w:rPr>
        <w:rFonts w:ascii="Arial" w:eastAsia="Times New Roman" w:hAnsi="Arial" w:cs="Arial" w:hint="default"/>
        <w:color w:val="000000"/>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nsid w:val="56DD3794"/>
    <w:multiLevelType w:val="hybridMultilevel"/>
    <w:tmpl w:val="C758FAC2"/>
    <w:lvl w:ilvl="0" w:tplc="13062E2C">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F88"/>
    <w:rsid w:val="00010CF3"/>
    <w:rsid w:val="00011E27"/>
    <w:rsid w:val="000148BC"/>
    <w:rsid w:val="00024AB8"/>
    <w:rsid w:val="00030854"/>
    <w:rsid w:val="00036028"/>
    <w:rsid w:val="00044642"/>
    <w:rsid w:val="000446B9"/>
    <w:rsid w:val="00047E21"/>
    <w:rsid w:val="00085505"/>
    <w:rsid w:val="000B6E8B"/>
    <w:rsid w:val="000C7021"/>
    <w:rsid w:val="000D6BBC"/>
    <w:rsid w:val="000D7780"/>
    <w:rsid w:val="0010333C"/>
    <w:rsid w:val="00105929"/>
    <w:rsid w:val="001131D5"/>
    <w:rsid w:val="00141DB8"/>
    <w:rsid w:val="0014505B"/>
    <w:rsid w:val="0017474A"/>
    <w:rsid w:val="001758C6"/>
    <w:rsid w:val="00176792"/>
    <w:rsid w:val="0021332C"/>
    <w:rsid w:val="00213982"/>
    <w:rsid w:val="00235267"/>
    <w:rsid w:val="0024416D"/>
    <w:rsid w:val="002712DB"/>
    <w:rsid w:val="002800A0"/>
    <w:rsid w:val="002801B3"/>
    <w:rsid w:val="00281060"/>
    <w:rsid w:val="002906A8"/>
    <w:rsid w:val="002940E8"/>
    <w:rsid w:val="002A6E50"/>
    <w:rsid w:val="002C256A"/>
    <w:rsid w:val="00305A7F"/>
    <w:rsid w:val="003152FE"/>
    <w:rsid w:val="00320AE8"/>
    <w:rsid w:val="00327436"/>
    <w:rsid w:val="00344BD6"/>
    <w:rsid w:val="0035528D"/>
    <w:rsid w:val="00361821"/>
    <w:rsid w:val="003D12A9"/>
    <w:rsid w:val="003D227C"/>
    <w:rsid w:val="003D2B4D"/>
    <w:rsid w:val="003D7E71"/>
    <w:rsid w:val="00444A88"/>
    <w:rsid w:val="00474DA4"/>
    <w:rsid w:val="004846EF"/>
    <w:rsid w:val="004B6F67"/>
    <w:rsid w:val="004D047D"/>
    <w:rsid w:val="004F305A"/>
    <w:rsid w:val="00504E0E"/>
    <w:rsid w:val="00512164"/>
    <w:rsid w:val="00520297"/>
    <w:rsid w:val="005338F9"/>
    <w:rsid w:val="0054281C"/>
    <w:rsid w:val="0055268D"/>
    <w:rsid w:val="005556C7"/>
    <w:rsid w:val="00576BE4"/>
    <w:rsid w:val="00584454"/>
    <w:rsid w:val="005A400A"/>
    <w:rsid w:val="005B4A0E"/>
    <w:rsid w:val="00612379"/>
    <w:rsid w:val="0061555F"/>
    <w:rsid w:val="00641200"/>
    <w:rsid w:val="00681A3D"/>
    <w:rsid w:val="00687EB4"/>
    <w:rsid w:val="006A4C34"/>
    <w:rsid w:val="006B17D2"/>
    <w:rsid w:val="006C224E"/>
    <w:rsid w:val="006D780A"/>
    <w:rsid w:val="00732DEC"/>
    <w:rsid w:val="00735BD5"/>
    <w:rsid w:val="007556F6"/>
    <w:rsid w:val="00760EEF"/>
    <w:rsid w:val="00775EB2"/>
    <w:rsid w:val="00777EE5"/>
    <w:rsid w:val="00784836"/>
    <w:rsid w:val="0079023E"/>
    <w:rsid w:val="007A2854"/>
    <w:rsid w:val="007D0B65"/>
    <w:rsid w:val="007D0B9D"/>
    <w:rsid w:val="007D189A"/>
    <w:rsid w:val="007D19B0"/>
    <w:rsid w:val="007F48AA"/>
    <w:rsid w:val="007F498F"/>
    <w:rsid w:val="0080679D"/>
    <w:rsid w:val="008069FF"/>
    <w:rsid w:val="008108B0"/>
    <w:rsid w:val="00811B20"/>
    <w:rsid w:val="00822473"/>
    <w:rsid w:val="0082296E"/>
    <w:rsid w:val="00824099"/>
    <w:rsid w:val="00867AC1"/>
    <w:rsid w:val="008A743F"/>
    <w:rsid w:val="008C0970"/>
    <w:rsid w:val="008D2CF7"/>
    <w:rsid w:val="008D3729"/>
    <w:rsid w:val="008E3F88"/>
    <w:rsid w:val="00900C26"/>
    <w:rsid w:val="0090197F"/>
    <w:rsid w:val="00906DDC"/>
    <w:rsid w:val="00934E09"/>
    <w:rsid w:val="00936253"/>
    <w:rsid w:val="00952DD4"/>
    <w:rsid w:val="00970FED"/>
    <w:rsid w:val="00997029"/>
    <w:rsid w:val="00997C61"/>
    <w:rsid w:val="009A509B"/>
    <w:rsid w:val="009B63FA"/>
    <w:rsid w:val="009D690D"/>
    <w:rsid w:val="009E65B6"/>
    <w:rsid w:val="00A1007D"/>
    <w:rsid w:val="00A2260F"/>
    <w:rsid w:val="00A42AC3"/>
    <w:rsid w:val="00A430CF"/>
    <w:rsid w:val="00A47CDB"/>
    <w:rsid w:val="00A54309"/>
    <w:rsid w:val="00AA3CEC"/>
    <w:rsid w:val="00AB2B93"/>
    <w:rsid w:val="00AB7E5B"/>
    <w:rsid w:val="00AD065F"/>
    <w:rsid w:val="00AE0EF1"/>
    <w:rsid w:val="00B07301"/>
    <w:rsid w:val="00B224DE"/>
    <w:rsid w:val="00B438DE"/>
    <w:rsid w:val="00B835B6"/>
    <w:rsid w:val="00B84BBD"/>
    <w:rsid w:val="00BA43FB"/>
    <w:rsid w:val="00BB3EE2"/>
    <w:rsid w:val="00BC127D"/>
    <w:rsid w:val="00BC12C6"/>
    <w:rsid w:val="00BC1FE6"/>
    <w:rsid w:val="00C061B6"/>
    <w:rsid w:val="00C13808"/>
    <w:rsid w:val="00C2446C"/>
    <w:rsid w:val="00C36AE5"/>
    <w:rsid w:val="00C4033D"/>
    <w:rsid w:val="00C41F17"/>
    <w:rsid w:val="00C5791C"/>
    <w:rsid w:val="00C66290"/>
    <w:rsid w:val="00C72B7A"/>
    <w:rsid w:val="00C734F7"/>
    <w:rsid w:val="00C973F2"/>
    <w:rsid w:val="00CA774A"/>
    <w:rsid w:val="00CC11B0"/>
    <w:rsid w:val="00CF7E36"/>
    <w:rsid w:val="00D3708D"/>
    <w:rsid w:val="00D40426"/>
    <w:rsid w:val="00D55014"/>
    <w:rsid w:val="00D57C96"/>
    <w:rsid w:val="00D91203"/>
    <w:rsid w:val="00D95174"/>
    <w:rsid w:val="00DA6F36"/>
    <w:rsid w:val="00DB596E"/>
    <w:rsid w:val="00DC00EA"/>
    <w:rsid w:val="00E72D49"/>
    <w:rsid w:val="00E7593C"/>
    <w:rsid w:val="00E7678A"/>
    <w:rsid w:val="00E935F1"/>
    <w:rsid w:val="00E94A81"/>
    <w:rsid w:val="00EA1FFB"/>
    <w:rsid w:val="00EA5245"/>
    <w:rsid w:val="00EB048E"/>
    <w:rsid w:val="00EB238B"/>
    <w:rsid w:val="00EE34DF"/>
    <w:rsid w:val="00EF2F89"/>
    <w:rsid w:val="00F1237A"/>
    <w:rsid w:val="00F161EB"/>
    <w:rsid w:val="00F22CBD"/>
    <w:rsid w:val="00F45372"/>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E8B"/>
    <w:pPr>
      <w:jc w:val="both"/>
    </w:pPr>
    <w:rPr>
      <w:rFonts w:ascii="Arial" w:hAnsi="Arial"/>
    </w:rPr>
  </w:style>
  <w:style w:type="paragraph" w:styleId="Heading1">
    <w:name w:val="heading 1"/>
    <w:aliases w:val="COMMON NAME,common"/>
    <w:next w:val="Normal"/>
    <w:link w:val="Heading1Char"/>
    <w:autoRedefine/>
    <w:qFormat/>
    <w:rsid w:val="00C734F7"/>
    <w:pPr>
      <w:keepNext/>
      <w:jc w:val="both"/>
      <w:outlineLvl w:val="0"/>
    </w:pPr>
    <w:rPr>
      <w:rFonts w:ascii="Arial" w:hAnsi="Arial"/>
      <w:caps/>
    </w:rPr>
  </w:style>
  <w:style w:type="paragraph" w:styleId="Heading2">
    <w:name w:val="heading 2"/>
    <w:next w:val="Normal"/>
    <w:autoRedefine/>
    <w:qFormat/>
    <w:rsid w:val="00C734F7"/>
    <w:pPr>
      <w:keepNext/>
      <w:jc w:val="both"/>
      <w:outlineLvl w:val="1"/>
    </w:pPr>
    <w:rPr>
      <w:rFonts w:ascii="Arial" w:hAnsi="Arial"/>
      <w:u w:val="single"/>
    </w:rPr>
  </w:style>
  <w:style w:type="paragraph" w:styleId="Heading3">
    <w:name w:val="heading 3"/>
    <w:next w:val="Normal"/>
    <w:link w:val="Heading3Char"/>
    <w:autoRedefine/>
    <w:qFormat/>
    <w:rsid w:val="00C734F7"/>
    <w:pPr>
      <w:keepNext/>
      <w:jc w:val="both"/>
      <w:outlineLvl w:val="2"/>
    </w:pPr>
    <w:rPr>
      <w:rFonts w:ascii="Arial" w:hAnsi="Arial"/>
      <w:i/>
    </w:rPr>
  </w:style>
  <w:style w:type="paragraph" w:styleId="Heading4">
    <w:name w:val="heading 4"/>
    <w:next w:val="Normal"/>
    <w:autoRedefine/>
    <w:qFormat/>
    <w:rsid w:val="00C734F7"/>
    <w:pPr>
      <w:keepNext/>
      <w:ind w:left="567"/>
      <w:jc w:val="both"/>
      <w:outlineLvl w:val="3"/>
    </w:pPr>
    <w:rPr>
      <w:rFonts w:ascii="Arial" w:hAnsi="Arial"/>
      <w:u w:val="single"/>
      <w:lang w:val="fr-FR"/>
    </w:rPr>
  </w:style>
  <w:style w:type="paragraph" w:styleId="Heading5">
    <w:name w:val="heading 5"/>
    <w:next w:val="Normal"/>
    <w:autoRedefine/>
    <w:qFormat/>
    <w:rsid w:val="00C734F7"/>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rPr>
      <w:lang w:val="en-US"/>
    </w:rPr>
  </w:style>
  <w:style w:type="paragraph" w:customStyle="1" w:styleId="DecisionParagraphs">
    <w:name w:val="DecisionParagraphs"/>
    <w:basedOn w:val="Normal"/>
    <w:rsid w:val="00F161EB"/>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lang w:val="fr-FR"/>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F161EB"/>
    <w:pPr>
      <w:keepNext/>
      <w:keepLines/>
      <w:spacing w:before="180" w:after="120"/>
      <w:jc w:val="left"/>
    </w:pPr>
    <w:rPr>
      <w:caps/>
      <w:noProof/>
      <w:snapToGrid w:val="0"/>
      <w:u w:val="single"/>
    </w:rPr>
  </w:style>
  <w:style w:type="paragraph" w:customStyle="1" w:styleId="pldetails">
    <w:name w:val="pldetails"/>
    <w:basedOn w:val="Normal"/>
    <w:rsid w:val="00F161EB"/>
    <w:pPr>
      <w:keepLines/>
      <w:spacing w:before="60" w:after="60"/>
      <w:jc w:val="left"/>
    </w:pPr>
    <w:rPr>
      <w:noProof/>
      <w:snapToGrid w:val="0"/>
    </w:rPr>
  </w:style>
  <w:style w:type="paragraph" w:customStyle="1" w:styleId="plheading">
    <w:name w:val="plheading"/>
    <w:basedOn w:val="Normal"/>
    <w:rsid w:val="00F161EB"/>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C734F7"/>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C734F7"/>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C734F7"/>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C734F7"/>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C734F7"/>
    <w:pPr>
      <w:tabs>
        <w:tab w:val="right" w:leader="dot" w:pos="9639"/>
      </w:tabs>
      <w:contextualSpacing/>
      <w:jc w:val="center"/>
    </w:pPr>
    <w:rPr>
      <w:rFonts w:ascii="Arial" w:hAnsi="Arial"/>
      <w:caps/>
    </w:rPr>
  </w:style>
  <w:style w:type="paragraph" w:styleId="TOC5">
    <w:name w:val="toc 5"/>
    <w:next w:val="Normal"/>
    <w:autoRedefine/>
    <w:semiHidden/>
    <w:rsid w:val="00C734F7"/>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F48AA"/>
    <w:rPr>
      <w:rFonts w:ascii="Tahoma" w:hAnsi="Tahoma" w:cs="Tahoma"/>
      <w:sz w:val="16"/>
      <w:szCs w:val="16"/>
    </w:rPr>
  </w:style>
  <w:style w:type="character" w:customStyle="1" w:styleId="BalloonTextChar">
    <w:name w:val="Balloon Text Char"/>
    <w:basedOn w:val="DefaultParagraphFont"/>
    <w:link w:val="BalloonText"/>
    <w:rsid w:val="007F48AA"/>
    <w:rPr>
      <w:rFonts w:ascii="Tahoma" w:hAnsi="Tahoma" w:cs="Tahoma"/>
      <w:sz w:val="16"/>
      <w:szCs w:val="16"/>
    </w:rPr>
  </w:style>
  <w:style w:type="character" w:customStyle="1" w:styleId="Heading1Char">
    <w:name w:val="Heading 1 Char"/>
    <w:aliases w:val="COMMON NAME Char,common Char"/>
    <w:basedOn w:val="DefaultParagraphFont"/>
    <w:link w:val="Heading1"/>
    <w:rsid w:val="008E3F88"/>
    <w:rPr>
      <w:rFonts w:ascii="Arial" w:hAnsi="Arial"/>
      <w:caps/>
    </w:rPr>
  </w:style>
  <w:style w:type="paragraph" w:styleId="ListParagraph">
    <w:name w:val="List Paragraph"/>
    <w:basedOn w:val="Normal"/>
    <w:uiPriority w:val="34"/>
    <w:qFormat/>
    <w:rsid w:val="008E3F88"/>
    <w:pPr>
      <w:ind w:left="720"/>
      <w:contextualSpacing/>
    </w:pPr>
  </w:style>
  <w:style w:type="character" w:customStyle="1" w:styleId="FootnoteTextChar">
    <w:name w:val="Footnote Text Char"/>
    <w:link w:val="FootnoteText"/>
    <w:rsid w:val="008E3F88"/>
    <w:rPr>
      <w:rFonts w:ascii="Arial" w:hAnsi="Arial"/>
      <w:sz w:val="16"/>
    </w:rPr>
  </w:style>
  <w:style w:type="character" w:styleId="Emphasis">
    <w:name w:val="Emphasis"/>
    <w:basedOn w:val="DefaultParagraphFont"/>
    <w:qFormat/>
    <w:rsid w:val="008E3F88"/>
    <w:rPr>
      <w:i/>
      <w:iCs/>
    </w:rPr>
  </w:style>
  <w:style w:type="table" w:styleId="TableGrid">
    <w:name w:val="Table Grid"/>
    <w:basedOn w:val="TableNormal"/>
    <w:rsid w:val="008E3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E3F88"/>
    <w:rPr>
      <w:rFonts w:ascii="Arial" w:hAnsi="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E8B"/>
    <w:pPr>
      <w:jc w:val="both"/>
    </w:pPr>
    <w:rPr>
      <w:rFonts w:ascii="Arial" w:hAnsi="Arial"/>
    </w:rPr>
  </w:style>
  <w:style w:type="paragraph" w:styleId="Heading1">
    <w:name w:val="heading 1"/>
    <w:aliases w:val="COMMON NAME,common"/>
    <w:next w:val="Normal"/>
    <w:link w:val="Heading1Char"/>
    <w:autoRedefine/>
    <w:qFormat/>
    <w:rsid w:val="00C734F7"/>
    <w:pPr>
      <w:keepNext/>
      <w:jc w:val="both"/>
      <w:outlineLvl w:val="0"/>
    </w:pPr>
    <w:rPr>
      <w:rFonts w:ascii="Arial" w:hAnsi="Arial"/>
      <w:caps/>
    </w:rPr>
  </w:style>
  <w:style w:type="paragraph" w:styleId="Heading2">
    <w:name w:val="heading 2"/>
    <w:next w:val="Normal"/>
    <w:autoRedefine/>
    <w:qFormat/>
    <w:rsid w:val="00C734F7"/>
    <w:pPr>
      <w:keepNext/>
      <w:jc w:val="both"/>
      <w:outlineLvl w:val="1"/>
    </w:pPr>
    <w:rPr>
      <w:rFonts w:ascii="Arial" w:hAnsi="Arial"/>
      <w:u w:val="single"/>
    </w:rPr>
  </w:style>
  <w:style w:type="paragraph" w:styleId="Heading3">
    <w:name w:val="heading 3"/>
    <w:next w:val="Normal"/>
    <w:link w:val="Heading3Char"/>
    <w:autoRedefine/>
    <w:qFormat/>
    <w:rsid w:val="00C734F7"/>
    <w:pPr>
      <w:keepNext/>
      <w:jc w:val="both"/>
      <w:outlineLvl w:val="2"/>
    </w:pPr>
    <w:rPr>
      <w:rFonts w:ascii="Arial" w:hAnsi="Arial"/>
      <w:i/>
    </w:rPr>
  </w:style>
  <w:style w:type="paragraph" w:styleId="Heading4">
    <w:name w:val="heading 4"/>
    <w:next w:val="Normal"/>
    <w:autoRedefine/>
    <w:qFormat/>
    <w:rsid w:val="00C734F7"/>
    <w:pPr>
      <w:keepNext/>
      <w:ind w:left="567"/>
      <w:jc w:val="both"/>
      <w:outlineLvl w:val="3"/>
    </w:pPr>
    <w:rPr>
      <w:rFonts w:ascii="Arial" w:hAnsi="Arial"/>
      <w:u w:val="single"/>
      <w:lang w:val="fr-FR"/>
    </w:rPr>
  </w:style>
  <w:style w:type="paragraph" w:styleId="Heading5">
    <w:name w:val="heading 5"/>
    <w:next w:val="Normal"/>
    <w:autoRedefine/>
    <w:qFormat/>
    <w:rsid w:val="00C734F7"/>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rPr>
      <w:lang w:val="en-US"/>
    </w:rPr>
  </w:style>
  <w:style w:type="paragraph" w:customStyle="1" w:styleId="DecisionParagraphs">
    <w:name w:val="DecisionParagraphs"/>
    <w:basedOn w:val="Normal"/>
    <w:rsid w:val="00F161EB"/>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lang w:val="fr-FR"/>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F161EB"/>
    <w:pPr>
      <w:keepNext/>
      <w:keepLines/>
      <w:spacing w:before="180" w:after="120"/>
      <w:jc w:val="left"/>
    </w:pPr>
    <w:rPr>
      <w:caps/>
      <w:noProof/>
      <w:snapToGrid w:val="0"/>
      <w:u w:val="single"/>
    </w:rPr>
  </w:style>
  <w:style w:type="paragraph" w:customStyle="1" w:styleId="pldetails">
    <w:name w:val="pldetails"/>
    <w:basedOn w:val="Normal"/>
    <w:rsid w:val="00F161EB"/>
    <w:pPr>
      <w:keepLines/>
      <w:spacing w:before="60" w:after="60"/>
      <w:jc w:val="left"/>
    </w:pPr>
    <w:rPr>
      <w:noProof/>
      <w:snapToGrid w:val="0"/>
    </w:rPr>
  </w:style>
  <w:style w:type="paragraph" w:customStyle="1" w:styleId="plheading">
    <w:name w:val="plheading"/>
    <w:basedOn w:val="Normal"/>
    <w:rsid w:val="00F161EB"/>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C734F7"/>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C734F7"/>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C734F7"/>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C734F7"/>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C734F7"/>
    <w:pPr>
      <w:tabs>
        <w:tab w:val="right" w:leader="dot" w:pos="9639"/>
      </w:tabs>
      <w:contextualSpacing/>
      <w:jc w:val="center"/>
    </w:pPr>
    <w:rPr>
      <w:rFonts w:ascii="Arial" w:hAnsi="Arial"/>
      <w:caps/>
    </w:rPr>
  </w:style>
  <w:style w:type="paragraph" w:styleId="TOC5">
    <w:name w:val="toc 5"/>
    <w:next w:val="Normal"/>
    <w:autoRedefine/>
    <w:semiHidden/>
    <w:rsid w:val="00C734F7"/>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F48AA"/>
    <w:rPr>
      <w:rFonts w:ascii="Tahoma" w:hAnsi="Tahoma" w:cs="Tahoma"/>
      <w:sz w:val="16"/>
      <w:szCs w:val="16"/>
    </w:rPr>
  </w:style>
  <w:style w:type="character" w:customStyle="1" w:styleId="BalloonTextChar">
    <w:name w:val="Balloon Text Char"/>
    <w:basedOn w:val="DefaultParagraphFont"/>
    <w:link w:val="BalloonText"/>
    <w:rsid w:val="007F48AA"/>
    <w:rPr>
      <w:rFonts w:ascii="Tahoma" w:hAnsi="Tahoma" w:cs="Tahoma"/>
      <w:sz w:val="16"/>
      <w:szCs w:val="16"/>
    </w:rPr>
  </w:style>
  <w:style w:type="character" w:customStyle="1" w:styleId="Heading1Char">
    <w:name w:val="Heading 1 Char"/>
    <w:aliases w:val="COMMON NAME Char,common Char"/>
    <w:basedOn w:val="DefaultParagraphFont"/>
    <w:link w:val="Heading1"/>
    <w:rsid w:val="008E3F88"/>
    <w:rPr>
      <w:rFonts w:ascii="Arial" w:hAnsi="Arial"/>
      <w:caps/>
    </w:rPr>
  </w:style>
  <w:style w:type="paragraph" w:styleId="ListParagraph">
    <w:name w:val="List Paragraph"/>
    <w:basedOn w:val="Normal"/>
    <w:uiPriority w:val="34"/>
    <w:qFormat/>
    <w:rsid w:val="008E3F88"/>
    <w:pPr>
      <w:ind w:left="720"/>
      <w:contextualSpacing/>
    </w:pPr>
  </w:style>
  <w:style w:type="character" w:customStyle="1" w:styleId="FootnoteTextChar">
    <w:name w:val="Footnote Text Char"/>
    <w:link w:val="FootnoteText"/>
    <w:rsid w:val="008E3F88"/>
    <w:rPr>
      <w:rFonts w:ascii="Arial" w:hAnsi="Arial"/>
      <w:sz w:val="16"/>
    </w:rPr>
  </w:style>
  <w:style w:type="character" w:styleId="Emphasis">
    <w:name w:val="Emphasis"/>
    <w:basedOn w:val="DefaultParagraphFont"/>
    <w:qFormat/>
    <w:rsid w:val="008E3F88"/>
    <w:rPr>
      <w:i/>
      <w:iCs/>
    </w:rPr>
  </w:style>
  <w:style w:type="table" w:styleId="TableGrid">
    <w:name w:val="Table Grid"/>
    <w:basedOn w:val="TableNormal"/>
    <w:rsid w:val="008E3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E3F88"/>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8</Pages>
  <Words>3735</Words>
  <Characters>21288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24974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OLIVIÉ Karen</dc:creator>
  <cp:keywords>DB/ko</cp:keywords>
  <cp:lastModifiedBy>GIACHINO Erika</cp:lastModifiedBy>
  <cp:revision>13</cp:revision>
  <cp:lastPrinted>2016-01-26T12:07:00Z</cp:lastPrinted>
  <dcterms:created xsi:type="dcterms:W3CDTF">2016-01-26T10:52:00Z</dcterms:created>
  <dcterms:modified xsi:type="dcterms:W3CDTF">2016-02-01T14:52:00Z</dcterms:modified>
</cp:coreProperties>
</file>