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B376E5" w:rsidRPr="00B376E5" w:rsidTr="00E7486C">
        <w:trPr>
          <w:trHeight w:val="1760"/>
        </w:trPr>
        <w:tc>
          <w:tcPr>
            <w:tcW w:w="4243" w:type="dxa"/>
          </w:tcPr>
          <w:p w:rsidR="006B71B2" w:rsidRPr="00B376E5" w:rsidRDefault="006B71B2" w:rsidP="00B376E5">
            <w:pPr>
              <w:rPr>
                <w:lang w:val="fr-FR"/>
              </w:rPr>
            </w:pPr>
          </w:p>
        </w:tc>
        <w:tc>
          <w:tcPr>
            <w:tcW w:w="1646" w:type="dxa"/>
            <w:vAlign w:val="center"/>
          </w:tcPr>
          <w:p w:rsidR="006B71B2" w:rsidRPr="00C47EFD" w:rsidRDefault="006B71B2" w:rsidP="00B376E5">
            <w:pPr>
              <w:pStyle w:val="LogoUPOV"/>
              <w:rPr>
                <w:lang w:val="fr-FR"/>
              </w:rPr>
            </w:pPr>
            <w:r w:rsidRPr="00C47EFD">
              <w:rPr>
                <w:noProof/>
              </w:rPr>
              <w:drawing>
                <wp:inline distT="0" distB="0" distL="0" distR="0" wp14:anchorId="366838B7" wp14:editId="5754922E">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6B71B2" w:rsidRPr="00C47EFD" w:rsidRDefault="006B71B2" w:rsidP="00B376E5">
            <w:pPr>
              <w:pStyle w:val="Lettrine"/>
              <w:spacing w:line="240" w:lineRule="auto"/>
              <w:rPr>
                <w:lang w:val="fr-FR"/>
              </w:rPr>
            </w:pPr>
            <w:r w:rsidRPr="00C47EFD">
              <w:rPr>
                <w:lang w:val="fr-FR"/>
              </w:rPr>
              <w:t>F</w:t>
            </w:r>
          </w:p>
          <w:p w:rsidR="006B71B2" w:rsidRPr="00C47EFD" w:rsidRDefault="006B71B2" w:rsidP="00C47EFD">
            <w:pPr>
              <w:pStyle w:val="Docoriginal"/>
              <w:rPr>
                <w:lang w:val="fr-FR"/>
              </w:rPr>
            </w:pPr>
            <w:r w:rsidRPr="00C47EFD">
              <w:rPr>
                <w:lang w:val="fr-FR"/>
              </w:rPr>
              <w:t>TC/52/</w:t>
            </w:r>
            <w:bookmarkStart w:id="0" w:name="Code"/>
            <w:bookmarkEnd w:id="0"/>
            <w:r w:rsidRPr="00C47EFD">
              <w:rPr>
                <w:lang w:val="fr-FR"/>
              </w:rPr>
              <w:t>20</w:t>
            </w:r>
          </w:p>
          <w:p w:rsidR="006B71B2" w:rsidRPr="00C47EFD" w:rsidRDefault="006B71B2" w:rsidP="00C47EFD">
            <w:pPr>
              <w:pStyle w:val="Docoriginal"/>
              <w:rPr>
                <w:b w:val="0"/>
                <w:spacing w:val="0"/>
                <w:lang w:val="fr-FR"/>
              </w:rPr>
            </w:pPr>
            <w:r w:rsidRPr="00C47EFD">
              <w:rPr>
                <w:rStyle w:val="StyleDoclangBold"/>
                <w:b/>
                <w:bCs/>
                <w:spacing w:val="0"/>
                <w:lang w:val="fr-FR"/>
              </w:rPr>
              <w:t>ORIGINAL</w:t>
            </w:r>
            <w:r w:rsidR="00E97B48" w:rsidRPr="00C47EFD">
              <w:rPr>
                <w:rStyle w:val="StyleDoclangBold"/>
                <w:b/>
                <w:bCs/>
                <w:spacing w:val="0"/>
                <w:lang w:val="fr-FR"/>
              </w:rPr>
              <w:t> </w:t>
            </w:r>
            <w:r w:rsidRPr="00C47EFD">
              <w:rPr>
                <w:rStyle w:val="StyleDoclangBold"/>
                <w:b/>
                <w:bCs/>
                <w:spacing w:val="0"/>
                <w:lang w:val="fr-FR"/>
              </w:rPr>
              <w:t>:</w:t>
            </w:r>
            <w:r w:rsidRPr="00C47EFD">
              <w:rPr>
                <w:rStyle w:val="StyleDocoriginalNotBold1"/>
                <w:spacing w:val="0"/>
                <w:lang w:val="fr-FR"/>
              </w:rPr>
              <w:t xml:space="preserve"> </w:t>
            </w:r>
            <w:bookmarkStart w:id="1" w:name="Original"/>
            <w:bookmarkEnd w:id="1"/>
            <w:r w:rsidRPr="00C47EFD">
              <w:rPr>
                <w:b w:val="0"/>
                <w:spacing w:val="0"/>
                <w:lang w:val="fr-FR"/>
              </w:rPr>
              <w:t>anglais</w:t>
            </w:r>
          </w:p>
          <w:p w:rsidR="006B71B2" w:rsidRPr="00B376E5" w:rsidRDefault="006B71B2" w:rsidP="00C47EFD">
            <w:pPr>
              <w:pStyle w:val="Docoriginal"/>
              <w:rPr>
                <w:lang w:val="fr-FR"/>
              </w:rPr>
            </w:pPr>
            <w:r w:rsidRPr="00C47EFD">
              <w:rPr>
                <w:spacing w:val="0"/>
                <w:lang w:val="fr-FR"/>
              </w:rPr>
              <w:t>DATE</w:t>
            </w:r>
            <w:r w:rsidR="00E97B48" w:rsidRPr="00C47EFD">
              <w:rPr>
                <w:spacing w:val="0"/>
                <w:lang w:val="fr-FR"/>
              </w:rPr>
              <w:t> </w:t>
            </w:r>
            <w:r w:rsidRPr="00C47EFD">
              <w:rPr>
                <w:spacing w:val="0"/>
                <w:lang w:val="fr-FR"/>
              </w:rPr>
              <w:t>:</w:t>
            </w:r>
            <w:r w:rsidRPr="00C47EFD">
              <w:rPr>
                <w:rStyle w:val="StyleDocoriginalNotBold1"/>
                <w:spacing w:val="0"/>
                <w:lang w:val="fr-FR"/>
              </w:rPr>
              <w:t xml:space="preserve"> </w:t>
            </w:r>
            <w:bookmarkStart w:id="2" w:name="Date"/>
            <w:bookmarkEnd w:id="2"/>
            <w:r w:rsidR="00C47EFD" w:rsidRPr="00C47EFD">
              <w:rPr>
                <w:b w:val="0"/>
                <w:spacing w:val="0"/>
                <w:lang w:val="fr-FR"/>
              </w:rPr>
              <w:t>27</w:t>
            </w:r>
            <w:r w:rsidR="006C087A" w:rsidRPr="00C47EFD">
              <w:rPr>
                <w:b w:val="0"/>
                <w:spacing w:val="0"/>
                <w:lang w:val="fr-FR"/>
              </w:rPr>
              <w:t xml:space="preserve"> janvier</w:t>
            </w:r>
            <w:r w:rsidRPr="00C47EFD">
              <w:rPr>
                <w:b w:val="0"/>
                <w:spacing w:val="0"/>
                <w:lang w:val="fr-FR"/>
              </w:rPr>
              <w:t xml:space="preserve"> 201</w:t>
            </w:r>
            <w:r w:rsidR="006C087A" w:rsidRPr="00C47EFD">
              <w:rPr>
                <w:b w:val="0"/>
                <w:spacing w:val="0"/>
                <w:lang w:val="fr-FR"/>
              </w:rPr>
              <w:t>6</w:t>
            </w:r>
          </w:p>
        </w:tc>
      </w:tr>
      <w:tr w:rsidR="00B376E5" w:rsidRPr="00B376E5" w:rsidTr="00E7486C">
        <w:tc>
          <w:tcPr>
            <w:tcW w:w="10131" w:type="dxa"/>
            <w:gridSpan w:val="3"/>
          </w:tcPr>
          <w:p w:rsidR="006B71B2" w:rsidRPr="00B376E5" w:rsidRDefault="006B71B2" w:rsidP="00B376E5">
            <w:pPr>
              <w:pStyle w:val="upove"/>
              <w:rPr>
                <w:sz w:val="28"/>
                <w:lang w:val="fr-FR"/>
              </w:rPr>
            </w:pPr>
            <w:r w:rsidRPr="00B376E5">
              <w:rPr>
                <w:spacing w:val="6"/>
                <w:lang w:val="fr-FR"/>
              </w:rPr>
              <w:t>UNION INTERNATIONALE POUR LA PROTECTION DES OBTENTIONS VÉGÉTALES</w:t>
            </w:r>
          </w:p>
        </w:tc>
      </w:tr>
      <w:tr w:rsidR="00B376E5" w:rsidRPr="00B376E5" w:rsidTr="00E7486C">
        <w:tc>
          <w:tcPr>
            <w:tcW w:w="10131" w:type="dxa"/>
            <w:gridSpan w:val="3"/>
          </w:tcPr>
          <w:p w:rsidR="006B71B2" w:rsidRPr="00B376E5" w:rsidRDefault="006B71B2" w:rsidP="00B376E5">
            <w:pPr>
              <w:pStyle w:val="Country"/>
              <w:rPr>
                <w:lang w:val="fr-FR"/>
              </w:rPr>
            </w:pPr>
            <w:r w:rsidRPr="00B376E5">
              <w:rPr>
                <w:lang w:val="fr-FR"/>
              </w:rPr>
              <w:t>Genève</w:t>
            </w:r>
          </w:p>
        </w:tc>
      </w:tr>
    </w:tbl>
    <w:p w:rsidR="006B71B2" w:rsidRPr="00B376E5" w:rsidRDefault="006B71B2" w:rsidP="00B376E5">
      <w:pPr>
        <w:pStyle w:val="Sessiontc"/>
        <w:rPr>
          <w:lang w:val="fr-FR"/>
        </w:rPr>
      </w:pPr>
      <w:r w:rsidRPr="00B376E5">
        <w:rPr>
          <w:lang w:val="fr-FR"/>
        </w:rPr>
        <w:t>Comité TECHNIQUE</w:t>
      </w:r>
    </w:p>
    <w:p w:rsidR="006B71B2" w:rsidRPr="00B376E5" w:rsidRDefault="006B71B2" w:rsidP="00B376E5">
      <w:pPr>
        <w:pStyle w:val="Sessiontcplacedate"/>
        <w:rPr>
          <w:lang w:val="fr-FR"/>
        </w:rPr>
      </w:pPr>
      <w:r w:rsidRPr="00B376E5">
        <w:rPr>
          <w:lang w:val="fr-FR"/>
        </w:rPr>
        <w:t>Cinquante</w:t>
      </w:r>
      <w:r w:rsidR="006C087A" w:rsidRPr="00B376E5">
        <w:rPr>
          <w:lang w:val="fr-FR"/>
        </w:rPr>
        <w:noBreakHyphen/>
      </w:r>
      <w:r w:rsidRPr="00B376E5">
        <w:rPr>
          <w:lang w:val="fr-FR"/>
        </w:rPr>
        <w:t>deuxième</w:t>
      </w:r>
      <w:r w:rsidR="00E97B48" w:rsidRPr="00B376E5">
        <w:rPr>
          <w:lang w:val="fr-FR"/>
        </w:rPr>
        <w:t> </w:t>
      </w:r>
      <w:r w:rsidRPr="00B376E5">
        <w:rPr>
          <w:lang w:val="fr-FR"/>
        </w:rPr>
        <w:t xml:space="preserve">session </w:t>
      </w:r>
      <w:r w:rsidRPr="00B376E5">
        <w:rPr>
          <w:lang w:val="fr-FR"/>
        </w:rPr>
        <w:br/>
        <w:t>Genève, 14 – 16 mars 2016</w:t>
      </w:r>
    </w:p>
    <w:p w:rsidR="00D8441B" w:rsidRPr="00B376E5" w:rsidRDefault="00402B9F" w:rsidP="00B376E5">
      <w:pPr>
        <w:pStyle w:val="Titleofdoc0"/>
        <w:rPr>
          <w:lang w:val="fr-FR"/>
        </w:rPr>
      </w:pPr>
      <w:r w:rsidRPr="00B376E5">
        <w:rPr>
          <w:lang w:val="fr-FR"/>
        </w:rPr>
        <w:t>Révision du document TGP/10 : Nouvelle section : Évaluation de l</w:t>
      </w:r>
      <w:r w:rsidR="006B71B2" w:rsidRPr="00B376E5">
        <w:rPr>
          <w:lang w:val="fr-FR"/>
        </w:rPr>
        <w:t>’</w:t>
      </w:r>
      <w:r w:rsidRPr="00B376E5">
        <w:rPr>
          <w:lang w:val="fr-FR"/>
        </w:rPr>
        <w:t xml:space="preserve">homogénéité </w:t>
      </w:r>
      <w:r w:rsidR="00A71A99" w:rsidRPr="00B376E5">
        <w:rPr>
          <w:lang w:val="fr-FR"/>
        </w:rPr>
        <w:t>d</w:t>
      </w:r>
      <w:r w:rsidR="006B71B2" w:rsidRPr="00B376E5">
        <w:rPr>
          <w:lang w:val="fr-FR"/>
        </w:rPr>
        <w:t>’</w:t>
      </w:r>
      <w:r w:rsidR="00A71A99" w:rsidRPr="00B376E5">
        <w:rPr>
          <w:lang w:val="fr-FR"/>
        </w:rPr>
        <w:t>après L</w:t>
      </w:r>
      <w:r w:rsidRPr="00B376E5">
        <w:rPr>
          <w:lang w:val="fr-FR"/>
        </w:rPr>
        <w:t>es plantes hors</w:t>
      </w:r>
      <w:r w:rsidR="006C087A" w:rsidRPr="00B376E5">
        <w:rPr>
          <w:lang w:val="fr-FR"/>
        </w:rPr>
        <w:noBreakHyphen/>
      </w:r>
      <w:r w:rsidRPr="00B376E5">
        <w:rPr>
          <w:lang w:val="fr-FR"/>
        </w:rPr>
        <w:t xml:space="preserve">type sur la base de plusieurs cycles de végétation ou </w:t>
      </w:r>
      <w:r w:rsidR="001077A1" w:rsidRPr="00B376E5">
        <w:rPr>
          <w:lang w:val="fr-FR"/>
        </w:rPr>
        <w:t xml:space="preserve">sur la base </w:t>
      </w:r>
      <w:r w:rsidRPr="00B376E5">
        <w:rPr>
          <w:lang w:val="fr-FR"/>
        </w:rPr>
        <w:t>de sous</w:t>
      </w:r>
      <w:r w:rsidR="006C087A" w:rsidRPr="00B376E5">
        <w:rPr>
          <w:lang w:val="fr-FR"/>
        </w:rPr>
        <w:noBreakHyphen/>
      </w:r>
      <w:r w:rsidRPr="00B376E5">
        <w:rPr>
          <w:lang w:val="fr-FR"/>
        </w:rPr>
        <w:t>échantillons</w:t>
      </w:r>
    </w:p>
    <w:p w:rsidR="002C4998" w:rsidRPr="004B1F68" w:rsidRDefault="004D79CF" w:rsidP="002C4998">
      <w:pPr>
        <w:pStyle w:val="preparedby1"/>
        <w:rPr>
          <w:color w:val="A6A6A6" w:themeColor="background1" w:themeShade="A6"/>
          <w:lang w:val="fr-FR"/>
        </w:rPr>
      </w:pPr>
      <w:bookmarkStart w:id="3" w:name="Prepared"/>
      <w:bookmarkEnd w:id="3"/>
      <w:r w:rsidRPr="00C47EFD">
        <w:rPr>
          <w:lang w:val="fr-FR"/>
        </w:rPr>
        <w:t>Document établi par le Bureau de l</w:t>
      </w:r>
      <w:r w:rsidR="006B71B2" w:rsidRPr="00C47EFD">
        <w:rPr>
          <w:lang w:val="fr-FR"/>
        </w:rPr>
        <w:t>’</w:t>
      </w:r>
      <w:r w:rsidRPr="00C47EFD">
        <w:rPr>
          <w:lang w:val="fr-FR"/>
        </w:rPr>
        <w:t>Union</w:t>
      </w:r>
      <w:r w:rsidRPr="00B376E5">
        <w:rPr>
          <w:lang w:val="fr-FR"/>
        </w:rPr>
        <w:br/>
      </w:r>
      <w:r w:rsidRPr="00B376E5">
        <w:rPr>
          <w:lang w:val="fr-FR"/>
        </w:rPr>
        <w:br/>
      </w:r>
      <w:r w:rsidR="002C4998" w:rsidRPr="004B1F68">
        <w:rPr>
          <w:color w:val="A6A6A6" w:themeColor="background1" w:themeShade="A6"/>
          <w:lang w:val="fr-FR"/>
        </w:rPr>
        <w:t>Avertissement : le présent document ne représente pas les principes ou les orientations de l’UPOV</w:t>
      </w:r>
    </w:p>
    <w:p w:rsidR="00D8441B" w:rsidRPr="00B376E5" w:rsidRDefault="001077A1" w:rsidP="00B376E5">
      <w:pPr>
        <w:autoSpaceDE w:val="0"/>
        <w:autoSpaceDN w:val="0"/>
        <w:adjustRightInd w:val="0"/>
        <w:rPr>
          <w:szCs w:val="24"/>
          <w:lang w:val="fr-FR"/>
        </w:rPr>
      </w:pPr>
      <w:r w:rsidRPr="00B376E5">
        <w:rPr>
          <w:szCs w:val="24"/>
          <w:lang w:val="fr-FR"/>
        </w:rPr>
        <w:t>RÉSUMÉ</w:t>
      </w:r>
    </w:p>
    <w:p w:rsidR="00D8441B" w:rsidRPr="00B376E5" w:rsidRDefault="00D8441B" w:rsidP="00B376E5">
      <w:pPr>
        <w:autoSpaceDE w:val="0"/>
        <w:autoSpaceDN w:val="0"/>
        <w:adjustRightInd w:val="0"/>
        <w:rPr>
          <w:szCs w:val="24"/>
          <w:lang w:val="fr-FR"/>
        </w:rPr>
      </w:pPr>
    </w:p>
    <w:p w:rsidR="006B71B2" w:rsidRPr="00B376E5" w:rsidRDefault="00BF4661" w:rsidP="00B376E5">
      <w:pPr>
        <w:autoSpaceDE w:val="0"/>
        <w:autoSpaceDN w:val="0"/>
        <w:adjustRightInd w:val="0"/>
        <w:rPr>
          <w:rFonts w:eastAsia="MS Mincho"/>
          <w:szCs w:val="24"/>
          <w:lang w:val="fr-FR" w:eastAsia="ja-JP"/>
        </w:rPr>
      </w:pPr>
      <w:r w:rsidRPr="00B376E5">
        <w:rPr>
          <w:szCs w:val="24"/>
          <w:lang w:val="fr-FR"/>
        </w:rPr>
        <w:fldChar w:fldCharType="begin"/>
      </w:r>
      <w:r w:rsidRPr="00B376E5">
        <w:rPr>
          <w:szCs w:val="24"/>
          <w:lang w:val="fr-FR"/>
        </w:rPr>
        <w:instrText xml:space="preserve"> AUTONUM  </w:instrText>
      </w:r>
      <w:r w:rsidRPr="00B376E5">
        <w:rPr>
          <w:szCs w:val="24"/>
          <w:lang w:val="fr-FR"/>
        </w:rPr>
        <w:fldChar w:fldCharType="end"/>
      </w:r>
      <w:r w:rsidRPr="00B376E5">
        <w:rPr>
          <w:szCs w:val="24"/>
          <w:lang w:val="fr-FR"/>
        </w:rPr>
        <w:tab/>
      </w:r>
      <w:r w:rsidR="00E308CD" w:rsidRPr="00B376E5">
        <w:rPr>
          <w:szCs w:val="24"/>
          <w:lang w:val="fr-FR"/>
        </w:rPr>
        <w:t>Le présent document a pour objet de présenter une proposition de révision du document TGP/10 “Examen de l</w:t>
      </w:r>
      <w:r w:rsidR="006B71B2" w:rsidRPr="00B376E5">
        <w:rPr>
          <w:szCs w:val="24"/>
          <w:lang w:val="fr-FR"/>
        </w:rPr>
        <w:t>’</w:t>
      </w:r>
      <w:r w:rsidR="00E308CD" w:rsidRPr="00B376E5">
        <w:rPr>
          <w:szCs w:val="24"/>
          <w:lang w:val="fr-FR"/>
        </w:rPr>
        <w:t>homogénéité” afin de donner des orientations sur l</w:t>
      </w:r>
      <w:r w:rsidR="006B71B2" w:rsidRPr="00B376E5">
        <w:rPr>
          <w:szCs w:val="24"/>
          <w:lang w:val="fr-FR"/>
        </w:rPr>
        <w:t>’</w:t>
      </w:r>
      <w:r w:rsidR="00E308CD" w:rsidRPr="00B376E5">
        <w:rPr>
          <w:szCs w:val="24"/>
          <w:lang w:val="fr-FR"/>
        </w:rPr>
        <w:t>évaluation de l</w:t>
      </w:r>
      <w:r w:rsidR="006B71B2" w:rsidRPr="00B376E5">
        <w:rPr>
          <w:szCs w:val="24"/>
          <w:lang w:val="fr-FR"/>
        </w:rPr>
        <w:t>’</w:t>
      </w:r>
      <w:r w:rsidR="00E308CD" w:rsidRPr="00B376E5">
        <w:rPr>
          <w:szCs w:val="24"/>
          <w:lang w:val="fr-FR"/>
        </w:rPr>
        <w:t>homogénéité d</w:t>
      </w:r>
      <w:r w:rsidR="006B71B2" w:rsidRPr="00B376E5">
        <w:rPr>
          <w:szCs w:val="24"/>
          <w:lang w:val="fr-FR"/>
        </w:rPr>
        <w:t>’</w:t>
      </w:r>
      <w:r w:rsidR="00E308CD" w:rsidRPr="00B376E5">
        <w:rPr>
          <w:szCs w:val="24"/>
          <w:lang w:val="fr-FR"/>
        </w:rPr>
        <w:t>après les plantes hors</w:t>
      </w:r>
      <w:r w:rsidR="006C087A" w:rsidRPr="00B376E5">
        <w:rPr>
          <w:szCs w:val="24"/>
          <w:lang w:val="fr-FR"/>
        </w:rPr>
        <w:noBreakHyphen/>
      </w:r>
      <w:r w:rsidR="00E308CD" w:rsidRPr="00B376E5">
        <w:rPr>
          <w:szCs w:val="24"/>
          <w:lang w:val="fr-FR"/>
        </w:rPr>
        <w:t xml:space="preserve">type sur la base de plusieurs cycles de végétation ou </w:t>
      </w:r>
      <w:r w:rsidR="001077A1" w:rsidRPr="00B376E5">
        <w:rPr>
          <w:szCs w:val="24"/>
          <w:lang w:val="fr-FR"/>
        </w:rPr>
        <w:t xml:space="preserve">sur la base </w:t>
      </w:r>
      <w:r w:rsidR="00E308CD" w:rsidRPr="00B376E5">
        <w:rPr>
          <w:szCs w:val="24"/>
          <w:lang w:val="fr-FR"/>
        </w:rPr>
        <w:t>de sous</w:t>
      </w:r>
      <w:r w:rsidR="006C087A" w:rsidRPr="00B376E5">
        <w:rPr>
          <w:szCs w:val="24"/>
          <w:lang w:val="fr-FR"/>
        </w:rPr>
        <w:noBreakHyphen/>
      </w:r>
      <w:r w:rsidR="00E308CD" w:rsidRPr="00B376E5">
        <w:rPr>
          <w:szCs w:val="24"/>
          <w:lang w:val="fr-FR"/>
        </w:rPr>
        <w:t>échantillons.</w:t>
      </w:r>
    </w:p>
    <w:p w:rsidR="00D8441B" w:rsidRPr="00B376E5" w:rsidRDefault="00D8441B" w:rsidP="00B376E5">
      <w:pPr>
        <w:autoSpaceDE w:val="0"/>
        <w:autoSpaceDN w:val="0"/>
        <w:adjustRightInd w:val="0"/>
        <w:rPr>
          <w:rFonts w:eastAsia="MS Mincho"/>
          <w:szCs w:val="24"/>
          <w:lang w:val="fr-FR" w:eastAsia="ja-JP"/>
        </w:rPr>
      </w:pPr>
    </w:p>
    <w:p w:rsidR="006B71B2" w:rsidRPr="00B376E5" w:rsidRDefault="00CA7332" w:rsidP="00B376E5">
      <w:pPr>
        <w:rPr>
          <w:snapToGrid w:val="0"/>
          <w:lang w:val="fr-FR"/>
        </w:rPr>
      </w:pPr>
      <w:r w:rsidRPr="00B376E5">
        <w:rPr>
          <w:snapToGrid w:val="0"/>
          <w:lang w:val="fr-FR"/>
        </w:rPr>
        <w:fldChar w:fldCharType="begin"/>
      </w:r>
      <w:r w:rsidRPr="00B376E5">
        <w:rPr>
          <w:snapToGrid w:val="0"/>
          <w:lang w:val="fr-FR"/>
        </w:rPr>
        <w:instrText xml:space="preserve"> AUTONUM  </w:instrText>
      </w:r>
      <w:r w:rsidRPr="00B376E5">
        <w:rPr>
          <w:snapToGrid w:val="0"/>
          <w:lang w:val="fr-FR"/>
        </w:rPr>
        <w:fldChar w:fldCharType="end"/>
      </w:r>
      <w:r w:rsidRPr="00B376E5">
        <w:rPr>
          <w:snapToGrid w:val="0"/>
          <w:lang w:val="fr-FR"/>
        </w:rPr>
        <w:tab/>
      </w:r>
      <w:r w:rsidR="00E308CD" w:rsidRPr="00B376E5">
        <w:rPr>
          <w:snapToGrid w:val="0"/>
          <w:lang w:val="fr-FR"/>
        </w:rPr>
        <w:t>Le</w:t>
      </w:r>
      <w:r w:rsidR="006B71B2" w:rsidRPr="00B376E5">
        <w:rPr>
          <w:snapToGrid w:val="0"/>
          <w:lang w:val="fr-FR"/>
        </w:rPr>
        <w:t> TC</w:t>
      </w:r>
      <w:r w:rsidR="00E308CD" w:rsidRPr="00B376E5">
        <w:rPr>
          <w:snapToGrid w:val="0"/>
          <w:lang w:val="fr-FR"/>
        </w:rPr>
        <w:t xml:space="preserve"> est invité</w:t>
      </w:r>
      <w:r w:rsidR="00C47EFD">
        <w:rPr>
          <w:snapToGrid w:val="0"/>
          <w:lang w:val="fr-FR"/>
        </w:rPr>
        <w:t xml:space="preserve"> à :</w:t>
      </w:r>
    </w:p>
    <w:p w:rsidR="00D8441B" w:rsidRPr="00B376E5" w:rsidRDefault="00D8441B" w:rsidP="00B376E5">
      <w:pPr>
        <w:rPr>
          <w:snapToGrid w:val="0"/>
          <w:highlight w:val="yellow"/>
          <w:lang w:val="fr-FR"/>
        </w:rPr>
      </w:pPr>
    </w:p>
    <w:p w:rsidR="006B71B2" w:rsidRDefault="0059463E" w:rsidP="00B376E5">
      <w:pPr>
        <w:pStyle w:val="DecisionParagraphs"/>
        <w:keepLines/>
        <w:tabs>
          <w:tab w:val="clear" w:pos="5387"/>
          <w:tab w:val="left" w:pos="1134"/>
          <w:tab w:val="left" w:pos="5954"/>
        </w:tabs>
        <w:ind w:left="0" w:firstLine="567"/>
        <w:rPr>
          <w:i w:val="0"/>
          <w:lang w:val="fr-FR"/>
        </w:rPr>
      </w:pPr>
      <w:r w:rsidRPr="00B376E5">
        <w:rPr>
          <w:i w:val="0"/>
          <w:lang w:val="fr-FR"/>
        </w:rPr>
        <w:t>a)</w:t>
      </w:r>
      <w:r w:rsidRPr="00B376E5">
        <w:rPr>
          <w:i w:val="0"/>
          <w:lang w:val="fr-FR"/>
        </w:rPr>
        <w:tab/>
        <w:t xml:space="preserve">examiner la nouvelle “Méthode 3 : Combiner les résultats de deux cycles de végétation” </w:t>
      </w:r>
      <w:r w:rsidR="00DB03CE" w:rsidRPr="00B376E5">
        <w:rPr>
          <w:i w:val="0"/>
          <w:lang w:val="fr-FR"/>
        </w:rPr>
        <w:t xml:space="preserve">proposée </w:t>
      </w:r>
      <w:r w:rsidRPr="00B376E5">
        <w:rPr>
          <w:i w:val="0"/>
          <w:lang w:val="fr-FR"/>
        </w:rPr>
        <w:t>pour l</w:t>
      </w:r>
      <w:r w:rsidR="006B71B2" w:rsidRPr="00B376E5">
        <w:rPr>
          <w:i w:val="0"/>
          <w:lang w:val="fr-FR"/>
        </w:rPr>
        <w:t>’</w:t>
      </w:r>
      <w:r w:rsidRPr="00B376E5">
        <w:rPr>
          <w:i w:val="0"/>
          <w:lang w:val="fr-FR"/>
        </w:rPr>
        <w:t>évaluation de l</w:t>
      </w:r>
      <w:r w:rsidR="006B71B2" w:rsidRPr="00B376E5">
        <w:rPr>
          <w:i w:val="0"/>
          <w:lang w:val="fr-FR"/>
        </w:rPr>
        <w:t>’</w:t>
      </w:r>
      <w:r w:rsidRPr="00B376E5">
        <w:rPr>
          <w:i w:val="0"/>
          <w:lang w:val="fr-FR"/>
        </w:rPr>
        <w:t>homogénéité d</w:t>
      </w:r>
      <w:r w:rsidR="006B71B2" w:rsidRPr="00B376E5">
        <w:rPr>
          <w:i w:val="0"/>
          <w:lang w:val="fr-FR"/>
        </w:rPr>
        <w:t>’</w:t>
      </w:r>
      <w:r w:rsidR="00A71A99" w:rsidRPr="00B376E5">
        <w:rPr>
          <w:i w:val="0"/>
          <w:lang w:val="fr-FR"/>
        </w:rPr>
        <w:t>après les</w:t>
      </w:r>
      <w:r w:rsidRPr="00B376E5">
        <w:rPr>
          <w:i w:val="0"/>
          <w:lang w:val="fr-FR"/>
        </w:rPr>
        <w:t xml:space="preserve"> plantes hors</w:t>
      </w:r>
      <w:r w:rsidR="006C087A" w:rsidRPr="00B376E5">
        <w:rPr>
          <w:i w:val="0"/>
          <w:lang w:val="fr-FR"/>
        </w:rPr>
        <w:noBreakHyphen/>
      </w:r>
      <w:r w:rsidRPr="00B376E5">
        <w:rPr>
          <w:i w:val="0"/>
          <w:lang w:val="fr-FR"/>
        </w:rPr>
        <w:t>type, comme indiqué à l</w:t>
      </w:r>
      <w:r w:rsidR="006B71B2" w:rsidRPr="00B376E5">
        <w:rPr>
          <w:i w:val="0"/>
          <w:lang w:val="fr-FR"/>
        </w:rPr>
        <w:t>’</w:t>
      </w:r>
      <w:r w:rsidRPr="00B376E5">
        <w:rPr>
          <w:i w:val="0"/>
          <w:lang w:val="fr-FR"/>
        </w:rPr>
        <w:t>annexe</w:t>
      </w:r>
      <w:r w:rsidR="00E97B48" w:rsidRPr="00B376E5">
        <w:rPr>
          <w:i w:val="0"/>
          <w:lang w:val="fr-FR"/>
        </w:rPr>
        <w:t> </w:t>
      </w:r>
      <w:r w:rsidR="00C47EFD">
        <w:rPr>
          <w:i w:val="0"/>
          <w:lang w:val="fr-FR"/>
        </w:rPr>
        <w:t>I du présent document ;</w:t>
      </w:r>
    </w:p>
    <w:p w:rsidR="00C47EFD" w:rsidRPr="00B376E5" w:rsidRDefault="00C47EFD" w:rsidP="00B376E5">
      <w:pPr>
        <w:pStyle w:val="DecisionParagraphs"/>
        <w:keepLines/>
        <w:tabs>
          <w:tab w:val="clear" w:pos="5387"/>
          <w:tab w:val="left" w:pos="1134"/>
          <w:tab w:val="left" w:pos="5954"/>
        </w:tabs>
        <w:ind w:left="0" w:firstLine="567"/>
        <w:rPr>
          <w:i w:val="0"/>
          <w:lang w:val="fr-FR"/>
        </w:rPr>
      </w:pPr>
    </w:p>
    <w:p w:rsidR="006B71B2" w:rsidRDefault="0059463E" w:rsidP="00B376E5">
      <w:pPr>
        <w:pStyle w:val="DecisionParagraphs"/>
        <w:keepLines/>
        <w:tabs>
          <w:tab w:val="clear" w:pos="5387"/>
          <w:tab w:val="left" w:pos="1134"/>
          <w:tab w:val="left" w:pos="5954"/>
        </w:tabs>
        <w:ind w:left="0" w:firstLine="567"/>
        <w:rPr>
          <w:i w:val="0"/>
          <w:lang w:val="fr-FR"/>
        </w:rPr>
      </w:pPr>
      <w:r w:rsidRPr="00B376E5">
        <w:rPr>
          <w:i w:val="0"/>
          <w:lang w:val="fr-FR"/>
        </w:rPr>
        <w:t>b)</w:t>
      </w:r>
      <w:r w:rsidRPr="00B376E5">
        <w:rPr>
          <w:i w:val="0"/>
          <w:lang w:val="fr-FR"/>
        </w:rPr>
        <w:tab/>
        <w:t>noter que</w:t>
      </w:r>
      <w:r w:rsidR="006B71B2" w:rsidRPr="00B376E5">
        <w:rPr>
          <w:i w:val="0"/>
          <w:lang w:val="fr-FR"/>
        </w:rPr>
        <w:t xml:space="preserve"> le TWA</w:t>
      </w:r>
      <w:r w:rsidRPr="00B376E5">
        <w:rPr>
          <w:i w:val="0"/>
          <w:lang w:val="fr-FR"/>
        </w:rPr>
        <w:t xml:space="preserve"> est convenu de demander une liaison vidéo avec les experts</w:t>
      </w:r>
      <w:r w:rsidR="006B71B2" w:rsidRPr="00B376E5">
        <w:rPr>
          <w:i w:val="0"/>
          <w:lang w:val="fr-FR"/>
        </w:rPr>
        <w:t xml:space="preserve"> du TWC</w:t>
      </w:r>
      <w:r w:rsidRPr="00B376E5">
        <w:rPr>
          <w:i w:val="0"/>
          <w:lang w:val="fr-FR"/>
        </w:rPr>
        <w:t xml:space="preserve"> en vue d</w:t>
      </w:r>
      <w:r w:rsidR="006B71B2" w:rsidRPr="00B376E5">
        <w:rPr>
          <w:i w:val="0"/>
          <w:lang w:val="fr-FR"/>
        </w:rPr>
        <w:t>’</w:t>
      </w:r>
      <w:r w:rsidRPr="00B376E5">
        <w:rPr>
          <w:i w:val="0"/>
          <w:lang w:val="fr-FR"/>
        </w:rPr>
        <w:t>examiner la nouvelle “Méthode 3 : Combiner les résultats de deux cycles de végétation”</w:t>
      </w:r>
      <w:r w:rsidR="00DB03CE" w:rsidRPr="00B376E5">
        <w:rPr>
          <w:i w:val="0"/>
          <w:lang w:val="fr-FR"/>
        </w:rPr>
        <w:t xml:space="preserve"> proposée, </w:t>
      </w:r>
      <w:r w:rsidRPr="00B376E5">
        <w:rPr>
          <w:i w:val="0"/>
          <w:lang w:val="fr-FR"/>
        </w:rPr>
        <w:t>à</w:t>
      </w:r>
      <w:r w:rsidR="00DB03CE" w:rsidRPr="00B376E5">
        <w:rPr>
          <w:i w:val="0"/>
          <w:lang w:val="fr-FR"/>
        </w:rPr>
        <w:t xml:space="preserve"> sa quarante</w:t>
      </w:r>
      <w:r w:rsidR="006C087A" w:rsidRPr="00B376E5">
        <w:rPr>
          <w:i w:val="0"/>
          <w:lang w:val="fr-FR"/>
        </w:rPr>
        <w:noBreakHyphen/>
      </w:r>
      <w:r w:rsidR="00DB03CE" w:rsidRPr="00B376E5">
        <w:rPr>
          <w:i w:val="0"/>
          <w:lang w:val="fr-FR"/>
        </w:rPr>
        <w:t>cinquième</w:t>
      </w:r>
      <w:r w:rsidR="00E97B48" w:rsidRPr="00B376E5">
        <w:rPr>
          <w:i w:val="0"/>
          <w:lang w:val="fr-FR"/>
        </w:rPr>
        <w:t> </w:t>
      </w:r>
      <w:r w:rsidR="00DB03CE" w:rsidRPr="00B376E5">
        <w:rPr>
          <w:i w:val="0"/>
          <w:lang w:val="fr-FR"/>
        </w:rPr>
        <w:t>session prévue</w:t>
      </w:r>
      <w:r w:rsidR="001077A1" w:rsidRPr="00B376E5">
        <w:rPr>
          <w:i w:val="0"/>
          <w:lang w:val="fr-FR"/>
        </w:rPr>
        <w:t xml:space="preserve"> </w:t>
      </w:r>
      <w:r w:rsidRPr="00B376E5">
        <w:rPr>
          <w:i w:val="0"/>
          <w:lang w:val="fr-FR"/>
        </w:rPr>
        <w:t>en</w:t>
      </w:r>
      <w:r w:rsidR="00E97B48" w:rsidRPr="00B376E5">
        <w:rPr>
          <w:i w:val="0"/>
          <w:lang w:val="fr-FR"/>
        </w:rPr>
        <w:t> </w:t>
      </w:r>
      <w:r w:rsidR="00C47EFD">
        <w:rPr>
          <w:i w:val="0"/>
          <w:lang w:val="fr-FR"/>
        </w:rPr>
        <w:t>2016 ;</w:t>
      </w:r>
    </w:p>
    <w:p w:rsidR="00C47EFD" w:rsidRPr="00B376E5" w:rsidRDefault="00C47EFD" w:rsidP="00B376E5">
      <w:pPr>
        <w:pStyle w:val="DecisionParagraphs"/>
        <w:keepLines/>
        <w:tabs>
          <w:tab w:val="clear" w:pos="5387"/>
          <w:tab w:val="left" w:pos="1134"/>
          <w:tab w:val="left" w:pos="5954"/>
        </w:tabs>
        <w:ind w:left="0" w:firstLine="567"/>
        <w:rPr>
          <w:i w:val="0"/>
          <w:lang w:val="fr-FR"/>
        </w:rPr>
      </w:pPr>
    </w:p>
    <w:p w:rsidR="006B71B2" w:rsidRDefault="00A71A99" w:rsidP="00B376E5">
      <w:pPr>
        <w:pStyle w:val="DecisionParagraphs"/>
        <w:keepLines/>
        <w:tabs>
          <w:tab w:val="clear" w:pos="5387"/>
          <w:tab w:val="left" w:pos="1134"/>
          <w:tab w:val="left" w:pos="5954"/>
        </w:tabs>
        <w:ind w:left="0" w:firstLine="567"/>
        <w:rPr>
          <w:i w:val="0"/>
          <w:lang w:val="fr-FR"/>
        </w:rPr>
      </w:pPr>
      <w:r w:rsidRPr="00B376E5">
        <w:rPr>
          <w:i w:val="0"/>
          <w:lang w:val="fr-FR"/>
        </w:rPr>
        <w:t>c)</w:t>
      </w:r>
      <w:r w:rsidRPr="00B376E5">
        <w:rPr>
          <w:i w:val="0"/>
          <w:lang w:val="fr-FR"/>
        </w:rPr>
        <w:tab/>
        <w:t>examiner s</w:t>
      </w:r>
      <w:r w:rsidR="006B71B2" w:rsidRPr="00B376E5">
        <w:rPr>
          <w:i w:val="0"/>
          <w:lang w:val="fr-FR"/>
        </w:rPr>
        <w:t>’</w:t>
      </w:r>
      <w:r w:rsidRPr="00B376E5">
        <w:rPr>
          <w:i w:val="0"/>
          <w:lang w:val="fr-FR"/>
        </w:rPr>
        <w:t>il y a lieu de préciser dans le texte que les orientations figurant à l</w:t>
      </w:r>
      <w:r w:rsidR="006B71B2" w:rsidRPr="00B376E5">
        <w:rPr>
          <w:i w:val="0"/>
          <w:lang w:val="fr-FR"/>
        </w:rPr>
        <w:t>’</w:t>
      </w:r>
      <w:r w:rsidRPr="00B376E5">
        <w:rPr>
          <w:i w:val="0"/>
          <w:lang w:val="fr-FR"/>
        </w:rPr>
        <w:t>annexe</w:t>
      </w:r>
      <w:r w:rsidR="00E97B48" w:rsidRPr="00B376E5">
        <w:rPr>
          <w:i w:val="0"/>
          <w:lang w:val="fr-FR"/>
        </w:rPr>
        <w:t> </w:t>
      </w:r>
      <w:r w:rsidRPr="00B376E5">
        <w:rPr>
          <w:i w:val="0"/>
          <w:lang w:val="fr-FR"/>
        </w:rPr>
        <w:t>I ne sont pas destinées à être utilisées pour l</w:t>
      </w:r>
      <w:r w:rsidR="006B71B2" w:rsidRPr="00B376E5">
        <w:rPr>
          <w:i w:val="0"/>
          <w:lang w:val="fr-FR"/>
        </w:rPr>
        <w:t>’</w:t>
      </w:r>
      <w:r w:rsidRPr="00B376E5">
        <w:rPr>
          <w:i w:val="0"/>
          <w:lang w:val="fr-FR"/>
        </w:rPr>
        <w:t>évaluation de l</w:t>
      </w:r>
      <w:r w:rsidR="006B71B2" w:rsidRPr="00B376E5">
        <w:rPr>
          <w:i w:val="0"/>
          <w:lang w:val="fr-FR"/>
        </w:rPr>
        <w:t>’</w:t>
      </w:r>
      <w:r w:rsidRPr="00B376E5">
        <w:rPr>
          <w:i w:val="0"/>
          <w:lang w:val="fr-FR"/>
        </w:rPr>
        <w:t>homogénéité d</w:t>
      </w:r>
      <w:r w:rsidR="006B71B2" w:rsidRPr="00B376E5">
        <w:rPr>
          <w:i w:val="0"/>
          <w:lang w:val="fr-FR"/>
        </w:rPr>
        <w:t>’</w:t>
      </w:r>
      <w:r w:rsidRPr="00B376E5">
        <w:rPr>
          <w:i w:val="0"/>
          <w:lang w:val="fr-FR"/>
        </w:rPr>
        <w:t>après les plantes hors</w:t>
      </w:r>
      <w:r w:rsidR="006C087A" w:rsidRPr="00B376E5">
        <w:rPr>
          <w:i w:val="0"/>
          <w:lang w:val="fr-FR"/>
        </w:rPr>
        <w:noBreakHyphen/>
      </w:r>
      <w:r w:rsidRPr="00B376E5">
        <w:rPr>
          <w:i w:val="0"/>
          <w:lang w:val="fr-FR"/>
        </w:rPr>
        <w:t>type sur les mêmes plantes pendant deux</w:t>
      </w:r>
      <w:r w:rsidR="00E97B48" w:rsidRPr="00B376E5">
        <w:rPr>
          <w:i w:val="0"/>
          <w:lang w:val="fr-FR"/>
        </w:rPr>
        <w:t> </w:t>
      </w:r>
      <w:r w:rsidR="00C47EFD">
        <w:rPr>
          <w:i w:val="0"/>
          <w:lang w:val="fr-FR"/>
        </w:rPr>
        <w:t>cycles de végétation ;</w:t>
      </w:r>
      <w:r w:rsidRPr="00B376E5">
        <w:rPr>
          <w:i w:val="0"/>
          <w:lang w:val="fr-FR"/>
        </w:rPr>
        <w:t xml:space="preserve"> et</w:t>
      </w:r>
    </w:p>
    <w:p w:rsidR="00C47EFD" w:rsidRPr="00B376E5" w:rsidRDefault="00C47EFD" w:rsidP="00B376E5">
      <w:pPr>
        <w:pStyle w:val="DecisionParagraphs"/>
        <w:keepLines/>
        <w:tabs>
          <w:tab w:val="clear" w:pos="5387"/>
          <w:tab w:val="left" w:pos="1134"/>
          <w:tab w:val="left" w:pos="5954"/>
        </w:tabs>
        <w:ind w:left="0" w:firstLine="567"/>
        <w:rPr>
          <w:i w:val="0"/>
          <w:lang w:val="fr-FR"/>
        </w:rPr>
      </w:pPr>
    </w:p>
    <w:p w:rsidR="00D8441B" w:rsidRPr="00B376E5" w:rsidRDefault="00A71A99" w:rsidP="00B376E5">
      <w:pPr>
        <w:pStyle w:val="DecisionParagraphs"/>
        <w:keepLines/>
        <w:tabs>
          <w:tab w:val="clear" w:pos="5387"/>
          <w:tab w:val="left" w:pos="1134"/>
          <w:tab w:val="left" w:pos="5954"/>
        </w:tabs>
        <w:ind w:left="0" w:firstLine="567"/>
        <w:rPr>
          <w:i w:val="0"/>
          <w:lang w:val="fr-FR"/>
        </w:rPr>
      </w:pPr>
      <w:r w:rsidRPr="00B376E5">
        <w:rPr>
          <w:i w:val="0"/>
          <w:lang w:val="fr-FR"/>
        </w:rPr>
        <w:t>d)</w:t>
      </w:r>
      <w:r w:rsidRPr="00B376E5">
        <w:rPr>
          <w:i w:val="0"/>
          <w:lang w:val="fr-FR"/>
        </w:rPr>
        <w:tab/>
        <w:t>examiner le projet d</w:t>
      </w:r>
      <w:r w:rsidR="006B71B2" w:rsidRPr="00B376E5">
        <w:rPr>
          <w:i w:val="0"/>
          <w:lang w:val="fr-FR"/>
        </w:rPr>
        <w:t>’</w:t>
      </w:r>
      <w:r w:rsidRPr="00B376E5">
        <w:rPr>
          <w:i w:val="0"/>
          <w:lang w:val="fr-FR"/>
        </w:rPr>
        <w:t xml:space="preserve">orientations présenté </w:t>
      </w:r>
      <w:r w:rsidR="001077A1" w:rsidRPr="00B376E5">
        <w:rPr>
          <w:i w:val="0"/>
          <w:lang w:val="fr-FR"/>
        </w:rPr>
        <w:t>aux</w:t>
      </w:r>
      <w:r w:rsidRPr="00B376E5">
        <w:rPr>
          <w:i w:val="0"/>
          <w:lang w:val="fr-FR"/>
        </w:rPr>
        <w:t xml:space="preserve"> annexes</w:t>
      </w:r>
      <w:r w:rsidR="00E97B48" w:rsidRPr="00B376E5">
        <w:rPr>
          <w:i w:val="0"/>
          <w:lang w:val="fr-FR"/>
        </w:rPr>
        <w:t> </w:t>
      </w:r>
      <w:r w:rsidRPr="00B376E5">
        <w:rPr>
          <w:i w:val="0"/>
          <w:lang w:val="fr-FR"/>
        </w:rPr>
        <w:t>I et II</w:t>
      </w:r>
      <w:r w:rsidR="001077A1" w:rsidRPr="00B376E5">
        <w:rPr>
          <w:i w:val="0"/>
          <w:lang w:val="fr-FR"/>
        </w:rPr>
        <w:t>, à inclure</w:t>
      </w:r>
      <w:r w:rsidRPr="00B376E5">
        <w:rPr>
          <w:i w:val="0"/>
          <w:lang w:val="fr-FR"/>
        </w:rPr>
        <w:t xml:space="preserve"> dans une future version révisée du document TGP/10.</w:t>
      </w:r>
    </w:p>
    <w:p w:rsidR="00D8441B" w:rsidRPr="00B376E5" w:rsidRDefault="00D8441B" w:rsidP="00B376E5">
      <w:pPr>
        <w:autoSpaceDE w:val="0"/>
        <w:autoSpaceDN w:val="0"/>
        <w:adjustRightInd w:val="0"/>
        <w:rPr>
          <w:lang w:val="fr-FR"/>
        </w:rPr>
      </w:pPr>
    </w:p>
    <w:p w:rsidR="00C47EFD" w:rsidRDefault="00C47EFD">
      <w:pPr>
        <w:jc w:val="left"/>
        <w:rPr>
          <w:rFonts w:eastAsia="MS Mincho"/>
          <w:szCs w:val="24"/>
          <w:lang w:val="fr-FR" w:eastAsia="ja-JP"/>
        </w:rPr>
      </w:pPr>
      <w:r>
        <w:rPr>
          <w:rFonts w:eastAsia="MS Mincho"/>
          <w:szCs w:val="24"/>
          <w:lang w:val="fr-FR" w:eastAsia="ja-JP"/>
        </w:rPr>
        <w:br w:type="page"/>
      </w:r>
    </w:p>
    <w:p w:rsidR="00D8441B" w:rsidRPr="00B376E5" w:rsidRDefault="008454A6" w:rsidP="00B376E5">
      <w:pPr>
        <w:autoSpaceDE w:val="0"/>
        <w:autoSpaceDN w:val="0"/>
        <w:adjustRightInd w:val="0"/>
        <w:rPr>
          <w:rFonts w:eastAsia="MS Mincho"/>
          <w:szCs w:val="24"/>
          <w:lang w:val="fr-FR" w:eastAsia="ja-JP"/>
        </w:rPr>
      </w:pPr>
      <w:r w:rsidRPr="00B376E5">
        <w:rPr>
          <w:rFonts w:eastAsia="MS Mincho"/>
          <w:szCs w:val="24"/>
          <w:lang w:val="fr-FR" w:eastAsia="ja-JP"/>
        </w:rPr>
        <w:fldChar w:fldCharType="begin"/>
      </w:r>
      <w:r w:rsidRPr="00B376E5">
        <w:rPr>
          <w:rFonts w:eastAsia="MS Mincho"/>
          <w:szCs w:val="24"/>
          <w:lang w:val="fr-FR" w:eastAsia="ja-JP"/>
        </w:rPr>
        <w:instrText xml:space="preserve"> AUTONUM  </w:instrText>
      </w:r>
      <w:r w:rsidRPr="00B376E5">
        <w:rPr>
          <w:rFonts w:eastAsia="MS Mincho"/>
          <w:szCs w:val="24"/>
          <w:lang w:val="fr-FR" w:eastAsia="ja-JP"/>
        </w:rPr>
        <w:fldChar w:fldCharType="end"/>
      </w:r>
      <w:r w:rsidRPr="00B376E5">
        <w:rPr>
          <w:rFonts w:eastAsia="MS Mincho"/>
          <w:szCs w:val="24"/>
          <w:lang w:val="fr-FR" w:eastAsia="ja-JP"/>
        </w:rPr>
        <w:tab/>
      </w:r>
      <w:r w:rsidR="00DB03CE" w:rsidRPr="00B376E5">
        <w:rPr>
          <w:rFonts w:eastAsia="MS Mincho"/>
          <w:szCs w:val="24"/>
          <w:lang w:val="fr-FR" w:eastAsia="ja-JP"/>
        </w:rPr>
        <w:t>La structure du</w:t>
      </w:r>
      <w:r w:rsidR="00E508AA" w:rsidRPr="00B376E5">
        <w:rPr>
          <w:rFonts w:eastAsia="MS Mincho"/>
          <w:szCs w:val="24"/>
          <w:lang w:val="fr-FR" w:eastAsia="ja-JP"/>
        </w:rPr>
        <w:t xml:space="preserve"> présent document est </w:t>
      </w:r>
      <w:r w:rsidR="00DB03CE" w:rsidRPr="00B376E5">
        <w:rPr>
          <w:rFonts w:eastAsia="MS Mincho"/>
          <w:szCs w:val="24"/>
          <w:lang w:val="fr-FR" w:eastAsia="ja-JP"/>
        </w:rPr>
        <w:t>la suivante </w:t>
      </w:r>
      <w:r w:rsidR="00E508AA" w:rsidRPr="00B376E5">
        <w:rPr>
          <w:rFonts w:eastAsia="MS Mincho"/>
          <w:szCs w:val="24"/>
          <w:lang w:val="fr-FR" w:eastAsia="ja-JP"/>
        </w:rPr>
        <w:t>:</w:t>
      </w:r>
    </w:p>
    <w:p w:rsidR="003F545F" w:rsidRDefault="00BF4661" w:rsidP="00C47EFD">
      <w:pPr>
        <w:pStyle w:val="TOC1"/>
        <w:rPr>
          <w:rFonts w:asciiTheme="minorHAnsi" w:eastAsiaTheme="minorEastAsia" w:hAnsiTheme="minorHAnsi" w:cstheme="minorBidi"/>
          <w:noProof/>
          <w:sz w:val="22"/>
          <w:szCs w:val="22"/>
        </w:rPr>
      </w:pPr>
      <w:r w:rsidRPr="00B376E5">
        <w:rPr>
          <w:noProof/>
          <w:snapToGrid w:val="0"/>
          <w:lang w:val="fr-FR"/>
        </w:rPr>
        <w:fldChar w:fldCharType="begin"/>
      </w:r>
      <w:r w:rsidRPr="00B376E5">
        <w:rPr>
          <w:snapToGrid w:val="0"/>
          <w:lang w:val="fr-FR"/>
        </w:rPr>
        <w:instrText xml:space="preserve"> TOC \o "1-3" \h \z \u </w:instrText>
      </w:r>
      <w:r w:rsidRPr="00B376E5">
        <w:rPr>
          <w:noProof/>
          <w:snapToGrid w:val="0"/>
          <w:lang w:val="fr-FR"/>
        </w:rPr>
        <w:fldChar w:fldCharType="separate"/>
      </w:r>
      <w:hyperlink w:anchor="_Toc442255458" w:history="1">
        <w:r w:rsidR="003F545F" w:rsidRPr="0012616A">
          <w:rPr>
            <w:rStyle w:val="Hyperlink"/>
            <w:noProof/>
            <w:lang w:val="fr-FR"/>
          </w:rPr>
          <w:t>faits nouveaux intervenus en 2015</w:t>
        </w:r>
        <w:r w:rsidR="003F545F">
          <w:rPr>
            <w:noProof/>
            <w:webHidden/>
          </w:rPr>
          <w:tab/>
        </w:r>
        <w:r w:rsidR="003F545F">
          <w:rPr>
            <w:noProof/>
            <w:webHidden/>
          </w:rPr>
          <w:fldChar w:fldCharType="begin"/>
        </w:r>
        <w:r w:rsidR="003F545F">
          <w:rPr>
            <w:noProof/>
            <w:webHidden/>
          </w:rPr>
          <w:instrText xml:space="preserve"> PAGEREF _Toc442255458 \h </w:instrText>
        </w:r>
        <w:r w:rsidR="003F545F">
          <w:rPr>
            <w:noProof/>
            <w:webHidden/>
          </w:rPr>
        </w:r>
        <w:r w:rsidR="003F545F">
          <w:rPr>
            <w:noProof/>
            <w:webHidden/>
          </w:rPr>
          <w:fldChar w:fldCharType="separate"/>
        </w:r>
        <w:r w:rsidR="003E0139">
          <w:rPr>
            <w:noProof/>
            <w:webHidden/>
          </w:rPr>
          <w:t>2</w:t>
        </w:r>
        <w:r w:rsidR="003F545F">
          <w:rPr>
            <w:noProof/>
            <w:webHidden/>
          </w:rPr>
          <w:fldChar w:fldCharType="end"/>
        </w:r>
      </w:hyperlink>
    </w:p>
    <w:p w:rsidR="003F545F" w:rsidRDefault="003E0139">
      <w:pPr>
        <w:pStyle w:val="TOC2"/>
        <w:rPr>
          <w:rFonts w:asciiTheme="minorHAnsi" w:eastAsiaTheme="minorEastAsia" w:hAnsiTheme="minorHAnsi" w:cstheme="minorBidi"/>
          <w:smallCaps w:val="0"/>
          <w:noProof/>
          <w:sz w:val="22"/>
          <w:szCs w:val="22"/>
        </w:rPr>
      </w:pPr>
      <w:hyperlink w:anchor="_Toc442255459" w:history="1">
        <w:r w:rsidR="003F545F" w:rsidRPr="0012616A">
          <w:rPr>
            <w:rStyle w:val="Hyperlink"/>
            <w:noProof/>
            <w:lang w:val="fr-FR"/>
          </w:rPr>
          <w:t>Comité technique</w:t>
        </w:r>
        <w:r w:rsidR="003F545F">
          <w:rPr>
            <w:noProof/>
            <w:webHidden/>
          </w:rPr>
          <w:tab/>
        </w:r>
        <w:r w:rsidR="003F545F">
          <w:rPr>
            <w:noProof/>
            <w:webHidden/>
          </w:rPr>
          <w:fldChar w:fldCharType="begin"/>
        </w:r>
        <w:r w:rsidR="003F545F">
          <w:rPr>
            <w:noProof/>
            <w:webHidden/>
          </w:rPr>
          <w:instrText xml:space="preserve"> PAGEREF _Toc442255459 \h </w:instrText>
        </w:r>
        <w:r w:rsidR="003F545F">
          <w:rPr>
            <w:noProof/>
            <w:webHidden/>
          </w:rPr>
        </w:r>
        <w:r w:rsidR="003F545F">
          <w:rPr>
            <w:noProof/>
            <w:webHidden/>
          </w:rPr>
          <w:fldChar w:fldCharType="separate"/>
        </w:r>
        <w:r>
          <w:rPr>
            <w:noProof/>
            <w:webHidden/>
          </w:rPr>
          <w:t>2</w:t>
        </w:r>
        <w:r w:rsidR="003F545F">
          <w:rPr>
            <w:noProof/>
            <w:webHidden/>
          </w:rPr>
          <w:fldChar w:fldCharType="end"/>
        </w:r>
      </w:hyperlink>
    </w:p>
    <w:p w:rsidR="003F545F" w:rsidRDefault="003E0139">
      <w:pPr>
        <w:pStyle w:val="TOC2"/>
        <w:rPr>
          <w:rFonts w:asciiTheme="minorHAnsi" w:eastAsiaTheme="minorEastAsia" w:hAnsiTheme="minorHAnsi" w:cstheme="minorBidi"/>
          <w:smallCaps w:val="0"/>
          <w:noProof/>
          <w:sz w:val="22"/>
          <w:szCs w:val="22"/>
        </w:rPr>
      </w:pPr>
      <w:hyperlink w:anchor="_Toc442255460" w:history="1">
        <w:r w:rsidR="003F545F" w:rsidRPr="0012616A">
          <w:rPr>
            <w:rStyle w:val="Hyperlink"/>
            <w:noProof/>
            <w:snapToGrid w:val="0"/>
            <w:lang w:val="fr-FR"/>
          </w:rPr>
          <w:t>Groupes de travail techniques</w:t>
        </w:r>
        <w:r w:rsidR="003F545F">
          <w:rPr>
            <w:noProof/>
            <w:webHidden/>
          </w:rPr>
          <w:tab/>
        </w:r>
        <w:r w:rsidR="003F545F">
          <w:rPr>
            <w:noProof/>
            <w:webHidden/>
          </w:rPr>
          <w:fldChar w:fldCharType="begin"/>
        </w:r>
        <w:r w:rsidR="003F545F">
          <w:rPr>
            <w:noProof/>
            <w:webHidden/>
          </w:rPr>
          <w:instrText xml:space="preserve"> PAGEREF _Toc442255460 \h </w:instrText>
        </w:r>
        <w:r w:rsidR="003F545F">
          <w:rPr>
            <w:noProof/>
            <w:webHidden/>
          </w:rPr>
        </w:r>
        <w:r w:rsidR="003F545F">
          <w:rPr>
            <w:noProof/>
            <w:webHidden/>
          </w:rPr>
          <w:fldChar w:fldCharType="separate"/>
        </w:r>
        <w:r>
          <w:rPr>
            <w:noProof/>
            <w:webHidden/>
          </w:rPr>
          <w:t>3</w:t>
        </w:r>
        <w:r w:rsidR="003F545F">
          <w:rPr>
            <w:noProof/>
            <w:webHidden/>
          </w:rPr>
          <w:fldChar w:fldCharType="end"/>
        </w:r>
      </w:hyperlink>
    </w:p>
    <w:p w:rsidR="003F545F" w:rsidRDefault="003E0139">
      <w:pPr>
        <w:pStyle w:val="TOC3"/>
        <w:rPr>
          <w:rFonts w:asciiTheme="minorHAnsi" w:eastAsiaTheme="minorEastAsia" w:hAnsiTheme="minorHAnsi" w:cstheme="minorBidi"/>
          <w:noProof/>
          <w:sz w:val="22"/>
          <w:szCs w:val="22"/>
          <w:lang w:val="en-US"/>
        </w:rPr>
      </w:pPr>
      <w:hyperlink w:anchor="_Toc442255461" w:history="1">
        <w:r w:rsidR="003F545F" w:rsidRPr="0012616A">
          <w:rPr>
            <w:rStyle w:val="Hyperlink"/>
            <w:noProof/>
            <w:snapToGrid w:val="0"/>
          </w:rPr>
          <w:t>Groupe de travail technique sur les plantes potagères</w:t>
        </w:r>
        <w:r w:rsidR="003F545F">
          <w:rPr>
            <w:noProof/>
            <w:webHidden/>
          </w:rPr>
          <w:tab/>
        </w:r>
        <w:r w:rsidR="003F545F">
          <w:rPr>
            <w:noProof/>
            <w:webHidden/>
          </w:rPr>
          <w:fldChar w:fldCharType="begin"/>
        </w:r>
        <w:r w:rsidR="003F545F">
          <w:rPr>
            <w:noProof/>
            <w:webHidden/>
          </w:rPr>
          <w:instrText xml:space="preserve"> PAGEREF _Toc442255461 \h </w:instrText>
        </w:r>
        <w:r w:rsidR="003F545F">
          <w:rPr>
            <w:noProof/>
            <w:webHidden/>
          </w:rPr>
        </w:r>
        <w:r w:rsidR="003F545F">
          <w:rPr>
            <w:noProof/>
            <w:webHidden/>
          </w:rPr>
          <w:fldChar w:fldCharType="separate"/>
        </w:r>
        <w:r>
          <w:rPr>
            <w:noProof/>
            <w:webHidden/>
          </w:rPr>
          <w:t>3</w:t>
        </w:r>
        <w:r w:rsidR="003F545F">
          <w:rPr>
            <w:noProof/>
            <w:webHidden/>
          </w:rPr>
          <w:fldChar w:fldCharType="end"/>
        </w:r>
      </w:hyperlink>
    </w:p>
    <w:p w:rsidR="003F545F" w:rsidRDefault="003E0139">
      <w:pPr>
        <w:pStyle w:val="TOC3"/>
        <w:rPr>
          <w:rFonts w:asciiTheme="minorHAnsi" w:eastAsiaTheme="minorEastAsia" w:hAnsiTheme="minorHAnsi" w:cstheme="minorBidi"/>
          <w:noProof/>
          <w:sz w:val="22"/>
          <w:szCs w:val="22"/>
          <w:lang w:val="en-US"/>
        </w:rPr>
      </w:pPr>
      <w:hyperlink w:anchor="_Toc442255462" w:history="1">
        <w:r w:rsidR="003F545F" w:rsidRPr="0012616A">
          <w:rPr>
            <w:rStyle w:val="Hyperlink"/>
            <w:rFonts w:eastAsia="PMingLiU"/>
            <w:noProof/>
          </w:rPr>
          <w:t>Groupe de travail technique sur les systèmes d’automatisation et les programmes d’ordinateur</w:t>
        </w:r>
        <w:r w:rsidR="003F545F">
          <w:rPr>
            <w:noProof/>
            <w:webHidden/>
          </w:rPr>
          <w:tab/>
        </w:r>
        <w:r w:rsidR="003F545F">
          <w:rPr>
            <w:noProof/>
            <w:webHidden/>
          </w:rPr>
          <w:fldChar w:fldCharType="begin"/>
        </w:r>
        <w:r w:rsidR="003F545F">
          <w:rPr>
            <w:noProof/>
            <w:webHidden/>
          </w:rPr>
          <w:instrText xml:space="preserve"> PAGEREF _Toc442255462 \h </w:instrText>
        </w:r>
        <w:r w:rsidR="003F545F">
          <w:rPr>
            <w:noProof/>
            <w:webHidden/>
          </w:rPr>
        </w:r>
        <w:r w:rsidR="003F545F">
          <w:rPr>
            <w:noProof/>
            <w:webHidden/>
          </w:rPr>
          <w:fldChar w:fldCharType="separate"/>
        </w:r>
        <w:r>
          <w:rPr>
            <w:noProof/>
            <w:webHidden/>
          </w:rPr>
          <w:t>3</w:t>
        </w:r>
        <w:r w:rsidR="003F545F">
          <w:rPr>
            <w:noProof/>
            <w:webHidden/>
          </w:rPr>
          <w:fldChar w:fldCharType="end"/>
        </w:r>
      </w:hyperlink>
    </w:p>
    <w:p w:rsidR="003F545F" w:rsidRDefault="003E0139">
      <w:pPr>
        <w:pStyle w:val="TOC3"/>
        <w:rPr>
          <w:rFonts w:asciiTheme="minorHAnsi" w:eastAsiaTheme="minorEastAsia" w:hAnsiTheme="minorHAnsi" w:cstheme="minorBidi"/>
          <w:noProof/>
          <w:sz w:val="22"/>
          <w:szCs w:val="22"/>
          <w:lang w:val="en-US"/>
        </w:rPr>
      </w:pPr>
      <w:hyperlink w:anchor="_Toc442255463" w:history="1">
        <w:r w:rsidR="003F545F" w:rsidRPr="0012616A">
          <w:rPr>
            <w:rStyle w:val="Hyperlink"/>
            <w:noProof/>
          </w:rPr>
          <w:t>Groupe de travail technique sur les plantes agricoles</w:t>
        </w:r>
        <w:r w:rsidR="003F545F">
          <w:rPr>
            <w:noProof/>
            <w:webHidden/>
          </w:rPr>
          <w:tab/>
        </w:r>
        <w:r w:rsidR="003F545F">
          <w:rPr>
            <w:noProof/>
            <w:webHidden/>
          </w:rPr>
          <w:fldChar w:fldCharType="begin"/>
        </w:r>
        <w:r w:rsidR="003F545F">
          <w:rPr>
            <w:noProof/>
            <w:webHidden/>
          </w:rPr>
          <w:instrText xml:space="preserve"> PAGEREF _Toc442255463 \h </w:instrText>
        </w:r>
        <w:r w:rsidR="003F545F">
          <w:rPr>
            <w:noProof/>
            <w:webHidden/>
          </w:rPr>
        </w:r>
        <w:r w:rsidR="003F545F">
          <w:rPr>
            <w:noProof/>
            <w:webHidden/>
          </w:rPr>
          <w:fldChar w:fldCharType="separate"/>
        </w:r>
        <w:r>
          <w:rPr>
            <w:noProof/>
            <w:webHidden/>
          </w:rPr>
          <w:t>4</w:t>
        </w:r>
        <w:r w:rsidR="003F545F">
          <w:rPr>
            <w:noProof/>
            <w:webHidden/>
          </w:rPr>
          <w:fldChar w:fldCharType="end"/>
        </w:r>
      </w:hyperlink>
    </w:p>
    <w:p w:rsidR="003F545F" w:rsidRDefault="003E0139">
      <w:pPr>
        <w:pStyle w:val="TOC3"/>
        <w:rPr>
          <w:rFonts w:asciiTheme="minorHAnsi" w:eastAsiaTheme="minorEastAsia" w:hAnsiTheme="minorHAnsi" w:cstheme="minorBidi"/>
          <w:noProof/>
          <w:sz w:val="22"/>
          <w:szCs w:val="22"/>
          <w:lang w:val="en-US"/>
        </w:rPr>
      </w:pPr>
      <w:hyperlink w:anchor="_Toc442255464" w:history="1">
        <w:r w:rsidR="003F545F" w:rsidRPr="0012616A">
          <w:rPr>
            <w:rStyle w:val="Hyperlink"/>
            <w:noProof/>
          </w:rPr>
          <w:t>Groupe de travail technique sur les plantes fruitières</w:t>
        </w:r>
        <w:r w:rsidR="003F545F">
          <w:rPr>
            <w:noProof/>
            <w:webHidden/>
          </w:rPr>
          <w:tab/>
        </w:r>
        <w:r w:rsidR="003F545F">
          <w:rPr>
            <w:noProof/>
            <w:webHidden/>
          </w:rPr>
          <w:fldChar w:fldCharType="begin"/>
        </w:r>
        <w:r w:rsidR="003F545F">
          <w:rPr>
            <w:noProof/>
            <w:webHidden/>
          </w:rPr>
          <w:instrText xml:space="preserve"> PAGEREF _Toc442255464 \h </w:instrText>
        </w:r>
        <w:r w:rsidR="003F545F">
          <w:rPr>
            <w:noProof/>
            <w:webHidden/>
          </w:rPr>
        </w:r>
        <w:r w:rsidR="003F545F">
          <w:rPr>
            <w:noProof/>
            <w:webHidden/>
          </w:rPr>
          <w:fldChar w:fldCharType="separate"/>
        </w:r>
        <w:r>
          <w:rPr>
            <w:noProof/>
            <w:webHidden/>
          </w:rPr>
          <w:t>4</w:t>
        </w:r>
        <w:r w:rsidR="003F545F">
          <w:rPr>
            <w:noProof/>
            <w:webHidden/>
          </w:rPr>
          <w:fldChar w:fldCharType="end"/>
        </w:r>
      </w:hyperlink>
    </w:p>
    <w:p w:rsidR="003F545F" w:rsidRDefault="003E0139">
      <w:pPr>
        <w:pStyle w:val="TOC3"/>
        <w:rPr>
          <w:rFonts w:asciiTheme="minorHAnsi" w:eastAsiaTheme="minorEastAsia" w:hAnsiTheme="minorHAnsi" w:cstheme="minorBidi"/>
          <w:noProof/>
          <w:sz w:val="22"/>
          <w:szCs w:val="22"/>
          <w:lang w:val="en-US"/>
        </w:rPr>
      </w:pPr>
      <w:hyperlink w:anchor="_Toc442255465" w:history="1">
        <w:r w:rsidR="003F545F" w:rsidRPr="0012616A">
          <w:rPr>
            <w:rStyle w:val="Hyperlink"/>
            <w:noProof/>
          </w:rPr>
          <w:t>Groupe de travail technique sur les plantes ornementales</w:t>
        </w:r>
        <w:r w:rsidR="003F545F">
          <w:rPr>
            <w:noProof/>
            <w:webHidden/>
          </w:rPr>
          <w:tab/>
        </w:r>
        <w:r w:rsidR="003F545F">
          <w:rPr>
            <w:noProof/>
            <w:webHidden/>
          </w:rPr>
          <w:fldChar w:fldCharType="begin"/>
        </w:r>
        <w:r w:rsidR="003F545F">
          <w:rPr>
            <w:noProof/>
            <w:webHidden/>
          </w:rPr>
          <w:instrText xml:space="preserve"> PAGEREF _Toc442255465 \h </w:instrText>
        </w:r>
        <w:r w:rsidR="003F545F">
          <w:rPr>
            <w:noProof/>
            <w:webHidden/>
          </w:rPr>
        </w:r>
        <w:r w:rsidR="003F545F">
          <w:rPr>
            <w:noProof/>
            <w:webHidden/>
          </w:rPr>
          <w:fldChar w:fldCharType="separate"/>
        </w:r>
        <w:r>
          <w:rPr>
            <w:noProof/>
            <w:webHidden/>
          </w:rPr>
          <w:t>5</w:t>
        </w:r>
        <w:r w:rsidR="003F545F">
          <w:rPr>
            <w:noProof/>
            <w:webHidden/>
          </w:rPr>
          <w:fldChar w:fldCharType="end"/>
        </w:r>
      </w:hyperlink>
    </w:p>
    <w:p w:rsidR="003F545F" w:rsidRDefault="003E0139" w:rsidP="00C47EFD">
      <w:pPr>
        <w:pStyle w:val="TOC1"/>
        <w:rPr>
          <w:rFonts w:asciiTheme="minorHAnsi" w:eastAsiaTheme="minorEastAsia" w:hAnsiTheme="minorHAnsi" w:cstheme="minorBidi"/>
          <w:noProof/>
          <w:sz w:val="22"/>
          <w:szCs w:val="22"/>
        </w:rPr>
      </w:pPr>
      <w:hyperlink w:anchor="_Toc442255466" w:history="1">
        <w:r w:rsidR="003F545F" w:rsidRPr="0012616A">
          <w:rPr>
            <w:rStyle w:val="Hyperlink"/>
            <w:noProof/>
            <w:lang w:val="fr-FR"/>
          </w:rPr>
          <w:t>résumé des méthodes présentées</w:t>
        </w:r>
        <w:r w:rsidR="003F545F">
          <w:rPr>
            <w:noProof/>
            <w:webHidden/>
          </w:rPr>
          <w:tab/>
        </w:r>
        <w:r w:rsidR="003F545F">
          <w:rPr>
            <w:noProof/>
            <w:webHidden/>
          </w:rPr>
          <w:fldChar w:fldCharType="begin"/>
        </w:r>
        <w:r w:rsidR="003F545F">
          <w:rPr>
            <w:noProof/>
            <w:webHidden/>
          </w:rPr>
          <w:instrText xml:space="preserve"> PAGEREF _Toc442255466 \h </w:instrText>
        </w:r>
        <w:r w:rsidR="003F545F">
          <w:rPr>
            <w:noProof/>
            <w:webHidden/>
          </w:rPr>
        </w:r>
        <w:r w:rsidR="003F545F">
          <w:rPr>
            <w:noProof/>
            <w:webHidden/>
          </w:rPr>
          <w:fldChar w:fldCharType="separate"/>
        </w:r>
        <w:r>
          <w:rPr>
            <w:noProof/>
            <w:webHidden/>
          </w:rPr>
          <w:t>5</w:t>
        </w:r>
        <w:r w:rsidR="003F545F">
          <w:rPr>
            <w:noProof/>
            <w:webHidden/>
          </w:rPr>
          <w:fldChar w:fldCharType="end"/>
        </w:r>
      </w:hyperlink>
    </w:p>
    <w:p w:rsidR="00D8441B" w:rsidRPr="0032181E" w:rsidRDefault="00BF4661" w:rsidP="00C47EFD">
      <w:pPr>
        <w:spacing w:before="120"/>
        <w:ind w:left="1418" w:hanging="1418"/>
        <w:rPr>
          <w:rFonts w:eastAsia="MS Mincho"/>
          <w:lang w:val="fr-FR" w:eastAsia="ja-JP"/>
        </w:rPr>
      </w:pPr>
      <w:r w:rsidRPr="00B376E5">
        <w:rPr>
          <w:snapToGrid w:val="0"/>
          <w:lang w:val="fr-FR"/>
        </w:rPr>
        <w:fldChar w:fldCharType="end"/>
      </w:r>
      <w:r w:rsidRPr="00B376E5">
        <w:rPr>
          <w:rFonts w:eastAsia="MS Mincho"/>
          <w:szCs w:val="24"/>
          <w:lang w:val="fr-FR" w:eastAsia="ja-JP"/>
        </w:rPr>
        <w:t>ANNEX</w:t>
      </w:r>
      <w:r w:rsidR="006C087A" w:rsidRPr="00B376E5">
        <w:rPr>
          <w:rFonts w:eastAsia="MS Mincho"/>
          <w:szCs w:val="24"/>
          <w:lang w:val="fr-FR" w:eastAsia="ja-JP"/>
        </w:rPr>
        <w:t>E</w:t>
      </w:r>
      <w:r w:rsidRPr="00B376E5">
        <w:rPr>
          <w:rFonts w:eastAsia="MS Mincho"/>
          <w:szCs w:val="24"/>
          <w:lang w:val="fr-FR" w:eastAsia="ja-JP"/>
        </w:rPr>
        <w:t xml:space="preserve"> I</w:t>
      </w:r>
      <w:r w:rsidR="00E97B48" w:rsidRPr="00B376E5">
        <w:rPr>
          <w:rFonts w:eastAsia="MS Mincho"/>
          <w:szCs w:val="24"/>
          <w:lang w:val="fr-FR" w:eastAsia="ja-JP"/>
        </w:rPr>
        <w:t> </w:t>
      </w:r>
      <w:r w:rsidRPr="00B376E5">
        <w:rPr>
          <w:rFonts w:eastAsia="MS Mincho"/>
          <w:szCs w:val="24"/>
          <w:lang w:val="fr-FR" w:eastAsia="ja-JP"/>
        </w:rPr>
        <w:t xml:space="preserve">: </w:t>
      </w:r>
      <w:r w:rsidRPr="00B376E5">
        <w:rPr>
          <w:rFonts w:eastAsia="MS Mincho"/>
          <w:szCs w:val="24"/>
          <w:lang w:val="fr-FR" w:eastAsia="ja-JP"/>
        </w:rPr>
        <w:tab/>
      </w:r>
      <w:r w:rsidR="0032181E" w:rsidRPr="0032181E">
        <w:rPr>
          <w:rFonts w:eastAsia="SimSun"/>
          <w:lang w:val="fr-FR" w:eastAsia="zh-CN"/>
        </w:rPr>
        <w:t>Évaluation de l’homogénéité d’après les plantes hors</w:t>
      </w:r>
      <w:r w:rsidR="0032181E" w:rsidRPr="0032181E">
        <w:rPr>
          <w:rFonts w:eastAsia="SimSun"/>
          <w:lang w:val="fr-FR" w:eastAsia="zh-CN"/>
        </w:rPr>
        <w:noBreakHyphen/>
        <w:t>type sur la base de plusieurs cycles de végétation</w:t>
      </w:r>
    </w:p>
    <w:p w:rsidR="00D8441B" w:rsidRPr="00B376E5" w:rsidRDefault="00BF4661" w:rsidP="00C47EFD">
      <w:pPr>
        <w:tabs>
          <w:tab w:val="left" w:pos="1701"/>
        </w:tabs>
        <w:autoSpaceDE w:val="0"/>
        <w:autoSpaceDN w:val="0"/>
        <w:adjustRightInd w:val="0"/>
        <w:ind w:left="1418" w:hanging="1418"/>
        <w:rPr>
          <w:rFonts w:eastAsia="MS Mincho"/>
          <w:szCs w:val="24"/>
          <w:lang w:val="fr-FR" w:eastAsia="ja-JP"/>
        </w:rPr>
      </w:pPr>
      <w:r w:rsidRPr="00B376E5">
        <w:rPr>
          <w:rFonts w:eastAsia="MS Mincho"/>
          <w:szCs w:val="24"/>
          <w:lang w:val="fr-FR" w:eastAsia="ja-JP"/>
        </w:rPr>
        <w:t>ANNEX</w:t>
      </w:r>
      <w:r w:rsidR="006C087A" w:rsidRPr="00B376E5">
        <w:rPr>
          <w:rFonts w:eastAsia="MS Mincho"/>
          <w:szCs w:val="24"/>
          <w:lang w:val="fr-FR" w:eastAsia="ja-JP"/>
        </w:rPr>
        <w:t>E</w:t>
      </w:r>
      <w:r w:rsidRPr="00B376E5">
        <w:rPr>
          <w:rFonts w:eastAsia="MS Mincho"/>
          <w:szCs w:val="24"/>
          <w:lang w:val="fr-FR" w:eastAsia="ja-JP"/>
        </w:rPr>
        <w:t xml:space="preserve"> II</w:t>
      </w:r>
      <w:r w:rsidR="00E97B48" w:rsidRPr="00B376E5">
        <w:rPr>
          <w:rFonts w:eastAsia="MS Mincho"/>
          <w:szCs w:val="24"/>
          <w:lang w:val="fr-FR" w:eastAsia="ja-JP"/>
        </w:rPr>
        <w:t xml:space="preserve"> : </w:t>
      </w:r>
      <w:r w:rsidRPr="00B376E5">
        <w:rPr>
          <w:rFonts w:eastAsia="MS Mincho"/>
          <w:szCs w:val="24"/>
          <w:lang w:val="fr-FR" w:eastAsia="ja-JP"/>
        </w:rPr>
        <w:tab/>
      </w:r>
      <w:r w:rsidR="0032181E">
        <w:rPr>
          <w:rFonts w:eastAsia="SimSun"/>
          <w:szCs w:val="24"/>
          <w:lang w:val="fr-FR" w:eastAsia="zh-CN"/>
        </w:rPr>
        <w:t>Évaluation de l’homogénéité d’après les plantes hors</w:t>
      </w:r>
      <w:r w:rsidR="0032181E">
        <w:rPr>
          <w:rFonts w:eastAsia="SimSun"/>
          <w:szCs w:val="24"/>
          <w:lang w:val="fr-FR" w:eastAsia="zh-CN"/>
        </w:rPr>
        <w:noBreakHyphen/>
        <w:t xml:space="preserve">type sur la base de </w:t>
      </w:r>
      <w:r w:rsidR="0032181E" w:rsidRPr="002F17FA">
        <w:rPr>
          <w:rFonts w:eastAsia="SimSun"/>
          <w:szCs w:val="24"/>
          <w:lang w:val="fr-FR" w:eastAsia="zh-CN"/>
        </w:rPr>
        <w:t>sous</w:t>
      </w:r>
      <w:r w:rsidR="0032181E">
        <w:rPr>
          <w:rFonts w:eastAsia="SimSun"/>
          <w:szCs w:val="24"/>
          <w:lang w:val="fr-FR" w:eastAsia="zh-CN"/>
        </w:rPr>
        <w:noBreakHyphen/>
      </w:r>
      <w:r w:rsidR="0032181E" w:rsidRPr="002F17FA">
        <w:rPr>
          <w:rFonts w:eastAsia="SimSun"/>
          <w:szCs w:val="24"/>
          <w:lang w:val="fr-FR" w:eastAsia="zh-CN"/>
        </w:rPr>
        <w:t>échantillons</w:t>
      </w:r>
      <w:r w:rsidR="0032181E">
        <w:rPr>
          <w:rFonts w:eastAsia="SimSun"/>
          <w:szCs w:val="24"/>
          <w:lang w:val="fr-FR" w:eastAsia="zh-CN"/>
        </w:rPr>
        <w:t xml:space="preserve"> </w:t>
      </w:r>
      <w:r w:rsidR="0032181E" w:rsidRPr="002F17FA">
        <w:rPr>
          <w:rFonts w:eastAsia="SimSun"/>
          <w:szCs w:val="24"/>
          <w:lang w:val="fr-FR" w:eastAsia="zh-CN"/>
        </w:rPr>
        <w:t>dans le cadre d</w:t>
      </w:r>
      <w:r w:rsidR="0032181E">
        <w:rPr>
          <w:rFonts w:eastAsia="SimSun"/>
          <w:szCs w:val="24"/>
          <w:lang w:val="fr-FR" w:eastAsia="zh-CN"/>
        </w:rPr>
        <w:t>’</w:t>
      </w:r>
      <w:r w:rsidR="0032181E" w:rsidRPr="002F17FA">
        <w:rPr>
          <w:rFonts w:eastAsia="SimSun"/>
          <w:szCs w:val="24"/>
          <w:lang w:val="fr-FR" w:eastAsia="zh-CN"/>
        </w:rPr>
        <w:t>un seul examen/essai</w:t>
      </w:r>
    </w:p>
    <w:p w:rsidR="00D8441B" w:rsidRPr="00B376E5" w:rsidRDefault="00D4034F" w:rsidP="00C47EFD">
      <w:pPr>
        <w:tabs>
          <w:tab w:val="left" w:pos="1701"/>
        </w:tabs>
        <w:autoSpaceDE w:val="0"/>
        <w:autoSpaceDN w:val="0"/>
        <w:adjustRightInd w:val="0"/>
        <w:ind w:left="1418" w:hanging="1418"/>
        <w:rPr>
          <w:rFonts w:eastAsia="MS Mincho"/>
          <w:szCs w:val="24"/>
          <w:lang w:val="fr-FR" w:eastAsia="ja-JP"/>
        </w:rPr>
      </w:pPr>
      <w:r w:rsidRPr="00B376E5">
        <w:rPr>
          <w:rFonts w:eastAsia="MS Mincho"/>
          <w:szCs w:val="24"/>
          <w:lang w:val="fr-FR" w:eastAsia="ja-JP"/>
        </w:rPr>
        <w:lastRenderedPageBreak/>
        <w:t>ANNEX</w:t>
      </w:r>
      <w:r w:rsidR="006C087A" w:rsidRPr="00B376E5">
        <w:rPr>
          <w:rFonts w:eastAsia="MS Mincho"/>
          <w:szCs w:val="24"/>
          <w:lang w:val="fr-FR" w:eastAsia="ja-JP"/>
        </w:rPr>
        <w:t>E</w:t>
      </w:r>
      <w:r w:rsidRPr="00B376E5">
        <w:rPr>
          <w:rFonts w:eastAsia="MS Mincho"/>
          <w:szCs w:val="24"/>
          <w:lang w:val="fr-FR" w:eastAsia="ja-JP"/>
        </w:rPr>
        <w:t xml:space="preserve"> III</w:t>
      </w:r>
      <w:r w:rsidR="00E97B48" w:rsidRPr="00B376E5">
        <w:rPr>
          <w:rFonts w:eastAsia="MS Mincho"/>
          <w:szCs w:val="24"/>
          <w:lang w:val="fr-FR" w:eastAsia="ja-JP"/>
        </w:rPr>
        <w:t xml:space="preserve"> : </w:t>
      </w:r>
      <w:r w:rsidRPr="00B376E5">
        <w:rPr>
          <w:rFonts w:eastAsia="MS Mincho"/>
          <w:szCs w:val="24"/>
          <w:lang w:val="fr-FR" w:eastAsia="ja-JP"/>
        </w:rPr>
        <w:tab/>
      </w:r>
      <w:r w:rsidR="0048169C">
        <w:rPr>
          <w:rFonts w:eastAsia="MS Mincho"/>
          <w:szCs w:val="24"/>
          <w:lang w:val="fr-FR" w:eastAsia="ja-JP"/>
        </w:rPr>
        <w:t>É</w:t>
      </w:r>
      <w:r w:rsidR="001077A1" w:rsidRPr="00B376E5">
        <w:rPr>
          <w:rFonts w:eastAsia="MS Mincho"/>
          <w:szCs w:val="24"/>
          <w:lang w:val="fr-FR" w:eastAsia="ja-JP"/>
        </w:rPr>
        <w:t>valuation de l</w:t>
      </w:r>
      <w:r w:rsidR="006B71B2" w:rsidRPr="00B376E5">
        <w:rPr>
          <w:rFonts w:eastAsia="MS Mincho"/>
          <w:szCs w:val="24"/>
          <w:lang w:val="fr-FR" w:eastAsia="ja-JP"/>
        </w:rPr>
        <w:t>’</w:t>
      </w:r>
      <w:r w:rsidR="001077A1" w:rsidRPr="00B376E5">
        <w:rPr>
          <w:rFonts w:eastAsia="MS Mincho"/>
          <w:szCs w:val="24"/>
          <w:lang w:val="fr-FR" w:eastAsia="ja-JP"/>
        </w:rPr>
        <w:t>homogénéité d</w:t>
      </w:r>
      <w:r w:rsidR="006B71B2" w:rsidRPr="00B376E5">
        <w:rPr>
          <w:rFonts w:eastAsia="MS Mincho"/>
          <w:szCs w:val="24"/>
          <w:lang w:val="fr-FR" w:eastAsia="ja-JP"/>
        </w:rPr>
        <w:t>’</w:t>
      </w:r>
      <w:r w:rsidR="001077A1" w:rsidRPr="00B376E5">
        <w:rPr>
          <w:rFonts w:eastAsia="MS Mincho"/>
          <w:szCs w:val="24"/>
          <w:lang w:val="fr-FR" w:eastAsia="ja-JP"/>
        </w:rPr>
        <w:t>après les plantes</w:t>
      </w:r>
      <w:r w:rsidR="001077A1" w:rsidRPr="00B376E5">
        <w:rPr>
          <w:rFonts w:eastAsia="MS Mincho"/>
          <w:szCs w:val="22"/>
          <w:lang w:val="fr-FR" w:eastAsia="ja-JP"/>
        </w:rPr>
        <w:t>–</w:t>
      </w:r>
      <w:r w:rsidR="001077A1" w:rsidRPr="00B376E5">
        <w:rPr>
          <w:rFonts w:eastAsia="MS Mincho"/>
          <w:szCs w:val="24"/>
          <w:lang w:val="fr-FR" w:eastAsia="ja-JP"/>
        </w:rPr>
        <w:t xml:space="preserve">type sur la base de </w:t>
      </w:r>
      <w:r w:rsidR="00DB03CE" w:rsidRPr="00B376E5">
        <w:rPr>
          <w:rFonts w:eastAsia="MS Mincho"/>
          <w:szCs w:val="24"/>
          <w:lang w:val="fr-FR" w:eastAsia="ja-JP"/>
        </w:rPr>
        <w:t>plusieurs cycles de végétation :</w:t>
      </w:r>
      <w:r w:rsidR="001077A1" w:rsidRPr="00B376E5">
        <w:rPr>
          <w:rFonts w:eastAsia="MS Mincho"/>
          <w:szCs w:val="24"/>
          <w:lang w:val="fr-FR" w:eastAsia="ja-JP"/>
        </w:rPr>
        <w:t xml:space="preserve"> risques, avantages et coûts</w:t>
      </w:r>
      <w:r w:rsidR="006B71B2" w:rsidRPr="00B376E5">
        <w:rPr>
          <w:rFonts w:eastAsia="MS Mincho"/>
          <w:szCs w:val="24"/>
          <w:lang w:val="fr-FR" w:eastAsia="ja-JP"/>
        </w:rPr>
        <w:t xml:space="preserve"> – </w:t>
      </w:r>
      <w:r w:rsidR="0048169C">
        <w:rPr>
          <w:rFonts w:eastAsia="MS Mincho"/>
          <w:szCs w:val="24"/>
          <w:lang w:val="fr-FR" w:eastAsia="ja-JP"/>
        </w:rPr>
        <w:t>E</w:t>
      </w:r>
      <w:r w:rsidR="001077A1" w:rsidRPr="00B376E5">
        <w:rPr>
          <w:rFonts w:eastAsia="MS Mincho"/>
          <w:szCs w:val="24"/>
          <w:lang w:val="fr-FR" w:eastAsia="ja-JP"/>
        </w:rPr>
        <w:t xml:space="preserve">xposé présenté par les </w:t>
      </w:r>
      <w:r w:rsidRPr="00B376E5">
        <w:rPr>
          <w:rFonts w:eastAsia="MS Mincho"/>
          <w:szCs w:val="24"/>
          <w:lang w:val="fr-FR" w:eastAsia="ja-JP"/>
        </w:rPr>
        <w:t xml:space="preserve">experts </w:t>
      </w:r>
      <w:r w:rsidR="001077A1" w:rsidRPr="00B376E5">
        <w:rPr>
          <w:rFonts w:eastAsia="MS Mincho"/>
          <w:szCs w:val="24"/>
          <w:lang w:val="fr-FR" w:eastAsia="ja-JP"/>
        </w:rPr>
        <w:t>de l</w:t>
      </w:r>
      <w:r w:rsidR="006B71B2" w:rsidRPr="00B376E5">
        <w:rPr>
          <w:rFonts w:eastAsia="MS Mincho"/>
          <w:szCs w:val="24"/>
          <w:lang w:val="fr-FR" w:eastAsia="ja-JP"/>
        </w:rPr>
        <w:t>’</w:t>
      </w:r>
      <w:r w:rsidR="001077A1" w:rsidRPr="00B376E5">
        <w:rPr>
          <w:rFonts w:eastAsia="MS Mincho"/>
          <w:szCs w:val="24"/>
          <w:lang w:val="fr-FR" w:eastAsia="ja-JP"/>
        </w:rPr>
        <w:t>Allemagne et du Royaume</w:t>
      </w:r>
      <w:r w:rsidR="006C087A" w:rsidRPr="00B376E5">
        <w:rPr>
          <w:rFonts w:eastAsia="MS Mincho"/>
          <w:szCs w:val="24"/>
          <w:lang w:val="fr-FR" w:eastAsia="ja-JP"/>
        </w:rPr>
        <w:noBreakHyphen/>
      </w:r>
      <w:r w:rsidR="001077A1" w:rsidRPr="00B376E5">
        <w:rPr>
          <w:rFonts w:eastAsia="MS Mincho"/>
          <w:szCs w:val="24"/>
          <w:lang w:val="fr-FR" w:eastAsia="ja-JP"/>
        </w:rPr>
        <w:t>Uni à la trente</w:t>
      </w:r>
      <w:r w:rsidR="006C087A" w:rsidRPr="00B376E5">
        <w:rPr>
          <w:rFonts w:eastAsia="MS Mincho"/>
          <w:szCs w:val="22"/>
          <w:lang w:val="fr-FR" w:eastAsia="ja-JP"/>
        </w:rPr>
        <w:noBreakHyphen/>
      </w:r>
      <w:r w:rsidR="001077A1" w:rsidRPr="00B376E5">
        <w:rPr>
          <w:rFonts w:eastAsia="MS Mincho"/>
          <w:szCs w:val="24"/>
          <w:lang w:val="fr-FR" w:eastAsia="ja-JP"/>
        </w:rPr>
        <w:t>troisième</w:t>
      </w:r>
      <w:r w:rsidR="00E97B48" w:rsidRPr="00B376E5">
        <w:rPr>
          <w:rFonts w:eastAsia="MS Mincho"/>
          <w:szCs w:val="24"/>
          <w:lang w:val="fr-FR" w:eastAsia="ja-JP"/>
        </w:rPr>
        <w:t> </w:t>
      </w:r>
      <w:r w:rsidRPr="00B376E5">
        <w:rPr>
          <w:rFonts w:eastAsia="MS Mincho"/>
          <w:szCs w:val="24"/>
          <w:lang w:val="fr-FR" w:eastAsia="ja-JP"/>
        </w:rPr>
        <w:t>session</w:t>
      </w:r>
      <w:r w:rsidR="006B71B2" w:rsidRPr="00B376E5">
        <w:rPr>
          <w:rFonts w:eastAsia="MS Mincho"/>
          <w:szCs w:val="24"/>
          <w:lang w:val="fr-FR" w:eastAsia="ja-JP"/>
        </w:rPr>
        <w:t xml:space="preserve"> du TWC</w:t>
      </w:r>
      <w:r w:rsidR="001077A1" w:rsidRPr="00B376E5">
        <w:rPr>
          <w:rFonts w:eastAsia="MS Mincho"/>
          <w:szCs w:val="24"/>
          <w:lang w:val="fr-FR" w:eastAsia="ja-JP"/>
        </w:rPr>
        <w:t xml:space="preserve"> tenue à </w:t>
      </w:r>
      <w:r w:rsidRPr="00B376E5">
        <w:rPr>
          <w:rFonts w:eastAsia="MS Mincho"/>
          <w:szCs w:val="24"/>
          <w:lang w:val="fr-FR" w:eastAsia="ja-JP"/>
        </w:rPr>
        <w:t>Natal</w:t>
      </w:r>
      <w:r w:rsidR="001077A1" w:rsidRPr="00B376E5">
        <w:rPr>
          <w:rFonts w:eastAsia="MS Mincho"/>
          <w:szCs w:val="24"/>
          <w:lang w:val="fr-FR" w:eastAsia="ja-JP"/>
        </w:rPr>
        <w:t xml:space="preserve"> (</w:t>
      </w:r>
      <w:r w:rsidRPr="00B376E5">
        <w:rPr>
          <w:rFonts w:eastAsia="MS Mincho"/>
          <w:szCs w:val="24"/>
          <w:lang w:val="fr-FR" w:eastAsia="ja-JP"/>
        </w:rPr>
        <w:t>Br</w:t>
      </w:r>
      <w:r w:rsidR="001077A1" w:rsidRPr="00B376E5">
        <w:rPr>
          <w:rFonts w:eastAsia="MS Mincho"/>
          <w:szCs w:val="24"/>
          <w:lang w:val="fr-FR" w:eastAsia="ja-JP"/>
        </w:rPr>
        <w:t>és</w:t>
      </w:r>
      <w:r w:rsidRPr="00B376E5">
        <w:rPr>
          <w:rFonts w:eastAsia="MS Mincho"/>
          <w:szCs w:val="24"/>
          <w:lang w:val="fr-FR" w:eastAsia="ja-JP"/>
        </w:rPr>
        <w:t>il</w:t>
      </w:r>
      <w:r w:rsidR="001077A1" w:rsidRPr="00B376E5">
        <w:rPr>
          <w:rFonts w:eastAsia="MS Mincho"/>
          <w:szCs w:val="24"/>
          <w:lang w:val="fr-FR" w:eastAsia="ja-JP"/>
        </w:rPr>
        <w:t>) du 3</w:t>
      </w:r>
      <w:r w:rsidR="006B71B2" w:rsidRPr="00B376E5">
        <w:rPr>
          <w:rFonts w:eastAsia="MS Mincho"/>
          <w:szCs w:val="24"/>
          <w:lang w:val="fr-FR" w:eastAsia="ja-JP"/>
        </w:rPr>
        <w:t>0 juin</w:t>
      </w:r>
      <w:r w:rsidR="001077A1" w:rsidRPr="00B376E5">
        <w:rPr>
          <w:rFonts w:eastAsia="MS Mincho"/>
          <w:szCs w:val="24"/>
          <w:lang w:val="fr-FR" w:eastAsia="ja-JP"/>
        </w:rPr>
        <w:t xml:space="preserve"> au </w:t>
      </w:r>
      <w:r w:rsidR="006B71B2" w:rsidRPr="00B376E5">
        <w:rPr>
          <w:rFonts w:eastAsia="MS Mincho"/>
          <w:szCs w:val="24"/>
          <w:lang w:val="fr-FR" w:eastAsia="ja-JP"/>
        </w:rPr>
        <w:t>3 juillet 20</w:t>
      </w:r>
      <w:r w:rsidRPr="00B376E5">
        <w:rPr>
          <w:rFonts w:eastAsia="MS Mincho"/>
          <w:szCs w:val="24"/>
          <w:lang w:val="fr-FR" w:eastAsia="ja-JP"/>
        </w:rPr>
        <w:t>15)</w:t>
      </w:r>
      <w:r w:rsidR="00666F98" w:rsidRPr="00B376E5">
        <w:rPr>
          <w:rFonts w:eastAsia="MS Mincho"/>
          <w:szCs w:val="24"/>
          <w:lang w:val="fr-FR" w:eastAsia="ja-JP"/>
        </w:rPr>
        <w:t xml:space="preserve"> (</w:t>
      </w:r>
      <w:r w:rsidR="001077A1" w:rsidRPr="00B376E5">
        <w:rPr>
          <w:rFonts w:eastAsia="MS Mincho"/>
          <w:szCs w:val="24"/>
          <w:lang w:val="fr-FR" w:eastAsia="ja-JP"/>
        </w:rPr>
        <w:t>en anglais</w:t>
      </w:r>
      <w:r w:rsidR="0048169C">
        <w:rPr>
          <w:rFonts w:eastAsia="MS Mincho"/>
          <w:szCs w:val="24"/>
          <w:lang w:val="fr-FR" w:eastAsia="ja-JP"/>
        </w:rPr>
        <w:t xml:space="preserve"> seulement</w:t>
      </w:r>
      <w:r w:rsidR="00666F98" w:rsidRPr="00B376E5">
        <w:rPr>
          <w:rFonts w:eastAsia="MS Mincho"/>
          <w:szCs w:val="24"/>
          <w:lang w:val="fr-FR" w:eastAsia="ja-JP"/>
        </w:rPr>
        <w:t>)</w:t>
      </w:r>
    </w:p>
    <w:p w:rsidR="001077A1" w:rsidRPr="00B376E5" w:rsidRDefault="001077A1" w:rsidP="00B376E5">
      <w:pPr>
        <w:tabs>
          <w:tab w:val="left" w:pos="1701"/>
        </w:tabs>
        <w:autoSpaceDE w:val="0"/>
        <w:autoSpaceDN w:val="0"/>
        <w:adjustRightInd w:val="0"/>
        <w:ind w:left="1701" w:hanging="1701"/>
        <w:rPr>
          <w:rFonts w:eastAsia="MS Mincho"/>
          <w:szCs w:val="24"/>
          <w:lang w:val="fr-FR" w:eastAsia="ja-JP"/>
        </w:rPr>
      </w:pPr>
    </w:p>
    <w:p w:rsidR="00D8441B" w:rsidRPr="00B376E5" w:rsidRDefault="00BF4661" w:rsidP="00B376E5">
      <w:pPr>
        <w:keepNext/>
        <w:rPr>
          <w:rFonts w:cs="Arial"/>
          <w:lang w:val="fr-FR"/>
        </w:rPr>
      </w:pPr>
      <w:r w:rsidRPr="00B376E5">
        <w:rPr>
          <w:lang w:val="fr-FR"/>
        </w:rPr>
        <w:fldChar w:fldCharType="begin"/>
      </w:r>
      <w:r w:rsidRPr="00B376E5">
        <w:rPr>
          <w:lang w:val="fr-FR"/>
        </w:rPr>
        <w:instrText xml:space="preserve"> AUTONUM  </w:instrText>
      </w:r>
      <w:r w:rsidRPr="00B376E5">
        <w:rPr>
          <w:lang w:val="fr-FR"/>
        </w:rPr>
        <w:fldChar w:fldCharType="end"/>
      </w:r>
      <w:r w:rsidRPr="00B376E5">
        <w:rPr>
          <w:lang w:val="fr-FR"/>
        </w:rPr>
        <w:tab/>
      </w:r>
      <w:r w:rsidR="001077A1" w:rsidRPr="00B376E5">
        <w:rPr>
          <w:lang w:val="fr-FR"/>
        </w:rPr>
        <w:t>Les abréviations ci</w:t>
      </w:r>
      <w:r w:rsidR="006C087A" w:rsidRPr="00B376E5">
        <w:rPr>
          <w:szCs w:val="22"/>
          <w:lang w:val="fr-FR"/>
        </w:rPr>
        <w:noBreakHyphen/>
      </w:r>
      <w:r w:rsidR="001077A1" w:rsidRPr="00B376E5">
        <w:rPr>
          <w:szCs w:val="22"/>
          <w:lang w:val="fr-FR"/>
        </w:rPr>
        <w:t>après sont utilisées dans le présent</w:t>
      </w:r>
      <w:r w:rsidRPr="00B376E5">
        <w:rPr>
          <w:rFonts w:cs="Arial"/>
          <w:lang w:val="fr-FR"/>
        </w:rPr>
        <w:t xml:space="preserve"> document</w:t>
      </w:r>
      <w:r w:rsidR="001077A1" w:rsidRPr="00B376E5">
        <w:rPr>
          <w:rFonts w:cs="Arial"/>
          <w:lang w:val="fr-FR"/>
        </w:rPr>
        <w:t>.</w:t>
      </w:r>
    </w:p>
    <w:p w:rsidR="00D8441B" w:rsidRPr="00B376E5" w:rsidRDefault="00D8441B" w:rsidP="00B376E5">
      <w:pPr>
        <w:keepNext/>
        <w:rPr>
          <w:rFonts w:cs="Arial"/>
          <w:lang w:val="fr-FR"/>
        </w:rPr>
      </w:pPr>
    </w:p>
    <w:p w:rsidR="00D8441B" w:rsidRPr="00B376E5" w:rsidRDefault="00E508AA" w:rsidP="00B376E5">
      <w:pPr>
        <w:ind w:left="1701" w:hanging="1134"/>
        <w:rPr>
          <w:rFonts w:cs="Arial"/>
          <w:lang w:val="fr-FR"/>
        </w:rPr>
      </w:pPr>
      <w:r w:rsidRPr="00B376E5">
        <w:rPr>
          <w:rFonts w:cs="Arial"/>
          <w:lang w:val="fr-FR"/>
        </w:rPr>
        <w:t xml:space="preserve">TC : </w:t>
      </w:r>
      <w:r w:rsidRPr="00B376E5">
        <w:rPr>
          <w:rFonts w:cs="Arial"/>
          <w:lang w:val="fr-FR"/>
        </w:rPr>
        <w:tab/>
        <w:t>Comité technique</w:t>
      </w:r>
    </w:p>
    <w:p w:rsidR="00D8441B" w:rsidRPr="00B376E5" w:rsidRDefault="00E508AA" w:rsidP="00B376E5">
      <w:pPr>
        <w:ind w:left="1701" w:hanging="1134"/>
        <w:rPr>
          <w:rFonts w:cs="Arial"/>
          <w:lang w:val="fr-FR"/>
        </w:rPr>
      </w:pPr>
      <w:r w:rsidRPr="00B376E5">
        <w:rPr>
          <w:rFonts w:cs="Arial"/>
          <w:lang w:val="fr-FR"/>
        </w:rPr>
        <w:t>TC</w:t>
      </w:r>
      <w:r w:rsidR="006C087A" w:rsidRPr="00B376E5">
        <w:rPr>
          <w:rFonts w:cs="Arial"/>
          <w:lang w:val="fr-FR"/>
        </w:rPr>
        <w:noBreakHyphen/>
      </w:r>
      <w:r w:rsidRPr="00B376E5">
        <w:rPr>
          <w:rFonts w:cs="Arial"/>
          <w:lang w:val="fr-FR"/>
        </w:rPr>
        <w:t xml:space="preserve">EDC : </w:t>
      </w:r>
      <w:r w:rsidRPr="00B376E5">
        <w:rPr>
          <w:rFonts w:cs="Arial"/>
          <w:lang w:val="fr-FR"/>
        </w:rPr>
        <w:tab/>
        <w:t>Comité de rédaction élargi</w:t>
      </w:r>
    </w:p>
    <w:p w:rsidR="00D8441B" w:rsidRPr="00B376E5" w:rsidRDefault="00E508AA" w:rsidP="00B376E5">
      <w:pPr>
        <w:ind w:left="1701" w:hanging="1134"/>
        <w:rPr>
          <w:rFonts w:cs="Arial"/>
          <w:lang w:val="fr-FR"/>
        </w:rPr>
      </w:pPr>
      <w:r w:rsidRPr="00B376E5">
        <w:rPr>
          <w:rFonts w:cs="Arial"/>
          <w:lang w:val="fr-FR"/>
        </w:rPr>
        <w:t xml:space="preserve">TWA : </w:t>
      </w:r>
      <w:r w:rsidRPr="00B376E5">
        <w:rPr>
          <w:rFonts w:cs="Arial"/>
          <w:lang w:val="fr-FR"/>
        </w:rPr>
        <w:tab/>
        <w:t>Groupe de travail technique sur les plantes agricoles</w:t>
      </w:r>
    </w:p>
    <w:p w:rsidR="00D8441B" w:rsidRPr="00B376E5" w:rsidRDefault="00E508AA" w:rsidP="00B376E5">
      <w:pPr>
        <w:ind w:left="1701" w:hanging="1134"/>
        <w:rPr>
          <w:rFonts w:cs="Arial"/>
          <w:lang w:val="fr-FR"/>
        </w:rPr>
      </w:pPr>
      <w:r w:rsidRPr="00B376E5">
        <w:rPr>
          <w:rFonts w:cs="Arial"/>
          <w:lang w:val="fr-FR"/>
        </w:rPr>
        <w:t xml:space="preserve">TWC : </w:t>
      </w:r>
      <w:r w:rsidRPr="00B376E5">
        <w:rPr>
          <w:rFonts w:cs="Arial"/>
          <w:lang w:val="fr-FR"/>
        </w:rPr>
        <w:tab/>
        <w:t>Groupe de travail technique sur les systèmes d</w:t>
      </w:r>
      <w:r w:rsidR="006B71B2" w:rsidRPr="00B376E5">
        <w:rPr>
          <w:rFonts w:cs="Arial"/>
          <w:lang w:val="fr-FR"/>
        </w:rPr>
        <w:t>’</w:t>
      </w:r>
      <w:r w:rsidRPr="00B376E5">
        <w:rPr>
          <w:rFonts w:cs="Arial"/>
          <w:lang w:val="fr-FR"/>
        </w:rPr>
        <w:t>automatisation et les programmes d</w:t>
      </w:r>
      <w:r w:rsidR="006B71B2" w:rsidRPr="00B376E5">
        <w:rPr>
          <w:rFonts w:cs="Arial"/>
          <w:lang w:val="fr-FR"/>
        </w:rPr>
        <w:t>’</w:t>
      </w:r>
      <w:r w:rsidRPr="00B376E5">
        <w:rPr>
          <w:rFonts w:cs="Arial"/>
          <w:lang w:val="fr-FR"/>
        </w:rPr>
        <w:t>ordinateur</w:t>
      </w:r>
    </w:p>
    <w:p w:rsidR="00D8441B" w:rsidRPr="00B376E5" w:rsidRDefault="00E508AA" w:rsidP="00B376E5">
      <w:pPr>
        <w:ind w:left="1701" w:hanging="1134"/>
        <w:rPr>
          <w:rFonts w:cs="Arial"/>
          <w:lang w:val="fr-FR"/>
        </w:rPr>
      </w:pPr>
      <w:r w:rsidRPr="00B376E5">
        <w:rPr>
          <w:rFonts w:cs="Arial"/>
          <w:lang w:val="fr-FR"/>
        </w:rPr>
        <w:t xml:space="preserve">TWF : </w:t>
      </w:r>
      <w:r w:rsidRPr="00B376E5">
        <w:rPr>
          <w:rFonts w:cs="Arial"/>
          <w:lang w:val="fr-FR"/>
        </w:rPr>
        <w:tab/>
        <w:t>Groupe de travail technique sur les plantes fruitières</w:t>
      </w:r>
    </w:p>
    <w:p w:rsidR="00D8441B" w:rsidRPr="00B376E5" w:rsidRDefault="00E508AA" w:rsidP="00B376E5">
      <w:pPr>
        <w:ind w:left="1701" w:hanging="1134"/>
        <w:rPr>
          <w:rFonts w:cs="Arial"/>
          <w:lang w:val="fr-FR"/>
        </w:rPr>
      </w:pPr>
      <w:r w:rsidRPr="00B376E5">
        <w:rPr>
          <w:rFonts w:cs="Arial"/>
          <w:lang w:val="fr-FR"/>
        </w:rPr>
        <w:t xml:space="preserve">TWO : </w:t>
      </w:r>
      <w:r w:rsidRPr="00B376E5">
        <w:rPr>
          <w:rFonts w:cs="Arial"/>
          <w:lang w:val="fr-FR"/>
        </w:rPr>
        <w:tab/>
        <w:t>Groupe de travail technique sur les plantes ornementales et les arbres forestiers</w:t>
      </w:r>
    </w:p>
    <w:p w:rsidR="00D8441B" w:rsidRPr="00B376E5" w:rsidRDefault="00E508AA" w:rsidP="00B376E5">
      <w:pPr>
        <w:ind w:left="1701" w:hanging="1134"/>
        <w:rPr>
          <w:rFonts w:cs="Arial"/>
          <w:lang w:val="fr-FR"/>
        </w:rPr>
      </w:pPr>
      <w:r w:rsidRPr="00B376E5">
        <w:rPr>
          <w:rFonts w:cs="Arial"/>
          <w:lang w:val="fr-FR"/>
        </w:rPr>
        <w:t xml:space="preserve">TWP : </w:t>
      </w:r>
      <w:r w:rsidRPr="00B376E5">
        <w:rPr>
          <w:rFonts w:cs="Arial"/>
          <w:lang w:val="fr-FR"/>
        </w:rPr>
        <w:tab/>
        <w:t>Groupes de travail techniques</w:t>
      </w:r>
    </w:p>
    <w:p w:rsidR="00D8441B" w:rsidRPr="00B376E5" w:rsidRDefault="00E508AA" w:rsidP="00B376E5">
      <w:pPr>
        <w:ind w:left="1701" w:hanging="1134"/>
        <w:rPr>
          <w:rFonts w:cs="Arial"/>
          <w:lang w:val="fr-FR"/>
        </w:rPr>
      </w:pPr>
      <w:r w:rsidRPr="00B376E5">
        <w:rPr>
          <w:rFonts w:cs="Arial"/>
          <w:lang w:val="fr-FR"/>
        </w:rPr>
        <w:t xml:space="preserve">TWV : </w:t>
      </w:r>
      <w:r w:rsidRPr="00B376E5">
        <w:rPr>
          <w:rFonts w:cs="Arial"/>
          <w:lang w:val="fr-FR"/>
        </w:rPr>
        <w:tab/>
        <w:t>Groupe de travail technique sur les plantes potagères</w:t>
      </w:r>
    </w:p>
    <w:p w:rsidR="00D8441B" w:rsidRDefault="00D8441B" w:rsidP="00B376E5">
      <w:pPr>
        <w:rPr>
          <w:lang w:val="fr-FR"/>
        </w:rPr>
      </w:pPr>
      <w:bookmarkStart w:id="4" w:name="_Toc380150989"/>
    </w:p>
    <w:p w:rsidR="0048169C" w:rsidRPr="00B376E5" w:rsidRDefault="0048169C" w:rsidP="00B376E5">
      <w:pPr>
        <w:rPr>
          <w:lang w:val="fr-FR"/>
        </w:rPr>
      </w:pPr>
    </w:p>
    <w:bookmarkEnd w:id="4"/>
    <w:p w:rsidR="00D8441B" w:rsidRPr="00B376E5" w:rsidRDefault="001077A1" w:rsidP="00B376E5">
      <w:pPr>
        <w:rPr>
          <w:rFonts w:eastAsia="MS Mincho"/>
          <w:lang w:val="fr-FR" w:eastAsia="ja-JP"/>
        </w:rPr>
      </w:pPr>
      <w:r w:rsidRPr="00B376E5">
        <w:rPr>
          <w:rFonts w:eastAsia="MS Mincho"/>
          <w:lang w:val="fr-FR" w:eastAsia="ja-JP"/>
        </w:rPr>
        <w:t>GÉNÉRALITÉS</w:t>
      </w:r>
    </w:p>
    <w:p w:rsidR="00D8441B" w:rsidRPr="00B376E5" w:rsidRDefault="00D8441B" w:rsidP="00B376E5">
      <w:pPr>
        <w:rPr>
          <w:rFonts w:eastAsia="MS Mincho"/>
          <w:lang w:val="fr-FR" w:eastAsia="ja-JP"/>
        </w:rPr>
      </w:pPr>
    </w:p>
    <w:p w:rsidR="00D8441B" w:rsidRPr="00B376E5" w:rsidRDefault="00BF4661" w:rsidP="00B376E5">
      <w:pPr>
        <w:rPr>
          <w:lang w:val="fr-FR"/>
        </w:rPr>
      </w:pPr>
      <w:r w:rsidRPr="00B376E5">
        <w:rPr>
          <w:lang w:val="fr-FR"/>
        </w:rPr>
        <w:fldChar w:fldCharType="begin"/>
      </w:r>
      <w:r w:rsidRPr="00B376E5">
        <w:rPr>
          <w:lang w:val="fr-FR"/>
        </w:rPr>
        <w:instrText xml:space="preserve"> AUTONUM  </w:instrText>
      </w:r>
      <w:r w:rsidRPr="00B376E5">
        <w:rPr>
          <w:lang w:val="fr-FR"/>
        </w:rPr>
        <w:fldChar w:fldCharType="end"/>
      </w:r>
      <w:r w:rsidRPr="00B376E5">
        <w:rPr>
          <w:lang w:val="fr-FR"/>
        </w:rPr>
        <w:tab/>
      </w:r>
      <w:r w:rsidR="004216DA" w:rsidRPr="00B376E5">
        <w:rPr>
          <w:lang w:val="fr-FR"/>
        </w:rPr>
        <w:t xml:space="preserve">Les informations générales sur cette question sont fournies dans le </w:t>
      </w:r>
      <w:r w:rsidR="006B71B2" w:rsidRPr="00B376E5">
        <w:rPr>
          <w:lang w:val="fr-FR"/>
        </w:rPr>
        <w:t>document TC</w:t>
      </w:r>
      <w:r w:rsidR="004216DA" w:rsidRPr="00B376E5">
        <w:rPr>
          <w:lang w:val="fr-FR"/>
        </w:rPr>
        <w:t>/51/24 “Évaluation de l</w:t>
      </w:r>
      <w:r w:rsidR="006B71B2" w:rsidRPr="00B376E5">
        <w:rPr>
          <w:lang w:val="fr-FR"/>
        </w:rPr>
        <w:t>’</w:t>
      </w:r>
      <w:r w:rsidR="004216DA" w:rsidRPr="00B376E5">
        <w:rPr>
          <w:lang w:val="fr-FR"/>
        </w:rPr>
        <w:t>homogénéité d</w:t>
      </w:r>
      <w:r w:rsidR="006B71B2" w:rsidRPr="00B376E5">
        <w:rPr>
          <w:lang w:val="fr-FR"/>
        </w:rPr>
        <w:t>’</w:t>
      </w:r>
      <w:r w:rsidR="004216DA" w:rsidRPr="00B376E5">
        <w:rPr>
          <w:lang w:val="fr-FR"/>
        </w:rPr>
        <w:t>après les plantes hors</w:t>
      </w:r>
      <w:r w:rsidR="006C087A" w:rsidRPr="00B376E5">
        <w:rPr>
          <w:lang w:val="fr-FR"/>
        </w:rPr>
        <w:noBreakHyphen/>
      </w:r>
      <w:r w:rsidR="004216DA" w:rsidRPr="00B376E5">
        <w:rPr>
          <w:lang w:val="fr-FR"/>
        </w:rPr>
        <w:t>type sur la base de plusieurs échantillons ou sous</w:t>
      </w:r>
      <w:r w:rsidR="006C087A" w:rsidRPr="00B376E5">
        <w:rPr>
          <w:lang w:val="fr-FR"/>
        </w:rPr>
        <w:noBreakHyphen/>
      </w:r>
      <w:r w:rsidR="004216DA" w:rsidRPr="00B376E5">
        <w:rPr>
          <w:lang w:val="fr-FR"/>
        </w:rPr>
        <w:t>échantillons”.</w:t>
      </w:r>
    </w:p>
    <w:p w:rsidR="00D8441B" w:rsidRPr="00B376E5" w:rsidRDefault="00D8441B" w:rsidP="0032181E">
      <w:pPr>
        <w:tabs>
          <w:tab w:val="left" w:pos="2500"/>
        </w:tabs>
        <w:ind w:right="567"/>
        <w:rPr>
          <w:sz w:val="18"/>
          <w:lang w:val="fr-FR"/>
        </w:rPr>
      </w:pPr>
      <w:bookmarkStart w:id="5" w:name="_Toc380151005"/>
    </w:p>
    <w:p w:rsidR="00D8441B" w:rsidRPr="00B376E5" w:rsidRDefault="00D8441B" w:rsidP="0032181E">
      <w:pPr>
        <w:ind w:right="567"/>
        <w:rPr>
          <w:sz w:val="18"/>
          <w:lang w:val="fr-FR"/>
        </w:rPr>
      </w:pPr>
    </w:p>
    <w:p w:rsidR="00D8441B" w:rsidRPr="00B376E5" w:rsidRDefault="004216DA" w:rsidP="00B376E5">
      <w:pPr>
        <w:pStyle w:val="Heading1"/>
        <w:rPr>
          <w:lang w:val="fr-FR"/>
        </w:rPr>
      </w:pPr>
      <w:bookmarkStart w:id="6" w:name="_Toc442255458"/>
      <w:r w:rsidRPr="00B376E5">
        <w:rPr>
          <w:lang w:val="fr-FR"/>
        </w:rPr>
        <w:t>faits nouveaux intervenus en</w:t>
      </w:r>
      <w:r w:rsidR="00E97B48" w:rsidRPr="00B376E5">
        <w:rPr>
          <w:lang w:val="fr-FR"/>
        </w:rPr>
        <w:t> </w:t>
      </w:r>
      <w:r w:rsidRPr="00B376E5">
        <w:rPr>
          <w:lang w:val="fr-FR"/>
        </w:rPr>
        <w:t>2015</w:t>
      </w:r>
      <w:bookmarkEnd w:id="6"/>
    </w:p>
    <w:p w:rsidR="00D8441B" w:rsidRPr="00B376E5" w:rsidRDefault="00D8441B" w:rsidP="0032181E">
      <w:pPr>
        <w:ind w:right="567"/>
        <w:rPr>
          <w:b/>
          <w:sz w:val="18"/>
          <w:lang w:val="fr-FR"/>
        </w:rPr>
      </w:pPr>
    </w:p>
    <w:p w:rsidR="00D8441B" w:rsidRPr="00B376E5" w:rsidRDefault="004216DA" w:rsidP="00B376E5">
      <w:pPr>
        <w:pStyle w:val="Heading2"/>
        <w:rPr>
          <w:lang w:val="fr-FR"/>
        </w:rPr>
      </w:pPr>
      <w:bookmarkStart w:id="7" w:name="_Toc442255459"/>
      <w:r w:rsidRPr="00B376E5">
        <w:rPr>
          <w:lang w:val="fr-FR"/>
        </w:rPr>
        <w:t>Comité technique</w:t>
      </w:r>
      <w:bookmarkEnd w:id="7"/>
    </w:p>
    <w:p w:rsidR="00D8441B" w:rsidRPr="00B376E5" w:rsidRDefault="00D8441B" w:rsidP="00B376E5">
      <w:pPr>
        <w:rPr>
          <w:lang w:val="fr-FR"/>
        </w:rPr>
      </w:pPr>
    </w:p>
    <w:p w:rsidR="00D8441B" w:rsidRPr="00B376E5" w:rsidRDefault="00BF4661" w:rsidP="00B376E5">
      <w:pPr>
        <w:rPr>
          <w:lang w:val="fr-FR"/>
        </w:rPr>
      </w:pPr>
      <w:r w:rsidRPr="00B376E5">
        <w:rPr>
          <w:lang w:val="fr-FR"/>
        </w:rPr>
        <w:fldChar w:fldCharType="begin"/>
      </w:r>
      <w:r w:rsidRPr="00B376E5">
        <w:rPr>
          <w:lang w:val="fr-FR"/>
        </w:rPr>
        <w:instrText xml:space="preserve"> AUTONUM  </w:instrText>
      </w:r>
      <w:r w:rsidRPr="00B376E5">
        <w:rPr>
          <w:lang w:val="fr-FR"/>
        </w:rPr>
        <w:fldChar w:fldCharType="end"/>
      </w:r>
      <w:r w:rsidRPr="00B376E5">
        <w:rPr>
          <w:lang w:val="fr-FR"/>
        </w:rPr>
        <w:tab/>
      </w:r>
      <w:r w:rsidR="004216DA" w:rsidRPr="00B376E5">
        <w:rPr>
          <w:lang w:val="fr-FR"/>
        </w:rPr>
        <w:t>À sa cinquante</w:t>
      </w:r>
      <w:r w:rsidR="00E97B48" w:rsidRPr="00B376E5">
        <w:rPr>
          <w:lang w:val="fr-FR"/>
        </w:rPr>
        <w:t> </w:t>
      </w:r>
      <w:r w:rsidR="004216DA" w:rsidRPr="00B376E5">
        <w:rPr>
          <w:lang w:val="fr-FR"/>
        </w:rPr>
        <w:t>et</w:t>
      </w:r>
      <w:r w:rsidR="00E97B48" w:rsidRPr="00B376E5">
        <w:rPr>
          <w:lang w:val="fr-FR"/>
        </w:rPr>
        <w:t> </w:t>
      </w:r>
      <w:r w:rsidR="004216DA" w:rsidRPr="00B376E5">
        <w:rPr>
          <w:lang w:val="fr-FR"/>
        </w:rPr>
        <w:t>unième</w:t>
      </w:r>
      <w:r w:rsidR="00E97B48" w:rsidRPr="00B376E5">
        <w:rPr>
          <w:lang w:val="fr-FR"/>
        </w:rPr>
        <w:t> </w:t>
      </w:r>
      <w:r w:rsidR="004216DA" w:rsidRPr="00B376E5">
        <w:rPr>
          <w:lang w:val="fr-FR"/>
        </w:rPr>
        <w:t>session tenue à Genève du 23 au 2</w:t>
      </w:r>
      <w:r w:rsidR="006B71B2" w:rsidRPr="00B376E5">
        <w:rPr>
          <w:lang w:val="fr-FR"/>
        </w:rPr>
        <w:t>5 mars 20</w:t>
      </w:r>
      <w:r w:rsidR="004216DA" w:rsidRPr="00B376E5">
        <w:rPr>
          <w:lang w:val="fr-FR"/>
        </w:rPr>
        <w:t>15, le</w:t>
      </w:r>
      <w:r w:rsidR="006B71B2" w:rsidRPr="00B376E5">
        <w:rPr>
          <w:lang w:val="fr-FR"/>
        </w:rPr>
        <w:t> TC</w:t>
      </w:r>
      <w:r w:rsidR="004216DA" w:rsidRPr="00B376E5">
        <w:rPr>
          <w:lang w:val="fr-FR"/>
        </w:rPr>
        <w:t xml:space="preserve"> a examiné le </w:t>
      </w:r>
      <w:r w:rsidR="006B71B2" w:rsidRPr="00B376E5">
        <w:rPr>
          <w:lang w:val="fr-FR"/>
        </w:rPr>
        <w:t>document TC</w:t>
      </w:r>
      <w:r w:rsidR="004216DA" w:rsidRPr="00B376E5">
        <w:rPr>
          <w:lang w:val="fr-FR"/>
        </w:rPr>
        <w:t>/51/24 “Évaluation de l</w:t>
      </w:r>
      <w:r w:rsidR="006B71B2" w:rsidRPr="00B376E5">
        <w:rPr>
          <w:lang w:val="fr-FR"/>
        </w:rPr>
        <w:t>’</w:t>
      </w:r>
      <w:r w:rsidR="004216DA" w:rsidRPr="00B376E5">
        <w:rPr>
          <w:lang w:val="fr-FR"/>
        </w:rPr>
        <w:t>homogénéité d</w:t>
      </w:r>
      <w:r w:rsidR="006B71B2" w:rsidRPr="00B376E5">
        <w:rPr>
          <w:lang w:val="fr-FR"/>
        </w:rPr>
        <w:t>’</w:t>
      </w:r>
      <w:r w:rsidR="004216DA" w:rsidRPr="00B376E5">
        <w:rPr>
          <w:lang w:val="fr-FR"/>
        </w:rPr>
        <w:t>après les plantes hors</w:t>
      </w:r>
      <w:r w:rsidR="006C087A" w:rsidRPr="00B376E5">
        <w:rPr>
          <w:lang w:val="fr-FR"/>
        </w:rPr>
        <w:noBreakHyphen/>
      </w:r>
      <w:r w:rsidR="004216DA" w:rsidRPr="00B376E5">
        <w:rPr>
          <w:lang w:val="fr-FR"/>
        </w:rPr>
        <w:t>type sur la base de plusieurs échantillons ou sous</w:t>
      </w:r>
      <w:r w:rsidR="006C087A" w:rsidRPr="00B376E5">
        <w:rPr>
          <w:lang w:val="fr-FR"/>
        </w:rPr>
        <w:noBreakHyphen/>
      </w:r>
      <w:r w:rsidR="004216DA" w:rsidRPr="00B376E5">
        <w:rPr>
          <w:lang w:val="fr-FR"/>
        </w:rPr>
        <w:t>échantillons”.</w:t>
      </w:r>
    </w:p>
    <w:p w:rsidR="00D8441B" w:rsidRPr="00B376E5" w:rsidRDefault="00D8441B" w:rsidP="00B376E5">
      <w:pPr>
        <w:rPr>
          <w:lang w:val="fr-FR"/>
        </w:rPr>
      </w:pPr>
    </w:p>
    <w:p w:rsidR="00D8441B" w:rsidRPr="00B376E5" w:rsidRDefault="00BF4661" w:rsidP="00B376E5">
      <w:pPr>
        <w:rPr>
          <w:lang w:val="fr-FR"/>
        </w:rPr>
      </w:pPr>
      <w:r w:rsidRPr="00B376E5">
        <w:rPr>
          <w:lang w:val="fr-FR"/>
        </w:rPr>
        <w:fldChar w:fldCharType="begin"/>
      </w:r>
      <w:r w:rsidRPr="00B376E5">
        <w:rPr>
          <w:lang w:val="fr-FR"/>
        </w:rPr>
        <w:instrText xml:space="preserve"> AUTONUM  </w:instrText>
      </w:r>
      <w:r w:rsidRPr="00B376E5">
        <w:rPr>
          <w:lang w:val="fr-FR"/>
        </w:rPr>
        <w:fldChar w:fldCharType="end"/>
      </w:r>
      <w:r w:rsidRPr="00B376E5">
        <w:rPr>
          <w:lang w:val="fr-FR"/>
        </w:rPr>
        <w:tab/>
      </w:r>
      <w:r w:rsidR="004216DA" w:rsidRPr="00B376E5">
        <w:rPr>
          <w:lang w:val="fr-FR"/>
        </w:rPr>
        <w:t>Le</w:t>
      </w:r>
      <w:r w:rsidR="006B71B2" w:rsidRPr="00B376E5">
        <w:rPr>
          <w:lang w:val="fr-FR"/>
        </w:rPr>
        <w:t> TC</w:t>
      </w:r>
      <w:r w:rsidR="004216DA" w:rsidRPr="00B376E5">
        <w:rPr>
          <w:lang w:val="fr-FR"/>
        </w:rPr>
        <w:t xml:space="preserve"> a approuvé les propositions faites par</w:t>
      </w:r>
      <w:r w:rsidR="006B71B2" w:rsidRPr="00B376E5">
        <w:rPr>
          <w:lang w:val="fr-FR"/>
        </w:rPr>
        <w:t xml:space="preserve"> les TWP</w:t>
      </w:r>
      <w:r w:rsidR="004216DA" w:rsidRPr="00B376E5">
        <w:rPr>
          <w:lang w:val="fr-FR"/>
        </w:rPr>
        <w:t xml:space="preserve"> à leurs sessions de</w:t>
      </w:r>
      <w:r w:rsidR="00E97B48" w:rsidRPr="00B376E5">
        <w:rPr>
          <w:lang w:val="fr-FR"/>
        </w:rPr>
        <w:t> </w:t>
      </w:r>
      <w:r w:rsidR="004216DA" w:rsidRPr="00B376E5">
        <w:rPr>
          <w:lang w:val="fr-FR"/>
        </w:rPr>
        <w:t>2014 et le</w:t>
      </w:r>
      <w:r w:rsidR="006B71B2" w:rsidRPr="00B376E5">
        <w:rPr>
          <w:lang w:val="fr-FR"/>
        </w:rPr>
        <w:t> TC</w:t>
      </w:r>
      <w:r w:rsidR="006C087A" w:rsidRPr="00B376E5">
        <w:rPr>
          <w:lang w:val="fr-FR"/>
        </w:rPr>
        <w:noBreakHyphen/>
      </w:r>
      <w:r w:rsidR="006B71B2" w:rsidRPr="00B376E5">
        <w:rPr>
          <w:lang w:val="fr-FR"/>
        </w:rPr>
        <w:t>EDC</w:t>
      </w:r>
      <w:r w:rsidR="00DB03CE" w:rsidRPr="00B376E5">
        <w:rPr>
          <w:lang w:val="fr-FR"/>
        </w:rPr>
        <w:t xml:space="preserve"> à sa réunion en </w:t>
      </w:r>
      <w:r w:rsidR="006B71B2" w:rsidRPr="00B376E5">
        <w:rPr>
          <w:lang w:val="fr-FR"/>
        </w:rPr>
        <w:t>janvier 20</w:t>
      </w:r>
      <w:r w:rsidR="00DB03CE" w:rsidRPr="00B376E5">
        <w:rPr>
          <w:lang w:val="fr-FR"/>
        </w:rPr>
        <w:t>15</w:t>
      </w:r>
      <w:r w:rsidR="004216DA" w:rsidRPr="00B376E5">
        <w:rPr>
          <w:lang w:val="fr-FR"/>
        </w:rPr>
        <w:t xml:space="preserve"> concernant le projet d</w:t>
      </w:r>
      <w:r w:rsidR="006B71B2" w:rsidRPr="00B376E5">
        <w:rPr>
          <w:lang w:val="fr-FR"/>
        </w:rPr>
        <w:t>’</w:t>
      </w:r>
      <w:r w:rsidR="004216DA" w:rsidRPr="00B376E5">
        <w:rPr>
          <w:lang w:val="fr-FR"/>
        </w:rPr>
        <w:t>orientations à inclure dans une future version révisée du document TGP/10</w:t>
      </w:r>
      <w:r w:rsidR="008D717E" w:rsidRPr="00B376E5">
        <w:rPr>
          <w:lang w:val="fr-FR"/>
        </w:rPr>
        <w:t>, présenté</w:t>
      </w:r>
      <w:r w:rsidR="004216DA" w:rsidRPr="00B376E5">
        <w:rPr>
          <w:lang w:val="fr-FR"/>
        </w:rPr>
        <w:t xml:space="preserve"> aux annexes</w:t>
      </w:r>
      <w:r w:rsidR="00E97B48" w:rsidRPr="00B376E5">
        <w:rPr>
          <w:lang w:val="fr-FR"/>
        </w:rPr>
        <w:t> </w:t>
      </w:r>
      <w:r w:rsidR="004216DA" w:rsidRPr="00B376E5">
        <w:rPr>
          <w:lang w:val="fr-FR"/>
        </w:rPr>
        <w:t xml:space="preserve">I à IV du </w:t>
      </w:r>
      <w:r w:rsidR="006B71B2" w:rsidRPr="00B376E5">
        <w:rPr>
          <w:lang w:val="fr-FR"/>
        </w:rPr>
        <w:t>document TC</w:t>
      </w:r>
      <w:r w:rsidR="004216DA" w:rsidRPr="00B376E5">
        <w:rPr>
          <w:lang w:val="fr-FR"/>
        </w:rPr>
        <w:t>/51/24.</w:t>
      </w:r>
    </w:p>
    <w:p w:rsidR="00D8441B" w:rsidRPr="00B376E5" w:rsidRDefault="00D8441B" w:rsidP="00B376E5">
      <w:pPr>
        <w:rPr>
          <w:lang w:val="fr-FR"/>
        </w:rPr>
      </w:pPr>
    </w:p>
    <w:p w:rsidR="00D8441B" w:rsidRPr="00B376E5" w:rsidRDefault="00BF4661" w:rsidP="00B376E5">
      <w:pPr>
        <w:rPr>
          <w:lang w:val="fr-FR"/>
        </w:rPr>
      </w:pPr>
      <w:r w:rsidRPr="00B376E5">
        <w:rPr>
          <w:lang w:val="fr-FR"/>
        </w:rPr>
        <w:fldChar w:fldCharType="begin"/>
      </w:r>
      <w:r w:rsidRPr="00B376E5">
        <w:rPr>
          <w:lang w:val="fr-FR"/>
        </w:rPr>
        <w:instrText xml:space="preserve"> AUTONUM  </w:instrText>
      </w:r>
      <w:r w:rsidRPr="00B376E5">
        <w:rPr>
          <w:lang w:val="fr-FR"/>
        </w:rPr>
        <w:fldChar w:fldCharType="end"/>
      </w:r>
      <w:r w:rsidRPr="00B376E5">
        <w:rPr>
          <w:lang w:val="fr-FR"/>
        </w:rPr>
        <w:tab/>
      </w:r>
      <w:r w:rsidR="00914199" w:rsidRPr="00B376E5">
        <w:rPr>
          <w:lang w:val="fr-FR"/>
        </w:rPr>
        <w:t>Le</w:t>
      </w:r>
      <w:r w:rsidR="006B71B2" w:rsidRPr="00B376E5">
        <w:rPr>
          <w:lang w:val="fr-FR"/>
        </w:rPr>
        <w:t> TC</w:t>
      </w:r>
      <w:r w:rsidR="00914199" w:rsidRPr="00B376E5">
        <w:rPr>
          <w:lang w:val="fr-FR"/>
        </w:rPr>
        <w:t xml:space="preserve"> est convenu que le titre du document devait être modifié pour être libellé comme suit</w:t>
      </w:r>
      <w:r w:rsidR="00E97B48" w:rsidRPr="00B376E5">
        <w:rPr>
          <w:lang w:val="fr-FR"/>
        </w:rPr>
        <w:t> </w:t>
      </w:r>
      <w:r w:rsidR="00914199" w:rsidRPr="00B376E5">
        <w:rPr>
          <w:lang w:val="fr-FR"/>
        </w:rPr>
        <w:t>: “Évaluation de l</w:t>
      </w:r>
      <w:r w:rsidR="006B71B2" w:rsidRPr="00B376E5">
        <w:rPr>
          <w:lang w:val="fr-FR"/>
        </w:rPr>
        <w:t>’</w:t>
      </w:r>
      <w:r w:rsidR="00914199" w:rsidRPr="00B376E5">
        <w:rPr>
          <w:lang w:val="fr-FR"/>
        </w:rPr>
        <w:t>homogénéité d</w:t>
      </w:r>
      <w:r w:rsidR="006B71B2" w:rsidRPr="00B376E5">
        <w:rPr>
          <w:lang w:val="fr-FR"/>
        </w:rPr>
        <w:t>’</w:t>
      </w:r>
      <w:r w:rsidR="00914199" w:rsidRPr="00B376E5">
        <w:rPr>
          <w:lang w:val="fr-FR"/>
        </w:rPr>
        <w:t>après les plantes hors</w:t>
      </w:r>
      <w:r w:rsidR="006C087A" w:rsidRPr="00B376E5">
        <w:rPr>
          <w:lang w:val="fr-FR"/>
        </w:rPr>
        <w:noBreakHyphen/>
      </w:r>
      <w:r w:rsidR="00914199" w:rsidRPr="00B376E5">
        <w:rPr>
          <w:lang w:val="fr-FR"/>
        </w:rPr>
        <w:t>type sur la base de plusieurs cycles de végétation ou sous</w:t>
      </w:r>
      <w:r w:rsidR="006C087A" w:rsidRPr="00B376E5">
        <w:rPr>
          <w:lang w:val="fr-FR"/>
        </w:rPr>
        <w:noBreakHyphen/>
      </w:r>
      <w:r w:rsidR="00914199" w:rsidRPr="00B376E5">
        <w:rPr>
          <w:lang w:val="fr-FR"/>
        </w:rPr>
        <w:t>échantillons”.</w:t>
      </w:r>
    </w:p>
    <w:p w:rsidR="00D8441B" w:rsidRPr="00B376E5" w:rsidRDefault="00D8441B" w:rsidP="00B376E5">
      <w:pPr>
        <w:rPr>
          <w:lang w:val="fr-FR"/>
        </w:rPr>
      </w:pPr>
    </w:p>
    <w:p w:rsidR="00D8441B" w:rsidRPr="00B376E5" w:rsidRDefault="00BF4661" w:rsidP="00B376E5">
      <w:pPr>
        <w:rPr>
          <w:lang w:val="fr-FR"/>
        </w:rPr>
      </w:pPr>
      <w:r w:rsidRPr="00B376E5">
        <w:rPr>
          <w:lang w:val="fr-FR"/>
        </w:rPr>
        <w:fldChar w:fldCharType="begin"/>
      </w:r>
      <w:r w:rsidRPr="00B376E5">
        <w:rPr>
          <w:lang w:val="fr-FR"/>
        </w:rPr>
        <w:instrText xml:space="preserve"> AUTONUM  </w:instrText>
      </w:r>
      <w:r w:rsidRPr="00B376E5">
        <w:rPr>
          <w:lang w:val="fr-FR"/>
        </w:rPr>
        <w:fldChar w:fldCharType="end"/>
      </w:r>
      <w:r w:rsidRPr="00B376E5">
        <w:rPr>
          <w:lang w:val="fr-FR"/>
        </w:rPr>
        <w:tab/>
      </w:r>
      <w:r w:rsidR="00914199" w:rsidRPr="00B376E5">
        <w:rPr>
          <w:lang w:val="fr-FR"/>
        </w:rPr>
        <w:t>Le</w:t>
      </w:r>
      <w:r w:rsidR="006B71B2" w:rsidRPr="00B376E5">
        <w:rPr>
          <w:lang w:val="fr-FR"/>
        </w:rPr>
        <w:t> TC</w:t>
      </w:r>
      <w:r w:rsidR="00914199" w:rsidRPr="00B376E5">
        <w:rPr>
          <w:lang w:val="fr-FR"/>
        </w:rPr>
        <w:t xml:space="preserve"> est convenu que les situations A et B présentées aux ann</w:t>
      </w:r>
      <w:r w:rsidR="00DB03CE" w:rsidRPr="00B376E5">
        <w:rPr>
          <w:lang w:val="fr-FR"/>
        </w:rPr>
        <w:t>exes</w:t>
      </w:r>
      <w:r w:rsidR="00E97B48" w:rsidRPr="00B376E5">
        <w:rPr>
          <w:lang w:val="fr-FR"/>
        </w:rPr>
        <w:t> </w:t>
      </w:r>
      <w:r w:rsidR="00DB03CE" w:rsidRPr="00B376E5">
        <w:rPr>
          <w:lang w:val="fr-FR"/>
        </w:rPr>
        <w:t xml:space="preserve">I et II du </w:t>
      </w:r>
      <w:r w:rsidR="006B71B2" w:rsidRPr="00B376E5">
        <w:rPr>
          <w:lang w:val="fr-FR"/>
        </w:rPr>
        <w:t>document TC</w:t>
      </w:r>
      <w:r w:rsidR="00DB03CE" w:rsidRPr="00B376E5">
        <w:rPr>
          <w:lang w:val="fr-FR"/>
        </w:rPr>
        <w:t>/51/2</w:t>
      </w:r>
      <w:r w:rsidR="00914199" w:rsidRPr="00B376E5">
        <w:rPr>
          <w:lang w:val="fr-FR"/>
        </w:rPr>
        <w:t>4 devaient être combinées et des précisions fournies afin d</w:t>
      </w:r>
      <w:r w:rsidR="006B71B2" w:rsidRPr="00B376E5">
        <w:rPr>
          <w:lang w:val="fr-FR"/>
        </w:rPr>
        <w:t>’</w:t>
      </w:r>
      <w:r w:rsidR="00914199" w:rsidRPr="00B376E5">
        <w:rPr>
          <w:lang w:val="fr-FR"/>
        </w:rPr>
        <w:t>indiquer que deux</w:t>
      </w:r>
      <w:r w:rsidR="00E97B48" w:rsidRPr="00B376E5">
        <w:rPr>
          <w:lang w:val="fr-FR"/>
        </w:rPr>
        <w:t> </w:t>
      </w:r>
      <w:r w:rsidR="00914199" w:rsidRPr="00B376E5">
        <w:rPr>
          <w:lang w:val="fr-FR"/>
        </w:rPr>
        <w:t>cycles de végétation indépendants pouvaient avoir lieu en un seul endroit sur plusieurs années ou en différents endroits la même année, selon ce qui figure dans le document TGP/8, première partie, sections</w:t>
      </w:r>
      <w:r w:rsidR="00E97B48" w:rsidRPr="00B376E5">
        <w:rPr>
          <w:lang w:val="fr-FR"/>
        </w:rPr>
        <w:t> </w:t>
      </w:r>
      <w:r w:rsidR="00914199" w:rsidRPr="00B376E5">
        <w:rPr>
          <w:lang w:val="fr-FR"/>
        </w:rPr>
        <w:t>1.2 et 1.3.</w:t>
      </w:r>
    </w:p>
    <w:p w:rsidR="00D8441B" w:rsidRPr="00B376E5" w:rsidRDefault="00D8441B" w:rsidP="00B376E5">
      <w:pPr>
        <w:rPr>
          <w:lang w:val="fr-FR"/>
        </w:rPr>
      </w:pPr>
    </w:p>
    <w:p w:rsidR="00D8441B" w:rsidRPr="00B376E5" w:rsidRDefault="00BF4661" w:rsidP="00B376E5">
      <w:pPr>
        <w:rPr>
          <w:lang w:val="fr-FR"/>
        </w:rPr>
      </w:pPr>
      <w:r w:rsidRPr="00B376E5">
        <w:rPr>
          <w:lang w:val="fr-FR"/>
        </w:rPr>
        <w:fldChar w:fldCharType="begin"/>
      </w:r>
      <w:r w:rsidRPr="00B376E5">
        <w:rPr>
          <w:lang w:val="fr-FR"/>
        </w:rPr>
        <w:instrText xml:space="preserve"> AUTONUM  </w:instrText>
      </w:r>
      <w:r w:rsidRPr="00B376E5">
        <w:rPr>
          <w:lang w:val="fr-FR"/>
        </w:rPr>
        <w:fldChar w:fldCharType="end"/>
      </w:r>
      <w:r w:rsidRPr="00B376E5">
        <w:rPr>
          <w:lang w:val="fr-FR"/>
        </w:rPr>
        <w:tab/>
      </w:r>
      <w:r w:rsidR="00914199" w:rsidRPr="00B376E5">
        <w:rPr>
          <w:lang w:val="fr-FR"/>
        </w:rPr>
        <w:t>Le</w:t>
      </w:r>
      <w:r w:rsidR="006B71B2" w:rsidRPr="00B376E5">
        <w:rPr>
          <w:lang w:val="fr-FR"/>
        </w:rPr>
        <w:t> TC</w:t>
      </w:r>
      <w:r w:rsidR="00914199" w:rsidRPr="00B376E5">
        <w:rPr>
          <w:lang w:val="fr-FR"/>
        </w:rPr>
        <w:t xml:space="preserve"> </w:t>
      </w:r>
      <w:r w:rsidR="001077A1" w:rsidRPr="00B376E5">
        <w:rPr>
          <w:lang w:val="fr-FR"/>
        </w:rPr>
        <w:t>est co</w:t>
      </w:r>
      <w:r w:rsidR="00914199" w:rsidRPr="00B376E5">
        <w:rPr>
          <w:lang w:val="fr-FR"/>
        </w:rPr>
        <w:t>n</w:t>
      </w:r>
      <w:r w:rsidR="001077A1" w:rsidRPr="00B376E5">
        <w:rPr>
          <w:lang w:val="fr-FR"/>
        </w:rPr>
        <w:t>v</w:t>
      </w:r>
      <w:r w:rsidR="00914199" w:rsidRPr="00B376E5">
        <w:rPr>
          <w:lang w:val="fr-FR"/>
        </w:rPr>
        <w:t>enu d</w:t>
      </w:r>
      <w:r w:rsidR="006B71B2" w:rsidRPr="00B376E5">
        <w:rPr>
          <w:lang w:val="fr-FR"/>
        </w:rPr>
        <w:t>’</w:t>
      </w:r>
      <w:r w:rsidR="00914199" w:rsidRPr="00B376E5">
        <w:rPr>
          <w:lang w:val="fr-FR"/>
        </w:rPr>
        <w:t>inviter les membres de l</w:t>
      </w:r>
      <w:r w:rsidR="006B71B2" w:rsidRPr="00B376E5">
        <w:rPr>
          <w:lang w:val="fr-FR"/>
        </w:rPr>
        <w:t>’</w:t>
      </w:r>
      <w:r w:rsidR="00914199" w:rsidRPr="00B376E5">
        <w:rPr>
          <w:lang w:val="fr-FR"/>
        </w:rPr>
        <w:t>Union à présenter</w:t>
      </w:r>
      <w:r w:rsidR="006B71B2" w:rsidRPr="00B376E5">
        <w:rPr>
          <w:lang w:val="fr-FR"/>
        </w:rPr>
        <w:t xml:space="preserve"> aux TWP</w:t>
      </w:r>
      <w:r w:rsidR="00914199" w:rsidRPr="00B376E5">
        <w:rPr>
          <w:lang w:val="fr-FR"/>
        </w:rPr>
        <w:t xml:space="preserve"> et au</w:t>
      </w:r>
      <w:r w:rsidR="006B71B2" w:rsidRPr="00B376E5">
        <w:rPr>
          <w:lang w:val="fr-FR"/>
        </w:rPr>
        <w:t> TC</w:t>
      </w:r>
      <w:r w:rsidR="00914199" w:rsidRPr="00B376E5">
        <w:rPr>
          <w:lang w:val="fr-FR"/>
        </w:rPr>
        <w:t xml:space="preserve"> des informations sur les risques, les avantages, les coûts et autres éléments pertinents qui justifiaient leur choix de la méthode 1 ou </w:t>
      </w:r>
      <w:r w:rsidR="00DB03CE" w:rsidRPr="00B376E5">
        <w:rPr>
          <w:lang w:val="fr-FR"/>
        </w:rPr>
        <w:t xml:space="preserve">de la méthode </w:t>
      </w:r>
      <w:r w:rsidR="00914199" w:rsidRPr="00B376E5">
        <w:rPr>
          <w:lang w:val="fr-FR"/>
        </w:rPr>
        <w:t>2, indiquées aux annexes</w:t>
      </w:r>
      <w:r w:rsidR="00E97B48" w:rsidRPr="00B376E5">
        <w:rPr>
          <w:lang w:val="fr-FR"/>
        </w:rPr>
        <w:t> </w:t>
      </w:r>
      <w:r w:rsidR="00914199" w:rsidRPr="00B376E5">
        <w:rPr>
          <w:lang w:val="fr-FR"/>
        </w:rPr>
        <w:t xml:space="preserve">I et II du </w:t>
      </w:r>
      <w:r w:rsidR="006B71B2" w:rsidRPr="00B376E5">
        <w:rPr>
          <w:lang w:val="fr-FR"/>
        </w:rPr>
        <w:t>document TC</w:t>
      </w:r>
      <w:r w:rsidR="00914199" w:rsidRPr="00B376E5">
        <w:rPr>
          <w:lang w:val="fr-FR"/>
        </w:rPr>
        <w:t>/51/24, aux fins de l</w:t>
      </w:r>
      <w:r w:rsidR="006B71B2" w:rsidRPr="00B376E5">
        <w:rPr>
          <w:lang w:val="fr-FR"/>
        </w:rPr>
        <w:t>’</w:t>
      </w:r>
      <w:r w:rsidR="00914199" w:rsidRPr="00B376E5">
        <w:rPr>
          <w:lang w:val="fr-FR"/>
        </w:rPr>
        <w:t>évaluation de l</w:t>
      </w:r>
      <w:r w:rsidR="006B71B2" w:rsidRPr="00B376E5">
        <w:rPr>
          <w:lang w:val="fr-FR"/>
        </w:rPr>
        <w:t>’</w:t>
      </w:r>
      <w:r w:rsidR="00914199" w:rsidRPr="00B376E5">
        <w:rPr>
          <w:lang w:val="fr-FR"/>
        </w:rPr>
        <w:t>homogénéité d</w:t>
      </w:r>
      <w:r w:rsidR="006B71B2" w:rsidRPr="00B376E5">
        <w:rPr>
          <w:lang w:val="fr-FR"/>
        </w:rPr>
        <w:t>’</w:t>
      </w:r>
      <w:r w:rsidR="00914199" w:rsidRPr="00B376E5">
        <w:rPr>
          <w:lang w:val="fr-FR"/>
        </w:rPr>
        <w:t>après les plantes hors</w:t>
      </w:r>
      <w:r w:rsidR="006C087A" w:rsidRPr="00B376E5">
        <w:rPr>
          <w:lang w:val="fr-FR"/>
        </w:rPr>
        <w:noBreakHyphen/>
      </w:r>
      <w:r w:rsidR="00914199" w:rsidRPr="00B376E5">
        <w:rPr>
          <w:lang w:val="fr-FR"/>
        </w:rPr>
        <w:t>type sur la base de plusieurs échantillons ou sous</w:t>
      </w:r>
      <w:r w:rsidR="006C087A" w:rsidRPr="00B376E5">
        <w:rPr>
          <w:lang w:val="fr-FR"/>
        </w:rPr>
        <w:noBreakHyphen/>
      </w:r>
      <w:r w:rsidR="00914199" w:rsidRPr="00B376E5">
        <w:rPr>
          <w:lang w:val="fr-FR"/>
        </w:rPr>
        <w:t>échantillons.</w:t>
      </w:r>
    </w:p>
    <w:p w:rsidR="00D8441B" w:rsidRPr="00B376E5" w:rsidRDefault="00D8441B" w:rsidP="00B376E5">
      <w:pPr>
        <w:rPr>
          <w:lang w:val="fr-FR"/>
        </w:rPr>
      </w:pPr>
    </w:p>
    <w:p w:rsidR="006B71B2" w:rsidRPr="00B376E5" w:rsidRDefault="00BF4661" w:rsidP="00B376E5">
      <w:pPr>
        <w:rPr>
          <w:lang w:val="fr-FR"/>
        </w:rPr>
      </w:pPr>
      <w:r w:rsidRPr="00B376E5">
        <w:rPr>
          <w:lang w:val="fr-FR"/>
        </w:rPr>
        <w:fldChar w:fldCharType="begin"/>
      </w:r>
      <w:r w:rsidRPr="00B376E5">
        <w:rPr>
          <w:lang w:val="fr-FR"/>
        </w:rPr>
        <w:instrText xml:space="preserve"> AUTONUM  </w:instrText>
      </w:r>
      <w:r w:rsidRPr="00B376E5">
        <w:rPr>
          <w:lang w:val="fr-FR"/>
        </w:rPr>
        <w:fldChar w:fldCharType="end"/>
      </w:r>
      <w:r w:rsidRPr="00B376E5">
        <w:rPr>
          <w:lang w:val="fr-FR"/>
        </w:rPr>
        <w:tab/>
      </w:r>
      <w:r w:rsidR="00914199" w:rsidRPr="00B376E5">
        <w:rPr>
          <w:lang w:val="fr-FR"/>
        </w:rPr>
        <w:t>Le</w:t>
      </w:r>
      <w:r w:rsidR="006B71B2" w:rsidRPr="00B376E5">
        <w:rPr>
          <w:lang w:val="fr-FR"/>
        </w:rPr>
        <w:t> TC</w:t>
      </w:r>
      <w:r w:rsidR="00914199" w:rsidRPr="00B376E5">
        <w:rPr>
          <w:lang w:val="fr-FR"/>
        </w:rPr>
        <w:t xml:space="preserve"> a décidé de clarifier la possibilité de rejeter une variété en raison d</w:t>
      </w:r>
      <w:r w:rsidR="006B71B2" w:rsidRPr="00B376E5">
        <w:rPr>
          <w:lang w:val="fr-FR"/>
        </w:rPr>
        <w:t>’</w:t>
      </w:r>
      <w:r w:rsidR="00914199" w:rsidRPr="00B376E5">
        <w:rPr>
          <w:lang w:val="fr-FR"/>
        </w:rPr>
        <w:t>un manque d</w:t>
      </w:r>
      <w:r w:rsidR="006B71B2" w:rsidRPr="00B376E5">
        <w:rPr>
          <w:lang w:val="fr-FR"/>
        </w:rPr>
        <w:t>’</w:t>
      </w:r>
      <w:r w:rsidR="00914199" w:rsidRPr="00B376E5">
        <w:rPr>
          <w:lang w:val="fr-FR"/>
        </w:rPr>
        <w:t>homogénéité après un seul cycle de végétation.</w:t>
      </w:r>
      <w:r w:rsidRPr="00B376E5">
        <w:rPr>
          <w:lang w:val="fr-FR"/>
        </w:rPr>
        <w:t xml:space="preserve">  </w:t>
      </w:r>
      <w:r w:rsidR="00914199" w:rsidRPr="00B376E5">
        <w:rPr>
          <w:lang w:val="fr-FR"/>
        </w:rPr>
        <w:t>Il est également convenu de réviser le cinquième exemple afin qu</w:t>
      </w:r>
      <w:r w:rsidR="006B71B2" w:rsidRPr="00B376E5">
        <w:rPr>
          <w:lang w:val="fr-FR"/>
        </w:rPr>
        <w:t>’</w:t>
      </w:r>
      <w:r w:rsidR="00914199" w:rsidRPr="00B376E5">
        <w:rPr>
          <w:lang w:val="fr-FR"/>
        </w:rPr>
        <w:t>il soit plus réaliste, étant donné qu</w:t>
      </w:r>
      <w:r w:rsidR="006B71B2" w:rsidRPr="00B376E5">
        <w:rPr>
          <w:lang w:val="fr-FR"/>
        </w:rPr>
        <w:t>’</w:t>
      </w:r>
      <w:r w:rsidR="00914199" w:rsidRPr="00B376E5">
        <w:rPr>
          <w:lang w:val="fr-FR"/>
        </w:rPr>
        <w:t>une variété avec 10 plantes hors</w:t>
      </w:r>
      <w:r w:rsidR="006C087A" w:rsidRPr="00B376E5">
        <w:rPr>
          <w:lang w:val="fr-FR"/>
        </w:rPr>
        <w:noBreakHyphen/>
      </w:r>
      <w:r w:rsidR="00914199" w:rsidRPr="00B376E5">
        <w:rPr>
          <w:lang w:val="fr-FR"/>
        </w:rPr>
        <w:t>type lors du premier cycle de végétation serait vraisemblablement rejetée après le premier cycle de végétation (voir les paragraphes</w:t>
      </w:r>
      <w:r w:rsidR="00E97B48" w:rsidRPr="00B376E5">
        <w:rPr>
          <w:lang w:val="fr-FR"/>
        </w:rPr>
        <w:t> </w:t>
      </w:r>
      <w:r w:rsidR="00914199" w:rsidRPr="00B376E5">
        <w:rPr>
          <w:lang w:val="fr-FR"/>
        </w:rPr>
        <w:t xml:space="preserve">157 à 162 du </w:t>
      </w:r>
      <w:r w:rsidR="006B71B2" w:rsidRPr="00B376E5">
        <w:rPr>
          <w:lang w:val="fr-FR"/>
        </w:rPr>
        <w:t>document TC</w:t>
      </w:r>
      <w:r w:rsidR="00914199" w:rsidRPr="00B376E5">
        <w:rPr>
          <w:lang w:val="fr-FR"/>
        </w:rPr>
        <w:t xml:space="preserve">/51/39 </w:t>
      </w:r>
      <w:r w:rsidR="00E97B48" w:rsidRPr="00B376E5">
        <w:rPr>
          <w:lang w:val="fr-FR"/>
        </w:rPr>
        <w:t>“</w:t>
      </w:r>
      <w:r w:rsidR="00914199" w:rsidRPr="00B376E5">
        <w:rPr>
          <w:lang w:val="fr-FR"/>
        </w:rPr>
        <w:t>Compte rendu</w:t>
      </w:r>
      <w:r w:rsidR="00E97B48" w:rsidRPr="00B376E5">
        <w:rPr>
          <w:lang w:val="fr-FR"/>
        </w:rPr>
        <w:t>”</w:t>
      </w:r>
      <w:r w:rsidR="00914199" w:rsidRPr="00B376E5">
        <w:rPr>
          <w:lang w:val="fr-FR"/>
        </w:rPr>
        <w:t>).</w:t>
      </w:r>
    </w:p>
    <w:p w:rsidR="00D8441B" w:rsidRPr="00B376E5" w:rsidRDefault="00D8441B" w:rsidP="00B376E5">
      <w:pPr>
        <w:rPr>
          <w:lang w:val="fr-FR"/>
        </w:rPr>
      </w:pPr>
    </w:p>
    <w:p w:rsidR="00D8441B" w:rsidRPr="00B376E5" w:rsidRDefault="00BF4661" w:rsidP="00B376E5">
      <w:pPr>
        <w:rPr>
          <w:lang w:val="fr-FR"/>
        </w:rPr>
      </w:pPr>
      <w:r w:rsidRPr="00B376E5">
        <w:rPr>
          <w:lang w:val="fr-FR"/>
        </w:rPr>
        <w:fldChar w:fldCharType="begin"/>
      </w:r>
      <w:r w:rsidRPr="00B376E5">
        <w:rPr>
          <w:lang w:val="fr-FR"/>
        </w:rPr>
        <w:instrText xml:space="preserve"> AUTONUM  </w:instrText>
      </w:r>
      <w:r w:rsidRPr="00B376E5">
        <w:rPr>
          <w:lang w:val="fr-FR"/>
        </w:rPr>
        <w:fldChar w:fldCharType="end"/>
      </w:r>
      <w:r w:rsidRPr="00B376E5">
        <w:rPr>
          <w:lang w:val="fr-FR"/>
        </w:rPr>
        <w:tab/>
      </w:r>
      <w:r w:rsidR="0086726D" w:rsidRPr="00B376E5">
        <w:rPr>
          <w:lang w:val="fr-FR"/>
        </w:rPr>
        <w:t>Par la circulaire E</w:t>
      </w:r>
      <w:r w:rsidR="006C087A" w:rsidRPr="00B376E5">
        <w:rPr>
          <w:lang w:val="fr-FR"/>
        </w:rPr>
        <w:noBreakHyphen/>
      </w:r>
      <w:r w:rsidR="0086726D" w:rsidRPr="00B376E5">
        <w:rPr>
          <w:lang w:val="fr-FR"/>
        </w:rPr>
        <w:t xml:space="preserve">15/108 du </w:t>
      </w:r>
      <w:r w:rsidR="006B71B2" w:rsidRPr="00B376E5">
        <w:rPr>
          <w:lang w:val="fr-FR"/>
        </w:rPr>
        <w:t>5 mai 20</w:t>
      </w:r>
      <w:r w:rsidR="0086726D" w:rsidRPr="00B376E5">
        <w:rPr>
          <w:lang w:val="fr-FR"/>
        </w:rPr>
        <w:t>15, les membres du</w:t>
      </w:r>
      <w:r w:rsidR="006B71B2" w:rsidRPr="00B376E5">
        <w:rPr>
          <w:lang w:val="fr-FR"/>
        </w:rPr>
        <w:t> TC</w:t>
      </w:r>
      <w:r w:rsidR="0086726D" w:rsidRPr="00B376E5">
        <w:rPr>
          <w:lang w:val="fr-FR"/>
        </w:rPr>
        <w:t xml:space="preserve"> et</w:t>
      </w:r>
      <w:r w:rsidR="006B71B2" w:rsidRPr="00B376E5">
        <w:rPr>
          <w:lang w:val="fr-FR"/>
        </w:rPr>
        <w:t xml:space="preserve"> des TWP</w:t>
      </w:r>
      <w:r w:rsidR="0086726D" w:rsidRPr="00B376E5">
        <w:rPr>
          <w:lang w:val="fr-FR"/>
        </w:rPr>
        <w:t xml:space="preserve"> et les observateurs ont été invités à présenter</w:t>
      </w:r>
      <w:r w:rsidR="001077A1" w:rsidRPr="00B376E5">
        <w:rPr>
          <w:lang w:val="fr-FR"/>
        </w:rPr>
        <w:t xml:space="preserve">, </w:t>
      </w:r>
      <w:r w:rsidR="00DB03CE" w:rsidRPr="00B376E5">
        <w:rPr>
          <w:lang w:val="fr-FR"/>
        </w:rPr>
        <w:t>lors des</w:t>
      </w:r>
      <w:r w:rsidR="001077A1" w:rsidRPr="00B376E5">
        <w:rPr>
          <w:lang w:val="fr-FR"/>
        </w:rPr>
        <w:t xml:space="preserve"> sessions</w:t>
      </w:r>
      <w:r w:rsidR="006B71B2" w:rsidRPr="00B376E5">
        <w:rPr>
          <w:lang w:val="fr-FR"/>
        </w:rPr>
        <w:t xml:space="preserve"> des TWP</w:t>
      </w:r>
      <w:r w:rsidR="001077A1" w:rsidRPr="00B376E5">
        <w:rPr>
          <w:lang w:val="fr-FR"/>
        </w:rPr>
        <w:t>,</w:t>
      </w:r>
      <w:r w:rsidR="0086726D" w:rsidRPr="00B376E5">
        <w:rPr>
          <w:lang w:val="fr-FR"/>
        </w:rPr>
        <w:t xml:space="preserve"> des informations sur les risques, les avantages, les coûts et autres éléments pertinents qui justifient leur choix de la méthode 1 ou </w:t>
      </w:r>
      <w:r w:rsidR="00DB03CE" w:rsidRPr="00B376E5">
        <w:rPr>
          <w:lang w:val="fr-FR"/>
        </w:rPr>
        <w:t xml:space="preserve">de la méthode </w:t>
      </w:r>
      <w:r w:rsidR="0086726D" w:rsidRPr="00B376E5">
        <w:rPr>
          <w:lang w:val="fr-FR"/>
        </w:rPr>
        <w:t>2, indiquées aux annexes</w:t>
      </w:r>
      <w:r w:rsidR="00E97B48" w:rsidRPr="00B376E5">
        <w:rPr>
          <w:lang w:val="fr-FR"/>
        </w:rPr>
        <w:t> </w:t>
      </w:r>
      <w:r w:rsidR="0086726D" w:rsidRPr="00B376E5">
        <w:rPr>
          <w:lang w:val="fr-FR"/>
        </w:rPr>
        <w:t xml:space="preserve">I et II du </w:t>
      </w:r>
      <w:r w:rsidR="006B71B2" w:rsidRPr="00B376E5">
        <w:rPr>
          <w:lang w:val="fr-FR"/>
        </w:rPr>
        <w:t>document TC</w:t>
      </w:r>
      <w:r w:rsidR="0086726D" w:rsidRPr="00B376E5">
        <w:rPr>
          <w:lang w:val="fr-FR"/>
        </w:rPr>
        <w:t>/51/24, aux fins de l</w:t>
      </w:r>
      <w:r w:rsidR="006B71B2" w:rsidRPr="00B376E5">
        <w:rPr>
          <w:lang w:val="fr-FR"/>
        </w:rPr>
        <w:t>’</w:t>
      </w:r>
      <w:r w:rsidR="0086726D" w:rsidRPr="00B376E5">
        <w:rPr>
          <w:lang w:val="fr-FR"/>
        </w:rPr>
        <w:t>évaluation de l</w:t>
      </w:r>
      <w:r w:rsidR="006B71B2" w:rsidRPr="00B376E5">
        <w:rPr>
          <w:lang w:val="fr-FR"/>
        </w:rPr>
        <w:t>’</w:t>
      </w:r>
      <w:r w:rsidR="0086726D" w:rsidRPr="00B376E5">
        <w:rPr>
          <w:lang w:val="fr-FR"/>
        </w:rPr>
        <w:t>homogénéité d</w:t>
      </w:r>
      <w:r w:rsidR="006B71B2" w:rsidRPr="00B376E5">
        <w:rPr>
          <w:lang w:val="fr-FR"/>
        </w:rPr>
        <w:t>’</w:t>
      </w:r>
      <w:r w:rsidR="0086726D" w:rsidRPr="00B376E5">
        <w:rPr>
          <w:lang w:val="fr-FR"/>
        </w:rPr>
        <w:t>après les plantes hors</w:t>
      </w:r>
      <w:r w:rsidR="006C087A" w:rsidRPr="00B376E5">
        <w:rPr>
          <w:lang w:val="fr-FR"/>
        </w:rPr>
        <w:noBreakHyphen/>
      </w:r>
      <w:r w:rsidR="0086726D" w:rsidRPr="00B376E5">
        <w:rPr>
          <w:lang w:val="fr-FR"/>
        </w:rPr>
        <w:t>type sur la base de plusieurs échantillons ou sous</w:t>
      </w:r>
      <w:r w:rsidR="006C087A" w:rsidRPr="00B376E5">
        <w:rPr>
          <w:lang w:val="fr-FR"/>
        </w:rPr>
        <w:noBreakHyphen/>
      </w:r>
      <w:r w:rsidR="0086726D" w:rsidRPr="00B376E5">
        <w:rPr>
          <w:lang w:val="fr-FR"/>
        </w:rPr>
        <w:t>échantillons.</w:t>
      </w:r>
    </w:p>
    <w:p w:rsidR="00032D7E" w:rsidRDefault="00032D7E">
      <w:pPr>
        <w:jc w:val="left"/>
        <w:rPr>
          <w:snapToGrid w:val="0"/>
          <w:u w:val="single"/>
          <w:lang w:val="fr-FR"/>
        </w:rPr>
      </w:pPr>
    </w:p>
    <w:p w:rsidR="00D8441B" w:rsidRPr="00B376E5" w:rsidRDefault="0086726D" w:rsidP="00B376E5">
      <w:pPr>
        <w:pStyle w:val="Heading2"/>
        <w:rPr>
          <w:snapToGrid w:val="0"/>
          <w:lang w:val="fr-FR"/>
        </w:rPr>
      </w:pPr>
      <w:bookmarkStart w:id="8" w:name="_Toc442255460"/>
      <w:r w:rsidRPr="00B376E5">
        <w:rPr>
          <w:snapToGrid w:val="0"/>
          <w:lang w:val="fr-FR"/>
        </w:rPr>
        <w:t>Groupes de travail techniques</w:t>
      </w:r>
      <w:bookmarkEnd w:id="8"/>
    </w:p>
    <w:p w:rsidR="00D8441B" w:rsidRPr="00B376E5" w:rsidRDefault="00D8441B" w:rsidP="00B376E5">
      <w:pPr>
        <w:keepNext/>
        <w:rPr>
          <w:snapToGrid w:val="0"/>
          <w:lang w:val="fr-FR"/>
        </w:rPr>
      </w:pPr>
    </w:p>
    <w:p w:rsidR="00D8441B" w:rsidRPr="00B376E5" w:rsidRDefault="0086726D" w:rsidP="00B376E5">
      <w:pPr>
        <w:pStyle w:val="Heading3"/>
        <w:rPr>
          <w:snapToGrid w:val="0"/>
          <w:lang w:val="fr-FR"/>
        </w:rPr>
      </w:pPr>
      <w:bookmarkStart w:id="9" w:name="_Toc442255461"/>
      <w:r w:rsidRPr="00B376E5">
        <w:rPr>
          <w:snapToGrid w:val="0"/>
          <w:lang w:val="fr-FR"/>
        </w:rPr>
        <w:t>Groupe de travail technique sur les plantes potagères</w:t>
      </w:r>
      <w:bookmarkEnd w:id="9"/>
    </w:p>
    <w:p w:rsidR="00D8441B" w:rsidRPr="00B376E5" w:rsidRDefault="00D8441B" w:rsidP="00B376E5">
      <w:pPr>
        <w:rPr>
          <w:lang w:val="fr-FR"/>
        </w:rPr>
      </w:pPr>
    </w:p>
    <w:p w:rsidR="00D8441B" w:rsidRPr="00B376E5" w:rsidRDefault="00EB33EB" w:rsidP="00B376E5">
      <w:pPr>
        <w:rPr>
          <w:snapToGrid w:val="0"/>
          <w:lang w:val="fr-FR"/>
        </w:rPr>
      </w:pPr>
      <w:r w:rsidRPr="00B376E5">
        <w:rPr>
          <w:snapToGrid w:val="0"/>
          <w:lang w:val="fr-FR"/>
        </w:rPr>
        <w:fldChar w:fldCharType="begin"/>
      </w:r>
      <w:r w:rsidRPr="00B376E5">
        <w:rPr>
          <w:snapToGrid w:val="0"/>
          <w:lang w:val="fr-FR"/>
        </w:rPr>
        <w:instrText xml:space="preserve"> AUTONUM  </w:instrText>
      </w:r>
      <w:r w:rsidRPr="00B376E5">
        <w:rPr>
          <w:snapToGrid w:val="0"/>
          <w:lang w:val="fr-FR"/>
        </w:rPr>
        <w:fldChar w:fldCharType="end"/>
      </w:r>
      <w:r w:rsidRPr="00B376E5">
        <w:rPr>
          <w:snapToGrid w:val="0"/>
          <w:lang w:val="fr-FR"/>
        </w:rPr>
        <w:tab/>
      </w:r>
      <w:r w:rsidR="004C0C5C" w:rsidRPr="00B376E5">
        <w:rPr>
          <w:snapToGrid w:val="0"/>
          <w:lang w:val="fr-FR"/>
        </w:rPr>
        <w:t>À sa quarante</w:t>
      </w:r>
      <w:r w:rsidR="006C087A" w:rsidRPr="00B376E5">
        <w:rPr>
          <w:snapToGrid w:val="0"/>
          <w:lang w:val="fr-FR"/>
        </w:rPr>
        <w:noBreakHyphen/>
      </w:r>
      <w:r w:rsidR="004C0C5C" w:rsidRPr="00B376E5">
        <w:rPr>
          <w:snapToGrid w:val="0"/>
          <w:lang w:val="fr-FR"/>
        </w:rPr>
        <w:t>neuvième</w:t>
      </w:r>
      <w:r w:rsidR="00E97B48" w:rsidRPr="00B376E5">
        <w:rPr>
          <w:snapToGrid w:val="0"/>
          <w:lang w:val="fr-FR"/>
        </w:rPr>
        <w:t> </w:t>
      </w:r>
      <w:r w:rsidR="004C0C5C" w:rsidRPr="00B376E5">
        <w:rPr>
          <w:snapToGrid w:val="0"/>
          <w:lang w:val="fr-FR"/>
        </w:rPr>
        <w:t>session tenue à Angers (France) du 15 au 1</w:t>
      </w:r>
      <w:r w:rsidR="006B71B2" w:rsidRPr="00B376E5">
        <w:rPr>
          <w:snapToGrid w:val="0"/>
          <w:lang w:val="fr-FR"/>
        </w:rPr>
        <w:t>9 juin 20</w:t>
      </w:r>
      <w:r w:rsidR="004C0C5C" w:rsidRPr="00B376E5">
        <w:rPr>
          <w:snapToGrid w:val="0"/>
          <w:lang w:val="fr-FR"/>
        </w:rPr>
        <w:t>15,</w:t>
      </w:r>
      <w:r w:rsidR="006B71B2" w:rsidRPr="00B376E5">
        <w:rPr>
          <w:snapToGrid w:val="0"/>
          <w:lang w:val="fr-FR"/>
        </w:rPr>
        <w:t xml:space="preserve"> le TWV</w:t>
      </w:r>
      <w:r w:rsidR="004C0C5C" w:rsidRPr="00B376E5">
        <w:rPr>
          <w:snapToGrid w:val="0"/>
          <w:lang w:val="fr-FR"/>
        </w:rPr>
        <w:t xml:space="preserve"> a examiné le document TWV/49/9 “</w:t>
      </w:r>
      <w:proofErr w:type="spellStart"/>
      <w:r w:rsidR="004C0C5C" w:rsidRPr="0065649C">
        <w:rPr>
          <w:i/>
          <w:snapToGrid w:val="0"/>
          <w:lang w:val="fr-FR"/>
        </w:rPr>
        <w:t>Revision</w:t>
      </w:r>
      <w:proofErr w:type="spellEnd"/>
      <w:r w:rsidR="004C0C5C" w:rsidRPr="0065649C">
        <w:rPr>
          <w:i/>
          <w:snapToGrid w:val="0"/>
          <w:lang w:val="fr-FR"/>
        </w:rPr>
        <w:t xml:space="preserve"> of document TGP/10</w:t>
      </w:r>
      <w:r w:rsidR="00E97B48" w:rsidRPr="0065649C">
        <w:rPr>
          <w:i/>
          <w:snapToGrid w:val="0"/>
          <w:lang w:val="fr-FR"/>
        </w:rPr>
        <w:t> </w:t>
      </w:r>
      <w:r w:rsidR="004C0C5C" w:rsidRPr="0065649C">
        <w:rPr>
          <w:i/>
          <w:snapToGrid w:val="0"/>
          <w:lang w:val="fr-FR"/>
        </w:rPr>
        <w:t>: New section</w:t>
      </w:r>
      <w:r w:rsidR="00E97B48" w:rsidRPr="0065649C">
        <w:rPr>
          <w:i/>
          <w:snapToGrid w:val="0"/>
          <w:lang w:val="fr-FR"/>
        </w:rPr>
        <w:t> </w:t>
      </w:r>
      <w:r w:rsidR="004C0C5C" w:rsidRPr="0065649C">
        <w:rPr>
          <w:i/>
          <w:snapToGrid w:val="0"/>
          <w:lang w:val="fr-FR"/>
        </w:rPr>
        <w:t xml:space="preserve">: </w:t>
      </w:r>
      <w:proofErr w:type="spellStart"/>
      <w:r w:rsidR="004C0C5C" w:rsidRPr="0065649C">
        <w:rPr>
          <w:i/>
          <w:snapToGrid w:val="0"/>
          <w:lang w:val="fr-FR"/>
        </w:rPr>
        <w:t>Assessing</w:t>
      </w:r>
      <w:proofErr w:type="spellEnd"/>
      <w:r w:rsidR="004C0C5C" w:rsidRPr="0065649C">
        <w:rPr>
          <w:i/>
          <w:snapToGrid w:val="0"/>
          <w:lang w:val="fr-FR"/>
        </w:rPr>
        <w:t xml:space="preserve"> </w:t>
      </w:r>
      <w:proofErr w:type="spellStart"/>
      <w:r w:rsidR="004C0C5C" w:rsidRPr="0065649C">
        <w:rPr>
          <w:i/>
          <w:snapToGrid w:val="0"/>
          <w:lang w:val="fr-FR"/>
        </w:rPr>
        <w:t>Uniformity</w:t>
      </w:r>
      <w:proofErr w:type="spellEnd"/>
      <w:r w:rsidR="004C0C5C" w:rsidRPr="0065649C">
        <w:rPr>
          <w:i/>
          <w:snapToGrid w:val="0"/>
          <w:lang w:val="fr-FR"/>
        </w:rPr>
        <w:t xml:space="preserve"> by Off</w:t>
      </w:r>
      <w:r w:rsidR="006C087A" w:rsidRPr="0065649C">
        <w:rPr>
          <w:i/>
          <w:snapToGrid w:val="0"/>
          <w:lang w:val="fr-FR"/>
        </w:rPr>
        <w:noBreakHyphen/>
      </w:r>
      <w:r w:rsidR="004C0C5C" w:rsidRPr="0065649C">
        <w:rPr>
          <w:i/>
          <w:snapToGrid w:val="0"/>
          <w:lang w:val="fr-FR"/>
        </w:rPr>
        <w:t xml:space="preserve">Types on Basis of More </w:t>
      </w:r>
      <w:proofErr w:type="spellStart"/>
      <w:r w:rsidR="004C0C5C" w:rsidRPr="0065649C">
        <w:rPr>
          <w:i/>
          <w:snapToGrid w:val="0"/>
          <w:lang w:val="fr-FR"/>
        </w:rPr>
        <w:t>than</w:t>
      </w:r>
      <w:proofErr w:type="spellEnd"/>
      <w:r w:rsidR="004C0C5C" w:rsidRPr="0065649C">
        <w:rPr>
          <w:i/>
          <w:snapToGrid w:val="0"/>
          <w:lang w:val="fr-FR"/>
        </w:rPr>
        <w:t xml:space="preserve"> One </w:t>
      </w:r>
      <w:proofErr w:type="spellStart"/>
      <w:r w:rsidR="004C0C5C" w:rsidRPr="0065649C">
        <w:rPr>
          <w:i/>
          <w:snapToGrid w:val="0"/>
          <w:lang w:val="fr-FR"/>
        </w:rPr>
        <w:t>Growing</w:t>
      </w:r>
      <w:proofErr w:type="spellEnd"/>
      <w:r w:rsidR="004C0C5C" w:rsidRPr="0065649C">
        <w:rPr>
          <w:i/>
          <w:snapToGrid w:val="0"/>
          <w:lang w:val="fr-FR"/>
        </w:rPr>
        <w:t xml:space="preserve"> Cycle or on the Basis of </w:t>
      </w:r>
      <w:proofErr w:type="spellStart"/>
      <w:r w:rsidR="004C0C5C" w:rsidRPr="0065649C">
        <w:rPr>
          <w:i/>
          <w:snapToGrid w:val="0"/>
          <w:lang w:val="fr-FR"/>
        </w:rPr>
        <w:t>Sub</w:t>
      </w:r>
      <w:r w:rsidR="006C087A" w:rsidRPr="0065649C">
        <w:rPr>
          <w:i/>
          <w:snapToGrid w:val="0"/>
          <w:lang w:val="fr-FR"/>
        </w:rPr>
        <w:noBreakHyphen/>
      </w:r>
      <w:r w:rsidR="004C0C5C" w:rsidRPr="0065649C">
        <w:rPr>
          <w:i/>
          <w:snapToGrid w:val="0"/>
          <w:lang w:val="fr-FR"/>
        </w:rPr>
        <w:t>Samples</w:t>
      </w:r>
      <w:proofErr w:type="spellEnd"/>
      <w:r w:rsidR="004C0C5C" w:rsidRPr="00B376E5">
        <w:rPr>
          <w:snapToGrid w:val="0"/>
          <w:lang w:val="fr-FR"/>
        </w:rPr>
        <w:t>”.</w:t>
      </w:r>
    </w:p>
    <w:p w:rsidR="00D8441B" w:rsidRPr="00B376E5" w:rsidRDefault="00D8441B" w:rsidP="00B376E5">
      <w:pPr>
        <w:rPr>
          <w:snapToGrid w:val="0"/>
          <w:lang w:val="fr-FR"/>
        </w:rPr>
      </w:pPr>
    </w:p>
    <w:p w:rsidR="00D8441B" w:rsidRPr="00B376E5" w:rsidRDefault="00EB33EB" w:rsidP="00B376E5">
      <w:pPr>
        <w:rPr>
          <w:snapToGrid w:val="0"/>
          <w:lang w:val="fr-FR"/>
        </w:rPr>
      </w:pPr>
      <w:r w:rsidRPr="00B376E5">
        <w:rPr>
          <w:snapToGrid w:val="0"/>
          <w:lang w:val="fr-FR"/>
        </w:rPr>
        <w:fldChar w:fldCharType="begin"/>
      </w:r>
      <w:r w:rsidRPr="00B376E5">
        <w:rPr>
          <w:snapToGrid w:val="0"/>
          <w:lang w:val="fr-FR"/>
        </w:rPr>
        <w:instrText xml:space="preserve"> AUTONUM  </w:instrText>
      </w:r>
      <w:r w:rsidRPr="00B376E5">
        <w:rPr>
          <w:snapToGrid w:val="0"/>
          <w:lang w:val="fr-FR"/>
        </w:rPr>
        <w:fldChar w:fldCharType="end"/>
      </w:r>
      <w:r w:rsidRPr="00B376E5">
        <w:rPr>
          <w:snapToGrid w:val="0"/>
          <w:lang w:val="fr-FR"/>
        </w:rPr>
        <w:tab/>
      </w:r>
      <w:r w:rsidR="0076215A" w:rsidRPr="00B376E5">
        <w:rPr>
          <w:snapToGrid w:val="0"/>
          <w:lang w:val="fr-FR"/>
        </w:rPr>
        <w:t xml:space="preserve">Le TWV </w:t>
      </w:r>
      <w:r w:rsidR="001077A1" w:rsidRPr="00B376E5">
        <w:rPr>
          <w:snapToGrid w:val="0"/>
          <w:lang w:val="fr-FR"/>
        </w:rPr>
        <w:t>a approuvé</w:t>
      </w:r>
      <w:r w:rsidR="0076215A" w:rsidRPr="00B376E5">
        <w:rPr>
          <w:snapToGrid w:val="0"/>
          <w:lang w:val="fr-FR"/>
        </w:rPr>
        <w:t xml:space="preserve"> le projet d</w:t>
      </w:r>
      <w:r w:rsidR="006B71B2" w:rsidRPr="00B376E5">
        <w:rPr>
          <w:snapToGrid w:val="0"/>
          <w:lang w:val="fr-FR"/>
        </w:rPr>
        <w:t>’</w:t>
      </w:r>
      <w:r w:rsidR="0076215A" w:rsidRPr="00B376E5">
        <w:rPr>
          <w:snapToGrid w:val="0"/>
          <w:lang w:val="fr-FR"/>
        </w:rPr>
        <w:t>orientations à inclure dans une future ver</w:t>
      </w:r>
      <w:r w:rsidR="001077A1" w:rsidRPr="00B376E5">
        <w:rPr>
          <w:snapToGrid w:val="0"/>
          <w:lang w:val="fr-FR"/>
        </w:rPr>
        <w:t>sion révisée du document TGP/10</w:t>
      </w:r>
      <w:r w:rsidR="008D717E" w:rsidRPr="00B376E5">
        <w:rPr>
          <w:snapToGrid w:val="0"/>
          <w:lang w:val="fr-FR"/>
        </w:rPr>
        <w:t>,</w:t>
      </w:r>
      <w:r w:rsidR="001077A1" w:rsidRPr="00B376E5">
        <w:rPr>
          <w:snapToGrid w:val="0"/>
          <w:lang w:val="fr-FR"/>
        </w:rPr>
        <w:t xml:space="preserve"> </w:t>
      </w:r>
      <w:r w:rsidR="00DB03CE" w:rsidRPr="00B376E5">
        <w:rPr>
          <w:snapToGrid w:val="0"/>
          <w:lang w:val="fr-FR"/>
        </w:rPr>
        <w:t>présenté</w:t>
      </w:r>
      <w:r w:rsidR="0076215A" w:rsidRPr="00B376E5">
        <w:rPr>
          <w:snapToGrid w:val="0"/>
          <w:lang w:val="fr-FR"/>
        </w:rPr>
        <w:t xml:space="preserve"> aux annexes</w:t>
      </w:r>
      <w:r w:rsidR="00E97B48" w:rsidRPr="00B376E5">
        <w:rPr>
          <w:snapToGrid w:val="0"/>
          <w:lang w:val="fr-FR"/>
        </w:rPr>
        <w:t> </w:t>
      </w:r>
      <w:r w:rsidR="0076215A" w:rsidRPr="00B376E5">
        <w:rPr>
          <w:snapToGrid w:val="0"/>
          <w:lang w:val="fr-FR"/>
        </w:rPr>
        <w:t>I et II du document TWV/49/9 (voir les paragraphes</w:t>
      </w:r>
      <w:r w:rsidR="00E97B48" w:rsidRPr="00B376E5">
        <w:rPr>
          <w:snapToGrid w:val="0"/>
          <w:lang w:val="fr-FR"/>
        </w:rPr>
        <w:t> </w:t>
      </w:r>
      <w:r w:rsidR="0076215A" w:rsidRPr="00B376E5">
        <w:rPr>
          <w:snapToGrid w:val="0"/>
          <w:lang w:val="fr-FR"/>
        </w:rPr>
        <w:t>62 et 63 du document TWV/49/32</w:t>
      </w:r>
      <w:r w:rsidR="00E97B48" w:rsidRPr="00B376E5">
        <w:rPr>
          <w:snapToGrid w:val="0"/>
          <w:lang w:val="fr-FR"/>
        </w:rPr>
        <w:t> </w:t>
      </w:r>
      <w:proofErr w:type="spellStart"/>
      <w:r w:rsidR="0076215A" w:rsidRPr="00B376E5">
        <w:rPr>
          <w:snapToGrid w:val="0"/>
          <w:lang w:val="fr-FR"/>
        </w:rPr>
        <w:t>Rev</w:t>
      </w:r>
      <w:proofErr w:type="spellEnd"/>
      <w:r w:rsidR="0076215A" w:rsidRPr="00B376E5">
        <w:rPr>
          <w:snapToGrid w:val="0"/>
          <w:lang w:val="fr-FR"/>
        </w:rPr>
        <w:t>. “</w:t>
      </w:r>
      <w:proofErr w:type="spellStart"/>
      <w:r w:rsidR="0076215A" w:rsidRPr="0065649C">
        <w:rPr>
          <w:i/>
          <w:snapToGrid w:val="0"/>
          <w:lang w:val="fr-FR"/>
        </w:rPr>
        <w:t>Revised</w:t>
      </w:r>
      <w:proofErr w:type="spellEnd"/>
      <w:r w:rsidR="0076215A" w:rsidRPr="0065649C">
        <w:rPr>
          <w:i/>
          <w:snapToGrid w:val="0"/>
          <w:lang w:val="fr-FR"/>
        </w:rPr>
        <w:t xml:space="preserve"> Report</w:t>
      </w:r>
      <w:r w:rsidR="0076215A" w:rsidRPr="00B376E5">
        <w:rPr>
          <w:snapToGrid w:val="0"/>
          <w:lang w:val="fr-FR"/>
        </w:rPr>
        <w:t>”).</w:t>
      </w:r>
    </w:p>
    <w:p w:rsidR="00D8441B" w:rsidRPr="00B376E5" w:rsidRDefault="00D8441B" w:rsidP="00B376E5">
      <w:pPr>
        <w:rPr>
          <w:iCs/>
          <w:spacing w:val="-4"/>
          <w:lang w:val="fr-FR"/>
        </w:rPr>
      </w:pPr>
    </w:p>
    <w:p w:rsidR="00D8441B" w:rsidRPr="00B376E5" w:rsidRDefault="0076215A" w:rsidP="00B376E5">
      <w:pPr>
        <w:pStyle w:val="Heading3"/>
        <w:rPr>
          <w:rFonts w:eastAsia="PMingLiU"/>
          <w:lang w:val="fr-FR"/>
        </w:rPr>
      </w:pPr>
      <w:bookmarkStart w:id="10" w:name="_Toc442255462"/>
      <w:r w:rsidRPr="00B376E5">
        <w:rPr>
          <w:rFonts w:eastAsia="PMingLiU"/>
          <w:lang w:val="fr-FR"/>
        </w:rPr>
        <w:t>Groupe de travail technique sur les systèmes d</w:t>
      </w:r>
      <w:r w:rsidR="006B71B2" w:rsidRPr="00B376E5">
        <w:rPr>
          <w:rFonts w:eastAsia="PMingLiU"/>
          <w:lang w:val="fr-FR"/>
        </w:rPr>
        <w:t>’</w:t>
      </w:r>
      <w:r w:rsidRPr="00B376E5">
        <w:rPr>
          <w:rFonts w:eastAsia="PMingLiU"/>
          <w:lang w:val="fr-FR"/>
        </w:rPr>
        <w:t>automatisation et les programmes d</w:t>
      </w:r>
      <w:r w:rsidR="006B71B2" w:rsidRPr="00B376E5">
        <w:rPr>
          <w:rFonts w:eastAsia="PMingLiU"/>
          <w:lang w:val="fr-FR"/>
        </w:rPr>
        <w:t>’</w:t>
      </w:r>
      <w:r w:rsidRPr="00B376E5">
        <w:rPr>
          <w:rFonts w:eastAsia="PMingLiU"/>
          <w:lang w:val="fr-FR"/>
        </w:rPr>
        <w:t>ordinateur</w:t>
      </w:r>
      <w:bookmarkEnd w:id="10"/>
    </w:p>
    <w:p w:rsidR="00D8441B" w:rsidRPr="00B376E5" w:rsidRDefault="00D8441B" w:rsidP="00B376E5">
      <w:pPr>
        <w:rPr>
          <w:iCs/>
          <w:spacing w:val="-4"/>
          <w:lang w:val="fr-FR"/>
        </w:rPr>
      </w:pPr>
    </w:p>
    <w:p w:rsidR="00D8441B" w:rsidRPr="00B376E5" w:rsidRDefault="003C0A78" w:rsidP="00B376E5">
      <w:pPr>
        <w:rPr>
          <w:lang w:val="fr-FR"/>
        </w:rPr>
      </w:pPr>
      <w:r w:rsidRPr="00B376E5">
        <w:rPr>
          <w:snapToGrid w:val="0"/>
          <w:lang w:val="fr-FR"/>
        </w:rPr>
        <w:fldChar w:fldCharType="begin"/>
      </w:r>
      <w:r w:rsidRPr="00B376E5">
        <w:rPr>
          <w:snapToGrid w:val="0"/>
          <w:lang w:val="fr-FR"/>
        </w:rPr>
        <w:instrText xml:space="preserve"> AUTONUM  </w:instrText>
      </w:r>
      <w:r w:rsidRPr="00B376E5">
        <w:rPr>
          <w:snapToGrid w:val="0"/>
          <w:lang w:val="fr-FR"/>
        </w:rPr>
        <w:fldChar w:fldCharType="end"/>
      </w:r>
      <w:r w:rsidRPr="00B376E5">
        <w:rPr>
          <w:snapToGrid w:val="0"/>
          <w:lang w:val="fr-FR"/>
        </w:rPr>
        <w:tab/>
      </w:r>
      <w:r w:rsidR="0076215A" w:rsidRPr="00B376E5">
        <w:rPr>
          <w:snapToGrid w:val="0"/>
          <w:lang w:val="fr-FR"/>
        </w:rPr>
        <w:t>À sa trente</w:t>
      </w:r>
      <w:r w:rsidR="006C087A" w:rsidRPr="00B376E5">
        <w:rPr>
          <w:snapToGrid w:val="0"/>
          <w:lang w:val="fr-FR"/>
        </w:rPr>
        <w:noBreakHyphen/>
      </w:r>
      <w:r w:rsidR="0076215A" w:rsidRPr="00B376E5">
        <w:rPr>
          <w:snapToGrid w:val="0"/>
          <w:lang w:val="fr-FR"/>
        </w:rPr>
        <w:t>troisième</w:t>
      </w:r>
      <w:r w:rsidR="00E97B48" w:rsidRPr="00B376E5">
        <w:rPr>
          <w:snapToGrid w:val="0"/>
          <w:lang w:val="fr-FR"/>
        </w:rPr>
        <w:t> </w:t>
      </w:r>
      <w:r w:rsidR="0076215A" w:rsidRPr="00B376E5">
        <w:rPr>
          <w:snapToGrid w:val="0"/>
          <w:lang w:val="fr-FR"/>
        </w:rPr>
        <w:t>session tenue à Natal (Brésil) du 3</w:t>
      </w:r>
      <w:r w:rsidR="006B71B2" w:rsidRPr="00B376E5">
        <w:rPr>
          <w:snapToGrid w:val="0"/>
          <w:lang w:val="fr-FR"/>
        </w:rPr>
        <w:t>0 juin</w:t>
      </w:r>
      <w:r w:rsidR="0076215A" w:rsidRPr="00B376E5">
        <w:rPr>
          <w:snapToGrid w:val="0"/>
          <w:lang w:val="fr-FR"/>
        </w:rPr>
        <w:t xml:space="preserve"> au </w:t>
      </w:r>
      <w:r w:rsidR="006B71B2" w:rsidRPr="00B376E5">
        <w:rPr>
          <w:snapToGrid w:val="0"/>
          <w:lang w:val="fr-FR"/>
        </w:rPr>
        <w:t>3 juillet 20</w:t>
      </w:r>
      <w:r w:rsidR="0076215A" w:rsidRPr="00B376E5">
        <w:rPr>
          <w:snapToGrid w:val="0"/>
          <w:lang w:val="fr-FR"/>
        </w:rPr>
        <w:t>15,</w:t>
      </w:r>
      <w:r w:rsidR="006B71B2" w:rsidRPr="00B376E5">
        <w:rPr>
          <w:snapToGrid w:val="0"/>
          <w:lang w:val="fr-FR"/>
        </w:rPr>
        <w:t xml:space="preserve"> le TWC</w:t>
      </w:r>
      <w:r w:rsidR="00DB03CE" w:rsidRPr="00B376E5">
        <w:rPr>
          <w:snapToGrid w:val="0"/>
          <w:lang w:val="fr-FR"/>
        </w:rPr>
        <w:t xml:space="preserve"> a</w:t>
      </w:r>
      <w:r w:rsidR="0076215A" w:rsidRPr="00B376E5">
        <w:rPr>
          <w:snapToGrid w:val="0"/>
          <w:lang w:val="fr-FR"/>
        </w:rPr>
        <w:t xml:space="preserve"> examiné le document TWC/33/9 “</w:t>
      </w:r>
      <w:proofErr w:type="spellStart"/>
      <w:r w:rsidR="0076215A" w:rsidRPr="0065649C">
        <w:rPr>
          <w:i/>
          <w:snapToGrid w:val="0"/>
          <w:lang w:val="fr-FR"/>
        </w:rPr>
        <w:t>Revision</w:t>
      </w:r>
      <w:proofErr w:type="spellEnd"/>
      <w:r w:rsidR="0076215A" w:rsidRPr="0065649C">
        <w:rPr>
          <w:i/>
          <w:snapToGrid w:val="0"/>
          <w:lang w:val="fr-FR"/>
        </w:rPr>
        <w:t xml:space="preserve"> of document TGP/10</w:t>
      </w:r>
      <w:r w:rsidR="00E97B48" w:rsidRPr="0065649C">
        <w:rPr>
          <w:i/>
          <w:snapToGrid w:val="0"/>
          <w:lang w:val="fr-FR"/>
        </w:rPr>
        <w:t> </w:t>
      </w:r>
      <w:r w:rsidR="0076215A" w:rsidRPr="0065649C">
        <w:rPr>
          <w:i/>
          <w:snapToGrid w:val="0"/>
          <w:lang w:val="fr-FR"/>
        </w:rPr>
        <w:t>: New section</w:t>
      </w:r>
      <w:r w:rsidR="00E97B48" w:rsidRPr="0065649C">
        <w:rPr>
          <w:i/>
          <w:snapToGrid w:val="0"/>
          <w:lang w:val="fr-FR"/>
        </w:rPr>
        <w:t> </w:t>
      </w:r>
      <w:r w:rsidR="0076215A" w:rsidRPr="0065649C">
        <w:rPr>
          <w:i/>
          <w:snapToGrid w:val="0"/>
          <w:lang w:val="fr-FR"/>
        </w:rPr>
        <w:t xml:space="preserve">: </w:t>
      </w:r>
      <w:proofErr w:type="spellStart"/>
      <w:r w:rsidR="0076215A" w:rsidRPr="0065649C">
        <w:rPr>
          <w:i/>
          <w:snapToGrid w:val="0"/>
          <w:lang w:val="fr-FR"/>
        </w:rPr>
        <w:t>Assessing</w:t>
      </w:r>
      <w:proofErr w:type="spellEnd"/>
      <w:r w:rsidR="0076215A" w:rsidRPr="0065649C">
        <w:rPr>
          <w:i/>
          <w:snapToGrid w:val="0"/>
          <w:lang w:val="fr-FR"/>
        </w:rPr>
        <w:t xml:space="preserve"> </w:t>
      </w:r>
      <w:proofErr w:type="spellStart"/>
      <w:r w:rsidR="0076215A" w:rsidRPr="0065649C">
        <w:rPr>
          <w:i/>
          <w:snapToGrid w:val="0"/>
          <w:lang w:val="fr-FR"/>
        </w:rPr>
        <w:t>Uniformity</w:t>
      </w:r>
      <w:proofErr w:type="spellEnd"/>
      <w:r w:rsidR="0076215A" w:rsidRPr="0065649C">
        <w:rPr>
          <w:i/>
          <w:snapToGrid w:val="0"/>
          <w:lang w:val="fr-FR"/>
        </w:rPr>
        <w:t xml:space="preserve"> by Off</w:t>
      </w:r>
      <w:r w:rsidR="006C087A" w:rsidRPr="0065649C">
        <w:rPr>
          <w:i/>
          <w:snapToGrid w:val="0"/>
          <w:lang w:val="fr-FR"/>
        </w:rPr>
        <w:noBreakHyphen/>
      </w:r>
      <w:r w:rsidR="0076215A" w:rsidRPr="0065649C">
        <w:rPr>
          <w:i/>
          <w:snapToGrid w:val="0"/>
          <w:lang w:val="fr-FR"/>
        </w:rPr>
        <w:t xml:space="preserve">Types on Basis of More </w:t>
      </w:r>
      <w:proofErr w:type="spellStart"/>
      <w:r w:rsidR="0076215A" w:rsidRPr="0065649C">
        <w:rPr>
          <w:i/>
          <w:snapToGrid w:val="0"/>
          <w:lang w:val="fr-FR"/>
        </w:rPr>
        <w:t>than</w:t>
      </w:r>
      <w:proofErr w:type="spellEnd"/>
      <w:r w:rsidR="0076215A" w:rsidRPr="0065649C">
        <w:rPr>
          <w:i/>
          <w:snapToGrid w:val="0"/>
          <w:lang w:val="fr-FR"/>
        </w:rPr>
        <w:t xml:space="preserve"> One </w:t>
      </w:r>
      <w:proofErr w:type="spellStart"/>
      <w:r w:rsidR="0076215A" w:rsidRPr="0065649C">
        <w:rPr>
          <w:i/>
          <w:snapToGrid w:val="0"/>
          <w:lang w:val="fr-FR"/>
        </w:rPr>
        <w:t>Growing</w:t>
      </w:r>
      <w:proofErr w:type="spellEnd"/>
      <w:r w:rsidR="0076215A" w:rsidRPr="0065649C">
        <w:rPr>
          <w:i/>
          <w:snapToGrid w:val="0"/>
          <w:lang w:val="fr-FR"/>
        </w:rPr>
        <w:t xml:space="preserve"> Cycle or on the Basis of </w:t>
      </w:r>
      <w:proofErr w:type="spellStart"/>
      <w:r w:rsidR="0076215A" w:rsidRPr="0065649C">
        <w:rPr>
          <w:i/>
          <w:snapToGrid w:val="0"/>
          <w:lang w:val="fr-FR"/>
        </w:rPr>
        <w:t>Sub</w:t>
      </w:r>
      <w:r w:rsidR="006C087A" w:rsidRPr="0065649C">
        <w:rPr>
          <w:i/>
          <w:snapToGrid w:val="0"/>
          <w:lang w:val="fr-FR"/>
        </w:rPr>
        <w:noBreakHyphen/>
      </w:r>
      <w:r w:rsidR="0076215A" w:rsidRPr="0065649C">
        <w:rPr>
          <w:i/>
          <w:snapToGrid w:val="0"/>
          <w:lang w:val="fr-FR"/>
        </w:rPr>
        <w:t>Samples</w:t>
      </w:r>
      <w:proofErr w:type="spellEnd"/>
      <w:r w:rsidR="0076215A" w:rsidRPr="00B376E5">
        <w:rPr>
          <w:snapToGrid w:val="0"/>
          <w:lang w:val="fr-FR"/>
        </w:rPr>
        <w:t>”.</w:t>
      </w:r>
    </w:p>
    <w:p w:rsidR="00D8441B" w:rsidRPr="00B376E5" w:rsidRDefault="00D8441B" w:rsidP="00B376E5">
      <w:pPr>
        <w:rPr>
          <w:lang w:val="fr-FR"/>
        </w:rPr>
      </w:pPr>
    </w:p>
    <w:p w:rsidR="006B71B2" w:rsidRPr="00B376E5" w:rsidRDefault="003C0A78" w:rsidP="00B376E5">
      <w:pPr>
        <w:rPr>
          <w:lang w:val="fr-FR"/>
        </w:rPr>
      </w:pPr>
      <w:r w:rsidRPr="00B376E5">
        <w:rPr>
          <w:snapToGrid w:val="0"/>
          <w:lang w:val="fr-FR"/>
        </w:rPr>
        <w:fldChar w:fldCharType="begin"/>
      </w:r>
      <w:r w:rsidRPr="00B376E5">
        <w:rPr>
          <w:snapToGrid w:val="0"/>
          <w:lang w:val="fr-FR"/>
        </w:rPr>
        <w:instrText xml:space="preserve"> AUTONUM  </w:instrText>
      </w:r>
      <w:r w:rsidRPr="00B376E5">
        <w:rPr>
          <w:snapToGrid w:val="0"/>
          <w:lang w:val="fr-FR"/>
        </w:rPr>
        <w:fldChar w:fldCharType="end"/>
      </w:r>
      <w:r w:rsidRPr="00B376E5">
        <w:rPr>
          <w:snapToGrid w:val="0"/>
          <w:lang w:val="fr-FR"/>
        </w:rPr>
        <w:tab/>
      </w:r>
      <w:r w:rsidR="0076215A" w:rsidRPr="00B376E5">
        <w:rPr>
          <w:snapToGrid w:val="0"/>
          <w:lang w:val="fr-FR"/>
        </w:rPr>
        <w:t>Le TWC a examiné le projet d</w:t>
      </w:r>
      <w:r w:rsidR="006B71B2" w:rsidRPr="00B376E5">
        <w:rPr>
          <w:snapToGrid w:val="0"/>
          <w:lang w:val="fr-FR"/>
        </w:rPr>
        <w:t>’</w:t>
      </w:r>
      <w:r w:rsidR="0076215A" w:rsidRPr="00B376E5">
        <w:rPr>
          <w:snapToGrid w:val="0"/>
          <w:lang w:val="fr-FR"/>
        </w:rPr>
        <w:t>orientations figurant à l</w:t>
      </w:r>
      <w:r w:rsidR="006B71B2" w:rsidRPr="00B376E5">
        <w:rPr>
          <w:snapToGrid w:val="0"/>
          <w:lang w:val="fr-FR"/>
        </w:rPr>
        <w:t>’</w:t>
      </w:r>
      <w:r w:rsidR="0076215A" w:rsidRPr="00B376E5">
        <w:rPr>
          <w:snapToGrid w:val="0"/>
          <w:lang w:val="fr-FR"/>
        </w:rPr>
        <w:t>annexe</w:t>
      </w:r>
      <w:r w:rsidR="00E97B48" w:rsidRPr="00B376E5">
        <w:rPr>
          <w:snapToGrid w:val="0"/>
          <w:lang w:val="fr-FR"/>
        </w:rPr>
        <w:t> </w:t>
      </w:r>
      <w:r w:rsidR="0076215A" w:rsidRPr="00B376E5">
        <w:rPr>
          <w:snapToGrid w:val="0"/>
          <w:lang w:val="fr-FR"/>
        </w:rPr>
        <w:t xml:space="preserve">I du document TWC/33/9 et </w:t>
      </w:r>
      <w:r w:rsidR="001077A1" w:rsidRPr="00B376E5">
        <w:rPr>
          <w:snapToGrid w:val="0"/>
          <w:lang w:val="fr-FR"/>
        </w:rPr>
        <w:t xml:space="preserve">il </w:t>
      </w:r>
      <w:r w:rsidR="0076215A" w:rsidRPr="00B376E5">
        <w:rPr>
          <w:snapToGrid w:val="0"/>
          <w:lang w:val="fr-FR"/>
        </w:rPr>
        <w:t xml:space="preserve">est convenu de proposer </w:t>
      </w:r>
      <w:r w:rsidR="001077A1" w:rsidRPr="00B376E5">
        <w:rPr>
          <w:snapToGrid w:val="0"/>
          <w:lang w:val="fr-FR"/>
        </w:rPr>
        <w:t xml:space="preserve">que </w:t>
      </w:r>
      <w:r w:rsidR="0076215A" w:rsidRPr="00B376E5">
        <w:rPr>
          <w:snapToGrid w:val="0"/>
          <w:lang w:val="fr-FR"/>
        </w:rPr>
        <w:t xml:space="preserve">le titre de la méthode 2 </w:t>
      </w:r>
      <w:r w:rsidR="001077A1" w:rsidRPr="00B376E5">
        <w:rPr>
          <w:snapToGrid w:val="0"/>
          <w:lang w:val="fr-FR"/>
        </w:rPr>
        <w:t>soit modifié</w:t>
      </w:r>
      <w:r w:rsidR="0076215A" w:rsidRPr="00B376E5">
        <w:rPr>
          <w:snapToGrid w:val="0"/>
          <w:lang w:val="fr-FR"/>
        </w:rPr>
        <w:t xml:space="preserve"> comme suit</w:t>
      </w:r>
      <w:r w:rsidR="00E97B48" w:rsidRPr="00B376E5">
        <w:rPr>
          <w:snapToGrid w:val="0"/>
          <w:lang w:val="fr-FR"/>
        </w:rPr>
        <w:t> </w:t>
      </w:r>
      <w:r w:rsidR="0076215A" w:rsidRPr="00B376E5">
        <w:rPr>
          <w:snapToGrid w:val="0"/>
          <w:lang w:val="fr-FR"/>
        </w:rPr>
        <w:t xml:space="preserve">: “Combiner les résultats de deux cycles de végétation </w:t>
      </w:r>
      <w:r w:rsidR="0076215A" w:rsidRPr="00B376E5">
        <w:rPr>
          <w:snapToGrid w:val="0"/>
          <w:highlight w:val="lightGray"/>
          <w:u w:val="single"/>
          <w:lang w:val="fr-FR"/>
        </w:rPr>
        <w:t>si les résultats sont incompatibles</w:t>
      </w:r>
      <w:r w:rsidR="0076215A" w:rsidRPr="00B376E5">
        <w:rPr>
          <w:snapToGrid w:val="0"/>
          <w:lang w:val="fr-FR"/>
        </w:rPr>
        <w:t>”.</w:t>
      </w:r>
    </w:p>
    <w:p w:rsidR="00D8441B" w:rsidRPr="00B376E5" w:rsidRDefault="00D8441B" w:rsidP="00B376E5">
      <w:pPr>
        <w:rPr>
          <w:lang w:val="fr-FR"/>
        </w:rPr>
      </w:pPr>
    </w:p>
    <w:p w:rsidR="006B71B2" w:rsidRPr="00B376E5" w:rsidRDefault="009738EA" w:rsidP="00B376E5">
      <w:pPr>
        <w:rPr>
          <w:snapToGrid w:val="0"/>
          <w:lang w:val="fr-FR"/>
        </w:rPr>
      </w:pPr>
      <w:r w:rsidRPr="00B376E5">
        <w:rPr>
          <w:snapToGrid w:val="0"/>
          <w:lang w:val="fr-FR"/>
        </w:rPr>
        <w:fldChar w:fldCharType="begin"/>
      </w:r>
      <w:r w:rsidRPr="00B376E5">
        <w:rPr>
          <w:snapToGrid w:val="0"/>
          <w:lang w:val="fr-FR"/>
        </w:rPr>
        <w:instrText xml:space="preserve"> AUTONUM  </w:instrText>
      </w:r>
      <w:r w:rsidRPr="00B376E5">
        <w:rPr>
          <w:snapToGrid w:val="0"/>
          <w:lang w:val="fr-FR"/>
        </w:rPr>
        <w:fldChar w:fldCharType="end"/>
      </w:r>
      <w:r w:rsidRPr="00B376E5">
        <w:rPr>
          <w:snapToGrid w:val="0"/>
          <w:lang w:val="fr-FR"/>
        </w:rPr>
        <w:tab/>
      </w:r>
      <w:r w:rsidR="00775BB2" w:rsidRPr="00B376E5">
        <w:rPr>
          <w:snapToGrid w:val="0"/>
          <w:lang w:val="fr-FR"/>
        </w:rPr>
        <w:t>Le</w:t>
      </w:r>
      <w:r w:rsidR="00EB33EB" w:rsidRPr="00B376E5">
        <w:rPr>
          <w:snapToGrid w:val="0"/>
          <w:lang w:val="fr-FR"/>
        </w:rPr>
        <w:t xml:space="preserve"> TWC </w:t>
      </w:r>
      <w:r w:rsidR="00775BB2" w:rsidRPr="00B376E5">
        <w:rPr>
          <w:snapToGrid w:val="0"/>
          <w:lang w:val="fr-FR"/>
        </w:rPr>
        <w:t>a suivi un exposé présenté par les experts de l</w:t>
      </w:r>
      <w:r w:rsidR="006B71B2" w:rsidRPr="00B376E5">
        <w:rPr>
          <w:snapToGrid w:val="0"/>
          <w:lang w:val="fr-FR"/>
        </w:rPr>
        <w:t>’</w:t>
      </w:r>
      <w:r w:rsidR="00775BB2" w:rsidRPr="00B376E5">
        <w:rPr>
          <w:snapToGrid w:val="0"/>
          <w:lang w:val="fr-FR"/>
        </w:rPr>
        <w:t>Allemagne et du Royaume</w:t>
      </w:r>
      <w:r w:rsidR="006C087A" w:rsidRPr="00B376E5">
        <w:rPr>
          <w:snapToGrid w:val="0"/>
          <w:lang w:val="fr-FR"/>
        </w:rPr>
        <w:noBreakHyphen/>
      </w:r>
      <w:r w:rsidR="00775BB2" w:rsidRPr="00B376E5">
        <w:rPr>
          <w:snapToGrid w:val="0"/>
          <w:lang w:val="fr-FR"/>
        </w:rPr>
        <w:t>Uni</w:t>
      </w:r>
      <w:r w:rsidR="00775BB2" w:rsidRPr="00B376E5">
        <w:rPr>
          <w:snapToGrid w:val="0"/>
          <w:szCs w:val="22"/>
          <w:lang w:val="fr-FR"/>
        </w:rPr>
        <w:t>, reproduit à l</w:t>
      </w:r>
      <w:r w:rsidR="006B71B2" w:rsidRPr="00B376E5">
        <w:rPr>
          <w:snapToGrid w:val="0"/>
          <w:szCs w:val="22"/>
          <w:lang w:val="fr-FR"/>
        </w:rPr>
        <w:t>’</w:t>
      </w:r>
      <w:r w:rsidR="00775BB2" w:rsidRPr="00B376E5">
        <w:rPr>
          <w:snapToGrid w:val="0"/>
          <w:szCs w:val="22"/>
          <w:lang w:val="fr-FR"/>
        </w:rPr>
        <w:t>annexe</w:t>
      </w:r>
      <w:r w:rsidR="00E97B48" w:rsidRPr="00B376E5">
        <w:rPr>
          <w:snapToGrid w:val="0"/>
          <w:szCs w:val="22"/>
          <w:lang w:val="fr-FR"/>
        </w:rPr>
        <w:t> </w:t>
      </w:r>
      <w:r w:rsidR="00775BB2" w:rsidRPr="00B376E5">
        <w:rPr>
          <w:snapToGrid w:val="0"/>
          <w:szCs w:val="22"/>
          <w:lang w:val="fr-FR"/>
        </w:rPr>
        <w:t xml:space="preserve">III du présent </w:t>
      </w:r>
      <w:r w:rsidR="00666F98" w:rsidRPr="00B376E5">
        <w:rPr>
          <w:lang w:val="fr-FR"/>
        </w:rPr>
        <w:t>document (</w:t>
      </w:r>
      <w:r w:rsidR="00775BB2" w:rsidRPr="00B376E5">
        <w:rPr>
          <w:lang w:val="fr-FR"/>
        </w:rPr>
        <w:t>en anglais</w:t>
      </w:r>
      <w:r w:rsidR="0065649C">
        <w:rPr>
          <w:lang w:val="fr-FR"/>
        </w:rPr>
        <w:t xml:space="preserve"> seulement</w:t>
      </w:r>
      <w:r w:rsidR="00666F98" w:rsidRPr="00B376E5">
        <w:rPr>
          <w:lang w:val="fr-FR"/>
        </w:rPr>
        <w:t>)</w:t>
      </w:r>
      <w:r w:rsidR="00EB33EB" w:rsidRPr="00B376E5">
        <w:rPr>
          <w:lang w:val="fr-FR"/>
        </w:rPr>
        <w:t xml:space="preserve">, </w:t>
      </w:r>
      <w:r w:rsidR="00775BB2" w:rsidRPr="00B376E5">
        <w:rPr>
          <w:lang w:val="fr-FR"/>
        </w:rPr>
        <w:t xml:space="preserve">et il est convenu de </w:t>
      </w:r>
      <w:r w:rsidR="00EB33EB" w:rsidRPr="00B376E5">
        <w:rPr>
          <w:snapToGrid w:val="0"/>
          <w:lang w:val="fr-FR"/>
        </w:rPr>
        <w:t>propose</w:t>
      </w:r>
      <w:r w:rsidR="00775BB2" w:rsidRPr="00B376E5">
        <w:rPr>
          <w:snapToGrid w:val="0"/>
          <w:lang w:val="fr-FR"/>
        </w:rPr>
        <w:t xml:space="preserve">r </w:t>
      </w:r>
      <w:r w:rsidR="001077A1" w:rsidRPr="00B376E5">
        <w:rPr>
          <w:snapToGrid w:val="0"/>
          <w:lang w:val="fr-FR"/>
        </w:rPr>
        <w:t>d</w:t>
      </w:r>
      <w:r w:rsidR="006B71B2" w:rsidRPr="00B376E5">
        <w:rPr>
          <w:snapToGrid w:val="0"/>
          <w:lang w:val="fr-FR"/>
        </w:rPr>
        <w:t>’</w:t>
      </w:r>
      <w:r w:rsidR="001077A1" w:rsidRPr="00B376E5">
        <w:rPr>
          <w:snapToGrid w:val="0"/>
          <w:lang w:val="fr-FR"/>
        </w:rPr>
        <w:t>inclure</w:t>
      </w:r>
      <w:r w:rsidR="00775BB2" w:rsidRPr="00B376E5">
        <w:rPr>
          <w:snapToGrid w:val="0"/>
          <w:lang w:val="fr-FR"/>
        </w:rPr>
        <w:t xml:space="preserve"> la troisième méthode</w:t>
      </w:r>
      <w:r w:rsidR="00EB33EB" w:rsidRPr="00B376E5">
        <w:rPr>
          <w:snapToGrid w:val="0"/>
          <w:lang w:val="fr-FR"/>
        </w:rPr>
        <w:t xml:space="preserve"> </w:t>
      </w:r>
      <w:r w:rsidR="001077A1" w:rsidRPr="00B376E5">
        <w:rPr>
          <w:snapToGrid w:val="0"/>
          <w:lang w:val="fr-FR"/>
        </w:rPr>
        <w:t>dans le</w:t>
      </w:r>
      <w:r w:rsidR="00775BB2" w:rsidRPr="00B376E5">
        <w:rPr>
          <w:snapToGrid w:val="0"/>
          <w:lang w:val="fr-FR"/>
        </w:rPr>
        <w:t xml:space="preserve"> projet d</w:t>
      </w:r>
      <w:r w:rsidR="006B71B2" w:rsidRPr="00B376E5">
        <w:rPr>
          <w:snapToGrid w:val="0"/>
          <w:lang w:val="fr-FR"/>
        </w:rPr>
        <w:t>’</w:t>
      </w:r>
      <w:r w:rsidR="00775BB2" w:rsidRPr="00B376E5">
        <w:rPr>
          <w:snapToGrid w:val="0"/>
          <w:lang w:val="fr-FR"/>
        </w:rPr>
        <w:t xml:space="preserve">orientations, comme </w:t>
      </w:r>
      <w:r w:rsidR="001077A1" w:rsidRPr="00B376E5">
        <w:rPr>
          <w:snapToGrid w:val="0"/>
          <w:lang w:val="fr-FR"/>
        </w:rPr>
        <w:t>suit</w:t>
      </w:r>
      <w:r w:rsidR="00E97B48" w:rsidRPr="00B376E5">
        <w:rPr>
          <w:snapToGrid w:val="0"/>
          <w:lang w:val="fr-FR"/>
        </w:rPr>
        <w:t> </w:t>
      </w:r>
      <w:r w:rsidR="00EB33EB" w:rsidRPr="00B376E5">
        <w:rPr>
          <w:snapToGrid w:val="0"/>
          <w:lang w:val="fr-FR"/>
        </w:rPr>
        <w:t>:</w:t>
      </w:r>
    </w:p>
    <w:p w:rsidR="00D8441B" w:rsidRPr="00B376E5" w:rsidRDefault="00D8441B" w:rsidP="00B376E5">
      <w:pPr>
        <w:rPr>
          <w:lang w:val="fr-FR" w:eastAsia="ja-JP"/>
        </w:rPr>
      </w:pPr>
    </w:p>
    <w:p w:rsidR="006B71B2" w:rsidRPr="00B376E5" w:rsidRDefault="00EB33EB" w:rsidP="00B376E5">
      <w:pPr>
        <w:keepNext/>
        <w:ind w:left="567" w:right="567"/>
        <w:rPr>
          <w:b/>
          <w:bCs/>
          <w:lang w:val="fr-FR"/>
        </w:rPr>
      </w:pPr>
      <w:r w:rsidRPr="00B376E5">
        <w:rPr>
          <w:b/>
          <w:bCs/>
          <w:lang w:val="fr-FR"/>
        </w:rPr>
        <w:t>“</w:t>
      </w:r>
      <w:r w:rsidR="00775BB2" w:rsidRPr="00B376E5">
        <w:rPr>
          <w:b/>
          <w:bCs/>
          <w:lang w:val="fr-FR"/>
        </w:rPr>
        <w:t>Méthode </w:t>
      </w:r>
      <w:r w:rsidRPr="00B376E5">
        <w:rPr>
          <w:b/>
          <w:bCs/>
          <w:lang w:val="fr-FR"/>
        </w:rPr>
        <w:t>3</w:t>
      </w:r>
      <w:r w:rsidR="00E97B48" w:rsidRPr="00B376E5">
        <w:rPr>
          <w:b/>
          <w:bCs/>
          <w:lang w:val="fr-FR"/>
        </w:rPr>
        <w:t> </w:t>
      </w:r>
      <w:r w:rsidRPr="00B376E5">
        <w:rPr>
          <w:b/>
          <w:bCs/>
          <w:lang w:val="fr-FR"/>
        </w:rPr>
        <w:t xml:space="preserve">: </w:t>
      </w:r>
      <w:r w:rsidR="00775BB2" w:rsidRPr="00B376E5">
        <w:rPr>
          <w:b/>
          <w:bCs/>
          <w:lang w:val="fr-FR"/>
        </w:rPr>
        <w:t>Combiner les résultats de deux</w:t>
      </w:r>
      <w:r w:rsidR="00E97B48" w:rsidRPr="00B376E5">
        <w:rPr>
          <w:b/>
          <w:bCs/>
          <w:lang w:val="fr-FR"/>
        </w:rPr>
        <w:t> </w:t>
      </w:r>
      <w:r w:rsidR="00775BB2" w:rsidRPr="00B376E5">
        <w:rPr>
          <w:b/>
          <w:bCs/>
          <w:lang w:val="fr-FR"/>
        </w:rPr>
        <w:t>cycles de végétation</w:t>
      </w:r>
    </w:p>
    <w:p w:rsidR="00D8441B" w:rsidRPr="00B376E5" w:rsidRDefault="00D8441B" w:rsidP="00B376E5">
      <w:pPr>
        <w:keepNext/>
        <w:ind w:left="567" w:right="567"/>
        <w:rPr>
          <w:lang w:val="fr-FR"/>
        </w:rPr>
      </w:pPr>
    </w:p>
    <w:p w:rsidR="00D8441B" w:rsidRPr="00B376E5" w:rsidRDefault="00EB33EB" w:rsidP="00B376E5">
      <w:pPr>
        <w:ind w:left="567" w:right="567"/>
        <w:rPr>
          <w:lang w:val="fr-FR"/>
        </w:rPr>
      </w:pPr>
      <w:r w:rsidRPr="00B376E5">
        <w:rPr>
          <w:lang w:val="fr-FR"/>
        </w:rPr>
        <w:t>“</w:t>
      </w:r>
      <w:r w:rsidR="00775BB2" w:rsidRPr="00B376E5">
        <w:rPr>
          <w:lang w:val="fr-FR"/>
        </w:rPr>
        <w:t>Une variété est réputée homogène si le nombre total de plantes hors</w:t>
      </w:r>
      <w:r w:rsidR="006C087A" w:rsidRPr="00B376E5">
        <w:rPr>
          <w:lang w:val="fr-FR"/>
        </w:rPr>
        <w:noBreakHyphen/>
      </w:r>
      <w:r w:rsidR="00775BB2" w:rsidRPr="00B376E5">
        <w:rPr>
          <w:lang w:val="fr-FR"/>
        </w:rPr>
        <w:t>type à l</w:t>
      </w:r>
      <w:r w:rsidR="006B71B2" w:rsidRPr="00B376E5">
        <w:rPr>
          <w:lang w:val="fr-FR"/>
        </w:rPr>
        <w:t>’</w:t>
      </w:r>
      <w:r w:rsidR="00775BB2" w:rsidRPr="00B376E5">
        <w:rPr>
          <w:lang w:val="fr-FR"/>
        </w:rPr>
        <w:t>issue des deux</w:t>
      </w:r>
      <w:r w:rsidR="00E97B48" w:rsidRPr="00B376E5">
        <w:rPr>
          <w:lang w:val="fr-FR"/>
        </w:rPr>
        <w:t> </w:t>
      </w:r>
      <w:r w:rsidR="00775BB2" w:rsidRPr="00B376E5">
        <w:rPr>
          <w:lang w:val="fr-FR"/>
        </w:rPr>
        <w:t>cycles de végétation ne dépasse pas le nombre de plantes hors</w:t>
      </w:r>
      <w:r w:rsidR="006C087A" w:rsidRPr="00B376E5">
        <w:rPr>
          <w:lang w:val="fr-FR"/>
        </w:rPr>
        <w:noBreakHyphen/>
      </w:r>
      <w:r w:rsidR="00775BB2" w:rsidRPr="00B376E5">
        <w:rPr>
          <w:lang w:val="fr-FR"/>
        </w:rPr>
        <w:t>type autorisé pour l</w:t>
      </w:r>
      <w:r w:rsidR="006B71B2" w:rsidRPr="00B376E5">
        <w:rPr>
          <w:lang w:val="fr-FR"/>
        </w:rPr>
        <w:t>’</w:t>
      </w:r>
      <w:r w:rsidR="00775BB2" w:rsidRPr="00B376E5">
        <w:rPr>
          <w:lang w:val="fr-FR"/>
        </w:rPr>
        <w:t>échantillon combiné.</w:t>
      </w:r>
    </w:p>
    <w:p w:rsidR="006B71B2" w:rsidRPr="00B376E5" w:rsidRDefault="006B71B2" w:rsidP="00B376E5">
      <w:pPr>
        <w:ind w:left="567" w:right="567"/>
        <w:rPr>
          <w:lang w:val="fr-FR"/>
        </w:rPr>
      </w:pPr>
    </w:p>
    <w:p w:rsidR="00D8441B" w:rsidRPr="00B376E5" w:rsidRDefault="00775BB2" w:rsidP="00B376E5">
      <w:pPr>
        <w:ind w:left="567" w:right="567"/>
        <w:rPr>
          <w:lang w:val="fr-FR"/>
        </w:rPr>
      </w:pPr>
      <w:r w:rsidRPr="00B376E5">
        <w:rPr>
          <w:lang w:val="fr-FR"/>
        </w:rPr>
        <w:t>“Une variété est réputée non homogène si le nombre total de plantes hors</w:t>
      </w:r>
      <w:r w:rsidR="006C087A" w:rsidRPr="00B376E5">
        <w:rPr>
          <w:lang w:val="fr-FR"/>
        </w:rPr>
        <w:noBreakHyphen/>
      </w:r>
      <w:r w:rsidRPr="00B376E5">
        <w:rPr>
          <w:lang w:val="fr-FR"/>
        </w:rPr>
        <w:t>type à la fin des deux</w:t>
      </w:r>
      <w:r w:rsidR="00E97B48" w:rsidRPr="00B376E5">
        <w:rPr>
          <w:lang w:val="fr-FR"/>
        </w:rPr>
        <w:t> </w:t>
      </w:r>
      <w:r w:rsidRPr="00B376E5">
        <w:rPr>
          <w:lang w:val="fr-FR"/>
        </w:rPr>
        <w:t>cycles de végétation dépasse le nombre de plantes hors</w:t>
      </w:r>
      <w:r w:rsidR="006C087A" w:rsidRPr="00B376E5">
        <w:rPr>
          <w:lang w:val="fr-FR"/>
        </w:rPr>
        <w:noBreakHyphen/>
      </w:r>
      <w:r w:rsidRPr="00B376E5">
        <w:rPr>
          <w:lang w:val="fr-FR"/>
        </w:rPr>
        <w:t>type autorisé pour l</w:t>
      </w:r>
      <w:r w:rsidR="006B71B2" w:rsidRPr="00B376E5">
        <w:rPr>
          <w:lang w:val="fr-FR"/>
        </w:rPr>
        <w:t>’</w:t>
      </w:r>
      <w:r w:rsidRPr="00B376E5">
        <w:rPr>
          <w:lang w:val="fr-FR"/>
        </w:rPr>
        <w:t>échantillon combiné.</w:t>
      </w:r>
    </w:p>
    <w:p w:rsidR="006B71B2" w:rsidRPr="00B376E5" w:rsidRDefault="006B71B2" w:rsidP="00B376E5">
      <w:pPr>
        <w:ind w:left="567" w:right="567"/>
        <w:rPr>
          <w:lang w:val="fr-FR"/>
        </w:rPr>
      </w:pPr>
    </w:p>
    <w:p w:rsidR="00D8441B" w:rsidRPr="00B376E5" w:rsidRDefault="00775BB2" w:rsidP="00B376E5">
      <w:pPr>
        <w:ind w:left="567" w:right="567"/>
        <w:rPr>
          <w:lang w:val="fr-FR"/>
        </w:rPr>
      </w:pPr>
      <w:r w:rsidRPr="00B376E5">
        <w:rPr>
          <w:lang w:val="fr-FR"/>
        </w:rPr>
        <w:t>“Une variété peut être rejetée après un seul cycle de végétation si le nombre de plantes hors</w:t>
      </w:r>
      <w:r w:rsidR="006C087A" w:rsidRPr="00B376E5">
        <w:rPr>
          <w:lang w:val="fr-FR"/>
        </w:rPr>
        <w:noBreakHyphen/>
      </w:r>
      <w:r w:rsidRPr="00B376E5">
        <w:rPr>
          <w:lang w:val="fr-FR"/>
        </w:rPr>
        <w:t>type dépasse le nombre de plantes hors</w:t>
      </w:r>
      <w:r w:rsidR="006C087A" w:rsidRPr="00B376E5">
        <w:rPr>
          <w:lang w:val="fr-FR"/>
        </w:rPr>
        <w:noBreakHyphen/>
      </w:r>
      <w:r w:rsidRPr="00B376E5">
        <w:rPr>
          <w:lang w:val="fr-FR"/>
        </w:rPr>
        <w:t>type autorisé pour l</w:t>
      </w:r>
      <w:r w:rsidR="006B71B2" w:rsidRPr="00B376E5">
        <w:rPr>
          <w:lang w:val="fr-FR"/>
        </w:rPr>
        <w:t>’</w:t>
      </w:r>
      <w:r w:rsidRPr="00B376E5">
        <w:rPr>
          <w:lang w:val="fr-FR"/>
        </w:rPr>
        <w:t>échantillon combiné (sur deux</w:t>
      </w:r>
      <w:r w:rsidR="00E97B48" w:rsidRPr="00B376E5">
        <w:rPr>
          <w:lang w:val="fr-FR"/>
        </w:rPr>
        <w:t> </w:t>
      </w:r>
      <w:r w:rsidRPr="00B376E5">
        <w:rPr>
          <w:lang w:val="fr-FR"/>
        </w:rPr>
        <w:t>cycles).</w:t>
      </w:r>
    </w:p>
    <w:p w:rsidR="00D8441B" w:rsidRPr="00B376E5" w:rsidRDefault="00D8441B" w:rsidP="00B376E5">
      <w:pPr>
        <w:ind w:left="567" w:right="567"/>
        <w:rPr>
          <w:lang w:val="fr-FR"/>
        </w:rPr>
      </w:pPr>
    </w:p>
    <w:p w:rsidR="00D8441B" w:rsidRPr="00B376E5" w:rsidRDefault="00E97B48" w:rsidP="00B376E5">
      <w:pPr>
        <w:ind w:left="567" w:right="567"/>
        <w:rPr>
          <w:lang w:val="fr-FR"/>
        </w:rPr>
      </w:pPr>
      <w:r w:rsidRPr="00B376E5">
        <w:rPr>
          <w:lang w:val="fr-FR"/>
        </w:rPr>
        <w:t>“</w:t>
      </w:r>
      <w:r w:rsidR="00775BB2" w:rsidRPr="00B376E5">
        <w:rPr>
          <w:lang w:val="fr-FR"/>
        </w:rPr>
        <w:t>Il faut faire preuve de prudence lorsqu</w:t>
      </w:r>
      <w:r w:rsidR="006B71B2" w:rsidRPr="00B376E5">
        <w:rPr>
          <w:lang w:val="fr-FR"/>
        </w:rPr>
        <w:t>’</w:t>
      </w:r>
      <w:r w:rsidR="00775BB2" w:rsidRPr="00B376E5">
        <w:rPr>
          <w:lang w:val="fr-FR"/>
        </w:rPr>
        <w:t>on examine des résultats très différents dans chacun des cycles de végétation, notamment lorsqu</w:t>
      </w:r>
      <w:r w:rsidR="006B71B2" w:rsidRPr="00B376E5">
        <w:rPr>
          <w:lang w:val="fr-FR"/>
        </w:rPr>
        <w:t>’</w:t>
      </w:r>
      <w:r w:rsidR="00775BB2" w:rsidRPr="00B376E5">
        <w:rPr>
          <w:lang w:val="fr-FR"/>
        </w:rPr>
        <w:t>un type de plante hors</w:t>
      </w:r>
      <w:r w:rsidR="006C087A" w:rsidRPr="00B376E5">
        <w:rPr>
          <w:lang w:val="fr-FR"/>
        </w:rPr>
        <w:noBreakHyphen/>
      </w:r>
      <w:r w:rsidR="00775BB2" w:rsidRPr="00B376E5">
        <w:rPr>
          <w:lang w:val="fr-FR"/>
        </w:rPr>
        <w:t>type est observé à un niveau élevé dans un cycle de végétation tout en étant absent dans un autre.</w:t>
      </w:r>
      <w:r w:rsidR="00EB33EB" w:rsidRPr="00B376E5">
        <w:rPr>
          <w:lang w:val="fr-FR"/>
        </w:rPr>
        <w:t xml:space="preserve"> </w:t>
      </w:r>
      <w:r w:rsidRPr="00B376E5">
        <w:rPr>
          <w:lang w:val="fr-FR"/>
        </w:rPr>
        <w:t xml:space="preserve"> </w:t>
      </w:r>
      <w:r w:rsidR="00762634" w:rsidRPr="00B376E5">
        <w:rPr>
          <w:lang w:val="fr-FR"/>
        </w:rPr>
        <w:t>Il est possible d</w:t>
      </w:r>
      <w:r w:rsidR="006B71B2" w:rsidRPr="00B376E5">
        <w:rPr>
          <w:lang w:val="fr-FR"/>
        </w:rPr>
        <w:t>’</w:t>
      </w:r>
      <w:r w:rsidR="00762634" w:rsidRPr="00B376E5">
        <w:rPr>
          <w:lang w:val="fr-FR"/>
        </w:rPr>
        <w:t xml:space="preserve">effectuer un </w:t>
      </w:r>
      <w:r w:rsidR="00DB03CE" w:rsidRPr="00B376E5">
        <w:rPr>
          <w:lang w:val="fr-FR"/>
        </w:rPr>
        <w:t>test statistique d</w:t>
      </w:r>
      <w:r w:rsidR="006B71B2" w:rsidRPr="00B376E5">
        <w:rPr>
          <w:lang w:val="fr-FR"/>
        </w:rPr>
        <w:t>’</w:t>
      </w:r>
      <w:r w:rsidR="00DB03CE" w:rsidRPr="00B376E5">
        <w:rPr>
          <w:lang w:val="fr-FR"/>
        </w:rPr>
        <w:t>homogénéité.</w:t>
      </w:r>
      <w:r w:rsidRPr="00B376E5">
        <w:rPr>
          <w:lang w:val="fr-FR"/>
        </w:rPr>
        <w:t>”</w:t>
      </w:r>
    </w:p>
    <w:p w:rsidR="00D8441B" w:rsidRPr="00B376E5" w:rsidRDefault="00D8441B" w:rsidP="00B376E5">
      <w:pPr>
        <w:rPr>
          <w:lang w:val="fr-FR"/>
        </w:rPr>
      </w:pPr>
    </w:p>
    <w:p w:rsidR="006B71B2" w:rsidRPr="00B376E5" w:rsidRDefault="009738EA" w:rsidP="00B376E5">
      <w:pPr>
        <w:rPr>
          <w:lang w:val="fr-FR"/>
        </w:rPr>
      </w:pPr>
      <w:r w:rsidRPr="00B376E5">
        <w:rPr>
          <w:snapToGrid w:val="0"/>
          <w:lang w:val="fr-FR"/>
        </w:rPr>
        <w:fldChar w:fldCharType="begin"/>
      </w:r>
      <w:r w:rsidRPr="00B376E5">
        <w:rPr>
          <w:snapToGrid w:val="0"/>
          <w:lang w:val="fr-FR"/>
        </w:rPr>
        <w:instrText xml:space="preserve"> AUTONUM  </w:instrText>
      </w:r>
      <w:r w:rsidRPr="00B376E5">
        <w:rPr>
          <w:snapToGrid w:val="0"/>
          <w:lang w:val="fr-FR"/>
        </w:rPr>
        <w:fldChar w:fldCharType="end"/>
      </w:r>
      <w:r w:rsidRPr="00B376E5">
        <w:rPr>
          <w:snapToGrid w:val="0"/>
          <w:lang w:val="fr-FR"/>
        </w:rPr>
        <w:tab/>
      </w:r>
      <w:r w:rsidR="00762634" w:rsidRPr="00B376E5">
        <w:rPr>
          <w:snapToGrid w:val="0"/>
          <w:lang w:val="fr-FR"/>
        </w:rPr>
        <w:t>Le</w:t>
      </w:r>
      <w:r w:rsidR="00EB33EB" w:rsidRPr="00B376E5">
        <w:rPr>
          <w:snapToGrid w:val="0"/>
          <w:lang w:val="fr-FR"/>
        </w:rPr>
        <w:t xml:space="preserve"> TWC </w:t>
      </w:r>
      <w:r w:rsidR="00762634" w:rsidRPr="00B376E5">
        <w:rPr>
          <w:snapToGrid w:val="0"/>
          <w:lang w:val="fr-FR"/>
        </w:rPr>
        <w:t xml:space="preserve">a </w:t>
      </w:r>
      <w:r w:rsidR="00EB33EB" w:rsidRPr="00B376E5">
        <w:rPr>
          <w:snapToGrid w:val="0"/>
          <w:lang w:val="fr-FR"/>
        </w:rPr>
        <w:t>not</w:t>
      </w:r>
      <w:r w:rsidR="00762634" w:rsidRPr="00B376E5">
        <w:rPr>
          <w:snapToGrid w:val="0"/>
          <w:lang w:val="fr-FR"/>
        </w:rPr>
        <w:t xml:space="preserve">é que la méthode présentée par les </w:t>
      </w:r>
      <w:r w:rsidR="00EB33EB" w:rsidRPr="00B376E5">
        <w:rPr>
          <w:snapToGrid w:val="0"/>
          <w:lang w:val="fr-FR"/>
        </w:rPr>
        <w:t xml:space="preserve">experts </w:t>
      </w:r>
      <w:r w:rsidR="00762634" w:rsidRPr="00B376E5">
        <w:rPr>
          <w:snapToGrid w:val="0"/>
          <w:lang w:val="fr-FR"/>
        </w:rPr>
        <w:t>de l</w:t>
      </w:r>
      <w:r w:rsidR="006B71B2" w:rsidRPr="00B376E5">
        <w:rPr>
          <w:snapToGrid w:val="0"/>
          <w:lang w:val="fr-FR"/>
        </w:rPr>
        <w:t>’</w:t>
      </w:r>
      <w:r w:rsidR="00762634" w:rsidRPr="00B376E5">
        <w:rPr>
          <w:snapToGrid w:val="0"/>
          <w:lang w:val="fr-FR"/>
        </w:rPr>
        <w:t>Allemagne et du Royaume</w:t>
      </w:r>
      <w:r w:rsidR="006C087A" w:rsidRPr="00B376E5">
        <w:rPr>
          <w:snapToGrid w:val="0"/>
          <w:lang w:val="fr-FR"/>
        </w:rPr>
        <w:noBreakHyphen/>
      </w:r>
      <w:r w:rsidR="00762634" w:rsidRPr="00B376E5">
        <w:rPr>
          <w:snapToGrid w:val="0"/>
          <w:lang w:val="fr-FR"/>
        </w:rPr>
        <w:t>Uni était appliquée au Royaume</w:t>
      </w:r>
      <w:r w:rsidR="006C087A" w:rsidRPr="00B376E5">
        <w:rPr>
          <w:snapToGrid w:val="0"/>
          <w:lang w:val="fr-FR"/>
        </w:rPr>
        <w:noBreakHyphen/>
      </w:r>
      <w:r w:rsidR="00762634" w:rsidRPr="00B376E5">
        <w:rPr>
          <w:snapToGrid w:val="0"/>
          <w:lang w:val="fr-FR"/>
        </w:rPr>
        <w:t>Uni et combinait toujours les résultats de deux</w:t>
      </w:r>
      <w:r w:rsidR="00E97B48" w:rsidRPr="00B376E5">
        <w:rPr>
          <w:snapToGrid w:val="0"/>
          <w:lang w:val="fr-FR"/>
        </w:rPr>
        <w:t> </w:t>
      </w:r>
      <w:r w:rsidR="00762634" w:rsidRPr="00B376E5">
        <w:rPr>
          <w:snapToGrid w:val="0"/>
          <w:lang w:val="fr-FR"/>
        </w:rPr>
        <w:t>cycles de végétation.  Il a noté l</w:t>
      </w:r>
      <w:r w:rsidR="006B71B2" w:rsidRPr="00B376E5">
        <w:rPr>
          <w:snapToGrid w:val="0"/>
          <w:lang w:val="fr-FR"/>
        </w:rPr>
        <w:t>’</w:t>
      </w:r>
      <w:r w:rsidR="00762634" w:rsidRPr="00B376E5">
        <w:rPr>
          <w:snapToGrid w:val="0"/>
          <w:lang w:val="fr-FR"/>
        </w:rPr>
        <w:t xml:space="preserve">explication selon laquelle cette méthode permettait de prendre une décision précoce </w:t>
      </w:r>
      <w:r w:rsidR="008D717E" w:rsidRPr="00B376E5">
        <w:rPr>
          <w:snapToGrid w:val="0"/>
          <w:lang w:val="fr-FR"/>
        </w:rPr>
        <w:t>concernant</w:t>
      </w:r>
      <w:r w:rsidR="00762634" w:rsidRPr="00B376E5">
        <w:rPr>
          <w:snapToGrid w:val="0"/>
          <w:lang w:val="fr-FR"/>
        </w:rPr>
        <w:t xml:space="preserve"> l</w:t>
      </w:r>
      <w:r w:rsidR="006B71B2" w:rsidRPr="00B376E5">
        <w:rPr>
          <w:snapToGrid w:val="0"/>
          <w:lang w:val="fr-FR"/>
        </w:rPr>
        <w:t>’</w:t>
      </w:r>
      <w:r w:rsidR="00762634" w:rsidRPr="00B376E5">
        <w:rPr>
          <w:snapToGrid w:val="0"/>
          <w:lang w:val="fr-FR"/>
        </w:rPr>
        <w:t>homogénéité lorsque le nombre de plantes hors</w:t>
      </w:r>
      <w:r w:rsidR="006C087A" w:rsidRPr="00B376E5">
        <w:rPr>
          <w:snapToGrid w:val="0"/>
          <w:szCs w:val="22"/>
          <w:lang w:val="fr-FR"/>
        </w:rPr>
        <w:noBreakHyphen/>
      </w:r>
      <w:r w:rsidR="00762634" w:rsidRPr="00B376E5">
        <w:rPr>
          <w:snapToGrid w:val="0"/>
          <w:szCs w:val="22"/>
          <w:lang w:val="fr-FR"/>
        </w:rPr>
        <w:t>type était plus élevé dans un sous</w:t>
      </w:r>
      <w:r w:rsidR="006C087A" w:rsidRPr="00B376E5">
        <w:rPr>
          <w:snapToGrid w:val="0"/>
          <w:szCs w:val="22"/>
          <w:lang w:val="fr-FR"/>
        </w:rPr>
        <w:noBreakHyphen/>
      </w:r>
      <w:r w:rsidR="00762634" w:rsidRPr="00B376E5">
        <w:rPr>
          <w:snapToGrid w:val="0"/>
          <w:szCs w:val="22"/>
          <w:lang w:val="fr-FR"/>
        </w:rPr>
        <w:t>échantillon que le nombre autorisé pour l</w:t>
      </w:r>
      <w:r w:rsidR="006B71B2" w:rsidRPr="00B376E5">
        <w:rPr>
          <w:snapToGrid w:val="0"/>
          <w:szCs w:val="22"/>
          <w:lang w:val="fr-FR"/>
        </w:rPr>
        <w:t>’</w:t>
      </w:r>
      <w:r w:rsidR="00762634" w:rsidRPr="00B376E5">
        <w:rPr>
          <w:snapToGrid w:val="0"/>
          <w:szCs w:val="22"/>
          <w:lang w:val="fr-FR"/>
        </w:rPr>
        <w:t>échantillon combiné.</w:t>
      </w:r>
      <w:r w:rsidR="006B71B2" w:rsidRPr="00B376E5">
        <w:rPr>
          <w:lang w:val="fr-FR"/>
        </w:rPr>
        <w:t xml:space="preserve"> </w:t>
      </w:r>
      <w:r w:rsidR="00E97B48" w:rsidRPr="00B376E5">
        <w:rPr>
          <w:snapToGrid w:val="0"/>
          <w:szCs w:val="22"/>
          <w:lang w:val="fr-FR"/>
        </w:rPr>
        <w:t xml:space="preserve"> </w:t>
      </w:r>
      <w:r w:rsidR="006B71B2" w:rsidRPr="00B376E5">
        <w:rPr>
          <w:snapToGrid w:val="0"/>
          <w:lang w:val="fr-FR"/>
        </w:rPr>
        <w:t>Le </w:t>
      </w:r>
      <w:r w:rsidR="006B71B2" w:rsidRPr="00B376E5">
        <w:rPr>
          <w:lang w:val="fr-FR"/>
        </w:rPr>
        <w:t>TWC</w:t>
      </w:r>
      <w:r w:rsidR="00EB33EB" w:rsidRPr="00B376E5">
        <w:rPr>
          <w:lang w:val="fr-FR"/>
        </w:rPr>
        <w:t xml:space="preserve"> </w:t>
      </w:r>
      <w:r w:rsidR="005D0CEC" w:rsidRPr="00B376E5">
        <w:rPr>
          <w:lang w:val="fr-FR"/>
        </w:rPr>
        <w:t xml:space="preserve">a également </w:t>
      </w:r>
      <w:r w:rsidR="005D0CEC" w:rsidRPr="00B376E5">
        <w:rPr>
          <w:snapToGrid w:val="0"/>
          <w:lang w:val="fr-FR"/>
        </w:rPr>
        <w:t>noté l</w:t>
      </w:r>
      <w:r w:rsidR="006B71B2" w:rsidRPr="00B376E5">
        <w:rPr>
          <w:snapToGrid w:val="0"/>
          <w:lang w:val="fr-FR"/>
        </w:rPr>
        <w:t>’</w:t>
      </w:r>
      <w:r w:rsidR="005D0CEC" w:rsidRPr="00B376E5">
        <w:rPr>
          <w:snapToGrid w:val="0"/>
          <w:lang w:val="fr-FR"/>
        </w:rPr>
        <w:t>explication selon laquelle cette méthode limitait l</w:t>
      </w:r>
      <w:r w:rsidR="006B71B2" w:rsidRPr="00B376E5">
        <w:rPr>
          <w:snapToGrid w:val="0"/>
          <w:lang w:val="fr-FR"/>
        </w:rPr>
        <w:t>’</w:t>
      </w:r>
      <w:r w:rsidR="005D0CEC" w:rsidRPr="00B376E5">
        <w:rPr>
          <w:snapToGrid w:val="0"/>
          <w:lang w:val="fr-FR"/>
        </w:rPr>
        <w:t>erreur de type 2 (accepter une variété non</w:t>
      </w:r>
      <w:r w:rsidR="00295676" w:rsidRPr="00B376E5">
        <w:rPr>
          <w:snapToGrid w:val="0"/>
          <w:szCs w:val="22"/>
          <w:lang w:val="fr-FR"/>
        </w:rPr>
        <w:t xml:space="preserve"> </w:t>
      </w:r>
      <w:r w:rsidR="005D0CEC" w:rsidRPr="00B376E5">
        <w:rPr>
          <w:snapToGrid w:val="0"/>
          <w:szCs w:val="22"/>
          <w:lang w:val="fr-FR"/>
        </w:rPr>
        <w:t>homogène)</w:t>
      </w:r>
      <w:r w:rsidR="001077A1" w:rsidRPr="00B376E5">
        <w:rPr>
          <w:snapToGrid w:val="0"/>
          <w:szCs w:val="22"/>
          <w:lang w:val="fr-FR"/>
        </w:rPr>
        <w:t xml:space="preserve"> par comparaison avec les </w:t>
      </w:r>
      <w:r w:rsidR="005D0CEC" w:rsidRPr="00B376E5">
        <w:rPr>
          <w:snapToGrid w:val="0"/>
          <w:szCs w:val="22"/>
          <w:lang w:val="fr-FR"/>
        </w:rPr>
        <w:t>deux</w:t>
      </w:r>
      <w:r w:rsidR="00E97B48" w:rsidRPr="00B376E5">
        <w:rPr>
          <w:snapToGrid w:val="0"/>
          <w:szCs w:val="22"/>
          <w:lang w:val="fr-FR"/>
        </w:rPr>
        <w:t> </w:t>
      </w:r>
      <w:r w:rsidR="005D0CEC" w:rsidRPr="00B376E5">
        <w:rPr>
          <w:snapToGrid w:val="0"/>
          <w:szCs w:val="22"/>
          <w:lang w:val="fr-FR"/>
        </w:rPr>
        <w:t>autres méthodes présentées dans le projet d</w:t>
      </w:r>
      <w:r w:rsidR="006B71B2" w:rsidRPr="00B376E5">
        <w:rPr>
          <w:snapToGrid w:val="0"/>
          <w:szCs w:val="22"/>
          <w:lang w:val="fr-FR"/>
        </w:rPr>
        <w:t>’</w:t>
      </w:r>
      <w:r w:rsidR="005D0CEC" w:rsidRPr="00B376E5">
        <w:rPr>
          <w:snapToGrid w:val="0"/>
          <w:szCs w:val="22"/>
          <w:lang w:val="fr-FR"/>
        </w:rPr>
        <w:t>orientations, car elle prenait en considération le risque global des échantillons combinés plutôt que les risques distincts pour chaque étape de l</w:t>
      </w:r>
      <w:r w:rsidR="006B71B2" w:rsidRPr="00B376E5">
        <w:rPr>
          <w:snapToGrid w:val="0"/>
          <w:szCs w:val="22"/>
          <w:lang w:val="fr-FR"/>
        </w:rPr>
        <w:t>’</w:t>
      </w:r>
      <w:r w:rsidR="005D0CEC" w:rsidRPr="00B376E5">
        <w:rPr>
          <w:snapToGrid w:val="0"/>
          <w:szCs w:val="22"/>
          <w:lang w:val="fr-FR"/>
        </w:rPr>
        <w:t>évaluation.</w:t>
      </w:r>
    </w:p>
    <w:p w:rsidR="00D8441B" w:rsidRPr="00B376E5" w:rsidRDefault="00D8441B" w:rsidP="00B376E5">
      <w:pPr>
        <w:rPr>
          <w:lang w:val="fr-FR"/>
        </w:rPr>
      </w:pPr>
    </w:p>
    <w:p w:rsidR="006B71B2" w:rsidRPr="00B376E5" w:rsidRDefault="009738EA" w:rsidP="00B376E5">
      <w:pPr>
        <w:rPr>
          <w:lang w:val="fr-FR"/>
        </w:rPr>
      </w:pPr>
      <w:r w:rsidRPr="00B376E5">
        <w:rPr>
          <w:snapToGrid w:val="0"/>
          <w:lang w:val="fr-FR"/>
        </w:rPr>
        <w:fldChar w:fldCharType="begin"/>
      </w:r>
      <w:r w:rsidRPr="00B376E5">
        <w:rPr>
          <w:snapToGrid w:val="0"/>
          <w:lang w:val="fr-FR"/>
        </w:rPr>
        <w:instrText xml:space="preserve"> AUTONUM  </w:instrText>
      </w:r>
      <w:r w:rsidRPr="00B376E5">
        <w:rPr>
          <w:snapToGrid w:val="0"/>
          <w:lang w:val="fr-FR"/>
        </w:rPr>
        <w:fldChar w:fldCharType="end"/>
      </w:r>
      <w:r w:rsidRPr="00B376E5">
        <w:rPr>
          <w:snapToGrid w:val="0"/>
          <w:lang w:val="fr-FR"/>
        </w:rPr>
        <w:tab/>
      </w:r>
      <w:r w:rsidR="008F5085" w:rsidRPr="00B376E5">
        <w:rPr>
          <w:snapToGrid w:val="0"/>
          <w:lang w:val="fr-FR"/>
        </w:rPr>
        <w:t>Le</w:t>
      </w:r>
      <w:r w:rsidR="00EB33EB" w:rsidRPr="00B376E5">
        <w:rPr>
          <w:snapToGrid w:val="0"/>
          <w:lang w:val="fr-FR"/>
        </w:rPr>
        <w:t xml:space="preserve"> TWC </w:t>
      </w:r>
      <w:r w:rsidR="008F5085" w:rsidRPr="00B376E5">
        <w:rPr>
          <w:snapToGrid w:val="0"/>
          <w:lang w:val="fr-FR"/>
        </w:rPr>
        <w:t>est convenu que l</w:t>
      </w:r>
      <w:r w:rsidR="006B71B2" w:rsidRPr="00B376E5">
        <w:rPr>
          <w:snapToGrid w:val="0"/>
          <w:lang w:val="fr-FR"/>
        </w:rPr>
        <w:t>’</w:t>
      </w:r>
      <w:r w:rsidR="008F5085" w:rsidRPr="00B376E5">
        <w:rPr>
          <w:snapToGrid w:val="0"/>
          <w:lang w:val="fr-FR"/>
        </w:rPr>
        <w:t xml:space="preserve">exposé présenté par les </w:t>
      </w:r>
      <w:r w:rsidR="00D8441B" w:rsidRPr="00B376E5">
        <w:rPr>
          <w:snapToGrid w:val="0"/>
          <w:lang w:val="fr-FR"/>
        </w:rPr>
        <w:t>experts de l</w:t>
      </w:r>
      <w:r w:rsidR="006B71B2" w:rsidRPr="00B376E5">
        <w:rPr>
          <w:snapToGrid w:val="0"/>
          <w:lang w:val="fr-FR"/>
        </w:rPr>
        <w:t>’</w:t>
      </w:r>
      <w:r w:rsidR="00D8441B" w:rsidRPr="00B376E5">
        <w:rPr>
          <w:snapToGrid w:val="0"/>
          <w:lang w:val="fr-FR"/>
        </w:rPr>
        <w:t>Allemagne et du Royaume</w:t>
      </w:r>
      <w:r w:rsidR="006C087A" w:rsidRPr="00B376E5">
        <w:rPr>
          <w:snapToGrid w:val="0"/>
          <w:lang w:val="fr-FR"/>
        </w:rPr>
        <w:noBreakHyphen/>
      </w:r>
      <w:r w:rsidR="00D8441B" w:rsidRPr="00B376E5">
        <w:rPr>
          <w:snapToGrid w:val="0"/>
          <w:lang w:val="fr-FR"/>
        </w:rPr>
        <w:t xml:space="preserve">Uni devait être mis à la disposition </w:t>
      </w:r>
      <w:r w:rsidR="00D8441B" w:rsidRPr="00B376E5">
        <w:rPr>
          <w:lang w:val="fr-FR"/>
        </w:rPr>
        <w:t>des autres TWP</w:t>
      </w:r>
      <w:r w:rsidRPr="00B376E5">
        <w:rPr>
          <w:lang w:val="fr-FR"/>
        </w:rPr>
        <w:t xml:space="preserve"> (</w:t>
      </w:r>
      <w:r w:rsidR="00D8441B" w:rsidRPr="00B376E5">
        <w:rPr>
          <w:lang w:val="fr-FR"/>
        </w:rPr>
        <w:t>voir les paragraphes</w:t>
      </w:r>
      <w:r w:rsidR="00E97B48" w:rsidRPr="00B376E5">
        <w:rPr>
          <w:lang w:val="fr-FR"/>
        </w:rPr>
        <w:t> </w:t>
      </w:r>
      <w:r w:rsidR="00D8441B" w:rsidRPr="00B376E5">
        <w:rPr>
          <w:lang w:val="fr-FR"/>
        </w:rPr>
        <w:t>57 à 61 du document TWC/33/30 “</w:t>
      </w:r>
      <w:r w:rsidR="00D8441B" w:rsidRPr="0065649C">
        <w:rPr>
          <w:i/>
          <w:lang w:val="fr-FR"/>
        </w:rPr>
        <w:t>Report</w:t>
      </w:r>
      <w:r w:rsidR="00D8441B" w:rsidRPr="00B376E5">
        <w:rPr>
          <w:lang w:val="fr-FR"/>
        </w:rPr>
        <w:t>”</w:t>
      </w:r>
      <w:r w:rsidRPr="00B376E5">
        <w:rPr>
          <w:lang w:val="fr-FR"/>
        </w:rPr>
        <w:t>)</w:t>
      </w:r>
      <w:r w:rsidR="00EB33EB" w:rsidRPr="00B376E5">
        <w:rPr>
          <w:lang w:val="fr-FR"/>
        </w:rPr>
        <w:t>.</w:t>
      </w:r>
    </w:p>
    <w:p w:rsidR="00D8441B" w:rsidRPr="00B376E5" w:rsidRDefault="00D8441B" w:rsidP="00B376E5">
      <w:pPr>
        <w:pStyle w:val="Style1"/>
        <w:tabs>
          <w:tab w:val="clear" w:pos="907"/>
          <w:tab w:val="clear" w:pos="1077"/>
        </w:tabs>
        <w:rPr>
          <w:rFonts w:ascii="Arial" w:hAnsi="Arial" w:cs="Arial"/>
          <w:sz w:val="20"/>
          <w:szCs w:val="20"/>
          <w:lang w:val="fr-FR"/>
        </w:rPr>
      </w:pPr>
    </w:p>
    <w:p w:rsidR="00D8441B" w:rsidRPr="00B376E5" w:rsidRDefault="00D8441B" w:rsidP="00B376E5">
      <w:pPr>
        <w:pStyle w:val="Heading3"/>
        <w:rPr>
          <w:lang w:val="fr-FR"/>
        </w:rPr>
      </w:pPr>
      <w:bookmarkStart w:id="11" w:name="_Toc442255463"/>
      <w:r w:rsidRPr="00B376E5">
        <w:rPr>
          <w:lang w:val="fr-FR"/>
        </w:rPr>
        <w:t>Groupe de travail technique sur les plantes agricoles</w:t>
      </w:r>
      <w:bookmarkEnd w:id="11"/>
    </w:p>
    <w:p w:rsidR="00D8441B" w:rsidRPr="00B376E5" w:rsidRDefault="00D8441B" w:rsidP="00B376E5">
      <w:pPr>
        <w:pStyle w:val="Style1"/>
        <w:tabs>
          <w:tab w:val="clear" w:pos="907"/>
          <w:tab w:val="clear" w:pos="1077"/>
        </w:tabs>
        <w:rPr>
          <w:rFonts w:ascii="Arial" w:hAnsi="Arial" w:cs="Arial"/>
          <w:sz w:val="20"/>
          <w:szCs w:val="20"/>
          <w:lang w:val="fr-FR"/>
        </w:rPr>
      </w:pPr>
    </w:p>
    <w:p w:rsidR="00D8441B" w:rsidRPr="00B376E5" w:rsidRDefault="00C47E8F" w:rsidP="00B376E5">
      <w:pPr>
        <w:rPr>
          <w:lang w:val="fr-FR"/>
        </w:rPr>
      </w:pPr>
      <w:r w:rsidRPr="00B376E5">
        <w:rPr>
          <w:lang w:val="fr-FR"/>
        </w:rPr>
        <w:fldChar w:fldCharType="begin"/>
      </w:r>
      <w:r w:rsidRPr="00B376E5">
        <w:rPr>
          <w:lang w:val="fr-FR"/>
        </w:rPr>
        <w:instrText xml:space="preserve"> AUTONUM  </w:instrText>
      </w:r>
      <w:r w:rsidRPr="00B376E5">
        <w:rPr>
          <w:lang w:val="fr-FR"/>
        </w:rPr>
        <w:fldChar w:fldCharType="end"/>
      </w:r>
      <w:r w:rsidRPr="00B376E5">
        <w:rPr>
          <w:lang w:val="fr-FR"/>
        </w:rPr>
        <w:tab/>
      </w:r>
      <w:r w:rsidR="00D8441B" w:rsidRPr="00B376E5">
        <w:rPr>
          <w:lang w:val="fr-FR"/>
        </w:rPr>
        <w:t>À sa quarante</w:t>
      </w:r>
      <w:r w:rsidR="006C087A" w:rsidRPr="00B376E5">
        <w:rPr>
          <w:lang w:val="fr-FR"/>
        </w:rPr>
        <w:noBreakHyphen/>
      </w:r>
      <w:r w:rsidR="00D8441B" w:rsidRPr="00B376E5">
        <w:rPr>
          <w:lang w:val="fr-FR"/>
        </w:rPr>
        <w:t>quatrième</w:t>
      </w:r>
      <w:r w:rsidR="00E97B48" w:rsidRPr="00B376E5">
        <w:rPr>
          <w:lang w:val="fr-FR"/>
        </w:rPr>
        <w:t> </w:t>
      </w:r>
      <w:r w:rsidR="00D8441B" w:rsidRPr="00B376E5">
        <w:rPr>
          <w:lang w:val="fr-FR"/>
        </w:rPr>
        <w:t>session tenue à Obihiro (Japon) du 6 au 1</w:t>
      </w:r>
      <w:r w:rsidR="006B71B2" w:rsidRPr="00B376E5">
        <w:rPr>
          <w:lang w:val="fr-FR"/>
        </w:rPr>
        <w:t>0 juillet 20</w:t>
      </w:r>
      <w:r w:rsidR="00D8441B" w:rsidRPr="00B376E5">
        <w:rPr>
          <w:lang w:val="fr-FR"/>
        </w:rPr>
        <w:t>15,</w:t>
      </w:r>
      <w:r w:rsidR="006B71B2" w:rsidRPr="00B376E5">
        <w:rPr>
          <w:lang w:val="fr-FR"/>
        </w:rPr>
        <w:t xml:space="preserve"> le TWA</w:t>
      </w:r>
      <w:r w:rsidR="00D8441B" w:rsidRPr="00B376E5">
        <w:rPr>
          <w:lang w:val="fr-FR"/>
        </w:rPr>
        <w:t xml:space="preserve"> a e</w:t>
      </w:r>
      <w:r w:rsidR="001077A1" w:rsidRPr="00B376E5">
        <w:rPr>
          <w:lang w:val="fr-FR"/>
        </w:rPr>
        <w:t>x</w:t>
      </w:r>
      <w:r w:rsidR="00D8441B" w:rsidRPr="00B376E5">
        <w:rPr>
          <w:lang w:val="fr-FR"/>
        </w:rPr>
        <w:t>aminé le document TWA/44/9 “</w:t>
      </w:r>
      <w:proofErr w:type="spellStart"/>
      <w:r w:rsidR="00D8441B" w:rsidRPr="0065649C">
        <w:rPr>
          <w:i/>
          <w:lang w:val="fr-FR"/>
        </w:rPr>
        <w:t>Revision</w:t>
      </w:r>
      <w:proofErr w:type="spellEnd"/>
      <w:r w:rsidR="00D8441B" w:rsidRPr="0065649C">
        <w:rPr>
          <w:i/>
          <w:lang w:val="fr-FR"/>
        </w:rPr>
        <w:t xml:space="preserve"> of document TGP/10</w:t>
      </w:r>
      <w:r w:rsidR="00E97B48" w:rsidRPr="0065649C">
        <w:rPr>
          <w:i/>
          <w:lang w:val="fr-FR"/>
        </w:rPr>
        <w:t> </w:t>
      </w:r>
      <w:r w:rsidR="00D8441B" w:rsidRPr="0065649C">
        <w:rPr>
          <w:i/>
          <w:lang w:val="fr-FR"/>
        </w:rPr>
        <w:t>: New section</w:t>
      </w:r>
      <w:r w:rsidR="00E97B48" w:rsidRPr="0065649C">
        <w:rPr>
          <w:i/>
          <w:lang w:val="fr-FR"/>
        </w:rPr>
        <w:t> </w:t>
      </w:r>
      <w:r w:rsidR="00D8441B" w:rsidRPr="0065649C">
        <w:rPr>
          <w:i/>
          <w:lang w:val="fr-FR"/>
        </w:rPr>
        <w:t xml:space="preserve">: </w:t>
      </w:r>
      <w:proofErr w:type="spellStart"/>
      <w:r w:rsidR="00D8441B" w:rsidRPr="0065649C">
        <w:rPr>
          <w:i/>
          <w:lang w:val="fr-FR"/>
        </w:rPr>
        <w:t>Assessing</w:t>
      </w:r>
      <w:proofErr w:type="spellEnd"/>
      <w:r w:rsidR="00D8441B" w:rsidRPr="0065649C">
        <w:rPr>
          <w:i/>
          <w:lang w:val="fr-FR"/>
        </w:rPr>
        <w:t xml:space="preserve"> </w:t>
      </w:r>
      <w:proofErr w:type="spellStart"/>
      <w:r w:rsidR="00D8441B" w:rsidRPr="0065649C">
        <w:rPr>
          <w:i/>
          <w:lang w:val="fr-FR"/>
        </w:rPr>
        <w:t>Uniformity</w:t>
      </w:r>
      <w:proofErr w:type="spellEnd"/>
      <w:r w:rsidR="00D8441B" w:rsidRPr="0065649C">
        <w:rPr>
          <w:i/>
          <w:lang w:val="fr-FR"/>
        </w:rPr>
        <w:t xml:space="preserve"> by Off</w:t>
      </w:r>
      <w:r w:rsidR="006C087A" w:rsidRPr="0065649C">
        <w:rPr>
          <w:i/>
          <w:lang w:val="fr-FR"/>
        </w:rPr>
        <w:noBreakHyphen/>
      </w:r>
      <w:r w:rsidR="00D8441B" w:rsidRPr="0065649C">
        <w:rPr>
          <w:i/>
          <w:lang w:val="fr-FR"/>
        </w:rPr>
        <w:t xml:space="preserve">Types on Basis of More </w:t>
      </w:r>
      <w:proofErr w:type="spellStart"/>
      <w:r w:rsidR="00D8441B" w:rsidRPr="0065649C">
        <w:rPr>
          <w:i/>
          <w:lang w:val="fr-FR"/>
        </w:rPr>
        <w:t>than</w:t>
      </w:r>
      <w:proofErr w:type="spellEnd"/>
      <w:r w:rsidR="00D8441B" w:rsidRPr="0065649C">
        <w:rPr>
          <w:i/>
          <w:lang w:val="fr-FR"/>
        </w:rPr>
        <w:t xml:space="preserve"> One </w:t>
      </w:r>
      <w:proofErr w:type="spellStart"/>
      <w:r w:rsidR="00D8441B" w:rsidRPr="0065649C">
        <w:rPr>
          <w:i/>
          <w:lang w:val="fr-FR"/>
        </w:rPr>
        <w:t>Growing</w:t>
      </w:r>
      <w:proofErr w:type="spellEnd"/>
      <w:r w:rsidR="00D8441B" w:rsidRPr="0065649C">
        <w:rPr>
          <w:i/>
          <w:lang w:val="fr-FR"/>
        </w:rPr>
        <w:t xml:space="preserve"> Cycle or on the Basis of </w:t>
      </w:r>
      <w:proofErr w:type="spellStart"/>
      <w:r w:rsidR="00D8441B" w:rsidRPr="0065649C">
        <w:rPr>
          <w:i/>
          <w:lang w:val="fr-FR"/>
        </w:rPr>
        <w:t>Sub</w:t>
      </w:r>
      <w:r w:rsidR="006C087A" w:rsidRPr="0065649C">
        <w:rPr>
          <w:i/>
          <w:lang w:val="fr-FR"/>
        </w:rPr>
        <w:noBreakHyphen/>
      </w:r>
      <w:r w:rsidR="00D8441B" w:rsidRPr="0065649C">
        <w:rPr>
          <w:i/>
          <w:lang w:val="fr-FR"/>
        </w:rPr>
        <w:t>Samples</w:t>
      </w:r>
      <w:proofErr w:type="spellEnd"/>
      <w:r w:rsidR="00D8441B" w:rsidRPr="00B376E5">
        <w:rPr>
          <w:lang w:val="fr-FR"/>
        </w:rPr>
        <w:t>”.</w:t>
      </w:r>
    </w:p>
    <w:p w:rsidR="00D8441B" w:rsidRPr="00B376E5" w:rsidRDefault="00D8441B" w:rsidP="00B376E5">
      <w:pPr>
        <w:rPr>
          <w:lang w:val="fr-FR"/>
        </w:rPr>
      </w:pPr>
    </w:p>
    <w:p w:rsidR="006B71B2" w:rsidRPr="00B376E5" w:rsidRDefault="00C47E8F" w:rsidP="00B376E5">
      <w:pPr>
        <w:rPr>
          <w:lang w:val="fr-FR"/>
        </w:rPr>
      </w:pPr>
      <w:r w:rsidRPr="00B376E5">
        <w:rPr>
          <w:lang w:val="fr-FR"/>
        </w:rPr>
        <w:fldChar w:fldCharType="begin"/>
      </w:r>
      <w:r w:rsidRPr="00B376E5">
        <w:rPr>
          <w:lang w:val="fr-FR"/>
        </w:rPr>
        <w:instrText xml:space="preserve"> AUTONUM  </w:instrText>
      </w:r>
      <w:r w:rsidRPr="00B376E5">
        <w:rPr>
          <w:lang w:val="fr-FR"/>
        </w:rPr>
        <w:fldChar w:fldCharType="end"/>
      </w:r>
      <w:r w:rsidRPr="00B376E5">
        <w:rPr>
          <w:lang w:val="fr-FR"/>
        </w:rPr>
        <w:tab/>
      </w:r>
      <w:r w:rsidR="003A66C9" w:rsidRPr="00B376E5">
        <w:rPr>
          <w:lang w:val="fr-FR"/>
        </w:rPr>
        <w:t>Le TWA est convenu que le projet d</w:t>
      </w:r>
      <w:r w:rsidR="006B71B2" w:rsidRPr="00B376E5">
        <w:rPr>
          <w:lang w:val="fr-FR"/>
        </w:rPr>
        <w:t>’</w:t>
      </w:r>
      <w:r w:rsidR="003A66C9" w:rsidRPr="00B376E5">
        <w:rPr>
          <w:lang w:val="fr-FR"/>
        </w:rPr>
        <w:t>orientations à inclure dans une future version révisée du document TGP/10, présenté à l</w:t>
      </w:r>
      <w:r w:rsidR="006B71B2" w:rsidRPr="00B376E5">
        <w:rPr>
          <w:lang w:val="fr-FR"/>
        </w:rPr>
        <w:t>’</w:t>
      </w:r>
      <w:r w:rsidR="003A66C9" w:rsidRPr="00B376E5">
        <w:rPr>
          <w:lang w:val="fr-FR"/>
        </w:rPr>
        <w:t>annexe</w:t>
      </w:r>
      <w:r w:rsidR="00E97B48" w:rsidRPr="00B376E5">
        <w:rPr>
          <w:lang w:val="fr-FR"/>
        </w:rPr>
        <w:t> </w:t>
      </w:r>
      <w:r w:rsidR="003A66C9" w:rsidRPr="00B376E5">
        <w:rPr>
          <w:lang w:val="fr-FR"/>
        </w:rPr>
        <w:t>I du document TWA/44/9, devait continuer d</w:t>
      </w:r>
      <w:r w:rsidR="006B71B2" w:rsidRPr="00B376E5">
        <w:rPr>
          <w:lang w:val="fr-FR"/>
        </w:rPr>
        <w:t>’</w:t>
      </w:r>
      <w:r w:rsidR="003A66C9" w:rsidRPr="00B376E5">
        <w:rPr>
          <w:lang w:val="fr-FR"/>
        </w:rPr>
        <w:t>être développé au regard des informations fournies par</w:t>
      </w:r>
      <w:r w:rsidR="006B71B2" w:rsidRPr="00B376E5">
        <w:rPr>
          <w:lang w:val="fr-FR"/>
        </w:rPr>
        <w:t xml:space="preserve"> le TWC</w:t>
      </w:r>
      <w:r w:rsidR="003A66C9" w:rsidRPr="00B376E5">
        <w:rPr>
          <w:lang w:val="fr-FR"/>
        </w:rPr>
        <w:t xml:space="preserve"> sur la “Méthode 3</w:t>
      </w:r>
      <w:r w:rsidR="00E97B48" w:rsidRPr="00B376E5">
        <w:rPr>
          <w:lang w:val="fr-FR"/>
        </w:rPr>
        <w:t> </w:t>
      </w:r>
      <w:r w:rsidR="003A66C9" w:rsidRPr="00B376E5">
        <w:rPr>
          <w:lang w:val="fr-FR"/>
        </w:rPr>
        <w:t>: Combiner les résultats de deux</w:t>
      </w:r>
      <w:r w:rsidR="00E97B48" w:rsidRPr="00B376E5">
        <w:rPr>
          <w:lang w:val="fr-FR"/>
        </w:rPr>
        <w:t> </w:t>
      </w:r>
      <w:r w:rsidR="003A66C9" w:rsidRPr="00B376E5">
        <w:rPr>
          <w:lang w:val="fr-FR"/>
        </w:rPr>
        <w:t xml:space="preserve">cycles de végétation” </w:t>
      </w:r>
      <w:r w:rsidR="00DB03CE" w:rsidRPr="00B376E5">
        <w:rPr>
          <w:lang w:val="fr-FR"/>
        </w:rPr>
        <w:t xml:space="preserve">proposée </w:t>
      </w:r>
      <w:r w:rsidR="003A66C9" w:rsidRPr="00B376E5">
        <w:rPr>
          <w:lang w:val="fr-FR"/>
        </w:rPr>
        <w:t>et la comparaison entre le risque global des échantillons combinés et les risques distincts pour chaque étape de l</w:t>
      </w:r>
      <w:r w:rsidR="006B71B2" w:rsidRPr="00B376E5">
        <w:rPr>
          <w:lang w:val="fr-FR"/>
        </w:rPr>
        <w:t>’</w:t>
      </w:r>
      <w:r w:rsidR="003A66C9" w:rsidRPr="00B376E5">
        <w:rPr>
          <w:lang w:val="fr-FR"/>
        </w:rPr>
        <w:t>évaluation.</w:t>
      </w:r>
      <w:r w:rsidR="00EB33EB" w:rsidRPr="00B376E5">
        <w:rPr>
          <w:lang w:val="fr-FR"/>
        </w:rPr>
        <w:t xml:space="preserve"> </w:t>
      </w:r>
      <w:r w:rsidR="006B71B2" w:rsidRPr="00B376E5">
        <w:rPr>
          <w:lang w:val="fr-FR"/>
        </w:rPr>
        <w:t xml:space="preserve"> Le TWA</w:t>
      </w:r>
      <w:r w:rsidR="003A66C9" w:rsidRPr="00B376E5">
        <w:rPr>
          <w:lang w:val="fr-FR"/>
        </w:rPr>
        <w:t xml:space="preserve"> est convenu de demander une liaison vidéo avec les experts</w:t>
      </w:r>
      <w:r w:rsidR="006B71B2" w:rsidRPr="00B376E5">
        <w:rPr>
          <w:lang w:val="fr-FR"/>
        </w:rPr>
        <w:t xml:space="preserve"> du TWC</w:t>
      </w:r>
      <w:r w:rsidR="003A66C9" w:rsidRPr="00B376E5">
        <w:rPr>
          <w:lang w:val="fr-FR"/>
        </w:rPr>
        <w:t xml:space="preserve"> en vue d</w:t>
      </w:r>
      <w:r w:rsidR="006B71B2" w:rsidRPr="00B376E5">
        <w:rPr>
          <w:lang w:val="fr-FR"/>
        </w:rPr>
        <w:t>’</w:t>
      </w:r>
      <w:r w:rsidR="003A66C9" w:rsidRPr="00B376E5">
        <w:rPr>
          <w:lang w:val="fr-FR"/>
        </w:rPr>
        <w:t>examiner la “Méthode 3</w:t>
      </w:r>
      <w:r w:rsidR="00E97B48" w:rsidRPr="00B376E5">
        <w:rPr>
          <w:lang w:val="fr-FR"/>
        </w:rPr>
        <w:t>”</w:t>
      </w:r>
      <w:r w:rsidR="001077A1" w:rsidRPr="00B376E5">
        <w:rPr>
          <w:lang w:val="fr-FR"/>
        </w:rPr>
        <w:t xml:space="preserve"> proposée</w:t>
      </w:r>
      <w:r w:rsidR="003A66C9" w:rsidRPr="00B376E5">
        <w:rPr>
          <w:lang w:val="fr-FR"/>
        </w:rPr>
        <w:t>.</w:t>
      </w:r>
    </w:p>
    <w:p w:rsidR="00D8441B" w:rsidRPr="00B376E5" w:rsidRDefault="00D8441B" w:rsidP="00B376E5">
      <w:pPr>
        <w:rPr>
          <w:lang w:val="fr-FR"/>
        </w:rPr>
      </w:pPr>
    </w:p>
    <w:p w:rsidR="00D8441B" w:rsidRPr="00B376E5" w:rsidRDefault="000C5373" w:rsidP="00B376E5">
      <w:pPr>
        <w:rPr>
          <w:lang w:val="fr-FR"/>
        </w:rPr>
      </w:pPr>
      <w:r w:rsidRPr="00B376E5">
        <w:rPr>
          <w:lang w:val="fr-FR"/>
        </w:rPr>
        <w:fldChar w:fldCharType="begin"/>
      </w:r>
      <w:r w:rsidRPr="00B376E5">
        <w:rPr>
          <w:lang w:val="fr-FR"/>
        </w:rPr>
        <w:instrText xml:space="preserve"> AUTONUM  </w:instrText>
      </w:r>
      <w:r w:rsidRPr="00B376E5">
        <w:rPr>
          <w:lang w:val="fr-FR"/>
        </w:rPr>
        <w:fldChar w:fldCharType="end"/>
      </w:r>
      <w:r w:rsidRPr="00B376E5">
        <w:rPr>
          <w:lang w:val="fr-FR"/>
        </w:rPr>
        <w:tab/>
      </w:r>
      <w:r w:rsidR="004B44BE" w:rsidRPr="00B376E5">
        <w:rPr>
          <w:lang w:val="fr-FR"/>
        </w:rPr>
        <w:t xml:space="preserve">Le TWA est convenu de proposer </w:t>
      </w:r>
      <w:r w:rsidR="001077A1" w:rsidRPr="00B376E5">
        <w:rPr>
          <w:lang w:val="fr-FR"/>
        </w:rPr>
        <w:t>que</w:t>
      </w:r>
      <w:r w:rsidR="004B44BE" w:rsidRPr="00B376E5">
        <w:rPr>
          <w:lang w:val="fr-FR"/>
        </w:rPr>
        <w:t xml:space="preserve"> la première phrase de l</w:t>
      </w:r>
      <w:r w:rsidR="006B71B2" w:rsidRPr="00B376E5">
        <w:rPr>
          <w:lang w:val="fr-FR"/>
        </w:rPr>
        <w:t>’</w:t>
      </w:r>
      <w:r w:rsidR="004B44BE" w:rsidRPr="00B376E5">
        <w:rPr>
          <w:lang w:val="fr-FR"/>
        </w:rPr>
        <w:t>annexe</w:t>
      </w:r>
      <w:r w:rsidR="00E97B48" w:rsidRPr="00B376E5">
        <w:rPr>
          <w:lang w:val="fr-FR"/>
        </w:rPr>
        <w:t> </w:t>
      </w:r>
      <w:r w:rsidR="004B44BE" w:rsidRPr="00B376E5">
        <w:rPr>
          <w:lang w:val="fr-FR"/>
        </w:rPr>
        <w:t xml:space="preserve">I </w:t>
      </w:r>
      <w:r w:rsidR="001077A1" w:rsidRPr="00B376E5">
        <w:rPr>
          <w:lang w:val="fr-FR"/>
        </w:rPr>
        <w:t>soit modifiée comme suit</w:t>
      </w:r>
      <w:r w:rsidR="00E97B48" w:rsidRPr="00B376E5">
        <w:rPr>
          <w:lang w:val="fr-FR"/>
        </w:rPr>
        <w:t> :</w:t>
      </w:r>
      <w:r w:rsidR="004B44BE" w:rsidRPr="00B376E5">
        <w:rPr>
          <w:lang w:val="fr-FR"/>
        </w:rPr>
        <w:t xml:space="preserve"> </w:t>
      </w:r>
      <w:r w:rsidR="00E97B48" w:rsidRPr="00B376E5">
        <w:rPr>
          <w:lang w:val="fr-FR"/>
        </w:rPr>
        <w:t>“</w:t>
      </w:r>
      <w:r w:rsidR="004B44BE" w:rsidRPr="00B376E5">
        <w:rPr>
          <w:lang w:val="fr-FR"/>
        </w:rPr>
        <w:t>deux cycles de végétation indépendants pourraient avoir lieu en un seul endroit sur plusieurs années ou en différents endroits la même année, selon ce qui figure dans le document TGP/8, première partie, sections</w:t>
      </w:r>
      <w:r w:rsidR="00E97B48" w:rsidRPr="00B376E5">
        <w:rPr>
          <w:lang w:val="fr-FR"/>
        </w:rPr>
        <w:t> </w:t>
      </w:r>
      <w:r w:rsidR="004B44BE" w:rsidRPr="00B376E5">
        <w:rPr>
          <w:lang w:val="fr-FR"/>
        </w:rPr>
        <w:t>1.2 et 1.3</w:t>
      </w:r>
      <w:r w:rsidR="00E97B48" w:rsidRPr="00B376E5">
        <w:rPr>
          <w:lang w:val="fr-FR"/>
        </w:rPr>
        <w:t>”</w:t>
      </w:r>
      <w:r w:rsidR="004B44BE" w:rsidRPr="00B376E5">
        <w:rPr>
          <w:lang w:val="fr-FR"/>
        </w:rPr>
        <w:t>.</w:t>
      </w:r>
    </w:p>
    <w:p w:rsidR="00D8441B" w:rsidRPr="00B376E5" w:rsidRDefault="00D8441B" w:rsidP="00B376E5">
      <w:pPr>
        <w:rPr>
          <w:lang w:val="fr-FR"/>
        </w:rPr>
      </w:pPr>
    </w:p>
    <w:p w:rsidR="006B71B2" w:rsidRPr="00B376E5" w:rsidRDefault="000C5373" w:rsidP="00B376E5">
      <w:pPr>
        <w:rPr>
          <w:rFonts w:eastAsia="SimSun"/>
          <w:lang w:val="fr-FR" w:eastAsia="zh-CN"/>
        </w:rPr>
      </w:pPr>
      <w:r w:rsidRPr="00B376E5">
        <w:rPr>
          <w:rFonts w:eastAsia="SimSun"/>
          <w:lang w:val="fr-FR" w:eastAsia="zh-CN"/>
        </w:rPr>
        <w:fldChar w:fldCharType="begin"/>
      </w:r>
      <w:r w:rsidRPr="00B376E5">
        <w:rPr>
          <w:rFonts w:eastAsia="SimSun"/>
          <w:lang w:val="fr-FR" w:eastAsia="zh-CN"/>
        </w:rPr>
        <w:instrText xml:space="preserve"> AUTONUM  </w:instrText>
      </w:r>
      <w:r w:rsidRPr="00B376E5">
        <w:rPr>
          <w:rFonts w:eastAsia="SimSun"/>
          <w:lang w:val="fr-FR" w:eastAsia="zh-CN"/>
        </w:rPr>
        <w:fldChar w:fldCharType="end"/>
      </w:r>
      <w:r w:rsidRPr="00B376E5">
        <w:rPr>
          <w:rFonts w:eastAsia="SimSun"/>
          <w:lang w:val="fr-FR" w:eastAsia="zh-CN"/>
        </w:rPr>
        <w:tab/>
      </w:r>
      <w:r w:rsidR="004F0FF8" w:rsidRPr="00B376E5">
        <w:rPr>
          <w:rFonts w:eastAsia="SimSun"/>
          <w:lang w:val="fr-FR" w:eastAsia="zh-CN"/>
        </w:rPr>
        <w:t>Le TWA a examiné le projet d</w:t>
      </w:r>
      <w:r w:rsidR="006B71B2" w:rsidRPr="00B376E5">
        <w:rPr>
          <w:rFonts w:eastAsia="SimSun"/>
          <w:lang w:val="fr-FR" w:eastAsia="zh-CN"/>
        </w:rPr>
        <w:t>’</w:t>
      </w:r>
      <w:r w:rsidR="004F0FF8" w:rsidRPr="00B376E5">
        <w:rPr>
          <w:rFonts w:eastAsia="SimSun"/>
          <w:lang w:val="fr-FR" w:eastAsia="zh-CN"/>
        </w:rPr>
        <w:t>orientations présenté à l</w:t>
      </w:r>
      <w:r w:rsidR="006B71B2" w:rsidRPr="00B376E5">
        <w:rPr>
          <w:rFonts w:eastAsia="SimSun"/>
          <w:lang w:val="fr-FR" w:eastAsia="zh-CN"/>
        </w:rPr>
        <w:t>’</w:t>
      </w:r>
      <w:r w:rsidR="004F0FF8" w:rsidRPr="00B376E5">
        <w:rPr>
          <w:rFonts w:eastAsia="SimSun"/>
          <w:lang w:val="fr-FR" w:eastAsia="zh-CN"/>
        </w:rPr>
        <w:t>annexe</w:t>
      </w:r>
      <w:r w:rsidR="00E97B48" w:rsidRPr="00B376E5">
        <w:rPr>
          <w:rFonts w:eastAsia="SimSun"/>
          <w:lang w:val="fr-FR" w:eastAsia="zh-CN"/>
        </w:rPr>
        <w:t> </w:t>
      </w:r>
      <w:r w:rsidR="004F0FF8" w:rsidRPr="00B376E5">
        <w:rPr>
          <w:rFonts w:eastAsia="SimSun"/>
          <w:lang w:val="fr-FR" w:eastAsia="zh-CN"/>
        </w:rPr>
        <w:t xml:space="preserve">I du document TWA/44/9 </w:t>
      </w:r>
      <w:r w:rsidR="001077A1" w:rsidRPr="00B376E5">
        <w:rPr>
          <w:rFonts w:eastAsia="SimSun"/>
          <w:lang w:val="fr-FR" w:eastAsia="zh-CN"/>
        </w:rPr>
        <w:t>concernant</w:t>
      </w:r>
      <w:r w:rsidR="004F0FF8" w:rsidRPr="00B376E5">
        <w:rPr>
          <w:rFonts w:eastAsia="SimSun"/>
          <w:lang w:val="fr-FR" w:eastAsia="zh-CN"/>
        </w:rPr>
        <w:t xml:space="preserve"> la possibilité de rejeter une variété en raison d</w:t>
      </w:r>
      <w:r w:rsidR="006B71B2" w:rsidRPr="00B376E5">
        <w:rPr>
          <w:rFonts w:eastAsia="SimSun"/>
          <w:lang w:val="fr-FR" w:eastAsia="zh-CN"/>
        </w:rPr>
        <w:t>’</w:t>
      </w:r>
      <w:r w:rsidR="004F0FF8" w:rsidRPr="00B376E5">
        <w:rPr>
          <w:rFonts w:eastAsia="SimSun"/>
          <w:lang w:val="fr-FR" w:eastAsia="zh-CN"/>
        </w:rPr>
        <w:t>un manque d</w:t>
      </w:r>
      <w:r w:rsidR="006B71B2" w:rsidRPr="00B376E5">
        <w:rPr>
          <w:rFonts w:eastAsia="SimSun"/>
          <w:lang w:val="fr-FR" w:eastAsia="zh-CN"/>
        </w:rPr>
        <w:t>’</w:t>
      </w:r>
      <w:r w:rsidR="004F0FF8" w:rsidRPr="00B376E5">
        <w:rPr>
          <w:rFonts w:eastAsia="SimSun"/>
          <w:lang w:val="fr-FR" w:eastAsia="zh-CN"/>
        </w:rPr>
        <w:t>homogénéité après un seul cycle de végétation.</w:t>
      </w:r>
      <w:r w:rsidR="00EB33EB" w:rsidRPr="00B376E5">
        <w:rPr>
          <w:lang w:val="fr-FR"/>
        </w:rPr>
        <w:t xml:space="preserve">  </w:t>
      </w:r>
      <w:r w:rsidR="004F0FF8" w:rsidRPr="00B376E5">
        <w:rPr>
          <w:lang w:val="fr-FR"/>
        </w:rPr>
        <w:t>Il est convenu qu</w:t>
      </w:r>
      <w:r w:rsidR="006B71B2" w:rsidRPr="00B376E5">
        <w:rPr>
          <w:lang w:val="fr-FR"/>
        </w:rPr>
        <w:t>’</w:t>
      </w:r>
      <w:r w:rsidR="004F0FF8" w:rsidRPr="00B376E5">
        <w:rPr>
          <w:lang w:val="fr-FR"/>
        </w:rPr>
        <w:t>une variété ne devait pas être rejetée si les limites de la norme d</w:t>
      </w:r>
      <w:r w:rsidR="006B71B2" w:rsidRPr="00B376E5">
        <w:rPr>
          <w:lang w:val="fr-FR"/>
        </w:rPr>
        <w:t>’</w:t>
      </w:r>
      <w:r w:rsidR="004F0FF8" w:rsidRPr="00B376E5">
        <w:rPr>
          <w:lang w:val="fr-FR"/>
        </w:rPr>
        <w:t>homogénéité étaient légèrement dépassées durant la première année.</w:t>
      </w:r>
      <w:r w:rsidR="00EB33EB" w:rsidRPr="00B376E5">
        <w:rPr>
          <w:rFonts w:eastAsia="SimSun"/>
          <w:lang w:val="fr-FR"/>
        </w:rPr>
        <w:t xml:space="preserve"> </w:t>
      </w:r>
      <w:r w:rsidR="00E97B48" w:rsidRPr="00B376E5">
        <w:rPr>
          <w:lang w:val="fr-FR"/>
        </w:rPr>
        <w:t xml:space="preserve"> </w:t>
      </w:r>
      <w:r w:rsidR="004F0FF8" w:rsidRPr="00B376E5">
        <w:rPr>
          <w:rFonts w:eastAsia="SimSun"/>
          <w:lang w:val="fr-FR" w:eastAsia="zh-CN"/>
        </w:rPr>
        <w:t>Cette possibilité de rejet</w:t>
      </w:r>
      <w:r w:rsidR="00DB03CE" w:rsidRPr="00B376E5">
        <w:rPr>
          <w:rFonts w:eastAsia="SimSun"/>
          <w:lang w:val="fr-FR" w:eastAsia="zh-CN"/>
        </w:rPr>
        <w:t xml:space="preserve"> ne dev</w:t>
      </w:r>
      <w:r w:rsidR="001077A1" w:rsidRPr="00B376E5">
        <w:rPr>
          <w:rFonts w:eastAsia="SimSun"/>
          <w:lang w:val="fr-FR" w:eastAsia="zh-CN"/>
        </w:rPr>
        <w:t xml:space="preserve">ait être mise en œuvre </w:t>
      </w:r>
      <w:r w:rsidR="004F0FF8" w:rsidRPr="00B376E5">
        <w:rPr>
          <w:rFonts w:eastAsia="SimSun"/>
          <w:lang w:val="fr-FR" w:eastAsia="zh-CN"/>
        </w:rPr>
        <w:t>que si l</w:t>
      </w:r>
      <w:r w:rsidR="006B71B2" w:rsidRPr="00B376E5">
        <w:rPr>
          <w:rFonts w:eastAsia="SimSun"/>
          <w:lang w:val="fr-FR" w:eastAsia="zh-CN"/>
        </w:rPr>
        <w:t>’</w:t>
      </w:r>
      <w:r w:rsidR="004F0FF8" w:rsidRPr="00B376E5">
        <w:rPr>
          <w:rFonts w:eastAsia="SimSun"/>
          <w:lang w:val="fr-FR" w:eastAsia="zh-CN"/>
        </w:rPr>
        <w:t>on pouvait prévoir que la limite maximale serait encore dépassée durant un autre cycle de végétation.</w:t>
      </w:r>
      <w:r w:rsidR="00EB33EB" w:rsidRPr="00B376E5">
        <w:rPr>
          <w:rFonts w:eastAsia="SimSun"/>
          <w:lang w:val="fr-FR"/>
        </w:rPr>
        <w:t xml:space="preserve"> </w:t>
      </w:r>
      <w:r w:rsidR="00E97B48" w:rsidRPr="00B376E5">
        <w:rPr>
          <w:rFonts w:eastAsia="SimSun"/>
          <w:lang w:val="fr-FR" w:eastAsia="zh-CN"/>
        </w:rPr>
        <w:t xml:space="preserve"> </w:t>
      </w:r>
      <w:r w:rsidR="004F0FF8" w:rsidRPr="00B376E5">
        <w:rPr>
          <w:rFonts w:eastAsia="SimSun"/>
          <w:lang w:val="fr-FR" w:eastAsia="zh-CN"/>
        </w:rPr>
        <w:t>À cet égard,</w:t>
      </w:r>
      <w:r w:rsidR="006B71B2" w:rsidRPr="00B376E5">
        <w:rPr>
          <w:rFonts w:eastAsia="SimSun"/>
          <w:lang w:val="fr-FR" w:eastAsia="zh-CN"/>
        </w:rPr>
        <w:t xml:space="preserve"> le TWA</w:t>
      </w:r>
      <w:r w:rsidR="004F0FF8" w:rsidRPr="00B376E5">
        <w:rPr>
          <w:rFonts w:eastAsia="SimSun"/>
          <w:lang w:val="fr-FR" w:eastAsia="zh-CN"/>
        </w:rPr>
        <w:t xml:space="preserve"> est convenu de proposer que l</w:t>
      </w:r>
      <w:r w:rsidR="006B71B2" w:rsidRPr="00B376E5">
        <w:rPr>
          <w:rFonts w:eastAsia="SimSun"/>
          <w:lang w:val="fr-FR" w:eastAsia="zh-CN"/>
        </w:rPr>
        <w:t>’</w:t>
      </w:r>
      <w:r w:rsidR="004F0FF8" w:rsidRPr="00B376E5">
        <w:rPr>
          <w:rFonts w:eastAsia="SimSun"/>
          <w:lang w:val="fr-FR" w:eastAsia="zh-CN"/>
        </w:rPr>
        <w:t>explication fournie à l</w:t>
      </w:r>
      <w:r w:rsidR="006B71B2" w:rsidRPr="00B376E5">
        <w:rPr>
          <w:rFonts w:eastAsia="SimSun"/>
          <w:lang w:val="fr-FR" w:eastAsia="zh-CN"/>
        </w:rPr>
        <w:t>’</w:t>
      </w:r>
      <w:r w:rsidR="004F0FF8" w:rsidRPr="00B376E5">
        <w:rPr>
          <w:rFonts w:eastAsia="SimSun"/>
          <w:lang w:val="fr-FR" w:eastAsia="zh-CN"/>
        </w:rPr>
        <w:t>annexe</w:t>
      </w:r>
      <w:r w:rsidR="00E97B48" w:rsidRPr="00B376E5">
        <w:rPr>
          <w:rFonts w:eastAsia="SimSun"/>
          <w:lang w:val="fr-FR" w:eastAsia="zh-CN"/>
        </w:rPr>
        <w:t> </w:t>
      </w:r>
      <w:r w:rsidR="004F0FF8" w:rsidRPr="00B376E5">
        <w:rPr>
          <w:rFonts w:eastAsia="SimSun"/>
          <w:lang w:val="fr-FR" w:eastAsia="zh-CN"/>
        </w:rPr>
        <w:t>I sur la possibilité de rejeter une variété en raison d</w:t>
      </w:r>
      <w:r w:rsidR="006B71B2" w:rsidRPr="00B376E5">
        <w:rPr>
          <w:rFonts w:eastAsia="SimSun"/>
          <w:lang w:val="fr-FR" w:eastAsia="zh-CN"/>
        </w:rPr>
        <w:t>’</w:t>
      </w:r>
      <w:r w:rsidR="004F0FF8" w:rsidRPr="00B376E5">
        <w:rPr>
          <w:rFonts w:eastAsia="SimSun"/>
          <w:lang w:val="fr-FR" w:eastAsia="zh-CN"/>
        </w:rPr>
        <w:t>un manque d</w:t>
      </w:r>
      <w:r w:rsidR="006B71B2" w:rsidRPr="00B376E5">
        <w:rPr>
          <w:rFonts w:eastAsia="SimSun"/>
          <w:lang w:val="fr-FR" w:eastAsia="zh-CN"/>
        </w:rPr>
        <w:t>’</w:t>
      </w:r>
      <w:r w:rsidR="004F0FF8" w:rsidRPr="00B376E5">
        <w:rPr>
          <w:rFonts w:eastAsia="SimSun"/>
          <w:lang w:val="fr-FR" w:eastAsia="zh-CN"/>
        </w:rPr>
        <w:t>homogénéité après un seul cycle de végétation soit modifiée comme suit</w:t>
      </w:r>
      <w:r w:rsidR="00E97B48" w:rsidRPr="00B376E5">
        <w:rPr>
          <w:rFonts w:eastAsia="SimSun"/>
          <w:lang w:val="fr-FR" w:eastAsia="zh-CN"/>
        </w:rPr>
        <w:t> :</w:t>
      </w:r>
      <w:r w:rsidR="004F0FF8" w:rsidRPr="00B376E5">
        <w:rPr>
          <w:rFonts w:eastAsia="SimSun"/>
          <w:lang w:val="fr-FR" w:eastAsia="zh-CN"/>
        </w:rPr>
        <w:t xml:space="preserve"> </w:t>
      </w:r>
      <w:r w:rsidR="00E97B48" w:rsidRPr="00B376E5">
        <w:rPr>
          <w:rFonts w:eastAsia="SimSun"/>
          <w:lang w:val="fr-FR" w:eastAsia="zh-CN"/>
        </w:rPr>
        <w:t>“</w:t>
      </w:r>
      <w:r w:rsidR="004F0FF8" w:rsidRPr="00B376E5">
        <w:rPr>
          <w:rFonts w:eastAsia="SimSun"/>
          <w:lang w:val="fr-FR" w:eastAsia="zh-CN"/>
        </w:rPr>
        <w:t>En outre, en raison d</w:t>
      </w:r>
      <w:r w:rsidR="006B71B2" w:rsidRPr="00B376E5">
        <w:rPr>
          <w:rFonts w:eastAsia="SimSun"/>
          <w:lang w:val="fr-FR" w:eastAsia="zh-CN"/>
        </w:rPr>
        <w:t>’</w:t>
      </w:r>
      <w:r w:rsidR="004F0FF8" w:rsidRPr="00B376E5">
        <w:rPr>
          <w:rFonts w:eastAsia="SimSun"/>
          <w:lang w:val="fr-FR" w:eastAsia="zh-CN"/>
        </w:rPr>
        <w:t xml:space="preserve">un manque </w:t>
      </w:r>
      <w:r w:rsidR="00DB03CE" w:rsidRPr="00B376E5">
        <w:rPr>
          <w:rFonts w:eastAsia="SimSun"/>
          <w:highlight w:val="lightGray"/>
          <w:u w:val="single"/>
          <w:lang w:val="fr-FR" w:eastAsia="zh-CN"/>
        </w:rPr>
        <w:t>évident</w:t>
      </w:r>
      <w:r w:rsidR="00DB03CE" w:rsidRPr="00B376E5">
        <w:rPr>
          <w:rFonts w:eastAsia="SimSun"/>
          <w:lang w:val="fr-FR" w:eastAsia="zh-CN"/>
        </w:rPr>
        <w:t xml:space="preserve"> </w:t>
      </w:r>
      <w:r w:rsidR="004F0FF8" w:rsidRPr="00B376E5">
        <w:rPr>
          <w:rFonts w:eastAsia="SimSun"/>
          <w:lang w:val="fr-FR" w:eastAsia="zh-CN"/>
        </w:rPr>
        <w:t>d</w:t>
      </w:r>
      <w:r w:rsidR="006B71B2" w:rsidRPr="00B376E5">
        <w:rPr>
          <w:rFonts w:eastAsia="SimSun"/>
          <w:lang w:val="fr-FR" w:eastAsia="zh-CN"/>
        </w:rPr>
        <w:t>’</w:t>
      </w:r>
      <w:r w:rsidR="004F0FF8" w:rsidRPr="00B376E5">
        <w:rPr>
          <w:rFonts w:eastAsia="SimSun"/>
          <w:lang w:val="fr-FR" w:eastAsia="zh-CN"/>
        </w:rPr>
        <w:t xml:space="preserve">homogénéité, une variété </w:t>
      </w:r>
      <w:r w:rsidR="001077A1" w:rsidRPr="00B376E5">
        <w:rPr>
          <w:rFonts w:eastAsia="SimSun"/>
          <w:lang w:val="fr-FR" w:eastAsia="zh-CN"/>
        </w:rPr>
        <w:t>peut</w:t>
      </w:r>
      <w:r w:rsidR="004F0FF8" w:rsidRPr="00B376E5">
        <w:rPr>
          <w:rFonts w:eastAsia="SimSun"/>
          <w:lang w:val="fr-FR" w:eastAsia="zh-CN"/>
        </w:rPr>
        <w:t xml:space="preserve"> être rejetée après un seul cycle de végétation</w:t>
      </w:r>
      <w:r w:rsidR="00E97B48" w:rsidRPr="00B376E5">
        <w:rPr>
          <w:rFonts w:eastAsia="SimSun"/>
          <w:lang w:val="fr-FR" w:eastAsia="zh-CN"/>
        </w:rPr>
        <w:t>”</w:t>
      </w:r>
      <w:r w:rsidR="004F0FF8" w:rsidRPr="00B376E5">
        <w:rPr>
          <w:rFonts w:eastAsia="SimSun"/>
          <w:lang w:val="fr-FR" w:eastAsia="zh-CN"/>
        </w:rPr>
        <w:t xml:space="preserve"> (voir les paragraphes</w:t>
      </w:r>
      <w:r w:rsidR="00E97B48" w:rsidRPr="00B376E5">
        <w:rPr>
          <w:rFonts w:eastAsia="SimSun"/>
          <w:lang w:val="fr-FR" w:eastAsia="zh-CN"/>
        </w:rPr>
        <w:t> </w:t>
      </w:r>
      <w:r w:rsidR="004F0FF8" w:rsidRPr="00B376E5">
        <w:rPr>
          <w:rFonts w:eastAsia="SimSun"/>
          <w:lang w:val="fr-FR" w:eastAsia="zh-CN"/>
        </w:rPr>
        <w:t>52 à 55 du document TWA/44/23 “</w:t>
      </w:r>
      <w:r w:rsidR="00366030" w:rsidRPr="00366030">
        <w:rPr>
          <w:rFonts w:eastAsia="SimSun"/>
          <w:i/>
          <w:lang w:val="fr-FR" w:eastAsia="zh-CN"/>
        </w:rPr>
        <w:t>Report</w:t>
      </w:r>
      <w:r w:rsidR="004F0FF8" w:rsidRPr="00B376E5">
        <w:rPr>
          <w:rFonts w:eastAsia="SimSun"/>
          <w:lang w:val="fr-FR" w:eastAsia="zh-CN"/>
        </w:rPr>
        <w:t>”).</w:t>
      </w:r>
    </w:p>
    <w:p w:rsidR="00D8441B" w:rsidRPr="00B376E5" w:rsidRDefault="00D8441B" w:rsidP="00B376E5">
      <w:pPr>
        <w:rPr>
          <w:lang w:val="fr-FR"/>
        </w:rPr>
      </w:pPr>
    </w:p>
    <w:p w:rsidR="00D8441B" w:rsidRPr="00B376E5" w:rsidRDefault="00507A33" w:rsidP="00B376E5">
      <w:pPr>
        <w:pStyle w:val="Heading3"/>
        <w:rPr>
          <w:lang w:val="fr-FR"/>
        </w:rPr>
      </w:pPr>
      <w:bookmarkStart w:id="12" w:name="_Toc442255464"/>
      <w:r w:rsidRPr="00B376E5">
        <w:rPr>
          <w:lang w:val="fr-FR"/>
        </w:rPr>
        <w:t>Groupe de travail technique sur les plantes fruitières</w:t>
      </w:r>
      <w:bookmarkEnd w:id="12"/>
    </w:p>
    <w:p w:rsidR="00D8441B" w:rsidRPr="00B376E5" w:rsidRDefault="00D8441B" w:rsidP="00B376E5">
      <w:pPr>
        <w:rPr>
          <w:lang w:val="fr-FR"/>
        </w:rPr>
      </w:pPr>
    </w:p>
    <w:p w:rsidR="00D8441B" w:rsidRPr="00B376E5" w:rsidRDefault="00710642" w:rsidP="00B376E5">
      <w:pPr>
        <w:rPr>
          <w:lang w:val="fr-FR"/>
        </w:rPr>
      </w:pPr>
      <w:r w:rsidRPr="00B376E5">
        <w:rPr>
          <w:lang w:val="fr-FR"/>
        </w:rPr>
        <w:fldChar w:fldCharType="begin"/>
      </w:r>
      <w:r w:rsidRPr="00B376E5">
        <w:rPr>
          <w:lang w:val="fr-FR"/>
        </w:rPr>
        <w:instrText xml:space="preserve"> AUTONUM  </w:instrText>
      </w:r>
      <w:r w:rsidRPr="00B376E5">
        <w:rPr>
          <w:lang w:val="fr-FR"/>
        </w:rPr>
        <w:fldChar w:fldCharType="end"/>
      </w:r>
      <w:r w:rsidRPr="00B376E5">
        <w:rPr>
          <w:lang w:val="fr-FR"/>
        </w:rPr>
        <w:tab/>
      </w:r>
      <w:r w:rsidR="00507A33" w:rsidRPr="00B376E5">
        <w:rPr>
          <w:lang w:val="fr-FR"/>
        </w:rPr>
        <w:t>À sa quarante</w:t>
      </w:r>
      <w:r w:rsidR="006C087A" w:rsidRPr="00B376E5">
        <w:rPr>
          <w:lang w:val="fr-FR"/>
        </w:rPr>
        <w:noBreakHyphen/>
      </w:r>
      <w:r w:rsidR="00507A33" w:rsidRPr="00B376E5">
        <w:rPr>
          <w:lang w:val="fr-FR"/>
        </w:rPr>
        <w:t>sixième</w:t>
      </w:r>
      <w:r w:rsidR="00E97B48" w:rsidRPr="00B376E5">
        <w:rPr>
          <w:lang w:val="fr-FR"/>
        </w:rPr>
        <w:t> </w:t>
      </w:r>
      <w:r w:rsidR="00507A33" w:rsidRPr="00B376E5">
        <w:rPr>
          <w:lang w:val="fr-FR"/>
        </w:rPr>
        <w:t>session tenue à Mpumalanga (Afrique du Sud) du 24 au 2</w:t>
      </w:r>
      <w:r w:rsidR="006B71B2" w:rsidRPr="00B376E5">
        <w:rPr>
          <w:lang w:val="fr-FR"/>
        </w:rPr>
        <w:t>8 août 20</w:t>
      </w:r>
      <w:r w:rsidR="00507A33" w:rsidRPr="00B376E5">
        <w:rPr>
          <w:lang w:val="fr-FR"/>
        </w:rPr>
        <w:t>15,</w:t>
      </w:r>
      <w:r w:rsidR="006B71B2" w:rsidRPr="00B376E5">
        <w:rPr>
          <w:lang w:val="fr-FR"/>
        </w:rPr>
        <w:t xml:space="preserve"> le TWF</w:t>
      </w:r>
      <w:r w:rsidR="00507A33" w:rsidRPr="00B376E5">
        <w:rPr>
          <w:lang w:val="fr-FR"/>
        </w:rPr>
        <w:t xml:space="preserve"> a examiné le document TWF/46/9 </w:t>
      </w:r>
      <w:r w:rsidR="00507A33" w:rsidRPr="0065649C">
        <w:rPr>
          <w:i/>
          <w:lang w:val="fr-FR"/>
        </w:rPr>
        <w:t>“</w:t>
      </w:r>
      <w:proofErr w:type="spellStart"/>
      <w:r w:rsidR="00507A33" w:rsidRPr="0065649C">
        <w:rPr>
          <w:i/>
          <w:lang w:val="fr-FR"/>
        </w:rPr>
        <w:t>Revision</w:t>
      </w:r>
      <w:proofErr w:type="spellEnd"/>
      <w:r w:rsidR="00507A33" w:rsidRPr="0065649C">
        <w:rPr>
          <w:i/>
          <w:lang w:val="fr-FR"/>
        </w:rPr>
        <w:t xml:space="preserve"> of document TGP/10</w:t>
      </w:r>
      <w:r w:rsidR="00E97B48" w:rsidRPr="0065649C">
        <w:rPr>
          <w:i/>
          <w:lang w:val="fr-FR"/>
        </w:rPr>
        <w:t> </w:t>
      </w:r>
      <w:r w:rsidR="00507A33" w:rsidRPr="0065649C">
        <w:rPr>
          <w:i/>
          <w:lang w:val="fr-FR"/>
        </w:rPr>
        <w:t>: New section</w:t>
      </w:r>
      <w:r w:rsidR="00E97B48" w:rsidRPr="0065649C">
        <w:rPr>
          <w:i/>
          <w:lang w:val="fr-FR"/>
        </w:rPr>
        <w:t> </w:t>
      </w:r>
      <w:r w:rsidR="00507A33" w:rsidRPr="0065649C">
        <w:rPr>
          <w:i/>
          <w:lang w:val="fr-FR"/>
        </w:rPr>
        <w:t xml:space="preserve">: </w:t>
      </w:r>
      <w:proofErr w:type="spellStart"/>
      <w:r w:rsidR="00507A33" w:rsidRPr="0065649C">
        <w:rPr>
          <w:i/>
          <w:lang w:val="fr-FR"/>
        </w:rPr>
        <w:t>Assessing</w:t>
      </w:r>
      <w:proofErr w:type="spellEnd"/>
      <w:r w:rsidR="00507A33" w:rsidRPr="0065649C">
        <w:rPr>
          <w:i/>
          <w:lang w:val="fr-FR"/>
        </w:rPr>
        <w:t xml:space="preserve"> </w:t>
      </w:r>
      <w:proofErr w:type="spellStart"/>
      <w:r w:rsidR="00507A33" w:rsidRPr="0065649C">
        <w:rPr>
          <w:i/>
          <w:lang w:val="fr-FR"/>
        </w:rPr>
        <w:t>Uniformity</w:t>
      </w:r>
      <w:proofErr w:type="spellEnd"/>
      <w:r w:rsidR="00507A33" w:rsidRPr="0065649C">
        <w:rPr>
          <w:i/>
          <w:lang w:val="fr-FR"/>
        </w:rPr>
        <w:t xml:space="preserve"> by Off</w:t>
      </w:r>
      <w:r w:rsidR="006C087A" w:rsidRPr="0065649C">
        <w:rPr>
          <w:i/>
          <w:lang w:val="fr-FR"/>
        </w:rPr>
        <w:noBreakHyphen/>
      </w:r>
      <w:r w:rsidR="00507A33" w:rsidRPr="0065649C">
        <w:rPr>
          <w:i/>
          <w:lang w:val="fr-FR"/>
        </w:rPr>
        <w:t xml:space="preserve">Types on Basis of More </w:t>
      </w:r>
      <w:proofErr w:type="spellStart"/>
      <w:r w:rsidR="00507A33" w:rsidRPr="0065649C">
        <w:rPr>
          <w:i/>
          <w:lang w:val="fr-FR"/>
        </w:rPr>
        <w:t>than</w:t>
      </w:r>
      <w:proofErr w:type="spellEnd"/>
      <w:r w:rsidR="00507A33" w:rsidRPr="0065649C">
        <w:rPr>
          <w:i/>
          <w:lang w:val="fr-FR"/>
        </w:rPr>
        <w:t xml:space="preserve"> One </w:t>
      </w:r>
      <w:proofErr w:type="spellStart"/>
      <w:r w:rsidR="00507A33" w:rsidRPr="0065649C">
        <w:rPr>
          <w:i/>
          <w:lang w:val="fr-FR"/>
        </w:rPr>
        <w:t>Growing</w:t>
      </w:r>
      <w:proofErr w:type="spellEnd"/>
      <w:r w:rsidR="00507A33" w:rsidRPr="0065649C">
        <w:rPr>
          <w:i/>
          <w:lang w:val="fr-FR"/>
        </w:rPr>
        <w:t xml:space="preserve"> Cycle or on the Basis of </w:t>
      </w:r>
      <w:proofErr w:type="spellStart"/>
      <w:r w:rsidR="00507A33" w:rsidRPr="0065649C">
        <w:rPr>
          <w:i/>
          <w:lang w:val="fr-FR"/>
        </w:rPr>
        <w:t>Sub</w:t>
      </w:r>
      <w:r w:rsidR="006C087A" w:rsidRPr="0065649C">
        <w:rPr>
          <w:i/>
          <w:lang w:val="fr-FR"/>
        </w:rPr>
        <w:noBreakHyphen/>
      </w:r>
      <w:r w:rsidR="00507A33" w:rsidRPr="0065649C">
        <w:rPr>
          <w:i/>
          <w:lang w:val="fr-FR"/>
        </w:rPr>
        <w:t>Samples</w:t>
      </w:r>
      <w:proofErr w:type="spellEnd"/>
      <w:r w:rsidR="00507A33" w:rsidRPr="00B376E5">
        <w:rPr>
          <w:lang w:val="fr-FR"/>
        </w:rPr>
        <w:t>”.</w:t>
      </w:r>
    </w:p>
    <w:p w:rsidR="00D8441B" w:rsidRPr="00B376E5" w:rsidRDefault="00D8441B" w:rsidP="00B376E5">
      <w:pPr>
        <w:rPr>
          <w:lang w:val="fr-FR"/>
        </w:rPr>
      </w:pPr>
    </w:p>
    <w:p w:rsidR="006B71B2" w:rsidRPr="00B376E5" w:rsidRDefault="00710642" w:rsidP="00B376E5">
      <w:pPr>
        <w:rPr>
          <w:lang w:val="fr-FR"/>
        </w:rPr>
      </w:pPr>
      <w:r w:rsidRPr="00B376E5">
        <w:rPr>
          <w:lang w:val="fr-FR"/>
        </w:rPr>
        <w:fldChar w:fldCharType="begin"/>
      </w:r>
      <w:r w:rsidRPr="00B376E5">
        <w:rPr>
          <w:lang w:val="fr-FR"/>
        </w:rPr>
        <w:instrText xml:space="preserve"> AUTONUM  </w:instrText>
      </w:r>
      <w:r w:rsidRPr="00B376E5">
        <w:rPr>
          <w:lang w:val="fr-FR"/>
        </w:rPr>
        <w:fldChar w:fldCharType="end"/>
      </w:r>
      <w:r w:rsidRPr="00B376E5">
        <w:rPr>
          <w:lang w:val="fr-FR"/>
        </w:rPr>
        <w:tab/>
      </w:r>
      <w:r w:rsidR="00507A33" w:rsidRPr="00B376E5">
        <w:rPr>
          <w:lang w:val="fr-FR"/>
        </w:rPr>
        <w:t>Il a écouté un rapport verbal présenté par un expert de la Nouvelle</w:t>
      </w:r>
      <w:r w:rsidR="006C087A" w:rsidRPr="00B376E5">
        <w:rPr>
          <w:lang w:val="fr-FR"/>
        </w:rPr>
        <w:noBreakHyphen/>
      </w:r>
      <w:r w:rsidR="00507A33" w:rsidRPr="00B376E5">
        <w:rPr>
          <w:lang w:val="fr-FR"/>
        </w:rPr>
        <w:t xml:space="preserve">Zélande </w:t>
      </w:r>
      <w:r w:rsidR="00DB03CE" w:rsidRPr="00B376E5">
        <w:rPr>
          <w:lang w:val="fr-FR"/>
        </w:rPr>
        <w:t xml:space="preserve">sur </w:t>
      </w:r>
      <w:r w:rsidR="00507A33" w:rsidRPr="00B376E5">
        <w:rPr>
          <w:lang w:val="fr-FR"/>
        </w:rPr>
        <w:t>l</w:t>
      </w:r>
      <w:r w:rsidR="006B71B2" w:rsidRPr="00B376E5">
        <w:rPr>
          <w:lang w:val="fr-FR"/>
        </w:rPr>
        <w:t>’</w:t>
      </w:r>
      <w:r w:rsidR="00507A33" w:rsidRPr="00B376E5">
        <w:rPr>
          <w:lang w:val="fr-FR"/>
        </w:rPr>
        <w:t>évaluation de l</w:t>
      </w:r>
      <w:r w:rsidR="006B71B2" w:rsidRPr="00B376E5">
        <w:rPr>
          <w:lang w:val="fr-FR"/>
        </w:rPr>
        <w:t>’</w:t>
      </w:r>
      <w:r w:rsidR="00507A33" w:rsidRPr="00B376E5">
        <w:rPr>
          <w:lang w:val="fr-FR"/>
        </w:rPr>
        <w:t>homogénéité sur la base de plusieurs cycles de végétation</w:t>
      </w:r>
      <w:r w:rsidR="008D717E" w:rsidRPr="00B376E5">
        <w:rPr>
          <w:lang w:val="fr-FR"/>
        </w:rPr>
        <w:t>,</w:t>
      </w:r>
      <w:r w:rsidR="00507A33" w:rsidRPr="00B376E5">
        <w:rPr>
          <w:lang w:val="fr-FR"/>
        </w:rPr>
        <w:t xml:space="preserve"> et</w:t>
      </w:r>
      <w:r w:rsidR="00DB03CE" w:rsidRPr="00B376E5">
        <w:rPr>
          <w:lang w:val="fr-FR"/>
        </w:rPr>
        <w:t xml:space="preserve"> plus précisément</w:t>
      </w:r>
      <w:r w:rsidR="00507A33" w:rsidRPr="00B376E5">
        <w:rPr>
          <w:lang w:val="fr-FR"/>
        </w:rPr>
        <w:t xml:space="preserve"> l</w:t>
      </w:r>
      <w:r w:rsidR="006B71B2" w:rsidRPr="00B376E5">
        <w:rPr>
          <w:lang w:val="fr-FR"/>
        </w:rPr>
        <w:t>’</w:t>
      </w:r>
      <w:r w:rsidR="00507A33" w:rsidRPr="00B376E5">
        <w:rPr>
          <w:lang w:val="fr-FR"/>
        </w:rPr>
        <w:t>expérience de la Nouvelle</w:t>
      </w:r>
      <w:r w:rsidR="006C087A" w:rsidRPr="00B376E5">
        <w:rPr>
          <w:lang w:val="fr-FR"/>
        </w:rPr>
        <w:noBreakHyphen/>
      </w:r>
      <w:r w:rsidR="00507A33" w:rsidRPr="00B376E5">
        <w:rPr>
          <w:lang w:val="fr-FR"/>
        </w:rPr>
        <w:t xml:space="preserve">Zélande </w:t>
      </w:r>
      <w:r w:rsidR="00DB03CE" w:rsidRPr="00B376E5">
        <w:rPr>
          <w:lang w:val="fr-FR"/>
        </w:rPr>
        <w:t xml:space="preserve">concernant </w:t>
      </w:r>
      <w:r w:rsidR="00507A33" w:rsidRPr="00B376E5">
        <w:rPr>
          <w:lang w:val="fr-FR"/>
        </w:rPr>
        <w:t>les variétés de pommier issues d</w:t>
      </w:r>
      <w:r w:rsidR="006B71B2" w:rsidRPr="00B376E5">
        <w:rPr>
          <w:lang w:val="fr-FR"/>
        </w:rPr>
        <w:t>’</w:t>
      </w:r>
      <w:r w:rsidR="00507A33" w:rsidRPr="00B376E5">
        <w:rPr>
          <w:lang w:val="fr-FR"/>
        </w:rPr>
        <w:t>une mutation.</w:t>
      </w:r>
    </w:p>
    <w:p w:rsidR="00D8441B" w:rsidRPr="00B376E5" w:rsidRDefault="00D8441B" w:rsidP="00B376E5">
      <w:pPr>
        <w:rPr>
          <w:highlight w:val="cyan"/>
          <w:lang w:val="fr-FR"/>
        </w:rPr>
      </w:pPr>
    </w:p>
    <w:p w:rsidR="006B71B2" w:rsidRPr="00B376E5" w:rsidRDefault="00710642" w:rsidP="00B376E5">
      <w:pPr>
        <w:rPr>
          <w:lang w:val="fr-FR"/>
        </w:rPr>
      </w:pPr>
      <w:r w:rsidRPr="00B376E5">
        <w:rPr>
          <w:lang w:val="fr-FR"/>
        </w:rPr>
        <w:fldChar w:fldCharType="begin"/>
      </w:r>
      <w:r w:rsidRPr="00B376E5">
        <w:rPr>
          <w:lang w:val="fr-FR"/>
        </w:rPr>
        <w:instrText xml:space="preserve"> AUTONUM  </w:instrText>
      </w:r>
      <w:r w:rsidRPr="00B376E5">
        <w:rPr>
          <w:lang w:val="fr-FR"/>
        </w:rPr>
        <w:fldChar w:fldCharType="end"/>
      </w:r>
      <w:r w:rsidRPr="00B376E5">
        <w:rPr>
          <w:lang w:val="fr-FR"/>
        </w:rPr>
        <w:tab/>
      </w:r>
      <w:r w:rsidR="00507A33" w:rsidRPr="00B376E5">
        <w:rPr>
          <w:lang w:val="fr-FR"/>
        </w:rPr>
        <w:t xml:space="preserve">Le TWF a également écouté un rapport verbal présenté par un expert de la France </w:t>
      </w:r>
      <w:r w:rsidR="00DB03CE" w:rsidRPr="00B376E5">
        <w:rPr>
          <w:lang w:val="fr-FR"/>
        </w:rPr>
        <w:t>sur</w:t>
      </w:r>
      <w:r w:rsidR="001077A1" w:rsidRPr="00B376E5">
        <w:rPr>
          <w:lang w:val="fr-FR"/>
        </w:rPr>
        <w:t xml:space="preserve"> </w:t>
      </w:r>
      <w:r w:rsidR="00507A33" w:rsidRPr="00B376E5">
        <w:rPr>
          <w:lang w:val="fr-FR"/>
        </w:rPr>
        <w:t>l</w:t>
      </w:r>
      <w:r w:rsidR="006B71B2" w:rsidRPr="00B376E5">
        <w:rPr>
          <w:lang w:val="fr-FR"/>
        </w:rPr>
        <w:t>’</w:t>
      </w:r>
      <w:r w:rsidR="00507A33" w:rsidRPr="00B376E5">
        <w:rPr>
          <w:lang w:val="fr-FR"/>
        </w:rPr>
        <w:t>évaluation de l</w:t>
      </w:r>
      <w:r w:rsidR="006B71B2" w:rsidRPr="00B376E5">
        <w:rPr>
          <w:lang w:val="fr-FR"/>
        </w:rPr>
        <w:t>’</w:t>
      </w:r>
      <w:r w:rsidR="00507A33" w:rsidRPr="00B376E5">
        <w:rPr>
          <w:lang w:val="fr-FR"/>
        </w:rPr>
        <w:t>homogénéité d</w:t>
      </w:r>
      <w:r w:rsidR="006B71B2" w:rsidRPr="00B376E5">
        <w:rPr>
          <w:lang w:val="fr-FR"/>
        </w:rPr>
        <w:t>’</w:t>
      </w:r>
      <w:r w:rsidR="00507A33" w:rsidRPr="00B376E5">
        <w:rPr>
          <w:lang w:val="fr-FR"/>
        </w:rPr>
        <w:t>après les plantes hors</w:t>
      </w:r>
      <w:r w:rsidR="006C087A" w:rsidRPr="00B376E5">
        <w:rPr>
          <w:lang w:val="fr-FR"/>
        </w:rPr>
        <w:noBreakHyphen/>
      </w:r>
      <w:r w:rsidR="00507A33" w:rsidRPr="00B376E5">
        <w:rPr>
          <w:lang w:val="fr-FR"/>
        </w:rPr>
        <w:t xml:space="preserve">type sur la base de plusieurs cycles de végétations ou </w:t>
      </w:r>
      <w:r w:rsidR="001077A1" w:rsidRPr="00B376E5">
        <w:rPr>
          <w:lang w:val="fr-FR"/>
        </w:rPr>
        <w:t xml:space="preserve">sur la base </w:t>
      </w:r>
      <w:r w:rsidR="00507A33" w:rsidRPr="00B376E5">
        <w:rPr>
          <w:lang w:val="fr-FR"/>
        </w:rPr>
        <w:t>de sous</w:t>
      </w:r>
      <w:r w:rsidR="006C087A" w:rsidRPr="00B376E5">
        <w:rPr>
          <w:lang w:val="fr-FR"/>
        </w:rPr>
        <w:noBreakHyphen/>
      </w:r>
      <w:r w:rsidR="00507A33" w:rsidRPr="00B376E5">
        <w:rPr>
          <w:lang w:val="fr-FR"/>
        </w:rPr>
        <w:t>échantillons et les considérations relatives à l</w:t>
      </w:r>
      <w:r w:rsidR="006B71B2" w:rsidRPr="00B376E5">
        <w:rPr>
          <w:lang w:val="fr-FR"/>
        </w:rPr>
        <w:t>’</w:t>
      </w:r>
      <w:r w:rsidR="00507A33" w:rsidRPr="00B376E5">
        <w:rPr>
          <w:lang w:val="fr-FR"/>
        </w:rPr>
        <w:t>homogénéité, la distinction et la description.</w:t>
      </w:r>
    </w:p>
    <w:p w:rsidR="00D8441B" w:rsidRPr="00B376E5" w:rsidRDefault="00D8441B" w:rsidP="00B376E5">
      <w:pPr>
        <w:rPr>
          <w:lang w:val="fr-FR"/>
        </w:rPr>
      </w:pPr>
    </w:p>
    <w:p w:rsidR="00D8441B" w:rsidRPr="00B376E5" w:rsidRDefault="00710642" w:rsidP="00B376E5">
      <w:pPr>
        <w:rPr>
          <w:lang w:val="fr-FR"/>
        </w:rPr>
      </w:pPr>
      <w:r w:rsidRPr="00B376E5">
        <w:rPr>
          <w:lang w:val="fr-FR"/>
        </w:rPr>
        <w:fldChar w:fldCharType="begin"/>
      </w:r>
      <w:r w:rsidRPr="00B376E5">
        <w:rPr>
          <w:lang w:val="fr-FR"/>
        </w:rPr>
        <w:instrText xml:space="preserve"> AUTONUM  </w:instrText>
      </w:r>
      <w:r w:rsidRPr="00B376E5">
        <w:rPr>
          <w:lang w:val="fr-FR"/>
        </w:rPr>
        <w:fldChar w:fldCharType="end"/>
      </w:r>
      <w:r w:rsidRPr="00B376E5">
        <w:rPr>
          <w:lang w:val="fr-FR"/>
        </w:rPr>
        <w:tab/>
      </w:r>
      <w:r w:rsidR="001E45A6" w:rsidRPr="00B376E5">
        <w:rPr>
          <w:lang w:val="fr-FR"/>
        </w:rPr>
        <w:t>Le TWF est convenu que le service chargé de l</w:t>
      </w:r>
      <w:r w:rsidR="006B71B2" w:rsidRPr="00B376E5">
        <w:rPr>
          <w:lang w:val="fr-FR"/>
        </w:rPr>
        <w:t>’</w:t>
      </w:r>
      <w:r w:rsidR="001E45A6" w:rsidRPr="00B376E5">
        <w:rPr>
          <w:lang w:val="fr-FR"/>
        </w:rPr>
        <w:t>examen</w:t>
      </w:r>
      <w:r w:rsidR="00E97B48" w:rsidRPr="00B376E5">
        <w:rPr>
          <w:lang w:val="fr-FR"/>
        </w:rPr>
        <w:t> </w:t>
      </w:r>
      <w:r w:rsidR="001E45A6" w:rsidRPr="00B376E5">
        <w:rPr>
          <w:lang w:val="fr-FR"/>
        </w:rPr>
        <w:t>DHS devait pouvoir rejeter une variété candidate pour manque d</w:t>
      </w:r>
      <w:r w:rsidR="006B71B2" w:rsidRPr="00B376E5">
        <w:rPr>
          <w:lang w:val="fr-FR"/>
        </w:rPr>
        <w:t>’</w:t>
      </w:r>
      <w:r w:rsidR="001E45A6" w:rsidRPr="00B376E5">
        <w:rPr>
          <w:lang w:val="fr-FR"/>
        </w:rPr>
        <w:t xml:space="preserve">homogénéité après le premier cycle de végétation, </w:t>
      </w:r>
      <w:r w:rsidR="00DB03CE" w:rsidRPr="00B376E5">
        <w:rPr>
          <w:lang w:val="fr-FR"/>
        </w:rPr>
        <w:t>notamment</w:t>
      </w:r>
      <w:r w:rsidR="001E45A6" w:rsidRPr="00B376E5">
        <w:rPr>
          <w:lang w:val="fr-FR"/>
        </w:rPr>
        <w:t xml:space="preserve"> pour les plantes fruitières pour lesquelles </w:t>
      </w:r>
      <w:r w:rsidR="001077A1" w:rsidRPr="00B376E5">
        <w:rPr>
          <w:lang w:val="fr-FR"/>
        </w:rPr>
        <w:t>il y avait en principe deux</w:t>
      </w:r>
      <w:r w:rsidR="00E97B48" w:rsidRPr="00B376E5">
        <w:rPr>
          <w:lang w:val="fr-FR"/>
        </w:rPr>
        <w:t> </w:t>
      </w:r>
      <w:r w:rsidR="001E45A6" w:rsidRPr="00B376E5">
        <w:rPr>
          <w:lang w:val="fr-FR"/>
        </w:rPr>
        <w:t>cycles de végétation.</w:t>
      </w:r>
    </w:p>
    <w:p w:rsidR="00D8441B" w:rsidRPr="00B376E5" w:rsidRDefault="00D8441B" w:rsidP="00B376E5">
      <w:pPr>
        <w:jc w:val="left"/>
        <w:rPr>
          <w:highlight w:val="cyan"/>
          <w:lang w:val="fr-FR"/>
        </w:rPr>
      </w:pPr>
    </w:p>
    <w:p w:rsidR="00D8441B" w:rsidRPr="00B376E5" w:rsidRDefault="00710642" w:rsidP="00B376E5">
      <w:pPr>
        <w:rPr>
          <w:lang w:val="fr-FR"/>
        </w:rPr>
      </w:pPr>
      <w:r w:rsidRPr="00B376E5">
        <w:rPr>
          <w:lang w:val="fr-FR"/>
        </w:rPr>
        <w:fldChar w:fldCharType="begin"/>
      </w:r>
      <w:r w:rsidRPr="00B376E5">
        <w:rPr>
          <w:lang w:val="fr-FR"/>
        </w:rPr>
        <w:instrText xml:space="preserve"> AUTONUM  </w:instrText>
      </w:r>
      <w:r w:rsidRPr="00B376E5">
        <w:rPr>
          <w:lang w:val="fr-FR"/>
        </w:rPr>
        <w:fldChar w:fldCharType="end"/>
      </w:r>
      <w:r w:rsidRPr="00B376E5">
        <w:rPr>
          <w:lang w:val="fr-FR"/>
        </w:rPr>
        <w:tab/>
      </w:r>
      <w:r w:rsidR="001E45A6" w:rsidRPr="00B376E5">
        <w:rPr>
          <w:lang w:val="fr-FR"/>
        </w:rPr>
        <w:t>Le TWF a examiné le projet d</w:t>
      </w:r>
      <w:r w:rsidR="006B71B2" w:rsidRPr="00B376E5">
        <w:rPr>
          <w:lang w:val="fr-FR"/>
        </w:rPr>
        <w:t>’</w:t>
      </w:r>
      <w:r w:rsidR="001E45A6" w:rsidRPr="00B376E5">
        <w:rPr>
          <w:lang w:val="fr-FR"/>
        </w:rPr>
        <w:t>orientations à inclure dans une future version révisée du document TGP/10, présenté aux annexes</w:t>
      </w:r>
      <w:r w:rsidR="00E97B48" w:rsidRPr="00B376E5">
        <w:rPr>
          <w:lang w:val="fr-FR"/>
        </w:rPr>
        <w:t> </w:t>
      </w:r>
      <w:r w:rsidR="001E45A6" w:rsidRPr="00B376E5">
        <w:rPr>
          <w:lang w:val="fr-FR"/>
        </w:rPr>
        <w:t>I et II du document TWF/46/9.  Il est convenu qu</w:t>
      </w:r>
      <w:r w:rsidR="006B71B2" w:rsidRPr="00B376E5">
        <w:rPr>
          <w:lang w:val="fr-FR"/>
        </w:rPr>
        <w:t>’</w:t>
      </w:r>
      <w:r w:rsidR="001E45A6" w:rsidRPr="00B376E5">
        <w:rPr>
          <w:lang w:val="fr-FR"/>
        </w:rPr>
        <w:t>il devait être précisé dans le document si les orientations figurant à l</w:t>
      </w:r>
      <w:r w:rsidR="006B71B2" w:rsidRPr="00B376E5">
        <w:rPr>
          <w:lang w:val="fr-FR"/>
        </w:rPr>
        <w:t>’</w:t>
      </w:r>
      <w:r w:rsidR="001E45A6" w:rsidRPr="00B376E5">
        <w:rPr>
          <w:lang w:val="fr-FR"/>
        </w:rPr>
        <w:t>annexe</w:t>
      </w:r>
      <w:r w:rsidR="00E97B48" w:rsidRPr="00B376E5">
        <w:rPr>
          <w:lang w:val="fr-FR"/>
        </w:rPr>
        <w:t> </w:t>
      </w:r>
      <w:r w:rsidR="001E45A6" w:rsidRPr="00B376E5">
        <w:rPr>
          <w:lang w:val="fr-FR"/>
        </w:rPr>
        <w:t>I visaient la combinaison des résultats de deux</w:t>
      </w:r>
      <w:r w:rsidR="00E97B48" w:rsidRPr="00B376E5">
        <w:rPr>
          <w:lang w:val="fr-FR"/>
        </w:rPr>
        <w:t> </w:t>
      </w:r>
      <w:r w:rsidR="001E45A6" w:rsidRPr="00B376E5">
        <w:rPr>
          <w:lang w:val="fr-FR"/>
        </w:rPr>
        <w:t>cycles de végétation concernant le même matériel végétal (plantes pérennes).</w:t>
      </w:r>
      <w:r w:rsidR="00E97B48" w:rsidRPr="00B376E5">
        <w:rPr>
          <w:lang w:val="fr-FR"/>
        </w:rPr>
        <w:t xml:space="preserve"> </w:t>
      </w:r>
      <w:r w:rsidR="006B71B2" w:rsidRPr="00B376E5">
        <w:rPr>
          <w:lang w:val="fr-FR"/>
        </w:rPr>
        <w:t xml:space="preserve"> Le TWF</w:t>
      </w:r>
      <w:r w:rsidR="001E45A6" w:rsidRPr="00B376E5">
        <w:rPr>
          <w:lang w:val="fr-FR"/>
        </w:rPr>
        <w:t xml:space="preserve"> est convenu que l</w:t>
      </w:r>
      <w:r w:rsidR="006B71B2" w:rsidRPr="00B376E5">
        <w:rPr>
          <w:lang w:val="fr-FR"/>
        </w:rPr>
        <w:t>’</w:t>
      </w:r>
      <w:r w:rsidR="001E45A6" w:rsidRPr="00B376E5">
        <w:rPr>
          <w:lang w:val="fr-FR"/>
        </w:rPr>
        <w:t>examen du document devait se poursuivre à sa prochaine session.</w:t>
      </w:r>
    </w:p>
    <w:p w:rsidR="00D8441B" w:rsidRPr="00B376E5" w:rsidRDefault="00D8441B" w:rsidP="00B376E5">
      <w:pPr>
        <w:rPr>
          <w:lang w:val="fr-FR"/>
        </w:rPr>
      </w:pPr>
    </w:p>
    <w:p w:rsidR="00D8441B" w:rsidRPr="00B376E5" w:rsidRDefault="00710642" w:rsidP="00B376E5">
      <w:pPr>
        <w:rPr>
          <w:lang w:val="fr-FR"/>
        </w:rPr>
      </w:pPr>
      <w:r w:rsidRPr="00B376E5">
        <w:rPr>
          <w:rFonts w:eastAsia="SimSun"/>
          <w:lang w:val="fr-FR" w:eastAsia="zh-CN"/>
        </w:rPr>
        <w:fldChar w:fldCharType="begin"/>
      </w:r>
      <w:r w:rsidRPr="00B376E5">
        <w:rPr>
          <w:rFonts w:eastAsia="SimSun"/>
          <w:lang w:val="fr-FR" w:eastAsia="zh-CN"/>
        </w:rPr>
        <w:instrText xml:space="preserve"> AUTONUM  </w:instrText>
      </w:r>
      <w:r w:rsidRPr="00B376E5">
        <w:rPr>
          <w:rFonts w:eastAsia="SimSun"/>
          <w:lang w:val="fr-FR" w:eastAsia="zh-CN"/>
        </w:rPr>
        <w:fldChar w:fldCharType="end"/>
      </w:r>
      <w:r w:rsidRPr="00B376E5">
        <w:rPr>
          <w:rFonts w:eastAsia="SimSun"/>
          <w:lang w:val="fr-FR" w:eastAsia="zh-CN"/>
        </w:rPr>
        <w:tab/>
      </w:r>
      <w:r w:rsidR="001E45A6" w:rsidRPr="00B376E5">
        <w:rPr>
          <w:rFonts w:eastAsia="SimSun"/>
          <w:lang w:val="fr-FR" w:eastAsia="zh-CN"/>
        </w:rPr>
        <w:t>Le TWF est convenu de proposer la modification ci</w:t>
      </w:r>
      <w:r w:rsidR="006C087A" w:rsidRPr="00B376E5">
        <w:rPr>
          <w:rFonts w:eastAsia="SimSun"/>
          <w:lang w:val="fr-FR" w:eastAsia="zh-CN"/>
        </w:rPr>
        <w:noBreakHyphen/>
      </w:r>
      <w:r w:rsidR="001E45A6" w:rsidRPr="00B376E5">
        <w:rPr>
          <w:rFonts w:eastAsia="SimSun"/>
          <w:lang w:val="fr-FR" w:eastAsia="zh-CN"/>
        </w:rPr>
        <w:t xml:space="preserve">après </w:t>
      </w:r>
      <w:r w:rsidR="00DB03CE" w:rsidRPr="00B376E5">
        <w:rPr>
          <w:rFonts w:eastAsia="SimSun"/>
          <w:lang w:val="fr-FR" w:eastAsia="zh-CN"/>
        </w:rPr>
        <w:t>pour</w:t>
      </w:r>
      <w:r w:rsidR="001E45A6" w:rsidRPr="00B376E5">
        <w:rPr>
          <w:rFonts w:eastAsia="SimSun"/>
          <w:lang w:val="fr-FR" w:eastAsia="zh-CN"/>
        </w:rPr>
        <w:t xml:space="preserve"> préciser</w:t>
      </w:r>
      <w:r w:rsidR="001077A1" w:rsidRPr="00B376E5">
        <w:rPr>
          <w:rFonts w:eastAsia="SimSun"/>
          <w:lang w:val="fr-FR" w:eastAsia="zh-CN"/>
        </w:rPr>
        <w:t xml:space="preserve"> la règle indiquée à l</w:t>
      </w:r>
      <w:r w:rsidR="006B71B2" w:rsidRPr="00B376E5">
        <w:rPr>
          <w:rFonts w:eastAsia="SimSun"/>
          <w:lang w:val="fr-FR" w:eastAsia="zh-CN"/>
        </w:rPr>
        <w:t>’</w:t>
      </w:r>
      <w:r w:rsidR="001077A1" w:rsidRPr="00B376E5">
        <w:rPr>
          <w:rFonts w:eastAsia="SimSun"/>
          <w:lang w:val="fr-FR" w:eastAsia="zh-CN"/>
        </w:rPr>
        <w:t>annexe</w:t>
      </w:r>
      <w:r w:rsidR="00E97B48" w:rsidRPr="00B376E5">
        <w:rPr>
          <w:rFonts w:eastAsia="SimSun"/>
          <w:lang w:val="fr-FR" w:eastAsia="zh-CN"/>
        </w:rPr>
        <w:t> </w:t>
      </w:r>
      <w:r w:rsidR="001077A1" w:rsidRPr="00B376E5">
        <w:rPr>
          <w:rFonts w:eastAsia="SimSun"/>
          <w:lang w:val="fr-FR" w:eastAsia="zh-CN"/>
        </w:rPr>
        <w:t>I</w:t>
      </w:r>
      <w:r w:rsidR="001E45A6" w:rsidRPr="00B376E5">
        <w:rPr>
          <w:rFonts w:eastAsia="SimSun"/>
          <w:lang w:val="fr-FR" w:eastAsia="zh-CN"/>
        </w:rPr>
        <w:t xml:space="preserve"> concernant la méthode 2</w:t>
      </w:r>
      <w:r w:rsidR="00E97B48" w:rsidRPr="00B376E5">
        <w:rPr>
          <w:rFonts w:eastAsia="SimSun"/>
          <w:lang w:val="fr-FR" w:eastAsia="zh-CN"/>
        </w:rPr>
        <w:t> </w:t>
      </w:r>
      <w:r w:rsidR="001E45A6" w:rsidRPr="00B376E5">
        <w:rPr>
          <w:rFonts w:eastAsia="SimSun"/>
          <w:lang w:val="fr-FR" w:eastAsia="zh-CN"/>
        </w:rPr>
        <w:t>: “…une variété est réputée homogène si le nombre total de plantes hors</w:t>
      </w:r>
      <w:r w:rsidR="006C087A" w:rsidRPr="00B376E5">
        <w:rPr>
          <w:rFonts w:eastAsia="SimSun"/>
          <w:lang w:val="fr-FR" w:eastAsia="zh-CN"/>
        </w:rPr>
        <w:noBreakHyphen/>
      </w:r>
      <w:r w:rsidR="001E45A6" w:rsidRPr="00B376E5">
        <w:rPr>
          <w:rFonts w:eastAsia="SimSun"/>
          <w:lang w:val="fr-FR" w:eastAsia="zh-CN"/>
        </w:rPr>
        <w:t>type à l</w:t>
      </w:r>
      <w:r w:rsidR="006B71B2" w:rsidRPr="00B376E5">
        <w:rPr>
          <w:rFonts w:eastAsia="SimSun"/>
          <w:lang w:val="fr-FR" w:eastAsia="zh-CN"/>
        </w:rPr>
        <w:t>’</w:t>
      </w:r>
      <w:r w:rsidR="001E45A6" w:rsidRPr="00B376E5">
        <w:rPr>
          <w:rFonts w:eastAsia="SimSun"/>
          <w:lang w:val="fr-FR" w:eastAsia="zh-CN"/>
        </w:rPr>
        <w:t>issue des deux</w:t>
      </w:r>
      <w:r w:rsidR="00E97B48" w:rsidRPr="00B376E5">
        <w:rPr>
          <w:rFonts w:eastAsia="SimSun"/>
          <w:lang w:val="fr-FR" w:eastAsia="zh-CN"/>
        </w:rPr>
        <w:t> </w:t>
      </w:r>
      <w:r w:rsidR="001E45A6" w:rsidRPr="00B376E5">
        <w:rPr>
          <w:rFonts w:eastAsia="SimSun"/>
          <w:lang w:val="fr-FR" w:eastAsia="zh-CN"/>
        </w:rPr>
        <w:t>cycles de végétation ne dépasse pas le nombre de plantes hors</w:t>
      </w:r>
      <w:r w:rsidR="006C087A" w:rsidRPr="00B376E5">
        <w:rPr>
          <w:rFonts w:eastAsia="SimSun"/>
          <w:lang w:val="fr-FR" w:eastAsia="zh-CN"/>
        </w:rPr>
        <w:noBreakHyphen/>
      </w:r>
      <w:r w:rsidR="001E45A6" w:rsidRPr="00B376E5">
        <w:rPr>
          <w:rFonts w:eastAsia="SimSun"/>
          <w:lang w:val="fr-FR" w:eastAsia="zh-CN"/>
        </w:rPr>
        <w:t xml:space="preserve">type autorisé pour </w:t>
      </w:r>
      <w:r w:rsidR="00D6448B" w:rsidRPr="00B376E5">
        <w:rPr>
          <w:rFonts w:eastAsia="SimSun"/>
          <w:highlight w:val="lightGray"/>
          <w:u w:val="single"/>
          <w:lang w:val="fr-FR" w:eastAsia="zh-CN"/>
        </w:rPr>
        <w:t>la taille</w:t>
      </w:r>
      <w:r w:rsidR="00DB03CE" w:rsidRPr="00B376E5">
        <w:rPr>
          <w:rFonts w:eastAsia="SimSun"/>
          <w:highlight w:val="lightGray"/>
          <w:u w:val="single"/>
          <w:lang w:val="fr-FR" w:eastAsia="zh-CN"/>
        </w:rPr>
        <w:t xml:space="preserve"> de</w:t>
      </w:r>
      <w:r w:rsidR="00D6448B" w:rsidRPr="00B376E5">
        <w:rPr>
          <w:rFonts w:eastAsia="SimSun"/>
          <w:highlight w:val="lightGray"/>
          <w:u w:val="single"/>
          <w:lang w:val="fr-FR" w:eastAsia="zh-CN"/>
        </w:rPr>
        <w:t xml:space="preserve"> </w:t>
      </w:r>
      <w:r w:rsidR="001E45A6" w:rsidRPr="00B376E5">
        <w:rPr>
          <w:rFonts w:eastAsia="SimSun"/>
          <w:lang w:val="fr-FR" w:eastAsia="zh-CN"/>
        </w:rPr>
        <w:t>l</w:t>
      </w:r>
      <w:r w:rsidR="006B71B2" w:rsidRPr="00B376E5">
        <w:rPr>
          <w:rFonts w:eastAsia="SimSun"/>
          <w:lang w:val="fr-FR" w:eastAsia="zh-CN"/>
        </w:rPr>
        <w:t>’</w:t>
      </w:r>
      <w:r w:rsidR="001E45A6" w:rsidRPr="00B376E5">
        <w:rPr>
          <w:rFonts w:eastAsia="SimSun"/>
          <w:lang w:val="fr-FR" w:eastAsia="zh-CN"/>
        </w:rPr>
        <w:t xml:space="preserve">échantillon </w:t>
      </w:r>
      <w:r w:rsidR="001E45A6" w:rsidRPr="00B376E5">
        <w:rPr>
          <w:rFonts w:eastAsia="SimSun"/>
          <w:strike/>
          <w:highlight w:val="lightGray"/>
          <w:lang w:val="fr-FR" w:eastAsia="zh-CN"/>
        </w:rPr>
        <w:t>combiné</w:t>
      </w:r>
      <w:r w:rsidR="001E45A6" w:rsidRPr="00B376E5">
        <w:rPr>
          <w:rFonts w:eastAsia="SimSun"/>
          <w:highlight w:val="lightGray"/>
          <w:lang w:val="fr-FR" w:eastAsia="zh-CN"/>
        </w:rPr>
        <w:t xml:space="preserve"> </w:t>
      </w:r>
      <w:r w:rsidR="00D6448B" w:rsidRPr="00B376E5">
        <w:rPr>
          <w:rFonts w:eastAsia="SimSun"/>
          <w:highlight w:val="lightGray"/>
          <w:u w:val="single"/>
          <w:lang w:val="fr-FR" w:eastAsia="zh-CN"/>
        </w:rPr>
        <w:t>des cycles de végétation 1 et 2 combinés</w:t>
      </w:r>
      <w:r w:rsidR="001E45A6" w:rsidRPr="00B376E5">
        <w:rPr>
          <w:rFonts w:eastAsia="SimSun"/>
          <w:lang w:val="fr-FR" w:eastAsia="zh-CN"/>
        </w:rPr>
        <w:t>” (</w:t>
      </w:r>
      <w:r w:rsidR="00D6448B" w:rsidRPr="00B376E5">
        <w:rPr>
          <w:rFonts w:eastAsia="SimSun"/>
          <w:lang w:val="fr-FR" w:eastAsia="zh-CN"/>
        </w:rPr>
        <w:t>voir les paragraphe</w:t>
      </w:r>
      <w:r w:rsidR="004B6D31" w:rsidRPr="00B376E5">
        <w:rPr>
          <w:rFonts w:eastAsia="SimSun"/>
          <w:lang w:val="fr-FR" w:eastAsia="zh-CN"/>
        </w:rPr>
        <w:t>s</w:t>
      </w:r>
      <w:r w:rsidR="00E97B48" w:rsidRPr="00B376E5">
        <w:rPr>
          <w:rFonts w:eastAsia="SimSun"/>
          <w:lang w:val="fr-FR" w:eastAsia="zh-CN"/>
        </w:rPr>
        <w:t> </w:t>
      </w:r>
      <w:r w:rsidR="00D6448B" w:rsidRPr="00B376E5">
        <w:rPr>
          <w:rFonts w:eastAsia="SimSun"/>
          <w:lang w:val="fr-FR" w:eastAsia="zh-CN"/>
        </w:rPr>
        <w:t xml:space="preserve">55 à 60 du </w:t>
      </w:r>
      <w:r w:rsidR="001E45A6" w:rsidRPr="00B376E5">
        <w:rPr>
          <w:rFonts w:eastAsia="SimSun"/>
          <w:lang w:val="fr-FR" w:eastAsia="zh-CN"/>
        </w:rPr>
        <w:t>document TWF/46/29 “</w:t>
      </w:r>
      <w:r w:rsidR="00366030" w:rsidRPr="00366030">
        <w:rPr>
          <w:rFonts w:eastAsia="SimSun"/>
          <w:i/>
          <w:lang w:val="fr-FR" w:eastAsia="zh-CN"/>
        </w:rPr>
        <w:t>Report</w:t>
      </w:r>
      <w:r w:rsidR="001E45A6" w:rsidRPr="00B376E5">
        <w:rPr>
          <w:rFonts w:eastAsia="SimSun"/>
          <w:lang w:val="fr-FR" w:eastAsia="zh-CN"/>
        </w:rPr>
        <w:t>”).</w:t>
      </w:r>
    </w:p>
    <w:p w:rsidR="00D8441B" w:rsidRPr="00B376E5" w:rsidRDefault="00D8441B" w:rsidP="00B376E5">
      <w:pPr>
        <w:rPr>
          <w:lang w:val="fr-FR"/>
        </w:rPr>
      </w:pPr>
    </w:p>
    <w:p w:rsidR="0032181E" w:rsidRPr="009D113B" w:rsidRDefault="0032181E" w:rsidP="0032181E">
      <w:pPr>
        <w:pStyle w:val="Heading3"/>
        <w:rPr>
          <w:lang w:val="fr-FR"/>
        </w:rPr>
      </w:pPr>
      <w:bookmarkStart w:id="13" w:name="_Toc440299525"/>
      <w:bookmarkStart w:id="14" w:name="_Toc442255465"/>
      <w:r w:rsidRPr="009D113B">
        <w:rPr>
          <w:lang w:val="fr-FR"/>
        </w:rPr>
        <w:t>G</w:t>
      </w:r>
      <w:r>
        <w:rPr>
          <w:lang w:val="fr-FR"/>
        </w:rPr>
        <w:t>roupe de travail technique sur les plantes ornementales</w:t>
      </w:r>
      <w:bookmarkEnd w:id="13"/>
      <w:bookmarkEnd w:id="14"/>
    </w:p>
    <w:p w:rsidR="0032181E" w:rsidRPr="009D113B" w:rsidRDefault="0032181E" w:rsidP="0032181E">
      <w:pPr>
        <w:rPr>
          <w:lang w:val="fr-FR"/>
        </w:rPr>
      </w:pPr>
    </w:p>
    <w:p w:rsidR="0032181E" w:rsidRPr="009D113B" w:rsidRDefault="0032181E" w:rsidP="0032181E">
      <w:pPr>
        <w:rPr>
          <w:lang w:val="fr-FR"/>
        </w:rPr>
      </w:pPr>
      <w:r w:rsidRPr="009D113B">
        <w:rPr>
          <w:lang w:val="fr-FR"/>
        </w:rPr>
        <w:fldChar w:fldCharType="begin"/>
      </w:r>
      <w:r w:rsidRPr="009D113B">
        <w:rPr>
          <w:lang w:val="fr-FR"/>
        </w:rPr>
        <w:instrText xml:space="preserve"> AUTONUM  </w:instrText>
      </w:r>
      <w:r w:rsidRPr="009D113B">
        <w:rPr>
          <w:lang w:val="fr-FR"/>
        </w:rPr>
        <w:fldChar w:fldCharType="end"/>
      </w:r>
      <w:r w:rsidRPr="009D113B">
        <w:rPr>
          <w:lang w:val="fr-FR"/>
        </w:rPr>
        <w:tab/>
      </w:r>
      <w:r>
        <w:rPr>
          <w:snapToGrid w:val="0"/>
          <w:lang w:val="fr-FR"/>
        </w:rPr>
        <w:t>À sa quarante</w:t>
      </w:r>
      <w:r>
        <w:rPr>
          <w:snapToGrid w:val="0"/>
          <w:lang w:val="fr-FR"/>
        </w:rPr>
        <w:noBreakHyphen/>
        <w:t>huitième session tenue à Cambridge (Royaume</w:t>
      </w:r>
      <w:r>
        <w:rPr>
          <w:snapToGrid w:val="0"/>
          <w:lang w:val="fr-FR"/>
        </w:rPr>
        <w:noBreakHyphen/>
        <w:t xml:space="preserve">Uni) du 14 au 18 septembre 2015, le TWO a examiné le document TWO/48/9 </w:t>
      </w:r>
      <w:r w:rsidRPr="009D113B">
        <w:rPr>
          <w:lang w:val="fr-FR"/>
        </w:rPr>
        <w:t>“</w:t>
      </w:r>
      <w:proofErr w:type="spellStart"/>
      <w:r w:rsidRPr="0065649C">
        <w:rPr>
          <w:i/>
          <w:lang w:val="fr-FR"/>
        </w:rPr>
        <w:t>Revision</w:t>
      </w:r>
      <w:proofErr w:type="spellEnd"/>
      <w:r w:rsidRPr="0065649C">
        <w:rPr>
          <w:i/>
          <w:lang w:val="fr-FR"/>
        </w:rPr>
        <w:t xml:space="preserve"> of document TGP/10 : New section : </w:t>
      </w:r>
      <w:proofErr w:type="spellStart"/>
      <w:r w:rsidRPr="0065649C">
        <w:rPr>
          <w:i/>
          <w:lang w:val="fr-FR"/>
        </w:rPr>
        <w:t>Assessing</w:t>
      </w:r>
      <w:proofErr w:type="spellEnd"/>
      <w:r w:rsidRPr="0065649C">
        <w:rPr>
          <w:i/>
          <w:lang w:val="fr-FR"/>
        </w:rPr>
        <w:t xml:space="preserve"> </w:t>
      </w:r>
      <w:proofErr w:type="spellStart"/>
      <w:r w:rsidRPr="0065649C">
        <w:rPr>
          <w:i/>
          <w:lang w:val="fr-FR"/>
        </w:rPr>
        <w:t>Uniformity</w:t>
      </w:r>
      <w:proofErr w:type="spellEnd"/>
      <w:r w:rsidRPr="0065649C">
        <w:rPr>
          <w:i/>
          <w:lang w:val="fr-FR"/>
        </w:rPr>
        <w:t xml:space="preserve"> by Off</w:t>
      </w:r>
      <w:r w:rsidRPr="0065649C">
        <w:rPr>
          <w:i/>
          <w:lang w:val="fr-FR"/>
        </w:rPr>
        <w:noBreakHyphen/>
        <w:t xml:space="preserve">Types on Basis of More </w:t>
      </w:r>
      <w:proofErr w:type="spellStart"/>
      <w:r w:rsidRPr="0065649C">
        <w:rPr>
          <w:i/>
          <w:lang w:val="fr-FR"/>
        </w:rPr>
        <w:t>than</w:t>
      </w:r>
      <w:proofErr w:type="spellEnd"/>
      <w:r w:rsidRPr="0065649C">
        <w:rPr>
          <w:i/>
          <w:lang w:val="fr-FR"/>
        </w:rPr>
        <w:t xml:space="preserve"> One </w:t>
      </w:r>
      <w:proofErr w:type="spellStart"/>
      <w:r w:rsidRPr="0065649C">
        <w:rPr>
          <w:i/>
          <w:lang w:val="fr-FR"/>
        </w:rPr>
        <w:t>Growing</w:t>
      </w:r>
      <w:proofErr w:type="spellEnd"/>
      <w:r w:rsidRPr="0065649C">
        <w:rPr>
          <w:i/>
          <w:lang w:val="fr-FR"/>
        </w:rPr>
        <w:t xml:space="preserve"> Cycle or on the Basis of </w:t>
      </w:r>
      <w:proofErr w:type="spellStart"/>
      <w:r w:rsidRPr="0065649C">
        <w:rPr>
          <w:i/>
          <w:lang w:val="fr-FR"/>
        </w:rPr>
        <w:t>Sub</w:t>
      </w:r>
      <w:r w:rsidRPr="0065649C">
        <w:rPr>
          <w:i/>
          <w:lang w:val="fr-FR"/>
        </w:rPr>
        <w:noBreakHyphen/>
        <w:t>Samples</w:t>
      </w:r>
      <w:proofErr w:type="spellEnd"/>
      <w:r w:rsidRPr="009D113B">
        <w:rPr>
          <w:lang w:val="fr-FR"/>
        </w:rPr>
        <w:t>”</w:t>
      </w:r>
      <w:r>
        <w:rPr>
          <w:lang w:val="fr-FR"/>
        </w:rPr>
        <w:t>.</w:t>
      </w:r>
    </w:p>
    <w:p w:rsidR="0032181E" w:rsidRPr="009D113B" w:rsidRDefault="0032181E" w:rsidP="0032181E">
      <w:pPr>
        <w:rPr>
          <w:lang w:val="fr-FR"/>
        </w:rPr>
      </w:pPr>
    </w:p>
    <w:p w:rsidR="0032181E" w:rsidRDefault="0032181E" w:rsidP="0032181E">
      <w:pPr>
        <w:rPr>
          <w:lang w:val="fr-FR"/>
        </w:rPr>
      </w:pPr>
      <w:r w:rsidRPr="009D113B">
        <w:rPr>
          <w:lang w:val="fr-FR"/>
        </w:rPr>
        <w:fldChar w:fldCharType="begin"/>
      </w:r>
      <w:r w:rsidRPr="009D113B">
        <w:rPr>
          <w:lang w:val="fr-FR"/>
        </w:rPr>
        <w:instrText xml:space="preserve"> AUTONUM  </w:instrText>
      </w:r>
      <w:r w:rsidRPr="009D113B">
        <w:rPr>
          <w:lang w:val="fr-FR"/>
        </w:rPr>
        <w:fldChar w:fldCharType="end"/>
      </w:r>
      <w:r w:rsidRPr="009D113B">
        <w:rPr>
          <w:lang w:val="fr-FR"/>
        </w:rPr>
        <w:tab/>
      </w:r>
      <w:r>
        <w:rPr>
          <w:lang w:val="fr-FR"/>
        </w:rPr>
        <w:t>Le TWO a noté que lorsque l’on évaluait l’homogénéité d’après les plantes hors</w:t>
      </w:r>
      <w:r>
        <w:rPr>
          <w:lang w:val="fr-FR"/>
        </w:rPr>
        <w:noBreakHyphen/>
        <w:t>type sur les mêmes plantes pendant deux cycles de végétation</w:t>
      </w:r>
      <w:r w:rsidRPr="009D113B">
        <w:rPr>
          <w:lang w:val="fr-FR"/>
        </w:rPr>
        <w:t xml:space="preserve"> </w:t>
      </w:r>
      <w:r>
        <w:rPr>
          <w:lang w:val="fr-FR"/>
        </w:rPr>
        <w:t>les mêmes plantes hors</w:t>
      </w:r>
      <w:r>
        <w:rPr>
          <w:lang w:val="fr-FR"/>
        </w:rPr>
        <w:noBreakHyphen/>
        <w:t>type observées dans le premier cycle de végétation seraient encore des plantes hors</w:t>
      </w:r>
      <w:r>
        <w:rPr>
          <w:lang w:val="fr-FR"/>
        </w:rPr>
        <w:noBreakHyphen/>
        <w:t>type dans le deuxième cycle de végétation en plus de tout autre plante hors</w:t>
      </w:r>
      <w:r>
        <w:rPr>
          <w:lang w:val="fr-FR"/>
        </w:rPr>
        <w:noBreakHyphen/>
        <w:t>type observée uniquement dans le deuxième cycle de végétation et est convenu que combiner les tailles des échantillons dans les deux cycles de végétation n’était pas utile pour l’évaluation de l’homogénéité d’après les plantes hors</w:t>
      </w:r>
      <w:r>
        <w:rPr>
          <w:lang w:val="fr-FR"/>
        </w:rPr>
        <w:noBreakHyphen/>
        <w:t>type dans le cas des plantes ornementales</w:t>
      </w:r>
      <w:r w:rsidRPr="009D113B">
        <w:rPr>
          <w:lang w:val="fr-FR"/>
        </w:rPr>
        <w:t>.</w:t>
      </w:r>
    </w:p>
    <w:p w:rsidR="0032181E" w:rsidRPr="009D113B" w:rsidRDefault="0032181E" w:rsidP="0032181E">
      <w:pPr>
        <w:rPr>
          <w:lang w:val="fr-FR"/>
        </w:rPr>
      </w:pPr>
    </w:p>
    <w:p w:rsidR="0032181E" w:rsidRDefault="0032181E" w:rsidP="0032181E">
      <w:pPr>
        <w:rPr>
          <w:lang w:val="fr-FR"/>
        </w:rPr>
      </w:pPr>
      <w:r w:rsidRPr="009D113B">
        <w:rPr>
          <w:lang w:val="fr-FR"/>
        </w:rPr>
        <w:fldChar w:fldCharType="begin"/>
      </w:r>
      <w:r w:rsidRPr="009D113B">
        <w:rPr>
          <w:lang w:val="fr-FR"/>
        </w:rPr>
        <w:instrText xml:space="preserve"> AUTONUM  </w:instrText>
      </w:r>
      <w:r w:rsidRPr="009D113B">
        <w:rPr>
          <w:lang w:val="fr-FR"/>
        </w:rPr>
        <w:fldChar w:fldCharType="end"/>
      </w:r>
      <w:r w:rsidRPr="009D113B">
        <w:rPr>
          <w:lang w:val="fr-FR"/>
        </w:rPr>
        <w:tab/>
      </w:r>
      <w:r>
        <w:rPr>
          <w:lang w:val="fr-FR"/>
        </w:rPr>
        <w:t xml:space="preserve">Le TWO est convenu qu’il y aurait lieu de préciser dans le </w:t>
      </w:r>
      <w:r w:rsidRPr="009D113B">
        <w:rPr>
          <w:lang w:val="fr-FR"/>
        </w:rPr>
        <w:t xml:space="preserve">document TWO/48/9 </w:t>
      </w:r>
      <w:r>
        <w:rPr>
          <w:lang w:val="fr-FR"/>
        </w:rPr>
        <w:t>que les orientations données ne sont pas destinées à être utilisées pour l’évaluation de l’homogénéité d’après les plantes hors</w:t>
      </w:r>
      <w:r>
        <w:rPr>
          <w:lang w:val="fr-FR"/>
        </w:rPr>
        <w:noBreakHyphen/>
        <w:t>type sur les mêmes plantes pendant deux cycles de végétation</w:t>
      </w:r>
      <w:r w:rsidRPr="009D113B">
        <w:rPr>
          <w:lang w:val="fr-FR"/>
        </w:rPr>
        <w:t>.</w:t>
      </w:r>
    </w:p>
    <w:p w:rsidR="0032181E" w:rsidRPr="009D113B" w:rsidRDefault="0032181E" w:rsidP="0032181E">
      <w:pPr>
        <w:rPr>
          <w:lang w:val="fr-FR"/>
        </w:rPr>
      </w:pPr>
    </w:p>
    <w:p w:rsidR="0032181E" w:rsidRDefault="0032181E" w:rsidP="0032181E">
      <w:pPr>
        <w:rPr>
          <w:lang w:val="fr-FR"/>
        </w:rPr>
      </w:pPr>
      <w:r w:rsidRPr="009D113B">
        <w:rPr>
          <w:lang w:val="fr-FR"/>
        </w:rPr>
        <w:fldChar w:fldCharType="begin"/>
      </w:r>
      <w:r w:rsidRPr="009D113B">
        <w:rPr>
          <w:lang w:val="fr-FR"/>
        </w:rPr>
        <w:instrText xml:space="preserve"> AUTONUM  </w:instrText>
      </w:r>
      <w:r w:rsidRPr="009D113B">
        <w:rPr>
          <w:lang w:val="fr-FR"/>
        </w:rPr>
        <w:fldChar w:fldCharType="end"/>
      </w:r>
      <w:r w:rsidRPr="009D113B">
        <w:rPr>
          <w:lang w:val="fr-FR"/>
        </w:rPr>
        <w:tab/>
      </w:r>
      <w:r>
        <w:rPr>
          <w:lang w:val="fr-FR"/>
        </w:rPr>
        <w:t>Le TWO est également convenu que le nombre de plantes hors</w:t>
      </w:r>
      <w:r>
        <w:rPr>
          <w:lang w:val="fr-FR"/>
        </w:rPr>
        <w:noBreakHyphen/>
        <w:t xml:space="preserve">type indiqué dans les exemples fournis à l’annexe I, dans la colonne correspondant au deuxième cycle de végétation, lignes 2 et 3 </w:t>
      </w:r>
      <w:r w:rsidRPr="009D113B">
        <w:rPr>
          <w:lang w:val="fr-FR"/>
        </w:rPr>
        <w:t>(</w:t>
      </w:r>
      <w:r>
        <w:rPr>
          <w:lang w:val="fr-FR"/>
        </w:rPr>
        <w:t>nombre de plantes hors</w:t>
      </w:r>
      <w:r>
        <w:rPr>
          <w:lang w:val="fr-FR"/>
        </w:rPr>
        <w:noBreakHyphen/>
        <w:t>type = 3</w:t>
      </w:r>
      <w:r w:rsidRPr="009D113B">
        <w:rPr>
          <w:lang w:val="fr-FR"/>
        </w:rPr>
        <w:t xml:space="preserve">), </w:t>
      </w:r>
      <w:r>
        <w:rPr>
          <w:lang w:val="fr-FR"/>
        </w:rPr>
        <w:t>devrait être suivi d’un astérisque pour indiquer qu’</w:t>
      </w:r>
      <w:r w:rsidRPr="009D113B">
        <w:rPr>
          <w:lang w:val="fr-FR"/>
        </w:rPr>
        <w:t>“</w:t>
      </w:r>
      <w:r>
        <w:rPr>
          <w:rFonts w:cs="Arial"/>
          <w:lang w:val="fr-FR"/>
        </w:rPr>
        <w:t>[i]</w:t>
      </w:r>
      <w:r w:rsidRPr="00EC40BF">
        <w:rPr>
          <w:lang w:val="fr-FR"/>
        </w:rPr>
        <w:t>l faut faire preuve de prudence lorsqu</w:t>
      </w:r>
      <w:r>
        <w:rPr>
          <w:lang w:val="fr-FR"/>
        </w:rPr>
        <w:t>’</w:t>
      </w:r>
      <w:r w:rsidRPr="00EC40BF">
        <w:rPr>
          <w:lang w:val="fr-FR"/>
        </w:rPr>
        <w:t>on examine des résultats très différents dans chacun des cycles de végétation, notamment lorsqu</w:t>
      </w:r>
      <w:r>
        <w:rPr>
          <w:lang w:val="fr-FR"/>
        </w:rPr>
        <w:t>’</w:t>
      </w:r>
      <w:r w:rsidRPr="00EC40BF">
        <w:rPr>
          <w:lang w:val="fr-FR"/>
        </w:rPr>
        <w:t>un type de plante hors</w:t>
      </w:r>
      <w:r>
        <w:rPr>
          <w:lang w:val="fr-FR"/>
        </w:rPr>
        <w:noBreakHyphen/>
      </w:r>
      <w:r w:rsidRPr="00EC40BF">
        <w:rPr>
          <w:lang w:val="fr-FR"/>
        </w:rPr>
        <w:t>type a été observé à un niveau élevé dans un cycle de végétation tout en étant absent dans un autre</w:t>
      </w:r>
      <w:r w:rsidRPr="009D113B">
        <w:rPr>
          <w:lang w:val="fr-FR"/>
        </w:rPr>
        <w:t>”</w:t>
      </w:r>
      <w:r>
        <w:rPr>
          <w:lang w:val="fr-FR"/>
        </w:rPr>
        <w:t>.</w:t>
      </w:r>
    </w:p>
    <w:p w:rsidR="0032181E" w:rsidRDefault="0032181E" w:rsidP="0032181E">
      <w:pPr>
        <w:rPr>
          <w:lang w:val="fr-FR"/>
        </w:rPr>
      </w:pPr>
    </w:p>
    <w:p w:rsidR="0065649C" w:rsidRPr="009D113B" w:rsidRDefault="0065649C" w:rsidP="0032181E">
      <w:pPr>
        <w:rPr>
          <w:lang w:val="fr-FR"/>
        </w:rPr>
      </w:pPr>
    </w:p>
    <w:p w:rsidR="0032181E" w:rsidRPr="009D113B" w:rsidRDefault="0032181E" w:rsidP="0032181E">
      <w:pPr>
        <w:pStyle w:val="Heading1"/>
        <w:rPr>
          <w:lang w:val="fr-FR"/>
        </w:rPr>
      </w:pPr>
      <w:bookmarkStart w:id="15" w:name="_Toc440299526"/>
      <w:bookmarkStart w:id="16" w:name="_Toc442255466"/>
      <w:r>
        <w:rPr>
          <w:lang w:val="fr-FR"/>
        </w:rPr>
        <w:t>résumé des méthodes</w:t>
      </w:r>
      <w:bookmarkEnd w:id="15"/>
      <w:r>
        <w:rPr>
          <w:lang w:val="fr-FR"/>
        </w:rPr>
        <w:t xml:space="preserve"> présentées</w:t>
      </w:r>
      <w:bookmarkEnd w:id="16"/>
    </w:p>
    <w:p w:rsidR="0032181E" w:rsidRPr="009D113B" w:rsidRDefault="0032181E" w:rsidP="0032181E">
      <w:pPr>
        <w:keepNext/>
        <w:rPr>
          <w:rFonts w:cs="Arial"/>
          <w:caps/>
          <w:snapToGrid w:val="0"/>
          <w:lang w:val="fr-FR"/>
        </w:rPr>
      </w:pPr>
    </w:p>
    <w:p w:rsidR="0032181E" w:rsidRPr="009D113B" w:rsidRDefault="0032181E" w:rsidP="0032181E">
      <w:pPr>
        <w:keepNext/>
        <w:rPr>
          <w:szCs w:val="24"/>
          <w:lang w:val="fr-FR"/>
        </w:rPr>
      </w:pPr>
      <w:r w:rsidRPr="009D113B">
        <w:rPr>
          <w:lang w:val="fr-FR"/>
        </w:rPr>
        <w:fldChar w:fldCharType="begin"/>
      </w:r>
      <w:r w:rsidRPr="009D113B">
        <w:rPr>
          <w:lang w:val="fr-FR"/>
        </w:rPr>
        <w:instrText xml:space="preserve"> AUTONUM  </w:instrText>
      </w:r>
      <w:r w:rsidRPr="009D113B">
        <w:rPr>
          <w:lang w:val="fr-FR"/>
        </w:rPr>
        <w:fldChar w:fldCharType="end"/>
      </w:r>
      <w:r w:rsidRPr="009D113B">
        <w:rPr>
          <w:lang w:val="fr-FR"/>
        </w:rPr>
        <w:tab/>
      </w:r>
      <w:r>
        <w:rPr>
          <w:lang w:val="fr-FR"/>
        </w:rPr>
        <w:t>Les annexes I et II du présent document présentent un résumé des différentes situations dans lesquelles différents échantillons sont combinés aux fins de l’évaluation globale de l’homogénéité d’une variété, conformément aux conclusions formulées par le TC à sa cinquante et unième session et sur la base des propositions faites par les TWP à leurs sessions en 2015</w:t>
      </w:r>
      <w:r>
        <w:rPr>
          <w:szCs w:val="24"/>
          <w:lang w:val="fr-FR"/>
        </w:rPr>
        <w:t>.</w:t>
      </w:r>
    </w:p>
    <w:p w:rsidR="0032181E" w:rsidRPr="009D113B" w:rsidRDefault="0032181E" w:rsidP="0032181E">
      <w:pPr>
        <w:snapToGrid w:val="0"/>
        <w:jc w:val="left"/>
        <w:rPr>
          <w:szCs w:val="24"/>
          <w:lang w:val="fr-FR"/>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32181E" w:rsidRPr="009D113B" w:rsidTr="00E77C3B">
        <w:trPr>
          <w:cantSplit/>
          <w:jc w:val="center"/>
        </w:trPr>
        <w:tc>
          <w:tcPr>
            <w:tcW w:w="6664" w:type="dxa"/>
            <w:shd w:val="clear" w:color="auto" w:fill="E6E6E6"/>
          </w:tcPr>
          <w:p w:rsidR="0032181E" w:rsidRPr="009D113B" w:rsidRDefault="0032181E" w:rsidP="00E77C3B">
            <w:pPr>
              <w:jc w:val="center"/>
              <w:rPr>
                <w:rFonts w:cs="Arial"/>
                <w:sz w:val="18"/>
                <w:szCs w:val="22"/>
                <w:u w:val="single"/>
                <w:lang w:val="fr-FR"/>
              </w:rPr>
            </w:pPr>
            <w:r w:rsidRPr="009D113B">
              <w:rPr>
                <w:rFonts w:cs="Arial"/>
                <w:sz w:val="18"/>
                <w:szCs w:val="22"/>
                <w:u w:val="single"/>
                <w:lang w:val="fr-FR"/>
              </w:rPr>
              <w:t>Note</w:t>
            </w:r>
            <w:r>
              <w:rPr>
                <w:rFonts w:cs="Arial"/>
                <w:sz w:val="18"/>
                <w:szCs w:val="22"/>
                <w:u w:val="single"/>
                <w:lang w:val="fr-FR"/>
              </w:rPr>
              <w:t xml:space="preserve"> concernant les révisions apportées à l’annexe I</w:t>
            </w:r>
          </w:p>
          <w:p w:rsidR="0032181E" w:rsidRPr="009D113B" w:rsidRDefault="0032181E" w:rsidP="00E77C3B">
            <w:pPr>
              <w:rPr>
                <w:rFonts w:cs="Arial"/>
                <w:sz w:val="18"/>
                <w:szCs w:val="22"/>
                <w:u w:val="single"/>
                <w:lang w:val="fr-FR"/>
              </w:rPr>
            </w:pPr>
          </w:p>
          <w:p w:rsidR="0032181E" w:rsidRPr="009D113B" w:rsidRDefault="0032181E" w:rsidP="00E77C3B">
            <w:pPr>
              <w:rPr>
                <w:rFonts w:cs="Arial"/>
                <w:sz w:val="18"/>
                <w:szCs w:val="22"/>
                <w:lang w:val="fr-FR"/>
              </w:rPr>
            </w:pPr>
            <w:r>
              <w:rPr>
                <w:rFonts w:cs="Arial"/>
                <w:b/>
                <w:strike/>
                <w:sz w:val="18"/>
                <w:szCs w:val="22"/>
                <w:lang w:val="fr-FR"/>
              </w:rPr>
              <w:t>Texte biffé</w:t>
            </w:r>
            <w:r w:rsidRPr="009D113B">
              <w:rPr>
                <w:rFonts w:cs="Arial"/>
                <w:b/>
                <w:sz w:val="18"/>
                <w:szCs w:val="22"/>
                <w:lang w:val="fr-FR"/>
              </w:rPr>
              <w:t xml:space="preserve"> (</w:t>
            </w:r>
            <w:r>
              <w:rPr>
                <w:rFonts w:cs="Arial"/>
                <w:b/>
                <w:sz w:val="18"/>
                <w:szCs w:val="22"/>
                <w:lang w:val="fr-FR"/>
              </w:rPr>
              <w:t>en surbrillance</w:t>
            </w:r>
            <w:r w:rsidRPr="009D113B">
              <w:rPr>
                <w:rFonts w:cs="Arial"/>
                <w:b/>
                <w:sz w:val="18"/>
                <w:szCs w:val="22"/>
                <w:lang w:val="fr-FR"/>
              </w:rPr>
              <w:t>)</w:t>
            </w:r>
            <w:r>
              <w:rPr>
                <w:rFonts w:cs="Arial"/>
                <w:sz w:val="18"/>
                <w:szCs w:val="22"/>
                <w:lang w:val="fr-FR"/>
              </w:rPr>
              <w:t> : indique une proposition de suppression dans le texte conformément aux modifications proposées par les TWP à leurs sessions en 2015</w:t>
            </w:r>
            <w:r w:rsidRPr="009D113B">
              <w:rPr>
                <w:rFonts w:cs="Arial"/>
                <w:sz w:val="18"/>
                <w:szCs w:val="22"/>
                <w:lang w:val="fr-FR"/>
              </w:rPr>
              <w:t>.</w:t>
            </w:r>
          </w:p>
          <w:p w:rsidR="0032181E" w:rsidRPr="009D113B" w:rsidRDefault="0032181E" w:rsidP="00E77C3B">
            <w:pPr>
              <w:rPr>
                <w:rFonts w:cs="Arial"/>
                <w:sz w:val="18"/>
                <w:szCs w:val="22"/>
                <w:lang w:val="fr-FR"/>
              </w:rPr>
            </w:pPr>
          </w:p>
          <w:p w:rsidR="0032181E" w:rsidRPr="009D113B" w:rsidRDefault="0032181E" w:rsidP="00E77C3B">
            <w:pPr>
              <w:rPr>
                <w:rFonts w:cs="Arial"/>
                <w:sz w:val="18"/>
                <w:szCs w:val="22"/>
                <w:lang w:val="fr-FR"/>
              </w:rPr>
            </w:pPr>
            <w:r>
              <w:rPr>
                <w:rFonts w:cs="Arial"/>
                <w:b/>
                <w:sz w:val="18"/>
                <w:szCs w:val="22"/>
                <w:u w:val="single"/>
                <w:lang w:val="fr-FR"/>
              </w:rPr>
              <w:t>Texte souligné</w:t>
            </w:r>
            <w:r w:rsidRPr="009D113B">
              <w:rPr>
                <w:rFonts w:cs="Arial"/>
                <w:b/>
                <w:sz w:val="18"/>
                <w:szCs w:val="22"/>
                <w:lang w:val="fr-FR"/>
              </w:rPr>
              <w:t xml:space="preserve"> (</w:t>
            </w:r>
            <w:r>
              <w:rPr>
                <w:rFonts w:cs="Arial"/>
                <w:b/>
                <w:sz w:val="18"/>
                <w:szCs w:val="22"/>
                <w:lang w:val="fr-FR"/>
              </w:rPr>
              <w:t>en surbrillance</w:t>
            </w:r>
            <w:r w:rsidRPr="009D113B">
              <w:rPr>
                <w:rFonts w:cs="Arial"/>
                <w:b/>
                <w:sz w:val="18"/>
                <w:szCs w:val="22"/>
                <w:lang w:val="fr-FR"/>
              </w:rPr>
              <w:t>)</w:t>
            </w:r>
            <w:r>
              <w:rPr>
                <w:rFonts w:cs="Arial"/>
                <w:sz w:val="18"/>
                <w:szCs w:val="22"/>
                <w:lang w:val="fr-FR"/>
              </w:rPr>
              <w:t> : indique une proposition d’insertion dans le texte conformément aux modifications proposées par les TWP à leurs sessions en 2015</w:t>
            </w:r>
            <w:r w:rsidRPr="009D113B">
              <w:rPr>
                <w:rFonts w:cs="Arial"/>
                <w:sz w:val="18"/>
                <w:szCs w:val="22"/>
                <w:lang w:val="fr-FR"/>
              </w:rPr>
              <w:t>.</w:t>
            </w:r>
          </w:p>
        </w:tc>
      </w:tr>
    </w:tbl>
    <w:p w:rsidR="0032181E" w:rsidRPr="009D113B" w:rsidRDefault="0032181E" w:rsidP="0032181E">
      <w:pPr>
        <w:snapToGrid w:val="0"/>
        <w:jc w:val="left"/>
        <w:rPr>
          <w:szCs w:val="24"/>
          <w:lang w:val="fr-FR"/>
        </w:rPr>
      </w:pPr>
    </w:p>
    <w:p w:rsidR="0032181E" w:rsidRPr="009D113B" w:rsidRDefault="0032181E" w:rsidP="0032181E">
      <w:pPr>
        <w:autoSpaceDE w:val="0"/>
        <w:autoSpaceDN w:val="0"/>
        <w:adjustRightInd w:val="0"/>
        <w:snapToGrid w:val="0"/>
        <w:rPr>
          <w:i/>
          <w:szCs w:val="24"/>
          <w:lang w:val="fr-FR"/>
        </w:rPr>
      </w:pPr>
      <w:r w:rsidRPr="009D113B">
        <w:rPr>
          <w:i/>
          <w:szCs w:val="24"/>
          <w:lang w:val="fr-FR"/>
        </w:rPr>
        <w:t>Annex</w:t>
      </w:r>
      <w:r>
        <w:rPr>
          <w:i/>
          <w:szCs w:val="24"/>
          <w:lang w:val="fr-FR"/>
        </w:rPr>
        <w:t>e </w:t>
      </w:r>
      <w:r w:rsidRPr="009D113B">
        <w:rPr>
          <w:i/>
          <w:szCs w:val="24"/>
          <w:lang w:val="fr-FR"/>
        </w:rPr>
        <w:t>I</w:t>
      </w:r>
      <w:r>
        <w:rPr>
          <w:i/>
          <w:szCs w:val="24"/>
          <w:lang w:val="fr-FR"/>
        </w:rPr>
        <w:t> </w:t>
      </w:r>
      <w:r w:rsidRPr="009D113B">
        <w:rPr>
          <w:i/>
          <w:szCs w:val="24"/>
          <w:lang w:val="fr-FR"/>
        </w:rPr>
        <w:t xml:space="preserve">: </w:t>
      </w:r>
      <w:r>
        <w:rPr>
          <w:i/>
          <w:szCs w:val="24"/>
          <w:lang w:val="fr-FR"/>
        </w:rPr>
        <w:t>Évaluation de l’homogénéité d’après les plantes hors</w:t>
      </w:r>
      <w:r>
        <w:rPr>
          <w:i/>
          <w:szCs w:val="24"/>
          <w:lang w:val="fr-FR"/>
        </w:rPr>
        <w:noBreakHyphen/>
        <w:t>type sur la base de plusieurs cycles de végétation</w:t>
      </w:r>
    </w:p>
    <w:p w:rsidR="0032181E" w:rsidRPr="009D113B" w:rsidRDefault="0032181E" w:rsidP="0032181E">
      <w:pPr>
        <w:autoSpaceDE w:val="0"/>
        <w:autoSpaceDN w:val="0"/>
        <w:adjustRightInd w:val="0"/>
        <w:snapToGrid w:val="0"/>
        <w:ind w:left="567"/>
        <w:rPr>
          <w:szCs w:val="24"/>
          <w:lang w:val="fr-FR"/>
        </w:rPr>
      </w:pPr>
    </w:p>
    <w:p w:rsidR="0032181E" w:rsidRDefault="0032181E" w:rsidP="0032181E">
      <w:pPr>
        <w:autoSpaceDE w:val="0"/>
        <w:autoSpaceDN w:val="0"/>
        <w:adjustRightInd w:val="0"/>
        <w:snapToGrid w:val="0"/>
        <w:ind w:left="567" w:firstLine="273"/>
        <w:rPr>
          <w:szCs w:val="24"/>
          <w:lang w:val="fr-FR"/>
        </w:rPr>
      </w:pPr>
      <w:r>
        <w:rPr>
          <w:szCs w:val="24"/>
          <w:lang w:val="fr-FR"/>
        </w:rPr>
        <w:t>Méthode</w:t>
      </w:r>
      <w:r w:rsidRPr="009D113B">
        <w:rPr>
          <w:szCs w:val="24"/>
          <w:lang w:val="fr-FR"/>
        </w:rPr>
        <w:t xml:space="preserve"> 1</w:t>
      </w:r>
      <w:r>
        <w:rPr>
          <w:szCs w:val="24"/>
          <w:lang w:val="fr-FR"/>
        </w:rPr>
        <w:t> :</w:t>
      </w:r>
      <w:r w:rsidRPr="009D113B">
        <w:rPr>
          <w:szCs w:val="24"/>
          <w:lang w:val="fr-FR"/>
        </w:rPr>
        <w:t xml:space="preserve"> </w:t>
      </w:r>
      <w:r>
        <w:rPr>
          <w:szCs w:val="24"/>
          <w:lang w:val="fr-FR"/>
        </w:rPr>
        <w:t>Troisième cycle de végétation si les résultats sont incompatibles</w:t>
      </w:r>
    </w:p>
    <w:p w:rsidR="0032181E" w:rsidRPr="009D113B" w:rsidRDefault="0032181E" w:rsidP="0032181E">
      <w:pPr>
        <w:autoSpaceDE w:val="0"/>
        <w:autoSpaceDN w:val="0"/>
        <w:adjustRightInd w:val="0"/>
        <w:snapToGrid w:val="0"/>
        <w:ind w:left="840"/>
        <w:rPr>
          <w:szCs w:val="24"/>
          <w:u w:val="single"/>
          <w:lang w:val="fr-FR"/>
        </w:rPr>
      </w:pPr>
      <w:r>
        <w:rPr>
          <w:szCs w:val="24"/>
          <w:lang w:val="fr-FR"/>
        </w:rPr>
        <w:t>Méthode</w:t>
      </w:r>
      <w:r w:rsidRPr="009D113B">
        <w:rPr>
          <w:szCs w:val="24"/>
          <w:lang w:val="fr-FR"/>
        </w:rPr>
        <w:t xml:space="preserve"> 2</w:t>
      </w:r>
      <w:r>
        <w:rPr>
          <w:szCs w:val="24"/>
          <w:lang w:val="fr-FR"/>
        </w:rPr>
        <w:t> :</w:t>
      </w:r>
      <w:r w:rsidRPr="009D113B">
        <w:rPr>
          <w:szCs w:val="24"/>
          <w:lang w:val="fr-FR"/>
        </w:rPr>
        <w:t xml:space="preserve"> </w:t>
      </w:r>
      <w:r>
        <w:rPr>
          <w:szCs w:val="24"/>
          <w:lang w:val="fr-FR"/>
        </w:rPr>
        <w:t>Combiner les résultats de deux cycles de végétation</w:t>
      </w:r>
      <w:r w:rsidRPr="009D113B">
        <w:rPr>
          <w:szCs w:val="24"/>
          <w:lang w:val="fr-FR"/>
        </w:rPr>
        <w:t xml:space="preserve"> </w:t>
      </w:r>
      <w:r>
        <w:rPr>
          <w:szCs w:val="24"/>
          <w:highlight w:val="lightGray"/>
          <w:u w:val="single"/>
          <w:lang w:val="fr-FR"/>
        </w:rPr>
        <w:t>si les résultats sont incompatibles</w:t>
      </w:r>
    </w:p>
    <w:p w:rsidR="0032181E" w:rsidRPr="009D113B" w:rsidRDefault="0032181E" w:rsidP="0032181E">
      <w:pPr>
        <w:autoSpaceDE w:val="0"/>
        <w:autoSpaceDN w:val="0"/>
        <w:adjustRightInd w:val="0"/>
        <w:snapToGrid w:val="0"/>
        <w:ind w:left="567" w:firstLine="273"/>
        <w:rPr>
          <w:szCs w:val="24"/>
          <w:u w:val="single"/>
          <w:lang w:val="fr-FR"/>
        </w:rPr>
      </w:pPr>
      <w:r>
        <w:rPr>
          <w:szCs w:val="24"/>
          <w:highlight w:val="lightGray"/>
          <w:u w:val="single"/>
          <w:lang w:val="fr-FR"/>
        </w:rPr>
        <w:t>Méthode</w:t>
      </w:r>
      <w:r w:rsidRPr="009D113B">
        <w:rPr>
          <w:szCs w:val="24"/>
          <w:highlight w:val="lightGray"/>
          <w:u w:val="single"/>
          <w:lang w:val="fr-FR"/>
        </w:rPr>
        <w:t xml:space="preserve"> 3</w:t>
      </w:r>
      <w:r>
        <w:rPr>
          <w:szCs w:val="24"/>
          <w:highlight w:val="lightGray"/>
          <w:u w:val="single"/>
          <w:lang w:val="fr-FR"/>
        </w:rPr>
        <w:t> </w:t>
      </w:r>
      <w:r w:rsidRPr="009D113B">
        <w:rPr>
          <w:szCs w:val="24"/>
          <w:highlight w:val="lightGray"/>
          <w:u w:val="single"/>
          <w:lang w:val="fr-FR"/>
        </w:rPr>
        <w:t xml:space="preserve">: </w:t>
      </w:r>
      <w:r>
        <w:rPr>
          <w:szCs w:val="24"/>
          <w:highlight w:val="lightGray"/>
          <w:u w:val="single"/>
          <w:lang w:val="fr-FR"/>
        </w:rPr>
        <w:t>Combiner les résultats de deux cycles de végétation</w:t>
      </w:r>
    </w:p>
    <w:p w:rsidR="0032181E" w:rsidRPr="009D113B" w:rsidRDefault="0032181E" w:rsidP="0032181E">
      <w:pPr>
        <w:jc w:val="left"/>
        <w:rPr>
          <w:szCs w:val="24"/>
          <w:lang w:val="fr-FR"/>
        </w:rPr>
      </w:pPr>
    </w:p>
    <w:p w:rsidR="0032181E" w:rsidRPr="009D113B" w:rsidRDefault="0032181E" w:rsidP="0032181E">
      <w:pPr>
        <w:keepNext/>
        <w:snapToGrid w:val="0"/>
        <w:jc w:val="left"/>
        <w:rPr>
          <w:i/>
          <w:szCs w:val="24"/>
          <w:lang w:val="fr-FR"/>
        </w:rPr>
      </w:pPr>
      <w:r w:rsidRPr="009D113B">
        <w:rPr>
          <w:i/>
          <w:szCs w:val="24"/>
          <w:lang w:val="fr-FR"/>
        </w:rPr>
        <w:t>Annex</w:t>
      </w:r>
      <w:r>
        <w:rPr>
          <w:i/>
          <w:szCs w:val="24"/>
          <w:lang w:val="fr-FR"/>
        </w:rPr>
        <w:t>e </w:t>
      </w:r>
      <w:r w:rsidRPr="009D113B">
        <w:rPr>
          <w:i/>
          <w:szCs w:val="24"/>
          <w:lang w:val="fr-FR"/>
        </w:rPr>
        <w:t>II</w:t>
      </w:r>
      <w:r>
        <w:rPr>
          <w:i/>
          <w:szCs w:val="24"/>
          <w:lang w:val="fr-FR"/>
        </w:rPr>
        <w:t> :</w:t>
      </w:r>
      <w:r w:rsidRPr="009D113B">
        <w:rPr>
          <w:i/>
          <w:szCs w:val="24"/>
          <w:lang w:val="fr-FR"/>
        </w:rPr>
        <w:t xml:space="preserve"> </w:t>
      </w:r>
      <w:r>
        <w:rPr>
          <w:i/>
          <w:szCs w:val="24"/>
          <w:lang w:val="fr-FR"/>
        </w:rPr>
        <w:t>Évaluation de sous</w:t>
      </w:r>
      <w:r>
        <w:rPr>
          <w:i/>
          <w:szCs w:val="24"/>
          <w:lang w:val="fr-FR"/>
        </w:rPr>
        <w:noBreakHyphen/>
        <w:t>échantillons dans le cadre d’un seul examen/essai</w:t>
      </w:r>
    </w:p>
    <w:p w:rsidR="0032181E" w:rsidRPr="009D113B" w:rsidRDefault="0032181E" w:rsidP="0032181E">
      <w:pPr>
        <w:keepNext/>
        <w:snapToGrid w:val="0"/>
        <w:ind w:left="567"/>
        <w:jc w:val="left"/>
        <w:rPr>
          <w:i/>
          <w:szCs w:val="24"/>
          <w:lang w:val="fr-FR"/>
        </w:rPr>
      </w:pPr>
    </w:p>
    <w:p w:rsidR="0032181E" w:rsidRDefault="0032181E" w:rsidP="0032181E">
      <w:pPr>
        <w:keepNext/>
        <w:snapToGrid w:val="0"/>
        <w:ind w:left="567" w:firstLine="273"/>
        <w:jc w:val="left"/>
        <w:rPr>
          <w:szCs w:val="24"/>
          <w:lang w:val="fr-FR"/>
        </w:rPr>
      </w:pPr>
      <w:r>
        <w:rPr>
          <w:szCs w:val="24"/>
          <w:lang w:val="fr-FR"/>
        </w:rPr>
        <w:t>Méthode :</w:t>
      </w:r>
      <w:r w:rsidRPr="009D113B">
        <w:rPr>
          <w:szCs w:val="24"/>
          <w:lang w:val="fr-FR"/>
        </w:rPr>
        <w:t xml:space="preserve"> </w:t>
      </w:r>
      <w:r>
        <w:rPr>
          <w:szCs w:val="24"/>
          <w:lang w:val="fr-FR"/>
        </w:rPr>
        <w:t>Sous</w:t>
      </w:r>
      <w:r>
        <w:rPr>
          <w:szCs w:val="24"/>
          <w:lang w:val="fr-FR"/>
        </w:rPr>
        <w:noBreakHyphen/>
        <w:t>échantillon comme première étape d’évaluation</w:t>
      </w:r>
    </w:p>
    <w:p w:rsidR="0032181E" w:rsidRPr="009D113B" w:rsidRDefault="0032181E" w:rsidP="0032181E">
      <w:pPr>
        <w:snapToGrid w:val="0"/>
        <w:jc w:val="left"/>
        <w:rPr>
          <w:szCs w:val="24"/>
          <w:lang w:val="fr-FR"/>
        </w:rPr>
      </w:pPr>
    </w:p>
    <w:p w:rsidR="0032181E" w:rsidRPr="009D113B" w:rsidRDefault="0032181E" w:rsidP="0032181E">
      <w:pPr>
        <w:rPr>
          <w:lang w:val="fr-FR"/>
        </w:rPr>
      </w:pPr>
      <w:r w:rsidRPr="009D113B">
        <w:rPr>
          <w:lang w:val="fr-FR"/>
        </w:rPr>
        <w:fldChar w:fldCharType="begin"/>
      </w:r>
      <w:r w:rsidRPr="009D113B">
        <w:rPr>
          <w:lang w:val="fr-FR"/>
        </w:rPr>
        <w:instrText xml:space="preserve"> AUTONUM  </w:instrText>
      </w:r>
      <w:r w:rsidRPr="009D113B">
        <w:rPr>
          <w:lang w:val="fr-FR"/>
        </w:rPr>
        <w:fldChar w:fldCharType="end"/>
      </w:r>
      <w:r w:rsidRPr="009D113B">
        <w:rPr>
          <w:lang w:val="fr-FR"/>
        </w:rPr>
        <w:tab/>
      </w:r>
      <w:r>
        <w:rPr>
          <w:lang w:val="fr-FR"/>
        </w:rPr>
        <w:t>Le résumé qui figure dans les annexes I et II porte uniquement sur des situations dans lesquelles plus d’un échantillon ou sous</w:t>
      </w:r>
      <w:r>
        <w:rPr>
          <w:lang w:val="fr-FR"/>
        </w:rPr>
        <w:noBreakHyphen/>
        <w:t>échantillon concerne l’examen du même caractère</w:t>
      </w:r>
      <w:r w:rsidRPr="009D113B">
        <w:rPr>
          <w:lang w:val="fr-FR"/>
        </w:rPr>
        <w:t xml:space="preserve">.  </w:t>
      </w:r>
      <w:r>
        <w:rPr>
          <w:lang w:val="fr-FR"/>
        </w:rPr>
        <w:t>Lorsque les échantillons ou sous</w:t>
      </w:r>
      <w:r>
        <w:rPr>
          <w:lang w:val="fr-FR"/>
        </w:rPr>
        <w:noBreakHyphen/>
        <w:t>échantillons (p. ex. examen spécial) sont différents pour examiner un caractère différent, il n’est pas obligatoire de combiner les résultats car une variété doit être homogène pour tous les caractères pertinents</w:t>
      </w:r>
      <w:r w:rsidRPr="009D113B">
        <w:rPr>
          <w:lang w:val="fr-FR"/>
        </w:rPr>
        <w:t>.</w:t>
      </w:r>
    </w:p>
    <w:p w:rsidR="0032181E" w:rsidRPr="009D113B" w:rsidRDefault="0032181E" w:rsidP="0032181E">
      <w:pPr>
        <w:jc w:val="left"/>
        <w:rPr>
          <w:szCs w:val="24"/>
          <w:lang w:val="fr-FR"/>
        </w:rPr>
      </w:pPr>
    </w:p>
    <w:p w:rsidR="0032181E" w:rsidRDefault="0032181E" w:rsidP="0065649C">
      <w:pPr>
        <w:pStyle w:val="DecisionParagraphs"/>
        <w:keepNext/>
        <w:rPr>
          <w:lang w:val="fr-FR"/>
        </w:rPr>
      </w:pPr>
      <w:r w:rsidRPr="009D113B">
        <w:rPr>
          <w:lang w:val="fr-FR"/>
        </w:rPr>
        <w:fldChar w:fldCharType="begin"/>
      </w:r>
      <w:r w:rsidRPr="009D113B">
        <w:rPr>
          <w:lang w:val="fr-FR"/>
        </w:rPr>
        <w:instrText xml:space="preserve"> AUTONUM  </w:instrText>
      </w:r>
      <w:r w:rsidRPr="009D113B">
        <w:rPr>
          <w:lang w:val="fr-FR"/>
        </w:rPr>
        <w:fldChar w:fldCharType="end"/>
      </w:r>
      <w:r w:rsidRPr="009D113B">
        <w:rPr>
          <w:lang w:val="fr-FR"/>
        </w:rPr>
        <w:tab/>
      </w:r>
      <w:r>
        <w:rPr>
          <w:lang w:val="fr-FR"/>
        </w:rPr>
        <w:t>Le TC est invité</w:t>
      </w:r>
      <w:r w:rsidR="00CB1142">
        <w:rPr>
          <w:lang w:val="fr-FR"/>
        </w:rPr>
        <w:t xml:space="preserve"> à :</w:t>
      </w:r>
    </w:p>
    <w:p w:rsidR="0032181E" w:rsidRPr="009D113B" w:rsidRDefault="0032181E" w:rsidP="0032181E">
      <w:pPr>
        <w:pStyle w:val="DecisionParagraphs"/>
        <w:keepLines/>
        <w:tabs>
          <w:tab w:val="clear" w:pos="5387"/>
          <w:tab w:val="left" w:pos="5954"/>
        </w:tabs>
        <w:ind w:firstLine="567"/>
        <w:rPr>
          <w:lang w:val="fr-FR"/>
        </w:rPr>
      </w:pPr>
    </w:p>
    <w:p w:rsidR="0032181E" w:rsidRDefault="0032181E" w:rsidP="0032181E">
      <w:pPr>
        <w:pStyle w:val="DecisionParagraphs"/>
        <w:keepLines/>
        <w:tabs>
          <w:tab w:val="clear" w:pos="5387"/>
          <w:tab w:val="left" w:pos="5954"/>
        </w:tabs>
        <w:ind w:firstLine="567"/>
        <w:rPr>
          <w:lang w:val="fr-FR"/>
        </w:rPr>
      </w:pPr>
      <w:r w:rsidRPr="009D113B">
        <w:rPr>
          <w:lang w:val="fr-FR"/>
        </w:rPr>
        <w:t>a)</w:t>
      </w:r>
      <w:r w:rsidRPr="009D113B">
        <w:rPr>
          <w:lang w:val="fr-FR"/>
        </w:rPr>
        <w:tab/>
      </w:r>
      <w:r>
        <w:rPr>
          <w:lang w:val="fr-FR"/>
        </w:rPr>
        <w:t xml:space="preserve">examiner la nouvelle </w:t>
      </w:r>
      <w:r w:rsidRPr="009D113B">
        <w:rPr>
          <w:lang w:val="fr-FR"/>
        </w:rPr>
        <w:t>“</w:t>
      </w:r>
      <w:r>
        <w:rPr>
          <w:lang w:val="fr-FR"/>
        </w:rPr>
        <w:t>Méthode 3 : Combiner les résultats de deux cycles de végétation</w:t>
      </w:r>
      <w:r w:rsidRPr="009D113B">
        <w:rPr>
          <w:lang w:val="fr-FR"/>
        </w:rPr>
        <w:t>”</w:t>
      </w:r>
      <w:r>
        <w:rPr>
          <w:lang w:val="fr-FR"/>
        </w:rPr>
        <w:t>, proposée pour l’évaluation de l’homogénéité d’après les plantes hors</w:t>
      </w:r>
      <w:r>
        <w:rPr>
          <w:lang w:val="fr-FR"/>
        </w:rPr>
        <w:noBreakHyphen/>
        <w:t>type</w:t>
      </w:r>
      <w:r w:rsidRPr="009D113B">
        <w:rPr>
          <w:lang w:val="fr-FR"/>
        </w:rPr>
        <w:t xml:space="preserve">, </w:t>
      </w:r>
      <w:r>
        <w:rPr>
          <w:lang w:val="fr-FR"/>
        </w:rPr>
        <w:t>comme indiqué à</w:t>
      </w:r>
      <w:r w:rsidR="00CB1142">
        <w:rPr>
          <w:lang w:val="fr-FR"/>
        </w:rPr>
        <w:t xml:space="preserve"> l’annexe I du présent document ;</w:t>
      </w:r>
    </w:p>
    <w:p w:rsidR="0032181E" w:rsidRPr="009D113B" w:rsidRDefault="0032181E" w:rsidP="0032181E">
      <w:pPr>
        <w:pStyle w:val="DecisionParagraphs"/>
        <w:keepLines/>
        <w:tabs>
          <w:tab w:val="clear" w:pos="5387"/>
          <w:tab w:val="left" w:pos="5954"/>
        </w:tabs>
        <w:ind w:firstLine="567"/>
        <w:rPr>
          <w:lang w:val="fr-FR"/>
        </w:rPr>
      </w:pPr>
    </w:p>
    <w:p w:rsidR="0032181E" w:rsidRDefault="0032181E" w:rsidP="0032181E">
      <w:pPr>
        <w:pStyle w:val="DecisionParagraphs"/>
        <w:keepLines/>
        <w:tabs>
          <w:tab w:val="clear" w:pos="5387"/>
          <w:tab w:val="left" w:pos="5954"/>
        </w:tabs>
        <w:ind w:firstLine="567"/>
        <w:rPr>
          <w:lang w:val="fr-FR"/>
        </w:rPr>
      </w:pPr>
      <w:r w:rsidRPr="009D113B">
        <w:rPr>
          <w:lang w:val="fr-FR"/>
        </w:rPr>
        <w:t>b)</w:t>
      </w:r>
      <w:r w:rsidRPr="009D113B">
        <w:rPr>
          <w:lang w:val="fr-FR"/>
        </w:rPr>
        <w:tab/>
      </w:r>
      <w:r w:rsidRPr="00597A84">
        <w:rPr>
          <w:lang w:val="fr-FR"/>
        </w:rPr>
        <w:t>noter que le</w:t>
      </w:r>
      <w:r>
        <w:rPr>
          <w:lang w:val="fr-FR"/>
        </w:rPr>
        <w:t> </w:t>
      </w:r>
      <w:r w:rsidRPr="00597A84">
        <w:rPr>
          <w:lang w:val="fr-FR"/>
        </w:rPr>
        <w:t>TWA est convenu de demander une liaison vidéo avec les experts du</w:t>
      </w:r>
      <w:r>
        <w:rPr>
          <w:lang w:val="fr-FR"/>
        </w:rPr>
        <w:t> </w:t>
      </w:r>
      <w:r w:rsidRPr="00597A84">
        <w:rPr>
          <w:lang w:val="fr-FR"/>
        </w:rPr>
        <w:t>TWC en vue d</w:t>
      </w:r>
      <w:r>
        <w:rPr>
          <w:lang w:val="fr-FR"/>
        </w:rPr>
        <w:t>’</w:t>
      </w:r>
      <w:r w:rsidRPr="00597A84">
        <w:rPr>
          <w:lang w:val="fr-FR"/>
        </w:rPr>
        <w:t>examiner la nouvelle “Méthode 3</w:t>
      </w:r>
      <w:r>
        <w:rPr>
          <w:lang w:val="fr-FR"/>
        </w:rPr>
        <w:t> </w:t>
      </w:r>
      <w:r w:rsidRPr="00597A84">
        <w:rPr>
          <w:lang w:val="fr-FR"/>
        </w:rPr>
        <w:t>: Combiner les résultats de deux</w:t>
      </w:r>
      <w:r>
        <w:rPr>
          <w:lang w:val="fr-FR"/>
        </w:rPr>
        <w:t> </w:t>
      </w:r>
      <w:r w:rsidRPr="00597A84">
        <w:rPr>
          <w:lang w:val="fr-FR"/>
        </w:rPr>
        <w:t>cycles de végétation” proposée, à sa quarante</w:t>
      </w:r>
      <w:r>
        <w:rPr>
          <w:lang w:val="fr-FR"/>
        </w:rPr>
        <w:t>-c</w:t>
      </w:r>
      <w:r w:rsidR="00CB1142">
        <w:rPr>
          <w:lang w:val="fr-FR"/>
        </w:rPr>
        <w:t>inquième session prévue en 2016 ;</w:t>
      </w:r>
    </w:p>
    <w:p w:rsidR="0032181E" w:rsidRPr="009D113B" w:rsidRDefault="0032181E" w:rsidP="0032181E">
      <w:pPr>
        <w:pStyle w:val="DecisionParagraphs"/>
        <w:keepLines/>
        <w:tabs>
          <w:tab w:val="clear" w:pos="5387"/>
          <w:tab w:val="left" w:pos="5954"/>
        </w:tabs>
        <w:ind w:firstLine="567"/>
        <w:rPr>
          <w:lang w:val="fr-FR"/>
        </w:rPr>
      </w:pPr>
    </w:p>
    <w:p w:rsidR="0032181E" w:rsidRPr="009D113B" w:rsidRDefault="0032181E" w:rsidP="0032181E">
      <w:pPr>
        <w:pStyle w:val="DecisionParagraphs"/>
        <w:keepLines/>
        <w:tabs>
          <w:tab w:val="clear" w:pos="5387"/>
          <w:tab w:val="left" w:pos="5954"/>
        </w:tabs>
        <w:ind w:firstLine="567"/>
        <w:rPr>
          <w:lang w:val="fr-FR"/>
        </w:rPr>
      </w:pPr>
      <w:r w:rsidRPr="009D113B">
        <w:rPr>
          <w:lang w:val="fr-FR"/>
        </w:rPr>
        <w:t>c)</w:t>
      </w:r>
      <w:r w:rsidRPr="009D113B">
        <w:rPr>
          <w:lang w:val="fr-FR"/>
        </w:rPr>
        <w:tab/>
      </w:r>
      <w:r w:rsidRPr="00597A84">
        <w:rPr>
          <w:lang w:val="fr-FR"/>
        </w:rPr>
        <w:t>examiner s</w:t>
      </w:r>
      <w:r>
        <w:rPr>
          <w:lang w:val="fr-FR"/>
        </w:rPr>
        <w:t>’</w:t>
      </w:r>
      <w:r w:rsidRPr="00597A84">
        <w:rPr>
          <w:lang w:val="fr-FR"/>
        </w:rPr>
        <w:t>il y a lieu de préciser dans le texte que les orientations figurant à l</w:t>
      </w:r>
      <w:r>
        <w:rPr>
          <w:lang w:val="fr-FR"/>
        </w:rPr>
        <w:t>’</w:t>
      </w:r>
      <w:r w:rsidRPr="00597A84">
        <w:rPr>
          <w:lang w:val="fr-FR"/>
        </w:rPr>
        <w:t>annexe</w:t>
      </w:r>
      <w:r>
        <w:rPr>
          <w:lang w:val="fr-FR"/>
        </w:rPr>
        <w:t> </w:t>
      </w:r>
      <w:r w:rsidRPr="00597A84">
        <w:rPr>
          <w:lang w:val="fr-FR"/>
        </w:rPr>
        <w:t>I ne sont pas destinées à être utilisées pour l</w:t>
      </w:r>
      <w:r>
        <w:rPr>
          <w:lang w:val="fr-FR"/>
        </w:rPr>
        <w:t>’</w:t>
      </w:r>
      <w:r w:rsidRPr="00597A84">
        <w:rPr>
          <w:lang w:val="fr-FR"/>
        </w:rPr>
        <w:t>évaluation de l</w:t>
      </w:r>
      <w:r>
        <w:rPr>
          <w:lang w:val="fr-FR"/>
        </w:rPr>
        <w:t>’</w:t>
      </w:r>
      <w:r w:rsidRPr="00597A84">
        <w:rPr>
          <w:lang w:val="fr-FR"/>
        </w:rPr>
        <w:t>homogénéité d</w:t>
      </w:r>
      <w:r>
        <w:rPr>
          <w:lang w:val="fr-FR"/>
        </w:rPr>
        <w:t>’</w:t>
      </w:r>
      <w:r w:rsidRPr="00597A84">
        <w:rPr>
          <w:lang w:val="fr-FR"/>
        </w:rPr>
        <w:t>après les plantes hors</w:t>
      </w:r>
      <w:r w:rsidRPr="00AC42AA">
        <w:rPr>
          <w:lang w:val="fr-FR"/>
        </w:rPr>
        <w:noBreakHyphen/>
      </w:r>
      <w:r w:rsidRPr="00597A84">
        <w:rPr>
          <w:lang w:val="fr-FR"/>
        </w:rPr>
        <w:t>type sur les mêmes plantes pendant deux</w:t>
      </w:r>
      <w:r>
        <w:rPr>
          <w:lang w:val="fr-FR"/>
        </w:rPr>
        <w:t> </w:t>
      </w:r>
      <w:r w:rsidR="00CB1142">
        <w:rPr>
          <w:lang w:val="fr-FR"/>
        </w:rPr>
        <w:t>cycles de végétation ;</w:t>
      </w:r>
      <w:r w:rsidRPr="00597A84">
        <w:rPr>
          <w:lang w:val="fr-FR"/>
        </w:rPr>
        <w:t xml:space="preserve"> et</w:t>
      </w:r>
    </w:p>
    <w:p w:rsidR="0032181E" w:rsidRPr="009D113B" w:rsidRDefault="0032181E" w:rsidP="0032181E">
      <w:pPr>
        <w:pStyle w:val="DecisionParagraphs"/>
        <w:tabs>
          <w:tab w:val="clear" w:pos="5387"/>
          <w:tab w:val="left" w:pos="5954"/>
        </w:tabs>
        <w:ind w:firstLine="567"/>
        <w:rPr>
          <w:highlight w:val="yellow"/>
          <w:lang w:val="fr-FR"/>
        </w:rPr>
      </w:pPr>
    </w:p>
    <w:p w:rsidR="0032181E" w:rsidRPr="009D113B" w:rsidRDefault="0032181E" w:rsidP="0032181E">
      <w:pPr>
        <w:pStyle w:val="DecisionParagraphs"/>
        <w:keepLines/>
        <w:tabs>
          <w:tab w:val="clear" w:pos="5387"/>
          <w:tab w:val="left" w:pos="5954"/>
        </w:tabs>
        <w:ind w:firstLine="567"/>
        <w:rPr>
          <w:lang w:val="fr-FR"/>
        </w:rPr>
      </w:pPr>
      <w:r w:rsidRPr="009D113B">
        <w:rPr>
          <w:lang w:val="fr-FR"/>
        </w:rPr>
        <w:t>d)</w:t>
      </w:r>
      <w:r w:rsidRPr="009D113B">
        <w:rPr>
          <w:lang w:val="fr-FR"/>
        </w:rPr>
        <w:tab/>
      </w:r>
      <w:r w:rsidRPr="00597A84">
        <w:rPr>
          <w:lang w:val="fr-FR"/>
        </w:rPr>
        <w:t>examiner le projet d</w:t>
      </w:r>
      <w:r>
        <w:rPr>
          <w:lang w:val="fr-FR"/>
        </w:rPr>
        <w:t>’</w:t>
      </w:r>
      <w:r w:rsidRPr="00597A84">
        <w:rPr>
          <w:lang w:val="fr-FR"/>
        </w:rPr>
        <w:t>orientations présenté aux annexes</w:t>
      </w:r>
      <w:r>
        <w:rPr>
          <w:lang w:val="fr-FR"/>
        </w:rPr>
        <w:t> </w:t>
      </w:r>
      <w:r w:rsidRPr="00597A84">
        <w:rPr>
          <w:lang w:val="fr-FR"/>
        </w:rPr>
        <w:t>I et II, à inclure dans une future version révisée du document TGP/10.</w:t>
      </w:r>
    </w:p>
    <w:p w:rsidR="0032181E" w:rsidRPr="009D113B" w:rsidRDefault="0032181E" w:rsidP="0032181E">
      <w:pPr>
        <w:pStyle w:val="DecisionParagraphs"/>
        <w:keepLines/>
        <w:tabs>
          <w:tab w:val="clear" w:pos="5387"/>
          <w:tab w:val="left" w:pos="5954"/>
        </w:tabs>
        <w:ind w:left="4536" w:firstLine="567"/>
        <w:rPr>
          <w:lang w:val="fr-FR"/>
        </w:rPr>
      </w:pPr>
    </w:p>
    <w:p w:rsidR="0032181E" w:rsidRPr="009D113B" w:rsidRDefault="0032181E" w:rsidP="0032181E">
      <w:pPr>
        <w:pStyle w:val="DecisionParagraphs"/>
        <w:keepLines/>
        <w:tabs>
          <w:tab w:val="clear" w:pos="5387"/>
          <w:tab w:val="left" w:pos="5954"/>
        </w:tabs>
        <w:ind w:left="4536" w:firstLine="567"/>
        <w:rPr>
          <w:lang w:val="fr-FR"/>
        </w:rPr>
      </w:pPr>
    </w:p>
    <w:p w:rsidR="0032181E" w:rsidRPr="009D113B" w:rsidRDefault="0032181E" w:rsidP="0032181E">
      <w:pPr>
        <w:pStyle w:val="DecisionParagraphs"/>
        <w:keepLines/>
        <w:tabs>
          <w:tab w:val="clear" w:pos="5387"/>
          <w:tab w:val="left" w:pos="5954"/>
        </w:tabs>
        <w:ind w:left="4536" w:firstLine="567"/>
        <w:rPr>
          <w:lang w:val="fr-FR"/>
        </w:rPr>
      </w:pPr>
    </w:p>
    <w:p w:rsidR="0032181E" w:rsidRPr="009D113B" w:rsidRDefault="0032181E" w:rsidP="0032181E">
      <w:pPr>
        <w:jc w:val="right"/>
        <w:rPr>
          <w:lang w:val="fr-FR"/>
        </w:rPr>
      </w:pPr>
      <w:r w:rsidRPr="009D113B">
        <w:rPr>
          <w:lang w:val="fr-FR"/>
        </w:rPr>
        <w:t>[</w:t>
      </w:r>
      <w:r>
        <w:rPr>
          <w:lang w:val="fr-FR"/>
        </w:rPr>
        <w:t>Les annexes suivent</w:t>
      </w:r>
      <w:r w:rsidRPr="009D113B">
        <w:rPr>
          <w:lang w:val="fr-FR"/>
        </w:rPr>
        <w:t>]</w:t>
      </w:r>
    </w:p>
    <w:p w:rsidR="0032181E" w:rsidRPr="009D113B" w:rsidRDefault="0032181E" w:rsidP="0032181E">
      <w:pPr>
        <w:rPr>
          <w:lang w:val="fr-FR"/>
        </w:rPr>
      </w:pPr>
    </w:p>
    <w:p w:rsidR="0032181E" w:rsidRPr="009D113B" w:rsidRDefault="0032181E" w:rsidP="0032181E">
      <w:pPr>
        <w:rPr>
          <w:snapToGrid w:val="0"/>
          <w:lang w:val="fr-FR"/>
        </w:rPr>
        <w:sectPr w:rsidR="0032181E" w:rsidRPr="009D113B" w:rsidSect="00032D7E">
          <w:headerReference w:type="default" r:id="rId10"/>
          <w:pgSz w:w="11907" w:h="16840" w:code="9"/>
          <w:pgMar w:top="510" w:right="1134" w:bottom="993" w:left="1134" w:header="510" w:footer="680" w:gutter="0"/>
          <w:cols w:space="720"/>
          <w:titlePg/>
          <w:docGrid w:linePitch="272"/>
        </w:sectPr>
      </w:pPr>
    </w:p>
    <w:tbl>
      <w:tblPr>
        <w:tblW w:w="10206" w:type="dxa"/>
        <w:tblInd w:w="-176"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206"/>
      </w:tblGrid>
      <w:tr w:rsidR="0032181E" w:rsidRPr="009D113B" w:rsidTr="00D34615">
        <w:trPr>
          <w:trHeight w:val="350"/>
        </w:trPr>
        <w:tc>
          <w:tcPr>
            <w:tcW w:w="10206" w:type="dxa"/>
          </w:tcPr>
          <w:p w:rsidR="0032181E" w:rsidRPr="009D113B" w:rsidRDefault="0032181E" w:rsidP="00E77C3B">
            <w:pPr>
              <w:autoSpaceDE w:val="0"/>
              <w:autoSpaceDN w:val="0"/>
              <w:adjustRightInd w:val="0"/>
              <w:jc w:val="center"/>
              <w:rPr>
                <w:rFonts w:eastAsia="SimSun"/>
                <w:szCs w:val="24"/>
                <w:lang w:val="fr-FR" w:eastAsia="zh-CN"/>
              </w:rPr>
            </w:pPr>
          </w:p>
          <w:p w:rsidR="0032181E" w:rsidRDefault="0032181E" w:rsidP="00E77C3B">
            <w:pPr>
              <w:autoSpaceDE w:val="0"/>
              <w:autoSpaceDN w:val="0"/>
              <w:adjustRightInd w:val="0"/>
              <w:jc w:val="center"/>
              <w:rPr>
                <w:rFonts w:eastAsia="SimSun"/>
                <w:szCs w:val="24"/>
                <w:lang w:val="fr-FR" w:eastAsia="zh-CN"/>
              </w:rPr>
            </w:pPr>
            <w:r>
              <w:rPr>
                <w:rFonts w:eastAsia="SimSun"/>
                <w:szCs w:val="24"/>
                <w:lang w:val="fr-FR" w:eastAsia="zh-CN"/>
              </w:rPr>
              <w:t>ÉVALUATION DE L’HOMOGÉNÉITÉ D’APRÈS LES PLANTES HORS</w:t>
            </w:r>
            <w:r>
              <w:rPr>
                <w:rFonts w:eastAsia="SimSun"/>
                <w:szCs w:val="24"/>
                <w:lang w:val="fr-FR" w:eastAsia="zh-CN"/>
              </w:rPr>
              <w:noBreakHyphen/>
              <w:t>TYPE SUR LA BASE DE PLUSIEURS CYCLES DE VÉGÉTATION</w:t>
            </w:r>
          </w:p>
          <w:p w:rsidR="0032181E" w:rsidRPr="009D113B" w:rsidRDefault="0032181E" w:rsidP="00E77C3B">
            <w:pPr>
              <w:autoSpaceDE w:val="0"/>
              <w:autoSpaceDN w:val="0"/>
              <w:adjustRightInd w:val="0"/>
              <w:jc w:val="center"/>
              <w:rPr>
                <w:rFonts w:eastAsia="SimSun"/>
                <w:szCs w:val="24"/>
                <w:lang w:val="fr-FR" w:eastAsia="zh-CN"/>
              </w:rPr>
            </w:pPr>
          </w:p>
        </w:tc>
      </w:tr>
      <w:tr w:rsidR="0032181E" w:rsidRPr="009D113B" w:rsidTr="00D34615">
        <w:trPr>
          <w:trHeight w:val="8522"/>
        </w:trPr>
        <w:tc>
          <w:tcPr>
            <w:tcW w:w="10206" w:type="dxa"/>
          </w:tcPr>
          <w:p w:rsidR="0032181E" w:rsidRPr="009D113B" w:rsidRDefault="0032181E" w:rsidP="00E77C3B">
            <w:pPr>
              <w:rPr>
                <w:lang w:val="fr-FR"/>
              </w:rPr>
            </w:pPr>
          </w:p>
          <w:p w:rsidR="0032181E" w:rsidRPr="009D113B" w:rsidRDefault="0032181E" w:rsidP="00E77C3B">
            <w:pPr>
              <w:rPr>
                <w:szCs w:val="24"/>
                <w:lang w:val="fr-FR"/>
              </w:rPr>
            </w:pPr>
            <w:r>
              <w:rPr>
                <w:lang w:val="fr-FR"/>
              </w:rPr>
              <w:t>Deux cycles de végétation indépendants pourraient avoir lieu en un seul endroit sur plusieurs années ou en différents endroits la même année</w:t>
            </w:r>
            <w:r w:rsidRPr="009D113B">
              <w:rPr>
                <w:highlight w:val="lightGray"/>
                <w:u w:val="single"/>
                <w:lang w:val="fr-FR"/>
              </w:rPr>
              <w:t xml:space="preserve">, </w:t>
            </w:r>
            <w:r>
              <w:rPr>
                <w:highlight w:val="lightGray"/>
                <w:u w:val="single"/>
                <w:lang w:val="fr-FR"/>
              </w:rPr>
              <w:t xml:space="preserve">selon ce qui figure dans </w:t>
            </w:r>
            <w:r w:rsidRPr="009D113B">
              <w:rPr>
                <w:strike/>
                <w:highlight w:val="lightGray"/>
                <w:lang w:val="fr-FR"/>
              </w:rPr>
              <w:t>(</w:t>
            </w:r>
            <w:r>
              <w:rPr>
                <w:strike/>
                <w:highlight w:val="lightGray"/>
                <w:lang w:val="fr-FR"/>
              </w:rPr>
              <w:t>voir</w:t>
            </w:r>
            <w:r w:rsidRPr="00D628BD">
              <w:rPr>
                <w:lang w:val="fr-FR"/>
              </w:rPr>
              <w:t xml:space="preserve"> le</w:t>
            </w:r>
            <w:r w:rsidRPr="009D113B">
              <w:rPr>
                <w:lang w:val="fr-FR"/>
              </w:rPr>
              <w:t xml:space="preserve"> document TGP/8</w:t>
            </w:r>
            <w:r>
              <w:rPr>
                <w:lang w:val="fr-FR"/>
              </w:rPr>
              <w:t>, première partie, section</w:t>
            </w:r>
            <w:r w:rsidRPr="009D113B">
              <w:rPr>
                <w:highlight w:val="lightGray"/>
                <w:u w:val="single"/>
                <w:lang w:val="fr-FR"/>
              </w:rPr>
              <w:t>s</w:t>
            </w:r>
            <w:r>
              <w:rPr>
                <w:lang w:val="fr-FR"/>
              </w:rPr>
              <w:t> </w:t>
            </w:r>
            <w:r w:rsidRPr="009D113B">
              <w:rPr>
                <w:lang w:val="fr-FR"/>
              </w:rPr>
              <w:t xml:space="preserve">1.2 </w:t>
            </w:r>
            <w:r>
              <w:rPr>
                <w:highlight w:val="lightGray"/>
                <w:u w:val="single"/>
                <w:lang w:val="fr-FR"/>
              </w:rPr>
              <w:t>et</w:t>
            </w:r>
            <w:r w:rsidRPr="009D113B">
              <w:rPr>
                <w:highlight w:val="lightGray"/>
                <w:u w:val="single"/>
                <w:lang w:val="fr-FR"/>
              </w:rPr>
              <w:t xml:space="preserve"> 1.3</w:t>
            </w:r>
            <w:r w:rsidRPr="009D113B">
              <w:rPr>
                <w:strike/>
                <w:highlight w:val="lightGray"/>
                <w:lang w:val="fr-FR"/>
              </w:rPr>
              <w:t>)</w:t>
            </w:r>
          </w:p>
          <w:p w:rsidR="0032181E" w:rsidRPr="009D113B" w:rsidRDefault="0032181E" w:rsidP="00E77C3B">
            <w:pPr>
              <w:rPr>
                <w:szCs w:val="24"/>
                <w:lang w:val="fr-FR"/>
              </w:rPr>
            </w:pPr>
          </w:p>
          <w:p w:rsidR="0032181E" w:rsidRPr="009D113B" w:rsidRDefault="0032181E" w:rsidP="00E77C3B">
            <w:pPr>
              <w:rPr>
                <w:szCs w:val="24"/>
                <w:u w:val="single"/>
                <w:lang w:val="fr-FR"/>
              </w:rPr>
            </w:pPr>
            <w:r>
              <w:rPr>
                <w:highlight w:val="lightGray"/>
                <w:u w:val="single"/>
                <w:lang w:val="fr-FR"/>
              </w:rPr>
              <w:t>Les orientations ci</w:t>
            </w:r>
            <w:r>
              <w:rPr>
                <w:highlight w:val="lightGray"/>
                <w:u w:val="single"/>
                <w:lang w:val="fr-FR"/>
              </w:rPr>
              <w:noBreakHyphen/>
              <w:t>après ne sont pas destinées à être utilisées pour l’évaluation de l’homogénéité d’après les plantes hors</w:t>
            </w:r>
            <w:r>
              <w:rPr>
                <w:highlight w:val="lightGray"/>
                <w:u w:val="single"/>
                <w:lang w:val="fr-FR"/>
              </w:rPr>
              <w:noBreakHyphen/>
              <w:t>type sur les mêmes plantes pendant deux cycles de végétation</w:t>
            </w:r>
            <w:r w:rsidRPr="009D113B">
              <w:rPr>
                <w:highlight w:val="lightGray"/>
                <w:u w:val="single"/>
                <w:lang w:val="fr-FR"/>
              </w:rPr>
              <w:t>.</w:t>
            </w:r>
          </w:p>
          <w:p w:rsidR="0032181E" w:rsidRPr="009D113B" w:rsidRDefault="0032181E" w:rsidP="00E77C3B">
            <w:pPr>
              <w:rPr>
                <w:szCs w:val="24"/>
                <w:lang w:val="fr-FR"/>
              </w:rPr>
            </w:pPr>
          </w:p>
          <w:p w:rsidR="0032181E" w:rsidRPr="009D113B" w:rsidRDefault="0032181E" w:rsidP="00E77C3B">
            <w:pPr>
              <w:rPr>
                <w:szCs w:val="24"/>
                <w:lang w:val="fr-FR"/>
              </w:rPr>
            </w:pPr>
          </w:p>
          <w:p w:rsidR="0032181E" w:rsidRPr="009D113B" w:rsidRDefault="0032181E" w:rsidP="00E77C3B">
            <w:pPr>
              <w:rPr>
                <w:b/>
                <w:szCs w:val="24"/>
                <w:lang w:val="fr-FR"/>
              </w:rPr>
            </w:pPr>
            <w:r w:rsidRPr="00063856">
              <w:rPr>
                <w:b/>
                <w:szCs w:val="24"/>
                <w:lang w:val="fr-FR"/>
              </w:rPr>
              <w:t>Méthode 1</w:t>
            </w:r>
            <w:r>
              <w:rPr>
                <w:b/>
                <w:szCs w:val="24"/>
                <w:lang w:val="fr-FR"/>
              </w:rPr>
              <w:t> </w:t>
            </w:r>
            <w:r w:rsidRPr="00063856">
              <w:rPr>
                <w:b/>
                <w:szCs w:val="24"/>
                <w:lang w:val="fr-FR"/>
              </w:rPr>
              <w:t>: Troisième cycle de végétation si les résultats sont incompatibles</w:t>
            </w:r>
          </w:p>
          <w:p w:rsidR="0032181E" w:rsidRPr="009D113B" w:rsidRDefault="0032181E" w:rsidP="00E77C3B">
            <w:pPr>
              <w:rPr>
                <w:b/>
                <w:szCs w:val="24"/>
                <w:lang w:val="fr-FR"/>
              </w:rPr>
            </w:pPr>
          </w:p>
          <w:p w:rsidR="0032181E" w:rsidRPr="009D113B" w:rsidRDefault="0032181E" w:rsidP="00E77C3B">
            <w:pPr>
              <w:rPr>
                <w:rFonts w:eastAsia="SimSun"/>
                <w:szCs w:val="24"/>
                <w:lang w:val="fr-FR" w:eastAsia="zh-CN"/>
              </w:rPr>
            </w:pPr>
            <w:r w:rsidRPr="00063856">
              <w:rPr>
                <w:rFonts w:eastAsia="SimSun"/>
                <w:szCs w:val="24"/>
                <w:lang w:val="fr-FR" w:eastAsia="zh-CN"/>
              </w:rPr>
              <w:t>Une variété est réputée homogène si elle se situe dans les limites de la norme d</w:t>
            </w:r>
            <w:r>
              <w:rPr>
                <w:rFonts w:eastAsia="SimSun"/>
                <w:szCs w:val="24"/>
                <w:lang w:val="fr-FR" w:eastAsia="zh-CN"/>
              </w:rPr>
              <w:t>’</w:t>
            </w:r>
            <w:r w:rsidRPr="00063856">
              <w:rPr>
                <w:rFonts w:eastAsia="SimSun"/>
                <w:szCs w:val="24"/>
                <w:lang w:val="fr-FR" w:eastAsia="zh-CN"/>
              </w:rPr>
              <w:t>homogénéité sur les deux</w:t>
            </w:r>
            <w:r>
              <w:rPr>
                <w:rFonts w:eastAsia="SimSun"/>
                <w:szCs w:val="24"/>
                <w:lang w:val="fr-FR" w:eastAsia="zh-CN"/>
              </w:rPr>
              <w:t> </w:t>
            </w:r>
            <w:r w:rsidRPr="00063856">
              <w:rPr>
                <w:rFonts w:eastAsia="SimSun"/>
                <w:szCs w:val="24"/>
                <w:lang w:val="fr-FR" w:eastAsia="zh-CN"/>
              </w:rPr>
              <w:t>cycles de végétation.</w:t>
            </w:r>
          </w:p>
          <w:p w:rsidR="0032181E" w:rsidRPr="009D113B" w:rsidRDefault="0032181E" w:rsidP="00E77C3B">
            <w:pPr>
              <w:rPr>
                <w:rFonts w:eastAsia="SimSun"/>
                <w:szCs w:val="24"/>
                <w:lang w:val="fr-FR" w:eastAsia="zh-CN"/>
              </w:rPr>
            </w:pPr>
          </w:p>
          <w:p w:rsidR="0032181E" w:rsidRPr="009D113B" w:rsidRDefault="0032181E" w:rsidP="00E77C3B">
            <w:pPr>
              <w:rPr>
                <w:rFonts w:eastAsia="SimSun"/>
                <w:szCs w:val="24"/>
                <w:lang w:val="fr-FR" w:eastAsia="zh-CN"/>
              </w:rPr>
            </w:pPr>
            <w:r w:rsidRPr="00063856">
              <w:rPr>
                <w:rFonts w:eastAsia="SimSun"/>
                <w:szCs w:val="24"/>
                <w:lang w:val="fr-FR" w:eastAsia="zh-CN"/>
              </w:rPr>
              <w:t>Une variété est réputée non homogène si elle ne se situe pas dans les limites de la norme d</w:t>
            </w:r>
            <w:r>
              <w:rPr>
                <w:rFonts w:eastAsia="SimSun"/>
                <w:szCs w:val="24"/>
                <w:lang w:val="fr-FR" w:eastAsia="zh-CN"/>
              </w:rPr>
              <w:t>’</w:t>
            </w:r>
            <w:r w:rsidRPr="00063856">
              <w:rPr>
                <w:rFonts w:eastAsia="SimSun"/>
                <w:szCs w:val="24"/>
                <w:lang w:val="fr-FR" w:eastAsia="zh-CN"/>
              </w:rPr>
              <w:t>homogénéité sur les deux</w:t>
            </w:r>
            <w:r>
              <w:rPr>
                <w:rFonts w:eastAsia="SimSun"/>
                <w:szCs w:val="24"/>
                <w:lang w:val="fr-FR" w:eastAsia="zh-CN"/>
              </w:rPr>
              <w:t> </w:t>
            </w:r>
            <w:r w:rsidRPr="00063856">
              <w:rPr>
                <w:rFonts w:eastAsia="SimSun"/>
                <w:szCs w:val="24"/>
                <w:lang w:val="fr-FR" w:eastAsia="zh-CN"/>
              </w:rPr>
              <w:t>cycles de végétation.</w:t>
            </w:r>
          </w:p>
          <w:p w:rsidR="0032181E" w:rsidRPr="009D113B" w:rsidRDefault="0032181E" w:rsidP="00E77C3B">
            <w:pPr>
              <w:rPr>
                <w:rFonts w:eastAsia="SimSun"/>
                <w:szCs w:val="24"/>
                <w:lang w:val="fr-FR" w:eastAsia="zh-CN"/>
              </w:rPr>
            </w:pPr>
          </w:p>
          <w:p w:rsidR="0032181E" w:rsidRPr="009D113B" w:rsidRDefault="0032181E" w:rsidP="00E77C3B">
            <w:pPr>
              <w:keepNext/>
              <w:keepLines/>
              <w:rPr>
                <w:rFonts w:eastAsia="SimSun"/>
                <w:szCs w:val="24"/>
                <w:lang w:val="fr-FR" w:eastAsia="zh-CN"/>
              </w:rPr>
            </w:pPr>
            <w:r w:rsidRPr="00063856">
              <w:rPr>
                <w:rFonts w:eastAsia="SimSun"/>
                <w:szCs w:val="24"/>
                <w:lang w:val="fr-FR" w:eastAsia="zh-CN"/>
              </w:rPr>
              <w:t>Si, à l</w:t>
            </w:r>
            <w:r>
              <w:rPr>
                <w:rFonts w:eastAsia="SimSun"/>
                <w:szCs w:val="24"/>
                <w:lang w:val="fr-FR" w:eastAsia="zh-CN"/>
              </w:rPr>
              <w:t>’</w:t>
            </w:r>
            <w:r w:rsidRPr="00063856">
              <w:rPr>
                <w:rFonts w:eastAsia="SimSun"/>
                <w:szCs w:val="24"/>
                <w:lang w:val="fr-FR" w:eastAsia="zh-CN"/>
              </w:rPr>
              <w:t>issue des deux</w:t>
            </w:r>
            <w:r>
              <w:rPr>
                <w:rFonts w:eastAsia="SimSun"/>
                <w:szCs w:val="24"/>
                <w:lang w:val="fr-FR" w:eastAsia="zh-CN"/>
              </w:rPr>
              <w:t> </w:t>
            </w:r>
            <w:r w:rsidRPr="00063856">
              <w:rPr>
                <w:rFonts w:eastAsia="SimSun"/>
                <w:szCs w:val="24"/>
                <w:lang w:val="fr-FR" w:eastAsia="zh-CN"/>
              </w:rPr>
              <w:t>cycles de végétation, la variété se situe dans les limites de la norme d</w:t>
            </w:r>
            <w:r>
              <w:rPr>
                <w:rFonts w:eastAsia="SimSun"/>
                <w:szCs w:val="24"/>
                <w:lang w:val="fr-FR" w:eastAsia="zh-CN"/>
              </w:rPr>
              <w:t>’</w:t>
            </w:r>
            <w:r w:rsidRPr="00063856">
              <w:rPr>
                <w:rFonts w:eastAsia="SimSun"/>
                <w:szCs w:val="24"/>
                <w:lang w:val="fr-FR" w:eastAsia="zh-CN"/>
              </w:rPr>
              <w:t>homogénéité pour un cycle et pas l</w:t>
            </w:r>
            <w:r>
              <w:rPr>
                <w:rFonts w:eastAsia="SimSun"/>
                <w:szCs w:val="24"/>
                <w:lang w:val="fr-FR" w:eastAsia="zh-CN"/>
              </w:rPr>
              <w:t>’</w:t>
            </w:r>
            <w:r w:rsidRPr="00063856">
              <w:rPr>
                <w:rFonts w:eastAsia="SimSun"/>
                <w:szCs w:val="24"/>
                <w:lang w:val="fr-FR" w:eastAsia="zh-CN"/>
              </w:rPr>
              <w:t>autre, l</w:t>
            </w:r>
            <w:r>
              <w:rPr>
                <w:rFonts w:eastAsia="SimSun"/>
                <w:szCs w:val="24"/>
                <w:lang w:val="fr-FR" w:eastAsia="zh-CN"/>
              </w:rPr>
              <w:t>’</w:t>
            </w:r>
            <w:r w:rsidRPr="00063856">
              <w:rPr>
                <w:rFonts w:eastAsia="SimSun"/>
                <w:szCs w:val="24"/>
                <w:lang w:val="fr-FR" w:eastAsia="zh-CN"/>
              </w:rPr>
              <w:t>homogénéité peut être évaluée sur un troisième cycle de végétation.  Si, pour ce troisième cycle, elle se situe dans les limites de la norme d</w:t>
            </w:r>
            <w:r>
              <w:rPr>
                <w:rFonts w:eastAsia="SimSun"/>
                <w:szCs w:val="24"/>
                <w:lang w:val="fr-FR" w:eastAsia="zh-CN"/>
              </w:rPr>
              <w:t>’</w:t>
            </w:r>
            <w:r w:rsidRPr="00063856">
              <w:rPr>
                <w:rFonts w:eastAsia="SimSun"/>
                <w:szCs w:val="24"/>
                <w:lang w:val="fr-FR" w:eastAsia="zh-CN"/>
              </w:rPr>
              <w:t>homogénéité, elle est réputée homogène.  Si, à la fin du troisième cycle de végétation, la variété ne se situe pas dans la norme d</w:t>
            </w:r>
            <w:r>
              <w:rPr>
                <w:rFonts w:eastAsia="SimSun"/>
                <w:szCs w:val="24"/>
                <w:lang w:val="fr-FR" w:eastAsia="zh-CN"/>
              </w:rPr>
              <w:t>’</w:t>
            </w:r>
            <w:r w:rsidRPr="00063856">
              <w:rPr>
                <w:rFonts w:eastAsia="SimSun"/>
                <w:szCs w:val="24"/>
                <w:lang w:val="fr-FR" w:eastAsia="zh-CN"/>
              </w:rPr>
              <w:t>homogénéité, elle est réputée non homogène.</w:t>
            </w:r>
          </w:p>
          <w:p w:rsidR="0032181E" w:rsidRPr="009D113B" w:rsidRDefault="0032181E" w:rsidP="00E77C3B">
            <w:pPr>
              <w:keepNext/>
              <w:keepLines/>
              <w:rPr>
                <w:szCs w:val="24"/>
                <w:lang w:val="fr-FR"/>
              </w:rPr>
            </w:pPr>
          </w:p>
          <w:p w:rsidR="0032181E" w:rsidRPr="009D113B" w:rsidRDefault="0032181E" w:rsidP="00E77C3B">
            <w:pPr>
              <w:keepNext/>
              <w:keepLines/>
              <w:rPr>
                <w:rFonts w:eastAsia="SimSun"/>
                <w:szCs w:val="24"/>
                <w:lang w:val="fr-FR" w:eastAsia="zh-CN"/>
              </w:rPr>
            </w:pPr>
            <w:r w:rsidRPr="004802F4">
              <w:rPr>
                <w:rFonts w:eastAsia="SimSun"/>
                <w:szCs w:val="24"/>
                <w:lang w:val="fr-FR" w:eastAsia="zh-CN"/>
              </w:rPr>
              <w:t>Il faut faire preuve de prudence lorsqu</w:t>
            </w:r>
            <w:r>
              <w:rPr>
                <w:rFonts w:eastAsia="SimSun"/>
                <w:szCs w:val="24"/>
                <w:lang w:val="fr-FR" w:eastAsia="zh-CN"/>
              </w:rPr>
              <w:t>’</w:t>
            </w:r>
            <w:r w:rsidRPr="004802F4">
              <w:rPr>
                <w:rFonts w:eastAsia="SimSun"/>
                <w:szCs w:val="24"/>
                <w:lang w:val="fr-FR" w:eastAsia="zh-CN"/>
              </w:rPr>
              <w:t>on examine des résultats très différents dans chacun des cycles de végétation, notamment lorsqu</w:t>
            </w:r>
            <w:r>
              <w:rPr>
                <w:rFonts w:eastAsia="SimSun"/>
                <w:szCs w:val="24"/>
                <w:lang w:val="fr-FR" w:eastAsia="zh-CN"/>
              </w:rPr>
              <w:t>’</w:t>
            </w:r>
            <w:r w:rsidRPr="004802F4">
              <w:rPr>
                <w:rFonts w:eastAsia="SimSun"/>
                <w:szCs w:val="24"/>
                <w:lang w:val="fr-FR" w:eastAsia="zh-CN"/>
              </w:rPr>
              <w:t>un type de plante hors</w:t>
            </w:r>
            <w:r>
              <w:rPr>
                <w:rFonts w:eastAsia="SimSun"/>
                <w:szCs w:val="24"/>
                <w:lang w:val="fr-FR" w:eastAsia="zh-CN"/>
              </w:rPr>
              <w:noBreakHyphen/>
            </w:r>
            <w:r w:rsidRPr="004802F4">
              <w:rPr>
                <w:rFonts w:eastAsia="SimSun"/>
                <w:szCs w:val="24"/>
                <w:lang w:val="fr-FR" w:eastAsia="zh-CN"/>
              </w:rPr>
              <w:t>type a été observé à un niveau élevé dans un cycle de végétation tout en étant absent dans un autre.</w:t>
            </w:r>
          </w:p>
          <w:p w:rsidR="0032181E" w:rsidRPr="009D113B" w:rsidRDefault="0032181E" w:rsidP="00E77C3B">
            <w:pPr>
              <w:keepNext/>
              <w:keepLines/>
              <w:rPr>
                <w:rFonts w:eastAsia="SimSun"/>
                <w:szCs w:val="24"/>
                <w:lang w:val="fr-FR" w:eastAsia="zh-CN"/>
              </w:rPr>
            </w:pPr>
          </w:p>
          <w:p w:rsidR="0032181E" w:rsidRPr="009D113B" w:rsidRDefault="0032181E" w:rsidP="00E77C3B">
            <w:pPr>
              <w:keepNext/>
              <w:keepLines/>
              <w:rPr>
                <w:rFonts w:eastAsia="SimSun"/>
                <w:szCs w:val="24"/>
                <w:lang w:val="fr-FR" w:eastAsia="zh-CN"/>
              </w:rPr>
            </w:pPr>
            <w:r>
              <w:rPr>
                <w:rFonts w:eastAsia="SimSun"/>
                <w:szCs w:val="24"/>
                <w:lang w:val="fr-FR" w:eastAsia="zh-CN"/>
              </w:rPr>
              <w:t xml:space="preserve">En outre, en raison d’un manque </w:t>
            </w:r>
            <w:r>
              <w:rPr>
                <w:rFonts w:eastAsia="SimSun"/>
                <w:szCs w:val="24"/>
                <w:highlight w:val="lightGray"/>
                <w:u w:val="single"/>
                <w:lang w:val="fr-FR" w:eastAsia="zh-CN"/>
              </w:rPr>
              <w:t>évident</w:t>
            </w:r>
            <w:r w:rsidRPr="009D113B">
              <w:rPr>
                <w:rFonts w:eastAsia="SimSun"/>
                <w:szCs w:val="24"/>
                <w:lang w:val="fr-FR" w:eastAsia="zh-CN"/>
              </w:rPr>
              <w:t xml:space="preserve"> </w:t>
            </w:r>
            <w:r>
              <w:rPr>
                <w:rFonts w:eastAsia="SimSun"/>
                <w:szCs w:val="24"/>
                <w:lang w:val="fr-FR" w:eastAsia="zh-CN"/>
              </w:rPr>
              <w:t>d’homogénéité</w:t>
            </w:r>
            <w:r w:rsidRPr="009A25C2">
              <w:rPr>
                <w:rFonts w:eastAsia="SimSun"/>
                <w:szCs w:val="24"/>
                <w:lang w:val="fr-FR" w:eastAsia="zh-CN"/>
              </w:rPr>
              <w:t>, une variété peut être rejetée après un seul cycle de végétation</w:t>
            </w:r>
            <w:r>
              <w:rPr>
                <w:rFonts w:eastAsia="SimSun"/>
                <w:szCs w:val="24"/>
                <w:lang w:val="fr-FR" w:eastAsia="zh-CN"/>
              </w:rPr>
              <w:t>.</w:t>
            </w:r>
          </w:p>
          <w:p w:rsidR="0032181E" w:rsidRPr="009D113B" w:rsidRDefault="0032181E" w:rsidP="00E77C3B">
            <w:pPr>
              <w:keepNext/>
              <w:keepLines/>
              <w:rPr>
                <w:rFonts w:eastAsia="SimSun"/>
                <w:szCs w:val="24"/>
                <w:lang w:val="fr-FR" w:eastAsia="zh-CN"/>
              </w:rPr>
            </w:pPr>
          </w:p>
          <w:p w:rsidR="0032181E" w:rsidRPr="009D113B" w:rsidRDefault="0032181E" w:rsidP="00E77C3B">
            <w:pPr>
              <w:keepNext/>
              <w:keepLines/>
              <w:rPr>
                <w:rFonts w:eastAsia="SimSun"/>
                <w:szCs w:val="24"/>
                <w:lang w:val="fr-FR" w:eastAsia="zh-CN"/>
              </w:rPr>
            </w:pPr>
          </w:p>
          <w:p w:rsidR="0032181E" w:rsidRPr="009D113B" w:rsidRDefault="0032181E" w:rsidP="00E77C3B">
            <w:pPr>
              <w:rPr>
                <w:b/>
                <w:szCs w:val="24"/>
                <w:lang w:val="fr-FR"/>
              </w:rPr>
            </w:pPr>
            <w:r w:rsidRPr="00F91EC8">
              <w:rPr>
                <w:b/>
                <w:szCs w:val="24"/>
                <w:lang w:val="fr-FR"/>
              </w:rPr>
              <w:t>Méthode 2</w:t>
            </w:r>
            <w:r>
              <w:rPr>
                <w:b/>
                <w:szCs w:val="24"/>
                <w:lang w:val="fr-FR"/>
              </w:rPr>
              <w:t> </w:t>
            </w:r>
            <w:r w:rsidRPr="00F91EC8">
              <w:rPr>
                <w:b/>
                <w:szCs w:val="24"/>
                <w:lang w:val="fr-FR"/>
              </w:rPr>
              <w:t>: Combiner les résultats de deux</w:t>
            </w:r>
            <w:r>
              <w:rPr>
                <w:b/>
                <w:szCs w:val="24"/>
                <w:lang w:val="fr-FR"/>
              </w:rPr>
              <w:t> </w:t>
            </w:r>
            <w:r w:rsidRPr="00F91EC8">
              <w:rPr>
                <w:b/>
                <w:szCs w:val="24"/>
                <w:lang w:val="fr-FR"/>
              </w:rPr>
              <w:t xml:space="preserve">cycles de végétation </w:t>
            </w:r>
            <w:r w:rsidRPr="00F91EC8">
              <w:rPr>
                <w:b/>
                <w:szCs w:val="24"/>
                <w:highlight w:val="lightGray"/>
                <w:lang w:val="fr-FR"/>
              </w:rPr>
              <w:t>si les résultats sont incompatibles</w:t>
            </w:r>
          </w:p>
          <w:p w:rsidR="0032181E" w:rsidRPr="009D113B" w:rsidRDefault="0032181E" w:rsidP="00E77C3B">
            <w:pPr>
              <w:keepNext/>
              <w:keepLines/>
              <w:rPr>
                <w:rFonts w:eastAsia="MS Mincho"/>
                <w:lang w:val="fr-FR" w:eastAsia="ja-JP"/>
              </w:rPr>
            </w:pPr>
          </w:p>
          <w:p w:rsidR="0032181E" w:rsidRPr="009D113B" w:rsidRDefault="0032181E" w:rsidP="00E77C3B">
            <w:pPr>
              <w:rPr>
                <w:rFonts w:eastAsia="SimSun"/>
                <w:szCs w:val="24"/>
                <w:lang w:val="fr-FR" w:eastAsia="zh-CN"/>
              </w:rPr>
            </w:pPr>
            <w:r w:rsidRPr="00063856">
              <w:rPr>
                <w:rFonts w:eastAsia="SimSun"/>
                <w:szCs w:val="24"/>
                <w:lang w:val="fr-FR" w:eastAsia="zh-CN"/>
              </w:rPr>
              <w:t>Une variété est réputée homogène si elle se situe dans les limites de la norme d</w:t>
            </w:r>
            <w:r>
              <w:rPr>
                <w:rFonts w:eastAsia="SimSun"/>
                <w:szCs w:val="24"/>
                <w:lang w:val="fr-FR" w:eastAsia="zh-CN"/>
              </w:rPr>
              <w:t>’</w:t>
            </w:r>
            <w:r w:rsidRPr="00063856">
              <w:rPr>
                <w:rFonts w:eastAsia="SimSun"/>
                <w:szCs w:val="24"/>
                <w:lang w:val="fr-FR" w:eastAsia="zh-CN"/>
              </w:rPr>
              <w:t>homogénéité sur les deux</w:t>
            </w:r>
            <w:r>
              <w:rPr>
                <w:rFonts w:eastAsia="SimSun"/>
                <w:szCs w:val="24"/>
                <w:lang w:val="fr-FR" w:eastAsia="zh-CN"/>
              </w:rPr>
              <w:t> </w:t>
            </w:r>
            <w:r w:rsidRPr="00063856">
              <w:rPr>
                <w:rFonts w:eastAsia="SimSun"/>
                <w:szCs w:val="24"/>
                <w:lang w:val="fr-FR" w:eastAsia="zh-CN"/>
              </w:rPr>
              <w:t>cycles de végétation.</w:t>
            </w:r>
          </w:p>
          <w:p w:rsidR="0032181E" w:rsidRPr="009D113B" w:rsidRDefault="0032181E" w:rsidP="00E77C3B">
            <w:pPr>
              <w:rPr>
                <w:rFonts w:eastAsia="SimSun"/>
                <w:szCs w:val="24"/>
                <w:lang w:val="fr-FR" w:eastAsia="zh-CN"/>
              </w:rPr>
            </w:pPr>
          </w:p>
          <w:p w:rsidR="0032181E" w:rsidRPr="009D113B" w:rsidRDefault="0032181E" w:rsidP="00E77C3B">
            <w:pPr>
              <w:rPr>
                <w:rFonts w:eastAsia="SimSun"/>
                <w:szCs w:val="24"/>
                <w:lang w:val="fr-FR" w:eastAsia="zh-CN"/>
              </w:rPr>
            </w:pPr>
            <w:r w:rsidRPr="00063856">
              <w:rPr>
                <w:rFonts w:eastAsia="SimSun"/>
                <w:szCs w:val="24"/>
                <w:lang w:val="fr-FR" w:eastAsia="zh-CN"/>
              </w:rPr>
              <w:t>Une variété est réputée non homogène si elle ne se situe pas dans les limites de la norme d</w:t>
            </w:r>
            <w:r>
              <w:rPr>
                <w:rFonts w:eastAsia="SimSun"/>
                <w:szCs w:val="24"/>
                <w:lang w:val="fr-FR" w:eastAsia="zh-CN"/>
              </w:rPr>
              <w:t>’</w:t>
            </w:r>
            <w:r w:rsidRPr="00063856">
              <w:rPr>
                <w:rFonts w:eastAsia="SimSun"/>
                <w:szCs w:val="24"/>
                <w:lang w:val="fr-FR" w:eastAsia="zh-CN"/>
              </w:rPr>
              <w:t>homogénéité sur les deux</w:t>
            </w:r>
            <w:r>
              <w:rPr>
                <w:rFonts w:eastAsia="SimSun"/>
                <w:szCs w:val="24"/>
                <w:lang w:val="fr-FR" w:eastAsia="zh-CN"/>
              </w:rPr>
              <w:t> </w:t>
            </w:r>
            <w:r w:rsidRPr="00063856">
              <w:rPr>
                <w:rFonts w:eastAsia="SimSun"/>
                <w:szCs w:val="24"/>
                <w:lang w:val="fr-FR" w:eastAsia="zh-CN"/>
              </w:rPr>
              <w:t>cycles de végétation.</w:t>
            </w:r>
          </w:p>
          <w:p w:rsidR="0032181E" w:rsidRPr="009D113B" w:rsidRDefault="0032181E" w:rsidP="00E77C3B">
            <w:pPr>
              <w:rPr>
                <w:rFonts w:eastAsia="SimSun"/>
                <w:lang w:val="fr-FR" w:eastAsia="zh-CN"/>
              </w:rPr>
            </w:pPr>
          </w:p>
          <w:p w:rsidR="0032181E" w:rsidRPr="009D113B" w:rsidRDefault="0032181E" w:rsidP="00E77C3B">
            <w:pPr>
              <w:keepNext/>
              <w:keepLines/>
              <w:rPr>
                <w:rFonts w:eastAsia="SimSun"/>
                <w:lang w:val="fr-FR" w:eastAsia="zh-CN"/>
              </w:rPr>
            </w:pPr>
            <w:r w:rsidRPr="00063856">
              <w:rPr>
                <w:rFonts w:eastAsia="SimSun"/>
                <w:szCs w:val="24"/>
                <w:lang w:val="fr-FR" w:eastAsia="zh-CN"/>
              </w:rPr>
              <w:t>Si, à l</w:t>
            </w:r>
            <w:r>
              <w:rPr>
                <w:rFonts w:eastAsia="SimSun"/>
                <w:szCs w:val="24"/>
                <w:lang w:val="fr-FR" w:eastAsia="zh-CN"/>
              </w:rPr>
              <w:t>’</w:t>
            </w:r>
            <w:r w:rsidRPr="00063856">
              <w:rPr>
                <w:rFonts w:eastAsia="SimSun"/>
                <w:szCs w:val="24"/>
                <w:lang w:val="fr-FR" w:eastAsia="zh-CN"/>
              </w:rPr>
              <w:t>issue des deux</w:t>
            </w:r>
            <w:r>
              <w:rPr>
                <w:rFonts w:eastAsia="SimSun"/>
                <w:szCs w:val="24"/>
                <w:lang w:val="fr-FR" w:eastAsia="zh-CN"/>
              </w:rPr>
              <w:t> </w:t>
            </w:r>
            <w:r w:rsidRPr="00063856">
              <w:rPr>
                <w:rFonts w:eastAsia="SimSun"/>
                <w:szCs w:val="24"/>
                <w:lang w:val="fr-FR" w:eastAsia="zh-CN"/>
              </w:rPr>
              <w:t>cycles de végétation, la variété se situe dans les limites de la norme d</w:t>
            </w:r>
            <w:r>
              <w:rPr>
                <w:rFonts w:eastAsia="SimSun"/>
                <w:szCs w:val="24"/>
                <w:lang w:val="fr-FR" w:eastAsia="zh-CN"/>
              </w:rPr>
              <w:t>’</w:t>
            </w:r>
            <w:r w:rsidRPr="00063856">
              <w:rPr>
                <w:rFonts w:eastAsia="SimSun"/>
                <w:szCs w:val="24"/>
                <w:lang w:val="fr-FR" w:eastAsia="zh-CN"/>
              </w:rPr>
              <w:t>homogénéité pour un cycle et pas l</w:t>
            </w:r>
            <w:r>
              <w:rPr>
                <w:rFonts w:eastAsia="SimSun"/>
                <w:szCs w:val="24"/>
                <w:lang w:val="fr-FR" w:eastAsia="zh-CN"/>
              </w:rPr>
              <w:t>’</w:t>
            </w:r>
            <w:r w:rsidRPr="00063856">
              <w:rPr>
                <w:rFonts w:eastAsia="SimSun"/>
                <w:szCs w:val="24"/>
                <w:lang w:val="fr-FR" w:eastAsia="zh-CN"/>
              </w:rPr>
              <w:t>autre,</w:t>
            </w:r>
            <w:r w:rsidRPr="009D113B">
              <w:rPr>
                <w:rFonts w:eastAsia="SimSun"/>
                <w:lang w:val="fr-FR" w:eastAsia="zh-CN"/>
              </w:rPr>
              <w:t xml:space="preserve"> </w:t>
            </w:r>
            <w:r>
              <w:rPr>
                <w:rFonts w:eastAsia="SimSun"/>
                <w:lang w:val="fr-FR" w:eastAsia="zh-CN"/>
              </w:rPr>
              <w:t>une variété est réputée homogène si le nombre total de plantes hors</w:t>
            </w:r>
            <w:r>
              <w:rPr>
                <w:rFonts w:eastAsia="SimSun"/>
                <w:lang w:val="fr-FR" w:eastAsia="zh-CN"/>
              </w:rPr>
              <w:noBreakHyphen/>
              <w:t>type à l’issue des deux cycles de végétation ne dépasse pas le nombre de plantes hors</w:t>
            </w:r>
            <w:r>
              <w:rPr>
                <w:rFonts w:eastAsia="SimSun"/>
                <w:lang w:val="fr-FR" w:eastAsia="zh-CN"/>
              </w:rPr>
              <w:noBreakHyphen/>
              <w:t xml:space="preserve">type autorisé pour </w:t>
            </w:r>
            <w:r>
              <w:rPr>
                <w:rFonts w:eastAsia="SimSun"/>
                <w:highlight w:val="lightGray"/>
                <w:u w:val="single"/>
                <w:lang w:val="fr-FR" w:eastAsia="zh-CN"/>
              </w:rPr>
              <w:t>la taille</w:t>
            </w:r>
            <w:r w:rsidRPr="009D113B">
              <w:rPr>
                <w:rFonts w:eastAsia="SimSun"/>
                <w:highlight w:val="lightGray"/>
                <w:u w:val="single"/>
                <w:lang w:val="fr-FR" w:eastAsia="zh-CN"/>
              </w:rPr>
              <w:t xml:space="preserve"> </w:t>
            </w:r>
            <w:r>
              <w:rPr>
                <w:rFonts w:eastAsia="SimSun"/>
                <w:highlight w:val="lightGray"/>
                <w:u w:val="single"/>
                <w:lang w:val="fr-FR" w:eastAsia="zh-CN"/>
              </w:rPr>
              <w:t xml:space="preserve">de </w:t>
            </w:r>
            <w:r>
              <w:rPr>
                <w:rFonts w:eastAsia="SimSun"/>
                <w:lang w:val="fr-FR" w:eastAsia="zh-CN"/>
              </w:rPr>
              <w:t xml:space="preserve">l’échantillon </w:t>
            </w:r>
            <w:r w:rsidRPr="009D113B">
              <w:rPr>
                <w:rFonts w:eastAsia="SimSun"/>
                <w:strike/>
                <w:highlight w:val="lightGray"/>
                <w:lang w:val="fr-FR" w:eastAsia="zh-CN"/>
              </w:rPr>
              <w:t>combin</w:t>
            </w:r>
            <w:r>
              <w:rPr>
                <w:rFonts w:eastAsia="SimSun"/>
                <w:strike/>
                <w:highlight w:val="lightGray"/>
                <w:lang w:val="fr-FR" w:eastAsia="zh-CN"/>
              </w:rPr>
              <w:t>é</w:t>
            </w:r>
            <w:r w:rsidRPr="00CD7519">
              <w:rPr>
                <w:rFonts w:eastAsia="SimSun"/>
                <w:highlight w:val="lightGray"/>
                <w:lang w:val="fr-FR" w:eastAsia="zh-CN"/>
              </w:rPr>
              <w:t xml:space="preserve"> </w:t>
            </w:r>
            <w:r>
              <w:rPr>
                <w:rFonts w:eastAsia="SimSun"/>
                <w:highlight w:val="lightGray"/>
                <w:u w:val="single"/>
                <w:lang w:val="fr-FR" w:eastAsia="zh-CN"/>
              </w:rPr>
              <w:t>des cycles de végétation 1 et 2 combinés</w:t>
            </w:r>
            <w:r w:rsidRPr="009D113B">
              <w:rPr>
                <w:rFonts w:eastAsia="SimSun"/>
                <w:lang w:val="fr-FR" w:eastAsia="zh-CN"/>
              </w:rPr>
              <w:t>.</w:t>
            </w:r>
          </w:p>
          <w:p w:rsidR="0032181E" w:rsidRPr="009D113B" w:rsidRDefault="0032181E" w:rsidP="00E77C3B">
            <w:pPr>
              <w:keepNext/>
              <w:keepLines/>
              <w:ind w:right="459"/>
              <w:rPr>
                <w:rFonts w:eastAsia="SimSun"/>
                <w:lang w:val="fr-FR" w:eastAsia="zh-CN"/>
              </w:rPr>
            </w:pPr>
          </w:p>
          <w:p w:rsidR="0032181E" w:rsidRPr="009D113B" w:rsidRDefault="0032181E" w:rsidP="00E77C3B">
            <w:pPr>
              <w:keepNext/>
              <w:keepLines/>
              <w:rPr>
                <w:rFonts w:eastAsia="SimSun"/>
                <w:szCs w:val="24"/>
                <w:lang w:val="fr-FR" w:eastAsia="zh-CN"/>
              </w:rPr>
            </w:pPr>
            <w:r w:rsidRPr="004802F4">
              <w:rPr>
                <w:rFonts w:eastAsia="SimSun"/>
                <w:szCs w:val="24"/>
                <w:lang w:val="fr-FR" w:eastAsia="zh-CN"/>
              </w:rPr>
              <w:t>Il faut faire preuve de prudence lorsqu</w:t>
            </w:r>
            <w:r>
              <w:rPr>
                <w:rFonts w:eastAsia="SimSun"/>
                <w:szCs w:val="24"/>
                <w:lang w:val="fr-FR" w:eastAsia="zh-CN"/>
              </w:rPr>
              <w:t>’</w:t>
            </w:r>
            <w:r w:rsidRPr="004802F4">
              <w:rPr>
                <w:rFonts w:eastAsia="SimSun"/>
                <w:szCs w:val="24"/>
                <w:lang w:val="fr-FR" w:eastAsia="zh-CN"/>
              </w:rPr>
              <w:t>on examine des résultats très différents dans chacun des cycles de végétation, notamment lorsqu</w:t>
            </w:r>
            <w:r>
              <w:rPr>
                <w:rFonts w:eastAsia="SimSun"/>
                <w:szCs w:val="24"/>
                <w:lang w:val="fr-FR" w:eastAsia="zh-CN"/>
              </w:rPr>
              <w:t>’</w:t>
            </w:r>
            <w:r w:rsidRPr="004802F4">
              <w:rPr>
                <w:rFonts w:eastAsia="SimSun"/>
                <w:szCs w:val="24"/>
                <w:lang w:val="fr-FR" w:eastAsia="zh-CN"/>
              </w:rPr>
              <w:t>un type de plante hors</w:t>
            </w:r>
            <w:r>
              <w:rPr>
                <w:rFonts w:eastAsia="SimSun"/>
                <w:szCs w:val="24"/>
                <w:lang w:val="fr-FR" w:eastAsia="zh-CN"/>
              </w:rPr>
              <w:noBreakHyphen/>
            </w:r>
            <w:r w:rsidRPr="004802F4">
              <w:rPr>
                <w:rFonts w:eastAsia="SimSun"/>
                <w:szCs w:val="24"/>
                <w:lang w:val="fr-FR" w:eastAsia="zh-CN"/>
              </w:rPr>
              <w:t>type a été observé à un niveau élevé dans un cycle de végétation tout en étant absent dans un autre.</w:t>
            </w:r>
          </w:p>
          <w:p w:rsidR="0032181E" w:rsidRPr="009D113B" w:rsidRDefault="0032181E" w:rsidP="00E77C3B">
            <w:pPr>
              <w:keepNext/>
              <w:keepLines/>
              <w:rPr>
                <w:rFonts w:eastAsia="SimSun"/>
                <w:szCs w:val="24"/>
                <w:lang w:val="fr-FR" w:eastAsia="zh-CN"/>
              </w:rPr>
            </w:pPr>
          </w:p>
          <w:p w:rsidR="0032181E" w:rsidRPr="009D113B" w:rsidRDefault="0032181E" w:rsidP="00E77C3B">
            <w:pPr>
              <w:keepNext/>
              <w:keepLines/>
              <w:rPr>
                <w:rFonts w:eastAsia="SimSun"/>
                <w:szCs w:val="24"/>
                <w:lang w:val="fr-FR" w:eastAsia="zh-CN"/>
              </w:rPr>
            </w:pPr>
            <w:r>
              <w:rPr>
                <w:rFonts w:eastAsia="SimSun"/>
                <w:szCs w:val="24"/>
                <w:lang w:val="fr-FR" w:eastAsia="zh-CN"/>
              </w:rPr>
              <w:t>En outre, en raison d’un manque d’homogénéité</w:t>
            </w:r>
            <w:r w:rsidRPr="009A25C2">
              <w:rPr>
                <w:rFonts w:eastAsia="SimSun"/>
                <w:szCs w:val="24"/>
                <w:lang w:val="fr-FR" w:eastAsia="zh-CN"/>
              </w:rPr>
              <w:t>, une variété peut être rejetée après un seul cycle de végétation</w:t>
            </w:r>
            <w:r>
              <w:rPr>
                <w:rFonts w:eastAsia="SimSun"/>
                <w:szCs w:val="24"/>
                <w:lang w:val="fr-FR" w:eastAsia="zh-CN"/>
              </w:rPr>
              <w:t>.</w:t>
            </w:r>
          </w:p>
          <w:p w:rsidR="0032181E" w:rsidRPr="009D113B" w:rsidRDefault="0032181E" w:rsidP="00E77C3B">
            <w:pPr>
              <w:keepNext/>
              <w:keepLines/>
              <w:rPr>
                <w:rFonts w:eastAsia="SimSun"/>
                <w:szCs w:val="24"/>
                <w:lang w:val="fr-FR" w:eastAsia="zh-CN"/>
              </w:rPr>
            </w:pPr>
          </w:p>
          <w:p w:rsidR="0032181E" w:rsidRPr="009D113B" w:rsidRDefault="0032181E" w:rsidP="00E77C3B">
            <w:pPr>
              <w:keepNext/>
              <w:keepLines/>
              <w:rPr>
                <w:rFonts w:eastAsia="SimSun"/>
                <w:szCs w:val="24"/>
                <w:lang w:val="fr-FR" w:eastAsia="zh-CN"/>
              </w:rPr>
            </w:pPr>
          </w:p>
          <w:p w:rsidR="0032181E" w:rsidRPr="009D113B" w:rsidRDefault="0032181E" w:rsidP="00E77C3B">
            <w:pPr>
              <w:keepNext/>
              <w:ind w:left="34"/>
              <w:rPr>
                <w:b/>
                <w:bCs/>
                <w:highlight w:val="lightGray"/>
                <w:u w:val="single"/>
                <w:lang w:val="fr-FR"/>
              </w:rPr>
            </w:pPr>
            <w:r>
              <w:rPr>
                <w:b/>
                <w:bCs/>
                <w:highlight w:val="lightGray"/>
                <w:u w:val="single"/>
                <w:lang w:val="fr-FR"/>
              </w:rPr>
              <w:t>Méthode 3 : Combiner les résultats de deux cycles de végétation</w:t>
            </w:r>
          </w:p>
          <w:p w:rsidR="0032181E" w:rsidRPr="009D113B" w:rsidRDefault="0032181E" w:rsidP="00E77C3B">
            <w:pPr>
              <w:keepNext/>
              <w:ind w:left="34"/>
              <w:rPr>
                <w:highlight w:val="lightGray"/>
                <w:u w:val="single"/>
                <w:lang w:val="fr-FR"/>
              </w:rPr>
            </w:pPr>
          </w:p>
          <w:p w:rsidR="0032181E" w:rsidRPr="003323FE" w:rsidRDefault="0032181E" w:rsidP="00E77C3B">
            <w:pPr>
              <w:ind w:left="34"/>
              <w:rPr>
                <w:highlight w:val="lightGray"/>
                <w:u w:val="single"/>
                <w:lang w:val="fr-FR"/>
              </w:rPr>
            </w:pPr>
            <w:r w:rsidRPr="003323FE">
              <w:rPr>
                <w:highlight w:val="lightGray"/>
                <w:u w:val="single"/>
                <w:lang w:val="fr-FR"/>
              </w:rPr>
              <w:t xml:space="preserve">Une variété est réputée homogène si </w:t>
            </w:r>
            <w:r>
              <w:rPr>
                <w:highlight w:val="lightGray"/>
                <w:u w:val="single"/>
                <w:lang w:val="fr-FR"/>
              </w:rPr>
              <w:t>le nombre total de plantes hors</w:t>
            </w:r>
            <w:r w:rsidRPr="00AC42AA">
              <w:rPr>
                <w:highlight w:val="lightGray"/>
                <w:u w:val="single"/>
                <w:lang w:val="fr-FR"/>
              </w:rPr>
              <w:noBreakHyphen/>
            </w:r>
            <w:r w:rsidRPr="003323FE">
              <w:rPr>
                <w:highlight w:val="lightGray"/>
                <w:u w:val="single"/>
                <w:lang w:val="fr-FR"/>
              </w:rPr>
              <w:t>type à l</w:t>
            </w:r>
            <w:r>
              <w:rPr>
                <w:highlight w:val="lightGray"/>
                <w:u w:val="single"/>
                <w:lang w:val="fr-FR"/>
              </w:rPr>
              <w:t>’</w:t>
            </w:r>
            <w:r w:rsidRPr="003323FE">
              <w:rPr>
                <w:highlight w:val="lightGray"/>
                <w:u w:val="single"/>
                <w:lang w:val="fr-FR"/>
              </w:rPr>
              <w:t>issue des deux</w:t>
            </w:r>
            <w:r>
              <w:rPr>
                <w:highlight w:val="lightGray"/>
                <w:u w:val="single"/>
                <w:lang w:val="fr-FR"/>
              </w:rPr>
              <w:t> </w:t>
            </w:r>
            <w:r w:rsidRPr="003323FE">
              <w:rPr>
                <w:highlight w:val="lightGray"/>
                <w:u w:val="single"/>
                <w:lang w:val="fr-FR"/>
              </w:rPr>
              <w:t>cycles de végétation ne dépasse pas le nombre de plantes hors</w:t>
            </w:r>
            <w:r w:rsidRPr="00AC42AA">
              <w:rPr>
                <w:highlight w:val="lightGray"/>
                <w:u w:val="single"/>
                <w:lang w:val="fr-FR"/>
              </w:rPr>
              <w:noBreakHyphen/>
            </w:r>
            <w:r w:rsidRPr="003323FE">
              <w:rPr>
                <w:highlight w:val="lightGray"/>
                <w:u w:val="single"/>
                <w:lang w:val="fr-FR"/>
              </w:rPr>
              <w:t>type autorisé pour l</w:t>
            </w:r>
            <w:r>
              <w:rPr>
                <w:highlight w:val="lightGray"/>
                <w:u w:val="single"/>
                <w:lang w:val="fr-FR"/>
              </w:rPr>
              <w:t>’</w:t>
            </w:r>
            <w:r w:rsidRPr="003323FE">
              <w:rPr>
                <w:highlight w:val="lightGray"/>
                <w:u w:val="single"/>
                <w:lang w:val="fr-FR"/>
              </w:rPr>
              <w:t>échantillon combiné.</w:t>
            </w:r>
          </w:p>
          <w:p w:rsidR="0032181E" w:rsidRPr="009D113B" w:rsidRDefault="0032181E" w:rsidP="00E77C3B">
            <w:pPr>
              <w:ind w:left="34"/>
              <w:rPr>
                <w:highlight w:val="lightGray"/>
                <w:u w:val="single"/>
                <w:lang w:val="fr-FR"/>
              </w:rPr>
            </w:pPr>
          </w:p>
          <w:p w:rsidR="0032181E" w:rsidRPr="003323FE" w:rsidRDefault="0032181E" w:rsidP="00E77C3B">
            <w:pPr>
              <w:ind w:left="34"/>
              <w:rPr>
                <w:highlight w:val="lightGray"/>
                <w:u w:val="single"/>
                <w:lang w:val="fr-FR"/>
              </w:rPr>
            </w:pPr>
            <w:r w:rsidRPr="003323FE">
              <w:rPr>
                <w:highlight w:val="lightGray"/>
                <w:u w:val="single"/>
                <w:lang w:val="fr-FR"/>
              </w:rPr>
              <w:t>Une variété est réputée non homogène si le nombre total de plantes hors</w:t>
            </w:r>
            <w:r w:rsidRPr="00AC42AA">
              <w:rPr>
                <w:highlight w:val="lightGray"/>
                <w:u w:val="single"/>
                <w:lang w:val="fr-FR"/>
              </w:rPr>
              <w:noBreakHyphen/>
            </w:r>
            <w:r w:rsidRPr="003323FE">
              <w:rPr>
                <w:highlight w:val="lightGray"/>
                <w:u w:val="single"/>
                <w:lang w:val="fr-FR"/>
              </w:rPr>
              <w:t>type à la fin des deux</w:t>
            </w:r>
            <w:r>
              <w:rPr>
                <w:highlight w:val="lightGray"/>
                <w:u w:val="single"/>
                <w:lang w:val="fr-FR"/>
              </w:rPr>
              <w:t> </w:t>
            </w:r>
            <w:r w:rsidRPr="003323FE">
              <w:rPr>
                <w:highlight w:val="lightGray"/>
                <w:u w:val="single"/>
                <w:lang w:val="fr-FR"/>
              </w:rPr>
              <w:t>cycles de végétation dépasse le nombre de plantes hors</w:t>
            </w:r>
            <w:r w:rsidRPr="00AC42AA">
              <w:rPr>
                <w:highlight w:val="lightGray"/>
                <w:u w:val="single"/>
                <w:lang w:val="fr-FR"/>
              </w:rPr>
              <w:noBreakHyphen/>
            </w:r>
            <w:r w:rsidRPr="003323FE">
              <w:rPr>
                <w:highlight w:val="lightGray"/>
                <w:u w:val="single"/>
                <w:lang w:val="fr-FR"/>
              </w:rPr>
              <w:t>type autorisé pour l</w:t>
            </w:r>
            <w:r>
              <w:rPr>
                <w:highlight w:val="lightGray"/>
                <w:u w:val="single"/>
                <w:lang w:val="fr-FR"/>
              </w:rPr>
              <w:t>’</w:t>
            </w:r>
            <w:r w:rsidRPr="003323FE">
              <w:rPr>
                <w:highlight w:val="lightGray"/>
                <w:u w:val="single"/>
                <w:lang w:val="fr-FR"/>
              </w:rPr>
              <w:t>échantillon combiné.</w:t>
            </w:r>
          </w:p>
          <w:p w:rsidR="0032181E" w:rsidRDefault="0032181E" w:rsidP="00E77C3B">
            <w:pPr>
              <w:ind w:left="34"/>
              <w:rPr>
                <w:highlight w:val="lightGray"/>
                <w:u w:val="single"/>
                <w:lang w:val="fr-FR"/>
              </w:rPr>
            </w:pPr>
          </w:p>
          <w:p w:rsidR="0032181E" w:rsidRDefault="0032181E" w:rsidP="00E77C3B">
            <w:pPr>
              <w:ind w:left="34"/>
              <w:rPr>
                <w:highlight w:val="lightGray"/>
                <w:u w:val="single"/>
                <w:lang w:val="fr-FR"/>
              </w:rPr>
            </w:pPr>
            <w:r w:rsidRPr="003323FE">
              <w:rPr>
                <w:highlight w:val="lightGray"/>
                <w:u w:val="single"/>
                <w:lang w:val="fr-FR"/>
              </w:rPr>
              <w:t>Une variété peut être rejetée après un seul cycle de végétation si le nombre de plantes hors</w:t>
            </w:r>
            <w:r w:rsidRPr="00AC42AA">
              <w:rPr>
                <w:highlight w:val="lightGray"/>
                <w:u w:val="single"/>
                <w:lang w:val="fr-FR"/>
              </w:rPr>
              <w:noBreakHyphen/>
            </w:r>
            <w:r w:rsidRPr="003323FE">
              <w:rPr>
                <w:highlight w:val="lightGray"/>
                <w:u w:val="single"/>
                <w:lang w:val="fr-FR"/>
              </w:rPr>
              <w:t>type dépasse le nombre de plantes hors</w:t>
            </w:r>
            <w:r w:rsidRPr="00AC42AA">
              <w:rPr>
                <w:highlight w:val="lightGray"/>
                <w:u w:val="single"/>
                <w:lang w:val="fr-FR"/>
              </w:rPr>
              <w:noBreakHyphen/>
            </w:r>
            <w:r w:rsidRPr="003323FE">
              <w:rPr>
                <w:highlight w:val="lightGray"/>
                <w:u w:val="single"/>
                <w:lang w:val="fr-FR"/>
              </w:rPr>
              <w:t>type autorisé pour l</w:t>
            </w:r>
            <w:r>
              <w:rPr>
                <w:highlight w:val="lightGray"/>
                <w:u w:val="single"/>
                <w:lang w:val="fr-FR"/>
              </w:rPr>
              <w:t>’</w:t>
            </w:r>
            <w:r w:rsidRPr="003323FE">
              <w:rPr>
                <w:highlight w:val="lightGray"/>
                <w:u w:val="single"/>
                <w:lang w:val="fr-FR"/>
              </w:rPr>
              <w:t>échantillon combiné (sur deux</w:t>
            </w:r>
            <w:r>
              <w:rPr>
                <w:highlight w:val="lightGray"/>
                <w:u w:val="single"/>
                <w:lang w:val="fr-FR"/>
              </w:rPr>
              <w:t> </w:t>
            </w:r>
            <w:r w:rsidRPr="003323FE">
              <w:rPr>
                <w:highlight w:val="lightGray"/>
                <w:u w:val="single"/>
                <w:lang w:val="fr-FR"/>
              </w:rPr>
              <w:t>cycles).</w:t>
            </w:r>
          </w:p>
          <w:p w:rsidR="0032181E" w:rsidRPr="003323FE" w:rsidRDefault="0032181E" w:rsidP="00E77C3B">
            <w:pPr>
              <w:ind w:left="34"/>
              <w:rPr>
                <w:highlight w:val="lightGray"/>
                <w:u w:val="single"/>
                <w:lang w:val="fr-FR"/>
              </w:rPr>
            </w:pPr>
          </w:p>
          <w:p w:rsidR="0032181E" w:rsidRPr="009D113B" w:rsidRDefault="0032181E" w:rsidP="00E77C3B">
            <w:pPr>
              <w:ind w:left="34"/>
              <w:rPr>
                <w:lang w:val="fr-FR"/>
              </w:rPr>
            </w:pPr>
            <w:r w:rsidRPr="003323FE">
              <w:rPr>
                <w:highlight w:val="lightGray"/>
                <w:u w:val="single"/>
                <w:lang w:val="fr-FR"/>
              </w:rPr>
              <w:t>Il faut faire preuve de prudence lorsqu</w:t>
            </w:r>
            <w:r>
              <w:rPr>
                <w:highlight w:val="lightGray"/>
                <w:u w:val="single"/>
                <w:lang w:val="fr-FR"/>
              </w:rPr>
              <w:t>’</w:t>
            </w:r>
            <w:r w:rsidRPr="003323FE">
              <w:rPr>
                <w:highlight w:val="lightGray"/>
                <w:u w:val="single"/>
                <w:lang w:val="fr-FR"/>
              </w:rPr>
              <w:t>on examine des résultats très différents dans chacun des cycles de végétation, notamment lorsqu</w:t>
            </w:r>
            <w:r>
              <w:rPr>
                <w:highlight w:val="lightGray"/>
                <w:u w:val="single"/>
                <w:lang w:val="fr-FR"/>
              </w:rPr>
              <w:t>’</w:t>
            </w:r>
            <w:r w:rsidRPr="003323FE">
              <w:rPr>
                <w:highlight w:val="lightGray"/>
                <w:u w:val="single"/>
                <w:lang w:val="fr-FR"/>
              </w:rPr>
              <w:t>un type de plante hors</w:t>
            </w:r>
            <w:r w:rsidRPr="00AC42AA">
              <w:rPr>
                <w:highlight w:val="lightGray"/>
                <w:u w:val="single"/>
                <w:lang w:val="fr-FR"/>
              </w:rPr>
              <w:noBreakHyphen/>
            </w:r>
            <w:r w:rsidRPr="003323FE">
              <w:rPr>
                <w:highlight w:val="lightGray"/>
                <w:u w:val="single"/>
                <w:lang w:val="fr-FR"/>
              </w:rPr>
              <w:t>type est observé à un niveau élevé dans un cycle de végétation tout en étant absent dans un autre.  Il est possible d</w:t>
            </w:r>
            <w:r>
              <w:rPr>
                <w:highlight w:val="lightGray"/>
                <w:u w:val="single"/>
                <w:lang w:val="fr-FR"/>
              </w:rPr>
              <w:t>’</w:t>
            </w:r>
            <w:r w:rsidRPr="003323FE">
              <w:rPr>
                <w:highlight w:val="lightGray"/>
                <w:u w:val="single"/>
                <w:lang w:val="fr-FR"/>
              </w:rPr>
              <w:t>effectuer un test statistique d</w:t>
            </w:r>
            <w:r>
              <w:rPr>
                <w:highlight w:val="lightGray"/>
                <w:u w:val="single"/>
                <w:lang w:val="fr-FR"/>
              </w:rPr>
              <w:t>’</w:t>
            </w:r>
            <w:r w:rsidRPr="003323FE">
              <w:rPr>
                <w:highlight w:val="lightGray"/>
                <w:u w:val="single"/>
                <w:lang w:val="fr-FR"/>
              </w:rPr>
              <w:t>homogénéité.</w:t>
            </w:r>
          </w:p>
          <w:p w:rsidR="0032181E" w:rsidRPr="009D113B" w:rsidRDefault="0032181E" w:rsidP="00E77C3B">
            <w:pPr>
              <w:keepNext/>
              <w:keepLines/>
              <w:rPr>
                <w:rFonts w:eastAsia="SimSun"/>
                <w:szCs w:val="24"/>
                <w:lang w:val="fr-FR" w:eastAsia="zh-CN"/>
              </w:rPr>
            </w:pPr>
          </w:p>
          <w:p w:rsidR="0032181E" w:rsidRPr="009D113B" w:rsidRDefault="0032181E" w:rsidP="00E77C3B">
            <w:pPr>
              <w:keepNext/>
              <w:keepLines/>
              <w:rPr>
                <w:rFonts w:eastAsia="SimSun"/>
                <w:szCs w:val="24"/>
                <w:lang w:val="fr-FR" w:eastAsia="zh-CN"/>
              </w:rPr>
            </w:pPr>
          </w:p>
          <w:p w:rsidR="0032181E" w:rsidRDefault="0032181E" w:rsidP="00E77C3B">
            <w:pPr>
              <w:keepNext/>
              <w:keepLines/>
              <w:jc w:val="left"/>
              <w:rPr>
                <w:szCs w:val="24"/>
                <w:lang w:val="fr-FR"/>
              </w:rPr>
            </w:pPr>
            <w:r w:rsidRPr="009D113B">
              <w:rPr>
                <w:szCs w:val="24"/>
                <w:lang w:val="fr-FR"/>
              </w:rPr>
              <w:t>Ex</w:t>
            </w:r>
            <w:r>
              <w:rPr>
                <w:szCs w:val="24"/>
                <w:lang w:val="fr-FR"/>
              </w:rPr>
              <w:t>e</w:t>
            </w:r>
            <w:r w:rsidRPr="009D113B">
              <w:rPr>
                <w:szCs w:val="24"/>
                <w:lang w:val="fr-FR"/>
              </w:rPr>
              <w:t>mple</w:t>
            </w:r>
            <w:r>
              <w:rPr>
                <w:szCs w:val="24"/>
                <w:lang w:val="fr-FR"/>
              </w:rPr>
              <w:t> :</w:t>
            </w:r>
          </w:p>
          <w:p w:rsidR="003F545F" w:rsidRPr="009D113B" w:rsidRDefault="003F545F" w:rsidP="00E77C3B">
            <w:pPr>
              <w:keepNext/>
              <w:keepLines/>
              <w:jc w:val="left"/>
              <w:rPr>
                <w:szCs w:val="24"/>
                <w:lang w:val="fr-FR"/>
              </w:rPr>
            </w:pPr>
          </w:p>
          <w:tbl>
            <w:tblPr>
              <w:tblW w:w="9124" w:type="dxa"/>
              <w:tblInd w:w="600" w:type="dxa"/>
              <w:tblLook w:val="04A0" w:firstRow="1" w:lastRow="0" w:firstColumn="1" w:lastColumn="0" w:noHBand="0" w:noVBand="1"/>
            </w:tblPr>
            <w:tblGrid>
              <w:gridCol w:w="424"/>
              <w:gridCol w:w="696"/>
              <w:gridCol w:w="1134"/>
              <w:gridCol w:w="180"/>
              <w:gridCol w:w="954"/>
              <w:gridCol w:w="1807"/>
              <w:gridCol w:w="320"/>
              <w:gridCol w:w="1985"/>
              <w:gridCol w:w="1624"/>
            </w:tblGrid>
            <w:tr w:rsidR="0032181E" w:rsidRPr="009D113B" w:rsidTr="00E77C3B">
              <w:trPr>
                <w:trHeight w:val="255"/>
              </w:trPr>
              <w:tc>
                <w:tcPr>
                  <w:tcW w:w="1120" w:type="dxa"/>
                  <w:gridSpan w:val="2"/>
                  <w:tcBorders>
                    <w:top w:val="nil"/>
                    <w:left w:val="nil"/>
                    <w:bottom w:val="nil"/>
                  </w:tcBorders>
                  <w:shd w:val="clear" w:color="auto" w:fill="auto"/>
                  <w:noWrap/>
                  <w:vAlign w:val="bottom"/>
                </w:tcPr>
                <w:p w:rsidR="0032181E" w:rsidRPr="009D113B" w:rsidRDefault="0032181E" w:rsidP="00E77C3B">
                  <w:pPr>
                    <w:jc w:val="left"/>
                    <w:rPr>
                      <w:rFonts w:cs="Arial"/>
                      <w:lang w:val="fr-FR"/>
                    </w:rPr>
                  </w:pPr>
                </w:p>
              </w:tc>
              <w:tc>
                <w:tcPr>
                  <w:tcW w:w="8004" w:type="dxa"/>
                  <w:gridSpan w:val="7"/>
                  <w:tcBorders>
                    <w:top w:val="nil"/>
                    <w:right w:val="nil"/>
                  </w:tcBorders>
                  <w:shd w:val="clear" w:color="auto" w:fill="auto"/>
                  <w:vAlign w:val="bottom"/>
                </w:tcPr>
                <w:p w:rsidR="0032181E" w:rsidRPr="009D113B" w:rsidRDefault="0032181E" w:rsidP="00E77C3B">
                  <w:pPr>
                    <w:jc w:val="left"/>
                    <w:rPr>
                      <w:rFonts w:cs="Arial"/>
                      <w:lang w:val="fr-FR"/>
                    </w:rPr>
                  </w:pPr>
                  <w:r>
                    <w:rPr>
                      <w:rFonts w:cs="Arial"/>
                      <w:lang w:val="fr-FR"/>
                    </w:rPr>
                    <w:t>Norme de population</w:t>
                  </w:r>
                  <w:r w:rsidRPr="009D113B">
                    <w:rPr>
                      <w:rFonts w:cs="Arial"/>
                      <w:lang w:val="fr-FR"/>
                    </w:rPr>
                    <w:t xml:space="preserve"> = 1% </w:t>
                  </w:r>
                </w:p>
              </w:tc>
            </w:tr>
            <w:tr w:rsidR="0032181E" w:rsidRPr="009D113B" w:rsidTr="00E77C3B">
              <w:trPr>
                <w:trHeight w:val="270"/>
              </w:trPr>
              <w:tc>
                <w:tcPr>
                  <w:tcW w:w="1120" w:type="dxa"/>
                  <w:gridSpan w:val="2"/>
                  <w:tcBorders>
                    <w:top w:val="nil"/>
                    <w:left w:val="nil"/>
                    <w:bottom w:val="nil"/>
                  </w:tcBorders>
                  <w:shd w:val="clear" w:color="auto" w:fill="auto"/>
                  <w:noWrap/>
                  <w:vAlign w:val="bottom"/>
                  <w:hideMark/>
                </w:tcPr>
                <w:p w:rsidR="0032181E" w:rsidRPr="009D113B" w:rsidRDefault="0032181E" w:rsidP="00E77C3B">
                  <w:pPr>
                    <w:jc w:val="left"/>
                    <w:rPr>
                      <w:rFonts w:cs="Arial"/>
                      <w:lang w:val="fr-FR"/>
                    </w:rPr>
                  </w:pPr>
                </w:p>
              </w:tc>
              <w:tc>
                <w:tcPr>
                  <w:tcW w:w="8004" w:type="dxa"/>
                  <w:gridSpan w:val="7"/>
                  <w:tcBorders>
                    <w:top w:val="nil"/>
                    <w:bottom w:val="single" w:sz="4" w:space="0" w:color="auto"/>
                    <w:right w:val="nil"/>
                  </w:tcBorders>
                  <w:shd w:val="clear" w:color="auto" w:fill="auto"/>
                  <w:vAlign w:val="bottom"/>
                </w:tcPr>
                <w:p w:rsidR="0032181E" w:rsidRPr="009D113B" w:rsidRDefault="0032181E" w:rsidP="00E77C3B">
                  <w:pPr>
                    <w:jc w:val="left"/>
                    <w:rPr>
                      <w:rFonts w:cs="Arial"/>
                      <w:lang w:val="fr-FR"/>
                    </w:rPr>
                  </w:pPr>
                  <w:r>
                    <w:rPr>
                      <w:rFonts w:cs="Arial"/>
                      <w:lang w:val="fr-FR"/>
                    </w:rPr>
                    <w:t>Probabilité d’acceptation</w:t>
                  </w:r>
                  <w:r w:rsidRPr="009D113B">
                    <w:rPr>
                      <w:rFonts w:cs="Arial"/>
                      <w:lang w:val="fr-FR"/>
                    </w:rPr>
                    <w:t xml:space="preserve"> ≥ 95%</w:t>
                  </w:r>
                </w:p>
              </w:tc>
            </w:tr>
            <w:tr w:rsidR="0032181E" w:rsidRPr="009D113B" w:rsidTr="00E77C3B">
              <w:trPr>
                <w:gridBefore w:val="2"/>
                <w:wBefore w:w="1120" w:type="dxa"/>
                <w:trHeight w:val="255"/>
              </w:trPr>
              <w:tc>
                <w:tcPr>
                  <w:tcW w:w="8004" w:type="dxa"/>
                  <w:gridSpan w:val="7"/>
                  <w:tcBorders>
                    <w:top w:val="single" w:sz="4" w:space="0" w:color="auto"/>
                    <w:left w:val="single" w:sz="4" w:space="0" w:color="auto"/>
                    <w:bottom w:val="nil"/>
                    <w:right w:val="single" w:sz="8" w:space="0" w:color="000000"/>
                  </w:tcBorders>
                  <w:shd w:val="clear" w:color="auto" w:fill="auto"/>
                  <w:vAlign w:val="bottom"/>
                </w:tcPr>
                <w:p w:rsidR="0032181E" w:rsidRPr="009D113B" w:rsidRDefault="0032181E" w:rsidP="00E77C3B">
                  <w:pPr>
                    <w:jc w:val="left"/>
                    <w:rPr>
                      <w:rFonts w:cs="Arial"/>
                      <w:lang w:val="fr-FR"/>
                    </w:rPr>
                  </w:pPr>
                  <w:r>
                    <w:rPr>
                      <w:rFonts w:cs="Arial"/>
                      <w:lang w:val="fr-FR"/>
                    </w:rPr>
                    <w:t>Taille de l’échantillon dans chacun des cycles de végétation</w:t>
                  </w:r>
                  <w:r w:rsidRPr="009D113B">
                    <w:rPr>
                      <w:rFonts w:cs="Arial"/>
                      <w:lang w:val="fr-FR"/>
                    </w:rPr>
                    <w:t xml:space="preserve"> 1 </w:t>
                  </w:r>
                  <w:r>
                    <w:rPr>
                      <w:rFonts w:cs="Arial"/>
                      <w:lang w:val="fr-FR"/>
                    </w:rPr>
                    <w:t>et</w:t>
                  </w:r>
                  <w:r w:rsidRPr="009D113B">
                    <w:rPr>
                      <w:rFonts w:cs="Arial"/>
                      <w:lang w:val="fr-FR"/>
                    </w:rPr>
                    <w:t xml:space="preserve"> 2 = 50</w:t>
                  </w:r>
                </w:p>
              </w:tc>
            </w:tr>
            <w:tr w:rsidR="0032181E" w:rsidRPr="009D113B" w:rsidTr="00E77C3B">
              <w:trPr>
                <w:gridBefore w:val="2"/>
                <w:wBefore w:w="1120" w:type="dxa"/>
                <w:trHeight w:val="270"/>
              </w:trPr>
              <w:tc>
                <w:tcPr>
                  <w:tcW w:w="8004" w:type="dxa"/>
                  <w:gridSpan w:val="7"/>
                  <w:tcBorders>
                    <w:top w:val="nil"/>
                    <w:left w:val="single" w:sz="4" w:space="0" w:color="auto"/>
                    <w:bottom w:val="single" w:sz="8" w:space="0" w:color="auto"/>
                    <w:right w:val="single" w:sz="8" w:space="0" w:color="000000"/>
                  </w:tcBorders>
                  <w:shd w:val="clear" w:color="auto" w:fill="auto"/>
                  <w:vAlign w:val="bottom"/>
                </w:tcPr>
                <w:p w:rsidR="0032181E" w:rsidRPr="009D113B" w:rsidRDefault="0032181E" w:rsidP="00E77C3B">
                  <w:pPr>
                    <w:jc w:val="left"/>
                    <w:rPr>
                      <w:rFonts w:cs="Arial"/>
                      <w:lang w:val="fr-FR"/>
                    </w:rPr>
                  </w:pPr>
                  <w:r>
                    <w:rPr>
                      <w:rFonts w:cs="Arial"/>
                      <w:lang w:val="fr-FR"/>
                    </w:rPr>
                    <w:t>Nombre maximum de plantes hors</w:t>
                  </w:r>
                  <w:r>
                    <w:rPr>
                      <w:rFonts w:cs="Arial"/>
                      <w:lang w:val="fr-FR"/>
                    </w:rPr>
                    <w:noBreakHyphen/>
                    <w:t>type</w:t>
                  </w:r>
                  <w:r w:rsidRPr="009D113B">
                    <w:rPr>
                      <w:rFonts w:cs="Arial"/>
                      <w:lang w:val="fr-FR"/>
                    </w:rPr>
                    <w:t xml:space="preserve"> = 2</w:t>
                  </w:r>
                </w:p>
              </w:tc>
            </w:tr>
            <w:tr w:rsidR="0032181E" w:rsidRPr="009D113B" w:rsidTr="00E77C3B">
              <w:trPr>
                <w:gridBefore w:val="2"/>
                <w:wBefore w:w="1120" w:type="dxa"/>
                <w:trHeight w:val="270"/>
              </w:trPr>
              <w:tc>
                <w:tcPr>
                  <w:tcW w:w="8004" w:type="dxa"/>
                  <w:gridSpan w:val="7"/>
                  <w:tcBorders>
                    <w:top w:val="nil"/>
                    <w:left w:val="single" w:sz="4" w:space="0" w:color="auto"/>
                    <w:bottom w:val="nil"/>
                    <w:right w:val="single" w:sz="4" w:space="0" w:color="auto"/>
                  </w:tcBorders>
                  <w:shd w:val="clear" w:color="auto" w:fill="auto"/>
                  <w:vAlign w:val="bottom"/>
                </w:tcPr>
                <w:p w:rsidR="0032181E" w:rsidRPr="009D113B" w:rsidRDefault="0032181E" w:rsidP="00E77C3B">
                  <w:pPr>
                    <w:jc w:val="left"/>
                    <w:rPr>
                      <w:rFonts w:cs="Arial"/>
                      <w:lang w:val="fr-FR"/>
                    </w:rPr>
                  </w:pPr>
                  <w:r>
                    <w:rPr>
                      <w:rFonts w:cs="Arial"/>
                      <w:lang w:val="fr-FR"/>
                    </w:rPr>
                    <w:t xml:space="preserve">Taille de l’échantillon dans les cycles de végétation 1 et 2 combinés </w:t>
                  </w:r>
                  <w:r w:rsidRPr="009D113B">
                    <w:rPr>
                      <w:rFonts w:cs="Arial"/>
                      <w:lang w:val="fr-FR"/>
                    </w:rPr>
                    <w:t>= 100</w:t>
                  </w:r>
                </w:p>
              </w:tc>
            </w:tr>
            <w:tr w:rsidR="0032181E" w:rsidRPr="009D113B" w:rsidTr="00E77C3B">
              <w:trPr>
                <w:gridBefore w:val="2"/>
                <w:wBefore w:w="1120" w:type="dxa"/>
                <w:trHeight w:val="270"/>
              </w:trPr>
              <w:tc>
                <w:tcPr>
                  <w:tcW w:w="8004" w:type="dxa"/>
                  <w:gridSpan w:val="7"/>
                  <w:tcBorders>
                    <w:top w:val="nil"/>
                    <w:left w:val="single" w:sz="4" w:space="0" w:color="auto"/>
                    <w:bottom w:val="single" w:sz="4" w:space="0" w:color="auto"/>
                    <w:right w:val="single" w:sz="4" w:space="0" w:color="auto"/>
                  </w:tcBorders>
                  <w:shd w:val="clear" w:color="auto" w:fill="auto"/>
                  <w:vAlign w:val="bottom"/>
                </w:tcPr>
                <w:p w:rsidR="0032181E" w:rsidRPr="009D113B" w:rsidRDefault="0032181E" w:rsidP="00E77C3B">
                  <w:pPr>
                    <w:jc w:val="left"/>
                    <w:rPr>
                      <w:rFonts w:cs="Arial"/>
                      <w:lang w:val="fr-FR"/>
                    </w:rPr>
                  </w:pPr>
                  <w:r>
                    <w:rPr>
                      <w:rFonts w:cs="Arial"/>
                      <w:lang w:val="fr-FR"/>
                    </w:rPr>
                    <w:t>Nombre maximum de plantes hors</w:t>
                  </w:r>
                  <w:r>
                    <w:rPr>
                      <w:rFonts w:cs="Arial"/>
                      <w:lang w:val="fr-FR"/>
                    </w:rPr>
                    <w:noBreakHyphen/>
                    <w:t>type</w:t>
                  </w:r>
                  <w:r w:rsidRPr="009D113B">
                    <w:rPr>
                      <w:rFonts w:cs="Arial"/>
                      <w:lang w:val="fr-FR"/>
                    </w:rPr>
                    <w:t xml:space="preserve"> = 3</w:t>
                  </w:r>
                </w:p>
              </w:tc>
            </w:tr>
            <w:tr w:rsidR="0032181E" w:rsidRPr="009D113B" w:rsidTr="00E77C3B">
              <w:trPr>
                <w:gridBefore w:val="2"/>
                <w:wBefore w:w="1120" w:type="dxa"/>
                <w:trHeight w:val="239"/>
              </w:trPr>
              <w:tc>
                <w:tcPr>
                  <w:tcW w:w="1314" w:type="dxa"/>
                  <w:gridSpan w:val="2"/>
                  <w:tcBorders>
                    <w:top w:val="nil"/>
                    <w:left w:val="nil"/>
                    <w:bottom w:val="single" w:sz="4" w:space="0" w:color="auto"/>
                    <w:right w:val="nil"/>
                  </w:tcBorders>
                  <w:shd w:val="clear" w:color="auto" w:fill="auto"/>
                  <w:noWrap/>
                  <w:vAlign w:val="bottom"/>
                  <w:hideMark/>
                </w:tcPr>
                <w:p w:rsidR="0032181E" w:rsidRPr="009D113B" w:rsidRDefault="0032181E" w:rsidP="00E77C3B">
                  <w:pPr>
                    <w:jc w:val="left"/>
                    <w:rPr>
                      <w:rFonts w:cs="Arial"/>
                      <w:lang w:val="fr-FR"/>
                    </w:rPr>
                  </w:pPr>
                  <w:r w:rsidRPr="009D113B">
                    <w:rPr>
                      <w:rFonts w:cs="Arial"/>
                      <w:lang w:val="fr-FR"/>
                    </w:rPr>
                    <w:t> </w:t>
                  </w:r>
                </w:p>
              </w:tc>
              <w:tc>
                <w:tcPr>
                  <w:tcW w:w="954" w:type="dxa"/>
                  <w:tcBorders>
                    <w:top w:val="nil"/>
                    <w:left w:val="nil"/>
                    <w:bottom w:val="single" w:sz="4" w:space="0" w:color="auto"/>
                    <w:right w:val="nil"/>
                  </w:tcBorders>
                  <w:shd w:val="clear" w:color="auto" w:fill="auto"/>
                  <w:noWrap/>
                  <w:vAlign w:val="bottom"/>
                  <w:hideMark/>
                </w:tcPr>
                <w:p w:rsidR="0032181E" w:rsidRPr="009D113B" w:rsidRDefault="0032181E" w:rsidP="00E77C3B">
                  <w:pPr>
                    <w:jc w:val="left"/>
                    <w:rPr>
                      <w:rFonts w:cs="Arial"/>
                      <w:lang w:val="fr-FR"/>
                    </w:rPr>
                  </w:pPr>
                  <w:r w:rsidRPr="009D113B">
                    <w:rPr>
                      <w:rFonts w:cs="Arial"/>
                      <w:lang w:val="fr-FR"/>
                    </w:rPr>
                    <w:t> </w:t>
                  </w:r>
                </w:p>
              </w:tc>
              <w:tc>
                <w:tcPr>
                  <w:tcW w:w="1807" w:type="dxa"/>
                  <w:tcBorders>
                    <w:top w:val="nil"/>
                    <w:left w:val="nil"/>
                    <w:bottom w:val="single" w:sz="4" w:space="0" w:color="auto"/>
                    <w:right w:val="nil"/>
                  </w:tcBorders>
                  <w:shd w:val="clear" w:color="auto" w:fill="auto"/>
                  <w:noWrap/>
                  <w:vAlign w:val="bottom"/>
                  <w:hideMark/>
                </w:tcPr>
                <w:p w:rsidR="0032181E" w:rsidRPr="009D113B" w:rsidRDefault="0032181E" w:rsidP="00E77C3B">
                  <w:pPr>
                    <w:jc w:val="left"/>
                    <w:rPr>
                      <w:rFonts w:cs="Arial"/>
                      <w:lang w:val="fr-FR"/>
                    </w:rPr>
                  </w:pPr>
                  <w:r w:rsidRPr="009D113B">
                    <w:rPr>
                      <w:rFonts w:cs="Arial"/>
                      <w:lang w:val="fr-FR"/>
                    </w:rPr>
                    <w:t> </w:t>
                  </w:r>
                </w:p>
              </w:tc>
              <w:tc>
                <w:tcPr>
                  <w:tcW w:w="3929" w:type="dxa"/>
                  <w:gridSpan w:val="3"/>
                  <w:tcBorders>
                    <w:top w:val="nil"/>
                    <w:left w:val="nil"/>
                    <w:bottom w:val="single" w:sz="4" w:space="0" w:color="auto"/>
                    <w:right w:val="nil"/>
                  </w:tcBorders>
                  <w:shd w:val="clear" w:color="auto" w:fill="auto"/>
                  <w:noWrap/>
                  <w:vAlign w:val="bottom"/>
                  <w:hideMark/>
                </w:tcPr>
                <w:p w:rsidR="0032181E" w:rsidRPr="009D113B" w:rsidRDefault="0032181E" w:rsidP="00E77C3B">
                  <w:pPr>
                    <w:jc w:val="left"/>
                    <w:rPr>
                      <w:rFonts w:cs="Arial"/>
                      <w:lang w:val="fr-FR"/>
                    </w:rPr>
                  </w:pPr>
                  <w:r w:rsidRPr="009D113B">
                    <w:rPr>
                      <w:rFonts w:cs="Arial"/>
                      <w:lang w:val="fr-FR"/>
                    </w:rPr>
                    <w:t> </w:t>
                  </w:r>
                </w:p>
              </w:tc>
            </w:tr>
            <w:tr w:rsidR="0032181E" w:rsidRPr="009D113B" w:rsidTr="00E77C3B">
              <w:trPr>
                <w:gridBefore w:val="1"/>
                <w:wBefore w:w="424" w:type="dxa"/>
                <w:trHeight w:val="380"/>
              </w:trPr>
              <w:tc>
                <w:tcPr>
                  <w:tcW w:w="696" w:type="dxa"/>
                  <w:tcBorders>
                    <w:top w:val="nil"/>
                    <w:left w:val="nil"/>
                    <w:bottom w:val="nil"/>
                    <w:right w:val="single" w:sz="4" w:space="0" w:color="auto"/>
                  </w:tcBorders>
                  <w:shd w:val="clear" w:color="auto" w:fill="auto"/>
                  <w:noWrap/>
                  <w:vAlign w:val="bottom"/>
                  <w:hideMark/>
                </w:tcPr>
                <w:p w:rsidR="0032181E" w:rsidRPr="009D113B" w:rsidRDefault="0032181E" w:rsidP="00E77C3B">
                  <w:pPr>
                    <w:jc w:val="left"/>
                    <w:rPr>
                      <w:rFonts w:cs="Arial"/>
                      <w:lang w:val="fr-FR"/>
                    </w:rPr>
                  </w:pPr>
                  <w:r w:rsidRPr="009D113B">
                    <w:rPr>
                      <w:rFonts w:cs="Arial"/>
                      <w:lang w:val="fr-FR"/>
                    </w:rPr>
                    <w:t> </w:t>
                  </w:r>
                </w:p>
              </w:tc>
              <w:tc>
                <w:tcPr>
                  <w:tcW w:w="2268" w:type="dxa"/>
                  <w:gridSpan w:val="3"/>
                  <w:tcBorders>
                    <w:top w:val="nil"/>
                    <w:left w:val="nil"/>
                    <w:bottom w:val="single" w:sz="4" w:space="0" w:color="auto"/>
                    <w:right w:val="single" w:sz="4" w:space="0" w:color="000000"/>
                  </w:tcBorders>
                  <w:shd w:val="clear" w:color="auto" w:fill="auto"/>
                  <w:noWrap/>
                  <w:vAlign w:val="center"/>
                  <w:hideMark/>
                </w:tcPr>
                <w:p w:rsidR="0032181E" w:rsidRPr="009D113B" w:rsidRDefault="0032181E" w:rsidP="00E77C3B">
                  <w:pPr>
                    <w:jc w:val="center"/>
                    <w:rPr>
                      <w:rFonts w:cs="Arial"/>
                      <w:lang w:val="fr-FR"/>
                    </w:rPr>
                  </w:pPr>
                  <w:r>
                    <w:rPr>
                      <w:rFonts w:cs="Arial"/>
                      <w:lang w:val="fr-FR"/>
                    </w:rPr>
                    <w:t>Cycle de végétation</w:t>
                  </w:r>
                </w:p>
              </w:tc>
              <w:tc>
                <w:tcPr>
                  <w:tcW w:w="5736" w:type="dxa"/>
                  <w:gridSpan w:val="4"/>
                  <w:tcBorders>
                    <w:top w:val="single" w:sz="4" w:space="0" w:color="auto"/>
                    <w:left w:val="nil"/>
                    <w:bottom w:val="single" w:sz="4" w:space="0" w:color="auto"/>
                    <w:right w:val="single" w:sz="4" w:space="0" w:color="auto"/>
                  </w:tcBorders>
                  <w:shd w:val="clear" w:color="auto" w:fill="auto"/>
                  <w:noWrap/>
                  <w:vAlign w:val="center"/>
                  <w:hideMark/>
                </w:tcPr>
                <w:p w:rsidR="0032181E" w:rsidRPr="009D113B" w:rsidRDefault="0032181E" w:rsidP="00E77C3B">
                  <w:pPr>
                    <w:jc w:val="center"/>
                    <w:rPr>
                      <w:lang w:val="fr-FR"/>
                    </w:rPr>
                  </w:pPr>
                  <w:r w:rsidRPr="009D113B">
                    <w:rPr>
                      <w:rFonts w:cs="Arial"/>
                      <w:lang w:val="fr-FR"/>
                    </w:rPr>
                    <w:t>D</w:t>
                  </w:r>
                  <w:r>
                    <w:rPr>
                      <w:rFonts w:cs="Arial"/>
                      <w:lang w:val="fr-FR"/>
                    </w:rPr>
                    <w:t>é</w:t>
                  </w:r>
                  <w:r w:rsidRPr="009D113B">
                    <w:rPr>
                      <w:rFonts w:cs="Arial"/>
                      <w:lang w:val="fr-FR"/>
                    </w:rPr>
                    <w:t>cision</w:t>
                  </w:r>
                </w:p>
              </w:tc>
            </w:tr>
            <w:tr w:rsidR="0032181E" w:rsidRPr="009D113B" w:rsidTr="00E77C3B">
              <w:trPr>
                <w:gridBefore w:val="1"/>
                <w:wBefore w:w="424" w:type="dxa"/>
                <w:trHeight w:val="236"/>
              </w:trPr>
              <w:tc>
                <w:tcPr>
                  <w:tcW w:w="696" w:type="dxa"/>
                  <w:tcBorders>
                    <w:top w:val="nil"/>
                    <w:left w:val="nil"/>
                    <w:bottom w:val="single" w:sz="4" w:space="0" w:color="auto"/>
                    <w:right w:val="single" w:sz="4" w:space="0" w:color="auto"/>
                  </w:tcBorders>
                  <w:shd w:val="clear" w:color="auto" w:fill="auto"/>
                  <w:noWrap/>
                  <w:vAlign w:val="bottom"/>
                  <w:hideMark/>
                </w:tcPr>
                <w:p w:rsidR="0032181E" w:rsidRPr="009D113B" w:rsidRDefault="0032181E" w:rsidP="00E77C3B">
                  <w:pPr>
                    <w:jc w:val="left"/>
                    <w:rPr>
                      <w:rFonts w:cs="Arial"/>
                      <w:lang w:val="fr-FR"/>
                    </w:rPr>
                  </w:pPr>
                  <w:r w:rsidRPr="009D113B">
                    <w:rPr>
                      <w:rFonts w:cs="Arial"/>
                      <w:lang w:val="fr-FR"/>
                    </w:rPr>
                    <w:t> </w:t>
                  </w:r>
                </w:p>
              </w:tc>
              <w:tc>
                <w:tcPr>
                  <w:tcW w:w="1134" w:type="dxa"/>
                  <w:tcBorders>
                    <w:top w:val="nil"/>
                    <w:left w:val="nil"/>
                    <w:bottom w:val="single" w:sz="8" w:space="0" w:color="auto"/>
                    <w:right w:val="single" w:sz="4" w:space="0" w:color="auto"/>
                  </w:tcBorders>
                  <w:shd w:val="clear" w:color="auto" w:fill="auto"/>
                  <w:noWrap/>
                  <w:vAlign w:val="bottom"/>
                  <w:hideMark/>
                </w:tcPr>
                <w:p w:rsidR="0032181E" w:rsidRPr="009D113B" w:rsidRDefault="0032181E" w:rsidP="00E77C3B">
                  <w:pPr>
                    <w:spacing w:after="100" w:afterAutospacing="1"/>
                    <w:jc w:val="center"/>
                    <w:rPr>
                      <w:rFonts w:cs="Arial"/>
                      <w:lang w:val="fr-FR"/>
                    </w:rPr>
                  </w:pPr>
                  <w:r>
                    <w:rPr>
                      <w:rFonts w:cs="Arial"/>
                      <w:lang w:val="fr-FR"/>
                    </w:rPr>
                    <w:t>Premier</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32181E" w:rsidRPr="009D113B" w:rsidRDefault="0032181E" w:rsidP="00E77C3B">
                  <w:pPr>
                    <w:jc w:val="center"/>
                    <w:rPr>
                      <w:rFonts w:cs="Arial"/>
                      <w:lang w:val="fr-FR"/>
                    </w:rPr>
                  </w:pPr>
                  <w:r>
                    <w:rPr>
                      <w:rFonts w:cs="Arial"/>
                      <w:lang w:val="fr-FR"/>
                    </w:rPr>
                    <w:t>Deuxième</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32181E" w:rsidRPr="009D113B" w:rsidRDefault="0032181E" w:rsidP="00E77C3B">
                  <w:pPr>
                    <w:jc w:val="center"/>
                    <w:rPr>
                      <w:rFonts w:cs="Arial"/>
                      <w:lang w:val="fr-FR"/>
                    </w:rPr>
                  </w:pPr>
                  <w:r>
                    <w:rPr>
                      <w:rFonts w:cs="Arial"/>
                      <w:lang w:val="fr-FR"/>
                    </w:rPr>
                    <w:t>Méthode</w:t>
                  </w:r>
                  <w:r w:rsidRPr="009D113B">
                    <w:rPr>
                      <w:rFonts w:cs="Arial"/>
                      <w:lang w:val="fr-FR"/>
                    </w:rPr>
                    <w:t xml:space="preserve"> 1</w:t>
                  </w:r>
                </w:p>
              </w:tc>
              <w:tc>
                <w:tcPr>
                  <w:tcW w:w="1985" w:type="dxa"/>
                  <w:tcBorders>
                    <w:top w:val="nil"/>
                    <w:left w:val="nil"/>
                    <w:bottom w:val="single" w:sz="8" w:space="0" w:color="auto"/>
                    <w:right w:val="single" w:sz="4" w:space="0" w:color="auto"/>
                  </w:tcBorders>
                  <w:shd w:val="clear" w:color="auto" w:fill="auto"/>
                  <w:noWrap/>
                  <w:vAlign w:val="center"/>
                  <w:hideMark/>
                </w:tcPr>
                <w:p w:rsidR="0032181E" w:rsidRPr="009D113B" w:rsidRDefault="0032181E" w:rsidP="00E77C3B">
                  <w:pPr>
                    <w:jc w:val="center"/>
                    <w:rPr>
                      <w:rFonts w:cs="Arial"/>
                      <w:lang w:val="fr-FR"/>
                    </w:rPr>
                  </w:pPr>
                  <w:r>
                    <w:rPr>
                      <w:rFonts w:cs="Arial"/>
                      <w:lang w:val="fr-FR"/>
                    </w:rPr>
                    <w:t>Méthode</w:t>
                  </w:r>
                  <w:r w:rsidRPr="009D113B">
                    <w:rPr>
                      <w:rFonts w:cs="Arial"/>
                      <w:lang w:val="fr-FR"/>
                    </w:rPr>
                    <w:t xml:space="preserve"> 2</w:t>
                  </w:r>
                </w:p>
              </w:tc>
              <w:tc>
                <w:tcPr>
                  <w:tcW w:w="1624" w:type="dxa"/>
                  <w:tcBorders>
                    <w:top w:val="single" w:sz="4" w:space="0" w:color="auto"/>
                    <w:bottom w:val="single" w:sz="4" w:space="0" w:color="auto"/>
                    <w:right w:val="single" w:sz="4" w:space="0" w:color="auto"/>
                  </w:tcBorders>
                  <w:shd w:val="clear" w:color="auto" w:fill="auto"/>
                  <w:vAlign w:val="center"/>
                </w:tcPr>
                <w:p w:rsidR="0032181E" w:rsidRPr="009D113B" w:rsidRDefault="0032181E" w:rsidP="00E77C3B">
                  <w:pPr>
                    <w:jc w:val="center"/>
                    <w:rPr>
                      <w:highlight w:val="lightGray"/>
                      <w:u w:val="single"/>
                      <w:lang w:val="fr-FR"/>
                    </w:rPr>
                  </w:pPr>
                  <w:r>
                    <w:rPr>
                      <w:highlight w:val="lightGray"/>
                      <w:u w:val="single"/>
                      <w:lang w:val="fr-FR"/>
                    </w:rPr>
                    <w:t>Méthode</w:t>
                  </w:r>
                  <w:r w:rsidRPr="009D113B">
                    <w:rPr>
                      <w:highlight w:val="lightGray"/>
                      <w:u w:val="single"/>
                      <w:lang w:val="fr-FR"/>
                    </w:rPr>
                    <w:t xml:space="preserve"> 3</w:t>
                  </w:r>
                </w:p>
              </w:tc>
            </w:tr>
            <w:tr w:rsidR="0032181E" w:rsidRPr="009D113B" w:rsidTr="00E77C3B">
              <w:trPr>
                <w:gridBefore w:val="1"/>
                <w:wBefore w:w="424" w:type="dxa"/>
                <w:trHeight w:val="240"/>
              </w:trPr>
              <w:tc>
                <w:tcPr>
                  <w:tcW w:w="696" w:type="dxa"/>
                  <w:vMerge w:val="restart"/>
                  <w:tcBorders>
                    <w:top w:val="nil"/>
                    <w:left w:val="single" w:sz="4" w:space="0" w:color="auto"/>
                    <w:right w:val="single" w:sz="4" w:space="0" w:color="000000"/>
                  </w:tcBorders>
                  <w:shd w:val="clear" w:color="auto" w:fill="auto"/>
                  <w:textDirection w:val="btLr"/>
                  <w:vAlign w:val="center"/>
                </w:tcPr>
                <w:p w:rsidR="0032181E" w:rsidRPr="009D113B" w:rsidRDefault="0032181E" w:rsidP="00E77C3B">
                  <w:pPr>
                    <w:jc w:val="center"/>
                    <w:rPr>
                      <w:rFonts w:cs="Arial"/>
                      <w:lang w:val="fr-FR"/>
                    </w:rPr>
                  </w:pPr>
                  <w:r w:rsidRPr="009D113B">
                    <w:rPr>
                      <w:rFonts w:cs="Arial"/>
                      <w:lang w:val="fr-FR"/>
                    </w:rPr>
                    <w:t>N</w:t>
                  </w:r>
                  <w:r>
                    <w:rPr>
                      <w:rFonts w:cs="Arial"/>
                      <w:lang w:val="fr-FR"/>
                    </w:rPr>
                    <w:t>ombre de</w:t>
                  </w:r>
                  <w:r w:rsidRPr="009D113B">
                    <w:rPr>
                      <w:rFonts w:cs="Arial"/>
                      <w:lang w:val="fr-FR"/>
                    </w:rPr>
                    <w:t xml:space="preserve"> </w:t>
                  </w:r>
                  <w:r>
                    <w:rPr>
                      <w:rFonts w:cs="Arial"/>
                      <w:lang w:val="fr-FR"/>
                    </w:rPr>
                    <w:t>plantes hors-type</w:t>
                  </w:r>
                </w:p>
              </w:tc>
              <w:tc>
                <w:tcPr>
                  <w:tcW w:w="1134" w:type="dxa"/>
                  <w:tcBorders>
                    <w:top w:val="nil"/>
                    <w:left w:val="single" w:sz="8" w:space="0" w:color="auto"/>
                    <w:bottom w:val="single" w:sz="8" w:space="0" w:color="auto"/>
                    <w:right w:val="single" w:sz="4" w:space="0" w:color="auto"/>
                  </w:tcBorders>
                  <w:shd w:val="clear" w:color="auto" w:fill="auto"/>
                  <w:noWrap/>
                  <w:vAlign w:val="center"/>
                </w:tcPr>
                <w:p w:rsidR="0032181E" w:rsidRPr="009D113B" w:rsidRDefault="0032181E" w:rsidP="00E77C3B">
                  <w:pPr>
                    <w:jc w:val="center"/>
                    <w:rPr>
                      <w:rFonts w:cs="Arial"/>
                      <w:highlight w:val="lightGray"/>
                      <w:u w:val="single"/>
                      <w:lang w:val="fr-FR"/>
                    </w:rPr>
                  </w:pPr>
                  <w:r w:rsidRPr="009D113B">
                    <w:rPr>
                      <w:rFonts w:cs="Arial"/>
                      <w:highlight w:val="lightGray"/>
                      <w:u w:val="single"/>
                      <w:lang w:val="fr-FR"/>
                    </w:rPr>
                    <w:t>1</w:t>
                  </w:r>
                </w:p>
              </w:tc>
              <w:tc>
                <w:tcPr>
                  <w:tcW w:w="1134" w:type="dxa"/>
                  <w:gridSpan w:val="2"/>
                  <w:tcBorders>
                    <w:top w:val="nil"/>
                    <w:left w:val="nil"/>
                    <w:bottom w:val="single" w:sz="8" w:space="0" w:color="auto"/>
                    <w:right w:val="single" w:sz="4" w:space="0" w:color="auto"/>
                  </w:tcBorders>
                  <w:shd w:val="clear" w:color="auto" w:fill="auto"/>
                  <w:noWrap/>
                  <w:vAlign w:val="center"/>
                </w:tcPr>
                <w:p w:rsidR="0032181E" w:rsidRPr="009D113B" w:rsidRDefault="0032181E" w:rsidP="00E77C3B">
                  <w:pPr>
                    <w:jc w:val="center"/>
                    <w:rPr>
                      <w:rFonts w:cs="Arial"/>
                      <w:highlight w:val="lightGray"/>
                      <w:u w:val="single"/>
                      <w:lang w:val="fr-FR"/>
                    </w:rPr>
                  </w:pPr>
                  <w:r w:rsidRPr="009D113B">
                    <w:rPr>
                      <w:rFonts w:cs="Arial"/>
                      <w:highlight w:val="lightGray"/>
                      <w:u w:val="single"/>
                      <w:lang w:val="fr-FR"/>
                    </w:rPr>
                    <w:t>1</w:t>
                  </w:r>
                </w:p>
              </w:tc>
              <w:tc>
                <w:tcPr>
                  <w:tcW w:w="2127" w:type="dxa"/>
                  <w:gridSpan w:val="2"/>
                  <w:tcBorders>
                    <w:top w:val="nil"/>
                    <w:left w:val="nil"/>
                    <w:bottom w:val="single" w:sz="8" w:space="0" w:color="auto"/>
                    <w:right w:val="single" w:sz="4" w:space="0" w:color="auto"/>
                  </w:tcBorders>
                  <w:shd w:val="clear" w:color="auto" w:fill="auto"/>
                  <w:noWrap/>
                  <w:vAlign w:val="center"/>
                </w:tcPr>
                <w:p w:rsidR="0032181E" w:rsidRPr="009D113B" w:rsidRDefault="0032181E" w:rsidP="00E77C3B">
                  <w:pPr>
                    <w:jc w:val="center"/>
                    <w:rPr>
                      <w:rFonts w:cs="Arial"/>
                      <w:highlight w:val="lightGray"/>
                      <w:u w:val="single"/>
                      <w:lang w:val="fr-FR"/>
                    </w:rPr>
                  </w:pPr>
                  <w:r>
                    <w:rPr>
                      <w:rFonts w:cs="Arial"/>
                      <w:highlight w:val="lightGray"/>
                      <w:u w:val="single"/>
                      <w:lang w:val="fr-FR"/>
                    </w:rPr>
                    <w:t>homogène</w:t>
                  </w:r>
                </w:p>
              </w:tc>
              <w:tc>
                <w:tcPr>
                  <w:tcW w:w="1985" w:type="dxa"/>
                  <w:tcBorders>
                    <w:top w:val="nil"/>
                    <w:left w:val="nil"/>
                    <w:bottom w:val="single" w:sz="8" w:space="0" w:color="auto"/>
                    <w:right w:val="single" w:sz="8" w:space="0" w:color="auto"/>
                  </w:tcBorders>
                  <w:shd w:val="clear" w:color="auto" w:fill="auto"/>
                  <w:vAlign w:val="center"/>
                </w:tcPr>
                <w:p w:rsidR="0032181E" w:rsidRPr="009D113B" w:rsidRDefault="0032181E" w:rsidP="00E77C3B">
                  <w:pPr>
                    <w:jc w:val="center"/>
                    <w:rPr>
                      <w:rFonts w:cs="Arial"/>
                      <w:highlight w:val="lightGray"/>
                      <w:u w:val="single"/>
                      <w:lang w:val="fr-FR"/>
                    </w:rPr>
                  </w:pPr>
                  <w:r>
                    <w:rPr>
                      <w:rFonts w:cs="Arial"/>
                      <w:highlight w:val="lightGray"/>
                      <w:u w:val="single"/>
                      <w:lang w:val="fr-FR"/>
                    </w:rPr>
                    <w:t>homogène</w:t>
                  </w:r>
                </w:p>
              </w:tc>
              <w:tc>
                <w:tcPr>
                  <w:tcW w:w="1624" w:type="dxa"/>
                  <w:tcBorders>
                    <w:top w:val="single" w:sz="4" w:space="0" w:color="auto"/>
                    <w:bottom w:val="single" w:sz="4" w:space="0" w:color="auto"/>
                    <w:right w:val="single" w:sz="4" w:space="0" w:color="auto"/>
                  </w:tcBorders>
                  <w:shd w:val="clear" w:color="auto" w:fill="auto"/>
                  <w:vAlign w:val="center"/>
                </w:tcPr>
                <w:p w:rsidR="0032181E" w:rsidRPr="009D113B" w:rsidRDefault="0032181E" w:rsidP="00E77C3B">
                  <w:pPr>
                    <w:jc w:val="center"/>
                    <w:rPr>
                      <w:highlight w:val="lightGray"/>
                      <w:u w:val="single"/>
                      <w:lang w:val="fr-FR"/>
                    </w:rPr>
                  </w:pPr>
                  <w:r>
                    <w:rPr>
                      <w:rFonts w:cs="Arial"/>
                      <w:highlight w:val="lightGray"/>
                      <w:u w:val="single"/>
                      <w:lang w:val="fr-FR"/>
                    </w:rPr>
                    <w:t>homogène</w:t>
                  </w:r>
                </w:p>
              </w:tc>
            </w:tr>
            <w:tr w:rsidR="0032181E" w:rsidRPr="009D113B" w:rsidTr="00E77C3B">
              <w:trPr>
                <w:gridBefore w:val="1"/>
                <w:wBefore w:w="424" w:type="dxa"/>
                <w:trHeight w:val="240"/>
              </w:trPr>
              <w:tc>
                <w:tcPr>
                  <w:tcW w:w="696" w:type="dxa"/>
                  <w:vMerge/>
                  <w:tcBorders>
                    <w:left w:val="single" w:sz="4" w:space="0" w:color="auto"/>
                    <w:right w:val="single" w:sz="4" w:space="0" w:color="000000"/>
                  </w:tcBorders>
                  <w:shd w:val="clear" w:color="auto" w:fill="auto"/>
                  <w:textDirection w:val="btLr"/>
                  <w:vAlign w:val="center"/>
                  <w:hideMark/>
                </w:tcPr>
                <w:p w:rsidR="0032181E" w:rsidRPr="009D113B" w:rsidRDefault="0032181E" w:rsidP="00E77C3B">
                  <w:pPr>
                    <w:jc w:val="center"/>
                    <w:rPr>
                      <w:rFonts w:cs="Arial"/>
                      <w:lang w:val="fr-FR"/>
                    </w:rPr>
                  </w:pP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rsidR="0032181E" w:rsidRPr="009D113B" w:rsidRDefault="0032181E" w:rsidP="00E77C3B">
                  <w:pPr>
                    <w:jc w:val="center"/>
                    <w:rPr>
                      <w:rFonts w:cs="Arial"/>
                      <w:lang w:val="fr-FR"/>
                    </w:rPr>
                  </w:pPr>
                  <w:r w:rsidRPr="009D113B">
                    <w:rPr>
                      <w:rFonts w:cs="Arial"/>
                      <w:lang w:val="fr-FR"/>
                    </w:rPr>
                    <w:t>2</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32181E" w:rsidRPr="009D113B" w:rsidRDefault="0032181E" w:rsidP="00E77C3B">
                  <w:pPr>
                    <w:jc w:val="center"/>
                    <w:rPr>
                      <w:rFonts w:cs="Arial"/>
                      <w:lang w:val="fr-FR"/>
                    </w:rPr>
                  </w:pPr>
                  <w:r w:rsidRPr="009D113B">
                    <w:rPr>
                      <w:rFonts w:cs="Arial"/>
                      <w:lang w:val="fr-FR"/>
                    </w:rPr>
                    <w:t>2</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32181E" w:rsidRPr="009D113B" w:rsidRDefault="0032181E" w:rsidP="00E77C3B">
                  <w:pPr>
                    <w:jc w:val="center"/>
                    <w:rPr>
                      <w:rFonts w:cs="Arial"/>
                      <w:lang w:val="fr-FR"/>
                    </w:rPr>
                  </w:pPr>
                  <w:r>
                    <w:rPr>
                      <w:rFonts w:cs="Arial"/>
                      <w:lang w:val="fr-FR"/>
                    </w:rPr>
                    <w:t>homogène</w:t>
                  </w:r>
                </w:p>
              </w:tc>
              <w:tc>
                <w:tcPr>
                  <w:tcW w:w="1985" w:type="dxa"/>
                  <w:tcBorders>
                    <w:top w:val="nil"/>
                    <w:left w:val="nil"/>
                    <w:bottom w:val="single" w:sz="8" w:space="0" w:color="auto"/>
                    <w:right w:val="single" w:sz="8" w:space="0" w:color="auto"/>
                  </w:tcBorders>
                  <w:shd w:val="clear" w:color="auto" w:fill="auto"/>
                  <w:vAlign w:val="center"/>
                  <w:hideMark/>
                </w:tcPr>
                <w:p w:rsidR="0032181E" w:rsidRPr="009D113B" w:rsidRDefault="0032181E" w:rsidP="00E77C3B">
                  <w:pPr>
                    <w:jc w:val="center"/>
                    <w:rPr>
                      <w:rFonts w:cs="Arial"/>
                      <w:lang w:val="fr-FR"/>
                    </w:rPr>
                  </w:pPr>
                  <w:r>
                    <w:rPr>
                      <w:rFonts w:cs="Arial"/>
                      <w:lang w:val="fr-FR"/>
                    </w:rPr>
                    <w:t>homogène</w:t>
                  </w:r>
                </w:p>
              </w:tc>
              <w:tc>
                <w:tcPr>
                  <w:tcW w:w="1624" w:type="dxa"/>
                  <w:tcBorders>
                    <w:top w:val="single" w:sz="4" w:space="0" w:color="auto"/>
                    <w:bottom w:val="single" w:sz="4" w:space="0" w:color="auto"/>
                    <w:right w:val="single" w:sz="4" w:space="0" w:color="auto"/>
                  </w:tcBorders>
                  <w:shd w:val="clear" w:color="auto" w:fill="auto"/>
                  <w:vAlign w:val="center"/>
                </w:tcPr>
                <w:p w:rsidR="0032181E" w:rsidRPr="009D113B" w:rsidRDefault="0032181E" w:rsidP="00E77C3B">
                  <w:pPr>
                    <w:jc w:val="center"/>
                    <w:rPr>
                      <w:highlight w:val="lightGray"/>
                      <w:u w:val="single"/>
                      <w:lang w:val="fr-FR"/>
                    </w:rPr>
                  </w:pPr>
                  <w:r>
                    <w:rPr>
                      <w:highlight w:val="lightGray"/>
                      <w:u w:val="single"/>
                      <w:lang w:val="fr-FR"/>
                    </w:rPr>
                    <w:t>n</w:t>
                  </w:r>
                  <w:r w:rsidRPr="009D113B">
                    <w:rPr>
                      <w:highlight w:val="lightGray"/>
                      <w:u w:val="single"/>
                      <w:lang w:val="fr-FR"/>
                    </w:rPr>
                    <w:t>on</w:t>
                  </w:r>
                  <w:r>
                    <w:rPr>
                      <w:highlight w:val="lightGray"/>
                      <w:u w:val="single"/>
                      <w:lang w:val="fr-FR"/>
                    </w:rPr>
                    <w:t xml:space="preserve"> homogène</w:t>
                  </w:r>
                </w:p>
              </w:tc>
            </w:tr>
            <w:tr w:rsidR="0032181E" w:rsidRPr="009D113B" w:rsidTr="00E77C3B">
              <w:trPr>
                <w:gridBefore w:val="1"/>
                <w:wBefore w:w="424" w:type="dxa"/>
                <w:trHeight w:val="273"/>
              </w:trPr>
              <w:tc>
                <w:tcPr>
                  <w:tcW w:w="696" w:type="dxa"/>
                  <w:vMerge/>
                  <w:tcBorders>
                    <w:left w:val="single" w:sz="4" w:space="0" w:color="auto"/>
                    <w:right w:val="single" w:sz="4" w:space="0" w:color="000000"/>
                  </w:tcBorders>
                  <w:vAlign w:val="center"/>
                  <w:hideMark/>
                </w:tcPr>
                <w:p w:rsidR="0032181E" w:rsidRPr="009D113B" w:rsidRDefault="0032181E" w:rsidP="00E77C3B">
                  <w:pPr>
                    <w:jc w:val="left"/>
                    <w:rPr>
                      <w:rFonts w:cs="Arial"/>
                      <w:lang w:val="fr-FR"/>
                    </w:rPr>
                  </w:pPr>
                </w:p>
              </w:tc>
              <w:tc>
                <w:tcPr>
                  <w:tcW w:w="1134" w:type="dxa"/>
                  <w:tcBorders>
                    <w:top w:val="nil"/>
                    <w:left w:val="nil"/>
                    <w:bottom w:val="single" w:sz="8" w:space="0" w:color="auto"/>
                    <w:right w:val="single" w:sz="4" w:space="0" w:color="auto"/>
                  </w:tcBorders>
                  <w:shd w:val="clear" w:color="auto" w:fill="auto"/>
                  <w:vAlign w:val="center"/>
                  <w:hideMark/>
                </w:tcPr>
                <w:p w:rsidR="0032181E" w:rsidRPr="009D113B" w:rsidRDefault="0032181E" w:rsidP="00E77C3B">
                  <w:pPr>
                    <w:jc w:val="center"/>
                    <w:rPr>
                      <w:rFonts w:cs="Arial"/>
                      <w:lang w:val="fr-FR"/>
                    </w:rPr>
                  </w:pPr>
                  <w:r w:rsidRPr="009D113B">
                    <w:rPr>
                      <w:rFonts w:cs="Arial"/>
                      <w:lang w:val="fr-FR"/>
                    </w:rPr>
                    <w:t>0</w:t>
                  </w:r>
                </w:p>
              </w:tc>
              <w:tc>
                <w:tcPr>
                  <w:tcW w:w="1134" w:type="dxa"/>
                  <w:gridSpan w:val="2"/>
                  <w:tcBorders>
                    <w:top w:val="nil"/>
                    <w:left w:val="nil"/>
                    <w:bottom w:val="single" w:sz="8" w:space="0" w:color="auto"/>
                    <w:right w:val="single" w:sz="4" w:space="0" w:color="auto"/>
                  </w:tcBorders>
                  <w:shd w:val="clear" w:color="auto" w:fill="auto"/>
                  <w:vAlign w:val="center"/>
                  <w:hideMark/>
                </w:tcPr>
                <w:p w:rsidR="0032181E" w:rsidRPr="009D113B" w:rsidRDefault="0032181E" w:rsidP="00E77C3B">
                  <w:pPr>
                    <w:jc w:val="center"/>
                    <w:rPr>
                      <w:rFonts w:cs="Arial"/>
                      <w:lang w:val="fr-FR"/>
                    </w:rPr>
                  </w:pPr>
                  <w:r w:rsidRPr="009D113B">
                    <w:rPr>
                      <w:rFonts w:cs="Arial"/>
                      <w:lang w:val="fr-FR"/>
                    </w:rPr>
                    <w:t>3</w:t>
                  </w:r>
                  <w:r w:rsidRPr="009D113B">
                    <w:rPr>
                      <w:rFonts w:cs="Arial"/>
                      <w:highlight w:val="lightGray"/>
                      <w:u w:val="single"/>
                      <w:lang w:val="fr-FR"/>
                    </w:rPr>
                    <w:t>*</w:t>
                  </w:r>
                </w:p>
              </w:tc>
              <w:tc>
                <w:tcPr>
                  <w:tcW w:w="2127" w:type="dxa"/>
                  <w:gridSpan w:val="2"/>
                  <w:tcBorders>
                    <w:top w:val="nil"/>
                    <w:left w:val="nil"/>
                    <w:bottom w:val="single" w:sz="8" w:space="0" w:color="auto"/>
                    <w:right w:val="single" w:sz="4" w:space="0" w:color="auto"/>
                  </w:tcBorders>
                  <w:shd w:val="clear" w:color="auto" w:fill="auto"/>
                  <w:vAlign w:val="center"/>
                  <w:hideMark/>
                </w:tcPr>
                <w:p w:rsidR="0032181E" w:rsidRPr="009D113B" w:rsidRDefault="0032181E" w:rsidP="00E77C3B">
                  <w:pPr>
                    <w:rPr>
                      <w:rFonts w:cs="Arial"/>
                      <w:lang w:val="fr-FR"/>
                    </w:rPr>
                  </w:pPr>
                  <w:r>
                    <w:rPr>
                      <w:rFonts w:cs="Arial"/>
                      <w:lang w:val="fr-FR"/>
                    </w:rPr>
                    <w:t>troisième cycle de végétation</w:t>
                  </w:r>
                  <w:r w:rsidRPr="009D113B">
                    <w:rPr>
                      <w:rFonts w:cs="Arial"/>
                      <w:highlight w:val="lightGray"/>
                      <w:u w:val="single"/>
                      <w:lang w:val="fr-FR"/>
                    </w:rPr>
                    <w:t>*</w:t>
                  </w:r>
                </w:p>
              </w:tc>
              <w:tc>
                <w:tcPr>
                  <w:tcW w:w="1985" w:type="dxa"/>
                  <w:tcBorders>
                    <w:top w:val="nil"/>
                    <w:left w:val="nil"/>
                    <w:bottom w:val="single" w:sz="8" w:space="0" w:color="auto"/>
                    <w:right w:val="single" w:sz="4" w:space="0" w:color="auto"/>
                  </w:tcBorders>
                  <w:shd w:val="clear" w:color="auto" w:fill="auto"/>
                  <w:vAlign w:val="center"/>
                  <w:hideMark/>
                </w:tcPr>
                <w:p w:rsidR="0032181E" w:rsidRPr="009D113B" w:rsidRDefault="0032181E" w:rsidP="00E77C3B">
                  <w:pPr>
                    <w:jc w:val="center"/>
                    <w:rPr>
                      <w:rFonts w:cs="Arial"/>
                      <w:lang w:val="fr-FR"/>
                    </w:rPr>
                  </w:pPr>
                  <w:r>
                    <w:rPr>
                      <w:rFonts w:cs="Arial"/>
                      <w:lang w:val="fr-FR"/>
                    </w:rPr>
                    <w:t>homogène</w:t>
                  </w:r>
                  <w:r w:rsidRPr="009D113B">
                    <w:rPr>
                      <w:rFonts w:cs="Arial"/>
                      <w:highlight w:val="lightGray"/>
                      <w:u w:val="single"/>
                      <w:lang w:val="fr-FR"/>
                    </w:rPr>
                    <w:t>*</w:t>
                  </w:r>
                </w:p>
              </w:tc>
              <w:tc>
                <w:tcPr>
                  <w:tcW w:w="1624" w:type="dxa"/>
                  <w:tcBorders>
                    <w:top w:val="single" w:sz="4" w:space="0" w:color="auto"/>
                    <w:bottom w:val="single" w:sz="4" w:space="0" w:color="auto"/>
                    <w:right w:val="single" w:sz="4" w:space="0" w:color="auto"/>
                  </w:tcBorders>
                  <w:shd w:val="clear" w:color="auto" w:fill="auto"/>
                  <w:vAlign w:val="center"/>
                </w:tcPr>
                <w:p w:rsidR="0032181E" w:rsidRPr="009D113B" w:rsidRDefault="0032181E" w:rsidP="00E77C3B">
                  <w:pPr>
                    <w:jc w:val="center"/>
                    <w:rPr>
                      <w:highlight w:val="lightGray"/>
                      <w:u w:val="single"/>
                      <w:lang w:val="fr-FR"/>
                    </w:rPr>
                  </w:pPr>
                  <w:r>
                    <w:rPr>
                      <w:rFonts w:cs="Arial"/>
                      <w:highlight w:val="lightGray"/>
                      <w:u w:val="single"/>
                      <w:lang w:val="fr-FR"/>
                    </w:rPr>
                    <w:t>homogène</w:t>
                  </w:r>
                  <w:r w:rsidRPr="009D113B">
                    <w:rPr>
                      <w:highlight w:val="lightGray"/>
                      <w:u w:val="single"/>
                      <w:lang w:val="fr-FR"/>
                    </w:rPr>
                    <w:t xml:space="preserve"> *</w:t>
                  </w:r>
                </w:p>
              </w:tc>
            </w:tr>
            <w:tr w:rsidR="0032181E" w:rsidRPr="009D113B" w:rsidTr="00E77C3B">
              <w:trPr>
                <w:gridBefore w:val="1"/>
                <w:wBefore w:w="424" w:type="dxa"/>
                <w:trHeight w:val="248"/>
              </w:trPr>
              <w:tc>
                <w:tcPr>
                  <w:tcW w:w="696" w:type="dxa"/>
                  <w:vMerge/>
                  <w:tcBorders>
                    <w:left w:val="single" w:sz="4" w:space="0" w:color="auto"/>
                    <w:right w:val="single" w:sz="4" w:space="0" w:color="000000"/>
                  </w:tcBorders>
                  <w:vAlign w:val="center"/>
                  <w:hideMark/>
                </w:tcPr>
                <w:p w:rsidR="0032181E" w:rsidRPr="009D113B" w:rsidRDefault="0032181E" w:rsidP="00E77C3B">
                  <w:pPr>
                    <w:jc w:val="left"/>
                    <w:rPr>
                      <w:rFonts w:cs="Arial"/>
                      <w:lang w:val="fr-FR"/>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rsidR="0032181E" w:rsidRPr="009D113B" w:rsidRDefault="0032181E" w:rsidP="00E77C3B">
                  <w:pPr>
                    <w:jc w:val="center"/>
                    <w:rPr>
                      <w:rFonts w:cs="Arial"/>
                      <w:lang w:val="fr-FR"/>
                    </w:rPr>
                  </w:pPr>
                  <w:r w:rsidRPr="009D113B">
                    <w:rPr>
                      <w:rFonts w:cs="Arial"/>
                      <w:lang w:val="fr-FR"/>
                    </w:rPr>
                    <w:t>1</w:t>
                  </w:r>
                </w:p>
              </w:tc>
              <w:tc>
                <w:tcPr>
                  <w:tcW w:w="1134" w:type="dxa"/>
                  <w:gridSpan w:val="2"/>
                  <w:tcBorders>
                    <w:top w:val="nil"/>
                    <w:left w:val="nil"/>
                    <w:bottom w:val="single" w:sz="8" w:space="0" w:color="auto"/>
                    <w:right w:val="single" w:sz="4" w:space="0" w:color="auto"/>
                  </w:tcBorders>
                  <w:shd w:val="clear" w:color="auto" w:fill="auto"/>
                  <w:vAlign w:val="center"/>
                  <w:hideMark/>
                </w:tcPr>
                <w:p w:rsidR="0032181E" w:rsidRPr="009D113B" w:rsidRDefault="0032181E" w:rsidP="00E77C3B">
                  <w:pPr>
                    <w:jc w:val="center"/>
                    <w:rPr>
                      <w:rFonts w:cs="Arial"/>
                      <w:lang w:val="fr-FR"/>
                    </w:rPr>
                  </w:pPr>
                  <w:r w:rsidRPr="009D113B">
                    <w:rPr>
                      <w:rFonts w:cs="Arial"/>
                      <w:lang w:val="fr-FR"/>
                    </w:rPr>
                    <w:t>3</w:t>
                  </w:r>
                  <w:r w:rsidRPr="009D113B">
                    <w:rPr>
                      <w:rFonts w:cs="Arial"/>
                      <w:highlight w:val="lightGray"/>
                      <w:u w:val="single"/>
                      <w:lang w:val="fr-FR"/>
                    </w:rPr>
                    <w:t>*</w:t>
                  </w:r>
                </w:p>
              </w:tc>
              <w:tc>
                <w:tcPr>
                  <w:tcW w:w="2127" w:type="dxa"/>
                  <w:gridSpan w:val="2"/>
                  <w:tcBorders>
                    <w:top w:val="nil"/>
                    <w:left w:val="nil"/>
                    <w:bottom w:val="single" w:sz="8" w:space="0" w:color="auto"/>
                    <w:right w:val="single" w:sz="4" w:space="0" w:color="auto"/>
                  </w:tcBorders>
                  <w:shd w:val="clear" w:color="auto" w:fill="auto"/>
                  <w:vAlign w:val="center"/>
                  <w:hideMark/>
                </w:tcPr>
                <w:p w:rsidR="0032181E" w:rsidRPr="009D113B" w:rsidRDefault="0032181E" w:rsidP="00E77C3B">
                  <w:pPr>
                    <w:rPr>
                      <w:rFonts w:cs="Arial"/>
                      <w:lang w:val="fr-FR"/>
                    </w:rPr>
                  </w:pPr>
                  <w:r>
                    <w:rPr>
                      <w:rFonts w:cs="Arial"/>
                      <w:lang w:val="fr-FR"/>
                    </w:rPr>
                    <w:t>troisième cycle de végétation</w:t>
                  </w:r>
                  <w:r w:rsidRPr="009D113B">
                    <w:rPr>
                      <w:rFonts w:cs="Arial"/>
                      <w:highlight w:val="lightGray"/>
                      <w:u w:val="single"/>
                      <w:lang w:val="fr-FR"/>
                    </w:rPr>
                    <w:t>*</w:t>
                  </w:r>
                </w:p>
              </w:tc>
              <w:tc>
                <w:tcPr>
                  <w:tcW w:w="1985" w:type="dxa"/>
                  <w:tcBorders>
                    <w:top w:val="nil"/>
                    <w:left w:val="nil"/>
                    <w:bottom w:val="single" w:sz="4" w:space="0" w:color="auto"/>
                    <w:right w:val="single" w:sz="8" w:space="0" w:color="auto"/>
                  </w:tcBorders>
                  <w:shd w:val="clear" w:color="auto" w:fill="auto"/>
                  <w:vAlign w:val="center"/>
                  <w:hideMark/>
                </w:tcPr>
                <w:p w:rsidR="0032181E" w:rsidRPr="009D113B" w:rsidRDefault="0032181E" w:rsidP="00E77C3B">
                  <w:pPr>
                    <w:jc w:val="center"/>
                    <w:rPr>
                      <w:rFonts w:cs="Arial"/>
                      <w:lang w:val="fr-FR"/>
                    </w:rPr>
                  </w:pPr>
                  <w:r>
                    <w:rPr>
                      <w:rFonts w:cs="Arial"/>
                      <w:lang w:val="fr-FR"/>
                    </w:rPr>
                    <w:t>non homogène</w:t>
                  </w:r>
                  <w:r w:rsidRPr="009D113B">
                    <w:rPr>
                      <w:rFonts w:cs="Arial"/>
                      <w:highlight w:val="lightGray"/>
                      <w:u w:val="single"/>
                      <w:lang w:val="fr-FR"/>
                    </w:rPr>
                    <w:t>*</w:t>
                  </w:r>
                </w:p>
              </w:tc>
              <w:tc>
                <w:tcPr>
                  <w:tcW w:w="1624" w:type="dxa"/>
                  <w:tcBorders>
                    <w:top w:val="single" w:sz="4" w:space="0" w:color="auto"/>
                    <w:bottom w:val="single" w:sz="4" w:space="0" w:color="auto"/>
                    <w:right w:val="single" w:sz="4" w:space="0" w:color="auto"/>
                  </w:tcBorders>
                  <w:shd w:val="clear" w:color="auto" w:fill="auto"/>
                  <w:vAlign w:val="center"/>
                </w:tcPr>
                <w:p w:rsidR="0032181E" w:rsidRPr="009D113B" w:rsidRDefault="0032181E" w:rsidP="00E77C3B">
                  <w:pPr>
                    <w:jc w:val="center"/>
                    <w:rPr>
                      <w:highlight w:val="lightGray"/>
                      <w:u w:val="single"/>
                      <w:lang w:val="fr-FR"/>
                    </w:rPr>
                  </w:pPr>
                  <w:r>
                    <w:rPr>
                      <w:highlight w:val="lightGray"/>
                      <w:u w:val="single"/>
                      <w:lang w:val="fr-FR"/>
                    </w:rPr>
                    <w:t>n</w:t>
                  </w:r>
                  <w:r w:rsidRPr="009D113B">
                    <w:rPr>
                      <w:highlight w:val="lightGray"/>
                      <w:u w:val="single"/>
                      <w:lang w:val="fr-FR"/>
                    </w:rPr>
                    <w:t>on</w:t>
                  </w:r>
                  <w:r>
                    <w:rPr>
                      <w:highlight w:val="lightGray"/>
                      <w:u w:val="single"/>
                      <w:lang w:val="fr-FR"/>
                    </w:rPr>
                    <w:t xml:space="preserve"> homogène</w:t>
                  </w:r>
                  <w:r w:rsidRPr="009D113B">
                    <w:rPr>
                      <w:highlight w:val="lightGray"/>
                      <w:u w:val="single"/>
                      <w:lang w:val="fr-FR"/>
                    </w:rPr>
                    <w:t>*</w:t>
                  </w:r>
                </w:p>
              </w:tc>
            </w:tr>
            <w:tr w:rsidR="0032181E" w:rsidRPr="009D113B" w:rsidTr="00E77C3B">
              <w:trPr>
                <w:gridBefore w:val="1"/>
                <w:wBefore w:w="424" w:type="dxa"/>
                <w:trHeight w:val="267"/>
              </w:trPr>
              <w:tc>
                <w:tcPr>
                  <w:tcW w:w="696" w:type="dxa"/>
                  <w:vMerge/>
                  <w:tcBorders>
                    <w:left w:val="single" w:sz="4" w:space="0" w:color="auto"/>
                    <w:right w:val="single" w:sz="4" w:space="0" w:color="000000"/>
                  </w:tcBorders>
                  <w:vAlign w:val="center"/>
                  <w:hideMark/>
                </w:tcPr>
                <w:p w:rsidR="0032181E" w:rsidRPr="009D113B" w:rsidRDefault="0032181E" w:rsidP="00E77C3B">
                  <w:pPr>
                    <w:jc w:val="left"/>
                    <w:rPr>
                      <w:rFonts w:cs="Arial"/>
                      <w:lang w:val="fr-FR"/>
                    </w:rPr>
                  </w:pPr>
                </w:p>
              </w:tc>
              <w:tc>
                <w:tcPr>
                  <w:tcW w:w="1134" w:type="dxa"/>
                  <w:tcBorders>
                    <w:top w:val="nil"/>
                    <w:left w:val="nil"/>
                    <w:bottom w:val="single" w:sz="4" w:space="0" w:color="auto"/>
                    <w:right w:val="single" w:sz="4" w:space="0" w:color="auto"/>
                  </w:tcBorders>
                  <w:shd w:val="clear" w:color="auto" w:fill="auto"/>
                  <w:noWrap/>
                  <w:vAlign w:val="center"/>
                  <w:hideMark/>
                </w:tcPr>
                <w:p w:rsidR="0032181E" w:rsidRPr="009D113B" w:rsidRDefault="0032181E" w:rsidP="00E77C3B">
                  <w:pPr>
                    <w:jc w:val="center"/>
                    <w:rPr>
                      <w:rFonts w:cs="Arial"/>
                      <w:lang w:val="fr-FR"/>
                    </w:rPr>
                  </w:pPr>
                  <w:r w:rsidRPr="009D113B">
                    <w:rPr>
                      <w:rFonts w:cs="Arial"/>
                      <w:lang w:val="fr-FR"/>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181E" w:rsidRPr="009D113B" w:rsidRDefault="0032181E" w:rsidP="00E77C3B">
                  <w:pPr>
                    <w:ind w:left="49"/>
                    <w:jc w:val="center"/>
                    <w:rPr>
                      <w:rFonts w:cs="Arial"/>
                      <w:lang w:val="fr-FR"/>
                    </w:rPr>
                  </w:pPr>
                  <w:r w:rsidRPr="009D113B">
                    <w:rPr>
                      <w:rFonts w:cs="Arial"/>
                      <w:lang w:val="fr-FR"/>
                    </w:rPr>
                    <w:t>4*</w:t>
                  </w:r>
                </w:p>
              </w:tc>
              <w:tc>
                <w:tcPr>
                  <w:tcW w:w="2127" w:type="dxa"/>
                  <w:gridSpan w:val="2"/>
                  <w:tcBorders>
                    <w:top w:val="nil"/>
                    <w:left w:val="nil"/>
                    <w:bottom w:val="single" w:sz="4" w:space="0" w:color="auto"/>
                    <w:right w:val="single" w:sz="4" w:space="0" w:color="auto"/>
                  </w:tcBorders>
                  <w:shd w:val="clear" w:color="auto" w:fill="auto"/>
                  <w:vAlign w:val="center"/>
                  <w:hideMark/>
                </w:tcPr>
                <w:p w:rsidR="0032181E" w:rsidRPr="009D113B" w:rsidRDefault="0032181E" w:rsidP="00E77C3B">
                  <w:pPr>
                    <w:rPr>
                      <w:rFonts w:cs="Arial"/>
                      <w:lang w:val="fr-FR"/>
                    </w:rPr>
                  </w:pPr>
                  <w:r>
                    <w:rPr>
                      <w:rFonts w:cs="Arial"/>
                      <w:lang w:val="fr-FR"/>
                    </w:rPr>
                    <w:t>troisième cycle de végétation</w:t>
                  </w:r>
                  <w:r w:rsidRPr="009D113B">
                    <w:rPr>
                      <w:rFonts w:cs="Arial"/>
                      <w:lang w:val="fr-FR"/>
                    </w:rPr>
                    <w:t>*</w:t>
                  </w:r>
                </w:p>
              </w:tc>
              <w:tc>
                <w:tcPr>
                  <w:tcW w:w="1985" w:type="dxa"/>
                  <w:tcBorders>
                    <w:top w:val="nil"/>
                    <w:left w:val="nil"/>
                    <w:bottom w:val="single" w:sz="4" w:space="0" w:color="auto"/>
                    <w:right w:val="single" w:sz="4" w:space="0" w:color="auto"/>
                  </w:tcBorders>
                  <w:shd w:val="clear" w:color="auto" w:fill="auto"/>
                  <w:vAlign w:val="center"/>
                  <w:hideMark/>
                </w:tcPr>
                <w:p w:rsidR="0032181E" w:rsidRPr="009D113B" w:rsidRDefault="0032181E" w:rsidP="00E77C3B">
                  <w:pPr>
                    <w:jc w:val="center"/>
                    <w:rPr>
                      <w:rFonts w:cs="Arial"/>
                      <w:lang w:val="fr-FR"/>
                    </w:rPr>
                  </w:pPr>
                  <w:r>
                    <w:rPr>
                      <w:rFonts w:cs="Arial"/>
                      <w:lang w:val="fr-FR"/>
                    </w:rPr>
                    <w:t>non homogène</w:t>
                  </w:r>
                  <w:r w:rsidRPr="009D113B">
                    <w:rPr>
                      <w:rFonts w:cs="Arial"/>
                      <w:lang w:val="fr-FR"/>
                    </w:rPr>
                    <w:t>*</w:t>
                  </w:r>
                </w:p>
              </w:tc>
              <w:tc>
                <w:tcPr>
                  <w:tcW w:w="1624" w:type="dxa"/>
                  <w:tcBorders>
                    <w:top w:val="single" w:sz="4" w:space="0" w:color="auto"/>
                    <w:bottom w:val="single" w:sz="4" w:space="0" w:color="auto"/>
                    <w:right w:val="single" w:sz="4" w:space="0" w:color="auto"/>
                  </w:tcBorders>
                  <w:shd w:val="clear" w:color="auto" w:fill="auto"/>
                  <w:vAlign w:val="center"/>
                </w:tcPr>
                <w:p w:rsidR="0032181E" w:rsidRPr="009D113B" w:rsidRDefault="0032181E" w:rsidP="00E77C3B">
                  <w:pPr>
                    <w:jc w:val="center"/>
                    <w:rPr>
                      <w:highlight w:val="lightGray"/>
                      <w:u w:val="single"/>
                      <w:lang w:val="fr-FR"/>
                    </w:rPr>
                  </w:pPr>
                  <w:r>
                    <w:rPr>
                      <w:highlight w:val="lightGray"/>
                      <w:u w:val="single"/>
                      <w:lang w:val="fr-FR"/>
                    </w:rPr>
                    <w:t>n</w:t>
                  </w:r>
                  <w:r w:rsidRPr="009D113B">
                    <w:rPr>
                      <w:highlight w:val="lightGray"/>
                      <w:u w:val="single"/>
                      <w:lang w:val="fr-FR"/>
                    </w:rPr>
                    <w:t>on</w:t>
                  </w:r>
                  <w:r>
                    <w:rPr>
                      <w:highlight w:val="lightGray"/>
                      <w:u w:val="single"/>
                      <w:lang w:val="fr-FR"/>
                    </w:rPr>
                    <w:t xml:space="preserve"> homogène</w:t>
                  </w:r>
                  <w:r w:rsidRPr="009D113B">
                    <w:rPr>
                      <w:highlight w:val="lightGray"/>
                      <w:u w:val="single"/>
                      <w:lang w:val="fr-FR"/>
                    </w:rPr>
                    <w:t>*</w:t>
                  </w:r>
                </w:p>
              </w:tc>
            </w:tr>
            <w:tr w:rsidR="0032181E" w:rsidRPr="009D113B" w:rsidTr="00E77C3B">
              <w:trPr>
                <w:gridBefore w:val="1"/>
                <w:wBefore w:w="424" w:type="dxa"/>
                <w:trHeight w:val="638"/>
              </w:trPr>
              <w:tc>
                <w:tcPr>
                  <w:tcW w:w="696" w:type="dxa"/>
                  <w:vMerge/>
                  <w:tcBorders>
                    <w:left w:val="single" w:sz="4" w:space="0" w:color="auto"/>
                    <w:bottom w:val="single" w:sz="4" w:space="0" w:color="auto"/>
                    <w:right w:val="single" w:sz="4" w:space="0" w:color="000000"/>
                  </w:tcBorders>
                  <w:shd w:val="clear" w:color="auto" w:fill="auto"/>
                  <w:noWrap/>
                  <w:vAlign w:val="bottom"/>
                  <w:hideMark/>
                </w:tcPr>
                <w:p w:rsidR="0032181E" w:rsidRPr="009D113B" w:rsidRDefault="0032181E" w:rsidP="00E77C3B">
                  <w:pPr>
                    <w:jc w:val="left"/>
                    <w:rPr>
                      <w:rFonts w:cs="Arial"/>
                      <w:lang w:val="fr-FR"/>
                    </w:rPr>
                  </w:pP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rsidR="0032181E" w:rsidRPr="009D113B" w:rsidRDefault="0032181E" w:rsidP="00E77C3B">
                  <w:pPr>
                    <w:ind w:left="49"/>
                    <w:jc w:val="center"/>
                    <w:rPr>
                      <w:rFonts w:cs="Arial"/>
                      <w:lang w:val="fr-FR"/>
                    </w:rPr>
                  </w:pPr>
                  <w:r w:rsidRPr="009D113B">
                    <w:rPr>
                      <w:rFonts w:cs="Arial"/>
                      <w:lang w:val="fr-FR"/>
                    </w:rPr>
                    <w:t>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32181E" w:rsidRPr="009D113B" w:rsidRDefault="0032181E" w:rsidP="00E77C3B">
                  <w:pPr>
                    <w:ind w:right="-123"/>
                    <w:jc w:val="center"/>
                    <w:rPr>
                      <w:rFonts w:cs="Arial"/>
                      <w:lang w:val="fr-FR"/>
                    </w:rPr>
                  </w:pPr>
                  <w:r w:rsidRPr="009D113B">
                    <w:rPr>
                      <w:rFonts w:cs="Arial"/>
                      <w:lang w:val="fr-FR"/>
                    </w:rPr>
                    <w:t>1*</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32181E" w:rsidRPr="009D113B" w:rsidRDefault="0032181E" w:rsidP="00E77C3B">
                  <w:pPr>
                    <w:ind w:right="-122"/>
                    <w:rPr>
                      <w:rFonts w:cs="Arial"/>
                      <w:lang w:val="fr-FR"/>
                    </w:rPr>
                  </w:pPr>
                  <w:r>
                    <w:rPr>
                      <w:rFonts w:cs="Arial"/>
                      <w:lang w:val="fr-FR"/>
                    </w:rPr>
                    <w:t>troisième cycle de végétation</w:t>
                  </w:r>
                  <w:r w:rsidRPr="009D113B">
                    <w:rPr>
                      <w:rFonts w:cs="Arial"/>
                      <w:lang w:val="fr-FR"/>
                    </w:rPr>
                    <w:t xml:space="preserve">*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32181E" w:rsidRPr="009D113B" w:rsidRDefault="0032181E" w:rsidP="00E77C3B">
                  <w:pPr>
                    <w:jc w:val="center"/>
                    <w:rPr>
                      <w:rFonts w:cs="Arial"/>
                      <w:lang w:val="fr-FR"/>
                    </w:rPr>
                  </w:pPr>
                  <w:r>
                    <w:rPr>
                      <w:rFonts w:cs="Arial"/>
                      <w:lang w:val="fr-FR"/>
                    </w:rPr>
                    <w:t>non homogène</w:t>
                  </w:r>
                  <w:r w:rsidRPr="009D113B">
                    <w:rPr>
                      <w:rFonts w:cs="Arial"/>
                      <w:lang w:val="fr-FR"/>
                    </w:rPr>
                    <w:t>*</w:t>
                  </w:r>
                </w:p>
              </w:tc>
              <w:tc>
                <w:tcPr>
                  <w:tcW w:w="1624" w:type="dxa"/>
                  <w:tcBorders>
                    <w:top w:val="single" w:sz="4" w:space="0" w:color="auto"/>
                    <w:bottom w:val="single" w:sz="4" w:space="0" w:color="auto"/>
                    <w:right w:val="single" w:sz="4" w:space="0" w:color="auto"/>
                  </w:tcBorders>
                  <w:shd w:val="clear" w:color="auto" w:fill="auto"/>
                  <w:vAlign w:val="center"/>
                </w:tcPr>
                <w:p w:rsidR="0032181E" w:rsidRPr="009D113B" w:rsidRDefault="0032181E" w:rsidP="00E77C3B">
                  <w:pPr>
                    <w:jc w:val="center"/>
                    <w:rPr>
                      <w:highlight w:val="lightGray"/>
                      <w:u w:val="single"/>
                      <w:lang w:val="fr-FR"/>
                    </w:rPr>
                  </w:pPr>
                  <w:r>
                    <w:rPr>
                      <w:highlight w:val="lightGray"/>
                      <w:u w:val="single"/>
                      <w:lang w:val="fr-FR"/>
                    </w:rPr>
                    <w:t>n</w:t>
                  </w:r>
                  <w:r w:rsidRPr="009D113B">
                    <w:rPr>
                      <w:highlight w:val="lightGray"/>
                      <w:u w:val="single"/>
                      <w:lang w:val="fr-FR"/>
                    </w:rPr>
                    <w:t>on</w:t>
                  </w:r>
                  <w:r>
                    <w:rPr>
                      <w:highlight w:val="lightGray"/>
                      <w:u w:val="single"/>
                      <w:lang w:val="fr-FR"/>
                    </w:rPr>
                    <w:t xml:space="preserve"> homogène</w:t>
                  </w:r>
                </w:p>
              </w:tc>
            </w:tr>
          </w:tbl>
          <w:p w:rsidR="0032181E" w:rsidRPr="009D113B" w:rsidRDefault="0032181E" w:rsidP="00E77C3B">
            <w:pPr>
              <w:pStyle w:val="Titleofdoc0"/>
              <w:spacing w:before="0"/>
              <w:jc w:val="both"/>
              <w:rPr>
                <w:sz w:val="12"/>
                <w:szCs w:val="24"/>
                <w:lang w:val="fr-FR"/>
              </w:rPr>
            </w:pPr>
          </w:p>
          <w:p w:rsidR="0032181E" w:rsidRPr="009D113B" w:rsidRDefault="0032181E" w:rsidP="00E77C3B">
            <w:pPr>
              <w:keepNext/>
              <w:keepLines/>
              <w:ind w:left="34"/>
              <w:rPr>
                <w:rFonts w:eastAsia="SimSun"/>
                <w:sz w:val="18"/>
                <w:lang w:val="fr-FR" w:eastAsia="zh-CN"/>
              </w:rPr>
            </w:pPr>
            <w:r>
              <w:rPr>
                <w:sz w:val="18"/>
                <w:szCs w:val="24"/>
                <w:lang w:val="fr-FR"/>
              </w:rPr>
              <w:t xml:space="preserve">* </w:t>
            </w:r>
            <w:r w:rsidRPr="002F3ABD">
              <w:rPr>
                <w:rFonts w:eastAsia="SimSun"/>
                <w:sz w:val="18"/>
                <w:lang w:val="fr-FR" w:eastAsia="zh-CN"/>
              </w:rPr>
              <w:t>Il faut faire preuve de prudence lorsqu</w:t>
            </w:r>
            <w:r>
              <w:rPr>
                <w:rFonts w:eastAsia="SimSun"/>
                <w:sz w:val="18"/>
                <w:lang w:val="fr-FR" w:eastAsia="zh-CN"/>
              </w:rPr>
              <w:t>’</w:t>
            </w:r>
            <w:r w:rsidRPr="002F3ABD">
              <w:rPr>
                <w:rFonts w:eastAsia="SimSun"/>
                <w:sz w:val="18"/>
                <w:lang w:val="fr-FR" w:eastAsia="zh-CN"/>
              </w:rPr>
              <w:t>on examine des résultats très différents dans chacun des cycles de végétation, notamment lorsqu</w:t>
            </w:r>
            <w:r>
              <w:rPr>
                <w:rFonts w:eastAsia="SimSun"/>
                <w:sz w:val="18"/>
                <w:lang w:val="fr-FR" w:eastAsia="zh-CN"/>
              </w:rPr>
              <w:t>’</w:t>
            </w:r>
            <w:r w:rsidRPr="002F3ABD">
              <w:rPr>
                <w:rFonts w:eastAsia="SimSun"/>
                <w:sz w:val="18"/>
                <w:lang w:val="fr-FR" w:eastAsia="zh-CN"/>
              </w:rPr>
              <w:t>un type de plante hors</w:t>
            </w:r>
            <w:r>
              <w:rPr>
                <w:rFonts w:eastAsia="SimSun"/>
                <w:sz w:val="18"/>
                <w:lang w:val="fr-FR" w:eastAsia="zh-CN"/>
              </w:rPr>
              <w:noBreakHyphen/>
            </w:r>
            <w:r w:rsidRPr="002F3ABD">
              <w:rPr>
                <w:rFonts w:eastAsia="SimSun"/>
                <w:sz w:val="18"/>
                <w:lang w:val="fr-FR" w:eastAsia="zh-CN"/>
              </w:rPr>
              <w:t>type a été observé à un niveau élevé dans un cycle de végétation tout en étant absent dans un autre.</w:t>
            </w:r>
          </w:p>
        </w:tc>
      </w:tr>
    </w:tbl>
    <w:p w:rsidR="0032181E" w:rsidRDefault="0032181E" w:rsidP="0032181E">
      <w:pPr>
        <w:jc w:val="right"/>
        <w:rPr>
          <w:rFonts w:eastAsia="MS Mincho"/>
          <w:sz w:val="16"/>
          <w:lang w:val="fr-FR" w:eastAsia="ja-JP"/>
        </w:rPr>
      </w:pPr>
    </w:p>
    <w:p w:rsidR="00D34615" w:rsidRDefault="00D34615" w:rsidP="0032181E">
      <w:pPr>
        <w:jc w:val="right"/>
        <w:rPr>
          <w:rFonts w:eastAsia="MS Mincho"/>
          <w:sz w:val="16"/>
          <w:lang w:val="fr-FR" w:eastAsia="ja-JP"/>
        </w:rPr>
      </w:pPr>
    </w:p>
    <w:p w:rsidR="00D34615" w:rsidRPr="009D113B" w:rsidRDefault="00D34615" w:rsidP="0032181E">
      <w:pPr>
        <w:jc w:val="right"/>
        <w:rPr>
          <w:rFonts w:eastAsia="MS Mincho"/>
          <w:sz w:val="16"/>
          <w:lang w:val="fr-FR" w:eastAsia="ja-JP"/>
        </w:rPr>
      </w:pPr>
    </w:p>
    <w:p w:rsidR="0032181E" w:rsidRPr="009D113B" w:rsidRDefault="0032181E" w:rsidP="0032181E">
      <w:pPr>
        <w:jc w:val="right"/>
        <w:rPr>
          <w:rFonts w:eastAsia="MS Mincho"/>
          <w:lang w:val="fr-FR" w:eastAsia="ja-JP"/>
        </w:rPr>
      </w:pPr>
      <w:r w:rsidRPr="009D113B">
        <w:rPr>
          <w:rFonts w:eastAsia="MS Mincho"/>
          <w:lang w:val="fr-FR" w:eastAsia="ja-JP"/>
        </w:rPr>
        <w:t>[</w:t>
      </w:r>
      <w:r>
        <w:rPr>
          <w:rFonts w:eastAsia="MS Mincho"/>
          <w:lang w:val="fr-FR" w:eastAsia="ja-JP"/>
        </w:rPr>
        <w:t>L’annexe II suit</w:t>
      </w:r>
      <w:r w:rsidRPr="009D113B">
        <w:rPr>
          <w:rFonts w:eastAsia="MS Mincho"/>
          <w:lang w:val="fr-FR" w:eastAsia="ja-JP"/>
        </w:rPr>
        <w:t>]</w:t>
      </w:r>
    </w:p>
    <w:p w:rsidR="0032181E" w:rsidRPr="009D113B" w:rsidRDefault="0032181E" w:rsidP="0032181E">
      <w:pPr>
        <w:jc w:val="right"/>
        <w:rPr>
          <w:rFonts w:eastAsia="MS Mincho"/>
          <w:lang w:val="fr-FR" w:eastAsia="ja-JP"/>
        </w:rPr>
        <w:sectPr w:rsidR="0032181E" w:rsidRPr="009D113B" w:rsidSect="00032D7E">
          <w:headerReference w:type="default" r:id="rId11"/>
          <w:headerReference w:type="first" r:id="rId12"/>
          <w:footerReference w:type="first" r:id="rId13"/>
          <w:pgSz w:w="11907" w:h="16840" w:code="9"/>
          <w:pgMar w:top="510" w:right="1134" w:bottom="851" w:left="1134" w:header="510" w:footer="680" w:gutter="0"/>
          <w:pgNumType w:start="1"/>
          <w:cols w:space="720"/>
          <w:titlePg/>
          <w:docGrid w:linePitch="272"/>
        </w:sectPr>
      </w:pP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2181E" w:rsidRPr="009D113B" w:rsidTr="00D34615">
        <w:trPr>
          <w:trHeight w:val="350"/>
        </w:trPr>
        <w:tc>
          <w:tcPr>
            <w:tcW w:w="10206" w:type="dxa"/>
          </w:tcPr>
          <w:p w:rsidR="0032181E" w:rsidRPr="009D113B" w:rsidRDefault="0032181E" w:rsidP="00E77C3B">
            <w:pPr>
              <w:autoSpaceDE w:val="0"/>
              <w:autoSpaceDN w:val="0"/>
              <w:adjustRightInd w:val="0"/>
              <w:jc w:val="center"/>
              <w:rPr>
                <w:rFonts w:eastAsia="SimSun"/>
                <w:szCs w:val="24"/>
                <w:lang w:val="fr-FR" w:eastAsia="zh-CN"/>
              </w:rPr>
            </w:pPr>
          </w:p>
          <w:p w:rsidR="0032181E" w:rsidRPr="009D113B" w:rsidRDefault="0032181E" w:rsidP="00E77C3B">
            <w:pPr>
              <w:autoSpaceDE w:val="0"/>
              <w:autoSpaceDN w:val="0"/>
              <w:adjustRightInd w:val="0"/>
              <w:jc w:val="center"/>
              <w:rPr>
                <w:rFonts w:eastAsia="SimSun"/>
                <w:szCs w:val="24"/>
                <w:lang w:val="fr-FR" w:eastAsia="zh-CN"/>
              </w:rPr>
            </w:pPr>
            <w:r w:rsidRPr="009D113B">
              <w:rPr>
                <w:rFonts w:eastAsia="SimSun"/>
                <w:szCs w:val="24"/>
                <w:lang w:val="fr-FR" w:eastAsia="zh-CN"/>
              </w:rPr>
              <w:t>SITUATION</w:t>
            </w:r>
            <w:r>
              <w:rPr>
                <w:rFonts w:eastAsia="SimSun"/>
                <w:szCs w:val="24"/>
                <w:lang w:val="fr-FR" w:eastAsia="zh-CN"/>
              </w:rPr>
              <w:t> :</w:t>
            </w:r>
            <w:r w:rsidRPr="009D113B">
              <w:rPr>
                <w:rFonts w:eastAsia="SimSun"/>
                <w:szCs w:val="24"/>
                <w:lang w:val="fr-FR" w:eastAsia="zh-CN"/>
              </w:rPr>
              <w:t xml:space="preserve"> </w:t>
            </w:r>
            <w:r>
              <w:rPr>
                <w:rFonts w:eastAsia="SimSun"/>
                <w:szCs w:val="24"/>
                <w:lang w:val="fr-FR" w:eastAsia="zh-CN"/>
              </w:rPr>
              <w:t>ÉVALUATION DE L’HOMOGÉNÉITÉ D’APRÈS LES PLANTES HORS</w:t>
            </w:r>
            <w:r>
              <w:rPr>
                <w:rFonts w:eastAsia="SimSun"/>
                <w:szCs w:val="24"/>
                <w:lang w:val="fr-FR" w:eastAsia="zh-CN"/>
              </w:rPr>
              <w:noBreakHyphen/>
              <w:t xml:space="preserve">TYPE SUR LA BASE DE </w:t>
            </w:r>
            <w:r w:rsidRPr="002F17FA">
              <w:rPr>
                <w:rFonts w:eastAsia="SimSun"/>
                <w:szCs w:val="24"/>
                <w:lang w:val="fr-FR" w:eastAsia="zh-CN"/>
              </w:rPr>
              <w:t>SOUS</w:t>
            </w:r>
            <w:r>
              <w:rPr>
                <w:rFonts w:eastAsia="SimSun"/>
                <w:szCs w:val="24"/>
                <w:lang w:val="fr-FR" w:eastAsia="zh-CN"/>
              </w:rPr>
              <w:noBreakHyphen/>
            </w:r>
            <w:r w:rsidRPr="002F17FA">
              <w:rPr>
                <w:rFonts w:eastAsia="SimSun"/>
                <w:szCs w:val="24"/>
                <w:lang w:val="fr-FR" w:eastAsia="zh-CN"/>
              </w:rPr>
              <w:t>ÉCHANTILLONS</w:t>
            </w:r>
            <w:r>
              <w:rPr>
                <w:rFonts w:eastAsia="SimSun"/>
                <w:szCs w:val="24"/>
                <w:lang w:val="fr-FR" w:eastAsia="zh-CN"/>
              </w:rPr>
              <w:t xml:space="preserve"> </w:t>
            </w:r>
            <w:r w:rsidRPr="002F17FA">
              <w:rPr>
                <w:rFonts w:eastAsia="SimSun"/>
                <w:szCs w:val="24"/>
                <w:lang w:val="fr-FR" w:eastAsia="zh-CN"/>
              </w:rPr>
              <w:t>DANS LE CADRE D</w:t>
            </w:r>
            <w:r>
              <w:rPr>
                <w:rFonts w:eastAsia="SimSun"/>
                <w:szCs w:val="24"/>
                <w:lang w:val="fr-FR" w:eastAsia="zh-CN"/>
              </w:rPr>
              <w:t>’</w:t>
            </w:r>
            <w:r w:rsidRPr="002F17FA">
              <w:rPr>
                <w:rFonts w:eastAsia="SimSun"/>
                <w:szCs w:val="24"/>
                <w:lang w:val="fr-FR" w:eastAsia="zh-CN"/>
              </w:rPr>
              <w:t>UN SEUL EXAMEN/ESSAI</w:t>
            </w:r>
          </w:p>
        </w:tc>
      </w:tr>
      <w:tr w:rsidR="0032181E" w:rsidRPr="009D113B" w:rsidTr="00D34615">
        <w:trPr>
          <w:trHeight w:val="6949"/>
        </w:trPr>
        <w:tc>
          <w:tcPr>
            <w:tcW w:w="10206" w:type="dxa"/>
          </w:tcPr>
          <w:p w:rsidR="0032181E" w:rsidRPr="009D113B" w:rsidRDefault="0032181E" w:rsidP="00E77C3B">
            <w:pPr>
              <w:rPr>
                <w:lang w:val="fr-FR"/>
              </w:rPr>
            </w:pPr>
          </w:p>
          <w:p w:rsidR="0032181E" w:rsidRPr="009D113B" w:rsidRDefault="0032181E" w:rsidP="00E77C3B">
            <w:pPr>
              <w:rPr>
                <w:b/>
                <w:lang w:val="fr-FR"/>
              </w:rPr>
            </w:pPr>
            <w:r>
              <w:rPr>
                <w:b/>
                <w:lang w:val="fr-FR"/>
              </w:rPr>
              <w:t>Méthode :</w:t>
            </w:r>
            <w:r w:rsidRPr="009D113B">
              <w:rPr>
                <w:b/>
                <w:lang w:val="fr-FR"/>
              </w:rPr>
              <w:t xml:space="preserve"> </w:t>
            </w:r>
            <w:r>
              <w:rPr>
                <w:b/>
                <w:lang w:val="fr-FR"/>
              </w:rPr>
              <w:t>Utilisation du sous</w:t>
            </w:r>
            <w:r>
              <w:rPr>
                <w:b/>
                <w:lang w:val="fr-FR"/>
              </w:rPr>
              <w:noBreakHyphen/>
              <w:t>échantillon comme première étape d’évaluation</w:t>
            </w:r>
          </w:p>
          <w:p w:rsidR="0032181E" w:rsidRPr="009D113B" w:rsidRDefault="0032181E" w:rsidP="00E77C3B">
            <w:pPr>
              <w:rPr>
                <w:b/>
                <w:lang w:val="fr-FR"/>
              </w:rPr>
            </w:pPr>
          </w:p>
          <w:p w:rsidR="0032181E" w:rsidRPr="009D113B" w:rsidRDefault="0032181E" w:rsidP="00E77C3B">
            <w:pPr>
              <w:rPr>
                <w:lang w:val="fr-FR"/>
              </w:rPr>
            </w:pPr>
            <w:r>
              <w:rPr>
                <w:lang w:val="fr-FR"/>
              </w:rPr>
              <w:t>Une variété est réputée homogène si le nombre de plantes hors</w:t>
            </w:r>
            <w:r>
              <w:rPr>
                <w:lang w:val="fr-FR"/>
              </w:rPr>
              <w:noBreakHyphen/>
              <w:t>type ne dépasse pas une limite inférieure prédéfinie dans le sous</w:t>
            </w:r>
            <w:r>
              <w:rPr>
                <w:lang w:val="fr-FR"/>
              </w:rPr>
              <w:noBreakHyphen/>
              <w:t>échantillon</w:t>
            </w:r>
            <w:r w:rsidRPr="009D113B">
              <w:rPr>
                <w:lang w:val="fr-FR"/>
              </w:rPr>
              <w:t>.</w:t>
            </w:r>
          </w:p>
          <w:p w:rsidR="0032181E" w:rsidRPr="009D113B" w:rsidRDefault="0032181E" w:rsidP="00E77C3B">
            <w:pPr>
              <w:rPr>
                <w:lang w:val="fr-FR"/>
              </w:rPr>
            </w:pPr>
          </w:p>
          <w:p w:rsidR="0032181E" w:rsidRPr="009D113B" w:rsidRDefault="0032181E" w:rsidP="00E77C3B">
            <w:pPr>
              <w:rPr>
                <w:lang w:val="fr-FR"/>
              </w:rPr>
            </w:pPr>
            <w:r>
              <w:rPr>
                <w:lang w:val="fr-FR"/>
              </w:rPr>
              <w:t>Une variété est réputée non homogène si le nombre de plantes hors</w:t>
            </w:r>
            <w:r>
              <w:rPr>
                <w:lang w:val="fr-FR"/>
              </w:rPr>
              <w:noBreakHyphen/>
              <w:t>type dépasse une limite supérieure prédéfinie dans le sous</w:t>
            </w:r>
            <w:r>
              <w:rPr>
                <w:lang w:val="fr-FR"/>
              </w:rPr>
              <w:noBreakHyphen/>
              <w:t>échantillon</w:t>
            </w:r>
            <w:r w:rsidRPr="009D113B">
              <w:rPr>
                <w:lang w:val="fr-FR"/>
              </w:rPr>
              <w:t>.</w:t>
            </w:r>
          </w:p>
          <w:p w:rsidR="0032181E" w:rsidRPr="009D113B" w:rsidRDefault="0032181E" w:rsidP="00E77C3B">
            <w:pPr>
              <w:rPr>
                <w:lang w:val="fr-FR"/>
              </w:rPr>
            </w:pPr>
          </w:p>
          <w:p w:rsidR="0032181E" w:rsidRPr="009D113B" w:rsidRDefault="0032181E" w:rsidP="00E77C3B">
            <w:pPr>
              <w:rPr>
                <w:lang w:val="fr-FR"/>
              </w:rPr>
            </w:pPr>
            <w:r>
              <w:rPr>
                <w:lang w:val="fr-FR"/>
              </w:rPr>
              <w:t>Si le nombre de plantes hors</w:t>
            </w:r>
            <w:r>
              <w:rPr>
                <w:lang w:val="fr-FR"/>
              </w:rPr>
              <w:noBreakHyphen/>
              <w:t>type se situe entre les limites inférieure et supérieure prédéfinies, l’échantillon tout entier est évalué.  Les limites inférieure et supérieure doivent être choisies compte tenu des probabilités d’erreurs de type I et de type II comparables entre le sous</w:t>
            </w:r>
            <w:r>
              <w:rPr>
                <w:lang w:val="fr-FR"/>
              </w:rPr>
              <w:noBreakHyphen/>
              <w:t>échantillon et l’échantillon tout entier</w:t>
            </w:r>
            <w:r w:rsidRPr="009D113B">
              <w:rPr>
                <w:lang w:val="fr-FR"/>
              </w:rPr>
              <w:t>.</w:t>
            </w:r>
          </w:p>
          <w:p w:rsidR="0032181E" w:rsidRPr="009D113B" w:rsidRDefault="003E0139" w:rsidP="00E77C3B">
            <w:pPr>
              <w:rPr>
                <w:lang w:val="fr-FR"/>
              </w:rPr>
            </w:pPr>
            <w:r>
              <w:rPr>
                <w:rFonts w:eastAsia="SimSun"/>
                <w:szCs w:val="24"/>
                <w:lang w:val="fr-FR" w:eastAsia="zh-CN"/>
              </w:rPr>
              <w:pict>
                <v:rect id="_x0000_i1025" style="width:0;height:1.5pt" o:hralign="center" o:hrstd="t" o:hr="t" fillcolor="#a0a0a0" stroked="f"/>
              </w:pict>
            </w:r>
          </w:p>
          <w:p w:rsidR="0032181E" w:rsidRPr="009D113B" w:rsidRDefault="0032181E" w:rsidP="00E77C3B">
            <w:pPr>
              <w:rPr>
                <w:szCs w:val="24"/>
                <w:lang w:val="fr-FR"/>
              </w:rPr>
            </w:pPr>
          </w:p>
          <w:p w:rsidR="0032181E" w:rsidRPr="009D113B" w:rsidRDefault="0032181E" w:rsidP="00E77C3B">
            <w:pPr>
              <w:rPr>
                <w:szCs w:val="24"/>
                <w:lang w:val="fr-FR"/>
              </w:rPr>
            </w:pPr>
            <w:r w:rsidRPr="009D113B">
              <w:rPr>
                <w:szCs w:val="24"/>
                <w:lang w:val="fr-FR"/>
              </w:rPr>
              <w:t>Ex</w:t>
            </w:r>
            <w:r>
              <w:rPr>
                <w:szCs w:val="24"/>
                <w:lang w:val="fr-FR"/>
              </w:rPr>
              <w:t>e</w:t>
            </w:r>
            <w:r w:rsidRPr="009D113B">
              <w:rPr>
                <w:szCs w:val="24"/>
                <w:lang w:val="fr-FR"/>
              </w:rPr>
              <w:t>mple</w:t>
            </w:r>
            <w:r>
              <w:rPr>
                <w:szCs w:val="24"/>
                <w:lang w:val="fr-FR"/>
              </w:rPr>
              <w:t> :</w:t>
            </w:r>
          </w:p>
          <w:p w:rsidR="0032181E" w:rsidRPr="009D113B" w:rsidRDefault="0032181E" w:rsidP="00E77C3B">
            <w:pPr>
              <w:rPr>
                <w:szCs w:val="24"/>
                <w:lang w:val="fr-FR"/>
              </w:rPr>
            </w:pPr>
          </w:p>
          <w:p w:rsidR="0032181E" w:rsidRPr="004802F4" w:rsidRDefault="0032181E" w:rsidP="00E77C3B">
            <w:pPr>
              <w:autoSpaceDE w:val="0"/>
              <w:autoSpaceDN w:val="0"/>
              <w:adjustRightInd w:val="0"/>
              <w:rPr>
                <w:szCs w:val="24"/>
                <w:lang w:val="fr-FR"/>
              </w:rPr>
            </w:pPr>
            <w:r w:rsidRPr="004802F4">
              <w:rPr>
                <w:szCs w:val="24"/>
                <w:lang w:val="fr-FR"/>
              </w:rPr>
              <w:t>Dans un échantillon de 100 plantes, le nombre acceptable de plantes hors</w:t>
            </w:r>
            <w:r>
              <w:rPr>
                <w:szCs w:val="24"/>
                <w:lang w:val="fr-FR"/>
              </w:rPr>
              <w:noBreakHyphen/>
            </w:r>
            <w:r w:rsidRPr="004802F4">
              <w:rPr>
                <w:szCs w:val="24"/>
                <w:lang w:val="fr-FR"/>
              </w:rPr>
              <w:t>type est de 3 (sur la base d</w:t>
            </w:r>
            <w:r>
              <w:rPr>
                <w:szCs w:val="24"/>
                <w:lang w:val="fr-FR"/>
              </w:rPr>
              <w:t>’</w:t>
            </w:r>
            <w:r w:rsidRPr="004802F4">
              <w:rPr>
                <w:szCs w:val="24"/>
                <w:lang w:val="fr-FR"/>
              </w:rPr>
              <w:t>une norme de population de 1% et d</w:t>
            </w:r>
            <w:r>
              <w:rPr>
                <w:szCs w:val="24"/>
                <w:lang w:val="fr-FR"/>
              </w:rPr>
              <w:t>’</w:t>
            </w:r>
            <w:r w:rsidRPr="004802F4">
              <w:rPr>
                <w:szCs w:val="24"/>
                <w:lang w:val="fr-FR"/>
              </w:rPr>
              <w:t>une probabilité d</w:t>
            </w:r>
            <w:r>
              <w:rPr>
                <w:szCs w:val="24"/>
                <w:lang w:val="fr-FR"/>
              </w:rPr>
              <w:t>’</w:t>
            </w:r>
            <w:r w:rsidRPr="004802F4">
              <w:rPr>
                <w:szCs w:val="24"/>
                <w:lang w:val="fr-FR"/>
              </w:rPr>
              <w:t>acceptation d</w:t>
            </w:r>
            <w:r>
              <w:rPr>
                <w:szCs w:val="24"/>
                <w:lang w:val="fr-FR"/>
              </w:rPr>
              <w:t>’</w:t>
            </w:r>
            <w:r w:rsidRPr="004802F4">
              <w:rPr>
                <w:szCs w:val="24"/>
                <w:lang w:val="fr-FR"/>
              </w:rPr>
              <w:t>au moins 95%).</w:t>
            </w:r>
          </w:p>
          <w:p w:rsidR="0032181E" w:rsidRPr="004802F4" w:rsidRDefault="0032181E" w:rsidP="00E77C3B">
            <w:pPr>
              <w:autoSpaceDE w:val="0"/>
              <w:autoSpaceDN w:val="0"/>
              <w:adjustRightInd w:val="0"/>
              <w:rPr>
                <w:szCs w:val="24"/>
                <w:lang w:val="fr-FR"/>
              </w:rPr>
            </w:pPr>
          </w:p>
          <w:p w:rsidR="0032181E" w:rsidRPr="004802F4" w:rsidRDefault="0032181E" w:rsidP="00E77C3B">
            <w:pPr>
              <w:autoSpaceDE w:val="0"/>
              <w:autoSpaceDN w:val="0"/>
              <w:adjustRightInd w:val="0"/>
              <w:rPr>
                <w:szCs w:val="24"/>
                <w:lang w:val="fr-FR"/>
              </w:rPr>
            </w:pPr>
            <w:r w:rsidRPr="004802F4">
              <w:rPr>
                <w:szCs w:val="24"/>
                <w:lang w:val="fr-FR"/>
              </w:rPr>
              <w:t>Dans un sous</w:t>
            </w:r>
            <w:r>
              <w:rPr>
                <w:szCs w:val="24"/>
                <w:lang w:val="fr-FR"/>
              </w:rPr>
              <w:noBreakHyphen/>
            </w:r>
            <w:r w:rsidRPr="004802F4">
              <w:rPr>
                <w:szCs w:val="24"/>
                <w:lang w:val="fr-FR"/>
              </w:rPr>
              <w:t>échantillon de 20 plantes utilisé dans le contexte de l</w:t>
            </w:r>
            <w:r>
              <w:rPr>
                <w:szCs w:val="24"/>
                <w:lang w:val="fr-FR"/>
              </w:rPr>
              <w:t>’</w:t>
            </w:r>
            <w:r w:rsidRPr="004802F4">
              <w:rPr>
                <w:szCs w:val="24"/>
                <w:lang w:val="fr-FR"/>
              </w:rPr>
              <w:t>échantillon de 100 plantes ci</w:t>
            </w:r>
            <w:r>
              <w:rPr>
                <w:szCs w:val="24"/>
                <w:lang w:val="fr-FR"/>
              </w:rPr>
              <w:noBreakHyphen/>
            </w:r>
            <w:r w:rsidRPr="004802F4">
              <w:rPr>
                <w:szCs w:val="24"/>
                <w:lang w:val="fr-FR"/>
              </w:rPr>
              <w:t>dessus :</w:t>
            </w:r>
          </w:p>
          <w:p w:rsidR="0032181E" w:rsidRPr="004802F4" w:rsidRDefault="0032181E" w:rsidP="00E77C3B">
            <w:pPr>
              <w:autoSpaceDE w:val="0"/>
              <w:autoSpaceDN w:val="0"/>
              <w:adjustRightInd w:val="0"/>
              <w:rPr>
                <w:szCs w:val="24"/>
                <w:lang w:val="fr-FR"/>
              </w:rPr>
            </w:pPr>
          </w:p>
          <w:p w:rsidR="0032181E" w:rsidRPr="004802F4" w:rsidRDefault="0032181E" w:rsidP="00E77C3B">
            <w:pPr>
              <w:ind w:left="567"/>
              <w:rPr>
                <w:lang w:val="fr-FR"/>
              </w:rPr>
            </w:pPr>
            <w:r w:rsidRPr="004802F4">
              <w:rPr>
                <w:lang w:val="fr-FR"/>
              </w:rPr>
              <w:t>Une variété est réputée homogène si aucune plante hors</w:t>
            </w:r>
            <w:r>
              <w:rPr>
                <w:lang w:val="fr-FR"/>
              </w:rPr>
              <w:noBreakHyphen/>
            </w:r>
            <w:r w:rsidRPr="004802F4">
              <w:rPr>
                <w:lang w:val="fr-FR"/>
              </w:rPr>
              <w:t>type n</w:t>
            </w:r>
            <w:r>
              <w:rPr>
                <w:lang w:val="fr-FR"/>
              </w:rPr>
              <w:t>’</w:t>
            </w:r>
            <w:r w:rsidRPr="004802F4">
              <w:rPr>
                <w:lang w:val="fr-FR"/>
              </w:rPr>
              <w:t>est observée dans un sous</w:t>
            </w:r>
            <w:r>
              <w:rPr>
                <w:lang w:val="fr-FR"/>
              </w:rPr>
              <w:noBreakHyphen/>
            </w:r>
            <w:r w:rsidRPr="004802F4">
              <w:rPr>
                <w:lang w:val="fr-FR"/>
              </w:rPr>
              <w:t>échantillon.</w:t>
            </w:r>
          </w:p>
          <w:p w:rsidR="0032181E" w:rsidRPr="004802F4" w:rsidRDefault="0032181E" w:rsidP="00E77C3B">
            <w:pPr>
              <w:rPr>
                <w:lang w:val="fr-FR"/>
              </w:rPr>
            </w:pPr>
          </w:p>
          <w:p w:rsidR="0032181E" w:rsidRPr="004802F4" w:rsidRDefault="0032181E" w:rsidP="00E77C3B">
            <w:pPr>
              <w:ind w:left="567"/>
              <w:rPr>
                <w:lang w:val="fr-FR"/>
              </w:rPr>
            </w:pPr>
            <w:r w:rsidRPr="004802F4">
              <w:rPr>
                <w:lang w:val="fr-FR"/>
              </w:rPr>
              <w:t>Une variété est réputée non homogène si le nombre de plantes hors</w:t>
            </w:r>
            <w:r>
              <w:rPr>
                <w:lang w:val="fr-FR"/>
              </w:rPr>
              <w:noBreakHyphen/>
            </w:r>
            <w:r w:rsidRPr="004802F4">
              <w:rPr>
                <w:lang w:val="fr-FR"/>
              </w:rPr>
              <w:t>type dans le sous</w:t>
            </w:r>
            <w:r>
              <w:rPr>
                <w:lang w:val="fr-FR"/>
              </w:rPr>
              <w:noBreakHyphen/>
            </w:r>
            <w:r w:rsidRPr="004802F4">
              <w:rPr>
                <w:lang w:val="fr-FR"/>
              </w:rPr>
              <w:t>échantillon dépasse 3.</w:t>
            </w:r>
          </w:p>
          <w:p w:rsidR="0032181E" w:rsidRPr="004802F4" w:rsidRDefault="0032181E" w:rsidP="00E77C3B">
            <w:pPr>
              <w:rPr>
                <w:lang w:val="fr-FR"/>
              </w:rPr>
            </w:pPr>
          </w:p>
          <w:p w:rsidR="0032181E" w:rsidRPr="004802F4" w:rsidRDefault="0032181E" w:rsidP="00E77C3B">
            <w:pPr>
              <w:ind w:left="567"/>
              <w:rPr>
                <w:lang w:val="fr-FR"/>
              </w:rPr>
            </w:pPr>
            <w:r w:rsidRPr="004802F4">
              <w:rPr>
                <w:lang w:val="fr-FR"/>
              </w:rPr>
              <w:t>Si le nombre de plantes hors</w:t>
            </w:r>
            <w:r>
              <w:rPr>
                <w:lang w:val="fr-FR"/>
              </w:rPr>
              <w:noBreakHyphen/>
            </w:r>
            <w:r w:rsidRPr="004802F4">
              <w:rPr>
                <w:lang w:val="fr-FR"/>
              </w:rPr>
              <w:t>type varie entre 1 et 3, l</w:t>
            </w:r>
            <w:r>
              <w:rPr>
                <w:lang w:val="fr-FR"/>
              </w:rPr>
              <w:t>’</w:t>
            </w:r>
            <w:r w:rsidRPr="004802F4">
              <w:rPr>
                <w:lang w:val="fr-FR"/>
              </w:rPr>
              <w:t>échantillon tout entier de 100 plantes est évalué.</w:t>
            </w:r>
          </w:p>
          <w:p w:rsidR="0032181E" w:rsidRPr="004802F4" w:rsidRDefault="0032181E" w:rsidP="00E77C3B">
            <w:pPr>
              <w:ind w:left="567"/>
              <w:rPr>
                <w:lang w:val="fr-FR"/>
              </w:rPr>
            </w:pPr>
          </w:p>
          <w:p w:rsidR="0032181E" w:rsidRPr="002F17FA" w:rsidRDefault="0032181E" w:rsidP="00E77C3B">
            <w:pPr>
              <w:ind w:left="567"/>
              <w:rPr>
                <w:lang w:val="fr-FR"/>
              </w:rPr>
            </w:pPr>
            <w:r w:rsidRPr="002F17FA">
              <w:rPr>
                <w:rFonts w:cs="Arial"/>
                <w:lang w:val="fr-FR"/>
              </w:rPr>
              <w:t>Dans l</w:t>
            </w:r>
            <w:r>
              <w:rPr>
                <w:rFonts w:cs="Arial"/>
                <w:lang w:val="fr-FR"/>
              </w:rPr>
              <w:t>’</w:t>
            </w:r>
            <w:r w:rsidRPr="002F17FA">
              <w:rPr>
                <w:rFonts w:cs="Arial"/>
                <w:lang w:val="fr-FR"/>
              </w:rPr>
              <w:t>échantillon de 100 plantes, si le nombre de plantes hors</w:t>
            </w:r>
            <w:r>
              <w:rPr>
                <w:rFonts w:cs="Arial"/>
                <w:lang w:val="fr-FR"/>
              </w:rPr>
              <w:noBreakHyphen/>
            </w:r>
            <w:r w:rsidRPr="002F17FA">
              <w:rPr>
                <w:rFonts w:cs="Arial"/>
                <w:lang w:val="fr-FR"/>
              </w:rPr>
              <w:t>type dépasse 3, la variété est réputée non homogène.</w:t>
            </w:r>
          </w:p>
          <w:p w:rsidR="0032181E" w:rsidRPr="009D113B" w:rsidRDefault="0032181E" w:rsidP="00E77C3B">
            <w:pPr>
              <w:ind w:left="34" w:right="600"/>
              <w:rPr>
                <w:lang w:val="fr-FR"/>
              </w:rPr>
            </w:pPr>
          </w:p>
          <w:p w:rsidR="0032181E" w:rsidRPr="002F17FA" w:rsidRDefault="0032181E" w:rsidP="00E77C3B">
            <w:pPr>
              <w:ind w:left="34" w:right="600"/>
              <w:rPr>
                <w:szCs w:val="24"/>
                <w:lang w:val="fr-FR"/>
              </w:rPr>
            </w:pPr>
            <w:r w:rsidRPr="002F17FA">
              <w:rPr>
                <w:szCs w:val="24"/>
                <w:lang w:val="fr-FR"/>
              </w:rPr>
              <w:t>L</w:t>
            </w:r>
            <w:r>
              <w:rPr>
                <w:szCs w:val="24"/>
                <w:lang w:val="fr-FR"/>
              </w:rPr>
              <w:t>’</w:t>
            </w:r>
            <w:r w:rsidRPr="002F17FA">
              <w:rPr>
                <w:szCs w:val="24"/>
                <w:lang w:val="fr-FR"/>
              </w:rPr>
              <w:t>annexe V du document TWC/32/9 donne une description complète de la base statistique utilisée pour cette méthode.</w:t>
            </w:r>
          </w:p>
          <w:p w:rsidR="0032181E" w:rsidRPr="009D113B" w:rsidRDefault="0032181E" w:rsidP="00E77C3B">
            <w:pPr>
              <w:ind w:left="34" w:right="600"/>
              <w:rPr>
                <w:szCs w:val="24"/>
                <w:lang w:val="fr-FR"/>
              </w:rPr>
            </w:pPr>
          </w:p>
        </w:tc>
      </w:tr>
    </w:tbl>
    <w:p w:rsidR="0032181E" w:rsidRPr="009D113B" w:rsidRDefault="0032181E" w:rsidP="0032181E">
      <w:pPr>
        <w:rPr>
          <w:lang w:val="fr-FR"/>
        </w:rPr>
      </w:pPr>
    </w:p>
    <w:p w:rsidR="0032181E" w:rsidRPr="009D113B" w:rsidRDefault="0032181E" w:rsidP="0032181E">
      <w:pPr>
        <w:rPr>
          <w:lang w:val="fr-FR"/>
        </w:rPr>
      </w:pPr>
    </w:p>
    <w:p w:rsidR="0032181E" w:rsidRPr="009D113B" w:rsidRDefault="0032181E" w:rsidP="0032181E">
      <w:pPr>
        <w:rPr>
          <w:lang w:val="fr-FR"/>
        </w:rPr>
      </w:pPr>
    </w:p>
    <w:p w:rsidR="0032181E" w:rsidRDefault="0032181E" w:rsidP="0032181E">
      <w:pPr>
        <w:jc w:val="right"/>
        <w:rPr>
          <w:lang w:val="fr-FR"/>
        </w:rPr>
        <w:sectPr w:rsidR="0032181E" w:rsidSect="00032D7E">
          <w:headerReference w:type="default" r:id="rId14"/>
          <w:headerReference w:type="first" r:id="rId15"/>
          <w:footerReference w:type="first" r:id="rId16"/>
          <w:pgSz w:w="11907" w:h="16840" w:code="9"/>
          <w:pgMar w:top="510" w:right="1134" w:bottom="993" w:left="1134" w:header="510" w:footer="680" w:gutter="0"/>
          <w:cols w:space="720"/>
          <w:titlePg/>
          <w:docGrid w:linePitch="272"/>
        </w:sectPr>
      </w:pPr>
      <w:r w:rsidRPr="009D113B">
        <w:rPr>
          <w:lang w:val="fr-FR"/>
        </w:rPr>
        <w:t>[L</w:t>
      </w:r>
      <w:r>
        <w:rPr>
          <w:lang w:val="fr-FR"/>
        </w:rPr>
        <w:t>’</w:t>
      </w:r>
      <w:r w:rsidRPr="009D113B">
        <w:rPr>
          <w:lang w:val="fr-FR"/>
        </w:rPr>
        <w:t>annexe</w:t>
      </w:r>
      <w:r>
        <w:rPr>
          <w:lang w:val="fr-FR"/>
        </w:rPr>
        <w:t> </w:t>
      </w:r>
      <w:r w:rsidRPr="009D113B">
        <w:rPr>
          <w:lang w:val="fr-FR"/>
        </w:rPr>
        <w:t>III suit]</w:t>
      </w:r>
    </w:p>
    <w:p w:rsidR="0032181E" w:rsidRPr="009D113B" w:rsidRDefault="0032181E" w:rsidP="0032181E">
      <w:pPr>
        <w:jc w:val="right"/>
        <w:rPr>
          <w:lang w:val="fr-FR"/>
        </w:rPr>
      </w:pPr>
      <w:bookmarkStart w:id="17" w:name="_GoBack"/>
      <w:bookmarkEnd w:id="17"/>
    </w:p>
    <w:p w:rsidR="00C47EFD" w:rsidRDefault="00C47EFD" w:rsidP="0032181E">
      <w:pPr>
        <w:jc w:val="center"/>
        <w:rPr>
          <w:rFonts w:eastAsia="MS Mincho"/>
          <w:szCs w:val="24"/>
          <w:lang w:val="fr-FR" w:eastAsia="ja-JP"/>
        </w:rPr>
      </w:pPr>
      <w:r w:rsidRPr="00B376E5">
        <w:rPr>
          <w:rFonts w:eastAsia="MS Mincho"/>
          <w:szCs w:val="24"/>
          <w:lang w:val="fr-FR" w:eastAsia="ja-JP"/>
        </w:rPr>
        <w:t>ÉVALUATION DE L’HOMOGÉNÉITÉ D’APRÈS LES PLANTES</w:t>
      </w:r>
      <w:r w:rsidRPr="00B376E5">
        <w:rPr>
          <w:rFonts w:eastAsia="MS Mincho"/>
          <w:szCs w:val="22"/>
          <w:lang w:val="fr-FR" w:eastAsia="ja-JP"/>
        </w:rPr>
        <w:t>–</w:t>
      </w:r>
      <w:r w:rsidRPr="00B376E5">
        <w:rPr>
          <w:rFonts w:eastAsia="MS Mincho"/>
          <w:szCs w:val="24"/>
          <w:lang w:val="fr-FR" w:eastAsia="ja-JP"/>
        </w:rPr>
        <w:t>TYPE SUR LA BASE DE PLUSIEURS CYCLES DE VÉGÉTATION : RISQUES, AVANTAGES ET COÛTS</w:t>
      </w:r>
    </w:p>
    <w:p w:rsidR="00C47EFD" w:rsidRDefault="00C47EFD" w:rsidP="0032181E">
      <w:pPr>
        <w:jc w:val="center"/>
        <w:rPr>
          <w:rFonts w:eastAsia="MS Mincho"/>
          <w:szCs w:val="24"/>
          <w:lang w:val="fr-FR" w:eastAsia="ja-JP"/>
        </w:rPr>
      </w:pPr>
    </w:p>
    <w:p w:rsidR="00C47EFD" w:rsidRDefault="00C47EFD" w:rsidP="0032181E">
      <w:pPr>
        <w:jc w:val="center"/>
        <w:rPr>
          <w:rFonts w:eastAsia="MS Mincho"/>
          <w:szCs w:val="24"/>
          <w:lang w:val="fr-FR" w:eastAsia="ja-JP"/>
        </w:rPr>
      </w:pPr>
      <w:r w:rsidRPr="00B376E5">
        <w:rPr>
          <w:rFonts w:eastAsia="MS Mincho"/>
          <w:szCs w:val="24"/>
          <w:lang w:val="fr-FR" w:eastAsia="ja-JP"/>
        </w:rPr>
        <w:t>Exposé</w:t>
      </w:r>
      <w:r w:rsidRPr="00B376E5">
        <w:rPr>
          <w:rFonts w:eastAsia="MS Mincho"/>
          <w:szCs w:val="24"/>
          <w:lang w:val="fr-FR" w:eastAsia="ja-JP"/>
        </w:rPr>
        <w:t xml:space="preserve"> présenté par les experts de l’Allemagne et du Royaume</w:t>
      </w:r>
      <w:r w:rsidRPr="00B376E5">
        <w:rPr>
          <w:rFonts w:eastAsia="MS Mincho"/>
          <w:szCs w:val="24"/>
          <w:lang w:val="fr-FR" w:eastAsia="ja-JP"/>
        </w:rPr>
        <w:noBreakHyphen/>
        <w:t>Uni à la trente</w:t>
      </w:r>
      <w:r w:rsidRPr="00B376E5">
        <w:rPr>
          <w:rFonts w:eastAsia="MS Mincho"/>
          <w:szCs w:val="22"/>
          <w:lang w:val="fr-FR" w:eastAsia="ja-JP"/>
        </w:rPr>
        <w:noBreakHyphen/>
      </w:r>
      <w:r w:rsidRPr="00B376E5">
        <w:rPr>
          <w:rFonts w:eastAsia="MS Mincho"/>
          <w:szCs w:val="24"/>
          <w:lang w:val="fr-FR" w:eastAsia="ja-JP"/>
        </w:rPr>
        <w:t>troisième session du TWC tenue à Natal (Brésil) du 30 juin au 3 juillet 2015)</w:t>
      </w:r>
    </w:p>
    <w:p w:rsidR="00C47EFD" w:rsidRDefault="00C47EFD" w:rsidP="0032181E">
      <w:pPr>
        <w:jc w:val="center"/>
        <w:rPr>
          <w:rFonts w:eastAsia="MS Mincho"/>
          <w:color w:val="000000"/>
          <w:szCs w:val="24"/>
          <w:lang w:eastAsia="ja-JP"/>
        </w:rPr>
      </w:pPr>
    </w:p>
    <w:p w:rsidR="0032181E" w:rsidRPr="0048169C" w:rsidRDefault="0032181E" w:rsidP="0032181E">
      <w:pPr>
        <w:jc w:val="center"/>
        <w:rPr>
          <w:lang w:val="fr-FR"/>
        </w:rPr>
      </w:pPr>
      <w:r w:rsidRPr="0048169C">
        <w:rPr>
          <w:rFonts w:eastAsia="MS Mincho"/>
          <w:color w:val="000000"/>
          <w:szCs w:val="24"/>
          <w:lang w:val="fr-FR" w:eastAsia="ja-JP"/>
        </w:rPr>
        <w:t>(</w:t>
      </w:r>
      <w:r w:rsidR="00C47EFD" w:rsidRPr="0048169C">
        <w:rPr>
          <w:rFonts w:eastAsia="MS Mincho"/>
          <w:color w:val="000000"/>
          <w:szCs w:val="24"/>
          <w:lang w:val="fr-FR" w:eastAsia="ja-JP"/>
        </w:rPr>
        <w:t>en anglais seulement</w:t>
      </w:r>
      <w:r w:rsidRPr="0048169C">
        <w:rPr>
          <w:rFonts w:eastAsia="MS Mincho"/>
          <w:color w:val="000000"/>
          <w:szCs w:val="24"/>
          <w:lang w:val="fr-FR" w:eastAsia="ja-JP"/>
        </w:rPr>
        <w:t>)</w:t>
      </w:r>
    </w:p>
    <w:p w:rsidR="0032181E" w:rsidRDefault="0032181E" w:rsidP="0032181E"/>
    <w:p w:rsidR="00D34615" w:rsidRPr="0033778D" w:rsidRDefault="00D34615" w:rsidP="00D34615"/>
    <w:p w:rsidR="00D34615" w:rsidRDefault="00D34615" w:rsidP="00D34615">
      <w:pPr>
        <w:jc w:val="center"/>
      </w:pPr>
      <w:r w:rsidRPr="000302C1">
        <w:rPr>
          <w:noProof/>
        </w:rPr>
        <w:drawing>
          <wp:inline distT="0" distB="0" distL="0" distR="0" wp14:anchorId="1AF6CF8D" wp14:editId="098505FB">
            <wp:extent cx="4572638" cy="3429479"/>
            <wp:effectExtent l="19050" t="19050" r="18415" b="190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a:ln>
                      <a:solidFill>
                        <a:schemeClr val="tx1"/>
                      </a:solidFill>
                    </a:ln>
                  </pic:spPr>
                </pic:pic>
              </a:graphicData>
            </a:graphic>
          </wp:inline>
        </w:drawing>
      </w:r>
    </w:p>
    <w:p w:rsidR="00D34615" w:rsidRDefault="00D34615" w:rsidP="00D34615">
      <w:pPr>
        <w:jc w:val="center"/>
      </w:pPr>
    </w:p>
    <w:p w:rsidR="00D34615" w:rsidRPr="000302C1" w:rsidRDefault="00D34615" w:rsidP="00D34615">
      <w:pPr>
        <w:jc w:val="center"/>
      </w:pPr>
    </w:p>
    <w:p w:rsidR="00D34615" w:rsidRPr="000302C1" w:rsidRDefault="00D34615" w:rsidP="00D34615">
      <w:pPr>
        <w:jc w:val="center"/>
      </w:pPr>
      <w:r w:rsidRPr="000302C1">
        <w:rPr>
          <w:noProof/>
        </w:rPr>
        <w:drawing>
          <wp:inline distT="0" distB="0" distL="0" distR="0" wp14:anchorId="4F4312AC" wp14:editId="5B303BEE">
            <wp:extent cx="4572638" cy="3429479"/>
            <wp:effectExtent l="19050" t="19050" r="1841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72638" cy="3429479"/>
                    </a:xfrm>
                    <a:prstGeom prst="rect">
                      <a:avLst/>
                    </a:prstGeom>
                    <a:ln>
                      <a:solidFill>
                        <a:schemeClr val="tx1"/>
                      </a:solidFill>
                    </a:ln>
                  </pic:spPr>
                </pic:pic>
              </a:graphicData>
            </a:graphic>
          </wp:inline>
        </w:drawing>
      </w:r>
    </w:p>
    <w:p w:rsidR="00D34615" w:rsidRPr="000302C1" w:rsidRDefault="00D34615" w:rsidP="00D34615">
      <w:pPr>
        <w:jc w:val="center"/>
      </w:pPr>
    </w:p>
    <w:p w:rsidR="00D34615" w:rsidRPr="000302C1" w:rsidRDefault="00D34615" w:rsidP="00D34615">
      <w:pPr>
        <w:jc w:val="center"/>
      </w:pPr>
    </w:p>
    <w:p w:rsidR="00D34615" w:rsidRPr="000302C1" w:rsidRDefault="00D34615" w:rsidP="00D34615">
      <w:pPr>
        <w:jc w:val="center"/>
      </w:pPr>
    </w:p>
    <w:p w:rsidR="00D34615" w:rsidRPr="000302C1" w:rsidRDefault="00D34615" w:rsidP="00D34615">
      <w:pPr>
        <w:jc w:val="center"/>
      </w:pPr>
    </w:p>
    <w:p w:rsidR="00D34615" w:rsidRPr="000302C1" w:rsidRDefault="00D34615" w:rsidP="00D34615">
      <w:pPr>
        <w:jc w:val="center"/>
      </w:pPr>
    </w:p>
    <w:p w:rsidR="00D34615" w:rsidRPr="000302C1" w:rsidRDefault="00D34615" w:rsidP="00D34615">
      <w:pPr>
        <w:jc w:val="center"/>
      </w:pPr>
      <w:r w:rsidRPr="000302C1">
        <w:rPr>
          <w:noProof/>
        </w:rPr>
        <w:drawing>
          <wp:inline distT="0" distB="0" distL="0" distR="0" wp14:anchorId="6478056E" wp14:editId="6B754358">
            <wp:extent cx="4572638" cy="3429479"/>
            <wp:effectExtent l="19050" t="19050" r="1841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72638" cy="3429479"/>
                    </a:xfrm>
                    <a:prstGeom prst="rect">
                      <a:avLst/>
                    </a:prstGeom>
                    <a:ln>
                      <a:solidFill>
                        <a:schemeClr val="tx1"/>
                      </a:solidFill>
                    </a:ln>
                  </pic:spPr>
                </pic:pic>
              </a:graphicData>
            </a:graphic>
          </wp:inline>
        </w:drawing>
      </w:r>
    </w:p>
    <w:p w:rsidR="00D34615" w:rsidRDefault="00D34615" w:rsidP="00D34615">
      <w:pPr>
        <w:jc w:val="center"/>
      </w:pPr>
    </w:p>
    <w:p w:rsidR="00D34615" w:rsidRPr="000302C1" w:rsidRDefault="00D34615" w:rsidP="00D34615">
      <w:pPr>
        <w:jc w:val="center"/>
      </w:pPr>
    </w:p>
    <w:p w:rsidR="00D34615" w:rsidRPr="000302C1" w:rsidRDefault="00D34615" w:rsidP="00D34615">
      <w:pPr>
        <w:jc w:val="center"/>
      </w:pPr>
      <w:r w:rsidRPr="000302C1">
        <w:rPr>
          <w:noProof/>
        </w:rPr>
        <w:drawing>
          <wp:inline distT="0" distB="0" distL="0" distR="0" wp14:anchorId="0CA586E0" wp14:editId="4533F540">
            <wp:extent cx="4572638" cy="3429479"/>
            <wp:effectExtent l="19050" t="19050" r="1841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72638" cy="3429479"/>
                    </a:xfrm>
                    <a:prstGeom prst="rect">
                      <a:avLst/>
                    </a:prstGeom>
                    <a:ln>
                      <a:solidFill>
                        <a:schemeClr val="tx1"/>
                      </a:solidFill>
                    </a:ln>
                  </pic:spPr>
                </pic:pic>
              </a:graphicData>
            </a:graphic>
          </wp:inline>
        </w:drawing>
      </w:r>
    </w:p>
    <w:p w:rsidR="00D34615" w:rsidRPr="000302C1" w:rsidRDefault="00D34615" w:rsidP="00D34615">
      <w:pPr>
        <w:jc w:val="center"/>
      </w:pPr>
    </w:p>
    <w:p w:rsidR="00D34615" w:rsidRPr="000302C1" w:rsidRDefault="00D34615" w:rsidP="00D34615">
      <w:pPr>
        <w:jc w:val="center"/>
      </w:pPr>
    </w:p>
    <w:p w:rsidR="00D34615" w:rsidRPr="000302C1" w:rsidRDefault="00D34615" w:rsidP="00D34615">
      <w:pPr>
        <w:jc w:val="center"/>
      </w:pPr>
    </w:p>
    <w:p w:rsidR="00D34615" w:rsidRDefault="00D34615" w:rsidP="00D34615">
      <w:pPr>
        <w:jc w:val="center"/>
      </w:pPr>
    </w:p>
    <w:p w:rsidR="00D34615" w:rsidRDefault="00D34615" w:rsidP="00D34615">
      <w:pPr>
        <w:jc w:val="left"/>
      </w:pPr>
      <w:r>
        <w:br w:type="page"/>
      </w:r>
    </w:p>
    <w:p w:rsidR="00D34615" w:rsidRDefault="00D34615" w:rsidP="00D34615">
      <w:pPr>
        <w:jc w:val="center"/>
      </w:pPr>
    </w:p>
    <w:p w:rsidR="00D34615" w:rsidRDefault="00D34615" w:rsidP="00D34615">
      <w:pPr>
        <w:jc w:val="center"/>
      </w:pPr>
    </w:p>
    <w:p w:rsidR="00D34615" w:rsidRPr="000302C1" w:rsidRDefault="00D34615" w:rsidP="00D34615">
      <w:pPr>
        <w:jc w:val="center"/>
      </w:pPr>
      <w:r w:rsidRPr="000302C1">
        <w:rPr>
          <w:noProof/>
        </w:rPr>
        <w:drawing>
          <wp:inline distT="0" distB="0" distL="0" distR="0" wp14:anchorId="755462BA" wp14:editId="415C688A">
            <wp:extent cx="4572638" cy="3429479"/>
            <wp:effectExtent l="19050" t="19050" r="1841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572638" cy="3429479"/>
                    </a:xfrm>
                    <a:prstGeom prst="rect">
                      <a:avLst/>
                    </a:prstGeom>
                    <a:ln>
                      <a:solidFill>
                        <a:schemeClr val="tx1"/>
                      </a:solidFill>
                    </a:ln>
                  </pic:spPr>
                </pic:pic>
              </a:graphicData>
            </a:graphic>
          </wp:inline>
        </w:drawing>
      </w:r>
    </w:p>
    <w:p w:rsidR="00D34615" w:rsidRPr="000302C1" w:rsidRDefault="00D34615" w:rsidP="00D34615">
      <w:pPr>
        <w:jc w:val="center"/>
      </w:pPr>
    </w:p>
    <w:p w:rsidR="00D34615" w:rsidRPr="000302C1" w:rsidRDefault="00D34615" w:rsidP="00D34615">
      <w:pPr>
        <w:jc w:val="center"/>
      </w:pPr>
    </w:p>
    <w:p w:rsidR="00D34615" w:rsidRPr="000302C1" w:rsidRDefault="00D34615" w:rsidP="00D34615">
      <w:pPr>
        <w:jc w:val="center"/>
      </w:pPr>
      <w:r w:rsidRPr="000302C1">
        <w:rPr>
          <w:noProof/>
        </w:rPr>
        <w:drawing>
          <wp:inline distT="0" distB="0" distL="0" distR="0" wp14:anchorId="1123506D" wp14:editId="12D1145B">
            <wp:extent cx="4572638" cy="3429479"/>
            <wp:effectExtent l="19050" t="19050" r="18415"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72638" cy="3429479"/>
                    </a:xfrm>
                    <a:prstGeom prst="rect">
                      <a:avLst/>
                    </a:prstGeom>
                    <a:ln>
                      <a:solidFill>
                        <a:schemeClr val="tx1"/>
                      </a:solidFill>
                    </a:ln>
                  </pic:spPr>
                </pic:pic>
              </a:graphicData>
            </a:graphic>
          </wp:inline>
        </w:drawing>
      </w:r>
    </w:p>
    <w:p w:rsidR="00D34615" w:rsidRPr="000302C1" w:rsidRDefault="00D34615" w:rsidP="00D34615">
      <w:pPr>
        <w:jc w:val="center"/>
      </w:pPr>
    </w:p>
    <w:p w:rsidR="00D34615" w:rsidRPr="000302C1" w:rsidRDefault="00D34615" w:rsidP="00D34615">
      <w:pPr>
        <w:jc w:val="center"/>
      </w:pPr>
    </w:p>
    <w:p w:rsidR="00D34615" w:rsidRPr="000302C1" w:rsidRDefault="00D34615" w:rsidP="00D34615">
      <w:pPr>
        <w:jc w:val="center"/>
      </w:pPr>
    </w:p>
    <w:p w:rsidR="00D34615" w:rsidRDefault="00D34615" w:rsidP="00D34615">
      <w:pPr>
        <w:jc w:val="left"/>
      </w:pPr>
      <w:r>
        <w:br w:type="page"/>
      </w:r>
    </w:p>
    <w:p w:rsidR="00D34615" w:rsidRPr="000302C1" w:rsidRDefault="00D34615" w:rsidP="00D34615">
      <w:pPr>
        <w:jc w:val="center"/>
      </w:pPr>
    </w:p>
    <w:p w:rsidR="00D34615" w:rsidRPr="000302C1" w:rsidRDefault="00D34615" w:rsidP="00D34615">
      <w:pPr>
        <w:jc w:val="center"/>
      </w:pPr>
    </w:p>
    <w:p w:rsidR="00D34615" w:rsidRPr="000302C1" w:rsidRDefault="00D34615" w:rsidP="00D34615">
      <w:pPr>
        <w:jc w:val="center"/>
      </w:pPr>
      <w:r w:rsidRPr="000302C1">
        <w:rPr>
          <w:noProof/>
        </w:rPr>
        <w:drawing>
          <wp:inline distT="0" distB="0" distL="0" distR="0" wp14:anchorId="7A06A7B8" wp14:editId="6C5D34AD">
            <wp:extent cx="4572638" cy="3429479"/>
            <wp:effectExtent l="19050" t="19050" r="18415"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572638" cy="3429479"/>
                    </a:xfrm>
                    <a:prstGeom prst="rect">
                      <a:avLst/>
                    </a:prstGeom>
                    <a:ln>
                      <a:solidFill>
                        <a:schemeClr val="tx1"/>
                      </a:solidFill>
                    </a:ln>
                  </pic:spPr>
                </pic:pic>
              </a:graphicData>
            </a:graphic>
          </wp:inline>
        </w:drawing>
      </w:r>
    </w:p>
    <w:p w:rsidR="00D34615" w:rsidRPr="000302C1" w:rsidRDefault="00D34615" w:rsidP="00D34615">
      <w:pPr>
        <w:jc w:val="center"/>
      </w:pPr>
    </w:p>
    <w:p w:rsidR="00D34615" w:rsidRPr="000302C1" w:rsidRDefault="00D34615" w:rsidP="00D34615">
      <w:pPr>
        <w:jc w:val="center"/>
      </w:pPr>
    </w:p>
    <w:p w:rsidR="00D34615" w:rsidRPr="000302C1" w:rsidRDefault="00D34615" w:rsidP="00D34615">
      <w:pPr>
        <w:jc w:val="center"/>
      </w:pPr>
      <w:r w:rsidRPr="000302C1">
        <w:rPr>
          <w:noProof/>
        </w:rPr>
        <w:drawing>
          <wp:inline distT="0" distB="0" distL="0" distR="0" wp14:anchorId="4EBAD459" wp14:editId="70712BC7">
            <wp:extent cx="4572638" cy="3429479"/>
            <wp:effectExtent l="19050" t="19050" r="18415"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572638" cy="3429479"/>
                    </a:xfrm>
                    <a:prstGeom prst="rect">
                      <a:avLst/>
                    </a:prstGeom>
                    <a:ln>
                      <a:solidFill>
                        <a:schemeClr val="tx1"/>
                      </a:solidFill>
                    </a:ln>
                  </pic:spPr>
                </pic:pic>
              </a:graphicData>
            </a:graphic>
          </wp:inline>
        </w:drawing>
      </w:r>
    </w:p>
    <w:p w:rsidR="00D34615" w:rsidRPr="000302C1" w:rsidRDefault="00D34615" w:rsidP="00D34615">
      <w:pPr>
        <w:jc w:val="center"/>
      </w:pPr>
    </w:p>
    <w:p w:rsidR="00D34615" w:rsidRPr="000302C1" w:rsidRDefault="00D34615" w:rsidP="00D34615">
      <w:pPr>
        <w:jc w:val="center"/>
      </w:pPr>
    </w:p>
    <w:p w:rsidR="00D34615" w:rsidRPr="000302C1" w:rsidRDefault="00D34615" w:rsidP="00D34615">
      <w:pPr>
        <w:jc w:val="center"/>
      </w:pPr>
    </w:p>
    <w:p w:rsidR="00D34615" w:rsidRDefault="00D34615" w:rsidP="00D34615">
      <w:pPr>
        <w:jc w:val="left"/>
      </w:pPr>
      <w:r>
        <w:br w:type="page"/>
      </w:r>
    </w:p>
    <w:p w:rsidR="00D34615" w:rsidRDefault="00D34615" w:rsidP="00D34615">
      <w:pPr>
        <w:jc w:val="center"/>
      </w:pPr>
    </w:p>
    <w:p w:rsidR="00D34615" w:rsidRPr="000302C1" w:rsidRDefault="00D34615" w:rsidP="00D34615">
      <w:pPr>
        <w:jc w:val="center"/>
      </w:pPr>
    </w:p>
    <w:p w:rsidR="00D34615" w:rsidRPr="000302C1" w:rsidRDefault="00D34615" w:rsidP="00D34615">
      <w:pPr>
        <w:jc w:val="center"/>
      </w:pPr>
      <w:r w:rsidRPr="000302C1">
        <w:rPr>
          <w:noProof/>
        </w:rPr>
        <w:drawing>
          <wp:inline distT="0" distB="0" distL="0" distR="0" wp14:anchorId="40A95C24" wp14:editId="3C40ABD1">
            <wp:extent cx="5391302" cy="4043477"/>
            <wp:effectExtent l="19050" t="19050" r="19050" b="146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392054" cy="4044041"/>
                    </a:xfrm>
                    <a:prstGeom prst="rect">
                      <a:avLst/>
                    </a:prstGeom>
                    <a:ln>
                      <a:solidFill>
                        <a:schemeClr val="tx1"/>
                      </a:solidFill>
                    </a:ln>
                  </pic:spPr>
                </pic:pic>
              </a:graphicData>
            </a:graphic>
          </wp:inline>
        </w:drawing>
      </w:r>
    </w:p>
    <w:p w:rsidR="00D34615" w:rsidRPr="000302C1" w:rsidRDefault="00D34615" w:rsidP="00D34615">
      <w:pPr>
        <w:jc w:val="center"/>
      </w:pPr>
    </w:p>
    <w:p w:rsidR="00D34615" w:rsidRPr="000302C1" w:rsidRDefault="00D34615" w:rsidP="00D34615">
      <w:pPr>
        <w:jc w:val="center"/>
      </w:pPr>
    </w:p>
    <w:p w:rsidR="00D34615" w:rsidRPr="000302C1" w:rsidRDefault="00D34615" w:rsidP="00D34615">
      <w:pPr>
        <w:jc w:val="center"/>
      </w:pPr>
      <w:r w:rsidRPr="000302C1">
        <w:rPr>
          <w:noProof/>
        </w:rPr>
        <w:drawing>
          <wp:inline distT="0" distB="0" distL="0" distR="0" wp14:anchorId="180C497E" wp14:editId="2A6C3513">
            <wp:extent cx="5391302" cy="4043477"/>
            <wp:effectExtent l="19050" t="19050" r="19050" b="146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392054" cy="4044041"/>
                    </a:xfrm>
                    <a:prstGeom prst="rect">
                      <a:avLst/>
                    </a:prstGeom>
                    <a:ln>
                      <a:solidFill>
                        <a:schemeClr val="tx1"/>
                      </a:solidFill>
                    </a:ln>
                  </pic:spPr>
                </pic:pic>
              </a:graphicData>
            </a:graphic>
          </wp:inline>
        </w:drawing>
      </w:r>
    </w:p>
    <w:p w:rsidR="00D34615" w:rsidRPr="000302C1" w:rsidRDefault="00D34615" w:rsidP="00D34615">
      <w:pPr>
        <w:jc w:val="center"/>
      </w:pPr>
    </w:p>
    <w:p w:rsidR="00D34615" w:rsidRPr="000302C1" w:rsidRDefault="00D34615" w:rsidP="00D34615">
      <w:pPr>
        <w:jc w:val="center"/>
      </w:pPr>
    </w:p>
    <w:p w:rsidR="00D34615" w:rsidRDefault="00D34615" w:rsidP="00D34615">
      <w:pPr>
        <w:jc w:val="left"/>
      </w:pPr>
      <w:r>
        <w:br w:type="page"/>
      </w:r>
    </w:p>
    <w:p w:rsidR="00D34615" w:rsidRDefault="00D34615" w:rsidP="00D34615">
      <w:pPr>
        <w:jc w:val="center"/>
      </w:pPr>
    </w:p>
    <w:p w:rsidR="00D34615" w:rsidRPr="000302C1" w:rsidRDefault="00D34615" w:rsidP="00D34615">
      <w:pPr>
        <w:jc w:val="center"/>
      </w:pPr>
    </w:p>
    <w:p w:rsidR="00D34615" w:rsidRPr="000302C1" w:rsidRDefault="00D34615" w:rsidP="00D34615">
      <w:pPr>
        <w:jc w:val="center"/>
      </w:pPr>
      <w:r w:rsidRPr="000302C1">
        <w:rPr>
          <w:noProof/>
        </w:rPr>
        <w:drawing>
          <wp:inline distT="0" distB="0" distL="0" distR="0" wp14:anchorId="143CECA0" wp14:editId="004E7DFC">
            <wp:extent cx="5398617" cy="4048963"/>
            <wp:effectExtent l="19050" t="19050" r="12065" b="279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399370" cy="4049528"/>
                    </a:xfrm>
                    <a:prstGeom prst="rect">
                      <a:avLst/>
                    </a:prstGeom>
                    <a:ln>
                      <a:solidFill>
                        <a:schemeClr val="tx1"/>
                      </a:solidFill>
                    </a:ln>
                  </pic:spPr>
                </pic:pic>
              </a:graphicData>
            </a:graphic>
          </wp:inline>
        </w:drawing>
      </w:r>
    </w:p>
    <w:p w:rsidR="00D34615" w:rsidRPr="000302C1" w:rsidRDefault="00D34615" w:rsidP="00D34615">
      <w:pPr>
        <w:jc w:val="center"/>
      </w:pPr>
    </w:p>
    <w:p w:rsidR="00D34615" w:rsidRPr="000302C1" w:rsidRDefault="00D34615" w:rsidP="00D34615">
      <w:pPr>
        <w:jc w:val="center"/>
      </w:pPr>
    </w:p>
    <w:p w:rsidR="00D34615" w:rsidRPr="000302C1" w:rsidRDefault="00D34615" w:rsidP="00D34615">
      <w:pPr>
        <w:jc w:val="center"/>
      </w:pPr>
      <w:r w:rsidRPr="000302C1">
        <w:rPr>
          <w:noProof/>
        </w:rPr>
        <w:drawing>
          <wp:inline distT="0" distB="0" distL="0" distR="0" wp14:anchorId="5E43E770" wp14:editId="6E12AB0C">
            <wp:extent cx="4572638" cy="3429479"/>
            <wp:effectExtent l="19050" t="19050" r="18415" b="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572638" cy="3429479"/>
                    </a:xfrm>
                    <a:prstGeom prst="rect">
                      <a:avLst/>
                    </a:prstGeom>
                    <a:ln>
                      <a:solidFill>
                        <a:schemeClr val="tx1"/>
                      </a:solidFill>
                    </a:ln>
                  </pic:spPr>
                </pic:pic>
              </a:graphicData>
            </a:graphic>
          </wp:inline>
        </w:drawing>
      </w:r>
    </w:p>
    <w:p w:rsidR="00D34615" w:rsidRPr="000302C1" w:rsidRDefault="00D34615" w:rsidP="00D34615">
      <w:pPr>
        <w:jc w:val="center"/>
      </w:pPr>
    </w:p>
    <w:p w:rsidR="00D34615" w:rsidRPr="000302C1" w:rsidRDefault="00D34615" w:rsidP="00D34615">
      <w:pPr>
        <w:jc w:val="center"/>
      </w:pPr>
    </w:p>
    <w:p w:rsidR="00D34615" w:rsidRDefault="00D34615" w:rsidP="00D34615">
      <w:pPr>
        <w:jc w:val="left"/>
      </w:pPr>
      <w:r>
        <w:br w:type="page"/>
      </w:r>
    </w:p>
    <w:p w:rsidR="00D34615" w:rsidRPr="000302C1" w:rsidRDefault="00D34615" w:rsidP="00D34615">
      <w:pPr>
        <w:jc w:val="center"/>
      </w:pPr>
    </w:p>
    <w:p w:rsidR="00D34615" w:rsidRPr="000302C1" w:rsidRDefault="00D34615" w:rsidP="00D34615">
      <w:pPr>
        <w:jc w:val="center"/>
      </w:pPr>
    </w:p>
    <w:p w:rsidR="00D34615" w:rsidRPr="000302C1" w:rsidRDefault="00D34615" w:rsidP="00D34615">
      <w:pPr>
        <w:jc w:val="center"/>
      </w:pPr>
      <w:r w:rsidRPr="000302C1">
        <w:rPr>
          <w:noProof/>
        </w:rPr>
        <w:drawing>
          <wp:inline distT="0" distB="0" distL="0" distR="0" wp14:anchorId="5D38E125" wp14:editId="6A2236F5">
            <wp:extent cx="4572638" cy="3429479"/>
            <wp:effectExtent l="19050" t="19050" r="18415"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572638" cy="3429479"/>
                    </a:xfrm>
                    <a:prstGeom prst="rect">
                      <a:avLst/>
                    </a:prstGeom>
                    <a:ln>
                      <a:solidFill>
                        <a:schemeClr val="tx1"/>
                      </a:solidFill>
                    </a:ln>
                  </pic:spPr>
                </pic:pic>
              </a:graphicData>
            </a:graphic>
          </wp:inline>
        </w:drawing>
      </w:r>
    </w:p>
    <w:p w:rsidR="00D34615" w:rsidRPr="000302C1" w:rsidRDefault="00D34615" w:rsidP="00D34615">
      <w:pPr>
        <w:jc w:val="center"/>
      </w:pPr>
    </w:p>
    <w:p w:rsidR="00D34615" w:rsidRPr="000302C1" w:rsidRDefault="00D34615" w:rsidP="00D34615">
      <w:pPr>
        <w:jc w:val="center"/>
      </w:pPr>
    </w:p>
    <w:p w:rsidR="00D34615" w:rsidRPr="000302C1" w:rsidRDefault="00D34615" w:rsidP="00D34615">
      <w:pPr>
        <w:jc w:val="center"/>
      </w:pPr>
      <w:r w:rsidRPr="000302C1">
        <w:rPr>
          <w:noProof/>
        </w:rPr>
        <w:drawing>
          <wp:inline distT="0" distB="0" distL="0" distR="0" wp14:anchorId="3DA35222" wp14:editId="3D92C93B">
            <wp:extent cx="4572638" cy="3429479"/>
            <wp:effectExtent l="19050" t="19050" r="18415" b="190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572638" cy="3429479"/>
                    </a:xfrm>
                    <a:prstGeom prst="rect">
                      <a:avLst/>
                    </a:prstGeom>
                    <a:ln>
                      <a:solidFill>
                        <a:schemeClr val="tx1"/>
                      </a:solidFill>
                    </a:ln>
                  </pic:spPr>
                </pic:pic>
              </a:graphicData>
            </a:graphic>
          </wp:inline>
        </w:drawing>
      </w:r>
    </w:p>
    <w:p w:rsidR="00D34615" w:rsidRPr="000302C1" w:rsidRDefault="00D34615" w:rsidP="00D34615">
      <w:pPr>
        <w:jc w:val="center"/>
      </w:pPr>
    </w:p>
    <w:p w:rsidR="00D34615" w:rsidRPr="000302C1" w:rsidRDefault="00D34615" w:rsidP="00D34615">
      <w:pPr>
        <w:jc w:val="center"/>
      </w:pPr>
    </w:p>
    <w:p w:rsidR="00D34615" w:rsidRDefault="00D34615" w:rsidP="00D34615">
      <w:pPr>
        <w:jc w:val="left"/>
      </w:pPr>
      <w:r>
        <w:br w:type="page"/>
      </w:r>
    </w:p>
    <w:p w:rsidR="00D34615" w:rsidRPr="000302C1" w:rsidRDefault="00D34615" w:rsidP="00D34615">
      <w:pPr>
        <w:jc w:val="center"/>
      </w:pPr>
    </w:p>
    <w:p w:rsidR="00D34615" w:rsidRPr="000302C1" w:rsidRDefault="00D34615" w:rsidP="00D34615">
      <w:pPr>
        <w:jc w:val="center"/>
      </w:pPr>
    </w:p>
    <w:p w:rsidR="00D34615" w:rsidRPr="000302C1" w:rsidRDefault="00D34615" w:rsidP="00D34615">
      <w:pPr>
        <w:jc w:val="center"/>
      </w:pPr>
      <w:r w:rsidRPr="000302C1">
        <w:rPr>
          <w:noProof/>
        </w:rPr>
        <w:drawing>
          <wp:inline distT="0" distB="0" distL="0" distR="0" wp14:anchorId="433E9EF8" wp14:editId="54657552">
            <wp:extent cx="5405932" cy="4054449"/>
            <wp:effectExtent l="19050" t="19050" r="23495" b="2286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406686" cy="4055015"/>
                    </a:xfrm>
                    <a:prstGeom prst="rect">
                      <a:avLst/>
                    </a:prstGeom>
                    <a:ln>
                      <a:solidFill>
                        <a:schemeClr val="tx1"/>
                      </a:solidFill>
                    </a:ln>
                  </pic:spPr>
                </pic:pic>
              </a:graphicData>
            </a:graphic>
          </wp:inline>
        </w:drawing>
      </w:r>
    </w:p>
    <w:p w:rsidR="00D34615" w:rsidRPr="000302C1" w:rsidRDefault="00D34615" w:rsidP="00D34615">
      <w:pPr>
        <w:jc w:val="center"/>
      </w:pPr>
    </w:p>
    <w:p w:rsidR="00D34615" w:rsidRPr="000302C1" w:rsidRDefault="00D34615" w:rsidP="00D34615">
      <w:pPr>
        <w:jc w:val="center"/>
      </w:pPr>
    </w:p>
    <w:p w:rsidR="00D34615" w:rsidRPr="000302C1" w:rsidRDefault="00D34615" w:rsidP="00D34615">
      <w:pPr>
        <w:jc w:val="center"/>
      </w:pPr>
      <w:r w:rsidRPr="000302C1">
        <w:rPr>
          <w:noProof/>
        </w:rPr>
        <w:drawing>
          <wp:inline distT="0" distB="0" distL="0" distR="0" wp14:anchorId="5352B3D6" wp14:editId="26CA0BE9">
            <wp:extent cx="5405932" cy="4054449"/>
            <wp:effectExtent l="19050" t="19050" r="23495" b="2286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406686" cy="4055015"/>
                    </a:xfrm>
                    <a:prstGeom prst="rect">
                      <a:avLst/>
                    </a:prstGeom>
                    <a:ln>
                      <a:solidFill>
                        <a:schemeClr val="tx1"/>
                      </a:solidFill>
                    </a:ln>
                  </pic:spPr>
                </pic:pic>
              </a:graphicData>
            </a:graphic>
          </wp:inline>
        </w:drawing>
      </w:r>
    </w:p>
    <w:p w:rsidR="00D34615" w:rsidRPr="000302C1" w:rsidRDefault="00D34615" w:rsidP="00D34615">
      <w:pPr>
        <w:jc w:val="center"/>
      </w:pPr>
    </w:p>
    <w:p w:rsidR="00D34615" w:rsidRDefault="00D34615" w:rsidP="00D34615">
      <w:pPr>
        <w:jc w:val="left"/>
      </w:pPr>
      <w:r>
        <w:br w:type="page"/>
      </w:r>
    </w:p>
    <w:p w:rsidR="00D34615" w:rsidRPr="000302C1" w:rsidRDefault="00D34615" w:rsidP="00D34615">
      <w:pPr>
        <w:jc w:val="center"/>
      </w:pPr>
    </w:p>
    <w:p w:rsidR="00D34615" w:rsidRPr="000302C1" w:rsidRDefault="00D34615" w:rsidP="00D34615">
      <w:pPr>
        <w:jc w:val="center"/>
      </w:pPr>
    </w:p>
    <w:p w:rsidR="00D34615" w:rsidRPr="000302C1" w:rsidRDefault="00D34615" w:rsidP="00D34615">
      <w:pPr>
        <w:jc w:val="center"/>
      </w:pPr>
      <w:r w:rsidRPr="000302C1">
        <w:rPr>
          <w:noProof/>
        </w:rPr>
        <w:drawing>
          <wp:inline distT="0" distB="0" distL="0" distR="0" wp14:anchorId="3037A417" wp14:editId="619ED3E8">
            <wp:extent cx="5391302" cy="4043477"/>
            <wp:effectExtent l="19050" t="19050" r="19050" b="146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392054" cy="4044041"/>
                    </a:xfrm>
                    <a:prstGeom prst="rect">
                      <a:avLst/>
                    </a:prstGeom>
                    <a:ln>
                      <a:solidFill>
                        <a:schemeClr val="tx1"/>
                      </a:solidFill>
                    </a:ln>
                  </pic:spPr>
                </pic:pic>
              </a:graphicData>
            </a:graphic>
          </wp:inline>
        </w:drawing>
      </w:r>
    </w:p>
    <w:p w:rsidR="00D34615" w:rsidRPr="000302C1" w:rsidRDefault="00D34615" w:rsidP="00D34615">
      <w:pPr>
        <w:jc w:val="center"/>
      </w:pPr>
    </w:p>
    <w:p w:rsidR="00D34615" w:rsidRPr="000302C1" w:rsidRDefault="00D34615" w:rsidP="00D34615">
      <w:pPr>
        <w:jc w:val="center"/>
      </w:pPr>
    </w:p>
    <w:p w:rsidR="00D34615" w:rsidRPr="000302C1" w:rsidRDefault="00D34615" w:rsidP="00D34615">
      <w:pPr>
        <w:jc w:val="center"/>
      </w:pPr>
      <w:r w:rsidRPr="000302C1">
        <w:rPr>
          <w:noProof/>
        </w:rPr>
        <w:drawing>
          <wp:inline distT="0" distB="0" distL="0" distR="0" wp14:anchorId="2534450C" wp14:editId="6149A810">
            <wp:extent cx="5391302" cy="4043477"/>
            <wp:effectExtent l="19050" t="19050" r="19050" b="146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392054" cy="4044041"/>
                    </a:xfrm>
                    <a:prstGeom prst="rect">
                      <a:avLst/>
                    </a:prstGeom>
                    <a:ln>
                      <a:solidFill>
                        <a:schemeClr val="tx1"/>
                      </a:solidFill>
                    </a:ln>
                  </pic:spPr>
                </pic:pic>
              </a:graphicData>
            </a:graphic>
          </wp:inline>
        </w:drawing>
      </w:r>
    </w:p>
    <w:p w:rsidR="00D34615" w:rsidRPr="000302C1" w:rsidRDefault="00D34615" w:rsidP="00D34615">
      <w:pPr>
        <w:jc w:val="center"/>
      </w:pPr>
    </w:p>
    <w:p w:rsidR="00D34615" w:rsidRDefault="00D34615" w:rsidP="00D34615">
      <w:pPr>
        <w:jc w:val="left"/>
      </w:pPr>
      <w:r>
        <w:br w:type="page"/>
      </w:r>
    </w:p>
    <w:p w:rsidR="00D34615" w:rsidRDefault="00D34615" w:rsidP="00D34615">
      <w:pPr>
        <w:jc w:val="center"/>
      </w:pPr>
    </w:p>
    <w:p w:rsidR="00D34615" w:rsidRPr="000302C1" w:rsidRDefault="00D34615" w:rsidP="00D34615">
      <w:pPr>
        <w:jc w:val="center"/>
      </w:pPr>
    </w:p>
    <w:p w:rsidR="00D34615" w:rsidRPr="000302C1" w:rsidRDefault="00D34615" w:rsidP="00D34615">
      <w:pPr>
        <w:jc w:val="center"/>
      </w:pPr>
      <w:r w:rsidRPr="000302C1">
        <w:rPr>
          <w:noProof/>
        </w:rPr>
        <w:drawing>
          <wp:inline distT="0" distB="0" distL="0" distR="0" wp14:anchorId="61C14B52" wp14:editId="4F737D01">
            <wp:extent cx="5398617" cy="4048963"/>
            <wp:effectExtent l="19050" t="19050" r="12065" b="279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399370" cy="4049528"/>
                    </a:xfrm>
                    <a:prstGeom prst="rect">
                      <a:avLst/>
                    </a:prstGeom>
                    <a:ln>
                      <a:solidFill>
                        <a:schemeClr val="tx1"/>
                      </a:solidFill>
                    </a:ln>
                  </pic:spPr>
                </pic:pic>
              </a:graphicData>
            </a:graphic>
          </wp:inline>
        </w:drawing>
      </w:r>
    </w:p>
    <w:p w:rsidR="00D34615" w:rsidRPr="000302C1" w:rsidRDefault="00D34615" w:rsidP="00D34615">
      <w:pPr>
        <w:jc w:val="center"/>
      </w:pPr>
    </w:p>
    <w:p w:rsidR="00D34615" w:rsidRPr="000302C1" w:rsidRDefault="00D34615" w:rsidP="00D34615">
      <w:pPr>
        <w:jc w:val="center"/>
      </w:pPr>
    </w:p>
    <w:p w:rsidR="00D34615" w:rsidRPr="000302C1" w:rsidRDefault="00D34615" w:rsidP="00D34615">
      <w:pPr>
        <w:jc w:val="center"/>
      </w:pPr>
      <w:r w:rsidRPr="000302C1">
        <w:rPr>
          <w:noProof/>
        </w:rPr>
        <w:drawing>
          <wp:inline distT="0" distB="0" distL="0" distR="0" wp14:anchorId="1C8F5EA4" wp14:editId="432E73CC">
            <wp:extent cx="5442508" cy="4081881"/>
            <wp:effectExtent l="19050" t="19050" r="25400" b="139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443267" cy="4082451"/>
                    </a:xfrm>
                    <a:prstGeom prst="rect">
                      <a:avLst/>
                    </a:prstGeom>
                    <a:ln>
                      <a:solidFill>
                        <a:schemeClr val="tx1"/>
                      </a:solidFill>
                    </a:ln>
                  </pic:spPr>
                </pic:pic>
              </a:graphicData>
            </a:graphic>
          </wp:inline>
        </w:drawing>
      </w:r>
    </w:p>
    <w:p w:rsidR="00D34615" w:rsidRPr="000302C1" w:rsidRDefault="00D34615" w:rsidP="00D34615">
      <w:pPr>
        <w:jc w:val="center"/>
      </w:pPr>
    </w:p>
    <w:p w:rsidR="0032181E" w:rsidRPr="00125B80" w:rsidRDefault="00D34615" w:rsidP="00D34615">
      <w:pPr>
        <w:jc w:val="right"/>
        <w:rPr>
          <w:lang w:val="fr-FR"/>
        </w:rPr>
      </w:pPr>
      <w:r w:rsidRPr="00125B80">
        <w:rPr>
          <w:lang w:val="fr-FR"/>
        </w:rPr>
        <w:t xml:space="preserve"> </w:t>
      </w:r>
      <w:r w:rsidR="002C4998" w:rsidRPr="00125B80">
        <w:rPr>
          <w:lang w:val="fr-FR"/>
        </w:rPr>
        <w:t>[Fin</w:t>
      </w:r>
      <w:r w:rsidR="00125B80" w:rsidRPr="00125B80">
        <w:rPr>
          <w:lang w:val="fr-FR"/>
        </w:rPr>
        <w:t xml:space="preserve"> de l’annexe III et</w:t>
      </w:r>
      <w:r w:rsidR="002C4998" w:rsidRPr="00125B80">
        <w:rPr>
          <w:lang w:val="fr-FR"/>
        </w:rPr>
        <w:t xml:space="preserve"> du </w:t>
      </w:r>
      <w:r w:rsidR="0032181E" w:rsidRPr="00125B80">
        <w:rPr>
          <w:lang w:val="fr-FR"/>
        </w:rPr>
        <w:t>document]</w:t>
      </w:r>
      <w:bookmarkEnd w:id="5"/>
    </w:p>
    <w:sectPr w:rsidR="0032181E" w:rsidRPr="00125B80" w:rsidSect="00032D7E">
      <w:headerReference w:type="default" r:id="rId37"/>
      <w:headerReference w:type="first" r:id="rId38"/>
      <w:pgSz w:w="11907" w:h="16840" w:code="9"/>
      <w:pgMar w:top="510" w:right="1134" w:bottom="993"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F43" w:rsidRDefault="00720F43" w:rsidP="006655D3">
      <w:r>
        <w:separator/>
      </w:r>
    </w:p>
    <w:p w:rsidR="00720F43" w:rsidRDefault="00720F43" w:rsidP="006655D3"/>
    <w:p w:rsidR="00720F43" w:rsidRDefault="00720F43" w:rsidP="006655D3"/>
  </w:endnote>
  <w:endnote w:type="continuationSeparator" w:id="0">
    <w:p w:rsidR="00720F43" w:rsidRDefault="00720F43" w:rsidP="006655D3">
      <w:r>
        <w:separator/>
      </w:r>
    </w:p>
    <w:p w:rsidR="00720F43" w:rsidRPr="00BF4661" w:rsidRDefault="00720F43">
      <w:pPr>
        <w:pStyle w:val="Footer"/>
        <w:spacing w:after="60"/>
        <w:rPr>
          <w:sz w:val="18"/>
          <w:lang w:val="fr-FR"/>
        </w:rPr>
      </w:pPr>
      <w:r w:rsidRPr="00BF4661">
        <w:rPr>
          <w:sz w:val="18"/>
          <w:lang w:val="fr-FR"/>
        </w:rPr>
        <w:t>[Suite de la note de la page précédente]</w:t>
      </w:r>
    </w:p>
    <w:p w:rsidR="00720F43" w:rsidRPr="00BF4661" w:rsidRDefault="00720F43" w:rsidP="006655D3">
      <w:pPr>
        <w:rPr>
          <w:lang w:val="fr-FR"/>
        </w:rPr>
      </w:pPr>
    </w:p>
    <w:p w:rsidR="00720F43" w:rsidRPr="00BF4661" w:rsidRDefault="00720F43" w:rsidP="006655D3">
      <w:pPr>
        <w:rPr>
          <w:lang w:val="fr-FR"/>
        </w:rPr>
      </w:pPr>
    </w:p>
  </w:endnote>
  <w:endnote w:type="continuationNotice" w:id="1">
    <w:p w:rsidR="00720F43" w:rsidRPr="00BF4661" w:rsidRDefault="00720F43" w:rsidP="006655D3">
      <w:pPr>
        <w:rPr>
          <w:lang w:val="fr-FR"/>
        </w:rPr>
      </w:pPr>
      <w:r w:rsidRPr="00BF4661">
        <w:rPr>
          <w:lang w:val="fr-FR"/>
        </w:rPr>
        <w:t>[Suite de la note page suivante]</w:t>
      </w:r>
    </w:p>
    <w:p w:rsidR="00720F43" w:rsidRPr="00BF4661" w:rsidRDefault="00720F43" w:rsidP="006655D3">
      <w:pPr>
        <w:rPr>
          <w:lang w:val="fr-FR"/>
        </w:rPr>
      </w:pPr>
    </w:p>
    <w:p w:rsidR="00720F43" w:rsidRPr="00BF4661" w:rsidRDefault="00720F4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1E" w:rsidRPr="003628F7" w:rsidRDefault="0032181E" w:rsidP="003628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676" w:rsidRPr="002C4998" w:rsidRDefault="00295676" w:rsidP="002C49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F43" w:rsidRDefault="00720F43" w:rsidP="006655D3">
      <w:r>
        <w:separator/>
      </w:r>
    </w:p>
  </w:footnote>
  <w:footnote w:type="continuationSeparator" w:id="0">
    <w:p w:rsidR="00720F43" w:rsidRDefault="00720F43" w:rsidP="006655D3">
      <w:r>
        <w:separator/>
      </w:r>
    </w:p>
  </w:footnote>
  <w:footnote w:type="continuationNotice" w:id="1">
    <w:p w:rsidR="00720F43" w:rsidRPr="00AB530F" w:rsidRDefault="00720F4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D7E" w:rsidRDefault="00032D7E">
    <w:pPr>
      <w:pStyle w:val="Header"/>
    </w:pPr>
    <w:r>
      <w:t>TC/52/20</w:t>
    </w:r>
  </w:p>
  <w:p w:rsidR="00032D7E" w:rsidRDefault="00032D7E">
    <w:pPr>
      <w:pStyle w:val="Header"/>
    </w:pPr>
    <w:r>
      <w:t xml:space="preserve">page </w:t>
    </w:r>
    <w:sdt>
      <w:sdtPr>
        <w:id w:val="-87044807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E0139">
          <w:rPr>
            <w:noProof/>
          </w:rPr>
          <w:t>1</w:t>
        </w:r>
        <w:r>
          <w:rPr>
            <w:noProof/>
          </w:rPr>
          <w:fldChar w:fldCharType="end"/>
        </w:r>
      </w:sdtContent>
    </w:sdt>
  </w:p>
  <w:p w:rsidR="00032D7E" w:rsidRDefault="00032D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1E" w:rsidRDefault="0032181E" w:rsidP="00EB048E">
    <w:pPr>
      <w:pStyle w:val="Header"/>
    </w:pPr>
    <w:r>
      <w:t>TC/52/20</w:t>
    </w:r>
  </w:p>
  <w:p w:rsidR="0032181E" w:rsidRPr="00C5280D" w:rsidRDefault="0032181E" w:rsidP="00EB048E">
    <w:pPr>
      <w:pStyle w:val="Header"/>
    </w:pPr>
    <w:r>
      <w:t xml:space="preserve">Annexe 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3E0139">
      <w:rPr>
        <w:rStyle w:val="PageNumber"/>
        <w:noProof/>
      </w:rPr>
      <w:t>2</w:t>
    </w:r>
    <w:r w:rsidRPr="00C5280D">
      <w:rPr>
        <w:rStyle w:val="PageNumber"/>
      </w:rPr>
      <w:fldChar w:fldCharType="end"/>
    </w:r>
  </w:p>
  <w:p w:rsidR="0032181E" w:rsidRPr="00C5280D" w:rsidRDefault="0032181E" w:rsidP="00720F43">
    <w:pPr>
      <w:tabs>
        <w:tab w:val="left" w:pos="555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1E" w:rsidRDefault="0032181E" w:rsidP="00720F43">
    <w:pPr>
      <w:pStyle w:val="Header"/>
    </w:pPr>
    <w:r>
      <w:t>TC/52/20</w:t>
    </w:r>
  </w:p>
  <w:p w:rsidR="0032181E" w:rsidRDefault="0032181E" w:rsidP="00720F43">
    <w:pPr>
      <w:pStyle w:val="Header"/>
    </w:pPr>
  </w:p>
  <w:p w:rsidR="0032181E" w:rsidRPr="005C056F" w:rsidRDefault="0032181E" w:rsidP="00720F43">
    <w:pPr>
      <w:pStyle w:val="Header"/>
    </w:pPr>
    <w:r w:rsidRPr="005C056F">
      <w:t>ANNEX</w:t>
    </w:r>
    <w:r>
      <w:t>E</w:t>
    </w:r>
    <w:r w:rsidRPr="005C056F">
      <w:t xml:space="preserve"> I</w:t>
    </w:r>
  </w:p>
  <w:p w:rsidR="0032181E" w:rsidRPr="005C056F" w:rsidRDefault="0032181E" w:rsidP="00720F43">
    <w:pPr>
      <w:pStyle w:val="Header"/>
      <w:rPr>
        <w:rFonts w:eastAsia="MS Mincho"/>
        <w:lang w:eastAsia="ja-JP"/>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39" w:rsidRPr="00C5280D" w:rsidRDefault="00526139" w:rsidP="00EB048E">
    <w:pPr>
      <w:pStyle w:val="Header"/>
      <w:rPr>
        <w:rStyle w:val="PageNumber"/>
        <w:lang w:val="en-US"/>
      </w:rPr>
    </w:pPr>
    <w:r>
      <w:rPr>
        <w:rStyle w:val="PageNumber"/>
        <w:lang w:val="en-US"/>
      </w:rPr>
      <w:t>TC/52/20</w:t>
    </w:r>
  </w:p>
  <w:p w:rsidR="00526139" w:rsidRPr="00C5280D" w:rsidRDefault="0052613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E0139">
      <w:rPr>
        <w:rStyle w:val="PageNumber"/>
        <w:noProof/>
        <w:lang w:val="en-US"/>
      </w:rPr>
      <w:t>1</w:t>
    </w:r>
    <w:r w:rsidRPr="00C5280D">
      <w:rPr>
        <w:rStyle w:val="PageNumber"/>
        <w:lang w:val="en-US"/>
      </w:rPr>
      <w:fldChar w:fldCharType="end"/>
    </w:r>
  </w:p>
  <w:p w:rsidR="00526139" w:rsidRPr="00C5280D" w:rsidRDefault="00526139"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98" w:rsidRDefault="002C4998" w:rsidP="00720F43">
    <w:pPr>
      <w:pStyle w:val="Header"/>
    </w:pPr>
    <w:r>
      <w:t>TC/52/20</w:t>
    </w:r>
  </w:p>
  <w:p w:rsidR="002C4998" w:rsidRDefault="002C4998" w:rsidP="00720F43">
    <w:pPr>
      <w:pStyle w:val="Header"/>
    </w:pPr>
  </w:p>
  <w:p w:rsidR="002C4998" w:rsidRPr="005C056F" w:rsidRDefault="002C4998" w:rsidP="00720F43">
    <w:pPr>
      <w:pStyle w:val="Header"/>
    </w:pPr>
    <w:r w:rsidRPr="005C056F">
      <w:t>ANNEX</w:t>
    </w:r>
    <w:r>
      <w:t>E</w:t>
    </w:r>
    <w:r w:rsidRPr="005C056F">
      <w:t xml:space="preserve"> I</w:t>
    </w:r>
    <w:r w:rsidR="003F545F">
      <w:t>I</w:t>
    </w:r>
  </w:p>
  <w:p w:rsidR="002C4998" w:rsidRPr="005C056F" w:rsidRDefault="002C4998" w:rsidP="00720F43">
    <w:pPr>
      <w:pStyle w:val="Header"/>
      <w:rPr>
        <w:rFonts w:eastAsia="MS Mincho"/>
        <w:lang w:eastAsia="ja-JP"/>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98" w:rsidRPr="00C5280D" w:rsidRDefault="002C4998" w:rsidP="00EB048E">
    <w:pPr>
      <w:pStyle w:val="Header"/>
      <w:rPr>
        <w:rStyle w:val="PageNumber"/>
        <w:lang w:val="en-US"/>
      </w:rPr>
    </w:pPr>
    <w:r>
      <w:rPr>
        <w:rStyle w:val="PageNumber"/>
        <w:lang w:val="en-US"/>
      </w:rPr>
      <w:t>TC/52/20</w:t>
    </w:r>
  </w:p>
  <w:p w:rsidR="002C4998" w:rsidRPr="00C5280D" w:rsidRDefault="002C4998" w:rsidP="00EB048E">
    <w:pPr>
      <w:pStyle w:val="Header"/>
      <w:rPr>
        <w:lang w:val="en-US"/>
      </w:rPr>
    </w:pPr>
    <w:proofErr w:type="spellStart"/>
    <w:r>
      <w:rPr>
        <w:lang w:val="en-US"/>
      </w:rPr>
      <w:t>Annexe</w:t>
    </w:r>
    <w:proofErr w:type="spellEnd"/>
    <w:r>
      <w:rPr>
        <w:lang w:val="en-US"/>
      </w:rPr>
      <w:t xml:space="preserve">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E0139">
      <w:rPr>
        <w:rStyle w:val="PageNumber"/>
        <w:noProof/>
        <w:lang w:val="en-US"/>
      </w:rPr>
      <w:t>10</w:t>
    </w:r>
    <w:r w:rsidRPr="00C5280D">
      <w:rPr>
        <w:rStyle w:val="PageNumber"/>
        <w:lang w:val="en-US"/>
      </w:rPr>
      <w:fldChar w:fldCharType="end"/>
    </w:r>
  </w:p>
  <w:p w:rsidR="002C4998" w:rsidRPr="00C5280D" w:rsidRDefault="002C4998"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45F" w:rsidRDefault="003F545F" w:rsidP="00720F43">
    <w:pPr>
      <w:pStyle w:val="Header"/>
    </w:pPr>
    <w:r>
      <w:t>TC/52/20</w:t>
    </w:r>
  </w:p>
  <w:p w:rsidR="003F545F" w:rsidRDefault="003F545F" w:rsidP="00720F43">
    <w:pPr>
      <w:pStyle w:val="Header"/>
    </w:pPr>
  </w:p>
  <w:p w:rsidR="003F545F" w:rsidRPr="005C056F" w:rsidRDefault="003F545F" w:rsidP="00720F43">
    <w:pPr>
      <w:pStyle w:val="Header"/>
    </w:pPr>
    <w:r w:rsidRPr="005C056F">
      <w:t>ANNEX</w:t>
    </w:r>
    <w:r>
      <w:t>E</w:t>
    </w:r>
    <w:r w:rsidRPr="005C056F">
      <w:t xml:space="preserve"> I</w:t>
    </w:r>
    <w:r>
      <w:t>II</w:t>
    </w:r>
  </w:p>
  <w:p w:rsidR="003F545F" w:rsidRPr="005C056F" w:rsidRDefault="003F545F" w:rsidP="00720F43">
    <w:pPr>
      <w:pStyle w:val="Header"/>
      <w:rPr>
        <w:rFonts w:eastAsia="MS Mincho"/>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D3E39"/>
    <w:multiLevelType w:val="hybridMultilevel"/>
    <w:tmpl w:val="6E46F8A0"/>
    <w:lvl w:ilvl="0" w:tplc="0E4CF37C">
      <w:start w:val="1"/>
      <w:numFmt w:val="lowerLetter"/>
      <w:lvlText w:val="(%1)"/>
      <w:lvlJc w:val="left"/>
      <w:pPr>
        <w:ind w:left="5747" w:hanging="360"/>
      </w:pPr>
      <w:rPr>
        <w:rFonts w:hint="default"/>
      </w:rPr>
    </w:lvl>
    <w:lvl w:ilvl="1" w:tplc="04090019" w:tentative="1">
      <w:start w:val="1"/>
      <w:numFmt w:val="lowerLetter"/>
      <w:lvlText w:val="%2."/>
      <w:lvlJc w:val="left"/>
      <w:pPr>
        <w:ind w:left="6313" w:hanging="360"/>
      </w:pPr>
    </w:lvl>
    <w:lvl w:ilvl="2" w:tplc="0409001B" w:tentative="1">
      <w:start w:val="1"/>
      <w:numFmt w:val="lowerRoman"/>
      <w:lvlText w:val="%3."/>
      <w:lvlJc w:val="right"/>
      <w:pPr>
        <w:ind w:left="7033" w:hanging="180"/>
      </w:pPr>
    </w:lvl>
    <w:lvl w:ilvl="3" w:tplc="0409000F" w:tentative="1">
      <w:start w:val="1"/>
      <w:numFmt w:val="decimal"/>
      <w:lvlText w:val="%4."/>
      <w:lvlJc w:val="left"/>
      <w:pPr>
        <w:ind w:left="7753" w:hanging="360"/>
      </w:pPr>
    </w:lvl>
    <w:lvl w:ilvl="4" w:tplc="04090019" w:tentative="1">
      <w:start w:val="1"/>
      <w:numFmt w:val="lowerLetter"/>
      <w:lvlText w:val="%5."/>
      <w:lvlJc w:val="left"/>
      <w:pPr>
        <w:ind w:left="8473" w:hanging="360"/>
      </w:pPr>
    </w:lvl>
    <w:lvl w:ilvl="5" w:tplc="0409001B" w:tentative="1">
      <w:start w:val="1"/>
      <w:numFmt w:val="lowerRoman"/>
      <w:lvlText w:val="%6."/>
      <w:lvlJc w:val="right"/>
      <w:pPr>
        <w:ind w:left="9193" w:hanging="180"/>
      </w:pPr>
    </w:lvl>
    <w:lvl w:ilvl="6" w:tplc="0409000F" w:tentative="1">
      <w:start w:val="1"/>
      <w:numFmt w:val="decimal"/>
      <w:lvlText w:val="%7."/>
      <w:lvlJc w:val="left"/>
      <w:pPr>
        <w:ind w:left="9913" w:hanging="360"/>
      </w:pPr>
    </w:lvl>
    <w:lvl w:ilvl="7" w:tplc="04090019" w:tentative="1">
      <w:start w:val="1"/>
      <w:numFmt w:val="lowerLetter"/>
      <w:lvlText w:val="%8."/>
      <w:lvlJc w:val="left"/>
      <w:pPr>
        <w:ind w:left="10633" w:hanging="360"/>
      </w:pPr>
    </w:lvl>
    <w:lvl w:ilvl="8" w:tplc="0409001B" w:tentative="1">
      <w:start w:val="1"/>
      <w:numFmt w:val="lowerRoman"/>
      <w:lvlText w:val="%9."/>
      <w:lvlJc w:val="right"/>
      <w:pPr>
        <w:ind w:left="11353" w:hanging="180"/>
      </w:pPr>
    </w:lvl>
  </w:abstractNum>
  <w:abstractNum w:abstractNumId="1">
    <w:nsid w:val="6A574A55"/>
    <w:multiLevelType w:val="hybridMultilevel"/>
    <w:tmpl w:val="6E46F8A0"/>
    <w:lvl w:ilvl="0" w:tplc="0E4CF37C">
      <w:start w:val="1"/>
      <w:numFmt w:val="lowerLetter"/>
      <w:lvlText w:val="(%1)"/>
      <w:lvlJc w:val="left"/>
      <w:pPr>
        <w:ind w:left="5747" w:hanging="360"/>
      </w:pPr>
      <w:rPr>
        <w:rFonts w:hint="default"/>
      </w:rPr>
    </w:lvl>
    <w:lvl w:ilvl="1" w:tplc="04090019" w:tentative="1">
      <w:start w:val="1"/>
      <w:numFmt w:val="lowerLetter"/>
      <w:lvlText w:val="%2."/>
      <w:lvlJc w:val="left"/>
      <w:pPr>
        <w:ind w:left="6313" w:hanging="360"/>
      </w:pPr>
    </w:lvl>
    <w:lvl w:ilvl="2" w:tplc="0409001B" w:tentative="1">
      <w:start w:val="1"/>
      <w:numFmt w:val="lowerRoman"/>
      <w:lvlText w:val="%3."/>
      <w:lvlJc w:val="right"/>
      <w:pPr>
        <w:ind w:left="7033" w:hanging="180"/>
      </w:pPr>
    </w:lvl>
    <w:lvl w:ilvl="3" w:tplc="0409000F" w:tentative="1">
      <w:start w:val="1"/>
      <w:numFmt w:val="decimal"/>
      <w:lvlText w:val="%4."/>
      <w:lvlJc w:val="left"/>
      <w:pPr>
        <w:ind w:left="7753" w:hanging="360"/>
      </w:pPr>
    </w:lvl>
    <w:lvl w:ilvl="4" w:tplc="04090019" w:tentative="1">
      <w:start w:val="1"/>
      <w:numFmt w:val="lowerLetter"/>
      <w:lvlText w:val="%5."/>
      <w:lvlJc w:val="left"/>
      <w:pPr>
        <w:ind w:left="8473" w:hanging="360"/>
      </w:pPr>
    </w:lvl>
    <w:lvl w:ilvl="5" w:tplc="0409001B" w:tentative="1">
      <w:start w:val="1"/>
      <w:numFmt w:val="lowerRoman"/>
      <w:lvlText w:val="%6."/>
      <w:lvlJc w:val="right"/>
      <w:pPr>
        <w:ind w:left="9193" w:hanging="180"/>
      </w:pPr>
    </w:lvl>
    <w:lvl w:ilvl="6" w:tplc="0409000F" w:tentative="1">
      <w:start w:val="1"/>
      <w:numFmt w:val="decimal"/>
      <w:lvlText w:val="%7."/>
      <w:lvlJc w:val="left"/>
      <w:pPr>
        <w:ind w:left="9913" w:hanging="360"/>
      </w:pPr>
    </w:lvl>
    <w:lvl w:ilvl="7" w:tplc="04090019" w:tentative="1">
      <w:start w:val="1"/>
      <w:numFmt w:val="lowerLetter"/>
      <w:lvlText w:val="%8."/>
      <w:lvlJc w:val="left"/>
      <w:pPr>
        <w:ind w:left="10633" w:hanging="360"/>
      </w:pPr>
    </w:lvl>
    <w:lvl w:ilvl="8" w:tplc="0409001B" w:tentative="1">
      <w:start w:val="1"/>
      <w:numFmt w:val="lowerRoman"/>
      <w:lvlText w:val="%9."/>
      <w:lvlJc w:val="right"/>
      <w:pPr>
        <w:ind w:left="1135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Duplicates DB|WIPONew|UPOV_Beta|FTS_Glossary|TRADTERM"/>
    <w:docVar w:name="TermBaseURL" w:val="empty"/>
    <w:docVar w:name="TextBases" w:val="TextBase TMs\UPOV\Meetings|TextBase TMs\UPOV\Other|TextBase TMs\UPOV\Publications|TextBase TMs\UPOV\Technical Guidelines|TextBase TMs\Treaties\Model Laws|TextBase TMs\Treaties\Other Laws and Agreements|TextBase TMs\Treaties\WIPO-administered|TextBase TMs\Trademarks\Meetings|TextBase TMs\Trademarks\Other|TextBase TMs\Trademarks\Publications|TextBase TMs\Patents\Meetings|TextBase TMs\Patents\Other|TextBase TMs\Patents\Publications|TextBase TMs\IP in General\Academy|TextBase TMs\IP in General\Arbitration and Mediation|TextBase TMs\IP in General\Meetings|TextBase TMs\IP in General\Other|TextBase TMs\IP in General\Press Room|TextBase TMs\IP in General\Publications|TextBase TMs\IP in General\SpeechDG2014|TextBase TMs\Glossaries\EN-FR|TextBase TMs\Copyright\Meetings|TextBase TMs\Copyright\Other|TextBase TMs\Copyright\Publications|TextBase TMs\Budget and Finance\Meetings|TextBase TMs\Budget and Finance\Other|TextBase TMs\Budget and Finance\Publications|TextBase TMs\Administrative\Meetings|TextBase TMs\Administrative\Other|TextBase TMs\Administrative\Publications|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traités|TextBase TMs\WorkspaceFTS\EN-FR\UPOV|TextBase TMs\WorkspaceFTS\EN-FR\WO_CC|TextBase TMs\WorkspaceFTS\EN-FR\WO_GA|TextBase TMs\WorkspaceFTS\EN-FR\WO_PBC"/>
    <w:docVar w:name="TextBaseURL" w:val="empty"/>
    <w:docVar w:name="UILng" w:val="en"/>
  </w:docVars>
  <w:rsids>
    <w:rsidRoot w:val="00BF4661"/>
    <w:rsid w:val="00010CF3"/>
    <w:rsid w:val="00011E27"/>
    <w:rsid w:val="000148BC"/>
    <w:rsid w:val="00024AB8"/>
    <w:rsid w:val="00030854"/>
    <w:rsid w:val="00032D7E"/>
    <w:rsid w:val="00036028"/>
    <w:rsid w:val="00044642"/>
    <w:rsid w:val="000446B9"/>
    <w:rsid w:val="00047E21"/>
    <w:rsid w:val="00050E16"/>
    <w:rsid w:val="00085505"/>
    <w:rsid w:val="000A63AB"/>
    <w:rsid w:val="000C5373"/>
    <w:rsid w:val="000C7021"/>
    <w:rsid w:val="000D6BBC"/>
    <w:rsid w:val="000D7780"/>
    <w:rsid w:val="000E221B"/>
    <w:rsid w:val="000F2F11"/>
    <w:rsid w:val="00105929"/>
    <w:rsid w:val="001077A1"/>
    <w:rsid w:val="00110C36"/>
    <w:rsid w:val="001131D5"/>
    <w:rsid w:val="00125B80"/>
    <w:rsid w:val="00136934"/>
    <w:rsid w:val="00141DB8"/>
    <w:rsid w:val="00143660"/>
    <w:rsid w:val="00157224"/>
    <w:rsid w:val="0017474A"/>
    <w:rsid w:val="001758C6"/>
    <w:rsid w:val="00182B99"/>
    <w:rsid w:val="00184BBD"/>
    <w:rsid w:val="001C147A"/>
    <w:rsid w:val="001E45A6"/>
    <w:rsid w:val="001F1551"/>
    <w:rsid w:val="0021332C"/>
    <w:rsid w:val="00213982"/>
    <w:rsid w:val="0024416D"/>
    <w:rsid w:val="00254A58"/>
    <w:rsid w:val="00271911"/>
    <w:rsid w:val="002800A0"/>
    <w:rsid w:val="002801B3"/>
    <w:rsid w:val="00281060"/>
    <w:rsid w:val="00285DC9"/>
    <w:rsid w:val="002940E8"/>
    <w:rsid w:val="00295676"/>
    <w:rsid w:val="002A15A5"/>
    <w:rsid w:val="002A6E50"/>
    <w:rsid w:val="002C256A"/>
    <w:rsid w:val="002C4998"/>
    <w:rsid w:val="00305A7F"/>
    <w:rsid w:val="003152FE"/>
    <w:rsid w:val="0032181E"/>
    <w:rsid w:val="00327436"/>
    <w:rsid w:val="00344BD6"/>
    <w:rsid w:val="003551F1"/>
    <w:rsid w:val="0035528D"/>
    <w:rsid w:val="00361821"/>
    <w:rsid w:val="00366030"/>
    <w:rsid w:val="003A2653"/>
    <w:rsid w:val="003A66C9"/>
    <w:rsid w:val="003C0A78"/>
    <w:rsid w:val="003C34C1"/>
    <w:rsid w:val="003D227C"/>
    <w:rsid w:val="003D2B4D"/>
    <w:rsid w:val="003E0139"/>
    <w:rsid w:val="003F28B0"/>
    <w:rsid w:val="003F545F"/>
    <w:rsid w:val="00402B9F"/>
    <w:rsid w:val="004216DA"/>
    <w:rsid w:val="00444A88"/>
    <w:rsid w:val="00474DA4"/>
    <w:rsid w:val="00476B4D"/>
    <w:rsid w:val="004805FA"/>
    <w:rsid w:val="0048169C"/>
    <w:rsid w:val="004935D2"/>
    <w:rsid w:val="004B1215"/>
    <w:rsid w:val="004B44BE"/>
    <w:rsid w:val="004B6D31"/>
    <w:rsid w:val="004C0C5C"/>
    <w:rsid w:val="004D047D"/>
    <w:rsid w:val="004D79CF"/>
    <w:rsid w:val="004F0FF8"/>
    <w:rsid w:val="004F305A"/>
    <w:rsid w:val="00507A33"/>
    <w:rsid w:val="00512164"/>
    <w:rsid w:val="00514A8A"/>
    <w:rsid w:val="00516825"/>
    <w:rsid w:val="00520297"/>
    <w:rsid w:val="00526139"/>
    <w:rsid w:val="005338F9"/>
    <w:rsid w:val="005408F0"/>
    <w:rsid w:val="0054281C"/>
    <w:rsid w:val="00544581"/>
    <w:rsid w:val="0055268D"/>
    <w:rsid w:val="0057099E"/>
    <w:rsid w:val="00576BE4"/>
    <w:rsid w:val="0059463E"/>
    <w:rsid w:val="005A400A"/>
    <w:rsid w:val="005B35D0"/>
    <w:rsid w:val="005D0CEC"/>
    <w:rsid w:val="005F4E24"/>
    <w:rsid w:val="00612379"/>
    <w:rsid w:val="0061555F"/>
    <w:rsid w:val="00641200"/>
    <w:rsid w:val="006463C7"/>
    <w:rsid w:val="0065649C"/>
    <w:rsid w:val="006655D3"/>
    <w:rsid w:val="00666F98"/>
    <w:rsid w:val="00667404"/>
    <w:rsid w:val="00677F0B"/>
    <w:rsid w:val="00687EB4"/>
    <w:rsid w:val="006B17D2"/>
    <w:rsid w:val="006B71B2"/>
    <w:rsid w:val="006C087A"/>
    <w:rsid w:val="006C224E"/>
    <w:rsid w:val="006D0EBA"/>
    <w:rsid w:val="006D780A"/>
    <w:rsid w:val="006E3018"/>
    <w:rsid w:val="00710642"/>
    <w:rsid w:val="00720F43"/>
    <w:rsid w:val="00732DEC"/>
    <w:rsid w:val="00735BD5"/>
    <w:rsid w:val="0074415C"/>
    <w:rsid w:val="007556F6"/>
    <w:rsid w:val="00760EEF"/>
    <w:rsid w:val="0076215A"/>
    <w:rsid w:val="00762634"/>
    <w:rsid w:val="00775BB2"/>
    <w:rsid w:val="00777EE5"/>
    <w:rsid w:val="00784836"/>
    <w:rsid w:val="0079023E"/>
    <w:rsid w:val="00797CC9"/>
    <w:rsid w:val="007A2515"/>
    <w:rsid w:val="007A2854"/>
    <w:rsid w:val="007D0B9D"/>
    <w:rsid w:val="007D19B0"/>
    <w:rsid w:val="007F498F"/>
    <w:rsid w:val="0080679D"/>
    <w:rsid w:val="008108B0"/>
    <w:rsid w:val="00811B20"/>
    <w:rsid w:val="0082296E"/>
    <w:rsid w:val="00824099"/>
    <w:rsid w:val="00830374"/>
    <w:rsid w:val="008454A6"/>
    <w:rsid w:val="00846D7C"/>
    <w:rsid w:val="0086726D"/>
    <w:rsid w:val="00867AC1"/>
    <w:rsid w:val="00884009"/>
    <w:rsid w:val="008A743F"/>
    <w:rsid w:val="008C0970"/>
    <w:rsid w:val="008C0A0C"/>
    <w:rsid w:val="008D0BC5"/>
    <w:rsid w:val="008D2CF7"/>
    <w:rsid w:val="008D717E"/>
    <w:rsid w:val="008E1C47"/>
    <w:rsid w:val="008F5085"/>
    <w:rsid w:val="00900C26"/>
    <w:rsid w:val="0090197F"/>
    <w:rsid w:val="00906DDC"/>
    <w:rsid w:val="00914199"/>
    <w:rsid w:val="00934E09"/>
    <w:rsid w:val="00936253"/>
    <w:rsid w:val="009464A8"/>
    <w:rsid w:val="00951BEE"/>
    <w:rsid w:val="00952DD4"/>
    <w:rsid w:val="00954BDC"/>
    <w:rsid w:val="00957503"/>
    <w:rsid w:val="00970FED"/>
    <w:rsid w:val="009724B1"/>
    <w:rsid w:val="009738EA"/>
    <w:rsid w:val="00992D82"/>
    <w:rsid w:val="00997029"/>
    <w:rsid w:val="009A7580"/>
    <w:rsid w:val="009B440E"/>
    <w:rsid w:val="009D690D"/>
    <w:rsid w:val="009E65B6"/>
    <w:rsid w:val="00A00541"/>
    <w:rsid w:val="00A24C10"/>
    <w:rsid w:val="00A42AC3"/>
    <w:rsid w:val="00A430CF"/>
    <w:rsid w:val="00A52B4A"/>
    <w:rsid w:val="00A54309"/>
    <w:rsid w:val="00A71A99"/>
    <w:rsid w:val="00A94A47"/>
    <w:rsid w:val="00AB2B93"/>
    <w:rsid w:val="00AB530F"/>
    <w:rsid w:val="00AB7E5B"/>
    <w:rsid w:val="00AE0EF1"/>
    <w:rsid w:val="00AE2937"/>
    <w:rsid w:val="00B07301"/>
    <w:rsid w:val="00B224DE"/>
    <w:rsid w:val="00B324D4"/>
    <w:rsid w:val="00B376E5"/>
    <w:rsid w:val="00B46575"/>
    <w:rsid w:val="00B734BD"/>
    <w:rsid w:val="00B73675"/>
    <w:rsid w:val="00B84BBD"/>
    <w:rsid w:val="00BA43FB"/>
    <w:rsid w:val="00BC127D"/>
    <w:rsid w:val="00BC1FE6"/>
    <w:rsid w:val="00BC4C4D"/>
    <w:rsid w:val="00BD1FDB"/>
    <w:rsid w:val="00BF4661"/>
    <w:rsid w:val="00C061B6"/>
    <w:rsid w:val="00C2446C"/>
    <w:rsid w:val="00C3154B"/>
    <w:rsid w:val="00C36AE5"/>
    <w:rsid w:val="00C41F17"/>
    <w:rsid w:val="00C47E8F"/>
    <w:rsid w:val="00C47EFD"/>
    <w:rsid w:val="00C511D2"/>
    <w:rsid w:val="00C5280D"/>
    <w:rsid w:val="00C5791C"/>
    <w:rsid w:val="00C66290"/>
    <w:rsid w:val="00C72B7A"/>
    <w:rsid w:val="00C824BA"/>
    <w:rsid w:val="00C973F2"/>
    <w:rsid w:val="00CA304C"/>
    <w:rsid w:val="00CA59E0"/>
    <w:rsid w:val="00CA7332"/>
    <w:rsid w:val="00CA774A"/>
    <w:rsid w:val="00CB1142"/>
    <w:rsid w:val="00CB5191"/>
    <w:rsid w:val="00CC11B0"/>
    <w:rsid w:val="00CE466C"/>
    <w:rsid w:val="00CF7E36"/>
    <w:rsid w:val="00D34615"/>
    <w:rsid w:val="00D3708D"/>
    <w:rsid w:val="00D4034F"/>
    <w:rsid w:val="00D40426"/>
    <w:rsid w:val="00D579C7"/>
    <w:rsid w:val="00D57C96"/>
    <w:rsid w:val="00D6322F"/>
    <w:rsid w:val="00D63A9C"/>
    <w:rsid w:val="00D6448B"/>
    <w:rsid w:val="00D8441B"/>
    <w:rsid w:val="00D91203"/>
    <w:rsid w:val="00D95174"/>
    <w:rsid w:val="00DA6F36"/>
    <w:rsid w:val="00DB03CE"/>
    <w:rsid w:val="00DB596E"/>
    <w:rsid w:val="00DB7773"/>
    <w:rsid w:val="00DC00EA"/>
    <w:rsid w:val="00DD7375"/>
    <w:rsid w:val="00DF3E68"/>
    <w:rsid w:val="00E308CD"/>
    <w:rsid w:val="00E32F7E"/>
    <w:rsid w:val="00E508AA"/>
    <w:rsid w:val="00E72D49"/>
    <w:rsid w:val="00E7593C"/>
    <w:rsid w:val="00E7678A"/>
    <w:rsid w:val="00E935F1"/>
    <w:rsid w:val="00E94A81"/>
    <w:rsid w:val="00E97B48"/>
    <w:rsid w:val="00EA1FFB"/>
    <w:rsid w:val="00EB048E"/>
    <w:rsid w:val="00EB33EB"/>
    <w:rsid w:val="00EE34DF"/>
    <w:rsid w:val="00EF2C31"/>
    <w:rsid w:val="00EF2F89"/>
    <w:rsid w:val="00F1237A"/>
    <w:rsid w:val="00F22CBD"/>
    <w:rsid w:val="00F24735"/>
    <w:rsid w:val="00F349FD"/>
    <w:rsid w:val="00F45372"/>
    <w:rsid w:val="00F503BA"/>
    <w:rsid w:val="00F560F7"/>
    <w:rsid w:val="00F6334D"/>
    <w:rsid w:val="00F6647C"/>
    <w:rsid w:val="00F84577"/>
    <w:rsid w:val="00FA49AB"/>
    <w:rsid w:val="00FE39C7"/>
    <w:rsid w:val="00FE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C47EFD"/>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BF4661"/>
    <w:rPr>
      <w:rFonts w:ascii="Arial" w:hAnsi="Arial"/>
      <w:caps/>
    </w:rPr>
  </w:style>
  <w:style w:type="paragraph" w:customStyle="1" w:styleId="Style1">
    <w:name w:val="Style1"/>
    <w:basedOn w:val="Normal"/>
    <w:rsid w:val="00EB33EB"/>
    <w:pPr>
      <w:tabs>
        <w:tab w:val="decimal" w:pos="907"/>
        <w:tab w:val="left" w:pos="1077"/>
      </w:tabs>
    </w:pPr>
    <w:rPr>
      <w:rFonts w:ascii="Times New Roman" w:hAnsi="Times New Roman"/>
      <w:sz w:val="24"/>
      <w:szCs w:val="24"/>
      <w:lang w:eastAsia="ja-JP"/>
    </w:rPr>
  </w:style>
  <w:style w:type="table" w:styleId="TableGrid">
    <w:name w:val="Table Grid"/>
    <w:basedOn w:val="TableNormal"/>
    <w:rsid w:val="005B35D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32D7E"/>
    <w:rPr>
      <w:rFonts w:ascii="Arial" w:hAnsi="Arial"/>
      <w:lang w:val="fr-FR"/>
    </w:rPr>
  </w:style>
  <w:style w:type="character" w:customStyle="1" w:styleId="FooterChar">
    <w:name w:val="Footer Char"/>
    <w:aliases w:val="doc_path_name Char"/>
    <w:basedOn w:val="DefaultParagraphFont"/>
    <w:link w:val="Footer"/>
    <w:uiPriority w:val="99"/>
    <w:rsid w:val="00032D7E"/>
    <w:rPr>
      <w:rFonts w:ascii="Arial" w:hAnsi="Arial"/>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C47EFD"/>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BF4661"/>
    <w:rPr>
      <w:rFonts w:ascii="Arial" w:hAnsi="Arial"/>
      <w:caps/>
    </w:rPr>
  </w:style>
  <w:style w:type="paragraph" w:customStyle="1" w:styleId="Style1">
    <w:name w:val="Style1"/>
    <w:basedOn w:val="Normal"/>
    <w:rsid w:val="00EB33EB"/>
    <w:pPr>
      <w:tabs>
        <w:tab w:val="decimal" w:pos="907"/>
        <w:tab w:val="left" w:pos="1077"/>
      </w:tabs>
    </w:pPr>
    <w:rPr>
      <w:rFonts w:ascii="Times New Roman" w:hAnsi="Times New Roman"/>
      <w:sz w:val="24"/>
      <w:szCs w:val="24"/>
      <w:lang w:eastAsia="ja-JP"/>
    </w:rPr>
  </w:style>
  <w:style w:type="table" w:styleId="TableGrid">
    <w:name w:val="Table Grid"/>
    <w:basedOn w:val="TableNormal"/>
    <w:rsid w:val="005B35D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32D7E"/>
    <w:rPr>
      <w:rFonts w:ascii="Arial" w:hAnsi="Arial"/>
      <w:lang w:val="fr-FR"/>
    </w:rPr>
  </w:style>
  <w:style w:type="character" w:customStyle="1" w:styleId="FooterChar">
    <w:name w:val="Footer Char"/>
    <w:aliases w:val="doc_path_name Char"/>
    <w:basedOn w:val="DefaultParagraphFont"/>
    <w:link w:val="Footer"/>
    <w:uiPriority w:val="99"/>
    <w:rsid w:val="00032D7E"/>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19.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image" Target="media/image1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8159E-9F4E-4911-ABD0-05429855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19</Pages>
  <Words>3917</Words>
  <Characters>22331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TAVEIRA Leontino</dc:creator>
  <cp:keywords>DB/MP/mhf</cp:keywords>
  <cp:lastModifiedBy>SANCHEZ-VIZCAINO GOMEZ Rosa Maria</cp:lastModifiedBy>
  <cp:revision>33</cp:revision>
  <cp:lastPrinted>2016-02-03T09:54:00Z</cp:lastPrinted>
  <dcterms:created xsi:type="dcterms:W3CDTF">2016-02-01T10:09:00Z</dcterms:created>
  <dcterms:modified xsi:type="dcterms:W3CDTF">2016-02-03T09:54:00Z</dcterms:modified>
</cp:coreProperties>
</file>