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591796" w:rsidRPr="00E16D7E" w:rsidTr="00CF6C36">
        <w:trPr>
          <w:trHeight w:val="1760"/>
        </w:trPr>
        <w:tc>
          <w:tcPr>
            <w:tcW w:w="4243" w:type="dxa"/>
          </w:tcPr>
          <w:p w:rsidR="00591796" w:rsidRPr="004513C7" w:rsidRDefault="00591796" w:rsidP="00CF6C36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591796" w:rsidRPr="008B6C23" w:rsidRDefault="00591796" w:rsidP="00CF6C36">
            <w:pPr>
              <w:pStyle w:val="LogoUPOV"/>
              <w:rPr>
                <w:lang w:val="fr-FR"/>
              </w:rPr>
            </w:pPr>
            <w:r w:rsidRPr="008B6C23">
              <w:rPr>
                <w:noProof/>
              </w:rPr>
              <w:drawing>
                <wp:inline distT="0" distB="0" distL="0" distR="0" wp14:anchorId="526E2266" wp14:editId="662A7F97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591796" w:rsidRPr="008B6C23" w:rsidRDefault="00591796" w:rsidP="00CF6C36">
            <w:pPr>
              <w:pStyle w:val="Lettrine"/>
              <w:rPr>
                <w:lang w:val="fr-FR"/>
              </w:rPr>
            </w:pPr>
            <w:r w:rsidRPr="008B6C23">
              <w:rPr>
                <w:lang w:val="fr-FR"/>
              </w:rPr>
              <w:t>F</w:t>
            </w:r>
          </w:p>
          <w:p w:rsidR="00591796" w:rsidRPr="008B6C23" w:rsidRDefault="00591796" w:rsidP="00CF6C36">
            <w:pPr>
              <w:pStyle w:val="Docoriginal"/>
              <w:rPr>
                <w:lang w:val="fr-FR"/>
              </w:rPr>
            </w:pPr>
            <w:r w:rsidRPr="008B6C23">
              <w:rPr>
                <w:lang w:val="fr-FR"/>
              </w:rPr>
              <w:t>TC/52/</w:t>
            </w:r>
            <w:bookmarkStart w:id="0" w:name="Code"/>
            <w:bookmarkEnd w:id="0"/>
            <w:r w:rsidRPr="008B6C23">
              <w:rPr>
                <w:lang w:val="fr-FR"/>
              </w:rPr>
              <w:t>18</w:t>
            </w:r>
          </w:p>
          <w:p w:rsidR="00591796" w:rsidRPr="008B6C23" w:rsidRDefault="00591796" w:rsidP="00CF6C36">
            <w:pPr>
              <w:pStyle w:val="Docoriginal"/>
              <w:rPr>
                <w:b w:val="0"/>
                <w:spacing w:val="0"/>
                <w:lang w:val="fr-FR"/>
              </w:rPr>
            </w:pPr>
            <w:r w:rsidRPr="008B6C23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9F4C6C" w:rsidRPr="008B6C23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8B6C23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8B6C23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8B6C23">
              <w:rPr>
                <w:b w:val="0"/>
                <w:spacing w:val="0"/>
                <w:lang w:val="fr-FR"/>
              </w:rPr>
              <w:t>anglais</w:t>
            </w:r>
          </w:p>
          <w:p w:rsidR="00591796" w:rsidRPr="004513C7" w:rsidRDefault="00591796" w:rsidP="00CF6C36">
            <w:pPr>
              <w:pStyle w:val="Docoriginal"/>
              <w:rPr>
                <w:lang w:val="fr-FR"/>
              </w:rPr>
            </w:pPr>
            <w:r w:rsidRPr="008B6C23">
              <w:rPr>
                <w:spacing w:val="0"/>
                <w:lang w:val="fr-FR"/>
              </w:rPr>
              <w:t>DATE</w:t>
            </w:r>
            <w:r w:rsidR="009F4C6C" w:rsidRPr="008B6C23">
              <w:rPr>
                <w:spacing w:val="0"/>
                <w:lang w:val="fr-FR"/>
              </w:rPr>
              <w:t> </w:t>
            </w:r>
            <w:r w:rsidRPr="008B6C23">
              <w:rPr>
                <w:spacing w:val="0"/>
                <w:lang w:val="fr-FR"/>
              </w:rPr>
              <w:t>:</w:t>
            </w:r>
            <w:r w:rsidRPr="008B6C23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8B6C23" w:rsidRPr="008B6C23">
              <w:rPr>
                <w:b w:val="0"/>
                <w:spacing w:val="0"/>
                <w:lang w:val="fr-FR"/>
              </w:rPr>
              <w:t>27</w:t>
            </w:r>
            <w:r w:rsidRPr="008B6C23">
              <w:rPr>
                <w:b w:val="0"/>
                <w:spacing w:val="0"/>
                <w:lang w:val="fr-FR"/>
              </w:rPr>
              <w:t> janvier 2016</w:t>
            </w:r>
          </w:p>
        </w:tc>
      </w:tr>
      <w:tr w:rsidR="00591796" w:rsidRPr="00E16D7E" w:rsidTr="00CF6C36">
        <w:tc>
          <w:tcPr>
            <w:tcW w:w="10131" w:type="dxa"/>
            <w:gridSpan w:val="3"/>
          </w:tcPr>
          <w:p w:rsidR="00591796" w:rsidRPr="004513C7" w:rsidRDefault="00591796" w:rsidP="00CF6C36">
            <w:pPr>
              <w:pStyle w:val="upove"/>
              <w:rPr>
                <w:sz w:val="28"/>
                <w:lang w:val="fr-FR"/>
              </w:rPr>
            </w:pPr>
            <w:r w:rsidRPr="004513C7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591796" w:rsidRPr="004513C7" w:rsidTr="00CF6C36">
        <w:tc>
          <w:tcPr>
            <w:tcW w:w="10131" w:type="dxa"/>
            <w:gridSpan w:val="3"/>
          </w:tcPr>
          <w:p w:rsidR="00591796" w:rsidRPr="004513C7" w:rsidRDefault="00591796" w:rsidP="00CF6C36">
            <w:pPr>
              <w:pStyle w:val="Country"/>
              <w:rPr>
                <w:lang w:val="fr-FR"/>
              </w:rPr>
            </w:pPr>
            <w:r w:rsidRPr="004513C7">
              <w:rPr>
                <w:lang w:val="fr-FR"/>
              </w:rPr>
              <w:t>Genève</w:t>
            </w:r>
          </w:p>
        </w:tc>
      </w:tr>
    </w:tbl>
    <w:p w:rsidR="00591796" w:rsidRPr="004513C7" w:rsidRDefault="00591796" w:rsidP="00591796">
      <w:pPr>
        <w:pStyle w:val="Sessiontc"/>
        <w:rPr>
          <w:lang w:val="fr-FR"/>
        </w:rPr>
      </w:pPr>
      <w:r w:rsidRPr="004513C7">
        <w:rPr>
          <w:lang w:val="fr-FR"/>
        </w:rPr>
        <w:t>Comité TECHNIQUE</w:t>
      </w:r>
    </w:p>
    <w:p w:rsidR="00591796" w:rsidRPr="004513C7" w:rsidRDefault="00591796" w:rsidP="00591796">
      <w:pPr>
        <w:pStyle w:val="Sessiontcplacedate"/>
        <w:rPr>
          <w:lang w:val="fr-FR"/>
        </w:rPr>
      </w:pPr>
      <w:r w:rsidRPr="004513C7">
        <w:rPr>
          <w:lang w:val="fr-FR"/>
        </w:rPr>
        <w:t>Cinquante</w:t>
      </w:r>
      <w:r w:rsidR="008352C1">
        <w:rPr>
          <w:lang w:val="fr-FR"/>
        </w:rPr>
        <w:noBreakHyphen/>
      </w:r>
      <w:r w:rsidRPr="004513C7">
        <w:rPr>
          <w:lang w:val="fr-FR"/>
        </w:rPr>
        <w:t>deuxième</w:t>
      </w:r>
      <w:r w:rsidR="009F4C6C">
        <w:rPr>
          <w:lang w:val="fr-FR"/>
        </w:rPr>
        <w:t> </w:t>
      </w:r>
      <w:r w:rsidRPr="004513C7">
        <w:rPr>
          <w:lang w:val="fr-FR"/>
        </w:rPr>
        <w:t xml:space="preserve">session </w:t>
      </w:r>
      <w:r w:rsidRPr="004513C7">
        <w:rPr>
          <w:lang w:val="fr-FR"/>
        </w:rPr>
        <w:br/>
        <w:t>Genève, 14 – 16</w:t>
      </w:r>
      <w:r w:rsidR="00DB0AF2" w:rsidRPr="004513C7">
        <w:rPr>
          <w:lang w:val="fr-FR"/>
        </w:rPr>
        <w:t> mars </w:t>
      </w:r>
      <w:r w:rsidRPr="004513C7">
        <w:rPr>
          <w:lang w:val="fr-FR"/>
        </w:rPr>
        <w:t>2016</w:t>
      </w:r>
    </w:p>
    <w:p w:rsidR="008F37AE" w:rsidRPr="004513C7" w:rsidRDefault="008F37AE" w:rsidP="00916968">
      <w:pPr>
        <w:pStyle w:val="Titleofdoc0"/>
        <w:rPr>
          <w:rFonts w:cs="Arial"/>
          <w:lang w:val="fr-FR"/>
        </w:rPr>
      </w:pPr>
      <w:r w:rsidRPr="004513C7">
        <w:rPr>
          <w:rFonts w:cs="Arial"/>
          <w:lang w:val="fr-FR"/>
        </w:rPr>
        <w:t>Révision du document TGP/8 : DEUXIÈME PARTIE : Quelques TECHNIQUES utilisées</w:t>
      </w:r>
      <w:r w:rsidRPr="004513C7">
        <w:rPr>
          <w:rFonts w:cs="Arial"/>
          <w:lang w:val="fr-FR"/>
        </w:rPr>
        <w:br/>
        <w:t>dans l</w:t>
      </w:r>
      <w:r w:rsidR="00497F1A">
        <w:rPr>
          <w:rFonts w:cs="Arial"/>
          <w:lang w:val="fr-FR"/>
        </w:rPr>
        <w:t>’</w:t>
      </w:r>
      <w:r w:rsidRPr="004513C7">
        <w:rPr>
          <w:rFonts w:cs="Arial"/>
          <w:lang w:val="fr-FR"/>
        </w:rPr>
        <w:t>examen DHS, Nouvelle section : Examen DHS sur des Échantillons globaux</w:t>
      </w:r>
    </w:p>
    <w:p w:rsidR="008F37AE" w:rsidRPr="004513C7" w:rsidRDefault="008F37AE" w:rsidP="00916968">
      <w:pPr>
        <w:pStyle w:val="preparedby1"/>
        <w:rPr>
          <w:color w:val="A6A6A6" w:themeColor="background1" w:themeShade="A6"/>
          <w:lang w:val="fr-FR"/>
        </w:rPr>
      </w:pPr>
      <w:r w:rsidRPr="004513C7">
        <w:rPr>
          <w:lang w:val="fr-FR"/>
        </w:rPr>
        <w:t>Document établi par le Bureau de l</w:t>
      </w:r>
      <w:r w:rsidR="00497F1A">
        <w:rPr>
          <w:lang w:val="fr-FR"/>
        </w:rPr>
        <w:t>’</w:t>
      </w:r>
      <w:r w:rsidRPr="004513C7">
        <w:rPr>
          <w:lang w:val="fr-FR"/>
        </w:rPr>
        <w:t>Union</w:t>
      </w:r>
      <w:r w:rsidRPr="004513C7">
        <w:rPr>
          <w:lang w:val="fr-FR"/>
        </w:rPr>
        <w:br/>
      </w:r>
      <w:r w:rsidRPr="004513C7">
        <w:rPr>
          <w:lang w:val="fr-FR"/>
        </w:rPr>
        <w:br/>
      </w:r>
      <w:r w:rsidRPr="004513C7">
        <w:rPr>
          <w:color w:val="A6A6A6" w:themeColor="background1" w:themeShade="A6"/>
          <w:lang w:val="fr-FR"/>
        </w:rPr>
        <w:t>Avertissement : le présent document ne représente pas les principes ou les orientations de l</w:t>
      </w:r>
      <w:r w:rsidR="00497F1A">
        <w:rPr>
          <w:color w:val="A6A6A6" w:themeColor="background1" w:themeShade="A6"/>
          <w:lang w:val="fr-FR"/>
        </w:rPr>
        <w:t>’</w:t>
      </w:r>
      <w:r w:rsidRPr="004513C7">
        <w:rPr>
          <w:color w:val="A6A6A6" w:themeColor="background1" w:themeShade="A6"/>
          <w:lang w:val="fr-FR"/>
        </w:rPr>
        <w:t>UPOV</w:t>
      </w:r>
    </w:p>
    <w:p w:rsidR="003A30C6" w:rsidRPr="004513C7" w:rsidRDefault="00DB0AF2" w:rsidP="00DB0AF2">
      <w:pPr>
        <w:pStyle w:val="Heading1"/>
        <w:rPr>
          <w:lang w:val="fr-FR"/>
        </w:rPr>
      </w:pPr>
      <w:bookmarkStart w:id="3" w:name="_Toc387757149"/>
      <w:bookmarkStart w:id="4" w:name="_Toc404931496"/>
      <w:bookmarkStart w:id="5" w:name="_Toc404931550"/>
      <w:bookmarkStart w:id="6" w:name="_Toc404931721"/>
      <w:bookmarkStart w:id="7" w:name="_Toc404932170"/>
      <w:bookmarkStart w:id="8" w:name="_Toc404935671"/>
      <w:bookmarkStart w:id="9" w:name="_Toc410717532"/>
      <w:bookmarkStart w:id="10" w:name="_Toc441568520"/>
      <w:bookmarkStart w:id="11" w:name="_Toc442168901"/>
      <w:r w:rsidRPr="004513C7">
        <w:rPr>
          <w:lang w:val="fr-FR"/>
        </w:rPr>
        <w:t>Résumé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3A30C6" w:rsidRPr="004513C7" w:rsidRDefault="003A30C6" w:rsidP="003A30C6">
      <w:pPr>
        <w:rPr>
          <w:lang w:val="fr-FR"/>
        </w:rPr>
      </w:pPr>
    </w:p>
    <w:p w:rsidR="008F37AE" w:rsidRPr="004513C7" w:rsidRDefault="003A30C6" w:rsidP="00916968">
      <w:pPr>
        <w:rPr>
          <w:lang w:val="fr-FR"/>
        </w:rPr>
      </w:pPr>
      <w:r w:rsidRPr="004513C7">
        <w:rPr>
          <w:lang w:val="fr-FR"/>
        </w:rPr>
        <w:fldChar w:fldCharType="begin"/>
      </w:r>
      <w:r w:rsidRPr="004513C7">
        <w:rPr>
          <w:lang w:val="fr-FR"/>
        </w:rPr>
        <w:instrText xml:space="preserve"> AUTONUM  </w:instrText>
      </w:r>
      <w:r w:rsidRPr="004513C7">
        <w:rPr>
          <w:lang w:val="fr-FR"/>
        </w:rPr>
        <w:fldChar w:fldCharType="end"/>
      </w:r>
      <w:r w:rsidRPr="004513C7">
        <w:rPr>
          <w:lang w:val="fr-FR"/>
        </w:rPr>
        <w:tab/>
      </w:r>
      <w:r w:rsidR="008F37AE" w:rsidRPr="004513C7">
        <w:rPr>
          <w:lang w:val="fr-FR"/>
        </w:rPr>
        <w:t>L</w:t>
      </w:r>
      <w:r w:rsidR="00497F1A">
        <w:rPr>
          <w:lang w:val="fr-FR"/>
        </w:rPr>
        <w:t>’</w:t>
      </w:r>
      <w:r w:rsidR="008F37AE" w:rsidRPr="004513C7">
        <w:rPr>
          <w:lang w:val="fr-FR"/>
        </w:rPr>
        <w:t>objet du présent document est de faire rapport sur les faits nouveaux concernant les conseils relatifs à l</w:t>
      </w:r>
      <w:r w:rsidR="00497F1A">
        <w:rPr>
          <w:lang w:val="fr-FR"/>
        </w:rPr>
        <w:t>’</w:t>
      </w:r>
      <w:r w:rsidR="008F37AE" w:rsidRPr="004513C7">
        <w:rPr>
          <w:lang w:val="fr-FR"/>
        </w:rPr>
        <w:t>examen DHS sur des échantillons globaux aux fins de leur inclusion dans une future version révisée du document TGP/8</w:t>
      </w:r>
      <w:r w:rsidR="008F37AE" w:rsidRPr="004513C7">
        <w:rPr>
          <w:rFonts w:cs="Arial"/>
          <w:lang w:val="fr-FR" w:eastAsia="ja-JP"/>
        </w:rPr>
        <w:t>.</w:t>
      </w:r>
    </w:p>
    <w:p w:rsidR="008F37AE" w:rsidRPr="004513C7" w:rsidRDefault="008F37AE" w:rsidP="00916968">
      <w:pPr>
        <w:rPr>
          <w:rFonts w:cs="Arial"/>
          <w:lang w:val="fr-FR" w:eastAsia="ja-JP"/>
        </w:rPr>
      </w:pPr>
    </w:p>
    <w:p w:rsidR="003A30C6" w:rsidRPr="004513C7" w:rsidRDefault="003A30C6" w:rsidP="003A30C6">
      <w:pPr>
        <w:rPr>
          <w:lang w:val="fr-FR"/>
        </w:rPr>
      </w:pPr>
      <w:r w:rsidRPr="004513C7">
        <w:rPr>
          <w:lang w:val="fr-FR"/>
        </w:rPr>
        <w:fldChar w:fldCharType="begin"/>
      </w:r>
      <w:r w:rsidRPr="004513C7">
        <w:rPr>
          <w:lang w:val="fr-FR"/>
        </w:rPr>
        <w:instrText xml:space="preserve"> AUTONUM  </w:instrText>
      </w:r>
      <w:r w:rsidRPr="004513C7">
        <w:rPr>
          <w:lang w:val="fr-FR"/>
        </w:rPr>
        <w:fldChar w:fldCharType="end"/>
      </w:r>
      <w:r w:rsidR="00591796" w:rsidRPr="004513C7">
        <w:rPr>
          <w:lang w:val="fr-FR"/>
        </w:rPr>
        <w:tab/>
        <w:t>L</w:t>
      </w:r>
      <w:r w:rsidRPr="004513C7">
        <w:rPr>
          <w:lang w:val="fr-FR"/>
        </w:rPr>
        <w:t>e</w:t>
      </w:r>
      <w:r w:rsidR="00497F1A">
        <w:rPr>
          <w:lang w:val="fr-FR"/>
        </w:rPr>
        <w:t> TC</w:t>
      </w:r>
      <w:r w:rsidRPr="004513C7">
        <w:rPr>
          <w:lang w:val="fr-FR"/>
        </w:rPr>
        <w:t xml:space="preserve"> </w:t>
      </w:r>
      <w:r w:rsidR="00591796" w:rsidRPr="004513C7">
        <w:rPr>
          <w:lang w:val="fr-FR"/>
        </w:rPr>
        <w:t>e</w:t>
      </w:r>
      <w:r w:rsidRPr="004513C7">
        <w:rPr>
          <w:lang w:val="fr-FR"/>
        </w:rPr>
        <w:t>s</w:t>
      </w:r>
      <w:r w:rsidR="00591796" w:rsidRPr="004513C7">
        <w:rPr>
          <w:lang w:val="fr-FR"/>
        </w:rPr>
        <w:t>t</w:t>
      </w:r>
      <w:r w:rsidRPr="004513C7">
        <w:rPr>
          <w:lang w:val="fr-FR"/>
        </w:rPr>
        <w:t xml:space="preserve"> invit</w:t>
      </w:r>
      <w:r w:rsidR="00591796" w:rsidRPr="004513C7">
        <w:rPr>
          <w:lang w:val="fr-FR"/>
        </w:rPr>
        <w:t>é</w:t>
      </w:r>
      <w:r w:rsidR="008B6C23">
        <w:rPr>
          <w:lang w:val="fr-FR"/>
        </w:rPr>
        <w:t xml:space="preserve"> à :</w:t>
      </w:r>
    </w:p>
    <w:p w:rsidR="003A30C6" w:rsidRPr="004513C7" w:rsidRDefault="003A30C6" w:rsidP="003A30C6">
      <w:pPr>
        <w:pStyle w:val="DecisionParagraphs"/>
        <w:tabs>
          <w:tab w:val="left" w:pos="1134"/>
          <w:tab w:val="left" w:pos="5220"/>
          <w:tab w:val="left" w:pos="5850"/>
          <w:tab w:val="left" w:pos="5954"/>
        </w:tabs>
        <w:ind w:left="0" w:firstLine="567"/>
        <w:rPr>
          <w:i w:val="0"/>
          <w:lang w:val="fr-FR" w:eastAsia="ja-JP"/>
        </w:rPr>
      </w:pPr>
    </w:p>
    <w:p w:rsidR="003A30C6" w:rsidRPr="004513C7" w:rsidRDefault="003A30C6" w:rsidP="003A30C6">
      <w:pPr>
        <w:pStyle w:val="DecisionParagraphs"/>
        <w:tabs>
          <w:tab w:val="left" w:pos="1134"/>
          <w:tab w:val="left" w:pos="5220"/>
          <w:tab w:val="left" w:pos="5850"/>
          <w:tab w:val="left" w:pos="5954"/>
        </w:tabs>
        <w:ind w:left="0" w:firstLine="567"/>
        <w:rPr>
          <w:i w:val="0"/>
          <w:highlight w:val="yellow"/>
          <w:lang w:val="fr-FR" w:eastAsia="ja-JP"/>
        </w:rPr>
      </w:pPr>
      <w:r w:rsidRPr="004513C7">
        <w:rPr>
          <w:i w:val="0"/>
          <w:lang w:val="fr-FR" w:eastAsia="ja-JP"/>
        </w:rPr>
        <w:t>a)</w:t>
      </w:r>
      <w:r w:rsidRPr="004513C7">
        <w:rPr>
          <w:i w:val="0"/>
          <w:lang w:val="fr-FR" w:eastAsia="ja-JP"/>
        </w:rPr>
        <w:tab/>
      </w:r>
      <w:r w:rsidR="004513C7">
        <w:rPr>
          <w:i w:val="0"/>
          <w:lang w:val="fr-FR" w:eastAsia="ja-JP"/>
        </w:rPr>
        <w:t xml:space="preserve">examiner </w:t>
      </w:r>
      <w:r w:rsidR="007109A4">
        <w:rPr>
          <w:i w:val="0"/>
          <w:lang w:val="fr-FR" w:eastAsia="ja-JP"/>
        </w:rPr>
        <w:t>le</w:t>
      </w:r>
      <w:r w:rsidR="004513C7">
        <w:rPr>
          <w:i w:val="0"/>
          <w:lang w:val="fr-FR" w:eastAsia="ja-JP"/>
        </w:rPr>
        <w:t xml:space="preserve"> document de travail présenté par un expert des Pays</w:t>
      </w:r>
      <w:r w:rsidR="008352C1">
        <w:rPr>
          <w:i w:val="0"/>
          <w:lang w:val="fr-FR" w:eastAsia="ja-JP"/>
        </w:rPr>
        <w:noBreakHyphen/>
      </w:r>
      <w:r w:rsidR="004513C7">
        <w:rPr>
          <w:i w:val="0"/>
          <w:lang w:val="fr-FR" w:eastAsia="ja-JP"/>
        </w:rPr>
        <w:t xml:space="preserve">Bas, </w:t>
      </w:r>
      <w:r w:rsidR="007109A4">
        <w:rPr>
          <w:i w:val="0"/>
          <w:lang w:val="fr-FR" w:eastAsia="ja-JP"/>
        </w:rPr>
        <w:t>concernant</w:t>
      </w:r>
      <w:r w:rsidR="004513C7">
        <w:rPr>
          <w:i w:val="0"/>
          <w:lang w:val="fr-FR" w:eastAsia="ja-JP"/>
        </w:rPr>
        <w:t xml:space="preserve"> les critères d</w:t>
      </w:r>
      <w:r w:rsidR="00497F1A">
        <w:rPr>
          <w:i w:val="0"/>
          <w:lang w:val="fr-FR" w:eastAsia="ja-JP"/>
        </w:rPr>
        <w:t>’</w:t>
      </w:r>
      <w:r w:rsidR="004513C7">
        <w:rPr>
          <w:i w:val="0"/>
          <w:lang w:val="fr-FR" w:eastAsia="ja-JP"/>
        </w:rPr>
        <w:t xml:space="preserve">homogénéité </w:t>
      </w:r>
      <w:r w:rsidR="007109A4">
        <w:rPr>
          <w:i w:val="0"/>
          <w:lang w:val="fr-FR" w:eastAsia="ja-JP"/>
        </w:rPr>
        <w:t>s</w:t>
      </w:r>
      <w:r w:rsidR="00497F1A">
        <w:rPr>
          <w:i w:val="0"/>
          <w:lang w:val="fr-FR" w:eastAsia="ja-JP"/>
        </w:rPr>
        <w:t>’</w:t>
      </w:r>
      <w:r w:rsidR="007109A4">
        <w:rPr>
          <w:i w:val="0"/>
          <w:lang w:val="fr-FR" w:eastAsia="ja-JP"/>
        </w:rPr>
        <w:t>appliquant aux caractères examinés sur la base d</w:t>
      </w:r>
      <w:r w:rsidR="00497F1A">
        <w:rPr>
          <w:i w:val="0"/>
          <w:lang w:val="fr-FR" w:eastAsia="ja-JP"/>
        </w:rPr>
        <w:t>’</w:t>
      </w:r>
      <w:r w:rsidR="007109A4">
        <w:rPr>
          <w:i w:val="0"/>
          <w:lang w:val="fr-FR" w:eastAsia="ja-JP"/>
        </w:rPr>
        <w:t>un échantillon global, qui figure à l</w:t>
      </w:r>
      <w:r w:rsidR="00497F1A">
        <w:rPr>
          <w:i w:val="0"/>
          <w:lang w:val="fr-FR" w:eastAsia="ja-JP"/>
        </w:rPr>
        <w:t>’</w:t>
      </w:r>
      <w:r w:rsidR="007109A4">
        <w:rPr>
          <w:i w:val="0"/>
          <w:lang w:val="fr-FR" w:eastAsia="ja-JP"/>
        </w:rPr>
        <w:t>annexe</w:t>
      </w:r>
      <w:r w:rsidR="009F4C6C">
        <w:rPr>
          <w:i w:val="0"/>
          <w:lang w:val="fr-FR" w:eastAsia="ja-JP"/>
        </w:rPr>
        <w:t> </w:t>
      </w:r>
      <w:r w:rsidR="007109A4">
        <w:rPr>
          <w:i w:val="0"/>
          <w:lang w:val="fr-FR" w:eastAsia="ja-JP"/>
        </w:rPr>
        <w:t xml:space="preserve">I du présent document, ainsi que les informations </w:t>
      </w:r>
      <w:r w:rsidR="00DF5A8A">
        <w:rPr>
          <w:i w:val="0"/>
          <w:lang w:val="fr-FR" w:eastAsia="ja-JP"/>
        </w:rPr>
        <w:t>sur</w:t>
      </w:r>
      <w:r w:rsidR="007109A4">
        <w:rPr>
          <w:i w:val="0"/>
          <w:lang w:val="fr-FR" w:eastAsia="ja-JP"/>
        </w:rPr>
        <w:t xml:space="preserve"> l</w:t>
      </w:r>
      <w:r w:rsidR="00497F1A">
        <w:rPr>
          <w:i w:val="0"/>
          <w:lang w:val="fr-FR" w:eastAsia="ja-JP"/>
        </w:rPr>
        <w:t>’</w:t>
      </w:r>
      <w:r w:rsidR="007109A4">
        <w:rPr>
          <w:i w:val="0"/>
          <w:lang w:val="fr-FR" w:eastAsia="ja-JP"/>
        </w:rPr>
        <w:t>exemple de caractère examiné sur la base d</w:t>
      </w:r>
      <w:r w:rsidR="00497F1A">
        <w:rPr>
          <w:i w:val="0"/>
          <w:lang w:val="fr-FR" w:eastAsia="ja-JP"/>
        </w:rPr>
        <w:t>’</w:t>
      </w:r>
      <w:r w:rsidR="007109A4">
        <w:rPr>
          <w:i w:val="0"/>
          <w:lang w:val="fr-FR" w:eastAsia="ja-JP"/>
        </w:rPr>
        <w:t>un échantillon global aux Pays</w:t>
      </w:r>
      <w:r w:rsidR="008352C1">
        <w:rPr>
          <w:i w:val="0"/>
          <w:lang w:val="fr-FR" w:eastAsia="ja-JP"/>
        </w:rPr>
        <w:noBreakHyphen/>
      </w:r>
      <w:r w:rsidR="007109A4">
        <w:rPr>
          <w:i w:val="0"/>
          <w:lang w:val="fr-FR" w:eastAsia="ja-JP"/>
        </w:rPr>
        <w:t>Bas, qui figure</w:t>
      </w:r>
      <w:r w:rsidR="00DF5A8A">
        <w:rPr>
          <w:i w:val="0"/>
          <w:lang w:val="fr-FR" w:eastAsia="ja-JP"/>
        </w:rPr>
        <w:t>nt</w:t>
      </w:r>
      <w:r w:rsidR="007109A4">
        <w:rPr>
          <w:i w:val="0"/>
          <w:lang w:val="fr-FR" w:eastAsia="ja-JP"/>
        </w:rPr>
        <w:t xml:space="preserve"> à l</w:t>
      </w:r>
      <w:r w:rsidR="00497F1A">
        <w:rPr>
          <w:i w:val="0"/>
          <w:lang w:val="fr-FR" w:eastAsia="ja-JP"/>
        </w:rPr>
        <w:t>’</w:t>
      </w:r>
      <w:r w:rsidR="007109A4">
        <w:rPr>
          <w:i w:val="0"/>
          <w:lang w:val="fr-FR" w:eastAsia="ja-JP"/>
        </w:rPr>
        <w:t>annexe</w:t>
      </w:r>
      <w:r w:rsidR="009F4C6C">
        <w:rPr>
          <w:i w:val="0"/>
          <w:lang w:val="fr-FR" w:eastAsia="ja-JP"/>
        </w:rPr>
        <w:t> </w:t>
      </w:r>
      <w:r w:rsidR="007109A4">
        <w:rPr>
          <w:i w:val="0"/>
          <w:lang w:val="fr-FR" w:eastAsia="ja-JP"/>
        </w:rPr>
        <w:t>II du présent document</w:t>
      </w:r>
      <w:r w:rsidR="00DB0AF2" w:rsidRPr="004513C7">
        <w:rPr>
          <w:i w:val="0"/>
          <w:lang w:val="fr-FR" w:eastAsia="ja-JP"/>
        </w:rPr>
        <w:t>,</w:t>
      </w:r>
    </w:p>
    <w:p w:rsidR="003A30C6" w:rsidRPr="004513C7" w:rsidRDefault="003A30C6" w:rsidP="003A30C6">
      <w:pPr>
        <w:pStyle w:val="DecisionParagraphs"/>
        <w:tabs>
          <w:tab w:val="left" w:pos="1134"/>
          <w:tab w:val="left" w:pos="5220"/>
          <w:tab w:val="left" w:pos="5850"/>
          <w:tab w:val="left" w:pos="5954"/>
        </w:tabs>
        <w:ind w:left="0" w:firstLine="567"/>
        <w:rPr>
          <w:i w:val="0"/>
          <w:highlight w:val="yellow"/>
          <w:lang w:val="fr-FR" w:eastAsia="ja-JP"/>
        </w:rPr>
      </w:pPr>
    </w:p>
    <w:p w:rsidR="003A30C6" w:rsidRPr="004513C7" w:rsidRDefault="003A30C6" w:rsidP="003A30C6">
      <w:pPr>
        <w:pStyle w:val="DecisionParagraphs"/>
        <w:tabs>
          <w:tab w:val="left" w:pos="1134"/>
          <w:tab w:val="left" w:pos="5220"/>
          <w:tab w:val="left" w:pos="5310"/>
          <w:tab w:val="left" w:pos="5850"/>
          <w:tab w:val="left" w:pos="5954"/>
        </w:tabs>
        <w:ind w:left="0" w:firstLine="567"/>
        <w:rPr>
          <w:i w:val="0"/>
          <w:highlight w:val="yellow"/>
          <w:lang w:val="fr-FR" w:eastAsia="ja-JP"/>
        </w:rPr>
      </w:pPr>
      <w:r w:rsidRPr="004513C7">
        <w:rPr>
          <w:i w:val="0"/>
          <w:lang w:val="fr-FR" w:eastAsia="ja-JP"/>
        </w:rPr>
        <w:t>b)</w:t>
      </w:r>
      <w:r w:rsidRPr="004513C7">
        <w:rPr>
          <w:i w:val="0"/>
          <w:lang w:val="fr-FR" w:eastAsia="ja-JP"/>
        </w:rPr>
        <w:tab/>
      </w:r>
      <w:r w:rsidR="004513C7">
        <w:rPr>
          <w:i w:val="0"/>
          <w:lang w:val="fr-FR" w:eastAsia="ja-JP"/>
        </w:rPr>
        <w:t>examiner les observations formulées par</w:t>
      </w:r>
      <w:r w:rsidR="00497F1A">
        <w:rPr>
          <w:i w:val="0"/>
          <w:lang w:val="fr-FR" w:eastAsia="ja-JP"/>
        </w:rPr>
        <w:t xml:space="preserve"> les TWP</w:t>
      </w:r>
      <w:r w:rsidR="004513C7">
        <w:rPr>
          <w:i w:val="0"/>
          <w:lang w:val="fr-FR" w:eastAsia="ja-JP"/>
        </w:rPr>
        <w:t xml:space="preserve"> à leurs sessions de</w:t>
      </w:r>
      <w:r w:rsidR="009F4C6C">
        <w:rPr>
          <w:i w:val="0"/>
          <w:lang w:val="fr-FR" w:eastAsia="ja-JP"/>
        </w:rPr>
        <w:t> </w:t>
      </w:r>
      <w:r w:rsidR="004513C7">
        <w:rPr>
          <w:i w:val="0"/>
          <w:lang w:val="fr-FR" w:eastAsia="ja-JP"/>
        </w:rPr>
        <w:t>2015</w:t>
      </w:r>
      <w:r w:rsidR="00DB0AF2" w:rsidRPr="004513C7">
        <w:rPr>
          <w:i w:val="0"/>
          <w:lang w:val="fr-FR" w:eastAsia="ja-JP"/>
        </w:rPr>
        <w:t>, et</w:t>
      </w:r>
    </w:p>
    <w:p w:rsidR="003A30C6" w:rsidRPr="004513C7" w:rsidRDefault="003A30C6" w:rsidP="003A30C6">
      <w:pPr>
        <w:pStyle w:val="DecisionParagraphs"/>
        <w:tabs>
          <w:tab w:val="left" w:pos="1134"/>
          <w:tab w:val="left" w:pos="5220"/>
          <w:tab w:val="left" w:pos="5310"/>
          <w:tab w:val="left" w:pos="5850"/>
          <w:tab w:val="left" w:pos="5954"/>
        </w:tabs>
        <w:ind w:left="0" w:firstLine="567"/>
        <w:rPr>
          <w:i w:val="0"/>
          <w:highlight w:val="yellow"/>
          <w:lang w:val="fr-FR" w:eastAsia="ja-JP"/>
        </w:rPr>
      </w:pPr>
    </w:p>
    <w:p w:rsidR="003A30C6" w:rsidRPr="004513C7" w:rsidRDefault="003A30C6" w:rsidP="003A30C6">
      <w:pPr>
        <w:pStyle w:val="DecisionParagraphs"/>
        <w:tabs>
          <w:tab w:val="left" w:pos="1134"/>
          <w:tab w:val="left" w:pos="5220"/>
          <w:tab w:val="left" w:pos="5310"/>
          <w:tab w:val="left" w:pos="5850"/>
          <w:tab w:val="left" w:pos="5954"/>
        </w:tabs>
        <w:ind w:left="0" w:firstLine="567"/>
        <w:rPr>
          <w:i w:val="0"/>
          <w:highlight w:val="yellow"/>
          <w:lang w:val="fr-FR" w:eastAsia="ja-JP"/>
        </w:rPr>
      </w:pPr>
      <w:r w:rsidRPr="004513C7">
        <w:rPr>
          <w:i w:val="0"/>
          <w:lang w:val="fr-FR" w:eastAsia="ja-JP"/>
        </w:rPr>
        <w:t>c)</w:t>
      </w:r>
      <w:r w:rsidRPr="004513C7">
        <w:rPr>
          <w:i w:val="0"/>
          <w:lang w:val="fr-FR" w:eastAsia="ja-JP"/>
        </w:rPr>
        <w:tab/>
      </w:r>
      <w:r w:rsidR="004513C7">
        <w:rPr>
          <w:i w:val="0"/>
          <w:lang w:val="fr-FR" w:eastAsia="ja-JP"/>
        </w:rPr>
        <w:t>examiner la proposition relative à l</w:t>
      </w:r>
      <w:r w:rsidR="00497F1A">
        <w:rPr>
          <w:i w:val="0"/>
          <w:lang w:val="fr-FR" w:eastAsia="ja-JP"/>
        </w:rPr>
        <w:t>’</w:t>
      </w:r>
      <w:r w:rsidR="004513C7">
        <w:rPr>
          <w:i w:val="0"/>
          <w:lang w:val="fr-FR" w:eastAsia="ja-JP"/>
        </w:rPr>
        <w:t>élaboration de conseils relatifs à l</w:t>
      </w:r>
      <w:r w:rsidR="00497F1A">
        <w:rPr>
          <w:i w:val="0"/>
          <w:lang w:val="fr-FR" w:eastAsia="ja-JP"/>
        </w:rPr>
        <w:t>’</w:t>
      </w:r>
      <w:r w:rsidR="004513C7">
        <w:rPr>
          <w:i w:val="0"/>
          <w:lang w:val="fr-FR" w:eastAsia="ja-JP"/>
        </w:rPr>
        <w:t>examen</w:t>
      </w:r>
      <w:r w:rsidR="009F4C6C">
        <w:rPr>
          <w:i w:val="0"/>
          <w:lang w:val="fr-FR" w:eastAsia="ja-JP"/>
        </w:rPr>
        <w:t> </w:t>
      </w:r>
      <w:r w:rsidR="004513C7">
        <w:rPr>
          <w:i w:val="0"/>
          <w:lang w:val="fr-FR" w:eastAsia="ja-JP"/>
        </w:rPr>
        <w:t>DHS sur des échantillons globaux aux fins de leur inclusion dans une future version révisée du document TGP/8, présentée au paragraphe</w:t>
      </w:r>
      <w:r w:rsidR="009F4C6C">
        <w:rPr>
          <w:i w:val="0"/>
          <w:lang w:val="fr-FR" w:eastAsia="ja-JP"/>
        </w:rPr>
        <w:t> </w:t>
      </w:r>
      <w:r w:rsidR="004513C7">
        <w:rPr>
          <w:i w:val="0"/>
          <w:lang w:val="fr-FR" w:eastAsia="ja-JP"/>
        </w:rPr>
        <w:t>22.</w:t>
      </w:r>
    </w:p>
    <w:p w:rsidR="003A30C6" w:rsidRPr="004513C7" w:rsidRDefault="003A30C6" w:rsidP="003A30C6">
      <w:pPr>
        <w:rPr>
          <w:highlight w:val="yellow"/>
          <w:lang w:val="fr-FR"/>
        </w:rPr>
      </w:pPr>
    </w:p>
    <w:p w:rsidR="003A30C6" w:rsidRPr="004513C7" w:rsidRDefault="003A30C6" w:rsidP="003A30C6">
      <w:pPr>
        <w:rPr>
          <w:rFonts w:cs="Arial"/>
          <w:snapToGrid w:val="0"/>
          <w:highlight w:val="yellow"/>
          <w:lang w:val="fr-FR"/>
        </w:rPr>
      </w:pPr>
    </w:p>
    <w:p w:rsidR="003A30C6" w:rsidRDefault="003A30C6" w:rsidP="003A30C6">
      <w:pPr>
        <w:keepNext/>
        <w:rPr>
          <w:rFonts w:cs="Arial"/>
          <w:snapToGrid w:val="0"/>
          <w:lang w:val="fr-FR"/>
        </w:rPr>
      </w:pPr>
      <w:r w:rsidRPr="007109A4">
        <w:rPr>
          <w:rFonts w:cs="Arial"/>
          <w:snapToGrid w:val="0"/>
          <w:lang w:val="fr-FR"/>
        </w:rPr>
        <w:fldChar w:fldCharType="begin"/>
      </w:r>
      <w:r w:rsidRPr="007109A4">
        <w:rPr>
          <w:rFonts w:cs="Arial"/>
          <w:snapToGrid w:val="0"/>
          <w:lang w:val="fr-FR"/>
        </w:rPr>
        <w:instrText xml:space="preserve"> AUTONUM  </w:instrText>
      </w:r>
      <w:r w:rsidRPr="007109A4">
        <w:rPr>
          <w:rFonts w:cs="Arial"/>
          <w:snapToGrid w:val="0"/>
          <w:lang w:val="fr-FR"/>
        </w:rPr>
        <w:fldChar w:fldCharType="end"/>
      </w:r>
      <w:r w:rsidRPr="007109A4">
        <w:rPr>
          <w:rFonts w:cs="Arial"/>
          <w:snapToGrid w:val="0"/>
          <w:lang w:val="fr-FR"/>
        </w:rPr>
        <w:tab/>
      </w:r>
      <w:r w:rsidR="007109A4" w:rsidRPr="007109A4">
        <w:rPr>
          <w:rFonts w:cs="Arial"/>
          <w:snapToGrid w:val="0"/>
          <w:lang w:val="fr-FR"/>
        </w:rPr>
        <w:t>Le présent document est structuré comme suit :</w:t>
      </w:r>
    </w:p>
    <w:p w:rsidR="008B6C23" w:rsidRPr="007109A4" w:rsidRDefault="008B6C23" w:rsidP="003A30C6">
      <w:pPr>
        <w:keepNext/>
        <w:rPr>
          <w:rFonts w:cs="Arial"/>
          <w:snapToGrid w:val="0"/>
          <w:lang w:val="fr-FR" w:eastAsia="ja-JP"/>
        </w:rPr>
      </w:pPr>
    </w:p>
    <w:p w:rsidR="008B6C23" w:rsidRDefault="003A30C6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4513C7">
        <w:rPr>
          <w:rFonts w:eastAsia="Times New Roman" w:cs="Arial"/>
          <w:bCs/>
          <w:snapToGrid w:val="0"/>
          <w:sz w:val="18"/>
          <w:lang w:val="fr-FR"/>
        </w:rPr>
        <w:fldChar w:fldCharType="begin"/>
      </w:r>
      <w:r w:rsidRPr="004513C7">
        <w:rPr>
          <w:rFonts w:eastAsia="Times New Roman" w:cs="Arial"/>
          <w:bCs/>
          <w:snapToGrid w:val="0"/>
          <w:sz w:val="18"/>
          <w:lang w:val="fr-FR"/>
        </w:rPr>
        <w:instrText xml:space="preserve"> TOC \o "1-3" \h \z \u </w:instrText>
      </w:r>
      <w:r w:rsidRPr="004513C7">
        <w:rPr>
          <w:rFonts w:eastAsia="Times New Roman" w:cs="Arial"/>
          <w:bCs/>
          <w:snapToGrid w:val="0"/>
          <w:sz w:val="18"/>
          <w:lang w:val="fr-FR"/>
        </w:rPr>
        <w:fldChar w:fldCharType="separate"/>
      </w:r>
      <w:hyperlink w:anchor="_Toc442168901" w:history="1">
        <w:r w:rsidR="008B6C23" w:rsidRPr="00FD608E">
          <w:rPr>
            <w:rStyle w:val="Hyperlink"/>
            <w:noProof/>
            <w:lang w:val="fr-FR"/>
          </w:rPr>
          <w:t>Résumé</w:t>
        </w:r>
        <w:r w:rsidR="008B6C23">
          <w:rPr>
            <w:noProof/>
            <w:webHidden/>
          </w:rPr>
          <w:tab/>
        </w:r>
        <w:r w:rsidR="008B6C23">
          <w:rPr>
            <w:noProof/>
            <w:webHidden/>
          </w:rPr>
          <w:fldChar w:fldCharType="begin"/>
        </w:r>
        <w:r w:rsidR="008B6C23">
          <w:rPr>
            <w:noProof/>
            <w:webHidden/>
          </w:rPr>
          <w:instrText xml:space="preserve"> PAGEREF _Toc442168901 \h </w:instrText>
        </w:r>
        <w:r w:rsidR="008B6C23">
          <w:rPr>
            <w:noProof/>
            <w:webHidden/>
          </w:rPr>
        </w:r>
        <w:r w:rsidR="008B6C23">
          <w:rPr>
            <w:noProof/>
            <w:webHidden/>
          </w:rPr>
          <w:fldChar w:fldCharType="separate"/>
        </w:r>
        <w:r w:rsidR="001A345A">
          <w:rPr>
            <w:noProof/>
            <w:webHidden/>
          </w:rPr>
          <w:t>1</w:t>
        </w:r>
        <w:r w:rsidR="008B6C23">
          <w:rPr>
            <w:noProof/>
            <w:webHidden/>
          </w:rPr>
          <w:fldChar w:fldCharType="end"/>
        </w:r>
      </w:hyperlink>
    </w:p>
    <w:p w:rsidR="008B6C23" w:rsidRDefault="008B6C23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442168902" w:history="1">
        <w:r w:rsidRPr="00FD608E">
          <w:rPr>
            <w:rStyle w:val="Hyperlink"/>
            <w:noProof/>
            <w:lang w:val="fr-FR"/>
          </w:rPr>
          <w:t>Informations générales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_Toc442168902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A345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B6C23" w:rsidRDefault="008B6C23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442168903" w:history="1">
        <w:r w:rsidRPr="00FD608E">
          <w:rPr>
            <w:rStyle w:val="Hyperlink"/>
            <w:noProof/>
            <w:lang w:val="fr-FR" w:eastAsia="ja-JP"/>
          </w:rPr>
          <w:t>Faits nouveaux en 2015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_Toc442168903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A345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B6C23" w:rsidRDefault="008B6C2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42168904" w:history="1">
        <w:r w:rsidRPr="00FD608E">
          <w:rPr>
            <w:rStyle w:val="Hyperlink"/>
            <w:noProof/>
            <w:snapToGrid w:val="0"/>
            <w:lang w:val="fr-FR" w:eastAsia="ja-JP"/>
          </w:rPr>
          <w:t>Comité technique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_Toc442168904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A345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B6C23" w:rsidRDefault="008B6C2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42168905" w:history="1">
        <w:r w:rsidRPr="00FD608E">
          <w:rPr>
            <w:rStyle w:val="Hyperlink"/>
            <w:noProof/>
            <w:snapToGrid w:val="0"/>
            <w:lang w:val="fr-FR" w:eastAsia="ja-JP"/>
          </w:rPr>
          <w:t>Groupes de travail technique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_Toc442168905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A345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B6C23" w:rsidRDefault="008B6C23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442168906" w:history="1">
        <w:r w:rsidRPr="00FD608E">
          <w:rPr>
            <w:rStyle w:val="Hyperlink"/>
            <w:noProof/>
            <w:lang w:val="fr-FR" w:eastAsia="ja-JP"/>
          </w:rPr>
          <w:t>Proposition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_Toc442168906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A345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A30C6" w:rsidRPr="004513C7" w:rsidRDefault="003A30C6" w:rsidP="008B6C23">
      <w:pPr>
        <w:spacing w:before="120" w:after="120"/>
        <w:ind w:left="1276" w:hanging="1276"/>
        <w:rPr>
          <w:rFonts w:cs="Arial"/>
          <w:lang w:val="fr-FR"/>
        </w:rPr>
      </w:pPr>
      <w:r w:rsidRPr="004513C7">
        <w:rPr>
          <w:rFonts w:eastAsia="Times New Roman"/>
          <w:noProof/>
          <w:snapToGrid w:val="0"/>
          <w:lang w:val="fr-FR"/>
        </w:rPr>
        <w:fldChar w:fldCharType="end"/>
      </w:r>
      <w:r w:rsidRPr="004513C7">
        <w:rPr>
          <w:lang w:val="fr-FR" w:eastAsia="ja-JP"/>
        </w:rPr>
        <w:t>ANNEXE I</w:t>
      </w:r>
      <w:r w:rsidR="009F4C6C">
        <w:rPr>
          <w:lang w:val="fr-FR" w:eastAsia="ja-JP"/>
        </w:rPr>
        <w:t xml:space="preserve"> : </w:t>
      </w:r>
      <w:r w:rsidRPr="004513C7">
        <w:rPr>
          <w:lang w:val="fr-FR" w:eastAsia="ja-JP"/>
        </w:rPr>
        <w:tab/>
      </w:r>
      <w:r w:rsidR="007109A4">
        <w:rPr>
          <w:lang w:val="fr-FR" w:eastAsia="ja-JP"/>
        </w:rPr>
        <w:t>DOCUMENT DE TRAVAIL SUR LES CRITÈRES D</w:t>
      </w:r>
      <w:r w:rsidR="00497F1A">
        <w:rPr>
          <w:lang w:val="fr-FR" w:eastAsia="ja-JP"/>
        </w:rPr>
        <w:t>’</w:t>
      </w:r>
      <w:r w:rsidR="007109A4">
        <w:rPr>
          <w:lang w:val="fr-FR" w:eastAsia="ja-JP"/>
        </w:rPr>
        <w:t>HOMOGÉNÉITÉ S</w:t>
      </w:r>
      <w:r w:rsidR="00497F1A">
        <w:rPr>
          <w:lang w:val="fr-FR" w:eastAsia="ja-JP"/>
        </w:rPr>
        <w:t>’</w:t>
      </w:r>
      <w:r w:rsidR="007109A4">
        <w:rPr>
          <w:lang w:val="fr-FR" w:eastAsia="ja-JP"/>
        </w:rPr>
        <w:t xml:space="preserve">APPLIQUANT AUX CARACTÈRES </w:t>
      </w:r>
      <w:r w:rsidR="007109A4" w:rsidRPr="004F4B88">
        <w:rPr>
          <w:rFonts w:cs="Arial"/>
          <w:lang w:val="fr-FR"/>
        </w:rPr>
        <w:t>EXAMINÉS</w:t>
      </w:r>
      <w:r w:rsidR="007109A4">
        <w:rPr>
          <w:lang w:val="fr-FR" w:eastAsia="ja-JP"/>
        </w:rPr>
        <w:t xml:space="preserve"> SUR LA BASE D</w:t>
      </w:r>
      <w:r w:rsidR="00497F1A">
        <w:rPr>
          <w:lang w:val="fr-FR" w:eastAsia="ja-JP"/>
        </w:rPr>
        <w:t>’</w:t>
      </w:r>
      <w:r w:rsidR="007109A4">
        <w:rPr>
          <w:lang w:val="fr-FR" w:eastAsia="ja-JP"/>
        </w:rPr>
        <w:t>UN ÉCHANTILLON GLOBAL</w:t>
      </w:r>
    </w:p>
    <w:p w:rsidR="003A30C6" w:rsidRDefault="003A30C6" w:rsidP="008B6C23">
      <w:pPr>
        <w:spacing w:after="120"/>
        <w:ind w:left="1276" w:hanging="1276"/>
        <w:rPr>
          <w:rFonts w:cs="Arial"/>
          <w:lang w:val="fr-FR"/>
        </w:rPr>
      </w:pPr>
      <w:r w:rsidRPr="004513C7">
        <w:rPr>
          <w:lang w:val="fr-FR" w:eastAsia="ja-JP"/>
        </w:rPr>
        <w:t>ANNEXE II</w:t>
      </w:r>
      <w:r w:rsidR="008B6C23">
        <w:rPr>
          <w:lang w:val="fr-FR" w:eastAsia="ja-JP"/>
        </w:rPr>
        <w:t> :</w:t>
      </w:r>
      <w:r w:rsidR="008B6C23">
        <w:rPr>
          <w:lang w:val="fr-FR" w:eastAsia="ja-JP"/>
        </w:rPr>
        <w:tab/>
      </w:r>
      <w:r w:rsidR="00CA5A0B" w:rsidRPr="004513C7">
        <w:rPr>
          <w:rFonts w:cs="Arial"/>
          <w:lang w:val="fr-FR"/>
        </w:rPr>
        <w:t>EXEMPLE DE CARACTÈRE EXAMINÉ SUR LA BASE D</w:t>
      </w:r>
      <w:r w:rsidR="00497F1A">
        <w:rPr>
          <w:rFonts w:cs="Arial"/>
          <w:lang w:val="fr-FR"/>
        </w:rPr>
        <w:t>’</w:t>
      </w:r>
      <w:r w:rsidR="00CA5A0B" w:rsidRPr="004513C7">
        <w:rPr>
          <w:rFonts w:cs="Arial"/>
          <w:lang w:val="fr-FR"/>
        </w:rPr>
        <w:t>UN ÉCHANTILLON GLOBAL AUX PAYS</w:t>
      </w:r>
      <w:r w:rsidR="008352C1">
        <w:rPr>
          <w:rFonts w:cs="Arial"/>
          <w:szCs w:val="22"/>
          <w:lang w:val="fr-FR"/>
        </w:rPr>
        <w:noBreakHyphen/>
      </w:r>
      <w:r w:rsidR="00CA5A0B" w:rsidRPr="004513C7">
        <w:rPr>
          <w:rFonts w:cs="Arial"/>
          <w:szCs w:val="22"/>
          <w:lang w:val="fr-FR"/>
        </w:rPr>
        <w:t>BAS </w:t>
      </w:r>
      <w:r w:rsidR="00CA5A0B" w:rsidRPr="004513C7">
        <w:rPr>
          <w:lang w:val="fr-FR"/>
        </w:rPr>
        <w:t>:</w:t>
      </w:r>
      <w:r w:rsidR="00CA5A0B" w:rsidRPr="004513C7">
        <w:rPr>
          <w:rFonts w:cs="Arial"/>
          <w:lang w:val="fr-FR"/>
        </w:rPr>
        <w:t xml:space="preserve"> TENEUR EN GLUCORAPHANINE</w:t>
      </w:r>
    </w:p>
    <w:p w:rsidR="00A9338F" w:rsidRPr="004513C7" w:rsidRDefault="00A9338F" w:rsidP="008B6C23">
      <w:pPr>
        <w:spacing w:after="120"/>
        <w:ind w:left="1276" w:hanging="1276"/>
        <w:rPr>
          <w:rFonts w:cs="Arial"/>
          <w:lang w:val="fr-FR"/>
        </w:rPr>
      </w:pPr>
    </w:p>
    <w:p w:rsidR="008F37AE" w:rsidRPr="004513C7" w:rsidRDefault="008F37AE" w:rsidP="008B6C23">
      <w:pPr>
        <w:keepNext/>
        <w:rPr>
          <w:rFonts w:cs="Arial"/>
          <w:lang w:val="fr-FR"/>
        </w:rPr>
      </w:pPr>
      <w:r w:rsidRPr="004513C7">
        <w:rPr>
          <w:rFonts w:cs="Arial"/>
          <w:lang w:val="fr-FR"/>
        </w:rPr>
        <w:fldChar w:fldCharType="begin"/>
      </w:r>
      <w:r w:rsidRPr="004513C7">
        <w:rPr>
          <w:rFonts w:cs="Arial"/>
          <w:lang w:val="fr-FR"/>
        </w:rPr>
        <w:instrText xml:space="preserve"> AUTONUM  </w:instrText>
      </w:r>
      <w:r w:rsidRPr="004513C7">
        <w:rPr>
          <w:rFonts w:cs="Arial"/>
          <w:lang w:val="fr-FR"/>
        </w:rPr>
        <w:fldChar w:fldCharType="end"/>
      </w:r>
      <w:r w:rsidRPr="004513C7">
        <w:rPr>
          <w:rFonts w:cs="Arial"/>
          <w:lang w:val="fr-FR"/>
        </w:rPr>
        <w:tab/>
        <w:t>Les abréviations ci</w:t>
      </w:r>
      <w:r w:rsidR="008352C1">
        <w:rPr>
          <w:rFonts w:cs="Arial"/>
          <w:lang w:val="fr-FR"/>
        </w:rPr>
        <w:noBreakHyphen/>
      </w:r>
      <w:r w:rsidRPr="004513C7">
        <w:rPr>
          <w:rFonts w:cs="Arial"/>
          <w:lang w:val="fr-FR"/>
        </w:rPr>
        <w:t>après sont utilisées dans le présent document :</w:t>
      </w:r>
    </w:p>
    <w:p w:rsidR="008F37AE" w:rsidRPr="004513C7" w:rsidRDefault="008F37AE" w:rsidP="008B6C23">
      <w:pPr>
        <w:keepNext/>
        <w:rPr>
          <w:rFonts w:cs="Arial"/>
          <w:lang w:val="fr-FR"/>
        </w:rPr>
      </w:pPr>
    </w:p>
    <w:p w:rsidR="008F37AE" w:rsidRPr="004513C7" w:rsidRDefault="008F37AE" w:rsidP="00916968">
      <w:pPr>
        <w:ind w:left="1701" w:hanging="1134"/>
        <w:rPr>
          <w:rFonts w:cs="Arial"/>
          <w:lang w:val="fr-FR"/>
        </w:rPr>
      </w:pPr>
      <w:r w:rsidRPr="004513C7">
        <w:rPr>
          <w:rFonts w:cs="Arial"/>
          <w:lang w:val="fr-FR"/>
        </w:rPr>
        <w:t>TC</w:t>
      </w:r>
      <w:r w:rsidR="00E6636F" w:rsidRPr="004513C7">
        <w:rPr>
          <w:rFonts w:cs="Arial"/>
          <w:lang w:val="fr-FR"/>
        </w:rPr>
        <w:t> :</w:t>
      </w:r>
      <w:r w:rsidRPr="004513C7">
        <w:rPr>
          <w:rFonts w:cs="Arial"/>
          <w:lang w:val="fr-FR"/>
        </w:rPr>
        <w:t xml:space="preserve"> </w:t>
      </w:r>
      <w:r w:rsidRPr="004513C7">
        <w:rPr>
          <w:rFonts w:cs="Arial"/>
          <w:lang w:val="fr-FR"/>
        </w:rPr>
        <w:tab/>
        <w:t>Comité technique</w:t>
      </w:r>
    </w:p>
    <w:p w:rsidR="008F37AE" w:rsidRPr="004513C7" w:rsidRDefault="008F37AE" w:rsidP="00916968">
      <w:pPr>
        <w:ind w:left="1701" w:hanging="1134"/>
        <w:rPr>
          <w:rFonts w:cs="Arial"/>
          <w:lang w:val="fr-FR"/>
        </w:rPr>
      </w:pPr>
      <w:r w:rsidRPr="004513C7">
        <w:rPr>
          <w:rFonts w:cs="Arial"/>
          <w:lang w:val="fr-FR"/>
        </w:rPr>
        <w:t>TWA</w:t>
      </w:r>
      <w:r w:rsidR="00E6636F" w:rsidRPr="004513C7">
        <w:rPr>
          <w:rFonts w:cs="Arial"/>
          <w:lang w:val="fr-FR"/>
        </w:rPr>
        <w:t> </w:t>
      </w:r>
      <w:r w:rsidRPr="004513C7">
        <w:rPr>
          <w:rFonts w:cs="Arial"/>
          <w:lang w:val="fr-FR"/>
        </w:rPr>
        <w:t xml:space="preserve">: </w:t>
      </w:r>
      <w:r w:rsidRPr="004513C7">
        <w:rPr>
          <w:rFonts w:cs="Arial"/>
          <w:lang w:val="fr-FR"/>
        </w:rPr>
        <w:tab/>
        <w:t>Groupe de travail technique sur les plantes agricoles</w:t>
      </w:r>
    </w:p>
    <w:p w:rsidR="008F37AE" w:rsidRPr="004513C7" w:rsidRDefault="008F37AE" w:rsidP="00916968">
      <w:pPr>
        <w:ind w:left="1701" w:hanging="1134"/>
        <w:rPr>
          <w:rFonts w:cs="Arial"/>
          <w:lang w:val="fr-FR"/>
        </w:rPr>
      </w:pPr>
      <w:r w:rsidRPr="004513C7">
        <w:rPr>
          <w:rFonts w:cs="Arial"/>
          <w:lang w:val="fr-FR"/>
        </w:rPr>
        <w:t>TWC</w:t>
      </w:r>
      <w:r w:rsidR="00E6636F" w:rsidRPr="004513C7">
        <w:rPr>
          <w:rFonts w:cs="Arial"/>
          <w:lang w:val="fr-FR"/>
        </w:rPr>
        <w:t> </w:t>
      </w:r>
      <w:r w:rsidRPr="004513C7">
        <w:rPr>
          <w:rFonts w:cs="Arial"/>
          <w:lang w:val="fr-FR"/>
        </w:rPr>
        <w:t xml:space="preserve">: </w:t>
      </w:r>
      <w:r w:rsidRPr="004513C7">
        <w:rPr>
          <w:rFonts w:cs="Arial"/>
          <w:lang w:val="fr-FR"/>
        </w:rPr>
        <w:tab/>
        <w:t>Groupe de travail technique sur les systèmes d</w:t>
      </w:r>
      <w:r w:rsidR="00497F1A">
        <w:rPr>
          <w:rFonts w:cs="Arial"/>
          <w:lang w:val="fr-FR"/>
        </w:rPr>
        <w:t>’</w:t>
      </w:r>
      <w:r w:rsidRPr="004513C7">
        <w:rPr>
          <w:rFonts w:cs="Arial"/>
          <w:lang w:val="fr-FR"/>
        </w:rPr>
        <w:t>automatisation et les programmes d</w:t>
      </w:r>
      <w:r w:rsidR="00497F1A">
        <w:rPr>
          <w:rFonts w:cs="Arial"/>
          <w:lang w:val="fr-FR"/>
        </w:rPr>
        <w:t>’</w:t>
      </w:r>
      <w:r w:rsidRPr="004513C7">
        <w:rPr>
          <w:rFonts w:cs="Arial"/>
          <w:lang w:val="fr-FR"/>
        </w:rPr>
        <w:t>ordinateur</w:t>
      </w:r>
    </w:p>
    <w:p w:rsidR="008F37AE" w:rsidRPr="004513C7" w:rsidRDefault="008F37AE" w:rsidP="00916968">
      <w:pPr>
        <w:ind w:left="1701" w:hanging="1134"/>
        <w:rPr>
          <w:rFonts w:cs="Arial"/>
          <w:lang w:val="fr-FR"/>
        </w:rPr>
      </w:pPr>
      <w:r w:rsidRPr="004513C7">
        <w:rPr>
          <w:rFonts w:cs="Arial"/>
          <w:lang w:val="fr-FR"/>
        </w:rPr>
        <w:t>TWF</w:t>
      </w:r>
      <w:r w:rsidR="00E6636F" w:rsidRPr="004513C7">
        <w:rPr>
          <w:rFonts w:cs="Arial"/>
          <w:lang w:val="fr-FR"/>
        </w:rPr>
        <w:t> </w:t>
      </w:r>
      <w:r w:rsidRPr="004513C7">
        <w:rPr>
          <w:rFonts w:cs="Arial"/>
          <w:lang w:val="fr-FR"/>
        </w:rPr>
        <w:t xml:space="preserve">: </w:t>
      </w:r>
      <w:r w:rsidRPr="004513C7">
        <w:rPr>
          <w:rFonts w:cs="Arial"/>
          <w:lang w:val="fr-FR"/>
        </w:rPr>
        <w:tab/>
        <w:t>Groupe de travail technique sur les plantes fruitières</w:t>
      </w:r>
    </w:p>
    <w:p w:rsidR="008F37AE" w:rsidRPr="004513C7" w:rsidRDefault="008F37AE" w:rsidP="00916968">
      <w:pPr>
        <w:ind w:left="1701" w:hanging="1134"/>
        <w:rPr>
          <w:rFonts w:cs="Arial"/>
          <w:lang w:val="fr-FR"/>
        </w:rPr>
      </w:pPr>
      <w:r w:rsidRPr="004513C7">
        <w:rPr>
          <w:rFonts w:cs="Arial"/>
          <w:lang w:val="fr-FR"/>
        </w:rPr>
        <w:t>TWO</w:t>
      </w:r>
      <w:r w:rsidR="00E6636F" w:rsidRPr="004513C7">
        <w:rPr>
          <w:rFonts w:cs="Arial"/>
          <w:lang w:val="fr-FR"/>
        </w:rPr>
        <w:t> </w:t>
      </w:r>
      <w:r w:rsidRPr="004513C7">
        <w:rPr>
          <w:rFonts w:cs="Arial"/>
          <w:lang w:val="fr-FR"/>
        </w:rPr>
        <w:t xml:space="preserve">: </w:t>
      </w:r>
      <w:r w:rsidRPr="004513C7">
        <w:rPr>
          <w:rFonts w:cs="Arial"/>
          <w:lang w:val="fr-FR"/>
        </w:rPr>
        <w:tab/>
        <w:t>Groupe de travail technique sur les plantes ornementales et les arbres forestiers</w:t>
      </w:r>
    </w:p>
    <w:p w:rsidR="008F37AE" w:rsidRPr="004513C7" w:rsidRDefault="008F37AE" w:rsidP="00916968">
      <w:pPr>
        <w:ind w:left="1701" w:hanging="1134"/>
        <w:rPr>
          <w:rFonts w:cs="Arial"/>
          <w:lang w:val="fr-FR"/>
        </w:rPr>
      </w:pPr>
      <w:r w:rsidRPr="004513C7">
        <w:rPr>
          <w:rFonts w:cs="Arial"/>
          <w:lang w:val="fr-FR"/>
        </w:rPr>
        <w:t>TWP :</w:t>
      </w:r>
      <w:r w:rsidR="00E6636F" w:rsidRPr="004513C7">
        <w:rPr>
          <w:rFonts w:cs="Arial"/>
          <w:lang w:val="fr-FR"/>
        </w:rPr>
        <w:t xml:space="preserve"> </w:t>
      </w:r>
      <w:r w:rsidRPr="004513C7">
        <w:rPr>
          <w:rFonts w:cs="Arial"/>
          <w:lang w:val="fr-FR"/>
        </w:rPr>
        <w:tab/>
        <w:t>Groupes de travail technique</w:t>
      </w:r>
      <w:r w:rsidR="008B6C23">
        <w:rPr>
          <w:rFonts w:cs="Arial"/>
          <w:lang w:val="fr-FR"/>
        </w:rPr>
        <w:t>s</w:t>
      </w:r>
    </w:p>
    <w:p w:rsidR="008F37AE" w:rsidRPr="004513C7" w:rsidRDefault="008F37AE" w:rsidP="00916968">
      <w:pPr>
        <w:ind w:left="1701" w:hanging="1134"/>
        <w:rPr>
          <w:rFonts w:cs="Arial"/>
          <w:lang w:val="fr-FR"/>
        </w:rPr>
      </w:pPr>
      <w:r w:rsidRPr="004513C7">
        <w:rPr>
          <w:rFonts w:cs="Arial"/>
          <w:lang w:val="fr-FR"/>
        </w:rPr>
        <w:t>TWV</w:t>
      </w:r>
      <w:r w:rsidR="00E6636F" w:rsidRPr="004513C7">
        <w:rPr>
          <w:rFonts w:cs="Arial"/>
          <w:lang w:val="fr-FR"/>
        </w:rPr>
        <w:t> </w:t>
      </w:r>
      <w:r w:rsidRPr="004513C7">
        <w:rPr>
          <w:rFonts w:cs="Arial"/>
          <w:lang w:val="fr-FR"/>
        </w:rPr>
        <w:t xml:space="preserve">: </w:t>
      </w:r>
      <w:r w:rsidRPr="004513C7">
        <w:rPr>
          <w:rFonts w:cs="Arial"/>
          <w:lang w:val="fr-FR"/>
        </w:rPr>
        <w:tab/>
        <w:t>Groupe de travail technique sur les plantes potagères</w:t>
      </w:r>
    </w:p>
    <w:p w:rsidR="008F37AE" w:rsidRPr="004513C7" w:rsidRDefault="008F37AE" w:rsidP="00916968">
      <w:pPr>
        <w:rPr>
          <w:lang w:val="fr-FR" w:eastAsia="ja-JP"/>
        </w:rPr>
      </w:pPr>
    </w:p>
    <w:p w:rsidR="008F37AE" w:rsidRPr="004513C7" w:rsidRDefault="008F37AE" w:rsidP="00916968">
      <w:pPr>
        <w:rPr>
          <w:lang w:val="fr-FR" w:eastAsia="ja-JP"/>
        </w:rPr>
      </w:pPr>
    </w:p>
    <w:p w:rsidR="008F37AE" w:rsidRPr="004513C7" w:rsidRDefault="00856ABB" w:rsidP="00916968">
      <w:pPr>
        <w:pStyle w:val="Heading1"/>
        <w:rPr>
          <w:lang w:val="fr-FR"/>
        </w:rPr>
      </w:pPr>
      <w:bookmarkStart w:id="12" w:name="_Toc442168902"/>
      <w:r w:rsidRPr="004513C7">
        <w:rPr>
          <w:lang w:val="fr-FR"/>
        </w:rPr>
        <w:t>Informations générales</w:t>
      </w:r>
      <w:bookmarkEnd w:id="12"/>
    </w:p>
    <w:p w:rsidR="008F37AE" w:rsidRPr="004513C7" w:rsidRDefault="008F37AE" w:rsidP="00916968">
      <w:pPr>
        <w:rPr>
          <w:lang w:val="fr-FR" w:eastAsia="ja-JP"/>
        </w:rPr>
      </w:pPr>
    </w:p>
    <w:p w:rsidR="008F37AE" w:rsidRPr="004513C7" w:rsidRDefault="00180A1F" w:rsidP="00916968">
      <w:pPr>
        <w:rPr>
          <w:szCs w:val="24"/>
          <w:lang w:val="fr-FR" w:eastAsia="ja-JP"/>
        </w:rPr>
      </w:pPr>
      <w:r w:rsidRPr="004513C7">
        <w:rPr>
          <w:lang w:val="fr-FR"/>
        </w:rPr>
        <w:fldChar w:fldCharType="begin"/>
      </w:r>
      <w:r w:rsidRPr="004513C7">
        <w:rPr>
          <w:lang w:val="fr-FR"/>
        </w:rPr>
        <w:instrText xml:space="preserve"> AUTONUM  </w:instrText>
      </w:r>
      <w:r w:rsidRPr="004513C7">
        <w:rPr>
          <w:lang w:val="fr-FR"/>
        </w:rPr>
        <w:fldChar w:fldCharType="end"/>
      </w:r>
      <w:r w:rsidRPr="004513C7">
        <w:rPr>
          <w:lang w:val="fr-FR"/>
        </w:rPr>
        <w:tab/>
      </w:r>
      <w:r w:rsidR="00FB4FF7" w:rsidRPr="004513C7">
        <w:rPr>
          <w:szCs w:val="24"/>
          <w:lang w:val="fr-FR"/>
        </w:rPr>
        <w:t xml:space="preserve">Les informations générales sur cette question sont fournies dans le </w:t>
      </w:r>
      <w:r w:rsidR="00497F1A" w:rsidRPr="004513C7">
        <w:rPr>
          <w:szCs w:val="24"/>
          <w:lang w:val="fr-FR"/>
        </w:rPr>
        <w:t>document</w:t>
      </w:r>
      <w:r w:rsidR="00497F1A">
        <w:rPr>
          <w:szCs w:val="24"/>
          <w:lang w:val="fr-FR"/>
        </w:rPr>
        <w:t xml:space="preserve"> TC</w:t>
      </w:r>
      <w:r w:rsidRPr="004513C7">
        <w:rPr>
          <w:szCs w:val="24"/>
          <w:lang w:val="fr-FR"/>
        </w:rPr>
        <w:t>/5</w:t>
      </w:r>
      <w:r w:rsidR="003A30C6" w:rsidRPr="004513C7">
        <w:rPr>
          <w:szCs w:val="24"/>
          <w:lang w:val="fr-FR"/>
        </w:rPr>
        <w:t>1</w:t>
      </w:r>
      <w:r w:rsidRPr="004513C7">
        <w:rPr>
          <w:szCs w:val="24"/>
          <w:lang w:val="fr-FR"/>
        </w:rPr>
        <w:t>/</w:t>
      </w:r>
      <w:r w:rsidR="003A30C6" w:rsidRPr="004513C7">
        <w:rPr>
          <w:szCs w:val="24"/>
          <w:lang w:val="fr-FR"/>
        </w:rPr>
        <w:t>18</w:t>
      </w:r>
      <w:r w:rsidRPr="004513C7">
        <w:rPr>
          <w:szCs w:val="24"/>
          <w:lang w:val="fr-FR" w:eastAsia="ja-JP"/>
        </w:rPr>
        <w:t xml:space="preserve"> “</w:t>
      </w:r>
      <w:r w:rsidR="00FB4FF7" w:rsidRPr="004513C7">
        <w:rPr>
          <w:szCs w:val="24"/>
          <w:lang w:val="fr-FR" w:eastAsia="ja-JP"/>
        </w:rPr>
        <w:t>Révision du document TGP</w:t>
      </w:r>
      <w:r w:rsidR="00A67DB9" w:rsidRPr="004513C7">
        <w:rPr>
          <w:szCs w:val="24"/>
          <w:lang w:val="fr-FR" w:eastAsia="ja-JP"/>
        </w:rPr>
        <w:t>/8</w:t>
      </w:r>
      <w:r w:rsidR="00E6636F" w:rsidRPr="004513C7">
        <w:rPr>
          <w:szCs w:val="24"/>
          <w:lang w:val="fr-FR" w:eastAsia="ja-JP"/>
        </w:rPr>
        <w:t> </w:t>
      </w:r>
      <w:r w:rsidR="00A67DB9" w:rsidRPr="004513C7">
        <w:rPr>
          <w:szCs w:val="24"/>
          <w:lang w:val="fr-FR" w:eastAsia="ja-JP"/>
        </w:rPr>
        <w:t>: d</w:t>
      </w:r>
      <w:r w:rsidR="00FB4FF7" w:rsidRPr="004513C7">
        <w:rPr>
          <w:szCs w:val="24"/>
          <w:lang w:val="fr-FR" w:eastAsia="ja-JP"/>
        </w:rPr>
        <w:t>euxième partie</w:t>
      </w:r>
      <w:r w:rsidR="00E6636F" w:rsidRPr="004513C7">
        <w:rPr>
          <w:szCs w:val="24"/>
          <w:lang w:val="fr-FR" w:eastAsia="ja-JP"/>
        </w:rPr>
        <w:t> </w:t>
      </w:r>
      <w:r w:rsidR="00FB4FF7" w:rsidRPr="004513C7">
        <w:rPr>
          <w:szCs w:val="24"/>
          <w:lang w:val="fr-FR" w:eastAsia="ja-JP"/>
        </w:rPr>
        <w:t>: Techniques utilisées dans l</w:t>
      </w:r>
      <w:r w:rsidR="00497F1A">
        <w:rPr>
          <w:szCs w:val="24"/>
          <w:lang w:val="fr-FR" w:eastAsia="ja-JP"/>
        </w:rPr>
        <w:t>’</w:t>
      </w:r>
      <w:r w:rsidR="00FB4FF7" w:rsidRPr="004513C7">
        <w:rPr>
          <w:szCs w:val="24"/>
          <w:lang w:val="fr-FR" w:eastAsia="ja-JP"/>
        </w:rPr>
        <w:t>examen</w:t>
      </w:r>
      <w:r w:rsidR="00E6636F" w:rsidRPr="004513C7">
        <w:rPr>
          <w:szCs w:val="24"/>
          <w:lang w:val="fr-FR" w:eastAsia="ja-JP"/>
        </w:rPr>
        <w:t> </w:t>
      </w:r>
      <w:r w:rsidR="00FB4FF7" w:rsidRPr="004513C7">
        <w:rPr>
          <w:szCs w:val="24"/>
          <w:lang w:val="fr-FR" w:eastAsia="ja-JP"/>
        </w:rPr>
        <w:t>DHS, nouvelle section</w:t>
      </w:r>
      <w:r w:rsidR="00E6636F" w:rsidRPr="004513C7">
        <w:rPr>
          <w:szCs w:val="24"/>
          <w:lang w:val="fr-FR" w:eastAsia="ja-JP"/>
        </w:rPr>
        <w:t> </w:t>
      </w:r>
      <w:r w:rsidR="00FB4FF7" w:rsidRPr="004513C7">
        <w:rPr>
          <w:szCs w:val="24"/>
          <w:lang w:val="fr-FR" w:eastAsia="ja-JP"/>
        </w:rPr>
        <w:t xml:space="preserve">: </w:t>
      </w:r>
      <w:r w:rsidR="00460C18" w:rsidRPr="004513C7">
        <w:rPr>
          <w:szCs w:val="24"/>
          <w:lang w:val="fr-FR" w:eastAsia="ja-JP"/>
        </w:rPr>
        <w:t>Examen DHS sur des échantillons</w:t>
      </w:r>
      <w:r w:rsidR="00455441" w:rsidRPr="004513C7">
        <w:rPr>
          <w:szCs w:val="24"/>
          <w:lang w:val="fr-FR" w:eastAsia="ja-JP"/>
        </w:rPr>
        <w:t xml:space="preserve"> globaux</w:t>
      </w:r>
      <w:r w:rsidRPr="004513C7">
        <w:rPr>
          <w:szCs w:val="24"/>
          <w:lang w:val="fr-FR" w:eastAsia="ja-JP"/>
        </w:rPr>
        <w:t>”.</w:t>
      </w:r>
    </w:p>
    <w:p w:rsidR="008F37AE" w:rsidRPr="004513C7" w:rsidRDefault="008F37AE" w:rsidP="00916968">
      <w:pPr>
        <w:rPr>
          <w:u w:val="single"/>
          <w:lang w:val="fr-FR" w:eastAsia="ja-JP"/>
        </w:rPr>
      </w:pPr>
    </w:p>
    <w:p w:rsidR="008F37AE" w:rsidRPr="004513C7" w:rsidRDefault="008F37AE" w:rsidP="00916968">
      <w:pPr>
        <w:rPr>
          <w:snapToGrid w:val="0"/>
          <w:lang w:val="fr-FR" w:eastAsia="ja-JP"/>
        </w:rPr>
      </w:pPr>
    </w:p>
    <w:p w:rsidR="008F37AE" w:rsidRPr="004513C7" w:rsidRDefault="00856ABB" w:rsidP="00916968">
      <w:pPr>
        <w:pStyle w:val="Heading1"/>
        <w:rPr>
          <w:lang w:val="fr-FR" w:eastAsia="ja-JP"/>
        </w:rPr>
      </w:pPr>
      <w:bookmarkStart w:id="13" w:name="_Toc442168903"/>
      <w:r w:rsidRPr="004513C7">
        <w:rPr>
          <w:lang w:val="fr-FR" w:eastAsia="ja-JP"/>
        </w:rPr>
        <w:t>F</w:t>
      </w:r>
      <w:r w:rsidR="008F37AE" w:rsidRPr="004513C7">
        <w:rPr>
          <w:lang w:val="fr-FR" w:eastAsia="ja-JP"/>
        </w:rPr>
        <w:t>aits nouveaux en 201</w:t>
      </w:r>
      <w:r w:rsidR="003A30C6" w:rsidRPr="004513C7">
        <w:rPr>
          <w:lang w:val="fr-FR" w:eastAsia="ja-JP"/>
        </w:rPr>
        <w:t>5</w:t>
      </w:r>
      <w:bookmarkEnd w:id="13"/>
    </w:p>
    <w:p w:rsidR="008F37AE" w:rsidRPr="004513C7" w:rsidRDefault="008F37AE" w:rsidP="00916968">
      <w:pPr>
        <w:rPr>
          <w:snapToGrid w:val="0"/>
          <w:lang w:val="fr-FR" w:eastAsia="ja-JP"/>
        </w:rPr>
      </w:pPr>
    </w:p>
    <w:p w:rsidR="008F37AE" w:rsidRPr="004513C7" w:rsidRDefault="008F37AE" w:rsidP="00916968">
      <w:pPr>
        <w:pStyle w:val="Heading2"/>
        <w:rPr>
          <w:snapToGrid w:val="0"/>
          <w:lang w:val="fr-FR" w:eastAsia="ja-JP"/>
        </w:rPr>
      </w:pPr>
      <w:bookmarkStart w:id="14" w:name="_Toc442168904"/>
      <w:r w:rsidRPr="004513C7">
        <w:rPr>
          <w:snapToGrid w:val="0"/>
          <w:lang w:val="fr-FR" w:eastAsia="ja-JP"/>
        </w:rPr>
        <w:t>Comité technique</w:t>
      </w:r>
      <w:bookmarkEnd w:id="14"/>
    </w:p>
    <w:p w:rsidR="008F37AE" w:rsidRPr="004513C7" w:rsidRDefault="008F37AE" w:rsidP="00916968">
      <w:pPr>
        <w:rPr>
          <w:rFonts w:cs="Arial"/>
          <w:lang w:val="fr-FR"/>
        </w:rPr>
      </w:pPr>
    </w:p>
    <w:p w:rsidR="003A30C6" w:rsidRPr="004513C7" w:rsidRDefault="00180A1F" w:rsidP="003A30C6">
      <w:pPr>
        <w:pStyle w:val="Default"/>
        <w:jc w:val="both"/>
        <w:rPr>
          <w:rFonts w:cs="Times New Roman"/>
          <w:color w:val="auto"/>
          <w:sz w:val="20"/>
          <w:highlight w:val="yellow"/>
          <w:lang w:val="fr-FR" w:eastAsia="ja-JP"/>
        </w:rPr>
      </w:pPr>
      <w:r w:rsidRPr="004513C7">
        <w:rPr>
          <w:rFonts w:cs="Times New Roman"/>
          <w:color w:val="auto"/>
          <w:sz w:val="20"/>
          <w:lang w:val="fr-FR" w:eastAsia="ja-JP"/>
        </w:rPr>
        <w:fldChar w:fldCharType="begin"/>
      </w:r>
      <w:r w:rsidRPr="004513C7">
        <w:rPr>
          <w:rFonts w:cs="Times New Roman"/>
          <w:color w:val="auto"/>
          <w:sz w:val="20"/>
          <w:lang w:val="fr-FR" w:eastAsia="ja-JP"/>
        </w:rPr>
        <w:instrText xml:space="preserve"> AUTONUM  </w:instrText>
      </w:r>
      <w:r w:rsidRPr="004513C7">
        <w:rPr>
          <w:rFonts w:cs="Times New Roman"/>
          <w:color w:val="auto"/>
          <w:sz w:val="20"/>
          <w:lang w:val="fr-FR" w:eastAsia="ja-JP"/>
        </w:rPr>
        <w:fldChar w:fldCharType="end"/>
      </w:r>
      <w:r w:rsidRPr="004513C7">
        <w:rPr>
          <w:rFonts w:cs="Times New Roman"/>
          <w:color w:val="auto"/>
          <w:sz w:val="20"/>
          <w:lang w:val="fr-FR" w:eastAsia="ja-JP"/>
        </w:rPr>
        <w:tab/>
      </w:r>
      <w:r w:rsidR="00401138">
        <w:rPr>
          <w:rFonts w:cs="Times New Roman"/>
          <w:color w:val="auto"/>
          <w:sz w:val="20"/>
          <w:lang w:val="fr-FR" w:eastAsia="ja-JP"/>
        </w:rPr>
        <w:t>À</w:t>
      </w:r>
      <w:r w:rsidR="00FB4FF7" w:rsidRPr="004513C7">
        <w:rPr>
          <w:rFonts w:cs="Times New Roman"/>
          <w:color w:val="auto"/>
          <w:sz w:val="20"/>
          <w:lang w:val="fr-FR" w:eastAsia="ja-JP"/>
        </w:rPr>
        <w:t xml:space="preserve"> sa cinquante</w:t>
      </w:r>
      <w:r w:rsidR="00E6636F" w:rsidRPr="004513C7">
        <w:rPr>
          <w:rFonts w:cs="Times New Roman"/>
          <w:color w:val="auto"/>
          <w:sz w:val="20"/>
          <w:lang w:val="fr-FR" w:eastAsia="ja-JP"/>
        </w:rPr>
        <w:t> </w:t>
      </w:r>
      <w:r w:rsidR="003A30C6" w:rsidRPr="004513C7">
        <w:rPr>
          <w:rFonts w:cs="Times New Roman"/>
          <w:color w:val="auto"/>
          <w:sz w:val="20"/>
          <w:lang w:val="fr-FR" w:eastAsia="ja-JP"/>
        </w:rPr>
        <w:t>et unième </w:t>
      </w:r>
      <w:r w:rsidR="00FB4FF7" w:rsidRPr="004513C7">
        <w:rPr>
          <w:rFonts w:cs="Times New Roman"/>
          <w:color w:val="auto"/>
          <w:sz w:val="20"/>
          <w:lang w:val="fr-FR" w:eastAsia="ja-JP"/>
        </w:rPr>
        <w:t xml:space="preserve">session tenue à Genève du </w:t>
      </w:r>
      <w:r w:rsidR="003A30C6" w:rsidRPr="004513C7">
        <w:rPr>
          <w:rFonts w:cs="Times New Roman"/>
          <w:color w:val="auto"/>
          <w:sz w:val="20"/>
          <w:lang w:val="fr-FR" w:eastAsia="ja-JP"/>
        </w:rPr>
        <w:t>23</w:t>
      </w:r>
      <w:r w:rsidR="00FB4FF7" w:rsidRPr="004513C7">
        <w:rPr>
          <w:rFonts w:cs="Times New Roman"/>
          <w:color w:val="auto"/>
          <w:sz w:val="20"/>
          <w:lang w:val="fr-FR" w:eastAsia="ja-JP"/>
        </w:rPr>
        <w:t xml:space="preserve"> au </w:t>
      </w:r>
      <w:r w:rsidR="003A30C6" w:rsidRPr="004513C7">
        <w:rPr>
          <w:rFonts w:cs="Times New Roman"/>
          <w:color w:val="auto"/>
          <w:sz w:val="20"/>
          <w:lang w:val="fr-FR" w:eastAsia="ja-JP"/>
        </w:rPr>
        <w:t>25</w:t>
      </w:r>
      <w:r w:rsidR="001C46B6" w:rsidRPr="004513C7">
        <w:rPr>
          <w:rFonts w:cs="Times New Roman"/>
          <w:color w:val="auto"/>
          <w:sz w:val="20"/>
          <w:lang w:val="fr-FR" w:eastAsia="ja-JP"/>
        </w:rPr>
        <w:t> </w:t>
      </w:r>
      <w:r w:rsidR="003A30C6" w:rsidRPr="004513C7">
        <w:rPr>
          <w:rFonts w:cs="Times New Roman"/>
          <w:color w:val="auto"/>
          <w:sz w:val="20"/>
          <w:lang w:val="fr-FR" w:eastAsia="ja-JP"/>
        </w:rPr>
        <w:t>mars</w:t>
      </w:r>
      <w:r w:rsidR="001C46B6" w:rsidRPr="004513C7">
        <w:rPr>
          <w:rFonts w:cs="Times New Roman"/>
          <w:color w:val="auto"/>
          <w:sz w:val="20"/>
          <w:lang w:val="fr-FR" w:eastAsia="ja-JP"/>
        </w:rPr>
        <w:t> 20</w:t>
      </w:r>
      <w:r w:rsidR="00FB4FF7" w:rsidRPr="004513C7">
        <w:rPr>
          <w:rFonts w:cs="Times New Roman"/>
          <w:color w:val="auto"/>
          <w:sz w:val="20"/>
          <w:lang w:val="fr-FR" w:eastAsia="ja-JP"/>
        </w:rPr>
        <w:t>1</w:t>
      </w:r>
      <w:r w:rsidR="003A30C6" w:rsidRPr="004513C7">
        <w:rPr>
          <w:rFonts w:cs="Times New Roman"/>
          <w:color w:val="auto"/>
          <w:sz w:val="20"/>
          <w:lang w:val="fr-FR" w:eastAsia="ja-JP"/>
        </w:rPr>
        <w:t xml:space="preserve">5 </w:t>
      </w:r>
      <w:r w:rsidR="003A30C6" w:rsidRPr="00401138">
        <w:rPr>
          <w:rFonts w:cs="Times New Roman"/>
          <w:color w:val="auto"/>
          <w:sz w:val="20"/>
          <w:lang w:val="fr-FR" w:eastAsia="ja-JP"/>
        </w:rPr>
        <w:t>(</w:t>
      </w:r>
      <w:r w:rsidR="00CA5A0B" w:rsidRPr="00401138">
        <w:rPr>
          <w:rFonts w:cs="Times New Roman"/>
          <w:color w:val="auto"/>
          <w:sz w:val="20"/>
          <w:lang w:val="fr-FR" w:eastAsia="ja-JP"/>
        </w:rPr>
        <w:t>voir les paragraphes 140 à 145 du</w:t>
      </w:r>
      <w:r w:rsidR="003A30C6" w:rsidRPr="00401138">
        <w:rPr>
          <w:rFonts w:cs="Times New Roman"/>
          <w:color w:val="auto"/>
          <w:sz w:val="20"/>
          <w:lang w:val="fr-FR" w:eastAsia="ja-JP"/>
        </w:rPr>
        <w:t xml:space="preserve"> </w:t>
      </w:r>
      <w:r w:rsidR="00497F1A" w:rsidRPr="00401138">
        <w:rPr>
          <w:rFonts w:cs="Times New Roman"/>
          <w:color w:val="auto"/>
          <w:sz w:val="20"/>
          <w:lang w:val="fr-FR" w:eastAsia="ja-JP"/>
        </w:rPr>
        <w:t>document</w:t>
      </w:r>
      <w:r w:rsidR="00497F1A">
        <w:rPr>
          <w:rFonts w:cs="Times New Roman"/>
          <w:color w:val="auto"/>
          <w:sz w:val="20"/>
          <w:lang w:val="fr-FR" w:eastAsia="ja-JP"/>
        </w:rPr>
        <w:t xml:space="preserve"> TC</w:t>
      </w:r>
      <w:r w:rsidR="003A30C6" w:rsidRPr="00401138">
        <w:rPr>
          <w:rFonts w:cs="Times New Roman"/>
          <w:color w:val="auto"/>
          <w:sz w:val="20"/>
          <w:lang w:val="fr-FR" w:eastAsia="ja-JP"/>
        </w:rPr>
        <w:t>/51/39 “</w:t>
      </w:r>
      <w:r w:rsidR="00CA5A0B" w:rsidRPr="00401138">
        <w:rPr>
          <w:rFonts w:cs="Times New Roman"/>
          <w:color w:val="auto"/>
          <w:sz w:val="20"/>
          <w:lang w:val="fr-FR" w:eastAsia="ja-JP"/>
        </w:rPr>
        <w:t>Compte rendu</w:t>
      </w:r>
      <w:r w:rsidR="003A30C6" w:rsidRPr="00401138">
        <w:rPr>
          <w:rFonts w:cs="Times New Roman"/>
          <w:color w:val="auto"/>
          <w:sz w:val="20"/>
          <w:lang w:val="fr-FR" w:eastAsia="ja-JP"/>
        </w:rPr>
        <w:t>”)</w:t>
      </w:r>
      <w:r w:rsidR="00357CE5">
        <w:rPr>
          <w:rFonts w:cs="Times New Roman"/>
          <w:color w:val="auto"/>
          <w:sz w:val="20"/>
          <w:lang w:val="fr-FR" w:eastAsia="ja-JP"/>
        </w:rPr>
        <w:t>, le</w:t>
      </w:r>
      <w:r w:rsidR="00497F1A">
        <w:rPr>
          <w:rFonts w:cs="Times New Roman"/>
          <w:color w:val="auto"/>
          <w:sz w:val="20"/>
          <w:lang w:val="fr-FR" w:eastAsia="ja-JP"/>
        </w:rPr>
        <w:t> TC</w:t>
      </w:r>
      <w:r w:rsidR="00EB1336">
        <w:rPr>
          <w:rFonts w:cs="Times New Roman"/>
          <w:color w:val="auto"/>
          <w:sz w:val="20"/>
          <w:lang w:val="fr-FR" w:eastAsia="ja-JP"/>
        </w:rPr>
        <w:t> :</w:t>
      </w:r>
    </w:p>
    <w:p w:rsidR="003A30C6" w:rsidRPr="00357CE5" w:rsidRDefault="003A30C6" w:rsidP="003A30C6">
      <w:pPr>
        <w:pStyle w:val="Default"/>
        <w:rPr>
          <w:sz w:val="20"/>
          <w:szCs w:val="20"/>
          <w:lang w:val="fr-FR" w:eastAsia="ja-JP"/>
        </w:rPr>
      </w:pPr>
    </w:p>
    <w:p w:rsidR="003A30C6" w:rsidRPr="00357CE5" w:rsidRDefault="00357CE5" w:rsidP="00357CE5">
      <w:pPr>
        <w:pStyle w:val="Default"/>
        <w:numPr>
          <w:ilvl w:val="0"/>
          <w:numId w:val="5"/>
        </w:numPr>
        <w:jc w:val="both"/>
        <w:rPr>
          <w:sz w:val="20"/>
          <w:szCs w:val="20"/>
          <w:lang w:val="fr-FR" w:eastAsia="ja-JP"/>
        </w:rPr>
      </w:pPr>
      <w:r w:rsidRPr="00357CE5">
        <w:rPr>
          <w:sz w:val="20"/>
          <w:szCs w:val="20"/>
          <w:lang w:val="fr-FR"/>
        </w:rPr>
        <w:t>est convenu que des informations complémentaires sur le respect des conditions relatives à un caractère DHS devraient être fournies dans l</w:t>
      </w:r>
      <w:r w:rsidR="00497F1A">
        <w:rPr>
          <w:sz w:val="20"/>
          <w:szCs w:val="20"/>
          <w:lang w:val="fr-FR"/>
        </w:rPr>
        <w:t>’</w:t>
      </w:r>
      <w:r w:rsidRPr="00357CE5">
        <w:rPr>
          <w:sz w:val="20"/>
          <w:szCs w:val="20"/>
          <w:lang w:val="fr-FR"/>
        </w:rPr>
        <w:t>exemple de caractère examiné sur la base d</w:t>
      </w:r>
      <w:r w:rsidR="00497F1A">
        <w:rPr>
          <w:sz w:val="20"/>
          <w:szCs w:val="20"/>
          <w:lang w:val="fr-FR"/>
        </w:rPr>
        <w:t>’</w:t>
      </w:r>
      <w:r w:rsidRPr="00357CE5">
        <w:rPr>
          <w:sz w:val="20"/>
          <w:szCs w:val="20"/>
          <w:lang w:val="fr-FR"/>
        </w:rPr>
        <w:t>un échantillon global</w:t>
      </w:r>
      <w:r w:rsidR="003A30C6" w:rsidRPr="00357CE5">
        <w:rPr>
          <w:sz w:val="20"/>
          <w:szCs w:val="20"/>
          <w:lang w:val="fr-FR" w:eastAsia="ja-JP"/>
        </w:rPr>
        <w:t>;</w:t>
      </w:r>
    </w:p>
    <w:p w:rsidR="003A30C6" w:rsidRPr="00357CE5" w:rsidRDefault="003A30C6" w:rsidP="003A30C6">
      <w:pPr>
        <w:pStyle w:val="Default"/>
        <w:jc w:val="both"/>
        <w:rPr>
          <w:sz w:val="20"/>
          <w:szCs w:val="20"/>
          <w:lang w:val="fr-FR" w:eastAsia="ja-JP"/>
        </w:rPr>
      </w:pPr>
    </w:p>
    <w:p w:rsidR="003A30C6" w:rsidRPr="00357CE5" w:rsidRDefault="00357CE5" w:rsidP="00357CE5">
      <w:pPr>
        <w:pStyle w:val="Default"/>
        <w:numPr>
          <w:ilvl w:val="0"/>
          <w:numId w:val="5"/>
        </w:numPr>
        <w:jc w:val="both"/>
        <w:rPr>
          <w:sz w:val="20"/>
          <w:szCs w:val="20"/>
          <w:lang w:val="fr-FR" w:eastAsia="ja-JP"/>
        </w:rPr>
      </w:pPr>
      <w:r>
        <w:rPr>
          <w:sz w:val="20"/>
          <w:szCs w:val="20"/>
          <w:lang w:val="fr-FR"/>
        </w:rPr>
        <w:t xml:space="preserve">est convenu </w:t>
      </w:r>
      <w:r w:rsidRPr="00357CE5">
        <w:rPr>
          <w:sz w:val="20"/>
          <w:szCs w:val="20"/>
          <w:lang w:val="fr-FR"/>
        </w:rPr>
        <w:t>d</w:t>
      </w:r>
      <w:r w:rsidR="00497F1A">
        <w:rPr>
          <w:sz w:val="20"/>
          <w:szCs w:val="20"/>
          <w:lang w:val="fr-FR"/>
        </w:rPr>
        <w:t>’</w:t>
      </w:r>
      <w:r w:rsidRPr="00357CE5">
        <w:rPr>
          <w:sz w:val="20"/>
          <w:szCs w:val="20"/>
          <w:lang w:val="fr-FR"/>
        </w:rPr>
        <w:t>examiner plus avant s</w:t>
      </w:r>
      <w:r w:rsidR="00497F1A">
        <w:rPr>
          <w:sz w:val="20"/>
          <w:szCs w:val="20"/>
          <w:lang w:val="fr-FR"/>
        </w:rPr>
        <w:t>’</w:t>
      </w:r>
      <w:r w:rsidRPr="00357CE5">
        <w:rPr>
          <w:sz w:val="20"/>
          <w:szCs w:val="20"/>
          <w:lang w:val="fr-FR"/>
        </w:rPr>
        <w:t>il serait nécessaire d</w:t>
      </w:r>
      <w:r w:rsidR="00497F1A">
        <w:rPr>
          <w:sz w:val="20"/>
          <w:szCs w:val="20"/>
          <w:lang w:val="fr-FR"/>
        </w:rPr>
        <w:t>’</w:t>
      </w:r>
      <w:r w:rsidRPr="00357CE5">
        <w:rPr>
          <w:sz w:val="20"/>
          <w:szCs w:val="20"/>
          <w:lang w:val="fr-FR"/>
        </w:rPr>
        <w:t>analyser les plantes isolées pour la validation des caractères examinés sur la base d</w:t>
      </w:r>
      <w:r w:rsidR="00497F1A">
        <w:rPr>
          <w:sz w:val="20"/>
          <w:szCs w:val="20"/>
          <w:lang w:val="fr-FR"/>
        </w:rPr>
        <w:t>’</w:t>
      </w:r>
      <w:r w:rsidRPr="00357CE5">
        <w:rPr>
          <w:sz w:val="20"/>
          <w:szCs w:val="20"/>
          <w:lang w:val="fr-FR"/>
        </w:rPr>
        <w:t xml:space="preserve">échantillons globaux, ainsi que les incidences éventuelles en termes de coût, et </w:t>
      </w:r>
      <w:r>
        <w:rPr>
          <w:sz w:val="20"/>
          <w:szCs w:val="20"/>
          <w:lang w:val="fr-FR"/>
        </w:rPr>
        <w:t xml:space="preserve">a </w:t>
      </w:r>
      <w:r w:rsidRPr="00357CE5">
        <w:rPr>
          <w:sz w:val="20"/>
          <w:szCs w:val="20"/>
          <w:lang w:val="fr-FR"/>
        </w:rPr>
        <w:t>invit</w:t>
      </w:r>
      <w:r>
        <w:rPr>
          <w:sz w:val="20"/>
          <w:szCs w:val="20"/>
          <w:lang w:val="fr-FR"/>
        </w:rPr>
        <w:t>é</w:t>
      </w:r>
      <w:r w:rsidRPr="00357CE5">
        <w:rPr>
          <w:sz w:val="20"/>
          <w:szCs w:val="20"/>
          <w:lang w:val="fr-FR"/>
        </w:rPr>
        <w:t xml:space="preserve"> les groupes de travail technique à proposer d</w:t>
      </w:r>
      <w:r w:rsidR="00497F1A">
        <w:rPr>
          <w:sz w:val="20"/>
          <w:szCs w:val="20"/>
          <w:lang w:val="fr-FR"/>
        </w:rPr>
        <w:t>’</w:t>
      </w:r>
      <w:r w:rsidRPr="00357CE5">
        <w:rPr>
          <w:sz w:val="20"/>
          <w:szCs w:val="20"/>
          <w:lang w:val="fr-FR"/>
        </w:rPr>
        <w:t>autres approches pour l</w:t>
      </w:r>
      <w:r w:rsidR="00497F1A">
        <w:rPr>
          <w:sz w:val="20"/>
          <w:szCs w:val="20"/>
          <w:lang w:val="fr-FR"/>
        </w:rPr>
        <w:t>’</w:t>
      </w:r>
      <w:r w:rsidRPr="00357CE5">
        <w:rPr>
          <w:sz w:val="20"/>
          <w:szCs w:val="20"/>
          <w:lang w:val="fr-FR"/>
        </w:rPr>
        <w:t>examen de l</w:t>
      </w:r>
      <w:r w:rsidR="00497F1A">
        <w:rPr>
          <w:sz w:val="20"/>
          <w:szCs w:val="20"/>
          <w:lang w:val="fr-FR"/>
        </w:rPr>
        <w:t>’</w:t>
      </w:r>
      <w:r w:rsidRPr="00357CE5">
        <w:rPr>
          <w:sz w:val="20"/>
          <w:szCs w:val="20"/>
          <w:lang w:val="fr-FR"/>
        </w:rPr>
        <w:t>homogénéité</w:t>
      </w:r>
      <w:r w:rsidR="003A30C6" w:rsidRPr="00357CE5">
        <w:rPr>
          <w:sz w:val="20"/>
          <w:szCs w:val="20"/>
          <w:lang w:val="fr-FR"/>
        </w:rPr>
        <w:t>;</w:t>
      </w:r>
    </w:p>
    <w:p w:rsidR="003A30C6" w:rsidRPr="00357CE5" w:rsidRDefault="003A30C6" w:rsidP="003A30C6">
      <w:pPr>
        <w:pStyle w:val="Default"/>
        <w:rPr>
          <w:sz w:val="20"/>
          <w:szCs w:val="20"/>
          <w:lang w:val="fr-FR" w:eastAsia="ja-JP"/>
        </w:rPr>
      </w:pPr>
    </w:p>
    <w:p w:rsidR="00497F1A" w:rsidRDefault="00357CE5" w:rsidP="00357CE5">
      <w:pPr>
        <w:pStyle w:val="Default"/>
        <w:numPr>
          <w:ilvl w:val="0"/>
          <w:numId w:val="5"/>
        </w:num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est convenu</w:t>
      </w:r>
      <w:r w:rsidR="003A30C6" w:rsidRPr="00357CE5">
        <w:rPr>
          <w:sz w:val="20"/>
          <w:szCs w:val="20"/>
          <w:lang w:val="fr-FR"/>
        </w:rPr>
        <w:t xml:space="preserve"> </w:t>
      </w:r>
      <w:r w:rsidRPr="00357CE5">
        <w:rPr>
          <w:sz w:val="20"/>
          <w:szCs w:val="20"/>
          <w:lang w:val="fr-FR"/>
        </w:rPr>
        <w:t>d</w:t>
      </w:r>
      <w:r w:rsidR="00497F1A">
        <w:rPr>
          <w:sz w:val="20"/>
          <w:szCs w:val="20"/>
          <w:lang w:val="fr-FR"/>
        </w:rPr>
        <w:t>’</w:t>
      </w:r>
      <w:r w:rsidRPr="00357CE5">
        <w:rPr>
          <w:sz w:val="20"/>
          <w:szCs w:val="20"/>
          <w:lang w:val="fr-FR"/>
        </w:rPr>
        <w:t>examiner plus avant si les caractères examinés sur la base d</w:t>
      </w:r>
      <w:r w:rsidR="00497F1A">
        <w:rPr>
          <w:sz w:val="20"/>
          <w:szCs w:val="20"/>
          <w:lang w:val="fr-FR"/>
        </w:rPr>
        <w:t>’</w:t>
      </w:r>
      <w:r w:rsidRPr="00357CE5">
        <w:rPr>
          <w:sz w:val="20"/>
          <w:szCs w:val="20"/>
          <w:lang w:val="fr-FR"/>
        </w:rPr>
        <w:t>échantillons globaux devraient être évalués en se fondant sur le nombre de plantes recommandé dans les principes directeurs d</w:t>
      </w:r>
      <w:r w:rsidR="00497F1A">
        <w:rPr>
          <w:sz w:val="20"/>
          <w:szCs w:val="20"/>
          <w:lang w:val="fr-FR"/>
        </w:rPr>
        <w:t>’</w:t>
      </w:r>
      <w:r w:rsidRPr="00357CE5">
        <w:rPr>
          <w:sz w:val="20"/>
          <w:szCs w:val="20"/>
          <w:lang w:val="fr-FR"/>
        </w:rPr>
        <w:t>examen au chapitre</w:t>
      </w:r>
      <w:r w:rsidR="009F4C6C">
        <w:rPr>
          <w:sz w:val="20"/>
          <w:szCs w:val="20"/>
          <w:lang w:val="fr-FR"/>
        </w:rPr>
        <w:t> </w:t>
      </w:r>
      <w:r w:rsidRPr="00357CE5">
        <w:rPr>
          <w:sz w:val="20"/>
          <w:szCs w:val="20"/>
          <w:lang w:val="fr-FR"/>
        </w:rPr>
        <w:t>4.1.4</w:t>
      </w:r>
      <w:r w:rsidR="003A30C6" w:rsidRPr="00357CE5">
        <w:rPr>
          <w:sz w:val="20"/>
          <w:szCs w:val="20"/>
          <w:lang w:val="fr-FR"/>
        </w:rPr>
        <w:t>;</w:t>
      </w:r>
    </w:p>
    <w:p w:rsidR="003A30C6" w:rsidRPr="00357CE5" w:rsidRDefault="003A30C6" w:rsidP="003A30C6">
      <w:pPr>
        <w:pStyle w:val="Default"/>
        <w:rPr>
          <w:sz w:val="20"/>
          <w:szCs w:val="20"/>
          <w:lang w:val="fr-FR" w:eastAsia="ja-JP"/>
        </w:rPr>
      </w:pPr>
    </w:p>
    <w:p w:rsidR="00497F1A" w:rsidRDefault="00357CE5" w:rsidP="00357CE5">
      <w:pPr>
        <w:pStyle w:val="Default"/>
        <w:numPr>
          <w:ilvl w:val="0"/>
          <w:numId w:val="5"/>
        </w:numPr>
        <w:jc w:val="both"/>
        <w:rPr>
          <w:sz w:val="20"/>
          <w:szCs w:val="20"/>
          <w:lang w:val="fr-FR" w:eastAsia="ja-JP"/>
        </w:rPr>
      </w:pPr>
      <w:r>
        <w:rPr>
          <w:sz w:val="20"/>
          <w:szCs w:val="20"/>
          <w:lang w:val="fr-FR"/>
        </w:rPr>
        <w:t xml:space="preserve">est convenu </w:t>
      </w:r>
      <w:r w:rsidRPr="00357CE5">
        <w:rPr>
          <w:sz w:val="20"/>
          <w:szCs w:val="20"/>
          <w:lang w:val="fr-FR"/>
        </w:rPr>
        <w:t>que la détermination des niveaux d</w:t>
      </w:r>
      <w:r w:rsidR="00497F1A">
        <w:rPr>
          <w:sz w:val="20"/>
          <w:szCs w:val="20"/>
          <w:lang w:val="fr-FR"/>
        </w:rPr>
        <w:t>’</w:t>
      </w:r>
      <w:r w:rsidRPr="00357CE5">
        <w:rPr>
          <w:sz w:val="20"/>
          <w:szCs w:val="20"/>
          <w:lang w:val="fr-FR"/>
        </w:rPr>
        <w:t>expression devrait être fondée sur la variation existante entre les variétés et tenir compte de l</w:t>
      </w:r>
      <w:r w:rsidR="00497F1A">
        <w:rPr>
          <w:sz w:val="20"/>
          <w:szCs w:val="20"/>
          <w:lang w:val="fr-FR"/>
        </w:rPr>
        <w:t>’</w:t>
      </w:r>
      <w:r w:rsidRPr="00357CE5">
        <w:rPr>
          <w:sz w:val="20"/>
          <w:szCs w:val="20"/>
          <w:lang w:val="fr-FR"/>
        </w:rPr>
        <w:t>influence de l</w:t>
      </w:r>
      <w:r w:rsidR="00497F1A">
        <w:rPr>
          <w:sz w:val="20"/>
          <w:szCs w:val="20"/>
          <w:lang w:val="fr-FR"/>
        </w:rPr>
        <w:t>’</w:t>
      </w:r>
      <w:r w:rsidRPr="00357CE5">
        <w:rPr>
          <w:sz w:val="20"/>
          <w:szCs w:val="20"/>
          <w:lang w:val="fr-FR"/>
        </w:rPr>
        <w:t>environnement</w:t>
      </w:r>
      <w:r w:rsidR="003A30C6" w:rsidRPr="00357CE5">
        <w:rPr>
          <w:sz w:val="20"/>
          <w:szCs w:val="20"/>
          <w:lang w:val="fr-FR" w:eastAsia="ja-JP"/>
        </w:rPr>
        <w:t xml:space="preserve">; </w:t>
      </w:r>
      <w:r w:rsidRPr="00357CE5">
        <w:rPr>
          <w:sz w:val="20"/>
          <w:szCs w:val="20"/>
          <w:lang w:val="fr-FR" w:eastAsia="ja-JP"/>
        </w:rPr>
        <w:t xml:space="preserve"> et</w:t>
      </w:r>
    </w:p>
    <w:p w:rsidR="003A30C6" w:rsidRPr="00357CE5" w:rsidRDefault="003A30C6" w:rsidP="003A30C6">
      <w:pPr>
        <w:jc w:val="left"/>
        <w:rPr>
          <w:lang w:val="fr-FR" w:eastAsia="ja-JP"/>
        </w:rPr>
      </w:pPr>
    </w:p>
    <w:p w:rsidR="003A30C6" w:rsidRPr="00357CE5" w:rsidRDefault="00357CE5" w:rsidP="00357CE5">
      <w:pPr>
        <w:pStyle w:val="ListParagraph"/>
        <w:numPr>
          <w:ilvl w:val="0"/>
          <w:numId w:val="5"/>
        </w:numPr>
        <w:rPr>
          <w:lang w:val="fr-FR" w:eastAsia="ja-JP"/>
        </w:rPr>
      </w:pPr>
      <w:r>
        <w:rPr>
          <w:lang w:val="fr-FR"/>
        </w:rPr>
        <w:t>s</w:t>
      </w:r>
      <w:r w:rsidR="00497F1A">
        <w:rPr>
          <w:lang w:val="fr-FR"/>
        </w:rPr>
        <w:t>’</w:t>
      </w:r>
      <w:r>
        <w:rPr>
          <w:lang w:val="fr-FR"/>
        </w:rPr>
        <w:t>est félicité</w:t>
      </w:r>
      <w:r w:rsidRPr="00357CE5">
        <w:rPr>
          <w:lang w:val="fr-FR"/>
        </w:rPr>
        <w:t xml:space="preserve"> de l</w:t>
      </w:r>
      <w:r w:rsidR="00497F1A">
        <w:rPr>
          <w:lang w:val="fr-FR"/>
        </w:rPr>
        <w:t>’</w:t>
      </w:r>
      <w:r w:rsidRPr="00357CE5">
        <w:rPr>
          <w:lang w:val="fr-FR"/>
        </w:rPr>
        <w:t>offre de la France visant à fournir d</w:t>
      </w:r>
      <w:r w:rsidR="00497F1A">
        <w:rPr>
          <w:lang w:val="fr-FR"/>
        </w:rPr>
        <w:t>’</w:t>
      </w:r>
      <w:r w:rsidRPr="00357CE5">
        <w:rPr>
          <w:lang w:val="fr-FR"/>
        </w:rPr>
        <w:t>autres exemples de caractères sur la base d</w:t>
      </w:r>
      <w:r w:rsidR="00497F1A">
        <w:rPr>
          <w:lang w:val="fr-FR"/>
        </w:rPr>
        <w:t>’</w:t>
      </w:r>
      <w:r w:rsidRPr="00357CE5">
        <w:rPr>
          <w:lang w:val="fr-FR"/>
        </w:rPr>
        <w:t>échantillons globaux et</w:t>
      </w:r>
      <w:r w:rsidR="00DF5A8A">
        <w:rPr>
          <w:lang w:val="fr-FR"/>
        </w:rPr>
        <w:t xml:space="preserve"> a</w:t>
      </w:r>
      <w:r w:rsidRPr="00357CE5">
        <w:rPr>
          <w:lang w:val="fr-FR"/>
        </w:rPr>
        <w:t xml:space="preserve"> invit</w:t>
      </w:r>
      <w:r w:rsidR="00DF5A8A">
        <w:rPr>
          <w:lang w:val="fr-FR"/>
        </w:rPr>
        <w:t>é</w:t>
      </w:r>
      <w:r w:rsidRPr="00357CE5">
        <w:rPr>
          <w:lang w:val="fr-FR"/>
        </w:rPr>
        <w:t xml:space="preserve"> d</w:t>
      </w:r>
      <w:r w:rsidR="00497F1A">
        <w:rPr>
          <w:lang w:val="fr-FR"/>
        </w:rPr>
        <w:t>’</w:t>
      </w:r>
      <w:r w:rsidRPr="00357CE5">
        <w:rPr>
          <w:lang w:val="fr-FR"/>
        </w:rPr>
        <w:t>autres membres à fournir des exemples</w:t>
      </w:r>
      <w:r w:rsidR="003A30C6" w:rsidRPr="00357CE5">
        <w:rPr>
          <w:lang w:val="fr-FR"/>
        </w:rPr>
        <w:t>.</w:t>
      </w:r>
    </w:p>
    <w:p w:rsidR="003A30C6" w:rsidRPr="004513C7" w:rsidRDefault="003A30C6" w:rsidP="00916968">
      <w:pPr>
        <w:rPr>
          <w:lang w:val="fr-FR"/>
        </w:rPr>
      </w:pPr>
    </w:p>
    <w:p w:rsidR="008F37AE" w:rsidRPr="004513C7" w:rsidRDefault="008F37AE" w:rsidP="00916968">
      <w:pPr>
        <w:pStyle w:val="Heading2"/>
        <w:rPr>
          <w:snapToGrid w:val="0"/>
          <w:lang w:val="fr-FR" w:eastAsia="ja-JP"/>
        </w:rPr>
      </w:pPr>
      <w:bookmarkStart w:id="15" w:name="_Toc442168905"/>
      <w:r w:rsidRPr="004513C7">
        <w:rPr>
          <w:snapToGrid w:val="0"/>
          <w:lang w:val="fr-FR" w:eastAsia="ja-JP"/>
        </w:rPr>
        <w:t>Groupes de travail technique</w:t>
      </w:r>
      <w:bookmarkEnd w:id="15"/>
      <w:r w:rsidR="00EB1336">
        <w:rPr>
          <w:snapToGrid w:val="0"/>
          <w:lang w:val="fr-FR" w:eastAsia="ja-JP"/>
        </w:rPr>
        <w:t>s</w:t>
      </w:r>
    </w:p>
    <w:p w:rsidR="008F37AE" w:rsidRPr="004513C7" w:rsidRDefault="008F37AE" w:rsidP="00916968">
      <w:pPr>
        <w:rPr>
          <w:lang w:val="fr-FR" w:eastAsia="ja-JP"/>
        </w:rPr>
      </w:pPr>
    </w:p>
    <w:p w:rsidR="003A30C6" w:rsidRPr="00A113CF" w:rsidRDefault="003A30C6" w:rsidP="003A30C6">
      <w:pPr>
        <w:rPr>
          <w:snapToGrid w:val="0"/>
          <w:lang w:val="fr-FR"/>
        </w:rPr>
      </w:pPr>
      <w:r w:rsidRPr="00A113CF">
        <w:rPr>
          <w:snapToGrid w:val="0"/>
          <w:lang w:val="fr-FR"/>
        </w:rPr>
        <w:fldChar w:fldCharType="begin"/>
      </w:r>
      <w:r w:rsidRPr="00A113CF">
        <w:rPr>
          <w:snapToGrid w:val="0"/>
          <w:lang w:val="fr-FR"/>
        </w:rPr>
        <w:instrText xml:space="preserve"> AUTONUM  </w:instrText>
      </w:r>
      <w:r w:rsidRPr="00A113CF">
        <w:rPr>
          <w:snapToGrid w:val="0"/>
          <w:lang w:val="fr-FR"/>
        </w:rPr>
        <w:fldChar w:fldCharType="end"/>
      </w:r>
      <w:r w:rsidRPr="00A113CF">
        <w:rPr>
          <w:snapToGrid w:val="0"/>
          <w:lang w:val="fr-FR"/>
        </w:rPr>
        <w:tab/>
      </w:r>
      <w:r w:rsidR="00A113CF" w:rsidRPr="00A113CF">
        <w:rPr>
          <w:snapToGrid w:val="0"/>
          <w:lang w:val="fr-FR"/>
        </w:rPr>
        <w:t>Le</w:t>
      </w:r>
      <w:r w:rsidRPr="00A113CF">
        <w:rPr>
          <w:snapToGrid w:val="0"/>
          <w:lang w:val="fr-FR"/>
        </w:rPr>
        <w:t xml:space="preserve"> TWV,</w:t>
      </w:r>
      <w:r w:rsidR="00497F1A" w:rsidRPr="00A113CF">
        <w:rPr>
          <w:snapToGrid w:val="0"/>
          <w:lang w:val="fr-FR"/>
        </w:rPr>
        <w:t xml:space="preserve"> le</w:t>
      </w:r>
      <w:r w:rsidR="00497F1A">
        <w:rPr>
          <w:snapToGrid w:val="0"/>
          <w:lang w:val="fr-FR"/>
        </w:rPr>
        <w:t> </w:t>
      </w:r>
      <w:r w:rsidR="00497F1A" w:rsidRPr="00A113CF">
        <w:rPr>
          <w:snapToGrid w:val="0"/>
          <w:lang w:val="fr-FR"/>
        </w:rPr>
        <w:t>TWC</w:t>
      </w:r>
      <w:r w:rsidRPr="00A113CF">
        <w:rPr>
          <w:snapToGrid w:val="0"/>
          <w:lang w:val="fr-FR"/>
        </w:rPr>
        <w:t>,</w:t>
      </w:r>
      <w:r w:rsidR="00497F1A" w:rsidRPr="00A113CF">
        <w:rPr>
          <w:snapToGrid w:val="0"/>
          <w:lang w:val="fr-FR"/>
        </w:rPr>
        <w:t xml:space="preserve"> le</w:t>
      </w:r>
      <w:r w:rsidR="00497F1A">
        <w:rPr>
          <w:snapToGrid w:val="0"/>
          <w:lang w:val="fr-FR"/>
        </w:rPr>
        <w:t> </w:t>
      </w:r>
      <w:r w:rsidR="00497F1A" w:rsidRPr="00A113CF">
        <w:rPr>
          <w:snapToGrid w:val="0"/>
          <w:lang w:val="fr-FR"/>
        </w:rPr>
        <w:t>TWA</w:t>
      </w:r>
      <w:r w:rsidRPr="00A113CF">
        <w:rPr>
          <w:snapToGrid w:val="0"/>
          <w:lang w:val="fr-FR"/>
        </w:rPr>
        <w:t>,</w:t>
      </w:r>
      <w:r w:rsidR="00497F1A" w:rsidRPr="00A113CF">
        <w:rPr>
          <w:snapToGrid w:val="0"/>
          <w:lang w:val="fr-FR"/>
        </w:rPr>
        <w:t xml:space="preserve"> le</w:t>
      </w:r>
      <w:r w:rsidR="00497F1A">
        <w:rPr>
          <w:snapToGrid w:val="0"/>
          <w:lang w:val="fr-FR"/>
        </w:rPr>
        <w:t> </w:t>
      </w:r>
      <w:r w:rsidR="00497F1A" w:rsidRPr="00A113CF">
        <w:rPr>
          <w:snapToGrid w:val="0"/>
          <w:lang w:val="fr-FR"/>
        </w:rPr>
        <w:t>TWF</w:t>
      </w:r>
      <w:r w:rsidRPr="00A113CF">
        <w:rPr>
          <w:snapToGrid w:val="0"/>
          <w:lang w:val="fr-FR"/>
        </w:rPr>
        <w:t xml:space="preserve"> </w:t>
      </w:r>
      <w:r w:rsidR="00A113CF" w:rsidRPr="00A113CF">
        <w:rPr>
          <w:snapToGrid w:val="0"/>
          <w:lang w:val="fr-FR"/>
        </w:rPr>
        <w:t>et</w:t>
      </w:r>
      <w:r w:rsidR="00497F1A" w:rsidRPr="00A113CF">
        <w:rPr>
          <w:snapToGrid w:val="0"/>
          <w:lang w:val="fr-FR"/>
        </w:rPr>
        <w:t xml:space="preserve"> le</w:t>
      </w:r>
      <w:r w:rsidR="00497F1A">
        <w:rPr>
          <w:snapToGrid w:val="0"/>
          <w:lang w:val="fr-FR"/>
        </w:rPr>
        <w:t> </w:t>
      </w:r>
      <w:r w:rsidR="00497F1A" w:rsidRPr="00A113CF">
        <w:rPr>
          <w:snapToGrid w:val="0"/>
          <w:lang w:val="fr-FR"/>
        </w:rPr>
        <w:t>TWO</w:t>
      </w:r>
      <w:r w:rsidRPr="00A113CF">
        <w:rPr>
          <w:snapToGrid w:val="0"/>
          <w:lang w:val="fr-FR"/>
        </w:rPr>
        <w:t xml:space="preserve"> </w:t>
      </w:r>
      <w:r w:rsidR="00A113CF" w:rsidRPr="00A113CF">
        <w:rPr>
          <w:snapToGrid w:val="0"/>
          <w:lang w:val="fr-FR"/>
        </w:rPr>
        <w:t>ont respectivement examiné les</w:t>
      </w:r>
      <w:r w:rsidRPr="00A113CF">
        <w:rPr>
          <w:snapToGrid w:val="0"/>
          <w:lang w:val="fr-FR"/>
        </w:rPr>
        <w:t xml:space="preserve"> documents TWV/49/17, TWC/33/17, TWA/44/17, TWF/46/17 </w:t>
      </w:r>
      <w:r w:rsidR="00A113CF" w:rsidRPr="00A113CF">
        <w:rPr>
          <w:snapToGrid w:val="0"/>
          <w:lang w:val="fr-FR"/>
        </w:rPr>
        <w:t xml:space="preserve">et TWO/48/17 </w:t>
      </w:r>
      <w:r w:rsidRPr="00A113CF">
        <w:rPr>
          <w:snapToGrid w:val="0"/>
          <w:lang w:val="fr-FR"/>
        </w:rPr>
        <w:t>(</w:t>
      </w:r>
      <w:r w:rsidR="00A113CF" w:rsidRPr="00A113CF">
        <w:rPr>
          <w:snapToGrid w:val="0"/>
          <w:lang w:val="fr-FR"/>
        </w:rPr>
        <w:t>voir les paragraphes</w:t>
      </w:r>
      <w:r w:rsidR="009F4C6C">
        <w:rPr>
          <w:snapToGrid w:val="0"/>
          <w:lang w:val="fr-FR"/>
        </w:rPr>
        <w:t> </w:t>
      </w:r>
      <w:r w:rsidR="00A113CF" w:rsidRPr="00A113CF">
        <w:rPr>
          <w:snapToGrid w:val="0"/>
          <w:lang w:val="fr-FR"/>
        </w:rPr>
        <w:t>49 à 57 du</w:t>
      </w:r>
      <w:r w:rsidRPr="00A113CF">
        <w:rPr>
          <w:snapToGrid w:val="0"/>
          <w:lang w:val="fr-FR"/>
        </w:rPr>
        <w:t xml:space="preserve"> document TWV/49/32</w:t>
      </w:r>
      <w:r w:rsidR="009F4C6C">
        <w:rPr>
          <w:snapToGrid w:val="0"/>
          <w:lang w:val="fr-FR"/>
        </w:rPr>
        <w:t> </w:t>
      </w:r>
      <w:proofErr w:type="spellStart"/>
      <w:r w:rsidRPr="00A113CF">
        <w:rPr>
          <w:snapToGrid w:val="0"/>
          <w:lang w:val="fr-FR"/>
        </w:rPr>
        <w:t>Rev</w:t>
      </w:r>
      <w:proofErr w:type="spellEnd"/>
      <w:r w:rsidRPr="00A113CF">
        <w:rPr>
          <w:snapToGrid w:val="0"/>
          <w:lang w:val="fr-FR"/>
        </w:rPr>
        <w:t>. “</w:t>
      </w:r>
      <w:proofErr w:type="spellStart"/>
      <w:r w:rsidR="00EB1336" w:rsidRPr="00EB1336">
        <w:rPr>
          <w:i/>
          <w:snapToGrid w:val="0"/>
          <w:lang w:val="fr-FR"/>
        </w:rPr>
        <w:t>Revised</w:t>
      </w:r>
      <w:proofErr w:type="spellEnd"/>
      <w:r w:rsidR="00EB1336" w:rsidRPr="00EB1336">
        <w:rPr>
          <w:i/>
          <w:snapToGrid w:val="0"/>
          <w:lang w:val="fr-FR"/>
        </w:rPr>
        <w:t xml:space="preserve"> </w:t>
      </w:r>
      <w:r w:rsidRPr="00EB1336">
        <w:rPr>
          <w:i/>
          <w:snapToGrid w:val="0"/>
          <w:lang w:val="fr-FR"/>
        </w:rPr>
        <w:t>Report</w:t>
      </w:r>
      <w:r w:rsidRPr="00A113CF">
        <w:rPr>
          <w:snapToGrid w:val="0"/>
          <w:lang w:val="fr-FR"/>
        </w:rPr>
        <w:t xml:space="preserve">”, </w:t>
      </w:r>
      <w:r w:rsidR="00A113CF" w:rsidRPr="00A113CF">
        <w:rPr>
          <w:snapToGrid w:val="0"/>
          <w:lang w:val="fr-FR"/>
        </w:rPr>
        <w:t>les paragraphes</w:t>
      </w:r>
      <w:r w:rsidR="009F4C6C">
        <w:rPr>
          <w:snapToGrid w:val="0"/>
          <w:lang w:val="fr-FR"/>
        </w:rPr>
        <w:t> </w:t>
      </w:r>
      <w:r w:rsidR="00A113CF" w:rsidRPr="00A113CF">
        <w:rPr>
          <w:snapToGrid w:val="0"/>
          <w:lang w:val="fr-FR"/>
        </w:rPr>
        <w:t xml:space="preserve">28 à 35 du document </w:t>
      </w:r>
      <w:r w:rsidRPr="00A113CF">
        <w:rPr>
          <w:snapToGrid w:val="0"/>
          <w:lang w:val="fr-FR"/>
        </w:rPr>
        <w:t>TWC/33/30 “</w:t>
      </w:r>
      <w:r w:rsidRPr="00EB1336">
        <w:rPr>
          <w:i/>
          <w:snapToGrid w:val="0"/>
          <w:lang w:val="fr-FR"/>
        </w:rPr>
        <w:t>Report</w:t>
      </w:r>
      <w:r w:rsidRPr="00A113CF">
        <w:rPr>
          <w:snapToGrid w:val="0"/>
          <w:lang w:val="fr-FR"/>
        </w:rPr>
        <w:t xml:space="preserve">”, </w:t>
      </w:r>
      <w:r w:rsidR="00A113CF" w:rsidRPr="00A113CF">
        <w:rPr>
          <w:snapToGrid w:val="0"/>
          <w:lang w:val="fr-FR"/>
        </w:rPr>
        <w:t>les paragraphes</w:t>
      </w:r>
      <w:r w:rsidR="009F4C6C">
        <w:rPr>
          <w:snapToGrid w:val="0"/>
          <w:lang w:val="fr-FR"/>
        </w:rPr>
        <w:t> </w:t>
      </w:r>
      <w:r w:rsidR="00A113CF" w:rsidRPr="00A113CF">
        <w:rPr>
          <w:snapToGrid w:val="0"/>
          <w:lang w:val="fr-FR"/>
        </w:rPr>
        <w:t xml:space="preserve">42 à 47 du document </w:t>
      </w:r>
      <w:r w:rsidRPr="00A113CF">
        <w:rPr>
          <w:snapToGrid w:val="0"/>
          <w:lang w:val="fr-FR"/>
        </w:rPr>
        <w:t>TWA/44/23</w:t>
      </w:r>
      <w:r w:rsidR="00EB1336">
        <w:rPr>
          <w:snapToGrid w:val="0"/>
          <w:lang w:val="fr-FR"/>
        </w:rPr>
        <w:t xml:space="preserve"> </w:t>
      </w:r>
      <w:r w:rsidR="00EB1336">
        <w:rPr>
          <w:snapToGrid w:val="0"/>
        </w:rPr>
        <w:t>“</w:t>
      </w:r>
      <w:r w:rsidR="00EB1336" w:rsidRPr="00EB1336">
        <w:rPr>
          <w:i/>
          <w:snapToGrid w:val="0"/>
        </w:rPr>
        <w:t>Report</w:t>
      </w:r>
      <w:r w:rsidR="00EB1336">
        <w:rPr>
          <w:snapToGrid w:val="0"/>
        </w:rPr>
        <w:t>”</w:t>
      </w:r>
      <w:r w:rsidRPr="00A113CF">
        <w:rPr>
          <w:snapToGrid w:val="0"/>
          <w:lang w:val="fr-FR"/>
        </w:rPr>
        <w:t xml:space="preserve">, </w:t>
      </w:r>
      <w:r w:rsidR="00A113CF" w:rsidRPr="00A113CF">
        <w:rPr>
          <w:snapToGrid w:val="0"/>
          <w:lang w:val="fr-FR"/>
        </w:rPr>
        <w:t>les paragraphes</w:t>
      </w:r>
      <w:r w:rsidR="009F4C6C">
        <w:rPr>
          <w:snapToGrid w:val="0"/>
          <w:lang w:val="fr-FR"/>
        </w:rPr>
        <w:t> </w:t>
      </w:r>
      <w:r w:rsidR="00A113CF" w:rsidRPr="00A113CF">
        <w:rPr>
          <w:snapToGrid w:val="0"/>
          <w:lang w:val="fr-FR"/>
        </w:rPr>
        <w:t xml:space="preserve">45 à 50 du document </w:t>
      </w:r>
      <w:r w:rsidRPr="00A113CF">
        <w:rPr>
          <w:snapToGrid w:val="0"/>
          <w:lang w:val="fr-FR"/>
        </w:rPr>
        <w:t>TWF/46/2</w:t>
      </w:r>
      <w:r w:rsidR="00DF5A8A">
        <w:rPr>
          <w:snapToGrid w:val="0"/>
          <w:lang w:val="fr-FR"/>
        </w:rPr>
        <w:t>9</w:t>
      </w:r>
      <w:r w:rsidR="00EB1336">
        <w:rPr>
          <w:snapToGrid w:val="0"/>
          <w:lang w:val="fr-FR"/>
        </w:rPr>
        <w:t> </w:t>
      </w:r>
      <w:proofErr w:type="spellStart"/>
      <w:r w:rsidR="00EB1336">
        <w:rPr>
          <w:snapToGrid w:val="0"/>
          <w:lang w:val="fr-FR"/>
        </w:rPr>
        <w:t>Rev</w:t>
      </w:r>
      <w:proofErr w:type="spellEnd"/>
      <w:r w:rsidR="00EB1336">
        <w:rPr>
          <w:snapToGrid w:val="0"/>
          <w:lang w:val="fr-FR"/>
        </w:rPr>
        <w:t>.</w:t>
      </w:r>
      <w:r w:rsidR="00DF5A8A">
        <w:rPr>
          <w:snapToGrid w:val="0"/>
          <w:lang w:val="fr-FR"/>
        </w:rPr>
        <w:t xml:space="preserve"> “</w:t>
      </w:r>
      <w:proofErr w:type="spellStart"/>
      <w:r w:rsidR="00EB1336" w:rsidRPr="00EB1336">
        <w:rPr>
          <w:i/>
          <w:snapToGrid w:val="0"/>
          <w:lang w:val="fr-FR"/>
        </w:rPr>
        <w:t>Revised</w:t>
      </w:r>
      <w:proofErr w:type="spellEnd"/>
      <w:r w:rsidR="00EB1336" w:rsidRPr="00EB1336">
        <w:rPr>
          <w:i/>
          <w:snapToGrid w:val="0"/>
          <w:lang w:val="fr-FR"/>
        </w:rPr>
        <w:t xml:space="preserve"> </w:t>
      </w:r>
      <w:r w:rsidR="00DF5A8A" w:rsidRPr="00EB1336">
        <w:rPr>
          <w:i/>
          <w:snapToGrid w:val="0"/>
          <w:lang w:val="fr-FR"/>
        </w:rPr>
        <w:t>Report</w:t>
      </w:r>
      <w:r w:rsidR="00DF5A8A">
        <w:rPr>
          <w:snapToGrid w:val="0"/>
          <w:lang w:val="fr-FR"/>
        </w:rPr>
        <w:t>”</w:t>
      </w:r>
      <w:r w:rsidRPr="00A113CF">
        <w:rPr>
          <w:snapToGrid w:val="0"/>
          <w:lang w:val="fr-FR"/>
        </w:rPr>
        <w:t xml:space="preserve"> </w:t>
      </w:r>
      <w:r w:rsidR="00A113CF" w:rsidRPr="00A113CF">
        <w:rPr>
          <w:snapToGrid w:val="0"/>
          <w:lang w:val="fr-FR"/>
        </w:rPr>
        <w:t>et les paragraphes</w:t>
      </w:r>
      <w:r w:rsidR="009F4C6C">
        <w:rPr>
          <w:snapToGrid w:val="0"/>
          <w:lang w:val="fr-FR"/>
        </w:rPr>
        <w:t> </w:t>
      </w:r>
      <w:r w:rsidR="00A113CF" w:rsidRPr="00A113CF">
        <w:rPr>
          <w:snapToGrid w:val="0"/>
          <w:lang w:val="fr-FR"/>
        </w:rPr>
        <w:t>38 à 45 du document</w:t>
      </w:r>
      <w:r w:rsidRPr="00A113CF">
        <w:rPr>
          <w:snapToGrid w:val="0"/>
          <w:lang w:val="fr-FR"/>
        </w:rPr>
        <w:t xml:space="preserve"> TWO/48/26 “</w:t>
      </w:r>
      <w:r w:rsidRPr="00EB1336">
        <w:rPr>
          <w:i/>
          <w:snapToGrid w:val="0"/>
          <w:lang w:val="fr-FR"/>
        </w:rPr>
        <w:t>Report</w:t>
      </w:r>
      <w:r w:rsidRPr="00A113CF">
        <w:rPr>
          <w:snapToGrid w:val="0"/>
          <w:lang w:val="fr-FR"/>
        </w:rPr>
        <w:t>”).</w:t>
      </w:r>
    </w:p>
    <w:p w:rsidR="003A30C6" w:rsidRPr="00A113CF" w:rsidRDefault="003A30C6" w:rsidP="003A30C6">
      <w:pPr>
        <w:rPr>
          <w:snapToGrid w:val="0"/>
          <w:lang w:val="fr-FR"/>
        </w:rPr>
      </w:pPr>
    </w:p>
    <w:p w:rsidR="00497F1A" w:rsidRDefault="003A30C6" w:rsidP="003A30C6">
      <w:pPr>
        <w:rPr>
          <w:snapToGrid w:val="0"/>
          <w:lang w:val="fr-FR"/>
        </w:rPr>
      </w:pPr>
      <w:r w:rsidRPr="00A113CF">
        <w:rPr>
          <w:snapToGrid w:val="0"/>
          <w:lang w:val="fr-FR"/>
        </w:rPr>
        <w:fldChar w:fldCharType="begin"/>
      </w:r>
      <w:r w:rsidRPr="00A113CF">
        <w:rPr>
          <w:snapToGrid w:val="0"/>
          <w:lang w:val="fr-FR"/>
        </w:rPr>
        <w:instrText xml:space="preserve"> AUTONUM  </w:instrText>
      </w:r>
      <w:r w:rsidRPr="00A113CF">
        <w:rPr>
          <w:snapToGrid w:val="0"/>
          <w:lang w:val="fr-FR"/>
        </w:rPr>
        <w:fldChar w:fldCharType="end"/>
      </w:r>
      <w:r w:rsidRPr="00A113CF">
        <w:rPr>
          <w:snapToGrid w:val="0"/>
          <w:lang w:val="fr-FR"/>
        </w:rPr>
        <w:tab/>
      </w:r>
      <w:r w:rsidR="00A113CF" w:rsidRPr="00A113CF">
        <w:rPr>
          <w:snapToGrid w:val="0"/>
          <w:lang w:val="fr-FR"/>
        </w:rPr>
        <w:t>Le</w:t>
      </w:r>
      <w:r w:rsidRPr="00A113CF">
        <w:rPr>
          <w:snapToGrid w:val="0"/>
          <w:lang w:val="fr-FR"/>
        </w:rPr>
        <w:t xml:space="preserve"> TWV,</w:t>
      </w:r>
      <w:r w:rsidR="00497F1A" w:rsidRPr="00A113CF">
        <w:rPr>
          <w:snapToGrid w:val="0"/>
          <w:lang w:val="fr-FR"/>
        </w:rPr>
        <w:t xml:space="preserve"> le</w:t>
      </w:r>
      <w:r w:rsidR="00497F1A">
        <w:rPr>
          <w:snapToGrid w:val="0"/>
          <w:lang w:val="fr-FR"/>
        </w:rPr>
        <w:t> </w:t>
      </w:r>
      <w:r w:rsidR="00497F1A" w:rsidRPr="00A113CF">
        <w:rPr>
          <w:snapToGrid w:val="0"/>
          <w:lang w:val="fr-FR"/>
        </w:rPr>
        <w:t>TWC</w:t>
      </w:r>
      <w:r w:rsidRPr="00A113CF">
        <w:rPr>
          <w:snapToGrid w:val="0"/>
          <w:lang w:val="fr-FR"/>
        </w:rPr>
        <w:t>,</w:t>
      </w:r>
      <w:r w:rsidR="00497F1A" w:rsidRPr="00A113CF">
        <w:rPr>
          <w:snapToGrid w:val="0"/>
          <w:lang w:val="fr-FR"/>
        </w:rPr>
        <w:t xml:space="preserve"> le</w:t>
      </w:r>
      <w:r w:rsidR="00497F1A">
        <w:rPr>
          <w:snapToGrid w:val="0"/>
          <w:lang w:val="fr-FR"/>
        </w:rPr>
        <w:t> </w:t>
      </w:r>
      <w:r w:rsidR="00497F1A" w:rsidRPr="00A113CF">
        <w:rPr>
          <w:snapToGrid w:val="0"/>
          <w:lang w:val="fr-FR"/>
        </w:rPr>
        <w:t>TWA</w:t>
      </w:r>
      <w:r w:rsidRPr="00A113CF">
        <w:rPr>
          <w:snapToGrid w:val="0"/>
          <w:lang w:val="fr-FR"/>
        </w:rPr>
        <w:t>,</w:t>
      </w:r>
      <w:r w:rsidR="00497F1A" w:rsidRPr="00A113CF">
        <w:rPr>
          <w:snapToGrid w:val="0"/>
          <w:lang w:val="fr-FR"/>
        </w:rPr>
        <w:t xml:space="preserve"> le</w:t>
      </w:r>
      <w:r w:rsidR="00497F1A">
        <w:rPr>
          <w:snapToGrid w:val="0"/>
          <w:lang w:val="fr-FR"/>
        </w:rPr>
        <w:t> </w:t>
      </w:r>
      <w:r w:rsidR="00497F1A" w:rsidRPr="00A113CF">
        <w:rPr>
          <w:snapToGrid w:val="0"/>
          <w:lang w:val="fr-FR"/>
        </w:rPr>
        <w:t>TWF</w:t>
      </w:r>
      <w:r w:rsidRPr="00A113CF">
        <w:rPr>
          <w:snapToGrid w:val="0"/>
          <w:lang w:val="fr-FR"/>
        </w:rPr>
        <w:t xml:space="preserve"> </w:t>
      </w:r>
      <w:r w:rsidR="00A113CF" w:rsidRPr="00A113CF">
        <w:rPr>
          <w:snapToGrid w:val="0"/>
          <w:lang w:val="fr-FR"/>
        </w:rPr>
        <w:t>et</w:t>
      </w:r>
      <w:r w:rsidR="00497F1A" w:rsidRPr="00A113CF">
        <w:rPr>
          <w:snapToGrid w:val="0"/>
          <w:lang w:val="fr-FR"/>
        </w:rPr>
        <w:t xml:space="preserve"> le</w:t>
      </w:r>
      <w:r w:rsidR="00497F1A">
        <w:rPr>
          <w:snapToGrid w:val="0"/>
          <w:lang w:val="fr-FR"/>
        </w:rPr>
        <w:t> </w:t>
      </w:r>
      <w:r w:rsidR="00497F1A" w:rsidRPr="00A113CF">
        <w:rPr>
          <w:snapToGrid w:val="0"/>
          <w:lang w:val="fr-FR"/>
        </w:rPr>
        <w:t>TWO</w:t>
      </w:r>
      <w:r w:rsidRPr="00A113CF">
        <w:rPr>
          <w:snapToGrid w:val="0"/>
          <w:lang w:val="fr-FR"/>
        </w:rPr>
        <w:t xml:space="preserve"> </w:t>
      </w:r>
      <w:r w:rsidR="00A113CF" w:rsidRPr="00A113CF">
        <w:rPr>
          <w:snapToGrid w:val="0"/>
          <w:lang w:val="fr-FR"/>
        </w:rPr>
        <w:t>ont noté que le</w:t>
      </w:r>
      <w:r w:rsidR="00497F1A">
        <w:rPr>
          <w:snapToGrid w:val="0"/>
          <w:lang w:val="fr-FR"/>
        </w:rPr>
        <w:t> TC</w:t>
      </w:r>
      <w:r w:rsidR="00A113CF" w:rsidRPr="00A113CF">
        <w:rPr>
          <w:snapToGrid w:val="0"/>
          <w:lang w:val="fr-FR"/>
        </w:rPr>
        <w:t>, à sa cinquante</w:t>
      </w:r>
      <w:r w:rsidR="009F4C6C">
        <w:rPr>
          <w:snapToGrid w:val="0"/>
          <w:lang w:val="fr-FR"/>
        </w:rPr>
        <w:t> </w:t>
      </w:r>
      <w:r w:rsidR="00A113CF" w:rsidRPr="00A113CF">
        <w:rPr>
          <w:snapToGrid w:val="0"/>
          <w:lang w:val="fr-FR"/>
        </w:rPr>
        <w:t>et</w:t>
      </w:r>
      <w:r w:rsidR="009F4C6C">
        <w:rPr>
          <w:snapToGrid w:val="0"/>
          <w:lang w:val="fr-FR"/>
        </w:rPr>
        <w:t> </w:t>
      </w:r>
      <w:r w:rsidR="00A113CF" w:rsidRPr="00A113CF">
        <w:rPr>
          <w:snapToGrid w:val="0"/>
          <w:lang w:val="fr-FR"/>
        </w:rPr>
        <w:t>unième</w:t>
      </w:r>
      <w:r w:rsidR="009F4C6C">
        <w:rPr>
          <w:snapToGrid w:val="0"/>
          <w:lang w:val="fr-FR"/>
        </w:rPr>
        <w:t> </w:t>
      </w:r>
      <w:r w:rsidR="00A113CF" w:rsidRPr="00A113CF">
        <w:rPr>
          <w:snapToGrid w:val="0"/>
          <w:lang w:val="fr-FR"/>
        </w:rPr>
        <w:t xml:space="preserve">session, </w:t>
      </w:r>
      <w:r w:rsidR="00A113CF" w:rsidRPr="00A113CF">
        <w:rPr>
          <w:lang w:val="fr-FR"/>
        </w:rPr>
        <w:t>était convenu que des informations complémentaires sur le respect des cond</w:t>
      </w:r>
      <w:r w:rsidR="00DF5A8A">
        <w:rPr>
          <w:lang w:val="fr-FR"/>
        </w:rPr>
        <w:t>itions relatives à un caractère </w:t>
      </w:r>
      <w:r w:rsidR="00A113CF" w:rsidRPr="00A113CF">
        <w:rPr>
          <w:lang w:val="fr-FR"/>
        </w:rPr>
        <w:t>DHS devraient être fournies dans l</w:t>
      </w:r>
      <w:r w:rsidR="00497F1A">
        <w:rPr>
          <w:lang w:val="fr-FR"/>
        </w:rPr>
        <w:t>’</w:t>
      </w:r>
      <w:r w:rsidR="00A113CF" w:rsidRPr="00A113CF">
        <w:rPr>
          <w:lang w:val="fr-FR"/>
        </w:rPr>
        <w:t>exemple de caractère examiné sur la base d</w:t>
      </w:r>
      <w:r w:rsidR="00497F1A">
        <w:rPr>
          <w:lang w:val="fr-FR"/>
        </w:rPr>
        <w:t>’</w:t>
      </w:r>
      <w:r w:rsidR="00A113CF" w:rsidRPr="00A113CF">
        <w:rPr>
          <w:lang w:val="fr-FR"/>
        </w:rPr>
        <w:t>un échantillon global et, à cet égard, ont examiné un document de travail présenté par un expert des Pays</w:t>
      </w:r>
      <w:r w:rsidR="008352C1">
        <w:rPr>
          <w:lang w:val="fr-FR"/>
        </w:rPr>
        <w:noBreakHyphen/>
      </w:r>
      <w:r w:rsidR="00A113CF" w:rsidRPr="00A113CF">
        <w:rPr>
          <w:lang w:val="fr-FR"/>
        </w:rPr>
        <w:t>Bas, concernant les critères d</w:t>
      </w:r>
      <w:r w:rsidR="00497F1A">
        <w:rPr>
          <w:lang w:val="fr-FR"/>
        </w:rPr>
        <w:t>’</w:t>
      </w:r>
      <w:r w:rsidR="00A113CF" w:rsidRPr="00A113CF">
        <w:rPr>
          <w:lang w:val="fr-FR"/>
        </w:rPr>
        <w:t>homogénéité s</w:t>
      </w:r>
      <w:r w:rsidR="00497F1A">
        <w:rPr>
          <w:lang w:val="fr-FR"/>
        </w:rPr>
        <w:t>’</w:t>
      </w:r>
      <w:r w:rsidR="00A113CF" w:rsidRPr="00A113CF">
        <w:rPr>
          <w:lang w:val="fr-FR"/>
        </w:rPr>
        <w:t>appliquant aux caractères examinés sur la base d</w:t>
      </w:r>
      <w:r w:rsidR="00497F1A">
        <w:rPr>
          <w:lang w:val="fr-FR"/>
        </w:rPr>
        <w:t>’</w:t>
      </w:r>
      <w:r w:rsidR="00A113CF" w:rsidRPr="00A113CF">
        <w:rPr>
          <w:lang w:val="fr-FR"/>
        </w:rPr>
        <w:t>un échantillon global, qui figure à l</w:t>
      </w:r>
      <w:r w:rsidR="00497F1A">
        <w:rPr>
          <w:lang w:val="fr-FR"/>
        </w:rPr>
        <w:t>’</w:t>
      </w:r>
      <w:r w:rsidR="00A113CF" w:rsidRPr="00A113CF">
        <w:rPr>
          <w:lang w:val="fr-FR"/>
        </w:rPr>
        <w:t>annexe</w:t>
      </w:r>
      <w:r w:rsidR="009F4C6C">
        <w:rPr>
          <w:lang w:val="fr-FR"/>
        </w:rPr>
        <w:t> </w:t>
      </w:r>
      <w:r w:rsidR="00A113CF" w:rsidRPr="00A113CF">
        <w:rPr>
          <w:lang w:val="fr-FR"/>
        </w:rPr>
        <w:t>I du présent document</w:t>
      </w:r>
      <w:r w:rsidRPr="00A113CF">
        <w:rPr>
          <w:snapToGrid w:val="0"/>
          <w:lang w:val="fr-FR"/>
        </w:rPr>
        <w:t>.</w:t>
      </w:r>
    </w:p>
    <w:p w:rsidR="003A30C6" w:rsidRPr="009F0EBD" w:rsidRDefault="003A30C6" w:rsidP="003A30C6">
      <w:pPr>
        <w:rPr>
          <w:snapToGrid w:val="0"/>
          <w:lang w:val="fr-FR"/>
        </w:rPr>
      </w:pPr>
    </w:p>
    <w:p w:rsidR="00497F1A" w:rsidRDefault="003A30C6" w:rsidP="00DE15C8">
      <w:pPr>
        <w:keepLines/>
        <w:rPr>
          <w:lang w:val="fr-FR" w:eastAsia="ja-JP"/>
        </w:rPr>
      </w:pPr>
      <w:r w:rsidRPr="009F0EBD">
        <w:rPr>
          <w:snapToGrid w:val="0"/>
          <w:lang w:val="fr-FR"/>
        </w:rPr>
        <w:fldChar w:fldCharType="begin"/>
      </w:r>
      <w:r w:rsidRPr="009F0EBD">
        <w:rPr>
          <w:snapToGrid w:val="0"/>
          <w:lang w:val="fr-FR"/>
        </w:rPr>
        <w:instrText xml:space="preserve"> AUTONUM  </w:instrText>
      </w:r>
      <w:r w:rsidRPr="009F0EBD">
        <w:rPr>
          <w:snapToGrid w:val="0"/>
          <w:lang w:val="fr-FR"/>
        </w:rPr>
        <w:fldChar w:fldCharType="end"/>
      </w:r>
      <w:r w:rsidRPr="009F0EBD">
        <w:rPr>
          <w:snapToGrid w:val="0"/>
          <w:lang w:val="fr-FR"/>
        </w:rPr>
        <w:tab/>
      </w:r>
      <w:r w:rsidR="00A113CF" w:rsidRPr="009F0EBD">
        <w:rPr>
          <w:snapToGrid w:val="0"/>
          <w:lang w:val="fr-FR"/>
        </w:rPr>
        <w:t>Le TWV a invité l</w:t>
      </w:r>
      <w:r w:rsidR="00497F1A">
        <w:rPr>
          <w:snapToGrid w:val="0"/>
          <w:lang w:val="fr-FR"/>
        </w:rPr>
        <w:t>’</w:t>
      </w:r>
      <w:r w:rsidR="00A113CF" w:rsidRPr="009F0EBD">
        <w:rPr>
          <w:snapToGrid w:val="0"/>
          <w:lang w:val="fr-FR"/>
        </w:rPr>
        <w:t>expert des Pays</w:t>
      </w:r>
      <w:r w:rsidR="008352C1">
        <w:rPr>
          <w:snapToGrid w:val="0"/>
          <w:lang w:val="fr-FR"/>
        </w:rPr>
        <w:noBreakHyphen/>
      </w:r>
      <w:r w:rsidR="00A113CF" w:rsidRPr="009F0EBD">
        <w:rPr>
          <w:snapToGrid w:val="0"/>
          <w:lang w:val="fr-FR"/>
        </w:rPr>
        <w:t>Bas, avec le concours de l</w:t>
      </w:r>
      <w:r w:rsidR="00497F1A">
        <w:rPr>
          <w:snapToGrid w:val="0"/>
          <w:lang w:val="fr-FR"/>
        </w:rPr>
        <w:t>’</w:t>
      </w:r>
      <w:r w:rsidR="00A113CF" w:rsidRPr="009F0EBD">
        <w:rPr>
          <w:snapToGrid w:val="0"/>
          <w:lang w:val="fr-FR"/>
        </w:rPr>
        <w:t>Allemagne, de la France et de l</w:t>
      </w:r>
      <w:r w:rsidR="00497F1A">
        <w:rPr>
          <w:snapToGrid w:val="0"/>
          <w:lang w:val="fr-FR"/>
        </w:rPr>
        <w:t>’</w:t>
      </w:r>
      <w:r w:rsidR="00A113CF" w:rsidRPr="009F0EBD">
        <w:rPr>
          <w:snapToGrid w:val="0"/>
          <w:lang w:val="fr-FR"/>
        </w:rPr>
        <w:t xml:space="preserve">Union européenne, </w:t>
      </w:r>
      <w:r w:rsidR="00A113CF" w:rsidRPr="009F0EBD">
        <w:rPr>
          <w:lang w:val="fr-FR" w:eastAsia="ja-JP"/>
        </w:rPr>
        <w:t xml:space="preserve">à poursuivre le travail </w:t>
      </w:r>
      <w:r w:rsidR="00DF5A8A">
        <w:rPr>
          <w:lang w:val="fr-FR" w:eastAsia="ja-JP"/>
        </w:rPr>
        <w:t xml:space="preserve">réalisé </w:t>
      </w:r>
      <w:r w:rsidR="009F0EBD" w:rsidRPr="009F0EBD">
        <w:rPr>
          <w:lang w:val="fr-FR" w:eastAsia="ja-JP"/>
        </w:rPr>
        <w:t xml:space="preserve">pour </w:t>
      </w:r>
      <w:r w:rsidR="00A113CF" w:rsidRPr="009F0EBD">
        <w:rPr>
          <w:lang w:val="fr-FR" w:eastAsia="ja-JP"/>
        </w:rPr>
        <w:t xml:space="preserve">améliorer le document de travail et à fournir des précisions sur les différentes </w:t>
      </w:r>
      <w:r w:rsidR="00DF5A8A">
        <w:rPr>
          <w:lang w:val="fr-FR" w:eastAsia="ja-JP"/>
        </w:rPr>
        <w:t>approches possibles</w:t>
      </w:r>
      <w:r w:rsidR="00A113CF" w:rsidRPr="009F0EBD">
        <w:rPr>
          <w:lang w:val="fr-FR" w:eastAsia="ja-JP"/>
        </w:rPr>
        <w:t xml:space="preserve"> </w:t>
      </w:r>
      <w:r w:rsidR="00DF5A8A">
        <w:rPr>
          <w:lang w:val="fr-FR" w:eastAsia="ja-JP"/>
        </w:rPr>
        <w:t>pour</w:t>
      </w:r>
      <w:r w:rsidR="00A113CF" w:rsidRPr="009F0EBD">
        <w:rPr>
          <w:lang w:val="fr-FR" w:eastAsia="ja-JP"/>
        </w:rPr>
        <w:t xml:space="preserve"> l</w:t>
      </w:r>
      <w:r w:rsidR="00497F1A">
        <w:rPr>
          <w:lang w:val="fr-FR" w:eastAsia="ja-JP"/>
        </w:rPr>
        <w:t>’</w:t>
      </w:r>
      <w:r w:rsidR="00A113CF" w:rsidRPr="009F0EBD">
        <w:rPr>
          <w:lang w:val="fr-FR" w:eastAsia="ja-JP"/>
        </w:rPr>
        <w:t>examen</w:t>
      </w:r>
      <w:r w:rsidR="009F4C6C">
        <w:rPr>
          <w:lang w:val="fr-FR" w:eastAsia="ja-JP"/>
        </w:rPr>
        <w:t> </w:t>
      </w:r>
      <w:r w:rsidR="00A113CF" w:rsidRPr="009F0EBD">
        <w:rPr>
          <w:lang w:val="fr-FR" w:eastAsia="ja-JP"/>
        </w:rPr>
        <w:t xml:space="preserve">DHS </w:t>
      </w:r>
      <w:r w:rsidR="009F0EBD" w:rsidRPr="009F0EBD">
        <w:rPr>
          <w:lang w:val="fr-FR" w:eastAsia="ja-JP"/>
        </w:rPr>
        <w:t>et en ce qui concerne un caractère spécifique par rapport à la version présentée</w:t>
      </w:r>
      <w:r w:rsidR="00497F1A" w:rsidRPr="009F0EBD">
        <w:rPr>
          <w:lang w:val="fr-FR" w:eastAsia="ja-JP"/>
        </w:rPr>
        <w:t xml:space="preserve"> au</w:t>
      </w:r>
      <w:r w:rsidR="00497F1A">
        <w:rPr>
          <w:lang w:val="fr-FR" w:eastAsia="ja-JP"/>
        </w:rPr>
        <w:t> </w:t>
      </w:r>
      <w:r w:rsidR="00497F1A" w:rsidRPr="009F0EBD">
        <w:rPr>
          <w:lang w:val="fr-FR" w:eastAsia="ja-JP"/>
        </w:rPr>
        <w:t>TWV</w:t>
      </w:r>
      <w:r w:rsidRPr="009F0EBD">
        <w:rPr>
          <w:lang w:val="fr-FR" w:eastAsia="ja-JP"/>
        </w:rPr>
        <w:t>.</w:t>
      </w:r>
    </w:p>
    <w:p w:rsidR="003A30C6" w:rsidRPr="009F0EBD" w:rsidRDefault="003A30C6" w:rsidP="003A30C6">
      <w:pPr>
        <w:rPr>
          <w:snapToGrid w:val="0"/>
          <w:lang w:val="fr-FR"/>
        </w:rPr>
      </w:pPr>
      <w:r w:rsidRPr="009F0EBD">
        <w:rPr>
          <w:snapToGrid w:val="0"/>
          <w:lang w:val="fr-FR"/>
        </w:rPr>
        <w:fldChar w:fldCharType="begin"/>
      </w:r>
      <w:r w:rsidRPr="009F0EBD">
        <w:rPr>
          <w:snapToGrid w:val="0"/>
          <w:lang w:val="fr-FR"/>
        </w:rPr>
        <w:instrText xml:space="preserve"> AUTONUM  </w:instrText>
      </w:r>
      <w:r w:rsidRPr="009F0EBD">
        <w:rPr>
          <w:snapToGrid w:val="0"/>
          <w:lang w:val="fr-FR"/>
        </w:rPr>
        <w:fldChar w:fldCharType="end"/>
      </w:r>
      <w:r w:rsidRPr="009F0EBD">
        <w:rPr>
          <w:snapToGrid w:val="0"/>
          <w:lang w:val="fr-FR"/>
        </w:rPr>
        <w:tab/>
      </w:r>
      <w:r w:rsidR="009F0EBD" w:rsidRPr="009F0EBD">
        <w:rPr>
          <w:snapToGrid w:val="0"/>
          <w:lang w:val="fr-FR"/>
        </w:rPr>
        <w:t>Le TWV est également convenu que les caractères devant être examinés sur la base d</w:t>
      </w:r>
      <w:r w:rsidR="00497F1A">
        <w:rPr>
          <w:snapToGrid w:val="0"/>
          <w:lang w:val="fr-FR"/>
        </w:rPr>
        <w:t>’</w:t>
      </w:r>
      <w:r w:rsidR="009F0EBD" w:rsidRPr="009F0EBD">
        <w:rPr>
          <w:snapToGrid w:val="0"/>
          <w:lang w:val="fr-FR"/>
        </w:rPr>
        <w:t xml:space="preserve">échantillons globaux devaient être </w:t>
      </w:r>
      <w:r w:rsidR="00DF5A8A">
        <w:rPr>
          <w:snapToGrid w:val="0"/>
          <w:lang w:val="fr-FR"/>
        </w:rPr>
        <w:t>évalués</w:t>
      </w:r>
      <w:r w:rsidR="009F0EBD" w:rsidRPr="009F0EBD">
        <w:rPr>
          <w:snapToGrid w:val="0"/>
          <w:lang w:val="fr-FR"/>
        </w:rPr>
        <w:t xml:space="preserve"> avec attention avant d</w:t>
      </w:r>
      <w:r w:rsidR="00497F1A">
        <w:rPr>
          <w:snapToGrid w:val="0"/>
          <w:lang w:val="fr-FR"/>
        </w:rPr>
        <w:t>’</w:t>
      </w:r>
      <w:r w:rsidR="009F0EBD" w:rsidRPr="009F0EBD">
        <w:rPr>
          <w:snapToGrid w:val="0"/>
          <w:lang w:val="fr-FR"/>
        </w:rPr>
        <w:t>être inclus dans les principes directeurs d</w:t>
      </w:r>
      <w:r w:rsidR="00497F1A">
        <w:rPr>
          <w:snapToGrid w:val="0"/>
          <w:lang w:val="fr-FR"/>
        </w:rPr>
        <w:t>’</w:t>
      </w:r>
      <w:r w:rsidR="009F0EBD" w:rsidRPr="009F0EBD">
        <w:rPr>
          <w:snapToGrid w:val="0"/>
          <w:lang w:val="fr-FR"/>
        </w:rPr>
        <w:t>examen.</w:t>
      </w:r>
    </w:p>
    <w:p w:rsidR="003A30C6" w:rsidRPr="004513C7" w:rsidRDefault="003A30C6" w:rsidP="003A30C6">
      <w:pPr>
        <w:rPr>
          <w:snapToGrid w:val="0"/>
          <w:highlight w:val="yellow"/>
          <w:lang w:val="fr-FR"/>
        </w:rPr>
      </w:pPr>
    </w:p>
    <w:p w:rsidR="003A30C6" w:rsidRPr="009F0EBD" w:rsidRDefault="003A30C6" w:rsidP="003A30C6">
      <w:pPr>
        <w:rPr>
          <w:lang w:val="fr-FR" w:eastAsia="ja-JP"/>
        </w:rPr>
      </w:pPr>
      <w:r w:rsidRPr="009F0EBD">
        <w:rPr>
          <w:snapToGrid w:val="0"/>
          <w:lang w:val="fr-FR"/>
        </w:rPr>
        <w:fldChar w:fldCharType="begin"/>
      </w:r>
      <w:r w:rsidRPr="009F0EBD">
        <w:rPr>
          <w:snapToGrid w:val="0"/>
          <w:lang w:val="fr-FR"/>
        </w:rPr>
        <w:instrText xml:space="preserve"> AUTONUM  </w:instrText>
      </w:r>
      <w:r w:rsidRPr="009F0EBD">
        <w:rPr>
          <w:snapToGrid w:val="0"/>
          <w:lang w:val="fr-FR"/>
        </w:rPr>
        <w:fldChar w:fldCharType="end"/>
      </w:r>
      <w:r w:rsidRPr="009F0EBD">
        <w:rPr>
          <w:snapToGrid w:val="0"/>
          <w:lang w:val="fr-FR"/>
        </w:rPr>
        <w:tab/>
      </w:r>
      <w:r w:rsidR="009F0EBD" w:rsidRPr="009F0EBD">
        <w:rPr>
          <w:snapToGrid w:val="0"/>
          <w:lang w:val="fr-FR"/>
        </w:rPr>
        <w:t>Le TWV a noté que la France, à la cinquante</w:t>
      </w:r>
      <w:r w:rsidR="009F4C6C">
        <w:rPr>
          <w:snapToGrid w:val="0"/>
          <w:lang w:val="fr-FR"/>
        </w:rPr>
        <w:t> </w:t>
      </w:r>
      <w:r w:rsidR="009F0EBD" w:rsidRPr="009F0EBD">
        <w:rPr>
          <w:snapToGrid w:val="0"/>
          <w:lang w:val="fr-FR"/>
        </w:rPr>
        <w:t>et</w:t>
      </w:r>
      <w:r w:rsidR="009F4C6C">
        <w:rPr>
          <w:snapToGrid w:val="0"/>
          <w:lang w:val="fr-FR"/>
        </w:rPr>
        <w:t> </w:t>
      </w:r>
      <w:r w:rsidR="009F0EBD" w:rsidRPr="009F0EBD">
        <w:rPr>
          <w:snapToGrid w:val="0"/>
          <w:lang w:val="fr-FR"/>
        </w:rPr>
        <w:t>unième</w:t>
      </w:r>
      <w:r w:rsidR="009F4C6C">
        <w:rPr>
          <w:snapToGrid w:val="0"/>
          <w:lang w:val="fr-FR"/>
        </w:rPr>
        <w:t> </w:t>
      </w:r>
      <w:r w:rsidR="009F0EBD" w:rsidRPr="009F0EBD">
        <w:rPr>
          <w:snapToGrid w:val="0"/>
          <w:lang w:val="fr-FR"/>
        </w:rPr>
        <w:t>session du</w:t>
      </w:r>
      <w:r w:rsidR="00497F1A">
        <w:rPr>
          <w:snapToGrid w:val="0"/>
          <w:lang w:val="fr-FR"/>
        </w:rPr>
        <w:t> TC</w:t>
      </w:r>
      <w:r w:rsidR="009F0EBD" w:rsidRPr="009F0EBD">
        <w:rPr>
          <w:snapToGrid w:val="0"/>
          <w:lang w:val="fr-FR"/>
        </w:rPr>
        <w:t>, avait offert</w:t>
      </w:r>
      <w:r w:rsidR="009F0EBD" w:rsidRPr="009F0EBD">
        <w:rPr>
          <w:lang w:val="fr-FR"/>
        </w:rPr>
        <w:t xml:space="preserve"> de fournir d</w:t>
      </w:r>
      <w:r w:rsidR="00497F1A">
        <w:rPr>
          <w:lang w:val="fr-FR"/>
        </w:rPr>
        <w:t>’</w:t>
      </w:r>
      <w:r w:rsidR="009F0EBD" w:rsidRPr="009F0EBD">
        <w:rPr>
          <w:lang w:val="fr-FR"/>
        </w:rPr>
        <w:t>autres exemples de caractères sur la base d</w:t>
      </w:r>
      <w:r w:rsidR="00497F1A">
        <w:rPr>
          <w:lang w:val="fr-FR"/>
        </w:rPr>
        <w:t>’</w:t>
      </w:r>
      <w:r w:rsidR="009F0EBD" w:rsidRPr="009F0EBD">
        <w:rPr>
          <w:lang w:val="fr-FR"/>
        </w:rPr>
        <w:t xml:space="preserve">échantillons globaux et </w:t>
      </w:r>
      <w:r w:rsidR="00DF5A8A">
        <w:rPr>
          <w:lang w:val="fr-FR"/>
        </w:rPr>
        <w:t xml:space="preserve">a </w:t>
      </w:r>
      <w:r w:rsidR="009F0EBD" w:rsidRPr="009F0EBD">
        <w:rPr>
          <w:lang w:val="fr-FR"/>
        </w:rPr>
        <w:t>invité d</w:t>
      </w:r>
      <w:r w:rsidR="00497F1A">
        <w:rPr>
          <w:lang w:val="fr-FR"/>
        </w:rPr>
        <w:t>’</w:t>
      </w:r>
      <w:r w:rsidR="009F0EBD" w:rsidRPr="009F0EBD">
        <w:rPr>
          <w:lang w:val="fr-FR"/>
        </w:rPr>
        <w:t>autres membres à fournir des exemples, en particulier pour les plantes potagères</w:t>
      </w:r>
      <w:r w:rsidRPr="009F0EBD">
        <w:rPr>
          <w:lang w:val="fr-FR" w:eastAsia="ja-JP"/>
        </w:rPr>
        <w:t>.</w:t>
      </w:r>
    </w:p>
    <w:p w:rsidR="003A30C6" w:rsidRPr="00304F14" w:rsidRDefault="003A30C6" w:rsidP="003A30C6">
      <w:pPr>
        <w:rPr>
          <w:lang w:val="fr-FR" w:eastAsia="ja-JP"/>
        </w:rPr>
      </w:pPr>
    </w:p>
    <w:p w:rsidR="003A30C6" w:rsidRPr="00304F14" w:rsidRDefault="003A30C6" w:rsidP="003A30C6">
      <w:pPr>
        <w:rPr>
          <w:snapToGrid w:val="0"/>
          <w:lang w:val="fr-FR"/>
        </w:rPr>
      </w:pPr>
      <w:r w:rsidRPr="00304F14">
        <w:rPr>
          <w:snapToGrid w:val="0"/>
          <w:lang w:val="fr-FR"/>
        </w:rPr>
        <w:fldChar w:fldCharType="begin"/>
      </w:r>
      <w:r w:rsidRPr="00304F14">
        <w:rPr>
          <w:snapToGrid w:val="0"/>
          <w:lang w:val="fr-FR"/>
        </w:rPr>
        <w:instrText xml:space="preserve"> AUTONUM  </w:instrText>
      </w:r>
      <w:r w:rsidRPr="00304F14">
        <w:rPr>
          <w:snapToGrid w:val="0"/>
          <w:lang w:val="fr-FR"/>
        </w:rPr>
        <w:fldChar w:fldCharType="end"/>
      </w:r>
      <w:r w:rsidRPr="00304F14">
        <w:rPr>
          <w:snapToGrid w:val="0"/>
          <w:lang w:val="fr-FR"/>
        </w:rPr>
        <w:tab/>
      </w:r>
      <w:r w:rsidR="00195D97" w:rsidRPr="00304F14">
        <w:rPr>
          <w:snapToGrid w:val="0"/>
          <w:lang w:val="fr-FR"/>
        </w:rPr>
        <w:t xml:space="preserve">Le TWC est convenu que les éléments </w:t>
      </w:r>
      <w:r w:rsidRPr="00304F14">
        <w:rPr>
          <w:snapToGrid w:val="0"/>
          <w:lang w:val="fr-FR"/>
        </w:rPr>
        <w:t>a) “</w:t>
      </w:r>
      <w:r w:rsidRPr="00304F14">
        <w:rPr>
          <w:lang w:val="fr-FR"/>
        </w:rPr>
        <w:t>Contr</w:t>
      </w:r>
      <w:r w:rsidR="00195D97" w:rsidRPr="00304F14">
        <w:rPr>
          <w:lang w:val="fr-FR"/>
        </w:rPr>
        <w:t>ôle du caractère avant qu</w:t>
      </w:r>
      <w:r w:rsidR="00497F1A">
        <w:rPr>
          <w:lang w:val="fr-FR"/>
        </w:rPr>
        <w:t>’</w:t>
      </w:r>
      <w:r w:rsidR="00195D97" w:rsidRPr="00304F14">
        <w:rPr>
          <w:lang w:val="fr-FR"/>
        </w:rPr>
        <w:t xml:space="preserve">il soit accepté dans les principes directeurs </w:t>
      </w:r>
      <w:r w:rsidR="00DF5A8A">
        <w:rPr>
          <w:lang w:val="fr-FR"/>
        </w:rPr>
        <w:t xml:space="preserve">d’examen </w:t>
      </w:r>
      <w:r w:rsidR="00195D97" w:rsidRPr="00304F14">
        <w:rPr>
          <w:lang w:val="fr-FR"/>
        </w:rPr>
        <w:t xml:space="preserve">correspondants”, </w:t>
      </w:r>
      <w:r w:rsidRPr="00304F14">
        <w:rPr>
          <w:lang w:val="fr-FR"/>
        </w:rPr>
        <w:t>d)</w:t>
      </w:r>
      <w:r w:rsidR="009F4C6C">
        <w:rPr>
          <w:lang w:val="fr-FR"/>
        </w:rPr>
        <w:t> </w:t>
      </w:r>
      <w:r w:rsidRPr="00304F14">
        <w:rPr>
          <w:lang w:val="fr-FR"/>
        </w:rPr>
        <w:t>“S</w:t>
      </w:r>
      <w:r w:rsidR="00195D97" w:rsidRPr="00304F14">
        <w:rPr>
          <w:lang w:val="fr-FR"/>
        </w:rPr>
        <w:t>ous</w:t>
      </w:r>
      <w:r w:rsidR="008352C1">
        <w:rPr>
          <w:lang w:val="fr-FR"/>
        </w:rPr>
        <w:noBreakHyphen/>
      </w:r>
      <w:r w:rsidR="00195D97" w:rsidRPr="00304F14">
        <w:rPr>
          <w:lang w:val="fr-FR"/>
        </w:rPr>
        <w:t>parcelles</w:t>
      </w:r>
      <w:r w:rsidRPr="00304F14">
        <w:rPr>
          <w:lang w:val="fr-FR"/>
        </w:rPr>
        <w:t>”</w:t>
      </w:r>
      <w:r w:rsidR="00195D97" w:rsidRPr="00304F14">
        <w:rPr>
          <w:lang w:val="fr-FR"/>
        </w:rPr>
        <w:t>,</w:t>
      </w:r>
      <w:r w:rsidRPr="00304F14">
        <w:rPr>
          <w:lang w:val="fr-FR"/>
        </w:rPr>
        <w:t xml:space="preserve"> g)</w:t>
      </w:r>
      <w:r w:rsidR="009F4C6C">
        <w:rPr>
          <w:lang w:val="fr-FR"/>
        </w:rPr>
        <w:t> </w:t>
      </w:r>
      <w:r w:rsidRPr="00304F14">
        <w:rPr>
          <w:lang w:val="fr-FR"/>
        </w:rPr>
        <w:t>“</w:t>
      </w:r>
      <w:r w:rsidR="00195D97" w:rsidRPr="00304F14">
        <w:rPr>
          <w:lang w:val="fr-FR"/>
        </w:rPr>
        <w:t>Analyse de l</w:t>
      </w:r>
      <w:r w:rsidR="00497F1A">
        <w:rPr>
          <w:lang w:val="fr-FR"/>
        </w:rPr>
        <w:t>’</w:t>
      </w:r>
      <w:r w:rsidR="00195D97" w:rsidRPr="00304F14">
        <w:rPr>
          <w:lang w:val="fr-FR"/>
        </w:rPr>
        <w:t>ADN</w:t>
      </w:r>
      <w:r w:rsidRPr="00304F14">
        <w:rPr>
          <w:lang w:val="fr-FR"/>
        </w:rPr>
        <w:t>”</w:t>
      </w:r>
      <w:r w:rsidR="00195D97" w:rsidRPr="00304F14">
        <w:rPr>
          <w:lang w:val="fr-FR"/>
        </w:rPr>
        <w:t xml:space="preserve"> et</w:t>
      </w:r>
      <w:r w:rsidRPr="00304F14">
        <w:rPr>
          <w:lang w:val="fr-FR"/>
        </w:rPr>
        <w:t xml:space="preserve"> i)</w:t>
      </w:r>
      <w:r w:rsidR="009F4C6C">
        <w:rPr>
          <w:lang w:val="fr-FR"/>
        </w:rPr>
        <w:t> </w:t>
      </w:r>
      <w:r w:rsidRPr="00304F14">
        <w:rPr>
          <w:lang w:val="fr-FR"/>
        </w:rPr>
        <w:t>“</w:t>
      </w:r>
      <w:r w:rsidR="00195D97" w:rsidRPr="00304F14">
        <w:rPr>
          <w:lang w:val="fr-FR"/>
        </w:rPr>
        <w:t>Nombre de plantes</w:t>
      </w:r>
      <w:r w:rsidRPr="00304F14">
        <w:rPr>
          <w:lang w:val="fr-FR"/>
        </w:rPr>
        <w:t>”</w:t>
      </w:r>
      <w:r w:rsidRPr="00304F14">
        <w:rPr>
          <w:lang w:val="fr-FR" w:eastAsia="ja-JP"/>
        </w:rPr>
        <w:t xml:space="preserve"> </w:t>
      </w:r>
      <w:r w:rsidR="00195D97" w:rsidRPr="00304F14">
        <w:rPr>
          <w:lang w:val="fr-FR" w:eastAsia="ja-JP"/>
        </w:rPr>
        <w:t xml:space="preserve">pourraient être davantage élaborés afin de servir de point de départ pour </w:t>
      </w:r>
      <w:r w:rsidR="00304F14">
        <w:rPr>
          <w:lang w:val="fr-FR" w:eastAsia="ja-JP"/>
        </w:rPr>
        <w:t>des</w:t>
      </w:r>
      <w:r w:rsidR="00195D97" w:rsidRPr="00304F14">
        <w:rPr>
          <w:lang w:val="fr-FR" w:eastAsia="ja-JP"/>
        </w:rPr>
        <w:t xml:space="preserve"> </w:t>
      </w:r>
      <w:r w:rsidR="00304F14" w:rsidRPr="00304F14">
        <w:rPr>
          <w:lang w:val="fr-FR"/>
        </w:rPr>
        <w:t>conseils relatifs à l</w:t>
      </w:r>
      <w:r w:rsidR="00497F1A">
        <w:rPr>
          <w:lang w:val="fr-FR"/>
        </w:rPr>
        <w:t>’</w:t>
      </w:r>
      <w:r w:rsidR="00304F14" w:rsidRPr="00304F14">
        <w:rPr>
          <w:lang w:val="fr-FR"/>
        </w:rPr>
        <w:t>analyse des caractères examinés sur la base d</w:t>
      </w:r>
      <w:r w:rsidR="00497F1A">
        <w:rPr>
          <w:lang w:val="fr-FR"/>
        </w:rPr>
        <w:t>’</w:t>
      </w:r>
      <w:r w:rsidR="00304F14" w:rsidRPr="00304F14">
        <w:rPr>
          <w:lang w:val="fr-FR"/>
        </w:rPr>
        <w:t>échantillons globaux</w:t>
      </w:r>
      <w:r w:rsidRPr="00304F14">
        <w:rPr>
          <w:lang w:val="fr-FR"/>
        </w:rPr>
        <w:t>.</w:t>
      </w:r>
    </w:p>
    <w:p w:rsidR="003A30C6" w:rsidRPr="00441601" w:rsidRDefault="003A30C6" w:rsidP="003A30C6">
      <w:pPr>
        <w:rPr>
          <w:snapToGrid w:val="0"/>
          <w:lang w:val="fr-FR"/>
        </w:rPr>
      </w:pPr>
    </w:p>
    <w:p w:rsidR="003A30C6" w:rsidRPr="00441601" w:rsidRDefault="003A30C6" w:rsidP="003A30C6">
      <w:pPr>
        <w:rPr>
          <w:lang w:val="fr-FR"/>
        </w:rPr>
      </w:pPr>
      <w:r w:rsidRPr="00441601">
        <w:rPr>
          <w:lang w:val="fr-FR"/>
        </w:rPr>
        <w:fldChar w:fldCharType="begin"/>
      </w:r>
      <w:r w:rsidRPr="00441601">
        <w:rPr>
          <w:lang w:val="fr-FR"/>
        </w:rPr>
        <w:instrText xml:space="preserve"> AUTONUM  </w:instrText>
      </w:r>
      <w:r w:rsidRPr="00441601">
        <w:rPr>
          <w:lang w:val="fr-FR"/>
        </w:rPr>
        <w:fldChar w:fldCharType="end"/>
      </w:r>
      <w:r w:rsidRPr="00441601">
        <w:rPr>
          <w:lang w:val="fr-FR"/>
        </w:rPr>
        <w:tab/>
      </w:r>
      <w:r w:rsidR="00C453DC" w:rsidRPr="00441601">
        <w:rPr>
          <w:lang w:val="fr-FR"/>
        </w:rPr>
        <w:t>Le TWA a examiné le document de travail présenté par un expert des Pays</w:t>
      </w:r>
      <w:r w:rsidR="008352C1">
        <w:rPr>
          <w:lang w:val="fr-FR"/>
        </w:rPr>
        <w:noBreakHyphen/>
      </w:r>
      <w:r w:rsidR="00C453DC" w:rsidRPr="00441601">
        <w:rPr>
          <w:lang w:val="fr-FR"/>
        </w:rPr>
        <w:t>Bas, concernant les critères d</w:t>
      </w:r>
      <w:r w:rsidR="00497F1A">
        <w:rPr>
          <w:lang w:val="fr-FR"/>
        </w:rPr>
        <w:t>’</w:t>
      </w:r>
      <w:r w:rsidR="00C453DC" w:rsidRPr="00441601">
        <w:rPr>
          <w:lang w:val="fr-FR"/>
        </w:rPr>
        <w:t>homogénéité s</w:t>
      </w:r>
      <w:r w:rsidR="00497F1A">
        <w:rPr>
          <w:lang w:val="fr-FR"/>
        </w:rPr>
        <w:t>’</w:t>
      </w:r>
      <w:r w:rsidR="00C453DC" w:rsidRPr="00441601">
        <w:rPr>
          <w:lang w:val="fr-FR"/>
        </w:rPr>
        <w:t>appliquant aux caractères examinés sur la base d</w:t>
      </w:r>
      <w:r w:rsidR="00497F1A">
        <w:rPr>
          <w:lang w:val="fr-FR"/>
        </w:rPr>
        <w:t>’</w:t>
      </w:r>
      <w:r w:rsidR="00C453DC" w:rsidRPr="00441601">
        <w:rPr>
          <w:lang w:val="fr-FR"/>
        </w:rPr>
        <w:t>un échantillon global, qui figure à l</w:t>
      </w:r>
      <w:r w:rsidR="00497F1A">
        <w:rPr>
          <w:lang w:val="fr-FR"/>
        </w:rPr>
        <w:t>’</w:t>
      </w:r>
      <w:r w:rsidR="00C453DC" w:rsidRPr="00441601">
        <w:rPr>
          <w:lang w:val="fr-FR"/>
        </w:rPr>
        <w:t>annexe</w:t>
      </w:r>
      <w:r w:rsidR="009F4C6C">
        <w:rPr>
          <w:lang w:val="fr-FR"/>
        </w:rPr>
        <w:t> </w:t>
      </w:r>
      <w:r w:rsidR="00C453DC" w:rsidRPr="00441601">
        <w:rPr>
          <w:lang w:val="fr-FR"/>
        </w:rPr>
        <w:t xml:space="preserve">I du présent document. </w:t>
      </w:r>
      <w:r w:rsidR="00497F1A" w:rsidRPr="00441601">
        <w:rPr>
          <w:lang w:val="fr-FR"/>
        </w:rPr>
        <w:t xml:space="preserve"> Le</w:t>
      </w:r>
      <w:r w:rsidR="00497F1A">
        <w:rPr>
          <w:lang w:val="fr-FR"/>
        </w:rPr>
        <w:t> </w:t>
      </w:r>
      <w:r w:rsidR="00497F1A" w:rsidRPr="00441601">
        <w:rPr>
          <w:lang w:val="fr-FR"/>
        </w:rPr>
        <w:t>TWA</w:t>
      </w:r>
      <w:r w:rsidR="00C453DC" w:rsidRPr="00441601">
        <w:rPr>
          <w:lang w:val="fr-FR"/>
        </w:rPr>
        <w:t xml:space="preserve"> a formulé les conclusions suivantes :</w:t>
      </w:r>
    </w:p>
    <w:p w:rsidR="003A30C6" w:rsidRPr="00441601" w:rsidRDefault="003A30C6" w:rsidP="003A30C6">
      <w:pPr>
        <w:rPr>
          <w:lang w:val="fr-FR" w:eastAsia="ja-JP"/>
        </w:rPr>
      </w:pPr>
    </w:p>
    <w:p w:rsidR="00497F1A" w:rsidRDefault="00945A37" w:rsidP="003A30C6">
      <w:pPr>
        <w:pStyle w:val="ListParagraph"/>
        <w:numPr>
          <w:ilvl w:val="0"/>
          <w:numId w:val="6"/>
        </w:numPr>
        <w:ind w:left="993" w:hanging="426"/>
        <w:rPr>
          <w:bCs/>
          <w:lang w:val="fr-FR" w:eastAsia="ja-JP"/>
        </w:rPr>
      </w:pPr>
      <w:r w:rsidRPr="00441601">
        <w:rPr>
          <w:bCs/>
          <w:lang w:val="fr-FR" w:eastAsia="ja-JP"/>
        </w:rPr>
        <w:t>avant d</w:t>
      </w:r>
      <w:r w:rsidR="00497F1A">
        <w:rPr>
          <w:bCs/>
          <w:lang w:val="fr-FR" w:eastAsia="ja-JP"/>
        </w:rPr>
        <w:t>’</w:t>
      </w:r>
      <w:r w:rsidRPr="00441601">
        <w:rPr>
          <w:bCs/>
          <w:lang w:val="fr-FR" w:eastAsia="ja-JP"/>
        </w:rPr>
        <w:t>inclure un caractère observé sur la base d</w:t>
      </w:r>
      <w:r w:rsidR="00497F1A">
        <w:rPr>
          <w:bCs/>
          <w:lang w:val="fr-FR" w:eastAsia="ja-JP"/>
        </w:rPr>
        <w:t>’</w:t>
      </w:r>
      <w:r w:rsidRPr="00441601">
        <w:rPr>
          <w:bCs/>
          <w:lang w:val="fr-FR" w:eastAsia="ja-JP"/>
        </w:rPr>
        <w:t>un échantillon global dans des principes directeurs</w:t>
      </w:r>
      <w:r w:rsidR="00DF5A8A">
        <w:rPr>
          <w:bCs/>
          <w:lang w:val="fr-FR" w:eastAsia="ja-JP"/>
        </w:rPr>
        <w:t xml:space="preserve"> d’examen</w:t>
      </w:r>
      <w:r w:rsidRPr="00441601">
        <w:rPr>
          <w:bCs/>
          <w:lang w:val="fr-FR" w:eastAsia="ja-JP"/>
        </w:rPr>
        <w:t>, il conviendrait de s</w:t>
      </w:r>
      <w:r w:rsidR="00497F1A">
        <w:rPr>
          <w:bCs/>
          <w:lang w:val="fr-FR" w:eastAsia="ja-JP"/>
        </w:rPr>
        <w:t>’</w:t>
      </w:r>
      <w:r w:rsidRPr="00441601">
        <w:rPr>
          <w:bCs/>
          <w:lang w:val="fr-FR" w:eastAsia="ja-JP"/>
        </w:rPr>
        <w:t>assurer qu</w:t>
      </w:r>
      <w:r w:rsidR="00497F1A">
        <w:rPr>
          <w:bCs/>
          <w:lang w:val="fr-FR" w:eastAsia="ja-JP"/>
        </w:rPr>
        <w:t>’</w:t>
      </w:r>
      <w:r w:rsidRPr="00441601">
        <w:rPr>
          <w:bCs/>
          <w:lang w:val="fr-FR" w:eastAsia="ja-JP"/>
        </w:rPr>
        <w:t xml:space="preserve">il présente un intérêt réel </w:t>
      </w:r>
      <w:r w:rsidR="00DF5A8A">
        <w:rPr>
          <w:bCs/>
          <w:lang w:val="fr-FR" w:eastAsia="ja-JP"/>
        </w:rPr>
        <w:t>pour</w:t>
      </w:r>
      <w:r w:rsidRPr="00441601">
        <w:rPr>
          <w:bCs/>
          <w:lang w:val="fr-FR" w:eastAsia="ja-JP"/>
        </w:rPr>
        <w:t xml:space="preserve"> </w:t>
      </w:r>
      <w:r w:rsidR="00A64DA0">
        <w:rPr>
          <w:bCs/>
          <w:lang w:val="fr-FR" w:eastAsia="ja-JP"/>
        </w:rPr>
        <w:t>l’</w:t>
      </w:r>
      <w:r w:rsidRPr="00441601">
        <w:rPr>
          <w:bCs/>
          <w:lang w:val="fr-FR" w:eastAsia="ja-JP"/>
        </w:rPr>
        <w:t>examen</w:t>
      </w:r>
      <w:r w:rsidR="009F4C6C">
        <w:rPr>
          <w:bCs/>
          <w:lang w:val="fr-FR" w:eastAsia="ja-JP"/>
        </w:rPr>
        <w:t> </w:t>
      </w:r>
      <w:r w:rsidRPr="00441601">
        <w:rPr>
          <w:bCs/>
          <w:lang w:val="fr-FR" w:eastAsia="ja-JP"/>
        </w:rPr>
        <w:t>DHS;</w:t>
      </w:r>
    </w:p>
    <w:p w:rsidR="003A30C6" w:rsidRPr="00441601" w:rsidRDefault="003A30C6" w:rsidP="003A30C6">
      <w:pPr>
        <w:ind w:left="993" w:hanging="426"/>
        <w:rPr>
          <w:bCs/>
          <w:lang w:val="fr-FR" w:eastAsia="ja-JP"/>
        </w:rPr>
      </w:pPr>
    </w:p>
    <w:p w:rsidR="00497F1A" w:rsidRDefault="00945A37" w:rsidP="003A30C6">
      <w:pPr>
        <w:pStyle w:val="ListParagraph"/>
        <w:numPr>
          <w:ilvl w:val="0"/>
          <w:numId w:val="6"/>
        </w:numPr>
        <w:ind w:left="993" w:hanging="426"/>
        <w:rPr>
          <w:lang w:val="fr-FR"/>
        </w:rPr>
      </w:pPr>
      <w:r w:rsidRPr="00441601">
        <w:rPr>
          <w:lang w:val="fr-FR"/>
        </w:rPr>
        <w:t xml:space="preserve">les </w:t>
      </w:r>
      <w:r w:rsidR="00DF5A8A">
        <w:rPr>
          <w:lang w:val="fr-FR"/>
        </w:rPr>
        <w:t>approches</w:t>
      </w:r>
      <w:r w:rsidR="003A30C6" w:rsidRPr="00441601">
        <w:rPr>
          <w:lang w:val="fr-FR"/>
        </w:rPr>
        <w:t xml:space="preserve"> a) “Contr</w:t>
      </w:r>
      <w:r w:rsidRPr="00441601">
        <w:rPr>
          <w:lang w:val="fr-FR"/>
        </w:rPr>
        <w:t>ôle du caractère avant qu</w:t>
      </w:r>
      <w:r w:rsidR="00497F1A">
        <w:rPr>
          <w:lang w:val="fr-FR"/>
        </w:rPr>
        <w:t>’</w:t>
      </w:r>
      <w:r w:rsidRPr="00441601">
        <w:rPr>
          <w:lang w:val="fr-FR"/>
        </w:rPr>
        <w:t xml:space="preserve">il soit accepté dans les principes directeurs </w:t>
      </w:r>
      <w:r w:rsidR="00DF5A8A">
        <w:rPr>
          <w:lang w:val="fr-FR"/>
        </w:rPr>
        <w:t xml:space="preserve">d’examen </w:t>
      </w:r>
      <w:r w:rsidRPr="00441601">
        <w:rPr>
          <w:lang w:val="fr-FR"/>
        </w:rPr>
        <w:t>correspondants</w:t>
      </w:r>
      <w:r w:rsidR="003A30C6" w:rsidRPr="00441601">
        <w:rPr>
          <w:lang w:val="fr-FR"/>
        </w:rPr>
        <w:t>”</w:t>
      </w:r>
      <w:r w:rsidRPr="00441601">
        <w:rPr>
          <w:lang w:val="fr-FR"/>
        </w:rPr>
        <w:t xml:space="preserve">, </w:t>
      </w:r>
      <w:r w:rsidR="003A30C6" w:rsidRPr="00441601">
        <w:rPr>
          <w:lang w:val="fr-FR"/>
        </w:rPr>
        <w:t>d)</w:t>
      </w:r>
      <w:r w:rsidR="009F4C6C">
        <w:rPr>
          <w:lang w:val="fr-FR"/>
        </w:rPr>
        <w:t> </w:t>
      </w:r>
      <w:r w:rsidR="003A30C6" w:rsidRPr="00441601">
        <w:rPr>
          <w:lang w:val="fr-FR"/>
        </w:rPr>
        <w:t>“</w:t>
      </w:r>
      <w:r w:rsidRPr="00441601">
        <w:rPr>
          <w:lang w:val="fr-FR"/>
        </w:rPr>
        <w:t>Sous</w:t>
      </w:r>
      <w:r w:rsidR="008352C1">
        <w:rPr>
          <w:lang w:val="fr-FR"/>
        </w:rPr>
        <w:noBreakHyphen/>
      </w:r>
      <w:r w:rsidRPr="00441601">
        <w:rPr>
          <w:lang w:val="fr-FR"/>
        </w:rPr>
        <w:t>parcelles</w:t>
      </w:r>
      <w:r w:rsidR="003A30C6" w:rsidRPr="00441601">
        <w:rPr>
          <w:lang w:val="fr-FR"/>
        </w:rPr>
        <w:t xml:space="preserve">” </w:t>
      </w:r>
      <w:r w:rsidRPr="00441601">
        <w:rPr>
          <w:lang w:val="fr-FR"/>
        </w:rPr>
        <w:t>et</w:t>
      </w:r>
      <w:r w:rsidR="003A30C6" w:rsidRPr="00441601">
        <w:rPr>
          <w:lang w:val="fr-FR"/>
        </w:rPr>
        <w:t xml:space="preserve"> i)</w:t>
      </w:r>
      <w:r w:rsidR="009F4C6C">
        <w:rPr>
          <w:lang w:val="fr-FR"/>
        </w:rPr>
        <w:t> </w:t>
      </w:r>
      <w:r w:rsidR="003A30C6" w:rsidRPr="00441601">
        <w:rPr>
          <w:lang w:val="fr-FR"/>
        </w:rPr>
        <w:t>“</w:t>
      </w:r>
      <w:r w:rsidRPr="00441601">
        <w:rPr>
          <w:lang w:val="fr-FR"/>
        </w:rPr>
        <w:t>Nombre de plantes</w:t>
      </w:r>
      <w:r w:rsidR="003A30C6" w:rsidRPr="00441601">
        <w:rPr>
          <w:lang w:val="fr-FR"/>
        </w:rPr>
        <w:t xml:space="preserve">” </w:t>
      </w:r>
      <w:r w:rsidRPr="00441601">
        <w:rPr>
          <w:lang w:val="fr-FR"/>
        </w:rPr>
        <w:t>devraient être davantage élaboré</w:t>
      </w:r>
      <w:r w:rsidR="00DF5A8A">
        <w:rPr>
          <w:lang w:val="fr-FR"/>
        </w:rPr>
        <w:t>e</w:t>
      </w:r>
      <w:r w:rsidRPr="00441601">
        <w:rPr>
          <w:lang w:val="fr-FR"/>
        </w:rPr>
        <w:t>s en ce qui concerne l</w:t>
      </w:r>
      <w:r w:rsidR="00497F1A">
        <w:rPr>
          <w:lang w:val="fr-FR"/>
        </w:rPr>
        <w:t>’</w:t>
      </w:r>
      <w:r w:rsidRPr="00441601">
        <w:rPr>
          <w:lang w:val="fr-FR"/>
        </w:rPr>
        <w:t xml:space="preserve">analyse des conditions auxquelles doit satisfaire un caractère examiné sur la base </w:t>
      </w:r>
      <w:r w:rsidR="00DF5A8A">
        <w:rPr>
          <w:lang w:val="fr-FR"/>
        </w:rPr>
        <w:t>d’</w:t>
      </w:r>
      <w:r w:rsidRPr="00441601">
        <w:rPr>
          <w:lang w:val="fr-FR"/>
        </w:rPr>
        <w:t>échantillon</w:t>
      </w:r>
      <w:r w:rsidR="00DF5A8A">
        <w:rPr>
          <w:lang w:val="fr-FR"/>
        </w:rPr>
        <w:t>s</w:t>
      </w:r>
      <w:r w:rsidRPr="00441601">
        <w:rPr>
          <w:lang w:val="fr-FR"/>
        </w:rPr>
        <w:t xml:space="preserve"> globa</w:t>
      </w:r>
      <w:r w:rsidR="00DF5A8A">
        <w:rPr>
          <w:lang w:val="fr-FR"/>
        </w:rPr>
        <w:t>ux</w:t>
      </w:r>
      <w:r w:rsidRPr="00441601">
        <w:rPr>
          <w:lang w:val="fr-FR"/>
        </w:rPr>
        <w:t xml:space="preserve"> avant de pouvoir être utilisé aux fins d</w:t>
      </w:r>
      <w:r w:rsidR="00DF5A8A">
        <w:rPr>
          <w:lang w:val="fr-FR"/>
        </w:rPr>
        <w:t>e l’</w:t>
      </w:r>
      <w:r w:rsidRPr="00441601">
        <w:rPr>
          <w:lang w:val="fr-FR"/>
        </w:rPr>
        <w:t>examen</w:t>
      </w:r>
      <w:r w:rsidR="009F4C6C">
        <w:rPr>
          <w:lang w:val="fr-FR"/>
        </w:rPr>
        <w:t> </w:t>
      </w:r>
      <w:r w:rsidRPr="00441601">
        <w:rPr>
          <w:lang w:val="fr-FR"/>
        </w:rPr>
        <w:t>DHS ou de l</w:t>
      </w:r>
      <w:r w:rsidR="00497F1A">
        <w:rPr>
          <w:lang w:val="fr-FR"/>
        </w:rPr>
        <w:t>’</w:t>
      </w:r>
      <w:r w:rsidRPr="00441601">
        <w:rPr>
          <w:lang w:val="fr-FR"/>
        </w:rPr>
        <w:t>établissement d</w:t>
      </w:r>
      <w:r w:rsidR="00497F1A">
        <w:rPr>
          <w:lang w:val="fr-FR"/>
        </w:rPr>
        <w:t>’</w:t>
      </w:r>
      <w:r w:rsidRPr="00441601">
        <w:rPr>
          <w:lang w:val="fr-FR"/>
        </w:rPr>
        <w:t>une description variétale;</w:t>
      </w:r>
    </w:p>
    <w:p w:rsidR="003A30C6" w:rsidRPr="00441601" w:rsidRDefault="003A30C6" w:rsidP="003A30C6">
      <w:pPr>
        <w:ind w:left="993" w:hanging="426"/>
        <w:rPr>
          <w:lang w:val="fr-FR"/>
        </w:rPr>
      </w:pPr>
    </w:p>
    <w:p w:rsidR="003A30C6" w:rsidRPr="00441601" w:rsidRDefault="00DF5A8A" w:rsidP="008352C1">
      <w:pPr>
        <w:pStyle w:val="ListParagraph"/>
        <w:numPr>
          <w:ilvl w:val="0"/>
          <w:numId w:val="6"/>
        </w:numPr>
        <w:ind w:left="993" w:hanging="426"/>
        <w:rPr>
          <w:bCs/>
          <w:lang w:val="fr-FR" w:eastAsia="ja-JP"/>
        </w:rPr>
      </w:pPr>
      <w:r>
        <w:rPr>
          <w:lang w:val="fr-FR"/>
        </w:rPr>
        <w:t>l’approche</w:t>
      </w:r>
      <w:r w:rsidR="003A30C6" w:rsidRPr="00441601">
        <w:rPr>
          <w:lang w:val="fr-FR"/>
        </w:rPr>
        <w:t xml:space="preserve"> </w:t>
      </w:r>
      <w:r w:rsidR="00E16D7E">
        <w:rPr>
          <w:lang w:val="fr-FR"/>
        </w:rPr>
        <w:t>g</w:t>
      </w:r>
      <w:r w:rsidR="003A30C6" w:rsidRPr="00441601">
        <w:rPr>
          <w:lang w:val="fr-FR"/>
        </w:rPr>
        <w:t>) “</w:t>
      </w:r>
      <w:r w:rsidR="00945A37" w:rsidRPr="00441601">
        <w:rPr>
          <w:lang w:val="fr-FR"/>
        </w:rPr>
        <w:t>Analyse de l</w:t>
      </w:r>
      <w:r w:rsidR="00497F1A">
        <w:rPr>
          <w:lang w:val="fr-FR"/>
        </w:rPr>
        <w:t>’</w:t>
      </w:r>
      <w:r w:rsidR="00945A37" w:rsidRPr="00441601">
        <w:rPr>
          <w:lang w:val="fr-FR"/>
        </w:rPr>
        <w:t>ADN</w:t>
      </w:r>
      <w:r w:rsidR="003A30C6" w:rsidRPr="00441601">
        <w:rPr>
          <w:bCs/>
          <w:lang w:val="fr-FR" w:eastAsia="ja-JP"/>
        </w:rPr>
        <w:t xml:space="preserve">” </w:t>
      </w:r>
      <w:r w:rsidR="00945A37" w:rsidRPr="00441601">
        <w:rPr>
          <w:bCs/>
          <w:lang w:val="fr-FR" w:eastAsia="ja-JP"/>
        </w:rPr>
        <w:t xml:space="preserve">est trop générale et ne fournit aucune information utile </w:t>
      </w:r>
      <w:r>
        <w:rPr>
          <w:bCs/>
          <w:lang w:val="fr-FR" w:eastAsia="ja-JP"/>
        </w:rPr>
        <w:t>pour l’évaluation de l’</w:t>
      </w:r>
      <w:r w:rsidR="00945A37" w:rsidRPr="00441601">
        <w:rPr>
          <w:bCs/>
          <w:lang w:val="fr-FR" w:eastAsia="ja-JP"/>
        </w:rPr>
        <w:t xml:space="preserve">homogénéité </w:t>
      </w:r>
      <w:r w:rsidR="002A1D3C">
        <w:rPr>
          <w:bCs/>
          <w:lang w:val="fr-FR" w:eastAsia="ja-JP"/>
        </w:rPr>
        <w:t>de</w:t>
      </w:r>
      <w:r w:rsidR="00945A37" w:rsidRPr="00441601">
        <w:rPr>
          <w:bCs/>
          <w:lang w:val="fr-FR" w:eastAsia="ja-JP"/>
        </w:rPr>
        <w:t xml:space="preserve"> caractères </w:t>
      </w:r>
      <w:r w:rsidR="002A1D3C">
        <w:rPr>
          <w:bCs/>
          <w:lang w:val="fr-FR" w:eastAsia="ja-JP"/>
        </w:rPr>
        <w:t>observés</w:t>
      </w:r>
      <w:r w:rsidR="00945A37" w:rsidRPr="00441601">
        <w:rPr>
          <w:bCs/>
          <w:lang w:val="fr-FR" w:eastAsia="ja-JP"/>
        </w:rPr>
        <w:t xml:space="preserve"> sur la base d</w:t>
      </w:r>
      <w:r w:rsidR="00497F1A">
        <w:rPr>
          <w:bCs/>
          <w:lang w:val="fr-FR" w:eastAsia="ja-JP"/>
        </w:rPr>
        <w:t>’</w:t>
      </w:r>
      <w:r w:rsidR="00945A37" w:rsidRPr="00441601">
        <w:rPr>
          <w:bCs/>
          <w:lang w:val="fr-FR" w:eastAsia="ja-JP"/>
        </w:rPr>
        <w:t>échantillon</w:t>
      </w:r>
      <w:r w:rsidR="002A1D3C">
        <w:rPr>
          <w:bCs/>
          <w:lang w:val="fr-FR" w:eastAsia="ja-JP"/>
        </w:rPr>
        <w:t>s</w:t>
      </w:r>
      <w:r w:rsidR="00945A37" w:rsidRPr="00441601">
        <w:rPr>
          <w:bCs/>
          <w:lang w:val="fr-FR" w:eastAsia="ja-JP"/>
        </w:rPr>
        <w:t xml:space="preserve"> globa</w:t>
      </w:r>
      <w:r w:rsidR="002A1D3C">
        <w:rPr>
          <w:bCs/>
          <w:lang w:val="fr-FR" w:eastAsia="ja-JP"/>
        </w:rPr>
        <w:t>ux</w:t>
      </w:r>
      <w:r w:rsidR="003A30C6" w:rsidRPr="00441601">
        <w:rPr>
          <w:bCs/>
          <w:lang w:val="fr-FR" w:eastAsia="ja-JP"/>
        </w:rPr>
        <w:t xml:space="preserve">. </w:t>
      </w:r>
      <w:r w:rsidR="00497F1A" w:rsidRPr="00441601">
        <w:rPr>
          <w:bCs/>
          <w:lang w:val="fr-FR" w:eastAsia="ja-JP"/>
        </w:rPr>
        <w:t xml:space="preserve"> Le</w:t>
      </w:r>
      <w:r w:rsidR="00497F1A">
        <w:rPr>
          <w:bCs/>
          <w:lang w:val="fr-FR" w:eastAsia="ja-JP"/>
        </w:rPr>
        <w:t> </w:t>
      </w:r>
      <w:r w:rsidR="00497F1A" w:rsidRPr="00441601">
        <w:rPr>
          <w:bCs/>
          <w:lang w:val="fr-FR" w:eastAsia="ja-JP"/>
        </w:rPr>
        <w:t>TWA</w:t>
      </w:r>
      <w:r w:rsidR="00945A37" w:rsidRPr="00441601">
        <w:rPr>
          <w:bCs/>
          <w:lang w:val="fr-FR" w:eastAsia="ja-JP"/>
        </w:rPr>
        <w:t xml:space="preserve"> a </w:t>
      </w:r>
      <w:r w:rsidR="00441601">
        <w:rPr>
          <w:bCs/>
          <w:lang w:val="fr-FR" w:eastAsia="ja-JP"/>
        </w:rPr>
        <w:t>rappelé</w:t>
      </w:r>
      <w:r w:rsidR="00945A37" w:rsidRPr="00441601">
        <w:rPr>
          <w:bCs/>
          <w:lang w:val="fr-FR" w:eastAsia="ja-JP"/>
        </w:rPr>
        <w:t xml:space="preserve"> que </w:t>
      </w:r>
      <w:r w:rsidR="00441601">
        <w:rPr>
          <w:bCs/>
          <w:lang w:val="fr-FR" w:eastAsia="ja-JP"/>
        </w:rPr>
        <w:t>l</w:t>
      </w:r>
      <w:r w:rsidR="00441601" w:rsidRPr="00441601">
        <w:rPr>
          <w:bCs/>
          <w:lang w:val="fr-FR" w:eastAsia="ja-JP"/>
        </w:rPr>
        <w:t>es</w:t>
      </w:r>
      <w:r w:rsidR="00945A37" w:rsidRPr="00441601">
        <w:rPr>
          <w:bCs/>
          <w:lang w:val="fr-FR" w:eastAsia="ja-JP"/>
        </w:rPr>
        <w:t xml:space="preserve"> marqueurs moléculaires pou</w:t>
      </w:r>
      <w:r w:rsidR="00441601">
        <w:rPr>
          <w:bCs/>
          <w:lang w:val="fr-FR" w:eastAsia="ja-JP"/>
        </w:rPr>
        <w:t>v</w:t>
      </w:r>
      <w:r w:rsidR="00945A37" w:rsidRPr="00441601">
        <w:rPr>
          <w:bCs/>
          <w:lang w:val="fr-FR" w:eastAsia="ja-JP"/>
        </w:rPr>
        <w:t>aient être utilisé</w:t>
      </w:r>
      <w:r w:rsidR="004F4B88">
        <w:rPr>
          <w:bCs/>
          <w:lang w:val="fr-FR" w:eastAsia="ja-JP"/>
        </w:rPr>
        <w:t>s</w:t>
      </w:r>
      <w:r w:rsidR="00945A37" w:rsidRPr="00441601">
        <w:rPr>
          <w:bCs/>
          <w:lang w:val="fr-FR" w:eastAsia="ja-JP"/>
        </w:rPr>
        <w:t xml:space="preserve"> </w:t>
      </w:r>
      <w:r w:rsidR="00441601">
        <w:rPr>
          <w:bCs/>
          <w:lang w:val="fr-FR" w:eastAsia="ja-JP"/>
        </w:rPr>
        <w:t>pour examiner les</w:t>
      </w:r>
      <w:r w:rsidR="00441601" w:rsidRPr="00441601">
        <w:rPr>
          <w:bCs/>
          <w:lang w:val="fr-FR" w:eastAsia="ja-JP"/>
        </w:rPr>
        <w:t xml:space="preserve"> caractères DHS</w:t>
      </w:r>
      <w:r w:rsidR="00441601">
        <w:rPr>
          <w:bCs/>
          <w:lang w:val="fr-FR" w:eastAsia="ja-JP"/>
        </w:rPr>
        <w:t xml:space="preserve"> s</w:t>
      </w:r>
      <w:r w:rsidR="00497F1A">
        <w:rPr>
          <w:bCs/>
          <w:lang w:val="fr-FR" w:eastAsia="ja-JP"/>
        </w:rPr>
        <w:t>’</w:t>
      </w:r>
      <w:r w:rsidR="00FE6080">
        <w:rPr>
          <w:bCs/>
          <w:lang w:val="fr-FR" w:eastAsia="ja-JP"/>
        </w:rPr>
        <w:t>il existait une corrélation</w:t>
      </w:r>
      <w:r w:rsidR="00441601">
        <w:rPr>
          <w:bCs/>
          <w:lang w:val="fr-FR" w:eastAsia="ja-JP"/>
        </w:rPr>
        <w:t xml:space="preserve"> fiable entre</w:t>
      </w:r>
      <w:r w:rsidR="00441601" w:rsidRPr="00441601">
        <w:rPr>
          <w:bCs/>
          <w:lang w:val="fr-FR" w:eastAsia="ja-JP"/>
        </w:rPr>
        <w:t xml:space="preserve"> le marqueur et le caractère</w:t>
      </w:r>
      <w:r w:rsidR="003A30C6" w:rsidRPr="00441601">
        <w:rPr>
          <w:lang w:val="fr-FR"/>
        </w:rPr>
        <w:t xml:space="preserve">, </w:t>
      </w:r>
      <w:r w:rsidR="002A1D3C">
        <w:rPr>
          <w:lang w:val="fr-FR"/>
        </w:rPr>
        <w:t>auquel cas l’</w:t>
      </w:r>
      <w:r w:rsidR="00441601" w:rsidRPr="00441601">
        <w:rPr>
          <w:lang w:val="fr-FR"/>
        </w:rPr>
        <w:t>évaluation sur la base d</w:t>
      </w:r>
      <w:r w:rsidR="00497F1A">
        <w:rPr>
          <w:lang w:val="fr-FR"/>
        </w:rPr>
        <w:t>’</w:t>
      </w:r>
      <w:r w:rsidR="00441601" w:rsidRPr="00441601">
        <w:rPr>
          <w:lang w:val="fr-FR"/>
        </w:rPr>
        <w:t>échantillons globaux ne serait pas nécessaire</w:t>
      </w:r>
      <w:r w:rsidR="003A30C6" w:rsidRPr="00441601">
        <w:rPr>
          <w:lang w:val="fr-FR"/>
        </w:rPr>
        <w:t>.</w:t>
      </w:r>
    </w:p>
    <w:p w:rsidR="003A30C6" w:rsidRPr="004513C7" w:rsidRDefault="003A30C6" w:rsidP="003A30C6">
      <w:pPr>
        <w:rPr>
          <w:snapToGrid w:val="0"/>
          <w:highlight w:val="yellow"/>
          <w:lang w:val="fr-FR"/>
        </w:rPr>
      </w:pPr>
    </w:p>
    <w:p w:rsidR="00497F1A" w:rsidRDefault="003A30C6" w:rsidP="003A30C6">
      <w:pPr>
        <w:rPr>
          <w:lang w:val="fr-FR"/>
        </w:rPr>
      </w:pPr>
      <w:r w:rsidRPr="00BB63CC">
        <w:rPr>
          <w:lang w:val="fr-FR"/>
        </w:rPr>
        <w:fldChar w:fldCharType="begin"/>
      </w:r>
      <w:r w:rsidRPr="00BB63CC">
        <w:rPr>
          <w:lang w:val="fr-FR"/>
        </w:rPr>
        <w:instrText xml:space="preserve"> AUTONUM  </w:instrText>
      </w:r>
      <w:r w:rsidRPr="00BB63CC">
        <w:rPr>
          <w:lang w:val="fr-FR"/>
        </w:rPr>
        <w:fldChar w:fldCharType="end"/>
      </w:r>
      <w:r w:rsidRPr="00BB63CC">
        <w:rPr>
          <w:lang w:val="fr-FR"/>
        </w:rPr>
        <w:tab/>
      </w:r>
      <w:r w:rsidR="00FE6080" w:rsidRPr="00BB63CC">
        <w:rPr>
          <w:lang w:val="fr-FR"/>
        </w:rPr>
        <w:t>Le TWO a fait siennes les conclusions</w:t>
      </w:r>
      <w:r w:rsidR="00497F1A" w:rsidRPr="00BB63CC">
        <w:rPr>
          <w:lang w:val="fr-FR"/>
        </w:rPr>
        <w:t xml:space="preserve"> du</w:t>
      </w:r>
      <w:r w:rsidR="00497F1A">
        <w:rPr>
          <w:lang w:val="fr-FR"/>
        </w:rPr>
        <w:t> </w:t>
      </w:r>
      <w:r w:rsidR="00497F1A" w:rsidRPr="00BB63CC">
        <w:rPr>
          <w:lang w:val="fr-FR"/>
        </w:rPr>
        <w:t>TWA</w:t>
      </w:r>
      <w:r w:rsidR="00FE6080" w:rsidRPr="00BB63CC">
        <w:rPr>
          <w:lang w:val="fr-FR"/>
        </w:rPr>
        <w:t xml:space="preserve"> et est également convenu que l</w:t>
      </w:r>
      <w:r w:rsidR="00497F1A">
        <w:rPr>
          <w:lang w:val="fr-FR"/>
        </w:rPr>
        <w:t>’</w:t>
      </w:r>
      <w:r w:rsidR="00FE6080" w:rsidRPr="00BB63CC">
        <w:rPr>
          <w:lang w:val="fr-FR"/>
        </w:rPr>
        <w:t>analyse de l</w:t>
      </w:r>
      <w:r w:rsidR="00497F1A">
        <w:rPr>
          <w:lang w:val="fr-FR"/>
        </w:rPr>
        <w:t>’</w:t>
      </w:r>
      <w:r w:rsidR="00FE6080" w:rsidRPr="00BB63CC">
        <w:rPr>
          <w:lang w:val="fr-FR"/>
        </w:rPr>
        <w:t xml:space="preserve">ADN </w:t>
      </w:r>
      <w:r w:rsidR="002A1D3C">
        <w:rPr>
          <w:lang w:val="fr-FR"/>
        </w:rPr>
        <w:t xml:space="preserve">présenterait un </w:t>
      </w:r>
      <w:r w:rsidR="00FE6080" w:rsidRPr="00BB63CC">
        <w:rPr>
          <w:lang w:val="fr-FR"/>
        </w:rPr>
        <w:t xml:space="preserve">intérêt </w:t>
      </w:r>
      <w:r w:rsidR="002A1D3C">
        <w:rPr>
          <w:lang w:val="fr-FR"/>
        </w:rPr>
        <w:t>uniquement</w:t>
      </w:r>
      <w:r w:rsidR="00FE6080" w:rsidRPr="00BB63CC">
        <w:rPr>
          <w:lang w:val="fr-FR"/>
        </w:rPr>
        <w:t xml:space="preserve"> pour l</w:t>
      </w:r>
      <w:r w:rsidR="00497F1A">
        <w:rPr>
          <w:lang w:val="fr-FR"/>
        </w:rPr>
        <w:t>’</w:t>
      </w:r>
      <w:r w:rsidR="00FE6080" w:rsidRPr="00BB63CC">
        <w:rPr>
          <w:lang w:val="fr-FR"/>
        </w:rPr>
        <w:t xml:space="preserve">évaluation des caractères qui </w:t>
      </w:r>
      <w:r w:rsidR="002A1D3C">
        <w:rPr>
          <w:lang w:val="fr-FR"/>
        </w:rPr>
        <w:t>satisf</w:t>
      </w:r>
      <w:r w:rsidR="007358A9">
        <w:rPr>
          <w:lang w:val="fr-FR"/>
        </w:rPr>
        <w:t>on</w:t>
      </w:r>
      <w:r w:rsidR="002A1D3C">
        <w:rPr>
          <w:lang w:val="fr-FR"/>
        </w:rPr>
        <w:t xml:space="preserve">t aux critères </w:t>
      </w:r>
      <w:r w:rsidR="00FE6080" w:rsidRPr="00BB63CC">
        <w:rPr>
          <w:lang w:val="fr-FR"/>
        </w:rPr>
        <w:t xml:space="preserve"> indiqués dans l</w:t>
      </w:r>
      <w:r w:rsidR="00497F1A">
        <w:rPr>
          <w:lang w:val="fr-FR"/>
        </w:rPr>
        <w:t>’</w:t>
      </w:r>
      <w:r w:rsidR="00FE6080" w:rsidRPr="00BB63CC">
        <w:rPr>
          <w:lang w:val="fr-FR"/>
        </w:rPr>
        <w:t>Introduction générale et lorsqu</w:t>
      </w:r>
      <w:r w:rsidR="00497F1A">
        <w:rPr>
          <w:lang w:val="fr-FR"/>
        </w:rPr>
        <w:t>’</w:t>
      </w:r>
      <w:r w:rsidR="00FE6080" w:rsidRPr="00BB63CC">
        <w:rPr>
          <w:lang w:val="fr-FR"/>
        </w:rPr>
        <w:t>il y a vérification de la fiabilité de la liaison entre le marqueur et le caractère</w:t>
      </w:r>
      <w:r w:rsidRPr="00BB63CC">
        <w:rPr>
          <w:lang w:val="fr-FR"/>
        </w:rPr>
        <w:t xml:space="preserve">, </w:t>
      </w:r>
      <w:r w:rsidR="00FE6080" w:rsidRPr="00BB63CC">
        <w:rPr>
          <w:lang w:val="fr-FR"/>
        </w:rPr>
        <w:t>comme indiqué dans le document</w:t>
      </w:r>
      <w:r w:rsidRPr="00BB63CC">
        <w:rPr>
          <w:lang w:val="fr-FR"/>
        </w:rPr>
        <w:t xml:space="preserve"> TGP/15 “</w:t>
      </w:r>
      <w:r w:rsidR="00FE6080" w:rsidRPr="00BB63CC">
        <w:rPr>
          <w:lang w:val="fr-FR"/>
        </w:rPr>
        <w:t>Conseils en ce qui concerne l</w:t>
      </w:r>
      <w:r w:rsidR="00497F1A">
        <w:rPr>
          <w:lang w:val="fr-FR"/>
        </w:rPr>
        <w:t>’</w:t>
      </w:r>
      <w:r w:rsidR="00FE6080" w:rsidRPr="00BB63CC">
        <w:rPr>
          <w:lang w:val="fr-FR"/>
        </w:rPr>
        <w:t>utilisation des marqueurs biochimiques et moléculaires dans l</w:t>
      </w:r>
      <w:r w:rsidR="00497F1A">
        <w:rPr>
          <w:lang w:val="fr-FR"/>
        </w:rPr>
        <w:t>’</w:t>
      </w:r>
      <w:r w:rsidR="00FE6080" w:rsidRPr="00BB63CC">
        <w:rPr>
          <w:lang w:val="fr-FR"/>
        </w:rPr>
        <w:t>examen de la distinction, de l</w:t>
      </w:r>
      <w:r w:rsidR="00497F1A">
        <w:rPr>
          <w:lang w:val="fr-FR"/>
        </w:rPr>
        <w:t>’</w:t>
      </w:r>
      <w:r w:rsidR="00FE6080" w:rsidRPr="00BB63CC">
        <w:rPr>
          <w:lang w:val="fr-FR"/>
        </w:rPr>
        <w:t>homogénéité et de la stabilité</w:t>
      </w:r>
      <w:r w:rsidRPr="00BB63CC">
        <w:rPr>
          <w:lang w:val="fr-FR"/>
        </w:rPr>
        <w:t xml:space="preserve"> (</w:t>
      </w:r>
      <w:r w:rsidR="00FE6080" w:rsidRPr="00BB63CC">
        <w:rPr>
          <w:lang w:val="fr-FR"/>
        </w:rPr>
        <w:t>DHS</w:t>
      </w:r>
      <w:r w:rsidRPr="00BB63CC">
        <w:rPr>
          <w:lang w:val="fr-FR"/>
        </w:rPr>
        <w:t>)”.</w:t>
      </w:r>
    </w:p>
    <w:p w:rsidR="003A30C6" w:rsidRPr="004513C7" w:rsidRDefault="003A30C6" w:rsidP="003A30C6">
      <w:pPr>
        <w:rPr>
          <w:highlight w:val="yellow"/>
          <w:lang w:val="fr-FR"/>
        </w:rPr>
      </w:pPr>
    </w:p>
    <w:p w:rsidR="003A30C6" w:rsidRPr="00BB63CC" w:rsidRDefault="003A30C6" w:rsidP="003A30C6">
      <w:pPr>
        <w:rPr>
          <w:lang w:val="fr-FR"/>
        </w:rPr>
      </w:pPr>
      <w:r w:rsidRPr="00BB63CC">
        <w:rPr>
          <w:lang w:val="fr-FR"/>
        </w:rPr>
        <w:fldChar w:fldCharType="begin"/>
      </w:r>
      <w:r w:rsidRPr="00BB63CC">
        <w:rPr>
          <w:lang w:val="fr-FR"/>
        </w:rPr>
        <w:instrText xml:space="preserve"> AUTONUM  </w:instrText>
      </w:r>
      <w:r w:rsidRPr="00BB63CC">
        <w:rPr>
          <w:lang w:val="fr-FR"/>
        </w:rPr>
        <w:fldChar w:fldCharType="end"/>
      </w:r>
      <w:r w:rsidRPr="00BB63CC">
        <w:rPr>
          <w:lang w:val="fr-FR"/>
        </w:rPr>
        <w:tab/>
      </w:r>
      <w:r w:rsidR="00BB63CC" w:rsidRPr="00BB63CC">
        <w:rPr>
          <w:lang w:val="fr-FR"/>
        </w:rPr>
        <w:t xml:space="preserve">Le TWO a noté que </w:t>
      </w:r>
      <w:r w:rsidR="002A1D3C">
        <w:rPr>
          <w:lang w:val="fr-FR"/>
        </w:rPr>
        <w:t>certaines</w:t>
      </w:r>
      <w:r w:rsidR="00BB63CC" w:rsidRPr="00BB63CC">
        <w:rPr>
          <w:lang w:val="fr-FR"/>
        </w:rPr>
        <w:t xml:space="preserve"> variétés de plantes ornementales étaient mises au point à de</w:t>
      </w:r>
      <w:r w:rsidR="002A1D3C">
        <w:rPr>
          <w:lang w:val="fr-FR"/>
        </w:rPr>
        <w:t>s</w:t>
      </w:r>
      <w:r w:rsidR="00BB63CC" w:rsidRPr="00BB63CC">
        <w:rPr>
          <w:lang w:val="fr-FR"/>
        </w:rPr>
        <w:t xml:space="preserve"> fins</w:t>
      </w:r>
      <w:r w:rsidR="002A1D3C" w:rsidRPr="002A1D3C">
        <w:rPr>
          <w:lang w:val="fr-FR"/>
        </w:rPr>
        <w:t xml:space="preserve"> </w:t>
      </w:r>
      <w:r w:rsidR="002A1D3C" w:rsidRPr="00BB63CC">
        <w:rPr>
          <w:lang w:val="fr-FR"/>
        </w:rPr>
        <w:t>nouvelles</w:t>
      </w:r>
      <w:r w:rsidR="00BB63CC" w:rsidRPr="00BB63CC">
        <w:rPr>
          <w:lang w:val="fr-FR"/>
        </w:rPr>
        <w:t>, par exemple pour leur contenu chimique, et est convenu qu</w:t>
      </w:r>
      <w:r w:rsidR="00497F1A">
        <w:rPr>
          <w:lang w:val="fr-FR"/>
        </w:rPr>
        <w:t>’</w:t>
      </w:r>
      <w:r w:rsidR="00BB63CC" w:rsidRPr="00BB63CC">
        <w:rPr>
          <w:lang w:val="fr-FR"/>
        </w:rPr>
        <w:t xml:space="preserve">il serait </w:t>
      </w:r>
      <w:r w:rsidR="002A1D3C">
        <w:rPr>
          <w:lang w:val="fr-FR"/>
        </w:rPr>
        <w:t>utile</w:t>
      </w:r>
      <w:r w:rsidR="00BB63CC" w:rsidRPr="00BB63CC">
        <w:rPr>
          <w:lang w:val="fr-FR"/>
        </w:rPr>
        <w:t xml:space="preserve"> de poursuivre l</w:t>
      </w:r>
      <w:r w:rsidR="00497F1A">
        <w:rPr>
          <w:lang w:val="fr-FR"/>
        </w:rPr>
        <w:t>’</w:t>
      </w:r>
      <w:r w:rsidR="00BB63CC" w:rsidRPr="00BB63CC">
        <w:rPr>
          <w:lang w:val="fr-FR"/>
        </w:rPr>
        <w:t>analyse des conditions auxquelles doit satisfaire un caractère examiné sur la base d</w:t>
      </w:r>
      <w:r w:rsidR="00497F1A">
        <w:rPr>
          <w:lang w:val="fr-FR"/>
        </w:rPr>
        <w:t>’</w:t>
      </w:r>
      <w:r w:rsidR="00BB63CC" w:rsidRPr="00BB63CC">
        <w:rPr>
          <w:lang w:val="fr-FR"/>
        </w:rPr>
        <w:t>échantillon</w:t>
      </w:r>
      <w:r w:rsidR="002A1D3C">
        <w:rPr>
          <w:lang w:val="fr-FR"/>
        </w:rPr>
        <w:t>s globaux</w:t>
      </w:r>
      <w:r w:rsidR="00BB63CC" w:rsidRPr="00BB63CC">
        <w:rPr>
          <w:lang w:val="fr-FR"/>
        </w:rPr>
        <w:t xml:space="preserve"> avant </w:t>
      </w:r>
      <w:r w:rsidR="007358A9">
        <w:rPr>
          <w:lang w:val="fr-FR"/>
        </w:rPr>
        <w:t>de pouvoir</w:t>
      </w:r>
      <w:r w:rsidR="00BB63CC" w:rsidRPr="00BB63CC">
        <w:rPr>
          <w:lang w:val="fr-FR"/>
        </w:rPr>
        <w:t xml:space="preserve"> être utilisé aux fins d</w:t>
      </w:r>
      <w:r w:rsidR="002A1D3C">
        <w:rPr>
          <w:lang w:val="fr-FR"/>
        </w:rPr>
        <w:t>e l’</w:t>
      </w:r>
      <w:r w:rsidR="00BB63CC" w:rsidRPr="00BB63CC">
        <w:rPr>
          <w:lang w:val="fr-FR"/>
        </w:rPr>
        <w:t>examen</w:t>
      </w:r>
      <w:r w:rsidR="009F4C6C">
        <w:rPr>
          <w:lang w:val="fr-FR"/>
        </w:rPr>
        <w:t> </w:t>
      </w:r>
      <w:r w:rsidR="00BB63CC" w:rsidRPr="00BB63CC">
        <w:rPr>
          <w:lang w:val="fr-FR"/>
        </w:rPr>
        <w:t>DHS</w:t>
      </w:r>
      <w:r w:rsidRPr="00BB63CC">
        <w:rPr>
          <w:lang w:val="fr-FR"/>
        </w:rPr>
        <w:t>.</w:t>
      </w:r>
    </w:p>
    <w:p w:rsidR="003A30C6" w:rsidRPr="004B4284" w:rsidRDefault="003A30C6" w:rsidP="003A30C6">
      <w:pPr>
        <w:jc w:val="left"/>
        <w:rPr>
          <w:snapToGrid w:val="0"/>
          <w:color w:val="000000"/>
          <w:lang w:val="fr-FR" w:eastAsia="ja-JP"/>
        </w:rPr>
      </w:pPr>
    </w:p>
    <w:p w:rsidR="00497F1A" w:rsidRDefault="003A30C6" w:rsidP="003A30C6">
      <w:pPr>
        <w:rPr>
          <w:bCs/>
          <w:lang w:val="fr-FR" w:eastAsia="ja-JP"/>
        </w:rPr>
      </w:pPr>
      <w:r w:rsidRPr="004B4284">
        <w:rPr>
          <w:snapToGrid w:val="0"/>
          <w:lang w:val="fr-FR"/>
        </w:rPr>
        <w:fldChar w:fldCharType="begin"/>
      </w:r>
      <w:r w:rsidRPr="004B4284">
        <w:rPr>
          <w:snapToGrid w:val="0"/>
          <w:lang w:val="fr-FR"/>
        </w:rPr>
        <w:instrText xml:space="preserve"> AUTONUM  </w:instrText>
      </w:r>
      <w:r w:rsidRPr="004B4284">
        <w:rPr>
          <w:snapToGrid w:val="0"/>
          <w:lang w:val="fr-FR"/>
        </w:rPr>
        <w:fldChar w:fldCharType="end"/>
      </w:r>
      <w:r w:rsidRPr="004B4284">
        <w:rPr>
          <w:snapToGrid w:val="0"/>
          <w:lang w:val="fr-FR"/>
        </w:rPr>
        <w:tab/>
      </w:r>
      <w:r w:rsidR="00CF6C36" w:rsidRPr="004B4284">
        <w:rPr>
          <w:snapToGrid w:val="0"/>
          <w:lang w:val="fr-FR"/>
        </w:rPr>
        <w:t>Le</w:t>
      </w:r>
      <w:r w:rsidRPr="004B4284">
        <w:rPr>
          <w:snapToGrid w:val="0"/>
          <w:lang w:val="fr-FR"/>
        </w:rPr>
        <w:t xml:space="preserve"> TWV,</w:t>
      </w:r>
      <w:r w:rsidR="00497F1A" w:rsidRPr="004B4284">
        <w:rPr>
          <w:snapToGrid w:val="0"/>
          <w:lang w:val="fr-FR"/>
        </w:rPr>
        <w:t xml:space="preserve"> le</w:t>
      </w:r>
      <w:r w:rsidR="00497F1A">
        <w:rPr>
          <w:snapToGrid w:val="0"/>
          <w:lang w:val="fr-FR"/>
        </w:rPr>
        <w:t> </w:t>
      </w:r>
      <w:r w:rsidR="00497F1A" w:rsidRPr="004B4284">
        <w:rPr>
          <w:snapToGrid w:val="0"/>
          <w:lang w:val="fr-FR"/>
        </w:rPr>
        <w:t>TWC</w:t>
      </w:r>
      <w:r w:rsidR="00CF6C36" w:rsidRPr="004B4284">
        <w:rPr>
          <w:snapToGrid w:val="0"/>
          <w:lang w:val="fr-FR"/>
        </w:rPr>
        <w:t xml:space="preserve"> et</w:t>
      </w:r>
      <w:r w:rsidR="00497F1A" w:rsidRPr="004B4284">
        <w:rPr>
          <w:snapToGrid w:val="0"/>
          <w:lang w:val="fr-FR"/>
        </w:rPr>
        <w:t xml:space="preserve"> le</w:t>
      </w:r>
      <w:r w:rsidR="00497F1A">
        <w:rPr>
          <w:snapToGrid w:val="0"/>
          <w:lang w:val="fr-FR"/>
        </w:rPr>
        <w:t> </w:t>
      </w:r>
      <w:r w:rsidR="00497F1A" w:rsidRPr="004B4284">
        <w:rPr>
          <w:snapToGrid w:val="0"/>
          <w:lang w:val="fr-FR"/>
        </w:rPr>
        <w:t>TWA</w:t>
      </w:r>
      <w:r w:rsidRPr="004B4284">
        <w:rPr>
          <w:snapToGrid w:val="0"/>
          <w:lang w:val="fr-FR"/>
        </w:rPr>
        <w:t xml:space="preserve"> </w:t>
      </w:r>
      <w:r w:rsidR="00CF6C36" w:rsidRPr="004B4284">
        <w:rPr>
          <w:snapToGrid w:val="0"/>
          <w:lang w:val="fr-FR"/>
        </w:rPr>
        <w:t xml:space="preserve">ont examiné </w:t>
      </w:r>
      <w:r w:rsidR="002A1D3C">
        <w:rPr>
          <w:snapToGrid w:val="0"/>
          <w:lang w:val="fr-FR"/>
        </w:rPr>
        <w:t>les</w:t>
      </w:r>
      <w:r w:rsidR="00CF6C36" w:rsidRPr="004B4284">
        <w:rPr>
          <w:snapToGrid w:val="0"/>
          <w:lang w:val="fr-FR"/>
        </w:rPr>
        <w:t xml:space="preserve"> informations fournies par </w:t>
      </w:r>
      <w:r w:rsidR="002A1D3C">
        <w:rPr>
          <w:snapToGrid w:val="0"/>
          <w:lang w:val="fr-FR"/>
        </w:rPr>
        <w:t>l’</w:t>
      </w:r>
      <w:r w:rsidR="00CF6C36" w:rsidRPr="004B4284">
        <w:rPr>
          <w:snapToGrid w:val="0"/>
          <w:lang w:val="fr-FR"/>
        </w:rPr>
        <w:t>expert des Pays</w:t>
      </w:r>
      <w:r w:rsidR="008352C1">
        <w:rPr>
          <w:snapToGrid w:val="0"/>
          <w:lang w:val="fr-FR"/>
        </w:rPr>
        <w:noBreakHyphen/>
      </w:r>
      <w:r w:rsidR="00CF6C36" w:rsidRPr="004B4284">
        <w:rPr>
          <w:snapToGrid w:val="0"/>
          <w:lang w:val="fr-FR"/>
        </w:rPr>
        <w:t>Bas</w:t>
      </w:r>
      <w:r w:rsidR="004B4284" w:rsidRPr="004B4284">
        <w:rPr>
          <w:snapToGrid w:val="0"/>
          <w:lang w:val="fr-FR"/>
        </w:rPr>
        <w:t>,</w:t>
      </w:r>
      <w:r w:rsidR="002A1D3C">
        <w:rPr>
          <w:snapToGrid w:val="0"/>
          <w:lang w:val="fr-FR"/>
        </w:rPr>
        <w:t xml:space="preserve"> sur l’</w:t>
      </w:r>
      <w:r w:rsidR="00CF6C36" w:rsidRPr="004B4284">
        <w:rPr>
          <w:snapToGrid w:val="0"/>
          <w:lang w:val="fr-FR"/>
        </w:rPr>
        <w:t>exemple de caractère examiné sur la base d</w:t>
      </w:r>
      <w:r w:rsidR="00497F1A">
        <w:rPr>
          <w:snapToGrid w:val="0"/>
          <w:lang w:val="fr-FR"/>
        </w:rPr>
        <w:t>’</w:t>
      </w:r>
      <w:r w:rsidR="00CF6C36" w:rsidRPr="004B4284">
        <w:rPr>
          <w:snapToGrid w:val="0"/>
          <w:lang w:val="fr-FR"/>
        </w:rPr>
        <w:t xml:space="preserve">un échantillon global aux </w:t>
      </w:r>
      <w:r w:rsidR="007358A9">
        <w:rPr>
          <w:snapToGrid w:val="0"/>
          <w:lang w:val="fr-FR"/>
        </w:rPr>
        <w:t>P</w:t>
      </w:r>
      <w:r w:rsidR="00CF6C36" w:rsidRPr="004B4284">
        <w:rPr>
          <w:snapToGrid w:val="0"/>
          <w:lang w:val="fr-FR"/>
        </w:rPr>
        <w:t>ays</w:t>
      </w:r>
      <w:r w:rsidR="007358A9" w:rsidRPr="007358A9">
        <w:rPr>
          <w:snapToGrid w:val="0"/>
          <w:lang w:val="fr-FR"/>
        </w:rPr>
        <w:noBreakHyphen/>
      </w:r>
      <w:r w:rsidR="007358A9">
        <w:rPr>
          <w:snapToGrid w:val="0"/>
          <w:lang w:val="fr-FR"/>
        </w:rPr>
        <w:t>B</w:t>
      </w:r>
      <w:r w:rsidR="00CF6C36" w:rsidRPr="004B4284">
        <w:rPr>
          <w:snapToGrid w:val="0"/>
          <w:lang w:val="fr-FR"/>
        </w:rPr>
        <w:t>as</w:t>
      </w:r>
      <w:r w:rsidR="004B4284" w:rsidRPr="004B4284">
        <w:rPr>
          <w:snapToGrid w:val="0"/>
          <w:lang w:val="fr-FR"/>
        </w:rPr>
        <w:t xml:space="preserve">, </w:t>
      </w:r>
      <w:r w:rsidR="00497F1A">
        <w:rPr>
          <w:snapToGrid w:val="0"/>
          <w:lang w:val="fr-FR"/>
        </w:rPr>
        <w:t>à savoir</w:t>
      </w:r>
      <w:r w:rsidR="004B4284" w:rsidRPr="004B4284">
        <w:rPr>
          <w:snapToGrid w:val="0"/>
          <w:lang w:val="fr-FR"/>
        </w:rPr>
        <w:t xml:space="preserve"> la</w:t>
      </w:r>
      <w:r w:rsidR="00CF6C36" w:rsidRPr="004B4284">
        <w:rPr>
          <w:snapToGrid w:val="0"/>
          <w:lang w:val="fr-FR"/>
        </w:rPr>
        <w:t xml:space="preserve"> teneur en </w:t>
      </w:r>
      <w:proofErr w:type="spellStart"/>
      <w:r w:rsidR="00CF6C36" w:rsidRPr="004B4284">
        <w:rPr>
          <w:snapToGrid w:val="0"/>
          <w:lang w:val="fr-FR"/>
        </w:rPr>
        <w:t>glucoraphanine</w:t>
      </w:r>
      <w:proofErr w:type="spellEnd"/>
      <w:r w:rsidR="004B4284" w:rsidRPr="004B4284">
        <w:rPr>
          <w:snapToGrid w:val="0"/>
          <w:lang w:val="fr-FR"/>
        </w:rPr>
        <w:t>.  Ces informations figurent à l</w:t>
      </w:r>
      <w:r w:rsidR="00497F1A">
        <w:rPr>
          <w:snapToGrid w:val="0"/>
          <w:lang w:val="fr-FR"/>
        </w:rPr>
        <w:t>’</w:t>
      </w:r>
      <w:r w:rsidR="004B4284" w:rsidRPr="004B4284">
        <w:rPr>
          <w:snapToGrid w:val="0"/>
          <w:lang w:val="fr-FR"/>
        </w:rPr>
        <w:t>annexe</w:t>
      </w:r>
      <w:r w:rsidR="009F4C6C">
        <w:rPr>
          <w:snapToGrid w:val="0"/>
          <w:lang w:val="fr-FR"/>
        </w:rPr>
        <w:t> </w:t>
      </w:r>
      <w:r w:rsidR="004B4284" w:rsidRPr="004B4284">
        <w:rPr>
          <w:snapToGrid w:val="0"/>
          <w:lang w:val="fr-FR"/>
        </w:rPr>
        <w:t>II du présent document</w:t>
      </w:r>
      <w:r w:rsidRPr="004B4284">
        <w:rPr>
          <w:lang w:val="fr-FR" w:eastAsia="ja-JP"/>
        </w:rPr>
        <w:t xml:space="preserve">. </w:t>
      </w:r>
      <w:r w:rsidR="00497F1A" w:rsidRPr="004B4284">
        <w:rPr>
          <w:lang w:val="fr-FR" w:eastAsia="ja-JP"/>
        </w:rPr>
        <w:t xml:space="preserve"> Le</w:t>
      </w:r>
      <w:r w:rsidR="00497F1A">
        <w:rPr>
          <w:lang w:val="fr-FR" w:eastAsia="ja-JP"/>
        </w:rPr>
        <w:t> </w:t>
      </w:r>
      <w:r w:rsidR="00497F1A" w:rsidRPr="004B4284">
        <w:rPr>
          <w:lang w:val="fr-FR" w:eastAsia="ja-JP"/>
        </w:rPr>
        <w:t>TWA</w:t>
      </w:r>
      <w:r w:rsidR="004B4284" w:rsidRPr="004B4284">
        <w:rPr>
          <w:lang w:val="fr-FR" w:eastAsia="ja-JP"/>
        </w:rPr>
        <w:t xml:space="preserve"> est </w:t>
      </w:r>
      <w:proofErr w:type="gramStart"/>
      <w:r w:rsidR="004B4284" w:rsidRPr="004B4284">
        <w:rPr>
          <w:lang w:val="fr-FR" w:eastAsia="ja-JP"/>
        </w:rPr>
        <w:t>convenu</w:t>
      </w:r>
      <w:proofErr w:type="gramEnd"/>
      <w:r w:rsidR="004B4284" w:rsidRPr="004B4284">
        <w:rPr>
          <w:lang w:val="fr-FR" w:eastAsia="ja-JP"/>
        </w:rPr>
        <w:t xml:space="preserve"> qu</w:t>
      </w:r>
      <w:r w:rsidR="00497F1A">
        <w:rPr>
          <w:lang w:val="fr-FR" w:eastAsia="ja-JP"/>
        </w:rPr>
        <w:t>’</w:t>
      </w:r>
      <w:r w:rsidR="004B4284" w:rsidRPr="004B4284">
        <w:rPr>
          <w:lang w:val="fr-FR" w:eastAsia="ja-JP"/>
        </w:rPr>
        <w:t>il faudrait analyser les données obtenues à partir de l</w:t>
      </w:r>
      <w:r w:rsidR="00497F1A">
        <w:rPr>
          <w:lang w:val="fr-FR" w:eastAsia="ja-JP"/>
        </w:rPr>
        <w:t>’</w:t>
      </w:r>
      <w:r w:rsidR="004B4284" w:rsidRPr="004B4284">
        <w:rPr>
          <w:lang w:val="fr-FR" w:eastAsia="ja-JP"/>
        </w:rPr>
        <w:t>évaluation du caractère pour comprendre les conclusions présentées</w:t>
      </w:r>
      <w:r w:rsidRPr="004B4284">
        <w:rPr>
          <w:bCs/>
          <w:lang w:val="fr-FR" w:eastAsia="ja-JP"/>
        </w:rPr>
        <w:t>.</w:t>
      </w:r>
    </w:p>
    <w:p w:rsidR="003A30C6" w:rsidRPr="004B4284" w:rsidRDefault="003A30C6" w:rsidP="003A30C6">
      <w:pPr>
        <w:rPr>
          <w:snapToGrid w:val="0"/>
          <w:lang w:val="fr-FR"/>
        </w:rPr>
      </w:pPr>
    </w:p>
    <w:p w:rsidR="003A30C6" w:rsidRPr="004B4284" w:rsidRDefault="003A30C6" w:rsidP="003A30C6">
      <w:pPr>
        <w:rPr>
          <w:lang w:val="fr-FR" w:eastAsia="ja-JP"/>
        </w:rPr>
      </w:pPr>
      <w:r w:rsidRPr="004B4284">
        <w:rPr>
          <w:snapToGrid w:val="0"/>
          <w:lang w:val="fr-FR"/>
        </w:rPr>
        <w:fldChar w:fldCharType="begin"/>
      </w:r>
      <w:r w:rsidRPr="004B4284">
        <w:rPr>
          <w:snapToGrid w:val="0"/>
          <w:lang w:val="fr-FR"/>
        </w:rPr>
        <w:instrText xml:space="preserve"> AUTONUM  </w:instrText>
      </w:r>
      <w:r w:rsidRPr="004B4284">
        <w:rPr>
          <w:snapToGrid w:val="0"/>
          <w:lang w:val="fr-FR"/>
        </w:rPr>
        <w:fldChar w:fldCharType="end"/>
      </w:r>
      <w:r w:rsidRPr="004B4284">
        <w:rPr>
          <w:snapToGrid w:val="0"/>
          <w:lang w:val="fr-FR"/>
        </w:rPr>
        <w:tab/>
      </w:r>
      <w:r w:rsidR="004B4284" w:rsidRPr="004B4284">
        <w:rPr>
          <w:snapToGrid w:val="0"/>
          <w:lang w:val="fr-FR"/>
        </w:rPr>
        <w:t xml:space="preserve">Le </w:t>
      </w:r>
      <w:r w:rsidRPr="004B4284">
        <w:rPr>
          <w:snapToGrid w:val="0"/>
          <w:lang w:val="fr-FR"/>
        </w:rPr>
        <w:t>TWV,</w:t>
      </w:r>
      <w:r w:rsidR="00497F1A" w:rsidRPr="004B4284">
        <w:rPr>
          <w:snapToGrid w:val="0"/>
          <w:lang w:val="fr-FR"/>
        </w:rPr>
        <w:t xml:space="preserve"> le</w:t>
      </w:r>
      <w:r w:rsidR="00497F1A">
        <w:rPr>
          <w:snapToGrid w:val="0"/>
          <w:lang w:val="fr-FR"/>
        </w:rPr>
        <w:t> </w:t>
      </w:r>
      <w:r w:rsidR="00497F1A" w:rsidRPr="004B4284">
        <w:rPr>
          <w:snapToGrid w:val="0"/>
          <w:lang w:val="fr-FR"/>
        </w:rPr>
        <w:t>TWC</w:t>
      </w:r>
      <w:r w:rsidRPr="004B4284">
        <w:rPr>
          <w:snapToGrid w:val="0"/>
          <w:lang w:val="fr-FR"/>
        </w:rPr>
        <w:t xml:space="preserve"> </w:t>
      </w:r>
      <w:r w:rsidR="004B4284" w:rsidRPr="004B4284">
        <w:rPr>
          <w:snapToGrid w:val="0"/>
          <w:lang w:val="fr-FR"/>
        </w:rPr>
        <w:t>et</w:t>
      </w:r>
      <w:r w:rsidR="00497F1A" w:rsidRPr="004B4284">
        <w:rPr>
          <w:snapToGrid w:val="0"/>
          <w:lang w:val="fr-FR"/>
        </w:rPr>
        <w:t xml:space="preserve"> le</w:t>
      </w:r>
      <w:r w:rsidR="00497F1A">
        <w:rPr>
          <w:snapToGrid w:val="0"/>
          <w:lang w:val="fr-FR"/>
        </w:rPr>
        <w:t> </w:t>
      </w:r>
      <w:r w:rsidR="00497F1A" w:rsidRPr="004B4284">
        <w:rPr>
          <w:snapToGrid w:val="0"/>
          <w:lang w:val="fr-FR"/>
        </w:rPr>
        <w:t>TWA</w:t>
      </w:r>
      <w:r w:rsidRPr="004B4284">
        <w:rPr>
          <w:snapToGrid w:val="0"/>
          <w:lang w:val="fr-FR"/>
        </w:rPr>
        <w:t xml:space="preserve"> </w:t>
      </w:r>
      <w:r w:rsidR="004B4284" w:rsidRPr="004B4284">
        <w:rPr>
          <w:snapToGrid w:val="0"/>
          <w:lang w:val="fr-FR"/>
        </w:rPr>
        <w:t>ont noté que le</w:t>
      </w:r>
      <w:r w:rsidR="00497F1A">
        <w:rPr>
          <w:snapToGrid w:val="0"/>
          <w:lang w:val="fr-FR"/>
        </w:rPr>
        <w:t> TC</w:t>
      </w:r>
      <w:r w:rsidRPr="004B4284">
        <w:rPr>
          <w:lang w:val="fr-FR" w:eastAsia="ja-JP"/>
        </w:rPr>
        <w:t xml:space="preserve">, </w:t>
      </w:r>
      <w:r w:rsidR="004B4284" w:rsidRPr="004B4284">
        <w:rPr>
          <w:lang w:val="fr-FR" w:eastAsia="ja-JP"/>
        </w:rPr>
        <w:t>à sa cinquante</w:t>
      </w:r>
      <w:r w:rsidR="009F4C6C">
        <w:rPr>
          <w:lang w:val="fr-FR" w:eastAsia="ja-JP"/>
        </w:rPr>
        <w:t> </w:t>
      </w:r>
      <w:r w:rsidR="004B4284" w:rsidRPr="004B4284">
        <w:rPr>
          <w:lang w:val="fr-FR" w:eastAsia="ja-JP"/>
        </w:rPr>
        <w:t>et</w:t>
      </w:r>
      <w:r w:rsidR="009F4C6C">
        <w:rPr>
          <w:lang w:val="fr-FR" w:eastAsia="ja-JP"/>
        </w:rPr>
        <w:t> </w:t>
      </w:r>
      <w:r w:rsidR="004B4284" w:rsidRPr="004B4284">
        <w:rPr>
          <w:lang w:val="fr-FR" w:eastAsia="ja-JP"/>
        </w:rPr>
        <w:t>unième</w:t>
      </w:r>
      <w:r w:rsidR="009F4C6C">
        <w:rPr>
          <w:lang w:val="fr-FR" w:eastAsia="ja-JP"/>
        </w:rPr>
        <w:t> </w:t>
      </w:r>
      <w:r w:rsidR="004B4284" w:rsidRPr="004B4284">
        <w:rPr>
          <w:lang w:val="fr-FR" w:eastAsia="ja-JP"/>
        </w:rPr>
        <w:t>session</w:t>
      </w:r>
      <w:r w:rsidRPr="004B4284">
        <w:rPr>
          <w:lang w:val="fr-FR" w:eastAsia="ja-JP"/>
        </w:rPr>
        <w:t xml:space="preserve">, </w:t>
      </w:r>
      <w:r w:rsidR="004B4284" w:rsidRPr="004B4284">
        <w:rPr>
          <w:lang w:val="fr-FR" w:eastAsia="ja-JP"/>
        </w:rPr>
        <w:t>était convenu d</w:t>
      </w:r>
      <w:r w:rsidR="00497F1A">
        <w:rPr>
          <w:lang w:val="fr-FR" w:eastAsia="ja-JP"/>
        </w:rPr>
        <w:t>’</w:t>
      </w:r>
      <w:r w:rsidR="004B4284" w:rsidRPr="004B4284">
        <w:rPr>
          <w:lang w:val="fr-FR" w:eastAsia="ja-JP"/>
        </w:rPr>
        <w:t>examiner plus avant s</w:t>
      </w:r>
      <w:r w:rsidR="00497F1A">
        <w:rPr>
          <w:lang w:val="fr-FR" w:eastAsia="ja-JP"/>
        </w:rPr>
        <w:t>’</w:t>
      </w:r>
      <w:r w:rsidR="004B4284" w:rsidRPr="004B4284">
        <w:rPr>
          <w:lang w:val="fr-FR" w:eastAsia="ja-JP"/>
        </w:rPr>
        <w:t>il serait nécessaire d</w:t>
      </w:r>
      <w:r w:rsidR="00497F1A">
        <w:rPr>
          <w:lang w:val="fr-FR" w:eastAsia="ja-JP"/>
        </w:rPr>
        <w:t>’</w:t>
      </w:r>
      <w:r w:rsidR="004B4284" w:rsidRPr="004B4284">
        <w:rPr>
          <w:lang w:val="fr-FR" w:eastAsia="ja-JP"/>
        </w:rPr>
        <w:t>analyser les plantes isolées pour la validation des caractères examinés sur la base d</w:t>
      </w:r>
      <w:r w:rsidR="00497F1A">
        <w:rPr>
          <w:lang w:val="fr-FR" w:eastAsia="ja-JP"/>
        </w:rPr>
        <w:t>’</w:t>
      </w:r>
      <w:r w:rsidR="004B4284" w:rsidRPr="004B4284">
        <w:rPr>
          <w:lang w:val="fr-FR" w:eastAsia="ja-JP"/>
        </w:rPr>
        <w:t>échantillons globaux, ainsi que les incidences éventuelles en termes de coût, et avait invité les groupes de travail technique à proposer d</w:t>
      </w:r>
      <w:r w:rsidR="00497F1A">
        <w:rPr>
          <w:lang w:val="fr-FR" w:eastAsia="ja-JP"/>
        </w:rPr>
        <w:t>’</w:t>
      </w:r>
      <w:r w:rsidR="004B4284" w:rsidRPr="004B4284">
        <w:rPr>
          <w:lang w:val="fr-FR" w:eastAsia="ja-JP"/>
        </w:rPr>
        <w:t>autres approches pour l</w:t>
      </w:r>
      <w:r w:rsidR="00497F1A">
        <w:rPr>
          <w:lang w:val="fr-FR" w:eastAsia="ja-JP"/>
        </w:rPr>
        <w:t>’</w:t>
      </w:r>
      <w:r w:rsidR="004B4284" w:rsidRPr="004B4284">
        <w:rPr>
          <w:lang w:val="fr-FR" w:eastAsia="ja-JP"/>
        </w:rPr>
        <w:t>examen de l</w:t>
      </w:r>
      <w:r w:rsidR="00497F1A">
        <w:rPr>
          <w:lang w:val="fr-FR" w:eastAsia="ja-JP"/>
        </w:rPr>
        <w:t>’</w:t>
      </w:r>
      <w:r w:rsidR="004B4284" w:rsidRPr="004B4284">
        <w:rPr>
          <w:lang w:val="fr-FR" w:eastAsia="ja-JP"/>
        </w:rPr>
        <w:t>homogénéité</w:t>
      </w:r>
      <w:r w:rsidRPr="004B4284">
        <w:rPr>
          <w:lang w:val="fr-FR" w:eastAsia="ja-JP"/>
        </w:rPr>
        <w:t>.</w:t>
      </w:r>
    </w:p>
    <w:p w:rsidR="003A30C6" w:rsidRPr="004513C7" w:rsidRDefault="003A30C6" w:rsidP="003A30C6">
      <w:pPr>
        <w:rPr>
          <w:highlight w:val="yellow"/>
          <w:lang w:val="fr-FR" w:eastAsia="ja-JP"/>
        </w:rPr>
      </w:pPr>
    </w:p>
    <w:p w:rsidR="003A30C6" w:rsidRDefault="003A30C6" w:rsidP="00A9338F">
      <w:pPr>
        <w:rPr>
          <w:lang w:val="fr-FR" w:eastAsia="ja-JP"/>
        </w:rPr>
      </w:pPr>
      <w:r w:rsidRPr="0092195E">
        <w:rPr>
          <w:snapToGrid w:val="0"/>
          <w:lang w:val="fr-FR"/>
        </w:rPr>
        <w:fldChar w:fldCharType="begin"/>
      </w:r>
      <w:r w:rsidRPr="0092195E">
        <w:rPr>
          <w:snapToGrid w:val="0"/>
          <w:lang w:val="fr-FR"/>
        </w:rPr>
        <w:instrText xml:space="preserve"> AUTONUM  </w:instrText>
      </w:r>
      <w:r w:rsidRPr="0092195E">
        <w:rPr>
          <w:snapToGrid w:val="0"/>
          <w:lang w:val="fr-FR"/>
        </w:rPr>
        <w:fldChar w:fldCharType="end"/>
      </w:r>
      <w:r w:rsidRPr="0092195E">
        <w:rPr>
          <w:snapToGrid w:val="0"/>
          <w:lang w:val="fr-FR"/>
        </w:rPr>
        <w:tab/>
      </w:r>
      <w:r w:rsidR="0092195E" w:rsidRPr="0092195E">
        <w:rPr>
          <w:snapToGrid w:val="0"/>
          <w:lang w:val="fr-FR"/>
        </w:rPr>
        <w:t xml:space="preserve">Le TWV est convenu que </w:t>
      </w:r>
      <w:r w:rsidR="0092195E" w:rsidRPr="0092195E">
        <w:rPr>
          <w:lang w:val="fr-FR"/>
        </w:rPr>
        <w:t>les caractères examinés sur la base d</w:t>
      </w:r>
      <w:r w:rsidR="00497F1A">
        <w:rPr>
          <w:lang w:val="fr-FR"/>
        </w:rPr>
        <w:t>’</w:t>
      </w:r>
      <w:r w:rsidR="0092195E" w:rsidRPr="0092195E">
        <w:rPr>
          <w:lang w:val="fr-FR"/>
        </w:rPr>
        <w:t>échantillons globaux devraient être évalués en se fondant sur le nombre de plantes recommandé dans les principes directeurs d</w:t>
      </w:r>
      <w:r w:rsidR="00497F1A">
        <w:rPr>
          <w:lang w:val="fr-FR"/>
        </w:rPr>
        <w:t>’</w:t>
      </w:r>
      <w:r w:rsidR="0092195E" w:rsidRPr="0092195E">
        <w:rPr>
          <w:lang w:val="fr-FR"/>
        </w:rPr>
        <w:t>examen au chapitre</w:t>
      </w:r>
      <w:r w:rsidR="009F4C6C">
        <w:rPr>
          <w:lang w:val="fr-FR"/>
        </w:rPr>
        <w:t> </w:t>
      </w:r>
      <w:r w:rsidR="0092195E" w:rsidRPr="0092195E">
        <w:rPr>
          <w:lang w:val="fr-FR"/>
        </w:rPr>
        <w:t>4.1.4</w:t>
      </w:r>
      <w:r w:rsidR="0092195E">
        <w:rPr>
          <w:lang w:val="fr-FR" w:eastAsia="ja-JP"/>
        </w:rPr>
        <w:t>.</w:t>
      </w:r>
    </w:p>
    <w:p w:rsidR="00A9338F" w:rsidRPr="0092195E" w:rsidRDefault="00A9338F" w:rsidP="00A9338F">
      <w:pPr>
        <w:rPr>
          <w:lang w:val="fr-FR" w:eastAsia="ja-JP"/>
        </w:rPr>
      </w:pPr>
    </w:p>
    <w:p w:rsidR="003A30C6" w:rsidRPr="00C85292" w:rsidRDefault="003A30C6" w:rsidP="003A30C6">
      <w:pPr>
        <w:rPr>
          <w:lang w:val="fr-FR" w:eastAsia="ja-JP"/>
        </w:rPr>
      </w:pPr>
      <w:r w:rsidRPr="00C85292">
        <w:rPr>
          <w:snapToGrid w:val="0"/>
          <w:lang w:val="fr-FR"/>
        </w:rPr>
        <w:fldChar w:fldCharType="begin"/>
      </w:r>
      <w:r w:rsidRPr="00C85292">
        <w:rPr>
          <w:snapToGrid w:val="0"/>
          <w:lang w:val="fr-FR"/>
        </w:rPr>
        <w:instrText xml:space="preserve"> AUTONUM  </w:instrText>
      </w:r>
      <w:r w:rsidRPr="00C85292">
        <w:rPr>
          <w:snapToGrid w:val="0"/>
          <w:lang w:val="fr-FR"/>
        </w:rPr>
        <w:fldChar w:fldCharType="end"/>
      </w:r>
      <w:r w:rsidRPr="00C85292">
        <w:rPr>
          <w:snapToGrid w:val="0"/>
          <w:lang w:val="fr-FR"/>
        </w:rPr>
        <w:tab/>
      </w:r>
      <w:r w:rsidR="0092195E" w:rsidRPr="00C85292">
        <w:rPr>
          <w:snapToGrid w:val="0"/>
          <w:lang w:val="fr-FR"/>
        </w:rPr>
        <w:t>Le TWC s</w:t>
      </w:r>
      <w:r w:rsidR="00497F1A">
        <w:rPr>
          <w:snapToGrid w:val="0"/>
          <w:lang w:val="fr-FR"/>
        </w:rPr>
        <w:t>’</w:t>
      </w:r>
      <w:r w:rsidR="0092195E" w:rsidRPr="00C85292">
        <w:rPr>
          <w:snapToGrid w:val="0"/>
          <w:lang w:val="fr-FR"/>
        </w:rPr>
        <w:t xml:space="preserve">est interrogé sur la question de savoir si </w:t>
      </w:r>
      <w:r w:rsidR="0092195E" w:rsidRPr="00C85292">
        <w:rPr>
          <w:lang w:val="fr-FR"/>
        </w:rPr>
        <w:t>les caractères examinés sur la base d</w:t>
      </w:r>
      <w:r w:rsidR="00497F1A">
        <w:rPr>
          <w:lang w:val="fr-FR"/>
        </w:rPr>
        <w:t>’</w:t>
      </w:r>
      <w:r w:rsidR="0092195E" w:rsidRPr="00C85292">
        <w:rPr>
          <w:lang w:val="fr-FR"/>
        </w:rPr>
        <w:t>échantillons globaux devraient être évalués en se fondant sur le nombre de plantes recommandé dans les principes directeurs d</w:t>
      </w:r>
      <w:r w:rsidR="00497F1A">
        <w:rPr>
          <w:lang w:val="fr-FR"/>
        </w:rPr>
        <w:t>’</w:t>
      </w:r>
      <w:r w:rsidR="0092195E" w:rsidRPr="00C85292">
        <w:rPr>
          <w:lang w:val="fr-FR"/>
        </w:rPr>
        <w:t>examen au chapitre</w:t>
      </w:r>
      <w:r w:rsidR="009F4C6C">
        <w:rPr>
          <w:lang w:val="fr-FR"/>
        </w:rPr>
        <w:t> </w:t>
      </w:r>
      <w:r w:rsidR="0092195E" w:rsidRPr="00C85292">
        <w:rPr>
          <w:lang w:val="fr-FR"/>
        </w:rPr>
        <w:t>4.1.4</w:t>
      </w:r>
      <w:r w:rsidRPr="00C85292">
        <w:rPr>
          <w:lang w:val="fr-FR" w:eastAsia="ja-JP"/>
        </w:rPr>
        <w:t xml:space="preserve">.  </w:t>
      </w:r>
      <w:r w:rsidR="0092195E" w:rsidRPr="00C85292">
        <w:rPr>
          <w:lang w:val="fr-FR" w:eastAsia="ja-JP"/>
        </w:rPr>
        <w:t xml:space="preserve">Il est convenu que cette </w:t>
      </w:r>
      <w:r w:rsidR="00D51D89">
        <w:rPr>
          <w:lang w:val="fr-FR" w:eastAsia="ja-JP"/>
        </w:rPr>
        <w:t>approche</w:t>
      </w:r>
      <w:r w:rsidR="0092195E" w:rsidRPr="00C85292">
        <w:rPr>
          <w:lang w:val="fr-FR" w:eastAsia="ja-JP"/>
        </w:rPr>
        <w:t xml:space="preserve"> serait préférable d</w:t>
      </w:r>
      <w:r w:rsidR="00497F1A">
        <w:rPr>
          <w:lang w:val="fr-FR" w:eastAsia="ja-JP"/>
        </w:rPr>
        <w:t>’</w:t>
      </w:r>
      <w:r w:rsidR="0092195E" w:rsidRPr="00C85292">
        <w:rPr>
          <w:lang w:val="fr-FR" w:eastAsia="ja-JP"/>
        </w:rPr>
        <w:t>un point de vue statistique</w:t>
      </w:r>
      <w:r w:rsidR="00A8129A" w:rsidRPr="00C85292">
        <w:rPr>
          <w:lang w:val="fr-FR" w:eastAsia="ja-JP"/>
        </w:rPr>
        <w:t>, mais qu</w:t>
      </w:r>
      <w:r w:rsidR="00497F1A">
        <w:rPr>
          <w:lang w:val="fr-FR" w:eastAsia="ja-JP"/>
        </w:rPr>
        <w:t>’</w:t>
      </w:r>
      <w:r w:rsidR="00A8129A" w:rsidRPr="00C85292">
        <w:rPr>
          <w:lang w:val="fr-FR" w:eastAsia="ja-JP"/>
        </w:rPr>
        <w:t>elle n</w:t>
      </w:r>
      <w:r w:rsidR="00497F1A">
        <w:rPr>
          <w:lang w:val="fr-FR" w:eastAsia="ja-JP"/>
        </w:rPr>
        <w:t>’</w:t>
      </w:r>
      <w:r w:rsidR="00A8129A" w:rsidRPr="00C85292">
        <w:rPr>
          <w:lang w:val="fr-FR" w:eastAsia="ja-JP"/>
        </w:rPr>
        <w:t>était pas applicable à l</w:t>
      </w:r>
      <w:r w:rsidR="00497F1A">
        <w:rPr>
          <w:lang w:val="fr-FR" w:eastAsia="ja-JP"/>
        </w:rPr>
        <w:t>’</w:t>
      </w:r>
      <w:r w:rsidR="00A8129A" w:rsidRPr="00C85292">
        <w:rPr>
          <w:lang w:val="fr-FR" w:eastAsia="ja-JP"/>
        </w:rPr>
        <w:t>exemple fourni en raison du coût de l</w:t>
      </w:r>
      <w:r w:rsidR="00497F1A">
        <w:rPr>
          <w:lang w:val="fr-FR" w:eastAsia="ja-JP"/>
        </w:rPr>
        <w:t>’</w:t>
      </w:r>
      <w:r w:rsidR="00A8129A" w:rsidRPr="00C85292">
        <w:rPr>
          <w:lang w:val="fr-FR" w:eastAsia="ja-JP"/>
        </w:rPr>
        <w:t xml:space="preserve">analyse de la teneur en </w:t>
      </w:r>
      <w:proofErr w:type="spellStart"/>
      <w:r w:rsidR="00A8129A" w:rsidRPr="00C85292">
        <w:rPr>
          <w:lang w:val="fr-FR" w:eastAsia="ja-JP"/>
        </w:rPr>
        <w:t>glucoraphanine</w:t>
      </w:r>
      <w:proofErr w:type="spellEnd"/>
      <w:r w:rsidR="00A8129A" w:rsidRPr="00C85292">
        <w:rPr>
          <w:lang w:val="fr-FR" w:eastAsia="ja-JP"/>
        </w:rPr>
        <w:t xml:space="preserve"> sur des plantes isolées.</w:t>
      </w:r>
    </w:p>
    <w:p w:rsidR="003A30C6" w:rsidRPr="000A602E" w:rsidRDefault="003A30C6" w:rsidP="003A30C6">
      <w:pPr>
        <w:rPr>
          <w:lang w:val="fr-FR" w:eastAsia="ja-JP"/>
        </w:rPr>
      </w:pPr>
    </w:p>
    <w:p w:rsidR="00497F1A" w:rsidRDefault="003A30C6" w:rsidP="003A30C6">
      <w:pPr>
        <w:rPr>
          <w:lang w:val="fr-FR"/>
        </w:rPr>
      </w:pPr>
      <w:r w:rsidRPr="000A602E">
        <w:rPr>
          <w:lang w:val="fr-FR"/>
        </w:rPr>
        <w:fldChar w:fldCharType="begin"/>
      </w:r>
      <w:r w:rsidRPr="000A602E">
        <w:rPr>
          <w:lang w:val="fr-FR"/>
        </w:rPr>
        <w:instrText xml:space="preserve"> AUTONUM  </w:instrText>
      </w:r>
      <w:r w:rsidRPr="000A602E">
        <w:rPr>
          <w:lang w:val="fr-FR"/>
        </w:rPr>
        <w:fldChar w:fldCharType="end"/>
      </w:r>
      <w:r w:rsidRPr="000A602E">
        <w:rPr>
          <w:lang w:val="fr-FR"/>
        </w:rPr>
        <w:tab/>
      </w:r>
      <w:r w:rsidR="00C85292" w:rsidRPr="000A602E">
        <w:rPr>
          <w:lang w:val="fr-FR"/>
        </w:rPr>
        <w:t xml:space="preserve">Le TWF </w:t>
      </w:r>
      <w:r w:rsidR="00C85292" w:rsidRPr="000A602E">
        <w:rPr>
          <w:snapToGrid w:val="0"/>
          <w:lang w:val="fr-FR"/>
        </w:rPr>
        <w:t>s</w:t>
      </w:r>
      <w:r w:rsidR="00497F1A">
        <w:rPr>
          <w:snapToGrid w:val="0"/>
          <w:lang w:val="fr-FR"/>
        </w:rPr>
        <w:t>’</w:t>
      </w:r>
      <w:r w:rsidR="00C85292" w:rsidRPr="000A602E">
        <w:rPr>
          <w:snapToGrid w:val="0"/>
          <w:lang w:val="fr-FR"/>
        </w:rPr>
        <w:t xml:space="preserve">est interrogé sur la question de savoir si </w:t>
      </w:r>
      <w:r w:rsidR="00C85292" w:rsidRPr="000A602E">
        <w:rPr>
          <w:lang w:val="fr-FR"/>
        </w:rPr>
        <w:t>les caractères examinés sur la base d</w:t>
      </w:r>
      <w:r w:rsidR="00497F1A">
        <w:rPr>
          <w:lang w:val="fr-FR"/>
        </w:rPr>
        <w:t>’</w:t>
      </w:r>
      <w:r w:rsidR="00C85292" w:rsidRPr="000A602E">
        <w:rPr>
          <w:lang w:val="fr-FR"/>
        </w:rPr>
        <w:t>échantillons globaux devraient être évalués en se fondant sur le nombre de plantes recommandé dans les principes directeurs d</w:t>
      </w:r>
      <w:r w:rsidR="00497F1A">
        <w:rPr>
          <w:lang w:val="fr-FR"/>
        </w:rPr>
        <w:t>’</w:t>
      </w:r>
      <w:r w:rsidR="00C85292" w:rsidRPr="000A602E">
        <w:rPr>
          <w:lang w:val="fr-FR"/>
        </w:rPr>
        <w:t>examen au chapitre</w:t>
      </w:r>
      <w:r w:rsidR="009F4C6C">
        <w:rPr>
          <w:lang w:val="fr-FR"/>
        </w:rPr>
        <w:t> </w:t>
      </w:r>
      <w:r w:rsidR="00C85292" w:rsidRPr="000A602E">
        <w:rPr>
          <w:lang w:val="fr-FR"/>
        </w:rPr>
        <w:t xml:space="preserve">4.1.4 et a noté que chez certains membres, les observations visuelles </w:t>
      </w:r>
      <w:r w:rsidR="00D51D89">
        <w:rPr>
          <w:lang w:val="fr-FR"/>
        </w:rPr>
        <w:t>sur des</w:t>
      </w:r>
      <w:r w:rsidR="00BE501E" w:rsidRPr="000A602E">
        <w:rPr>
          <w:lang w:val="fr-FR"/>
        </w:rPr>
        <w:t xml:space="preserve"> fruits de plantes fruitières multipliées par voie végétative</w:t>
      </w:r>
      <w:r w:rsidR="00C85292" w:rsidRPr="000A602E">
        <w:rPr>
          <w:lang w:val="fr-FR"/>
        </w:rPr>
        <w:t xml:space="preserve"> </w:t>
      </w:r>
      <w:r w:rsidR="00BE501E" w:rsidRPr="000A602E">
        <w:rPr>
          <w:lang w:val="fr-FR"/>
        </w:rPr>
        <w:t>étaient généralement effectuées sur 20 fruits et que l</w:t>
      </w:r>
      <w:r w:rsidR="00497F1A">
        <w:rPr>
          <w:lang w:val="fr-FR"/>
        </w:rPr>
        <w:t>’</w:t>
      </w:r>
      <w:r w:rsidR="00BE501E" w:rsidRPr="000A602E">
        <w:rPr>
          <w:lang w:val="fr-FR"/>
        </w:rPr>
        <w:t>évaluation de certains caractères, tels que l</w:t>
      </w:r>
      <w:r w:rsidR="00497F1A">
        <w:rPr>
          <w:lang w:val="fr-FR"/>
        </w:rPr>
        <w:t>’</w:t>
      </w:r>
      <w:r w:rsidR="00BE501E" w:rsidRPr="000A602E">
        <w:rPr>
          <w:lang w:val="fr-FR"/>
        </w:rPr>
        <w:t xml:space="preserve">acidité, le goût sucré </w:t>
      </w:r>
      <w:r w:rsidR="00D51D89">
        <w:rPr>
          <w:lang w:val="fr-FR"/>
        </w:rPr>
        <w:t>ou</w:t>
      </w:r>
      <w:r w:rsidR="00BE501E" w:rsidRPr="000A602E">
        <w:rPr>
          <w:lang w:val="fr-FR"/>
        </w:rPr>
        <w:t xml:space="preserve"> la fermeté de la chair, </w:t>
      </w:r>
      <w:r w:rsidR="00D51D89">
        <w:rPr>
          <w:lang w:val="fr-FR"/>
        </w:rPr>
        <w:t>entraînant</w:t>
      </w:r>
      <w:r w:rsidR="00BE501E" w:rsidRPr="000A602E">
        <w:rPr>
          <w:lang w:val="fr-FR"/>
        </w:rPr>
        <w:t xml:space="preserve"> la destruction de l</w:t>
      </w:r>
      <w:r w:rsidR="00497F1A">
        <w:rPr>
          <w:lang w:val="fr-FR"/>
        </w:rPr>
        <w:t>’</w:t>
      </w:r>
      <w:r w:rsidR="00BE501E" w:rsidRPr="000A602E">
        <w:rPr>
          <w:lang w:val="fr-FR"/>
        </w:rPr>
        <w:t xml:space="preserve">échantillon, </w:t>
      </w:r>
      <w:r w:rsidR="00D51D89">
        <w:rPr>
          <w:lang w:val="fr-FR"/>
        </w:rPr>
        <w:t>portait</w:t>
      </w:r>
      <w:r w:rsidR="00BE501E" w:rsidRPr="000A602E">
        <w:rPr>
          <w:lang w:val="fr-FR"/>
        </w:rPr>
        <w:t xml:space="preserve"> sur 10</w:t>
      </w:r>
      <w:r w:rsidR="00A64DA0">
        <w:rPr>
          <w:lang w:val="fr-FR"/>
        </w:rPr>
        <w:t> </w:t>
      </w:r>
      <w:r w:rsidR="00BE501E" w:rsidRPr="000A602E">
        <w:rPr>
          <w:lang w:val="fr-FR"/>
        </w:rPr>
        <w:t>fruits</w:t>
      </w:r>
      <w:r w:rsidRPr="000A602E">
        <w:rPr>
          <w:lang w:val="fr-FR"/>
        </w:rPr>
        <w:t>.</w:t>
      </w:r>
    </w:p>
    <w:p w:rsidR="003A30C6" w:rsidRPr="004513C7" w:rsidRDefault="003A30C6" w:rsidP="003A30C6">
      <w:pPr>
        <w:rPr>
          <w:highlight w:val="yellow"/>
          <w:lang w:val="fr-FR"/>
        </w:rPr>
      </w:pPr>
    </w:p>
    <w:p w:rsidR="003A30C6" w:rsidRPr="006639E1" w:rsidRDefault="003A30C6" w:rsidP="003A30C6">
      <w:pPr>
        <w:rPr>
          <w:lang w:val="fr-FR"/>
        </w:rPr>
      </w:pPr>
      <w:r w:rsidRPr="006639E1">
        <w:rPr>
          <w:lang w:val="fr-FR"/>
        </w:rPr>
        <w:fldChar w:fldCharType="begin"/>
      </w:r>
      <w:r w:rsidRPr="006639E1">
        <w:rPr>
          <w:lang w:val="fr-FR"/>
        </w:rPr>
        <w:instrText xml:space="preserve"> AUTONUM  </w:instrText>
      </w:r>
      <w:r w:rsidRPr="006639E1">
        <w:rPr>
          <w:lang w:val="fr-FR"/>
        </w:rPr>
        <w:fldChar w:fldCharType="end"/>
      </w:r>
      <w:r w:rsidRPr="006639E1">
        <w:rPr>
          <w:lang w:val="fr-FR"/>
        </w:rPr>
        <w:tab/>
      </w:r>
      <w:r w:rsidR="006639E1" w:rsidRPr="006639E1">
        <w:rPr>
          <w:lang w:val="fr-FR"/>
        </w:rPr>
        <w:t>Le TWF est convenu que le</w:t>
      </w:r>
      <w:r w:rsidR="00D51D89">
        <w:rPr>
          <w:lang w:val="fr-FR"/>
        </w:rPr>
        <w:t>s</w:t>
      </w:r>
      <w:r w:rsidR="006639E1" w:rsidRPr="006639E1">
        <w:rPr>
          <w:lang w:val="fr-FR"/>
        </w:rPr>
        <w:t xml:space="preserve"> prélèvement</w:t>
      </w:r>
      <w:r w:rsidR="00D51D89">
        <w:rPr>
          <w:lang w:val="fr-FR"/>
        </w:rPr>
        <w:t>s</w:t>
      </w:r>
      <w:r w:rsidR="006639E1" w:rsidRPr="006639E1">
        <w:rPr>
          <w:lang w:val="fr-FR"/>
        </w:rPr>
        <w:t xml:space="preserve"> effectué</w:t>
      </w:r>
      <w:r w:rsidR="00D51D89">
        <w:rPr>
          <w:lang w:val="fr-FR"/>
        </w:rPr>
        <w:t>s</w:t>
      </w:r>
      <w:r w:rsidR="006639E1" w:rsidRPr="006639E1">
        <w:rPr>
          <w:lang w:val="fr-FR"/>
        </w:rPr>
        <w:t xml:space="preserve"> aux fins de l</w:t>
      </w:r>
      <w:r w:rsidR="00497F1A">
        <w:rPr>
          <w:lang w:val="fr-FR"/>
        </w:rPr>
        <w:t>’</w:t>
      </w:r>
      <w:r w:rsidR="006639E1" w:rsidRPr="006639E1">
        <w:rPr>
          <w:lang w:val="fr-FR"/>
        </w:rPr>
        <w:t>évaluation des caractères</w:t>
      </w:r>
      <w:r w:rsidR="00D51D89">
        <w:rPr>
          <w:lang w:val="fr-FR"/>
        </w:rPr>
        <w:t>,</w:t>
      </w:r>
      <w:r w:rsidR="006639E1" w:rsidRPr="006639E1">
        <w:rPr>
          <w:lang w:val="fr-FR"/>
        </w:rPr>
        <w:t xml:space="preserve"> qui </w:t>
      </w:r>
      <w:r w:rsidR="00D51D89">
        <w:rPr>
          <w:lang w:val="fr-FR"/>
        </w:rPr>
        <w:t>entraînaient</w:t>
      </w:r>
      <w:r w:rsidR="006639E1" w:rsidRPr="006639E1">
        <w:rPr>
          <w:lang w:val="fr-FR"/>
        </w:rPr>
        <w:t xml:space="preserve"> la destruction de l</w:t>
      </w:r>
      <w:r w:rsidR="00497F1A">
        <w:rPr>
          <w:lang w:val="fr-FR"/>
        </w:rPr>
        <w:t>’</w:t>
      </w:r>
      <w:r w:rsidR="006639E1" w:rsidRPr="006639E1">
        <w:rPr>
          <w:lang w:val="fr-FR"/>
        </w:rPr>
        <w:t>échantillon</w:t>
      </w:r>
      <w:r w:rsidR="00D51D89">
        <w:rPr>
          <w:lang w:val="fr-FR"/>
        </w:rPr>
        <w:t>,</w:t>
      </w:r>
      <w:r w:rsidR="006639E1" w:rsidRPr="006639E1">
        <w:rPr>
          <w:lang w:val="fr-FR"/>
        </w:rPr>
        <w:t xml:space="preserve"> consistait généralement à récolter les fruits typiques sur la même partie d</w:t>
      </w:r>
      <w:r w:rsidR="00D51D89">
        <w:rPr>
          <w:lang w:val="fr-FR"/>
        </w:rPr>
        <w:t>e l’</w:t>
      </w:r>
      <w:r w:rsidR="006639E1" w:rsidRPr="006639E1">
        <w:rPr>
          <w:lang w:val="fr-FR"/>
        </w:rPr>
        <w:t>arbre (même stade de développement, partie médiane de l</w:t>
      </w:r>
      <w:r w:rsidR="00497F1A">
        <w:rPr>
          <w:lang w:val="fr-FR"/>
        </w:rPr>
        <w:t>’</w:t>
      </w:r>
      <w:r w:rsidR="006639E1" w:rsidRPr="006639E1">
        <w:rPr>
          <w:lang w:val="fr-FR"/>
        </w:rPr>
        <w:t>arbre</w:t>
      </w:r>
      <w:r w:rsidRPr="006639E1">
        <w:rPr>
          <w:lang w:val="fr-FR"/>
        </w:rPr>
        <w:t xml:space="preserve">) </w:t>
      </w:r>
      <w:r w:rsidR="006639E1" w:rsidRPr="006639E1">
        <w:rPr>
          <w:lang w:val="fr-FR"/>
        </w:rPr>
        <w:t>et à les mélanger</w:t>
      </w:r>
      <w:r w:rsidRPr="006639E1">
        <w:rPr>
          <w:lang w:val="fr-FR"/>
        </w:rPr>
        <w:t xml:space="preserve">.  </w:t>
      </w:r>
      <w:r w:rsidR="006639E1" w:rsidRPr="006639E1">
        <w:rPr>
          <w:lang w:val="fr-FR"/>
        </w:rPr>
        <w:t xml:space="preserve">Le nombre approprié de fruits (10 ou 20) était alors sélectionné au hasard </w:t>
      </w:r>
      <w:r w:rsidR="00D51D89">
        <w:rPr>
          <w:lang w:val="fr-FR"/>
        </w:rPr>
        <w:t>pour</w:t>
      </w:r>
      <w:r w:rsidR="006639E1" w:rsidRPr="006639E1">
        <w:rPr>
          <w:lang w:val="fr-FR"/>
        </w:rPr>
        <w:t xml:space="preserve"> l</w:t>
      </w:r>
      <w:r w:rsidR="00497F1A">
        <w:rPr>
          <w:lang w:val="fr-FR"/>
        </w:rPr>
        <w:t>’</w:t>
      </w:r>
      <w:r w:rsidR="006639E1" w:rsidRPr="006639E1">
        <w:rPr>
          <w:lang w:val="fr-FR"/>
        </w:rPr>
        <w:t>évaluation de chacun des caractères</w:t>
      </w:r>
      <w:r w:rsidRPr="006639E1">
        <w:rPr>
          <w:lang w:val="fr-FR"/>
        </w:rPr>
        <w:t>.</w:t>
      </w:r>
    </w:p>
    <w:p w:rsidR="003A30C6" w:rsidRPr="004513C7" w:rsidRDefault="003A30C6" w:rsidP="003A30C6">
      <w:pPr>
        <w:rPr>
          <w:highlight w:val="yellow"/>
          <w:lang w:val="fr-FR" w:eastAsia="ja-JP"/>
        </w:rPr>
      </w:pPr>
    </w:p>
    <w:p w:rsidR="003A30C6" w:rsidRPr="004513C7" w:rsidRDefault="003A30C6" w:rsidP="003A30C6">
      <w:pPr>
        <w:rPr>
          <w:highlight w:val="yellow"/>
          <w:lang w:val="fr-FR" w:eastAsia="ja-JP"/>
        </w:rPr>
      </w:pPr>
    </w:p>
    <w:p w:rsidR="003A30C6" w:rsidRPr="006639E1" w:rsidRDefault="003A30C6" w:rsidP="003A30C6">
      <w:pPr>
        <w:pStyle w:val="Heading1"/>
        <w:rPr>
          <w:lang w:val="fr-FR" w:eastAsia="ja-JP"/>
        </w:rPr>
      </w:pPr>
      <w:bookmarkStart w:id="16" w:name="_Toc441568525"/>
      <w:bookmarkStart w:id="17" w:name="_Toc442168906"/>
      <w:r w:rsidRPr="006639E1">
        <w:rPr>
          <w:lang w:val="fr-FR" w:eastAsia="ja-JP"/>
        </w:rPr>
        <w:t>P</w:t>
      </w:r>
      <w:r w:rsidR="00CA5A0B" w:rsidRPr="006639E1">
        <w:rPr>
          <w:lang w:val="fr-FR" w:eastAsia="ja-JP"/>
        </w:rPr>
        <w:t>roposition</w:t>
      </w:r>
      <w:bookmarkEnd w:id="16"/>
      <w:bookmarkEnd w:id="17"/>
    </w:p>
    <w:p w:rsidR="003A30C6" w:rsidRPr="004513C7" w:rsidRDefault="003A30C6" w:rsidP="003A30C6">
      <w:pPr>
        <w:rPr>
          <w:highlight w:val="yellow"/>
          <w:lang w:val="fr-FR" w:eastAsia="ja-JP"/>
        </w:rPr>
      </w:pPr>
    </w:p>
    <w:p w:rsidR="003A30C6" w:rsidRPr="007C2BBA" w:rsidRDefault="003A30C6" w:rsidP="003A30C6">
      <w:pPr>
        <w:rPr>
          <w:lang w:val="fr-FR" w:eastAsia="ja-JP"/>
        </w:rPr>
      </w:pPr>
      <w:r w:rsidRPr="007C2BBA">
        <w:rPr>
          <w:lang w:val="fr-FR" w:eastAsia="ja-JP"/>
        </w:rPr>
        <w:fldChar w:fldCharType="begin"/>
      </w:r>
      <w:r w:rsidRPr="007C2BBA">
        <w:rPr>
          <w:lang w:val="fr-FR" w:eastAsia="ja-JP"/>
        </w:rPr>
        <w:instrText xml:space="preserve"> AUTONUM  </w:instrText>
      </w:r>
      <w:r w:rsidRPr="007C2BBA">
        <w:rPr>
          <w:lang w:val="fr-FR" w:eastAsia="ja-JP"/>
        </w:rPr>
        <w:fldChar w:fldCharType="end"/>
      </w:r>
      <w:r w:rsidRPr="007C2BBA">
        <w:rPr>
          <w:lang w:val="fr-FR" w:eastAsia="ja-JP"/>
        </w:rPr>
        <w:tab/>
      </w:r>
      <w:r w:rsidR="006639E1" w:rsidRPr="007C2BBA">
        <w:rPr>
          <w:lang w:val="fr-FR" w:eastAsia="ja-JP"/>
        </w:rPr>
        <w:t>Compte tenu des observations formulées par le</w:t>
      </w:r>
      <w:r w:rsidR="00497F1A">
        <w:rPr>
          <w:lang w:val="fr-FR" w:eastAsia="ja-JP"/>
        </w:rPr>
        <w:t> TC</w:t>
      </w:r>
      <w:r w:rsidR="006639E1" w:rsidRPr="007C2BBA">
        <w:rPr>
          <w:lang w:val="fr-FR" w:eastAsia="ja-JP"/>
        </w:rPr>
        <w:t xml:space="preserve"> et</w:t>
      </w:r>
      <w:r w:rsidR="00497F1A" w:rsidRPr="007C2BBA">
        <w:rPr>
          <w:lang w:val="fr-FR" w:eastAsia="ja-JP"/>
        </w:rPr>
        <w:t xml:space="preserve"> les</w:t>
      </w:r>
      <w:r w:rsidR="00497F1A">
        <w:rPr>
          <w:lang w:val="fr-FR" w:eastAsia="ja-JP"/>
        </w:rPr>
        <w:t> </w:t>
      </w:r>
      <w:r w:rsidR="00497F1A" w:rsidRPr="007C2BBA">
        <w:rPr>
          <w:lang w:val="fr-FR" w:eastAsia="ja-JP"/>
        </w:rPr>
        <w:t>TWP</w:t>
      </w:r>
      <w:r w:rsidR="006639E1" w:rsidRPr="007C2BBA">
        <w:rPr>
          <w:lang w:val="fr-FR" w:eastAsia="ja-JP"/>
        </w:rPr>
        <w:t>, il est proposé d</w:t>
      </w:r>
      <w:r w:rsidR="00497F1A">
        <w:rPr>
          <w:lang w:val="fr-FR" w:eastAsia="ja-JP"/>
        </w:rPr>
        <w:t>’</w:t>
      </w:r>
      <w:r w:rsidR="006639E1" w:rsidRPr="007C2BBA">
        <w:rPr>
          <w:lang w:val="fr-FR" w:eastAsia="ja-JP"/>
        </w:rPr>
        <w:t>examiner les points ci</w:t>
      </w:r>
      <w:r w:rsidR="008352C1">
        <w:rPr>
          <w:lang w:val="fr-FR" w:eastAsia="ja-JP"/>
        </w:rPr>
        <w:noBreakHyphen/>
      </w:r>
      <w:r w:rsidR="006639E1" w:rsidRPr="007C2BBA">
        <w:rPr>
          <w:lang w:val="fr-FR" w:eastAsia="ja-JP"/>
        </w:rPr>
        <w:t>après</w:t>
      </w:r>
      <w:r w:rsidR="007C2BBA" w:rsidRPr="007C2BBA">
        <w:rPr>
          <w:lang w:val="fr-FR" w:eastAsia="ja-JP"/>
        </w:rPr>
        <w:t xml:space="preserve"> en vue de l</w:t>
      </w:r>
      <w:r w:rsidR="00497F1A">
        <w:rPr>
          <w:lang w:val="fr-FR" w:eastAsia="ja-JP"/>
        </w:rPr>
        <w:t>’</w:t>
      </w:r>
      <w:r w:rsidR="007C2BBA" w:rsidRPr="007C2BBA">
        <w:rPr>
          <w:lang w:val="fr-FR" w:eastAsia="ja-JP"/>
        </w:rPr>
        <w:t>élaboration de conseils relatifs à l</w:t>
      </w:r>
      <w:r w:rsidR="00497F1A">
        <w:rPr>
          <w:lang w:val="fr-FR" w:eastAsia="ja-JP"/>
        </w:rPr>
        <w:t>’</w:t>
      </w:r>
      <w:r w:rsidR="007C2BBA" w:rsidRPr="007C2BBA">
        <w:rPr>
          <w:lang w:val="fr-FR" w:eastAsia="ja-JP"/>
        </w:rPr>
        <w:t>examen</w:t>
      </w:r>
      <w:r w:rsidR="009F4C6C">
        <w:rPr>
          <w:lang w:val="fr-FR" w:eastAsia="ja-JP"/>
        </w:rPr>
        <w:t> </w:t>
      </w:r>
      <w:r w:rsidR="007C2BBA" w:rsidRPr="007C2BBA">
        <w:rPr>
          <w:lang w:val="fr-FR" w:eastAsia="ja-JP"/>
        </w:rPr>
        <w:t>DHS sur des échantillons globaux aux fins de leur inclusion dans une future version révisée du document TGP/8 :</w:t>
      </w:r>
    </w:p>
    <w:p w:rsidR="003A30C6" w:rsidRPr="007C2BBA" w:rsidRDefault="003A30C6" w:rsidP="003A30C6">
      <w:pPr>
        <w:rPr>
          <w:lang w:val="fr-FR" w:eastAsia="ja-JP"/>
        </w:rPr>
      </w:pPr>
    </w:p>
    <w:p w:rsidR="003A30C6" w:rsidRPr="007C2BBA" w:rsidRDefault="00A9338F" w:rsidP="00A9338F">
      <w:pPr>
        <w:rPr>
          <w:lang w:val="fr-FR" w:eastAsia="ja-JP"/>
        </w:rPr>
      </w:pPr>
      <w:r>
        <w:rPr>
          <w:iCs/>
          <w:spacing w:val="-4"/>
          <w:lang w:val="fr-FR"/>
        </w:rPr>
        <w:tab/>
      </w:r>
      <w:proofErr w:type="gramStart"/>
      <w:r>
        <w:rPr>
          <w:iCs/>
          <w:spacing w:val="-4"/>
          <w:lang w:val="fr-FR"/>
        </w:rPr>
        <w:t>a</w:t>
      </w:r>
      <w:proofErr w:type="gramEnd"/>
      <w:r>
        <w:rPr>
          <w:iCs/>
          <w:spacing w:val="-4"/>
          <w:lang w:val="fr-FR"/>
        </w:rPr>
        <w:t>)</w:t>
      </w:r>
      <w:r>
        <w:rPr>
          <w:iCs/>
          <w:spacing w:val="-4"/>
          <w:lang w:val="fr-FR"/>
        </w:rPr>
        <w:tab/>
      </w:r>
      <w:r w:rsidR="007C2BBA" w:rsidRPr="007C2BBA">
        <w:rPr>
          <w:iCs/>
          <w:spacing w:val="-4"/>
          <w:lang w:val="fr-FR"/>
        </w:rPr>
        <w:t>le caractère devrait remplir les conditions relatives à un caractère, énoncées dans l</w:t>
      </w:r>
      <w:r w:rsidR="00497F1A">
        <w:rPr>
          <w:iCs/>
          <w:spacing w:val="-4"/>
          <w:lang w:val="fr-FR"/>
        </w:rPr>
        <w:t>’</w:t>
      </w:r>
      <w:r w:rsidR="009F4C6C">
        <w:rPr>
          <w:lang w:val="fr-FR"/>
        </w:rPr>
        <w:t>”</w:t>
      </w:r>
      <w:r w:rsidR="007C2BBA" w:rsidRPr="007C2BBA">
        <w:rPr>
          <w:lang w:val="fr-FR"/>
        </w:rPr>
        <w:t>Introduction générale à l</w:t>
      </w:r>
      <w:r w:rsidR="00497F1A">
        <w:rPr>
          <w:lang w:val="fr-FR"/>
        </w:rPr>
        <w:t>’</w:t>
      </w:r>
      <w:r w:rsidR="007C2BBA" w:rsidRPr="007C2BBA">
        <w:rPr>
          <w:lang w:val="fr-FR"/>
        </w:rPr>
        <w:t>examen de la distinction, de l</w:t>
      </w:r>
      <w:r w:rsidR="00497F1A">
        <w:rPr>
          <w:lang w:val="fr-FR"/>
        </w:rPr>
        <w:t>’</w:t>
      </w:r>
      <w:r w:rsidR="007C2BBA" w:rsidRPr="007C2BBA">
        <w:rPr>
          <w:lang w:val="fr-FR"/>
        </w:rPr>
        <w:t>homogénéité et de la stabilité et à l</w:t>
      </w:r>
      <w:r w:rsidR="00497F1A">
        <w:rPr>
          <w:lang w:val="fr-FR"/>
        </w:rPr>
        <w:t>’</w:t>
      </w:r>
      <w:r w:rsidR="007C2BBA" w:rsidRPr="007C2BBA">
        <w:rPr>
          <w:lang w:val="fr-FR"/>
        </w:rPr>
        <w:t>harmonisation des descriptions des obtentions végétales</w:t>
      </w:r>
      <w:r w:rsidR="003A30C6" w:rsidRPr="007C2BBA">
        <w:rPr>
          <w:lang w:val="fr-FR"/>
        </w:rPr>
        <w:t>” (</w:t>
      </w:r>
      <w:r w:rsidR="007C2BBA" w:rsidRPr="007C2BBA">
        <w:rPr>
          <w:lang w:val="fr-FR"/>
        </w:rPr>
        <w:t>voir la section</w:t>
      </w:r>
      <w:r w:rsidR="009F4C6C">
        <w:rPr>
          <w:lang w:val="fr-FR"/>
        </w:rPr>
        <w:t> </w:t>
      </w:r>
      <w:r w:rsidR="007C2BBA" w:rsidRPr="007C2BBA">
        <w:rPr>
          <w:lang w:val="fr-FR"/>
        </w:rPr>
        <w:t xml:space="preserve">4.2.1 du </w:t>
      </w:r>
      <w:r w:rsidR="003A30C6" w:rsidRPr="007C2BBA">
        <w:rPr>
          <w:lang w:val="fr-FR"/>
        </w:rPr>
        <w:t>document TG/1/3)</w:t>
      </w:r>
      <w:r w:rsidR="003A30C6" w:rsidRPr="007C2BBA">
        <w:rPr>
          <w:lang w:val="fr-FR" w:eastAsia="ja-JP"/>
        </w:rPr>
        <w:t>;</w:t>
      </w:r>
    </w:p>
    <w:p w:rsidR="003A30C6" w:rsidRPr="004513C7" w:rsidRDefault="003A30C6" w:rsidP="00A9338F">
      <w:pPr>
        <w:rPr>
          <w:highlight w:val="yellow"/>
          <w:lang w:val="fr-FR" w:eastAsia="ja-JP"/>
        </w:rPr>
      </w:pPr>
    </w:p>
    <w:p w:rsidR="003A30C6" w:rsidRPr="00403F2A" w:rsidRDefault="00A9338F" w:rsidP="00A9338F">
      <w:pPr>
        <w:rPr>
          <w:lang w:val="fr-FR" w:eastAsia="ja-JP"/>
        </w:rPr>
      </w:pPr>
      <w:r>
        <w:rPr>
          <w:lang w:val="fr-FR" w:eastAsia="ja-JP"/>
        </w:rPr>
        <w:tab/>
        <w:t>b)</w:t>
      </w:r>
      <w:r>
        <w:rPr>
          <w:lang w:val="fr-FR" w:eastAsia="ja-JP"/>
        </w:rPr>
        <w:tab/>
      </w:r>
      <w:r w:rsidR="00D51D89">
        <w:rPr>
          <w:lang w:val="fr-FR" w:eastAsia="ja-JP"/>
        </w:rPr>
        <w:t xml:space="preserve">des informations devraient être disponibles sur </w:t>
      </w:r>
      <w:r w:rsidR="00403F2A" w:rsidRPr="00403F2A">
        <w:rPr>
          <w:lang w:val="fr-FR" w:eastAsia="ja-JP"/>
        </w:rPr>
        <w:t>le déterminisme génétique du caractère</w:t>
      </w:r>
      <w:r w:rsidR="003A30C6" w:rsidRPr="00403F2A">
        <w:rPr>
          <w:lang w:val="fr-FR" w:eastAsia="ja-JP"/>
        </w:rPr>
        <w:t>;</w:t>
      </w:r>
    </w:p>
    <w:p w:rsidR="003A30C6" w:rsidRPr="00403F2A" w:rsidRDefault="003A30C6" w:rsidP="00A9338F">
      <w:pPr>
        <w:rPr>
          <w:iCs/>
          <w:spacing w:val="-4"/>
          <w:lang w:val="fr-FR"/>
        </w:rPr>
      </w:pPr>
    </w:p>
    <w:p w:rsidR="00497F1A" w:rsidRDefault="00A9338F" w:rsidP="00A9338F">
      <w:pPr>
        <w:rPr>
          <w:iCs/>
          <w:spacing w:val="-4"/>
          <w:lang w:val="fr-FR"/>
        </w:rPr>
      </w:pPr>
      <w:r>
        <w:rPr>
          <w:iCs/>
          <w:spacing w:val="-4"/>
          <w:lang w:val="fr-FR"/>
        </w:rPr>
        <w:tab/>
        <w:t>c)</w:t>
      </w:r>
      <w:r>
        <w:rPr>
          <w:iCs/>
          <w:spacing w:val="-4"/>
          <w:lang w:val="fr-FR"/>
        </w:rPr>
        <w:tab/>
      </w:r>
      <w:r w:rsidR="00403F2A" w:rsidRPr="00403F2A">
        <w:rPr>
          <w:iCs/>
          <w:spacing w:val="-4"/>
          <w:lang w:val="fr-FR"/>
        </w:rPr>
        <w:t>la pertinence du caractère devrait être validée par une évaluation initiale de l</w:t>
      </w:r>
      <w:r w:rsidR="00497F1A">
        <w:rPr>
          <w:iCs/>
          <w:spacing w:val="-4"/>
          <w:lang w:val="fr-FR"/>
        </w:rPr>
        <w:t>’</w:t>
      </w:r>
      <w:r w:rsidR="00403F2A" w:rsidRPr="00403F2A">
        <w:rPr>
          <w:iCs/>
          <w:spacing w:val="-4"/>
          <w:lang w:val="fr-FR"/>
        </w:rPr>
        <w:t>homogénéité à partir de plantes isolées</w:t>
      </w:r>
      <w:r w:rsidR="003A30C6" w:rsidRPr="00403F2A">
        <w:rPr>
          <w:iCs/>
          <w:spacing w:val="-4"/>
          <w:lang w:val="fr-FR"/>
        </w:rPr>
        <w:t>;</w:t>
      </w:r>
    </w:p>
    <w:p w:rsidR="003A30C6" w:rsidRPr="004513C7" w:rsidRDefault="003A30C6" w:rsidP="00A9338F">
      <w:pPr>
        <w:rPr>
          <w:iCs/>
          <w:spacing w:val="-4"/>
          <w:highlight w:val="yellow"/>
          <w:lang w:val="fr-FR"/>
        </w:rPr>
      </w:pPr>
    </w:p>
    <w:p w:rsidR="003A30C6" w:rsidRPr="00FC485C" w:rsidRDefault="00A9338F" w:rsidP="00A9338F">
      <w:pPr>
        <w:rPr>
          <w:iCs/>
          <w:spacing w:val="-4"/>
          <w:lang w:val="fr-FR"/>
        </w:rPr>
      </w:pPr>
      <w:r>
        <w:rPr>
          <w:rFonts w:cs="Arial"/>
          <w:lang w:val="fr-FR"/>
        </w:rPr>
        <w:tab/>
        <w:t>d)</w:t>
      </w:r>
      <w:r>
        <w:rPr>
          <w:rFonts w:cs="Arial"/>
          <w:lang w:val="fr-FR"/>
        </w:rPr>
        <w:tab/>
      </w:r>
      <w:r w:rsidR="00403F2A" w:rsidRPr="00FC485C">
        <w:rPr>
          <w:rFonts w:cs="Arial"/>
          <w:lang w:val="fr-FR"/>
        </w:rPr>
        <w:t>des informations devraient être fournies sur la variabilité des plantes et leurs différences au</w:t>
      </w:r>
      <w:r w:rsidR="00D51D89">
        <w:rPr>
          <w:rFonts w:cs="Arial"/>
          <w:lang w:val="fr-FR"/>
        </w:rPr>
        <w:t xml:space="preserve"> cours des cycles de végétation</w:t>
      </w:r>
      <w:r w:rsidR="00403F2A" w:rsidRPr="00FC485C">
        <w:rPr>
          <w:rFonts w:cs="Arial"/>
          <w:lang w:val="fr-FR"/>
        </w:rPr>
        <w:t xml:space="preserve"> (données extraites de mesures courantes </w:t>
      </w:r>
      <w:r w:rsidR="00FC485C" w:rsidRPr="00FC485C">
        <w:rPr>
          <w:rFonts w:cs="Arial"/>
          <w:lang w:val="fr-FR"/>
        </w:rPr>
        <w:t xml:space="preserve">relatives à un caractère sur </w:t>
      </w:r>
      <w:r w:rsidR="00D51D89">
        <w:rPr>
          <w:rFonts w:cs="Arial"/>
          <w:lang w:val="fr-FR"/>
        </w:rPr>
        <w:t>plusieurs</w:t>
      </w:r>
      <w:r w:rsidR="00FC485C" w:rsidRPr="00FC485C">
        <w:rPr>
          <w:rFonts w:cs="Arial"/>
          <w:lang w:val="fr-FR"/>
        </w:rPr>
        <w:t xml:space="preserve"> années</w:t>
      </w:r>
      <w:r w:rsidR="003A30C6" w:rsidRPr="00FC485C">
        <w:rPr>
          <w:iCs/>
          <w:spacing w:val="-4"/>
          <w:lang w:val="fr-FR"/>
        </w:rPr>
        <w:t>);</w:t>
      </w:r>
    </w:p>
    <w:p w:rsidR="003A30C6" w:rsidRPr="004513C7" w:rsidRDefault="003A30C6" w:rsidP="00A9338F">
      <w:pPr>
        <w:rPr>
          <w:iCs/>
          <w:spacing w:val="-4"/>
          <w:highlight w:val="yellow"/>
          <w:lang w:val="fr-FR"/>
        </w:rPr>
      </w:pPr>
    </w:p>
    <w:p w:rsidR="003A30C6" w:rsidRDefault="00A9338F" w:rsidP="00A9338F">
      <w:pPr>
        <w:rPr>
          <w:lang w:val="fr-FR"/>
        </w:rPr>
      </w:pPr>
      <w:r>
        <w:rPr>
          <w:lang w:val="fr-FR"/>
        </w:rPr>
        <w:tab/>
        <w:t>e)</w:t>
      </w:r>
      <w:r>
        <w:rPr>
          <w:lang w:val="fr-FR"/>
        </w:rPr>
        <w:tab/>
      </w:r>
      <w:r w:rsidR="000B10EE" w:rsidRPr="00ED4434">
        <w:rPr>
          <w:lang w:val="fr-FR"/>
        </w:rPr>
        <w:t xml:space="preserve">une </w:t>
      </w:r>
      <w:r w:rsidR="000B10EE" w:rsidRPr="00D51D89">
        <w:rPr>
          <w:rFonts w:cs="Arial"/>
          <w:lang w:val="fr-FR"/>
        </w:rPr>
        <w:t>description</w:t>
      </w:r>
      <w:r w:rsidR="000B10EE" w:rsidRPr="00ED4434">
        <w:rPr>
          <w:lang w:val="fr-FR"/>
        </w:rPr>
        <w:t xml:space="preserve"> complète de la méthode d</w:t>
      </w:r>
      <w:r w:rsidR="00497F1A">
        <w:rPr>
          <w:lang w:val="fr-FR"/>
        </w:rPr>
        <w:t>’</w:t>
      </w:r>
      <w:r w:rsidR="000B10EE" w:rsidRPr="00ED4434">
        <w:rPr>
          <w:lang w:val="fr-FR"/>
        </w:rPr>
        <w:t>évaluation devrait être fournie</w:t>
      </w:r>
      <w:r w:rsidR="003A30C6" w:rsidRPr="00ED4434">
        <w:rPr>
          <w:lang w:val="fr-FR"/>
        </w:rPr>
        <w:t>;</w:t>
      </w:r>
    </w:p>
    <w:p w:rsidR="008352C1" w:rsidRPr="008352C1" w:rsidRDefault="008352C1" w:rsidP="00A9338F">
      <w:pPr>
        <w:rPr>
          <w:lang w:val="fr-FR"/>
        </w:rPr>
      </w:pPr>
    </w:p>
    <w:p w:rsidR="008352C1" w:rsidRPr="008352C1" w:rsidRDefault="00A9338F" w:rsidP="00A9338F">
      <w:pPr>
        <w:rPr>
          <w:lang w:val="fr-FR"/>
        </w:rPr>
      </w:pPr>
      <w:r>
        <w:rPr>
          <w:lang w:val="fr-FR"/>
        </w:rPr>
        <w:tab/>
        <w:t>f)</w:t>
      </w:r>
      <w:r>
        <w:rPr>
          <w:lang w:val="fr-FR"/>
        </w:rPr>
        <w:tab/>
      </w:r>
      <w:r w:rsidR="00D51D89">
        <w:rPr>
          <w:lang w:val="fr-FR"/>
        </w:rPr>
        <w:t>la détermination des</w:t>
      </w:r>
      <w:r w:rsidR="008352C1" w:rsidRPr="008352C1">
        <w:rPr>
          <w:lang w:val="fr-FR"/>
        </w:rPr>
        <w:t xml:space="preserve"> niveaux d’expression devrait être fondé</w:t>
      </w:r>
      <w:r w:rsidR="00D51D89">
        <w:rPr>
          <w:lang w:val="fr-FR"/>
        </w:rPr>
        <w:t>e</w:t>
      </w:r>
      <w:r w:rsidR="008352C1" w:rsidRPr="008352C1">
        <w:rPr>
          <w:lang w:val="fr-FR"/>
        </w:rPr>
        <w:t xml:space="preserve"> sur la variation</w:t>
      </w:r>
      <w:r w:rsidR="00D51D89">
        <w:rPr>
          <w:lang w:val="fr-FR"/>
        </w:rPr>
        <w:t xml:space="preserve"> existante</w:t>
      </w:r>
      <w:r w:rsidR="008352C1" w:rsidRPr="008352C1">
        <w:rPr>
          <w:lang w:val="fr-FR"/>
        </w:rPr>
        <w:t xml:space="preserve"> entre les variétés et tenir compte de l’influence d</w:t>
      </w:r>
      <w:r w:rsidR="00D51D89">
        <w:rPr>
          <w:lang w:val="fr-FR"/>
        </w:rPr>
        <w:t>e l’environnement.</w:t>
      </w:r>
    </w:p>
    <w:p w:rsidR="008352C1" w:rsidRPr="008352C1" w:rsidRDefault="008352C1" w:rsidP="008352C1">
      <w:pPr>
        <w:tabs>
          <w:tab w:val="left" w:pos="1275"/>
        </w:tabs>
        <w:rPr>
          <w:lang w:val="fr-FR"/>
        </w:rPr>
      </w:pPr>
    </w:p>
    <w:p w:rsidR="003A30C6" w:rsidRPr="005435F8" w:rsidRDefault="003A30C6" w:rsidP="003A30C6">
      <w:pPr>
        <w:pStyle w:val="DecisionParagraphs"/>
        <w:tabs>
          <w:tab w:val="left" w:pos="5954"/>
        </w:tabs>
        <w:rPr>
          <w:lang w:val="fr-FR" w:eastAsia="ja-JP"/>
        </w:rPr>
      </w:pPr>
      <w:r w:rsidRPr="005435F8">
        <w:rPr>
          <w:lang w:val="fr-FR"/>
        </w:rPr>
        <w:fldChar w:fldCharType="begin"/>
      </w:r>
      <w:r w:rsidRPr="005435F8">
        <w:rPr>
          <w:lang w:val="fr-FR"/>
        </w:rPr>
        <w:instrText xml:space="preserve"> AUTONUM  </w:instrText>
      </w:r>
      <w:r w:rsidRPr="005435F8">
        <w:rPr>
          <w:lang w:val="fr-FR"/>
        </w:rPr>
        <w:fldChar w:fldCharType="end"/>
      </w:r>
      <w:r w:rsidR="00ED4434" w:rsidRPr="005435F8">
        <w:rPr>
          <w:lang w:val="fr-FR"/>
        </w:rPr>
        <w:tab/>
        <w:t>Le</w:t>
      </w:r>
      <w:r w:rsidR="00497F1A">
        <w:rPr>
          <w:lang w:val="fr-FR"/>
        </w:rPr>
        <w:t> TC</w:t>
      </w:r>
      <w:r w:rsidR="00ED4434" w:rsidRPr="005435F8">
        <w:rPr>
          <w:lang w:val="fr-FR"/>
        </w:rPr>
        <w:t xml:space="preserve"> est invité</w:t>
      </w:r>
      <w:r w:rsidR="00A9338F">
        <w:rPr>
          <w:lang w:val="fr-FR"/>
        </w:rPr>
        <w:t xml:space="preserve"> à :</w:t>
      </w:r>
    </w:p>
    <w:p w:rsidR="003A30C6" w:rsidRPr="005435F8" w:rsidRDefault="003A30C6" w:rsidP="003A30C6">
      <w:pPr>
        <w:pStyle w:val="DecisionParagraphs"/>
        <w:tabs>
          <w:tab w:val="left" w:pos="5220"/>
          <w:tab w:val="left" w:pos="5850"/>
          <w:tab w:val="left" w:pos="5954"/>
        </w:tabs>
        <w:rPr>
          <w:lang w:val="fr-FR" w:eastAsia="ja-JP"/>
        </w:rPr>
      </w:pPr>
    </w:p>
    <w:p w:rsidR="003A30C6" w:rsidRPr="005435F8" w:rsidRDefault="008352C1" w:rsidP="004F4B88">
      <w:pPr>
        <w:pStyle w:val="DecisionParagraphs"/>
        <w:tabs>
          <w:tab w:val="left" w:pos="5954"/>
        </w:tabs>
        <w:rPr>
          <w:lang w:val="fr-FR" w:eastAsia="ja-JP"/>
        </w:rPr>
      </w:pPr>
      <w:r>
        <w:rPr>
          <w:lang w:val="fr-FR" w:eastAsia="ja-JP"/>
        </w:rPr>
        <w:tab/>
      </w:r>
      <w:r w:rsidR="003A30C6" w:rsidRPr="005435F8">
        <w:rPr>
          <w:lang w:val="fr-FR" w:eastAsia="ja-JP"/>
        </w:rPr>
        <w:t>a)</w:t>
      </w:r>
      <w:r w:rsidR="003A30C6" w:rsidRPr="005435F8">
        <w:rPr>
          <w:lang w:val="fr-FR" w:eastAsia="ja-JP"/>
        </w:rPr>
        <w:tab/>
      </w:r>
      <w:r w:rsidR="00ED4434" w:rsidRPr="005435F8">
        <w:rPr>
          <w:lang w:val="fr-FR" w:eastAsia="ja-JP"/>
        </w:rPr>
        <w:t>examiner le document de travail présenté par un expert des Pays</w:t>
      </w:r>
      <w:r>
        <w:rPr>
          <w:lang w:val="fr-FR" w:eastAsia="ja-JP"/>
        </w:rPr>
        <w:noBreakHyphen/>
      </w:r>
      <w:r w:rsidR="00ED4434" w:rsidRPr="005435F8">
        <w:rPr>
          <w:lang w:val="fr-FR" w:eastAsia="ja-JP"/>
        </w:rPr>
        <w:t xml:space="preserve">Bas, concernant les critères </w:t>
      </w:r>
      <w:r w:rsidR="00ED4434" w:rsidRPr="005435F8">
        <w:rPr>
          <w:lang w:val="fr-FR"/>
        </w:rPr>
        <w:t>d</w:t>
      </w:r>
      <w:r w:rsidR="00497F1A">
        <w:rPr>
          <w:lang w:val="fr-FR"/>
        </w:rPr>
        <w:t>’</w:t>
      </w:r>
      <w:r w:rsidR="00ED4434" w:rsidRPr="005435F8">
        <w:rPr>
          <w:lang w:val="fr-FR"/>
        </w:rPr>
        <w:t>homogénéité</w:t>
      </w:r>
      <w:r w:rsidR="00ED4434" w:rsidRPr="005435F8">
        <w:rPr>
          <w:lang w:val="fr-FR" w:eastAsia="ja-JP"/>
        </w:rPr>
        <w:t xml:space="preserve"> s</w:t>
      </w:r>
      <w:r w:rsidR="00497F1A">
        <w:rPr>
          <w:lang w:val="fr-FR" w:eastAsia="ja-JP"/>
        </w:rPr>
        <w:t>’</w:t>
      </w:r>
      <w:r w:rsidR="00ED4434" w:rsidRPr="005435F8">
        <w:rPr>
          <w:lang w:val="fr-FR" w:eastAsia="ja-JP"/>
        </w:rPr>
        <w:t>appliquant aux caractères examinés sur la base d</w:t>
      </w:r>
      <w:r w:rsidR="00497F1A">
        <w:rPr>
          <w:lang w:val="fr-FR" w:eastAsia="ja-JP"/>
        </w:rPr>
        <w:t>’</w:t>
      </w:r>
      <w:r w:rsidR="00ED4434" w:rsidRPr="005435F8">
        <w:rPr>
          <w:lang w:val="fr-FR" w:eastAsia="ja-JP"/>
        </w:rPr>
        <w:t>un échantillon global, qui figure à l</w:t>
      </w:r>
      <w:r w:rsidR="00497F1A">
        <w:rPr>
          <w:lang w:val="fr-FR" w:eastAsia="ja-JP"/>
        </w:rPr>
        <w:t>’</w:t>
      </w:r>
      <w:r w:rsidR="00ED4434" w:rsidRPr="005435F8">
        <w:rPr>
          <w:lang w:val="fr-FR" w:eastAsia="ja-JP"/>
        </w:rPr>
        <w:t>annexe</w:t>
      </w:r>
      <w:r w:rsidR="009F4C6C">
        <w:rPr>
          <w:lang w:val="fr-FR" w:eastAsia="ja-JP"/>
        </w:rPr>
        <w:t> </w:t>
      </w:r>
      <w:r w:rsidR="00ED4434" w:rsidRPr="005435F8">
        <w:rPr>
          <w:lang w:val="fr-FR" w:eastAsia="ja-JP"/>
        </w:rPr>
        <w:t xml:space="preserve">I du présent document, ainsi que les informations </w:t>
      </w:r>
      <w:r w:rsidR="00D51D89">
        <w:rPr>
          <w:lang w:val="fr-FR" w:eastAsia="ja-JP"/>
        </w:rPr>
        <w:t>sur</w:t>
      </w:r>
      <w:r w:rsidR="00ED4434" w:rsidRPr="005435F8">
        <w:rPr>
          <w:lang w:val="fr-FR" w:eastAsia="ja-JP"/>
        </w:rPr>
        <w:t xml:space="preserve"> l</w:t>
      </w:r>
      <w:r w:rsidR="00497F1A">
        <w:rPr>
          <w:lang w:val="fr-FR" w:eastAsia="ja-JP"/>
        </w:rPr>
        <w:t>’</w:t>
      </w:r>
      <w:r w:rsidR="00ED4434" w:rsidRPr="005435F8">
        <w:rPr>
          <w:lang w:val="fr-FR" w:eastAsia="ja-JP"/>
        </w:rPr>
        <w:t>exemple de caractère examiné sur la base d</w:t>
      </w:r>
      <w:r w:rsidR="00497F1A">
        <w:rPr>
          <w:lang w:val="fr-FR" w:eastAsia="ja-JP"/>
        </w:rPr>
        <w:t>’</w:t>
      </w:r>
      <w:r w:rsidR="00ED4434" w:rsidRPr="005435F8">
        <w:rPr>
          <w:lang w:val="fr-FR" w:eastAsia="ja-JP"/>
        </w:rPr>
        <w:t>un échantillon global aux Pays</w:t>
      </w:r>
      <w:r>
        <w:rPr>
          <w:lang w:val="fr-FR" w:eastAsia="ja-JP"/>
        </w:rPr>
        <w:noBreakHyphen/>
      </w:r>
      <w:r w:rsidR="00ED4434" w:rsidRPr="005435F8">
        <w:rPr>
          <w:lang w:val="fr-FR" w:eastAsia="ja-JP"/>
        </w:rPr>
        <w:t>Bas, qui figure</w:t>
      </w:r>
      <w:r w:rsidR="00D51D89">
        <w:rPr>
          <w:lang w:val="fr-FR" w:eastAsia="ja-JP"/>
        </w:rPr>
        <w:t>nt</w:t>
      </w:r>
      <w:r w:rsidR="00ED4434" w:rsidRPr="005435F8">
        <w:rPr>
          <w:lang w:val="fr-FR" w:eastAsia="ja-JP"/>
        </w:rPr>
        <w:t xml:space="preserve"> à l</w:t>
      </w:r>
      <w:r w:rsidR="00497F1A">
        <w:rPr>
          <w:lang w:val="fr-FR" w:eastAsia="ja-JP"/>
        </w:rPr>
        <w:t>’</w:t>
      </w:r>
      <w:r w:rsidR="00ED4434" w:rsidRPr="005435F8">
        <w:rPr>
          <w:lang w:val="fr-FR" w:eastAsia="ja-JP"/>
        </w:rPr>
        <w:t>annexe</w:t>
      </w:r>
      <w:r w:rsidR="009F4C6C">
        <w:rPr>
          <w:lang w:val="fr-FR" w:eastAsia="ja-JP"/>
        </w:rPr>
        <w:t> </w:t>
      </w:r>
      <w:r w:rsidR="00ED4434" w:rsidRPr="005435F8">
        <w:rPr>
          <w:lang w:val="fr-FR" w:eastAsia="ja-JP"/>
        </w:rPr>
        <w:t>II du présent document</w:t>
      </w:r>
      <w:r>
        <w:rPr>
          <w:lang w:val="fr-FR" w:eastAsia="ja-JP"/>
        </w:rPr>
        <w:t>,</w:t>
      </w:r>
    </w:p>
    <w:p w:rsidR="003A30C6" w:rsidRPr="005435F8" w:rsidRDefault="003A30C6" w:rsidP="003A30C6">
      <w:pPr>
        <w:pStyle w:val="DecisionParagraphs"/>
        <w:tabs>
          <w:tab w:val="left" w:pos="5220"/>
          <w:tab w:val="left" w:pos="5850"/>
          <w:tab w:val="left" w:pos="5954"/>
        </w:tabs>
        <w:rPr>
          <w:lang w:val="fr-FR" w:eastAsia="ja-JP"/>
        </w:rPr>
      </w:pPr>
    </w:p>
    <w:p w:rsidR="003A30C6" w:rsidRPr="005435F8" w:rsidRDefault="003A30C6" w:rsidP="004F4B88">
      <w:pPr>
        <w:pStyle w:val="DecisionParagraphs"/>
        <w:tabs>
          <w:tab w:val="left" w:pos="5954"/>
        </w:tabs>
        <w:rPr>
          <w:lang w:val="fr-FR" w:eastAsia="ja-JP"/>
        </w:rPr>
      </w:pPr>
      <w:r w:rsidRPr="005435F8">
        <w:rPr>
          <w:lang w:val="fr-FR" w:eastAsia="ja-JP"/>
        </w:rPr>
        <w:tab/>
        <w:t>b)</w:t>
      </w:r>
      <w:r w:rsidRPr="005435F8">
        <w:rPr>
          <w:lang w:val="fr-FR" w:eastAsia="ja-JP"/>
        </w:rPr>
        <w:tab/>
      </w:r>
      <w:r w:rsidR="00ED4434" w:rsidRPr="005435F8">
        <w:rPr>
          <w:lang w:val="fr-FR"/>
        </w:rPr>
        <w:t>examiner</w:t>
      </w:r>
      <w:r w:rsidR="00ED4434" w:rsidRPr="005435F8">
        <w:rPr>
          <w:lang w:val="fr-FR" w:eastAsia="ja-JP"/>
        </w:rPr>
        <w:t xml:space="preserve"> les observations formulées par</w:t>
      </w:r>
      <w:r w:rsidR="00497F1A" w:rsidRPr="005435F8">
        <w:rPr>
          <w:lang w:val="fr-FR" w:eastAsia="ja-JP"/>
        </w:rPr>
        <w:t xml:space="preserve"> les</w:t>
      </w:r>
      <w:r w:rsidR="00497F1A">
        <w:rPr>
          <w:lang w:val="fr-FR" w:eastAsia="ja-JP"/>
        </w:rPr>
        <w:t> </w:t>
      </w:r>
      <w:r w:rsidR="00497F1A" w:rsidRPr="005435F8">
        <w:rPr>
          <w:lang w:val="fr-FR" w:eastAsia="ja-JP"/>
        </w:rPr>
        <w:t>TWP</w:t>
      </w:r>
      <w:r w:rsidR="00ED4434" w:rsidRPr="005435F8">
        <w:rPr>
          <w:lang w:val="fr-FR" w:eastAsia="ja-JP"/>
        </w:rPr>
        <w:t xml:space="preserve"> à leurs sessions de</w:t>
      </w:r>
      <w:r w:rsidR="009F4C6C">
        <w:rPr>
          <w:lang w:val="fr-FR" w:eastAsia="ja-JP"/>
        </w:rPr>
        <w:t> </w:t>
      </w:r>
      <w:r w:rsidR="00ED4434" w:rsidRPr="005435F8">
        <w:rPr>
          <w:lang w:val="fr-FR" w:eastAsia="ja-JP"/>
        </w:rPr>
        <w:t>2015</w:t>
      </w:r>
      <w:r w:rsidR="008352C1">
        <w:rPr>
          <w:lang w:val="fr-FR" w:eastAsia="ja-JP"/>
        </w:rPr>
        <w:t>,</w:t>
      </w:r>
      <w:r w:rsidR="00ED4434" w:rsidRPr="005435F8">
        <w:rPr>
          <w:lang w:val="fr-FR" w:eastAsia="ja-JP"/>
        </w:rPr>
        <w:t xml:space="preserve"> et</w:t>
      </w:r>
    </w:p>
    <w:p w:rsidR="003A30C6" w:rsidRPr="005435F8" w:rsidRDefault="003A30C6" w:rsidP="003A30C6">
      <w:pPr>
        <w:pStyle w:val="DecisionParagraphs"/>
        <w:tabs>
          <w:tab w:val="left" w:pos="5220"/>
          <w:tab w:val="left" w:pos="5310"/>
          <w:tab w:val="left" w:pos="5850"/>
          <w:tab w:val="left" w:pos="5954"/>
        </w:tabs>
        <w:rPr>
          <w:lang w:val="fr-FR" w:eastAsia="ja-JP"/>
        </w:rPr>
      </w:pPr>
    </w:p>
    <w:p w:rsidR="003A30C6" w:rsidRPr="004513C7" w:rsidRDefault="003A30C6" w:rsidP="004F4B88">
      <w:pPr>
        <w:pStyle w:val="DecisionParagraphs"/>
        <w:tabs>
          <w:tab w:val="left" w:pos="5954"/>
        </w:tabs>
        <w:rPr>
          <w:lang w:val="fr-FR" w:eastAsia="ja-JP"/>
        </w:rPr>
      </w:pPr>
      <w:r w:rsidRPr="005435F8">
        <w:rPr>
          <w:lang w:val="fr-FR" w:eastAsia="ja-JP"/>
        </w:rPr>
        <w:tab/>
        <w:t>c)</w:t>
      </w:r>
      <w:r w:rsidRPr="005435F8">
        <w:rPr>
          <w:lang w:val="fr-FR" w:eastAsia="ja-JP"/>
        </w:rPr>
        <w:tab/>
      </w:r>
      <w:r w:rsidR="00ED4434" w:rsidRPr="005435F8">
        <w:rPr>
          <w:lang w:val="fr-FR" w:eastAsia="ja-JP"/>
        </w:rPr>
        <w:t>examiner la proposition relative à l</w:t>
      </w:r>
      <w:r w:rsidR="00497F1A">
        <w:rPr>
          <w:lang w:val="fr-FR" w:eastAsia="ja-JP"/>
        </w:rPr>
        <w:t>’</w:t>
      </w:r>
      <w:r w:rsidR="00ED4434" w:rsidRPr="005435F8">
        <w:rPr>
          <w:lang w:val="fr-FR" w:eastAsia="ja-JP"/>
        </w:rPr>
        <w:t>élaboration de conseils relatifs à l</w:t>
      </w:r>
      <w:r w:rsidR="00497F1A">
        <w:rPr>
          <w:lang w:val="fr-FR" w:eastAsia="ja-JP"/>
        </w:rPr>
        <w:t>’</w:t>
      </w:r>
      <w:r w:rsidR="00ED4434" w:rsidRPr="005435F8">
        <w:rPr>
          <w:lang w:val="fr-FR" w:eastAsia="ja-JP"/>
        </w:rPr>
        <w:t>examen</w:t>
      </w:r>
      <w:r w:rsidR="009F4C6C">
        <w:rPr>
          <w:lang w:val="fr-FR" w:eastAsia="ja-JP"/>
        </w:rPr>
        <w:t> </w:t>
      </w:r>
      <w:r w:rsidR="00ED4434" w:rsidRPr="005435F8">
        <w:rPr>
          <w:lang w:val="fr-FR" w:eastAsia="ja-JP"/>
        </w:rPr>
        <w:t>DHS sur des échantillons globaux aux fins de leur inclusion dans une future version révisée du document TGP/8, présentée au paragraphe</w:t>
      </w:r>
      <w:r w:rsidR="009F4C6C">
        <w:rPr>
          <w:lang w:val="fr-FR" w:eastAsia="ja-JP"/>
        </w:rPr>
        <w:t> </w:t>
      </w:r>
      <w:r w:rsidR="00ED4434" w:rsidRPr="005435F8">
        <w:rPr>
          <w:lang w:val="fr-FR" w:eastAsia="ja-JP"/>
        </w:rPr>
        <w:t>22.</w:t>
      </w:r>
    </w:p>
    <w:p w:rsidR="008F37AE" w:rsidRPr="004513C7" w:rsidRDefault="008F37AE" w:rsidP="003A30C6">
      <w:pPr>
        <w:pStyle w:val="endofdoc"/>
        <w:rPr>
          <w:rFonts w:cs="Arial"/>
          <w:bCs/>
          <w:lang w:val="fr-FR" w:eastAsia="ja-JP"/>
        </w:rPr>
      </w:pPr>
      <w:r w:rsidRPr="004513C7">
        <w:rPr>
          <w:rFonts w:cs="Arial"/>
          <w:bCs/>
          <w:lang w:val="fr-FR" w:eastAsia="ja-JP"/>
        </w:rPr>
        <w:t>[L</w:t>
      </w:r>
      <w:r w:rsidR="003A30C6" w:rsidRPr="004513C7">
        <w:rPr>
          <w:rFonts w:cs="Arial"/>
          <w:bCs/>
          <w:lang w:val="fr-FR" w:eastAsia="ja-JP"/>
        </w:rPr>
        <w:t>es an</w:t>
      </w:r>
      <w:r w:rsidRPr="004513C7">
        <w:rPr>
          <w:rFonts w:cs="Arial"/>
          <w:bCs/>
          <w:lang w:val="fr-FR" w:eastAsia="ja-JP"/>
        </w:rPr>
        <w:t>nexe</w:t>
      </w:r>
      <w:r w:rsidR="003A30C6" w:rsidRPr="004513C7">
        <w:rPr>
          <w:rFonts w:cs="Arial"/>
          <w:bCs/>
          <w:lang w:val="fr-FR" w:eastAsia="ja-JP"/>
        </w:rPr>
        <w:t>s suivent</w:t>
      </w:r>
      <w:r w:rsidRPr="004513C7">
        <w:rPr>
          <w:rFonts w:cs="Arial"/>
          <w:bCs/>
          <w:lang w:val="fr-FR" w:eastAsia="ja-JP"/>
        </w:rPr>
        <w:t>]</w:t>
      </w:r>
    </w:p>
    <w:p w:rsidR="008F37AE" w:rsidRPr="004513C7" w:rsidRDefault="008F37AE" w:rsidP="00916968">
      <w:pPr>
        <w:rPr>
          <w:rFonts w:cs="Arial"/>
          <w:bCs/>
          <w:lang w:val="fr-FR" w:eastAsia="ja-JP"/>
        </w:rPr>
      </w:pPr>
    </w:p>
    <w:p w:rsidR="00180A1F" w:rsidRPr="004513C7" w:rsidRDefault="00180A1F" w:rsidP="00916968">
      <w:pPr>
        <w:rPr>
          <w:rFonts w:cs="Arial"/>
          <w:bCs/>
          <w:lang w:val="fr-FR" w:eastAsia="ja-JP"/>
        </w:rPr>
        <w:sectPr w:rsidR="00180A1F" w:rsidRPr="004513C7" w:rsidSect="00A9338F">
          <w:headerReference w:type="default" r:id="rId10"/>
          <w:footnotePr>
            <w:numFmt w:val="chicago"/>
          </w:footnotePr>
          <w:endnotePr>
            <w:numFmt w:val="chicago"/>
          </w:endnotePr>
          <w:pgSz w:w="11907" w:h="16840" w:code="9"/>
          <w:pgMar w:top="510" w:right="1134" w:bottom="851" w:left="1134" w:header="510" w:footer="680" w:gutter="0"/>
          <w:pgNumType w:start="1"/>
          <w:cols w:space="720"/>
          <w:titlePg/>
          <w:docGrid w:linePitch="272"/>
        </w:sectPr>
      </w:pPr>
    </w:p>
    <w:p w:rsidR="003A30C6" w:rsidRPr="004513C7" w:rsidRDefault="007E3750" w:rsidP="003A30C6">
      <w:pPr>
        <w:jc w:val="center"/>
        <w:rPr>
          <w:highlight w:val="yellow"/>
          <w:lang w:val="fr-FR"/>
        </w:rPr>
      </w:pPr>
      <w:r w:rsidRPr="007E3750">
        <w:rPr>
          <w:lang w:val="fr-FR"/>
        </w:rPr>
        <w:t>DOCUMENT DE TRAVAIL SUR LES CRITÈRES D</w:t>
      </w:r>
      <w:r w:rsidR="00497F1A">
        <w:rPr>
          <w:lang w:val="fr-FR"/>
        </w:rPr>
        <w:t>’</w:t>
      </w:r>
      <w:r w:rsidRPr="007E3750">
        <w:rPr>
          <w:lang w:val="fr-FR"/>
        </w:rPr>
        <w:t>HOMOGÉNÉITÉ S</w:t>
      </w:r>
      <w:r w:rsidR="00497F1A">
        <w:rPr>
          <w:lang w:val="fr-FR"/>
        </w:rPr>
        <w:t>’</w:t>
      </w:r>
      <w:r w:rsidRPr="007E3750">
        <w:rPr>
          <w:lang w:val="fr-FR"/>
        </w:rPr>
        <w:t>APPLIQUANT AUX CARACTÈRES EXAMINÉS SUR LA BASE D</w:t>
      </w:r>
      <w:r w:rsidR="00497F1A">
        <w:rPr>
          <w:lang w:val="fr-FR"/>
        </w:rPr>
        <w:t>’</w:t>
      </w:r>
      <w:r w:rsidRPr="007E3750">
        <w:rPr>
          <w:lang w:val="fr-FR"/>
        </w:rPr>
        <w:t>UN ÉCHANTILLON GLOBAL</w:t>
      </w:r>
    </w:p>
    <w:p w:rsidR="003A30C6" w:rsidRPr="007E3750" w:rsidRDefault="003A30C6" w:rsidP="003A30C6">
      <w:pPr>
        <w:pStyle w:val="ListParagraph"/>
        <w:ind w:left="0"/>
        <w:rPr>
          <w:rFonts w:eastAsia="MS Mincho"/>
          <w:lang w:val="fr-FR" w:eastAsia="ja-JP"/>
        </w:rPr>
      </w:pPr>
    </w:p>
    <w:p w:rsidR="003A30C6" w:rsidRPr="00E17939" w:rsidRDefault="003A30C6" w:rsidP="003A30C6">
      <w:pPr>
        <w:spacing w:line="360" w:lineRule="auto"/>
        <w:jc w:val="center"/>
        <w:rPr>
          <w:lang w:val="fr-FR"/>
        </w:rPr>
      </w:pPr>
      <w:r w:rsidRPr="00E17939">
        <w:rPr>
          <w:lang w:val="fr-FR"/>
        </w:rPr>
        <w:t xml:space="preserve">Document </w:t>
      </w:r>
      <w:r w:rsidR="007E3750" w:rsidRPr="00E17939">
        <w:rPr>
          <w:lang w:val="fr-FR"/>
        </w:rPr>
        <w:t>établi par un expert des Pays</w:t>
      </w:r>
      <w:r w:rsidR="008352C1">
        <w:rPr>
          <w:lang w:val="fr-FR"/>
        </w:rPr>
        <w:noBreakHyphen/>
      </w:r>
      <w:r w:rsidR="007E3750" w:rsidRPr="00E17939">
        <w:rPr>
          <w:lang w:val="fr-FR"/>
        </w:rPr>
        <w:t>Bas</w:t>
      </w:r>
    </w:p>
    <w:p w:rsidR="003A30C6" w:rsidRPr="00E17939" w:rsidRDefault="003A30C6" w:rsidP="003A30C6">
      <w:pPr>
        <w:pStyle w:val="ListParagraph"/>
        <w:ind w:left="0"/>
        <w:rPr>
          <w:rFonts w:eastAsia="MS Mincho"/>
          <w:lang w:val="fr-FR" w:eastAsia="ja-JP"/>
        </w:rPr>
      </w:pPr>
    </w:p>
    <w:p w:rsidR="003A30C6" w:rsidRPr="00E17939" w:rsidRDefault="007E3750" w:rsidP="003A30C6">
      <w:pPr>
        <w:pStyle w:val="ListParagraph"/>
        <w:numPr>
          <w:ilvl w:val="1"/>
          <w:numId w:val="9"/>
        </w:numPr>
        <w:ind w:left="0" w:firstLine="0"/>
        <w:rPr>
          <w:rFonts w:eastAsia="MS Mincho"/>
          <w:lang w:val="fr-FR" w:eastAsia="ja-JP"/>
        </w:rPr>
      </w:pPr>
      <w:r w:rsidRPr="00E17939">
        <w:rPr>
          <w:lang w:val="fr-FR"/>
        </w:rPr>
        <w:t xml:space="preserve">Il existe différentes </w:t>
      </w:r>
      <w:r w:rsidR="00D51D89">
        <w:rPr>
          <w:lang w:val="fr-FR"/>
        </w:rPr>
        <w:t>approches</w:t>
      </w:r>
      <w:r w:rsidRPr="00E17939">
        <w:rPr>
          <w:lang w:val="fr-FR"/>
        </w:rPr>
        <w:t xml:space="preserve"> pour démontrer </w:t>
      </w:r>
      <w:r w:rsidR="00245329" w:rsidRPr="00E17939">
        <w:rPr>
          <w:lang w:val="fr-FR"/>
        </w:rPr>
        <w:t>que les critères d</w:t>
      </w:r>
      <w:r w:rsidR="00497F1A">
        <w:rPr>
          <w:lang w:val="fr-FR"/>
        </w:rPr>
        <w:t>’</w:t>
      </w:r>
      <w:r w:rsidR="00245329" w:rsidRPr="00E17939">
        <w:rPr>
          <w:lang w:val="fr-FR"/>
        </w:rPr>
        <w:t xml:space="preserve">homogénéité </w:t>
      </w:r>
      <w:r w:rsidR="00D51D89">
        <w:rPr>
          <w:lang w:val="fr-FR"/>
        </w:rPr>
        <w:t>peuvent être satisfaits dans le cas d’un</w:t>
      </w:r>
      <w:r w:rsidR="00245329" w:rsidRPr="00E17939">
        <w:rPr>
          <w:lang w:val="fr-FR"/>
        </w:rPr>
        <w:t xml:space="preserve"> caractère examiné sur la base d</w:t>
      </w:r>
      <w:r w:rsidR="00497F1A">
        <w:rPr>
          <w:lang w:val="fr-FR"/>
        </w:rPr>
        <w:t>’</w:t>
      </w:r>
      <w:r w:rsidR="00245329" w:rsidRPr="00E17939">
        <w:rPr>
          <w:lang w:val="fr-FR"/>
        </w:rPr>
        <w:t>un échantillon global</w:t>
      </w:r>
      <w:r w:rsidR="003A30C6" w:rsidRPr="00E17939">
        <w:rPr>
          <w:lang w:val="fr-FR"/>
        </w:rPr>
        <w:t xml:space="preserve">. </w:t>
      </w:r>
      <w:r w:rsidR="00245329" w:rsidRPr="00E17939">
        <w:rPr>
          <w:lang w:val="fr-FR"/>
        </w:rPr>
        <w:t xml:space="preserve"> Dans ce document, nous examinons les solutions </w:t>
      </w:r>
      <w:r w:rsidR="00A60BF5" w:rsidRPr="00E17939">
        <w:rPr>
          <w:lang w:val="fr-FR"/>
        </w:rPr>
        <w:t>possibles</w:t>
      </w:r>
      <w:r w:rsidR="00245329" w:rsidRPr="00E17939">
        <w:rPr>
          <w:lang w:val="fr-FR"/>
        </w:rPr>
        <w:t xml:space="preserve"> pour évaluer l</w:t>
      </w:r>
      <w:r w:rsidR="00497F1A">
        <w:rPr>
          <w:lang w:val="fr-FR"/>
        </w:rPr>
        <w:t>’</w:t>
      </w:r>
      <w:r w:rsidR="00245329" w:rsidRPr="00E17939">
        <w:rPr>
          <w:lang w:val="fr-FR"/>
        </w:rPr>
        <w:t>homogénéité dans le cas d</w:t>
      </w:r>
      <w:r w:rsidR="00497F1A">
        <w:rPr>
          <w:lang w:val="fr-FR"/>
        </w:rPr>
        <w:t>’</w:t>
      </w:r>
      <w:r w:rsidR="00245329" w:rsidRPr="00E17939">
        <w:rPr>
          <w:lang w:val="fr-FR"/>
        </w:rPr>
        <w:t>un caractère examiné sur la base d</w:t>
      </w:r>
      <w:r w:rsidR="00497F1A">
        <w:rPr>
          <w:lang w:val="fr-FR"/>
        </w:rPr>
        <w:t>’</w:t>
      </w:r>
      <w:r w:rsidR="00245329" w:rsidRPr="00E17939">
        <w:rPr>
          <w:lang w:val="fr-FR"/>
        </w:rPr>
        <w:t>un échantillon global avec un seul échantillon par parcelle</w:t>
      </w:r>
      <w:r w:rsidR="003A30C6" w:rsidRPr="00E17939">
        <w:rPr>
          <w:lang w:val="fr-FR"/>
        </w:rPr>
        <w:t xml:space="preserve">. </w:t>
      </w:r>
      <w:r w:rsidR="00245329" w:rsidRPr="00E17939">
        <w:rPr>
          <w:lang w:val="fr-FR"/>
        </w:rPr>
        <w:t xml:space="preserve"> Dans le cas où il y aurait plusieurs échantillons par parcelle, voir :</w:t>
      </w:r>
      <w:r w:rsidR="003A30C6" w:rsidRPr="00E17939">
        <w:rPr>
          <w:lang w:val="fr-FR"/>
        </w:rPr>
        <w:t xml:space="preserve"> TGP 8 (</w:t>
      </w:r>
      <w:r w:rsidR="00245329" w:rsidRPr="00E17939">
        <w:rPr>
          <w:lang w:val="fr-FR"/>
        </w:rPr>
        <w:t>Protocole d</w:t>
      </w:r>
      <w:r w:rsidR="00497F1A">
        <w:rPr>
          <w:lang w:val="fr-FR"/>
        </w:rPr>
        <w:t>’</w:t>
      </w:r>
      <w:r w:rsidR="00245329" w:rsidRPr="00E17939">
        <w:rPr>
          <w:lang w:val="fr-FR"/>
        </w:rPr>
        <w:t>essai</w:t>
      </w:r>
      <w:r w:rsidR="003A30C6" w:rsidRPr="00E17939">
        <w:rPr>
          <w:lang w:val="fr-FR"/>
        </w:rPr>
        <w:t xml:space="preserve">) </w:t>
      </w:r>
      <w:r w:rsidR="00245329" w:rsidRPr="00E17939">
        <w:rPr>
          <w:lang w:val="fr-FR"/>
        </w:rPr>
        <w:t>et</w:t>
      </w:r>
      <w:r w:rsidR="003A30C6" w:rsidRPr="00E17939">
        <w:rPr>
          <w:lang w:val="fr-FR"/>
        </w:rPr>
        <w:t xml:space="preserve"> TGP/10 (</w:t>
      </w:r>
      <w:r w:rsidR="00245329" w:rsidRPr="00E17939">
        <w:rPr>
          <w:lang w:val="fr-FR"/>
        </w:rPr>
        <w:t>critères d</w:t>
      </w:r>
      <w:r w:rsidR="00497F1A">
        <w:rPr>
          <w:lang w:val="fr-FR"/>
        </w:rPr>
        <w:t>’</w:t>
      </w:r>
      <w:r w:rsidR="00245329" w:rsidRPr="00E17939">
        <w:rPr>
          <w:lang w:val="fr-FR"/>
        </w:rPr>
        <w:t>homogénéité</w:t>
      </w:r>
      <w:r w:rsidR="003A30C6" w:rsidRPr="00E17939">
        <w:rPr>
          <w:lang w:val="fr-FR"/>
        </w:rPr>
        <w:t>).</w:t>
      </w:r>
    </w:p>
    <w:p w:rsidR="003A30C6" w:rsidRPr="00E17939" w:rsidRDefault="003A30C6" w:rsidP="003A30C6">
      <w:pPr>
        <w:pStyle w:val="ListParagraph"/>
        <w:ind w:left="0"/>
        <w:rPr>
          <w:rFonts w:eastAsia="MS Mincho"/>
          <w:lang w:val="fr-FR" w:eastAsia="ja-JP"/>
        </w:rPr>
      </w:pPr>
    </w:p>
    <w:p w:rsidR="00497F1A" w:rsidRDefault="00B93968" w:rsidP="003A30C6">
      <w:pPr>
        <w:pStyle w:val="ListParagraph"/>
        <w:numPr>
          <w:ilvl w:val="1"/>
          <w:numId w:val="9"/>
        </w:numPr>
        <w:ind w:left="0" w:firstLine="0"/>
        <w:rPr>
          <w:lang w:val="fr-FR"/>
        </w:rPr>
      </w:pPr>
      <w:r w:rsidRPr="00E17939">
        <w:rPr>
          <w:lang w:val="fr-FR"/>
        </w:rPr>
        <w:t xml:space="preserve">Il existe différentes </w:t>
      </w:r>
      <w:r w:rsidR="00D51D89">
        <w:rPr>
          <w:lang w:val="fr-FR"/>
        </w:rPr>
        <w:t>approches pour</w:t>
      </w:r>
      <w:r w:rsidRPr="00E17939">
        <w:rPr>
          <w:lang w:val="fr-FR"/>
        </w:rPr>
        <w:t xml:space="preserve"> vérifi</w:t>
      </w:r>
      <w:r w:rsidR="00D51D89">
        <w:rPr>
          <w:lang w:val="fr-FR"/>
        </w:rPr>
        <w:t xml:space="preserve">er </w:t>
      </w:r>
      <w:r w:rsidRPr="00E17939">
        <w:rPr>
          <w:lang w:val="fr-FR"/>
        </w:rPr>
        <w:t>l</w:t>
      </w:r>
      <w:r w:rsidR="00497F1A">
        <w:rPr>
          <w:lang w:val="fr-FR"/>
        </w:rPr>
        <w:t>’</w:t>
      </w:r>
      <w:r w:rsidRPr="00E17939">
        <w:rPr>
          <w:lang w:val="fr-FR"/>
        </w:rPr>
        <w:t xml:space="preserve">homogénéité qui </w:t>
      </w:r>
      <w:proofErr w:type="gramStart"/>
      <w:r w:rsidRPr="00E17939">
        <w:rPr>
          <w:lang w:val="fr-FR"/>
        </w:rPr>
        <w:t>ne sont</w:t>
      </w:r>
      <w:proofErr w:type="gramEnd"/>
      <w:r w:rsidRPr="00E17939">
        <w:rPr>
          <w:lang w:val="fr-FR"/>
        </w:rPr>
        <w:t xml:space="preserve"> pas examinées dans les </w:t>
      </w:r>
      <w:r w:rsidR="00A840D0" w:rsidRPr="00E17939">
        <w:rPr>
          <w:lang w:val="fr-FR"/>
        </w:rPr>
        <w:t>documents TGP actuels</w:t>
      </w:r>
      <w:r w:rsidR="003A30C6" w:rsidRPr="00E17939">
        <w:rPr>
          <w:lang w:val="fr-FR"/>
        </w:rPr>
        <w:t xml:space="preserve">. </w:t>
      </w:r>
      <w:r w:rsidR="00A840D0" w:rsidRPr="00E17939">
        <w:rPr>
          <w:lang w:val="fr-FR"/>
        </w:rPr>
        <w:t xml:space="preserve"> Afin de déterminer quelles sont les </w:t>
      </w:r>
      <w:r w:rsidR="00D51D89">
        <w:rPr>
          <w:lang w:val="fr-FR"/>
        </w:rPr>
        <w:t>approches les plus</w:t>
      </w:r>
      <w:r w:rsidR="00A840D0" w:rsidRPr="00E17939">
        <w:rPr>
          <w:lang w:val="fr-FR"/>
        </w:rPr>
        <w:t xml:space="preserve"> pertinentes pour l</w:t>
      </w:r>
      <w:r w:rsidR="00497F1A">
        <w:rPr>
          <w:lang w:val="fr-FR"/>
        </w:rPr>
        <w:t>’</w:t>
      </w:r>
      <w:r w:rsidR="00A840D0" w:rsidRPr="00E17939">
        <w:rPr>
          <w:lang w:val="fr-FR"/>
        </w:rPr>
        <w:t>UPOV, celles</w:t>
      </w:r>
      <w:r w:rsidR="008352C1">
        <w:rPr>
          <w:lang w:val="fr-FR"/>
        </w:rPr>
        <w:noBreakHyphen/>
      </w:r>
      <w:r w:rsidR="00A840D0" w:rsidRPr="00E17939">
        <w:rPr>
          <w:lang w:val="fr-FR"/>
        </w:rPr>
        <w:t>ci sont énumérées ci</w:t>
      </w:r>
      <w:r w:rsidR="008352C1">
        <w:rPr>
          <w:lang w:val="fr-FR"/>
        </w:rPr>
        <w:noBreakHyphen/>
      </w:r>
      <w:r w:rsidR="00A840D0" w:rsidRPr="00E17939">
        <w:rPr>
          <w:lang w:val="fr-FR"/>
        </w:rPr>
        <w:t>après</w:t>
      </w:r>
      <w:r w:rsidR="003A30C6" w:rsidRPr="00E17939">
        <w:rPr>
          <w:lang w:val="fr-FR"/>
        </w:rPr>
        <w:t xml:space="preserve">. </w:t>
      </w:r>
      <w:r w:rsidR="00A840D0" w:rsidRPr="00E17939">
        <w:rPr>
          <w:lang w:val="fr-FR"/>
        </w:rPr>
        <w:t xml:space="preserve"> Les discussions au sein de l</w:t>
      </w:r>
      <w:r w:rsidR="00497F1A">
        <w:rPr>
          <w:lang w:val="fr-FR"/>
        </w:rPr>
        <w:t>’</w:t>
      </w:r>
      <w:r w:rsidR="00A840D0" w:rsidRPr="00E17939">
        <w:rPr>
          <w:lang w:val="fr-FR"/>
        </w:rPr>
        <w:t>UPOV visent deux</w:t>
      </w:r>
      <w:r w:rsidR="009F4C6C">
        <w:rPr>
          <w:lang w:val="fr-FR"/>
        </w:rPr>
        <w:t> </w:t>
      </w:r>
      <w:r w:rsidR="00A840D0" w:rsidRPr="00E17939">
        <w:rPr>
          <w:lang w:val="fr-FR"/>
        </w:rPr>
        <w:t xml:space="preserve">objectifs : le premier est de dresser une liste exhaustive des </w:t>
      </w:r>
      <w:r w:rsidR="000A3580">
        <w:rPr>
          <w:lang w:val="fr-FR"/>
        </w:rPr>
        <w:t>approches</w:t>
      </w:r>
      <w:r w:rsidR="00A840D0" w:rsidRPr="00E17939">
        <w:rPr>
          <w:lang w:val="fr-FR"/>
        </w:rPr>
        <w:t xml:space="preserve"> possibles et le second de s</w:t>
      </w:r>
      <w:r w:rsidR="00497F1A">
        <w:rPr>
          <w:lang w:val="fr-FR"/>
        </w:rPr>
        <w:t>’</w:t>
      </w:r>
      <w:r w:rsidR="00A840D0" w:rsidRPr="00E17939">
        <w:rPr>
          <w:lang w:val="fr-FR"/>
        </w:rPr>
        <w:t xml:space="preserve">assurer de la pertinence de chacune de ces </w:t>
      </w:r>
      <w:r w:rsidR="000A3580">
        <w:rPr>
          <w:lang w:val="fr-FR"/>
        </w:rPr>
        <w:t>approches</w:t>
      </w:r>
      <w:r w:rsidR="003A30C6" w:rsidRPr="00E17939">
        <w:rPr>
          <w:lang w:val="fr-FR"/>
        </w:rPr>
        <w:t xml:space="preserve">. </w:t>
      </w:r>
      <w:r w:rsidR="00A840D0" w:rsidRPr="00E17939">
        <w:rPr>
          <w:lang w:val="fr-FR"/>
        </w:rPr>
        <w:t xml:space="preserve"> En outre, les </w:t>
      </w:r>
      <w:r w:rsidR="000A3580">
        <w:rPr>
          <w:lang w:val="fr-FR"/>
        </w:rPr>
        <w:t>approches</w:t>
      </w:r>
      <w:r w:rsidR="00A840D0" w:rsidRPr="00E17939">
        <w:rPr>
          <w:lang w:val="fr-FR"/>
        </w:rPr>
        <w:t xml:space="preserve"> jugées pertinentes devront par la suite être étoffées</w:t>
      </w:r>
      <w:r w:rsidR="003A30C6" w:rsidRPr="00E17939">
        <w:rPr>
          <w:lang w:val="fr-FR"/>
        </w:rPr>
        <w:t>.</w:t>
      </w:r>
    </w:p>
    <w:p w:rsidR="003A30C6" w:rsidRPr="00E17939" w:rsidRDefault="003A30C6" w:rsidP="003A30C6">
      <w:pPr>
        <w:rPr>
          <w:lang w:val="fr-FR" w:eastAsia="ja-JP"/>
        </w:rPr>
      </w:pPr>
    </w:p>
    <w:p w:rsidR="003A30C6" w:rsidRPr="00E17939" w:rsidRDefault="003A30C6" w:rsidP="003A30C6">
      <w:pPr>
        <w:rPr>
          <w:lang w:val="fr-FR" w:eastAsia="ja-JP"/>
        </w:rPr>
      </w:pPr>
      <w:r w:rsidRPr="00E17939">
        <w:rPr>
          <w:lang w:val="fr-FR" w:eastAsia="ja-JP"/>
        </w:rPr>
        <w:t>3.</w:t>
      </w:r>
      <w:r w:rsidRPr="00E17939">
        <w:rPr>
          <w:lang w:val="fr-FR" w:eastAsia="ja-JP"/>
        </w:rPr>
        <w:tab/>
      </w:r>
      <w:r w:rsidR="00A60BF5" w:rsidRPr="00E17939">
        <w:rPr>
          <w:lang w:val="fr-FR" w:eastAsia="ja-JP"/>
        </w:rPr>
        <w:t xml:space="preserve">Les </w:t>
      </w:r>
      <w:r w:rsidR="000A3580">
        <w:rPr>
          <w:lang w:val="fr-FR" w:eastAsia="ja-JP"/>
        </w:rPr>
        <w:t>approches</w:t>
      </w:r>
      <w:r w:rsidR="00A60BF5" w:rsidRPr="00E17939">
        <w:rPr>
          <w:lang w:val="fr-FR" w:eastAsia="ja-JP"/>
        </w:rPr>
        <w:t xml:space="preserve"> possibles sont énumérées ci</w:t>
      </w:r>
      <w:r w:rsidR="008352C1">
        <w:rPr>
          <w:lang w:val="fr-FR" w:eastAsia="ja-JP"/>
        </w:rPr>
        <w:noBreakHyphen/>
      </w:r>
      <w:r w:rsidR="00A60BF5" w:rsidRPr="00E17939">
        <w:rPr>
          <w:lang w:val="fr-FR" w:eastAsia="ja-JP"/>
        </w:rPr>
        <w:t>après :</w:t>
      </w:r>
    </w:p>
    <w:p w:rsidR="003A30C6" w:rsidRPr="00E17939" w:rsidRDefault="003A30C6" w:rsidP="003A30C6">
      <w:pPr>
        <w:rPr>
          <w:lang w:val="fr-FR" w:eastAsia="ja-JP"/>
        </w:rPr>
      </w:pPr>
    </w:p>
    <w:p w:rsidR="003A30C6" w:rsidRPr="00E17939" w:rsidRDefault="00A60BF5" w:rsidP="00A60BF5">
      <w:pPr>
        <w:pStyle w:val="ListParagraph"/>
        <w:numPr>
          <w:ilvl w:val="0"/>
          <w:numId w:val="8"/>
        </w:numPr>
        <w:spacing w:after="160" w:line="259" w:lineRule="auto"/>
        <w:ind w:left="1134" w:hanging="567"/>
        <w:jc w:val="left"/>
        <w:rPr>
          <w:lang w:val="fr-FR"/>
        </w:rPr>
      </w:pPr>
      <w:r w:rsidRPr="00E17939">
        <w:rPr>
          <w:lang w:val="fr-FR"/>
        </w:rPr>
        <w:t>Contrôle</w:t>
      </w:r>
      <w:r w:rsidR="00E961E6" w:rsidRPr="00E17939">
        <w:rPr>
          <w:lang w:val="fr-FR"/>
        </w:rPr>
        <w:t xml:space="preserve"> du</w:t>
      </w:r>
      <w:r w:rsidRPr="00E17939">
        <w:rPr>
          <w:lang w:val="fr-FR"/>
        </w:rPr>
        <w:t xml:space="preserve"> caractère avant qu</w:t>
      </w:r>
      <w:r w:rsidR="00497F1A">
        <w:rPr>
          <w:lang w:val="fr-FR"/>
        </w:rPr>
        <w:t>’</w:t>
      </w:r>
      <w:r w:rsidRPr="00E17939">
        <w:rPr>
          <w:lang w:val="fr-FR"/>
        </w:rPr>
        <w:t xml:space="preserve">il soit accepté dans les principes directeurs </w:t>
      </w:r>
      <w:r w:rsidR="000A3580">
        <w:rPr>
          <w:lang w:val="fr-FR"/>
        </w:rPr>
        <w:t xml:space="preserve">d’examen </w:t>
      </w:r>
      <w:r w:rsidRPr="00E17939">
        <w:rPr>
          <w:lang w:val="fr-FR"/>
        </w:rPr>
        <w:t>correspondants</w:t>
      </w:r>
      <w:r w:rsidR="003A30C6" w:rsidRPr="00E17939">
        <w:rPr>
          <w:lang w:val="fr-FR"/>
        </w:rPr>
        <w:t>.</w:t>
      </w:r>
    </w:p>
    <w:p w:rsidR="003A30C6" w:rsidRPr="00E17939" w:rsidRDefault="003A30C6" w:rsidP="003A30C6">
      <w:pPr>
        <w:pStyle w:val="ListParagraph"/>
        <w:ind w:left="0" w:firstLine="1170"/>
        <w:rPr>
          <w:lang w:val="fr-FR"/>
        </w:rPr>
      </w:pPr>
    </w:p>
    <w:p w:rsidR="003A30C6" w:rsidRPr="00E17939" w:rsidRDefault="00A60BF5" w:rsidP="003A30C6">
      <w:pPr>
        <w:pStyle w:val="ListParagraph"/>
        <w:ind w:left="0" w:firstLine="1170"/>
        <w:rPr>
          <w:lang w:val="fr-FR"/>
        </w:rPr>
      </w:pPr>
      <w:r w:rsidRPr="00E17939">
        <w:rPr>
          <w:lang w:val="fr-FR"/>
        </w:rPr>
        <w:t xml:space="preserve">Avant </w:t>
      </w:r>
      <w:r w:rsidR="008B1AC1" w:rsidRPr="00E17939">
        <w:rPr>
          <w:lang w:val="fr-FR"/>
        </w:rPr>
        <w:t>d</w:t>
      </w:r>
      <w:r w:rsidR="00497F1A">
        <w:rPr>
          <w:lang w:val="fr-FR"/>
        </w:rPr>
        <w:t>’</w:t>
      </w:r>
      <w:r w:rsidR="008B1AC1" w:rsidRPr="00E17939">
        <w:rPr>
          <w:lang w:val="fr-FR"/>
        </w:rPr>
        <w:t xml:space="preserve">accepter </w:t>
      </w:r>
      <w:r w:rsidRPr="00E17939">
        <w:rPr>
          <w:lang w:val="fr-FR"/>
        </w:rPr>
        <w:t xml:space="preserve">un nouveau caractère </w:t>
      </w:r>
      <w:r w:rsidR="000A3580">
        <w:rPr>
          <w:lang w:val="fr-FR"/>
        </w:rPr>
        <w:t>en tant que</w:t>
      </w:r>
      <w:r w:rsidRPr="00E17939">
        <w:rPr>
          <w:lang w:val="fr-FR"/>
        </w:rPr>
        <w:t xml:space="preserve"> caractère examiné sur la base d</w:t>
      </w:r>
      <w:r w:rsidR="00497F1A">
        <w:rPr>
          <w:lang w:val="fr-FR"/>
        </w:rPr>
        <w:t>’</w:t>
      </w:r>
      <w:r w:rsidRPr="00E17939">
        <w:rPr>
          <w:lang w:val="fr-FR"/>
        </w:rPr>
        <w:t>un échantillon global dans des principes directeurs d</w:t>
      </w:r>
      <w:r w:rsidR="00497F1A">
        <w:rPr>
          <w:lang w:val="fr-FR"/>
        </w:rPr>
        <w:t>’</w:t>
      </w:r>
      <w:r w:rsidRPr="00E17939">
        <w:rPr>
          <w:lang w:val="fr-FR"/>
        </w:rPr>
        <w:t>examen de l</w:t>
      </w:r>
      <w:r w:rsidR="00497F1A">
        <w:rPr>
          <w:lang w:val="fr-FR"/>
        </w:rPr>
        <w:t>’</w:t>
      </w:r>
      <w:r w:rsidRPr="00E17939">
        <w:rPr>
          <w:lang w:val="fr-FR"/>
        </w:rPr>
        <w:t xml:space="preserve">UPOV, </w:t>
      </w:r>
      <w:r w:rsidR="008B1AC1" w:rsidRPr="00E17939">
        <w:rPr>
          <w:lang w:val="fr-FR"/>
        </w:rPr>
        <w:t>il faut en vérifier l</w:t>
      </w:r>
      <w:r w:rsidR="00497F1A">
        <w:rPr>
          <w:lang w:val="fr-FR"/>
        </w:rPr>
        <w:t>’</w:t>
      </w:r>
      <w:r w:rsidRPr="00E17939">
        <w:rPr>
          <w:lang w:val="fr-FR"/>
        </w:rPr>
        <w:t xml:space="preserve">homogénéité sur un nombre important de variétés selon une analyse plante par plante </w:t>
      </w:r>
      <w:r w:rsidR="008B1AC1" w:rsidRPr="00E17939">
        <w:rPr>
          <w:lang w:val="fr-FR"/>
        </w:rPr>
        <w:t xml:space="preserve">pour le nombre de plantes </w:t>
      </w:r>
      <w:r w:rsidR="000A3580" w:rsidRPr="00E17939">
        <w:rPr>
          <w:lang w:val="fr-FR"/>
        </w:rPr>
        <w:t xml:space="preserve">requis </w:t>
      </w:r>
      <w:r w:rsidR="008B1AC1" w:rsidRPr="00E17939">
        <w:rPr>
          <w:lang w:val="fr-FR"/>
        </w:rPr>
        <w:t xml:space="preserve">dans les principes directeurs </w:t>
      </w:r>
      <w:r w:rsidR="000A3580">
        <w:rPr>
          <w:lang w:val="fr-FR"/>
        </w:rPr>
        <w:t xml:space="preserve">d’examen </w:t>
      </w:r>
      <w:r w:rsidR="008B1AC1" w:rsidRPr="00E17939">
        <w:rPr>
          <w:lang w:val="fr-FR"/>
        </w:rPr>
        <w:t xml:space="preserve">correspondants.  On peut </w:t>
      </w:r>
      <w:r w:rsidR="000A3580">
        <w:rPr>
          <w:lang w:val="fr-FR"/>
        </w:rPr>
        <w:t>déterminer</w:t>
      </w:r>
      <w:r w:rsidR="008B1AC1" w:rsidRPr="00E17939">
        <w:rPr>
          <w:lang w:val="fr-FR"/>
        </w:rPr>
        <w:t xml:space="preserve"> que le caractère convient en tant que caractère UPOV </w:t>
      </w:r>
      <w:r w:rsidR="000A3580">
        <w:rPr>
          <w:lang w:val="fr-FR"/>
        </w:rPr>
        <w:t>si</w:t>
      </w:r>
      <w:r w:rsidR="008B1AC1" w:rsidRPr="00E17939">
        <w:rPr>
          <w:lang w:val="fr-FR"/>
        </w:rPr>
        <w:t xml:space="preserve"> l</w:t>
      </w:r>
      <w:r w:rsidR="00497F1A">
        <w:rPr>
          <w:lang w:val="fr-FR"/>
        </w:rPr>
        <w:t>’</w:t>
      </w:r>
      <w:r w:rsidR="008B1AC1" w:rsidRPr="00E17939">
        <w:rPr>
          <w:lang w:val="fr-FR"/>
        </w:rPr>
        <w:t>homogénéité peut être vérifiée</w:t>
      </w:r>
      <w:r w:rsidR="003A30C6" w:rsidRPr="00E17939">
        <w:rPr>
          <w:lang w:val="fr-FR"/>
        </w:rPr>
        <w:t>.</w:t>
      </w:r>
    </w:p>
    <w:p w:rsidR="003A30C6" w:rsidRPr="00E17939" w:rsidRDefault="003A30C6" w:rsidP="003A30C6">
      <w:pPr>
        <w:pStyle w:val="ListParagraph"/>
        <w:rPr>
          <w:lang w:val="fr-FR"/>
        </w:rPr>
      </w:pPr>
    </w:p>
    <w:p w:rsidR="003A30C6" w:rsidRPr="00E17939" w:rsidRDefault="008B1AC1" w:rsidP="003A30C6">
      <w:pPr>
        <w:pStyle w:val="ListParagraph"/>
        <w:numPr>
          <w:ilvl w:val="0"/>
          <w:numId w:val="8"/>
        </w:numPr>
        <w:spacing w:after="160" w:line="259" w:lineRule="auto"/>
        <w:ind w:left="1170" w:hanging="603"/>
        <w:jc w:val="left"/>
        <w:rPr>
          <w:lang w:val="fr-FR"/>
        </w:rPr>
      </w:pPr>
      <w:r w:rsidRPr="00E17939">
        <w:rPr>
          <w:lang w:val="fr-FR"/>
        </w:rPr>
        <w:t>Vérifier s</w:t>
      </w:r>
      <w:r w:rsidR="000A3580">
        <w:rPr>
          <w:lang w:val="fr-FR"/>
        </w:rPr>
        <w:t>i</w:t>
      </w:r>
      <w:r w:rsidRPr="00E17939">
        <w:rPr>
          <w:lang w:val="fr-FR"/>
        </w:rPr>
        <w:t xml:space="preserve"> l</w:t>
      </w:r>
      <w:r w:rsidR="00497F1A">
        <w:rPr>
          <w:lang w:val="fr-FR"/>
        </w:rPr>
        <w:t>’</w:t>
      </w:r>
      <w:r w:rsidRPr="00E17939">
        <w:rPr>
          <w:lang w:val="fr-FR"/>
        </w:rPr>
        <w:t>homogénéité</w:t>
      </w:r>
      <w:r w:rsidR="000A3580">
        <w:rPr>
          <w:lang w:val="fr-FR"/>
        </w:rPr>
        <w:t xml:space="preserve"> doit être évaluée</w:t>
      </w:r>
      <w:r w:rsidRPr="00E17939">
        <w:rPr>
          <w:lang w:val="fr-FR"/>
        </w:rPr>
        <w:t xml:space="preserve"> </w:t>
      </w:r>
      <w:r w:rsidR="00E961E6" w:rsidRPr="00E17939">
        <w:rPr>
          <w:lang w:val="fr-FR"/>
        </w:rPr>
        <w:t>selon le</w:t>
      </w:r>
      <w:r w:rsidRPr="00E17939">
        <w:rPr>
          <w:lang w:val="fr-FR"/>
        </w:rPr>
        <w:t xml:space="preserve"> type de caractère et </w:t>
      </w:r>
      <w:r w:rsidR="00E961E6" w:rsidRPr="00E17939">
        <w:rPr>
          <w:lang w:val="fr-FR"/>
        </w:rPr>
        <w:t>le type de</w:t>
      </w:r>
      <w:r w:rsidRPr="00E17939">
        <w:rPr>
          <w:lang w:val="fr-FR"/>
        </w:rPr>
        <w:t xml:space="preserve"> plante</w:t>
      </w:r>
      <w:r w:rsidR="003A30C6" w:rsidRPr="00E17939">
        <w:rPr>
          <w:lang w:val="fr-FR"/>
        </w:rPr>
        <w:t>.</w:t>
      </w:r>
    </w:p>
    <w:p w:rsidR="003A30C6" w:rsidRPr="00E17939" w:rsidRDefault="003A30C6" w:rsidP="003A30C6">
      <w:pPr>
        <w:pStyle w:val="ListParagraph"/>
        <w:ind w:left="0" w:firstLine="1170"/>
        <w:rPr>
          <w:lang w:val="fr-FR"/>
        </w:rPr>
      </w:pPr>
    </w:p>
    <w:p w:rsidR="003A30C6" w:rsidRPr="00E17939" w:rsidRDefault="00E961E6" w:rsidP="003A30C6">
      <w:pPr>
        <w:pStyle w:val="ListParagraph"/>
        <w:ind w:left="0" w:firstLine="1170"/>
        <w:rPr>
          <w:lang w:val="fr-FR"/>
        </w:rPr>
      </w:pPr>
      <w:r w:rsidRPr="00E17939">
        <w:rPr>
          <w:lang w:val="fr-FR"/>
        </w:rPr>
        <w:t>Le choix de procéder ou non à une évaluation de l</w:t>
      </w:r>
      <w:r w:rsidR="00497F1A">
        <w:rPr>
          <w:lang w:val="fr-FR"/>
        </w:rPr>
        <w:t>’</w:t>
      </w:r>
      <w:r w:rsidRPr="00E17939">
        <w:rPr>
          <w:lang w:val="fr-FR"/>
        </w:rPr>
        <w:t>homogénéité dépend dans une large mesure du type de caractère et du type de plante</w:t>
      </w:r>
      <w:r w:rsidR="003A30C6" w:rsidRPr="00E17939">
        <w:rPr>
          <w:lang w:val="fr-FR"/>
        </w:rPr>
        <w:t xml:space="preserve">. </w:t>
      </w:r>
      <w:r w:rsidRPr="00E17939">
        <w:rPr>
          <w:lang w:val="fr-FR"/>
        </w:rPr>
        <w:t xml:space="preserve"> Dans le cas d</w:t>
      </w:r>
      <w:r w:rsidR="00497F1A">
        <w:rPr>
          <w:lang w:val="fr-FR"/>
        </w:rPr>
        <w:t>’</w:t>
      </w:r>
      <w:r w:rsidRPr="00E17939">
        <w:rPr>
          <w:lang w:val="fr-FR"/>
        </w:rPr>
        <w:t>une variété multipliée par voie végétative, on peut s</w:t>
      </w:r>
      <w:r w:rsidR="00497F1A">
        <w:rPr>
          <w:lang w:val="fr-FR"/>
        </w:rPr>
        <w:t>’</w:t>
      </w:r>
      <w:r w:rsidRPr="00E17939">
        <w:rPr>
          <w:lang w:val="fr-FR"/>
        </w:rPr>
        <w:t>appuyer sur d</w:t>
      </w:r>
      <w:r w:rsidR="00497F1A">
        <w:rPr>
          <w:lang w:val="fr-FR"/>
        </w:rPr>
        <w:t>’</w:t>
      </w:r>
      <w:r w:rsidRPr="00E17939">
        <w:rPr>
          <w:lang w:val="fr-FR"/>
        </w:rPr>
        <w:t>autres caractères pour l</w:t>
      </w:r>
      <w:r w:rsidR="00497F1A">
        <w:rPr>
          <w:lang w:val="fr-FR"/>
        </w:rPr>
        <w:t>’</w:t>
      </w:r>
      <w:r w:rsidRPr="00E17939">
        <w:rPr>
          <w:lang w:val="fr-FR"/>
        </w:rPr>
        <w:t>examen de l</w:t>
      </w:r>
      <w:r w:rsidR="00497F1A">
        <w:rPr>
          <w:lang w:val="fr-FR"/>
        </w:rPr>
        <w:t>’</w:t>
      </w:r>
      <w:r w:rsidRPr="00E17939">
        <w:rPr>
          <w:lang w:val="fr-FR"/>
        </w:rPr>
        <w:t>homogénéité sur la base de l</w:t>
      </w:r>
      <w:r w:rsidR="00497F1A">
        <w:rPr>
          <w:lang w:val="fr-FR"/>
        </w:rPr>
        <w:t>’</w:t>
      </w:r>
      <w:r w:rsidRPr="00E17939">
        <w:rPr>
          <w:lang w:val="fr-FR"/>
        </w:rPr>
        <w:t>homogénéité génétique de la variété compte</w:t>
      </w:r>
      <w:r w:rsidR="000A3580">
        <w:rPr>
          <w:lang w:val="fr-FR"/>
        </w:rPr>
        <w:t xml:space="preserve"> tenu</w:t>
      </w:r>
      <w:r w:rsidRPr="00E17939">
        <w:rPr>
          <w:lang w:val="fr-FR"/>
        </w:rPr>
        <w:t xml:space="preserve"> du type de reproduction ou de multiplication</w:t>
      </w:r>
      <w:r w:rsidR="003A30C6" w:rsidRPr="00E17939">
        <w:rPr>
          <w:lang w:val="fr-FR"/>
        </w:rPr>
        <w:t xml:space="preserve">.  </w:t>
      </w:r>
      <w:r w:rsidR="00FF3872" w:rsidRPr="00E17939">
        <w:rPr>
          <w:lang w:val="fr-FR"/>
        </w:rPr>
        <w:t>S</w:t>
      </w:r>
      <w:r w:rsidR="00497F1A">
        <w:rPr>
          <w:lang w:val="fr-FR"/>
        </w:rPr>
        <w:t>’</w:t>
      </w:r>
      <w:r w:rsidR="00FF3872" w:rsidRPr="00E17939">
        <w:rPr>
          <w:lang w:val="fr-FR"/>
        </w:rPr>
        <w:t xml:space="preserve">il existe </w:t>
      </w:r>
      <w:r w:rsidRPr="00E17939">
        <w:rPr>
          <w:lang w:val="fr-FR"/>
        </w:rPr>
        <w:t xml:space="preserve">un ou plusieurs caractères </w:t>
      </w:r>
      <w:r w:rsidR="00FF3872" w:rsidRPr="00E17939">
        <w:rPr>
          <w:lang w:val="fr-FR"/>
        </w:rPr>
        <w:t>présentant un lien avec</w:t>
      </w:r>
      <w:r w:rsidRPr="00E17939">
        <w:rPr>
          <w:lang w:val="fr-FR"/>
        </w:rPr>
        <w:t xml:space="preserve"> </w:t>
      </w:r>
      <w:r w:rsidR="00FF3872" w:rsidRPr="00E17939">
        <w:rPr>
          <w:lang w:val="fr-FR"/>
        </w:rPr>
        <w:t xml:space="preserve">le </w:t>
      </w:r>
      <w:r w:rsidRPr="00E17939">
        <w:rPr>
          <w:lang w:val="fr-FR"/>
        </w:rPr>
        <w:t>caractère examiné sur la base d</w:t>
      </w:r>
      <w:r w:rsidR="00497F1A">
        <w:rPr>
          <w:lang w:val="fr-FR"/>
        </w:rPr>
        <w:t>’</w:t>
      </w:r>
      <w:r w:rsidRPr="00E17939">
        <w:rPr>
          <w:lang w:val="fr-FR"/>
        </w:rPr>
        <w:t>un échantillon global</w:t>
      </w:r>
      <w:r w:rsidR="003A30C6" w:rsidRPr="00E17939">
        <w:rPr>
          <w:lang w:val="fr-FR"/>
        </w:rPr>
        <w:t xml:space="preserve">, </w:t>
      </w:r>
      <w:r w:rsidR="00FF3872" w:rsidRPr="00E17939">
        <w:rPr>
          <w:lang w:val="fr-FR"/>
        </w:rPr>
        <w:t>on peut s</w:t>
      </w:r>
      <w:r w:rsidR="00497F1A">
        <w:rPr>
          <w:lang w:val="fr-FR"/>
        </w:rPr>
        <w:t>’</w:t>
      </w:r>
      <w:r w:rsidR="00FF3872" w:rsidRPr="00E17939">
        <w:rPr>
          <w:lang w:val="fr-FR"/>
        </w:rPr>
        <w:t>appuyer sur l</w:t>
      </w:r>
      <w:r w:rsidR="00497F1A">
        <w:rPr>
          <w:lang w:val="fr-FR"/>
        </w:rPr>
        <w:t>’</w:t>
      </w:r>
      <w:r w:rsidR="00FF3872" w:rsidRPr="00E17939">
        <w:rPr>
          <w:lang w:val="fr-FR"/>
        </w:rPr>
        <w:t xml:space="preserve">homogénéité de ces autres caractères.  Dans </w:t>
      </w:r>
      <w:r w:rsidR="004F4B88">
        <w:rPr>
          <w:lang w:val="fr-FR"/>
        </w:rPr>
        <w:t>le cas du haricot, il existe 11 </w:t>
      </w:r>
      <w:r w:rsidR="00FF3872" w:rsidRPr="00E17939">
        <w:rPr>
          <w:lang w:val="fr-FR"/>
        </w:rPr>
        <w:t xml:space="preserve">caractères relatifs au grain.  </w:t>
      </w:r>
      <w:r w:rsidR="00AC70C9">
        <w:rPr>
          <w:lang w:val="fr-FR"/>
        </w:rPr>
        <w:t xml:space="preserve">Pour </w:t>
      </w:r>
      <w:r w:rsidR="00FF3872" w:rsidRPr="00E17939">
        <w:rPr>
          <w:lang w:val="fr-FR"/>
        </w:rPr>
        <w:t xml:space="preserve">le haricot, </w:t>
      </w:r>
      <w:r w:rsidR="00874568" w:rsidRPr="00E17939">
        <w:rPr>
          <w:lang w:val="fr-FR"/>
        </w:rPr>
        <w:t xml:space="preserve">le </w:t>
      </w:r>
      <w:r w:rsidR="00FF3872" w:rsidRPr="00E17939">
        <w:rPr>
          <w:lang w:val="fr-FR"/>
        </w:rPr>
        <w:t xml:space="preserve">poids </w:t>
      </w:r>
      <w:r w:rsidR="00DD3182" w:rsidRPr="00E17939">
        <w:rPr>
          <w:lang w:val="fr-FR"/>
        </w:rPr>
        <w:t>pour</w:t>
      </w:r>
      <w:r w:rsidR="004F4B88">
        <w:rPr>
          <w:lang w:val="fr-FR"/>
        </w:rPr>
        <w:t xml:space="preserve"> </w:t>
      </w:r>
      <w:r w:rsidR="00FF3872" w:rsidRPr="00E17939">
        <w:rPr>
          <w:lang w:val="fr-FR"/>
        </w:rPr>
        <w:t>1000</w:t>
      </w:r>
      <w:r w:rsidR="004F4B88">
        <w:rPr>
          <w:lang w:val="fr-FR"/>
        </w:rPr>
        <w:t> </w:t>
      </w:r>
      <w:r w:rsidR="00FF3872" w:rsidRPr="00E17939">
        <w:rPr>
          <w:lang w:val="fr-FR"/>
        </w:rPr>
        <w:t xml:space="preserve">grains </w:t>
      </w:r>
      <w:r w:rsidR="00874568" w:rsidRPr="00E17939">
        <w:rPr>
          <w:lang w:val="fr-FR"/>
        </w:rPr>
        <w:t>est un caractère examiné sur la base d</w:t>
      </w:r>
      <w:r w:rsidR="00497F1A">
        <w:rPr>
          <w:lang w:val="fr-FR"/>
        </w:rPr>
        <w:t>’</w:t>
      </w:r>
      <w:r w:rsidR="00874568" w:rsidRPr="00E17939">
        <w:rPr>
          <w:lang w:val="fr-FR"/>
        </w:rPr>
        <w:t>un échantillon global</w:t>
      </w:r>
      <w:r w:rsidR="003A30C6" w:rsidRPr="00E17939">
        <w:rPr>
          <w:lang w:val="fr-FR"/>
        </w:rPr>
        <w:t xml:space="preserve">. </w:t>
      </w:r>
      <w:r w:rsidR="004F4B88">
        <w:rPr>
          <w:lang w:val="fr-FR"/>
        </w:rPr>
        <w:t xml:space="preserve"> Il </w:t>
      </w:r>
      <w:r w:rsidR="00874568" w:rsidRPr="00E17939">
        <w:rPr>
          <w:lang w:val="fr-FR"/>
        </w:rPr>
        <w:t xml:space="preserve">existe 10 autres caractères </w:t>
      </w:r>
      <w:r w:rsidR="00EB346F" w:rsidRPr="00E17939">
        <w:rPr>
          <w:lang w:val="fr-FR"/>
        </w:rPr>
        <w:t>relatifs au</w:t>
      </w:r>
      <w:r w:rsidR="00874568" w:rsidRPr="00E17939">
        <w:rPr>
          <w:lang w:val="fr-FR"/>
        </w:rPr>
        <w:t xml:space="preserve"> grain dont on vérifie l</w:t>
      </w:r>
      <w:r w:rsidR="00497F1A">
        <w:rPr>
          <w:lang w:val="fr-FR"/>
        </w:rPr>
        <w:t>’</w:t>
      </w:r>
      <w:r w:rsidR="00874568" w:rsidRPr="00E17939">
        <w:rPr>
          <w:lang w:val="fr-FR"/>
        </w:rPr>
        <w:t>homogénéité</w:t>
      </w:r>
      <w:r w:rsidR="003A30C6" w:rsidRPr="00E17939">
        <w:rPr>
          <w:lang w:val="fr-FR"/>
        </w:rPr>
        <w:t>.</w:t>
      </w:r>
    </w:p>
    <w:p w:rsidR="003A30C6" w:rsidRPr="00E17939" w:rsidRDefault="003A30C6" w:rsidP="003A30C6">
      <w:pPr>
        <w:pStyle w:val="ListParagraph"/>
        <w:rPr>
          <w:lang w:val="fr-FR"/>
        </w:rPr>
      </w:pPr>
    </w:p>
    <w:p w:rsidR="003A30C6" w:rsidRPr="00E17939" w:rsidRDefault="00874568" w:rsidP="003A30C6">
      <w:pPr>
        <w:pStyle w:val="ListParagraph"/>
        <w:numPr>
          <w:ilvl w:val="0"/>
          <w:numId w:val="8"/>
        </w:numPr>
        <w:spacing w:after="160" w:line="259" w:lineRule="auto"/>
        <w:ind w:left="1170" w:hanging="603"/>
        <w:jc w:val="left"/>
        <w:rPr>
          <w:lang w:val="fr-FR"/>
        </w:rPr>
      </w:pPr>
      <w:r w:rsidRPr="00E17939">
        <w:rPr>
          <w:lang w:val="fr-FR"/>
        </w:rPr>
        <w:t>Vérification aléatoire</w:t>
      </w:r>
      <w:r w:rsidR="003A30C6" w:rsidRPr="00E17939">
        <w:rPr>
          <w:lang w:val="fr-FR"/>
        </w:rPr>
        <w:t>.</w:t>
      </w:r>
    </w:p>
    <w:p w:rsidR="003A30C6" w:rsidRPr="00E17939" w:rsidRDefault="003A30C6" w:rsidP="003A30C6">
      <w:pPr>
        <w:pStyle w:val="ListParagraph"/>
        <w:ind w:left="0" w:firstLine="1170"/>
        <w:rPr>
          <w:lang w:val="fr-FR"/>
        </w:rPr>
      </w:pPr>
    </w:p>
    <w:p w:rsidR="00497F1A" w:rsidRDefault="00874568" w:rsidP="003A30C6">
      <w:pPr>
        <w:pStyle w:val="ListParagraph"/>
        <w:ind w:left="0" w:firstLine="1170"/>
        <w:rPr>
          <w:lang w:val="fr-FR"/>
        </w:rPr>
      </w:pPr>
      <w:r w:rsidRPr="00E17939">
        <w:rPr>
          <w:lang w:val="fr-FR"/>
        </w:rPr>
        <w:t>Vérification aléatoire d</w:t>
      </w:r>
      <w:r w:rsidR="00497F1A">
        <w:rPr>
          <w:lang w:val="fr-FR"/>
        </w:rPr>
        <w:t>’</w:t>
      </w:r>
      <w:r w:rsidRPr="00E17939">
        <w:rPr>
          <w:lang w:val="fr-FR"/>
        </w:rPr>
        <w:t>un caractère utilisé en tant que caractère examiné sur la base d</w:t>
      </w:r>
      <w:r w:rsidR="00497F1A">
        <w:rPr>
          <w:lang w:val="fr-FR"/>
        </w:rPr>
        <w:t>’</w:t>
      </w:r>
      <w:r w:rsidRPr="00E17939">
        <w:rPr>
          <w:lang w:val="fr-FR"/>
        </w:rPr>
        <w:t>un échantillon global</w:t>
      </w:r>
      <w:r w:rsidR="003A30C6" w:rsidRPr="00E17939">
        <w:rPr>
          <w:lang w:val="fr-FR"/>
        </w:rPr>
        <w:t xml:space="preserve">. </w:t>
      </w:r>
      <w:r w:rsidRPr="00E17939">
        <w:rPr>
          <w:lang w:val="fr-FR"/>
        </w:rPr>
        <w:t xml:space="preserve"> Dans le cas de la chicorée industrielle, la teneur en sucre est un caractère examiné sur la base d</w:t>
      </w:r>
      <w:r w:rsidR="00497F1A">
        <w:rPr>
          <w:lang w:val="fr-FR"/>
        </w:rPr>
        <w:t>’</w:t>
      </w:r>
      <w:r w:rsidRPr="00E17939">
        <w:rPr>
          <w:lang w:val="fr-FR"/>
        </w:rPr>
        <w:t>un échantillon global</w:t>
      </w:r>
      <w:r w:rsidR="000A3580">
        <w:rPr>
          <w:lang w:val="fr-FR"/>
        </w:rPr>
        <w:t>,</w:t>
      </w:r>
      <w:r w:rsidRPr="00E17939">
        <w:rPr>
          <w:lang w:val="fr-FR"/>
        </w:rPr>
        <w:t xml:space="preserve"> pour des questions de coût.</w:t>
      </w:r>
      <w:r w:rsidR="003A30C6" w:rsidRPr="00E17939">
        <w:rPr>
          <w:lang w:val="fr-FR"/>
        </w:rPr>
        <w:t xml:space="preserve"> </w:t>
      </w:r>
      <w:r w:rsidRPr="00E17939">
        <w:rPr>
          <w:lang w:val="fr-FR"/>
        </w:rPr>
        <w:t xml:space="preserve"> On peut </w:t>
      </w:r>
      <w:r w:rsidR="009F3608" w:rsidRPr="00E17939">
        <w:rPr>
          <w:lang w:val="fr-FR"/>
        </w:rPr>
        <w:t>examiner des variétés de façon aléatoire, plante par plante,</w:t>
      </w:r>
      <w:r w:rsidRPr="00E17939">
        <w:rPr>
          <w:lang w:val="fr-FR"/>
        </w:rPr>
        <w:t xml:space="preserve"> </w:t>
      </w:r>
      <w:r w:rsidR="009F3608" w:rsidRPr="00E17939">
        <w:rPr>
          <w:lang w:val="fr-FR"/>
        </w:rPr>
        <w:t>pour établir l</w:t>
      </w:r>
      <w:r w:rsidR="00497F1A">
        <w:rPr>
          <w:lang w:val="fr-FR"/>
        </w:rPr>
        <w:t>’</w:t>
      </w:r>
      <w:r w:rsidR="009F3608" w:rsidRPr="00E17939">
        <w:rPr>
          <w:lang w:val="fr-FR"/>
        </w:rPr>
        <w:t>homogénéité</w:t>
      </w:r>
      <w:r w:rsidR="003A30C6" w:rsidRPr="00E17939">
        <w:rPr>
          <w:lang w:val="fr-FR"/>
        </w:rPr>
        <w:t>.</w:t>
      </w:r>
    </w:p>
    <w:p w:rsidR="003A30C6" w:rsidRPr="00E17939" w:rsidRDefault="003A30C6" w:rsidP="003A30C6">
      <w:pPr>
        <w:pStyle w:val="ListParagraph"/>
        <w:rPr>
          <w:lang w:val="fr-FR"/>
        </w:rPr>
      </w:pPr>
    </w:p>
    <w:p w:rsidR="003A30C6" w:rsidRPr="00E17939" w:rsidRDefault="009F3608" w:rsidP="003A30C6">
      <w:pPr>
        <w:pStyle w:val="ListParagraph"/>
        <w:numPr>
          <w:ilvl w:val="0"/>
          <w:numId w:val="8"/>
        </w:numPr>
        <w:spacing w:after="160" w:line="259" w:lineRule="auto"/>
        <w:ind w:left="1170" w:hanging="603"/>
        <w:jc w:val="left"/>
        <w:rPr>
          <w:lang w:val="fr-FR"/>
        </w:rPr>
      </w:pPr>
      <w:r w:rsidRPr="00E17939">
        <w:rPr>
          <w:lang w:val="fr-FR"/>
        </w:rPr>
        <w:t>Sous</w:t>
      </w:r>
      <w:r w:rsidR="008352C1">
        <w:rPr>
          <w:lang w:val="fr-FR"/>
        </w:rPr>
        <w:noBreakHyphen/>
      </w:r>
      <w:r w:rsidRPr="00E17939">
        <w:rPr>
          <w:lang w:val="fr-FR"/>
        </w:rPr>
        <w:t>parcelles</w:t>
      </w:r>
      <w:r w:rsidR="003A30C6" w:rsidRPr="00E17939">
        <w:rPr>
          <w:lang w:val="fr-FR"/>
        </w:rPr>
        <w:t>.</w:t>
      </w:r>
    </w:p>
    <w:p w:rsidR="003A30C6" w:rsidRPr="00E17939" w:rsidRDefault="003A30C6" w:rsidP="003A30C6">
      <w:pPr>
        <w:pStyle w:val="ListParagraph"/>
        <w:ind w:left="0" w:firstLine="1170"/>
        <w:rPr>
          <w:lang w:val="fr-FR"/>
        </w:rPr>
      </w:pPr>
    </w:p>
    <w:p w:rsidR="003A30C6" w:rsidRPr="00E17939" w:rsidRDefault="009F3608" w:rsidP="003A30C6">
      <w:pPr>
        <w:pStyle w:val="ListParagraph"/>
        <w:ind w:left="0" w:firstLine="1170"/>
        <w:rPr>
          <w:lang w:val="fr-FR"/>
        </w:rPr>
      </w:pPr>
      <w:r w:rsidRPr="00E17939">
        <w:rPr>
          <w:lang w:val="fr-FR"/>
        </w:rPr>
        <w:t>Utilisation de sous</w:t>
      </w:r>
      <w:r w:rsidR="008352C1">
        <w:rPr>
          <w:lang w:val="fr-FR"/>
        </w:rPr>
        <w:noBreakHyphen/>
      </w:r>
      <w:r w:rsidRPr="00E17939">
        <w:rPr>
          <w:lang w:val="fr-FR"/>
        </w:rPr>
        <w:t>parcelles pour obtenir une indication de l</w:t>
      </w:r>
      <w:r w:rsidR="00497F1A">
        <w:rPr>
          <w:lang w:val="fr-FR"/>
        </w:rPr>
        <w:t>’</w:t>
      </w:r>
      <w:r w:rsidRPr="00E17939">
        <w:rPr>
          <w:lang w:val="fr-FR"/>
        </w:rPr>
        <w:t>homogénéité du caractère</w:t>
      </w:r>
      <w:r w:rsidR="003A30C6" w:rsidRPr="00E17939">
        <w:rPr>
          <w:lang w:val="fr-FR"/>
        </w:rPr>
        <w:t xml:space="preserve">. </w:t>
      </w:r>
      <w:r w:rsidRPr="00E17939">
        <w:rPr>
          <w:lang w:val="fr-FR"/>
        </w:rPr>
        <w:t xml:space="preserve"> Une seule observation par parcelle, mais l</w:t>
      </w:r>
      <w:r w:rsidR="00497F1A">
        <w:rPr>
          <w:lang w:val="fr-FR"/>
        </w:rPr>
        <w:t>’</w:t>
      </w:r>
      <w:r w:rsidRPr="00E17939">
        <w:rPr>
          <w:lang w:val="fr-FR"/>
        </w:rPr>
        <w:t xml:space="preserve">essai compte </w:t>
      </w:r>
      <w:r w:rsidR="000A3580">
        <w:rPr>
          <w:lang w:val="fr-FR"/>
        </w:rPr>
        <w:t xml:space="preserve">un </w:t>
      </w:r>
      <w:r w:rsidR="007358A9">
        <w:rPr>
          <w:lang w:val="fr-FR"/>
        </w:rPr>
        <w:t xml:space="preserve">plus </w:t>
      </w:r>
      <w:r w:rsidR="000A3580">
        <w:rPr>
          <w:lang w:val="fr-FR"/>
        </w:rPr>
        <w:t>grand nombre</w:t>
      </w:r>
      <w:r w:rsidRPr="00E17939">
        <w:rPr>
          <w:lang w:val="fr-FR"/>
        </w:rPr>
        <w:t xml:space="preserve"> de sous</w:t>
      </w:r>
      <w:r w:rsidR="008352C1">
        <w:rPr>
          <w:lang w:val="fr-FR"/>
        </w:rPr>
        <w:noBreakHyphen/>
      </w:r>
      <w:r w:rsidRPr="00E17939">
        <w:rPr>
          <w:lang w:val="fr-FR"/>
        </w:rPr>
        <w:t>parcelles</w:t>
      </w:r>
      <w:r w:rsidR="003A30C6" w:rsidRPr="00E17939">
        <w:rPr>
          <w:lang w:val="fr-FR"/>
        </w:rPr>
        <w:t xml:space="preserve">. </w:t>
      </w:r>
      <w:r w:rsidRPr="00E17939">
        <w:rPr>
          <w:lang w:val="fr-FR"/>
        </w:rPr>
        <w:t xml:space="preserve"> On peut citer l</w:t>
      </w:r>
      <w:r w:rsidR="00497F1A">
        <w:rPr>
          <w:lang w:val="fr-FR"/>
        </w:rPr>
        <w:t>’</w:t>
      </w:r>
      <w:r w:rsidRPr="00E17939">
        <w:rPr>
          <w:lang w:val="fr-FR"/>
        </w:rPr>
        <w:t xml:space="preserve">exemple de la teneur en matière sèche </w:t>
      </w:r>
      <w:r w:rsidR="000A3580">
        <w:rPr>
          <w:lang w:val="fr-FR"/>
        </w:rPr>
        <w:t>pour</w:t>
      </w:r>
      <w:r w:rsidRPr="00E17939">
        <w:rPr>
          <w:lang w:val="fr-FR"/>
        </w:rPr>
        <w:t xml:space="preserve"> l</w:t>
      </w:r>
      <w:r w:rsidR="00497F1A">
        <w:rPr>
          <w:lang w:val="fr-FR"/>
        </w:rPr>
        <w:t>’</w:t>
      </w:r>
      <w:r w:rsidRPr="00E17939">
        <w:rPr>
          <w:lang w:val="fr-FR"/>
        </w:rPr>
        <w:t>oignon</w:t>
      </w:r>
      <w:r w:rsidR="003A30C6" w:rsidRPr="00E17939">
        <w:rPr>
          <w:lang w:val="fr-FR"/>
        </w:rPr>
        <w:t xml:space="preserve">. </w:t>
      </w:r>
      <w:r w:rsidRPr="00E17939">
        <w:rPr>
          <w:lang w:val="fr-FR"/>
        </w:rPr>
        <w:t xml:space="preserve"> On compte trois</w:t>
      </w:r>
      <w:r w:rsidR="009F4C6C">
        <w:rPr>
          <w:lang w:val="fr-FR"/>
        </w:rPr>
        <w:t> </w:t>
      </w:r>
      <w:r w:rsidRPr="00E17939">
        <w:rPr>
          <w:lang w:val="fr-FR"/>
        </w:rPr>
        <w:t>sous</w:t>
      </w:r>
      <w:r w:rsidR="008352C1">
        <w:rPr>
          <w:lang w:val="fr-FR"/>
        </w:rPr>
        <w:noBreakHyphen/>
      </w:r>
      <w:r w:rsidRPr="00E17939">
        <w:rPr>
          <w:lang w:val="fr-FR"/>
        </w:rPr>
        <w:t>échantillons dans l</w:t>
      </w:r>
      <w:r w:rsidR="00497F1A">
        <w:rPr>
          <w:lang w:val="fr-FR"/>
        </w:rPr>
        <w:t>’</w:t>
      </w:r>
      <w:r w:rsidRPr="00E17939">
        <w:rPr>
          <w:lang w:val="fr-FR"/>
        </w:rPr>
        <w:t>essai</w:t>
      </w:r>
      <w:r w:rsidR="003A30C6" w:rsidRPr="00E17939">
        <w:rPr>
          <w:lang w:val="fr-FR"/>
        </w:rPr>
        <w:t xml:space="preserve">. </w:t>
      </w:r>
      <w:r w:rsidRPr="00E17939">
        <w:rPr>
          <w:lang w:val="fr-FR"/>
        </w:rPr>
        <w:t xml:space="preserve"> On peut travailler avec </w:t>
      </w:r>
      <w:r w:rsidR="004F4B88">
        <w:rPr>
          <w:lang w:val="fr-FR"/>
        </w:rPr>
        <w:t>trois</w:t>
      </w:r>
      <w:r w:rsidRPr="00E17939">
        <w:rPr>
          <w:lang w:val="fr-FR"/>
        </w:rPr>
        <w:t xml:space="preserve"> sous</w:t>
      </w:r>
      <w:r w:rsidR="008352C1">
        <w:rPr>
          <w:lang w:val="fr-FR"/>
        </w:rPr>
        <w:noBreakHyphen/>
      </w:r>
      <w:r w:rsidRPr="00E17939">
        <w:rPr>
          <w:lang w:val="fr-FR"/>
        </w:rPr>
        <w:t>échantillons et obtenir une indication de l</w:t>
      </w:r>
      <w:r w:rsidR="00497F1A">
        <w:rPr>
          <w:lang w:val="fr-FR"/>
        </w:rPr>
        <w:t>’</w:t>
      </w:r>
      <w:r w:rsidRPr="00E17939">
        <w:rPr>
          <w:lang w:val="fr-FR"/>
        </w:rPr>
        <w:t xml:space="preserve">homogénéité </w:t>
      </w:r>
      <w:r w:rsidR="003A30C6" w:rsidRPr="00E17939">
        <w:rPr>
          <w:lang w:val="fr-FR"/>
        </w:rPr>
        <w:t>(</w:t>
      </w:r>
      <w:r w:rsidRPr="00E17939">
        <w:rPr>
          <w:lang w:val="fr-FR"/>
        </w:rPr>
        <w:t>voir :</w:t>
      </w:r>
      <w:r w:rsidR="003A30C6" w:rsidRPr="00E17939">
        <w:rPr>
          <w:lang w:val="fr-FR"/>
        </w:rPr>
        <w:t xml:space="preserve"> TGP/8.6).</w:t>
      </w:r>
    </w:p>
    <w:p w:rsidR="003A30C6" w:rsidRPr="00E17939" w:rsidRDefault="003A30C6" w:rsidP="003A30C6">
      <w:pPr>
        <w:pStyle w:val="ListParagraph"/>
        <w:rPr>
          <w:lang w:val="fr-FR"/>
        </w:rPr>
      </w:pPr>
    </w:p>
    <w:p w:rsidR="003A30C6" w:rsidRPr="00E17939" w:rsidRDefault="00DD3182" w:rsidP="003A30C6">
      <w:pPr>
        <w:pStyle w:val="ListParagraph"/>
        <w:numPr>
          <w:ilvl w:val="0"/>
          <w:numId w:val="8"/>
        </w:numPr>
        <w:spacing w:after="160" w:line="259" w:lineRule="auto"/>
        <w:ind w:left="1170" w:hanging="603"/>
        <w:jc w:val="left"/>
        <w:rPr>
          <w:lang w:val="fr-FR"/>
        </w:rPr>
      </w:pPr>
      <w:r w:rsidRPr="00E17939">
        <w:rPr>
          <w:lang w:val="fr-FR"/>
        </w:rPr>
        <w:t>Autre façon de vérifier l</w:t>
      </w:r>
      <w:r w:rsidR="00497F1A">
        <w:rPr>
          <w:lang w:val="fr-FR"/>
        </w:rPr>
        <w:t>’</w:t>
      </w:r>
      <w:r w:rsidRPr="00E17939">
        <w:rPr>
          <w:lang w:val="fr-FR"/>
        </w:rPr>
        <w:t>homogénéité : l</w:t>
      </w:r>
      <w:r w:rsidR="00497F1A">
        <w:rPr>
          <w:lang w:val="fr-FR"/>
        </w:rPr>
        <w:t>’</w:t>
      </w:r>
      <w:r w:rsidRPr="00E17939">
        <w:rPr>
          <w:lang w:val="fr-FR"/>
        </w:rPr>
        <w:t>analyse d</w:t>
      </w:r>
      <w:r w:rsidR="00497F1A">
        <w:rPr>
          <w:lang w:val="fr-FR"/>
        </w:rPr>
        <w:t>’</w:t>
      </w:r>
      <w:r w:rsidRPr="00E17939">
        <w:rPr>
          <w:lang w:val="fr-FR"/>
        </w:rPr>
        <w:t>images</w:t>
      </w:r>
      <w:r w:rsidR="003A30C6" w:rsidRPr="00E17939">
        <w:rPr>
          <w:lang w:val="fr-FR"/>
        </w:rPr>
        <w:t>.</w:t>
      </w:r>
    </w:p>
    <w:p w:rsidR="003A30C6" w:rsidRPr="00E17939" w:rsidRDefault="003A30C6" w:rsidP="003A30C6">
      <w:pPr>
        <w:pStyle w:val="ListParagraph"/>
        <w:ind w:left="0" w:firstLine="1170"/>
        <w:rPr>
          <w:lang w:val="fr-FR"/>
        </w:rPr>
      </w:pPr>
    </w:p>
    <w:p w:rsidR="003A30C6" w:rsidRPr="00E17939" w:rsidRDefault="00DD3182" w:rsidP="003A30C6">
      <w:pPr>
        <w:pStyle w:val="ListParagraph"/>
        <w:ind w:left="0" w:firstLine="1170"/>
        <w:rPr>
          <w:rFonts w:eastAsia="MS Mincho"/>
          <w:lang w:val="fr-FR" w:eastAsia="ja-JP"/>
        </w:rPr>
      </w:pPr>
      <w:r w:rsidRPr="00E17939">
        <w:rPr>
          <w:lang w:val="fr-FR"/>
        </w:rPr>
        <w:t>Utilisation de l</w:t>
      </w:r>
      <w:r w:rsidR="00497F1A">
        <w:rPr>
          <w:lang w:val="fr-FR"/>
        </w:rPr>
        <w:t>’</w:t>
      </w:r>
      <w:r w:rsidRPr="00E17939">
        <w:rPr>
          <w:lang w:val="fr-FR"/>
        </w:rPr>
        <w:t>analyse d</w:t>
      </w:r>
      <w:r w:rsidR="00497F1A">
        <w:rPr>
          <w:lang w:val="fr-FR"/>
        </w:rPr>
        <w:t>’</w:t>
      </w:r>
      <w:r w:rsidRPr="00E17939">
        <w:rPr>
          <w:lang w:val="fr-FR"/>
        </w:rPr>
        <w:t>images</w:t>
      </w:r>
      <w:r w:rsidR="003A30C6" w:rsidRPr="00E17939">
        <w:rPr>
          <w:lang w:val="fr-FR"/>
        </w:rPr>
        <w:t xml:space="preserve">. </w:t>
      </w:r>
      <w:r w:rsidRPr="00E17939">
        <w:rPr>
          <w:lang w:val="fr-FR"/>
        </w:rPr>
        <w:t xml:space="preserve"> Poids de</w:t>
      </w:r>
      <w:r w:rsidR="00376007">
        <w:rPr>
          <w:lang w:val="fr-FR"/>
        </w:rPr>
        <w:t xml:space="preserve"> </w:t>
      </w:r>
      <w:r w:rsidR="004F4B88">
        <w:rPr>
          <w:lang w:val="fr-FR"/>
        </w:rPr>
        <w:t>1000 </w:t>
      </w:r>
      <w:r w:rsidRPr="00E17939">
        <w:rPr>
          <w:lang w:val="fr-FR"/>
        </w:rPr>
        <w:t>grains dans le cas d</w:t>
      </w:r>
      <w:r w:rsidR="00EB346F" w:rsidRPr="00E17939">
        <w:rPr>
          <w:lang w:val="fr-FR"/>
        </w:rPr>
        <w:t>u</w:t>
      </w:r>
      <w:r w:rsidRPr="00E17939">
        <w:rPr>
          <w:lang w:val="fr-FR"/>
        </w:rPr>
        <w:t xml:space="preserve"> haricot</w:t>
      </w:r>
      <w:r w:rsidR="003A30C6" w:rsidRPr="00E17939">
        <w:rPr>
          <w:lang w:val="fr-FR"/>
        </w:rPr>
        <w:t xml:space="preserve">. </w:t>
      </w:r>
      <w:r w:rsidRPr="00E17939">
        <w:rPr>
          <w:lang w:val="fr-FR"/>
        </w:rPr>
        <w:t xml:space="preserve"> On peut utiliser l</w:t>
      </w:r>
      <w:r w:rsidR="00497F1A">
        <w:rPr>
          <w:lang w:val="fr-FR"/>
        </w:rPr>
        <w:t>’</w:t>
      </w:r>
      <w:r w:rsidRPr="00E17939">
        <w:rPr>
          <w:lang w:val="fr-FR"/>
        </w:rPr>
        <w:t>analyse d</w:t>
      </w:r>
      <w:r w:rsidR="00497F1A">
        <w:rPr>
          <w:lang w:val="fr-FR"/>
        </w:rPr>
        <w:t>’</w:t>
      </w:r>
      <w:r w:rsidRPr="00E17939">
        <w:rPr>
          <w:lang w:val="fr-FR"/>
        </w:rPr>
        <w:t>images pour vérifier l</w:t>
      </w:r>
      <w:r w:rsidR="00497F1A">
        <w:rPr>
          <w:lang w:val="fr-FR"/>
        </w:rPr>
        <w:t>’</w:t>
      </w:r>
      <w:r w:rsidRPr="00E17939">
        <w:rPr>
          <w:lang w:val="fr-FR"/>
        </w:rPr>
        <w:t>homogénéité de ce caractère</w:t>
      </w:r>
      <w:r w:rsidR="003A30C6" w:rsidRPr="00E17939">
        <w:rPr>
          <w:lang w:val="fr-FR"/>
        </w:rPr>
        <w:t xml:space="preserve">. </w:t>
      </w:r>
      <w:r w:rsidRPr="00E17939">
        <w:rPr>
          <w:lang w:val="fr-FR"/>
        </w:rPr>
        <w:t xml:space="preserve"> Dans une image, on peut observer ou calculer le nombre de grains</w:t>
      </w:r>
      <w:r w:rsidR="00EB346F" w:rsidRPr="00E17939">
        <w:rPr>
          <w:lang w:val="fr-FR"/>
        </w:rPr>
        <w:t xml:space="preserve"> avec un </w:t>
      </w:r>
      <w:r w:rsidR="000A3580">
        <w:rPr>
          <w:lang w:val="fr-FR"/>
        </w:rPr>
        <w:t xml:space="preserve">certain </w:t>
      </w:r>
      <w:r w:rsidR="00EB346F" w:rsidRPr="00E17939">
        <w:rPr>
          <w:lang w:val="fr-FR"/>
        </w:rPr>
        <w:t>degré d</w:t>
      </w:r>
      <w:r w:rsidR="00497F1A">
        <w:rPr>
          <w:lang w:val="fr-FR"/>
        </w:rPr>
        <w:t>’</w:t>
      </w:r>
      <w:r w:rsidR="00EB346F" w:rsidRPr="00E17939">
        <w:rPr>
          <w:lang w:val="fr-FR"/>
        </w:rPr>
        <w:t>incertitude</w:t>
      </w:r>
      <w:r w:rsidR="003A30C6" w:rsidRPr="00E17939">
        <w:rPr>
          <w:lang w:val="fr-FR"/>
        </w:rPr>
        <w:t xml:space="preserve">. </w:t>
      </w:r>
      <w:r w:rsidR="00EB346F" w:rsidRPr="00E17939">
        <w:rPr>
          <w:lang w:val="fr-FR"/>
        </w:rPr>
        <w:t xml:space="preserve"> Le même caractère peut ainsi être observé d</w:t>
      </w:r>
      <w:r w:rsidR="00497F1A">
        <w:rPr>
          <w:lang w:val="fr-FR"/>
        </w:rPr>
        <w:t>’</w:t>
      </w:r>
      <w:r w:rsidR="00EB346F" w:rsidRPr="00E17939">
        <w:rPr>
          <w:lang w:val="fr-FR"/>
        </w:rPr>
        <w:t>une autre façon</w:t>
      </w:r>
      <w:r w:rsidR="003A30C6" w:rsidRPr="00E17939">
        <w:rPr>
          <w:lang w:val="fr-FR"/>
        </w:rPr>
        <w:t>.</w:t>
      </w:r>
    </w:p>
    <w:p w:rsidR="003A30C6" w:rsidRPr="00E17939" w:rsidRDefault="003A30C6" w:rsidP="003A30C6">
      <w:pPr>
        <w:pStyle w:val="ListParagraph"/>
        <w:ind w:left="0" w:firstLine="1170"/>
        <w:rPr>
          <w:rFonts w:eastAsia="MS Mincho"/>
          <w:lang w:val="fr-FR" w:eastAsia="ja-JP"/>
        </w:rPr>
      </w:pPr>
    </w:p>
    <w:p w:rsidR="00497F1A" w:rsidRDefault="00EB346F" w:rsidP="003A30C6">
      <w:pPr>
        <w:pStyle w:val="ListParagraph"/>
        <w:ind w:left="0" w:firstLine="1170"/>
        <w:rPr>
          <w:lang w:val="fr-FR"/>
        </w:rPr>
      </w:pPr>
      <w:r w:rsidRPr="00E17939">
        <w:rPr>
          <w:lang w:val="fr-FR"/>
        </w:rPr>
        <w:t>L</w:t>
      </w:r>
      <w:r w:rsidR="00497F1A">
        <w:rPr>
          <w:lang w:val="fr-FR"/>
        </w:rPr>
        <w:t>’</w:t>
      </w:r>
      <w:r w:rsidRPr="00E17939">
        <w:rPr>
          <w:lang w:val="fr-FR"/>
        </w:rPr>
        <w:t>analyse d</w:t>
      </w:r>
      <w:r w:rsidR="00497F1A">
        <w:rPr>
          <w:lang w:val="fr-FR"/>
        </w:rPr>
        <w:t>’</w:t>
      </w:r>
      <w:r w:rsidRPr="00E17939">
        <w:rPr>
          <w:lang w:val="fr-FR"/>
        </w:rPr>
        <w:t>images peut également être utilisée pour vérifier l</w:t>
      </w:r>
      <w:r w:rsidR="00497F1A">
        <w:rPr>
          <w:lang w:val="fr-FR"/>
        </w:rPr>
        <w:t>’</w:t>
      </w:r>
      <w:r w:rsidRPr="00E17939">
        <w:rPr>
          <w:lang w:val="fr-FR"/>
        </w:rPr>
        <w:t xml:space="preserve">homogénéité </w:t>
      </w:r>
      <w:r w:rsidR="000A3580">
        <w:rPr>
          <w:lang w:val="fr-FR"/>
        </w:rPr>
        <w:t>en g</w:t>
      </w:r>
      <w:r w:rsidRPr="00E17939">
        <w:rPr>
          <w:lang w:val="fr-FR"/>
        </w:rPr>
        <w:t>énéral pour la variété dans son ensemble</w:t>
      </w:r>
      <w:r w:rsidR="003A30C6" w:rsidRPr="00E17939">
        <w:rPr>
          <w:lang w:val="fr-FR"/>
        </w:rPr>
        <w:t xml:space="preserve">. </w:t>
      </w:r>
      <w:r w:rsidRPr="00E17939">
        <w:rPr>
          <w:lang w:val="fr-FR"/>
        </w:rPr>
        <w:t xml:space="preserve"> La conclusion tirée de l</w:t>
      </w:r>
      <w:r w:rsidR="00497F1A">
        <w:rPr>
          <w:lang w:val="fr-FR"/>
        </w:rPr>
        <w:t>’</w:t>
      </w:r>
      <w:r w:rsidRPr="00E17939">
        <w:rPr>
          <w:lang w:val="fr-FR"/>
        </w:rPr>
        <w:t>analyse d</w:t>
      </w:r>
      <w:r w:rsidR="00497F1A">
        <w:rPr>
          <w:lang w:val="fr-FR"/>
        </w:rPr>
        <w:t>’</w:t>
      </w:r>
      <w:r w:rsidRPr="00E17939">
        <w:rPr>
          <w:lang w:val="fr-FR"/>
        </w:rPr>
        <w:t>images remplace alors la vérification de l</w:t>
      </w:r>
      <w:r w:rsidR="00497F1A">
        <w:rPr>
          <w:lang w:val="fr-FR"/>
        </w:rPr>
        <w:t>’</w:t>
      </w:r>
      <w:r w:rsidRPr="00E17939">
        <w:rPr>
          <w:lang w:val="fr-FR"/>
        </w:rPr>
        <w:t xml:space="preserve">homogénéité </w:t>
      </w:r>
      <w:r w:rsidR="000A3580">
        <w:rPr>
          <w:lang w:val="fr-FR"/>
        </w:rPr>
        <w:t xml:space="preserve">pour </w:t>
      </w:r>
      <w:r w:rsidRPr="00E17939">
        <w:rPr>
          <w:lang w:val="fr-FR"/>
        </w:rPr>
        <w:t>d</w:t>
      </w:r>
      <w:r w:rsidR="00497F1A">
        <w:rPr>
          <w:lang w:val="fr-FR"/>
        </w:rPr>
        <w:t>’</w:t>
      </w:r>
      <w:r w:rsidRPr="00E17939">
        <w:rPr>
          <w:lang w:val="fr-FR"/>
        </w:rPr>
        <w:t>autres caractères</w:t>
      </w:r>
      <w:r w:rsidR="003A30C6" w:rsidRPr="00E17939">
        <w:rPr>
          <w:lang w:val="fr-FR"/>
        </w:rPr>
        <w:t>.</w:t>
      </w:r>
    </w:p>
    <w:p w:rsidR="003A30C6" w:rsidRPr="008662B8" w:rsidRDefault="003A30C6" w:rsidP="003A30C6">
      <w:pPr>
        <w:pStyle w:val="ListParagraph"/>
        <w:rPr>
          <w:rFonts w:eastAsia="MS Mincho"/>
          <w:lang w:val="fr-FR" w:eastAsia="ja-JP"/>
        </w:rPr>
      </w:pPr>
    </w:p>
    <w:p w:rsidR="003A30C6" w:rsidRPr="008662B8" w:rsidRDefault="00E17939" w:rsidP="003A30C6">
      <w:pPr>
        <w:pStyle w:val="ListParagraph"/>
        <w:numPr>
          <w:ilvl w:val="0"/>
          <w:numId w:val="8"/>
        </w:numPr>
        <w:spacing w:after="160" w:line="259" w:lineRule="auto"/>
        <w:ind w:left="1170" w:hanging="603"/>
        <w:jc w:val="left"/>
        <w:rPr>
          <w:lang w:val="fr-FR"/>
        </w:rPr>
      </w:pPr>
      <w:r w:rsidRPr="008662B8">
        <w:rPr>
          <w:lang w:val="fr-FR"/>
        </w:rPr>
        <w:t>Seuls les caractères importants doivent faire l</w:t>
      </w:r>
      <w:r w:rsidR="00497F1A">
        <w:rPr>
          <w:lang w:val="fr-FR"/>
        </w:rPr>
        <w:t>’</w:t>
      </w:r>
      <w:r w:rsidRPr="008662B8">
        <w:rPr>
          <w:lang w:val="fr-FR"/>
        </w:rPr>
        <w:t>objet d</w:t>
      </w:r>
      <w:r w:rsidR="00497F1A">
        <w:rPr>
          <w:lang w:val="fr-FR"/>
        </w:rPr>
        <w:t>’</w:t>
      </w:r>
      <w:r w:rsidRPr="008662B8">
        <w:rPr>
          <w:lang w:val="fr-FR"/>
        </w:rPr>
        <w:t>une vérification de l</w:t>
      </w:r>
      <w:r w:rsidR="00497F1A">
        <w:rPr>
          <w:lang w:val="fr-FR"/>
        </w:rPr>
        <w:t>’</w:t>
      </w:r>
      <w:r w:rsidRPr="008662B8">
        <w:rPr>
          <w:lang w:val="fr-FR"/>
        </w:rPr>
        <w:t>homogénéité</w:t>
      </w:r>
      <w:r w:rsidR="003A30C6" w:rsidRPr="008662B8">
        <w:rPr>
          <w:lang w:val="fr-FR"/>
        </w:rPr>
        <w:t>.</w:t>
      </w:r>
    </w:p>
    <w:p w:rsidR="003A30C6" w:rsidRPr="008662B8" w:rsidRDefault="003A30C6" w:rsidP="003A30C6">
      <w:pPr>
        <w:pStyle w:val="ListParagraph"/>
        <w:ind w:left="0" w:firstLine="1170"/>
        <w:rPr>
          <w:lang w:val="fr-FR"/>
        </w:rPr>
      </w:pPr>
    </w:p>
    <w:p w:rsidR="003A30C6" w:rsidRPr="008662B8" w:rsidRDefault="000A3580" w:rsidP="003A30C6">
      <w:pPr>
        <w:pStyle w:val="ListParagraph"/>
        <w:ind w:left="0" w:firstLine="1170"/>
        <w:rPr>
          <w:lang w:val="fr-FR"/>
        </w:rPr>
      </w:pPr>
      <w:r>
        <w:rPr>
          <w:lang w:val="fr-FR"/>
        </w:rPr>
        <w:t>L</w:t>
      </w:r>
      <w:r w:rsidR="00E17939" w:rsidRPr="008662B8">
        <w:rPr>
          <w:lang w:val="fr-FR"/>
        </w:rPr>
        <w:t xml:space="preserve">iste succincte des caractères </w:t>
      </w:r>
      <w:r w:rsidR="008662B8" w:rsidRPr="008662B8">
        <w:rPr>
          <w:lang w:val="fr-FR"/>
        </w:rPr>
        <w:t>d</w:t>
      </w:r>
      <w:r w:rsidR="00497F1A">
        <w:rPr>
          <w:lang w:val="fr-FR"/>
        </w:rPr>
        <w:t>’</w:t>
      </w:r>
      <w:r w:rsidR="008662B8" w:rsidRPr="008662B8">
        <w:rPr>
          <w:lang w:val="fr-FR"/>
        </w:rPr>
        <w:t>une plante devant faire l</w:t>
      </w:r>
      <w:r w:rsidR="00497F1A">
        <w:rPr>
          <w:lang w:val="fr-FR"/>
        </w:rPr>
        <w:t>’</w:t>
      </w:r>
      <w:r w:rsidR="008662B8" w:rsidRPr="008662B8">
        <w:rPr>
          <w:lang w:val="fr-FR"/>
        </w:rPr>
        <w:t>objet d</w:t>
      </w:r>
      <w:r w:rsidR="00497F1A">
        <w:rPr>
          <w:lang w:val="fr-FR"/>
        </w:rPr>
        <w:t>’</w:t>
      </w:r>
      <w:r w:rsidR="008662B8" w:rsidRPr="008662B8">
        <w:rPr>
          <w:lang w:val="fr-FR"/>
        </w:rPr>
        <w:t>un examen de l</w:t>
      </w:r>
      <w:r w:rsidR="00497F1A">
        <w:rPr>
          <w:lang w:val="fr-FR"/>
        </w:rPr>
        <w:t>’</w:t>
      </w:r>
      <w:r w:rsidR="008662B8" w:rsidRPr="008662B8">
        <w:rPr>
          <w:lang w:val="fr-FR"/>
        </w:rPr>
        <w:t>homogénéité</w:t>
      </w:r>
      <w:r w:rsidR="003A30C6" w:rsidRPr="008662B8">
        <w:rPr>
          <w:lang w:val="fr-FR"/>
        </w:rPr>
        <w:t xml:space="preserve">. </w:t>
      </w:r>
      <w:r w:rsidR="008662B8" w:rsidRPr="008662B8">
        <w:rPr>
          <w:lang w:val="fr-FR"/>
        </w:rPr>
        <w:t xml:space="preserve"> Il faut déterminer quels sont les caractères importants de la plante et en sélectionner plusieurs aux fins de l</w:t>
      </w:r>
      <w:r w:rsidR="00497F1A">
        <w:rPr>
          <w:lang w:val="fr-FR"/>
        </w:rPr>
        <w:t>’</w:t>
      </w:r>
      <w:r w:rsidR="008662B8" w:rsidRPr="008662B8">
        <w:rPr>
          <w:lang w:val="fr-FR"/>
        </w:rPr>
        <w:t>examen de l</w:t>
      </w:r>
      <w:r w:rsidR="00497F1A">
        <w:rPr>
          <w:lang w:val="fr-FR"/>
        </w:rPr>
        <w:t>’</w:t>
      </w:r>
      <w:r w:rsidR="008662B8" w:rsidRPr="008662B8">
        <w:rPr>
          <w:lang w:val="fr-FR"/>
        </w:rPr>
        <w:t>homogénéité au sein du groupe de travail technique correspondant de l</w:t>
      </w:r>
      <w:r w:rsidR="00497F1A">
        <w:rPr>
          <w:lang w:val="fr-FR"/>
        </w:rPr>
        <w:t>’</w:t>
      </w:r>
      <w:r w:rsidR="008662B8" w:rsidRPr="008662B8">
        <w:rPr>
          <w:lang w:val="fr-FR"/>
        </w:rPr>
        <w:t>UPOV</w:t>
      </w:r>
      <w:r w:rsidR="003A30C6" w:rsidRPr="008662B8">
        <w:rPr>
          <w:lang w:val="fr-FR"/>
        </w:rPr>
        <w:t>.</w:t>
      </w:r>
    </w:p>
    <w:p w:rsidR="003A30C6" w:rsidRPr="008662B8" w:rsidRDefault="003A30C6" w:rsidP="003A30C6">
      <w:pPr>
        <w:pStyle w:val="ListParagraph"/>
        <w:rPr>
          <w:lang w:val="fr-FR"/>
        </w:rPr>
      </w:pPr>
    </w:p>
    <w:p w:rsidR="003A30C6" w:rsidRPr="008662B8" w:rsidRDefault="008662B8" w:rsidP="003A30C6">
      <w:pPr>
        <w:pStyle w:val="ListParagraph"/>
        <w:numPr>
          <w:ilvl w:val="0"/>
          <w:numId w:val="8"/>
        </w:numPr>
        <w:spacing w:after="160" w:line="259" w:lineRule="auto"/>
        <w:ind w:left="1170" w:hanging="603"/>
        <w:jc w:val="left"/>
        <w:rPr>
          <w:lang w:val="fr-FR"/>
        </w:rPr>
      </w:pPr>
      <w:r w:rsidRPr="008662B8">
        <w:rPr>
          <w:lang w:val="fr-FR"/>
        </w:rPr>
        <w:t>Analyse de l</w:t>
      </w:r>
      <w:r w:rsidR="00497F1A">
        <w:rPr>
          <w:lang w:val="fr-FR"/>
        </w:rPr>
        <w:t>’</w:t>
      </w:r>
      <w:r w:rsidRPr="008662B8">
        <w:rPr>
          <w:lang w:val="fr-FR"/>
        </w:rPr>
        <w:t>ADN</w:t>
      </w:r>
      <w:r w:rsidR="003A30C6" w:rsidRPr="008662B8">
        <w:rPr>
          <w:lang w:val="fr-FR"/>
        </w:rPr>
        <w:t>.</w:t>
      </w:r>
    </w:p>
    <w:p w:rsidR="003A30C6" w:rsidRPr="004513C7" w:rsidRDefault="003A30C6" w:rsidP="003A30C6">
      <w:pPr>
        <w:pStyle w:val="ListParagraph"/>
        <w:spacing w:after="160" w:line="259" w:lineRule="auto"/>
        <w:ind w:left="1170"/>
        <w:jc w:val="left"/>
        <w:rPr>
          <w:highlight w:val="yellow"/>
          <w:lang w:val="fr-FR"/>
        </w:rPr>
      </w:pPr>
    </w:p>
    <w:p w:rsidR="003A30C6" w:rsidRPr="00AD2B4E" w:rsidRDefault="000A3580" w:rsidP="003A30C6">
      <w:pPr>
        <w:pStyle w:val="ListParagraph"/>
        <w:ind w:left="0" w:firstLine="1170"/>
        <w:rPr>
          <w:lang w:val="fr-FR"/>
        </w:rPr>
      </w:pPr>
      <w:r>
        <w:rPr>
          <w:lang w:val="fr-FR"/>
        </w:rPr>
        <w:t>Utilisation de</w:t>
      </w:r>
      <w:r w:rsidR="008662B8" w:rsidRPr="00AD2B4E">
        <w:rPr>
          <w:lang w:val="fr-FR"/>
        </w:rPr>
        <w:t xml:space="preserve"> l</w:t>
      </w:r>
      <w:r w:rsidR="00497F1A">
        <w:rPr>
          <w:lang w:val="fr-FR"/>
        </w:rPr>
        <w:t>’</w:t>
      </w:r>
      <w:r w:rsidR="008662B8" w:rsidRPr="00AD2B4E">
        <w:rPr>
          <w:lang w:val="fr-FR"/>
        </w:rPr>
        <w:t>analyse de l</w:t>
      </w:r>
      <w:r w:rsidR="00497F1A">
        <w:rPr>
          <w:lang w:val="fr-FR"/>
        </w:rPr>
        <w:t>’</w:t>
      </w:r>
      <w:r w:rsidR="008662B8" w:rsidRPr="00AD2B4E">
        <w:rPr>
          <w:lang w:val="fr-FR"/>
        </w:rPr>
        <w:t>ADN</w:t>
      </w:r>
      <w:r w:rsidR="003A30C6" w:rsidRPr="00AD2B4E">
        <w:rPr>
          <w:lang w:val="fr-FR"/>
        </w:rPr>
        <w:t xml:space="preserve">. </w:t>
      </w:r>
      <w:r w:rsidR="008662B8" w:rsidRPr="00AD2B4E">
        <w:rPr>
          <w:lang w:val="fr-FR"/>
        </w:rPr>
        <w:t xml:space="preserve"> Au lieu de vérifier l</w:t>
      </w:r>
      <w:r w:rsidR="00497F1A">
        <w:rPr>
          <w:lang w:val="fr-FR"/>
        </w:rPr>
        <w:t>’</w:t>
      </w:r>
      <w:r w:rsidR="008662B8" w:rsidRPr="00AD2B4E">
        <w:rPr>
          <w:lang w:val="fr-FR"/>
        </w:rPr>
        <w:t>homogénéité du caractère examiné sur la base d</w:t>
      </w:r>
      <w:r w:rsidR="00497F1A">
        <w:rPr>
          <w:lang w:val="fr-FR"/>
        </w:rPr>
        <w:t>’</w:t>
      </w:r>
      <w:r w:rsidR="008662B8" w:rsidRPr="00AD2B4E">
        <w:rPr>
          <w:lang w:val="fr-FR"/>
        </w:rPr>
        <w:t xml:space="preserve">un échantillon global, on peut </w:t>
      </w:r>
      <w:r w:rsidR="001202E2" w:rsidRPr="00AD2B4E">
        <w:rPr>
          <w:lang w:val="fr-FR"/>
        </w:rPr>
        <w:t>procéder à</w:t>
      </w:r>
      <w:r w:rsidR="008662B8" w:rsidRPr="00AD2B4E">
        <w:rPr>
          <w:lang w:val="fr-FR"/>
        </w:rPr>
        <w:t xml:space="preserve"> un essai supplémentaire </w:t>
      </w:r>
      <w:r>
        <w:rPr>
          <w:lang w:val="fr-FR"/>
        </w:rPr>
        <w:t>pour établir</w:t>
      </w:r>
      <w:r w:rsidR="001202E2" w:rsidRPr="00AD2B4E">
        <w:rPr>
          <w:lang w:val="fr-FR"/>
        </w:rPr>
        <w:t xml:space="preserve"> l</w:t>
      </w:r>
      <w:r w:rsidR="00497F1A">
        <w:rPr>
          <w:lang w:val="fr-FR"/>
        </w:rPr>
        <w:t>’</w:t>
      </w:r>
      <w:r w:rsidR="001202E2" w:rsidRPr="00AD2B4E">
        <w:rPr>
          <w:lang w:val="fr-FR"/>
        </w:rPr>
        <w:t>homogénéité générale sur la base d</w:t>
      </w:r>
      <w:r w:rsidR="00497F1A">
        <w:rPr>
          <w:lang w:val="fr-FR"/>
        </w:rPr>
        <w:t>’</w:t>
      </w:r>
      <w:r w:rsidR="001202E2" w:rsidRPr="00AD2B4E">
        <w:rPr>
          <w:lang w:val="fr-FR"/>
        </w:rPr>
        <w:t>un ensemble de marqueurs d</w:t>
      </w:r>
      <w:r w:rsidR="00497F1A">
        <w:rPr>
          <w:lang w:val="fr-FR"/>
        </w:rPr>
        <w:t>’</w:t>
      </w:r>
      <w:r w:rsidR="001202E2" w:rsidRPr="00AD2B4E">
        <w:rPr>
          <w:lang w:val="fr-FR"/>
        </w:rPr>
        <w:t>ADN</w:t>
      </w:r>
      <w:r w:rsidR="003A30C6" w:rsidRPr="00AD2B4E">
        <w:rPr>
          <w:lang w:val="fr-FR"/>
        </w:rPr>
        <w:t xml:space="preserve">. </w:t>
      </w:r>
      <w:r w:rsidR="001202E2" w:rsidRPr="00AD2B4E">
        <w:rPr>
          <w:lang w:val="fr-FR"/>
        </w:rPr>
        <w:t xml:space="preserve"> Il s</w:t>
      </w:r>
      <w:r w:rsidR="00497F1A">
        <w:rPr>
          <w:lang w:val="fr-FR"/>
        </w:rPr>
        <w:t>’</w:t>
      </w:r>
      <w:r w:rsidR="001202E2" w:rsidRPr="00AD2B4E">
        <w:rPr>
          <w:lang w:val="fr-FR"/>
        </w:rPr>
        <w:t>agit là d</w:t>
      </w:r>
      <w:r w:rsidR="00497F1A">
        <w:rPr>
          <w:lang w:val="fr-FR"/>
        </w:rPr>
        <w:t>’</w:t>
      </w:r>
      <w:r w:rsidR="001202E2" w:rsidRPr="00AD2B4E">
        <w:rPr>
          <w:lang w:val="fr-FR"/>
        </w:rPr>
        <w:t>une source d</w:t>
      </w:r>
      <w:r w:rsidR="00497F1A">
        <w:rPr>
          <w:lang w:val="fr-FR"/>
        </w:rPr>
        <w:t>’</w:t>
      </w:r>
      <w:r w:rsidR="001202E2" w:rsidRPr="00AD2B4E">
        <w:rPr>
          <w:lang w:val="fr-FR"/>
        </w:rPr>
        <w:t xml:space="preserve">informations qui offre un essai supplémentaire </w:t>
      </w:r>
      <w:r>
        <w:rPr>
          <w:lang w:val="fr-FR"/>
        </w:rPr>
        <w:t>po</w:t>
      </w:r>
      <w:r w:rsidR="001202E2" w:rsidRPr="00AD2B4E">
        <w:rPr>
          <w:lang w:val="fr-FR"/>
        </w:rPr>
        <w:t>ur</w:t>
      </w:r>
      <w:r>
        <w:rPr>
          <w:lang w:val="fr-FR"/>
        </w:rPr>
        <w:t xml:space="preserve"> établir</w:t>
      </w:r>
      <w:r w:rsidR="001202E2" w:rsidRPr="00AD2B4E">
        <w:rPr>
          <w:lang w:val="fr-FR"/>
        </w:rPr>
        <w:t xml:space="preserve"> l</w:t>
      </w:r>
      <w:r w:rsidR="00497F1A">
        <w:rPr>
          <w:lang w:val="fr-FR"/>
        </w:rPr>
        <w:t>’</w:t>
      </w:r>
      <w:r w:rsidR="001202E2" w:rsidRPr="00AD2B4E">
        <w:rPr>
          <w:lang w:val="fr-FR"/>
        </w:rPr>
        <w:t>homogénéité</w:t>
      </w:r>
      <w:r w:rsidR="003A30C6" w:rsidRPr="00AD2B4E">
        <w:rPr>
          <w:lang w:val="fr-FR"/>
        </w:rPr>
        <w:t xml:space="preserve">. </w:t>
      </w:r>
      <w:r w:rsidR="001202E2" w:rsidRPr="00AD2B4E">
        <w:rPr>
          <w:lang w:val="fr-FR"/>
        </w:rPr>
        <w:t xml:space="preserve"> Dans certains cas, cette solution sera meilleur marché qu</w:t>
      </w:r>
      <w:r w:rsidR="00497F1A">
        <w:rPr>
          <w:lang w:val="fr-FR"/>
        </w:rPr>
        <w:t>’</w:t>
      </w:r>
      <w:r w:rsidR="001202E2" w:rsidRPr="00AD2B4E">
        <w:rPr>
          <w:lang w:val="fr-FR"/>
        </w:rPr>
        <w:t>une mesure plante par plante du caractère concerné</w:t>
      </w:r>
      <w:r w:rsidR="003A30C6" w:rsidRPr="00AD2B4E">
        <w:rPr>
          <w:lang w:val="fr-FR"/>
        </w:rPr>
        <w:t>.</w:t>
      </w:r>
    </w:p>
    <w:p w:rsidR="003A30C6" w:rsidRPr="004513C7" w:rsidRDefault="003A30C6" w:rsidP="003A30C6">
      <w:pPr>
        <w:pStyle w:val="ListParagraph"/>
        <w:ind w:left="0" w:firstLine="1170"/>
        <w:rPr>
          <w:highlight w:val="yellow"/>
          <w:lang w:val="fr-FR"/>
        </w:rPr>
      </w:pPr>
    </w:p>
    <w:p w:rsidR="003A30C6" w:rsidRPr="0079490A" w:rsidRDefault="0079490A" w:rsidP="003A30C6">
      <w:pPr>
        <w:pStyle w:val="ListParagraph"/>
        <w:ind w:left="0" w:firstLine="1170"/>
        <w:rPr>
          <w:lang w:val="fr-FR"/>
        </w:rPr>
      </w:pPr>
      <w:r w:rsidRPr="0079490A">
        <w:rPr>
          <w:lang w:val="fr-FR"/>
        </w:rPr>
        <w:t>Comme pour l</w:t>
      </w:r>
      <w:r w:rsidR="00497F1A">
        <w:rPr>
          <w:lang w:val="fr-FR"/>
        </w:rPr>
        <w:t>’</w:t>
      </w:r>
      <w:r w:rsidRPr="0079490A">
        <w:rPr>
          <w:lang w:val="fr-FR"/>
        </w:rPr>
        <w:t>analyse d</w:t>
      </w:r>
      <w:r w:rsidR="00497F1A">
        <w:rPr>
          <w:lang w:val="fr-FR"/>
        </w:rPr>
        <w:t>’</w:t>
      </w:r>
      <w:r w:rsidRPr="0079490A">
        <w:rPr>
          <w:lang w:val="fr-FR"/>
        </w:rPr>
        <w:t>images, l</w:t>
      </w:r>
      <w:r w:rsidR="00497F1A">
        <w:rPr>
          <w:lang w:val="fr-FR"/>
        </w:rPr>
        <w:t>’</w:t>
      </w:r>
      <w:r w:rsidRPr="0079490A">
        <w:rPr>
          <w:lang w:val="fr-FR"/>
        </w:rPr>
        <w:t>ensemble de la vérification de l</w:t>
      </w:r>
      <w:r w:rsidR="00497F1A">
        <w:rPr>
          <w:lang w:val="fr-FR"/>
        </w:rPr>
        <w:t>’</w:t>
      </w:r>
      <w:r w:rsidRPr="0079490A">
        <w:rPr>
          <w:lang w:val="fr-FR"/>
        </w:rPr>
        <w:t>homogénéité de la variété peut être remplacée par un test d</w:t>
      </w:r>
      <w:r w:rsidR="00497F1A">
        <w:rPr>
          <w:lang w:val="fr-FR"/>
        </w:rPr>
        <w:t>’</w:t>
      </w:r>
      <w:r w:rsidRPr="0079490A">
        <w:rPr>
          <w:lang w:val="fr-FR"/>
        </w:rPr>
        <w:t>ADN.</w:t>
      </w:r>
    </w:p>
    <w:p w:rsidR="003A30C6" w:rsidRPr="008E10C3" w:rsidRDefault="003A30C6" w:rsidP="003A30C6">
      <w:pPr>
        <w:pStyle w:val="ListParagraph"/>
        <w:rPr>
          <w:lang w:val="fr-FR"/>
        </w:rPr>
      </w:pPr>
    </w:p>
    <w:p w:rsidR="003A30C6" w:rsidRPr="008E10C3" w:rsidRDefault="0079490A" w:rsidP="003A30C6">
      <w:pPr>
        <w:pStyle w:val="ListParagraph"/>
        <w:numPr>
          <w:ilvl w:val="0"/>
          <w:numId w:val="8"/>
        </w:numPr>
        <w:spacing w:after="160" w:line="259" w:lineRule="auto"/>
        <w:ind w:left="1170" w:hanging="603"/>
        <w:jc w:val="left"/>
        <w:rPr>
          <w:lang w:val="fr-FR"/>
        </w:rPr>
      </w:pPr>
      <w:r w:rsidRPr="008E10C3">
        <w:rPr>
          <w:lang w:val="fr-FR"/>
        </w:rPr>
        <w:t>Culture</w:t>
      </w:r>
      <w:r w:rsidR="003A30C6" w:rsidRPr="008E10C3">
        <w:rPr>
          <w:lang w:val="fr-FR"/>
        </w:rPr>
        <w:t>.</w:t>
      </w:r>
    </w:p>
    <w:p w:rsidR="003A30C6" w:rsidRPr="008E10C3" w:rsidRDefault="003A30C6" w:rsidP="003A30C6">
      <w:pPr>
        <w:pStyle w:val="ListParagraph"/>
        <w:ind w:left="0" w:firstLine="1170"/>
        <w:rPr>
          <w:lang w:val="fr-FR"/>
        </w:rPr>
      </w:pPr>
    </w:p>
    <w:p w:rsidR="003A30C6" w:rsidRPr="00556580" w:rsidRDefault="008E10C3" w:rsidP="003A30C6">
      <w:pPr>
        <w:pStyle w:val="ListParagraph"/>
        <w:ind w:left="0" w:firstLine="1170"/>
        <w:rPr>
          <w:lang w:val="fr-FR"/>
        </w:rPr>
      </w:pPr>
      <w:r w:rsidRPr="008E10C3">
        <w:rPr>
          <w:lang w:val="fr-FR"/>
        </w:rPr>
        <w:t xml:space="preserve">Choisir </w:t>
      </w:r>
      <w:r w:rsidR="0079490A" w:rsidRPr="008E10C3">
        <w:rPr>
          <w:lang w:val="fr-FR"/>
        </w:rPr>
        <w:t xml:space="preserve">une autre façon de cultiver </w:t>
      </w:r>
      <w:r w:rsidRPr="008E10C3">
        <w:rPr>
          <w:lang w:val="fr-FR"/>
        </w:rPr>
        <w:t>la variété pour vérifier l</w:t>
      </w:r>
      <w:r w:rsidR="00497F1A">
        <w:rPr>
          <w:lang w:val="fr-FR"/>
        </w:rPr>
        <w:t>’</w:t>
      </w:r>
      <w:r w:rsidRPr="008E10C3">
        <w:rPr>
          <w:lang w:val="fr-FR"/>
        </w:rPr>
        <w:t>homogénéité</w:t>
      </w:r>
      <w:r w:rsidR="003A30C6" w:rsidRPr="008E10C3">
        <w:rPr>
          <w:lang w:val="fr-FR"/>
        </w:rPr>
        <w:t xml:space="preserve">. </w:t>
      </w:r>
      <w:r w:rsidRPr="008E10C3">
        <w:rPr>
          <w:lang w:val="fr-FR"/>
        </w:rPr>
        <w:t xml:space="preserve"> Si, </w:t>
      </w:r>
      <w:r w:rsidR="000A3580">
        <w:rPr>
          <w:lang w:val="fr-FR"/>
        </w:rPr>
        <w:t>dans</w:t>
      </w:r>
      <w:r w:rsidRPr="008E10C3">
        <w:rPr>
          <w:lang w:val="fr-FR"/>
        </w:rPr>
        <w:t xml:space="preserve"> le </w:t>
      </w:r>
      <w:r w:rsidRPr="00556580">
        <w:rPr>
          <w:lang w:val="fr-FR"/>
        </w:rPr>
        <w:t>déroulement habituel de l</w:t>
      </w:r>
      <w:r w:rsidR="00497F1A">
        <w:rPr>
          <w:lang w:val="fr-FR"/>
        </w:rPr>
        <w:t>’</w:t>
      </w:r>
      <w:r w:rsidRPr="00556580">
        <w:rPr>
          <w:lang w:val="fr-FR"/>
        </w:rPr>
        <w:t>essai, les plantes sont disposées en ligne, on peut envisager une autre disposition pour vérifier, plante par plante, l</w:t>
      </w:r>
      <w:r w:rsidR="00497F1A">
        <w:rPr>
          <w:lang w:val="fr-FR"/>
        </w:rPr>
        <w:t>’</w:t>
      </w:r>
      <w:r w:rsidRPr="00556580">
        <w:rPr>
          <w:lang w:val="fr-FR"/>
        </w:rPr>
        <w:t>homogénéité de la variété dans son ensemble</w:t>
      </w:r>
      <w:r w:rsidR="003A30C6" w:rsidRPr="00556580">
        <w:rPr>
          <w:lang w:val="fr-FR"/>
        </w:rPr>
        <w:t>.</w:t>
      </w:r>
    </w:p>
    <w:p w:rsidR="003A30C6" w:rsidRPr="00556580" w:rsidRDefault="003A30C6" w:rsidP="003A30C6">
      <w:pPr>
        <w:pStyle w:val="ListParagraph"/>
        <w:rPr>
          <w:lang w:val="fr-FR"/>
        </w:rPr>
      </w:pPr>
    </w:p>
    <w:p w:rsidR="003A30C6" w:rsidRPr="00556580" w:rsidRDefault="008E10C3" w:rsidP="003A30C6">
      <w:pPr>
        <w:pStyle w:val="ListParagraph"/>
        <w:numPr>
          <w:ilvl w:val="0"/>
          <w:numId w:val="8"/>
        </w:numPr>
        <w:spacing w:after="160" w:line="259" w:lineRule="auto"/>
        <w:ind w:left="1170" w:hanging="603"/>
        <w:jc w:val="left"/>
        <w:rPr>
          <w:lang w:val="fr-FR"/>
        </w:rPr>
      </w:pPr>
      <w:r w:rsidRPr="00556580">
        <w:rPr>
          <w:lang w:val="fr-FR"/>
        </w:rPr>
        <w:t>Nombre de plantes</w:t>
      </w:r>
      <w:r w:rsidR="003A30C6" w:rsidRPr="00556580">
        <w:rPr>
          <w:lang w:val="fr-FR"/>
        </w:rPr>
        <w:t>.</w:t>
      </w:r>
    </w:p>
    <w:p w:rsidR="003A30C6" w:rsidRPr="00556580" w:rsidRDefault="003A30C6" w:rsidP="003A30C6">
      <w:pPr>
        <w:pStyle w:val="ListParagraph"/>
        <w:ind w:left="0" w:firstLine="1170"/>
        <w:rPr>
          <w:lang w:val="fr-FR"/>
        </w:rPr>
      </w:pPr>
    </w:p>
    <w:p w:rsidR="003A30C6" w:rsidRPr="004513C7" w:rsidRDefault="008E10C3" w:rsidP="003A30C6">
      <w:pPr>
        <w:pStyle w:val="ListParagraph"/>
        <w:ind w:left="0" w:firstLine="1170"/>
        <w:rPr>
          <w:lang w:val="fr-FR"/>
        </w:rPr>
      </w:pPr>
      <w:r w:rsidRPr="00556580">
        <w:rPr>
          <w:lang w:val="fr-FR"/>
        </w:rPr>
        <w:t>Utilisation d</w:t>
      </w:r>
      <w:r w:rsidR="00497F1A">
        <w:rPr>
          <w:lang w:val="fr-FR"/>
        </w:rPr>
        <w:t>’</w:t>
      </w:r>
      <w:r w:rsidRPr="00556580">
        <w:rPr>
          <w:lang w:val="fr-FR"/>
        </w:rPr>
        <w:t>un nombre de plantes différent de celui indiqué dans les principes directeurs d</w:t>
      </w:r>
      <w:r w:rsidR="00497F1A">
        <w:rPr>
          <w:lang w:val="fr-FR"/>
        </w:rPr>
        <w:t>’</w:t>
      </w:r>
      <w:r w:rsidRPr="00556580">
        <w:rPr>
          <w:lang w:val="fr-FR"/>
        </w:rPr>
        <w:t>examen pour le caractère devant être examiné, mais adapté à la nature du caractère</w:t>
      </w:r>
      <w:r w:rsidR="003A30C6" w:rsidRPr="00556580">
        <w:rPr>
          <w:lang w:val="fr-FR"/>
        </w:rPr>
        <w:t xml:space="preserve">. </w:t>
      </w:r>
      <w:r w:rsidRPr="00556580">
        <w:rPr>
          <w:lang w:val="fr-FR"/>
        </w:rPr>
        <w:t xml:space="preserve"> Par exemple, dans </w:t>
      </w:r>
      <w:r w:rsidR="000A3580">
        <w:rPr>
          <w:lang w:val="fr-FR"/>
        </w:rPr>
        <w:t>certains</w:t>
      </w:r>
      <w:r w:rsidRPr="00556580">
        <w:rPr>
          <w:lang w:val="fr-FR"/>
        </w:rPr>
        <w:t xml:space="preserve"> principes directeurs d</w:t>
      </w:r>
      <w:r w:rsidR="00497F1A">
        <w:rPr>
          <w:lang w:val="fr-FR"/>
        </w:rPr>
        <w:t>’</w:t>
      </w:r>
      <w:r w:rsidRPr="00556580">
        <w:rPr>
          <w:lang w:val="fr-FR"/>
        </w:rPr>
        <w:t>examen, il est indiqué que 60 plantes doivent être examinées en vue d</w:t>
      </w:r>
      <w:r w:rsidR="00497F1A">
        <w:rPr>
          <w:lang w:val="fr-FR"/>
        </w:rPr>
        <w:t>’</w:t>
      </w:r>
      <w:r w:rsidRPr="00556580">
        <w:rPr>
          <w:lang w:val="fr-FR"/>
        </w:rPr>
        <w:t>établir l</w:t>
      </w:r>
      <w:r w:rsidR="00497F1A">
        <w:rPr>
          <w:lang w:val="fr-FR"/>
        </w:rPr>
        <w:t>’</w:t>
      </w:r>
      <w:r w:rsidRPr="00556580">
        <w:rPr>
          <w:lang w:val="fr-FR"/>
        </w:rPr>
        <w:t>homogénéité</w:t>
      </w:r>
      <w:r w:rsidR="003A30C6" w:rsidRPr="00556580">
        <w:rPr>
          <w:lang w:val="fr-FR"/>
        </w:rPr>
        <w:t xml:space="preserve">. </w:t>
      </w:r>
      <w:r w:rsidRPr="00556580">
        <w:rPr>
          <w:lang w:val="fr-FR"/>
        </w:rPr>
        <w:t xml:space="preserve"> Si </w:t>
      </w:r>
      <w:r w:rsidR="00556580" w:rsidRPr="00556580">
        <w:rPr>
          <w:lang w:val="fr-FR"/>
        </w:rPr>
        <w:t xml:space="preserve">le nombre ne convient pas pour ce type de caractère, on peut proposer un nombre inférieur de plantes, par exemple </w:t>
      </w:r>
      <w:r w:rsidR="00376007">
        <w:rPr>
          <w:lang w:val="fr-FR"/>
        </w:rPr>
        <w:t>cinq </w:t>
      </w:r>
      <w:r w:rsidR="00556580" w:rsidRPr="00556580">
        <w:rPr>
          <w:lang w:val="fr-FR"/>
        </w:rPr>
        <w:t>plantes</w:t>
      </w:r>
      <w:r w:rsidR="003A30C6" w:rsidRPr="00556580">
        <w:rPr>
          <w:lang w:val="fr-FR"/>
        </w:rPr>
        <w:t>.</w:t>
      </w:r>
    </w:p>
    <w:p w:rsidR="003A30C6" w:rsidRPr="004513C7" w:rsidRDefault="003A30C6" w:rsidP="003A30C6">
      <w:pPr>
        <w:spacing w:before="480"/>
        <w:ind w:left="567" w:hanging="567"/>
        <w:jc w:val="right"/>
        <w:rPr>
          <w:lang w:val="fr-FR"/>
        </w:rPr>
      </w:pPr>
      <w:r w:rsidRPr="004513C7">
        <w:rPr>
          <w:lang w:val="fr-FR"/>
        </w:rPr>
        <w:t>[L</w:t>
      </w:r>
      <w:r w:rsidR="00497F1A">
        <w:rPr>
          <w:lang w:val="fr-FR"/>
        </w:rPr>
        <w:t>’</w:t>
      </w:r>
      <w:r w:rsidRPr="004513C7">
        <w:rPr>
          <w:lang w:val="fr-FR"/>
        </w:rPr>
        <w:t>annexe </w:t>
      </w:r>
      <w:r w:rsidRPr="004513C7">
        <w:rPr>
          <w:lang w:val="fr-FR" w:eastAsia="ja-JP"/>
        </w:rPr>
        <w:t>II suit</w:t>
      </w:r>
      <w:r w:rsidRPr="004513C7">
        <w:rPr>
          <w:lang w:val="fr-FR"/>
        </w:rPr>
        <w:t>]</w:t>
      </w:r>
    </w:p>
    <w:p w:rsidR="003A30C6" w:rsidRPr="004513C7" w:rsidRDefault="003A30C6">
      <w:pPr>
        <w:jc w:val="left"/>
        <w:rPr>
          <w:rFonts w:cs="Arial"/>
          <w:lang w:val="fr-FR"/>
        </w:rPr>
      </w:pPr>
    </w:p>
    <w:p w:rsidR="003A30C6" w:rsidRPr="004513C7" w:rsidRDefault="003A30C6">
      <w:pPr>
        <w:jc w:val="left"/>
        <w:rPr>
          <w:rFonts w:cs="Arial"/>
          <w:lang w:val="fr-FR"/>
        </w:rPr>
        <w:sectPr w:rsidR="003A30C6" w:rsidRPr="004513C7" w:rsidSect="008352C1">
          <w:headerReference w:type="default" r:id="rId11"/>
          <w:headerReference w:type="first" r:id="rId12"/>
          <w:footerReference w:type="first" r:id="rId13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  <w:docGrid w:linePitch="272"/>
        </w:sectPr>
      </w:pPr>
    </w:p>
    <w:p w:rsidR="008F37AE" w:rsidRPr="004513C7" w:rsidRDefault="00180A1F" w:rsidP="00916968">
      <w:pPr>
        <w:jc w:val="center"/>
        <w:rPr>
          <w:rFonts w:cs="Arial"/>
          <w:lang w:val="fr-FR"/>
        </w:rPr>
      </w:pPr>
      <w:r w:rsidRPr="004513C7">
        <w:rPr>
          <w:rFonts w:cs="Arial"/>
          <w:lang w:val="fr-FR"/>
        </w:rPr>
        <w:t>EX</w:t>
      </w:r>
      <w:r w:rsidR="00847A0E" w:rsidRPr="004513C7">
        <w:rPr>
          <w:rFonts w:cs="Arial"/>
          <w:lang w:val="fr-FR"/>
        </w:rPr>
        <w:t>E</w:t>
      </w:r>
      <w:r w:rsidRPr="004513C7">
        <w:rPr>
          <w:rFonts w:cs="Arial"/>
          <w:lang w:val="fr-FR"/>
        </w:rPr>
        <w:t xml:space="preserve">MPLE </w:t>
      </w:r>
      <w:r w:rsidR="00847A0E" w:rsidRPr="004513C7">
        <w:rPr>
          <w:rFonts w:cs="Arial"/>
          <w:lang w:val="fr-FR"/>
        </w:rPr>
        <w:t>DE CARACT</w:t>
      </w:r>
      <w:r w:rsidR="001E16C6" w:rsidRPr="004513C7">
        <w:rPr>
          <w:rFonts w:cs="Arial"/>
          <w:lang w:val="fr-FR"/>
        </w:rPr>
        <w:t>È</w:t>
      </w:r>
      <w:r w:rsidR="00847A0E" w:rsidRPr="004513C7">
        <w:rPr>
          <w:rFonts w:cs="Arial"/>
          <w:lang w:val="fr-FR"/>
        </w:rPr>
        <w:t xml:space="preserve">RE </w:t>
      </w:r>
      <w:r w:rsidR="004E5D9E" w:rsidRPr="004513C7">
        <w:rPr>
          <w:rFonts w:cs="Arial"/>
          <w:lang w:val="fr-FR"/>
        </w:rPr>
        <w:t>EXAMINÉ SUR LA BASE D</w:t>
      </w:r>
      <w:r w:rsidR="00497F1A">
        <w:rPr>
          <w:rFonts w:cs="Arial"/>
          <w:lang w:val="fr-FR"/>
        </w:rPr>
        <w:t>’</w:t>
      </w:r>
      <w:r w:rsidR="004E5D9E" w:rsidRPr="004513C7">
        <w:rPr>
          <w:rFonts w:cs="Arial"/>
          <w:lang w:val="fr-FR"/>
        </w:rPr>
        <w:t xml:space="preserve">UN ÉCHANTILLON </w:t>
      </w:r>
      <w:r w:rsidR="00847A0E" w:rsidRPr="004513C7">
        <w:rPr>
          <w:rFonts w:cs="Arial"/>
          <w:lang w:val="fr-FR"/>
        </w:rPr>
        <w:t>GLOBAL AUX PAYS</w:t>
      </w:r>
      <w:r w:rsidR="008352C1">
        <w:rPr>
          <w:rFonts w:cs="Arial"/>
          <w:szCs w:val="22"/>
          <w:lang w:val="fr-FR"/>
        </w:rPr>
        <w:noBreakHyphen/>
      </w:r>
      <w:r w:rsidR="00847A0E" w:rsidRPr="004513C7">
        <w:rPr>
          <w:rFonts w:cs="Arial"/>
          <w:szCs w:val="22"/>
          <w:lang w:val="fr-FR"/>
        </w:rPr>
        <w:t>BAS</w:t>
      </w:r>
      <w:r w:rsidR="00E6636F" w:rsidRPr="004513C7">
        <w:rPr>
          <w:rFonts w:cs="Arial"/>
          <w:szCs w:val="22"/>
          <w:lang w:val="fr-FR"/>
        </w:rPr>
        <w:t> </w:t>
      </w:r>
      <w:r w:rsidRPr="004513C7">
        <w:rPr>
          <w:lang w:val="fr-FR"/>
        </w:rPr>
        <w:t>:</w:t>
      </w:r>
      <w:r w:rsidRPr="004513C7">
        <w:rPr>
          <w:rFonts w:cs="Arial"/>
          <w:lang w:val="fr-FR"/>
        </w:rPr>
        <w:t xml:space="preserve"> </w:t>
      </w:r>
      <w:r w:rsidR="001E16C6" w:rsidRPr="004513C7">
        <w:rPr>
          <w:rFonts w:cs="Arial"/>
          <w:lang w:val="fr-FR"/>
        </w:rPr>
        <w:t>TENEUR EN</w:t>
      </w:r>
      <w:r w:rsidRPr="004513C7">
        <w:rPr>
          <w:rFonts w:cs="Arial"/>
          <w:lang w:val="fr-FR"/>
        </w:rPr>
        <w:t xml:space="preserve"> GL</w:t>
      </w:r>
      <w:r w:rsidR="001E16C6" w:rsidRPr="004513C7">
        <w:rPr>
          <w:rFonts w:cs="Arial"/>
          <w:lang w:val="fr-FR"/>
        </w:rPr>
        <w:t>U</w:t>
      </w:r>
      <w:r w:rsidRPr="004513C7">
        <w:rPr>
          <w:rFonts w:cs="Arial"/>
          <w:lang w:val="fr-FR"/>
        </w:rPr>
        <w:t>CORAPHANIN</w:t>
      </w:r>
      <w:r w:rsidR="001E16C6" w:rsidRPr="004513C7">
        <w:rPr>
          <w:rFonts w:cs="Arial"/>
          <w:lang w:val="fr-FR"/>
        </w:rPr>
        <w:t>E</w:t>
      </w:r>
    </w:p>
    <w:p w:rsidR="008F37AE" w:rsidRPr="004513C7" w:rsidRDefault="008F37AE" w:rsidP="00916968">
      <w:pPr>
        <w:rPr>
          <w:rFonts w:cs="Arial"/>
          <w:lang w:val="fr-FR"/>
        </w:rPr>
      </w:pPr>
    </w:p>
    <w:p w:rsidR="008F37AE" w:rsidRPr="004513C7" w:rsidRDefault="008F37AE" w:rsidP="00916968">
      <w:pPr>
        <w:rPr>
          <w:rFonts w:cs="Arial"/>
          <w:lang w:val="fr-FR"/>
        </w:rPr>
      </w:pPr>
    </w:p>
    <w:p w:rsidR="001C46B6" w:rsidRPr="004513C7" w:rsidRDefault="001E16C6" w:rsidP="00916968">
      <w:pPr>
        <w:pStyle w:val="ListParagraph"/>
        <w:widowControl w:val="0"/>
        <w:numPr>
          <w:ilvl w:val="0"/>
          <w:numId w:val="1"/>
        </w:numPr>
        <w:ind w:left="1134" w:hanging="567"/>
        <w:rPr>
          <w:rFonts w:cs="Arial"/>
          <w:lang w:val="fr-FR"/>
        </w:rPr>
      </w:pPr>
      <w:r w:rsidRPr="004513C7">
        <w:rPr>
          <w:rFonts w:cs="Arial"/>
          <w:lang w:val="fr-FR"/>
        </w:rPr>
        <w:t>Examen de la question de savoir si le caractère est approprié pour l</w:t>
      </w:r>
      <w:r w:rsidR="00497F1A">
        <w:rPr>
          <w:rFonts w:cs="Arial"/>
          <w:lang w:val="fr-FR"/>
        </w:rPr>
        <w:t>’</w:t>
      </w:r>
      <w:r w:rsidRPr="004513C7">
        <w:rPr>
          <w:rFonts w:cs="Arial"/>
          <w:lang w:val="fr-FR"/>
        </w:rPr>
        <w:t>examen</w:t>
      </w:r>
      <w:r w:rsidR="00E6636F" w:rsidRPr="004513C7">
        <w:rPr>
          <w:rFonts w:cs="Arial"/>
          <w:lang w:val="fr-FR"/>
        </w:rPr>
        <w:t> </w:t>
      </w:r>
      <w:r w:rsidRPr="004513C7">
        <w:rPr>
          <w:rFonts w:cs="Arial"/>
          <w:lang w:val="fr-FR"/>
        </w:rPr>
        <w:t>DHS</w:t>
      </w:r>
    </w:p>
    <w:p w:rsidR="008F37AE" w:rsidRPr="004513C7" w:rsidRDefault="00180A1F" w:rsidP="00916968">
      <w:pPr>
        <w:pStyle w:val="ListParagraph"/>
        <w:widowControl w:val="0"/>
        <w:numPr>
          <w:ilvl w:val="0"/>
          <w:numId w:val="1"/>
        </w:numPr>
        <w:ind w:left="1134" w:hanging="567"/>
        <w:rPr>
          <w:rFonts w:cs="Arial"/>
          <w:lang w:val="fr-FR"/>
        </w:rPr>
      </w:pPr>
      <w:r w:rsidRPr="004513C7">
        <w:rPr>
          <w:rFonts w:cs="Arial"/>
          <w:lang w:val="fr-FR"/>
        </w:rPr>
        <w:t xml:space="preserve">Description </w:t>
      </w:r>
      <w:r w:rsidR="001E16C6" w:rsidRPr="004513C7">
        <w:rPr>
          <w:rFonts w:cs="Arial"/>
          <w:lang w:val="fr-FR"/>
        </w:rPr>
        <w:t>du caractère</w:t>
      </w:r>
    </w:p>
    <w:p w:rsidR="008F37AE" w:rsidRPr="004513C7" w:rsidRDefault="001E16C6" w:rsidP="00916968">
      <w:pPr>
        <w:pStyle w:val="ListParagraph"/>
        <w:widowControl w:val="0"/>
        <w:numPr>
          <w:ilvl w:val="0"/>
          <w:numId w:val="1"/>
        </w:numPr>
        <w:ind w:left="1134" w:hanging="567"/>
        <w:rPr>
          <w:rFonts w:cs="Arial"/>
          <w:lang w:val="fr-FR"/>
        </w:rPr>
      </w:pPr>
      <w:r w:rsidRPr="004513C7">
        <w:rPr>
          <w:rFonts w:cs="Arial"/>
          <w:lang w:val="fr-FR"/>
        </w:rPr>
        <w:t>Mé</w:t>
      </w:r>
      <w:r w:rsidR="00180A1F" w:rsidRPr="004513C7">
        <w:rPr>
          <w:rFonts w:cs="Arial"/>
          <w:lang w:val="fr-FR"/>
        </w:rPr>
        <w:t>thod</w:t>
      </w:r>
      <w:r w:rsidRPr="004513C7">
        <w:rPr>
          <w:rFonts w:cs="Arial"/>
          <w:lang w:val="fr-FR"/>
        </w:rPr>
        <w:t>e</w:t>
      </w:r>
      <w:r w:rsidR="00180A1F" w:rsidRPr="004513C7">
        <w:rPr>
          <w:rFonts w:cs="Arial"/>
          <w:lang w:val="fr-FR"/>
        </w:rPr>
        <w:t xml:space="preserve"> </w:t>
      </w:r>
      <w:r w:rsidRPr="004513C7">
        <w:rPr>
          <w:rFonts w:cs="Arial"/>
          <w:lang w:val="fr-FR"/>
        </w:rPr>
        <w:t>de</w:t>
      </w:r>
      <w:r w:rsidR="00180A1F" w:rsidRPr="004513C7">
        <w:rPr>
          <w:rFonts w:cs="Arial"/>
          <w:lang w:val="fr-FR"/>
        </w:rPr>
        <w:t xml:space="preserve"> d</w:t>
      </w:r>
      <w:r w:rsidRPr="004513C7">
        <w:rPr>
          <w:rFonts w:cs="Arial"/>
          <w:lang w:val="fr-FR"/>
        </w:rPr>
        <w:t>é</w:t>
      </w:r>
      <w:r w:rsidR="00180A1F" w:rsidRPr="004513C7">
        <w:rPr>
          <w:rFonts w:cs="Arial"/>
          <w:lang w:val="fr-FR"/>
        </w:rPr>
        <w:t>tection</w:t>
      </w:r>
    </w:p>
    <w:p w:rsidR="008F37AE" w:rsidRPr="004513C7" w:rsidRDefault="008F37AE" w:rsidP="00916968">
      <w:pPr>
        <w:rPr>
          <w:rFonts w:cs="Arial"/>
          <w:lang w:val="fr-FR"/>
        </w:rPr>
      </w:pPr>
    </w:p>
    <w:p w:rsidR="008F37AE" w:rsidRPr="004513C7" w:rsidRDefault="008F37AE" w:rsidP="00916968">
      <w:pPr>
        <w:rPr>
          <w:rFonts w:cs="Arial"/>
          <w:lang w:val="fr-FR"/>
        </w:rPr>
      </w:pPr>
    </w:p>
    <w:p w:rsidR="001C46B6" w:rsidRPr="004513C7" w:rsidRDefault="001E16C6" w:rsidP="00916968">
      <w:pPr>
        <w:pStyle w:val="ListParagraph"/>
        <w:widowControl w:val="0"/>
        <w:numPr>
          <w:ilvl w:val="0"/>
          <w:numId w:val="2"/>
        </w:numPr>
        <w:ind w:left="1134" w:hanging="567"/>
        <w:rPr>
          <w:rFonts w:cs="Arial"/>
          <w:lang w:val="fr-FR"/>
        </w:rPr>
      </w:pPr>
      <w:r w:rsidRPr="004513C7">
        <w:rPr>
          <w:rFonts w:cs="Arial"/>
          <w:lang w:val="fr-FR"/>
        </w:rPr>
        <w:t>Examen de la question de savoir si le caractère est approprié pour l</w:t>
      </w:r>
      <w:r w:rsidR="00497F1A">
        <w:rPr>
          <w:rFonts w:cs="Arial"/>
          <w:lang w:val="fr-FR"/>
        </w:rPr>
        <w:t>’</w:t>
      </w:r>
      <w:r w:rsidRPr="004513C7">
        <w:rPr>
          <w:rFonts w:cs="Arial"/>
          <w:lang w:val="fr-FR"/>
        </w:rPr>
        <w:t>examen</w:t>
      </w:r>
      <w:r w:rsidR="00E6636F" w:rsidRPr="004513C7">
        <w:rPr>
          <w:rFonts w:cs="Arial"/>
          <w:lang w:val="fr-FR"/>
        </w:rPr>
        <w:t> </w:t>
      </w:r>
      <w:r w:rsidRPr="004513C7">
        <w:rPr>
          <w:rFonts w:cs="Arial"/>
          <w:lang w:val="fr-FR"/>
        </w:rPr>
        <w:t>DHS</w:t>
      </w:r>
    </w:p>
    <w:p w:rsidR="008F37AE" w:rsidRPr="004513C7" w:rsidRDefault="008F37AE" w:rsidP="00916968">
      <w:pPr>
        <w:rPr>
          <w:rFonts w:cs="Arial"/>
          <w:bCs/>
          <w:lang w:val="fr-FR"/>
        </w:rPr>
      </w:pPr>
    </w:p>
    <w:p w:rsidR="008F37AE" w:rsidRPr="004513C7" w:rsidRDefault="004E5D9E" w:rsidP="00916968">
      <w:pPr>
        <w:rPr>
          <w:rFonts w:cs="Arial"/>
          <w:lang w:val="fr-FR"/>
        </w:rPr>
      </w:pPr>
      <w:r w:rsidRPr="004513C7">
        <w:rPr>
          <w:rFonts w:cs="Arial"/>
          <w:bCs/>
          <w:lang w:val="fr-FR"/>
        </w:rPr>
        <w:t>Des informations sur le</w:t>
      </w:r>
      <w:r w:rsidR="00D164FB" w:rsidRPr="004513C7">
        <w:rPr>
          <w:rFonts w:cs="Arial"/>
          <w:bCs/>
          <w:lang w:val="fr-FR"/>
        </w:rPr>
        <w:t xml:space="preserve"> choix</w:t>
      </w:r>
      <w:r w:rsidR="00180A1F" w:rsidRPr="004513C7">
        <w:rPr>
          <w:rFonts w:cs="Arial"/>
          <w:bCs/>
          <w:lang w:val="fr-FR"/>
        </w:rPr>
        <w:t xml:space="preserve"> </w:t>
      </w:r>
      <w:r w:rsidR="00D164FB" w:rsidRPr="004513C7">
        <w:rPr>
          <w:rFonts w:cs="Arial"/>
          <w:bCs/>
          <w:lang w:val="fr-FR"/>
        </w:rPr>
        <w:t xml:space="preserve">des caractères </w:t>
      </w:r>
      <w:r w:rsidRPr="004513C7">
        <w:rPr>
          <w:rFonts w:cs="Arial"/>
          <w:bCs/>
          <w:lang w:val="fr-FR"/>
        </w:rPr>
        <w:t>figurent</w:t>
      </w:r>
      <w:r w:rsidR="00D164FB" w:rsidRPr="004513C7">
        <w:rPr>
          <w:rFonts w:cs="Arial"/>
          <w:bCs/>
          <w:lang w:val="fr-FR"/>
        </w:rPr>
        <w:t xml:space="preserve"> dans les conseils techniques de l</w:t>
      </w:r>
      <w:r w:rsidR="00497F1A">
        <w:rPr>
          <w:rFonts w:cs="Arial"/>
          <w:bCs/>
          <w:lang w:val="fr-FR"/>
        </w:rPr>
        <w:t>’</w:t>
      </w:r>
      <w:r w:rsidR="00D164FB" w:rsidRPr="004513C7">
        <w:rPr>
          <w:rFonts w:cs="Arial"/>
          <w:bCs/>
          <w:lang w:val="fr-FR"/>
        </w:rPr>
        <w:t>UPOV</w:t>
      </w:r>
      <w:r w:rsidRPr="004513C7">
        <w:rPr>
          <w:rFonts w:cs="Arial"/>
          <w:bCs/>
          <w:lang w:val="fr-FR"/>
        </w:rPr>
        <w:t xml:space="preserve"> (page</w:t>
      </w:r>
      <w:r w:rsidR="00E6636F" w:rsidRPr="004513C7">
        <w:rPr>
          <w:rFonts w:cs="Arial"/>
          <w:bCs/>
          <w:lang w:val="fr-FR"/>
        </w:rPr>
        <w:t> </w:t>
      </w:r>
      <w:r w:rsidRPr="004513C7">
        <w:rPr>
          <w:rFonts w:cs="Arial"/>
          <w:bCs/>
          <w:lang w:val="fr-FR"/>
        </w:rPr>
        <w:t xml:space="preserve">9 du document </w:t>
      </w:r>
      <w:r w:rsidR="00180A1F" w:rsidRPr="004513C7">
        <w:rPr>
          <w:rFonts w:cs="Arial"/>
          <w:lang w:val="fr-FR"/>
        </w:rPr>
        <w:t>TG/1/3</w:t>
      </w:r>
      <w:r w:rsidRPr="004513C7">
        <w:rPr>
          <w:rFonts w:cs="Arial"/>
          <w:lang w:val="fr-FR"/>
        </w:rPr>
        <w:t>)</w:t>
      </w:r>
      <w:r w:rsidR="00D164FB" w:rsidRPr="004513C7">
        <w:rPr>
          <w:rFonts w:cs="Arial"/>
          <w:lang w:val="fr-FR"/>
        </w:rPr>
        <w:t>.</w:t>
      </w:r>
    </w:p>
    <w:p w:rsidR="008F37AE" w:rsidRPr="004513C7" w:rsidRDefault="00B950FB" w:rsidP="00916968">
      <w:pPr>
        <w:rPr>
          <w:rFonts w:cs="Arial"/>
          <w:lang w:val="fr-FR"/>
        </w:rPr>
      </w:pPr>
      <w:r w:rsidRPr="004513C7">
        <w:rPr>
          <w:rFonts w:cs="Arial"/>
          <w:lang w:val="fr-FR"/>
        </w:rPr>
        <w:t xml:space="preserve">Nous allons </w:t>
      </w:r>
      <w:r w:rsidRPr="00195D97">
        <w:rPr>
          <w:rFonts w:cs="Arial"/>
          <w:lang w:val="fr-FR"/>
        </w:rPr>
        <w:t>examiner si le caractère Teneur</w:t>
      </w:r>
      <w:r w:rsidRPr="004513C7">
        <w:rPr>
          <w:rFonts w:cs="Arial"/>
          <w:lang w:val="fr-FR"/>
        </w:rPr>
        <w:t xml:space="preserve"> en </w:t>
      </w:r>
      <w:proofErr w:type="spellStart"/>
      <w:r w:rsidRPr="004513C7">
        <w:rPr>
          <w:rFonts w:cs="Arial"/>
          <w:lang w:val="fr-FR"/>
        </w:rPr>
        <w:t>glucoraphanine</w:t>
      </w:r>
      <w:proofErr w:type="spellEnd"/>
      <w:r w:rsidRPr="004513C7">
        <w:rPr>
          <w:rFonts w:cs="Arial"/>
          <w:lang w:val="fr-FR"/>
        </w:rPr>
        <w:t xml:space="preserve"> dans le brocoli remplit les conditions d</w:t>
      </w:r>
      <w:r w:rsidR="00497F1A">
        <w:rPr>
          <w:rFonts w:cs="Arial"/>
          <w:lang w:val="fr-FR"/>
        </w:rPr>
        <w:t>’</w:t>
      </w:r>
      <w:r w:rsidRPr="004513C7">
        <w:rPr>
          <w:rFonts w:cs="Arial"/>
          <w:lang w:val="fr-FR"/>
        </w:rPr>
        <w:t>un caractère selon l</w:t>
      </w:r>
      <w:r w:rsidR="00497F1A">
        <w:rPr>
          <w:rFonts w:cs="Arial"/>
          <w:lang w:val="fr-FR"/>
        </w:rPr>
        <w:t>’</w:t>
      </w:r>
      <w:r w:rsidRPr="004513C7">
        <w:rPr>
          <w:rFonts w:cs="Arial"/>
          <w:lang w:val="fr-FR"/>
        </w:rPr>
        <w:t>UPOV</w:t>
      </w:r>
      <w:r w:rsidR="00180A1F" w:rsidRPr="004513C7">
        <w:rPr>
          <w:rFonts w:cs="Arial"/>
          <w:lang w:val="fr-FR"/>
        </w:rPr>
        <w:t>.</w:t>
      </w:r>
    </w:p>
    <w:p w:rsidR="008F37AE" w:rsidRPr="004513C7" w:rsidRDefault="008F37AE" w:rsidP="00916968">
      <w:pPr>
        <w:rPr>
          <w:rFonts w:cs="Arial"/>
          <w:lang w:val="fr-FR"/>
        </w:rPr>
      </w:pPr>
    </w:p>
    <w:p w:rsidR="008F37AE" w:rsidRPr="004513C7" w:rsidRDefault="008F37AE" w:rsidP="00916968">
      <w:pPr>
        <w:ind w:left="119" w:right="5233"/>
        <w:rPr>
          <w:rFonts w:cs="Arial"/>
          <w:i/>
          <w:lang w:val="fr-FR"/>
        </w:rPr>
      </w:pPr>
      <w:r w:rsidRPr="004513C7">
        <w:rPr>
          <w:rFonts w:cs="Arial"/>
          <w:i/>
          <w:lang w:val="fr-FR"/>
        </w:rPr>
        <w:t>4.2</w:t>
      </w:r>
      <w:r w:rsidRPr="004513C7">
        <w:rPr>
          <w:rFonts w:cs="Arial"/>
          <w:i/>
          <w:lang w:val="fr-FR"/>
        </w:rPr>
        <w:tab/>
      </w:r>
      <w:r w:rsidR="004E5D9E" w:rsidRPr="004513C7">
        <w:rPr>
          <w:rFonts w:cs="Arial"/>
          <w:i/>
          <w:lang w:val="fr-FR"/>
        </w:rPr>
        <w:tab/>
      </w:r>
      <w:r w:rsidRPr="004513C7">
        <w:rPr>
          <w:rFonts w:cs="Arial"/>
          <w:i/>
          <w:lang w:val="fr-FR"/>
        </w:rPr>
        <w:t>Sélection des caractères</w:t>
      </w:r>
    </w:p>
    <w:p w:rsidR="008F37AE" w:rsidRPr="004513C7" w:rsidRDefault="008F37AE" w:rsidP="00916968">
      <w:pPr>
        <w:spacing w:before="7"/>
        <w:rPr>
          <w:rFonts w:cs="Arial"/>
          <w:lang w:val="fr-FR"/>
        </w:rPr>
      </w:pPr>
    </w:p>
    <w:p w:rsidR="008F37AE" w:rsidRPr="004513C7" w:rsidRDefault="005F1431" w:rsidP="00916968">
      <w:pPr>
        <w:ind w:left="119" w:right="60"/>
        <w:rPr>
          <w:rFonts w:cs="Arial"/>
          <w:i/>
          <w:lang w:val="fr-FR"/>
        </w:rPr>
      </w:pPr>
      <w:r w:rsidRPr="004513C7">
        <w:rPr>
          <w:rFonts w:cs="Arial"/>
          <w:i/>
          <w:lang w:val="fr-FR"/>
        </w:rPr>
        <w:t>4.2.1</w:t>
      </w:r>
      <w:r w:rsidRPr="004513C7">
        <w:rPr>
          <w:rFonts w:cs="Arial"/>
          <w:i/>
          <w:lang w:val="fr-FR"/>
        </w:rPr>
        <w:tab/>
      </w:r>
      <w:r w:rsidR="004E5D9E" w:rsidRPr="004513C7">
        <w:rPr>
          <w:rFonts w:cs="Arial"/>
          <w:i/>
          <w:lang w:val="fr-FR"/>
        </w:rPr>
        <w:tab/>
      </w:r>
      <w:r w:rsidRPr="004513C7">
        <w:rPr>
          <w:rFonts w:cs="Arial"/>
          <w:i/>
          <w:lang w:val="fr-FR"/>
        </w:rPr>
        <w:t>Pour qu</w:t>
      </w:r>
      <w:r w:rsidR="00497F1A">
        <w:rPr>
          <w:rFonts w:cs="Arial"/>
          <w:i/>
          <w:lang w:val="fr-FR"/>
        </w:rPr>
        <w:t>’</w:t>
      </w:r>
      <w:r w:rsidRPr="004513C7">
        <w:rPr>
          <w:rFonts w:cs="Arial"/>
          <w:i/>
          <w:lang w:val="fr-FR"/>
        </w:rPr>
        <w:t>un caractère puisse être utilisé aux fins de l</w:t>
      </w:r>
      <w:r w:rsidR="00497F1A">
        <w:rPr>
          <w:rFonts w:cs="Arial"/>
          <w:i/>
          <w:lang w:val="fr-FR"/>
        </w:rPr>
        <w:t>’</w:t>
      </w:r>
      <w:r w:rsidRPr="004513C7">
        <w:rPr>
          <w:rFonts w:cs="Arial"/>
          <w:i/>
          <w:lang w:val="fr-FR"/>
        </w:rPr>
        <w:t>examen</w:t>
      </w:r>
      <w:r w:rsidR="00E6636F" w:rsidRPr="004513C7">
        <w:rPr>
          <w:rFonts w:cs="Arial"/>
          <w:i/>
          <w:lang w:val="fr-FR"/>
        </w:rPr>
        <w:t> </w:t>
      </w:r>
      <w:r w:rsidRPr="004513C7">
        <w:rPr>
          <w:rFonts w:cs="Arial"/>
          <w:i/>
          <w:lang w:val="fr-FR"/>
        </w:rPr>
        <w:t>DHS ou de l</w:t>
      </w:r>
      <w:r w:rsidR="00497F1A">
        <w:rPr>
          <w:rFonts w:cs="Arial"/>
          <w:i/>
          <w:lang w:val="fr-FR"/>
        </w:rPr>
        <w:t>’</w:t>
      </w:r>
      <w:r w:rsidRPr="004513C7">
        <w:rPr>
          <w:rFonts w:cs="Arial"/>
          <w:i/>
          <w:lang w:val="fr-FR"/>
        </w:rPr>
        <w:t>établissement d</w:t>
      </w:r>
      <w:r w:rsidR="00497F1A">
        <w:rPr>
          <w:rFonts w:cs="Arial"/>
          <w:i/>
          <w:lang w:val="fr-FR"/>
        </w:rPr>
        <w:t>’</w:t>
      </w:r>
      <w:r w:rsidRPr="004513C7">
        <w:rPr>
          <w:rFonts w:cs="Arial"/>
          <w:i/>
          <w:lang w:val="fr-FR"/>
        </w:rPr>
        <w:t>une description variétale, il est essentiel que son expression :</w:t>
      </w:r>
    </w:p>
    <w:p w:rsidR="008F37AE" w:rsidRPr="004513C7" w:rsidRDefault="008F37AE" w:rsidP="00916968">
      <w:pPr>
        <w:spacing w:before="19"/>
        <w:rPr>
          <w:rFonts w:cs="Arial"/>
          <w:lang w:val="fr-FR"/>
        </w:rPr>
      </w:pPr>
    </w:p>
    <w:p w:rsidR="008F37AE" w:rsidRPr="004513C7" w:rsidRDefault="005F1431" w:rsidP="00916968">
      <w:pPr>
        <w:tabs>
          <w:tab w:val="left" w:pos="1040"/>
        </w:tabs>
        <w:ind w:left="522" w:right="-20"/>
        <w:rPr>
          <w:rFonts w:cs="Arial"/>
          <w:i/>
          <w:lang w:val="fr-FR"/>
        </w:rPr>
      </w:pPr>
      <w:r w:rsidRPr="004513C7">
        <w:rPr>
          <w:rFonts w:cs="Arial"/>
          <w:i/>
          <w:lang w:val="fr-FR"/>
        </w:rPr>
        <w:t>a)</w:t>
      </w:r>
      <w:r w:rsidRPr="004513C7">
        <w:rPr>
          <w:rFonts w:cs="Arial"/>
          <w:i/>
          <w:lang w:val="fr-FR"/>
        </w:rPr>
        <w:tab/>
        <w:t>résulte d</w:t>
      </w:r>
      <w:r w:rsidR="00497F1A">
        <w:rPr>
          <w:rFonts w:cs="Arial"/>
          <w:i/>
          <w:lang w:val="fr-FR"/>
        </w:rPr>
        <w:t>’</w:t>
      </w:r>
      <w:r w:rsidRPr="004513C7">
        <w:rPr>
          <w:rFonts w:cs="Arial"/>
          <w:i/>
          <w:lang w:val="fr-FR"/>
        </w:rPr>
        <w:t>un certain génotype ou d</w:t>
      </w:r>
      <w:r w:rsidR="00497F1A">
        <w:rPr>
          <w:rFonts w:cs="Arial"/>
          <w:i/>
          <w:lang w:val="fr-FR"/>
        </w:rPr>
        <w:t>’</w:t>
      </w:r>
      <w:r w:rsidRPr="004513C7">
        <w:rPr>
          <w:rFonts w:cs="Arial"/>
          <w:i/>
          <w:lang w:val="fr-FR"/>
        </w:rPr>
        <w:t>une certaine combinaison de génotypes;</w:t>
      </w:r>
    </w:p>
    <w:p w:rsidR="008F37AE" w:rsidRPr="004513C7" w:rsidRDefault="005F1431" w:rsidP="00916968">
      <w:pPr>
        <w:spacing w:before="8"/>
        <w:ind w:left="119" w:right="70"/>
        <w:rPr>
          <w:rFonts w:cs="Arial"/>
          <w:i/>
          <w:lang w:val="fr-FR"/>
        </w:rPr>
      </w:pPr>
      <w:r w:rsidRPr="004513C7">
        <w:rPr>
          <w:rFonts w:cs="Arial"/>
          <w:i/>
          <w:lang w:val="fr-FR"/>
        </w:rPr>
        <w:t>(</w:t>
      </w:r>
      <w:proofErr w:type="gramStart"/>
      <w:r w:rsidRPr="004513C7">
        <w:rPr>
          <w:rFonts w:cs="Arial"/>
          <w:i/>
          <w:lang w:val="fr-FR"/>
        </w:rPr>
        <w:t>cette</w:t>
      </w:r>
      <w:proofErr w:type="gramEnd"/>
      <w:r w:rsidRPr="004513C7">
        <w:rPr>
          <w:rFonts w:cs="Arial"/>
          <w:i/>
          <w:lang w:val="fr-FR"/>
        </w:rPr>
        <w:t xml:space="preserve"> condition est énoncée à l</w:t>
      </w:r>
      <w:r w:rsidR="00497F1A">
        <w:rPr>
          <w:rFonts w:cs="Arial"/>
          <w:i/>
          <w:lang w:val="fr-FR"/>
        </w:rPr>
        <w:t>’</w:t>
      </w:r>
      <w:r w:rsidRPr="004513C7">
        <w:rPr>
          <w:rFonts w:cs="Arial"/>
          <w:i/>
          <w:lang w:val="fr-FR"/>
        </w:rPr>
        <w:t>article 1.vi) de l</w:t>
      </w:r>
      <w:r w:rsidR="00497F1A">
        <w:rPr>
          <w:rFonts w:cs="Arial"/>
          <w:i/>
          <w:lang w:val="fr-FR"/>
        </w:rPr>
        <w:t>’</w:t>
      </w:r>
      <w:r w:rsidRPr="004513C7">
        <w:rPr>
          <w:rFonts w:cs="Arial"/>
          <w:i/>
          <w:lang w:val="fr-FR"/>
        </w:rPr>
        <w:t>Acte de</w:t>
      </w:r>
      <w:r w:rsidR="00E6636F" w:rsidRPr="004513C7">
        <w:rPr>
          <w:rFonts w:cs="Arial"/>
          <w:i/>
          <w:lang w:val="fr-FR"/>
        </w:rPr>
        <w:t> </w:t>
      </w:r>
      <w:r w:rsidRPr="004513C7">
        <w:rPr>
          <w:rFonts w:cs="Arial"/>
          <w:i/>
          <w:lang w:val="fr-FR"/>
        </w:rPr>
        <w:t xml:space="preserve">1991 de la </w:t>
      </w:r>
      <w:r w:rsidR="00497F1A">
        <w:rPr>
          <w:rFonts w:cs="Arial"/>
          <w:i/>
          <w:lang w:val="fr-FR"/>
        </w:rPr>
        <w:t>Convention UPOV</w:t>
      </w:r>
      <w:r w:rsidRPr="004513C7">
        <w:rPr>
          <w:rFonts w:cs="Arial"/>
          <w:i/>
          <w:lang w:val="fr-FR"/>
        </w:rPr>
        <w:t>, mais est fondamentale en toute hypothèse);</w:t>
      </w:r>
    </w:p>
    <w:p w:rsidR="008F37AE" w:rsidRPr="004513C7" w:rsidRDefault="008F37AE" w:rsidP="00916968">
      <w:pPr>
        <w:spacing w:before="8"/>
        <w:ind w:left="119" w:right="70"/>
        <w:rPr>
          <w:rFonts w:cs="Arial"/>
          <w:lang w:val="fr-FR"/>
        </w:rPr>
      </w:pPr>
    </w:p>
    <w:p w:rsidR="008F37AE" w:rsidRPr="004513C7" w:rsidRDefault="00B950FB" w:rsidP="00DB0AF2">
      <w:pPr>
        <w:spacing w:before="8"/>
        <w:ind w:right="70"/>
        <w:rPr>
          <w:rFonts w:cs="Arial"/>
          <w:b/>
          <w:lang w:val="fr-FR"/>
        </w:rPr>
      </w:pPr>
      <w:r w:rsidRPr="004513C7">
        <w:rPr>
          <w:rFonts w:cs="Arial"/>
          <w:b/>
          <w:lang w:val="fr-FR"/>
        </w:rPr>
        <w:t xml:space="preserve">La teneur en </w:t>
      </w:r>
      <w:proofErr w:type="spellStart"/>
      <w:r w:rsidRPr="004513C7">
        <w:rPr>
          <w:rFonts w:cs="Arial"/>
          <w:b/>
          <w:lang w:val="fr-FR"/>
        </w:rPr>
        <w:t>glucoraphanine</w:t>
      </w:r>
      <w:proofErr w:type="spellEnd"/>
      <w:r w:rsidRPr="004513C7">
        <w:rPr>
          <w:rFonts w:cs="Arial"/>
          <w:b/>
          <w:lang w:val="fr-FR"/>
        </w:rPr>
        <w:t xml:space="preserve"> est </w:t>
      </w:r>
      <w:r w:rsidR="00180A1F" w:rsidRPr="004513C7">
        <w:rPr>
          <w:rFonts w:cs="Arial"/>
          <w:b/>
          <w:lang w:val="fr-FR"/>
        </w:rPr>
        <w:t xml:space="preserve">stable </w:t>
      </w:r>
      <w:r w:rsidR="004E5D9E" w:rsidRPr="004513C7">
        <w:rPr>
          <w:rFonts w:cs="Arial"/>
          <w:b/>
          <w:lang w:val="fr-FR"/>
        </w:rPr>
        <w:t>au sein d</w:t>
      </w:r>
      <w:r w:rsidR="00497F1A">
        <w:rPr>
          <w:rFonts w:cs="Arial"/>
          <w:b/>
          <w:lang w:val="fr-FR"/>
        </w:rPr>
        <w:t>’</w:t>
      </w:r>
      <w:r w:rsidR="004E5D9E" w:rsidRPr="004513C7">
        <w:rPr>
          <w:rFonts w:cs="Arial"/>
          <w:b/>
          <w:lang w:val="fr-FR"/>
        </w:rPr>
        <w:t>une</w:t>
      </w:r>
      <w:r w:rsidRPr="004513C7">
        <w:rPr>
          <w:rFonts w:cs="Arial"/>
          <w:b/>
          <w:lang w:val="fr-FR"/>
        </w:rPr>
        <w:t xml:space="preserve"> variété sur plusieurs années mais varie entre les variétés</w:t>
      </w:r>
      <w:r w:rsidR="00180A1F" w:rsidRPr="004513C7">
        <w:rPr>
          <w:rFonts w:cs="Arial"/>
          <w:b/>
          <w:lang w:val="fr-FR"/>
        </w:rPr>
        <w:t>.</w:t>
      </w:r>
    </w:p>
    <w:p w:rsidR="008F37AE" w:rsidRPr="004513C7" w:rsidRDefault="008F37AE" w:rsidP="00916968">
      <w:pPr>
        <w:rPr>
          <w:rFonts w:cs="Arial"/>
          <w:lang w:val="fr-FR"/>
        </w:rPr>
      </w:pPr>
    </w:p>
    <w:p w:rsidR="008F37AE" w:rsidRPr="004513C7" w:rsidRDefault="005F1431" w:rsidP="00916968">
      <w:pPr>
        <w:tabs>
          <w:tab w:val="left" w:pos="1040"/>
        </w:tabs>
        <w:ind w:left="515" w:right="-20"/>
        <w:rPr>
          <w:rFonts w:cs="Arial"/>
          <w:i/>
          <w:lang w:val="fr-FR"/>
        </w:rPr>
      </w:pPr>
      <w:r w:rsidRPr="004513C7">
        <w:rPr>
          <w:rFonts w:cs="Arial"/>
          <w:i/>
          <w:lang w:val="fr-FR"/>
        </w:rPr>
        <w:t>b)</w:t>
      </w:r>
      <w:r w:rsidRPr="004513C7">
        <w:rPr>
          <w:rFonts w:cs="Arial"/>
          <w:i/>
          <w:lang w:val="fr-FR"/>
        </w:rPr>
        <w:tab/>
        <w:t>soit suffisamment claire et reproductible dans un milieu donné;</w:t>
      </w:r>
    </w:p>
    <w:p w:rsidR="008F37AE" w:rsidRPr="004513C7" w:rsidRDefault="008F37AE" w:rsidP="00916968">
      <w:pPr>
        <w:tabs>
          <w:tab w:val="left" w:pos="1040"/>
        </w:tabs>
        <w:ind w:left="515" w:right="-20"/>
        <w:rPr>
          <w:rFonts w:cs="Arial"/>
          <w:lang w:val="fr-FR"/>
        </w:rPr>
      </w:pPr>
    </w:p>
    <w:p w:rsidR="008F37AE" w:rsidRPr="004513C7" w:rsidRDefault="00B950FB" w:rsidP="00916968">
      <w:pPr>
        <w:tabs>
          <w:tab w:val="left" w:pos="1040"/>
        </w:tabs>
        <w:ind w:right="-20"/>
        <w:rPr>
          <w:rFonts w:cs="Arial"/>
          <w:b/>
          <w:lang w:val="fr-FR"/>
        </w:rPr>
      </w:pPr>
      <w:r w:rsidRPr="004513C7">
        <w:rPr>
          <w:rFonts w:cs="Arial"/>
          <w:b/>
          <w:lang w:val="fr-FR"/>
        </w:rPr>
        <w:t xml:space="preserve">La teneur en </w:t>
      </w:r>
      <w:proofErr w:type="spellStart"/>
      <w:r w:rsidRPr="004513C7">
        <w:rPr>
          <w:rFonts w:cs="Arial"/>
          <w:b/>
          <w:lang w:val="fr-FR"/>
        </w:rPr>
        <w:t>glucoraphanine</w:t>
      </w:r>
      <w:proofErr w:type="spellEnd"/>
      <w:r w:rsidRPr="004513C7">
        <w:rPr>
          <w:rFonts w:cs="Arial"/>
          <w:b/>
          <w:lang w:val="fr-FR"/>
        </w:rPr>
        <w:t xml:space="preserve"> est stable </w:t>
      </w:r>
      <w:r w:rsidR="004E5D9E" w:rsidRPr="004513C7">
        <w:rPr>
          <w:rFonts w:cs="Arial"/>
          <w:b/>
          <w:lang w:val="fr-FR"/>
        </w:rPr>
        <w:t>au sein d</w:t>
      </w:r>
      <w:r w:rsidR="00497F1A">
        <w:rPr>
          <w:rFonts w:cs="Arial"/>
          <w:b/>
          <w:lang w:val="fr-FR"/>
        </w:rPr>
        <w:t>’</w:t>
      </w:r>
      <w:r w:rsidR="004E5D9E" w:rsidRPr="004513C7">
        <w:rPr>
          <w:rFonts w:cs="Arial"/>
          <w:b/>
          <w:lang w:val="fr-FR"/>
        </w:rPr>
        <w:t xml:space="preserve">une </w:t>
      </w:r>
      <w:r w:rsidRPr="004513C7">
        <w:rPr>
          <w:rFonts w:cs="Arial"/>
          <w:b/>
          <w:lang w:val="fr-FR"/>
        </w:rPr>
        <w:t>variété sur trois</w:t>
      </w:r>
      <w:r w:rsidR="00E6636F" w:rsidRPr="004513C7">
        <w:rPr>
          <w:rFonts w:cs="Arial"/>
          <w:b/>
          <w:lang w:val="fr-FR"/>
        </w:rPr>
        <w:t> </w:t>
      </w:r>
      <w:r w:rsidRPr="004513C7">
        <w:rPr>
          <w:rFonts w:cs="Arial"/>
          <w:b/>
          <w:lang w:val="fr-FR"/>
        </w:rPr>
        <w:t xml:space="preserve">années </w:t>
      </w:r>
      <w:r w:rsidR="004E5D9E" w:rsidRPr="004513C7">
        <w:rPr>
          <w:rFonts w:cs="Arial"/>
          <w:b/>
          <w:lang w:val="fr-FR"/>
        </w:rPr>
        <w:t>considérées</w:t>
      </w:r>
      <w:r w:rsidR="00180A1F" w:rsidRPr="004513C7">
        <w:rPr>
          <w:rFonts w:cs="Arial"/>
          <w:b/>
          <w:lang w:val="fr-FR"/>
        </w:rPr>
        <w:t xml:space="preserve">. </w:t>
      </w:r>
      <w:r w:rsidRPr="004513C7">
        <w:rPr>
          <w:rFonts w:cs="Arial"/>
          <w:b/>
          <w:lang w:val="fr-FR"/>
        </w:rPr>
        <w:t xml:space="preserve"> Les résultats relatifs à la teneur </w:t>
      </w:r>
      <w:r w:rsidR="004E5D9E" w:rsidRPr="004513C7">
        <w:rPr>
          <w:rFonts w:cs="Arial"/>
          <w:b/>
          <w:lang w:val="fr-FR"/>
        </w:rPr>
        <w:t xml:space="preserve">figurant </w:t>
      </w:r>
      <w:r w:rsidRPr="004513C7">
        <w:rPr>
          <w:rFonts w:cs="Arial"/>
          <w:b/>
          <w:lang w:val="fr-FR"/>
        </w:rPr>
        <w:t>dans le questionnaire technique sont conformes aux données enregistrées dans le cadre de l</w:t>
      </w:r>
      <w:r w:rsidR="00497F1A">
        <w:rPr>
          <w:rFonts w:cs="Arial"/>
          <w:b/>
          <w:lang w:val="fr-FR"/>
        </w:rPr>
        <w:t>’</w:t>
      </w:r>
      <w:r w:rsidRPr="004513C7">
        <w:rPr>
          <w:rFonts w:cs="Arial"/>
          <w:b/>
          <w:lang w:val="fr-FR"/>
        </w:rPr>
        <w:t xml:space="preserve">essai </w:t>
      </w:r>
      <w:r w:rsidR="00455441" w:rsidRPr="004513C7">
        <w:rPr>
          <w:rFonts w:cs="Arial"/>
          <w:b/>
          <w:lang w:val="fr-FR"/>
        </w:rPr>
        <w:t>effectué</w:t>
      </w:r>
      <w:r w:rsidRPr="004513C7">
        <w:rPr>
          <w:rFonts w:cs="Arial"/>
          <w:b/>
          <w:lang w:val="fr-FR"/>
        </w:rPr>
        <w:t xml:space="preserve"> à </w:t>
      </w:r>
      <w:proofErr w:type="spellStart"/>
      <w:r w:rsidR="00180A1F" w:rsidRPr="004513C7">
        <w:rPr>
          <w:rFonts w:cs="Arial"/>
          <w:b/>
          <w:lang w:val="fr-FR"/>
        </w:rPr>
        <w:t>Naktuinbouw</w:t>
      </w:r>
      <w:proofErr w:type="spellEnd"/>
      <w:r w:rsidR="00180A1F" w:rsidRPr="004513C7">
        <w:rPr>
          <w:rFonts w:cs="Arial"/>
          <w:b/>
          <w:lang w:val="fr-FR"/>
        </w:rPr>
        <w:t>.</w:t>
      </w:r>
    </w:p>
    <w:p w:rsidR="005F1431" w:rsidRPr="004513C7" w:rsidRDefault="005F1431" w:rsidP="00916968">
      <w:pPr>
        <w:tabs>
          <w:tab w:val="left" w:pos="1040"/>
        </w:tabs>
        <w:ind w:right="-20"/>
        <w:rPr>
          <w:rFonts w:cs="Arial"/>
          <w:lang w:val="fr-FR"/>
        </w:rPr>
      </w:pPr>
    </w:p>
    <w:p w:rsidR="008F37AE" w:rsidRPr="004513C7" w:rsidRDefault="005F1431" w:rsidP="00916968">
      <w:pPr>
        <w:tabs>
          <w:tab w:val="left" w:pos="1040"/>
        </w:tabs>
        <w:spacing w:before="5"/>
        <w:ind w:left="515" w:right="984"/>
        <w:rPr>
          <w:rFonts w:cs="Arial"/>
          <w:i/>
          <w:lang w:val="fr-FR"/>
        </w:rPr>
      </w:pPr>
      <w:r w:rsidRPr="004513C7">
        <w:rPr>
          <w:rFonts w:cs="Arial"/>
          <w:i/>
          <w:lang w:val="fr-FR"/>
        </w:rPr>
        <w:t>c)</w:t>
      </w:r>
      <w:r w:rsidRPr="004513C7">
        <w:rPr>
          <w:rFonts w:cs="Arial"/>
          <w:i/>
          <w:lang w:val="fr-FR"/>
        </w:rPr>
        <w:tab/>
        <w:t>témoigne d</w:t>
      </w:r>
      <w:r w:rsidR="00497F1A">
        <w:rPr>
          <w:rFonts w:cs="Arial"/>
          <w:i/>
          <w:lang w:val="fr-FR"/>
        </w:rPr>
        <w:t>’</w:t>
      </w:r>
      <w:r w:rsidRPr="004513C7">
        <w:rPr>
          <w:rFonts w:cs="Arial"/>
          <w:i/>
          <w:lang w:val="fr-FR"/>
        </w:rPr>
        <w:t>une variabilité suffisante entre les variétés pour permettre d</w:t>
      </w:r>
      <w:r w:rsidR="00497F1A">
        <w:rPr>
          <w:rFonts w:cs="Arial"/>
          <w:i/>
          <w:lang w:val="fr-FR"/>
        </w:rPr>
        <w:t>’</w:t>
      </w:r>
      <w:r w:rsidRPr="004513C7">
        <w:rPr>
          <w:rFonts w:cs="Arial"/>
          <w:i/>
          <w:lang w:val="fr-FR"/>
        </w:rPr>
        <w:t>établir la distinction;</w:t>
      </w:r>
    </w:p>
    <w:p w:rsidR="005F1431" w:rsidRPr="004513C7" w:rsidRDefault="005F1431" w:rsidP="00916968">
      <w:pPr>
        <w:tabs>
          <w:tab w:val="left" w:pos="1040"/>
        </w:tabs>
        <w:spacing w:before="5"/>
        <w:ind w:right="984"/>
        <w:rPr>
          <w:rFonts w:cs="Arial"/>
          <w:highlight w:val="yellow"/>
          <w:lang w:val="fr-FR"/>
        </w:rPr>
      </w:pPr>
    </w:p>
    <w:p w:rsidR="008F37AE" w:rsidRPr="004513C7" w:rsidRDefault="00B950FB" w:rsidP="00916968">
      <w:pPr>
        <w:tabs>
          <w:tab w:val="left" w:pos="1040"/>
        </w:tabs>
        <w:spacing w:before="5"/>
        <w:ind w:right="984"/>
        <w:rPr>
          <w:rFonts w:cs="Arial"/>
          <w:b/>
          <w:lang w:val="fr-FR"/>
        </w:rPr>
      </w:pPr>
      <w:r w:rsidRPr="004513C7">
        <w:rPr>
          <w:rFonts w:cs="Arial"/>
          <w:b/>
          <w:lang w:val="fr-FR"/>
        </w:rPr>
        <w:t xml:space="preserve">Très </w:t>
      </w:r>
      <w:r w:rsidR="00037DD1" w:rsidRPr="004513C7">
        <w:rPr>
          <w:rFonts w:cs="Arial"/>
          <w:b/>
          <w:lang w:val="fr-FR"/>
        </w:rPr>
        <w:t>nette</w:t>
      </w:r>
      <w:r w:rsidR="00180A1F" w:rsidRPr="004513C7">
        <w:rPr>
          <w:rFonts w:cs="Arial"/>
          <w:b/>
          <w:lang w:val="fr-FR"/>
        </w:rPr>
        <w:t>.</w:t>
      </w:r>
    </w:p>
    <w:p w:rsidR="005F1431" w:rsidRPr="004513C7" w:rsidRDefault="005F1431" w:rsidP="00916968">
      <w:pPr>
        <w:tabs>
          <w:tab w:val="left" w:pos="1040"/>
        </w:tabs>
        <w:spacing w:before="5"/>
        <w:ind w:right="984"/>
        <w:rPr>
          <w:rFonts w:cs="Arial"/>
          <w:lang w:val="fr-FR"/>
        </w:rPr>
      </w:pPr>
    </w:p>
    <w:p w:rsidR="008F37AE" w:rsidRPr="004513C7" w:rsidRDefault="005F1431" w:rsidP="00916968">
      <w:pPr>
        <w:tabs>
          <w:tab w:val="left" w:pos="1040"/>
        </w:tabs>
        <w:spacing w:before="5"/>
        <w:ind w:left="515" w:right="984"/>
        <w:rPr>
          <w:rFonts w:cs="Arial"/>
          <w:i/>
          <w:lang w:val="fr-FR"/>
        </w:rPr>
      </w:pPr>
      <w:r w:rsidRPr="004513C7">
        <w:rPr>
          <w:rFonts w:cs="Arial"/>
          <w:i/>
          <w:lang w:val="fr-FR"/>
        </w:rPr>
        <w:t>d)</w:t>
      </w:r>
      <w:r w:rsidRPr="004513C7">
        <w:rPr>
          <w:rFonts w:cs="Arial"/>
          <w:i/>
          <w:lang w:val="fr-FR"/>
        </w:rPr>
        <w:tab/>
        <w:t>puisse être décrite et reconnue avec précision;</w:t>
      </w:r>
    </w:p>
    <w:p w:rsidR="008F37AE" w:rsidRPr="004513C7" w:rsidRDefault="005F1431" w:rsidP="00916968">
      <w:pPr>
        <w:spacing w:before="1"/>
        <w:ind w:left="112" w:right="77" w:firstLine="7"/>
        <w:rPr>
          <w:rFonts w:cs="Arial"/>
          <w:i/>
          <w:lang w:val="fr-FR"/>
        </w:rPr>
      </w:pPr>
      <w:r w:rsidRPr="004513C7">
        <w:rPr>
          <w:rFonts w:cs="Arial"/>
          <w:i/>
          <w:lang w:val="fr-FR"/>
        </w:rPr>
        <w:t>(</w:t>
      </w:r>
      <w:proofErr w:type="gramStart"/>
      <w:r w:rsidRPr="004513C7">
        <w:rPr>
          <w:rFonts w:cs="Arial"/>
          <w:i/>
          <w:lang w:val="fr-FR"/>
        </w:rPr>
        <w:t>cette</w:t>
      </w:r>
      <w:proofErr w:type="gramEnd"/>
      <w:r w:rsidRPr="004513C7">
        <w:rPr>
          <w:rFonts w:cs="Arial"/>
          <w:i/>
          <w:lang w:val="fr-FR"/>
        </w:rPr>
        <w:t xml:space="preserve"> condition est énoncée à l</w:t>
      </w:r>
      <w:r w:rsidR="00497F1A">
        <w:rPr>
          <w:rFonts w:cs="Arial"/>
          <w:i/>
          <w:lang w:val="fr-FR"/>
        </w:rPr>
        <w:t>’</w:t>
      </w:r>
      <w:r w:rsidRPr="004513C7">
        <w:rPr>
          <w:rFonts w:cs="Arial"/>
          <w:i/>
          <w:lang w:val="fr-FR"/>
        </w:rPr>
        <w:t>article</w:t>
      </w:r>
      <w:r w:rsidR="00E6636F" w:rsidRPr="004513C7">
        <w:rPr>
          <w:rFonts w:cs="Arial"/>
          <w:i/>
          <w:lang w:val="fr-FR"/>
        </w:rPr>
        <w:t> </w:t>
      </w:r>
      <w:r w:rsidRPr="004513C7">
        <w:rPr>
          <w:rFonts w:cs="Arial"/>
          <w:i/>
          <w:lang w:val="fr-FR"/>
        </w:rPr>
        <w:t>6 des actes de</w:t>
      </w:r>
      <w:r w:rsidR="00E6636F" w:rsidRPr="004513C7">
        <w:rPr>
          <w:rFonts w:cs="Arial"/>
          <w:i/>
          <w:lang w:val="fr-FR"/>
        </w:rPr>
        <w:t> </w:t>
      </w:r>
      <w:r w:rsidRPr="004513C7">
        <w:rPr>
          <w:rFonts w:cs="Arial"/>
          <w:i/>
          <w:lang w:val="fr-FR"/>
        </w:rPr>
        <w:t>1961/1972 et de</w:t>
      </w:r>
      <w:r w:rsidR="00E6636F" w:rsidRPr="004513C7">
        <w:rPr>
          <w:rFonts w:cs="Arial"/>
          <w:i/>
          <w:lang w:val="fr-FR"/>
        </w:rPr>
        <w:t> </w:t>
      </w:r>
      <w:r w:rsidRPr="004513C7">
        <w:rPr>
          <w:rFonts w:cs="Arial"/>
          <w:i/>
          <w:lang w:val="fr-FR"/>
        </w:rPr>
        <w:t xml:space="preserve">1978 de la </w:t>
      </w:r>
      <w:r w:rsidR="00497F1A">
        <w:rPr>
          <w:rFonts w:cs="Arial"/>
          <w:i/>
          <w:lang w:val="fr-FR"/>
        </w:rPr>
        <w:t>Convention UPOV</w:t>
      </w:r>
      <w:r w:rsidRPr="004513C7">
        <w:rPr>
          <w:rFonts w:cs="Arial"/>
          <w:i/>
          <w:lang w:val="fr-FR"/>
        </w:rPr>
        <w:t xml:space="preserve"> mais reste une condition fondamentale en toute hypothèse);</w:t>
      </w:r>
    </w:p>
    <w:p w:rsidR="008F37AE" w:rsidRPr="004513C7" w:rsidRDefault="008F37AE" w:rsidP="00916968">
      <w:pPr>
        <w:spacing w:before="19"/>
        <w:rPr>
          <w:rFonts w:cs="Arial"/>
          <w:lang w:val="fr-FR"/>
        </w:rPr>
      </w:pPr>
    </w:p>
    <w:p w:rsidR="008F37AE" w:rsidRPr="004513C7" w:rsidRDefault="00B950FB" w:rsidP="00916968">
      <w:pPr>
        <w:spacing w:before="19"/>
        <w:rPr>
          <w:rFonts w:cs="Arial"/>
          <w:b/>
          <w:lang w:val="fr-FR"/>
        </w:rPr>
      </w:pPr>
      <w:r w:rsidRPr="004513C7">
        <w:rPr>
          <w:rFonts w:cs="Arial"/>
          <w:b/>
          <w:lang w:val="fr-FR"/>
        </w:rPr>
        <w:t>Oui</w:t>
      </w:r>
      <w:r w:rsidR="00180A1F" w:rsidRPr="004513C7">
        <w:rPr>
          <w:rFonts w:cs="Arial"/>
          <w:b/>
          <w:lang w:val="fr-FR"/>
        </w:rPr>
        <w:t xml:space="preserve">, </w:t>
      </w:r>
      <w:r w:rsidRPr="004513C7">
        <w:rPr>
          <w:rFonts w:cs="Arial"/>
          <w:b/>
          <w:lang w:val="fr-FR"/>
        </w:rPr>
        <w:t>voir la méthode</w:t>
      </w:r>
      <w:r w:rsidR="00180A1F" w:rsidRPr="004513C7">
        <w:rPr>
          <w:rFonts w:cs="Arial"/>
          <w:b/>
          <w:lang w:val="fr-FR"/>
        </w:rPr>
        <w:t>.</w:t>
      </w:r>
    </w:p>
    <w:p w:rsidR="008F37AE" w:rsidRPr="004513C7" w:rsidRDefault="008F37AE" w:rsidP="00916968">
      <w:pPr>
        <w:spacing w:before="19"/>
        <w:rPr>
          <w:rFonts w:cs="Arial"/>
          <w:i/>
          <w:lang w:val="fr-FR"/>
        </w:rPr>
      </w:pPr>
    </w:p>
    <w:p w:rsidR="008F37AE" w:rsidRPr="004513C7" w:rsidRDefault="005F1431" w:rsidP="00916968">
      <w:pPr>
        <w:tabs>
          <w:tab w:val="left" w:pos="1040"/>
        </w:tabs>
        <w:ind w:left="515" w:right="-20"/>
        <w:rPr>
          <w:rFonts w:cs="Arial"/>
          <w:i/>
          <w:lang w:val="fr-FR"/>
        </w:rPr>
      </w:pPr>
      <w:r w:rsidRPr="004513C7">
        <w:rPr>
          <w:rFonts w:cs="Arial"/>
          <w:i/>
          <w:lang w:val="fr-FR"/>
        </w:rPr>
        <w:t>e)</w:t>
      </w:r>
      <w:r w:rsidRPr="004513C7">
        <w:rPr>
          <w:rFonts w:cs="Arial"/>
          <w:i/>
          <w:lang w:val="fr-FR"/>
        </w:rPr>
        <w:tab/>
        <w:t>permette de vérifier le critère d</w:t>
      </w:r>
      <w:r w:rsidR="00497F1A">
        <w:rPr>
          <w:rFonts w:cs="Arial"/>
          <w:i/>
          <w:lang w:val="fr-FR"/>
        </w:rPr>
        <w:t>’</w:t>
      </w:r>
      <w:r w:rsidRPr="004513C7">
        <w:rPr>
          <w:rFonts w:cs="Arial"/>
          <w:i/>
          <w:lang w:val="fr-FR"/>
        </w:rPr>
        <w:t>homogénéité;</w:t>
      </w:r>
    </w:p>
    <w:p w:rsidR="008F37AE" w:rsidRPr="004513C7" w:rsidRDefault="008F37AE" w:rsidP="00916968">
      <w:pPr>
        <w:tabs>
          <w:tab w:val="left" w:pos="1040"/>
        </w:tabs>
        <w:ind w:right="-20"/>
        <w:rPr>
          <w:rFonts w:cs="Arial"/>
          <w:lang w:val="fr-FR"/>
        </w:rPr>
      </w:pPr>
    </w:p>
    <w:p w:rsidR="00B950FB" w:rsidRPr="004513C7" w:rsidRDefault="00B950FB" w:rsidP="00916968">
      <w:pPr>
        <w:spacing w:before="19"/>
        <w:rPr>
          <w:rFonts w:cs="Arial"/>
          <w:b/>
          <w:lang w:val="fr-FR"/>
        </w:rPr>
      </w:pPr>
      <w:r w:rsidRPr="004513C7">
        <w:rPr>
          <w:rFonts w:cs="Arial"/>
          <w:b/>
          <w:lang w:val="fr-FR"/>
        </w:rPr>
        <w:t>À l</w:t>
      </w:r>
      <w:r w:rsidR="00497F1A">
        <w:rPr>
          <w:rFonts w:cs="Arial"/>
          <w:b/>
          <w:lang w:val="fr-FR"/>
        </w:rPr>
        <w:t>’</w:t>
      </w:r>
      <w:r w:rsidRPr="004513C7">
        <w:rPr>
          <w:rFonts w:cs="Arial"/>
          <w:b/>
          <w:lang w:val="fr-FR"/>
        </w:rPr>
        <w:t>heure actuelle, nous n</w:t>
      </w:r>
      <w:r w:rsidR="00497F1A">
        <w:rPr>
          <w:rFonts w:cs="Arial"/>
          <w:b/>
          <w:lang w:val="fr-FR"/>
        </w:rPr>
        <w:t>’</w:t>
      </w:r>
      <w:r w:rsidRPr="004513C7">
        <w:rPr>
          <w:rFonts w:cs="Arial"/>
          <w:b/>
          <w:lang w:val="fr-FR"/>
        </w:rPr>
        <w:t xml:space="preserve">avons </w:t>
      </w:r>
      <w:r w:rsidR="004E5D9E" w:rsidRPr="004513C7">
        <w:rPr>
          <w:rFonts w:cs="Arial"/>
          <w:b/>
          <w:lang w:val="fr-FR"/>
        </w:rPr>
        <w:t>aucune</w:t>
      </w:r>
      <w:r w:rsidRPr="004513C7">
        <w:rPr>
          <w:rFonts w:cs="Arial"/>
          <w:b/>
          <w:lang w:val="fr-FR"/>
        </w:rPr>
        <w:t xml:space="preserve"> raison de </w:t>
      </w:r>
      <w:r w:rsidR="00455441" w:rsidRPr="004513C7">
        <w:rPr>
          <w:rFonts w:cs="Arial"/>
          <w:b/>
          <w:lang w:val="fr-FR"/>
        </w:rPr>
        <w:t>mettre en doute</w:t>
      </w:r>
      <w:r w:rsidRPr="004513C7">
        <w:rPr>
          <w:rFonts w:cs="Arial"/>
          <w:b/>
          <w:lang w:val="fr-FR"/>
        </w:rPr>
        <w:t xml:space="preserve"> l</w:t>
      </w:r>
      <w:r w:rsidR="00497F1A">
        <w:rPr>
          <w:rFonts w:cs="Arial"/>
          <w:b/>
          <w:lang w:val="fr-FR"/>
        </w:rPr>
        <w:t>’</w:t>
      </w:r>
      <w:r w:rsidRPr="004513C7">
        <w:rPr>
          <w:rFonts w:cs="Arial"/>
          <w:b/>
          <w:lang w:val="fr-FR"/>
        </w:rPr>
        <w:t xml:space="preserve">homogénéité de ce caractère.  </w:t>
      </w:r>
      <w:r w:rsidR="004E5D9E" w:rsidRPr="004513C7">
        <w:rPr>
          <w:rFonts w:cs="Arial"/>
          <w:b/>
          <w:lang w:val="fr-FR"/>
        </w:rPr>
        <w:t>Comme indiqué plus haut</w:t>
      </w:r>
      <w:r w:rsidRPr="004513C7">
        <w:rPr>
          <w:rFonts w:cs="Arial"/>
          <w:b/>
          <w:lang w:val="fr-FR"/>
        </w:rPr>
        <w:t xml:space="preserve">, les résultats </w:t>
      </w:r>
      <w:r w:rsidR="00455441" w:rsidRPr="004513C7">
        <w:rPr>
          <w:rFonts w:cs="Arial"/>
          <w:b/>
          <w:lang w:val="fr-FR"/>
        </w:rPr>
        <w:t>par</w:t>
      </w:r>
      <w:r w:rsidR="004E5D9E" w:rsidRPr="004513C7">
        <w:rPr>
          <w:rFonts w:cs="Arial"/>
          <w:b/>
          <w:lang w:val="fr-FR"/>
        </w:rPr>
        <w:t xml:space="preserve"> </w:t>
      </w:r>
      <w:r w:rsidRPr="004513C7">
        <w:rPr>
          <w:rFonts w:cs="Arial"/>
          <w:b/>
          <w:lang w:val="fr-FR"/>
        </w:rPr>
        <w:t>variété sont stables sur plusieurs années avec seulement trois</w:t>
      </w:r>
      <w:r w:rsidR="00E6636F" w:rsidRPr="004513C7">
        <w:rPr>
          <w:rFonts w:cs="Arial"/>
          <w:b/>
          <w:lang w:val="fr-FR"/>
        </w:rPr>
        <w:t> </w:t>
      </w:r>
      <w:r w:rsidRPr="004513C7">
        <w:rPr>
          <w:rFonts w:cs="Arial"/>
          <w:b/>
          <w:lang w:val="fr-FR"/>
        </w:rPr>
        <w:t xml:space="preserve">plantes par variété.  Cela indique que le caractère est homogène entre les plantes de la variété.  </w:t>
      </w:r>
      <w:r w:rsidR="004E5D9E" w:rsidRPr="004513C7">
        <w:rPr>
          <w:rFonts w:cs="Arial"/>
          <w:b/>
          <w:lang w:val="fr-FR"/>
        </w:rPr>
        <w:t xml:space="preserve">En raison </w:t>
      </w:r>
      <w:r w:rsidRPr="004513C7">
        <w:rPr>
          <w:rFonts w:cs="Arial"/>
          <w:b/>
          <w:lang w:val="fr-FR"/>
        </w:rPr>
        <w:t>du coût, nous n</w:t>
      </w:r>
      <w:r w:rsidR="00497F1A">
        <w:rPr>
          <w:rFonts w:cs="Arial"/>
          <w:b/>
          <w:lang w:val="fr-FR"/>
        </w:rPr>
        <w:t>’</w:t>
      </w:r>
      <w:r w:rsidRPr="004513C7">
        <w:rPr>
          <w:rFonts w:cs="Arial"/>
          <w:b/>
          <w:lang w:val="fr-FR"/>
        </w:rPr>
        <w:t xml:space="preserve">avons </w:t>
      </w:r>
      <w:r w:rsidR="00856ABB" w:rsidRPr="004513C7">
        <w:rPr>
          <w:rFonts w:cs="Arial"/>
          <w:b/>
          <w:lang w:val="fr-FR"/>
        </w:rPr>
        <w:t xml:space="preserve">pas </w:t>
      </w:r>
      <w:r w:rsidRPr="004513C7">
        <w:rPr>
          <w:rFonts w:cs="Arial"/>
          <w:b/>
          <w:lang w:val="fr-FR"/>
        </w:rPr>
        <w:t xml:space="preserve">encore </w:t>
      </w:r>
      <w:r w:rsidR="004E5D9E" w:rsidRPr="004513C7">
        <w:rPr>
          <w:rFonts w:cs="Arial"/>
          <w:b/>
          <w:lang w:val="fr-FR"/>
        </w:rPr>
        <w:t>effectué</w:t>
      </w:r>
      <w:r w:rsidRPr="004513C7">
        <w:rPr>
          <w:rFonts w:cs="Arial"/>
          <w:b/>
          <w:lang w:val="fr-FR"/>
        </w:rPr>
        <w:t xml:space="preserve"> d</w:t>
      </w:r>
      <w:r w:rsidR="00497F1A">
        <w:rPr>
          <w:rFonts w:cs="Arial"/>
          <w:b/>
          <w:lang w:val="fr-FR"/>
        </w:rPr>
        <w:t>’</w:t>
      </w:r>
      <w:r w:rsidRPr="004513C7">
        <w:rPr>
          <w:rFonts w:cs="Arial"/>
          <w:b/>
          <w:lang w:val="fr-FR"/>
        </w:rPr>
        <w:t>essai sur l</w:t>
      </w:r>
      <w:r w:rsidR="00497F1A">
        <w:rPr>
          <w:rFonts w:cs="Arial"/>
          <w:b/>
          <w:lang w:val="fr-FR"/>
        </w:rPr>
        <w:t>’</w:t>
      </w:r>
      <w:r w:rsidRPr="004513C7">
        <w:rPr>
          <w:rFonts w:cs="Arial"/>
          <w:b/>
          <w:lang w:val="fr-FR"/>
        </w:rPr>
        <w:t xml:space="preserve">homogénéité de </w:t>
      </w:r>
      <w:r w:rsidR="00856ABB" w:rsidRPr="004513C7">
        <w:rPr>
          <w:rFonts w:cs="Arial"/>
          <w:b/>
          <w:lang w:val="fr-FR"/>
        </w:rPr>
        <w:t>20 </w:t>
      </w:r>
      <w:r w:rsidRPr="004513C7">
        <w:rPr>
          <w:rFonts w:cs="Arial"/>
          <w:b/>
          <w:lang w:val="fr-FR"/>
        </w:rPr>
        <w:t>plantes appartenant à plusieurs variétés.  Toutefois, cet essai est techniquement réalisable.</w:t>
      </w:r>
    </w:p>
    <w:p w:rsidR="008F37AE" w:rsidRPr="004513C7" w:rsidRDefault="008F37AE" w:rsidP="00916968">
      <w:pPr>
        <w:spacing w:before="19"/>
        <w:rPr>
          <w:rFonts w:cs="Arial"/>
          <w:lang w:val="fr-FR"/>
        </w:rPr>
      </w:pPr>
    </w:p>
    <w:p w:rsidR="008F37AE" w:rsidRPr="004513C7" w:rsidRDefault="005F1431" w:rsidP="00916968">
      <w:pPr>
        <w:ind w:left="112" w:right="85" w:firstLine="403"/>
        <w:rPr>
          <w:rFonts w:cs="Arial"/>
          <w:i/>
          <w:lang w:val="fr-FR"/>
        </w:rPr>
      </w:pPr>
      <w:r w:rsidRPr="004513C7">
        <w:rPr>
          <w:rFonts w:cs="Arial"/>
          <w:i/>
          <w:lang w:val="fr-FR"/>
        </w:rPr>
        <w:t>f)</w:t>
      </w:r>
      <w:r w:rsidRPr="004513C7">
        <w:rPr>
          <w:rFonts w:cs="Arial"/>
          <w:i/>
          <w:lang w:val="fr-FR"/>
        </w:rPr>
        <w:tab/>
        <w:t>permette de vérifier le critère de stabilité, c</w:t>
      </w:r>
      <w:r w:rsidR="00497F1A">
        <w:rPr>
          <w:rFonts w:cs="Arial"/>
          <w:i/>
          <w:lang w:val="fr-FR"/>
        </w:rPr>
        <w:t>’</w:t>
      </w:r>
      <w:r w:rsidRPr="004513C7">
        <w:rPr>
          <w:rFonts w:cs="Arial"/>
          <w:i/>
          <w:lang w:val="fr-FR"/>
        </w:rPr>
        <w:t>est</w:t>
      </w:r>
      <w:r w:rsidR="008352C1">
        <w:rPr>
          <w:rFonts w:cs="Arial"/>
          <w:i/>
          <w:lang w:val="fr-FR"/>
        </w:rPr>
        <w:noBreakHyphen/>
      </w:r>
      <w:r w:rsidRPr="004513C7">
        <w:rPr>
          <w:rFonts w:cs="Arial"/>
          <w:i/>
          <w:lang w:val="fr-FR"/>
        </w:rPr>
        <w:t>à</w:t>
      </w:r>
      <w:r w:rsidR="008352C1">
        <w:rPr>
          <w:rFonts w:cs="Arial"/>
          <w:i/>
          <w:lang w:val="fr-FR"/>
        </w:rPr>
        <w:noBreakHyphen/>
      </w:r>
      <w:r w:rsidRPr="004513C7">
        <w:rPr>
          <w:rFonts w:cs="Arial"/>
          <w:i/>
          <w:lang w:val="fr-FR"/>
        </w:rPr>
        <w:t>dire produise des résultats cohérents et reproductibles à la suite de reproductions ou multiplications successives ou, le cas échéant, à la fin de chaque cycle de reproduction ou de multiplication.</w:t>
      </w:r>
    </w:p>
    <w:p w:rsidR="008F37AE" w:rsidRPr="004513C7" w:rsidRDefault="008F37AE" w:rsidP="00916968">
      <w:pPr>
        <w:ind w:right="85"/>
        <w:rPr>
          <w:rFonts w:cs="Arial"/>
          <w:lang w:val="fr-FR"/>
        </w:rPr>
      </w:pPr>
    </w:p>
    <w:p w:rsidR="001C46B6" w:rsidRPr="004513C7" w:rsidRDefault="00037DD1" w:rsidP="00916968">
      <w:pPr>
        <w:ind w:right="85"/>
        <w:rPr>
          <w:rFonts w:cs="Arial"/>
          <w:b/>
          <w:lang w:val="fr-FR"/>
        </w:rPr>
      </w:pPr>
      <w:r w:rsidRPr="004513C7">
        <w:rPr>
          <w:rFonts w:cs="Arial"/>
          <w:b/>
          <w:lang w:val="fr-FR"/>
        </w:rPr>
        <w:t>Oui</w:t>
      </w:r>
      <w:r w:rsidR="00180A1F" w:rsidRPr="004513C7">
        <w:rPr>
          <w:rFonts w:cs="Arial"/>
          <w:b/>
          <w:lang w:val="fr-FR"/>
        </w:rPr>
        <w:t xml:space="preserve">. </w:t>
      </w:r>
      <w:r w:rsidRPr="004513C7">
        <w:rPr>
          <w:rFonts w:cs="Arial"/>
          <w:b/>
          <w:lang w:val="fr-FR"/>
        </w:rPr>
        <w:t xml:space="preserve"> La teneur</w:t>
      </w:r>
      <w:r w:rsidR="004E5D9E" w:rsidRPr="004513C7">
        <w:rPr>
          <w:rFonts w:cs="Arial"/>
          <w:b/>
          <w:lang w:val="fr-FR"/>
        </w:rPr>
        <w:t xml:space="preserve"> en</w:t>
      </w:r>
      <w:r w:rsidRPr="004513C7">
        <w:rPr>
          <w:rFonts w:cs="Arial"/>
          <w:b/>
          <w:lang w:val="fr-FR"/>
        </w:rPr>
        <w:t xml:space="preserve"> </w:t>
      </w:r>
      <w:proofErr w:type="spellStart"/>
      <w:r w:rsidRPr="004513C7">
        <w:rPr>
          <w:rFonts w:cs="Arial"/>
          <w:b/>
          <w:lang w:val="fr-FR"/>
        </w:rPr>
        <w:t>glucoraphanine</w:t>
      </w:r>
      <w:proofErr w:type="spellEnd"/>
      <w:r w:rsidRPr="004513C7">
        <w:rPr>
          <w:rFonts w:cs="Arial"/>
          <w:b/>
          <w:lang w:val="fr-FR"/>
        </w:rPr>
        <w:t xml:space="preserve"> est vérifiée sur plusieurs années</w:t>
      </w:r>
      <w:r w:rsidR="00180A1F" w:rsidRPr="004513C7">
        <w:rPr>
          <w:rFonts w:cs="Arial"/>
          <w:b/>
          <w:lang w:val="fr-FR"/>
        </w:rPr>
        <w:t>.</w:t>
      </w:r>
    </w:p>
    <w:p w:rsidR="008F37AE" w:rsidRPr="004513C7" w:rsidRDefault="008F37AE" w:rsidP="00916968">
      <w:pPr>
        <w:spacing w:before="17"/>
        <w:rPr>
          <w:rFonts w:cs="Arial"/>
          <w:lang w:val="fr-FR"/>
        </w:rPr>
      </w:pPr>
    </w:p>
    <w:p w:rsidR="009A7407" w:rsidRPr="004513C7" w:rsidRDefault="009A7407" w:rsidP="00916968">
      <w:pPr>
        <w:spacing w:before="17"/>
        <w:rPr>
          <w:rFonts w:cs="Arial"/>
          <w:lang w:val="fr-FR"/>
        </w:rPr>
      </w:pPr>
    </w:p>
    <w:p w:rsidR="00916968" w:rsidRPr="004513C7" w:rsidRDefault="00916968">
      <w:pPr>
        <w:jc w:val="left"/>
        <w:rPr>
          <w:rFonts w:cs="Arial"/>
          <w:lang w:val="fr-FR"/>
        </w:rPr>
      </w:pPr>
      <w:r w:rsidRPr="004513C7">
        <w:rPr>
          <w:rFonts w:cs="Arial"/>
          <w:lang w:val="fr-FR"/>
        </w:rPr>
        <w:br w:type="page"/>
      </w:r>
    </w:p>
    <w:p w:rsidR="008F37AE" w:rsidRPr="004513C7" w:rsidRDefault="005F1431" w:rsidP="00916968">
      <w:pPr>
        <w:spacing w:before="17"/>
        <w:rPr>
          <w:rFonts w:cs="Arial"/>
          <w:lang w:val="fr-FR"/>
        </w:rPr>
      </w:pPr>
      <w:r w:rsidRPr="004513C7">
        <w:rPr>
          <w:rFonts w:cs="Arial"/>
          <w:lang w:val="fr-FR"/>
        </w:rPr>
        <w:t>Conclusion</w:t>
      </w:r>
      <w:r w:rsidR="00E6636F" w:rsidRPr="004513C7">
        <w:rPr>
          <w:rFonts w:cs="Arial"/>
          <w:lang w:val="fr-FR"/>
        </w:rPr>
        <w:t> </w:t>
      </w:r>
      <w:r w:rsidRPr="004513C7">
        <w:rPr>
          <w:rFonts w:cs="Arial"/>
          <w:lang w:val="fr-FR"/>
        </w:rPr>
        <w:t>:</w:t>
      </w:r>
    </w:p>
    <w:p w:rsidR="009A7407" w:rsidRPr="004513C7" w:rsidRDefault="009A7407" w:rsidP="00916968">
      <w:pPr>
        <w:spacing w:before="17"/>
        <w:rPr>
          <w:rFonts w:cs="Arial"/>
          <w:lang w:val="fr-FR"/>
        </w:rPr>
      </w:pPr>
    </w:p>
    <w:p w:rsidR="00FD451C" w:rsidRPr="004513C7" w:rsidRDefault="00037DD1" w:rsidP="00916968">
      <w:pPr>
        <w:spacing w:before="17"/>
        <w:rPr>
          <w:rFonts w:cs="Arial"/>
          <w:lang w:val="fr-FR"/>
        </w:rPr>
      </w:pPr>
      <w:r w:rsidRPr="004513C7">
        <w:rPr>
          <w:rFonts w:cs="Arial"/>
          <w:lang w:val="fr-FR"/>
        </w:rPr>
        <w:t xml:space="preserve">En principe, toutes les conditions </w:t>
      </w:r>
      <w:r w:rsidR="00455441" w:rsidRPr="004513C7">
        <w:rPr>
          <w:rFonts w:cs="Arial"/>
          <w:lang w:val="fr-FR"/>
        </w:rPr>
        <w:t>défini</w:t>
      </w:r>
      <w:r w:rsidRPr="004513C7">
        <w:rPr>
          <w:rFonts w:cs="Arial"/>
          <w:lang w:val="fr-FR"/>
        </w:rPr>
        <w:t>es par l</w:t>
      </w:r>
      <w:r w:rsidR="00497F1A">
        <w:rPr>
          <w:rFonts w:cs="Arial"/>
          <w:lang w:val="fr-FR"/>
        </w:rPr>
        <w:t>’</w:t>
      </w:r>
      <w:r w:rsidRPr="004513C7">
        <w:rPr>
          <w:rFonts w:cs="Arial"/>
          <w:lang w:val="fr-FR"/>
        </w:rPr>
        <w:t>UPOV sont remplies</w:t>
      </w:r>
      <w:r w:rsidR="00180A1F" w:rsidRPr="004513C7">
        <w:rPr>
          <w:rFonts w:cs="Arial"/>
          <w:lang w:val="fr-FR"/>
        </w:rPr>
        <w:t xml:space="preserve">. </w:t>
      </w:r>
      <w:r w:rsidRPr="004513C7">
        <w:rPr>
          <w:rFonts w:cs="Arial"/>
          <w:lang w:val="fr-FR"/>
        </w:rPr>
        <w:t xml:space="preserve"> Le respect du critère d</w:t>
      </w:r>
      <w:r w:rsidR="00497F1A">
        <w:rPr>
          <w:rFonts w:cs="Arial"/>
          <w:lang w:val="fr-FR"/>
        </w:rPr>
        <w:t>’</w:t>
      </w:r>
      <w:r w:rsidRPr="004513C7">
        <w:rPr>
          <w:rFonts w:cs="Arial"/>
          <w:lang w:val="fr-FR"/>
        </w:rPr>
        <w:t>homogénéité n</w:t>
      </w:r>
      <w:r w:rsidR="00497F1A">
        <w:rPr>
          <w:rFonts w:cs="Arial"/>
          <w:lang w:val="fr-FR"/>
        </w:rPr>
        <w:t>’</w:t>
      </w:r>
      <w:r w:rsidRPr="004513C7">
        <w:rPr>
          <w:rFonts w:cs="Arial"/>
          <w:lang w:val="fr-FR"/>
        </w:rPr>
        <w:t xml:space="preserve">est pas </w:t>
      </w:r>
      <w:r w:rsidR="004E5D9E" w:rsidRPr="004513C7">
        <w:rPr>
          <w:rFonts w:cs="Arial"/>
          <w:lang w:val="fr-FR"/>
        </w:rPr>
        <w:t>totalement</w:t>
      </w:r>
      <w:r w:rsidRPr="004513C7">
        <w:rPr>
          <w:rFonts w:cs="Arial"/>
          <w:lang w:val="fr-FR"/>
        </w:rPr>
        <w:t xml:space="preserve"> avéré.</w:t>
      </w:r>
    </w:p>
    <w:p w:rsidR="00FD451C" w:rsidRPr="004513C7" w:rsidRDefault="00FD451C" w:rsidP="00916968">
      <w:pPr>
        <w:spacing w:before="17"/>
        <w:rPr>
          <w:rFonts w:cs="Arial"/>
          <w:lang w:val="fr-FR"/>
        </w:rPr>
      </w:pPr>
    </w:p>
    <w:p w:rsidR="00916968" w:rsidRPr="004513C7" w:rsidRDefault="00916968" w:rsidP="00916968">
      <w:pPr>
        <w:spacing w:before="17"/>
        <w:rPr>
          <w:rFonts w:cs="Arial"/>
          <w:lang w:val="fr-FR"/>
        </w:rPr>
      </w:pPr>
    </w:p>
    <w:p w:rsidR="008F37AE" w:rsidRPr="004513C7" w:rsidRDefault="00180A1F" w:rsidP="00916968">
      <w:pPr>
        <w:pStyle w:val="ListParagraph"/>
        <w:widowControl w:val="0"/>
        <w:numPr>
          <w:ilvl w:val="0"/>
          <w:numId w:val="2"/>
        </w:numPr>
        <w:ind w:left="1134" w:hanging="567"/>
        <w:rPr>
          <w:rFonts w:cs="Arial"/>
          <w:lang w:val="fr-FR"/>
        </w:rPr>
      </w:pPr>
      <w:r w:rsidRPr="004513C7">
        <w:rPr>
          <w:rFonts w:cs="Arial"/>
          <w:lang w:val="fr-FR"/>
        </w:rPr>
        <w:t xml:space="preserve">Description </w:t>
      </w:r>
      <w:r w:rsidR="00037DD1" w:rsidRPr="004513C7">
        <w:rPr>
          <w:rFonts w:cs="Arial"/>
          <w:lang w:val="fr-FR"/>
        </w:rPr>
        <w:t>du caractère</w:t>
      </w:r>
    </w:p>
    <w:p w:rsidR="008F37AE" w:rsidRPr="004513C7" w:rsidRDefault="008F37AE" w:rsidP="00916968">
      <w:pPr>
        <w:spacing w:before="1"/>
        <w:jc w:val="left"/>
        <w:rPr>
          <w:rFonts w:cs="Arial"/>
          <w:lang w:val="fr-FR"/>
        </w:rPr>
      </w:pPr>
    </w:p>
    <w:p w:rsidR="001C46B6" w:rsidRPr="004513C7" w:rsidRDefault="005F1431" w:rsidP="00916968">
      <w:pPr>
        <w:jc w:val="left"/>
        <w:rPr>
          <w:rFonts w:cs="Arial"/>
          <w:b/>
          <w:lang w:val="fr-FR"/>
        </w:rPr>
      </w:pPr>
      <w:r w:rsidRPr="004513C7">
        <w:rPr>
          <w:rFonts w:cs="Arial"/>
          <w:b/>
          <w:lang w:val="fr-FR"/>
        </w:rPr>
        <w:t>Type de caractère</w:t>
      </w:r>
    </w:p>
    <w:p w:rsidR="001C46B6" w:rsidRPr="004513C7" w:rsidRDefault="005F1431" w:rsidP="00916968">
      <w:pPr>
        <w:jc w:val="left"/>
        <w:rPr>
          <w:rFonts w:cs="Arial"/>
          <w:lang w:val="fr-FR"/>
        </w:rPr>
      </w:pPr>
      <w:r w:rsidRPr="004513C7">
        <w:rPr>
          <w:rFonts w:cs="Arial"/>
          <w:lang w:val="fr-FR"/>
        </w:rPr>
        <w:t>Caractère quantitatif</w:t>
      </w:r>
    </w:p>
    <w:p w:rsidR="009A7407" w:rsidRPr="004513C7" w:rsidRDefault="009A7407" w:rsidP="00916968">
      <w:pPr>
        <w:jc w:val="left"/>
        <w:rPr>
          <w:rFonts w:cs="Arial"/>
          <w:lang w:val="fr-FR"/>
        </w:rPr>
      </w:pPr>
    </w:p>
    <w:p w:rsidR="008F37AE" w:rsidRPr="004513C7" w:rsidRDefault="005F1431" w:rsidP="00916968">
      <w:pPr>
        <w:jc w:val="left"/>
        <w:rPr>
          <w:rFonts w:cs="Arial"/>
          <w:b/>
          <w:lang w:val="fr-FR"/>
        </w:rPr>
      </w:pPr>
      <w:r w:rsidRPr="004513C7">
        <w:rPr>
          <w:rFonts w:cs="Arial"/>
          <w:b/>
          <w:lang w:val="fr-FR"/>
        </w:rPr>
        <w:t>Caractère</w:t>
      </w:r>
      <w:r w:rsidR="00E6636F" w:rsidRPr="004513C7">
        <w:rPr>
          <w:rFonts w:cs="Arial"/>
          <w:lang w:val="fr-FR"/>
        </w:rPr>
        <w:t> </w:t>
      </w:r>
      <w:r w:rsidRPr="004513C7">
        <w:rPr>
          <w:rFonts w:cs="Arial"/>
          <w:lang w:val="fr-FR"/>
        </w:rPr>
        <w:t>:</w:t>
      </w:r>
    </w:p>
    <w:p w:rsidR="008F37AE" w:rsidRPr="004513C7" w:rsidRDefault="00037DD1" w:rsidP="00916968">
      <w:pPr>
        <w:jc w:val="left"/>
        <w:rPr>
          <w:rFonts w:cs="Arial"/>
          <w:lang w:val="fr-FR"/>
        </w:rPr>
      </w:pPr>
      <w:r w:rsidRPr="004513C7">
        <w:rPr>
          <w:rFonts w:cs="Arial"/>
          <w:lang w:val="fr-FR"/>
        </w:rPr>
        <w:t xml:space="preserve">Teneur en </w:t>
      </w:r>
      <w:proofErr w:type="spellStart"/>
      <w:r w:rsidRPr="004513C7">
        <w:rPr>
          <w:rFonts w:cs="Arial"/>
          <w:lang w:val="fr-FR"/>
        </w:rPr>
        <w:t>g</w:t>
      </w:r>
      <w:r w:rsidR="00180A1F" w:rsidRPr="004513C7">
        <w:rPr>
          <w:rFonts w:cs="Arial"/>
          <w:lang w:val="fr-FR"/>
        </w:rPr>
        <w:t>lucoraphanin</w:t>
      </w:r>
      <w:r w:rsidRPr="004513C7">
        <w:rPr>
          <w:rFonts w:cs="Arial"/>
          <w:lang w:val="fr-FR"/>
        </w:rPr>
        <w:t>e</w:t>
      </w:r>
      <w:proofErr w:type="spellEnd"/>
    </w:p>
    <w:p w:rsidR="008F37AE" w:rsidRPr="004513C7" w:rsidRDefault="008F37AE" w:rsidP="00916968">
      <w:pPr>
        <w:jc w:val="left"/>
        <w:rPr>
          <w:rFonts w:cs="Arial"/>
          <w:lang w:val="fr-FR"/>
        </w:rPr>
      </w:pPr>
    </w:p>
    <w:p w:rsidR="001C46B6" w:rsidRPr="004513C7" w:rsidRDefault="003A30C6" w:rsidP="00916968">
      <w:pPr>
        <w:jc w:val="left"/>
        <w:rPr>
          <w:rFonts w:cs="Arial"/>
          <w:lang w:val="fr-FR"/>
        </w:rPr>
      </w:pPr>
      <w:r w:rsidRPr="004513C7">
        <w:rPr>
          <w:rFonts w:cs="Arial"/>
          <w:lang w:val="fr-FR"/>
        </w:rPr>
        <w:t>1</w:t>
      </w:r>
      <w:r w:rsidR="00180A1F" w:rsidRPr="004513C7">
        <w:rPr>
          <w:rFonts w:cs="Arial"/>
          <w:lang w:val="fr-FR"/>
        </w:rPr>
        <w:t>.</w:t>
      </w:r>
      <w:r w:rsidR="005F1431" w:rsidRPr="004513C7">
        <w:rPr>
          <w:rFonts w:cs="Arial"/>
          <w:lang w:val="fr-FR"/>
        </w:rPr>
        <w:tab/>
      </w:r>
      <w:r w:rsidR="00037DD1" w:rsidRPr="004513C7">
        <w:rPr>
          <w:rFonts w:cs="Arial"/>
          <w:lang w:val="fr-FR"/>
        </w:rPr>
        <w:t>Faible</w:t>
      </w:r>
    </w:p>
    <w:p w:rsidR="008F37AE" w:rsidRPr="004513C7" w:rsidRDefault="003A30C6" w:rsidP="00916968">
      <w:pPr>
        <w:jc w:val="left"/>
        <w:rPr>
          <w:rFonts w:cs="Arial"/>
          <w:lang w:val="fr-FR"/>
        </w:rPr>
      </w:pPr>
      <w:r w:rsidRPr="004513C7">
        <w:rPr>
          <w:rFonts w:cs="Arial"/>
          <w:lang w:val="fr-FR"/>
        </w:rPr>
        <w:t>2</w:t>
      </w:r>
      <w:r w:rsidR="00180A1F" w:rsidRPr="004513C7">
        <w:rPr>
          <w:rFonts w:cs="Arial"/>
          <w:lang w:val="fr-FR"/>
        </w:rPr>
        <w:t>.</w:t>
      </w:r>
      <w:r w:rsidR="005F1431" w:rsidRPr="004513C7">
        <w:rPr>
          <w:rFonts w:cs="Arial"/>
          <w:lang w:val="fr-FR"/>
        </w:rPr>
        <w:tab/>
      </w:r>
      <w:r w:rsidR="00180A1F" w:rsidRPr="004513C7">
        <w:rPr>
          <w:rFonts w:cs="Arial"/>
          <w:lang w:val="fr-FR"/>
        </w:rPr>
        <w:t>M</w:t>
      </w:r>
      <w:r w:rsidR="00037DD1" w:rsidRPr="004513C7">
        <w:rPr>
          <w:rFonts w:cs="Arial"/>
          <w:lang w:val="fr-FR"/>
        </w:rPr>
        <w:t>oyenne</w:t>
      </w:r>
    </w:p>
    <w:p w:rsidR="001C46B6" w:rsidRPr="004513C7" w:rsidRDefault="003A30C6" w:rsidP="00916968">
      <w:pPr>
        <w:jc w:val="left"/>
        <w:rPr>
          <w:rFonts w:cs="Arial"/>
          <w:lang w:val="fr-FR"/>
        </w:rPr>
      </w:pPr>
      <w:r w:rsidRPr="004513C7">
        <w:rPr>
          <w:rFonts w:cs="Arial"/>
          <w:lang w:val="fr-FR"/>
        </w:rPr>
        <w:t>3</w:t>
      </w:r>
      <w:r w:rsidR="00180A1F" w:rsidRPr="004513C7">
        <w:rPr>
          <w:rFonts w:cs="Arial"/>
          <w:lang w:val="fr-FR"/>
        </w:rPr>
        <w:t>.</w:t>
      </w:r>
      <w:r w:rsidR="005F1431" w:rsidRPr="004513C7">
        <w:rPr>
          <w:rFonts w:cs="Arial"/>
          <w:lang w:val="fr-FR"/>
        </w:rPr>
        <w:tab/>
      </w:r>
      <w:r w:rsidR="00037DD1" w:rsidRPr="004513C7">
        <w:rPr>
          <w:rFonts w:cs="Arial"/>
          <w:lang w:val="fr-FR"/>
        </w:rPr>
        <w:t>Élevée</w:t>
      </w:r>
    </w:p>
    <w:p w:rsidR="008F37AE" w:rsidRPr="004513C7" w:rsidRDefault="008F37AE" w:rsidP="00916968">
      <w:pPr>
        <w:jc w:val="left"/>
        <w:rPr>
          <w:rFonts w:cs="Arial"/>
          <w:lang w:val="fr-FR"/>
        </w:rPr>
      </w:pPr>
    </w:p>
    <w:p w:rsidR="008F37AE" w:rsidRPr="004513C7" w:rsidRDefault="005F1431" w:rsidP="00916968">
      <w:pPr>
        <w:jc w:val="left"/>
        <w:rPr>
          <w:rFonts w:cs="Arial"/>
          <w:b/>
          <w:lang w:val="fr-FR"/>
        </w:rPr>
      </w:pPr>
      <w:r w:rsidRPr="004513C7">
        <w:rPr>
          <w:rFonts w:cs="Arial"/>
          <w:b/>
          <w:lang w:val="fr-FR"/>
        </w:rPr>
        <w:t>Stade de croissance</w:t>
      </w:r>
    </w:p>
    <w:p w:rsidR="008F37AE" w:rsidRPr="004513C7" w:rsidRDefault="005F1431" w:rsidP="00916968">
      <w:pPr>
        <w:jc w:val="left"/>
        <w:rPr>
          <w:rFonts w:cs="Arial"/>
          <w:lang w:val="fr-FR"/>
        </w:rPr>
      </w:pPr>
      <w:r w:rsidRPr="004513C7">
        <w:rPr>
          <w:rFonts w:cs="Arial"/>
          <w:lang w:val="fr-FR"/>
        </w:rPr>
        <w:t>Maturité de récolte</w:t>
      </w:r>
    </w:p>
    <w:p w:rsidR="008F37AE" w:rsidRPr="004513C7" w:rsidRDefault="008F37AE" w:rsidP="00916968">
      <w:pPr>
        <w:jc w:val="left"/>
        <w:rPr>
          <w:rFonts w:cs="Arial"/>
          <w:lang w:val="fr-FR"/>
        </w:rPr>
      </w:pPr>
    </w:p>
    <w:p w:rsidR="008F37AE" w:rsidRPr="004513C7" w:rsidRDefault="00180A1F" w:rsidP="00916968">
      <w:pPr>
        <w:jc w:val="left"/>
        <w:rPr>
          <w:rFonts w:cs="Arial"/>
          <w:b/>
          <w:lang w:val="fr-FR"/>
        </w:rPr>
      </w:pPr>
      <w:r w:rsidRPr="004513C7">
        <w:rPr>
          <w:rFonts w:cs="Arial"/>
          <w:b/>
          <w:lang w:val="fr-FR"/>
        </w:rPr>
        <w:t xml:space="preserve">Type </w:t>
      </w:r>
      <w:r w:rsidR="00037DD1" w:rsidRPr="004513C7">
        <w:rPr>
          <w:rFonts w:cs="Arial"/>
          <w:b/>
          <w:lang w:val="fr-FR"/>
        </w:rPr>
        <w:t>d</w:t>
      </w:r>
      <w:r w:rsidR="00497F1A">
        <w:rPr>
          <w:rFonts w:cs="Arial"/>
          <w:b/>
          <w:lang w:val="fr-FR"/>
        </w:rPr>
        <w:t>’</w:t>
      </w:r>
      <w:r w:rsidRPr="004513C7">
        <w:rPr>
          <w:rFonts w:cs="Arial"/>
          <w:b/>
          <w:lang w:val="fr-FR"/>
        </w:rPr>
        <w:t xml:space="preserve">observation </w:t>
      </w:r>
      <w:r w:rsidR="00037DD1" w:rsidRPr="004513C7">
        <w:rPr>
          <w:rFonts w:cs="Arial"/>
          <w:b/>
          <w:lang w:val="fr-FR"/>
        </w:rPr>
        <w:t>du caractère</w:t>
      </w:r>
    </w:p>
    <w:p w:rsidR="008F37AE" w:rsidRPr="004513C7" w:rsidRDefault="00180A1F" w:rsidP="00916968">
      <w:pPr>
        <w:jc w:val="left"/>
        <w:rPr>
          <w:rFonts w:cs="Arial"/>
          <w:lang w:val="fr-FR"/>
        </w:rPr>
      </w:pPr>
      <w:r w:rsidRPr="004513C7">
        <w:rPr>
          <w:rFonts w:cs="Arial"/>
          <w:lang w:val="fr-FR"/>
        </w:rPr>
        <w:t xml:space="preserve">MG – </w:t>
      </w:r>
      <w:r w:rsidR="00037DD1" w:rsidRPr="004513C7">
        <w:rPr>
          <w:rFonts w:cs="Arial"/>
          <w:lang w:val="fr-FR"/>
        </w:rPr>
        <w:t>Mensuration unique d</w:t>
      </w:r>
      <w:r w:rsidR="00497F1A">
        <w:rPr>
          <w:rFonts w:cs="Arial"/>
          <w:lang w:val="fr-FR"/>
        </w:rPr>
        <w:t>’</w:t>
      </w:r>
      <w:r w:rsidR="00037DD1" w:rsidRPr="004513C7">
        <w:rPr>
          <w:rFonts w:cs="Arial"/>
          <w:lang w:val="fr-FR"/>
        </w:rPr>
        <w:t>un ensemble de plantes</w:t>
      </w:r>
    </w:p>
    <w:p w:rsidR="008F37AE" w:rsidRPr="004513C7" w:rsidRDefault="00180A1F" w:rsidP="00916968">
      <w:pPr>
        <w:jc w:val="left"/>
        <w:rPr>
          <w:rFonts w:cs="Arial"/>
          <w:lang w:val="fr-FR"/>
        </w:rPr>
      </w:pPr>
      <w:r w:rsidRPr="004513C7">
        <w:rPr>
          <w:rFonts w:cs="Arial"/>
          <w:lang w:val="fr-FR"/>
        </w:rPr>
        <w:t>(</w:t>
      </w:r>
      <w:proofErr w:type="gramStart"/>
      <w:r w:rsidR="00037DD1" w:rsidRPr="004513C7">
        <w:rPr>
          <w:rFonts w:cs="Arial"/>
          <w:lang w:val="fr-FR"/>
        </w:rPr>
        <w:t>précisions</w:t>
      </w:r>
      <w:proofErr w:type="gramEnd"/>
      <w:r w:rsidR="00037DD1" w:rsidRPr="004513C7">
        <w:rPr>
          <w:rFonts w:cs="Arial"/>
          <w:lang w:val="fr-FR"/>
        </w:rPr>
        <w:t xml:space="preserve"> sur le</w:t>
      </w:r>
      <w:r w:rsidRPr="004513C7">
        <w:rPr>
          <w:rFonts w:cs="Arial"/>
          <w:lang w:val="fr-FR"/>
        </w:rPr>
        <w:t xml:space="preserve"> protocol</w:t>
      </w:r>
      <w:r w:rsidR="00037DD1" w:rsidRPr="004513C7">
        <w:rPr>
          <w:rFonts w:cs="Arial"/>
          <w:lang w:val="fr-FR"/>
        </w:rPr>
        <w:t>e, voir la méthode</w:t>
      </w:r>
      <w:r w:rsidRPr="004513C7">
        <w:rPr>
          <w:rFonts w:cs="Arial"/>
          <w:lang w:val="fr-FR"/>
        </w:rPr>
        <w:t>)</w:t>
      </w:r>
    </w:p>
    <w:p w:rsidR="008F37AE" w:rsidRPr="004513C7" w:rsidRDefault="008F37AE" w:rsidP="00916968">
      <w:pPr>
        <w:jc w:val="left"/>
        <w:rPr>
          <w:rFonts w:cs="Arial"/>
          <w:lang w:val="fr-FR"/>
        </w:rPr>
      </w:pPr>
    </w:p>
    <w:p w:rsidR="001C46B6" w:rsidRPr="004513C7" w:rsidRDefault="00037DD1" w:rsidP="00916968">
      <w:pPr>
        <w:jc w:val="left"/>
        <w:rPr>
          <w:rFonts w:cs="Arial"/>
          <w:lang w:val="fr-FR"/>
        </w:rPr>
      </w:pPr>
      <w:r w:rsidRPr="004513C7">
        <w:rPr>
          <w:rFonts w:cs="Arial"/>
          <w:b/>
          <w:lang w:val="fr-FR"/>
        </w:rPr>
        <w:t>Niveaux d</w:t>
      </w:r>
      <w:r w:rsidR="00497F1A">
        <w:rPr>
          <w:rFonts w:cs="Arial"/>
          <w:b/>
          <w:lang w:val="fr-FR"/>
        </w:rPr>
        <w:t>’</w:t>
      </w:r>
      <w:r w:rsidR="00180A1F" w:rsidRPr="004513C7">
        <w:rPr>
          <w:rFonts w:cs="Arial"/>
          <w:b/>
          <w:lang w:val="fr-FR"/>
        </w:rPr>
        <w:t>expression (</w:t>
      </w:r>
      <w:r w:rsidR="00180A1F" w:rsidRPr="004513C7">
        <w:rPr>
          <w:rFonts w:cs="Arial"/>
          <w:lang w:val="fr-FR"/>
        </w:rPr>
        <w:t>µmol/g DW)</w:t>
      </w:r>
    </w:p>
    <w:p w:rsidR="008F37AE" w:rsidRPr="004513C7" w:rsidRDefault="00180A1F" w:rsidP="00916968">
      <w:pPr>
        <w:jc w:val="left"/>
        <w:rPr>
          <w:rFonts w:cs="Arial"/>
          <w:lang w:val="fr-FR"/>
        </w:rPr>
      </w:pPr>
      <w:r w:rsidRPr="004513C7">
        <w:rPr>
          <w:rFonts w:cs="Arial"/>
          <w:lang w:val="fr-FR"/>
        </w:rPr>
        <w:t>1.</w:t>
      </w:r>
      <w:r w:rsidR="005F1431" w:rsidRPr="004513C7">
        <w:rPr>
          <w:rFonts w:cs="Arial"/>
          <w:lang w:val="fr-FR"/>
        </w:rPr>
        <w:tab/>
      </w:r>
      <w:r w:rsidRPr="004513C7">
        <w:rPr>
          <w:rFonts w:cs="Arial"/>
          <w:lang w:val="fr-FR"/>
        </w:rPr>
        <w:t>0</w:t>
      </w:r>
      <w:r w:rsidR="008352C1">
        <w:rPr>
          <w:rFonts w:cs="Arial"/>
          <w:lang w:val="fr-FR"/>
        </w:rPr>
        <w:noBreakHyphen/>
      </w:r>
      <w:r w:rsidR="003A30C6" w:rsidRPr="004513C7">
        <w:rPr>
          <w:rFonts w:cs="Arial"/>
          <w:lang w:val="fr-FR"/>
        </w:rPr>
        <w:t>1</w:t>
      </w:r>
      <w:r w:rsidRPr="004513C7">
        <w:rPr>
          <w:rFonts w:cs="Arial"/>
          <w:lang w:val="fr-FR"/>
        </w:rPr>
        <w:t>5</w:t>
      </w:r>
    </w:p>
    <w:p w:rsidR="008F37AE" w:rsidRPr="004513C7" w:rsidRDefault="00180A1F" w:rsidP="00916968">
      <w:pPr>
        <w:jc w:val="left"/>
        <w:rPr>
          <w:rFonts w:cs="Arial"/>
          <w:lang w:val="fr-FR"/>
        </w:rPr>
      </w:pPr>
      <w:r w:rsidRPr="004513C7">
        <w:rPr>
          <w:rFonts w:cs="Arial"/>
          <w:lang w:val="fr-FR"/>
        </w:rPr>
        <w:t>2.</w:t>
      </w:r>
      <w:r w:rsidR="005F1431" w:rsidRPr="004513C7">
        <w:rPr>
          <w:rFonts w:cs="Arial"/>
          <w:lang w:val="fr-FR"/>
        </w:rPr>
        <w:tab/>
      </w:r>
      <w:r w:rsidR="003A30C6" w:rsidRPr="004513C7">
        <w:rPr>
          <w:rFonts w:cs="Arial"/>
          <w:lang w:val="fr-FR"/>
        </w:rPr>
        <w:t>16</w:t>
      </w:r>
      <w:r w:rsidR="008352C1">
        <w:rPr>
          <w:rFonts w:cs="Arial"/>
          <w:lang w:val="fr-FR"/>
        </w:rPr>
        <w:noBreakHyphen/>
      </w:r>
      <w:r w:rsidR="003A30C6" w:rsidRPr="004513C7">
        <w:rPr>
          <w:rFonts w:cs="Arial"/>
          <w:lang w:val="fr-FR"/>
        </w:rPr>
        <w:t>35</w:t>
      </w:r>
    </w:p>
    <w:p w:rsidR="001C46B6" w:rsidRPr="004513C7" w:rsidRDefault="00180A1F" w:rsidP="00916968">
      <w:pPr>
        <w:jc w:val="left"/>
        <w:rPr>
          <w:rFonts w:cs="Arial"/>
          <w:lang w:val="fr-FR"/>
        </w:rPr>
      </w:pPr>
      <w:r w:rsidRPr="004513C7">
        <w:rPr>
          <w:rFonts w:cs="Arial"/>
          <w:lang w:val="fr-FR"/>
        </w:rPr>
        <w:t>3.</w:t>
      </w:r>
      <w:r w:rsidR="005F1431" w:rsidRPr="004513C7">
        <w:rPr>
          <w:rFonts w:cs="Arial"/>
          <w:lang w:val="fr-FR"/>
        </w:rPr>
        <w:tab/>
      </w:r>
      <w:r w:rsidRPr="004513C7">
        <w:rPr>
          <w:rFonts w:cs="Arial"/>
          <w:lang w:val="fr-FR"/>
        </w:rPr>
        <w:t xml:space="preserve">&gt; </w:t>
      </w:r>
      <w:r w:rsidR="003A30C6" w:rsidRPr="004513C7">
        <w:rPr>
          <w:rFonts w:cs="Arial"/>
          <w:lang w:val="fr-FR"/>
        </w:rPr>
        <w:t>35</w:t>
      </w:r>
    </w:p>
    <w:p w:rsidR="008F37AE" w:rsidRPr="004513C7" w:rsidRDefault="008F37AE" w:rsidP="00916968">
      <w:pPr>
        <w:jc w:val="left"/>
        <w:rPr>
          <w:rFonts w:cs="Arial"/>
          <w:lang w:val="fr-FR"/>
        </w:rPr>
      </w:pPr>
    </w:p>
    <w:p w:rsidR="008F37AE" w:rsidRPr="004513C7" w:rsidRDefault="00037DD1" w:rsidP="00916968">
      <w:pPr>
        <w:jc w:val="left"/>
        <w:rPr>
          <w:rFonts w:cs="Arial"/>
          <w:lang w:val="fr-FR"/>
        </w:rPr>
      </w:pPr>
      <w:r w:rsidRPr="004513C7">
        <w:rPr>
          <w:rFonts w:cs="Arial"/>
          <w:lang w:val="fr-FR"/>
        </w:rPr>
        <w:t>Observations</w:t>
      </w:r>
    </w:p>
    <w:p w:rsidR="008F37AE" w:rsidRPr="004513C7" w:rsidRDefault="00797EAD" w:rsidP="00916968">
      <w:pPr>
        <w:jc w:val="left"/>
        <w:rPr>
          <w:rFonts w:cs="Arial"/>
          <w:lang w:val="fr-FR"/>
        </w:rPr>
      </w:pPr>
      <w:r w:rsidRPr="004513C7">
        <w:rPr>
          <w:rFonts w:cs="Arial"/>
          <w:lang w:val="fr-FR"/>
        </w:rPr>
        <w:t xml:space="preserve">Bien que la génétique joue un rôle très important dans les niveaux de </w:t>
      </w:r>
      <w:proofErr w:type="spellStart"/>
      <w:r w:rsidRPr="004513C7">
        <w:rPr>
          <w:rFonts w:cs="Arial"/>
          <w:lang w:val="fr-FR"/>
        </w:rPr>
        <w:t>glucoraphanine</w:t>
      </w:r>
      <w:proofErr w:type="spellEnd"/>
      <w:r w:rsidRPr="004513C7">
        <w:rPr>
          <w:rFonts w:cs="Arial"/>
          <w:lang w:val="fr-FR"/>
        </w:rPr>
        <w:t xml:space="preserve">, les valeurs peuvent varier en </w:t>
      </w:r>
      <w:r w:rsidR="004E5D9E" w:rsidRPr="004513C7">
        <w:rPr>
          <w:rFonts w:cs="Arial"/>
          <w:lang w:val="fr-FR"/>
        </w:rPr>
        <w:t>fonction</w:t>
      </w:r>
      <w:r w:rsidRPr="004513C7">
        <w:rPr>
          <w:rFonts w:cs="Arial"/>
          <w:lang w:val="fr-FR"/>
        </w:rPr>
        <w:t xml:space="preserve"> des conditions de culture et des </w:t>
      </w:r>
      <w:r w:rsidR="00455441" w:rsidRPr="004513C7">
        <w:rPr>
          <w:rFonts w:cs="Arial"/>
          <w:lang w:val="fr-FR"/>
        </w:rPr>
        <w:t>lieux</w:t>
      </w:r>
      <w:r w:rsidRPr="004513C7">
        <w:rPr>
          <w:rFonts w:cs="Arial"/>
          <w:lang w:val="fr-FR"/>
        </w:rPr>
        <w:t xml:space="preserve"> géographiques, de sorte que les résultats des mesures devraient </w:t>
      </w:r>
      <w:r w:rsidR="004E5D9E" w:rsidRPr="004513C7">
        <w:rPr>
          <w:rFonts w:cs="Arial"/>
          <w:lang w:val="fr-FR"/>
        </w:rPr>
        <w:t>concerner</w:t>
      </w:r>
      <w:r w:rsidRPr="004513C7">
        <w:rPr>
          <w:rFonts w:cs="Arial"/>
          <w:lang w:val="fr-FR"/>
        </w:rPr>
        <w:t xml:space="preserve"> des variétés indiquées à titre d</w:t>
      </w:r>
      <w:r w:rsidR="00497F1A">
        <w:rPr>
          <w:rFonts w:cs="Arial"/>
          <w:lang w:val="fr-FR"/>
        </w:rPr>
        <w:t>’</w:t>
      </w:r>
      <w:r w:rsidRPr="004513C7">
        <w:rPr>
          <w:rFonts w:cs="Arial"/>
          <w:lang w:val="fr-FR"/>
        </w:rPr>
        <w:t xml:space="preserve">exemple.  Les valeurs indiquées dans cet exemple sont </w:t>
      </w:r>
      <w:r w:rsidR="004E5D9E" w:rsidRPr="004513C7">
        <w:rPr>
          <w:rFonts w:cs="Arial"/>
          <w:lang w:val="fr-FR"/>
        </w:rPr>
        <w:t>issues des</w:t>
      </w:r>
      <w:r w:rsidRPr="004513C7">
        <w:rPr>
          <w:rFonts w:cs="Arial"/>
          <w:lang w:val="fr-FR"/>
        </w:rPr>
        <w:t xml:space="preserve"> essais répétés effectués à </w:t>
      </w:r>
      <w:proofErr w:type="spellStart"/>
      <w:r w:rsidR="00180A1F" w:rsidRPr="004513C7">
        <w:rPr>
          <w:rFonts w:cs="Arial"/>
          <w:lang w:val="fr-FR"/>
        </w:rPr>
        <w:t>Naktuinbouw</w:t>
      </w:r>
      <w:proofErr w:type="spellEnd"/>
      <w:r w:rsidR="00180A1F" w:rsidRPr="004513C7">
        <w:rPr>
          <w:rFonts w:cs="Arial"/>
          <w:lang w:val="fr-FR"/>
        </w:rPr>
        <w:t xml:space="preserve"> </w:t>
      </w:r>
      <w:r w:rsidRPr="004513C7">
        <w:rPr>
          <w:rFonts w:cs="Arial"/>
          <w:lang w:val="fr-FR"/>
        </w:rPr>
        <w:t>(Pays</w:t>
      </w:r>
      <w:r w:rsidR="008352C1">
        <w:rPr>
          <w:rFonts w:cs="Arial"/>
          <w:szCs w:val="22"/>
          <w:lang w:val="fr-FR"/>
        </w:rPr>
        <w:noBreakHyphen/>
      </w:r>
      <w:r w:rsidRPr="004513C7">
        <w:rPr>
          <w:rFonts w:cs="Arial"/>
          <w:szCs w:val="22"/>
          <w:lang w:val="fr-FR"/>
        </w:rPr>
        <w:t>Bas)</w:t>
      </w:r>
      <w:r w:rsidR="00180A1F" w:rsidRPr="004513C7">
        <w:rPr>
          <w:rFonts w:cs="Arial"/>
          <w:lang w:val="fr-FR"/>
        </w:rPr>
        <w:t>.</w:t>
      </w:r>
    </w:p>
    <w:p w:rsidR="008F37AE" w:rsidRPr="004513C7" w:rsidRDefault="008F37AE" w:rsidP="00916968">
      <w:pPr>
        <w:jc w:val="left"/>
        <w:rPr>
          <w:rFonts w:cs="Arial"/>
          <w:lang w:val="fr-FR"/>
        </w:rPr>
      </w:pPr>
    </w:p>
    <w:p w:rsidR="001C46B6" w:rsidRPr="004513C7" w:rsidRDefault="005F1431" w:rsidP="00916968">
      <w:pPr>
        <w:jc w:val="left"/>
        <w:rPr>
          <w:rFonts w:cs="Arial"/>
          <w:b/>
          <w:lang w:val="fr-FR"/>
        </w:rPr>
      </w:pPr>
      <w:r w:rsidRPr="004513C7">
        <w:rPr>
          <w:rFonts w:cs="Arial"/>
          <w:b/>
          <w:lang w:val="fr-FR"/>
        </w:rPr>
        <w:t>Variétés indiquées à titre d</w:t>
      </w:r>
      <w:r w:rsidR="00497F1A">
        <w:rPr>
          <w:rFonts w:cs="Arial"/>
          <w:b/>
          <w:lang w:val="fr-FR"/>
        </w:rPr>
        <w:t>’</w:t>
      </w:r>
      <w:r w:rsidRPr="004513C7">
        <w:rPr>
          <w:rFonts w:cs="Arial"/>
          <w:b/>
          <w:lang w:val="fr-FR"/>
        </w:rPr>
        <w:t>exemple</w:t>
      </w:r>
    </w:p>
    <w:p w:rsidR="008F37AE" w:rsidRPr="004513C7" w:rsidRDefault="00797EAD" w:rsidP="00916968">
      <w:pPr>
        <w:jc w:val="left"/>
        <w:rPr>
          <w:rFonts w:cs="Arial"/>
          <w:lang w:val="fr-FR"/>
        </w:rPr>
      </w:pPr>
      <w:r w:rsidRPr="004513C7">
        <w:rPr>
          <w:rFonts w:cs="Arial"/>
          <w:lang w:val="fr-FR"/>
        </w:rPr>
        <w:t>Faible</w:t>
      </w:r>
      <w:r w:rsidR="00E6636F" w:rsidRPr="004513C7">
        <w:rPr>
          <w:rFonts w:cs="Arial"/>
          <w:lang w:val="fr-FR"/>
        </w:rPr>
        <w:t> :</w:t>
      </w:r>
      <w:r w:rsidR="009F4C6C">
        <w:rPr>
          <w:rFonts w:cs="Arial"/>
          <w:lang w:val="fr-FR"/>
        </w:rPr>
        <w:t xml:space="preserve"> </w:t>
      </w:r>
      <w:r w:rsidR="00180A1F" w:rsidRPr="004513C7">
        <w:rPr>
          <w:rFonts w:cs="Arial"/>
          <w:lang w:val="fr-FR"/>
        </w:rPr>
        <w:tab/>
      </w:r>
      <w:proofErr w:type="spellStart"/>
      <w:r w:rsidR="00180A1F" w:rsidRPr="004513C7">
        <w:rPr>
          <w:rFonts w:cs="Arial"/>
          <w:lang w:val="fr-FR"/>
        </w:rPr>
        <w:t>Ironman</w:t>
      </w:r>
      <w:proofErr w:type="spellEnd"/>
    </w:p>
    <w:p w:rsidR="001C46B6" w:rsidRPr="004513C7" w:rsidRDefault="00797EAD" w:rsidP="00916968">
      <w:pPr>
        <w:jc w:val="left"/>
        <w:rPr>
          <w:rFonts w:cs="Arial"/>
          <w:lang w:val="fr-FR"/>
        </w:rPr>
      </w:pPr>
      <w:r w:rsidRPr="004513C7">
        <w:rPr>
          <w:rFonts w:cs="Arial"/>
          <w:lang w:val="fr-FR"/>
        </w:rPr>
        <w:t>Moyenne</w:t>
      </w:r>
      <w:r w:rsidR="00E6636F" w:rsidRPr="004513C7">
        <w:rPr>
          <w:rFonts w:cs="Arial"/>
          <w:lang w:val="fr-FR"/>
        </w:rPr>
        <w:t> :</w:t>
      </w:r>
      <w:r w:rsidR="009F4C6C">
        <w:rPr>
          <w:rFonts w:cs="Arial"/>
          <w:lang w:val="fr-FR"/>
        </w:rPr>
        <w:t xml:space="preserve"> </w:t>
      </w:r>
      <w:r w:rsidR="00180A1F" w:rsidRPr="004513C7">
        <w:rPr>
          <w:rFonts w:cs="Arial"/>
          <w:lang w:val="fr-FR"/>
        </w:rPr>
        <w:tab/>
      </w:r>
      <w:proofErr w:type="spellStart"/>
      <w:r w:rsidR="00180A1F" w:rsidRPr="004513C7">
        <w:rPr>
          <w:rFonts w:cs="Arial"/>
          <w:lang w:val="fr-FR"/>
        </w:rPr>
        <w:t>Steel</w:t>
      </w:r>
      <w:proofErr w:type="spellEnd"/>
    </w:p>
    <w:p w:rsidR="008F37AE" w:rsidRPr="004513C7" w:rsidRDefault="00797EAD" w:rsidP="000D08E6">
      <w:pPr>
        <w:jc w:val="left"/>
        <w:rPr>
          <w:rFonts w:cs="Arial"/>
          <w:bCs/>
          <w:lang w:val="fr-FR" w:eastAsia="ja-JP"/>
        </w:rPr>
      </w:pPr>
      <w:r w:rsidRPr="004513C7">
        <w:rPr>
          <w:rFonts w:cs="Arial"/>
          <w:lang w:val="fr-FR"/>
        </w:rPr>
        <w:t>Élevée</w:t>
      </w:r>
      <w:r w:rsidR="00E6636F" w:rsidRPr="004513C7">
        <w:rPr>
          <w:rFonts w:cs="Arial"/>
          <w:lang w:val="fr-FR"/>
        </w:rPr>
        <w:t> :</w:t>
      </w:r>
      <w:r w:rsidR="009F4C6C">
        <w:rPr>
          <w:rFonts w:cs="Arial"/>
          <w:lang w:val="fr-FR"/>
        </w:rPr>
        <w:t xml:space="preserve"> </w:t>
      </w:r>
      <w:r w:rsidR="00180A1F" w:rsidRPr="004513C7">
        <w:rPr>
          <w:rFonts w:cs="Arial"/>
          <w:lang w:val="fr-FR"/>
        </w:rPr>
        <w:tab/>
        <w:t>BRM533934</w:t>
      </w:r>
    </w:p>
    <w:p w:rsidR="009A7407" w:rsidRPr="004513C7" w:rsidRDefault="009A7407">
      <w:pPr>
        <w:jc w:val="left"/>
        <w:rPr>
          <w:rFonts w:cs="Arial"/>
          <w:bCs/>
          <w:lang w:val="fr-FR" w:eastAsia="ja-JP"/>
        </w:rPr>
      </w:pPr>
      <w:r w:rsidRPr="004513C7">
        <w:rPr>
          <w:rFonts w:cs="Arial"/>
          <w:bCs/>
          <w:lang w:val="fr-FR" w:eastAsia="ja-JP"/>
        </w:rPr>
        <w:br w:type="page"/>
      </w:r>
    </w:p>
    <w:p w:rsidR="009A7407" w:rsidRPr="004513C7" w:rsidRDefault="009A7407" w:rsidP="009A7407">
      <w:pPr>
        <w:pStyle w:val="ListParagraph"/>
        <w:widowControl w:val="0"/>
        <w:numPr>
          <w:ilvl w:val="0"/>
          <w:numId w:val="2"/>
        </w:numPr>
        <w:ind w:left="1134" w:hanging="567"/>
        <w:rPr>
          <w:rFonts w:cs="Arial"/>
          <w:b/>
          <w:lang w:val="fr-FR"/>
        </w:rPr>
      </w:pPr>
      <w:r w:rsidRPr="004513C7">
        <w:rPr>
          <w:lang w:val="fr-FR"/>
        </w:rPr>
        <w:t>Méthode de détection (en anglais seulement)</w:t>
      </w:r>
    </w:p>
    <w:p w:rsidR="009A7407" w:rsidRPr="004513C7" w:rsidRDefault="009A7407" w:rsidP="009A7407">
      <w:pPr>
        <w:spacing w:line="200" w:lineRule="exact"/>
        <w:rPr>
          <w:rFonts w:cs="Arial"/>
          <w:lang w:val="fr-FR"/>
        </w:rPr>
      </w:pPr>
    </w:p>
    <w:p w:rsidR="009A7407" w:rsidRPr="004513C7" w:rsidRDefault="009A7407" w:rsidP="009A7407">
      <w:pPr>
        <w:rPr>
          <w:lang w:val="fr-FR" w:eastAsia="ja-JP"/>
        </w:rPr>
      </w:pPr>
    </w:p>
    <w:p w:rsidR="009A7407" w:rsidRPr="004513C7" w:rsidRDefault="009A7407" w:rsidP="00376007">
      <w:pPr>
        <w:jc w:val="right"/>
        <w:rPr>
          <w:rFonts w:cs="Arial"/>
          <w:bCs/>
          <w:lang w:val="fr-FR" w:eastAsia="ja-JP"/>
        </w:rPr>
      </w:pPr>
      <w:r w:rsidRPr="004513C7">
        <w:rPr>
          <w:noProof/>
        </w:rPr>
        <w:drawing>
          <wp:inline distT="0" distB="0" distL="0" distR="0" wp14:anchorId="131C8640" wp14:editId="4856EFE2">
            <wp:extent cx="6371539" cy="66716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78593" cy="667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13C7">
        <w:rPr>
          <w:lang w:val="fr-FR" w:eastAsia="ja-JP"/>
        </w:rPr>
        <w:t>[Fin de l</w:t>
      </w:r>
      <w:r w:rsidR="00497F1A">
        <w:rPr>
          <w:lang w:val="fr-FR" w:eastAsia="ja-JP"/>
        </w:rPr>
        <w:t>’</w:t>
      </w:r>
      <w:r w:rsidRPr="004513C7">
        <w:rPr>
          <w:lang w:val="fr-FR" w:eastAsia="ja-JP"/>
        </w:rPr>
        <w:t>annexe II et du document]</w:t>
      </w:r>
    </w:p>
    <w:p w:rsidR="009A7407" w:rsidRPr="004513C7" w:rsidRDefault="009A7407" w:rsidP="009A7407">
      <w:pPr>
        <w:rPr>
          <w:rFonts w:cs="Arial"/>
          <w:bCs/>
          <w:lang w:val="fr-FR" w:eastAsia="ja-JP"/>
        </w:rPr>
      </w:pPr>
    </w:p>
    <w:p w:rsidR="00180A1F" w:rsidRPr="004513C7" w:rsidRDefault="00180A1F" w:rsidP="00916968">
      <w:pPr>
        <w:jc w:val="left"/>
        <w:rPr>
          <w:rFonts w:cs="Arial"/>
          <w:bCs/>
          <w:lang w:val="fr-FR" w:eastAsia="ja-JP"/>
        </w:rPr>
      </w:pPr>
      <w:bookmarkStart w:id="18" w:name="_GoBack"/>
      <w:bookmarkEnd w:id="18"/>
    </w:p>
    <w:sectPr w:rsidR="00180A1F" w:rsidRPr="004513C7" w:rsidSect="008352C1">
      <w:headerReference w:type="default" r:id="rId15"/>
      <w:headerReference w:type="first" r:id="rId16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939" w:rsidRDefault="00E17939" w:rsidP="006655D3">
      <w:r>
        <w:separator/>
      </w:r>
    </w:p>
    <w:p w:rsidR="00E17939" w:rsidRDefault="00E17939" w:rsidP="006655D3"/>
    <w:p w:rsidR="00E17939" w:rsidRDefault="00E17939" w:rsidP="006655D3"/>
  </w:endnote>
  <w:endnote w:type="continuationSeparator" w:id="0">
    <w:p w:rsidR="00E17939" w:rsidRDefault="00E17939" w:rsidP="006655D3">
      <w:r>
        <w:separator/>
      </w:r>
    </w:p>
    <w:p w:rsidR="00E17939" w:rsidRPr="00A202C6" w:rsidRDefault="00E17939">
      <w:pPr>
        <w:pStyle w:val="Footer"/>
        <w:spacing w:after="60"/>
        <w:rPr>
          <w:sz w:val="18"/>
          <w:lang w:val="fr-CH"/>
        </w:rPr>
      </w:pPr>
      <w:r w:rsidRPr="00A202C6">
        <w:rPr>
          <w:sz w:val="18"/>
          <w:lang w:val="fr-CH"/>
        </w:rPr>
        <w:t>[Suite de la note de la page précédente]</w:t>
      </w:r>
    </w:p>
    <w:p w:rsidR="00E17939" w:rsidRPr="00A202C6" w:rsidRDefault="00E17939" w:rsidP="006655D3">
      <w:pPr>
        <w:rPr>
          <w:lang w:val="fr-CH"/>
        </w:rPr>
      </w:pPr>
    </w:p>
    <w:p w:rsidR="00E17939" w:rsidRPr="00A202C6" w:rsidRDefault="00E17939" w:rsidP="006655D3">
      <w:pPr>
        <w:rPr>
          <w:lang w:val="fr-CH"/>
        </w:rPr>
      </w:pPr>
    </w:p>
  </w:endnote>
  <w:endnote w:type="continuationNotice" w:id="1">
    <w:p w:rsidR="00E17939" w:rsidRPr="00A202C6" w:rsidRDefault="00E17939" w:rsidP="006655D3">
      <w:pPr>
        <w:rPr>
          <w:lang w:val="fr-CH"/>
        </w:rPr>
      </w:pPr>
      <w:r w:rsidRPr="00A202C6">
        <w:rPr>
          <w:lang w:val="fr-CH"/>
        </w:rPr>
        <w:t>[Suite de la note page suivante]</w:t>
      </w:r>
    </w:p>
    <w:p w:rsidR="00E17939" w:rsidRPr="00A202C6" w:rsidRDefault="00E17939" w:rsidP="006655D3">
      <w:pPr>
        <w:rPr>
          <w:lang w:val="fr-CH"/>
        </w:rPr>
      </w:pPr>
    </w:p>
    <w:p w:rsidR="00E17939" w:rsidRPr="00A202C6" w:rsidRDefault="00E17939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939" w:rsidRPr="00181A46" w:rsidRDefault="00E17939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939" w:rsidRDefault="00E17939" w:rsidP="006655D3">
      <w:r>
        <w:separator/>
      </w:r>
    </w:p>
  </w:footnote>
  <w:footnote w:type="continuationSeparator" w:id="0">
    <w:p w:rsidR="00E17939" w:rsidRDefault="00E17939" w:rsidP="006655D3">
      <w:r>
        <w:separator/>
      </w:r>
    </w:p>
  </w:footnote>
  <w:footnote w:type="continuationNotice" w:id="1">
    <w:p w:rsidR="00E17939" w:rsidRPr="00AB530F" w:rsidRDefault="00E1793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939" w:rsidRDefault="00E17939" w:rsidP="00847A0E">
    <w:pPr>
      <w:pStyle w:val="Header"/>
      <w:rPr>
        <w:rStyle w:val="PageNumber"/>
        <w:lang w:val="en-US" w:eastAsia="ja-JP"/>
      </w:rPr>
    </w:pPr>
    <w:r w:rsidRPr="00C5280D">
      <w:rPr>
        <w:rStyle w:val="PageNumber"/>
        <w:lang w:val="en-US"/>
      </w:rPr>
      <w:t>TC</w:t>
    </w:r>
    <w:r>
      <w:rPr>
        <w:rStyle w:val="PageNumber"/>
        <w:rFonts w:hint="eastAsia"/>
        <w:lang w:val="en-US" w:eastAsia="ja-JP"/>
      </w:rPr>
      <w:t>/5</w:t>
    </w:r>
    <w:r>
      <w:rPr>
        <w:rStyle w:val="PageNumber"/>
        <w:lang w:val="en-US" w:eastAsia="ja-JP"/>
      </w:rPr>
      <w:t>2</w:t>
    </w:r>
    <w:r>
      <w:rPr>
        <w:rStyle w:val="PageNumber"/>
        <w:rFonts w:hint="eastAsia"/>
        <w:lang w:val="en-US" w:eastAsia="ja-JP"/>
      </w:rPr>
      <w:t>/18</w:t>
    </w:r>
  </w:p>
  <w:p w:rsidR="00E17939" w:rsidRPr="00D21F2C" w:rsidRDefault="00E17939" w:rsidP="00847A0E">
    <w:pPr>
      <w:pStyle w:val="Header"/>
      <w:rPr>
        <w:lang w:val="en-US"/>
      </w:rPr>
    </w:pPr>
    <w:proofErr w:type="gramStart"/>
    <w:r w:rsidRPr="00D21F2C">
      <w:rPr>
        <w:lang w:val="en-US"/>
      </w:rPr>
      <w:t>page</w:t>
    </w:r>
    <w:proofErr w:type="gramEnd"/>
    <w:r w:rsidRPr="00D21F2C">
      <w:rPr>
        <w:lang w:val="en-US"/>
      </w:rPr>
      <w:t xml:space="preserve"> </w:t>
    </w:r>
    <w:r>
      <w:fldChar w:fldCharType="begin"/>
    </w:r>
    <w:r w:rsidRPr="00D21F2C">
      <w:rPr>
        <w:lang w:val="en-US"/>
      </w:rPr>
      <w:instrText xml:space="preserve"> PAGE  \* Arabic  \* MERGEFORMAT </w:instrText>
    </w:r>
    <w:r>
      <w:fldChar w:fldCharType="separate"/>
    </w:r>
    <w:r w:rsidR="001A345A">
      <w:rPr>
        <w:noProof/>
        <w:lang w:val="en-US"/>
      </w:rPr>
      <w:t>3</w:t>
    </w:r>
    <w:r>
      <w:fldChar w:fldCharType="end"/>
    </w:r>
  </w:p>
  <w:p w:rsidR="00E17939" w:rsidRPr="00357EC9" w:rsidRDefault="00E17939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939" w:rsidRPr="00C5280D" w:rsidRDefault="00E1793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TC/52/18</w:t>
    </w:r>
  </w:p>
  <w:p w:rsidR="00E17939" w:rsidRPr="00C5280D" w:rsidRDefault="00E17939" w:rsidP="00EB048E">
    <w:pPr>
      <w:pStyle w:val="Header"/>
      <w:rPr>
        <w:lang w:val="en-US"/>
      </w:rPr>
    </w:pPr>
    <w:proofErr w:type="spellStart"/>
    <w:r>
      <w:rPr>
        <w:rFonts w:hint="eastAsia"/>
        <w:lang w:val="en-US" w:eastAsia="ja-JP"/>
      </w:rPr>
      <w:t>Annex</w:t>
    </w:r>
    <w:r>
      <w:rPr>
        <w:lang w:val="en-US" w:eastAsia="ja-JP"/>
      </w:rPr>
      <w:t>e</w:t>
    </w:r>
    <w:proofErr w:type="spellEnd"/>
    <w:r>
      <w:rPr>
        <w:lang w:val="en-US" w:eastAsia="ja-JP"/>
      </w:rPr>
      <w:t> I</w:t>
    </w:r>
    <w:r>
      <w:rPr>
        <w:rFonts w:hint="eastAsia"/>
        <w:lang w:val="en-US" w:eastAsia="ja-JP"/>
      </w:rPr>
      <w:t xml:space="preserve">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A345A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E17939" w:rsidRPr="00C5280D" w:rsidRDefault="00E17939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939" w:rsidRDefault="00E17939">
    <w:pPr>
      <w:pStyle w:val="Header"/>
      <w:rPr>
        <w:lang w:eastAsia="ja-JP"/>
      </w:rPr>
    </w:pPr>
    <w:r>
      <w:rPr>
        <w:rFonts w:hint="eastAsia"/>
        <w:lang w:eastAsia="ja-JP"/>
      </w:rPr>
      <w:t>TC/5</w:t>
    </w:r>
    <w:r>
      <w:rPr>
        <w:lang w:eastAsia="ja-JP"/>
      </w:rPr>
      <w:t>2</w:t>
    </w:r>
    <w:r>
      <w:rPr>
        <w:rFonts w:hint="eastAsia"/>
        <w:lang w:eastAsia="ja-JP"/>
      </w:rPr>
      <w:t>/18</w:t>
    </w:r>
  </w:p>
  <w:p w:rsidR="00E17939" w:rsidRDefault="00E17939">
    <w:pPr>
      <w:pStyle w:val="Header"/>
      <w:rPr>
        <w:lang w:eastAsia="ja-JP"/>
      </w:rPr>
    </w:pPr>
  </w:p>
  <w:p w:rsidR="00E17939" w:rsidRDefault="00E17939">
    <w:pPr>
      <w:pStyle w:val="Header"/>
      <w:rPr>
        <w:lang w:eastAsia="ja-JP"/>
      </w:rPr>
    </w:pPr>
    <w:r>
      <w:rPr>
        <w:rFonts w:hint="eastAsia"/>
        <w:lang w:eastAsia="ja-JP"/>
      </w:rPr>
      <w:t>ANNEX</w:t>
    </w:r>
    <w:r>
      <w:rPr>
        <w:lang w:eastAsia="ja-JP"/>
      </w:rPr>
      <w:t>E I</w:t>
    </w:r>
  </w:p>
  <w:p w:rsidR="00E17939" w:rsidRDefault="00E17939">
    <w:pPr>
      <w:pStyle w:val="Header"/>
      <w:rPr>
        <w:lang w:eastAsia="ja-JP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939" w:rsidRPr="00DE15C8" w:rsidRDefault="00E17939" w:rsidP="00EB048E">
    <w:pPr>
      <w:pStyle w:val="Header"/>
      <w:rPr>
        <w:rStyle w:val="PageNumber"/>
        <w:rFonts w:cs="Arial"/>
        <w:lang w:val="en-US"/>
      </w:rPr>
    </w:pPr>
    <w:r w:rsidRPr="00DE15C8">
      <w:rPr>
        <w:rStyle w:val="PageNumber"/>
        <w:rFonts w:cs="Arial"/>
        <w:lang w:val="en-US"/>
      </w:rPr>
      <w:t>TC/52/18</w:t>
    </w:r>
  </w:p>
  <w:p w:rsidR="00E17939" w:rsidRPr="00DE15C8" w:rsidRDefault="00E17939" w:rsidP="00EB048E">
    <w:pPr>
      <w:pStyle w:val="Header"/>
      <w:rPr>
        <w:rFonts w:cs="Arial"/>
        <w:lang w:val="en-US"/>
      </w:rPr>
    </w:pPr>
    <w:proofErr w:type="spellStart"/>
    <w:r w:rsidRPr="00DE15C8">
      <w:rPr>
        <w:rFonts w:cs="Arial"/>
        <w:lang w:val="en-US" w:eastAsia="ja-JP"/>
      </w:rPr>
      <w:t>Annexe</w:t>
    </w:r>
    <w:proofErr w:type="spellEnd"/>
    <w:r w:rsidRPr="00DE15C8">
      <w:rPr>
        <w:rFonts w:cs="Arial"/>
        <w:lang w:val="en-US" w:eastAsia="ja-JP"/>
      </w:rPr>
      <w:t xml:space="preserve"> II, </w:t>
    </w:r>
    <w:r w:rsidRPr="00DE15C8">
      <w:rPr>
        <w:rFonts w:cs="Arial"/>
        <w:lang w:val="en-US"/>
      </w:rPr>
      <w:t xml:space="preserve">page </w:t>
    </w:r>
    <w:r w:rsidRPr="00DE15C8">
      <w:rPr>
        <w:rStyle w:val="PageNumber"/>
        <w:rFonts w:cs="Arial"/>
        <w:lang w:val="en-US"/>
      </w:rPr>
      <w:fldChar w:fldCharType="begin"/>
    </w:r>
    <w:r w:rsidRPr="00DE15C8">
      <w:rPr>
        <w:rStyle w:val="PageNumber"/>
        <w:rFonts w:cs="Arial"/>
        <w:lang w:val="en-US"/>
      </w:rPr>
      <w:instrText xml:space="preserve"> PAGE </w:instrText>
    </w:r>
    <w:r w:rsidRPr="00DE15C8">
      <w:rPr>
        <w:rStyle w:val="PageNumber"/>
        <w:rFonts w:cs="Arial"/>
        <w:lang w:val="en-US"/>
      </w:rPr>
      <w:fldChar w:fldCharType="separate"/>
    </w:r>
    <w:r w:rsidR="001A345A">
      <w:rPr>
        <w:rStyle w:val="PageNumber"/>
        <w:rFonts w:cs="Arial"/>
        <w:noProof/>
        <w:lang w:val="en-US"/>
      </w:rPr>
      <w:t>3</w:t>
    </w:r>
    <w:r w:rsidRPr="00DE15C8">
      <w:rPr>
        <w:rStyle w:val="PageNumber"/>
        <w:rFonts w:cs="Arial"/>
        <w:lang w:val="en-US"/>
      </w:rPr>
      <w:fldChar w:fldCharType="end"/>
    </w:r>
  </w:p>
  <w:p w:rsidR="00E17939" w:rsidRPr="00C5280D" w:rsidRDefault="00E17939" w:rsidP="006655D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939" w:rsidRDefault="00E17939">
    <w:pPr>
      <w:pStyle w:val="Header"/>
      <w:rPr>
        <w:lang w:eastAsia="ja-JP"/>
      </w:rPr>
    </w:pPr>
    <w:r>
      <w:rPr>
        <w:rFonts w:hint="eastAsia"/>
        <w:lang w:eastAsia="ja-JP"/>
      </w:rPr>
      <w:t>TC/5</w:t>
    </w:r>
    <w:r>
      <w:rPr>
        <w:lang w:eastAsia="ja-JP"/>
      </w:rPr>
      <w:t>2</w:t>
    </w:r>
    <w:r>
      <w:rPr>
        <w:rFonts w:hint="eastAsia"/>
        <w:lang w:eastAsia="ja-JP"/>
      </w:rPr>
      <w:t>/18</w:t>
    </w:r>
  </w:p>
  <w:p w:rsidR="00E17939" w:rsidRDefault="00E17939">
    <w:pPr>
      <w:pStyle w:val="Header"/>
      <w:rPr>
        <w:lang w:eastAsia="ja-JP"/>
      </w:rPr>
    </w:pPr>
  </w:p>
  <w:p w:rsidR="00E17939" w:rsidRDefault="00E17939">
    <w:pPr>
      <w:pStyle w:val="Header"/>
      <w:rPr>
        <w:lang w:eastAsia="ja-JP"/>
      </w:rPr>
    </w:pPr>
    <w:r>
      <w:rPr>
        <w:rFonts w:hint="eastAsia"/>
        <w:lang w:eastAsia="ja-JP"/>
      </w:rPr>
      <w:t>ANNEX</w:t>
    </w:r>
    <w:r>
      <w:rPr>
        <w:lang w:eastAsia="ja-JP"/>
      </w:rPr>
      <w:t>E II</w:t>
    </w:r>
  </w:p>
  <w:p w:rsidR="00E17939" w:rsidRDefault="00E17939">
    <w:pPr>
      <w:pStyle w:val="Header"/>
      <w:rPr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044B"/>
    <w:multiLevelType w:val="hybridMultilevel"/>
    <w:tmpl w:val="B9F21206"/>
    <w:lvl w:ilvl="0" w:tplc="81BECA26">
      <w:start w:val="1"/>
      <w:numFmt w:val="lowerLetter"/>
      <w:lvlText w:val="%1)"/>
      <w:lvlJc w:val="left"/>
      <w:pPr>
        <w:ind w:left="5855" w:hanging="63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305" w:hanging="360"/>
      </w:pPr>
    </w:lvl>
    <w:lvl w:ilvl="2" w:tplc="040C001B" w:tentative="1">
      <w:start w:val="1"/>
      <w:numFmt w:val="lowerRoman"/>
      <w:lvlText w:val="%3."/>
      <w:lvlJc w:val="right"/>
      <w:pPr>
        <w:ind w:left="7025" w:hanging="180"/>
      </w:pPr>
    </w:lvl>
    <w:lvl w:ilvl="3" w:tplc="040C000F" w:tentative="1">
      <w:start w:val="1"/>
      <w:numFmt w:val="decimal"/>
      <w:lvlText w:val="%4."/>
      <w:lvlJc w:val="left"/>
      <w:pPr>
        <w:ind w:left="7745" w:hanging="360"/>
      </w:pPr>
    </w:lvl>
    <w:lvl w:ilvl="4" w:tplc="040C0019" w:tentative="1">
      <w:start w:val="1"/>
      <w:numFmt w:val="lowerLetter"/>
      <w:lvlText w:val="%5."/>
      <w:lvlJc w:val="left"/>
      <w:pPr>
        <w:ind w:left="8465" w:hanging="360"/>
      </w:pPr>
    </w:lvl>
    <w:lvl w:ilvl="5" w:tplc="040C001B" w:tentative="1">
      <w:start w:val="1"/>
      <w:numFmt w:val="lowerRoman"/>
      <w:lvlText w:val="%6."/>
      <w:lvlJc w:val="right"/>
      <w:pPr>
        <w:ind w:left="9185" w:hanging="180"/>
      </w:pPr>
    </w:lvl>
    <w:lvl w:ilvl="6" w:tplc="040C000F" w:tentative="1">
      <w:start w:val="1"/>
      <w:numFmt w:val="decimal"/>
      <w:lvlText w:val="%7."/>
      <w:lvlJc w:val="left"/>
      <w:pPr>
        <w:ind w:left="9905" w:hanging="360"/>
      </w:pPr>
    </w:lvl>
    <w:lvl w:ilvl="7" w:tplc="040C0019" w:tentative="1">
      <w:start w:val="1"/>
      <w:numFmt w:val="lowerLetter"/>
      <w:lvlText w:val="%8."/>
      <w:lvlJc w:val="left"/>
      <w:pPr>
        <w:ind w:left="10625" w:hanging="360"/>
      </w:pPr>
    </w:lvl>
    <w:lvl w:ilvl="8" w:tplc="040C001B" w:tentative="1">
      <w:start w:val="1"/>
      <w:numFmt w:val="lowerRoman"/>
      <w:lvlText w:val="%9."/>
      <w:lvlJc w:val="right"/>
      <w:pPr>
        <w:ind w:left="11345" w:hanging="180"/>
      </w:pPr>
    </w:lvl>
  </w:abstractNum>
  <w:abstractNum w:abstractNumId="1">
    <w:nsid w:val="2AD97128"/>
    <w:multiLevelType w:val="hybridMultilevel"/>
    <w:tmpl w:val="9F0E6352"/>
    <w:lvl w:ilvl="0" w:tplc="A14EB5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F4D4A"/>
    <w:multiLevelType w:val="hybridMultilevel"/>
    <w:tmpl w:val="46B275D2"/>
    <w:lvl w:ilvl="0" w:tplc="0C881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F00DD"/>
    <w:multiLevelType w:val="hybridMultilevel"/>
    <w:tmpl w:val="4C3E517A"/>
    <w:lvl w:ilvl="0" w:tplc="C966FC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B7E8B"/>
    <w:multiLevelType w:val="hybridMultilevel"/>
    <w:tmpl w:val="E158A7FA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433143"/>
    <w:multiLevelType w:val="hybridMultilevel"/>
    <w:tmpl w:val="70A030A8"/>
    <w:lvl w:ilvl="0" w:tplc="E89C357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0820D2"/>
    <w:multiLevelType w:val="hybridMultilevel"/>
    <w:tmpl w:val="BC4C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87A10"/>
    <w:multiLevelType w:val="hybridMultilevel"/>
    <w:tmpl w:val="E51E3F7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75DA8"/>
    <w:multiLevelType w:val="hybridMultilevel"/>
    <w:tmpl w:val="ECD2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numFmt w:val="chicago"/>
    <w:footnote w:id="-1"/>
    <w:footnote w:id="0"/>
    <w:footnote w:id="1"/>
  </w:footnotePr>
  <w:endnotePr>
    <w:numFmt w:val="chicago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WorkspaceFTS\EN-FR\UPOV|UPOV\Meetings|UPOV\Other|UPOV\Publications|UPOV\Technical Guidelines"/>
    <w:docVar w:name="TextBaseURL" w:val="empty"/>
    <w:docVar w:name="UILng" w:val="en"/>
  </w:docVars>
  <w:rsids>
    <w:rsidRoot w:val="00A202C6"/>
    <w:rsid w:val="00010CF3"/>
    <w:rsid w:val="00011E27"/>
    <w:rsid w:val="000148BC"/>
    <w:rsid w:val="00024AB8"/>
    <w:rsid w:val="00030854"/>
    <w:rsid w:val="00036028"/>
    <w:rsid w:val="00036CFA"/>
    <w:rsid w:val="00037DD1"/>
    <w:rsid w:val="00044642"/>
    <w:rsid w:val="000446B9"/>
    <w:rsid w:val="00047E21"/>
    <w:rsid w:val="00050E16"/>
    <w:rsid w:val="00055BD9"/>
    <w:rsid w:val="00084733"/>
    <w:rsid w:val="00085505"/>
    <w:rsid w:val="000A3580"/>
    <w:rsid w:val="000A602E"/>
    <w:rsid w:val="000B10EE"/>
    <w:rsid w:val="000C7021"/>
    <w:rsid w:val="000D08E6"/>
    <w:rsid w:val="000D6BBC"/>
    <w:rsid w:val="000D70B3"/>
    <w:rsid w:val="000D7780"/>
    <w:rsid w:val="000F2F11"/>
    <w:rsid w:val="00105929"/>
    <w:rsid w:val="001131D5"/>
    <w:rsid w:val="001143BB"/>
    <w:rsid w:val="001202E2"/>
    <w:rsid w:val="00141DB8"/>
    <w:rsid w:val="0017474A"/>
    <w:rsid w:val="001758C6"/>
    <w:rsid w:val="00180A1F"/>
    <w:rsid w:val="00181A46"/>
    <w:rsid w:val="00182B99"/>
    <w:rsid w:val="001910C9"/>
    <w:rsid w:val="001924D8"/>
    <w:rsid w:val="00195D97"/>
    <w:rsid w:val="001A345A"/>
    <w:rsid w:val="001C46B6"/>
    <w:rsid w:val="001D0736"/>
    <w:rsid w:val="001E16C6"/>
    <w:rsid w:val="00207A02"/>
    <w:rsid w:val="0021332C"/>
    <w:rsid w:val="00213982"/>
    <w:rsid w:val="00237355"/>
    <w:rsid w:val="0024416D"/>
    <w:rsid w:val="00245329"/>
    <w:rsid w:val="00266680"/>
    <w:rsid w:val="00271911"/>
    <w:rsid w:val="002800A0"/>
    <w:rsid w:val="002801B3"/>
    <w:rsid w:val="00281060"/>
    <w:rsid w:val="002940E8"/>
    <w:rsid w:val="002A1D3C"/>
    <w:rsid w:val="002A6E50"/>
    <w:rsid w:val="002C256A"/>
    <w:rsid w:val="00304F14"/>
    <w:rsid w:val="00305A7F"/>
    <w:rsid w:val="003152FE"/>
    <w:rsid w:val="003237AC"/>
    <w:rsid w:val="00327436"/>
    <w:rsid w:val="00336667"/>
    <w:rsid w:val="00344BD6"/>
    <w:rsid w:val="003463FF"/>
    <w:rsid w:val="0035528D"/>
    <w:rsid w:val="00357364"/>
    <w:rsid w:val="00357CE5"/>
    <w:rsid w:val="00361821"/>
    <w:rsid w:val="00376007"/>
    <w:rsid w:val="00380B5C"/>
    <w:rsid w:val="003A30C6"/>
    <w:rsid w:val="003B4288"/>
    <w:rsid w:val="003C0D04"/>
    <w:rsid w:val="003D227C"/>
    <w:rsid w:val="003D2B4D"/>
    <w:rsid w:val="00401138"/>
    <w:rsid w:val="00403F2A"/>
    <w:rsid w:val="004343A2"/>
    <w:rsid w:val="004344E1"/>
    <w:rsid w:val="00441601"/>
    <w:rsid w:val="00444A88"/>
    <w:rsid w:val="004513C7"/>
    <w:rsid w:val="00455441"/>
    <w:rsid w:val="00460C18"/>
    <w:rsid w:val="00474DA4"/>
    <w:rsid w:val="00476B4D"/>
    <w:rsid w:val="004805FA"/>
    <w:rsid w:val="00487CB4"/>
    <w:rsid w:val="004900CE"/>
    <w:rsid w:val="00492C00"/>
    <w:rsid w:val="004935D2"/>
    <w:rsid w:val="00497F1A"/>
    <w:rsid w:val="004B1215"/>
    <w:rsid w:val="004B4284"/>
    <w:rsid w:val="004D047D"/>
    <w:rsid w:val="004E5D9E"/>
    <w:rsid w:val="004E5DEE"/>
    <w:rsid w:val="004F0144"/>
    <w:rsid w:val="004F305A"/>
    <w:rsid w:val="004F4847"/>
    <w:rsid w:val="004F4B88"/>
    <w:rsid w:val="00512164"/>
    <w:rsid w:val="00520297"/>
    <w:rsid w:val="005338F9"/>
    <w:rsid w:val="0054281C"/>
    <w:rsid w:val="005435F8"/>
    <w:rsid w:val="0055268D"/>
    <w:rsid w:val="00556580"/>
    <w:rsid w:val="00576BE4"/>
    <w:rsid w:val="005875C2"/>
    <w:rsid w:val="00591796"/>
    <w:rsid w:val="005A400A"/>
    <w:rsid w:val="005D6B39"/>
    <w:rsid w:val="005E24BF"/>
    <w:rsid w:val="005F1431"/>
    <w:rsid w:val="00612379"/>
    <w:rsid w:val="0061555F"/>
    <w:rsid w:val="00641200"/>
    <w:rsid w:val="00656A18"/>
    <w:rsid w:val="00662C2B"/>
    <w:rsid w:val="0066391A"/>
    <w:rsid w:val="006639E1"/>
    <w:rsid w:val="006655D3"/>
    <w:rsid w:val="00667404"/>
    <w:rsid w:val="00686AC2"/>
    <w:rsid w:val="00687EB4"/>
    <w:rsid w:val="006A5DA0"/>
    <w:rsid w:val="006A60A4"/>
    <w:rsid w:val="006B17D2"/>
    <w:rsid w:val="006C224E"/>
    <w:rsid w:val="006D780A"/>
    <w:rsid w:val="007109A4"/>
    <w:rsid w:val="00732DEC"/>
    <w:rsid w:val="007358A9"/>
    <w:rsid w:val="00735BD5"/>
    <w:rsid w:val="007512FF"/>
    <w:rsid w:val="00752C89"/>
    <w:rsid w:val="007556F6"/>
    <w:rsid w:val="00760EEF"/>
    <w:rsid w:val="00777EE5"/>
    <w:rsid w:val="00784836"/>
    <w:rsid w:val="0079023E"/>
    <w:rsid w:val="0079490A"/>
    <w:rsid w:val="00797EAD"/>
    <w:rsid w:val="007A2854"/>
    <w:rsid w:val="007C2BBA"/>
    <w:rsid w:val="007D0B9D"/>
    <w:rsid w:val="007D19B0"/>
    <w:rsid w:val="007E3750"/>
    <w:rsid w:val="007F498F"/>
    <w:rsid w:val="007F5098"/>
    <w:rsid w:val="008013EB"/>
    <w:rsid w:val="0080679D"/>
    <w:rsid w:val="008108B0"/>
    <w:rsid w:val="00811B20"/>
    <w:rsid w:val="0082296E"/>
    <w:rsid w:val="00824099"/>
    <w:rsid w:val="00824C28"/>
    <w:rsid w:val="008352C1"/>
    <w:rsid w:val="00846D7C"/>
    <w:rsid w:val="00847A0E"/>
    <w:rsid w:val="008534B9"/>
    <w:rsid w:val="00856ABB"/>
    <w:rsid w:val="008662B8"/>
    <w:rsid w:val="00867AC1"/>
    <w:rsid w:val="00874568"/>
    <w:rsid w:val="00877BED"/>
    <w:rsid w:val="008A743F"/>
    <w:rsid w:val="008B1AC1"/>
    <w:rsid w:val="008B6C23"/>
    <w:rsid w:val="008C0970"/>
    <w:rsid w:val="008C1C5E"/>
    <w:rsid w:val="008D0BC5"/>
    <w:rsid w:val="008D2CF7"/>
    <w:rsid w:val="008E10C3"/>
    <w:rsid w:val="008F37AE"/>
    <w:rsid w:val="00900C26"/>
    <w:rsid w:val="0090197F"/>
    <w:rsid w:val="00906DC5"/>
    <w:rsid w:val="00906DDC"/>
    <w:rsid w:val="00916968"/>
    <w:rsid w:val="0092195E"/>
    <w:rsid w:val="00934E09"/>
    <w:rsid w:val="00936253"/>
    <w:rsid w:val="009457DD"/>
    <w:rsid w:val="00945A37"/>
    <w:rsid w:val="00952DD4"/>
    <w:rsid w:val="00966D55"/>
    <w:rsid w:val="00970FED"/>
    <w:rsid w:val="00992D82"/>
    <w:rsid w:val="00997029"/>
    <w:rsid w:val="009A451E"/>
    <w:rsid w:val="009A603A"/>
    <w:rsid w:val="009A7407"/>
    <w:rsid w:val="009B440E"/>
    <w:rsid w:val="009D690D"/>
    <w:rsid w:val="009E65B6"/>
    <w:rsid w:val="009F0EBD"/>
    <w:rsid w:val="009F3608"/>
    <w:rsid w:val="009F4C6C"/>
    <w:rsid w:val="00A113CF"/>
    <w:rsid w:val="00A202C6"/>
    <w:rsid w:val="00A24C10"/>
    <w:rsid w:val="00A42AC3"/>
    <w:rsid w:val="00A430CF"/>
    <w:rsid w:val="00A54309"/>
    <w:rsid w:val="00A60BF5"/>
    <w:rsid w:val="00A64DA0"/>
    <w:rsid w:val="00A67DB9"/>
    <w:rsid w:val="00A8129A"/>
    <w:rsid w:val="00A840D0"/>
    <w:rsid w:val="00A9338F"/>
    <w:rsid w:val="00AA7034"/>
    <w:rsid w:val="00AB2B93"/>
    <w:rsid w:val="00AB530F"/>
    <w:rsid w:val="00AB7E5B"/>
    <w:rsid w:val="00AC70C9"/>
    <w:rsid w:val="00AC79B4"/>
    <w:rsid w:val="00AD2B4E"/>
    <w:rsid w:val="00AE0EF1"/>
    <w:rsid w:val="00AE2937"/>
    <w:rsid w:val="00B01EFE"/>
    <w:rsid w:val="00B07301"/>
    <w:rsid w:val="00B224DE"/>
    <w:rsid w:val="00B324D4"/>
    <w:rsid w:val="00B36AF9"/>
    <w:rsid w:val="00B46575"/>
    <w:rsid w:val="00B75D21"/>
    <w:rsid w:val="00B84BBD"/>
    <w:rsid w:val="00B93968"/>
    <w:rsid w:val="00B950FB"/>
    <w:rsid w:val="00BA43FB"/>
    <w:rsid w:val="00BB63CC"/>
    <w:rsid w:val="00BC127D"/>
    <w:rsid w:val="00BC1FE6"/>
    <w:rsid w:val="00BC5945"/>
    <w:rsid w:val="00BE501E"/>
    <w:rsid w:val="00C061B6"/>
    <w:rsid w:val="00C2446C"/>
    <w:rsid w:val="00C36AE5"/>
    <w:rsid w:val="00C41F17"/>
    <w:rsid w:val="00C453DC"/>
    <w:rsid w:val="00C51F27"/>
    <w:rsid w:val="00C5280D"/>
    <w:rsid w:val="00C5791C"/>
    <w:rsid w:val="00C66290"/>
    <w:rsid w:val="00C72B7A"/>
    <w:rsid w:val="00C85292"/>
    <w:rsid w:val="00C90530"/>
    <w:rsid w:val="00C973F2"/>
    <w:rsid w:val="00CA304C"/>
    <w:rsid w:val="00CA5A0B"/>
    <w:rsid w:val="00CA774A"/>
    <w:rsid w:val="00CC11B0"/>
    <w:rsid w:val="00CF0C60"/>
    <w:rsid w:val="00CF6C36"/>
    <w:rsid w:val="00CF7E36"/>
    <w:rsid w:val="00D0038F"/>
    <w:rsid w:val="00D164FB"/>
    <w:rsid w:val="00D3708D"/>
    <w:rsid w:val="00D40426"/>
    <w:rsid w:val="00D51D89"/>
    <w:rsid w:val="00D57C96"/>
    <w:rsid w:val="00D91203"/>
    <w:rsid w:val="00D95174"/>
    <w:rsid w:val="00DA6F36"/>
    <w:rsid w:val="00DB0AF2"/>
    <w:rsid w:val="00DB596E"/>
    <w:rsid w:val="00DB7773"/>
    <w:rsid w:val="00DC00EA"/>
    <w:rsid w:val="00DD3182"/>
    <w:rsid w:val="00DE15C8"/>
    <w:rsid w:val="00DE22EA"/>
    <w:rsid w:val="00DF5A8A"/>
    <w:rsid w:val="00E16D7E"/>
    <w:rsid w:val="00E17939"/>
    <w:rsid w:val="00E17AE1"/>
    <w:rsid w:val="00E32F7E"/>
    <w:rsid w:val="00E6636F"/>
    <w:rsid w:val="00E72D49"/>
    <w:rsid w:val="00E7593C"/>
    <w:rsid w:val="00E7678A"/>
    <w:rsid w:val="00E85256"/>
    <w:rsid w:val="00E935F1"/>
    <w:rsid w:val="00E94A81"/>
    <w:rsid w:val="00E961E6"/>
    <w:rsid w:val="00E968D7"/>
    <w:rsid w:val="00EA1FFB"/>
    <w:rsid w:val="00EB048E"/>
    <w:rsid w:val="00EB1336"/>
    <w:rsid w:val="00EB346F"/>
    <w:rsid w:val="00ED4434"/>
    <w:rsid w:val="00ED7240"/>
    <w:rsid w:val="00EE34DF"/>
    <w:rsid w:val="00EE4727"/>
    <w:rsid w:val="00EF2F89"/>
    <w:rsid w:val="00F01FE8"/>
    <w:rsid w:val="00F1237A"/>
    <w:rsid w:val="00F22CBD"/>
    <w:rsid w:val="00F45372"/>
    <w:rsid w:val="00F50319"/>
    <w:rsid w:val="00F560F7"/>
    <w:rsid w:val="00F6334D"/>
    <w:rsid w:val="00F75119"/>
    <w:rsid w:val="00F82B73"/>
    <w:rsid w:val="00FA06ED"/>
    <w:rsid w:val="00FA49AB"/>
    <w:rsid w:val="00FB4FF7"/>
    <w:rsid w:val="00FC485C"/>
    <w:rsid w:val="00FD0E15"/>
    <w:rsid w:val="00FD451C"/>
    <w:rsid w:val="00FE24CE"/>
    <w:rsid w:val="00FE39C7"/>
    <w:rsid w:val="00FE6080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591796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8B6C23"/>
    <w:pPr>
      <w:tabs>
        <w:tab w:val="right" w:leader="dot" w:pos="9639"/>
      </w:tabs>
      <w:spacing w:before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80A1F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180A1F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E968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591796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8B6C23"/>
    <w:pPr>
      <w:tabs>
        <w:tab w:val="right" w:leader="dot" w:pos="9639"/>
      </w:tabs>
      <w:spacing w:before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80A1F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180A1F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E968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F0F3C-B8CF-4970-91B0-EE1807B3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9</Pages>
  <Words>3486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23311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PASIEKA Allie</dc:creator>
  <cp:keywords>MP/mhf</cp:keywords>
  <cp:lastModifiedBy>SANCHEZ-VIZCAINO GOMEZ Rosa Maria</cp:lastModifiedBy>
  <cp:revision>39</cp:revision>
  <cp:lastPrinted>2016-02-02T09:03:00Z</cp:lastPrinted>
  <dcterms:created xsi:type="dcterms:W3CDTF">2016-01-27T09:26:00Z</dcterms:created>
  <dcterms:modified xsi:type="dcterms:W3CDTF">2016-02-02T09:03:00Z</dcterms:modified>
</cp:coreProperties>
</file>