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F0CAB" w:rsidRPr="00DA063D" w:rsidTr="00EB0F5C">
        <w:trPr>
          <w:trHeight w:val="1760"/>
        </w:trPr>
        <w:tc>
          <w:tcPr>
            <w:tcW w:w="4243" w:type="dxa"/>
          </w:tcPr>
          <w:p w:rsidR="00734BBA" w:rsidRPr="005F0CAB" w:rsidRDefault="00734BBA" w:rsidP="00EB0F5C">
            <w:pPr>
              <w:rPr>
                <w:lang w:val="fr-FR"/>
              </w:rPr>
            </w:pPr>
          </w:p>
        </w:tc>
        <w:tc>
          <w:tcPr>
            <w:tcW w:w="1646" w:type="dxa"/>
            <w:vAlign w:val="center"/>
          </w:tcPr>
          <w:p w:rsidR="00734BBA" w:rsidRPr="005F0CAB" w:rsidRDefault="00734BBA" w:rsidP="00EB0F5C">
            <w:pPr>
              <w:spacing w:before="720"/>
              <w:jc w:val="center"/>
              <w:rPr>
                <w:lang w:val="fr-FR"/>
              </w:rPr>
            </w:pPr>
            <w:r w:rsidRPr="005F0CAB">
              <w:rPr>
                <w:noProof/>
                <w:lang w:eastAsia="zh-CN"/>
              </w:rPr>
              <w:drawing>
                <wp:inline distT="0" distB="0" distL="0" distR="0" wp14:anchorId="19DFD2D7" wp14:editId="3AA833EF">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34BBA" w:rsidRPr="005F0CAB" w:rsidRDefault="00734BBA" w:rsidP="00EB0F5C">
            <w:pPr>
              <w:spacing w:after="120" w:line="340" w:lineRule="atLeast"/>
              <w:jc w:val="right"/>
              <w:rPr>
                <w:b/>
                <w:bCs/>
                <w:sz w:val="56"/>
                <w:lang w:val="fr-FR"/>
              </w:rPr>
            </w:pPr>
            <w:r w:rsidRPr="005F0CAB">
              <w:rPr>
                <w:b/>
                <w:bCs/>
                <w:sz w:val="56"/>
                <w:lang w:val="fr-FR"/>
              </w:rPr>
              <w:t>F</w:t>
            </w:r>
          </w:p>
          <w:p w:rsidR="00734BBA" w:rsidRPr="005F0CAB" w:rsidRDefault="00734BBA" w:rsidP="00EB0F5C">
            <w:pPr>
              <w:spacing w:line="280" w:lineRule="exact"/>
              <w:ind w:left="1361"/>
              <w:rPr>
                <w:b/>
                <w:bCs/>
                <w:spacing w:val="10"/>
                <w:lang w:val="fr-FR"/>
              </w:rPr>
            </w:pPr>
            <w:r w:rsidRPr="005F0CAB">
              <w:rPr>
                <w:b/>
                <w:bCs/>
                <w:spacing w:val="10"/>
                <w:lang w:val="fr-FR"/>
              </w:rPr>
              <w:t>TC/52/</w:t>
            </w:r>
            <w:bookmarkStart w:id="0" w:name="Code"/>
            <w:bookmarkEnd w:id="0"/>
            <w:r w:rsidR="001600E7" w:rsidRPr="005F0CAB">
              <w:rPr>
                <w:b/>
                <w:bCs/>
                <w:spacing w:val="10"/>
                <w:lang w:val="fr-FR"/>
              </w:rPr>
              <w:t>17</w:t>
            </w:r>
          </w:p>
          <w:p w:rsidR="00734BBA" w:rsidRPr="005F0CAB" w:rsidRDefault="00734BBA" w:rsidP="00EB0F5C">
            <w:pPr>
              <w:spacing w:line="280" w:lineRule="exact"/>
              <w:ind w:left="1361"/>
              <w:rPr>
                <w:bCs/>
                <w:lang w:val="fr-FR"/>
              </w:rPr>
            </w:pPr>
            <w:r w:rsidRPr="005F0CAB">
              <w:rPr>
                <w:b/>
                <w:lang w:val="fr-FR"/>
              </w:rPr>
              <w:t>ORIGINAL :</w:t>
            </w:r>
            <w:r w:rsidRPr="005F0CAB">
              <w:rPr>
                <w:lang w:val="fr-FR"/>
              </w:rPr>
              <w:t xml:space="preserve"> </w:t>
            </w:r>
            <w:bookmarkStart w:id="1" w:name="Original"/>
            <w:bookmarkEnd w:id="1"/>
            <w:r w:rsidRPr="005F0CAB">
              <w:rPr>
                <w:bCs/>
                <w:lang w:val="fr-FR"/>
              </w:rPr>
              <w:t>anglais</w:t>
            </w:r>
          </w:p>
          <w:p w:rsidR="00734BBA" w:rsidRPr="005F0CAB" w:rsidRDefault="00734BBA" w:rsidP="00EB0F5C">
            <w:pPr>
              <w:spacing w:line="280" w:lineRule="exact"/>
              <w:ind w:left="1361"/>
              <w:rPr>
                <w:b/>
                <w:bCs/>
                <w:spacing w:val="10"/>
                <w:lang w:val="fr-FR"/>
              </w:rPr>
            </w:pPr>
            <w:r w:rsidRPr="005F0CAB">
              <w:rPr>
                <w:b/>
                <w:bCs/>
                <w:lang w:val="fr-FR"/>
              </w:rPr>
              <w:t>DATE :</w:t>
            </w:r>
            <w:r w:rsidRPr="005F0CAB">
              <w:rPr>
                <w:lang w:val="fr-FR"/>
              </w:rPr>
              <w:t xml:space="preserve"> </w:t>
            </w:r>
            <w:bookmarkStart w:id="2" w:name="Date"/>
            <w:bookmarkEnd w:id="2"/>
            <w:r w:rsidR="00E47C02" w:rsidRPr="00E47C02">
              <w:rPr>
                <w:bCs/>
                <w:lang w:val="fr-FR"/>
              </w:rPr>
              <w:t>27</w:t>
            </w:r>
            <w:r w:rsidRPr="00E47C02">
              <w:rPr>
                <w:bCs/>
                <w:lang w:val="fr-FR"/>
              </w:rPr>
              <w:t> janvier 2016</w:t>
            </w:r>
          </w:p>
        </w:tc>
      </w:tr>
      <w:tr w:rsidR="005F0CAB" w:rsidRPr="00DA063D" w:rsidTr="00EB0F5C">
        <w:tc>
          <w:tcPr>
            <w:tcW w:w="10131" w:type="dxa"/>
            <w:gridSpan w:val="3"/>
          </w:tcPr>
          <w:p w:rsidR="00734BBA" w:rsidRPr="005F0CAB" w:rsidRDefault="00734BBA" w:rsidP="00EB0F5C">
            <w:pPr>
              <w:spacing w:before="60"/>
              <w:jc w:val="center"/>
              <w:rPr>
                <w:b/>
                <w:bCs/>
                <w:spacing w:val="8"/>
                <w:sz w:val="28"/>
                <w:lang w:val="fr-FR"/>
              </w:rPr>
            </w:pPr>
            <w:r w:rsidRPr="005F0CAB">
              <w:rPr>
                <w:b/>
                <w:bCs/>
                <w:spacing w:val="6"/>
                <w:sz w:val="24"/>
                <w:lang w:val="fr-FR"/>
              </w:rPr>
              <w:t>UNION INTERNATIONALE POUR LA PROTECTION DES OBTENTIONS VÉGÉTALES</w:t>
            </w:r>
          </w:p>
        </w:tc>
      </w:tr>
      <w:tr w:rsidR="005F0CAB" w:rsidRPr="005F0CAB" w:rsidTr="00EB0F5C">
        <w:tc>
          <w:tcPr>
            <w:tcW w:w="10131" w:type="dxa"/>
            <w:gridSpan w:val="3"/>
          </w:tcPr>
          <w:p w:rsidR="00734BBA" w:rsidRPr="005F0CAB" w:rsidRDefault="00734BBA" w:rsidP="00EB0F5C">
            <w:pPr>
              <w:spacing w:before="60" w:after="480"/>
              <w:jc w:val="center"/>
              <w:rPr>
                <w:lang w:val="fr-FR"/>
              </w:rPr>
            </w:pPr>
            <w:r w:rsidRPr="005F0CAB">
              <w:rPr>
                <w:lang w:val="fr-FR"/>
              </w:rPr>
              <w:t>Genève</w:t>
            </w:r>
          </w:p>
        </w:tc>
      </w:tr>
    </w:tbl>
    <w:p w:rsidR="00734BBA" w:rsidRPr="005F0CAB" w:rsidRDefault="00734BBA" w:rsidP="00734BBA">
      <w:pPr>
        <w:spacing w:before="240"/>
        <w:jc w:val="center"/>
        <w:rPr>
          <w:b/>
          <w:bCs/>
          <w:caps/>
          <w:kern w:val="28"/>
          <w:sz w:val="24"/>
          <w:lang w:val="fr-FR"/>
        </w:rPr>
      </w:pPr>
      <w:r w:rsidRPr="005F0CAB">
        <w:rPr>
          <w:b/>
          <w:bCs/>
          <w:caps/>
          <w:kern w:val="28"/>
          <w:sz w:val="24"/>
          <w:lang w:val="fr-FR"/>
        </w:rPr>
        <w:t>Comité TECHNIQUE</w:t>
      </w:r>
    </w:p>
    <w:p w:rsidR="00734BBA" w:rsidRPr="005F0CAB" w:rsidRDefault="00734BBA" w:rsidP="00734BBA">
      <w:pPr>
        <w:spacing w:before="240"/>
        <w:jc w:val="center"/>
        <w:rPr>
          <w:b/>
          <w:bCs/>
          <w:kern w:val="28"/>
          <w:sz w:val="24"/>
          <w:lang w:val="fr-FR"/>
        </w:rPr>
      </w:pPr>
      <w:r w:rsidRPr="005F0CAB">
        <w:rPr>
          <w:b/>
          <w:bCs/>
          <w:kern w:val="28"/>
          <w:sz w:val="24"/>
          <w:lang w:val="fr-FR"/>
        </w:rPr>
        <w:t>Cinquante</w:t>
      </w:r>
      <w:r w:rsidR="001600E7" w:rsidRPr="005F0CAB">
        <w:rPr>
          <w:b/>
          <w:bCs/>
          <w:kern w:val="28"/>
          <w:sz w:val="24"/>
          <w:lang w:val="fr-FR"/>
        </w:rPr>
        <w:noBreakHyphen/>
      </w:r>
      <w:r w:rsidRPr="005F0CAB">
        <w:rPr>
          <w:b/>
          <w:bCs/>
          <w:kern w:val="28"/>
          <w:sz w:val="24"/>
          <w:lang w:val="fr-FR"/>
        </w:rPr>
        <w:t xml:space="preserve">deuxième session </w:t>
      </w:r>
      <w:r w:rsidRPr="005F0CAB">
        <w:rPr>
          <w:b/>
          <w:bCs/>
          <w:kern w:val="28"/>
          <w:sz w:val="24"/>
          <w:lang w:val="fr-FR"/>
        </w:rPr>
        <w:br/>
        <w:t>Genève, 14 – 16 mars 2016</w:t>
      </w:r>
    </w:p>
    <w:p w:rsidR="00FA6BED" w:rsidRPr="005F0CAB" w:rsidRDefault="00FA6BED" w:rsidP="00FA6BED">
      <w:pPr>
        <w:pStyle w:val="Titleofdoc0"/>
        <w:rPr>
          <w:lang w:val="fr-FR"/>
        </w:rPr>
      </w:pPr>
      <w:r w:rsidRPr="005F0CAB">
        <w:rPr>
          <w:lang w:val="fr-FR"/>
        </w:rPr>
        <w:t>Révision du document TGP/8</w:t>
      </w:r>
      <w:r w:rsidR="00B834A7" w:rsidRPr="005F0CAB">
        <w:rPr>
          <w:lang w:val="fr-FR"/>
        </w:rPr>
        <w:t> </w:t>
      </w:r>
      <w:r w:rsidRPr="005F0CAB">
        <w:rPr>
          <w:lang w:val="fr-FR"/>
        </w:rPr>
        <w:t>: deuxième partie</w:t>
      </w:r>
      <w:r w:rsidR="00B834A7" w:rsidRPr="005F0CAB">
        <w:rPr>
          <w:lang w:val="fr-FR"/>
        </w:rPr>
        <w:t> </w:t>
      </w:r>
      <w:r w:rsidRPr="005F0CAB">
        <w:rPr>
          <w:lang w:val="fr-FR"/>
        </w:rPr>
        <w:t>: quelques techniques utilisées dans l</w:t>
      </w:r>
      <w:r w:rsidR="00734BBA" w:rsidRPr="005F0CAB">
        <w:rPr>
          <w:lang w:val="fr-FR"/>
        </w:rPr>
        <w:t>’</w:t>
      </w:r>
      <w:r w:rsidRPr="005F0CAB">
        <w:rPr>
          <w:lang w:val="fr-FR"/>
        </w:rPr>
        <w:t>examen</w:t>
      </w:r>
      <w:r w:rsidR="00B834A7" w:rsidRPr="005F0CAB">
        <w:rPr>
          <w:lang w:val="fr-FR"/>
        </w:rPr>
        <w:t> </w:t>
      </w:r>
      <w:r w:rsidRPr="005F0CAB">
        <w:rPr>
          <w:lang w:val="fr-FR"/>
        </w:rPr>
        <w:t>DHS, section</w:t>
      </w:r>
      <w:r w:rsidR="00B834A7" w:rsidRPr="005F0CAB">
        <w:rPr>
          <w:lang w:val="fr-FR"/>
        </w:rPr>
        <w:t> </w:t>
      </w:r>
      <w:r w:rsidRPr="005F0CAB">
        <w:rPr>
          <w:lang w:val="fr-FR"/>
        </w:rPr>
        <w:t>9</w:t>
      </w:r>
      <w:r w:rsidR="00B834A7" w:rsidRPr="005F0CAB">
        <w:rPr>
          <w:lang w:val="fr-FR"/>
        </w:rPr>
        <w:t> </w:t>
      </w:r>
      <w:r w:rsidRPr="005F0CAB">
        <w:rPr>
          <w:lang w:val="fr-FR"/>
        </w:rPr>
        <w:t>: analyse globale de l</w:t>
      </w:r>
      <w:r w:rsidR="00734BBA" w:rsidRPr="005F0CAB">
        <w:rPr>
          <w:lang w:val="fr-FR"/>
        </w:rPr>
        <w:t>’</w:t>
      </w:r>
      <w:r w:rsidRPr="005F0CAB">
        <w:rPr>
          <w:lang w:val="fr-FR"/>
        </w:rPr>
        <w:t>homogénéité sur plusieurs années (méthode d</w:t>
      </w:r>
      <w:r w:rsidR="00734BBA" w:rsidRPr="005F0CAB">
        <w:rPr>
          <w:lang w:val="fr-FR"/>
        </w:rPr>
        <w:t>’</w:t>
      </w:r>
      <w:r w:rsidRPr="005F0CAB">
        <w:rPr>
          <w:lang w:val="fr-FR"/>
        </w:rPr>
        <w:t>analyse COYU)</w:t>
      </w:r>
    </w:p>
    <w:p w:rsidR="00734BBA" w:rsidRPr="005F0CAB" w:rsidRDefault="00734BBA" w:rsidP="00734BBA">
      <w:pPr>
        <w:pStyle w:val="preparedby1"/>
        <w:rPr>
          <w:lang w:val="fr-FR"/>
        </w:rPr>
      </w:pPr>
      <w:bookmarkStart w:id="3" w:name="Prepared"/>
      <w:bookmarkEnd w:id="3"/>
      <w:r w:rsidRPr="005F0CAB">
        <w:rPr>
          <w:lang w:val="fr-FR"/>
        </w:rPr>
        <w:t>Document établi par le Bureau de l’Union</w:t>
      </w:r>
      <w:r w:rsidRPr="005F0CAB">
        <w:rPr>
          <w:lang w:val="fr-FR"/>
        </w:rPr>
        <w:br/>
      </w:r>
      <w:r w:rsidRPr="005F0CAB">
        <w:rPr>
          <w:lang w:val="fr-FR"/>
        </w:rPr>
        <w:br/>
      </w:r>
      <w:r w:rsidRPr="00DA063D">
        <w:rPr>
          <w:color w:val="A6A6A6" w:themeColor="background1" w:themeShade="A6"/>
          <w:lang w:val="fr-FR"/>
        </w:rPr>
        <w:t>Avertissement : le présent document ne représente pas les principes ou les orientatio</w:t>
      </w:r>
      <w:bookmarkStart w:id="4" w:name="_GoBack"/>
      <w:bookmarkEnd w:id="4"/>
      <w:r w:rsidRPr="00DA063D">
        <w:rPr>
          <w:color w:val="A6A6A6" w:themeColor="background1" w:themeShade="A6"/>
          <w:lang w:val="fr-FR"/>
        </w:rPr>
        <w:t>ns de l’UPOV</w:t>
      </w:r>
    </w:p>
    <w:p w:rsidR="00FA6BED" w:rsidRPr="005F0CAB" w:rsidRDefault="00FA6BED" w:rsidP="00FA6BED">
      <w:pPr>
        <w:pStyle w:val="Heading1"/>
        <w:rPr>
          <w:lang w:val="fr-FR" w:eastAsia="ja-JP"/>
        </w:rPr>
      </w:pPr>
      <w:bookmarkStart w:id="5" w:name="_Toc442076536"/>
      <w:r w:rsidRPr="005F0CAB">
        <w:rPr>
          <w:lang w:val="fr-FR" w:eastAsia="ja-JP"/>
        </w:rPr>
        <w:t>Résumé</w:t>
      </w:r>
      <w:bookmarkEnd w:id="5"/>
    </w:p>
    <w:p w:rsidR="00FA6BED" w:rsidRPr="005F0CAB" w:rsidRDefault="00FA6BED" w:rsidP="00604A31">
      <w:pPr>
        <w:rPr>
          <w:lang w:val="fr-FR" w:eastAsia="ja-JP"/>
        </w:rPr>
      </w:pPr>
    </w:p>
    <w:p w:rsidR="00FA6BED" w:rsidRPr="005F0CAB" w:rsidRDefault="00BE4B61" w:rsidP="00BE4B61">
      <w:pPr>
        <w:rPr>
          <w:lang w:val="fr-FR"/>
        </w:rPr>
      </w:pPr>
      <w:r w:rsidRPr="005F0CAB">
        <w:rPr>
          <w:lang w:val="fr-FR"/>
        </w:rPr>
        <w:fldChar w:fldCharType="begin"/>
      </w:r>
      <w:r w:rsidRPr="005F0CAB">
        <w:rPr>
          <w:lang w:val="fr-FR"/>
        </w:rPr>
        <w:instrText xml:space="preserve"> AUTONUM  </w:instrText>
      </w:r>
      <w:r w:rsidRPr="005F0CAB">
        <w:rPr>
          <w:lang w:val="fr-FR"/>
        </w:rPr>
        <w:fldChar w:fldCharType="end"/>
      </w:r>
      <w:r w:rsidRPr="005F0CAB">
        <w:rPr>
          <w:lang w:val="fr-FR"/>
        </w:rPr>
        <w:tab/>
      </w:r>
      <w:r w:rsidR="0071056F" w:rsidRPr="005F0CAB">
        <w:rPr>
          <w:lang w:val="fr-FR"/>
        </w:rPr>
        <w:t>L</w:t>
      </w:r>
      <w:r w:rsidR="00734BBA" w:rsidRPr="005F0CAB">
        <w:rPr>
          <w:lang w:val="fr-FR"/>
        </w:rPr>
        <w:t>’</w:t>
      </w:r>
      <w:r w:rsidR="0071056F" w:rsidRPr="005F0CAB">
        <w:rPr>
          <w:lang w:val="fr-FR"/>
        </w:rPr>
        <w:t>objet du présent document est de faire rapport sur les éléments nouveaux concernant la méthode de calcul de l</w:t>
      </w:r>
      <w:r w:rsidR="00734BBA" w:rsidRPr="005F0CAB">
        <w:rPr>
          <w:lang w:val="fr-FR"/>
        </w:rPr>
        <w:t>’</w:t>
      </w:r>
      <w:r w:rsidR="0071056F" w:rsidRPr="005F0CAB">
        <w:rPr>
          <w:lang w:val="fr-FR"/>
        </w:rPr>
        <w:t>analyse globale de l</w:t>
      </w:r>
      <w:r w:rsidR="00734BBA" w:rsidRPr="005F0CAB">
        <w:rPr>
          <w:lang w:val="fr-FR"/>
        </w:rPr>
        <w:t>’</w:t>
      </w:r>
      <w:r w:rsidR="0071056F" w:rsidRPr="005F0CAB">
        <w:rPr>
          <w:lang w:val="fr-FR"/>
        </w:rPr>
        <w:t>homogénéité sur plusieurs années</w:t>
      </w:r>
      <w:r w:rsidR="00564DD8" w:rsidRPr="005F0CAB">
        <w:rPr>
          <w:szCs w:val="24"/>
          <w:lang w:val="fr-FR" w:eastAsia="ja-JP"/>
        </w:rPr>
        <w:t xml:space="preserve"> (</w:t>
      </w:r>
      <w:r w:rsidR="0071056F" w:rsidRPr="005F0CAB">
        <w:rPr>
          <w:lang w:val="fr-FR"/>
        </w:rPr>
        <w:t>méthode d</w:t>
      </w:r>
      <w:r w:rsidR="00734BBA" w:rsidRPr="005F0CAB">
        <w:rPr>
          <w:lang w:val="fr-FR"/>
        </w:rPr>
        <w:t>’</w:t>
      </w:r>
      <w:r w:rsidR="0071056F" w:rsidRPr="005F0CAB">
        <w:rPr>
          <w:lang w:val="fr-FR"/>
        </w:rPr>
        <w:t>analyse COYU</w:t>
      </w:r>
      <w:r w:rsidR="00564DD8" w:rsidRPr="005F0CAB">
        <w:rPr>
          <w:lang w:val="fr-FR" w:eastAsia="ja-JP"/>
        </w:rPr>
        <w:t>)</w:t>
      </w:r>
      <w:r w:rsidRPr="005F0CAB">
        <w:rPr>
          <w:lang w:val="fr-FR"/>
        </w:rPr>
        <w:t>.</w:t>
      </w:r>
    </w:p>
    <w:p w:rsidR="00FA6BED" w:rsidRPr="005F0CAB" w:rsidRDefault="00FA6BED" w:rsidP="00BE4B61">
      <w:pPr>
        <w:rPr>
          <w:lang w:val="fr-FR" w:eastAsia="ja-JP"/>
        </w:rPr>
      </w:pPr>
    </w:p>
    <w:p w:rsidR="00FA6BED" w:rsidRPr="005F0CAB" w:rsidRDefault="00604A31" w:rsidP="00FA6BED">
      <w:pPr>
        <w:rPr>
          <w:lang w:val="fr-FR" w:eastAsia="ja-JP"/>
        </w:rPr>
      </w:pPr>
      <w:r w:rsidRPr="005F0CAB">
        <w:rPr>
          <w:lang w:val="fr-FR"/>
        </w:rPr>
        <w:fldChar w:fldCharType="begin"/>
      </w:r>
      <w:r w:rsidRPr="005F0CAB">
        <w:rPr>
          <w:lang w:val="fr-FR"/>
        </w:rPr>
        <w:instrText xml:space="preserve"> AUTONUM  </w:instrText>
      </w:r>
      <w:r w:rsidRPr="005F0CAB">
        <w:rPr>
          <w:lang w:val="fr-FR"/>
        </w:rPr>
        <w:fldChar w:fldCharType="end"/>
      </w:r>
      <w:r w:rsidRPr="005F0CAB">
        <w:rPr>
          <w:lang w:val="fr-FR"/>
        </w:rPr>
        <w:tab/>
      </w:r>
      <w:r w:rsidR="00FA6BED" w:rsidRPr="005F0CAB">
        <w:rPr>
          <w:lang w:val="fr-FR"/>
        </w:rPr>
        <w:t>Le</w:t>
      </w:r>
      <w:r w:rsidR="00734BBA" w:rsidRPr="005F0CAB">
        <w:rPr>
          <w:lang w:val="fr-FR"/>
        </w:rPr>
        <w:t> TC</w:t>
      </w:r>
      <w:r w:rsidR="00FA6BED" w:rsidRPr="005F0CAB">
        <w:rPr>
          <w:lang w:val="fr-FR"/>
        </w:rPr>
        <w:t xml:space="preserve"> est invité à prendre note </w:t>
      </w:r>
      <w:r w:rsidR="002B581C" w:rsidRPr="005F0CAB">
        <w:rPr>
          <w:lang w:val="fr-FR"/>
        </w:rPr>
        <w:t>du fait </w:t>
      </w:r>
      <w:r w:rsidR="007F2124">
        <w:rPr>
          <w:lang w:val="fr-FR"/>
        </w:rPr>
        <w:t>que</w:t>
      </w:r>
    </w:p>
    <w:p w:rsidR="00FA6BED" w:rsidRPr="005F0CAB" w:rsidRDefault="00FA6BED" w:rsidP="00604A31">
      <w:pPr>
        <w:rPr>
          <w:lang w:val="fr-FR" w:eastAsia="ja-JP"/>
        </w:rPr>
      </w:pPr>
    </w:p>
    <w:p w:rsidR="00FA6BED" w:rsidRPr="005F0CAB" w:rsidRDefault="00A96E44" w:rsidP="00A96E44">
      <w:pPr>
        <w:rPr>
          <w:lang w:val="fr-FR" w:eastAsia="ja-JP"/>
        </w:rPr>
      </w:pPr>
      <w:r w:rsidRPr="005F0CAB">
        <w:rPr>
          <w:lang w:val="fr-FR" w:eastAsia="ja-JP"/>
        </w:rPr>
        <w:t>a)</w:t>
      </w:r>
      <w:r w:rsidRPr="005F0CAB">
        <w:rPr>
          <w:lang w:val="fr-FR" w:eastAsia="ja-JP"/>
        </w:rPr>
        <w:tab/>
      </w:r>
      <w:r w:rsidR="002B581C" w:rsidRPr="005F0CAB">
        <w:rPr>
          <w:lang w:val="fr-FR" w:eastAsia="ja-JP"/>
        </w:rPr>
        <w:t>des experts d</w:t>
      </w:r>
      <w:r w:rsidR="00734BBA" w:rsidRPr="005F0CAB">
        <w:rPr>
          <w:lang w:val="fr-FR" w:eastAsia="ja-JP"/>
        </w:rPr>
        <w:t>’</w:t>
      </w:r>
      <w:r w:rsidR="002B581C" w:rsidRPr="005F0CAB">
        <w:rPr>
          <w:lang w:val="fr-FR" w:eastAsia="ja-JP"/>
        </w:rPr>
        <w:t xml:space="preserve">Allemagne, de </w:t>
      </w:r>
      <w:r w:rsidRPr="005F0CAB">
        <w:rPr>
          <w:lang w:val="fr-FR" w:eastAsia="ja-JP"/>
        </w:rPr>
        <w:t>Finland</w:t>
      </w:r>
      <w:r w:rsidR="002B581C" w:rsidRPr="005F0CAB">
        <w:rPr>
          <w:lang w:val="fr-FR" w:eastAsia="ja-JP"/>
        </w:rPr>
        <w:t>e</w:t>
      </w:r>
      <w:r w:rsidRPr="005F0CAB">
        <w:rPr>
          <w:lang w:val="fr-FR" w:eastAsia="ja-JP"/>
        </w:rPr>
        <w:t xml:space="preserve">, </w:t>
      </w:r>
      <w:r w:rsidR="002B581C" w:rsidRPr="005F0CAB">
        <w:rPr>
          <w:lang w:val="fr-FR" w:eastAsia="ja-JP"/>
        </w:rPr>
        <w:t xml:space="preserve">de </w:t>
      </w:r>
      <w:r w:rsidRPr="005F0CAB">
        <w:rPr>
          <w:lang w:val="fr-FR" w:eastAsia="ja-JP"/>
        </w:rPr>
        <w:t xml:space="preserve">France, </w:t>
      </w:r>
      <w:r w:rsidR="002B581C" w:rsidRPr="005F0CAB">
        <w:rPr>
          <w:lang w:val="fr-FR" w:eastAsia="ja-JP"/>
        </w:rPr>
        <w:t>du</w:t>
      </w:r>
      <w:r w:rsidRPr="005F0CAB">
        <w:rPr>
          <w:lang w:val="fr-FR" w:eastAsia="ja-JP"/>
        </w:rPr>
        <w:t xml:space="preserve"> Kenya </w:t>
      </w:r>
      <w:r w:rsidR="002B581C" w:rsidRPr="005F0CAB">
        <w:rPr>
          <w:lang w:val="fr-FR" w:eastAsia="ja-JP"/>
        </w:rPr>
        <w:t>et du Royaume</w:t>
      </w:r>
      <w:r w:rsidR="001600E7" w:rsidRPr="005F0CAB">
        <w:rPr>
          <w:lang w:val="fr-FR" w:eastAsia="ja-JP"/>
        </w:rPr>
        <w:noBreakHyphen/>
      </w:r>
      <w:r w:rsidR="002B581C" w:rsidRPr="005F0CAB">
        <w:rPr>
          <w:lang w:val="fr-FR" w:eastAsia="ja-JP"/>
        </w:rPr>
        <w:t>Uni ont participé à l</w:t>
      </w:r>
      <w:r w:rsidR="00734BBA" w:rsidRPr="005F0CAB">
        <w:rPr>
          <w:lang w:val="fr-FR" w:eastAsia="ja-JP"/>
        </w:rPr>
        <w:t>’</w:t>
      </w:r>
      <w:r w:rsidR="002B581C" w:rsidRPr="005F0CAB">
        <w:rPr>
          <w:lang w:val="fr-FR" w:eastAsia="ja-JP"/>
        </w:rPr>
        <w:t xml:space="preserve">exercice visant à évaluer le module logiciel concernant la nouvelle méthode </w:t>
      </w:r>
      <w:r w:rsidR="00ED0331" w:rsidRPr="005F0CAB">
        <w:rPr>
          <w:lang w:val="fr-FR" w:eastAsia="ja-JP"/>
        </w:rPr>
        <w:t>de calcul de</w:t>
      </w:r>
      <w:r w:rsidR="00734BBA" w:rsidRPr="005F0CAB">
        <w:rPr>
          <w:lang w:val="fr-FR" w:eastAsia="ja-JP"/>
        </w:rPr>
        <w:t xml:space="preserve"> la COY</w:t>
      </w:r>
      <w:r w:rsidR="001600E7" w:rsidRPr="005F0CAB">
        <w:rPr>
          <w:lang w:val="fr-FR" w:eastAsia="ja-JP"/>
        </w:rPr>
        <w:t>U,</w:t>
      </w:r>
    </w:p>
    <w:p w:rsidR="00FA6BED" w:rsidRPr="005F0CAB" w:rsidRDefault="00FA6BED" w:rsidP="00A96E44">
      <w:pPr>
        <w:rPr>
          <w:lang w:val="fr-FR" w:eastAsia="ja-JP"/>
        </w:rPr>
      </w:pPr>
    </w:p>
    <w:p w:rsidR="00FA6BED" w:rsidRPr="005F0CAB" w:rsidRDefault="00A96E44" w:rsidP="00A96E44">
      <w:pPr>
        <w:rPr>
          <w:lang w:val="fr-FR" w:eastAsia="ja-JP"/>
        </w:rPr>
      </w:pPr>
      <w:r w:rsidRPr="005F0CAB">
        <w:rPr>
          <w:lang w:val="fr-FR" w:eastAsia="ja-JP"/>
        </w:rPr>
        <w:t>b)</w:t>
      </w:r>
      <w:r w:rsidRPr="005F0CAB">
        <w:rPr>
          <w:lang w:val="fr-FR" w:eastAsia="ja-JP"/>
        </w:rPr>
        <w:tab/>
      </w:r>
      <w:r w:rsidR="00734BBA" w:rsidRPr="005F0CAB">
        <w:rPr>
          <w:lang w:val="fr-FR" w:eastAsia="ja-JP"/>
        </w:rPr>
        <w:t>le TWC</w:t>
      </w:r>
      <w:r w:rsidRPr="005F0CAB">
        <w:rPr>
          <w:lang w:val="fr-FR" w:eastAsia="ja-JP"/>
        </w:rPr>
        <w:t xml:space="preserve"> </w:t>
      </w:r>
      <w:r w:rsidR="00ED0331" w:rsidRPr="005F0CAB">
        <w:rPr>
          <w:lang w:val="fr-FR" w:eastAsia="ja-JP"/>
        </w:rPr>
        <w:t xml:space="preserve">est convenu que la nouvelle méthode </w:t>
      </w:r>
      <w:r w:rsidR="00654E5E" w:rsidRPr="005F0CAB">
        <w:rPr>
          <w:lang w:val="fr-FR" w:eastAsia="ja-JP"/>
        </w:rPr>
        <w:t>de calcul de</w:t>
      </w:r>
      <w:r w:rsidR="00734BBA" w:rsidRPr="005F0CAB">
        <w:rPr>
          <w:lang w:val="fr-FR" w:eastAsia="ja-JP"/>
        </w:rPr>
        <w:t xml:space="preserve"> la COY</w:t>
      </w:r>
      <w:r w:rsidRPr="005F0CAB">
        <w:rPr>
          <w:lang w:val="fr-FR" w:eastAsia="ja-JP"/>
        </w:rPr>
        <w:t xml:space="preserve">U </w:t>
      </w:r>
      <w:r w:rsidR="00225605" w:rsidRPr="005F0CAB">
        <w:rPr>
          <w:lang w:val="fr-FR" w:eastAsia="ja-JP"/>
        </w:rPr>
        <w:t>fonctionnait bien dans la pratique et est convenu de demander à l</w:t>
      </w:r>
      <w:r w:rsidR="00734BBA" w:rsidRPr="005F0CAB">
        <w:rPr>
          <w:lang w:val="fr-FR" w:eastAsia="ja-JP"/>
        </w:rPr>
        <w:t>’</w:t>
      </w:r>
      <w:r w:rsidR="00225605" w:rsidRPr="005F0CAB">
        <w:rPr>
          <w:lang w:val="fr-FR" w:eastAsia="ja-JP"/>
        </w:rPr>
        <w:t>expert du Royaume</w:t>
      </w:r>
      <w:r w:rsidR="001600E7" w:rsidRPr="005F0CAB">
        <w:rPr>
          <w:lang w:val="fr-FR" w:eastAsia="ja-JP"/>
        </w:rPr>
        <w:noBreakHyphen/>
      </w:r>
      <w:r w:rsidR="00225605" w:rsidRPr="005F0CAB">
        <w:rPr>
          <w:lang w:val="fr-FR" w:eastAsia="ja-JP"/>
        </w:rPr>
        <w:t>Uni de fournir des conseils concernant l</w:t>
      </w:r>
      <w:r w:rsidR="00734BBA" w:rsidRPr="005F0CAB">
        <w:rPr>
          <w:lang w:val="fr-FR" w:eastAsia="ja-JP"/>
        </w:rPr>
        <w:t>’</w:t>
      </w:r>
      <w:r w:rsidR="00225605" w:rsidRPr="005F0CAB">
        <w:rPr>
          <w:lang w:val="fr-FR" w:eastAsia="ja-JP"/>
        </w:rPr>
        <w:t>extrapolation lorsqu</w:t>
      </w:r>
      <w:r w:rsidR="00734BBA" w:rsidRPr="005F0CAB">
        <w:rPr>
          <w:lang w:val="fr-FR" w:eastAsia="ja-JP"/>
        </w:rPr>
        <w:t>’</w:t>
      </w:r>
      <w:r w:rsidR="00225605" w:rsidRPr="005F0CAB">
        <w:rPr>
          <w:lang w:val="fr-FR" w:eastAsia="ja-JP"/>
        </w:rPr>
        <w:t>une variété candidate présente un niveau d</w:t>
      </w:r>
      <w:r w:rsidR="00734BBA" w:rsidRPr="005F0CAB">
        <w:rPr>
          <w:lang w:val="fr-FR" w:eastAsia="ja-JP"/>
        </w:rPr>
        <w:t>’</w:t>
      </w:r>
      <w:r w:rsidR="00225605" w:rsidRPr="005F0CAB">
        <w:rPr>
          <w:lang w:val="fr-FR" w:eastAsia="ja-JP"/>
        </w:rPr>
        <w:t>expression en dehors de celui observé pour les v</w:t>
      </w:r>
      <w:r w:rsidR="00ED0331" w:rsidRPr="005F0CAB">
        <w:rPr>
          <w:lang w:val="fr-FR" w:eastAsia="ja-JP"/>
        </w:rPr>
        <w:t>ariétés de référence</w:t>
      </w:r>
      <w:r w:rsidR="001600E7" w:rsidRPr="005F0CAB">
        <w:rPr>
          <w:lang w:val="fr-FR" w:eastAsia="ja-JP"/>
        </w:rPr>
        <w:t>,</w:t>
      </w:r>
    </w:p>
    <w:p w:rsidR="00FA6BED" w:rsidRPr="005F0CAB" w:rsidRDefault="00FA6BED" w:rsidP="00A96E44">
      <w:pPr>
        <w:rPr>
          <w:lang w:val="fr-FR" w:eastAsia="ja-JP"/>
        </w:rPr>
      </w:pPr>
    </w:p>
    <w:p w:rsidR="00FA6BED" w:rsidRPr="005F0CAB" w:rsidRDefault="00A96E44" w:rsidP="00A96E44">
      <w:pPr>
        <w:rPr>
          <w:lang w:val="fr-FR" w:eastAsia="ja-JP"/>
        </w:rPr>
      </w:pPr>
      <w:r w:rsidRPr="005F0CAB">
        <w:rPr>
          <w:lang w:val="fr-FR" w:eastAsia="ja-JP"/>
        </w:rPr>
        <w:t>c)</w:t>
      </w:r>
      <w:r w:rsidRPr="005F0CAB">
        <w:rPr>
          <w:lang w:val="fr-FR" w:eastAsia="ja-JP"/>
        </w:rPr>
        <w:tab/>
      </w:r>
      <w:r w:rsidR="00734BBA" w:rsidRPr="005F0CAB">
        <w:rPr>
          <w:lang w:val="fr-FR" w:eastAsia="ja-JP"/>
        </w:rPr>
        <w:t>le TWC</w:t>
      </w:r>
      <w:r w:rsidRPr="005F0CAB">
        <w:rPr>
          <w:lang w:val="fr-FR" w:eastAsia="ja-JP"/>
        </w:rPr>
        <w:t xml:space="preserve"> </w:t>
      </w:r>
      <w:r w:rsidR="00AD0D95" w:rsidRPr="005F0CAB">
        <w:rPr>
          <w:lang w:val="fr-FR" w:eastAsia="ja-JP"/>
        </w:rPr>
        <w:t>a pris note de la nécessité d</w:t>
      </w:r>
      <w:r w:rsidR="00734BBA" w:rsidRPr="005F0CAB">
        <w:rPr>
          <w:lang w:val="fr-FR" w:eastAsia="ja-JP"/>
        </w:rPr>
        <w:t>’</w:t>
      </w:r>
      <w:r w:rsidR="00AD0D95" w:rsidRPr="005F0CAB">
        <w:rPr>
          <w:lang w:val="fr-FR" w:eastAsia="ja-JP"/>
        </w:rPr>
        <w:t xml:space="preserve">évaluer des ensembles de données plus étendus afin de définir des seuils de probabilité </w:t>
      </w:r>
      <w:r w:rsidR="00B12492" w:rsidRPr="005F0CAB">
        <w:rPr>
          <w:lang w:val="fr-FR" w:eastAsia="ja-JP"/>
        </w:rPr>
        <w:t xml:space="preserve">pour la nouvelle méthode. </w:t>
      </w:r>
      <w:r w:rsidRPr="005F0CAB">
        <w:rPr>
          <w:lang w:val="fr-FR" w:eastAsia="ja-JP"/>
        </w:rPr>
        <w:t xml:space="preserve"> </w:t>
      </w:r>
      <w:r w:rsidR="00B12492" w:rsidRPr="005F0CAB">
        <w:rPr>
          <w:lang w:val="fr-FR" w:eastAsia="ja-JP"/>
        </w:rPr>
        <w:t xml:space="preserve">Les ensembles de données en questions devraient comprendre 100 variétés candidates au minimum, </w:t>
      </w:r>
      <w:r w:rsidR="00D65F87" w:rsidRPr="005F0CAB">
        <w:rPr>
          <w:lang w:val="fr-FR" w:eastAsia="ja-JP"/>
        </w:rPr>
        <w:t>les données pour ces 100 variétés couvrant si possible plusieurs années</w:t>
      </w:r>
      <w:r w:rsidR="001600E7" w:rsidRPr="005F0CAB">
        <w:rPr>
          <w:lang w:val="fr-FR" w:eastAsia="ja-JP"/>
        </w:rPr>
        <w:t>,</w:t>
      </w:r>
    </w:p>
    <w:p w:rsidR="00FA6BED" w:rsidRPr="005F0CAB" w:rsidRDefault="00FA6BED" w:rsidP="00A96E44">
      <w:pPr>
        <w:rPr>
          <w:lang w:val="fr-FR" w:eastAsia="ja-JP"/>
        </w:rPr>
      </w:pPr>
    </w:p>
    <w:p w:rsidR="00FA6BED" w:rsidRPr="005F0CAB" w:rsidRDefault="00A96E44" w:rsidP="00A96E44">
      <w:pPr>
        <w:rPr>
          <w:lang w:val="fr-FR" w:eastAsia="ja-JP"/>
        </w:rPr>
      </w:pPr>
      <w:r w:rsidRPr="005F0CAB">
        <w:rPr>
          <w:lang w:val="fr-FR" w:eastAsia="ja-JP"/>
        </w:rPr>
        <w:t>d)</w:t>
      </w:r>
      <w:r w:rsidRPr="005F0CAB">
        <w:rPr>
          <w:lang w:val="fr-FR" w:eastAsia="ja-JP"/>
        </w:rPr>
        <w:tab/>
      </w:r>
      <w:r w:rsidR="00734BBA" w:rsidRPr="005F0CAB">
        <w:rPr>
          <w:lang w:val="fr-FR" w:eastAsia="ja-JP"/>
        </w:rPr>
        <w:t>le TWC</w:t>
      </w:r>
      <w:r w:rsidRPr="005F0CAB">
        <w:rPr>
          <w:lang w:val="fr-FR" w:eastAsia="ja-JP"/>
        </w:rPr>
        <w:t xml:space="preserve"> </w:t>
      </w:r>
      <w:r w:rsidR="00090B24" w:rsidRPr="005F0CAB">
        <w:rPr>
          <w:lang w:val="fr-FR" w:eastAsia="ja-JP"/>
        </w:rPr>
        <w:t>est convenu d</w:t>
      </w:r>
      <w:r w:rsidR="00734BBA" w:rsidRPr="005F0CAB">
        <w:rPr>
          <w:lang w:val="fr-FR" w:eastAsia="ja-JP"/>
        </w:rPr>
        <w:t>’</w:t>
      </w:r>
      <w:r w:rsidR="00090B24" w:rsidRPr="005F0CAB">
        <w:rPr>
          <w:lang w:val="fr-FR" w:eastAsia="ja-JP"/>
        </w:rPr>
        <w:t>inviter des experts de la Chine et de la France à participer aux prochaines étapes de l</w:t>
      </w:r>
      <w:r w:rsidR="00734BBA" w:rsidRPr="005F0CAB">
        <w:rPr>
          <w:lang w:val="fr-FR" w:eastAsia="ja-JP"/>
        </w:rPr>
        <w:t>’</w:t>
      </w:r>
      <w:r w:rsidR="00090B24" w:rsidRPr="005F0CAB">
        <w:rPr>
          <w:lang w:val="fr-FR" w:eastAsia="ja-JP"/>
        </w:rPr>
        <w:t>exercice p</w:t>
      </w:r>
      <w:r w:rsidR="00F77E3B" w:rsidRPr="005F0CAB">
        <w:rPr>
          <w:lang w:val="fr-FR" w:eastAsia="ja-JP"/>
        </w:rPr>
        <w:t>ra</w:t>
      </w:r>
      <w:r w:rsidR="00090B24" w:rsidRPr="005F0CAB">
        <w:rPr>
          <w:lang w:val="fr-FR" w:eastAsia="ja-JP"/>
        </w:rPr>
        <w:t>tique et à fournir leurs ensembles de données aux fins d</w:t>
      </w:r>
      <w:r w:rsidR="00734BBA" w:rsidRPr="005F0CAB">
        <w:rPr>
          <w:lang w:val="fr-FR" w:eastAsia="ja-JP"/>
        </w:rPr>
        <w:t>’</w:t>
      </w:r>
      <w:r w:rsidR="00090B24" w:rsidRPr="005F0CAB">
        <w:rPr>
          <w:lang w:val="fr-FR" w:eastAsia="ja-JP"/>
        </w:rPr>
        <w:t>évaluation</w:t>
      </w:r>
      <w:r w:rsidR="001600E7" w:rsidRPr="005F0CAB">
        <w:rPr>
          <w:lang w:val="fr-FR" w:eastAsia="ja-JP"/>
        </w:rPr>
        <w:t>,</w:t>
      </w:r>
      <w:r w:rsidRPr="005F0CAB">
        <w:rPr>
          <w:lang w:val="fr-FR" w:eastAsia="ja-JP"/>
        </w:rPr>
        <w:t xml:space="preserve"> </w:t>
      </w:r>
      <w:r w:rsidR="00B834A7" w:rsidRPr="005F0CAB">
        <w:rPr>
          <w:lang w:val="fr-FR" w:eastAsia="ja-JP"/>
        </w:rPr>
        <w:t xml:space="preserve"> </w:t>
      </w:r>
      <w:r w:rsidR="00090B24" w:rsidRPr="005F0CAB">
        <w:rPr>
          <w:lang w:val="fr-FR" w:eastAsia="ja-JP"/>
        </w:rPr>
        <w:t>et</w:t>
      </w:r>
    </w:p>
    <w:p w:rsidR="00FA6BED" w:rsidRPr="005F0CAB" w:rsidRDefault="00FA6BED" w:rsidP="00A96E44">
      <w:pPr>
        <w:rPr>
          <w:lang w:val="fr-FR" w:eastAsia="ja-JP"/>
        </w:rPr>
      </w:pPr>
    </w:p>
    <w:p w:rsidR="00FA6BED" w:rsidRPr="005F0CAB" w:rsidRDefault="00A96E44" w:rsidP="00A96E44">
      <w:pPr>
        <w:rPr>
          <w:lang w:val="fr-FR" w:eastAsia="ja-JP"/>
        </w:rPr>
      </w:pPr>
      <w:r w:rsidRPr="005F0CAB">
        <w:rPr>
          <w:lang w:val="fr-FR" w:eastAsia="ja-JP"/>
        </w:rPr>
        <w:t>e)</w:t>
      </w:r>
      <w:r w:rsidRPr="005F0CAB">
        <w:rPr>
          <w:lang w:val="fr-FR" w:eastAsia="ja-JP"/>
        </w:rPr>
        <w:tab/>
      </w:r>
      <w:r w:rsidR="00734BBA" w:rsidRPr="005F0CAB">
        <w:rPr>
          <w:lang w:val="fr-FR" w:eastAsia="ja-JP"/>
        </w:rPr>
        <w:t>le TWC</w:t>
      </w:r>
      <w:r w:rsidRPr="005F0CAB">
        <w:rPr>
          <w:lang w:val="fr-FR" w:eastAsia="ja-JP"/>
        </w:rPr>
        <w:t xml:space="preserve"> </w:t>
      </w:r>
      <w:r w:rsidR="008B5336" w:rsidRPr="005F0CAB">
        <w:rPr>
          <w:lang w:val="fr-FR" w:eastAsia="ja-JP"/>
        </w:rPr>
        <w:t>a proposé d</w:t>
      </w:r>
      <w:r w:rsidR="00734BBA" w:rsidRPr="005F0CAB">
        <w:rPr>
          <w:lang w:val="fr-FR" w:eastAsia="ja-JP"/>
        </w:rPr>
        <w:t>’</w:t>
      </w:r>
      <w:r w:rsidR="008B5336" w:rsidRPr="005F0CAB">
        <w:rPr>
          <w:lang w:val="fr-FR" w:eastAsia="ja-JP"/>
        </w:rPr>
        <w:t xml:space="preserve">inviter TWA à fournir de grands ensembles de données </w:t>
      </w:r>
      <w:r w:rsidR="0024661C" w:rsidRPr="005F0CAB">
        <w:rPr>
          <w:lang w:val="fr-FR" w:eastAsia="ja-JP"/>
        </w:rPr>
        <w:t>provenant de plantes de culture afin de déterminer des seuils de probabilité appropriés pour la nouvelle méthode de calcul de</w:t>
      </w:r>
      <w:r w:rsidR="00734BBA" w:rsidRPr="005F0CAB">
        <w:rPr>
          <w:lang w:val="fr-FR" w:eastAsia="ja-JP"/>
        </w:rPr>
        <w:t xml:space="preserve"> la COY</w:t>
      </w:r>
      <w:r w:rsidR="0024661C" w:rsidRPr="005F0CAB">
        <w:rPr>
          <w:lang w:val="fr-FR" w:eastAsia="ja-JP"/>
        </w:rPr>
        <w:t>U</w:t>
      </w:r>
      <w:r w:rsidRPr="005F0CAB">
        <w:rPr>
          <w:lang w:val="fr-FR" w:eastAsia="ja-JP"/>
        </w:rPr>
        <w:t>.</w:t>
      </w:r>
    </w:p>
    <w:p w:rsidR="00FA6BED" w:rsidRPr="005F0CAB" w:rsidRDefault="00FA6BED" w:rsidP="00A96E44">
      <w:pPr>
        <w:rPr>
          <w:lang w:val="fr-FR" w:eastAsia="ja-JP"/>
        </w:rPr>
      </w:pPr>
    </w:p>
    <w:p w:rsidR="00FA6BED" w:rsidRPr="005F0CAB" w:rsidRDefault="00BE4B61" w:rsidP="00FA6BED">
      <w:pPr>
        <w:rPr>
          <w:rFonts w:cs="Arial"/>
          <w:lang w:val="fr-FR"/>
        </w:rPr>
      </w:pPr>
      <w:r w:rsidRPr="005F0CAB">
        <w:rPr>
          <w:lang w:val="fr-FR"/>
        </w:rPr>
        <w:fldChar w:fldCharType="begin"/>
      </w:r>
      <w:r w:rsidRPr="005F0CAB">
        <w:rPr>
          <w:lang w:val="fr-FR"/>
        </w:rPr>
        <w:instrText xml:space="preserve"> AUTONUM  </w:instrText>
      </w:r>
      <w:r w:rsidRPr="005F0CAB">
        <w:rPr>
          <w:lang w:val="fr-FR"/>
        </w:rPr>
        <w:fldChar w:fldCharType="end"/>
      </w:r>
      <w:r w:rsidRPr="005F0CAB">
        <w:rPr>
          <w:lang w:val="fr-FR"/>
        </w:rPr>
        <w:tab/>
      </w:r>
      <w:r w:rsidR="00FA6BED" w:rsidRPr="005F0CAB">
        <w:rPr>
          <w:lang w:val="fr-FR"/>
        </w:rPr>
        <w:t>Les abréviations ci</w:t>
      </w:r>
      <w:r w:rsidR="001600E7" w:rsidRPr="005F0CAB">
        <w:rPr>
          <w:lang w:val="fr-FR"/>
        </w:rPr>
        <w:noBreakHyphen/>
      </w:r>
      <w:r w:rsidR="00FA6BED" w:rsidRPr="005F0CAB">
        <w:rPr>
          <w:lang w:val="fr-FR"/>
        </w:rPr>
        <w:t>après sont utilisées dans le présent document</w:t>
      </w:r>
      <w:r w:rsidR="00B834A7" w:rsidRPr="005F0CAB">
        <w:rPr>
          <w:lang w:val="fr-FR"/>
        </w:rPr>
        <w:t> </w:t>
      </w:r>
      <w:r w:rsidR="00FA6BED" w:rsidRPr="005F0CAB">
        <w:rPr>
          <w:lang w:val="fr-FR"/>
        </w:rPr>
        <w:t>:</w:t>
      </w:r>
    </w:p>
    <w:p w:rsidR="00FA6BED" w:rsidRPr="005F0CAB" w:rsidRDefault="00FA6BED" w:rsidP="00BE4B61">
      <w:pPr>
        <w:rPr>
          <w:rFonts w:cs="Arial"/>
          <w:lang w:val="fr-FR"/>
        </w:rPr>
      </w:pPr>
    </w:p>
    <w:p w:rsidR="00FA6BED" w:rsidRPr="005F0CAB" w:rsidRDefault="00BE4B61" w:rsidP="00FA6BED">
      <w:pPr>
        <w:rPr>
          <w:rFonts w:cs="Arial"/>
          <w:lang w:val="fr-FR"/>
        </w:rPr>
      </w:pPr>
      <w:r w:rsidRPr="005F0CAB">
        <w:rPr>
          <w:rFonts w:cs="Arial"/>
          <w:lang w:val="fr-FR"/>
        </w:rPr>
        <w:tab/>
      </w:r>
      <w:r w:rsidR="00FA6BED" w:rsidRPr="005F0CAB">
        <w:rPr>
          <w:rFonts w:cs="Arial"/>
          <w:lang w:val="fr-FR"/>
        </w:rPr>
        <w:t>TC</w:t>
      </w:r>
      <w:r w:rsidR="00B834A7" w:rsidRPr="005F0CAB">
        <w:rPr>
          <w:rFonts w:cs="Arial"/>
          <w:lang w:val="fr-FR"/>
        </w:rPr>
        <w:t> </w:t>
      </w:r>
      <w:r w:rsidR="00FA6BED" w:rsidRPr="005F0CAB">
        <w:rPr>
          <w:rFonts w:cs="Arial"/>
          <w:lang w:val="fr-FR"/>
        </w:rPr>
        <w:t xml:space="preserve">: </w:t>
      </w:r>
      <w:r w:rsidR="00FA6BED" w:rsidRPr="005F0CAB">
        <w:rPr>
          <w:rFonts w:cs="Arial"/>
          <w:lang w:val="fr-FR"/>
        </w:rPr>
        <w:tab/>
      </w:r>
      <w:r w:rsidR="00734BBA" w:rsidRPr="005F0CAB">
        <w:rPr>
          <w:rFonts w:cs="Arial"/>
          <w:lang w:val="fr-FR"/>
        </w:rPr>
        <w:tab/>
      </w:r>
      <w:r w:rsidR="00FA6BED" w:rsidRPr="005F0CAB">
        <w:rPr>
          <w:rFonts w:cs="Arial"/>
          <w:lang w:val="fr-FR"/>
        </w:rPr>
        <w:t>Comité technique</w:t>
      </w:r>
    </w:p>
    <w:p w:rsidR="00FA6BED" w:rsidRPr="005F0CAB" w:rsidRDefault="00BE4B61" w:rsidP="00FA6BED">
      <w:pPr>
        <w:rPr>
          <w:rFonts w:eastAsia="PMingLiU" w:cs="Arial"/>
          <w:szCs w:val="24"/>
          <w:lang w:val="fr-FR"/>
        </w:rPr>
      </w:pPr>
      <w:r w:rsidRPr="005F0CAB">
        <w:rPr>
          <w:rFonts w:eastAsia="PMingLiU" w:cs="Arial"/>
          <w:szCs w:val="24"/>
          <w:lang w:val="fr-FR"/>
        </w:rPr>
        <w:tab/>
      </w:r>
      <w:r w:rsidR="00FA6BED" w:rsidRPr="005F0CAB">
        <w:rPr>
          <w:rFonts w:eastAsia="PMingLiU" w:cs="Arial"/>
          <w:szCs w:val="24"/>
          <w:lang w:val="fr-FR"/>
        </w:rPr>
        <w:t>TC</w:t>
      </w:r>
      <w:r w:rsidR="001600E7" w:rsidRPr="005F0CAB">
        <w:rPr>
          <w:rFonts w:eastAsia="PMingLiU" w:cs="Arial"/>
          <w:szCs w:val="24"/>
          <w:lang w:val="fr-FR"/>
        </w:rPr>
        <w:noBreakHyphen/>
      </w:r>
      <w:r w:rsidR="00FA6BED" w:rsidRPr="005F0CAB">
        <w:rPr>
          <w:rFonts w:eastAsia="PMingLiU" w:cs="Arial"/>
          <w:szCs w:val="24"/>
          <w:lang w:val="fr-FR"/>
        </w:rPr>
        <w:t xml:space="preserve">EDC : </w:t>
      </w:r>
      <w:r w:rsidR="00FA6BED" w:rsidRPr="005F0CAB">
        <w:rPr>
          <w:rFonts w:eastAsia="PMingLiU" w:cs="Arial"/>
          <w:szCs w:val="24"/>
          <w:lang w:val="fr-FR"/>
        </w:rPr>
        <w:tab/>
        <w:t>Comité de rédaction élargi du Comité technique</w:t>
      </w:r>
    </w:p>
    <w:p w:rsidR="00FA6BED" w:rsidRPr="005F0CAB" w:rsidRDefault="00BE4B61" w:rsidP="00FA6BED">
      <w:pPr>
        <w:rPr>
          <w:rFonts w:eastAsia="PMingLiU" w:cs="Arial"/>
          <w:szCs w:val="24"/>
          <w:lang w:val="fr-FR"/>
        </w:rPr>
      </w:pPr>
      <w:r w:rsidRPr="005F0CAB">
        <w:rPr>
          <w:rFonts w:eastAsia="PMingLiU" w:cs="Arial"/>
          <w:szCs w:val="24"/>
          <w:lang w:val="fr-FR"/>
        </w:rPr>
        <w:tab/>
      </w:r>
      <w:r w:rsidR="00FA6BED" w:rsidRPr="005F0CAB">
        <w:rPr>
          <w:rFonts w:eastAsia="PMingLiU" w:cs="Arial"/>
          <w:szCs w:val="24"/>
          <w:lang w:val="fr-FR"/>
        </w:rPr>
        <w:t xml:space="preserve">TWA : </w:t>
      </w:r>
      <w:r w:rsidR="00FA6BED" w:rsidRPr="005F0CAB">
        <w:rPr>
          <w:rFonts w:eastAsia="PMingLiU" w:cs="Arial"/>
          <w:szCs w:val="24"/>
          <w:lang w:val="fr-FR"/>
        </w:rPr>
        <w:tab/>
        <w:t>Groupe de travail technique sur les plantes agricoles</w:t>
      </w:r>
    </w:p>
    <w:p w:rsidR="00FA6BED" w:rsidRPr="005F0CAB" w:rsidRDefault="00FA6BED" w:rsidP="00734BBA">
      <w:pPr>
        <w:ind w:left="1692" w:hanging="1125"/>
        <w:rPr>
          <w:rFonts w:eastAsia="PMingLiU" w:cs="Arial"/>
          <w:szCs w:val="24"/>
          <w:lang w:val="fr-FR"/>
        </w:rPr>
      </w:pPr>
      <w:r w:rsidRPr="005F0CAB">
        <w:rPr>
          <w:rFonts w:eastAsia="PMingLiU" w:cs="Arial"/>
          <w:szCs w:val="24"/>
          <w:lang w:val="fr-FR"/>
        </w:rPr>
        <w:t xml:space="preserve">TWC : </w:t>
      </w:r>
      <w:r w:rsidRPr="005F0CAB">
        <w:rPr>
          <w:rFonts w:eastAsia="PMingLiU" w:cs="Arial"/>
          <w:szCs w:val="24"/>
          <w:lang w:val="fr-FR"/>
        </w:rPr>
        <w:tab/>
        <w:t>Groupe de travail technique sur les systèmes d</w:t>
      </w:r>
      <w:r w:rsidR="00734BBA" w:rsidRPr="005F0CAB">
        <w:rPr>
          <w:rFonts w:eastAsia="PMingLiU" w:cs="Arial"/>
          <w:szCs w:val="24"/>
          <w:lang w:val="fr-FR"/>
        </w:rPr>
        <w:t>’</w:t>
      </w:r>
      <w:r w:rsidRPr="005F0CAB">
        <w:rPr>
          <w:rFonts w:eastAsia="PMingLiU" w:cs="Arial"/>
          <w:szCs w:val="24"/>
          <w:lang w:val="fr-FR"/>
        </w:rPr>
        <w:t>automatisation et les programmes d</w:t>
      </w:r>
      <w:r w:rsidR="00734BBA" w:rsidRPr="005F0CAB">
        <w:rPr>
          <w:rFonts w:eastAsia="PMingLiU" w:cs="Arial"/>
          <w:szCs w:val="24"/>
          <w:lang w:val="fr-FR"/>
        </w:rPr>
        <w:t>’</w:t>
      </w:r>
      <w:r w:rsidRPr="005F0CAB">
        <w:rPr>
          <w:rFonts w:eastAsia="PMingLiU" w:cs="Arial"/>
          <w:szCs w:val="24"/>
          <w:lang w:val="fr-FR"/>
        </w:rPr>
        <w:t>ordinateur</w:t>
      </w:r>
    </w:p>
    <w:p w:rsidR="00FA6BED" w:rsidRPr="005F0CAB" w:rsidRDefault="00BE4B61" w:rsidP="00FA6BED">
      <w:pPr>
        <w:rPr>
          <w:rFonts w:eastAsia="PMingLiU" w:cs="Arial"/>
          <w:szCs w:val="24"/>
          <w:lang w:val="fr-FR"/>
        </w:rPr>
      </w:pPr>
      <w:r w:rsidRPr="005F0CAB">
        <w:rPr>
          <w:rFonts w:eastAsia="PMingLiU" w:cs="Arial"/>
          <w:szCs w:val="24"/>
          <w:lang w:val="fr-FR"/>
        </w:rPr>
        <w:tab/>
      </w:r>
      <w:r w:rsidR="00FA6BED" w:rsidRPr="005F0CAB">
        <w:rPr>
          <w:rFonts w:eastAsia="PMingLiU" w:cs="Arial"/>
          <w:szCs w:val="24"/>
          <w:lang w:val="fr-FR"/>
        </w:rPr>
        <w:t>TWF</w:t>
      </w:r>
      <w:r w:rsidR="00B834A7" w:rsidRPr="005F0CAB">
        <w:rPr>
          <w:rFonts w:eastAsia="PMingLiU" w:cs="Arial"/>
          <w:szCs w:val="24"/>
          <w:lang w:val="fr-FR"/>
        </w:rPr>
        <w:t xml:space="preserve"> : </w:t>
      </w:r>
      <w:r w:rsidR="00FA6BED" w:rsidRPr="005F0CAB">
        <w:rPr>
          <w:rFonts w:eastAsia="PMingLiU" w:cs="Arial"/>
          <w:szCs w:val="24"/>
          <w:lang w:val="fr-FR"/>
        </w:rPr>
        <w:tab/>
        <w:t>Groupe de travail technique sur les plantes fruitières</w:t>
      </w:r>
    </w:p>
    <w:p w:rsidR="00FA6BED" w:rsidRPr="005F0CAB" w:rsidRDefault="00BE4B61" w:rsidP="00FA6BED">
      <w:pPr>
        <w:rPr>
          <w:rFonts w:eastAsia="PMingLiU" w:cs="Arial"/>
          <w:szCs w:val="24"/>
          <w:lang w:val="fr-FR"/>
        </w:rPr>
      </w:pPr>
      <w:r w:rsidRPr="005F0CAB">
        <w:rPr>
          <w:rFonts w:eastAsia="PMingLiU" w:cs="Arial"/>
          <w:szCs w:val="24"/>
          <w:lang w:val="fr-FR"/>
        </w:rPr>
        <w:lastRenderedPageBreak/>
        <w:tab/>
      </w:r>
      <w:r w:rsidR="00FA6BED" w:rsidRPr="005F0CAB">
        <w:rPr>
          <w:rFonts w:eastAsia="PMingLiU" w:cs="Arial"/>
          <w:szCs w:val="24"/>
          <w:lang w:val="fr-FR"/>
        </w:rPr>
        <w:t>TWO</w:t>
      </w:r>
      <w:r w:rsidR="00B834A7" w:rsidRPr="005F0CAB">
        <w:rPr>
          <w:rFonts w:eastAsia="PMingLiU" w:cs="Arial"/>
          <w:szCs w:val="24"/>
          <w:lang w:val="fr-FR"/>
        </w:rPr>
        <w:t> </w:t>
      </w:r>
      <w:r w:rsidR="00FA6BED" w:rsidRPr="005F0CAB">
        <w:rPr>
          <w:rFonts w:eastAsia="PMingLiU" w:cs="Arial"/>
          <w:szCs w:val="24"/>
          <w:lang w:val="fr-FR"/>
        </w:rPr>
        <w:t xml:space="preserve">: </w:t>
      </w:r>
      <w:r w:rsidR="00FA6BED" w:rsidRPr="005F0CAB">
        <w:rPr>
          <w:rFonts w:eastAsia="PMingLiU" w:cs="Arial"/>
          <w:szCs w:val="24"/>
          <w:lang w:val="fr-FR"/>
        </w:rPr>
        <w:tab/>
        <w:t>Groupe de travail technique sur les plantes ornementales et les arbres forestiers</w:t>
      </w:r>
    </w:p>
    <w:p w:rsidR="00FA6BED" w:rsidRPr="005F0CAB" w:rsidRDefault="00BE4B61" w:rsidP="00FA6BED">
      <w:pPr>
        <w:rPr>
          <w:rFonts w:eastAsia="PMingLiU" w:cs="Arial"/>
          <w:szCs w:val="24"/>
          <w:lang w:val="fr-FR"/>
        </w:rPr>
      </w:pPr>
      <w:r w:rsidRPr="005F0CAB">
        <w:rPr>
          <w:rFonts w:eastAsia="PMingLiU" w:cs="Arial"/>
          <w:szCs w:val="24"/>
          <w:lang w:val="fr-FR"/>
        </w:rPr>
        <w:tab/>
      </w:r>
      <w:r w:rsidR="007773A5">
        <w:rPr>
          <w:rFonts w:eastAsia="PMingLiU" w:cs="Arial"/>
          <w:szCs w:val="24"/>
          <w:lang w:val="fr-FR"/>
        </w:rPr>
        <w:t>TWP</w:t>
      </w:r>
      <w:r w:rsidR="00FA6BED" w:rsidRPr="005F0CAB">
        <w:rPr>
          <w:rFonts w:eastAsia="PMingLiU" w:cs="Arial"/>
          <w:szCs w:val="24"/>
          <w:lang w:val="fr-FR"/>
        </w:rPr>
        <w:t xml:space="preserve"> : </w:t>
      </w:r>
      <w:r w:rsidR="00FA6BED" w:rsidRPr="005F0CAB">
        <w:rPr>
          <w:rFonts w:eastAsia="PMingLiU" w:cs="Arial"/>
          <w:szCs w:val="24"/>
          <w:lang w:val="fr-FR"/>
        </w:rPr>
        <w:tab/>
        <w:t>Groupe</w:t>
      </w:r>
      <w:r w:rsidR="007773A5">
        <w:rPr>
          <w:rFonts w:eastAsia="PMingLiU" w:cs="Arial"/>
          <w:szCs w:val="24"/>
          <w:lang w:val="fr-FR"/>
        </w:rPr>
        <w:t>s</w:t>
      </w:r>
      <w:r w:rsidR="00FA6BED" w:rsidRPr="005F0CAB">
        <w:rPr>
          <w:rFonts w:eastAsia="PMingLiU" w:cs="Arial"/>
          <w:szCs w:val="24"/>
          <w:lang w:val="fr-FR"/>
        </w:rPr>
        <w:t xml:space="preserve"> de travail technique</w:t>
      </w:r>
      <w:r w:rsidR="007773A5">
        <w:rPr>
          <w:rFonts w:eastAsia="PMingLiU" w:cs="Arial"/>
          <w:szCs w:val="24"/>
          <w:lang w:val="fr-FR"/>
        </w:rPr>
        <w:t>s</w:t>
      </w:r>
    </w:p>
    <w:p w:rsidR="00FA6BED" w:rsidRPr="005F0CAB" w:rsidRDefault="00BE4B61" w:rsidP="00FA6BED">
      <w:pPr>
        <w:rPr>
          <w:rFonts w:eastAsia="PMingLiU" w:cs="Arial"/>
          <w:szCs w:val="24"/>
          <w:lang w:val="fr-FR"/>
        </w:rPr>
      </w:pPr>
      <w:r w:rsidRPr="005F0CAB">
        <w:rPr>
          <w:rFonts w:eastAsia="PMingLiU" w:cs="Arial"/>
          <w:szCs w:val="24"/>
          <w:lang w:val="fr-FR"/>
        </w:rPr>
        <w:tab/>
      </w:r>
      <w:r w:rsidR="00FA6BED" w:rsidRPr="005F0CAB">
        <w:rPr>
          <w:rFonts w:eastAsia="PMingLiU" w:cs="Arial"/>
          <w:szCs w:val="24"/>
          <w:lang w:val="fr-FR"/>
        </w:rPr>
        <w:t>TWV</w:t>
      </w:r>
      <w:r w:rsidR="00B834A7" w:rsidRPr="005F0CAB">
        <w:rPr>
          <w:rFonts w:eastAsia="PMingLiU" w:cs="Arial"/>
          <w:szCs w:val="24"/>
          <w:lang w:val="fr-FR"/>
        </w:rPr>
        <w:t> </w:t>
      </w:r>
      <w:r w:rsidR="00FA6BED" w:rsidRPr="005F0CAB">
        <w:rPr>
          <w:rFonts w:eastAsia="PMingLiU" w:cs="Arial"/>
          <w:szCs w:val="24"/>
          <w:lang w:val="fr-FR"/>
        </w:rPr>
        <w:t xml:space="preserve">: </w:t>
      </w:r>
      <w:r w:rsidR="00FA6BED" w:rsidRPr="005F0CAB">
        <w:rPr>
          <w:rFonts w:eastAsia="PMingLiU" w:cs="Arial"/>
          <w:szCs w:val="24"/>
          <w:lang w:val="fr-FR"/>
        </w:rPr>
        <w:tab/>
        <w:t>Groupe de travail technique sur les plantes potagères</w:t>
      </w:r>
    </w:p>
    <w:p w:rsidR="00FA6BED" w:rsidRPr="005F0CAB" w:rsidRDefault="00FA6BED">
      <w:pPr>
        <w:jc w:val="left"/>
        <w:rPr>
          <w:lang w:val="fr-FR" w:eastAsia="ja-JP"/>
        </w:rPr>
      </w:pPr>
    </w:p>
    <w:p w:rsidR="00FA6BED" w:rsidRPr="005F0CAB" w:rsidRDefault="00604A31" w:rsidP="00FA6BED">
      <w:pPr>
        <w:rPr>
          <w:rFonts w:cs="Arial"/>
          <w:lang w:val="fr-FR"/>
        </w:rPr>
      </w:pPr>
      <w:r w:rsidRPr="005F0CAB">
        <w:rPr>
          <w:rFonts w:cs="Arial"/>
          <w:lang w:val="fr-FR"/>
        </w:rPr>
        <w:fldChar w:fldCharType="begin"/>
      </w:r>
      <w:r w:rsidRPr="005F0CAB">
        <w:rPr>
          <w:rFonts w:cs="Arial"/>
          <w:lang w:val="fr-FR"/>
        </w:rPr>
        <w:instrText xml:space="preserve"> AUTONUM  </w:instrText>
      </w:r>
      <w:r w:rsidRPr="005F0CAB">
        <w:rPr>
          <w:rFonts w:cs="Arial"/>
          <w:lang w:val="fr-FR"/>
        </w:rPr>
        <w:fldChar w:fldCharType="end"/>
      </w:r>
      <w:r w:rsidRPr="005F0CAB">
        <w:rPr>
          <w:rFonts w:cs="Arial"/>
          <w:lang w:val="fr-FR"/>
        </w:rPr>
        <w:tab/>
      </w:r>
      <w:r w:rsidR="00FA6BED" w:rsidRPr="005F0CAB">
        <w:rPr>
          <w:rFonts w:cs="Arial"/>
          <w:lang w:val="fr-FR"/>
        </w:rPr>
        <w:t>Le présent document est structuré comme suit</w:t>
      </w:r>
      <w:r w:rsidR="00B834A7" w:rsidRPr="005F0CAB">
        <w:rPr>
          <w:rFonts w:cs="Arial"/>
          <w:lang w:val="fr-FR"/>
        </w:rPr>
        <w:t> </w:t>
      </w:r>
      <w:r w:rsidR="00FA6BED" w:rsidRPr="005F0CAB">
        <w:rPr>
          <w:rFonts w:cs="Arial"/>
          <w:lang w:val="fr-FR"/>
        </w:rPr>
        <w:t>:</w:t>
      </w:r>
    </w:p>
    <w:p w:rsidR="00FA6BED" w:rsidRPr="005F0CAB" w:rsidRDefault="00FA6BED" w:rsidP="00604A31">
      <w:pPr>
        <w:rPr>
          <w:caps/>
          <w:lang w:val="fr-FR" w:eastAsia="ja-JP"/>
        </w:rPr>
      </w:pPr>
    </w:p>
    <w:p w:rsidR="0008251C" w:rsidRPr="005F0CAB" w:rsidRDefault="00604A31">
      <w:pPr>
        <w:pStyle w:val="TOC1"/>
        <w:rPr>
          <w:rFonts w:asciiTheme="minorHAnsi" w:hAnsiTheme="minorHAnsi" w:cstheme="minorBidi"/>
          <w:caps w:val="0"/>
          <w:noProof/>
          <w:sz w:val="22"/>
          <w:szCs w:val="22"/>
        </w:rPr>
      </w:pPr>
      <w:r w:rsidRPr="005F0CAB">
        <w:rPr>
          <w:snapToGrid w:val="0"/>
          <w:lang w:val="fr-FR"/>
        </w:rPr>
        <w:fldChar w:fldCharType="begin"/>
      </w:r>
      <w:r w:rsidRPr="005F0CAB">
        <w:rPr>
          <w:snapToGrid w:val="0"/>
          <w:lang w:val="fr-FR"/>
        </w:rPr>
        <w:instrText xml:space="preserve"> TOC \o "1-3" \h \z \u </w:instrText>
      </w:r>
      <w:r w:rsidRPr="005F0CAB">
        <w:rPr>
          <w:snapToGrid w:val="0"/>
          <w:lang w:val="fr-FR"/>
        </w:rPr>
        <w:fldChar w:fldCharType="separate"/>
      </w:r>
      <w:hyperlink w:anchor="_Toc442076536" w:history="1">
        <w:r w:rsidR="0008251C" w:rsidRPr="005F0CAB">
          <w:rPr>
            <w:rStyle w:val="Hyperlink"/>
            <w:noProof/>
            <w:color w:val="auto"/>
            <w:lang w:val="fr-FR" w:eastAsia="ja-JP"/>
          </w:rPr>
          <w:t>Résumé</w:t>
        </w:r>
        <w:r w:rsidR="0008251C" w:rsidRPr="005F0CAB">
          <w:rPr>
            <w:noProof/>
            <w:webHidden/>
          </w:rPr>
          <w:tab/>
        </w:r>
        <w:r w:rsidR="0008251C" w:rsidRPr="005F0CAB">
          <w:rPr>
            <w:noProof/>
            <w:webHidden/>
          </w:rPr>
          <w:fldChar w:fldCharType="begin"/>
        </w:r>
        <w:r w:rsidR="0008251C" w:rsidRPr="005F0CAB">
          <w:rPr>
            <w:noProof/>
            <w:webHidden/>
          </w:rPr>
          <w:instrText xml:space="preserve"> PAGEREF _Toc442076536 \h </w:instrText>
        </w:r>
        <w:r w:rsidR="0008251C" w:rsidRPr="005F0CAB">
          <w:rPr>
            <w:noProof/>
            <w:webHidden/>
          </w:rPr>
        </w:r>
        <w:r w:rsidR="0008251C" w:rsidRPr="005F0CAB">
          <w:rPr>
            <w:noProof/>
            <w:webHidden/>
          </w:rPr>
          <w:fldChar w:fldCharType="separate"/>
        </w:r>
        <w:r w:rsidR="009E6BFA">
          <w:rPr>
            <w:noProof/>
            <w:webHidden/>
          </w:rPr>
          <w:t>1</w:t>
        </w:r>
        <w:r w:rsidR="0008251C" w:rsidRPr="005F0CAB">
          <w:rPr>
            <w:noProof/>
            <w:webHidden/>
          </w:rPr>
          <w:fldChar w:fldCharType="end"/>
        </w:r>
      </w:hyperlink>
    </w:p>
    <w:p w:rsidR="0008251C" w:rsidRPr="005F0CAB" w:rsidRDefault="00DA063D">
      <w:pPr>
        <w:pStyle w:val="TOC1"/>
        <w:rPr>
          <w:rFonts w:asciiTheme="minorHAnsi" w:hAnsiTheme="minorHAnsi" w:cstheme="minorBidi"/>
          <w:caps w:val="0"/>
          <w:noProof/>
          <w:sz w:val="22"/>
          <w:szCs w:val="22"/>
        </w:rPr>
      </w:pPr>
      <w:hyperlink w:anchor="_Toc442076537" w:history="1">
        <w:r w:rsidR="0008251C" w:rsidRPr="005F0CAB">
          <w:rPr>
            <w:rStyle w:val="Hyperlink"/>
            <w:noProof/>
            <w:color w:val="auto"/>
            <w:lang w:val="fr-FR"/>
          </w:rPr>
          <w:t>RAPPEL</w:t>
        </w:r>
        <w:r w:rsidR="0008251C" w:rsidRPr="005F0CAB">
          <w:rPr>
            <w:noProof/>
            <w:webHidden/>
          </w:rPr>
          <w:tab/>
        </w:r>
        <w:r w:rsidR="0008251C" w:rsidRPr="005F0CAB">
          <w:rPr>
            <w:noProof/>
            <w:webHidden/>
          </w:rPr>
          <w:fldChar w:fldCharType="begin"/>
        </w:r>
        <w:r w:rsidR="0008251C" w:rsidRPr="005F0CAB">
          <w:rPr>
            <w:noProof/>
            <w:webHidden/>
          </w:rPr>
          <w:instrText xml:space="preserve"> PAGEREF _Toc442076537 \h </w:instrText>
        </w:r>
        <w:r w:rsidR="0008251C" w:rsidRPr="005F0CAB">
          <w:rPr>
            <w:noProof/>
            <w:webHidden/>
          </w:rPr>
        </w:r>
        <w:r w:rsidR="0008251C" w:rsidRPr="005F0CAB">
          <w:rPr>
            <w:noProof/>
            <w:webHidden/>
          </w:rPr>
          <w:fldChar w:fldCharType="separate"/>
        </w:r>
        <w:r w:rsidR="009E6BFA">
          <w:rPr>
            <w:noProof/>
            <w:webHidden/>
          </w:rPr>
          <w:t>2</w:t>
        </w:r>
        <w:r w:rsidR="0008251C" w:rsidRPr="005F0CAB">
          <w:rPr>
            <w:noProof/>
            <w:webHidden/>
          </w:rPr>
          <w:fldChar w:fldCharType="end"/>
        </w:r>
      </w:hyperlink>
    </w:p>
    <w:p w:rsidR="0008251C" w:rsidRPr="005F0CAB" w:rsidRDefault="00DA063D">
      <w:pPr>
        <w:pStyle w:val="TOC1"/>
        <w:rPr>
          <w:rFonts w:asciiTheme="minorHAnsi" w:hAnsiTheme="minorHAnsi" w:cstheme="minorBidi"/>
          <w:caps w:val="0"/>
          <w:noProof/>
          <w:sz w:val="22"/>
          <w:szCs w:val="22"/>
        </w:rPr>
      </w:pPr>
      <w:hyperlink w:anchor="_Toc442076538" w:history="1">
        <w:r w:rsidR="0008251C" w:rsidRPr="005F0CAB">
          <w:rPr>
            <w:rStyle w:val="Hyperlink"/>
            <w:noProof/>
            <w:color w:val="auto"/>
            <w:lang w:val="fr-FR" w:eastAsia="ja-JP"/>
          </w:rPr>
          <w:t>Faits nouveaux en 2015</w:t>
        </w:r>
        <w:r w:rsidR="0008251C" w:rsidRPr="005F0CAB">
          <w:rPr>
            <w:noProof/>
            <w:webHidden/>
          </w:rPr>
          <w:tab/>
        </w:r>
        <w:r w:rsidR="0008251C" w:rsidRPr="005F0CAB">
          <w:rPr>
            <w:noProof/>
            <w:webHidden/>
          </w:rPr>
          <w:fldChar w:fldCharType="begin"/>
        </w:r>
        <w:r w:rsidR="0008251C" w:rsidRPr="005F0CAB">
          <w:rPr>
            <w:noProof/>
            <w:webHidden/>
          </w:rPr>
          <w:instrText xml:space="preserve"> PAGEREF _Toc442076538 \h </w:instrText>
        </w:r>
        <w:r w:rsidR="0008251C" w:rsidRPr="005F0CAB">
          <w:rPr>
            <w:noProof/>
            <w:webHidden/>
          </w:rPr>
        </w:r>
        <w:r w:rsidR="0008251C" w:rsidRPr="005F0CAB">
          <w:rPr>
            <w:noProof/>
            <w:webHidden/>
          </w:rPr>
          <w:fldChar w:fldCharType="separate"/>
        </w:r>
        <w:r w:rsidR="009E6BFA">
          <w:rPr>
            <w:noProof/>
            <w:webHidden/>
          </w:rPr>
          <w:t>2</w:t>
        </w:r>
        <w:r w:rsidR="0008251C" w:rsidRPr="005F0CAB">
          <w:rPr>
            <w:noProof/>
            <w:webHidden/>
          </w:rPr>
          <w:fldChar w:fldCharType="end"/>
        </w:r>
      </w:hyperlink>
    </w:p>
    <w:p w:rsidR="0008251C" w:rsidRPr="005F0CAB" w:rsidRDefault="00DA063D">
      <w:pPr>
        <w:pStyle w:val="TOC2"/>
        <w:rPr>
          <w:rFonts w:asciiTheme="minorHAnsi" w:hAnsiTheme="minorHAnsi" w:cstheme="minorBidi"/>
          <w:smallCaps w:val="0"/>
          <w:noProof/>
          <w:sz w:val="22"/>
          <w:szCs w:val="22"/>
        </w:rPr>
      </w:pPr>
      <w:hyperlink w:anchor="_Toc442076539" w:history="1">
        <w:r w:rsidR="0008251C" w:rsidRPr="005F0CAB">
          <w:rPr>
            <w:rStyle w:val="Hyperlink"/>
            <w:noProof/>
            <w:snapToGrid w:val="0"/>
            <w:color w:val="auto"/>
            <w:lang w:val="fr-FR" w:eastAsia="ja-JP"/>
          </w:rPr>
          <w:t>Comité technique</w:t>
        </w:r>
        <w:r w:rsidR="0008251C" w:rsidRPr="005F0CAB">
          <w:rPr>
            <w:noProof/>
            <w:webHidden/>
          </w:rPr>
          <w:tab/>
        </w:r>
        <w:r w:rsidR="0008251C" w:rsidRPr="005F0CAB">
          <w:rPr>
            <w:noProof/>
            <w:webHidden/>
          </w:rPr>
          <w:fldChar w:fldCharType="begin"/>
        </w:r>
        <w:r w:rsidR="0008251C" w:rsidRPr="005F0CAB">
          <w:rPr>
            <w:noProof/>
            <w:webHidden/>
          </w:rPr>
          <w:instrText xml:space="preserve"> PAGEREF _Toc442076539 \h </w:instrText>
        </w:r>
        <w:r w:rsidR="0008251C" w:rsidRPr="005F0CAB">
          <w:rPr>
            <w:noProof/>
            <w:webHidden/>
          </w:rPr>
        </w:r>
        <w:r w:rsidR="0008251C" w:rsidRPr="005F0CAB">
          <w:rPr>
            <w:noProof/>
            <w:webHidden/>
          </w:rPr>
          <w:fldChar w:fldCharType="separate"/>
        </w:r>
        <w:r w:rsidR="009E6BFA">
          <w:rPr>
            <w:noProof/>
            <w:webHidden/>
          </w:rPr>
          <w:t>2</w:t>
        </w:r>
        <w:r w:rsidR="0008251C" w:rsidRPr="005F0CAB">
          <w:rPr>
            <w:noProof/>
            <w:webHidden/>
          </w:rPr>
          <w:fldChar w:fldCharType="end"/>
        </w:r>
      </w:hyperlink>
    </w:p>
    <w:p w:rsidR="0008251C" w:rsidRPr="005F0CAB" w:rsidRDefault="00DA063D">
      <w:pPr>
        <w:pStyle w:val="TOC2"/>
        <w:rPr>
          <w:rFonts w:asciiTheme="minorHAnsi" w:hAnsiTheme="minorHAnsi" w:cstheme="minorBidi"/>
          <w:smallCaps w:val="0"/>
          <w:noProof/>
          <w:sz w:val="22"/>
          <w:szCs w:val="22"/>
        </w:rPr>
      </w:pPr>
      <w:hyperlink w:anchor="_Toc442076540" w:history="1">
        <w:r w:rsidR="0008251C" w:rsidRPr="005F0CAB">
          <w:rPr>
            <w:rStyle w:val="Hyperlink"/>
            <w:noProof/>
            <w:snapToGrid w:val="0"/>
            <w:color w:val="auto"/>
            <w:lang w:val="fr-FR" w:eastAsia="ja-JP"/>
          </w:rPr>
          <w:t>Groupes de travail techniques</w:t>
        </w:r>
        <w:r w:rsidR="0008251C" w:rsidRPr="005F0CAB">
          <w:rPr>
            <w:noProof/>
            <w:webHidden/>
          </w:rPr>
          <w:tab/>
        </w:r>
        <w:r w:rsidR="0008251C" w:rsidRPr="005F0CAB">
          <w:rPr>
            <w:noProof/>
            <w:webHidden/>
          </w:rPr>
          <w:fldChar w:fldCharType="begin"/>
        </w:r>
        <w:r w:rsidR="0008251C" w:rsidRPr="005F0CAB">
          <w:rPr>
            <w:noProof/>
            <w:webHidden/>
          </w:rPr>
          <w:instrText xml:space="preserve"> PAGEREF _Toc442076540 \h </w:instrText>
        </w:r>
        <w:r w:rsidR="0008251C" w:rsidRPr="005F0CAB">
          <w:rPr>
            <w:noProof/>
            <w:webHidden/>
          </w:rPr>
        </w:r>
        <w:r w:rsidR="0008251C" w:rsidRPr="005F0CAB">
          <w:rPr>
            <w:noProof/>
            <w:webHidden/>
          </w:rPr>
          <w:fldChar w:fldCharType="separate"/>
        </w:r>
        <w:r w:rsidR="009E6BFA">
          <w:rPr>
            <w:noProof/>
            <w:webHidden/>
          </w:rPr>
          <w:t>2</w:t>
        </w:r>
        <w:r w:rsidR="0008251C" w:rsidRPr="005F0CAB">
          <w:rPr>
            <w:noProof/>
            <w:webHidden/>
          </w:rPr>
          <w:fldChar w:fldCharType="end"/>
        </w:r>
      </w:hyperlink>
    </w:p>
    <w:p w:rsidR="00FA6BED" w:rsidRPr="005F0CAB" w:rsidRDefault="00604A31" w:rsidP="00604A31">
      <w:pPr>
        <w:rPr>
          <w:snapToGrid w:val="0"/>
          <w:lang w:val="fr-FR"/>
        </w:rPr>
      </w:pPr>
      <w:r w:rsidRPr="005F0CAB">
        <w:rPr>
          <w:snapToGrid w:val="0"/>
          <w:lang w:val="fr-FR"/>
        </w:rPr>
        <w:fldChar w:fldCharType="end"/>
      </w:r>
    </w:p>
    <w:p w:rsidR="00FA6BED" w:rsidRPr="005F0CAB" w:rsidRDefault="00604A31" w:rsidP="00604A31">
      <w:pPr>
        <w:ind w:left="1418" w:hanging="1418"/>
        <w:rPr>
          <w:lang w:val="fr-FR" w:eastAsia="ja-JP"/>
        </w:rPr>
      </w:pPr>
      <w:r w:rsidRPr="005F0CAB">
        <w:rPr>
          <w:lang w:val="fr-FR"/>
        </w:rPr>
        <w:t>ANNEX</w:t>
      </w:r>
      <w:r w:rsidR="009208A4" w:rsidRPr="005F0CAB">
        <w:rPr>
          <w:lang w:val="fr-FR"/>
        </w:rPr>
        <w:t>E</w:t>
      </w:r>
      <w:r w:rsidR="00B834A7" w:rsidRPr="005F0CAB">
        <w:rPr>
          <w:lang w:val="fr-FR"/>
        </w:rPr>
        <w:t xml:space="preserve"> : </w:t>
      </w:r>
      <w:r w:rsidRPr="005F0CAB">
        <w:rPr>
          <w:lang w:val="fr-FR"/>
        </w:rPr>
        <w:tab/>
        <w:t>N</w:t>
      </w:r>
      <w:r w:rsidR="009208A4" w:rsidRPr="005F0CAB">
        <w:rPr>
          <w:lang w:val="fr-FR"/>
        </w:rPr>
        <w:t xml:space="preserve">ouvelle méthode statistique applicable aux caractères observés visuellement </w:t>
      </w:r>
      <w:r w:rsidR="00037D08" w:rsidRPr="005F0CAB">
        <w:rPr>
          <w:lang w:val="fr-FR"/>
        </w:rPr>
        <w:t xml:space="preserve">ayant des </w:t>
      </w:r>
      <w:r w:rsidR="00037D08" w:rsidRPr="005F0CAB">
        <w:rPr>
          <w:lang w:val="fr-FR" w:eastAsia="ja-JP"/>
        </w:rPr>
        <w:t>données à distribution multinomiale</w:t>
      </w:r>
      <w:r w:rsidR="00F41AAB" w:rsidRPr="005F0CAB">
        <w:rPr>
          <w:lang w:val="fr-FR"/>
        </w:rPr>
        <w:t xml:space="preserve"> </w:t>
      </w:r>
      <w:r w:rsidR="000F6871" w:rsidRPr="005F0CAB">
        <w:rPr>
          <w:lang w:val="fr-FR" w:eastAsia="ja-JP"/>
        </w:rPr>
        <w:t>(</w:t>
      </w:r>
      <w:r w:rsidR="009208A4" w:rsidRPr="005F0CAB">
        <w:rPr>
          <w:lang w:val="fr-FR" w:eastAsia="ja-JP"/>
        </w:rPr>
        <w:t>en anglais uniquement</w:t>
      </w:r>
      <w:r w:rsidR="00AC4CF1" w:rsidRPr="005F0CAB">
        <w:rPr>
          <w:lang w:val="fr-FR" w:eastAsia="ja-JP"/>
        </w:rPr>
        <w:t>)</w:t>
      </w:r>
    </w:p>
    <w:p w:rsidR="00FA6BED" w:rsidRPr="005F0CAB" w:rsidRDefault="00FA6BED" w:rsidP="00BE4B61">
      <w:pPr>
        <w:rPr>
          <w:lang w:val="fr-FR" w:eastAsia="ja-JP"/>
        </w:rPr>
      </w:pPr>
    </w:p>
    <w:p w:rsidR="00FA6BED" w:rsidRPr="005F0CAB" w:rsidRDefault="00FA6BED" w:rsidP="00BE4B61">
      <w:pPr>
        <w:rPr>
          <w:lang w:val="fr-FR"/>
        </w:rPr>
      </w:pPr>
    </w:p>
    <w:p w:rsidR="00FA6BED" w:rsidRPr="005F0CAB" w:rsidRDefault="00FA6BED" w:rsidP="00FA6BED">
      <w:pPr>
        <w:pStyle w:val="Heading1"/>
        <w:rPr>
          <w:lang w:val="fr-FR"/>
        </w:rPr>
      </w:pPr>
      <w:bookmarkStart w:id="6" w:name="_Toc442076537"/>
      <w:r w:rsidRPr="005F0CAB">
        <w:rPr>
          <w:lang w:val="fr-FR"/>
        </w:rPr>
        <w:t>RAPPEL</w:t>
      </w:r>
      <w:bookmarkEnd w:id="6"/>
    </w:p>
    <w:p w:rsidR="00FA6BED" w:rsidRPr="005F0CAB" w:rsidRDefault="00FA6BED" w:rsidP="00BE4B61">
      <w:pPr>
        <w:rPr>
          <w:u w:val="single"/>
          <w:lang w:val="fr-FR" w:eastAsia="ja-JP"/>
        </w:rPr>
      </w:pPr>
    </w:p>
    <w:p w:rsidR="00FA6BED" w:rsidRPr="005F0CAB" w:rsidRDefault="00BE4B61" w:rsidP="00FA6BED">
      <w:pPr>
        <w:rPr>
          <w:szCs w:val="24"/>
          <w:lang w:val="fr-FR" w:eastAsia="ja-JP"/>
        </w:rPr>
      </w:pPr>
      <w:r w:rsidRPr="005F0CAB">
        <w:rPr>
          <w:lang w:val="fr-FR"/>
        </w:rPr>
        <w:fldChar w:fldCharType="begin"/>
      </w:r>
      <w:r w:rsidRPr="005F0CAB">
        <w:rPr>
          <w:lang w:val="fr-FR"/>
        </w:rPr>
        <w:instrText xml:space="preserve"> AUTONUM  </w:instrText>
      </w:r>
      <w:r w:rsidRPr="005F0CAB">
        <w:rPr>
          <w:lang w:val="fr-FR"/>
        </w:rPr>
        <w:fldChar w:fldCharType="end"/>
      </w:r>
      <w:r w:rsidRPr="005F0CAB">
        <w:rPr>
          <w:lang w:val="fr-FR"/>
        </w:rPr>
        <w:tab/>
      </w:r>
      <w:r w:rsidR="00FA6BED" w:rsidRPr="005F0CAB">
        <w:rPr>
          <w:lang w:val="fr-FR"/>
        </w:rPr>
        <w:t xml:space="preserve">Les informations générales sur cette question sont fournies dans le </w:t>
      </w:r>
      <w:r w:rsidR="00734BBA" w:rsidRPr="005F0CAB">
        <w:rPr>
          <w:lang w:val="fr-FR"/>
        </w:rPr>
        <w:t>document TC</w:t>
      </w:r>
      <w:r w:rsidR="00FA6BED" w:rsidRPr="005F0CAB">
        <w:rPr>
          <w:lang w:val="fr-FR"/>
        </w:rPr>
        <w:t>/51/17 “</w:t>
      </w:r>
      <w:r w:rsidR="00FA6BED" w:rsidRPr="004A7F8D">
        <w:rPr>
          <w:lang w:val="fr-FR"/>
        </w:rPr>
        <w:t>Révision du document TGP/8</w:t>
      </w:r>
      <w:r w:rsidR="00B834A7" w:rsidRPr="004A7F8D">
        <w:rPr>
          <w:lang w:val="fr-FR"/>
        </w:rPr>
        <w:t> </w:t>
      </w:r>
      <w:r w:rsidR="00FA6BED" w:rsidRPr="004A7F8D">
        <w:rPr>
          <w:lang w:val="fr-FR"/>
        </w:rPr>
        <w:t>: deuxième partie</w:t>
      </w:r>
      <w:r w:rsidR="00B834A7" w:rsidRPr="004A7F8D">
        <w:rPr>
          <w:lang w:val="fr-FR"/>
        </w:rPr>
        <w:t> </w:t>
      </w:r>
      <w:r w:rsidR="00FA6BED" w:rsidRPr="004A7F8D">
        <w:rPr>
          <w:lang w:val="fr-FR"/>
        </w:rPr>
        <w:t>: quelques techniques utilisées dans l</w:t>
      </w:r>
      <w:r w:rsidR="00734BBA" w:rsidRPr="004A7F8D">
        <w:rPr>
          <w:lang w:val="fr-FR"/>
        </w:rPr>
        <w:t>’</w:t>
      </w:r>
      <w:r w:rsidR="00FA6BED" w:rsidRPr="004A7F8D">
        <w:rPr>
          <w:lang w:val="fr-FR"/>
        </w:rPr>
        <w:t>examen</w:t>
      </w:r>
      <w:r w:rsidR="00B834A7" w:rsidRPr="004A7F8D">
        <w:rPr>
          <w:lang w:val="fr-FR"/>
        </w:rPr>
        <w:t> </w:t>
      </w:r>
      <w:r w:rsidR="00FA6BED" w:rsidRPr="004A7F8D">
        <w:rPr>
          <w:lang w:val="fr-FR"/>
        </w:rPr>
        <w:t>DHS, section</w:t>
      </w:r>
      <w:r w:rsidR="00B834A7" w:rsidRPr="004A7F8D">
        <w:rPr>
          <w:lang w:val="fr-FR"/>
        </w:rPr>
        <w:t> </w:t>
      </w:r>
      <w:r w:rsidR="00FA6BED" w:rsidRPr="004A7F8D">
        <w:rPr>
          <w:lang w:val="fr-FR"/>
        </w:rPr>
        <w:t>9</w:t>
      </w:r>
      <w:r w:rsidR="00B834A7" w:rsidRPr="004A7F8D">
        <w:rPr>
          <w:lang w:val="fr-FR"/>
        </w:rPr>
        <w:t> </w:t>
      </w:r>
      <w:r w:rsidR="00FA6BED" w:rsidRPr="004A7F8D">
        <w:rPr>
          <w:lang w:val="fr-FR"/>
        </w:rPr>
        <w:t>: analyse globale de l</w:t>
      </w:r>
      <w:r w:rsidR="00734BBA" w:rsidRPr="004A7F8D">
        <w:rPr>
          <w:lang w:val="fr-FR"/>
        </w:rPr>
        <w:t>’</w:t>
      </w:r>
      <w:r w:rsidR="00FA6BED" w:rsidRPr="004A7F8D">
        <w:rPr>
          <w:lang w:val="fr-FR"/>
        </w:rPr>
        <w:t>homogénéité sur plusieurs années (méthode d</w:t>
      </w:r>
      <w:r w:rsidR="00734BBA" w:rsidRPr="004A7F8D">
        <w:rPr>
          <w:lang w:val="fr-FR"/>
        </w:rPr>
        <w:t>’</w:t>
      </w:r>
      <w:r w:rsidR="00FA6BED" w:rsidRPr="004A7F8D">
        <w:rPr>
          <w:lang w:val="fr-FR"/>
        </w:rPr>
        <w:t>analyse COYU)</w:t>
      </w:r>
      <w:r w:rsidR="00FA6BED" w:rsidRPr="005F0CAB">
        <w:rPr>
          <w:lang w:val="fr-FR"/>
        </w:rPr>
        <w:t>”.</w:t>
      </w:r>
    </w:p>
    <w:p w:rsidR="00FA6BED" w:rsidRPr="005F0CAB" w:rsidRDefault="00FA6BED" w:rsidP="00BE4B61">
      <w:pPr>
        <w:rPr>
          <w:u w:val="single"/>
          <w:lang w:val="fr-FR" w:eastAsia="ja-JP"/>
        </w:rPr>
      </w:pPr>
    </w:p>
    <w:p w:rsidR="00FA6BED" w:rsidRPr="005F0CAB" w:rsidRDefault="00FA6BED" w:rsidP="00BE4B61">
      <w:pPr>
        <w:keepNext/>
        <w:keepLines/>
        <w:rPr>
          <w:lang w:val="fr-FR" w:eastAsia="ja-JP"/>
        </w:rPr>
      </w:pPr>
    </w:p>
    <w:p w:rsidR="00FA6BED" w:rsidRPr="005F0CAB" w:rsidRDefault="00FA6BED" w:rsidP="00FA6BED">
      <w:pPr>
        <w:pStyle w:val="Heading1"/>
        <w:rPr>
          <w:lang w:val="fr-FR" w:eastAsia="ja-JP"/>
        </w:rPr>
      </w:pPr>
      <w:bookmarkStart w:id="7" w:name="_Toc442076538"/>
      <w:r w:rsidRPr="005F0CAB">
        <w:rPr>
          <w:lang w:val="fr-FR" w:eastAsia="ja-JP"/>
        </w:rPr>
        <w:t>Faits nouveaux en</w:t>
      </w:r>
      <w:r w:rsidR="00B834A7" w:rsidRPr="005F0CAB">
        <w:rPr>
          <w:lang w:val="fr-FR" w:eastAsia="ja-JP"/>
        </w:rPr>
        <w:t> </w:t>
      </w:r>
      <w:r w:rsidRPr="005F0CAB">
        <w:rPr>
          <w:lang w:val="fr-FR" w:eastAsia="ja-JP"/>
        </w:rPr>
        <w:t>2015</w:t>
      </w:r>
      <w:bookmarkEnd w:id="7"/>
    </w:p>
    <w:p w:rsidR="00FA6BED" w:rsidRPr="005F0CAB" w:rsidRDefault="00FA6BED" w:rsidP="00BE4B61">
      <w:pPr>
        <w:keepNext/>
        <w:keepLines/>
        <w:rPr>
          <w:lang w:val="fr-FR" w:eastAsia="ja-JP"/>
        </w:rPr>
      </w:pPr>
    </w:p>
    <w:p w:rsidR="00FA6BED" w:rsidRPr="005F0CAB" w:rsidRDefault="00FA6BED" w:rsidP="00FA6BED">
      <w:pPr>
        <w:pStyle w:val="Heading2"/>
        <w:rPr>
          <w:snapToGrid w:val="0"/>
          <w:lang w:val="fr-FR" w:eastAsia="ja-JP"/>
        </w:rPr>
      </w:pPr>
      <w:bookmarkStart w:id="8" w:name="_Toc442076539"/>
      <w:r w:rsidRPr="005F0CAB">
        <w:rPr>
          <w:snapToGrid w:val="0"/>
          <w:lang w:val="fr-FR" w:eastAsia="ja-JP"/>
        </w:rPr>
        <w:t>Comité technique</w:t>
      </w:r>
      <w:bookmarkEnd w:id="8"/>
    </w:p>
    <w:p w:rsidR="00FA6BED" w:rsidRPr="005F0CAB" w:rsidRDefault="00FA6BED" w:rsidP="00BE4B61">
      <w:pPr>
        <w:keepNext/>
        <w:keepLines/>
        <w:rPr>
          <w:lang w:val="fr-FR" w:eastAsia="ja-JP"/>
        </w:rPr>
      </w:pPr>
    </w:p>
    <w:p w:rsidR="00FA6BED" w:rsidRPr="005F0CAB" w:rsidRDefault="00DF02BC" w:rsidP="00DF02BC">
      <w:pPr>
        <w:rPr>
          <w:lang w:val="fr-FR" w:eastAsia="ja-JP"/>
        </w:rPr>
      </w:pPr>
      <w:r w:rsidRPr="005F0CAB">
        <w:rPr>
          <w:rFonts w:cs="Arial"/>
          <w:lang w:val="fr-FR"/>
        </w:rPr>
        <w:fldChar w:fldCharType="begin"/>
      </w:r>
      <w:r w:rsidRPr="005F0CAB">
        <w:rPr>
          <w:rFonts w:cs="Arial"/>
          <w:lang w:val="fr-FR"/>
        </w:rPr>
        <w:instrText xml:space="preserve"> AUTONUM  </w:instrText>
      </w:r>
      <w:r w:rsidRPr="005F0CAB">
        <w:rPr>
          <w:rFonts w:cs="Arial"/>
          <w:lang w:val="fr-FR"/>
        </w:rPr>
        <w:fldChar w:fldCharType="end"/>
      </w:r>
      <w:r w:rsidRPr="005F0CAB">
        <w:rPr>
          <w:rFonts w:cs="Arial"/>
          <w:lang w:val="fr-FR"/>
        </w:rPr>
        <w:tab/>
      </w:r>
      <w:r w:rsidR="00D64E77" w:rsidRPr="005F0CAB">
        <w:rPr>
          <w:rFonts w:cs="Arial"/>
          <w:lang w:val="fr-FR"/>
        </w:rPr>
        <w:t>À sa cinquante</w:t>
      </w:r>
      <w:r w:rsidR="00B834A7" w:rsidRPr="005F0CAB">
        <w:rPr>
          <w:rFonts w:cs="Arial"/>
          <w:lang w:val="fr-FR"/>
        </w:rPr>
        <w:t> </w:t>
      </w:r>
      <w:r w:rsidR="00D64E77" w:rsidRPr="005F0CAB">
        <w:rPr>
          <w:rFonts w:cs="Arial"/>
          <w:lang w:val="fr-FR"/>
        </w:rPr>
        <w:t>et</w:t>
      </w:r>
      <w:r w:rsidR="00B834A7" w:rsidRPr="005F0CAB">
        <w:rPr>
          <w:rFonts w:cs="Arial"/>
          <w:lang w:val="fr-FR"/>
        </w:rPr>
        <w:t> </w:t>
      </w:r>
      <w:r w:rsidR="00D64E77" w:rsidRPr="005F0CAB">
        <w:rPr>
          <w:rFonts w:cs="Arial"/>
          <w:lang w:val="fr-FR"/>
        </w:rPr>
        <w:t>unième</w:t>
      </w:r>
      <w:r w:rsidR="00B834A7" w:rsidRPr="005F0CAB">
        <w:rPr>
          <w:rFonts w:cs="Arial"/>
          <w:lang w:val="fr-FR"/>
        </w:rPr>
        <w:t> </w:t>
      </w:r>
      <w:r w:rsidR="00D64E77" w:rsidRPr="005F0CAB">
        <w:rPr>
          <w:rFonts w:cs="Arial"/>
          <w:lang w:val="fr-FR"/>
        </w:rPr>
        <w:t>session, tenue à Genève du 23 au 2</w:t>
      </w:r>
      <w:r w:rsidR="00734BBA" w:rsidRPr="005F0CAB">
        <w:rPr>
          <w:rFonts w:cs="Arial"/>
          <w:lang w:val="fr-FR"/>
        </w:rPr>
        <w:t>5 mars 20</w:t>
      </w:r>
      <w:r w:rsidR="00D64E77" w:rsidRPr="005F0CAB">
        <w:rPr>
          <w:rFonts w:cs="Arial"/>
          <w:lang w:val="fr-FR"/>
        </w:rPr>
        <w:t>15, le</w:t>
      </w:r>
      <w:r w:rsidR="00734BBA" w:rsidRPr="005F0CAB">
        <w:rPr>
          <w:rFonts w:cs="Arial"/>
          <w:lang w:val="fr-FR"/>
        </w:rPr>
        <w:t> TC</w:t>
      </w:r>
      <w:r w:rsidR="00D64E77" w:rsidRPr="005F0CAB">
        <w:rPr>
          <w:rFonts w:cs="Arial"/>
          <w:lang w:val="fr-FR"/>
        </w:rPr>
        <w:t xml:space="preserve"> a examiné le </w:t>
      </w:r>
      <w:r w:rsidR="00734BBA" w:rsidRPr="005F0CAB">
        <w:rPr>
          <w:rFonts w:cs="Arial"/>
          <w:lang w:val="fr-FR"/>
        </w:rPr>
        <w:t>document TC</w:t>
      </w:r>
      <w:r w:rsidRPr="005F0CAB">
        <w:rPr>
          <w:rFonts w:cs="Arial"/>
          <w:lang w:val="fr-FR"/>
        </w:rPr>
        <w:t>/5</w:t>
      </w:r>
      <w:r w:rsidRPr="005F0CAB">
        <w:rPr>
          <w:rFonts w:cs="Arial"/>
          <w:lang w:val="fr-FR" w:eastAsia="ja-JP"/>
        </w:rPr>
        <w:t>1</w:t>
      </w:r>
      <w:r w:rsidRPr="005F0CAB">
        <w:rPr>
          <w:rFonts w:cs="Arial"/>
          <w:lang w:val="fr-FR"/>
        </w:rPr>
        <w:t>/</w:t>
      </w:r>
      <w:r w:rsidRPr="005F0CAB">
        <w:rPr>
          <w:rFonts w:cs="Arial"/>
          <w:lang w:val="fr-FR" w:eastAsia="ja-JP"/>
        </w:rPr>
        <w:t>17</w:t>
      </w:r>
      <w:r w:rsidR="00E13641" w:rsidRPr="005F0CAB">
        <w:rPr>
          <w:rFonts w:cs="Arial"/>
          <w:lang w:val="fr-FR" w:eastAsia="ja-JP"/>
        </w:rPr>
        <w:t xml:space="preserve"> </w:t>
      </w:r>
      <w:r w:rsidR="00E13641" w:rsidRPr="005F0CAB">
        <w:rPr>
          <w:szCs w:val="24"/>
          <w:lang w:val="fr-FR" w:eastAsia="ja-JP"/>
        </w:rPr>
        <w:t>“</w:t>
      </w:r>
      <w:r w:rsidR="00D64E77" w:rsidRPr="004A7F8D">
        <w:rPr>
          <w:szCs w:val="24"/>
          <w:lang w:val="fr-FR" w:eastAsia="ja-JP"/>
        </w:rPr>
        <w:t>Révision du document TGP/8 : deuxième partie : Quelques techniques utilisées dans l</w:t>
      </w:r>
      <w:r w:rsidR="00734BBA" w:rsidRPr="004A7F8D">
        <w:rPr>
          <w:szCs w:val="24"/>
          <w:lang w:val="fr-FR" w:eastAsia="ja-JP"/>
        </w:rPr>
        <w:t>’</w:t>
      </w:r>
      <w:r w:rsidR="00D64E77" w:rsidRPr="004A7F8D">
        <w:rPr>
          <w:szCs w:val="24"/>
          <w:lang w:val="fr-FR" w:eastAsia="ja-JP"/>
        </w:rPr>
        <w:t>examen DHS, section 9 : Analyse globale de l</w:t>
      </w:r>
      <w:r w:rsidR="00734BBA" w:rsidRPr="004A7F8D">
        <w:rPr>
          <w:szCs w:val="24"/>
          <w:lang w:val="fr-FR" w:eastAsia="ja-JP"/>
        </w:rPr>
        <w:t>’</w:t>
      </w:r>
      <w:r w:rsidR="00D64E77" w:rsidRPr="004A7F8D">
        <w:rPr>
          <w:szCs w:val="24"/>
          <w:lang w:val="fr-FR" w:eastAsia="ja-JP"/>
        </w:rPr>
        <w:t>homogénéité sur plusieurs années (méthode d</w:t>
      </w:r>
      <w:r w:rsidR="00734BBA" w:rsidRPr="004A7F8D">
        <w:rPr>
          <w:szCs w:val="24"/>
          <w:lang w:val="fr-FR" w:eastAsia="ja-JP"/>
        </w:rPr>
        <w:t>’</w:t>
      </w:r>
      <w:r w:rsidR="00D64E77" w:rsidRPr="004A7F8D">
        <w:rPr>
          <w:szCs w:val="24"/>
          <w:lang w:val="fr-FR" w:eastAsia="ja-JP"/>
        </w:rPr>
        <w:t>analyse COYU</w:t>
      </w:r>
      <w:r w:rsidR="00E13641" w:rsidRPr="004A7F8D">
        <w:rPr>
          <w:szCs w:val="24"/>
          <w:lang w:val="fr-FR" w:eastAsia="ja-JP"/>
        </w:rPr>
        <w:t>)</w:t>
      </w:r>
      <w:r w:rsidR="00E13641" w:rsidRPr="005F0CAB">
        <w:rPr>
          <w:szCs w:val="24"/>
          <w:lang w:val="fr-FR" w:eastAsia="ja-JP"/>
        </w:rPr>
        <w:t>”</w:t>
      </w:r>
      <w:r w:rsidRPr="005F0CAB">
        <w:rPr>
          <w:lang w:val="fr-FR"/>
        </w:rPr>
        <w:t xml:space="preserve"> </w:t>
      </w:r>
      <w:r w:rsidR="00D64E77" w:rsidRPr="005F0CAB">
        <w:rPr>
          <w:lang w:val="fr-FR"/>
        </w:rPr>
        <w:t>et un exercice pratique effectué à l</w:t>
      </w:r>
      <w:r w:rsidR="00734BBA" w:rsidRPr="005F0CAB">
        <w:rPr>
          <w:lang w:val="fr-FR"/>
        </w:rPr>
        <w:t>’</w:t>
      </w:r>
      <w:r w:rsidR="00D64E77" w:rsidRPr="005F0CAB">
        <w:rPr>
          <w:lang w:val="fr-FR"/>
        </w:rPr>
        <w:t>aide de données réelles afin de comparer les décisions prises au moyen de la méthode actuelle et celles prises au moyen de la méthode améliorée proposée de calcul de</w:t>
      </w:r>
      <w:r w:rsidR="00734BBA" w:rsidRPr="005F0CAB">
        <w:rPr>
          <w:lang w:val="fr-FR"/>
        </w:rPr>
        <w:t xml:space="preserve"> la </w:t>
      </w:r>
      <w:r w:rsidR="00734BBA" w:rsidRPr="005F0CAB">
        <w:rPr>
          <w:lang w:val="fr-FR" w:eastAsia="ja-JP"/>
        </w:rPr>
        <w:t>COY</w:t>
      </w:r>
      <w:r w:rsidR="00564DD8" w:rsidRPr="005F0CAB">
        <w:rPr>
          <w:lang w:val="fr-FR" w:eastAsia="ja-JP"/>
        </w:rPr>
        <w:t>U</w:t>
      </w:r>
      <w:r w:rsidRPr="005F0CAB">
        <w:rPr>
          <w:lang w:val="fr-FR" w:eastAsia="ja-JP"/>
        </w:rPr>
        <w:t xml:space="preserve"> (</w:t>
      </w:r>
      <w:r w:rsidR="00D64E77" w:rsidRPr="005F0CAB">
        <w:rPr>
          <w:lang w:val="fr-FR" w:eastAsia="ja-JP"/>
        </w:rPr>
        <w:t>voir les paragraphes</w:t>
      </w:r>
      <w:r w:rsidR="00B834A7" w:rsidRPr="005F0CAB">
        <w:rPr>
          <w:lang w:val="fr-FR" w:eastAsia="ja-JP"/>
        </w:rPr>
        <w:t> </w:t>
      </w:r>
      <w:r w:rsidR="00D64E77" w:rsidRPr="005F0CAB">
        <w:rPr>
          <w:lang w:val="fr-FR" w:eastAsia="ja-JP"/>
        </w:rPr>
        <w:t xml:space="preserve">134 à 138 du </w:t>
      </w:r>
      <w:r w:rsidR="00734BBA" w:rsidRPr="005F0CAB">
        <w:rPr>
          <w:lang w:val="fr-FR" w:eastAsia="ja-JP"/>
        </w:rPr>
        <w:t>document TC</w:t>
      </w:r>
      <w:r w:rsidRPr="005F0CAB">
        <w:rPr>
          <w:lang w:val="fr-FR" w:eastAsia="ja-JP"/>
        </w:rPr>
        <w:t>/51/39 “</w:t>
      </w:r>
      <w:r w:rsidR="00D64E77" w:rsidRPr="004A7F8D">
        <w:rPr>
          <w:lang w:val="fr-FR" w:eastAsia="ja-JP"/>
        </w:rPr>
        <w:t>Compte rendu</w:t>
      </w:r>
      <w:r w:rsidRPr="005F0CAB">
        <w:rPr>
          <w:lang w:val="fr-FR" w:eastAsia="ja-JP"/>
        </w:rPr>
        <w:t>”)</w:t>
      </w:r>
      <w:r w:rsidRPr="005F0CAB">
        <w:rPr>
          <w:lang w:val="fr-FR"/>
        </w:rPr>
        <w:t>.</w:t>
      </w:r>
    </w:p>
    <w:p w:rsidR="00FA6BED" w:rsidRPr="005F0CAB" w:rsidRDefault="00FA6BED" w:rsidP="00DF02BC">
      <w:pPr>
        <w:pStyle w:val="Default"/>
        <w:rPr>
          <w:color w:val="auto"/>
          <w:sz w:val="20"/>
          <w:szCs w:val="20"/>
          <w:lang w:val="fr-FR" w:eastAsia="ja-JP"/>
        </w:rPr>
      </w:pPr>
    </w:p>
    <w:p w:rsidR="00734BBA" w:rsidRPr="005F0CAB" w:rsidRDefault="00DF02BC" w:rsidP="00FA6BED">
      <w:pPr>
        <w:rPr>
          <w:lang w:val="fr-FR"/>
        </w:rPr>
      </w:pPr>
      <w:r w:rsidRPr="005F0CAB">
        <w:rPr>
          <w:rFonts w:cs="Arial"/>
          <w:lang w:val="fr-FR"/>
        </w:rPr>
        <w:fldChar w:fldCharType="begin"/>
      </w:r>
      <w:r w:rsidRPr="005F0CAB">
        <w:rPr>
          <w:rFonts w:cs="Arial"/>
          <w:lang w:val="fr-FR"/>
        </w:rPr>
        <w:instrText xml:space="preserve"> AUTONUM  </w:instrText>
      </w:r>
      <w:r w:rsidRPr="005F0CAB">
        <w:rPr>
          <w:rFonts w:cs="Arial"/>
          <w:lang w:val="fr-FR"/>
        </w:rPr>
        <w:fldChar w:fldCharType="end"/>
      </w:r>
      <w:r w:rsidRPr="005F0CAB">
        <w:rPr>
          <w:rFonts w:cs="Arial"/>
          <w:lang w:val="fr-FR"/>
        </w:rPr>
        <w:tab/>
      </w:r>
      <w:r w:rsidR="00FA6BED" w:rsidRPr="005F0CAB">
        <w:rPr>
          <w:rFonts w:cs="Arial"/>
          <w:lang w:val="fr-FR"/>
        </w:rPr>
        <w:t>Le</w:t>
      </w:r>
      <w:r w:rsidR="00734BBA" w:rsidRPr="005F0CAB">
        <w:rPr>
          <w:rFonts w:cs="Arial"/>
          <w:lang w:val="fr-FR"/>
        </w:rPr>
        <w:t> TC</w:t>
      </w:r>
      <w:r w:rsidR="00FA6BED" w:rsidRPr="005F0CAB">
        <w:rPr>
          <w:rFonts w:cs="Arial"/>
          <w:lang w:val="fr-FR"/>
        </w:rPr>
        <w:t xml:space="preserve"> prend note que les participants à l</w:t>
      </w:r>
      <w:r w:rsidR="00734BBA" w:rsidRPr="005F0CAB">
        <w:rPr>
          <w:rFonts w:cs="Arial"/>
          <w:lang w:val="fr-FR"/>
        </w:rPr>
        <w:t>’</w:t>
      </w:r>
      <w:r w:rsidR="00FA6BED" w:rsidRPr="005F0CAB">
        <w:rPr>
          <w:rFonts w:cs="Arial"/>
          <w:lang w:val="fr-FR"/>
        </w:rPr>
        <w:t>exercice visant à évaluer le logiciel de la nouvelle méthode de calcul de</w:t>
      </w:r>
      <w:r w:rsidR="00734BBA" w:rsidRPr="005F0CAB">
        <w:rPr>
          <w:rFonts w:cs="Arial"/>
          <w:lang w:val="fr-FR"/>
        </w:rPr>
        <w:t xml:space="preserve"> la COY</w:t>
      </w:r>
      <w:r w:rsidR="00FA6BED" w:rsidRPr="005F0CAB">
        <w:rPr>
          <w:rFonts w:cs="Arial"/>
          <w:lang w:val="fr-FR"/>
        </w:rPr>
        <w:t>U devraient</w:t>
      </w:r>
      <w:r w:rsidR="00B834A7" w:rsidRPr="005F0CAB">
        <w:rPr>
          <w:rFonts w:cs="Arial"/>
          <w:lang w:val="fr-FR"/>
        </w:rPr>
        <w:t> </w:t>
      </w:r>
      <w:r w:rsidR="00FA6BED" w:rsidRPr="005F0CAB">
        <w:rPr>
          <w:rFonts w:cs="Arial"/>
          <w:lang w:val="fr-FR"/>
        </w:rPr>
        <w:t>:</w:t>
      </w:r>
    </w:p>
    <w:p w:rsidR="00FA6BED" w:rsidRPr="005F0CAB" w:rsidRDefault="00FA6BED" w:rsidP="00DF02BC">
      <w:pPr>
        <w:rPr>
          <w:lang w:val="fr-FR" w:eastAsia="ja-JP"/>
        </w:rPr>
      </w:pPr>
    </w:p>
    <w:p w:rsidR="00734BBA" w:rsidRPr="005F0CAB" w:rsidRDefault="00FA6BED" w:rsidP="00FA6BED">
      <w:pPr>
        <w:pStyle w:val="Default"/>
        <w:ind w:firstLine="567"/>
        <w:rPr>
          <w:color w:val="auto"/>
          <w:sz w:val="20"/>
          <w:szCs w:val="20"/>
          <w:lang w:val="fr-FR"/>
        </w:rPr>
      </w:pPr>
      <w:r w:rsidRPr="005F0CAB">
        <w:rPr>
          <w:color w:val="auto"/>
          <w:sz w:val="20"/>
          <w:szCs w:val="20"/>
          <w:lang w:val="fr-FR"/>
        </w:rPr>
        <w:t>i)</w:t>
      </w:r>
      <w:r w:rsidRPr="005F0CAB">
        <w:rPr>
          <w:color w:val="auto"/>
          <w:sz w:val="20"/>
          <w:szCs w:val="20"/>
          <w:lang w:val="fr-FR"/>
        </w:rPr>
        <w:tab/>
        <w:t>chercher à définir les seuils de probabilité d</w:t>
      </w:r>
      <w:r w:rsidR="00734BBA" w:rsidRPr="005F0CAB">
        <w:rPr>
          <w:color w:val="auto"/>
          <w:sz w:val="20"/>
          <w:szCs w:val="20"/>
          <w:lang w:val="fr-FR"/>
        </w:rPr>
        <w:t>’</w:t>
      </w:r>
      <w:r w:rsidRPr="005F0CAB">
        <w:rPr>
          <w:color w:val="auto"/>
          <w:sz w:val="20"/>
          <w:szCs w:val="20"/>
          <w:lang w:val="fr-FR"/>
        </w:rPr>
        <w:t>une correspondance avec les décisions prises au moyen de l</w:t>
      </w:r>
      <w:r w:rsidR="00734BBA" w:rsidRPr="005F0CAB">
        <w:rPr>
          <w:color w:val="auto"/>
          <w:sz w:val="20"/>
          <w:szCs w:val="20"/>
          <w:lang w:val="fr-FR"/>
        </w:rPr>
        <w:t>’</w:t>
      </w:r>
      <w:r w:rsidRPr="005F0CAB">
        <w:rPr>
          <w:color w:val="auto"/>
          <w:sz w:val="20"/>
          <w:szCs w:val="20"/>
          <w:lang w:val="fr-FR"/>
        </w:rPr>
        <w:t>ancienne méthode de calcul de</w:t>
      </w:r>
      <w:r w:rsidR="00734BBA" w:rsidRPr="005F0CAB">
        <w:rPr>
          <w:color w:val="auto"/>
          <w:sz w:val="20"/>
          <w:szCs w:val="20"/>
          <w:lang w:val="fr-FR"/>
        </w:rPr>
        <w:t xml:space="preserve"> la COY</w:t>
      </w:r>
      <w:r w:rsidRPr="005F0CAB">
        <w:rPr>
          <w:color w:val="auto"/>
          <w:sz w:val="20"/>
          <w:szCs w:val="20"/>
          <w:lang w:val="fr-FR"/>
        </w:rPr>
        <w:t>U;</w:t>
      </w:r>
    </w:p>
    <w:p w:rsidR="00734BBA" w:rsidRPr="005F0CAB" w:rsidRDefault="00FA6BED" w:rsidP="00FA6BED">
      <w:pPr>
        <w:pStyle w:val="Default"/>
        <w:ind w:firstLine="567"/>
        <w:rPr>
          <w:color w:val="auto"/>
          <w:sz w:val="20"/>
          <w:szCs w:val="20"/>
          <w:lang w:val="fr-FR"/>
        </w:rPr>
      </w:pPr>
      <w:r w:rsidRPr="005F0CAB">
        <w:rPr>
          <w:color w:val="auto"/>
          <w:sz w:val="20"/>
          <w:szCs w:val="20"/>
          <w:lang w:val="fr-FR"/>
        </w:rPr>
        <w:t>ii)</w:t>
      </w:r>
      <w:r w:rsidRPr="005F0CAB">
        <w:rPr>
          <w:color w:val="auto"/>
          <w:sz w:val="20"/>
          <w:szCs w:val="20"/>
          <w:lang w:val="fr-FR"/>
        </w:rPr>
        <w:tab/>
        <w:t>effectuer le test sur la base de probabilités de rejet de 1, 2 et 5%;  et</w:t>
      </w:r>
    </w:p>
    <w:p w:rsidR="00734BBA" w:rsidRPr="005F0CAB" w:rsidRDefault="00FA6BED" w:rsidP="00FA6BED">
      <w:pPr>
        <w:pStyle w:val="Default"/>
        <w:ind w:firstLine="567"/>
        <w:rPr>
          <w:color w:val="auto"/>
          <w:sz w:val="20"/>
          <w:szCs w:val="20"/>
          <w:lang w:val="fr-FR"/>
        </w:rPr>
      </w:pPr>
      <w:r w:rsidRPr="005F0CAB">
        <w:rPr>
          <w:color w:val="auto"/>
          <w:sz w:val="20"/>
          <w:szCs w:val="20"/>
          <w:lang w:val="fr-FR"/>
        </w:rPr>
        <w:t>iii)</w:t>
      </w:r>
      <w:r w:rsidRPr="005F0CAB">
        <w:rPr>
          <w:color w:val="auto"/>
          <w:sz w:val="20"/>
          <w:szCs w:val="20"/>
          <w:lang w:val="fr-FR"/>
        </w:rPr>
        <w:tab/>
        <w:t>évaluer l</w:t>
      </w:r>
      <w:r w:rsidR="00734BBA" w:rsidRPr="005F0CAB">
        <w:rPr>
          <w:color w:val="auto"/>
          <w:sz w:val="20"/>
          <w:szCs w:val="20"/>
          <w:lang w:val="fr-FR"/>
        </w:rPr>
        <w:t>’</w:t>
      </w:r>
      <w:r w:rsidRPr="005F0CAB">
        <w:rPr>
          <w:color w:val="auto"/>
          <w:sz w:val="20"/>
          <w:szCs w:val="20"/>
          <w:lang w:val="fr-FR"/>
        </w:rPr>
        <w:t>uniformité des résultats pour toutes les plantes</w:t>
      </w:r>
    </w:p>
    <w:p w:rsidR="00FA6BED" w:rsidRPr="005F0CAB" w:rsidRDefault="00FA6BED" w:rsidP="00604A31">
      <w:pPr>
        <w:pStyle w:val="Default"/>
        <w:ind w:firstLine="567"/>
        <w:rPr>
          <w:color w:val="auto"/>
          <w:sz w:val="20"/>
          <w:szCs w:val="20"/>
          <w:lang w:val="fr-FR" w:eastAsia="ja-JP"/>
        </w:rPr>
      </w:pPr>
    </w:p>
    <w:p w:rsidR="00734BBA" w:rsidRPr="005F0CAB" w:rsidRDefault="005F49C5" w:rsidP="00FA6BED">
      <w:pPr>
        <w:pStyle w:val="Default"/>
        <w:jc w:val="both"/>
        <w:rPr>
          <w:color w:val="auto"/>
          <w:sz w:val="20"/>
          <w:szCs w:val="20"/>
          <w:lang w:val="fr-FR"/>
        </w:rPr>
      </w:pPr>
      <w:r w:rsidRPr="005F0CAB">
        <w:rPr>
          <w:color w:val="auto"/>
          <w:sz w:val="20"/>
          <w:szCs w:val="20"/>
          <w:lang w:val="fr-FR"/>
        </w:rPr>
        <w:fldChar w:fldCharType="begin"/>
      </w:r>
      <w:r w:rsidRPr="005F0CAB">
        <w:rPr>
          <w:color w:val="auto"/>
          <w:sz w:val="20"/>
          <w:szCs w:val="20"/>
          <w:lang w:val="fr-FR"/>
        </w:rPr>
        <w:instrText xml:space="preserve"> AUTONUM  </w:instrText>
      </w:r>
      <w:r w:rsidRPr="005F0CAB">
        <w:rPr>
          <w:color w:val="auto"/>
          <w:sz w:val="20"/>
          <w:szCs w:val="20"/>
          <w:lang w:val="fr-FR"/>
        </w:rPr>
        <w:fldChar w:fldCharType="end"/>
      </w:r>
      <w:r w:rsidRPr="005F0CAB">
        <w:rPr>
          <w:color w:val="auto"/>
          <w:sz w:val="20"/>
          <w:szCs w:val="20"/>
          <w:lang w:val="fr-FR"/>
        </w:rPr>
        <w:tab/>
      </w:r>
      <w:r w:rsidR="00FA6BED" w:rsidRPr="005F0CAB">
        <w:rPr>
          <w:color w:val="auto"/>
          <w:sz w:val="20"/>
          <w:szCs w:val="20"/>
          <w:lang w:val="fr-FR"/>
        </w:rPr>
        <w:t>Le</w:t>
      </w:r>
      <w:r w:rsidR="00734BBA" w:rsidRPr="005F0CAB">
        <w:rPr>
          <w:color w:val="auto"/>
          <w:sz w:val="20"/>
          <w:szCs w:val="20"/>
          <w:lang w:val="fr-FR"/>
        </w:rPr>
        <w:t> TC</w:t>
      </w:r>
      <w:r w:rsidR="00FA6BED" w:rsidRPr="005F0CAB">
        <w:rPr>
          <w:color w:val="auto"/>
          <w:sz w:val="20"/>
          <w:szCs w:val="20"/>
          <w:lang w:val="fr-FR"/>
        </w:rPr>
        <w:t xml:space="preserve"> prend note que l</w:t>
      </w:r>
      <w:r w:rsidR="00734BBA" w:rsidRPr="005F0CAB">
        <w:rPr>
          <w:color w:val="auto"/>
          <w:sz w:val="20"/>
          <w:szCs w:val="20"/>
          <w:lang w:val="fr-FR"/>
        </w:rPr>
        <w:t>’</w:t>
      </w:r>
      <w:r w:rsidR="00FA6BED" w:rsidRPr="005F0CAB">
        <w:rPr>
          <w:color w:val="auto"/>
          <w:sz w:val="20"/>
          <w:szCs w:val="20"/>
          <w:lang w:val="fr-FR"/>
        </w:rPr>
        <w:t>expert du Royaume</w:t>
      </w:r>
      <w:r w:rsidR="001600E7" w:rsidRPr="005F0CAB">
        <w:rPr>
          <w:color w:val="auto"/>
          <w:sz w:val="20"/>
          <w:szCs w:val="20"/>
          <w:lang w:val="fr-FR"/>
        </w:rPr>
        <w:noBreakHyphen/>
      </w:r>
      <w:r w:rsidR="00FA6BED" w:rsidRPr="005F0CAB">
        <w:rPr>
          <w:color w:val="auto"/>
          <w:sz w:val="20"/>
          <w:szCs w:val="20"/>
          <w:lang w:val="fr-FR"/>
        </w:rPr>
        <w:t>Uni a distribué le module de logiciel pour le calcul de</w:t>
      </w:r>
      <w:r w:rsidR="00734BBA" w:rsidRPr="005F0CAB">
        <w:rPr>
          <w:color w:val="auto"/>
          <w:sz w:val="20"/>
          <w:szCs w:val="20"/>
          <w:lang w:val="fr-FR"/>
        </w:rPr>
        <w:t xml:space="preserve"> la COY</w:t>
      </w:r>
      <w:r w:rsidR="00FA6BED" w:rsidRPr="005F0CAB">
        <w:rPr>
          <w:color w:val="auto"/>
          <w:sz w:val="20"/>
          <w:szCs w:val="20"/>
          <w:lang w:val="fr-FR"/>
        </w:rPr>
        <w:t>U, ainsi que le document d</w:t>
      </w:r>
      <w:r w:rsidR="00734BBA" w:rsidRPr="005F0CAB">
        <w:rPr>
          <w:color w:val="auto"/>
          <w:sz w:val="20"/>
          <w:szCs w:val="20"/>
          <w:lang w:val="fr-FR"/>
        </w:rPr>
        <w:t>’</w:t>
      </w:r>
      <w:r w:rsidR="00FA6BED" w:rsidRPr="005F0CAB">
        <w:rPr>
          <w:color w:val="auto"/>
          <w:sz w:val="20"/>
          <w:szCs w:val="20"/>
          <w:lang w:val="fr-FR"/>
        </w:rPr>
        <w:t>orientation, aux participants à l</w:t>
      </w:r>
      <w:r w:rsidR="00734BBA" w:rsidRPr="005F0CAB">
        <w:rPr>
          <w:color w:val="auto"/>
          <w:sz w:val="20"/>
          <w:szCs w:val="20"/>
          <w:lang w:val="fr-FR"/>
        </w:rPr>
        <w:t>’</w:t>
      </w:r>
      <w:r w:rsidR="00FA6BED" w:rsidRPr="005F0CAB">
        <w:rPr>
          <w:color w:val="auto"/>
          <w:sz w:val="20"/>
          <w:szCs w:val="20"/>
          <w:lang w:val="fr-FR"/>
        </w:rPr>
        <w:t>exercice.</w:t>
      </w:r>
    </w:p>
    <w:p w:rsidR="00FA6BED" w:rsidRPr="005F0CAB" w:rsidRDefault="00FA6BED" w:rsidP="00DF02BC">
      <w:pPr>
        <w:pStyle w:val="Default"/>
        <w:rPr>
          <w:color w:val="auto"/>
          <w:sz w:val="20"/>
          <w:szCs w:val="20"/>
          <w:lang w:val="fr-FR" w:eastAsia="ja-JP"/>
        </w:rPr>
      </w:pPr>
    </w:p>
    <w:p w:rsidR="00734BBA" w:rsidRPr="005F0CAB" w:rsidRDefault="005F49C5" w:rsidP="00FA6BED">
      <w:pPr>
        <w:pStyle w:val="Default"/>
        <w:jc w:val="both"/>
        <w:rPr>
          <w:color w:val="auto"/>
          <w:sz w:val="20"/>
          <w:szCs w:val="20"/>
          <w:lang w:val="fr-FR"/>
        </w:rPr>
      </w:pPr>
      <w:r w:rsidRPr="005F0CAB">
        <w:rPr>
          <w:color w:val="auto"/>
          <w:sz w:val="20"/>
          <w:szCs w:val="20"/>
          <w:lang w:val="fr-FR"/>
        </w:rPr>
        <w:fldChar w:fldCharType="begin"/>
      </w:r>
      <w:r w:rsidRPr="005F0CAB">
        <w:rPr>
          <w:color w:val="auto"/>
          <w:sz w:val="20"/>
          <w:szCs w:val="20"/>
          <w:lang w:val="fr-FR"/>
        </w:rPr>
        <w:instrText xml:space="preserve"> AUTONUM  </w:instrText>
      </w:r>
      <w:r w:rsidRPr="005F0CAB">
        <w:rPr>
          <w:color w:val="auto"/>
          <w:sz w:val="20"/>
          <w:szCs w:val="20"/>
          <w:lang w:val="fr-FR"/>
        </w:rPr>
        <w:fldChar w:fldCharType="end"/>
      </w:r>
      <w:r w:rsidRPr="005F0CAB">
        <w:rPr>
          <w:color w:val="auto"/>
          <w:sz w:val="20"/>
          <w:szCs w:val="20"/>
          <w:lang w:val="fr-FR"/>
        </w:rPr>
        <w:tab/>
      </w:r>
      <w:r w:rsidR="00FA6BED" w:rsidRPr="005F0CAB">
        <w:rPr>
          <w:color w:val="auto"/>
          <w:sz w:val="20"/>
          <w:szCs w:val="20"/>
          <w:lang w:val="fr-FR"/>
        </w:rPr>
        <w:t>Le</w:t>
      </w:r>
      <w:r w:rsidR="00734BBA" w:rsidRPr="005F0CAB">
        <w:rPr>
          <w:color w:val="auto"/>
          <w:sz w:val="20"/>
          <w:szCs w:val="20"/>
          <w:lang w:val="fr-FR"/>
        </w:rPr>
        <w:t> TC</w:t>
      </w:r>
      <w:r w:rsidR="00FA6BED" w:rsidRPr="005F0CAB">
        <w:rPr>
          <w:color w:val="auto"/>
          <w:sz w:val="20"/>
          <w:szCs w:val="20"/>
          <w:lang w:val="fr-FR"/>
        </w:rPr>
        <w:t xml:space="preserve"> prend note que les experts de l</w:t>
      </w:r>
      <w:r w:rsidR="00734BBA" w:rsidRPr="005F0CAB">
        <w:rPr>
          <w:color w:val="auto"/>
          <w:sz w:val="20"/>
          <w:szCs w:val="20"/>
          <w:lang w:val="fr-FR"/>
        </w:rPr>
        <w:t>’</w:t>
      </w:r>
      <w:r w:rsidR="00FA6BED" w:rsidRPr="005F0CAB">
        <w:rPr>
          <w:color w:val="auto"/>
          <w:sz w:val="20"/>
          <w:szCs w:val="20"/>
          <w:lang w:val="fr-FR"/>
        </w:rPr>
        <w:t>Allemagne, de la Finlande, de la France, du Kenya, de la Pologne, la République tchèque et du Royaume</w:t>
      </w:r>
      <w:r w:rsidR="001600E7" w:rsidRPr="005F0CAB">
        <w:rPr>
          <w:color w:val="auto"/>
          <w:sz w:val="20"/>
          <w:szCs w:val="20"/>
          <w:lang w:val="fr-FR"/>
        </w:rPr>
        <w:noBreakHyphen/>
      </w:r>
      <w:r w:rsidR="00FA6BED" w:rsidRPr="005F0CAB">
        <w:rPr>
          <w:color w:val="auto"/>
          <w:sz w:val="20"/>
          <w:szCs w:val="20"/>
          <w:lang w:val="fr-FR"/>
        </w:rPr>
        <w:t>Uni participeraient à l</w:t>
      </w:r>
      <w:r w:rsidR="00734BBA" w:rsidRPr="005F0CAB">
        <w:rPr>
          <w:color w:val="auto"/>
          <w:sz w:val="20"/>
          <w:szCs w:val="20"/>
          <w:lang w:val="fr-FR"/>
        </w:rPr>
        <w:t>’</w:t>
      </w:r>
      <w:r w:rsidR="00FA6BED" w:rsidRPr="005F0CAB">
        <w:rPr>
          <w:color w:val="auto"/>
          <w:sz w:val="20"/>
          <w:szCs w:val="20"/>
          <w:lang w:val="fr-FR"/>
        </w:rPr>
        <w:t>exercice visant à tester le nouveau logiciel sur</w:t>
      </w:r>
      <w:r w:rsidR="00734BBA" w:rsidRPr="005F0CAB">
        <w:rPr>
          <w:color w:val="auto"/>
          <w:sz w:val="20"/>
          <w:szCs w:val="20"/>
          <w:lang w:val="fr-FR"/>
        </w:rPr>
        <w:t xml:space="preserve"> la COY</w:t>
      </w:r>
      <w:r w:rsidR="00FA6BED" w:rsidRPr="005F0CAB">
        <w:rPr>
          <w:color w:val="auto"/>
          <w:sz w:val="20"/>
          <w:szCs w:val="20"/>
          <w:lang w:val="fr-FR"/>
        </w:rPr>
        <w:t>U.</w:t>
      </w:r>
    </w:p>
    <w:p w:rsidR="00FA6BED" w:rsidRPr="005F0CAB" w:rsidRDefault="00FA6BED" w:rsidP="00DF02BC">
      <w:pPr>
        <w:pStyle w:val="Default"/>
        <w:rPr>
          <w:color w:val="auto"/>
          <w:sz w:val="20"/>
          <w:szCs w:val="20"/>
          <w:lang w:val="fr-FR" w:eastAsia="ja-JP"/>
        </w:rPr>
      </w:pPr>
    </w:p>
    <w:p w:rsidR="00FA6BED" w:rsidRPr="005F0CAB" w:rsidRDefault="005F49C5" w:rsidP="00FA6BED">
      <w:pPr>
        <w:keepNext/>
        <w:keepLines/>
        <w:rPr>
          <w:lang w:val="fr-FR" w:eastAsia="ja-JP"/>
        </w:rPr>
      </w:pPr>
      <w:r w:rsidRPr="005F0CAB">
        <w:rPr>
          <w:lang w:val="fr-FR"/>
        </w:rPr>
        <w:fldChar w:fldCharType="begin"/>
      </w:r>
      <w:r w:rsidRPr="005F0CAB">
        <w:rPr>
          <w:lang w:val="fr-FR"/>
        </w:rPr>
        <w:instrText xml:space="preserve"> AUTONUM  </w:instrText>
      </w:r>
      <w:r w:rsidRPr="005F0CAB">
        <w:rPr>
          <w:lang w:val="fr-FR"/>
        </w:rPr>
        <w:fldChar w:fldCharType="end"/>
      </w:r>
      <w:r w:rsidRPr="005F0CAB">
        <w:rPr>
          <w:lang w:val="fr-FR"/>
        </w:rPr>
        <w:tab/>
      </w:r>
      <w:r w:rsidR="00FA6BED" w:rsidRPr="005F0CAB">
        <w:rPr>
          <w:lang w:val="fr-FR"/>
        </w:rPr>
        <w:t>Le</w:t>
      </w:r>
      <w:r w:rsidR="00734BBA" w:rsidRPr="005F0CAB">
        <w:rPr>
          <w:lang w:val="fr-FR"/>
        </w:rPr>
        <w:t> TC</w:t>
      </w:r>
      <w:r w:rsidR="00FA6BED" w:rsidRPr="005F0CAB">
        <w:rPr>
          <w:lang w:val="fr-FR"/>
        </w:rPr>
        <w:t xml:space="preserve"> prend note qu</w:t>
      </w:r>
      <w:r w:rsidR="00734BBA" w:rsidRPr="005F0CAB">
        <w:rPr>
          <w:lang w:val="fr-FR"/>
        </w:rPr>
        <w:t>’</w:t>
      </w:r>
      <w:r w:rsidR="00FA6BED" w:rsidRPr="005F0CAB">
        <w:rPr>
          <w:lang w:val="fr-FR"/>
        </w:rPr>
        <w:t>un compte rendu de l</w:t>
      </w:r>
      <w:r w:rsidR="00734BBA" w:rsidRPr="005F0CAB">
        <w:rPr>
          <w:lang w:val="fr-FR"/>
        </w:rPr>
        <w:t>’</w:t>
      </w:r>
      <w:r w:rsidR="00FA6BED" w:rsidRPr="005F0CAB">
        <w:rPr>
          <w:lang w:val="fr-FR"/>
        </w:rPr>
        <w:t>exercice pratique et de l</w:t>
      </w:r>
      <w:r w:rsidR="00734BBA" w:rsidRPr="005F0CAB">
        <w:rPr>
          <w:lang w:val="fr-FR"/>
        </w:rPr>
        <w:t>’</w:t>
      </w:r>
      <w:r w:rsidR="00FA6BED" w:rsidRPr="005F0CAB">
        <w:rPr>
          <w:lang w:val="fr-FR"/>
        </w:rPr>
        <w:t>élaboration du module DUST sera présenté à la trente</w:t>
      </w:r>
      <w:r w:rsidR="001600E7" w:rsidRPr="005F0CAB">
        <w:rPr>
          <w:lang w:val="fr-FR"/>
        </w:rPr>
        <w:noBreakHyphen/>
      </w:r>
      <w:r w:rsidR="00FA6BED" w:rsidRPr="005F0CAB">
        <w:rPr>
          <w:lang w:val="fr-FR"/>
        </w:rPr>
        <w:t>troisième</w:t>
      </w:r>
      <w:r w:rsidR="00B834A7" w:rsidRPr="005F0CAB">
        <w:rPr>
          <w:lang w:val="fr-FR"/>
        </w:rPr>
        <w:t> </w:t>
      </w:r>
      <w:r w:rsidR="00FA6BED" w:rsidRPr="005F0CAB">
        <w:rPr>
          <w:lang w:val="fr-FR"/>
        </w:rPr>
        <w:t>session</w:t>
      </w:r>
      <w:r w:rsidR="00734BBA" w:rsidRPr="005F0CAB">
        <w:rPr>
          <w:lang w:val="fr-FR"/>
        </w:rPr>
        <w:t xml:space="preserve"> du TWC</w:t>
      </w:r>
      <w:r w:rsidR="00FA6BED" w:rsidRPr="005F0CAB">
        <w:rPr>
          <w:lang w:val="fr-FR"/>
        </w:rPr>
        <w:t>.</w:t>
      </w:r>
    </w:p>
    <w:p w:rsidR="00FA6BED" w:rsidRPr="005F0CAB" w:rsidRDefault="00FA6BED" w:rsidP="00BE4B61">
      <w:pPr>
        <w:keepNext/>
        <w:keepLines/>
        <w:rPr>
          <w:lang w:val="fr-FR" w:eastAsia="ja-JP"/>
        </w:rPr>
      </w:pPr>
    </w:p>
    <w:p w:rsidR="00FA6BED" w:rsidRPr="005F0CAB" w:rsidRDefault="00E83FB9" w:rsidP="00E83FB9">
      <w:pPr>
        <w:pStyle w:val="Heading2"/>
        <w:rPr>
          <w:snapToGrid w:val="0"/>
          <w:lang w:val="fr-FR" w:eastAsia="ja-JP"/>
        </w:rPr>
      </w:pPr>
      <w:bookmarkStart w:id="9" w:name="_Toc442076540"/>
      <w:r w:rsidRPr="005F0CAB">
        <w:rPr>
          <w:snapToGrid w:val="0"/>
          <w:lang w:val="fr-FR" w:eastAsia="ja-JP"/>
        </w:rPr>
        <w:t>Groupes de travail techniques</w:t>
      </w:r>
      <w:bookmarkEnd w:id="9"/>
    </w:p>
    <w:p w:rsidR="00FA6BED" w:rsidRPr="005F0CAB" w:rsidRDefault="00FA6BED" w:rsidP="00BE4B61">
      <w:pPr>
        <w:keepNext/>
        <w:keepLines/>
        <w:rPr>
          <w:lang w:val="fr-FR" w:eastAsia="ja-JP"/>
        </w:rPr>
      </w:pPr>
    </w:p>
    <w:p w:rsidR="00FA6BED" w:rsidRPr="005F0CAB" w:rsidRDefault="00BE4B61" w:rsidP="00E83FB9">
      <w:pPr>
        <w:rPr>
          <w:szCs w:val="24"/>
          <w:lang w:val="fr-FR" w:eastAsia="ja-JP"/>
        </w:rPr>
      </w:pPr>
      <w:r w:rsidRPr="005F0CAB">
        <w:rPr>
          <w:rFonts w:cs="Arial"/>
          <w:lang w:val="fr-FR"/>
        </w:rPr>
        <w:fldChar w:fldCharType="begin"/>
      </w:r>
      <w:r w:rsidRPr="005F0CAB">
        <w:rPr>
          <w:rFonts w:cs="Arial"/>
          <w:lang w:val="fr-FR"/>
        </w:rPr>
        <w:instrText xml:space="preserve"> AUTONUM  </w:instrText>
      </w:r>
      <w:r w:rsidRPr="005F0CAB">
        <w:rPr>
          <w:rFonts w:cs="Arial"/>
          <w:lang w:val="fr-FR"/>
        </w:rPr>
        <w:fldChar w:fldCharType="end"/>
      </w:r>
      <w:r w:rsidRPr="005F0CAB">
        <w:rPr>
          <w:rFonts w:cs="Arial"/>
          <w:lang w:val="fr-FR"/>
        </w:rPr>
        <w:tab/>
      </w:r>
      <w:r w:rsidR="00E83FB9" w:rsidRPr="005F0CAB">
        <w:rPr>
          <w:rFonts w:cs="Arial"/>
          <w:lang w:val="fr-FR"/>
        </w:rPr>
        <w:t>À leurs sessions de</w:t>
      </w:r>
      <w:r w:rsidR="00B834A7" w:rsidRPr="005F0CAB">
        <w:rPr>
          <w:rFonts w:cs="Arial"/>
          <w:lang w:val="fr-FR"/>
        </w:rPr>
        <w:t> </w:t>
      </w:r>
      <w:r w:rsidR="00E83FB9" w:rsidRPr="005F0CAB">
        <w:rPr>
          <w:rFonts w:cs="Arial"/>
          <w:lang w:val="fr-FR"/>
        </w:rPr>
        <w:t>2015,</w:t>
      </w:r>
      <w:r w:rsidR="00734BBA" w:rsidRPr="005F0CAB">
        <w:rPr>
          <w:rFonts w:cs="Arial"/>
          <w:lang w:val="fr-FR"/>
        </w:rPr>
        <w:t xml:space="preserve"> le TWV</w:t>
      </w:r>
      <w:r w:rsidR="00E83FB9" w:rsidRPr="005F0CAB">
        <w:rPr>
          <w:rFonts w:cs="Arial"/>
          <w:lang w:val="fr-FR"/>
        </w:rPr>
        <w:t>,</w:t>
      </w:r>
      <w:r w:rsidR="00734BBA" w:rsidRPr="005F0CAB">
        <w:rPr>
          <w:rFonts w:cs="Arial"/>
          <w:lang w:val="fr-FR"/>
        </w:rPr>
        <w:t xml:space="preserve"> le TWC</w:t>
      </w:r>
      <w:r w:rsidR="00E83FB9" w:rsidRPr="005F0CAB">
        <w:rPr>
          <w:rFonts w:cs="Arial"/>
          <w:lang w:val="fr-FR"/>
        </w:rPr>
        <w:t>,</w:t>
      </w:r>
      <w:r w:rsidR="00734BBA" w:rsidRPr="005F0CAB">
        <w:rPr>
          <w:rFonts w:cs="Arial"/>
          <w:lang w:val="fr-FR"/>
        </w:rPr>
        <w:t xml:space="preserve"> le TWA</w:t>
      </w:r>
      <w:r w:rsidR="00E83FB9" w:rsidRPr="005F0CAB">
        <w:rPr>
          <w:rFonts w:cs="Arial"/>
          <w:lang w:val="fr-FR"/>
        </w:rPr>
        <w:t>,</w:t>
      </w:r>
      <w:r w:rsidR="00734BBA" w:rsidRPr="005F0CAB">
        <w:rPr>
          <w:rFonts w:cs="Arial"/>
          <w:lang w:val="fr-FR"/>
        </w:rPr>
        <w:t xml:space="preserve"> le TWF</w:t>
      </w:r>
      <w:r w:rsidR="00E83FB9" w:rsidRPr="005F0CAB">
        <w:rPr>
          <w:rFonts w:cs="Arial"/>
          <w:lang w:val="fr-FR"/>
        </w:rPr>
        <w:t xml:space="preserve"> et</w:t>
      </w:r>
      <w:r w:rsidR="00734BBA" w:rsidRPr="005F0CAB">
        <w:rPr>
          <w:rFonts w:cs="Arial"/>
          <w:lang w:val="fr-FR"/>
        </w:rPr>
        <w:t xml:space="preserve"> le TWO</w:t>
      </w:r>
      <w:r w:rsidR="00E83FB9" w:rsidRPr="005F0CAB">
        <w:rPr>
          <w:rFonts w:cs="Arial"/>
          <w:lang w:val="fr-FR"/>
        </w:rPr>
        <w:t xml:space="preserve"> ont examiné respectivement les documents TWV/49/16, TWC/33/16 et TWC/33/16</w:t>
      </w:r>
      <w:r w:rsidR="00B834A7" w:rsidRPr="005F0CAB">
        <w:rPr>
          <w:rFonts w:cs="Arial"/>
          <w:lang w:val="fr-FR"/>
        </w:rPr>
        <w:t> </w:t>
      </w:r>
      <w:proofErr w:type="spellStart"/>
      <w:r w:rsidR="00E83FB9" w:rsidRPr="005F0CAB">
        <w:rPr>
          <w:rFonts w:cs="Arial"/>
          <w:lang w:val="fr-FR"/>
        </w:rPr>
        <w:t>Add</w:t>
      </w:r>
      <w:proofErr w:type="spellEnd"/>
      <w:r w:rsidR="00E83FB9" w:rsidRPr="005F0CAB">
        <w:rPr>
          <w:rFonts w:cs="Arial"/>
          <w:lang w:val="fr-FR"/>
        </w:rPr>
        <w:t>., TWA/4</w:t>
      </w:r>
      <w:r w:rsidR="00737CE1" w:rsidRPr="005F0CAB">
        <w:rPr>
          <w:rFonts w:cs="Arial"/>
          <w:lang w:val="fr-FR"/>
        </w:rPr>
        <w:t>4</w:t>
      </w:r>
      <w:r w:rsidR="00E83FB9" w:rsidRPr="005F0CAB">
        <w:rPr>
          <w:rFonts w:cs="Arial"/>
          <w:lang w:val="fr-FR"/>
        </w:rPr>
        <w:t>/16, TWF/46/16 et TWO/48/16 “</w:t>
      </w:r>
      <w:r w:rsidR="00E83FB9" w:rsidRPr="004A7F8D">
        <w:rPr>
          <w:rFonts w:cs="Arial"/>
          <w:lang w:val="fr-FR"/>
        </w:rPr>
        <w:t>Révision du document TGP/8</w:t>
      </w:r>
      <w:r w:rsidR="00B834A7" w:rsidRPr="004A7F8D">
        <w:rPr>
          <w:rFonts w:cs="Arial"/>
          <w:lang w:val="fr-FR"/>
        </w:rPr>
        <w:t> </w:t>
      </w:r>
      <w:r w:rsidR="00E83FB9" w:rsidRPr="004A7F8D">
        <w:rPr>
          <w:rFonts w:cs="Arial"/>
          <w:lang w:val="fr-FR"/>
        </w:rPr>
        <w:t>: deuxième partie</w:t>
      </w:r>
      <w:r w:rsidR="00B834A7" w:rsidRPr="004A7F8D">
        <w:rPr>
          <w:rFonts w:cs="Arial"/>
          <w:lang w:val="fr-FR"/>
        </w:rPr>
        <w:t> </w:t>
      </w:r>
      <w:r w:rsidR="00E83FB9" w:rsidRPr="004A7F8D">
        <w:rPr>
          <w:rFonts w:cs="Arial"/>
          <w:lang w:val="fr-FR"/>
        </w:rPr>
        <w:t>: quelques techniques utilisées dans l</w:t>
      </w:r>
      <w:r w:rsidR="00734BBA" w:rsidRPr="004A7F8D">
        <w:rPr>
          <w:rFonts w:cs="Arial"/>
          <w:lang w:val="fr-FR"/>
        </w:rPr>
        <w:t>’</w:t>
      </w:r>
      <w:r w:rsidR="00E83FB9" w:rsidRPr="004A7F8D">
        <w:rPr>
          <w:rFonts w:cs="Arial"/>
          <w:lang w:val="fr-FR"/>
        </w:rPr>
        <w:t>examen</w:t>
      </w:r>
      <w:r w:rsidR="00B834A7" w:rsidRPr="004A7F8D">
        <w:rPr>
          <w:rFonts w:cs="Arial"/>
          <w:lang w:val="fr-FR"/>
        </w:rPr>
        <w:t> </w:t>
      </w:r>
      <w:r w:rsidR="00E83FB9" w:rsidRPr="004A7F8D">
        <w:rPr>
          <w:rFonts w:cs="Arial"/>
          <w:lang w:val="fr-FR"/>
        </w:rPr>
        <w:t>DHS, section</w:t>
      </w:r>
      <w:r w:rsidR="00B834A7" w:rsidRPr="004A7F8D">
        <w:rPr>
          <w:rFonts w:cs="Arial"/>
          <w:lang w:val="fr-FR"/>
        </w:rPr>
        <w:t> </w:t>
      </w:r>
      <w:r w:rsidR="00E83FB9" w:rsidRPr="004A7F8D">
        <w:rPr>
          <w:rFonts w:cs="Arial"/>
          <w:lang w:val="fr-FR"/>
        </w:rPr>
        <w:t>9</w:t>
      </w:r>
      <w:r w:rsidR="00B834A7" w:rsidRPr="004A7F8D">
        <w:rPr>
          <w:rFonts w:cs="Arial"/>
          <w:lang w:val="fr-FR"/>
        </w:rPr>
        <w:t> </w:t>
      </w:r>
      <w:r w:rsidR="00E83FB9" w:rsidRPr="004A7F8D">
        <w:rPr>
          <w:rFonts w:cs="Arial"/>
          <w:lang w:val="fr-FR"/>
        </w:rPr>
        <w:t>: analyse globale de l</w:t>
      </w:r>
      <w:r w:rsidR="00734BBA" w:rsidRPr="004A7F8D">
        <w:rPr>
          <w:rFonts w:cs="Arial"/>
          <w:lang w:val="fr-FR"/>
        </w:rPr>
        <w:t>’</w:t>
      </w:r>
      <w:r w:rsidR="00E83FB9" w:rsidRPr="004A7F8D">
        <w:rPr>
          <w:rFonts w:cs="Arial"/>
          <w:lang w:val="fr-FR"/>
        </w:rPr>
        <w:t>homogénéité sur plusieurs années (méthode d</w:t>
      </w:r>
      <w:r w:rsidR="00734BBA" w:rsidRPr="004A7F8D">
        <w:rPr>
          <w:rFonts w:cs="Arial"/>
          <w:lang w:val="fr-FR"/>
        </w:rPr>
        <w:t>’</w:t>
      </w:r>
      <w:r w:rsidR="00E83FB9" w:rsidRPr="004A7F8D">
        <w:rPr>
          <w:rFonts w:cs="Arial"/>
          <w:lang w:val="fr-FR"/>
        </w:rPr>
        <w:t>analyse COYU)</w:t>
      </w:r>
      <w:r w:rsidR="00AB0345" w:rsidRPr="00AB0345">
        <w:rPr>
          <w:i/>
          <w:szCs w:val="24"/>
          <w:lang w:val="fr-FR" w:eastAsia="ja-JP"/>
        </w:rPr>
        <w:t>”</w:t>
      </w:r>
      <w:r w:rsidR="00E83FB9" w:rsidRPr="00AB0345">
        <w:rPr>
          <w:rFonts w:cs="Arial"/>
          <w:i/>
          <w:lang w:val="fr-FR"/>
        </w:rPr>
        <w:t>.</w:t>
      </w:r>
    </w:p>
    <w:p w:rsidR="00FA6BED" w:rsidRPr="005F0CAB" w:rsidRDefault="00FA6BED" w:rsidP="00BE4B61">
      <w:pPr>
        <w:keepNext/>
        <w:keepLines/>
        <w:rPr>
          <w:lang w:val="fr-FR" w:eastAsia="ja-JP"/>
        </w:rPr>
      </w:pPr>
    </w:p>
    <w:p w:rsidR="00FA6BED" w:rsidRPr="005F0CAB" w:rsidRDefault="00596AEA" w:rsidP="00596AEA">
      <w:pPr>
        <w:rPr>
          <w:snapToGrid w:val="0"/>
          <w:lang w:val="fr-FR"/>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5E3CD6" w:rsidRPr="005F0CAB">
        <w:rPr>
          <w:snapToGrid w:val="0"/>
          <w:lang w:val="fr-FR"/>
        </w:rPr>
        <w:t>Le</w:t>
      </w:r>
      <w:r w:rsidRPr="005F0CAB">
        <w:rPr>
          <w:snapToGrid w:val="0"/>
          <w:lang w:val="fr-FR"/>
        </w:rPr>
        <w:t xml:space="preserve"> TW</w:t>
      </w:r>
      <w:r w:rsidRPr="005F0CAB">
        <w:rPr>
          <w:snapToGrid w:val="0"/>
          <w:lang w:val="fr-FR" w:eastAsia="ja-JP"/>
        </w:rPr>
        <w:t>V,</w:t>
      </w:r>
      <w:r w:rsidR="00734BBA" w:rsidRPr="005F0CAB">
        <w:rPr>
          <w:snapToGrid w:val="0"/>
          <w:lang w:val="fr-FR" w:eastAsia="ja-JP"/>
        </w:rPr>
        <w:t xml:space="preserve"> le TWA</w:t>
      </w:r>
      <w:r w:rsidRPr="005F0CAB">
        <w:rPr>
          <w:snapToGrid w:val="0"/>
          <w:lang w:val="fr-FR" w:eastAsia="ja-JP"/>
        </w:rPr>
        <w:t>,</w:t>
      </w:r>
      <w:r w:rsidR="00734BBA" w:rsidRPr="005F0CAB">
        <w:rPr>
          <w:snapToGrid w:val="0"/>
          <w:lang w:val="fr-FR" w:eastAsia="ja-JP"/>
        </w:rPr>
        <w:t xml:space="preserve"> le TWF</w:t>
      </w:r>
      <w:r w:rsidRPr="005F0CAB">
        <w:rPr>
          <w:snapToGrid w:val="0"/>
          <w:lang w:val="fr-FR" w:eastAsia="ja-JP"/>
        </w:rPr>
        <w:t xml:space="preserve"> </w:t>
      </w:r>
      <w:r w:rsidR="005E3CD6" w:rsidRPr="005F0CAB">
        <w:rPr>
          <w:snapToGrid w:val="0"/>
          <w:lang w:val="fr-FR" w:eastAsia="ja-JP"/>
        </w:rPr>
        <w:t>et</w:t>
      </w:r>
      <w:r w:rsidR="00734BBA" w:rsidRPr="005F0CAB">
        <w:rPr>
          <w:snapToGrid w:val="0"/>
          <w:lang w:val="fr-FR" w:eastAsia="ja-JP"/>
        </w:rPr>
        <w:t xml:space="preserve"> le TWO</w:t>
      </w:r>
      <w:r w:rsidRPr="005F0CAB">
        <w:rPr>
          <w:snapToGrid w:val="0"/>
          <w:lang w:val="fr-FR"/>
        </w:rPr>
        <w:t xml:space="preserve"> </w:t>
      </w:r>
      <w:r w:rsidR="005E3CD6" w:rsidRPr="005F0CAB">
        <w:rPr>
          <w:snapToGrid w:val="0"/>
          <w:lang w:val="fr-FR"/>
        </w:rPr>
        <w:t xml:space="preserve">ont pris note </w:t>
      </w:r>
      <w:r w:rsidR="007E0610" w:rsidRPr="005F0CAB">
        <w:rPr>
          <w:snapToGrid w:val="0"/>
          <w:lang w:val="fr-FR"/>
        </w:rPr>
        <w:t xml:space="preserve">du fait </w:t>
      </w:r>
      <w:r w:rsidR="005E3CD6" w:rsidRPr="005F0CAB">
        <w:rPr>
          <w:snapToGrid w:val="0"/>
          <w:lang w:val="fr-FR"/>
        </w:rPr>
        <w:t>que les participants à l</w:t>
      </w:r>
      <w:r w:rsidR="00734BBA" w:rsidRPr="005F0CAB">
        <w:rPr>
          <w:snapToGrid w:val="0"/>
          <w:lang w:val="fr-FR"/>
        </w:rPr>
        <w:t>’</w:t>
      </w:r>
      <w:r w:rsidR="005E3CD6" w:rsidRPr="005F0CAB">
        <w:rPr>
          <w:snapToGrid w:val="0"/>
          <w:lang w:val="fr-FR"/>
        </w:rPr>
        <w:t>exercice visant à évaluer le logiciel de la nouvelle méthode de calcul de</w:t>
      </w:r>
      <w:r w:rsidR="00734BBA" w:rsidRPr="005F0CAB">
        <w:rPr>
          <w:snapToGrid w:val="0"/>
          <w:lang w:val="fr-FR"/>
        </w:rPr>
        <w:t xml:space="preserve"> la COY</w:t>
      </w:r>
      <w:r w:rsidR="005E3CD6" w:rsidRPr="005F0CAB">
        <w:rPr>
          <w:snapToGrid w:val="0"/>
          <w:lang w:val="fr-FR"/>
        </w:rPr>
        <w:t xml:space="preserve">U devraient </w:t>
      </w:r>
      <w:r w:rsidR="00263B47" w:rsidRPr="005F0CAB">
        <w:rPr>
          <w:lang w:val="fr-FR" w:eastAsia="ja-JP"/>
        </w:rPr>
        <w:t>(</w:t>
      </w:r>
      <w:r w:rsidR="005E3CD6" w:rsidRPr="005F0CAB">
        <w:rPr>
          <w:lang w:val="fr-FR" w:eastAsia="ja-JP"/>
        </w:rPr>
        <w:t>voir, respectivement, le paragraphe</w:t>
      </w:r>
      <w:r w:rsidR="00B834A7" w:rsidRPr="005F0CAB">
        <w:rPr>
          <w:lang w:val="fr-FR" w:eastAsia="ja-JP"/>
        </w:rPr>
        <w:t> </w:t>
      </w:r>
      <w:r w:rsidR="005E3CD6" w:rsidRPr="005F0CAB">
        <w:rPr>
          <w:lang w:val="fr-FR" w:eastAsia="ja-JP"/>
        </w:rPr>
        <w:t xml:space="preserve">45 du document </w:t>
      </w:r>
      <w:r w:rsidR="00263B47" w:rsidRPr="005F0CAB">
        <w:rPr>
          <w:lang w:val="fr-FR" w:eastAsia="ja-JP"/>
        </w:rPr>
        <w:t>TWV/49/32 “</w:t>
      </w:r>
      <w:r w:rsidR="00263B47" w:rsidRPr="007F2124">
        <w:rPr>
          <w:i/>
          <w:lang w:val="fr-FR" w:eastAsia="ja-JP"/>
        </w:rPr>
        <w:t>Report</w:t>
      </w:r>
      <w:r w:rsidR="00263B47" w:rsidRPr="005F0CAB">
        <w:rPr>
          <w:lang w:val="fr-FR" w:eastAsia="ja-JP"/>
        </w:rPr>
        <w:t xml:space="preserve">”, </w:t>
      </w:r>
      <w:r w:rsidR="005E3CD6" w:rsidRPr="005F0CAB">
        <w:rPr>
          <w:lang w:val="fr-FR" w:eastAsia="ja-JP"/>
        </w:rPr>
        <w:t>le paragraphe</w:t>
      </w:r>
      <w:r w:rsidR="00B834A7" w:rsidRPr="005F0CAB">
        <w:rPr>
          <w:lang w:val="fr-FR" w:eastAsia="ja-JP"/>
        </w:rPr>
        <w:t> </w:t>
      </w:r>
      <w:r w:rsidR="005E3CD6" w:rsidRPr="005F0CAB">
        <w:rPr>
          <w:lang w:val="fr-FR" w:eastAsia="ja-JP"/>
        </w:rPr>
        <w:t xml:space="preserve">38 du document </w:t>
      </w:r>
      <w:r w:rsidR="00263B47" w:rsidRPr="005F0CAB">
        <w:rPr>
          <w:lang w:val="fr-FR" w:eastAsia="ja-JP"/>
        </w:rPr>
        <w:t>TWA/44/23 “</w:t>
      </w:r>
      <w:r w:rsidR="00263B47" w:rsidRPr="004A7F8D">
        <w:rPr>
          <w:i/>
          <w:lang w:val="fr-FR" w:eastAsia="ja-JP"/>
        </w:rPr>
        <w:t>Report</w:t>
      </w:r>
      <w:r w:rsidR="00263B47" w:rsidRPr="005F0CAB">
        <w:rPr>
          <w:lang w:val="fr-FR" w:eastAsia="ja-JP"/>
        </w:rPr>
        <w:t xml:space="preserve">”, </w:t>
      </w:r>
      <w:r w:rsidR="005E3CD6" w:rsidRPr="005F0CAB">
        <w:rPr>
          <w:lang w:val="fr-FR" w:eastAsia="ja-JP"/>
        </w:rPr>
        <w:t xml:space="preserve">le </w:t>
      </w:r>
      <w:r w:rsidR="005E3CD6" w:rsidRPr="005F0CAB">
        <w:rPr>
          <w:lang w:val="fr-FR" w:eastAsia="ja-JP"/>
        </w:rPr>
        <w:lastRenderedPageBreak/>
        <w:t>paragraphe</w:t>
      </w:r>
      <w:r w:rsidR="00B834A7" w:rsidRPr="005F0CAB">
        <w:rPr>
          <w:lang w:val="fr-FR" w:eastAsia="ja-JP"/>
        </w:rPr>
        <w:t> </w:t>
      </w:r>
      <w:r w:rsidR="005E3CD6" w:rsidRPr="005F0CAB">
        <w:rPr>
          <w:lang w:val="fr-FR" w:eastAsia="ja-JP"/>
        </w:rPr>
        <w:t xml:space="preserve">41 du document </w:t>
      </w:r>
      <w:r w:rsidR="00263B47" w:rsidRPr="005F0CAB">
        <w:rPr>
          <w:lang w:val="fr-FR" w:eastAsia="ja-JP"/>
        </w:rPr>
        <w:t>TWF/46/29</w:t>
      </w:r>
      <w:r w:rsidR="007F2124">
        <w:rPr>
          <w:lang w:val="fr-FR" w:eastAsia="ja-JP"/>
        </w:rPr>
        <w:t xml:space="preserve"> </w:t>
      </w:r>
      <w:proofErr w:type="spellStart"/>
      <w:r w:rsidR="007F2124">
        <w:rPr>
          <w:lang w:val="fr-FR" w:eastAsia="ja-JP"/>
        </w:rPr>
        <w:t>Rév</w:t>
      </w:r>
      <w:proofErr w:type="spellEnd"/>
      <w:r w:rsidR="00263B47" w:rsidRPr="005F0CAB">
        <w:rPr>
          <w:lang w:val="fr-FR" w:eastAsia="ja-JP"/>
        </w:rPr>
        <w:t xml:space="preserve"> “</w:t>
      </w:r>
      <w:proofErr w:type="spellStart"/>
      <w:r w:rsidR="007F2124" w:rsidRPr="007F2124">
        <w:rPr>
          <w:i/>
          <w:lang w:val="fr-FR" w:eastAsia="ja-JP"/>
        </w:rPr>
        <w:t>Revised</w:t>
      </w:r>
      <w:proofErr w:type="spellEnd"/>
      <w:r w:rsidR="007F2124" w:rsidRPr="007F2124">
        <w:rPr>
          <w:i/>
          <w:lang w:val="fr-FR" w:eastAsia="ja-JP"/>
        </w:rPr>
        <w:t xml:space="preserve"> </w:t>
      </w:r>
      <w:r w:rsidR="00263B47" w:rsidRPr="007F2124">
        <w:rPr>
          <w:i/>
          <w:lang w:val="fr-FR" w:eastAsia="ja-JP"/>
        </w:rPr>
        <w:t>Report</w:t>
      </w:r>
      <w:r w:rsidR="00263B47" w:rsidRPr="005F0CAB">
        <w:rPr>
          <w:lang w:val="fr-FR" w:eastAsia="ja-JP"/>
        </w:rPr>
        <w:t xml:space="preserve">” </w:t>
      </w:r>
      <w:r w:rsidR="005E3CD6" w:rsidRPr="005F0CAB">
        <w:rPr>
          <w:lang w:val="fr-FR" w:eastAsia="ja-JP"/>
        </w:rPr>
        <w:t>et le paragraphe</w:t>
      </w:r>
      <w:r w:rsidR="00B834A7" w:rsidRPr="005F0CAB">
        <w:rPr>
          <w:lang w:val="fr-FR" w:eastAsia="ja-JP"/>
        </w:rPr>
        <w:t> </w:t>
      </w:r>
      <w:r w:rsidR="005E3CD6" w:rsidRPr="005F0CAB">
        <w:rPr>
          <w:lang w:val="fr-FR" w:eastAsia="ja-JP"/>
        </w:rPr>
        <w:t xml:space="preserve">34 du document </w:t>
      </w:r>
      <w:r w:rsidR="00263B47" w:rsidRPr="005F0CAB">
        <w:rPr>
          <w:lang w:val="fr-FR" w:eastAsia="ja-JP"/>
        </w:rPr>
        <w:t>TWO/48/26 “</w:t>
      </w:r>
      <w:r w:rsidR="00263B47" w:rsidRPr="004A7F8D">
        <w:rPr>
          <w:i/>
          <w:lang w:val="fr-FR" w:eastAsia="ja-JP"/>
        </w:rPr>
        <w:t>Report</w:t>
      </w:r>
      <w:r w:rsidR="00263B47" w:rsidRPr="005F0CAB">
        <w:rPr>
          <w:lang w:val="fr-FR" w:eastAsia="ja-JP"/>
        </w:rPr>
        <w:t>”)</w:t>
      </w:r>
      <w:r w:rsidR="005E3CD6" w:rsidRPr="005F0CAB">
        <w:rPr>
          <w:lang w:val="fr-FR" w:eastAsia="ja-JP"/>
        </w:rPr>
        <w:t> </w:t>
      </w:r>
      <w:r w:rsidRPr="005F0CAB">
        <w:rPr>
          <w:snapToGrid w:val="0"/>
          <w:lang w:val="fr-FR"/>
        </w:rPr>
        <w:t>:</w:t>
      </w:r>
    </w:p>
    <w:p w:rsidR="00FA6BED" w:rsidRPr="005F0CAB" w:rsidRDefault="00FA6BED" w:rsidP="00596AEA">
      <w:pPr>
        <w:rPr>
          <w:snapToGrid w:val="0"/>
          <w:lang w:val="fr-FR"/>
        </w:rPr>
      </w:pPr>
    </w:p>
    <w:p w:rsidR="00734BBA" w:rsidRPr="005F0CAB" w:rsidRDefault="00E83FB9" w:rsidP="00E83FB9">
      <w:pPr>
        <w:ind w:firstLine="567"/>
        <w:rPr>
          <w:snapToGrid w:val="0"/>
          <w:lang w:val="fr-FR"/>
        </w:rPr>
      </w:pPr>
      <w:r w:rsidRPr="005F0CAB">
        <w:rPr>
          <w:snapToGrid w:val="0"/>
          <w:lang w:val="fr-FR"/>
        </w:rPr>
        <w:t>i)</w:t>
      </w:r>
      <w:r w:rsidRPr="005F0CAB">
        <w:rPr>
          <w:snapToGrid w:val="0"/>
          <w:lang w:val="fr-FR"/>
        </w:rPr>
        <w:tab/>
        <w:t>chercher à définir les seuils de probabilité d</w:t>
      </w:r>
      <w:r w:rsidR="00734BBA" w:rsidRPr="005F0CAB">
        <w:rPr>
          <w:snapToGrid w:val="0"/>
          <w:lang w:val="fr-FR"/>
        </w:rPr>
        <w:t>’</w:t>
      </w:r>
      <w:r w:rsidRPr="005F0CAB">
        <w:rPr>
          <w:snapToGrid w:val="0"/>
          <w:lang w:val="fr-FR"/>
        </w:rPr>
        <w:t>une correspondance avec les décisions prises au moyen de l</w:t>
      </w:r>
      <w:r w:rsidR="00734BBA" w:rsidRPr="005F0CAB">
        <w:rPr>
          <w:snapToGrid w:val="0"/>
          <w:lang w:val="fr-FR"/>
        </w:rPr>
        <w:t>’</w:t>
      </w:r>
      <w:r w:rsidRPr="005F0CAB">
        <w:rPr>
          <w:snapToGrid w:val="0"/>
          <w:lang w:val="fr-FR"/>
        </w:rPr>
        <w:t>ancienne méthode de calcul de</w:t>
      </w:r>
      <w:r w:rsidR="00734BBA" w:rsidRPr="005F0CAB">
        <w:rPr>
          <w:snapToGrid w:val="0"/>
          <w:lang w:val="fr-FR"/>
        </w:rPr>
        <w:t xml:space="preserve"> la COY</w:t>
      </w:r>
      <w:r w:rsidRPr="005F0CAB">
        <w:rPr>
          <w:snapToGrid w:val="0"/>
          <w:lang w:val="fr-FR"/>
        </w:rPr>
        <w:t>U;</w:t>
      </w:r>
    </w:p>
    <w:p w:rsidR="00FA6BED" w:rsidRPr="005F0CAB" w:rsidRDefault="00E83FB9" w:rsidP="00E83FB9">
      <w:pPr>
        <w:ind w:firstLine="567"/>
        <w:rPr>
          <w:snapToGrid w:val="0"/>
          <w:lang w:val="fr-FR"/>
        </w:rPr>
      </w:pPr>
      <w:r w:rsidRPr="005F0CAB">
        <w:rPr>
          <w:snapToGrid w:val="0"/>
          <w:lang w:val="fr-FR"/>
        </w:rPr>
        <w:t>ii)</w:t>
      </w:r>
      <w:r w:rsidRPr="005F0CAB">
        <w:rPr>
          <w:snapToGrid w:val="0"/>
          <w:lang w:val="fr-FR"/>
        </w:rPr>
        <w:tab/>
        <w:t>effectuer le test sur la base de probabilités de rejet de 1, 2 et 5%;  et</w:t>
      </w:r>
    </w:p>
    <w:p w:rsidR="00FA6BED" w:rsidRPr="005F0CAB" w:rsidRDefault="00E83FB9" w:rsidP="00E83FB9">
      <w:pPr>
        <w:ind w:firstLine="567"/>
        <w:rPr>
          <w:snapToGrid w:val="0"/>
          <w:lang w:val="fr-FR"/>
        </w:rPr>
      </w:pPr>
      <w:r w:rsidRPr="005F0CAB">
        <w:rPr>
          <w:snapToGrid w:val="0"/>
          <w:lang w:val="fr-FR"/>
        </w:rPr>
        <w:t>iii)</w:t>
      </w:r>
      <w:r w:rsidRPr="005F0CAB">
        <w:rPr>
          <w:snapToGrid w:val="0"/>
          <w:lang w:val="fr-FR"/>
        </w:rPr>
        <w:tab/>
        <w:t>évaluer l</w:t>
      </w:r>
      <w:r w:rsidR="00734BBA" w:rsidRPr="005F0CAB">
        <w:rPr>
          <w:snapToGrid w:val="0"/>
          <w:lang w:val="fr-FR"/>
        </w:rPr>
        <w:t>’</w:t>
      </w:r>
      <w:r w:rsidRPr="005F0CAB">
        <w:rPr>
          <w:snapToGrid w:val="0"/>
          <w:lang w:val="fr-FR"/>
        </w:rPr>
        <w:t>uniformité des résultats pour toutes les plantes</w:t>
      </w:r>
    </w:p>
    <w:p w:rsidR="00FA6BED" w:rsidRPr="005F0CAB" w:rsidRDefault="00FA6BED" w:rsidP="00406673">
      <w:pPr>
        <w:rPr>
          <w:snapToGrid w:val="0"/>
          <w:lang w:val="fr-FR" w:eastAsia="ja-JP"/>
        </w:rPr>
      </w:pPr>
    </w:p>
    <w:p w:rsidR="00FA6BED" w:rsidRPr="005F0CAB" w:rsidRDefault="00406673" w:rsidP="00406673">
      <w:pPr>
        <w:rPr>
          <w:lang w:val="fr-FR" w:eastAsia="ja-JP"/>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DB3F8A" w:rsidRPr="005F0CAB">
        <w:rPr>
          <w:snapToGrid w:val="0"/>
          <w:lang w:val="fr-FR"/>
        </w:rPr>
        <w:t>Le TWV,</w:t>
      </w:r>
      <w:r w:rsidR="00734BBA" w:rsidRPr="005F0CAB">
        <w:rPr>
          <w:snapToGrid w:val="0"/>
          <w:lang w:val="fr-FR"/>
        </w:rPr>
        <w:t xml:space="preserve"> le TWA</w:t>
      </w:r>
      <w:r w:rsidR="00DB3F8A" w:rsidRPr="005F0CAB">
        <w:rPr>
          <w:snapToGrid w:val="0"/>
          <w:lang w:val="fr-FR"/>
        </w:rPr>
        <w:t>,</w:t>
      </w:r>
      <w:r w:rsidR="00734BBA" w:rsidRPr="005F0CAB">
        <w:rPr>
          <w:snapToGrid w:val="0"/>
          <w:lang w:val="fr-FR"/>
        </w:rPr>
        <w:t xml:space="preserve"> le TWF</w:t>
      </w:r>
      <w:r w:rsidR="00DB3F8A" w:rsidRPr="005F0CAB">
        <w:rPr>
          <w:snapToGrid w:val="0"/>
          <w:lang w:val="fr-FR"/>
        </w:rPr>
        <w:t xml:space="preserve"> et</w:t>
      </w:r>
      <w:r w:rsidR="00734BBA" w:rsidRPr="005F0CAB">
        <w:rPr>
          <w:snapToGrid w:val="0"/>
          <w:lang w:val="fr-FR"/>
        </w:rPr>
        <w:t xml:space="preserve"> le TWO</w:t>
      </w:r>
      <w:r w:rsidR="00DB3F8A" w:rsidRPr="005F0CAB">
        <w:rPr>
          <w:snapToGrid w:val="0"/>
          <w:lang w:val="fr-FR"/>
        </w:rPr>
        <w:t xml:space="preserve"> ont pris note du fait que l</w:t>
      </w:r>
      <w:r w:rsidR="00734BBA" w:rsidRPr="005F0CAB">
        <w:rPr>
          <w:snapToGrid w:val="0"/>
          <w:lang w:val="fr-FR"/>
        </w:rPr>
        <w:t>’</w:t>
      </w:r>
      <w:r w:rsidRPr="005F0CAB">
        <w:rPr>
          <w:snapToGrid w:val="0"/>
          <w:lang w:val="fr-FR"/>
        </w:rPr>
        <w:t xml:space="preserve">expert </w:t>
      </w:r>
      <w:r w:rsidR="00DB3F8A" w:rsidRPr="005F0CAB">
        <w:rPr>
          <w:snapToGrid w:val="0"/>
          <w:lang w:val="fr-FR"/>
        </w:rPr>
        <w:t xml:space="preserve">du </w:t>
      </w:r>
      <w:r w:rsidR="00846900" w:rsidRPr="005F0CAB">
        <w:rPr>
          <w:snapToGrid w:val="0"/>
          <w:lang w:val="fr-FR"/>
        </w:rPr>
        <w:t>Royaume</w:t>
      </w:r>
      <w:r w:rsidR="001600E7" w:rsidRPr="005F0CAB">
        <w:rPr>
          <w:snapToGrid w:val="0"/>
          <w:lang w:val="fr-FR"/>
        </w:rPr>
        <w:noBreakHyphen/>
      </w:r>
      <w:r w:rsidR="00846900" w:rsidRPr="005F0CAB">
        <w:rPr>
          <w:snapToGrid w:val="0"/>
          <w:lang w:val="fr-FR"/>
        </w:rPr>
        <w:t>Uni avait distribué le module de logiciel pour le calcul de</w:t>
      </w:r>
      <w:r w:rsidR="00734BBA" w:rsidRPr="005F0CAB">
        <w:rPr>
          <w:snapToGrid w:val="0"/>
          <w:lang w:val="fr-FR"/>
        </w:rPr>
        <w:t xml:space="preserve"> la COY</w:t>
      </w:r>
      <w:r w:rsidR="00846900" w:rsidRPr="005F0CAB">
        <w:rPr>
          <w:snapToGrid w:val="0"/>
          <w:lang w:val="fr-FR"/>
        </w:rPr>
        <w:t>U, ainsi que le document d</w:t>
      </w:r>
      <w:r w:rsidR="00734BBA" w:rsidRPr="005F0CAB">
        <w:rPr>
          <w:snapToGrid w:val="0"/>
          <w:lang w:val="fr-FR"/>
        </w:rPr>
        <w:t>’</w:t>
      </w:r>
      <w:r w:rsidR="00846900" w:rsidRPr="005F0CAB">
        <w:rPr>
          <w:snapToGrid w:val="0"/>
          <w:lang w:val="fr-FR"/>
        </w:rPr>
        <w:t>orientation, aux personnes participant à l</w:t>
      </w:r>
      <w:r w:rsidR="00734BBA" w:rsidRPr="005F0CAB">
        <w:rPr>
          <w:snapToGrid w:val="0"/>
          <w:lang w:val="fr-FR"/>
        </w:rPr>
        <w:t>’</w:t>
      </w:r>
      <w:r w:rsidR="00846900" w:rsidRPr="005F0CAB">
        <w:rPr>
          <w:snapToGrid w:val="0"/>
          <w:lang w:val="fr-FR"/>
        </w:rPr>
        <w:t xml:space="preserve">exercice </w:t>
      </w:r>
      <w:r w:rsidRPr="005F0CAB">
        <w:rPr>
          <w:lang w:val="fr-FR" w:eastAsia="ja-JP"/>
        </w:rPr>
        <w:t>(</w:t>
      </w:r>
      <w:r w:rsidR="00846900" w:rsidRPr="005F0CAB">
        <w:rPr>
          <w:lang w:val="fr-FR" w:eastAsia="ja-JP"/>
        </w:rPr>
        <w:t>voir, respectivement, le paragraphe</w:t>
      </w:r>
      <w:r w:rsidR="00B834A7" w:rsidRPr="005F0CAB">
        <w:rPr>
          <w:lang w:val="fr-FR" w:eastAsia="ja-JP"/>
        </w:rPr>
        <w:t> </w:t>
      </w:r>
      <w:r w:rsidR="00846900" w:rsidRPr="005F0CAB">
        <w:rPr>
          <w:lang w:val="fr-FR" w:eastAsia="ja-JP"/>
        </w:rPr>
        <w:t>46 du document TWV/49/32 “</w:t>
      </w:r>
      <w:r w:rsidR="00846900" w:rsidRPr="004A7F8D">
        <w:rPr>
          <w:i/>
          <w:lang w:val="fr-FR" w:eastAsia="ja-JP"/>
        </w:rPr>
        <w:t>Report</w:t>
      </w:r>
      <w:r w:rsidR="00846900" w:rsidRPr="005F0CAB">
        <w:rPr>
          <w:lang w:val="fr-FR" w:eastAsia="ja-JP"/>
        </w:rPr>
        <w:t>”, le paragraphe</w:t>
      </w:r>
      <w:r w:rsidR="00B834A7" w:rsidRPr="005F0CAB">
        <w:rPr>
          <w:lang w:val="fr-FR" w:eastAsia="ja-JP"/>
        </w:rPr>
        <w:t> </w:t>
      </w:r>
      <w:r w:rsidR="00846900" w:rsidRPr="005F0CAB">
        <w:rPr>
          <w:lang w:val="fr-FR" w:eastAsia="ja-JP"/>
        </w:rPr>
        <w:t>39 du document TWA/44/23 “</w:t>
      </w:r>
      <w:r w:rsidR="00846900" w:rsidRPr="004A7F8D">
        <w:rPr>
          <w:i/>
          <w:lang w:val="fr-FR" w:eastAsia="ja-JP"/>
        </w:rPr>
        <w:t>Report</w:t>
      </w:r>
      <w:r w:rsidR="00846900" w:rsidRPr="005F0CAB">
        <w:rPr>
          <w:lang w:val="fr-FR" w:eastAsia="ja-JP"/>
        </w:rPr>
        <w:t>”, le paragraphe</w:t>
      </w:r>
      <w:r w:rsidR="00B834A7" w:rsidRPr="005F0CAB">
        <w:rPr>
          <w:lang w:val="fr-FR" w:eastAsia="ja-JP"/>
        </w:rPr>
        <w:t> </w:t>
      </w:r>
      <w:r w:rsidR="00846900" w:rsidRPr="005F0CAB">
        <w:rPr>
          <w:lang w:val="fr-FR" w:eastAsia="ja-JP"/>
        </w:rPr>
        <w:t>42 du document TWF/46/29</w:t>
      </w:r>
      <w:r w:rsidR="004A7F8D">
        <w:rPr>
          <w:lang w:val="fr-FR" w:eastAsia="ja-JP"/>
        </w:rPr>
        <w:t xml:space="preserve"> </w:t>
      </w:r>
      <w:proofErr w:type="spellStart"/>
      <w:r w:rsidR="004A7F8D">
        <w:rPr>
          <w:lang w:val="fr-FR" w:eastAsia="ja-JP"/>
        </w:rPr>
        <w:t>Rév</w:t>
      </w:r>
      <w:proofErr w:type="spellEnd"/>
      <w:r w:rsidR="004A7F8D">
        <w:rPr>
          <w:lang w:val="fr-FR" w:eastAsia="ja-JP"/>
        </w:rPr>
        <w:t>.</w:t>
      </w:r>
      <w:r w:rsidR="00846900" w:rsidRPr="005F0CAB">
        <w:rPr>
          <w:lang w:val="fr-FR" w:eastAsia="ja-JP"/>
        </w:rPr>
        <w:t xml:space="preserve"> “</w:t>
      </w:r>
      <w:proofErr w:type="spellStart"/>
      <w:r w:rsidR="004A7F8D" w:rsidRPr="004A7F8D">
        <w:rPr>
          <w:i/>
          <w:lang w:val="fr-FR" w:eastAsia="ja-JP"/>
        </w:rPr>
        <w:t>Revised</w:t>
      </w:r>
      <w:proofErr w:type="spellEnd"/>
      <w:r w:rsidR="004A7F8D">
        <w:rPr>
          <w:lang w:val="fr-FR" w:eastAsia="ja-JP"/>
        </w:rPr>
        <w:t xml:space="preserve"> </w:t>
      </w:r>
      <w:r w:rsidR="00846900" w:rsidRPr="004A7F8D">
        <w:rPr>
          <w:i/>
          <w:lang w:val="fr-FR" w:eastAsia="ja-JP"/>
        </w:rPr>
        <w:t>Report</w:t>
      </w:r>
      <w:r w:rsidR="00846900" w:rsidRPr="005F0CAB">
        <w:rPr>
          <w:lang w:val="fr-FR" w:eastAsia="ja-JP"/>
        </w:rPr>
        <w:t>” et le paragraphe</w:t>
      </w:r>
      <w:r w:rsidR="00B834A7" w:rsidRPr="005F0CAB">
        <w:rPr>
          <w:lang w:val="fr-FR" w:eastAsia="ja-JP"/>
        </w:rPr>
        <w:t> </w:t>
      </w:r>
      <w:r w:rsidR="00846900" w:rsidRPr="005F0CAB">
        <w:rPr>
          <w:lang w:val="fr-FR" w:eastAsia="ja-JP"/>
        </w:rPr>
        <w:t>35 du document TWO/48/26 “</w:t>
      </w:r>
      <w:r w:rsidR="00846900" w:rsidRPr="004A7F8D">
        <w:rPr>
          <w:i/>
          <w:lang w:val="fr-FR" w:eastAsia="ja-JP"/>
        </w:rPr>
        <w:t>Report</w:t>
      </w:r>
      <w:r w:rsidR="00846900" w:rsidRPr="005F0CAB">
        <w:rPr>
          <w:lang w:val="fr-FR" w:eastAsia="ja-JP"/>
        </w:rPr>
        <w:t>”</w:t>
      </w:r>
      <w:r w:rsidRPr="005F0CAB">
        <w:rPr>
          <w:lang w:val="fr-FR" w:eastAsia="ja-JP"/>
        </w:rPr>
        <w:t>)</w:t>
      </w:r>
      <w:r w:rsidRPr="005F0CAB">
        <w:rPr>
          <w:lang w:val="fr-FR"/>
        </w:rPr>
        <w:t>.</w:t>
      </w:r>
    </w:p>
    <w:p w:rsidR="00FA6BED" w:rsidRPr="005F0CAB" w:rsidRDefault="00FA6BED" w:rsidP="00BE4B61">
      <w:pPr>
        <w:keepNext/>
        <w:keepLines/>
        <w:rPr>
          <w:lang w:val="fr-FR" w:eastAsia="ja-JP"/>
        </w:rPr>
      </w:pPr>
    </w:p>
    <w:p w:rsidR="00FA6BED" w:rsidRPr="005F0CAB" w:rsidRDefault="00263B47" w:rsidP="00406673">
      <w:pPr>
        <w:rPr>
          <w:lang w:val="fr-FR" w:eastAsia="ja-JP"/>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8138CA" w:rsidRPr="005F0CAB">
        <w:rPr>
          <w:snapToGrid w:val="0"/>
          <w:lang w:val="fr-FR"/>
        </w:rPr>
        <w:t>Le TWV,</w:t>
      </w:r>
      <w:r w:rsidR="00734BBA" w:rsidRPr="005F0CAB">
        <w:rPr>
          <w:snapToGrid w:val="0"/>
          <w:lang w:val="fr-FR"/>
        </w:rPr>
        <w:t xml:space="preserve"> le TWA</w:t>
      </w:r>
      <w:r w:rsidR="008138CA" w:rsidRPr="005F0CAB">
        <w:rPr>
          <w:snapToGrid w:val="0"/>
          <w:lang w:val="fr-FR"/>
        </w:rPr>
        <w:t>,</w:t>
      </w:r>
      <w:r w:rsidR="00734BBA" w:rsidRPr="005F0CAB">
        <w:rPr>
          <w:snapToGrid w:val="0"/>
          <w:lang w:val="fr-FR"/>
        </w:rPr>
        <w:t xml:space="preserve"> le TWF</w:t>
      </w:r>
      <w:r w:rsidR="008138CA" w:rsidRPr="005F0CAB">
        <w:rPr>
          <w:snapToGrid w:val="0"/>
          <w:lang w:val="fr-FR"/>
        </w:rPr>
        <w:t xml:space="preserve"> et</w:t>
      </w:r>
      <w:r w:rsidR="00734BBA" w:rsidRPr="005F0CAB">
        <w:rPr>
          <w:snapToGrid w:val="0"/>
          <w:lang w:val="fr-FR"/>
        </w:rPr>
        <w:t xml:space="preserve"> le TWO</w:t>
      </w:r>
      <w:r w:rsidR="008138CA" w:rsidRPr="005F0CAB">
        <w:rPr>
          <w:snapToGrid w:val="0"/>
          <w:lang w:val="fr-FR"/>
        </w:rPr>
        <w:t xml:space="preserve"> ont pris note du fait que des experts de l</w:t>
      </w:r>
      <w:r w:rsidR="00734BBA" w:rsidRPr="005F0CAB">
        <w:rPr>
          <w:snapToGrid w:val="0"/>
          <w:lang w:val="fr-FR"/>
        </w:rPr>
        <w:t>’</w:t>
      </w:r>
      <w:r w:rsidR="008138CA" w:rsidRPr="005F0CAB">
        <w:rPr>
          <w:snapToGrid w:val="0"/>
          <w:lang w:val="fr-FR"/>
        </w:rPr>
        <w:t>Allemagne, de la Finlande, de la France, du Kenya, de la Pologne, la République tchèque et du Royaume</w:t>
      </w:r>
      <w:r w:rsidR="001600E7" w:rsidRPr="005F0CAB">
        <w:rPr>
          <w:snapToGrid w:val="0"/>
          <w:lang w:val="fr-FR"/>
        </w:rPr>
        <w:noBreakHyphen/>
      </w:r>
      <w:r w:rsidR="008138CA" w:rsidRPr="005F0CAB">
        <w:rPr>
          <w:snapToGrid w:val="0"/>
          <w:lang w:val="fr-FR"/>
        </w:rPr>
        <w:t>Uni participeraient à l</w:t>
      </w:r>
      <w:r w:rsidR="00734BBA" w:rsidRPr="005F0CAB">
        <w:rPr>
          <w:snapToGrid w:val="0"/>
          <w:lang w:val="fr-FR"/>
        </w:rPr>
        <w:t>’</w:t>
      </w:r>
      <w:r w:rsidR="008138CA" w:rsidRPr="005F0CAB">
        <w:rPr>
          <w:snapToGrid w:val="0"/>
          <w:lang w:val="fr-FR"/>
        </w:rPr>
        <w:t>exercice visant à tester le nouveau logiciel sur</w:t>
      </w:r>
      <w:r w:rsidR="00734BBA" w:rsidRPr="005F0CAB">
        <w:rPr>
          <w:snapToGrid w:val="0"/>
          <w:lang w:val="fr-FR"/>
        </w:rPr>
        <w:t xml:space="preserve"> la COY</w:t>
      </w:r>
      <w:r w:rsidR="008138CA" w:rsidRPr="005F0CAB">
        <w:rPr>
          <w:snapToGrid w:val="0"/>
          <w:lang w:val="fr-FR"/>
        </w:rPr>
        <w:t>U</w:t>
      </w:r>
      <w:r w:rsidR="000237DB" w:rsidRPr="005F0CAB">
        <w:rPr>
          <w:lang w:val="fr-FR"/>
        </w:rPr>
        <w:t xml:space="preserve"> </w:t>
      </w:r>
      <w:r w:rsidR="00406673" w:rsidRPr="005F0CAB">
        <w:rPr>
          <w:lang w:val="fr-FR" w:eastAsia="ja-JP"/>
        </w:rPr>
        <w:t>(</w:t>
      </w:r>
      <w:r w:rsidR="008138CA" w:rsidRPr="005F0CAB">
        <w:rPr>
          <w:lang w:val="fr-FR" w:eastAsia="ja-JP"/>
        </w:rPr>
        <w:t>voir, respectivement, le paragraphe</w:t>
      </w:r>
      <w:r w:rsidR="00B834A7" w:rsidRPr="005F0CAB">
        <w:rPr>
          <w:lang w:val="fr-FR" w:eastAsia="ja-JP"/>
        </w:rPr>
        <w:t> </w:t>
      </w:r>
      <w:r w:rsidR="008138CA" w:rsidRPr="005F0CAB">
        <w:rPr>
          <w:lang w:val="fr-FR" w:eastAsia="ja-JP"/>
        </w:rPr>
        <w:t>47 du document TWV/49/32, le paragraphe</w:t>
      </w:r>
      <w:r w:rsidR="00B834A7" w:rsidRPr="005F0CAB">
        <w:rPr>
          <w:lang w:val="fr-FR" w:eastAsia="ja-JP"/>
        </w:rPr>
        <w:t> </w:t>
      </w:r>
      <w:r w:rsidR="008138CA" w:rsidRPr="005F0CAB">
        <w:rPr>
          <w:lang w:val="fr-FR" w:eastAsia="ja-JP"/>
        </w:rPr>
        <w:t>40 du document TWA/44/23, le paragraphe</w:t>
      </w:r>
      <w:r w:rsidR="00B834A7" w:rsidRPr="005F0CAB">
        <w:rPr>
          <w:lang w:val="fr-FR" w:eastAsia="ja-JP"/>
        </w:rPr>
        <w:t> </w:t>
      </w:r>
      <w:r w:rsidR="008138CA" w:rsidRPr="005F0CAB">
        <w:rPr>
          <w:lang w:val="fr-FR" w:eastAsia="ja-JP"/>
        </w:rPr>
        <w:t>43 du document TWF/46/29 et le paragraphe</w:t>
      </w:r>
      <w:r w:rsidR="00B834A7" w:rsidRPr="005F0CAB">
        <w:rPr>
          <w:lang w:val="fr-FR" w:eastAsia="ja-JP"/>
        </w:rPr>
        <w:t> </w:t>
      </w:r>
      <w:r w:rsidR="008138CA" w:rsidRPr="005F0CAB">
        <w:rPr>
          <w:lang w:val="fr-FR" w:eastAsia="ja-JP"/>
        </w:rPr>
        <w:t>36 du document TWO/48/26</w:t>
      </w:r>
      <w:r w:rsidR="00406673" w:rsidRPr="005F0CAB">
        <w:rPr>
          <w:lang w:val="fr-FR" w:eastAsia="ja-JP"/>
        </w:rPr>
        <w:t>)</w:t>
      </w:r>
      <w:r w:rsidR="00406673" w:rsidRPr="005F0CAB">
        <w:rPr>
          <w:lang w:val="fr-FR"/>
        </w:rPr>
        <w:t>.</w:t>
      </w:r>
    </w:p>
    <w:p w:rsidR="00FA6BED" w:rsidRPr="005F0CAB" w:rsidRDefault="00FA6BED" w:rsidP="00406673">
      <w:pPr>
        <w:rPr>
          <w:snapToGrid w:val="0"/>
          <w:lang w:val="fr-FR" w:eastAsia="ja-JP"/>
        </w:rPr>
      </w:pPr>
    </w:p>
    <w:p w:rsidR="00FA6BED" w:rsidRPr="005F0CAB" w:rsidRDefault="00406673" w:rsidP="00406673">
      <w:pPr>
        <w:rPr>
          <w:lang w:val="fr-FR" w:eastAsia="ja-JP"/>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B737D6" w:rsidRPr="005F0CAB">
        <w:rPr>
          <w:snapToGrid w:val="0"/>
          <w:lang w:val="fr-FR"/>
        </w:rPr>
        <w:t>Le TWV a pris note du fait qu</w:t>
      </w:r>
      <w:r w:rsidR="00734BBA" w:rsidRPr="005F0CAB">
        <w:rPr>
          <w:snapToGrid w:val="0"/>
          <w:lang w:val="fr-FR"/>
        </w:rPr>
        <w:t>’</w:t>
      </w:r>
      <w:r w:rsidR="00B737D6" w:rsidRPr="005F0CAB">
        <w:rPr>
          <w:snapToGrid w:val="0"/>
          <w:lang w:val="fr-FR"/>
        </w:rPr>
        <w:t>un compte rendu de l</w:t>
      </w:r>
      <w:r w:rsidR="00734BBA" w:rsidRPr="005F0CAB">
        <w:rPr>
          <w:snapToGrid w:val="0"/>
          <w:lang w:val="fr-FR"/>
        </w:rPr>
        <w:t>’</w:t>
      </w:r>
      <w:r w:rsidR="00B737D6" w:rsidRPr="005F0CAB">
        <w:rPr>
          <w:snapToGrid w:val="0"/>
          <w:lang w:val="fr-FR"/>
        </w:rPr>
        <w:t>exercice pratique et de l</w:t>
      </w:r>
      <w:r w:rsidR="00734BBA" w:rsidRPr="005F0CAB">
        <w:rPr>
          <w:snapToGrid w:val="0"/>
          <w:lang w:val="fr-FR"/>
        </w:rPr>
        <w:t>’</w:t>
      </w:r>
      <w:r w:rsidR="00B737D6" w:rsidRPr="005F0CAB">
        <w:rPr>
          <w:snapToGrid w:val="0"/>
          <w:lang w:val="fr-FR"/>
        </w:rPr>
        <w:t xml:space="preserve">élaboration du module DUST serait présenté à la </w:t>
      </w:r>
      <w:r w:rsidR="006A1113" w:rsidRPr="005F0CAB">
        <w:rPr>
          <w:snapToGrid w:val="0"/>
          <w:lang w:val="fr-FR"/>
        </w:rPr>
        <w:t>trente</w:t>
      </w:r>
      <w:r w:rsidR="001600E7" w:rsidRPr="005F0CAB">
        <w:rPr>
          <w:snapToGrid w:val="0"/>
          <w:lang w:val="fr-FR"/>
        </w:rPr>
        <w:noBreakHyphen/>
      </w:r>
      <w:r w:rsidR="006A1113" w:rsidRPr="005F0CAB">
        <w:rPr>
          <w:snapToGrid w:val="0"/>
          <w:lang w:val="fr-FR"/>
        </w:rPr>
        <w:t>troisième</w:t>
      </w:r>
      <w:r w:rsidR="00B834A7" w:rsidRPr="005F0CAB">
        <w:rPr>
          <w:snapToGrid w:val="0"/>
          <w:lang w:val="fr-FR"/>
        </w:rPr>
        <w:t> </w:t>
      </w:r>
      <w:r w:rsidR="00B737D6" w:rsidRPr="005F0CAB">
        <w:rPr>
          <w:snapToGrid w:val="0"/>
          <w:lang w:val="fr-FR"/>
        </w:rPr>
        <w:t>session</w:t>
      </w:r>
      <w:r w:rsidR="00734BBA" w:rsidRPr="005F0CAB">
        <w:rPr>
          <w:snapToGrid w:val="0"/>
          <w:lang w:val="fr-FR"/>
        </w:rPr>
        <w:t xml:space="preserve"> du TWC</w:t>
      </w:r>
      <w:r w:rsidR="00B737D6" w:rsidRPr="005F0CAB">
        <w:rPr>
          <w:snapToGrid w:val="0"/>
          <w:lang w:val="fr-FR"/>
        </w:rPr>
        <w:t xml:space="preserve"> par un expert du Royaume</w:t>
      </w:r>
      <w:r w:rsidR="001600E7" w:rsidRPr="005F0CAB">
        <w:rPr>
          <w:snapToGrid w:val="0"/>
          <w:lang w:val="fr-FR"/>
        </w:rPr>
        <w:noBreakHyphen/>
      </w:r>
      <w:r w:rsidR="00B737D6" w:rsidRPr="005F0CAB">
        <w:rPr>
          <w:snapToGrid w:val="0"/>
          <w:lang w:val="fr-FR"/>
        </w:rPr>
        <w:t xml:space="preserve">Uni </w:t>
      </w:r>
      <w:r w:rsidRPr="005F0CAB">
        <w:rPr>
          <w:lang w:val="fr-FR" w:eastAsia="ja-JP"/>
        </w:rPr>
        <w:t>(</w:t>
      </w:r>
      <w:r w:rsidR="00176C31" w:rsidRPr="005F0CAB">
        <w:rPr>
          <w:lang w:val="fr-FR" w:eastAsia="ja-JP"/>
        </w:rPr>
        <w:t>voir</w:t>
      </w:r>
      <w:r w:rsidR="00B737D6" w:rsidRPr="005F0CAB">
        <w:rPr>
          <w:lang w:val="fr-FR" w:eastAsia="ja-JP"/>
        </w:rPr>
        <w:t xml:space="preserve"> le paragraphe</w:t>
      </w:r>
      <w:r w:rsidR="00B834A7" w:rsidRPr="005F0CAB">
        <w:rPr>
          <w:lang w:val="fr-FR" w:eastAsia="ja-JP"/>
        </w:rPr>
        <w:t> </w:t>
      </w:r>
      <w:r w:rsidR="00B737D6" w:rsidRPr="005F0CAB">
        <w:rPr>
          <w:lang w:val="fr-FR" w:eastAsia="ja-JP"/>
        </w:rPr>
        <w:t xml:space="preserve">48 du </w:t>
      </w:r>
      <w:r w:rsidR="00734BBA" w:rsidRPr="005F0CAB">
        <w:rPr>
          <w:lang w:val="fr-FR" w:eastAsia="ja-JP"/>
        </w:rPr>
        <w:t>document TW</w:t>
      </w:r>
      <w:r w:rsidRPr="005F0CAB">
        <w:rPr>
          <w:lang w:val="fr-FR" w:eastAsia="ja-JP"/>
        </w:rPr>
        <w:t>V/49/32)</w:t>
      </w:r>
      <w:r w:rsidR="00B737D6" w:rsidRPr="005F0CAB">
        <w:rPr>
          <w:lang w:val="fr-FR" w:eastAsia="ja-JP"/>
        </w:rPr>
        <w:t>.</w:t>
      </w:r>
    </w:p>
    <w:p w:rsidR="00FA6BED" w:rsidRPr="005F0CAB" w:rsidRDefault="00FA6BED" w:rsidP="00406673">
      <w:pPr>
        <w:rPr>
          <w:lang w:val="fr-FR" w:eastAsia="ja-JP"/>
        </w:rPr>
      </w:pPr>
    </w:p>
    <w:p w:rsidR="00FA6BED" w:rsidRPr="005F0CAB" w:rsidRDefault="00406673" w:rsidP="00406673">
      <w:pPr>
        <w:rPr>
          <w:lang w:val="fr-FR" w:eastAsia="ja-JP"/>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F9162B" w:rsidRPr="005F0CAB">
        <w:rPr>
          <w:snapToGrid w:val="0"/>
          <w:lang w:val="fr-FR"/>
        </w:rPr>
        <w:t xml:space="preserve">Le TWC a pris note du fait des </w:t>
      </w:r>
      <w:r w:rsidRPr="005F0CAB">
        <w:rPr>
          <w:lang w:val="fr-FR" w:eastAsia="ja-JP"/>
        </w:rPr>
        <w:t xml:space="preserve">experts </w:t>
      </w:r>
      <w:r w:rsidR="00F9162B" w:rsidRPr="005F0CAB">
        <w:rPr>
          <w:lang w:val="fr-FR" w:eastAsia="ja-JP"/>
        </w:rPr>
        <w:t>de l</w:t>
      </w:r>
      <w:r w:rsidR="00734BBA" w:rsidRPr="005F0CAB">
        <w:rPr>
          <w:lang w:val="fr-FR" w:eastAsia="ja-JP"/>
        </w:rPr>
        <w:t>’</w:t>
      </w:r>
      <w:r w:rsidR="00F9162B" w:rsidRPr="005F0CAB">
        <w:rPr>
          <w:lang w:val="fr-FR" w:eastAsia="ja-JP"/>
        </w:rPr>
        <w:t>Allemagne, de la Finlande, de la France, du Kenya et du Royaume</w:t>
      </w:r>
      <w:r w:rsidR="001600E7" w:rsidRPr="005F0CAB">
        <w:rPr>
          <w:lang w:val="fr-FR" w:eastAsia="ja-JP"/>
        </w:rPr>
        <w:noBreakHyphen/>
      </w:r>
      <w:r w:rsidR="00F9162B" w:rsidRPr="005F0CAB">
        <w:rPr>
          <w:lang w:val="fr-FR" w:eastAsia="ja-JP"/>
        </w:rPr>
        <w:t>Uni avaient participé à l</w:t>
      </w:r>
      <w:r w:rsidR="00734BBA" w:rsidRPr="005F0CAB">
        <w:rPr>
          <w:lang w:val="fr-FR" w:eastAsia="ja-JP"/>
        </w:rPr>
        <w:t>’</w:t>
      </w:r>
      <w:r w:rsidR="00F9162B" w:rsidRPr="005F0CAB">
        <w:rPr>
          <w:lang w:val="fr-FR" w:eastAsia="ja-JP"/>
        </w:rPr>
        <w:t>exercice visant à tester le nouveau logiciel sur</w:t>
      </w:r>
      <w:r w:rsidR="00734BBA" w:rsidRPr="005F0CAB">
        <w:rPr>
          <w:lang w:val="fr-FR" w:eastAsia="ja-JP"/>
        </w:rPr>
        <w:t xml:space="preserve"> la COY</w:t>
      </w:r>
      <w:r w:rsidR="00F9162B" w:rsidRPr="005F0CAB">
        <w:rPr>
          <w:lang w:val="fr-FR" w:eastAsia="ja-JP"/>
        </w:rPr>
        <w:t xml:space="preserve">U </w:t>
      </w:r>
      <w:r w:rsidRPr="005F0CAB">
        <w:rPr>
          <w:lang w:val="fr-FR" w:eastAsia="ja-JP"/>
        </w:rPr>
        <w:t>(</w:t>
      </w:r>
      <w:r w:rsidR="00F9162B" w:rsidRPr="005F0CAB">
        <w:rPr>
          <w:lang w:val="fr-FR" w:eastAsia="ja-JP"/>
        </w:rPr>
        <w:t>voir le paragraphe</w:t>
      </w:r>
      <w:r w:rsidR="00B834A7" w:rsidRPr="005F0CAB">
        <w:rPr>
          <w:lang w:val="fr-FR" w:eastAsia="ja-JP"/>
        </w:rPr>
        <w:t> </w:t>
      </w:r>
      <w:r w:rsidR="00F9162B" w:rsidRPr="005F0CAB">
        <w:rPr>
          <w:lang w:val="fr-FR" w:eastAsia="ja-JP"/>
        </w:rPr>
        <w:t>23 du do</w:t>
      </w:r>
      <w:r w:rsidRPr="005F0CAB">
        <w:rPr>
          <w:lang w:val="fr-FR" w:eastAsia="ja-JP"/>
        </w:rPr>
        <w:t>cument TWC/33/30 “</w:t>
      </w:r>
      <w:r w:rsidRPr="004A7F8D">
        <w:rPr>
          <w:i/>
          <w:lang w:val="fr-FR" w:eastAsia="ja-JP"/>
        </w:rPr>
        <w:t>Report</w:t>
      </w:r>
      <w:r w:rsidRPr="005F0CAB">
        <w:rPr>
          <w:lang w:val="fr-FR" w:eastAsia="ja-JP"/>
        </w:rPr>
        <w:t>”).</w:t>
      </w:r>
    </w:p>
    <w:p w:rsidR="00FA6BED" w:rsidRPr="005F0CAB" w:rsidRDefault="00FA6BED" w:rsidP="00406673">
      <w:pPr>
        <w:rPr>
          <w:lang w:val="fr-FR" w:eastAsia="ja-JP"/>
        </w:rPr>
      </w:pPr>
    </w:p>
    <w:p w:rsidR="00734BBA" w:rsidRPr="005F0CAB" w:rsidRDefault="000F6871" w:rsidP="000F6871">
      <w:pPr>
        <w:rPr>
          <w:snapToGrid w:val="0"/>
          <w:lang w:val="fr-FR"/>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0C2F5E" w:rsidRPr="005F0CAB">
        <w:rPr>
          <w:snapToGrid w:val="0"/>
          <w:lang w:val="fr-FR"/>
        </w:rPr>
        <w:t>Le</w:t>
      </w:r>
      <w:r w:rsidRPr="005F0CAB">
        <w:rPr>
          <w:snapToGrid w:val="0"/>
          <w:lang w:val="fr-FR"/>
        </w:rPr>
        <w:t xml:space="preserve"> TWC </w:t>
      </w:r>
      <w:r w:rsidR="000C2F5E" w:rsidRPr="005F0CAB">
        <w:rPr>
          <w:snapToGrid w:val="0"/>
          <w:lang w:val="fr-FR"/>
        </w:rPr>
        <w:t>a examiné le compte rendu de de l</w:t>
      </w:r>
      <w:r w:rsidR="00734BBA" w:rsidRPr="005F0CAB">
        <w:rPr>
          <w:snapToGrid w:val="0"/>
          <w:lang w:val="fr-FR"/>
        </w:rPr>
        <w:t>’</w:t>
      </w:r>
      <w:r w:rsidR="000C2F5E" w:rsidRPr="005F0CAB">
        <w:rPr>
          <w:snapToGrid w:val="0"/>
          <w:lang w:val="fr-FR"/>
        </w:rPr>
        <w:t>exercice pratique tel qu</w:t>
      </w:r>
      <w:r w:rsidR="00734BBA" w:rsidRPr="005F0CAB">
        <w:rPr>
          <w:snapToGrid w:val="0"/>
          <w:lang w:val="fr-FR"/>
        </w:rPr>
        <w:t>’</w:t>
      </w:r>
      <w:r w:rsidR="000C2F5E" w:rsidRPr="005F0CAB">
        <w:rPr>
          <w:snapToGrid w:val="0"/>
          <w:lang w:val="fr-FR"/>
        </w:rPr>
        <w:t>il a été présenté par un expert du Royaume</w:t>
      </w:r>
      <w:r w:rsidR="001600E7" w:rsidRPr="005F0CAB">
        <w:rPr>
          <w:snapToGrid w:val="0"/>
          <w:lang w:val="fr-FR"/>
        </w:rPr>
        <w:noBreakHyphen/>
      </w:r>
      <w:r w:rsidR="000C2F5E" w:rsidRPr="005F0CAB">
        <w:rPr>
          <w:snapToGrid w:val="0"/>
          <w:lang w:val="fr-FR"/>
        </w:rPr>
        <w:t xml:space="preserve">Uni en annexe du </w:t>
      </w:r>
      <w:r w:rsidRPr="005F0CAB">
        <w:rPr>
          <w:snapToGrid w:val="0"/>
          <w:lang w:val="fr-FR"/>
        </w:rPr>
        <w:t>document TWC/33/16</w:t>
      </w:r>
      <w:r w:rsidR="00D41BD4" w:rsidRPr="005F0CAB">
        <w:rPr>
          <w:snapToGrid w:val="0"/>
          <w:lang w:val="fr-FR" w:eastAsia="ja-JP"/>
        </w:rPr>
        <w:t xml:space="preserve"> </w:t>
      </w:r>
      <w:r w:rsidR="00D41BD4" w:rsidRPr="005F0CAB">
        <w:rPr>
          <w:lang w:val="fr-FR" w:eastAsia="ja-JP"/>
        </w:rPr>
        <w:t>(</w:t>
      </w:r>
      <w:r w:rsidR="000C2F5E" w:rsidRPr="005F0CAB">
        <w:rPr>
          <w:lang w:val="fr-FR" w:eastAsia="ja-JP"/>
        </w:rPr>
        <w:t>voir le paragraphe</w:t>
      </w:r>
      <w:r w:rsidR="00B834A7" w:rsidRPr="005F0CAB">
        <w:rPr>
          <w:lang w:val="fr-FR" w:eastAsia="ja-JP"/>
        </w:rPr>
        <w:t> </w:t>
      </w:r>
      <w:r w:rsidR="000C2F5E" w:rsidRPr="005F0CAB">
        <w:rPr>
          <w:lang w:val="fr-FR" w:eastAsia="ja-JP"/>
        </w:rPr>
        <w:t xml:space="preserve">24 du </w:t>
      </w:r>
      <w:r w:rsidR="00D41BD4" w:rsidRPr="005F0CAB">
        <w:rPr>
          <w:lang w:val="fr-FR" w:eastAsia="ja-JP"/>
        </w:rPr>
        <w:t>document TWC/33/30 “</w:t>
      </w:r>
      <w:r w:rsidR="00D41BD4" w:rsidRPr="004A7F8D">
        <w:rPr>
          <w:i/>
          <w:lang w:val="fr-FR" w:eastAsia="ja-JP"/>
        </w:rPr>
        <w:t>Report</w:t>
      </w:r>
      <w:r w:rsidR="00D41BD4" w:rsidRPr="005F0CAB">
        <w:rPr>
          <w:lang w:val="fr-FR" w:eastAsia="ja-JP"/>
        </w:rPr>
        <w:t>”)</w:t>
      </w:r>
      <w:r w:rsidRPr="005F0CAB">
        <w:rPr>
          <w:snapToGrid w:val="0"/>
          <w:lang w:val="fr-FR"/>
        </w:rPr>
        <w:t>.</w:t>
      </w:r>
    </w:p>
    <w:p w:rsidR="00FA6BED" w:rsidRPr="005F0CAB" w:rsidRDefault="00FA6BED" w:rsidP="00406673">
      <w:pPr>
        <w:rPr>
          <w:lang w:val="fr-FR" w:eastAsia="ja-JP"/>
        </w:rPr>
      </w:pPr>
    </w:p>
    <w:p w:rsidR="00FA6BED" w:rsidRPr="005F0CAB" w:rsidRDefault="00263B47" w:rsidP="00263B47">
      <w:pPr>
        <w:rPr>
          <w:lang w:val="fr-FR" w:eastAsia="ja-JP"/>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2D3ABD" w:rsidRPr="005F0CAB">
        <w:rPr>
          <w:snapToGrid w:val="0"/>
          <w:lang w:val="fr-FR"/>
        </w:rPr>
        <w:t xml:space="preserve">Le </w:t>
      </w:r>
      <w:r w:rsidR="00406673" w:rsidRPr="005F0CAB">
        <w:rPr>
          <w:lang w:val="fr-FR" w:eastAsia="ja-JP"/>
        </w:rPr>
        <w:t xml:space="preserve">TWC </w:t>
      </w:r>
      <w:r w:rsidR="002D3ABD" w:rsidRPr="005F0CAB">
        <w:rPr>
          <w:lang w:val="fr-FR" w:eastAsia="ja-JP"/>
        </w:rPr>
        <w:t>a suivi un exposé présenté par un expert du Royaume</w:t>
      </w:r>
      <w:r w:rsidR="001600E7" w:rsidRPr="005F0CAB">
        <w:rPr>
          <w:lang w:val="fr-FR" w:eastAsia="ja-JP"/>
        </w:rPr>
        <w:noBreakHyphen/>
      </w:r>
      <w:r w:rsidR="002D3ABD" w:rsidRPr="005F0CAB">
        <w:rPr>
          <w:lang w:val="fr-FR" w:eastAsia="ja-JP"/>
        </w:rPr>
        <w:t xml:space="preserve">Uni sur le thème de la </w:t>
      </w:r>
      <w:r w:rsidR="00406673" w:rsidRPr="005F0CAB">
        <w:rPr>
          <w:lang w:val="fr-FR" w:eastAsia="ja-JP"/>
        </w:rPr>
        <w:t>“</w:t>
      </w:r>
      <w:r w:rsidR="002D3ABD" w:rsidRPr="005F0CAB">
        <w:rPr>
          <w:lang w:val="fr-FR" w:eastAsia="ja-JP"/>
        </w:rPr>
        <w:t>Méthode de calcul de</w:t>
      </w:r>
      <w:r w:rsidR="00734BBA" w:rsidRPr="005F0CAB">
        <w:rPr>
          <w:lang w:val="fr-FR" w:eastAsia="ja-JP"/>
        </w:rPr>
        <w:t xml:space="preserve"> la COY</w:t>
      </w:r>
      <w:r w:rsidR="002D3ABD" w:rsidRPr="005F0CAB">
        <w:rPr>
          <w:lang w:val="fr-FR" w:eastAsia="ja-JP"/>
        </w:rPr>
        <w:t>U</w:t>
      </w:r>
      <w:r w:rsidR="00406673" w:rsidRPr="005F0CAB">
        <w:rPr>
          <w:lang w:val="fr-FR" w:eastAsia="ja-JP"/>
        </w:rPr>
        <w:t xml:space="preserve">” </w:t>
      </w:r>
      <w:r w:rsidR="002D3ABD" w:rsidRPr="005F0CAB">
        <w:rPr>
          <w:lang w:val="fr-FR" w:eastAsia="ja-JP"/>
        </w:rPr>
        <w:t>dont une copie a fait l</w:t>
      </w:r>
      <w:r w:rsidR="00734BBA" w:rsidRPr="005F0CAB">
        <w:rPr>
          <w:lang w:val="fr-FR" w:eastAsia="ja-JP"/>
        </w:rPr>
        <w:t>’</w:t>
      </w:r>
      <w:r w:rsidR="002D3ABD" w:rsidRPr="005F0CAB">
        <w:rPr>
          <w:lang w:val="fr-FR" w:eastAsia="ja-JP"/>
        </w:rPr>
        <w:t>objet d</w:t>
      </w:r>
      <w:r w:rsidR="00734BBA" w:rsidRPr="005F0CAB">
        <w:rPr>
          <w:lang w:val="fr-FR" w:eastAsia="ja-JP"/>
        </w:rPr>
        <w:t>’</w:t>
      </w:r>
      <w:r w:rsidR="002D3ABD" w:rsidRPr="005F0CAB">
        <w:rPr>
          <w:lang w:val="fr-FR" w:eastAsia="ja-JP"/>
        </w:rPr>
        <w:t xml:space="preserve">un additif du document </w:t>
      </w:r>
      <w:r w:rsidR="00406673" w:rsidRPr="005F0CAB">
        <w:rPr>
          <w:lang w:val="fr-FR" w:eastAsia="ja-JP"/>
        </w:rPr>
        <w:t>TWC/33/16</w:t>
      </w:r>
      <w:r w:rsidR="00A30864" w:rsidRPr="005F0CAB">
        <w:rPr>
          <w:lang w:val="fr-FR" w:eastAsia="ja-JP"/>
        </w:rPr>
        <w:t xml:space="preserve">, </w:t>
      </w:r>
      <w:r w:rsidR="00CA21CE" w:rsidRPr="005F0CAB">
        <w:rPr>
          <w:lang w:val="fr-FR" w:eastAsia="ja-JP"/>
        </w:rPr>
        <w:t>et qui est reproduit en annexe au présent document</w:t>
      </w:r>
      <w:r w:rsidR="00AC4CF1" w:rsidRPr="005F0CAB">
        <w:rPr>
          <w:lang w:val="fr-FR" w:eastAsia="ja-JP"/>
        </w:rPr>
        <w:t xml:space="preserve"> (</w:t>
      </w:r>
      <w:r w:rsidR="00CA21CE" w:rsidRPr="005F0CAB">
        <w:rPr>
          <w:lang w:val="fr-FR" w:eastAsia="ja-JP"/>
        </w:rPr>
        <w:t>en anglais uniquement</w:t>
      </w:r>
      <w:r w:rsidR="00AC4CF1" w:rsidRPr="005F0CAB">
        <w:rPr>
          <w:lang w:val="fr-FR" w:eastAsia="ja-JP"/>
        </w:rPr>
        <w:t>)</w:t>
      </w:r>
      <w:r w:rsidR="00406673" w:rsidRPr="005F0CAB">
        <w:rPr>
          <w:lang w:val="fr-FR" w:eastAsia="ja-JP"/>
        </w:rPr>
        <w:t xml:space="preserve">. </w:t>
      </w:r>
      <w:r w:rsidR="00734BBA" w:rsidRPr="005F0CAB">
        <w:rPr>
          <w:lang w:val="fr-FR" w:eastAsia="ja-JP"/>
        </w:rPr>
        <w:t xml:space="preserve"> Le TWC</w:t>
      </w:r>
      <w:r w:rsidR="00406673" w:rsidRPr="005F0CAB">
        <w:rPr>
          <w:lang w:val="fr-FR" w:eastAsia="ja-JP"/>
        </w:rPr>
        <w:t xml:space="preserve"> </w:t>
      </w:r>
      <w:r w:rsidR="00A70727" w:rsidRPr="005F0CAB">
        <w:rPr>
          <w:lang w:val="fr-FR" w:eastAsia="ja-JP"/>
        </w:rPr>
        <w:t xml:space="preserve">est convenu du fait </w:t>
      </w:r>
      <w:r w:rsidR="006A1113" w:rsidRPr="005F0CAB">
        <w:rPr>
          <w:lang w:val="fr-FR" w:eastAsia="ja-JP"/>
        </w:rPr>
        <w:t>que</w:t>
      </w:r>
      <w:r w:rsidR="00910570" w:rsidRPr="005F0CAB">
        <w:rPr>
          <w:lang w:val="fr-FR" w:eastAsia="ja-JP"/>
        </w:rPr>
        <w:t xml:space="preserve"> la nouvelle méthode fonctionnait bien dans la pratique et est convenu de demander à l</w:t>
      </w:r>
      <w:r w:rsidR="00734BBA" w:rsidRPr="005F0CAB">
        <w:rPr>
          <w:lang w:val="fr-FR" w:eastAsia="ja-JP"/>
        </w:rPr>
        <w:t>’</w:t>
      </w:r>
      <w:r w:rsidR="00910570" w:rsidRPr="005F0CAB">
        <w:rPr>
          <w:lang w:val="fr-FR" w:eastAsia="ja-JP"/>
        </w:rPr>
        <w:t>expert du Royaume</w:t>
      </w:r>
      <w:r w:rsidR="001600E7" w:rsidRPr="005F0CAB">
        <w:rPr>
          <w:lang w:val="fr-FR" w:eastAsia="ja-JP"/>
        </w:rPr>
        <w:noBreakHyphen/>
      </w:r>
      <w:r w:rsidR="00910570" w:rsidRPr="005F0CAB">
        <w:rPr>
          <w:lang w:val="fr-FR" w:eastAsia="ja-JP"/>
        </w:rPr>
        <w:t>Uni de fournir des conseils concernant l</w:t>
      </w:r>
      <w:r w:rsidR="00734BBA" w:rsidRPr="005F0CAB">
        <w:rPr>
          <w:lang w:val="fr-FR" w:eastAsia="ja-JP"/>
        </w:rPr>
        <w:t>’</w:t>
      </w:r>
      <w:r w:rsidR="00910570" w:rsidRPr="005F0CAB">
        <w:rPr>
          <w:lang w:val="fr-FR" w:eastAsia="ja-JP"/>
        </w:rPr>
        <w:t>extrapolation lorsqu</w:t>
      </w:r>
      <w:r w:rsidR="00734BBA" w:rsidRPr="005F0CAB">
        <w:rPr>
          <w:lang w:val="fr-FR" w:eastAsia="ja-JP"/>
        </w:rPr>
        <w:t>’</w:t>
      </w:r>
      <w:r w:rsidR="00910570" w:rsidRPr="005F0CAB">
        <w:rPr>
          <w:lang w:val="fr-FR" w:eastAsia="ja-JP"/>
        </w:rPr>
        <w:t>une variété candidate présente un niveau d</w:t>
      </w:r>
      <w:r w:rsidR="00734BBA" w:rsidRPr="005F0CAB">
        <w:rPr>
          <w:lang w:val="fr-FR" w:eastAsia="ja-JP"/>
        </w:rPr>
        <w:t>’</w:t>
      </w:r>
      <w:r w:rsidR="00910570" w:rsidRPr="005F0CAB">
        <w:rPr>
          <w:lang w:val="fr-FR" w:eastAsia="ja-JP"/>
        </w:rPr>
        <w:t xml:space="preserve">expression en dehors de celui observé pour les variétés de référence </w:t>
      </w:r>
      <w:r w:rsidR="00D41BD4" w:rsidRPr="005F0CAB">
        <w:rPr>
          <w:lang w:val="fr-FR" w:eastAsia="ja-JP"/>
        </w:rPr>
        <w:t>(</w:t>
      </w:r>
      <w:r w:rsidR="00910570" w:rsidRPr="005F0CAB">
        <w:rPr>
          <w:lang w:val="fr-FR" w:eastAsia="ja-JP"/>
        </w:rPr>
        <w:t>voir le paragraphe</w:t>
      </w:r>
      <w:r w:rsidR="00B834A7" w:rsidRPr="005F0CAB">
        <w:rPr>
          <w:lang w:val="fr-FR" w:eastAsia="ja-JP"/>
        </w:rPr>
        <w:t> </w:t>
      </w:r>
      <w:r w:rsidR="00910570" w:rsidRPr="005F0CAB">
        <w:rPr>
          <w:lang w:val="fr-FR" w:eastAsia="ja-JP"/>
        </w:rPr>
        <w:t xml:space="preserve">25 du </w:t>
      </w:r>
      <w:r w:rsidR="00D41BD4" w:rsidRPr="005F0CAB">
        <w:rPr>
          <w:lang w:val="fr-FR" w:eastAsia="ja-JP"/>
        </w:rPr>
        <w:t>document TWC/33/30 “Report”)</w:t>
      </w:r>
      <w:r w:rsidRPr="005F0CAB">
        <w:rPr>
          <w:lang w:val="fr-FR" w:eastAsia="ja-JP"/>
        </w:rPr>
        <w:t>.</w:t>
      </w:r>
    </w:p>
    <w:p w:rsidR="00FA6BED" w:rsidRPr="005F0CAB" w:rsidRDefault="00FA6BED" w:rsidP="00263B47">
      <w:pPr>
        <w:rPr>
          <w:lang w:val="fr-FR" w:eastAsia="ja-JP"/>
        </w:rPr>
      </w:pPr>
    </w:p>
    <w:p w:rsidR="00734BBA" w:rsidRPr="005F0CAB" w:rsidRDefault="000F6871" w:rsidP="000F6871">
      <w:pPr>
        <w:rPr>
          <w:snapToGrid w:val="0"/>
          <w:lang w:val="fr-FR"/>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8205BD" w:rsidRPr="005F0CAB">
        <w:rPr>
          <w:snapToGrid w:val="0"/>
          <w:lang w:val="fr-FR"/>
        </w:rPr>
        <w:t>Le</w:t>
      </w:r>
      <w:r w:rsidRPr="005F0CAB">
        <w:rPr>
          <w:snapToGrid w:val="0"/>
          <w:lang w:val="fr-FR"/>
        </w:rPr>
        <w:t xml:space="preserve"> TWC </w:t>
      </w:r>
      <w:r w:rsidR="008205BD" w:rsidRPr="005F0CAB">
        <w:rPr>
          <w:snapToGrid w:val="0"/>
          <w:lang w:val="fr-FR"/>
        </w:rPr>
        <w:t>a pris note de la nécessité d</w:t>
      </w:r>
      <w:r w:rsidR="00734BBA" w:rsidRPr="005F0CAB">
        <w:rPr>
          <w:snapToGrid w:val="0"/>
          <w:lang w:val="fr-FR"/>
        </w:rPr>
        <w:t>’</w:t>
      </w:r>
      <w:r w:rsidR="008205BD" w:rsidRPr="005F0CAB">
        <w:rPr>
          <w:snapToGrid w:val="0"/>
          <w:lang w:val="fr-FR"/>
        </w:rPr>
        <w:t xml:space="preserve">évaluer des ensembles de données plus étendus afin de définir des seuils de probabilité pour la nouvelle méthode.  Les ensembles de données en questions devraient comprendre 100 variétés candidates au minimum, les données pour ces 100 variétés couvrant si possible plusieurs années </w:t>
      </w:r>
      <w:r w:rsidR="00D41BD4" w:rsidRPr="005F0CAB">
        <w:rPr>
          <w:lang w:val="fr-FR" w:eastAsia="ja-JP"/>
        </w:rPr>
        <w:t>(</w:t>
      </w:r>
      <w:r w:rsidR="008205BD" w:rsidRPr="005F0CAB">
        <w:rPr>
          <w:lang w:val="fr-FR" w:eastAsia="ja-JP"/>
        </w:rPr>
        <w:t>voir le paragraphe</w:t>
      </w:r>
      <w:r w:rsidR="00B834A7" w:rsidRPr="005F0CAB">
        <w:rPr>
          <w:lang w:val="fr-FR" w:eastAsia="ja-JP"/>
        </w:rPr>
        <w:t> </w:t>
      </w:r>
      <w:r w:rsidR="008205BD" w:rsidRPr="005F0CAB">
        <w:rPr>
          <w:lang w:val="fr-FR" w:eastAsia="ja-JP"/>
        </w:rPr>
        <w:t xml:space="preserve">26 du </w:t>
      </w:r>
      <w:r w:rsidR="00D41BD4" w:rsidRPr="005F0CAB">
        <w:rPr>
          <w:lang w:val="fr-FR" w:eastAsia="ja-JP"/>
        </w:rPr>
        <w:t>document TWC/33/30 “</w:t>
      </w:r>
      <w:r w:rsidR="00D41BD4" w:rsidRPr="004A7F8D">
        <w:rPr>
          <w:i/>
          <w:lang w:val="fr-FR" w:eastAsia="ja-JP"/>
        </w:rPr>
        <w:t>Report</w:t>
      </w:r>
      <w:r w:rsidR="00D41BD4" w:rsidRPr="005F0CAB">
        <w:rPr>
          <w:lang w:val="fr-FR" w:eastAsia="ja-JP"/>
        </w:rPr>
        <w:t>”)</w:t>
      </w:r>
      <w:r w:rsidRPr="005F0CAB">
        <w:rPr>
          <w:snapToGrid w:val="0"/>
          <w:lang w:val="fr-FR"/>
        </w:rPr>
        <w:t>.</w:t>
      </w:r>
    </w:p>
    <w:p w:rsidR="00FA6BED" w:rsidRPr="005F0CAB" w:rsidRDefault="00FA6BED" w:rsidP="00406673">
      <w:pPr>
        <w:rPr>
          <w:lang w:val="fr-FR" w:eastAsia="ja-JP"/>
        </w:rPr>
      </w:pPr>
    </w:p>
    <w:p w:rsidR="00FA6BED" w:rsidRPr="005F0CAB" w:rsidRDefault="00263B47" w:rsidP="00406673">
      <w:pPr>
        <w:rPr>
          <w:lang w:val="fr-FR" w:eastAsia="ja-JP"/>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1600E7" w:rsidRPr="005F0CAB">
        <w:rPr>
          <w:lang w:val="fr-FR" w:eastAsia="ja-JP"/>
        </w:rPr>
        <w:t>Le</w:t>
      </w:r>
      <w:r w:rsidR="00406673" w:rsidRPr="005F0CAB">
        <w:rPr>
          <w:lang w:val="fr-FR" w:eastAsia="ja-JP"/>
        </w:rPr>
        <w:t xml:space="preserve"> TWC </w:t>
      </w:r>
      <w:r w:rsidR="00947145" w:rsidRPr="005F0CAB">
        <w:rPr>
          <w:lang w:val="fr-FR" w:eastAsia="ja-JP"/>
        </w:rPr>
        <w:t>est convenu d</w:t>
      </w:r>
      <w:r w:rsidR="00734BBA" w:rsidRPr="005F0CAB">
        <w:rPr>
          <w:lang w:val="fr-FR" w:eastAsia="ja-JP"/>
        </w:rPr>
        <w:t>’</w:t>
      </w:r>
      <w:r w:rsidR="00947145" w:rsidRPr="005F0CAB">
        <w:rPr>
          <w:lang w:val="fr-FR" w:eastAsia="ja-JP"/>
        </w:rPr>
        <w:t>inviter des experts de la Chine et de la France à participer aux prochaines étapes de l</w:t>
      </w:r>
      <w:r w:rsidR="00734BBA" w:rsidRPr="005F0CAB">
        <w:rPr>
          <w:lang w:val="fr-FR" w:eastAsia="ja-JP"/>
        </w:rPr>
        <w:t>’</w:t>
      </w:r>
      <w:r w:rsidR="00947145" w:rsidRPr="005F0CAB">
        <w:rPr>
          <w:lang w:val="fr-FR" w:eastAsia="ja-JP"/>
        </w:rPr>
        <w:t>exercice p</w:t>
      </w:r>
      <w:r w:rsidR="006A1113" w:rsidRPr="005F0CAB">
        <w:rPr>
          <w:lang w:val="fr-FR" w:eastAsia="ja-JP"/>
        </w:rPr>
        <w:t>ra</w:t>
      </w:r>
      <w:r w:rsidR="00947145" w:rsidRPr="005F0CAB">
        <w:rPr>
          <w:lang w:val="fr-FR" w:eastAsia="ja-JP"/>
        </w:rPr>
        <w:t>tique et à fournir leurs ensembles de données aux fins</w:t>
      </w:r>
      <w:r w:rsidR="00406673" w:rsidRPr="005F0CAB">
        <w:rPr>
          <w:lang w:val="fr-FR" w:eastAsia="ja-JP"/>
        </w:rPr>
        <w:t xml:space="preserve">. </w:t>
      </w:r>
      <w:r w:rsidR="00734BBA" w:rsidRPr="005F0CAB">
        <w:rPr>
          <w:lang w:val="fr-FR" w:eastAsia="ja-JP"/>
        </w:rPr>
        <w:t xml:space="preserve"> Le TWC</w:t>
      </w:r>
      <w:r w:rsidR="00406673" w:rsidRPr="005F0CAB">
        <w:rPr>
          <w:lang w:val="fr-FR" w:eastAsia="ja-JP"/>
        </w:rPr>
        <w:t xml:space="preserve"> </w:t>
      </w:r>
      <w:r w:rsidR="00052544" w:rsidRPr="005F0CAB">
        <w:rPr>
          <w:lang w:val="fr-FR" w:eastAsia="ja-JP"/>
        </w:rPr>
        <w:t>est également convenu d</w:t>
      </w:r>
      <w:r w:rsidR="00734BBA" w:rsidRPr="005F0CAB">
        <w:rPr>
          <w:lang w:val="fr-FR" w:eastAsia="ja-JP"/>
        </w:rPr>
        <w:t>’</w:t>
      </w:r>
      <w:r w:rsidR="00052544" w:rsidRPr="005F0CAB">
        <w:rPr>
          <w:lang w:val="fr-FR" w:eastAsia="ja-JP"/>
        </w:rPr>
        <w:t>inviter</w:t>
      </w:r>
      <w:r w:rsidR="00734BBA" w:rsidRPr="005F0CAB">
        <w:rPr>
          <w:lang w:val="fr-FR" w:eastAsia="ja-JP"/>
        </w:rPr>
        <w:t xml:space="preserve"> le TWA</w:t>
      </w:r>
      <w:r w:rsidR="00052544" w:rsidRPr="005F0CAB">
        <w:rPr>
          <w:lang w:val="fr-FR" w:eastAsia="ja-JP"/>
        </w:rPr>
        <w:t xml:space="preserve"> à fournir de grands ensembles de données provenant de plantes de culture </w:t>
      </w:r>
      <w:r w:rsidR="00D41BD4" w:rsidRPr="005F0CAB">
        <w:rPr>
          <w:lang w:val="fr-FR" w:eastAsia="ja-JP"/>
        </w:rPr>
        <w:t>(</w:t>
      </w:r>
      <w:r w:rsidR="00052544" w:rsidRPr="005F0CAB">
        <w:rPr>
          <w:lang w:val="fr-FR" w:eastAsia="ja-JP"/>
        </w:rPr>
        <w:t>voir le paragraphe</w:t>
      </w:r>
      <w:r w:rsidR="00B834A7" w:rsidRPr="005F0CAB">
        <w:rPr>
          <w:lang w:val="fr-FR" w:eastAsia="ja-JP"/>
        </w:rPr>
        <w:t> </w:t>
      </w:r>
      <w:r w:rsidR="00052544" w:rsidRPr="005F0CAB">
        <w:rPr>
          <w:lang w:val="fr-FR" w:eastAsia="ja-JP"/>
        </w:rPr>
        <w:t xml:space="preserve">27 du </w:t>
      </w:r>
      <w:r w:rsidR="00D41BD4" w:rsidRPr="005F0CAB">
        <w:rPr>
          <w:lang w:val="fr-FR" w:eastAsia="ja-JP"/>
        </w:rPr>
        <w:t>document TWC/33/30 “</w:t>
      </w:r>
      <w:r w:rsidR="00D41BD4" w:rsidRPr="004A7F8D">
        <w:rPr>
          <w:i/>
          <w:lang w:val="fr-FR" w:eastAsia="ja-JP"/>
        </w:rPr>
        <w:t>Report</w:t>
      </w:r>
      <w:r w:rsidR="00D41BD4" w:rsidRPr="005F0CAB">
        <w:rPr>
          <w:lang w:val="fr-FR" w:eastAsia="ja-JP"/>
        </w:rPr>
        <w:t>”)</w:t>
      </w:r>
      <w:r w:rsidR="00406673" w:rsidRPr="005F0CAB">
        <w:rPr>
          <w:lang w:val="fr-FR" w:eastAsia="ja-JP"/>
        </w:rPr>
        <w:t>.</w:t>
      </w:r>
    </w:p>
    <w:p w:rsidR="00FA6BED" w:rsidRPr="005F0CAB" w:rsidRDefault="00FA6BED" w:rsidP="00406673">
      <w:pPr>
        <w:rPr>
          <w:lang w:val="fr-FR" w:eastAsia="ja-JP"/>
        </w:rPr>
      </w:pPr>
    </w:p>
    <w:p w:rsidR="00FA6BED" w:rsidRPr="005F0CAB" w:rsidRDefault="00406673" w:rsidP="00406673">
      <w:pPr>
        <w:rPr>
          <w:lang w:val="fr-FR" w:eastAsia="ja-JP"/>
        </w:rPr>
      </w:pPr>
      <w:r w:rsidRPr="005F0CAB">
        <w:rPr>
          <w:snapToGrid w:val="0"/>
          <w:lang w:val="fr-FR"/>
        </w:rPr>
        <w:fldChar w:fldCharType="begin"/>
      </w:r>
      <w:r w:rsidRPr="005F0CAB">
        <w:rPr>
          <w:snapToGrid w:val="0"/>
          <w:lang w:val="fr-FR"/>
        </w:rPr>
        <w:instrText xml:space="preserve"> AUTONUM  </w:instrText>
      </w:r>
      <w:r w:rsidRPr="005F0CAB">
        <w:rPr>
          <w:snapToGrid w:val="0"/>
          <w:lang w:val="fr-FR"/>
        </w:rPr>
        <w:fldChar w:fldCharType="end"/>
      </w:r>
      <w:r w:rsidRPr="005F0CAB">
        <w:rPr>
          <w:snapToGrid w:val="0"/>
          <w:lang w:val="fr-FR"/>
        </w:rPr>
        <w:tab/>
      </w:r>
      <w:r w:rsidR="002262A9" w:rsidRPr="005F0CAB">
        <w:rPr>
          <w:snapToGrid w:val="0"/>
          <w:lang w:val="fr-FR"/>
        </w:rPr>
        <w:t>Le</w:t>
      </w:r>
      <w:r w:rsidRPr="005F0CAB">
        <w:rPr>
          <w:snapToGrid w:val="0"/>
          <w:lang w:val="fr-FR"/>
        </w:rPr>
        <w:t xml:space="preserve"> </w:t>
      </w:r>
      <w:r w:rsidRPr="005F0CAB">
        <w:rPr>
          <w:snapToGrid w:val="0"/>
          <w:lang w:val="fr-FR" w:eastAsia="ja-JP"/>
        </w:rPr>
        <w:t>TWA,</w:t>
      </w:r>
      <w:r w:rsidR="00734BBA" w:rsidRPr="005F0CAB">
        <w:rPr>
          <w:snapToGrid w:val="0"/>
          <w:lang w:val="fr-FR" w:eastAsia="ja-JP"/>
        </w:rPr>
        <w:t xml:space="preserve"> le TWF</w:t>
      </w:r>
      <w:r w:rsidRPr="005F0CAB">
        <w:rPr>
          <w:snapToGrid w:val="0"/>
          <w:lang w:val="fr-FR" w:eastAsia="ja-JP"/>
        </w:rPr>
        <w:t xml:space="preserve"> </w:t>
      </w:r>
      <w:r w:rsidR="002262A9" w:rsidRPr="005F0CAB">
        <w:rPr>
          <w:snapToGrid w:val="0"/>
          <w:lang w:val="fr-FR" w:eastAsia="ja-JP"/>
        </w:rPr>
        <w:t>et</w:t>
      </w:r>
      <w:r w:rsidR="00734BBA" w:rsidRPr="005F0CAB">
        <w:rPr>
          <w:snapToGrid w:val="0"/>
          <w:lang w:val="fr-FR" w:eastAsia="ja-JP"/>
        </w:rPr>
        <w:t xml:space="preserve"> le TWO</w:t>
      </w:r>
      <w:r w:rsidRPr="005F0CAB">
        <w:rPr>
          <w:snapToGrid w:val="0"/>
          <w:lang w:val="fr-FR"/>
        </w:rPr>
        <w:t xml:space="preserve"> </w:t>
      </w:r>
      <w:r w:rsidR="00176C31" w:rsidRPr="005F0CAB">
        <w:rPr>
          <w:snapToGrid w:val="0"/>
          <w:lang w:val="fr-FR"/>
        </w:rPr>
        <w:t>ont pris note du fait qu</w:t>
      </w:r>
      <w:r w:rsidR="00734BBA" w:rsidRPr="005F0CAB">
        <w:rPr>
          <w:snapToGrid w:val="0"/>
          <w:lang w:val="fr-FR"/>
        </w:rPr>
        <w:t>’</w:t>
      </w:r>
      <w:r w:rsidR="00176C31" w:rsidRPr="005F0CAB">
        <w:rPr>
          <w:snapToGrid w:val="0"/>
          <w:lang w:val="fr-FR"/>
        </w:rPr>
        <w:t>un compte rendu de l</w:t>
      </w:r>
      <w:r w:rsidR="00734BBA" w:rsidRPr="005F0CAB">
        <w:rPr>
          <w:snapToGrid w:val="0"/>
          <w:lang w:val="fr-FR"/>
        </w:rPr>
        <w:t>’</w:t>
      </w:r>
      <w:r w:rsidR="00176C31" w:rsidRPr="005F0CAB">
        <w:rPr>
          <w:snapToGrid w:val="0"/>
          <w:lang w:val="fr-FR"/>
        </w:rPr>
        <w:t>exercice pratique et de l</w:t>
      </w:r>
      <w:r w:rsidR="00734BBA" w:rsidRPr="005F0CAB">
        <w:rPr>
          <w:snapToGrid w:val="0"/>
          <w:lang w:val="fr-FR"/>
        </w:rPr>
        <w:t>’</w:t>
      </w:r>
      <w:r w:rsidR="00176C31" w:rsidRPr="005F0CAB">
        <w:rPr>
          <w:snapToGrid w:val="0"/>
          <w:lang w:val="fr-FR"/>
        </w:rPr>
        <w:t xml:space="preserve">élaboration du module DUST a été présenté à la </w:t>
      </w:r>
      <w:r w:rsidR="006A1113" w:rsidRPr="005F0CAB">
        <w:rPr>
          <w:snapToGrid w:val="0"/>
          <w:lang w:val="fr-FR"/>
        </w:rPr>
        <w:t>trente</w:t>
      </w:r>
      <w:r w:rsidR="001600E7" w:rsidRPr="005F0CAB">
        <w:rPr>
          <w:snapToGrid w:val="0"/>
          <w:lang w:val="fr-FR"/>
        </w:rPr>
        <w:noBreakHyphen/>
      </w:r>
      <w:r w:rsidR="006A1113" w:rsidRPr="005F0CAB">
        <w:rPr>
          <w:snapToGrid w:val="0"/>
          <w:lang w:val="fr-FR"/>
        </w:rPr>
        <w:t>troisième</w:t>
      </w:r>
      <w:r w:rsidR="00B834A7" w:rsidRPr="005F0CAB">
        <w:rPr>
          <w:snapToGrid w:val="0"/>
          <w:lang w:val="fr-FR"/>
        </w:rPr>
        <w:t> </w:t>
      </w:r>
      <w:r w:rsidR="00176C31" w:rsidRPr="005F0CAB">
        <w:rPr>
          <w:snapToGrid w:val="0"/>
          <w:lang w:val="fr-FR"/>
        </w:rPr>
        <w:t>session</w:t>
      </w:r>
      <w:r w:rsidR="00734BBA" w:rsidRPr="005F0CAB">
        <w:rPr>
          <w:snapToGrid w:val="0"/>
          <w:lang w:val="fr-FR"/>
        </w:rPr>
        <w:t xml:space="preserve"> du TWC</w:t>
      </w:r>
      <w:r w:rsidR="00176C31" w:rsidRPr="005F0CAB">
        <w:rPr>
          <w:snapToGrid w:val="0"/>
          <w:lang w:val="fr-FR"/>
        </w:rPr>
        <w:t xml:space="preserve"> par un expert du Royaume</w:t>
      </w:r>
      <w:r w:rsidR="001600E7" w:rsidRPr="005F0CAB">
        <w:rPr>
          <w:snapToGrid w:val="0"/>
          <w:lang w:val="fr-FR"/>
        </w:rPr>
        <w:noBreakHyphen/>
      </w:r>
      <w:r w:rsidR="00176C31" w:rsidRPr="005F0CAB">
        <w:rPr>
          <w:snapToGrid w:val="0"/>
          <w:lang w:val="fr-FR"/>
        </w:rPr>
        <w:t xml:space="preserve">Uni </w:t>
      </w:r>
      <w:r w:rsidRPr="005F0CAB">
        <w:rPr>
          <w:lang w:val="fr-FR" w:eastAsia="ja-JP"/>
        </w:rPr>
        <w:t>(</w:t>
      </w:r>
      <w:r w:rsidR="002262A9" w:rsidRPr="005F0CAB">
        <w:rPr>
          <w:lang w:val="fr-FR" w:eastAsia="ja-JP"/>
        </w:rPr>
        <w:t xml:space="preserve">voir, respectivement, </w:t>
      </w:r>
      <w:r w:rsidR="00BF7AE5" w:rsidRPr="005F0CAB">
        <w:rPr>
          <w:lang w:val="fr-FR" w:eastAsia="ja-JP"/>
        </w:rPr>
        <w:t>le paragraphe</w:t>
      </w:r>
      <w:r w:rsidR="00B834A7" w:rsidRPr="005F0CAB">
        <w:rPr>
          <w:lang w:val="fr-FR" w:eastAsia="ja-JP"/>
        </w:rPr>
        <w:t> </w:t>
      </w:r>
      <w:r w:rsidR="00BF7AE5" w:rsidRPr="005F0CAB">
        <w:rPr>
          <w:lang w:val="fr-FR" w:eastAsia="ja-JP"/>
        </w:rPr>
        <w:t xml:space="preserve">41 du </w:t>
      </w:r>
      <w:r w:rsidRPr="005F0CAB">
        <w:rPr>
          <w:lang w:val="fr-FR" w:eastAsia="ja-JP"/>
        </w:rPr>
        <w:t xml:space="preserve">document TWA/44/23, </w:t>
      </w:r>
      <w:r w:rsidR="00BF7AE5" w:rsidRPr="005F0CAB">
        <w:rPr>
          <w:lang w:val="fr-FR" w:eastAsia="ja-JP"/>
        </w:rPr>
        <w:t xml:space="preserve">le </w:t>
      </w:r>
      <w:r w:rsidRPr="005F0CAB">
        <w:rPr>
          <w:lang w:val="fr-FR" w:eastAsia="ja-JP"/>
        </w:rPr>
        <w:t>paragraph</w:t>
      </w:r>
      <w:r w:rsidR="00BF7AE5" w:rsidRPr="005F0CAB">
        <w:rPr>
          <w:lang w:val="fr-FR" w:eastAsia="ja-JP"/>
        </w:rPr>
        <w:t>e</w:t>
      </w:r>
      <w:r w:rsidR="00B834A7" w:rsidRPr="005F0CAB">
        <w:rPr>
          <w:lang w:val="fr-FR" w:eastAsia="ja-JP"/>
        </w:rPr>
        <w:t> </w:t>
      </w:r>
      <w:r w:rsidRPr="005F0CAB">
        <w:rPr>
          <w:lang w:val="fr-FR" w:eastAsia="ja-JP"/>
        </w:rPr>
        <w:t>4</w:t>
      </w:r>
      <w:r w:rsidR="00BF7AE5" w:rsidRPr="005F0CAB">
        <w:rPr>
          <w:lang w:val="fr-FR" w:eastAsia="ja-JP"/>
        </w:rPr>
        <w:t xml:space="preserve">4 du document </w:t>
      </w:r>
      <w:r w:rsidRPr="005F0CAB">
        <w:rPr>
          <w:lang w:val="fr-FR" w:eastAsia="ja-JP"/>
        </w:rPr>
        <w:t>TWF/46/29</w:t>
      </w:r>
      <w:r w:rsidR="00BF7AE5" w:rsidRPr="005F0CAB">
        <w:rPr>
          <w:lang w:val="fr-FR" w:eastAsia="ja-JP"/>
        </w:rPr>
        <w:t xml:space="preserve"> et le </w:t>
      </w:r>
      <w:r w:rsidRPr="005F0CAB">
        <w:rPr>
          <w:lang w:val="fr-FR" w:eastAsia="ja-JP"/>
        </w:rPr>
        <w:t>paragraph</w:t>
      </w:r>
      <w:r w:rsidR="00BF7AE5" w:rsidRPr="005F0CAB">
        <w:rPr>
          <w:lang w:val="fr-FR" w:eastAsia="ja-JP"/>
        </w:rPr>
        <w:t>e</w:t>
      </w:r>
      <w:r w:rsidR="00B834A7" w:rsidRPr="005F0CAB">
        <w:rPr>
          <w:lang w:val="fr-FR" w:eastAsia="ja-JP"/>
        </w:rPr>
        <w:t> </w:t>
      </w:r>
      <w:r w:rsidR="00BF7AE5" w:rsidRPr="005F0CAB">
        <w:rPr>
          <w:lang w:val="fr-FR" w:eastAsia="ja-JP"/>
        </w:rPr>
        <w:t>37 du document</w:t>
      </w:r>
      <w:r w:rsidRPr="005F0CAB">
        <w:rPr>
          <w:lang w:val="fr-FR" w:eastAsia="ja-JP"/>
        </w:rPr>
        <w:t xml:space="preserve"> TWO/48/26)</w:t>
      </w:r>
      <w:r w:rsidRPr="005F0CAB">
        <w:rPr>
          <w:lang w:val="fr-FR"/>
        </w:rPr>
        <w:t>.</w:t>
      </w:r>
    </w:p>
    <w:p w:rsidR="00FA6BED" w:rsidRPr="005F0CAB" w:rsidRDefault="00FA6BED" w:rsidP="00BE4B61">
      <w:pPr>
        <w:keepNext/>
        <w:keepLines/>
        <w:rPr>
          <w:lang w:val="fr-FR" w:eastAsia="ja-JP"/>
        </w:rPr>
      </w:pPr>
    </w:p>
    <w:p w:rsidR="00FA6BED" w:rsidRPr="005F0CAB" w:rsidRDefault="00BE4B61" w:rsidP="00E83FB9">
      <w:pPr>
        <w:pStyle w:val="DecisionParagraphs"/>
        <w:tabs>
          <w:tab w:val="left" w:pos="5400"/>
        </w:tabs>
        <w:ind w:left="4820"/>
        <w:rPr>
          <w:iCs/>
          <w:spacing w:val="-4"/>
          <w:sz w:val="20"/>
          <w:lang w:val="fr-FR" w:eastAsia="ja-JP"/>
        </w:rPr>
      </w:pPr>
      <w:r w:rsidRPr="005F0CAB">
        <w:rPr>
          <w:sz w:val="20"/>
          <w:lang w:val="fr-FR"/>
        </w:rPr>
        <w:fldChar w:fldCharType="begin"/>
      </w:r>
      <w:r w:rsidRPr="005F0CAB">
        <w:rPr>
          <w:sz w:val="20"/>
          <w:lang w:val="fr-FR"/>
        </w:rPr>
        <w:instrText xml:space="preserve"> AUTONUM  </w:instrText>
      </w:r>
      <w:r w:rsidRPr="005F0CAB">
        <w:rPr>
          <w:sz w:val="20"/>
          <w:lang w:val="fr-FR"/>
        </w:rPr>
        <w:fldChar w:fldCharType="end"/>
      </w:r>
      <w:r w:rsidRPr="005F0CAB">
        <w:rPr>
          <w:sz w:val="20"/>
          <w:lang w:val="fr-FR"/>
        </w:rPr>
        <w:tab/>
      </w:r>
      <w:r w:rsidR="00E83FB9" w:rsidRPr="005F0CAB">
        <w:rPr>
          <w:sz w:val="20"/>
          <w:lang w:val="fr-FR"/>
        </w:rPr>
        <w:t>Le</w:t>
      </w:r>
      <w:r w:rsidR="00734BBA" w:rsidRPr="005F0CAB">
        <w:rPr>
          <w:sz w:val="20"/>
          <w:lang w:val="fr-FR"/>
        </w:rPr>
        <w:t> TC</w:t>
      </w:r>
      <w:r w:rsidR="00E83FB9" w:rsidRPr="005F0CAB">
        <w:rPr>
          <w:sz w:val="20"/>
          <w:lang w:val="fr-FR"/>
        </w:rPr>
        <w:t xml:space="preserve"> est invité à prendre note </w:t>
      </w:r>
      <w:r w:rsidR="00C8326D" w:rsidRPr="005F0CAB">
        <w:rPr>
          <w:sz w:val="20"/>
          <w:lang w:val="fr-FR"/>
        </w:rPr>
        <w:t>du fait</w:t>
      </w:r>
      <w:r w:rsidR="00284303">
        <w:rPr>
          <w:sz w:val="20"/>
          <w:lang w:val="fr-FR"/>
        </w:rPr>
        <w:t xml:space="preserve"> que</w:t>
      </w:r>
    </w:p>
    <w:p w:rsidR="00FA6BED" w:rsidRPr="005F0CAB" w:rsidRDefault="00FA6BED" w:rsidP="00AC4CF1">
      <w:pPr>
        <w:pStyle w:val="DecisionParagraphs"/>
        <w:tabs>
          <w:tab w:val="left" w:pos="5400"/>
        </w:tabs>
        <w:ind w:left="4820"/>
        <w:rPr>
          <w:iCs/>
          <w:spacing w:val="-4"/>
          <w:sz w:val="20"/>
          <w:lang w:val="fr-FR" w:eastAsia="ja-JP"/>
        </w:rPr>
      </w:pPr>
    </w:p>
    <w:p w:rsidR="00FA6BED" w:rsidRPr="005F0CAB" w:rsidRDefault="00A83496" w:rsidP="00AC4CF1">
      <w:pPr>
        <w:pStyle w:val="DecisionParagraphs"/>
        <w:tabs>
          <w:tab w:val="left" w:pos="5400"/>
          <w:tab w:val="left" w:pos="5954"/>
        </w:tabs>
        <w:ind w:left="4820" w:firstLine="567"/>
        <w:rPr>
          <w:iCs/>
          <w:spacing w:val="-4"/>
          <w:sz w:val="20"/>
          <w:lang w:val="fr-FR" w:eastAsia="ja-JP"/>
        </w:rPr>
      </w:pPr>
      <w:r w:rsidRPr="005F0CAB">
        <w:rPr>
          <w:iCs/>
          <w:spacing w:val="-4"/>
          <w:sz w:val="20"/>
          <w:lang w:val="fr-FR" w:eastAsia="ja-JP"/>
        </w:rPr>
        <w:t>a)</w:t>
      </w:r>
      <w:r w:rsidRPr="005F0CAB">
        <w:rPr>
          <w:iCs/>
          <w:spacing w:val="-4"/>
          <w:sz w:val="20"/>
          <w:lang w:val="fr-FR" w:eastAsia="ja-JP"/>
        </w:rPr>
        <w:tab/>
      </w:r>
      <w:r w:rsidR="006110EF" w:rsidRPr="005F0CAB">
        <w:rPr>
          <w:iCs/>
          <w:spacing w:val="-4"/>
          <w:sz w:val="20"/>
          <w:lang w:val="fr-FR" w:eastAsia="ja-JP"/>
        </w:rPr>
        <w:t>des experts d</w:t>
      </w:r>
      <w:r w:rsidR="00734BBA" w:rsidRPr="005F0CAB">
        <w:rPr>
          <w:iCs/>
          <w:spacing w:val="-4"/>
          <w:sz w:val="20"/>
          <w:lang w:val="fr-FR" w:eastAsia="ja-JP"/>
        </w:rPr>
        <w:t>’</w:t>
      </w:r>
      <w:r w:rsidR="006110EF" w:rsidRPr="005F0CAB">
        <w:rPr>
          <w:iCs/>
          <w:spacing w:val="-4"/>
          <w:sz w:val="20"/>
          <w:lang w:val="fr-FR" w:eastAsia="ja-JP"/>
        </w:rPr>
        <w:t>Allemagne, de Finlande, de France, du Kenya et du Royaume</w:t>
      </w:r>
      <w:r w:rsidR="001600E7" w:rsidRPr="005F0CAB">
        <w:rPr>
          <w:iCs/>
          <w:spacing w:val="-4"/>
          <w:sz w:val="20"/>
          <w:lang w:val="fr-FR" w:eastAsia="ja-JP"/>
        </w:rPr>
        <w:noBreakHyphen/>
      </w:r>
      <w:r w:rsidR="006110EF" w:rsidRPr="005F0CAB">
        <w:rPr>
          <w:iCs/>
          <w:spacing w:val="-4"/>
          <w:sz w:val="20"/>
          <w:lang w:val="fr-FR" w:eastAsia="ja-JP"/>
        </w:rPr>
        <w:t>Uni ont participé à l</w:t>
      </w:r>
      <w:r w:rsidR="00734BBA" w:rsidRPr="005F0CAB">
        <w:rPr>
          <w:iCs/>
          <w:spacing w:val="-4"/>
          <w:sz w:val="20"/>
          <w:lang w:val="fr-FR" w:eastAsia="ja-JP"/>
        </w:rPr>
        <w:t>’</w:t>
      </w:r>
      <w:r w:rsidR="006110EF" w:rsidRPr="005F0CAB">
        <w:rPr>
          <w:iCs/>
          <w:spacing w:val="-4"/>
          <w:sz w:val="20"/>
          <w:lang w:val="fr-FR" w:eastAsia="ja-JP"/>
        </w:rPr>
        <w:t>exercice visant à évaluer le module logiciel concernant la nouvelle méthode de calcul de</w:t>
      </w:r>
      <w:r w:rsidR="00734BBA" w:rsidRPr="005F0CAB">
        <w:rPr>
          <w:iCs/>
          <w:spacing w:val="-4"/>
          <w:sz w:val="20"/>
          <w:lang w:val="fr-FR" w:eastAsia="ja-JP"/>
        </w:rPr>
        <w:t xml:space="preserve"> la COY</w:t>
      </w:r>
      <w:r w:rsidR="006110EF" w:rsidRPr="005F0CAB">
        <w:rPr>
          <w:iCs/>
          <w:spacing w:val="-4"/>
          <w:sz w:val="20"/>
          <w:lang w:val="fr-FR" w:eastAsia="ja-JP"/>
        </w:rPr>
        <w:t>U,</w:t>
      </w:r>
    </w:p>
    <w:p w:rsidR="00FA6BED" w:rsidRPr="005F0CAB" w:rsidRDefault="00FA6BED" w:rsidP="00AC4CF1">
      <w:pPr>
        <w:pStyle w:val="DecisionParagraphs"/>
        <w:tabs>
          <w:tab w:val="left" w:pos="5400"/>
          <w:tab w:val="left" w:pos="5954"/>
        </w:tabs>
        <w:ind w:left="4820" w:firstLine="567"/>
        <w:rPr>
          <w:iCs/>
          <w:spacing w:val="-4"/>
          <w:sz w:val="20"/>
          <w:lang w:val="fr-FR" w:eastAsia="ja-JP"/>
        </w:rPr>
      </w:pPr>
    </w:p>
    <w:p w:rsidR="00FA6BED" w:rsidRPr="005F0CAB" w:rsidRDefault="00DF6F05" w:rsidP="00AC4CF1">
      <w:pPr>
        <w:pStyle w:val="DecisionParagraphs"/>
        <w:tabs>
          <w:tab w:val="left" w:pos="5400"/>
          <w:tab w:val="left" w:pos="5954"/>
        </w:tabs>
        <w:ind w:left="4820" w:firstLine="567"/>
        <w:rPr>
          <w:iCs/>
          <w:spacing w:val="-4"/>
          <w:sz w:val="20"/>
          <w:lang w:val="fr-FR" w:eastAsia="ja-JP"/>
        </w:rPr>
      </w:pPr>
      <w:r w:rsidRPr="005F0CAB">
        <w:rPr>
          <w:iCs/>
          <w:spacing w:val="-4"/>
          <w:sz w:val="20"/>
          <w:lang w:val="fr-FR" w:eastAsia="ja-JP"/>
        </w:rPr>
        <w:lastRenderedPageBreak/>
        <w:t>b)</w:t>
      </w:r>
      <w:r w:rsidRPr="005F0CAB">
        <w:rPr>
          <w:iCs/>
          <w:spacing w:val="-4"/>
          <w:sz w:val="20"/>
          <w:lang w:val="fr-FR" w:eastAsia="ja-JP"/>
        </w:rPr>
        <w:tab/>
      </w:r>
      <w:r w:rsidR="00734BBA" w:rsidRPr="005F0CAB">
        <w:rPr>
          <w:iCs/>
          <w:spacing w:val="-4"/>
          <w:sz w:val="20"/>
          <w:lang w:val="fr-FR" w:eastAsia="ja-JP"/>
        </w:rPr>
        <w:t>le TWC</w:t>
      </w:r>
      <w:r w:rsidR="00743A20" w:rsidRPr="005F0CAB">
        <w:rPr>
          <w:iCs/>
          <w:spacing w:val="-4"/>
          <w:sz w:val="20"/>
          <w:lang w:val="fr-FR" w:eastAsia="ja-JP"/>
        </w:rPr>
        <w:t xml:space="preserve"> est convenu que la nouvelle méthode de calcul de</w:t>
      </w:r>
      <w:r w:rsidR="00734BBA" w:rsidRPr="005F0CAB">
        <w:rPr>
          <w:iCs/>
          <w:spacing w:val="-4"/>
          <w:sz w:val="20"/>
          <w:lang w:val="fr-FR" w:eastAsia="ja-JP"/>
        </w:rPr>
        <w:t xml:space="preserve"> la COY</w:t>
      </w:r>
      <w:r w:rsidR="00743A20" w:rsidRPr="005F0CAB">
        <w:rPr>
          <w:iCs/>
          <w:spacing w:val="-4"/>
          <w:sz w:val="20"/>
          <w:lang w:val="fr-FR" w:eastAsia="ja-JP"/>
        </w:rPr>
        <w:t>U fonctionnait bien dans la pratique et est convenu de demander à l</w:t>
      </w:r>
      <w:r w:rsidR="00734BBA" w:rsidRPr="005F0CAB">
        <w:rPr>
          <w:iCs/>
          <w:spacing w:val="-4"/>
          <w:sz w:val="20"/>
          <w:lang w:val="fr-FR" w:eastAsia="ja-JP"/>
        </w:rPr>
        <w:t>’</w:t>
      </w:r>
      <w:r w:rsidR="00743A20" w:rsidRPr="005F0CAB">
        <w:rPr>
          <w:iCs/>
          <w:spacing w:val="-4"/>
          <w:sz w:val="20"/>
          <w:lang w:val="fr-FR" w:eastAsia="ja-JP"/>
        </w:rPr>
        <w:t>expert du Royaume</w:t>
      </w:r>
      <w:r w:rsidR="001600E7" w:rsidRPr="005F0CAB">
        <w:rPr>
          <w:iCs/>
          <w:spacing w:val="-4"/>
          <w:sz w:val="20"/>
          <w:lang w:val="fr-FR" w:eastAsia="ja-JP"/>
        </w:rPr>
        <w:noBreakHyphen/>
      </w:r>
      <w:r w:rsidR="00743A20" w:rsidRPr="005F0CAB">
        <w:rPr>
          <w:iCs/>
          <w:spacing w:val="-4"/>
          <w:sz w:val="20"/>
          <w:lang w:val="fr-FR" w:eastAsia="ja-JP"/>
        </w:rPr>
        <w:t>Uni de fournir des conseils concernant l</w:t>
      </w:r>
      <w:r w:rsidR="00734BBA" w:rsidRPr="005F0CAB">
        <w:rPr>
          <w:iCs/>
          <w:spacing w:val="-4"/>
          <w:sz w:val="20"/>
          <w:lang w:val="fr-FR" w:eastAsia="ja-JP"/>
        </w:rPr>
        <w:t>’</w:t>
      </w:r>
      <w:r w:rsidR="00743A20" w:rsidRPr="005F0CAB">
        <w:rPr>
          <w:iCs/>
          <w:spacing w:val="-4"/>
          <w:sz w:val="20"/>
          <w:lang w:val="fr-FR" w:eastAsia="ja-JP"/>
        </w:rPr>
        <w:t>extrapolation lorsqu</w:t>
      </w:r>
      <w:r w:rsidR="00734BBA" w:rsidRPr="005F0CAB">
        <w:rPr>
          <w:iCs/>
          <w:spacing w:val="-4"/>
          <w:sz w:val="20"/>
          <w:lang w:val="fr-FR" w:eastAsia="ja-JP"/>
        </w:rPr>
        <w:t>’</w:t>
      </w:r>
      <w:r w:rsidR="00743A20" w:rsidRPr="005F0CAB">
        <w:rPr>
          <w:iCs/>
          <w:spacing w:val="-4"/>
          <w:sz w:val="20"/>
          <w:lang w:val="fr-FR" w:eastAsia="ja-JP"/>
        </w:rPr>
        <w:t>une variété candidate présente un niveau d</w:t>
      </w:r>
      <w:r w:rsidR="00734BBA" w:rsidRPr="005F0CAB">
        <w:rPr>
          <w:iCs/>
          <w:spacing w:val="-4"/>
          <w:sz w:val="20"/>
          <w:lang w:val="fr-FR" w:eastAsia="ja-JP"/>
        </w:rPr>
        <w:t>’</w:t>
      </w:r>
      <w:r w:rsidR="00743A20" w:rsidRPr="005F0CAB">
        <w:rPr>
          <w:iCs/>
          <w:spacing w:val="-4"/>
          <w:sz w:val="20"/>
          <w:lang w:val="fr-FR" w:eastAsia="ja-JP"/>
        </w:rPr>
        <w:t>expression en dehors de celui observé pour les variétés de référence,</w:t>
      </w:r>
    </w:p>
    <w:p w:rsidR="00FA6BED" w:rsidRPr="005F0CAB" w:rsidRDefault="00FA6BED" w:rsidP="00AC4CF1">
      <w:pPr>
        <w:pStyle w:val="DecisionParagraphs"/>
        <w:tabs>
          <w:tab w:val="left" w:pos="5400"/>
          <w:tab w:val="left" w:pos="5954"/>
        </w:tabs>
        <w:ind w:left="4820" w:firstLine="567"/>
        <w:rPr>
          <w:iCs/>
          <w:spacing w:val="-4"/>
          <w:sz w:val="20"/>
          <w:lang w:val="fr-FR" w:eastAsia="ja-JP"/>
        </w:rPr>
      </w:pPr>
    </w:p>
    <w:p w:rsidR="00FA6BED" w:rsidRPr="005F0CAB" w:rsidRDefault="000F6871" w:rsidP="00AC4CF1">
      <w:pPr>
        <w:pStyle w:val="DecisionParagraphs"/>
        <w:tabs>
          <w:tab w:val="left" w:pos="5400"/>
          <w:tab w:val="left" w:pos="5954"/>
        </w:tabs>
        <w:ind w:left="4820" w:firstLine="567"/>
        <w:rPr>
          <w:iCs/>
          <w:spacing w:val="-4"/>
          <w:sz w:val="20"/>
          <w:lang w:val="fr-FR" w:eastAsia="ja-JP"/>
        </w:rPr>
      </w:pPr>
      <w:r w:rsidRPr="005F0CAB">
        <w:rPr>
          <w:iCs/>
          <w:spacing w:val="-4"/>
          <w:sz w:val="20"/>
          <w:lang w:val="fr-FR" w:eastAsia="ja-JP"/>
        </w:rPr>
        <w:t>c)</w:t>
      </w:r>
      <w:r w:rsidRPr="005F0CAB">
        <w:rPr>
          <w:iCs/>
          <w:spacing w:val="-4"/>
          <w:sz w:val="20"/>
          <w:lang w:val="fr-FR" w:eastAsia="ja-JP"/>
        </w:rPr>
        <w:tab/>
      </w:r>
      <w:r w:rsidR="00734BBA" w:rsidRPr="005F0CAB">
        <w:rPr>
          <w:iCs/>
          <w:spacing w:val="-4"/>
          <w:sz w:val="20"/>
          <w:lang w:val="fr-FR" w:eastAsia="ja-JP"/>
        </w:rPr>
        <w:t>le TWC</w:t>
      </w:r>
      <w:r w:rsidR="00A922B7" w:rsidRPr="005F0CAB">
        <w:rPr>
          <w:iCs/>
          <w:spacing w:val="-4"/>
          <w:sz w:val="20"/>
          <w:lang w:val="fr-FR" w:eastAsia="ja-JP"/>
        </w:rPr>
        <w:t xml:space="preserve"> a pris note de la nécessité d</w:t>
      </w:r>
      <w:r w:rsidR="00734BBA" w:rsidRPr="005F0CAB">
        <w:rPr>
          <w:iCs/>
          <w:spacing w:val="-4"/>
          <w:sz w:val="20"/>
          <w:lang w:val="fr-FR" w:eastAsia="ja-JP"/>
        </w:rPr>
        <w:t>’</w:t>
      </w:r>
      <w:r w:rsidR="00A922B7" w:rsidRPr="005F0CAB">
        <w:rPr>
          <w:iCs/>
          <w:spacing w:val="-4"/>
          <w:sz w:val="20"/>
          <w:lang w:val="fr-FR" w:eastAsia="ja-JP"/>
        </w:rPr>
        <w:t>évaluer des ensembles de données plus étendus afin de définir des seuils de probabilité pour la nouvelle méthode.  Les ensembles de données en questions devraient comprendre 100 variétés candidates au minimum, les données pour ces 100 variétés couvrant si possible plusieurs années</w:t>
      </w:r>
      <w:r w:rsidR="00734BBA" w:rsidRPr="005F0CAB">
        <w:rPr>
          <w:iCs/>
          <w:spacing w:val="-4"/>
          <w:sz w:val="20"/>
          <w:lang w:val="fr-FR" w:eastAsia="ja-JP"/>
        </w:rPr>
        <w:t>,</w:t>
      </w:r>
    </w:p>
    <w:p w:rsidR="00FA6BED" w:rsidRPr="005F0CAB" w:rsidRDefault="00FA6BED" w:rsidP="00AC4CF1">
      <w:pPr>
        <w:pStyle w:val="DecisionParagraphs"/>
        <w:tabs>
          <w:tab w:val="left" w:pos="5400"/>
          <w:tab w:val="left" w:pos="5954"/>
        </w:tabs>
        <w:ind w:left="4820" w:firstLine="567"/>
        <w:rPr>
          <w:iCs/>
          <w:spacing w:val="-4"/>
          <w:sz w:val="20"/>
          <w:lang w:val="fr-FR" w:eastAsia="ja-JP"/>
        </w:rPr>
      </w:pPr>
    </w:p>
    <w:p w:rsidR="00FA6BED" w:rsidRPr="005F0CAB" w:rsidRDefault="00D41BD4" w:rsidP="00AC4CF1">
      <w:pPr>
        <w:pStyle w:val="DecisionParagraphs"/>
        <w:tabs>
          <w:tab w:val="left" w:pos="5400"/>
          <w:tab w:val="left" w:pos="5954"/>
        </w:tabs>
        <w:ind w:left="4820" w:firstLine="567"/>
        <w:rPr>
          <w:iCs/>
          <w:spacing w:val="-4"/>
          <w:sz w:val="20"/>
          <w:lang w:val="fr-FR" w:eastAsia="ja-JP"/>
        </w:rPr>
      </w:pPr>
      <w:r w:rsidRPr="005F0CAB">
        <w:rPr>
          <w:iCs/>
          <w:spacing w:val="-4"/>
          <w:sz w:val="20"/>
          <w:lang w:val="fr-FR" w:eastAsia="ja-JP"/>
        </w:rPr>
        <w:t>d</w:t>
      </w:r>
      <w:r w:rsidR="00263B47" w:rsidRPr="005F0CAB">
        <w:rPr>
          <w:iCs/>
          <w:spacing w:val="-4"/>
          <w:sz w:val="20"/>
          <w:lang w:val="fr-FR" w:eastAsia="ja-JP"/>
        </w:rPr>
        <w:t>)</w:t>
      </w:r>
      <w:r w:rsidR="00263B47" w:rsidRPr="005F0CAB">
        <w:rPr>
          <w:iCs/>
          <w:spacing w:val="-4"/>
          <w:sz w:val="20"/>
          <w:lang w:val="fr-FR" w:eastAsia="ja-JP"/>
        </w:rPr>
        <w:tab/>
      </w:r>
      <w:r w:rsidR="00734BBA" w:rsidRPr="005F0CAB">
        <w:rPr>
          <w:iCs/>
          <w:spacing w:val="-4"/>
          <w:sz w:val="20"/>
          <w:lang w:val="fr-FR" w:eastAsia="ja-JP"/>
        </w:rPr>
        <w:t>le TWC</w:t>
      </w:r>
      <w:r w:rsidR="00A922B7" w:rsidRPr="005F0CAB">
        <w:rPr>
          <w:iCs/>
          <w:spacing w:val="-4"/>
          <w:sz w:val="20"/>
          <w:lang w:val="fr-FR" w:eastAsia="ja-JP"/>
        </w:rPr>
        <w:t xml:space="preserve"> est convenu d</w:t>
      </w:r>
      <w:r w:rsidR="00734BBA" w:rsidRPr="005F0CAB">
        <w:rPr>
          <w:iCs/>
          <w:spacing w:val="-4"/>
          <w:sz w:val="20"/>
          <w:lang w:val="fr-FR" w:eastAsia="ja-JP"/>
        </w:rPr>
        <w:t>’</w:t>
      </w:r>
      <w:r w:rsidR="00A922B7" w:rsidRPr="005F0CAB">
        <w:rPr>
          <w:iCs/>
          <w:spacing w:val="-4"/>
          <w:sz w:val="20"/>
          <w:lang w:val="fr-FR" w:eastAsia="ja-JP"/>
        </w:rPr>
        <w:t>inviter des experts de la Chine et de la France à participer aux prochaines étapes de l</w:t>
      </w:r>
      <w:r w:rsidR="00734BBA" w:rsidRPr="005F0CAB">
        <w:rPr>
          <w:iCs/>
          <w:spacing w:val="-4"/>
          <w:sz w:val="20"/>
          <w:lang w:val="fr-FR" w:eastAsia="ja-JP"/>
        </w:rPr>
        <w:t>’</w:t>
      </w:r>
      <w:r w:rsidR="00A922B7" w:rsidRPr="005F0CAB">
        <w:rPr>
          <w:iCs/>
          <w:spacing w:val="-4"/>
          <w:sz w:val="20"/>
          <w:lang w:val="fr-FR" w:eastAsia="ja-JP"/>
        </w:rPr>
        <w:t>exercice p</w:t>
      </w:r>
      <w:r w:rsidR="006A1113" w:rsidRPr="005F0CAB">
        <w:rPr>
          <w:iCs/>
          <w:spacing w:val="-4"/>
          <w:sz w:val="20"/>
          <w:lang w:val="fr-FR" w:eastAsia="ja-JP"/>
        </w:rPr>
        <w:t>ra</w:t>
      </w:r>
      <w:r w:rsidR="00A922B7" w:rsidRPr="005F0CAB">
        <w:rPr>
          <w:iCs/>
          <w:spacing w:val="-4"/>
          <w:sz w:val="20"/>
          <w:lang w:val="fr-FR" w:eastAsia="ja-JP"/>
        </w:rPr>
        <w:t>tique et à fournir leurs ensembles de données aux fins d</w:t>
      </w:r>
      <w:r w:rsidR="00734BBA" w:rsidRPr="005F0CAB">
        <w:rPr>
          <w:iCs/>
          <w:spacing w:val="-4"/>
          <w:sz w:val="20"/>
          <w:lang w:val="fr-FR" w:eastAsia="ja-JP"/>
        </w:rPr>
        <w:t>’</w:t>
      </w:r>
      <w:r w:rsidR="00A922B7" w:rsidRPr="005F0CAB">
        <w:rPr>
          <w:iCs/>
          <w:spacing w:val="-4"/>
          <w:sz w:val="20"/>
          <w:lang w:val="fr-FR" w:eastAsia="ja-JP"/>
        </w:rPr>
        <w:t>évaluation</w:t>
      </w:r>
      <w:r w:rsidR="00B25C0E" w:rsidRPr="005F0CAB">
        <w:rPr>
          <w:iCs/>
          <w:spacing w:val="-4"/>
          <w:sz w:val="20"/>
          <w:lang w:val="fr-FR" w:eastAsia="ja-JP"/>
        </w:rPr>
        <w:t>,</w:t>
      </w:r>
      <w:r w:rsidR="00A30864" w:rsidRPr="005F0CAB">
        <w:rPr>
          <w:iCs/>
          <w:spacing w:val="-4"/>
          <w:sz w:val="20"/>
          <w:lang w:val="fr-FR" w:eastAsia="ja-JP"/>
        </w:rPr>
        <w:t xml:space="preserve"> </w:t>
      </w:r>
      <w:r w:rsidR="00B25C0E" w:rsidRPr="005F0CAB">
        <w:rPr>
          <w:iCs/>
          <w:spacing w:val="-4"/>
          <w:sz w:val="20"/>
          <w:lang w:val="fr-FR" w:eastAsia="ja-JP"/>
        </w:rPr>
        <w:t>et</w:t>
      </w:r>
    </w:p>
    <w:p w:rsidR="00FA6BED" w:rsidRPr="005F0CAB" w:rsidRDefault="00FA6BED" w:rsidP="00AC4CF1">
      <w:pPr>
        <w:pStyle w:val="DecisionParagraphs"/>
        <w:tabs>
          <w:tab w:val="left" w:pos="5400"/>
          <w:tab w:val="left" w:pos="5954"/>
        </w:tabs>
        <w:ind w:left="4820" w:firstLine="567"/>
        <w:rPr>
          <w:iCs/>
          <w:spacing w:val="-4"/>
          <w:sz w:val="20"/>
          <w:lang w:val="fr-FR" w:eastAsia="ja-JP"/>
        </w:rPr>
      </w:pPr>
    </w:p>
    <w:p w:rsidR="00FA6BED" w:rsidRPr="005F0CAB" w:rsidRDefault="00D41BD4" w:rsidP="00AC4CF1">
      <w:pPr>
        <w:pStyle w:val="DecisionParagraphs"/>
        <w:tabs>
          <w:tab w:val="left" w:pos="5400"/>
          <w:tab w:val="left" w:pos="5954"/>
        </w:tabs>
        <w:spacing w:after="120"/>
        <w:ind w:left="4820" w:firstLine="567"/>
        <w:rPr>
          <w:iCs/>
          <w:spacing w:val="-4"/>
          <w:sz w:val="20"/>
          <w:lang w:val="fr-FR" w:eastAsia="ja-JP"/>
        </w:rPr>
      </w:pPr>
      <w:r w:rsidRPr="005F0CAB">
        <w:rPr>
          <w:iCs/>
          <w:spacing w:val="-4"/>
          <w:sz w:val="20"/>
          <w:lang w:val="fr-FR" w:eastAsia="ja-JP"/>
        </w:rPr>
        <w:t>e</w:t>
      </w:r>
      <w:r w:rsidR="00263B47" w:rsidRPr="005F0CAB">
        <w:rPr>
          <w:iCs/>
          <w:spacing w:val="-4"/>
          <w:sz w:val="20"/>
          <w:lang w:val="fr-FR" w:eastAsia="ja-JP"/>
        </w:rPr>
        <w:t>)</w:t>
      </w:r>
      <w:r w:rsidR="00263B47" w:rsidRPr="005F0CAB">
        <w:rPr>
          <w:iCs/>
          <w:spacing w:val="-4"/>
          <w:sz w:val="20"/>
          <w:lang w:val="fr-FR" w:eastAsia="ja-JP"/>
        </w:rPr>
        <w:tab/>
      </w:r>
      <w:r w:rsidR="00734BBA" w:rsidRPr="005F0CAB">
        <w:rPr>
          <w:iCs/>
          <w:spacing w:val="-4"/>
          <w:sz w:val="20"/>
          <w:lang w:val="fr-FR" w:eastAsia="ja-JP"/>
        </w:rPr>
        <w:t>le TWC</w:t>
      </w:r>
      <w:r w:rsidR="00A922B7" w:rsidRPr="005F0CAB">
        <w:rPr>
          <w:iCs/>
          <w:spacing w:val="-4"/>
          <w:sz w:val="20"/>
          <w:lang w:val="fr-FR" w:eastAsia="ja-JP"/>
        </w:rPr>
        <w:t xml:space="preserve"> a proposé d</w:t>
      </w:r>
      <w:r w:rsidR="00734BBA" w:rsidRPr="005F0CAB">
        <w:rPr>
          <w:iCs/>
          <w:spacing w:val="-4"/>
          <w:sz w:val="20"/>
          <w:lang w:val="fr-FR" w:eastAsia="ja-JP"/>
        </w:rPr>
        <w:t>’</w:t>
      </w:r>
      <w:r w:rsidR="00A922B7" w:rsidRPr="005F0CAB">
        <w:rPr>
          <w:iCs/>
          <w:spacing w:val="-4"/>
          <w:sz w:val="20"/>
          <w:lang w:val="fr-FR" w:eastAsia="ja-JP"/>
        </w:rPr>
        <w:t>inviter TWA à fournir de grands ensembles de données provenant de plantes de culture afin de déterminer des seuils de probabilité appropriés pour la nouvelle méthode de calcul de</w:t>
      </w:r>
      <w:r w:rsidR="00734BBA" w:rsidRPr="005F0CAB">
        <w:rPr>
          <w:iCs/>
          <w:spacing w:val="-4"/>
          <w:sz w:val="20"/>
          <w:lang w:val="fr-FR" w:eastAsia="ja-JP"/>
        </w:rPr>
        <w:t xml:space="preserve"> la COY</w:t>
      </w:r>
      <w:r w:rsidR="00A922B7" w:rsidRPr="005F0CAB">
        <w:rPr>
          <w:iCs/>
          <w:spacing w:val="-4"/>
          <w:sz w:val="20"/>
          <w:lang w:val="fr-FR" w:eastAsia="ja-JP"/>
        </w:rPr>
        <w:t>U</w:t>
      </w:r>
      <w:r w:rsidR="00A30864" w:rsidRPr="005F0CAB">
        <w:rPr>
          <w:iCs/>
          <w:spacing w:val="-4"/>
          <w:sz w:val="20"/>
          <w:lang w:val="fr-FR" w:eastAsia="ja-JP"/>
        </w:rPr>
        <w:t>.</w:t>
      </w:r>
    </w:p>
    <w:p w:rsidR="00734BBA" w:rsidRPr="005F0CAB" w:rsidRDefault="00734BBA" w:rsidP="00AC4CF1">
      <w:pPr>
        <w:pStyle w:val="DecisionParagraphs"/>
        <w:tabs>
          <w:tab w:val="left" w:pos="5400"/>
          <w:tab w:val="left" w:pos="5954"/>
        </w:tabs>
        <w:spacing w:after="120"/>
        <w:ind w:left="4820" w:firstLine="567"/>
        <w:rPr>
          <w:iCs/>
          <w:spacing w:val="-4"/>
          <w:sz w:val="20"/>
          <w:lang w:val="fr-FR" w:eastAsia="ja-JP"/>
        </w:rPr>
      </w:pPr>
    </w:p>
    <w:p w:rsidR="00FA6BED" w:rsidRPr="007773A5" w:rsidRDefault="00E83FB9" w:rsidP="00E83FB9">
      <w:pPr>
        <w:pStyle w:val="DecisionParagraphs"/>
        <w:tabs>
          <w:tab w:val="left" w:pos="5400"/>
          <w:tab w:val="left" w:pos="5954"/>
        </w:tabs>
        <w:ind w:left="4820" w:firstLine="567"/>
        <w:jc w:val="right"/>
        <w:rPr>
          <w:i w:val="0"/>
          <w:sz w:val="20"/>
          <w:lang w:eastAsia="ja-JP"/>
        </w:rPr>
      </w:pPr>
      <w:r w:rsidRPr="007773A5">
        <w:rPr>
          <w:i w:val="0"/>
          <w:iCs/>
          <w:spacing w:val="-4"/>
          <w:sz w:val="20"/>
          <w:lang w:eastAsia="ja-JP"/>
        </w:rPr>
        <w:t>[</w:t>
      </w:r>
      <w:proofErr w:type="spellStart"/>
      <w:r w:rsidRPr="007773A5">
        <w:rPr>
          <w:i w:val="0"/>
          <w:iCs/>
          <w:spacing w:val="-4"/>
          <w:sz w:val="20"/>
          <w:lang w:eastAsia="ja-JP"/>
        </w:rPr>
        <w:t>L</w:t>
      </w:r>
      <w:r w:rsidR="00734BBA" w:rsidRPr="007773A5">
        <w:rPr>
          <w:i w:val="0"/>
          <w:iCs/>
          <w:spacing w:val="-4"/>
          <w:sz w:val="20"/>
          <w:lang w:eastAsia="ja-JP"/>
        </w:rPr>
        <w:t>’</w:t>
      </w:r>
      <w:r w:rsidRPr="007773A5">
        <w:rPr>
          <w:i w:val="0"/>
          <w:iCs/>
          <w:spacing w:val="-4"/>
          <w:sz w:val="20"/>
          <w:lang w:eastAsia="ja-JP"/>
        </w:rPr>
        <w:t>annexe</w:t>
      </w:r>
      <w:proofErr w:type="spellEnd"/>
      <w:r w:rsidRPr="007773A5">
        <w:rPr>
          <w:i w:val="0"/>
          <w:iCs/>
          <w:spacing w:val="-4"/>
          <w:sz w:val="20"/>
          <w:lang w:eastAsia="ja-JP"/>
        </w:rPr>
        <w:t xml:space="preserve"> suit]</w:t>
      </w:r>
    </w:p>
    <w:p w:rsidR="00850720" w:rsidRPr="007773A5" w:rsidRDefault="00850720" w:rsidP="00B52EB1">
      <w:pPr>
        <w:pStyle w:val="DecisionParagraphs"/>
        <w:tabs>
          <w:tab w:val="left" w:pos="5400"/>
          <w:tab w:val="left" w:pos="5954"/>
        </w:tabs>
        <w:ind w:left="4820" w:firstLine="567"/>
        <w:jc w:val="right"/>
        <w:rPr>
          <w:i w:val="0"/>
          <w:sz w:val="20"/>
          <w:lang w:eastAsia="ja-JP"/>
        </w:rPr>
        <w:sectPr w:rsidR="00850720" w:rsidRPr="007773A5" w:rsidSect="00734BBA">
          <w:headerReference w:type="default" r:id="rId10"/>
          <w:footerReference w:type="first" r:id="rId11"/>
          <w:pgSz w:w="11907" w:h="16840" w:code="9"/>
          <w:pgMar w:top="510" w:right="1134" w:bottom="1134" w:left="1134" w:header="510" w:footer="680" w:gutter="0"/>
          <w:pgNumType w:start="1"/>
          <w:cols w:space="720"/>
          <w:titlePg/>
          <w:docGrid w:linePitch="272"/>
        </w:sectPr>
      </w:pPr>
    </w:p>
    <w:p w:rsidR="005215A1" w:rsidRDefault="005215A1" w:rsidP="00850720">
      <w:pPr>
        <w:jc w:val="center"/>
        <w:rPr>
          <w:rFonts w:cs="Arial"/>
          <w:bCs/>
        </w:rPr>
      </w:pPr>
    </w:p>
    <w:p w:rsidR="00850720" w:rsidRDefault="00850720" w:rsidP="00850720">
      <w:pPr>
        <w:jc w:val="center"/>
        <w:rPr>
          <w:rFonts w:cs="Arial"/>
          <w:bCs/>
          <w:lang w:eastAsia="ja-JP"/>
        </w:rPr>
      </w:pPr>
      <w:r w:rsidRPr="003870DA">
        <w:rPr>
          <w:rFonts w:cs="Arial"/>
          <w:bCs/>
        </w:rPr>
        <w:t>METHOD OF CALCULATION OF COYU</w:t>
      </w:r>
    </w:p>
    <w:p w:rsidR="00850720" w:rsidRDefault="00850720" w:rsidP="00850720">
      <w:pPr>
        <w:jc w:val="center"/>
        <w:rPr>
          <w:rFonts w:cs="Arial"/>
          <w:bCs/>
          <w:lang w:eastAsia="ja-JP"/>
        </w:rPr>
      </w:pPr>
      <w:r>
        <w:rPr>
          <w:rFonts w:cs="Arial" w:hint="eastAsia"/>
          <w:bCs/>
          <w:lang w:eastAsia="ja-JP"/>
        </w:rPr>
        <w:t>(ENGLISH ONLY)</w:t>
      </w:r>
    </w:p>
    <w:p w:rsidR="00850720" w:rsidRDefault="00850720" w:rsidP="00850720">
      <w:pPr>
        <w:jc w:val="center"/>
        <w:rPr>
          <w:rFonts w:cs="Arial"/>
          <w:bCs/>
          <w:lang w:eastAsia="ja-JP"/>
        </w:rPr>
      </w:pPr>
    </w:p>
    <w:p w:rsidR="00850720" w:rsidRDefault="00850720" w:rsidP="00850720">
      <w:pPr>
        <w:jc w:val="center"/>
        <w:rPr>
          <w:rFonts w:cs="Arial"/>
          <w:lang w:eastAsia="ja-JP"/>
        </w:rPr>
      </w:pPr>
      <w:r w:rsidRPr="003870DA">
        <w:rPr>
          <w:rFonts w:cs="Arial"/>
          <w:noProof/>
          <w:lang w:eastAsia="zh-CN"/>
        </w:rPr>
        <w:drawing>
          <wp:inline distT="0" distB="0" distL="0" distR="0" wp14:anchorId="3A6DE94E" wp14:editId="259C1E51">
            <wp:extent cx="4572638" cy="3429479"/>
            <wp:effectExtent l="19050" t="19050" r="1841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drawing>
          <wp:inline distT="0" distB="0" distL="0" distR="0" wp14:anchorId="7143E01D" wp14:editId="53F9BECE">
            <wp:extent cx="4572638" cy="3429479"/>
            <wp:effectExtent l="19050" t="19050" r="1841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lastRenderedPageBreak/>
        <w:drawing>
          <wp:inline distT="0" distB="0" distL="0" distR="0" wp14:anchorId="2F19D1DC" wp14:editId="0C94A36A">
            <wp:extent cx="4572638" cy="3429479"/>
            <wp:effectExtent l="19050" t="19050" r="1841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drawing>
          <wp:inline distT="0" distB="0" distL="0" distR="0" wp14:anchorId="3D4DDFB7" wp14:editId="6F8C50E2">
            <wp:extent cx="4572638" cy="3429479"/>
            <wp:effectExtent l="19050" t="19050" r="1841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lastRenderedPageBreak/>
        <w:drawing>
          <wp:inline distT="0" distB="0" distL="0" distR="0" wp14:anchorId="7507F365" wp14:editId="4D116F4A">
            <wp:extent cx="4572638" cy="3429479"/>
            <wp:effectExtent l="19050" t="19050" r="18415" b="190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drawing>
          <wp:inline distT="0" distB="0" distL="0" distR="0" wp14:anchorId="30E73EA1" wp14:editId="325A6AAD">
            <wp:extent cx="4572638" cy="3429479"/>
            <wp:effectExtent l="19050" t="19050" r="18415" b="1905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lastRenderedPageBreak/>
        <w:drawing>
          <wp:inline distT="0" distB="0" distL="0" distR="0" wp14:anchorId="51BB2D90" wp14:editId="14CFC86E">
            <wp:extent cx="4572638" cy="3429479"/>
            <wp:effectExtent l="19050" t="19050" r="18415"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460733">
        <w:rPr>
          <w:rFonts w:cs="Arial"/>
          <w:noProof/>
          <w:lang w:eastAsia="zh-CN"/>
        </w:rPr>
        <w:drawing>
          <wp:inline distT="0" distB="0" distL="0" distR="0" wp14:anchorId="0248D2A5" wp14:editId="3EC5BDA3">
            <wp:extent cx="4572638" cy="3429479"/>
            <wp:effectExtent l="19050" t="19050" r="18415"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lastRenderedPageBreak/>
        <w:drawing>
          <wp:inline distT="0" distB="0" distL="0" distR="0" wp14:anchorId="4308EAD0" wp14:editId="4824FAD0">
            <wp:extent cx="4572638" cy="3429479"/>
            <wp:effectExtent l="19050" t="19050" r="18415" b="1905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drawing>
          <wp:inline distT="0" distB="0" distL="0" distR="0" wp14:anchorId="4DB6E1D1" wp14:editId="7C01EA1C">
            <wp:extent cx="4572638" cy="3429479"/>
            <wp:effectExtent l="19050" t="19050" r="18415"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460733">
        <w:rPr>
          <w:rFonts w:cs="Arial"/>
          <w:noProof/>
          <w:lang w:eastAsia="zh-CN"/>
        </w:rPr>
        <w:lastRenderedPageBreak/>
        <w:drawing>
          <wp:inline distT="0" distB="0" distL="0" distR="0" wp14:anchorId="707F368B" wp14:editId="5B5C74CC">
            <wp:extent cx="4572638" cy="3429479"/>
            <wp:effectExtent l="19050" t="19050" r="18415" b="190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drawing>
          <wp:inline distT="0" distB="0" distL="0" distR="0" wp14:anchorId="04F98B28" wp14:editId="745C3739">
            <wp:extent cx="4572638" cy="3429479"/>
            <wp:effectExtent l="19050" t="19050" r="18415"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lastRenderedPageBreak/>
        <w:drawing>
          <wp:inline distT="0" distB="0" distL="0" distR="0" wp14:anchorId="10BF80AB" wp14:editId="1DB7D672">
            <wp:extent cx="4572638" cy="3429479"/>
            <wp:effectExtent l="19050" t="19050" r="18415"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460733">
        <w:rPr>
          <w:rFonts w:cs="Arial"/>
          <w:noProof/>
          <w:lang w:eastAsia="zh-CN"/>
        </w:rPr>
        <w:drawing>
          <wp:inline distT="0" distB="0" distL="0" distR="0" wp14:anchorId="30AAA157" wp14:editId="1CFC5CDA">
            <wp:extent cx="4572638" cy="3429479"/>
            <wp:effectExtent l="19050" t="19050" r="18415" b="190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r>
        <w:rPr>
          <w:rFonts w:cs="Arial" w:hint="eastAsia"/>
          <w:lang w:eastAsia="ja-JP"/>
        </w:rPr>
        <w:t>.</w:t>
      </w:r>
    </w:p>
    <w:p w:rsidR="00850720" w:rsidRDefault="00850720" w:rsidP="00850720">
      <w:pPr>
        <w:jc w:val="center"/>
        <w:rPr>
          <w:rFonts w:cs="Arial"/>
          <w:lang w:eastAsia="ja-JP"/>
        </w:rPr>
      </w:pPr>
      <w:r w:rsidRPr="003870DA">
        <w:rPr>
          <w:rFonts w:cs="Arial"/>
          <w:noProof/>
          <w:lang w:eastAsia="zh-CN"/>
        </w:rPr>
        <w:lastRenderedPageBreak/>
        <w:drawing>
          <wp:inline distT="0" distB="0" distL="0" distR="0" wp14:anchorId="1882CD4C" wp14:editId="6D0A95A1">
            <wp:extent cx="4572638" cy="3429479"/>
            <wp:effectExtent l="19050" t="19050" r="18415" b="1905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r w:rsidRPr="003870DA">
        <w:rPr>
          <w:rFonts w:cs="Arial"/>
          <w:noProof/>
          <w:lang w:eastAsia="zh-CN"/>
        </w:rPr>
        <w:drawing>
          <wp:inline distT="0" distB="0" distL="0" distR="0" wp14:anchorId="4A1B2418" wp14:editId="0E44880F">
            <wp:extent cx="4572638" cy="3429479"/>
            <wp:effectExtent l="19050" t="19050" r="1841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bg1">
                          <a:lumMod val="75000"/>
                        </a:schemeClr>
                      </a:solidFill>
                    </a:ln>
                  </pic:spPr>
                </pic:pic>
              </a:graphicData>
            </a:graphic>
          </wp:inline>
        </w:drawing>
      </w: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850720" w:rsidRDefault="00850720" w:rsidP="00850720">
      <w:pPr>
        <w:jc w:val="center"/>
        <w:rPr>
          <w:rFonts w:cs="Arial"/>
          <w:lang w:eastAsia="ja-JP"/>
        </w:rPr>
      </w:pPr>
    </w:p>
    <w:p w:rsidR="005215A1" w:rsidRPr="00F47789" w:rsidRDefault="005215A1" w:rsidP="005215A1">
      <w:pPr>
        <w:ind w:left="567" w:hanging="567"/>
        <w:jc w:val="right"/>
        <w:rPr>
          <w:lang w:val="fr-FR"/>
        </w:rPr>
      </w:pPr>
      <w:r w:rsidRPr="00F47789">
        <w:rPr>
          <w:lang w:val="fr-FR"/>
        </w:rPr>
        <w:t>[Fin de l’annexe et du document]</w:t>
      </w:r>
    </w:p>
    <w:p w:rsidR="00850720" w:rsidRPr="005215A1" w:rsidRDefault="00850720" w:rsidP="00850720">
      <w:pPr>
        <w:pStyle w:val="DecisionParagraphs"/>
        <w:tabs>
          <w:tab w:val="left" w:pos="5400"/>
        </w:tabs>
        <w:ind w:left="0"/>
        <w:jc w:val="center"/>
        <w:rPr>
          <w:i w:val="0"/>
          <w:sz w:val="20"/>
          <w:lang w:val="fr-FR" w:eastAsia="ja-JP"/>
        </w:rPr>
      </w:pPr>
    </w:p>
    <w:p w:rsidR="00BE4B61" w:rsidRPr="005215A1" w:rsidRDefault="00BE4B61" w:rsidP="00B52EB1">
      <w:pPr>
        <w:pStyle w:val="DecisionParagraphs"/>
        <w:tabs>
          <w:tab w:val="left" w:pos="5400"/>
          <w:tab w:val="left" w:pos="5954"/>
        </w:tabs>
        <w:ind w:left="4820" w:firstLine="567"/>
        <w:jc w:val="right"/>
        <w:rPr>
          <w:i w:val="0"/>
          <w:sz w:val="20"/>
          <w:lang w:val="fr-FR" w:eastAsia="ja-JP"/>
        </w:rPr>
      </w:pPr>
    </w:p>
    <w:sectPr w:rsidR="00BE4B61" w:rsidRPr="005215A1" w:rsidSect="00BE4B61">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ECD" w:rsidRDefault="006A0ECD" w:rsidP="006655D3">
      <w:r>
        <w:separator/>
      </w:r>
    </w:p>
    <w:p w:rsidR="006A0ECD" w:rsidRDefault="006A0ECD" w:rsidP="006655D3"/>
    <w:p w:rsidR="006A0ECD" w:rsidRDefault="006A0ECD" w:rsidP="006655D3"/>
  </w:endnote>
  <w:endnote w:type="continuationSeparator" w:id="0">
    <w:p w:rsidR="006A0ECD" w:rsidRDefault="006A0ECD" w:rsidP="006655D3">
      <w:r>
        <w:separator/>
      </w:r>
    </w:p>
    <w:p w:rsidR="006A0ECD" w:rsidRPr="00311399" w:rsidRDefault="006A0ECD">
      <w:pPr>
        <w:pStyle w:val="Footer"/>
        <w:spacing w:after="60"/>
        <w:rPr>
          <w:sz w:val="18"/>
          <w:lang w:val="fr-CH"/>
        </w:rPr>
      </w:pPr>
      <w:r w:rsidRPr="00311399">
        <w:rPr>
          <w:sz w:val="18"/>
          <w:lang w:val="fr-CH"/>
        </w:rPr>
        <w:t>[Suite de la note de la page précédente]</w:t>
      </w:r>
    </w:p>
    <w:p w:rsidR="006A0ECD" w:rsidRPr="00311399" w:rsidRDefault="006A0ECD" w:rsidP="006655D3">
      <w:pPr>
        <w:rPr>
          <w:lang w:val="fr-CH"/>
        </w:rPr>
      </w:pPr>
    </w:p>
    <w:p w:rsidR="006A0ECD" w:rsidRPr="00311399" w:rsidRDefault="006A0ECD" w:rsidP="006655D3">
      <w:pPr>
        <w:rPr>
          <w:lang w:val="fr-CH"/>
        </w:rPr>
      </w:pPr>
    </w:p>
  </w:endnote>
  <w:endnote w:type="continuationNotice" w:id="1">
    <w:p w:rsidR="006A0ECD" w:rsidRPr="00311399" w:rsidRDefault="006A0ECD" w:rsidP="006655D3">
      <w:pPr>
        <w:rPr>
          <w:lang w:val="fr-CH"/>
        </w:rPr>
      </w:pPr>
      <w:r w:rsidRPr="00311399">
        <w:rPr>
          <w:lang w:val="fr-CH"/>
        </w:rPr>
        <w:t>[Suite de la note page suivante]</w:t>
      </w:r>
    </w:p>
    <w:p w:rsidR="006A0ECD" w:rsidRPr="00311399" w:rsidRDefault="006A0ECD" w:rsidP="006655D3">
      <w:pPr>
        <w:rPr>
          <w:lang w:val="fr-CH"/>
        </w:rPr>
      </w:pPr>
    </w:p>
    <w:p w:rsidR="006A0ECD" w:rsidRPr="00311399" w:rsidRDefault="006A0EC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BBA" w:rsidRPr="00734BBA" w:rsidRDefault="00734BBA" w:rsidP="00734BBA">
    <w:pPr>
      <w:pStyle w:val="Footer"/>
      <w:tabs>
        <w:tab w:val="right" w:pos="8504"/>
      </w:tabs>
      <w:jc w:val="center"/>
      <w:rPr>
        <w:rFonts w:ascii="Times New Roman" w:hAnsi="Times New Roman"/>
        <w:b/>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ECD" w:rsidRDefault="006A0ECD" w:rsidP="006655D3">
      <w:r>
        <w:separator/>
      </w:r>
    </w:p>
  </w:footnote>
  <w:footnote w:type="continuationSeparator" w:id="0">
    <w:p w:rsidR="006A0ECD" w:rsidRDefault="006A0ECD" w:rsidP="006655D3">
      <w:r>
        <w:separator/>
      </w:r>
    </w:p>
    <w:p w:rsidR="006A0ECD" w:rsidRPr="00311399" w:rsidRDefault="006A0ECD">
      <w:pPr>
        <w:pStyle w:val="Footer"/>
        <w:spacing w:after="60"/>
        <w:rPr>
          <w:sz w:val="18"/>
          <w:lang w:val="fr-CH"/>
        </w:rPr>
      </w:pPr>
      <w:r w:rsidRPr="00311399">
        <w:rPr>
          <w:sz w:val="18"/>
          <w:lang w:val="fr-CH"/>
        </w:rPr>
        <w:t>[Suite de la note de la page précédente]</w:t>
      </w:r>
    </w:p>
    <w:p w:rsidR="006A0ECD" w:rsidRPr="00311399" w:rsidRDefault="006A0ECD" w:rsidP="006655D3">
      <w:pPr>
        <w:rPr>
          <w:lang w:val="fr-CH"/>
        </w:rPr>
      </w:pPr>
    </w:p>
    <w:p w:rsidR="006A0ECD" w:rsidRPr="00311399" w:rsidRDefault="006A0ECD" w:rsidP="006655D3">
      <w:pPr>
        <w:rPr>
          <w:lang w:val="fr-CH"/>
        </w:rPr>
      </w:pPr>
    </w:p>
    <w:p w:rsidR="006A0ECD" w:rsidRPr="00311399" w:rsidRDefault="006A0ECD" w:rsidP="006655D3">
      <w:pPr>
        <w:rPr>
          <w:lang w:val="fr-CH"/>
        </w:rPr>
      </w:pPr>
    </w:p>
  </w:footnote>
  <w:footnote w:type="continuationNotice" w:id="1">
    <w:p w:rsidR="006A0ECD" w:rsidRPr="00311399" w:rsidRDefault="006A0ECD" w:rsidP="006655D3">
      <w:pPr>
        <w:rPr>
          <w:lang w:val="fr-CH"/>
        </w:rPr>
      </w:pPr>
      <w:r w:rsidRPr="00311399">
        <w:rPr>
          <w:lang w:val="fr-CH"/>
        </w:rPr>
        <w:t>[Suite de la note page suivante]</w:t>
      </w:r>
    </w:p>
    <w:p w:rsidR="006A0ECD" w:rsidRPr="00311399" w:rsidRDefault="006A0ECD" w:rsidP="006655D3">
      <w:pPr>
        <w:rPr>
          <w:lang w:val="fr-CH"/>
        </w:rPr>
      </w:pPr>
    </w:p>
    <w:p w:rsidR="006A0ECD" w:rsidRPr="00311399" w:rsidRDefault="006A0ECD"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4225819"/>
      <w:docPartObj>
        <w:docPartGallery w:val="Page Numbers (Top of Page)"/>
        <w:docPartUnique/>
      </w:docPartObj>
    </w:sdtPr>
    <w:sdtEndPr>
      <w:rPr>
        <w:noProof/>
      </w:rPr>
    </w:sdtEndPr>
    <w:sdtContent>
      <w:p w:rsidR="00BE4B61" w:rsidRDefault="00A74FC2">
        <w:pPr>
          <w:pStyle w:val="Header"/>
          <w:rPr>
            <w:lang w:eastAsia="ja-JP"/>
          </w:rPr>
        </w:pPr>
        <w:r>
          <w:rPr>
            <w:rFonts w:hint="eastAsia"/>
            <w:lang w:eastAsia="ja-JP"/>
          </w:rPr>
          <w:t>TC/52</w:t>
        </w:r>
        <w:r w:rsidR="00BE4B61">
          <w:rPr>
            <w:rFonts w:hint="eastAsia"/>
            <w:lang w:eastAsia="ja-JP"/>
          </w:rPr>
          <w:t>/17</w:t>
        </w:r>
      </w:p>
      <w:p w:rsidR="00BE4B61" w:rsidRDefault="00BE4B61">
        <w:pPr>
          <w:pStyle w:val="Header"/>
        </w:pPr>
        <w:proofErr w:type="gramStart"/>
        <w:r>
          <w:rPr>
            <w:rFonts w:hint="eastAsia"/>
            <w:lang w:eastAsia="ja-JP"/>
          </w:rPr>
          <w:t>page</w:t>
        </w:r>
        <w:proofErr w:type="gramEnd"/>
        <w:r>
          <w:rPr>
            <w:rFonts w:hint="eastAsia"/>
            <w:lang w:eastAsia="ja-JP"/>
          </w:rPr>
          <w:t xml:space="preserve"> </w:t>
        </w:r>
        <w:r>
          <w:fldChar w:fldCharType="begin"/>
        </w:r>
        <w:r>
          <w:instrText xml:space="preserve"> PAGE   \* MERGEFORMAT </w:instrText>
        </w:r>
        <w:r>
          <w:fldChar w:fldCharType="separate"/>
        </w:r>
        <w:r w:rsidR="00DA063D">
          <w:rPr>
            <w:noProof/>
          </w:rPr>
          <w:t>4</w:t>
        </w:r>
        <w:r>
          <w:rPr>
            <w:noProof/>
          </w:rPr>
          <w:fldChar w:fldCharType="end"/>
        </w:r>
      </w:p>
    </w:sdtContent>
  </w:sdt>
  <w:p w:rsidR="00BE4B61" w:rsidRPr="00E96CD3" w:rsidRDefault="00BE4B6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242567"/>
      <w:docPartObj>
        <w:docPartGallery w:val="Page Numbers (Top of Page)"/>
        <w:docPartUnique/>
      </w:docPartObj>
    </w:sdtPr>
    <w:sdtEndPr>
      <w:rPr>
        <w:noProof/>
      </w:rPr>
    </w:sdtEndPr>
    <w:sdtContent>
      <w:p w:rsidR="00BE4B61" w:rsidRDefault="00A74FC2">
        <w:pPr>
          <w:pStyle w:val="Header"/>
          <w:rPr>
            <w:lang w:eastAsia="ja-JP"/>
          </w:rPr>
        </w:pPr>
        <w:r>
          <w:rPr>
            <w:rFonts w:hint="eastAsia"/>
            <w:lang w:eastAsia="ja-JP"/>
          </w:rPr>
          <w:t>TC/52</w:t>
        </w:r>
        <w:r w:rsidR="00BE4B61">
          <w:rPr>
            <w:rFonts w:hint="eastAsia"/>
            <w:lang w:eastAsia="ja-JP"/>
          </w:rPr>
          <w:t>/17</w:t>
        </w:r>
      </w:p>
      <w:p w:rsidR="00BE4B61" w:rsidRDefault="00BE4B61">
        <w:pPr>
          <w:pStyle w:val="Header"/>
        </w:pPr>
        <w:r>
          <w:rPr>
            <w:rFonts w:hint="eastAsia"/>
            <w:lang w:eastAsia="ja-JP"/>
          </w:rPr>
          <w:t>Annex</w:t>
        </w:r>
        <w:r w:rsidR="005215A1">
          <w:rPr>
            <w:lang w:eastAsia="ja-JP"/>
          </w:rPr>
          <w:t>e</w:t>
        </w:r>
        <w:r>
          <w:rPr>
            <w:rFonts w:hint="eastAsia"/>
            <w:lang w:eastAsia="ja-JP"/>
          </w:rPr>
          <w:t xml:space="preserve">, page </w:t>
        </w:r>
        <w:r>
          <w:fldChar w:fldCharType="begin"/>
        </w:r>
        <w:r>
          <w:instrText xml:space="preserve"> PAGE   \* MERGEFORMAT </w:instrText>
        </w:r>
        <w:r>
          <w:fldChar w:fldCharType="separate"/>
        </w:r>
        <w:r w:rsidR="00DA063D">
          <w:rPr>
            <w:noProof/>
          </w:rPr>
          <w:t>8</w:t>
        </w:r>
        <w:r>
          <w:rPr>
            <w:noProof/>
          </w:rPr>
          <w:fldChar w:fldCharType="end"/>
        </w:r>
      </w:p>
    </w:sdtContent>
  </w:sdt>
  <w:p w:rsidR="00BE4B61" w:rsidRPr="00E96CD3" w:rsidRDefault="00BE4B6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B61" w:rsidRPr="00C616F4" w:rsidRDefault="00BE4B61">
    <w:pPr>
      <w:pStyle w:val="Header"/>
      <w:rPr>
        <w:lang w:val="en-US" w:eastAsia="ja-JP"/>
      </w:rPr>
    </w:pPr>
    <w:r w:rsidRPr="00C616F4">
      <w:rPr>
        <w:lang w:val="en-US"/>
      </w:rPr>
      <w:t>T</w:t>
    </w:r>
    <w:r>
      <w:rPr>
        <w:lang w:val="en-US"/>
      </w:rPr>
      <w:t>C/5</w:t>
    </w:r>
    <w:r w:rsidR="00FF7064">
      <w:rPr>
        <w:rFonts w:hint="eastAsia"/>
        <w:lang w:val="en-US" w:eastAsia="ja-JP"/>
      </w:rPr>
      <w:t>2</w:t>
    </w:r>
    <w:r>
      <w:rPr>
        <w:lang w:val="en-US"/>
      </w:rPr>
      <w:t>/</w:t>
    </w:r>
    <w:r>
      <w:rPr>
        <w:rFonts w:hint="eastAsia"/>
        <w:lang w:val="en-US" w:eastAsia="ja-JP"/>
      </w:rPr>
      <w:t>17</w:t>
    </w:r>
  </w:p>
  <w:p w:rsidR="00BE4B61" w:rsidRDefault="00BE4B61">
    <w:pPr>
      <w:pStyle w:val="Header"/>
      <w:rPr>
        <w:lang w:val="en-US" w:eastAsia="ja-JP"/>
      </w:rPr>
    </w:pPr>
  </w:p>
  <w:p w:rsidR="00BE4B61" w:rsidRPr="00C616F4" w:rsidRDefault="00BE4B61">
    <w:pPr>
      <w:pStyle w:val="Header"/>
      <w:rPr>
        <w:lang w:val="en-US" w:eastAsia="ja-JP"/>
      </w:rPr>
    </w:pPr>
    <w:r>
      <w:rPr>
        <w:rFonts w:hint="eastAsia"/>
        <w:lang w:val="en-US" w:eastAsia="ja-JP"/>
      </w:rPr>
      <w:t>ANNEX</w:t>
    </w:r>
    <w:r w:rsidR="005215A1">
      <w:rPr>
        <w:lang w:val="en-US" w:eastAsia="ja-JP"/>
      </w:rPr>
      <w:t>E</w:t>
    </w:r>
  </w:p>
  <w:p w:rsidR="00BE4B61" w:rsidRPr="00824A90" w:rsidRDefault="00BE4B6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2135"/>
    <w:multiLevelType w:val="hybridMultilevel"/>
    <w:tmpl w:val="4FAE2FA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FA79D6"/>
    <w:multiLevelType w:val="hybridMultilevel"/>
    <w:tmpl w:val="AE64E378"/>
    <w:lvl w:ilvl="0" w:tplc="04060001">
      <w:start w:val="1"/>
      <w:numFmt w:val="bullet"/>
      <w:lvlText w:val=""/>
      <w:lvlJc w:val="left"/>
      <w:pPr>
        <w:tabs>
          <w:tab w:val="num" w:pos="360"/>
        </w:tabs>
        <w:ind w:left="36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134146ED"/>
    <w:multiLevelType w:val="hybridMultilevel"/>
    <w:tmpl w:val="78607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066325"/>
    <w:multiLevelType w:val="hybridMultilevel"/>
    <w:tmpl w:val="202EEADE"/>
    <w:lvl w:ilvl="0" w:tplc="2CE21FF4">
      <w:start w:val="1"/>
      <w:numFmt w:val="lowerLetter"/>
      <w:lvlText w:val="%1)"/>
      <w:lvlJc w:val="left"/>
      <w:pPr>
        <w:ind w:left="5405" w:hanging="585"/>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38F84A98"/>
    <w:multiLevelType w:val="hybridMultilevel"/>
    <w:tmpl w:val="CAF467B4"/>
    <w:lvl w:ilvl="0" w:tplc="F7AE60F4">
      <w:start w:val="1"/>
      <w:numFmt w:val="lowerLetter"/>
      <w:lvlText w:val="%1)"/>
      <w:lvlJc w:val="left"/>
      <w:pPr>
        <w:ind w:left="5151" w:hanging="360"/>
      </w:pPr>
      <w:rPr>
        <w:rFonts w:hint="default"/>
      </w:rPr>
    </w:lvl>
    <w:lvl w:ilvl="1" w:tplc="04090019" w:tentative="1">
      <w:start w:val="1"/>
      <w:numFmt w:val="lowerLetter"/>
      <w:lvlText w:val="%2."/>
      <w:lvlJc w:val="left"/>
      <w:pPr>
        <w:ind w:left="5871" w:hanging="360"/>
      </w:pPr>
    </w:lvl>
    <w:lvl w:ilvl="2" w:tplc="0409001B" w:tentative="1">
      <w:start w:val="1"/>
      <w:numFmt w:val="lowerRoman"/>
      <w:lvlText w:val="%3."/>
      <w:lvlJc w:val="right"/>
      <w:pPr>
        <w:ind w:left="6591" w:hanging="180"/>
      </w:pPr>
    </w:lvl>
    <w:lvl w:ilvl="3" w:tplc="0409000F" w:tentative="1">
      <w:start w:val="1"/>
      <w:numFmt w:val="decimal"/>
      <w:lvlText w:val="%4."/>
      <w:lvlJc w:val="left"/>
      <w:pPr>
        <w:ind w:left="7311" w:hanging="360"/>
      </w:pPr>
    </w:lvl>
    <w:lvl w:ilvl="4" w:tplc="04090019" w:tentative="1">
      <w:start w:val="1"/>
      <w:numFmt w:val="lowerLetter"/>
      <w:lvlText w:val="%5."/>
      <w:lvlJc w:val="left"/>
      <w:pPr>
        <w:ind w:left="8031" w:hanging="360"/>
      </w:pPr>
    </w:lvl>
    <w:lvl w:ilvl="5" w:tplc="0409001B" w:tentative="1">
      <w:start w:val="1"/>
      <w:numFmt w:val="lowerRoman"/>
      <w:lvlText w:val="%6."/>
      <w:lvlJc w:val="right"/>
      <w:pPr>
        <w:ind w:left="8751" w:hanging="180"/>
      </w:pPr>
    </w:lvl>
    <w:lvl w:ilvl="6" w:tplc="0409000F" w:tentative="1">
      <w:start w:val="1"/>
      <w:numFmt w:val="decimal"/>
      <w:lvlText w:val="%7."/>
      <w:lvlJc w:val="left"/>
      <w:pPr>
        <w:ind w:left="9471" w:hanging="360"/>
      </w:pPr>
    </w:lvl>
    <w:lvl w:ilvl="7" w:tplc="04090019" w:tentative="1">
      <w:start w:val="1"/>
      <w:numFmt w:val="lowerLetter"/>
      <w:lvlText w:val="%8."/>
      <w:lvlJc w:val="left"/>
      <w:pPr>
        <w:ind w:left="10191" w:hanging="360"/>
      </w:pPr>
    </w:lvl>
    <w:lvl w:ilvl="8" w:tplc="0409001B" w:tentative="1">
      <w:start w:val="1"/>
      <w:numFmt w:val="lowerRoman"/>
      <w:lvlText w:val="%9."/>
      <w:lvlJc w:val="right"/>
      <w:pPr>
        <w:ind w:left="10911" w:hanging="180"/>
      </w:pPr>
    </w:lvl>
  </w:abstractNum>
  <w:abstractNum w:abstractNumId="5">
    <w:nsid w:val="3A0A5D67"/>
    <w:multiLevelType w:val="hybridMultilevel"/>
    <w:tmpl w:val="E6E8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E0636B"/>
    <w:multiLevelType w:val="hybridMultilevel"/>
    <w:tmpl w:val="0F50C4EC"/>
    <w:lvl w:ilvl="0" w:tplc="A0D0C25E">
      <w:start w:val="1"/>
      <w:numFmt w:val="decimal"/>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551C50FE"/>
    <w:multiLevelType w:val="hybridMultilevel"/>
    <w:tmpl w:val="1A56A262"/>
    <w:lvl w:ilvl="0" w:tplc="2A1AAAF6">
      <w:start w:val="1"/>
      <w:numFmt w:val="lowerLetter"/>
      <w:lvlText w:val="%1)"/>
      <w:lvlJc w:val="left"/>
      <w:pPr>
        <w:ind w:left="5180" w:hanging="360"/>
      </w:pPr>
      <w:rPr>
        <w:rFonts w:ascii="Arial" w:eastAsia="Times New Roman" w:hAnsi="Arial" w:cs="Times New Roman"/>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55859C5"/>
    <w:multiLevelType w:val="hybridMultilevel"/>
    <w:tmpl w:val="220EE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3F2123"/>
    <w:multiLevelType w:val="hybridMultilevel"/>
    <w:tmpl w:val="00040C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1">
    <w:nsid w:val="6A493B7D"/>
    <w:multiLevelType w:val="hybridMultilevel"/>
    <w:tmpl w:val="C756DEF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FFE2D58"/>
    <w:multiLevelType w:val="hybridMultilevel"/>
    <w:tmpl w:val="779AA96C"/>
    <w:lvl w:ilvl="0" w:tplc="B14AE9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2295830"/>
    <w:multiLevelType w:val="hybridMultilevel"/>
    <w:tmpl w:val="87DECA42"/>
    <w:lvl w:ilvl="0" w:tplc="F23A249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4">
    <w:nsid w:val="756E3FB5"/>
    <w:multiLevelType w:val="hybridMultilevel"/>
    <w:tmpl w:val="6BE23D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7C214FD4"/>
    <w:multiLevelType w:val="hybridMultilevel"/>
    <w:tmpl w:val="710C5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0"/>
  </w:num>
  <w:num w:numId="5">
    <w:abstractNumId w:val="5"/>
  </w:num>
  <w:num w:numId="6">
    <w:abstractNumId w:val="2"/>
  </w:num>
  <w:num w:numId="7">
    <w:abstractNumId w:val="11"/>
  </w:num>
  <w:num w:numId="8">
    <w:abstractNumId w:val="9"/>
  </w:num>
  <w:num w:numId="9">
    <w:abstractNumId w:val="12"/>
  </w:num>
  <w:num w:numId="10">
    <w:abstractNumId w:val="8"/>
  </w:num>
  <w:num w:numId="11">
    <w:abstractNumId w:val="3"/>
  </w:num>
  <w:num w:numId="12">
    <w:abstractNumId w:val="15"/>
  </w:num>
  <w:num w:numId="13">
    <w:abstractNumId w:val="6"/>
  </w:num>
  <w:num w:numId="14">
    <w:abstractNumId w:val="1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FTS_Glossary|UPOVOld|UPOV_Beta"/>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WO_CC|TextBase TMs\WorkspaceFTS\EN-FR\WO_GA|TextBase TMs\WorkspaceFTS\EN-FR\WO_PBC|TextBase TMs\Treaties\Model Laws|TextBase TMs\Treaties\Other Laws and Agreements|TextBase TMs\Treaties\WIPO-administered|TextBase TMs\Trademarks\Meetings|TextBase TMs\Trademarks\Other|TextBase TMs\Trademarks\Publications|TextBase TMs\Patents\Meetings|TextBase TMs\Patents\Other|TextBase TMs\Patents\Publications|TextBase TMs\Glossaries\EN-FR|TextBase TMs\Copyright\Meetings|TextBase TMs\Copyright\Other|TextBase TMs\Copyright\Publications|TextBase TMs\Budget and Finance\Meetings|TextBase TMs\Budget and Finance\Other|TextBase TMs\Budget and Finance\Publications|TextBase TMs\Administrative\Meetings|TextBase TMs\Administrative\Other|TextBase TMs\Administrative\Publications|TextBase TMs\IP in General\Meetings|TextBase TMs\IP in General\Other|TextBase TMs\IP in General\Academy|TextBase TMs\IP in General\Arbitration and Mediation|TextBase TMs\IP in General\Press Room|TextBase TMs\IP in General\Publications|TextBase TMs\IP in General\SpeechDG2014|TextBase TMs\UPOV\Meetings|TextBase TMs\UPOV\Other|TextBase TMs\UPOV\Publications|TextBase TMs\UPOV\Technical Guidelines|TextBase TMs\WorkspaceFTS\EN-FR\traités|TextBase TMs\WorkspaceFTS\EN-FR\UPOV"/>
    <w:docVar w:name="TextBaseURL" w:val="empty"/>
    <w:docVar w:name="UILng" w:val="en"/>
  </w:docVars>
  <w:rsids>
    <w:rsidRoot w:val="0077020F"/>
    <w:rsid w:val="000036DA"/>
    <w:rsid w:val="00010CF3"/>
    <w:rsid w:val="000118AD"/>
    <w:rsid w:val="00011E27"/>
    <w:rsid w:val="000148BC"/>
    <w:rsid w:val="00023353"/>
    <w:rsid w:val="000237DB"/>
    <w:rsid w:val="00024AB8"/>
    <w:rsid w:val="00026C86"/>
    <w:rsid w:val="00030854"/>
    <w:rsid w:val="00036028"/>
    <w:rsid w:val="00036F8F"/>
    <w:rsid w:val="00037D08"/>
    <w:rsid w:val="00044642"/>
    <w:rsid w:val="000446B9"/>
    <w:rsid w:val="00047E21"/>
    <w:rsid w:val="00050F06"/>
    <w:rsid w:val="00052544"/>
    <w:rsid w:val="00055F13"/>
    <w:rsid w:val="00081C5B"/>
    <w:rsid w:val="0008251C"/>
    <w:rsid w:val="00083EE0"/>
    <w:rsid w:val="00085505"/>
    <w:rsid w:val="00087B0E"/>
    <w:rsid w:val="00090B24"/>
    <w:rsid w:val="00097D5C"/>
    <w:rsid w:val="000B3827"/>
    <w:rsid w:val="000C23A8"/>
    <w:rsid w:val="000C2F5E"/>
    <w:rsid w:val="000C7021"/>
    <w:rsid w:val="000C7985"/>
    <w:rsid w:val="000C7C99"/>
    <w:rsid w:val="000D6BBC"/>
    <w:rsid w:val="000D7780"/>
    <w:rsid w:val="000F307E"/>
    <w:rsid w:val="000F5750"/>
    <w:rsid w:val="000F6871"/>
    <w:rsid w:val="00103733"/>
    <w:rsid w:val="00105929"/>
    <w:rsid w:val="001131D5"/>
    <w:rsid w:val="00114216"/>
    <w:rsid w:val="00121372"/>
    <w:rsid w:val="001220FC"/>
    <w:rsid w:val="00125EFC"/>
    <w:rsid w:val="00131CDE"/>
    <w:rsid w:val="00141DB8"/>
    <w:rsid w:val="0015302F"/>
    <w:rsid w:val="001600E7"/>
    <w:rsid w:val="00165CF3"/>
    <w:rsid w:val="0017474A"/>
    <w:rsid w:val="001758C6"/>
    <w:rsid w:val="00176C31"/>
    <w:rsid w:val="00182B99"/>
    <w:rsid w:val="001A4241"/>
    <w:rsid w:val="001B45D4"/>
    <w:rsid w:val="001E30F9"/>
    <w:rsid w:val="002126CE"/>
    <w:rsid w:val="0021332C"/>
    <w:rsid w:val="00213982"/>
    <w:rsid w:val="002205C0"/>
    <w:rsid w:val="00225605"/>
    <w:rsid w:val="002262A9"/>
    <w:rsid w:val="0024416D"/>
    <w:rsid w:val="002446EF"/>
    <w:rsid w:val="0024661C"/>
    <w:rsid w:val="00246A94"/>
    <w:rsid w:val="00263B47"/>
    <w:rsid w:val="00266165"/>
    <w:rsid w:val="002733BD"/>
    <w:rsid w:val="002800A0"/>
    <w:rsid w:val="002801B3"/>
    <w:rsid w:val="00280A8B"/>
    <w:rsid w:val="00281060"/>
    <w:rsid w:val="00284303"/>
    <w:rsid w:val="002940E8"/>
    <w:rsid w:val="002A6E50"/>
    <w:rsid w:val="002B355B"/>
    <w:rsid w:val="002B581C"/>
    <w:rsid w:val="002C0481"/>
    <w:rsid w:val="002C256A"/>
    <w:rsid w:val="002C30F1"/>
    <w:rsid w:val="002C42D2"/>
    <w:rsid w:val="002C659F"/>
    <w:rsid w:val="002D0191"/>
    <w:rsid w:val="002D0AFC"/>
    <w:rsid w:val="002D3ABD"/>
    <w:rsid w:val="002F2BDB"/>
    <w:rsid w:val="00305A7F"/>
    <w:rsid w:val="00311399"/>
    <w:rsid w:val="00311D6F"/>
    <w:rsid w:val="003152FE"/>
    <w:rsid w:val="00327436"/>
    <w:rsid w:val="00344BD6"/>
    <w:rsid w:val="0034770A"/>
    <w:rsid w:val="0035528D"/>
    <w:rsid w:val="00361821"/>
    <w:rsid w:val="00381028"/>
    <w:rsid w:val="003A173D"/>
    <w:rsid w:val="003B212C"/>
    <w:rsid w:val="003B450F"/>
    <w:rsid w:val="003D227C"/>
    <w:rsid w:val="003D2B4D"/>
    <w:rsid w:val="003D620E"/>
    <w:rsid w:val="003D692A"/>
    <w:rsid w:val="003E0CDC"/>
    <w:rsid w:val="003E174C"/>
    <w:rsid w:val="003F11B1"/>
    <w:rsid w:val="00406673"/>
    <w:rsid w:val="00444A88"/>
    <w:rsid w:val="00452531"/>
    <w:rsid w:val="0047445B"/>
    <w:rsid w:val="00474DA4"/>
    <w:rsid w:val="00476B4D"/>
    <w:rsid w:val="004805FA"/>
    <w:rsid w:val="00484C03"/>
    <w:rsid w:val="00486903"/>
    <w:rsid w:val="00491C1D"/>
    <w:rsid w:val="00494A5B"/>
    <w:rsid w:val="004A7F8D"/>
    <w:rsid w:val="004B5437"/>
    <w:rsid w:val="004D047D"/>
    <w:rsid w:val="004D3B68"/>
    <w:rsid w:val="004D5CC6"/>
    <w:rsid w:val="004F158B"/>
    <w:rsid w:val="004F305A"/>
    <w:rsid w:val="00512164"/>
    <w:rsid w:val="00517AEB"/>
    <w:rsid w:val="00520297"/>
    <w:rsid w:val="00520DB0"/>
    <w:rsid w:val="005215A1"/>
    <w:rsid w:val="00523791"/>
    <w:rsid w:val="005338F9"/>
    <w:rsid w:val="00535EE4"/>
    <w:rsid w:val="0054281C"/>
    <w:rsid w:val="005429B9"/>
    <w:rsid w:val="00545C7D"/>
    <w:rsid w:val="0055268D"/>
    <w:rsid w:val="0056340D"/>
    <w:rsid w:val="00564DD8"/>
    <w:rsid w:val="00567580"/>
    <w:rsid w:val="00576BE4"/>
    <w:rsid w:val="0059249A"/>
    <w:rsid w:val="00596AEA"/>
    <w:rsid w:val="005A2056"/>
    <w:rsid w:val="005A400A"/>
    <w:rsid w:val="005E3CD6"/>
    <w:rsid w:val="005F0CAB"/>
    <w:rsid w:val="005F49C5"/>
    <w:rsid w:val="00604A31"/>
    <w:rsid w:val="006110EF"/>
    <w:rsid w:val="00612379"/>
    <w:rsid w:val="0061555F"/>
    <w:rsid w:val="00616CF7"/>
    <w:rsid w:val="00621B39"/>
    <w:rsid w:val="00624332"/>
    <w:rsid w:val="00641200"/>
    <w:rsid w:val="00654E5E"/>
    <w:rsid w:val="00655FE0"/>
    <w:rsid w:val="006655D3"/>
    <w:rsid w:val="00682F1A"/>
    <w:rsid w:val="00687EB4"/>
    <w:rsid w:val="006A0ECD"/>
    <w:rsid w:val="006A1113"/>
    <w:rsid w:val="006A6302"/>
    <w:rsid w:val="006B17D2"/>
    <w:rsid w:val="006B3329"/>
    <w:rsid w:val="006B6D27"/>
    <w:rsid w:val="006C12EE"/>
    <w:rsid w:val="006C224E"/>
    <w:rsid w:val="006D780A"/>
    <w:rsid w:val="006F5579"/>
    <w:rsid w:val="0071056F"/>
    <w:rsid w:val="00721915"/>
    <w:rsid w:val="00732DEC"/>
    <w:rsid w:val="0073381B"/>
    <w:rsid w:val="00734BBA"/>
    <w:rsid w:val="00735BD5"/>
    <w:rsid w:val="00737CE1"/>
    <w:rsid w:val="00743A20"/>
    <w:rsid w:val="007556F6"/>
    <w:rsid w:val="00760EEF"/>
    <w:rsid w:val="0077020F"/>
    <w:rsid w:val="007773A5"/>
    <w:rsid w:val="00777EE5"/>
    <w:rsid w:val="00784836"/>
    <w:rsid w:val="0079023E"/>
    <w:rsid w:val="00797416"/>
    <w:rsid w:val="007A2854"/>
    <w:rsid w:val="007D06FE"/>
    <w:rsid w:val="007D0B9D"/>
    <w:rsid w:val="007D19B0"/>
    <w:rsid w:val="007D4DB1"/>
    <w:rsid w:val="007E0610"/>
    <w:rsid w:val="007F0252"/>
    <w:rsid w:val="007F027D"/>
    <w:rsid w:val="007F2124"/>
    <w:rsid w:val="007F498F"/>
    <w:rsid w:val="0080679D"/>
    <w:rsid w:val="008108B0"/>
    <w:rsid w:val="00811B20"/>
    <w:rsid w:val="008129EA"/>
    <w:rsid w:val="008138CA"/>
    <w:rsid w:val="008205BD"/>
    <w:rsid w:val="00821B9D"/>
    <w:rsid w:val="0082296E"/>
    <w:rsid w:val="00824099"/>
    <w:rsid w:val="00824A90"/>
    <w:rsid w:val="00825450"/>
    <w:rsid w:val="00825737"/>
    <w:rsid w:val="0083600D"/>
    <w:rsid w:val="00846900"/>
    <w:rsid w:val="00847699"/>
    <w:rsid w:val="00850720"/>
    <w:rsid w:val="00864082"/>
    <w:rsid w:val="00867AC1"/>
    <w:rsid w:val="008753AD"/>
    <w:rsid w:val="008904E8"/>
    <w:rsid w:val="008A743F"/>
    <w:rsid w:val="008B167D"/>
    <w:rsid w:val="008B5336"/>
    <w:rsid w:val="008C0970"/>
    <w:rsid w:val="008C452D"/>
    <w:rsid w:val="008C5CDB"/>
    <w:rsid w:val="008D0460"/>
    <w:rsid w:val="008D2CF7"/>
    <w:rsid w:val="008E02DD"/>
    <w:rsid w:val="00900C26"/>
    <w:rsid w:val="0090197F"/>
    <w:rsid w:val="00906DDC"/>
    <w:rsid w:val="00910570"/>
    <w:rsid w:val="009208A4"/>
    <w:rsid w:val="009211F7"/>
    <w:rsid w:val="00934E09"/>
    <w:rsid w:val="00936253"/>
    <w:rsid w:val="00947145"/>
    <w:rsid w:val="00952DD4"/>
    <w:rsid w:val="00961164"/>
    <w:rsid w:val="00970FED"/>
    <w:rsid w:val="00973986"/>
    <w:rsid w:val="00997029"/>
    <w:rsid w:val="009A0C21"/>
    <w:rsid w:val="009D690D"/>
    <w:rsid w:val="009E5484"/>
    <w:rsid w:val="009E571A"/>
    <w:rsid w:val="009E65B6"/>
    <w:rsid w:val="009E6BFA"/>
    <w:rsid w:val="00A10536"/>
    <w:rsid w:val="00A122E3"/>
    <w:rsid w:val="00A30864"/>
    <w:rsid w:val="00A350F8"/>
    <w:rsid w:val="00A35353"/>
    <w:rsid w:val="00A40880"/>
    <w:rsid w:val="00A42AC3"/>
    <w:rsid w:val="00A430CF"/>
    <w:rsid w:val="00A54309"/>
    <w:rsid w:val="00A565F1"/>
    <w:rsid w:val="00A63CBC"/>
    <w:rsid w:val="00A67DE6"/>
    <w:rsid w:val="00A70248"/>
    <w:rsid w:val="00A70727"/>
    <w:rsid w:val="00A72D53"/>
    <w:rsid w:val="00A74FC2"/>
    <w:rsid w:val="00A83496"/>
    <w:rsid w:val="00A922B7"/>
    <w:rsid w:val="00A96E44"/>
    <w:rsid w:val="00AB0345"/>
    <w:rsid w:val="00AB2B93"/>
    <w:rsid w:val="00AB7E5B"/>
    <w:rsid w:val="00AC0578"/>
    <w:rsid w:val="00AC360C"/>
    <w:rsid w:val="00AC4CF1"/>
    <w:rsid w:val="00AC61D0"/>
    <w:rsid w:val="00AD0D95"/>
    <w:rsid w:val="00AD25A3"/>
    <w:rsid w:val="00AD736F"/>
    <w:rsid w:val="00AE0EF1"/>
    <w:rsid w:val="00AE176D"/>
    <w:rsid w:val="00AE1D00"/>
    <w:rsid w:val="00AE2937"/>
    <w:rsid w:val="00AF673C"/>
    <w:rsid w:val="00B0125F"/>
    <w:rsid w:val="00B07301"/>
    <w:rsid w:val="00B12492"/>
    <w:rsid w:val="00B224DE"/>
    <w:rsid w:val="00B25C0E"/>
    <w:rsid w:val="00B40567"/>
    <w:rsid w:val="00B46575"/>
    <w:rsid w:val="00B52004"/>
    <w:rsid w:val="00B52EB1"/>
    <w:rsid w:val="00B64E07"/>
    <w:rsid w:val="00B701C6"/>
    <w:rsid w:val="00B737D6"/>
    <w:rsid w:val="00B74253"/>
    <w:rsid w:val="00B81376"/>
    <w:rsid w:val="00B834A7"/>
    <w:rsid w:val="00B843E8"/>
    <w:rsid w:val="00B84BBD"/>
    <w:rsid w:val="00B85539"/>
    <w:rsid w:val="00BA43FB"/>
    <w:rsid w:val="00BC127D"/>
    <w:rsid w:val="00BC1FE6"/>
    <w:rsid w:val="00BE4B61"/>
    <w:rsid w:val="00BF3687"/>
    <w:rsid w:val="00BF7AE5"/>
    <w:rsid w:val="00C01157"/>
    <w:rsid w:val="00C061B6"/>
    <w:rsid w:val="00C100A4"/>
    <w:rsid w:val="00C2446C"/>
    <w:rsid w:val="00C33DF3"/>
    <w:rsid w:val="00C36AE5"/>
    <w:rsid w:val="00C41F17"/>
    <w:rsid w:val="00C5280D"/>
    <w:rsid w:val="00C5791C"/>
    <w:rsid w:val="00C616F4"/>
    <w:rsid w:val="00C64F06"/>
    <w:rsid w:val="00C65407"/>
    <w:rsid w:val="00C66290"/>
    <w:rsid w:val="00C72B7A"/>
    <w:rsid w:val="00C8326D"/>
    <w:rsid w:val="00C95A90"/>
    <w:rsid w:val="00C973F2"/>
    <w:rsid w:val="00CA21CE"/>
    <w:rsid w:val="00CA304C"/>
    <w:rsid w:val="00CA774A"/>
    <w:rsid w:val="00CC021D"/>
    <w:rsid w:val="00CC11B0"/>
    <w:rsid w:val="00CD191E"/>
    <w:rsid w:val="00CF3C25"/>
    <w:rsid w:val="00CF7E36"/>
    <w:rsid w:val="00D0138F"/>
    <w:rsid w:val="00D0147A"/>
    <w:rsid w:val="00D26DF6"/>
    <w:rsid w:val="00D3708D"/>
    <w:rsid w:val="00D40426"/>
    <w:rsid w:val="00D41BD4"/>
    <w:rsid w:val="00D57C96"/>
    <w:rsid w:val="00D64E77"/>
    <w:rsid w:val="00D65F87"/>
    <w:rsid w:val="00D73637"/>
    <w:rsid w:val="00D876B7"/>
    <w:rsid w:val="00D91203"/>
    <w:rsid w:val="00D92842"/>
    <w:rsid w:val="00D95174"/>
    <w:rsid w:val="00DA059B"/>
    <w:rsid w:val="00DA063D"/>
    <w:rsid w:val="00DA6F36"/>
    <w:rsid w:val="00DB365A"/>
    <w:rsid w:val="00DB3F8A"/>
    <w:rsid w:val="00DB596E"/>
    <w:rsid w:val="00DC00EA"/>
    <w:rsid w:val="00DF0269"/>
    <w:rsid w:val="00DF02BC"/>
    <w:rsid w:val="00DF6F05"/>
    <w:rsid w:val="00E00E04"/>
    <w:rsid w:val="00E01BFF"/>
    <w:rsid w:val="00E02775"/>
    <w:rsid w:val="00E04B68"/>
    <w:rsid w:val="00E13641"/>
    <w:rsid w:val="00E148BB"/>
    <w:rsid w:val="00E32BF8"/>
    <w:rsid w:val="00E32F7E"/>
    <w:rsid w:val="00E36909"/>
    <w:rsid w:val="00E40E17"/>
    <w:rsid w:val="00E47C02"/>
    <w:rsid w:val="00E72D49"/>
    <w:rsid w:val="00E7593C"/>
    <w:rsid w:val="00E7678A"/>
    <w:rsid w:val="00E77514"/>
    <w:rsid w:val="00E83FB9"/>
    <w:rsid w:val="00E90BAB"/>
    <w:rsid w:val="00E935F1"/>
    <w:rsid w:val="00E94A81"/>
    <w:rsid w:val="00E96CD3"/>
    <w:rsid w:val="00EA1FFB"/>
    <w:rsid w:val="00EA200E"/>
    <w:rsid w:val="00EB048E"/>
    <w:rsid w:val="00EC2A07"/>
    <w:rsid w:val="00ED0331"/>
    <w:rsid w:val="00ED11FC"/>
    <w:rsid w:val="00ED52D7"/>
    <w:rsid w:val="00EE34DF"/>
    <w:rsid w:val="00EF2F89"/>
    <w:rsid w:val="00F04802"/>
    <w:rsid w:val="00F1237A"/>
    <w:rsid w:val="00F22CBD"/>
    <w:rsid w:val="00F26D16"/>
    <w:rsid w:val="00F27DDE"/>
    <w:rsid w:val="00F32D39"/>
    <w:rsid w:val="00F41AAB"/>
    <w:rsid w:val="00F45372"/>
    <w:rsid w:val="00F51440"/>
    <w:rsid w:val="00F560F7"/>
    <w:rsid w:val="00F56B71"/>
    <w:rsid w:val="00F6027A"/>
    <w:rsid w:val="00F6334D"/>
    <w:rsid w:val="00F65FB8"/>
    <w:rsid w:val="00F72061"/>
    <w:rsid w:val="00F7283E"/>
    <w:rsid w:val="00F7420C"/>
    <w:rsid w:val="00F77E3B"/>
    <w:rsid w:val="00F9162B"/>
    <w:rsid w:val="00FA49AB"/>
    <w:rsid w:val="00FA6BED"/>
    <w:rsid w:val="00FC1034"/>
    <w:rsid w:val="00FD65CC"/>
    <w:rsid w:val="00FE39C7"/>
    <w:rsid w:val="00FE55F1"/>
    <w:rsid w:val="00FF7064"/>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4082"/>
    <w:rPr>
      <w:rFonts w:ascii="Arial" w:hAnsi="Arial"/>
      <w:caps/>
    </w:rPr>
  </w:style>
  <w:style w:type="character" w:customStyle="1" w:styleId="Heading2Char">
    <w:name w:val="Heading 2 Char"/>
    <w:basedOn w:val="DefaultParagraphFont"/>
    <w:link w:val="Heading2"/>
    <w:rsid w:val="00864082"/>
    <w:rPr>
      <w:rFonts w:ascii="Arial" w:hAnsi="Arial"/>
      <w:u w:val="single"/>
    </w:rPr>
  </w:style>
  <w:style w:type="character" w:customStyle="1" w:styleId="Heading3Char">
    <w:name w:val="Heading 3 Char"/>
    <w:basedOn w:val="DefaultParagraphFont"/>
    <w:link w:val="Heading3"/>
    <w:rsid w:val="00864082"/>
    <w:rPr>
      <w:rFonts w:ascii="Arial" w:hAnsi="Arial"/>
      <w:i/>
    </w:rPr>
  </w:style>
  <w:style w:type="character" w:customStyle="1" w:styleId="Heading4Char">
    <w:name w:val="Heading 4 Char"/>
    <w:basedOn w:val="DefaultParagraphFont"/>
    <w:link w:val="Heading4"/>
    <w:rsid w:val="00864082"/>
    <w:rPr>
      <w:rFonts w:ascii="Arial" w:hAnsi="Arial"/>
      <w:u w:val="single"/>
      <w:lang w:val="fr-FR"/>
    </w:rPr>
  </w:style>
  <w:style w:type="character" w:customStyle="1" w:styleId="Heading5Char">
    <w:name w:val="Heading 5 Char"/>
    <w:basedOn w:val="DefaultParagraphFont"/>
    <w:link w:val="Heading5"/>
    <w:rsid w:val="00864082"/>
    <w:rPr>
      <w:rFonts w:ascii="Arial" w:hAnsi="Arial"/>
      <w:i/>
    </w:rPr>
  </w:style>
  <w:style w:type="character" w:customStyle="1" w:styleId="Heading9Char">
    <w:name w:val="Heading 9 Char"/>
    <w:basedOn w:val="DefaultParagraphFont"/>
    <w:link w:val="Heading9"/>
    <w:rsid w:val="00864082"/>
    <w:rPr>
      <w:rFonts w:ascii="Arial" w:hAnsi="Arial"/>
      <w:i/>
      <w:sz w:val="18"/>
    </w:rPr>
  </w:style>
  <w:style w:type="paragraph" w:styleId="Header">
    <w:name w:val="header"/>
    <w:link w:val="HeaderChar"/>
    <w:uiPriority w:val="99"/>
    <w:rsid w:val="00AE2937"/>
    <w:pPr>
      <w:jc w:val="center"/>
    </w:pPr>
    <w:rPr>
      <w:rFonts w:ascii="Arial" w:hAnsi="Arial"/>
      <w:lang w:val="fr-FR"/>
    </w:rPr>
  </w:style>
  <w:style w:type="character" w:customStyle="1" w:styleId="HeaderChar">
    <w:name w:val="Header Char"/>
    <w:basedOn w:val="DefaultParagraphFont"/>
    <w:link w:val="Header"/>
    <w:uiPriority w:val="99"/>
    <w:rsid w:val="00864082"/>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customStyle="1" w:styleId="FooterChar">
    <w:name w:val="Footer Char"/>
    <w:aliases w:val="doc_path_name Char"/>
    <w:basedOn w:val="DefaultParagraphFont"/>
    <w:link w:val="Footer"/>
    <w:rsid w:val="00864082"/>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864082"/>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864082"/>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864082"/>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864082"/>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864082"/>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864082"/>
    <w:rPr>
      <w:rFonts w:ascii="Arial" w:hAnsi="Arial"/>
    </w:rPr>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864082"/>
    <w:rPr>
      <w:rFonts w:ascii="Arial" w:hAnsi="Arial"/>
    </w:rPr>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864082"/>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styleId="BodyTextIndent2">
    <w:name w:val="Body Text Indent 2"/>
    <w:basedOn w:val="Normal"/>
    <w:link w:val="BodyTextIndent2Char"/>
    <w:rsid w:val="00AC360C"/>
    <w:pPr>
      <w:spacing w:after="120" w:line="480" w:lineRule="auto"/>
      <w:ind w:left="283"/>
    </w:pPr>
  </w:style>
  <w:style w:type="character" w:customStyle="1" w:styleId="BodyTextIndent2Char">
    <w:name w:val="Body Text Indent 2 Char"/>
    <w:basedOn w:val="DefaultParagraphFont"/>
    <w:link w:val="BodyTextIndent2"/>
    <w:rsid w:val="00AC360C"/>
    <w:rPr>
      <w:rFonts w:ascii="Arial" w:hAnsi="Arial"/>
    </w:rPr>
  </w:style>
  <w:style w:type="paragraph" w:styleId="ListParagraph">
    <w:name w:val="List Paragraph"/>
    <w:basedOn w:val="Normal"/>
    <w:uiPriority w:val="34"/>
    <w:qFormat/>
    <w:rsid w:val="00864082"/>
    <w:pPr>
      <w:ind w:left="720"/>
      <w:contextualSpacing/>
    </w:pPr>
  </w:style>
  <w:style w:type="table" w:styleId="TableGrid">
    <w:name w:val="Table Grid"/>
    <w:basedOn w:val="TableNormal"/>
    <w:rsid w:val="00864082"/>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64082"/>
    <w:rPr>
      <w:sz w:val="16"/>
      <w:szCs w:val="16"/>
    </w:rPr>
  </w:style>
  <w:style w:type="paragraph" w:styleId="CommentText">
    <w:name w:val="annotation text"/>
    <w:basedOn w:val="Normal"/>
    <w:link w:val="CommentTextChar"/>
    <w:rsid w:val="00864082"/>
  </w:style>
  <w:style w:type="character" w:customStyle="1" w:styleId="CommentTextChar">
    <w:name w:val="Comment Text Char"/>
    <w:basedOn w:val="DefaultParagraphFont"/>
    <w:link w:val="CommentText"/>
    <w:rsid w:val="00864082"/>
    <w:rPr>
      <w:rFonts w:ascii="Arial" w:eastAsiaTheme="minorEastAsia" w:hAnsi="Arial"/>
    </w:rPr>
  </w:style>
  <w:style w:type="paragraph" w:styleId="CommentSubject">
    <w:name w:val="annotation subject"/>
    <w:basedOn w:val="CommentText"/>
    <w:next w:val="CommentText"/>
    <w:link w:val="CommentSubjectChar"/>
    <w:rsid w:val="00864082"/>
    <w:rPr>
      <w:b/>
      <w:bCs/>
    </w:rPr>
  </w:style>
  <w:style w:type="character" w:customStyle="1" w:styleId="CommentSubjectChar">
    <w:name w:val="Comment Subject Char"/>
    <w:basedOn w:val="CommentTextChar"/>
    <w:link w:val="CommentSubject"/>
    <w:rsid w:val="00864082"/>
    <w:rPr>
      <w:rFonts w:ascii="Arial" w:eastAsiaTheme="minorEastAsia" w:hAnsi="Arial"/>
      <w:b/>
      <w:bCs/>
    </w:rPr>
  </w:style>
  <w:style w:type="paragraph" w:customStyle="1" w:styleId="Default">
    <w:name w:val="Default"/>
    <w:rsid w:val="009E548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2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header" Target="header1.xml"/><Relationship Id="rId19" Type="http://schemas.openxmlformats.org/officeDocument/2006/relationships/image" Target="media/image9.pn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9726E-CB6C-4383-B1D6-BF92A152F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3178</TotalTime>
  <Pages>12</Pages>
  <Words>1684</Words>
  <Characters>9604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11266</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keywords>PB/mhf</cp:keywords>
  <cp:lastModifiedBy>BERGER Fanny</cp:lastModifiedBy>
  <cp:revision>58</cp:revision>
  <cp:lastPrinted>2016-02-01T15:31:00Z</cp:lastPrinted>
  <dcterms:created xsi:type="dcterms:W3CDTF">2016-01-29T13:43:00Z</dcterms:created>
  <dcterms:modified xsi:type="dcterms:W3CDTF">2016-02-02T07:56:00Z</dcterms:modified>
</cp:coreProperties>
</file>