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B637A3" w:rsidRPr="00B637A3" w:rsidTr="00484A43">
        <w:trPr>
          <w:trHeight w:val="1760"/>
        </w:trPr>
        <w:tc>
          <w:tcPr>
            <w:tcW w:w="4243" w:type="dxa"/>
          </w:tcPr>
          <w:p w:rsidR="00631E9B" w:rsidRPr="00B637A3" w:rsidRDefault="00631E9B" w:rsidP="00631E9B">
            <w:pPr>
              <w:rPr>
                <w:rFonts w:eastAsia="Times New Roman"/>
                <w:lang w:val="fr-FR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631E9B" w:rsidRPr="002527A0" w:rsidRDefault="00631E9B" w:rsidP="00631E9B">
            <w:pPr>
              <w:spacing w:before="720"/>
              <w:jc w:val="center"/>
              <w:rPr>
                <w:rFonts w:eastAsia="Times New Roman"/>
                <w:lang w:val="fr-FR"/>
              </w:rPr>
            </w:pPr>
            <w:r w:rsidRPr="002527A0">
              <w:rPr>
                <w:rFonts w:eastAsia="Times New Roman"/>
                <w:noProof/>
              </w:rPr>
              <w:drawing>
                <wp:inline distT="0" distB="0" distL="0" distR="0" wp14:anchorId="13027C87" wp14:editId="61700A7A">
                  <wp:extent cx="981710" cy="481330"/>
                  <wp:effectExtent l="0" t="0" r="889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631E9B" w:rsidRPr="002527A0" w:rsidRDefault="00631E9B" w:rsidP="00631E9B">
            <w:pPr>
              <w:spacing w:after="120" w:line="340" w:lineRule="atLeast"/>
              <w:jc w:val="right"/>
              <w:rPr>
                <w:rFonts w:eastAsia="Times New Roman"/>
                <w:b/>
                <w:bCs/>
                <w:sz w:val="56"/>
                <w:lang w:val="fr-FR"/>
              </w:rPr>
            </w:pPr>
            <w:r w:rsidRPr="002527A0">
              <w:rPr>
                <w:rFonts w:eastAsia="Times New Roman"/>
                <w:b/>
                <w:bCs/>
                <w:sz w:val="56"/>
                <w:lang w:val="fr-FR"/>
              </w:rPr>
              <w:t>F</w:t>
            </w:r>
          </w:p>
          <w:p w:rsidR="00631E9B" w:rsidRPr="002527A0" w:rsidRDefault="00631E9B" w:rsidP="00631E9B">
            <w:pPr>
              <w:spacing w:line="280" w:lineRule="exact"/>
              <w:ind w:left="1361"/>
              <w:rPr>
                <w:rFonts w:eastAsia="Times New Roman"/>
                <w:b/>
                <w:bCs/>
                <w:spacing w:val="10"/>
                <w:lang w:val="fr-FR"/>
              </w:rPr>
            </w:pPr>
            <w:r w:rsidRPr="002527A0">
              <w:rPr>
                <w:rFonts w:eastAsia="Times New Roman"/>
                <w:b/>
                <w:bCs/>
                <w:spacing w:val="10"/>
                <w:lang w:val="fr-FR"/>
              </w:rPr>
              <w:t>TC/52/</w:t>
            </w:r>
            <w:bookmarkStart w:id="1" w:name="Code"/>
            <w:bookmarkEnd w:id="1"/>
            <w:r w:rsidRPr="002527A0">
              <w:rPr>
                <w:rFonts w:eastAsia="Times New Roman"/>
                <w:b/>
                <w:bCs/>
                <w:spacing w:val="10"/>
                <w:lang w:val="fr-FR"/>
              </w:rPr>
              <w:t>12</w:t>
            </w:r>
          </w:p>
          <w:p w:rsidR="00631E9B" w:rsidRPr="002527A0" w:rsidRDefault="00631E9B" w:rsidP="00631E9B">
            <w:pPr>
              <w:spacing w:line="280" w:lineRule="exact"/>
              <w:ind w:left="1361"/>
              <w:rPr>
                <w:rFonts w:eastAsia="Times New Roman"/>
                <w:bCs/>
                <w:lang w:val="fr-FR"/>
              </w:rPr>
            </w:pPr>
            <w:r w:rsidRPr="002527A0">
              <w:rPr>
                <w:rFonts w:eastAsia="Times New Roman"/>
                <w:b/>
                <w:bCs/>
                <w:lang w:val="fr-FR"/>
              </w:rPr>
              <w:t>ORIGINAL</w:t>
            </w:r>
            <w:r w:rsidR="00635BC5" w:rsidRPr="002527A0">
              <w:rPr>
                <w:rFonts w:eastAsia="Times New Roman"/>
                <w:b/>
                <w:bCs/>
                <w:lang w:val="fr-FR"/>
              </w:rPr>
              <w:t> </w:t>
            </w:r>
            <w:r w:rsidRPr="002527A0">
              <w:rPr>
                <w:rFonts w:eastAsia="Times New Roman"/>
                <w:b/>
                <w:bCs/>
                <w:lang w:val="fr-FR"/>
              </w:rPr>
              <w:t>:</w:t>
            </w:r>
            <w:r w:rsidRPr="002527A0">
              <w:rPr>
                <w:rFonts w:eastAsia="Times New Roman"/>
                <w:lang w:val="fr-FR"/>
              </w:rPr>
              <w:t xml:space="preserve"> </w:t>
            </w:r>
            <w:bookmarkStart w:id="2" w:name="Original"/>
            <w:bookmarkEnd w:id="2"/>
            <w:r w:rsidRPr="002527A0">
              <w:rPr>
                <w:rFonts w:eastAsia="Times New Roman"/>
                <w:bCs/>
                <w:lang w:val="fr-FR"/>
              </w:rPr>
              <w:t>anglais</w:t>
            </w:r>
          </w:p>
          <w:p w:rsidR="00631E9B" w:rsidRPr="00B637A3" w:rsidRDefault="00631E9B" w:rsidP="00631E9B">
            <w:pPr>
              <w:spacing w:line="280" w:lineRule="exact"/>
              <w:ind w:left="1361"/>
              <w:rPr>
                <w:rFonts w:eastAsia="Times New Roman"/>
                <w:b/>
                <w:bCs/>
                <w:spacing w:val="10"/>
                <w:lang w:val="fr-FR"/>
              </w:rPr>
            </w:pPr>
            <w:r w:rsidRPr="002527A0">
              <w:rPr>
                <w:rFonts w:eastAsia="Times New Roman"/>
                <w:b/>
                <w:bCs/>
                <w:lang w:val="fr-FR"/>
              </w:rPr>
              <w:t>DATE</w:t>
            </w:r>
            <w:r w:rsidR="00635BC5" w:rsidRPr="002527A0">
              <w:rPr>
                <w:rFonts w:eastAsia="Times New Roman"/>
                <w:b/>
                <w:bCs/>
                <w:lang w:val="fr-FR"/>
              </w:rPr>
              <w:t> </w:t>
            </w:r>
            <w:r w:rsidRPr="002527A0">
              <w:rPr>
                <w:rFonts w:eastAsia="Times New Roman"/>
                <w:b/>
                <w:bCs/>
                <w:lang w:val="fr-FR"/>
              </w:rPr>
              <w:t>:</w:t>
            </w:r>
            <w:r w:rsidRPr="002527A0">
              <w:rPr>
                <w:rFonts w:eastAsia="Times New Roman"/>
                <w:lang w:val="fr-FR"/>
              </w:rPr>
              <w:t xml:space="preserve"> </w:t>
            </w:r>
            <w:bookmarkStart w:id="3" w:name="Date"/>
            <w:bookmarkEnd w:id="3"/>
            <w:r w:rsidR="008C5BDF" w:rsidRPr="002527A0">
              <w:rPr>
                <w:rFonts w:eastAsia="Times New Roman"/>
                <w:bCs/>
                <w:lang w:val="fr-FR"/>
              </w:rPr>
              <w:t>3 février 20</w:t>
            </w:r>
            <w:r w:rsidRPr="002527A0">
              <w:rPr>
                <w:rFonts w:eastAsia="Times New Roman"/>
                <w:bCs/>
                <w:lang w:val="fr-FR"/>
              </w:rPr>
              <w:t>16</w:t>
            </w:r>
          </w:p>
        </w:tc>
      </w:tr>
      <w:tr w:rsidR="00B637A3" w:rsidRPr="00B637A3" w:rsidTr="00484A43">
        <w:tc>
          <w:tcPr>
            <w:tcW w:w="10131" w:type="dxa"/>
            <w:gridSpan w:val="3"/>
          </w:tcPr>
          <w:p w:rsidR="00631E9B" w:rsidRPr="00B637A3" w:rsidRDefault="00631E9B" w:rsidP="00631E9B">
            <w:pPr>
              <w:spacing w:before="60"/>
              <w:jc w:val="center"/>
              <w:rPr>
                <w:rFonts w:eastAsia="Times New Roman"/>
                <w:b/>
                <w:bCs/>
                <w:spacing w:val="8"/>
                <w:sz w:val="28"/>
                <w:lang w:val="fr-FR"/>
              </w:rPr>
            </w:pPr>
            <w:r w:rsidRPr="00B637A3">
              <w:rPr>
                <w:rFonts w:eastAsia="Times New Roman"/>
                <w:b/>
                <w:bCs/>
                <w:spacing w:val="6"/>
                <w:sz w:val="24"/>
                <w:lang w:val="fr-FR"/>
              </w:rPr>
              <w:t>UNION INTERNATIONALE POUR LA PROTECTION DES OBTENTIONS VÉGÉTALES</w:t>
            </w:r>
          </w:p>
        </w:tc>
      </w:tr>
      <w:tr w:rsidR="00B637A3" w:rsidRPr="00B637A3" w:rsidTr="00484A43">
        <w:tc>
          <w:tcPr>
            <w:tcW w:w="10131" w:type="dxa"/>
            <w:gridSpan w:val="3"/>
          </w:tcPr>
          <w:p w:rsidR="00631E9B" w:rsidRPr="00B637A3" w:rsidRDefault="00631E9B" w:rsidP="00631E9B">
            <w:pPr>
              <w:spacing w:before="60" w:after="480"/>
              <w:jc w:val="center"/>
              <w:rPr>
                <w:rFonts w:eastAsia="Times New Roman"/>
                <w:lang w:val="fr-FR"/>
              </w:rPr>
            </w:pPr>
            <w:r w:rsidRPr="00B637A3">
              <w:rPr>
                <w:rFonts w:eastAsia="Times New Roman"/>
                <w:lang w:val="fr-FR"/>
              </w:rPr>
              <w:t>Genève</w:t>
            </w:r>
          </w:p>
        </w:tc>
      </w:tr>
    </w:tbl>
    <w:p w:rsidR="00631E9B" w:rsidRPr="00B637A3" w:rsidRDefault="00631E9B" w:rsidP="00631E9B">
      <w:pPr>
        <w:spacing w:before="240"/>
        <w:jc w:val="center"/>
        <w:rPr>
          <w:rFonts w:eastAsia="Times New Roman"/>
          <w:b/>
          <w:bCs/>
          <w:caps/>
          <w:kern w:val="28"/>
          <w:sz w:val="24"/>
          <w:lang w:val="fr-FR"/>
        </w:rPr>
      </w:pPr>
      <w:r w:rsidRPr="00B637A3">
        <w:rPr>
          <w:rFonts w:eastAsia="Times New Roman"/>
          <w:b/>
          <w:bCs/>
          <w:caps/>
          <w:kern w:val="28"/>
          <w:sz w:val="24"/>
          <w:lang w:val="fr-FR"/>
        </w:rPr>
        <w:t>Comité TECHNIQUE</w:t>
      </w:r>
    </w:p>
    <w:p w:rsidR="00631E9B" w:rsidRPr="00B637A3" w:rsidRDefault="00631E9B" w:rsidP="00631E9B">
      <w:pPr>
        <w:spacing w:before="240"/>
        <w:jc w:val="center"/>
        <w:rPr>
          <w:rFonts w:eastAsia="Times New Roman"/>
          <w:b/>
          <w:bCs/>
          <w:kern w:val="28"/>
          <w:sz w:val="24"/>
          <w:lang w:val="fr-FR"/>
        </w:rPr>
      </w:pPr>
      <w:r w:rsidRPr="00B637A3">
        <w:rPr>
          <w:rFonts w:eastAsia="Times New Roman"/>
          <w:b/>
          <w:bCs/>
          <w:kern w:val="28"/>
          <w:sz w:val="24"/>
          <w:lang w:val="fr-FR"/>
        </w:rPr>
        <w:t>Cinquante</w:t>
      </w:r>
      <w:r w:rsidR="00A44650" w:rsidRPr="00B637A3">
        <w:rPr>
          <w:rFonts w:eastAsia="Times New Roman"/>
          <w:b/>
          <w:bCs/>
          <w:kern w:val="28"/>
          <w:sz w:val="24"/>
          <w:lang w:val="fr-FR"/>
        </w:rPr>
        <w:noBreakHyphen/>
      </w:r>
      <w:r w:rsidRPr="00B637A3">
        <w:rPr>
          <w:rFonts w:eastAsia="Times New Roman"/>
          <w:b/>
          <w:bCs/>
          <w:kern w:val="28"/>
          <w:sz w:val="24"/>
          <w:lang w:val="fr-FR"/>
        </w:rPr>
        <w:t>deuxième</w:t>
      </w:r>
      <w:r w:rsidR="00635BC5" w:rsidRPr="00B637A3">
        <w:rPr>
          <w:rFonts w:eastAsia="Times New Roman"/>
          <w:b/>
          <w:bCs/>
          <w:kern w:val="28"/>
          <w:sz w:val="24"/>
          <w:lang w:val="fr-FR"/>
        </w:rPr>
        <w:t> </w:t>
      </w:r>
      <w:r w:rsidRPr="00B637A3">
        <w:rPr>
          <w:rFonts w:eastAsia="Times New Roman"/>
          <w:b/>
          <w:bCs/>
          <w:kern w:val="28"/>
          <w:sz w:val="24"/>
          <w:lang w:val="fr-FR"/>
        </w:rPr>
        <w:t xml:space="preserve">session </w:t>
      </w:r>
      <w:r w:rsidRPr="00B637A3">
        <w:rPr>
          <w:rFonts w:eastAsia="Times New Roman"/>
          <w:b/>
          <w:bCs/>
          <w:kern w:val="28"/>
          <w:sz w:val="24"/>
          <w:lang w:val="fr-FR"/>
        </w:rPr>
        <w:br/>
        <w:t>Genève, 14</w:t>
      </w:r>
      <w:r w:rsidR="00A44650" w:rsidRPr="00B637A3">
        <w:rPr>
          <w:rFonts w:eastAsia="Times New Roman"/>
          <w:b/>
          <w:bCs/>
          <w:kern w:val="28"/>
          <w:sz w:val="24"/>
          <w:lang w:val="fr-FR"/>
        </w:rPr>
        <w:noBreakHyphen/>
      </w:r>
      <w:r w:rsidRPr="00B637A3">
        <w:rPr>
          <w:rFonts w:eastAsia="Times New Roman"/>
          <w:b/>
          <w:bCs/>
          <w:kern w:val="28"/>
          <w:sz w:val="24"/>
          <w:lang w:val="fr-FR"/>
        </w:rPr>
        <w:t>1</w:t>
      </w:r>
      <w:r w:rsidR="008C5BDF" w:rsidRPr="00B637A3">
        <w:rPr>
          <w:rFonts w:eastAsia="Times New Roman"/>
          <w:b/>
          <w:bCs/>
          <w:kern w:val="28"/>
          <w:sz w:val="24"/>
          <w:lang w:val="fr-FR"/>
        </w:rPr>
        <w:t>6 mars 20</w:t>
      </w:r>
      <w:r w:rsidRPr="00B637A3">
        <w:rPr>
          <w:rFonts w:eastAsia="Times New Roman"/>
          <w:b/>
          <w:bCs/>
          <w:kern w:val="28"/>
          <w:sz w:val="24"/>
          <w:lang w:val="fr-FR"/>
        </w:rPr>
        <w:t>16</w:t>
      </w:r>
    </w:p>
    <w:p w:rsidR="00732899" w:rsidRPr="00B637A3" w:rsidRDefault="00822961" w:rsidP="00377FF4">
      <w:pPr>
        <w:pStyle w:val="Titleofdoc0"/>
        <w:rPr>
          <w:lang w:val="fr-FR"/>
        </w:rPr>
      </w:pPr>
      <w:r w:rsidRPr="00B637A3">
        <w:rPr>
          <w:lang w:val="fr-FR"/>
        </w:rPr>
        <w:t>d</w:t>
      </w:r>
      <w:r w:rsidR="003B0423" w:rsidRPr="00B637A3">
        <w:rPr>
          <w:lang w:val="fr-FR"/>
        </w:rPr>
        <w:t>é</w:t>
      </w:r>
      <w:r w:rsidRPr="00B637A3">
        <w:rPr>
          <w:lang w:val="fr-FR"/>
        </w:rPr>
        <w:t>nominations</w:t>
      </w:r>
      <w:r w:rsidR="003B0423" w:rsidRPr="00B637A3">
        <w:rPr>
          <w:lang w:val="fr-FR"/>
        </w:rPr>
        <w:t xml:space="preserve"> variétales</w:t>
      </w:r>
    </w:p>
    <w:p w:rsidR="00732899" w:rsidRPr="002527A0" w:rsidRDefault="00631E9B" w:rsidP="00377FF4">
      <w:pPr>
        <w:pStyle w:val="preparedby0"/>
        <w:rPr>
          <w:color w:val="A6A6A6" w:themeColor="background1" w:themeShade="A6"/>
          <w:lang w:val="fr-FR"/>
        </w:rPr>
      </w:pPr>
      <w:bookmarkStart w:id="4" w:name="Prepared"/>
      <w:bookmarkEnd w:id="4"/>
      <w:r w:rsidRPr="002527A0">
        <w:rPr>
          <w:lang w:val="fr-FR"/>
        </w:rPr>
        <w:t>Document établi par le Bureau de l</w:t>
      </w:r>
      <w:r w:rsidR="00DF1AFC" w:rsidRPr="002527A0">
        <w:rPr>
          <w:lang w:val="fr-FR"/>
        </w:rPr>
        <w:t>’</w:t>
      </w:r>
      <w:r w:rsidRPr="002527A0">
        <w:rPr>
          <w:lang w:val="fr-FR"/>
        </w:rPr>
        <w:t>Union</w:t>
      </w:r>
      <w:r w:rsidRPr="00B637A3">
        <w:rPr>
          <w:lang w:val="fr-FR"/>
        </w:rPr>
        <w:br/>
      </w:r>
      <w:r w:rsidRPr="00B637A3">
        <w:rPr>
          <w:lang w:val="fr-FR"/>
        </w:rPr>
        <w:br/>
      </w:r>
      <w:r w:rsidRPr="002527A0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DF1AFC" w:rsidRPr="002527A0">
        <w:rPr>
          <w:color w:val="A6A6A6" w:themeColor="background1" w:themeShade="A6"/>
          <w:lang w:val="fr-FR"/>
        </w:rPr>
        <w:t>’</w:t>
      </w:r>
      <w:r w:rsidRPr="002527A0">
        <w:rPr>
          <w:color w:val="A6A6A6" w:themeColor="background1" w:themeShade="A6"/>
          <w:lang w:val="fr-FR"/>
        </w:rPr>
        <w:t>UPOV</w:t>
      </w:r>
    </w:p>
    <w:p w:rsidR="00732899" w:rsidRPr="00B637A3" w:rsidRDefault="003B0423" w:rsidP="003A37E8">
      <w:pPr>
        <w:pStyle w:val="Heading1"/>
        <w:rPr>
          <w:color w:val="auto"/>
        </w:rPr>
      </w:pPr>
      <w:bookmarkStart w:id="5" w:name="_Toc442940330"/>
      <w:r w:rsidRPr="00B637A3">
        <w:rPr>
          <w:color w:val="auto"/>
        </w:rPr>
        <w:t>RéSUMé</w:t>
      </w:r>
      <w:bookmarkEnd w:id="5"/>
    </w:p>
    <w:p w:rsidR="00732899" w:rsidRPr="00B637A3" w:rsidRDefault="00732899" w:rsidP="00172A6A">
      <w:pPr>
        <w:rPr>
          <w:rFonts w:eastAsia="MS Mincho"/>
          <w:lang w:val="fr-FR" w:eastAsia="ja-JP"/>
        </w:rPr>
      </w:pPr>
    </w:p>
    <w:p w:rsidR="00732899" w:rsidRPr="00B637A3" w:rsidRDefault="00822961" w:rsidP="00C4201F">
      <w:pPr>
        <w:rPr>
          <w:rFonts w:cs="Arial"/>
          <w:snapToGrid w:val="0"/>
          <w:lang w:val="fr-FR"/>
        </w:rPr>
      </w:pPr>
      <w:r w:rsidRPr="00B637A3">
        <w:rPr>
          <w:rFonts w:cs="Arial"/>
          <w:snapToGrid w:val="0"/>
          <w:lang w:val="fr-FR"/>
        </w:rPr>
        <w:fldChar w:fldCharType="begin"/>
      </w:r>
      <w:r w:rsidRPr="00B637A3">
        <w:rPr>
          <w:rFonts w:cs="Arial"/>
          <w:snapToGrid w:val="0"/>
          <w:lang w:val="fr-FR"/>
        </w:rPr>
        <w:instrText xml:space="preserve"> AUTONUM  </w:instrText>
      </w:r>
      <w:r w:rsidRPr="00B637A3">
        <w:rPr>
          <w:rFonts w:cs="Arial"/>
          <w:snapToGrid w:val="0"/>
          <w:lang w:val="fr-FR"/>
        </w:rPr>
        <w:fldChar w:fldCharType="end"/>
      </w:r>
      <w:r w:rsidRPr="00B637A3">
        <w:rPr>
          <w:rFonts w:cs="Arial"/>
          <w:snapToGrid w:val="0"/>
          <w:lang w:val="fr-FR"/>
        </w:rPr>
        <w:tab/>
      </w:r>
      <w:r w:rsidR="009E5644" w:rsidRPr="00B637A3">
        <w:rPr>
          <w:rFonts w:cs="Arial"/>
          <w:snapToGrid w:val="0"/>
          <w:lang w:val="fr-FR"/>
        </w:rPr>
        <w:t>Le présent document a pour objet de faire rapport sur les travaux concernant la possibilité d</w:t>
      </w:r>
      <w:r w:rsidR="00DF1AFC" w:rsidRPr="00B637A3">
        <w:rPr>
          <w:rFonts w:cs="Arial"/>
          <w:snapToGrid w:val="0"/>
          <w:lang w:val="fr-FR"/>
        </w:rPr>
        <w:t>’</w:t>
      </w:r>
      <w:r w:rsidR="009E5644" w:rsidRPr="00B637A3">
        <w:rPr>
          <w:rFonts w:cs="Arial"/>
          <w:snapToGrid w:val="0"/>
          <w:lang w:val="fr-FR"/>
        </w:rPr>
        <w:t>élaboration d</w:t>
      </w:r>
      <w:r w:rsidR="00DF1AFC" w:rsidRPr="00B637A3">
        <w:rPr>
          <w:rFonts w:cs="Arial"/>
          <w:snapToGrid w:val="0"/>
          <w:lang w:val="fr-FR"/>
        </w:rPr>
        <w:t>’</w:t>
      </w:r>
      <w:r w:rsidR="009E5644" w:rsidRPr="00B637A3">
        <w:rPr>
          <w:rFonts w:cs="Arial"/>
          <w:snapToGrid w:val="0"/>
          <w:lang w:val="fr-FR"/>
        </w:rPr>
        <w:t>un moteur de recherche de similitudes de l</w:t>
      </w:r>
      <w:r w:rsidR="00DF1AFC" w:rsidRPr="00B637A3">
        <w:rPr>
          <w:rFonts w:cs="Arial"/>
          <w:snapToGrid w:val="0"/>
          <w:lang w:val="fr-FR"/>
        </w:rPr>
        <w:t>’</w:t>
      </w:r>
      <w:r w:rsidR="009E5644" w:rsidRPr="00B637A3">
        <w:rPr>
          <w:rFonts w:cs="Arial"/>
          <w:snapToGrid w:val="0"/>
          <w:lang w:val="fr-FR"/>
        </w:rPr>
        <w:t>UPOV aux fins de la dénomination variétale et d</w:t>
      </w:r>
      <w:r w:rsidR="00DF1AFC" w:rsidRPr="00B637A3">
        <w:rPr>
          <w:rFonts w:cs="Arial"/>
          <w:snapToGrid w:val="0"/>
          <w:lang w:val="fr-FR"/>
        </w:rPr>
        <w:t>’</w:t>
      </w:r>
      <w:r w:rsidR="009E5644" w:rsidRPr="00B637A3">
        <w:rPr>
          <w:rFonts w:cs="Arial"/>
          <w:snapToGrid w:val="0"/>
          <w:lang w:val="fr-FR"/>
        </w:rPr>
        <w:t xml:space="preserve">examiner la révision éventuelle du document </w:t>
      </w:r>
      <w:r w:rsidR="008C5BDF" w:rsidRPr="00B637A3">
        <w:rPr>
          <w:rFonts w:cs="Arial"/>
          <w:lang w:val="fr-FR"/>
        </w:rPr>
        <w:t>UP</w:t>
      </w:r>
      <w:r w:rsidR="001D7D86" w:rsidRPr="00B637A3">
        <w:rPr>
          <w:rFonts w:cs="Arial"/>
          <w:lang w:val="fr-FR"/>
        </w:rPr>
        <w:t>OV/INF/12</w:t>
      </w:r>
      <w:r w:rsidR="006D30F2" w:rsidRPr="00B637A3">
        <w:rPr>
          <w:rFonts w:cs="Arial"/>
          <w:lang w:val="fr-FR"/>
        </w:rPr>
        <w:t xml:space="preserve"> “</w:t>
      </w:r>
      <w:r w:rsidR="00C4201F" w:rsidRPr="00B637A3">
        <w:rPr>
          <w:lang w:val="fr-FR"/>
        </w:rPr>
        <w:t>N</w:t>
      </w:r>
      <w:r w:rsidR="00C4201F" w:rsidRPr="00B637A3">
        <w:rPr>
          <w:rFonts w:cs="Arial"/>
          <w:lang w:val="fr-FR"/>
        </w:rPr>
        <w:t xml:space="preserve">otes explicatives concernant les dénominations variétales en vertu de la </w:t>
      </w:r>
      <w:r w:rsidR="00DF1AFC" w:rsidRPr="00B637A3">
        <w:rPr>
          <w:rFonts w:cs="Arial"/>
          <w:lang w:val="fr-FR"/>
        </w:rPr>
        <w:t>Convention UPOV</w:t>
      </w:r>
      <w:r w:rsidR="001D7D86" w:rsidRPr="00B637A3">
        <w:rPr>
          <w:rFonts w:cs="Arial"/>
          <w:lang w:val="fr-FR"/>
        </w:rPr>
        <w:t>”</w:t>
      </w:r>
      <w:r w:rsidR="006D30F2" w:rsidRPr="00B637A3">
        <w:rPr>
          <w:rFonts w:cs="Arial"/>
          <w:snapToGrid w:val="0"/>
          <w:lang w:val="fr-FR"/>
        </w:rPr>
        <w:t>.</w:t>
      </w:r>
    </w:p>
    <w:p w:rsidR="00732899" w:rsidRPr="00B637A3" w:rsidRDefault="00732899" w:rsidP="00377FF4">
      <w:pPr>
        <w:rPr>
          <w:rFonts w:cs="Arial"/>
          <w:snapToGrid w:val="0"/>
          <w:lang w:val="fr-FR" w:eastAsia="ja-JP"/>
        </w:rPr>
      </w:pPr>
    </w:p>
    <w:p w:rsidR="008C5BDF" w:rsidRPr="00B637A3" w:rsidRDefault="00ED3F59" w:rsidP="00732899">
      <w:pPr>
        <w:rPr>
          <w:rFonts w:cs="Arial"/>
          <w:snapToGrid w:val="0"/>
          <w:lang w:val="fr-FR"/>
        </w:rPr>
      </w:pPr>
      <w:r w:rsidRPr="00B637A3">
        <w:rPr>
          <w:rFonts w:cs="Arial"/>
          <w:snapToGrid w:val="0"/>
          <w:lang w:val="fr-FR"/>
        </w:rPr>
        <w:fldChar w:fldCharType="begin"/>
      </w:r>
      <w:r w:rsidRPr="00B637A3">
        <w:rPr>
          <w:rFonts w:cs="Arial"/>
          <w:snapToGrid w:val="0"/>
          <w:lang w:val="fr-FR"/>
        </w:rPr>
        <w:instrText xml:space="preserve"> AUTONUM  </w:instrText>
      </w:r>
      <w:r w:rsidRPr="00B637A3">
        <w:rPr>
          <w:rFonts w:cs="Arial"/>
          <w:snapToGrid w:val="0"/>
          <w:lang w:val="fr-FR"/>
        </w:rPr>
        <w:fldChar w:fldCharType="end"/>
      </w:r>
      <w:r w:rsidRPr="00B637A3">
        <w:rPr>
          <w:rFonts w:cs="Arial"/>
          <w:snapToGrid w:val="0"/>
          <w:lang w:val="fr-FR"/>
        </w:rPr>
        <w:tab/>
      </w:r>
      <w:r w:rsidR="00732899" w:rsidRPr="00B637A3">
        <w:rPr>
          <w:rFonts w:cs="Arial"/>
          <w:snapToGrid w:val="0"/>
          <w:lang w:val="fr-FR"/>
        </w:rPr>
        <w:t>Le</w:t>
      </w:r>
      <w:r w:rsidR="00DF1AFC" w:rsidRPr="00B637A3">
        <w:rPr>
          <w:rFonts w:cs="Arial"/>
          <w:snapToGrid w:val="0"/>
          <w:lang w:val="fr-FR"/>
        </w:rPr>
        <w:t> TC</w:t>
      </w:r>
      <w:r w:rsidR="00732899" w:rsidRPr="00B637A3">
        <w:rPr>
          <w:rFonts w:cs="Arial"/>
          <w:snapToGrid w:val="0"/>
          <w:lang w:val="fr-FR"/>
        </w:rPr>
        <w:t xml:space="preserve"> est invité à prendre note</w:t>
      </w:r>
      <w:r w:rsidR="002527A0">
        <w:rPr>
          <w:rFonts w:cs="Arial"/>
          <w:snapToGrid w:val="0"/>
          <w:lang w:val="fr-FR"/>
        </w:rPr>
        <w:t> :</w:t>
      </w:r>
    </w:p>
    <w:p w:rsidR="00732899" w:rsidRPr="00B637A3" w:rsidRDefault="00732899" w:rsidP="00ED3F59">
      <w:pPr>
        <w:rPr>
          <w:rFonts w:cs="Arial"/>
          <w:snapToGrid w:val="0"/>
          <w:lang w:val="fr-FR" w:eastAsia="ja-JP"/>
        </w:rPr>
      </w:pPr>
    </w:p>
    <w:p w:rsidR="00732899" w:rsidRPr="00B637A3" w:rsidRDefault="00C4201F" w:rsidP="00732899">
      <w:pPr>
        <w:ind w:firstLine="567"/>
        <w:rPr>
          <w:rFonts w:cs="Arial"/>
          <w:snapToGrid w:val="0"/>
          <w:lang w:val="fr-FR" w:eastAsia="ja-JP"/>
        </w:rPr>
      </w:pPr>
      <w:r w:rsidRPr="00B637A3">
        <w:rPr>
          <w:rFonts w:cs="Arial"/>
          <w:snapToGrid w:val="0"/>
          <w:lang w:val="fr-FR" w:eastAsia="ja-JP"/>
        </w:rPr>
        <w:t>a)</w:t>
      </w:r>
      <w:r w:rsidRPr="00B637A3">
        <w:rPr>
          <w:rFonts w:cs="Arial"/>
          <w:snapToGrid w:val="0"/>
          <w:lang w:val="fr-FR" w:eastAsia="ja-JP"/>
        </w:rPr>
        <w:tab/>
        <w:t>des travaux sur la possibilité d</w:t>
      </w:r>
      <w:r w:rsidR="00DF1AFC" w:rsidRPr="00B637A3">
        <w:rPr>
          <w:rFonts w:cs="Arial"/>
          <w:snapToGrid w:val="0"/>
          <w:lang w:val="fr-FR" w:eastAsia="ja-JP"/>
        </w:rPr>
        <w:t>’</w:t>
      </w:r>
      <w:r w:rsidRPr="00B637A3">
        <w:rPr>
          <w:rFonts w:cs="Arial"/>
          <w:snapToGrid w:val="0"/>
          <w:lang w:val="fr-FR" w:eastAsia="ja-JP"/>
        </w:rPr>
        <w:t xml:space="preserve">élaborer un outil de recherche </w:t>
      </w:r>
      <w:r w:rsidR="00B702BC" w:rsidRPr="00B637A3">
        <w:rPr>
          <w:rFonts w:cs="Arial"/>
          <w:snapToGrid w:val="0"/>
          <w:lang w:val="fr-FR" w:eastAsia="ja-JP"/>
        </w:rPr>
        <w:t xml:space="preserve">de l’UPOV </w:t>
      </w:r>
      <w:r w:rsidRPr="00B637A3">
        <w:rPr>
          <w:rFonts w:cs="Arial"/>
          <w:snapToGrid w:val="0"/>
          <w:lang w:val="fr-FR" w:eastAsia="ja-JP"/>
        </w:rPr>
        <w:t>de similarité aux fins de</w:t>
      </w:r>
      <w:r w:rsidR="00B702BC">
        <w:rPr>
          <w:rFonts w:cs="Arial"/>
          <w:snapToGrid w:val="0"/>
          <w:lang w:val="fr-FR" w:eastAsia="ja-JP"/>
        </w:rPr>
        <w:t xml:space="preserve"> la dénomination variétale</w:t>
      </w:r>
      <w:r w:rsidRPr="00B637A3">
        <w:rPr>
          <w:rFonts w:cs="Arial"/>
          <w:snapToGrid w:val="0"/>
          <w:lang w:val="fr-FR" w:eastAsia="ja-JP"/>
        </w:rPr>
        <w:t xml:space="preserve"> par le </w:t>
      </w:r>
      <w:r w:rsidR="00021CC2" w:rsidRPr="00B637A3">
        <w:rPr>
          <w:rFonts w:cs="Arial"/>
          <w:snapToGrid w:val="0"/>
          <w:lang w:val="fr-FR" w:eastAsia="ja-JP"/>
        </w:rPr>
        <w:t>WG</w:t>
      </w:r>
      <w:r w:rsidR="00A44650" w:rsidRPr="00B637A3">
        <w:rPr>
          <w:rFonts w:cs="Arial"/>
          <w:snapToGrid w:val="0"/>
          <w:lang w:val="fr-FR" w:eastAsia="ja-JP"/>
        </w:rPr>
        <w:noBreakHyphen/>
      </w:r>
      <w:r w:rsidR="00021CC2" w:rsidRPr="00B637A3">
        <w:rPr>
          <w:rFonts w:cs="Arial"/>
          <w:snapToGrid w:val="0"/>
          <w:lang w:val="fr-FR" w:eastAsia="ja-JP"/>
        </w:rPr>
        <w:t>DST</w:t>
      </w:r>
      <w:r w:rsidRPr="00B637A3">
        <w:rPr>
          <w:rFonts w:cs="Arial"/>
          <w:snapToGrid w:val="0"/>
          <w:lang w:val="fr-FR" w:eastAsia="ja-JP"/>
        </w:rPr>
        <w:t xml:space="preserve">, </w:t>
      </w:r>
      <w:r w:rsidR="00DF1AFC" w:rsidRPr="00B637A3">
        <w:rPr>
          <w:rFonts w:cs="Arial"/>
          <w:snapToGrid w:val="0"/>
          <w:lang w:val="fr-FR" w:eastAsia="ja-JP"/>
        </w:rPr>
        <w:t>y compris</w:t>
      </w:r>
      <w:r w:rsidRPr="00B637A3">
        <w:rPr>
          <w:rFonts w:cs="Arial"/>
          <w:snapToGrid w:val="0"/>
          <w:lang w:val="fr-FR" w:eastAsia="ja-JP"/>
        </w:rPr>
        <w:t xml:space="preserve"> l</w:t>
      </w:r>
      <w:r w:rsidR="00DF1AFC" w:rsidRPr="00B637A3">
        <w:rPr>
          <w:rFonts w:cs="Arial"/>
          <w:snapToGrid w:val="0"/>
          <w:lang w:val="fr-FR" w:eastAsia="ja-JP"/>
        </w:rPr>
        <w:t>’</w:t>
      </w:r>
      <w:r w:rsidRPr="00B637A3">
        <w:rPr>
          <w:rFonts w:cs="Arial"/>
          <w:snapToGrid w:val="0"/>
          <w:lang w:val="fr-FR" w:eastAsia="ja-JP"/>
        </w:rPr>
        <w:t>étude test, comme indiqué aux paragraphes</w:t>
      </w:r>
      <w:r w:rsidR="00635BC5" w:rsidRPr="00B637A3">
        <w:rPr>
          <w:rFonts w:cs="Arial"/>
          <w:snapToGrid w:val="0"/>
          <w:lang w:val="fr-FR" w:eastAsia="ja-JP"/>
        </w:rPr>
        <w:t> </w:t>
      </w:r>
      <w:r w:rsidR="00320AB9" w:rsidRPr="00B637A3">
        <w:rPr>
          <w:rFonts w:cs="Arial"/>
          <w:snapToGrid w:val="0"/>
          <w:lang w:val="fr-FR" w:eastAsia="ja-JP"/>
        </w:rPr>
        <w:t>5 à </w:t>
      </w:r>
      <w:r w:rsidR="002527A0">
        <w:rPr>
          <w:rFonts w:cs="Arial"/>
          <w:snapToGrid w:val="0"/>
          <w:lang w:val="fr-FR" w:eastAsia="ja-JP"/>
        </w:rPr>
        <w:t>15 du présent document;</w:t>
      </w:r>
    </w:p>
    <w:p w:rsidR="00732899" w:rsidRPr="00B637A3" w:rsidRDefault="00732899" w:rsidP="00CD7CD3">
      <w:pPr>
        <w:rPr>
          <w:rFonts w:cs="Arial"/>
          <w:snapToGrid w:val="0"/>
          <w:lang w:val="fr-FR" w:eastAsia="ja-JP"/>
        </w:rPr>
      </w:pPr>
    </w:p>
    <w:p w:rsidR="00732899" w:rsidRPr="00B637A3" w:rsidRDefault="00C4201F" w:rsidP="00CD7CD3">
      <w:pPr>
        <w:rPr>
          <w:rFonts w:cs="Arial"/>
          <w:snapToGrid w:val="0"/>
          <w:lang w:val="fr-FR" w:eastAsia="ja-JP"/>
        </w:rPr>
      </w:pPr>
      <w:r w:rsidRPr="00B637A3">
        <w:rPr>
          <w:rFonts w:cs="Arial"/>
          <w:snapToGrid w:val="0"/>
          <w:lang w:val="fr-FR" w:eastAsia="ja-JP"/>
        </w:rPr>
        <w:tab/>
      </w:r>
      <w:r w:rsidR="00CD7CD3" w:rsidRPr="00B637A3">
        <w:rPr>
          <w:rFonts w:cs="Arial"/>
          <w:snapToGrid w:val="0"/>
          <w:lang w:val="fr-FR" w:eastAsia="ja-JP"/>
        </w:rPr>
        <w:t>b)</w:t>
      </w:r>
      <w:r w:rsidR="00CD7CD3" w:rsidRPr="00B637A3">
        <w:rPr>
          <w:rFonts w:cs="Arial"/>
          <w:snapToGrid w:val="0"/>
          <w:lang w:val="fr-FR" w:eastAsia="ja-JP"/>
        </w:rPr>
        <w:tab/>
      </w:r>
      <w:r w:rsidR="00021CC2" w:rsidRPr="00B637A3">
        <w:rPr>
          <w:rFonts w:cs="Arial"/>
          <w:snapToGrid w:val="0"/>
          <w:lang w:val="fr-FR" w:eastAsia="ja-JP"/>
        </w:rPr>
        <w:t>du fait que la proposition de révision du document UPOV/INF/12 en ce qui concerne les modifications de dénominations variétales enregistrées</w:t>
      </w:r>
      <w:r w:rsidR="00CD7CD3" w:rsidRPr="00B637A3">
        <w:rPr>
          <w:rFonts w:cs="Arial"/>
          <w:snapToGrid w:val="0"/>
          <w:lang w:val="fr-FR" w:eastAsia="ja-JP"/>
        </w:rPr>
        <w:t xml:space="preserve"> </w:t>
      </w:r>
      <w:r w:rsidR="00021CC2" w:rsidRPr="00B637A3">
        <w:rPr>
          <w:rFonts w:cs="Arial"/>
          <w:snapToGrid w:val="0"/>
          <w:lang w:val="fr-FR" w:eastAsia="ja-JP"/>
        </w:rPr>
        <w:t xml:space="preserve">a été </w:t>
      </w:r>
      <w:r w:rsidR="00F26A91" w:rsidRPr="00B637A3">
        <w:rPr>
          <w:rFonts w:cs="Arial"/>
          <w:snapToGrid w:val="0"/>
          <w:lang w:val="fr-FR" w:eastAsia="ja-JP"/>
        </w:rPr>
        <w:t>adoptée</w:t>
      </w:r>
      <w:r w:rsidR="00021CC2" w:rsidRPr="00B637A3">
        <w:rPr>
          <w:rFonts w:cs="Arial"/>
          <w:snapToGrid w:val="0"/>
          <w:lang w:val="fr-FR" w:eastAsia="ja-JP"/>
        </w:rPr>
        <w:t xml:space="preserve"> par le Conseil à sa quarante</w:t>
      </w:r>
      <w:r w:rsidR="00A44650" w:rsidRPr="00B637A3">
        <w:rPr>
          <w:rFonts w:cs="Arial"/>
          <w:snapToGrid w:val="0"/>
          <w:lang w:val="fr-FR" w:eastAsia="ja-JP"/>
        </w:rPr>
        <w:noBreakHyphen/>
      </w:r>
      <w:r w:rsidR="00021CC2" w:rsidRPr="00B637A3">
        <w:rPr>
          <w:rFonts w:cs="Arial"/>
          <w:snapToGrid w:val="0"/>
          <w:lang w:val="fr-FR" w:eastAsia="ja-JP"/>
        </w:rPr>
        <w:t>neuvième</w:t>
      </w:r>
      <w:r w:rsidR="002527A0">
        <w:rPr>
          <w:rFonts w:cs="Arial"/>
          <w:snapToGrid w:val="0"/>
          <w:lang w:val="fr-FR" w:eastAsia="ja-JP"/>
        </w:rPr>
        <w:t xml:space="preserve"> </w:t>
      </w:r>
      <w:r w:rsidR="00021CC2" w:rsidRPr="00B637A3">
        <w:rPr>
          <w:rFonts w:cs="Arial"/>
          <w:snapToGrid w:val="0"/>
          <w:lang w:val="fr-FR" w:eastAsia="ja-JP"/>
        </w:rPr>
        <w:t xml:space="preserve">session ordinaire </w:t>
      </w:r>
      <w:r w:rsidR="0062530A" w:rsidRPr="00B637A3">
        <w:rPr>
          <w:rFonts w:cs="Arial"/>
          <w:snapToGrid w:val="0"/>
          <w:lang w:val="fr-FR" w:eastAsia="ja-JP"/>
        </w:rPr>
        <w:t>(</w:t>
      </w:r>
      <w:r w:rsidRPr="00B637A3">
        <w:rPr>
          <w:rFonts w:cs="Arial"/>
          <w:snapToGrid w:val="0"/>
          <w:lang w:val="fr-FR" w:eastAsia="ja-JP"/>
        </w:rPr>
        <w:t xml:space="preserve">voir le </w:t>
      </w:r>
      <w:r w:rsidR="0062530A" w:rsidRPr="00B637A3">
        <w:rPr>
          <w:rFonts w:cs="Arial"/>
          <w:snapToGrid w:val="0"/>
          <w:lang w:val="fr-FR" w:eastAsia="ja-JP"/>
        </w:rPr>
        <w:t>paragraph</w:t>
      </w:r>
      <w:r w:rsidRPr="00B637A3">
        <w:rPr>
          <w:rFonts w:cs="Arial"/>
          <w:snapToGrid w:val="0"/>
          <w:lang w:val="fr-FR" w:eastAsia="ja-JP"/>
        </w:rPr>
        <w:t>e </w:t>
      </w:r>
      <w:r w:rsidR="0062530A" w:rsidRPr="00B637A3">
        <w:rPr>
          <w:rFonts w:cs="Arial"/>
          <w:snapToGrid w:val="0"/>
          <w:lang w:val="fr-FR" w:eastAsia="ja-JP"/>
        </w:rPr>
        <w:t>17)</w:t>
      </w:r>
      <w:r w:rsidR="002527A0">
        <w:rPr>
          <w:rFonts w:cs="Arial"/>
          <w:snapToGrid w:val="0"/>
          <w:lang w:val="fr-FR" w:eastAsia="ja-JP"/>
        </w:rPr>
        <w:t>;</w:t>
      </w:r>
    </w:p>
    <w:p w:rsidR="00732899" w:rsidRPr="00B637A3" w:rsidRDefault="00732899" w:rsidP="00CD7CD3">
      <w:pPr>
        <w:rPr>
          <w:rFonts w:cs="Arial"/>
          <w:snapToGrid w:val="0"/>
          <w:lang w:val="fr-FR" w:eastAsia="ja-JP"/>
        </w:rPr>
      </w:pPr>
    </w:p>
    <w:p w:rsidR="00732899" w:rsidRPr="00B637A3" w:rsidRDefault="00CD7CD3" w:rsidP="00C4201F">
      <w:pPr>
        <w:ind w:firstLine="567"/>
        <w:rPr>
          <w:rFonts w:cs="Arial"/>
          <w:snapToGrid w:val="0"/>
          <w:lang w:val="fr-FR" w:eastAsia="ja-JP"/>
        </w:rPr>
      </w:pPr>
      <w:r w:rsidRPr="00B637A3">
        <w:rPr>
          <w:rFonts w:cs="Arial"/>
          <w:snapToGrid w:val="0"/>
          <w:lang w:val="fr-FR" w:eastAsia="ja-JP"/>
        </w:rPr>
        <w:t>c)</w:t>
      </w:r>
      <w:r w:rsidRPr="00B637A3">
        <w:rPr>
          <w:rFonts w:cs="Arial"/>
          <w:snapToGrid w:val="0"/>
          <w:lang w:val="fr-FR" w:eastAsia="ja-JP"/>
        </w:rPr>
        <w:tab/>
      </w:r>
      <w:r w:rsidR="00B92175" w:rsidRPr="00B637A3">
        <w:rPr>
          <w:rFonts w:cs="Arial"/>
          <w:snapToGrid w:val="0"/>
          <w:lang w:val="fr-FR" w:eastAsia="ja-JP"/>
        </w:rPr>
        <w:t xml:space="preserve">du fait que </w:t>
      </w:r>
      <w:r w:rsidR="00A44650" w:rsidRPr="00B637A3">
        <w:rPr>
          <w:rFonts w:cs="Arial"/>
          <w:snapToGrid w:val="0"/>
          <w:lang w:val="fr-FR" w:eastAsia="ja-JP"/>
        </w:rPr>
        <w:t xml:space="preserve">le </w:t>
      </w:r>
      <w:r w:rsidR="00B92175" w:rsidRPr="00B637A3">
        <w:rPr>
          <w:rFonts w:cs="Arial"/>
          <w:snapToGrid w:val="0"/>
          <w:lang w:val="fr-FR" w:eastAsia="ja-JP"/>
        </w:rPr>
        <w:t xml:space="preserve">mandat et la composition du </w:t>
      </w:r>
      <w:r w:rsidRPr="00B637A3">
        <w:rPr>
          <w:rFonts w:cs="Arial"/>
          <w:snapToGrid w:val="0"/>
          <w:lang w:val="fr-FR" w:eastAsia="ja-JP"/>
        </w:rPr>
        <w:t>WG</w:t>
      </w:r>
      <w:r w:rsidR="00A44650" w:rsidRPr="00B637A3">
        <w:rPr>
          <w:rFonts w:cs="Arial"/>
          <w:snapToGrid w:val="0"/>
          <w:lang w:val="fr-FR" w:eastAsia="ja-JP"/>
        </w:rPr>
        <w:noBreakHyphen/>
      </w:r>
      <w:r w:rsidRPr="00B637A3">
        <w:rPr>
          <w:rFonts w:cs="Arial"/>
          <w:snapToGrid w:val="0"/>
          <w:lang w:val="fr-FR" w:eastAsia="ja-JP"/>
        </w:rPr>
        <w:t xml:space="preserve">DST </w:t>
      </w:r>
      <w:r w:rsidR="00B92175" w:rsidRPr="00B637A3">
        <w:rPr>
          <w:rFonts w:cs="Arial"/>
          <w:snapToGrid w:val="0"/>
          <w:lang w:val="fr-FR" w:eastAsia="ja-JP"/>
        </w:rPr>
        <w:t>ont été élargis aux fins d</w:t>
      </w:r>
      <w:r w:rsidR="00DF1AFC" w:rsidRPr="00B637A3">
        <w:rPr>
          <w:rFonts w:cs="Arial"/>
          <w:snapToGrid w:val="0"/>
          <w:lang w:val="fr-FR" w:eastAsia="ja-JP"/>
        </w:rPr>
        <w:t>’</w:t>
      </w:r>
      <w:r w:rsidR="00B92175" w:rsidRPr="00B637A3">
        <w:rPr>
          <w:rFonts w:cs="Arial"/>
          <w:snapToGrid w:val="0"/>
          <w:lang w:val="fr-FR" w:eastAsia="ja-JP"/>
        </w:rPr>
        <w:t xml:space="preserve">élaboration de </w:t>
      </w:r>
      <w:r w:rsidRPr="00B637A3">
        <w:rPr>
          <w:rFonts w:cs="Arial"/>
          <w:snapToGrid w:val="0"/>
          <w:lang w:val="fr-FR" w:eastAsia="ja-JP"/>
        </w:rPr>
        <w:t>recomm</w:t>
      </w:r>
      <w:r w:rsidR="00B92175" w:rsidRPr="00B637A3">
        <w:rPr>
          <w:rFonts w:cs="Arial"/>
          <w:snapToGrid w:val="0"/>
          <w:lang w:val="fr-FR" w:eastAsia="ja-JP"/>
        </w:rPr>
        <w:t>a</w:t>
      </w:r>
      <w:r w:rsidRPr="00B637A3">
        <w:rPr>
          <w:rFonts w:cs="Arial"/>
          <w:snapToGrid w:val="0"/>
          <w:lang w:val="fr-FR" w:eastAsia="ja-JP"/>
        </w:rPr>
        <w:t xml:space="preserve">ndations </w:t>
      </w:r>
      <w:r w:rsidR="00B92175" w:rsidRPr="00B637A3">
        <w:rPr>
          <w:rFonts w:cs="Arial"/>
          <w:snapToGrid w:val="0"/>
          <w:lang w:val="fr-FR" w:eastAsia="ja-JP"/>
        </w:rPr>
        <w:t>à l</w:t>
      </w:r>
      <w:r w:rsidR="00DF1AFC" w:rsidRPr="00B637A3">
        <w:rPr>
          <w:rFonts w:cs="Arial"/>
          <w:snapToGrid w:val="0"/>
          <w:lang w:val="fr-FR" w:eastAsia="ja-JP"/>
        </w:rPr>
        <w:t>’</w:t>
      </w:r>
      <w:r w:rsidR="00B92175" w:rsidRPr="00B637A3">
        <w:rPr>
          <w:rFonts w:cs="Arial"/>
          <w:snapToGrid w:val="0"/>
          <w:lang w:val="fr-FR" w:eastAsia="ja-JP"/>
        </w:rPr>
        <w:t>intention</w:t>
      </w:r>
      <w:r w:rsidR="00DF1AFC" w:rsidRPr="00B637A3">
        <w:rPr>
          <w:rFonts w:cs="Arial"/>
          <w:snapToGrid w:val="0"/>
          <w:lang w:val="fr-FR" w:eastAsia="ja-JP"/>
        </w:rPr>
        <w:t xml:space="preserve"> du CAJ</w:t>
      </w:r>
      <w:r w:rsidRPr="00B637A3">
        <w:rPr>
          <w:rFonts w:cs="Arial"/>
          <w:snapToGrid w:val="0"/>
          <w:lang w:val="fr-FR" w:eastAsia="ja-JP"/>
        </w:rPr>
        <w:t xml:space="preserve"> </w:t>
      </w:r>
      <w:r w:rsidR="00B92175" w:rsidRPr="00B637A3">
        <w:rPr>
          <w:rFonts w:cs="Arial"/>
          <w:snapToGrid w:val="0"/>
          <w:lang w:val="fr-FR" w:eastAsia="ja-JP"/>
        </w:rPr>
        <w:t xml:space="preserve">concernant une éventuelle révision du </w:t>
      </w:r>
      <w:r w:rsidRPr="00B637A3">
        <w:rPr>
          <w:rFonts w:cs="Arial"/>
          <w:snapToGrid w:val="0"/>
          <w:lang w:val="fr-FR" w:eastAsia="ja-JP"/>
        </w:rPr>
        <w:t>document UPOV/INF/12 “</w:t>
      </w:r>
      <w:r w:rsidR="00C4201F" w:rsidRPr="00B637A3">
        <w:rPr>
          <w:lang w:val="fr-FR"/>
        </w:rPr>
        <w:t>N</w:t>
      </w:r>
      <w:r w:rsidR="00C4201F" w:rsidRPr="00B637A3">
        <w:rPr>
          <w:rFonts w:cs="Arial"/>
          <w:snapToGrid w:val="0"/>
          <w:lang w:val="fr-FR" w:eastAsia="ja-JP"/>
        </w:rPr>
        <w:t xml:space="preserve">otes explicatives concernant les dénominations variétales en vertu de la </w:t>
      </w:r>
      <w:r w:rsidR="00DF1AFC" w:rsidRPr="00B637A3">
        <w:rPr>
          <w:rFonts w:cs="Arial"/>
          <w:snapToGrid w:val="0"/>
          <w:lang w:val="fr-FR" w:eastAsia="ja-JP"/>
        </w:rPr>
        <w:t>Convention UPOV</w:t>
      </w:r>
      <w:r w:rsidRPr="00B637A3">
        <w:rPr>
          <w:rFonts w:cs="Arial"/>
          <w:snapToGrid w:val="0"/>
          <w:lang w:val="fr-FR" w:eastAsia="ja-JP"/>
        </w:rPr>
        <w:t>” (</w:t>
      </w:r>
      <w:r w:rsidR="008F3908" w:rsidRPr="00B637A3">
        <w:rPr>
          <w:rFonts w:cs="Arial"/>
          <w:snapToGrid w:val="0"/>
          <w:lang w:val="fr-FR" w:eastAsia="ja-JP"/>
        </w:rPr>
        <w:t>qui devient</w:t>
      </w:r>
      <w:r w:rsidR="00CF7111" w:rsidRPr="00B637A3">
        <w:rPr>
          <w:rFonts w:cs="Arial"/>
          <w:snapToGrid w:val="0"/>
          <w:lang w:val="fr-FR" w:eastAsia="ja-JP"/>
        </w:rPr>
        <w:t xml:space="preserve"> ainsi le </w:t>
      </w:r>
      <w:r w:rsidRPr="00B637A3">
        <w:rPr>
          <w:rFonts w:cs="Arial"/>
          <w:snapToGrid w:val="0"/>
          <w:lang w:val="fr-FR" w:eastAsia="ja-JP"/>
        </w:rPr>
        <w:t>WG</w:t>
      </w:r>
      <w:r w:rsidR="00A44650" w:rsidRPr="00B637A3">
        <w:rPr>
          <w:rFonts w:cs="Arial"/>
          <w:snapToGrid w:val="0"/>
          <w:lang w:val="fr-FR" w:eastAsia="ja-JP"/>
        </w:rPr>
        <w:noBreakHyphen/>
      </w:r>
      <w:r w:rsidRPr="00B637A3">
        <w:rPr>
          <w:rFonts w:cs="Arial"/>
          <w:snapToGrid w:val="0"/>
          <w:lang w:val="fr-FR" w:eastAsia="ja-JP"/>
        </w:rPr>
        <w:t xml:space="preserve">DEN) </w:t>
      </w:r>
      <w:r w:rsidR="00CF7111" w:rsidRPr="00B637A3">
        <w:rPr>
          <w:rFonts w:cs="Arial"/>
          <w:snapToGrid w:val="0"/>
          <w:lang w:val="fr-FR" w:eastAsia="ja-JP"/>
        </w:rPr>
        <w:t xml:space="preserve">et que le </w:t>
      </w:r>
      <w:r w:rsidRPr="00B637A3">
        <w:rPr>
          <w:rFonts w:cs="Arial"/>
          <w:snapToGrid w:val="0"/>
          <w:lang w:val="fr-FR" w:eastAsia="ja-JP"/>
        </w:rPr>
        <w:t>WG</w:t>
      </w:r>
      <w:r w:rsidR="00A44650" w:rsidRPr="00B637A3">
        <w:rPr>
          <w:rFonts w:cs="Arial"/>
          <w:snapToGrid w:val="0"/>
          <w:lang w:val="fr-FR" w:eastAsia="ja-JP"/>
        </w:rPr>
        <w:noBreakHyphen/>
      </w:r>
      <w:r w:rsidRPr="00B637A3">
        <w:rPr>
          <w:rFonts w:cs="Arial"/>
          <w:snapToGrid w:val="0"/>
          <w:lang w:val="fr-FR" w:eastAsia="ja-JP"/>
        </w:rPr>
        <w:t xml:space="preserve">DEN </w:t>
      </w:r>
      <w:r w:rsidR="00CF7111" w:rsidRPr="00B637A3">
        <w:rPr>
          <w:rFonts w:cs="Arial"/>
          <w:snapToGrid w:val="0"/>
          <w:lang w:val="fr-FR" w:eastAsia="ja-JP"/>
        </w:rPr>
        <w:t>se réunira le 1</w:t>
      </w:r>
      <w:r w:rsidR="00DF1AFC" w:rsidRPr="00B637A3">
        <w:rPr>
          <w:rFonts w:cs="Arial"/>
          <w:snapToGrid w:val="0"/>
          <w:lang w:val="fr-FR" w:eastAsia="ja-JP"/>
        </w:rPr>
        <w:t>8 mars 20</w:t>
      </w:r>
      <w:r w:rsidR="00B637A3">
        <w:rPr>
          <w:rFonts w:cs="Arial"/>
          <w:snapToGrid w:val="0"/>
          <w:lang w:val="fr-FR" w:eastAsia="ja-JP"/>
        </w:rPr>
        <w:t>16</w:t>
      </w:r>
      <w:r w:rsidR="002527A0">
        <w:rPr>
          <w:rFonts w:cs="Arial"/>
          <w:snapToGrid w:val="0"/>
          <w:lang w:val="fr-FR" w:eastAsia="ja-JP"/>
        </w:rPr>
        <w:t>;</w:t>
      </w:r>
      <w:r w:rsidR="00635BC5" w:rsidRPr="00B637A3">
        <w:rPr>
          <w:rFonts w:cs="Arial"/>
          <w:snapToGrid w:val="0"/>
          <w:lang w:val="fr-FR" w:eastAsia="ja-JP"/>
        </w:rPr>
        <w:t xml:space="preserve"> </w:t>
      </w:r>
      <w:r w:rsidR="00CF7111" w:rsidRPr="00B637A3">
        <w:rPr>
          <w:rFonts w:cs="Arial"/>
          <w:snapToGrid w:val="0"/>
          <w:lang w:val="fr-FR" w:eastAsia="ja-JP"/>
        </w:rPr>
        <w:t>et</w:t>
      </w:r>
    </w:p>
    <w:p w:rsidR="00732899" w:rsidRPr="00B637A3" w:rsidRDefault="00732899" w:rsidP="00CD7CD3">
      <w:pPr>
        <w:rPr>
          <w:rFonts w:cs="Arial"/>
          <w:snapToGrid w:val="0"/>
          <w:lang w:val="fr-FR" w:eastAsia="ja-JP"/>
        </w:rPr>
      </w:pPr>
    </w:p>
    <w:p w:rsidR="00732899" w:rsidRPr="00B637A3" w:rsidRDefault="00CD7CD3" w:rsidP="00CD7CD3">
      <w:pPr>
        <w:ind w:firstLine="567"/>
        <w:rPr>
          <w:rFonts w:cs="Arial"/>
          <w:snapToGrid w:val="0"/>
          <w:lang w:val="fr-FR" w:eastAsia="ja-JP"/>
        </w:rPr>
      </w:pPr>
      <w:r w:rsidRPr="00B637A3">
        <w:rPr>
          <w:rFonts w:cs="Arial"/>
          <w:snapToGrid w:val="0"/>
          <w:lang w:val="fr-FR" w:eastAsia="ja-JP"/>
        </w:rPr>
        <w:t>d)</w:t>
      </w:r>
      <w:r w:rsidRPr="00B637A3">
        <w:rPr>
          <w:rFonts w:cs="Arial"/>
          <w:snapToGrid w:val="0"/>
          <w:lang w:val="fr-FR" w:eastAsia="ja-JP"/>
        </w:rPr>
        <w:tab/>
      </w:r>
      <w:r w:rsidR="008207DD" w:rsidRPr="00B637A3">
        <w:rPr>
          <w:rFonts w:cs="Arial"/>
          <w:snapToGrid w:val="0"/>
          <w:lang w:val="fr-FR" w:eastAsia="ja-JP"/>
        </w:rPr>
        <w:t>du fait que le Bureau de l</w:t>
      </w:r>
      <w:r w:rsidR="00DF1AFC" w:rsidRPr="00B637A3">
        <w:rPr>
          <w:rFonts w:cs="Arial"/>
          <w:snapToGrid w:val="0"/>
          <w:lang w:val="fr-FR" w:eastAsia="ja-JP"/>
        </w:rPr>
        <w:t>’</w:t>
      </w:r>
      <w:r w:rsidRPr="00B637A3">
        <w:rPr>
          <w:rFonts w:cs="Arial"/>
          <w:snapToGrid w:val="0"/>
          <w:lang w:val="fr-FR" w:eastAsia="ja-JP"/>
        </w:rPr>
        <w:t xml:space="preserve">Union </w:t>
      </w:r>
      <w:r w:rsidR="008207DD" w:rsidRPr="00B637A3">
        <w:rPr>
          <w:rFonts w:cs="Arial"/>
          <w:snapToGrid w:val="0"/>
          <w:lang w:val="fr-FR" w:eastAsia="ja-JP"/>
        </w:rPr>
        <w:t xml:space="preserve">a </w:t>
      </w:r>
      <w:r w:rsidR="00BD40E8" w:rsidRPr="00B637A3">
        <w:rPr>
          <w:rFonts w:cs="Arial"/>
          <w:snapToGrid w:val="0"/>
          <w:lang w:val="fr-FR" w:eastAsia="ja-JP"/>
        </w:rPr>
        <w:t>diffusé</w:t>
      </w:r>
      <w:r w:rsidR="008207DD" w:rsidRPr="00B637A3">
        <w:rPr>
          <w:rFonts w:cs="Arial"/>
          <w:snapToGrid w:val="0"/>
          <w:lang w:val="fr-FR" w:eastAsia="ja-JP"/>
        </w:rPr>
        <w:t xml:space="preserve"> une circulaire invitant les membres</w:t>
      </w:r>
      <w:r w:rsidR="00DF1AFC" w:rsidRPr="00B637A3">
        <w:rPr>
          <w:rFonts w:cs="Arial"/>
          <w:snapToGrid w:val="0"/>
          <w:lang w:val="fr-FR" w:eastAsia="ja-JP"/>
        </w:rPr>
        <w:t xml:space="preserve"> du CAJ</w:t>
      </w:r>
      <w:r w:rsidRPr="00B637A3">
        <w:rPr>
          <w:rFonts w:cs="Arial"/>
          <w:snapToGrid w:val="0"/>
          <w:lang w:val="fr-FR" w:eastAsia="ja-JP"/>
        </w:rPr>
        <w:t xml:space="preserve"> </w:t>
      </w:r>
      <w:r w:rsidR="008207DD" w:rsidRPr="00B637A3">
        <w:rPr>
          <w:rFonts w:cs="Arial"/>
          <w:snapToGrid w:val="0"/>
          <w:lang w:val="fr-FR" w:eastAsia="ja-JP"/>
        </w:rPr>
        <w:t xml:space="preserve">et les observateurs, ainsi que les membres du </w:t>
      </w:r>
      <w:r w:rsidRPr="00B637A3">
        <w:rPr>
          <w:rFonts w:cs="Arial"/>
          <w:snapToGrid w:val="0"/>
          <w:lang w:val="fr-FR" w:eastAsia="ja-JP"/>
        </w:rPr>
        <w:t>WG</w:t>
      </w:r>
      <w:r w:rsidR="00A44650" w:rsidRPr="00B637A3">
        <w:rPr>
          <w:rFonts w:cs="Arial"/>
          <w:snapToGrid w:val="0"/>
          <w:lang w:val="fr-FR" w:eastAsia="ja-JP"/>
        </w:rPr>
        <w:noBreakHyphen/>
      </w:r>
      <w:r w:rsidRPr="00B637A3">
        <w:rPr>
          <w:rFonts w:cs="Arial"/>
          <w:snapToGrid w:val="0"/>
          <w:lang w:val="fr-FR" w:eastAsia="ja-JP"/>
        </w:rPr>
        <w:t xml:space="preserve">DST, </w:t>
      </w:r>
      <w:r w:rsidR="008207DD" w:rsidRPr="00B637A3">
        <w:rPr>
          <w:rFonts w:cs="Arial"/>
          <w:snapToGrid w:val="0"/>
          <w:lang w:val="fr-FR" w:eastAsia="ja-JP"/>
        </w:rPr>
        <w:t>à faire part de leur souhait de participer au</w:t>
      </w:r>
      <w:r w:rsidRPr="00B637A3">
        <w:rPr>
          <w:rFonts w:cs="Arial"/>
          <w:snapToGrid w:val="0"/>
          <w:lang w:val="fr-FR" w:eastAsia="ja-JP"/>
        </w:rPr>
        <w:t xml:space="preserve"> WG</w:t>
      </w:r>
      <w:r w:rsidR="00A44650" w:rsidRPr="00B637A3">
        <w:rPr>
          <w:rFonts w:cs="Arial"/>
          <w:snapToGrid w:val="0"/>
          <w:lang w:val="fr-FR" w:eastAsia="ja-JP"/>
        </w:rPr>
        <w:noBreakHyphen/>
      </w:r>
      <w:r w:rsidRPr="00B637A3">
        <w:rPr>
          <w:rFonts w:cs="Arial"/>
          <w:snapToGrid w:val="0"/>
          <w:lang w:val="fr-FR" w:eastAsia="ja-JP"/>
        </w:rPr>
        <w:t xml:space="preserve">DEN </w:t>
      </w:r>
      <w:r w:rsidR="008207DD" w:rsidRPr="00B637A3">
        <w:rPr>
          <w:rFonts w:cs="Arial"/>
          <w:snapToGrid w:val="0"/>
          <w:lang w:val="fr-FR" w:eastAsia="ja-JP"/>
        </w:rPr>
        <w:t xml:space="preserve">et à fournir des observations concernant le </w:t>
      </w:r>
      <w:r w:rsidRPr="00B637A3">
        <w:rPr>
          <w:rFonts w:cs="Arial"/>
          <w:snapToGrid w:val="0"/>
          <w:lang w:val="fr-FR" w:eastAsia="ja-JP"/>
        </w:rPr>
        <w:t>document UPOV/INF/12/5.</w:t>
      </w:r>
    </w:p>
    <w:p w:rsidR="00732899" w:rsidRPr="00B637A3" w:rsidRDefault="00732899" w:rsidP="00CD7CD3">
      <w:pPr>
        <w:rPr>
          <w:rFonts w:cs="Arial"/>
          <w:snapToGrid w:val="0"/>
          <w:lang w:val="fr-FR" w:eastAsia="ja-JP"/>
        </w:rPr>
      </w:pPr>
    </w:p>
    <w:p w:rsidR="00732899" w:rsidRPr="00B637A3" w:rsidRDefault="00DF2259" w:rsidP="00732899">
      <w:pPr>
        <w:rPr>
          <w:rFonts w:cs="Arial"/>
          <w:snapToGrid w:val="0"/>
          <w:lang w:val="fr-FR"/>
        </w:rPr>
      </w:pPr>
      <w:r w:rsidRPr="00B637A3">
        <w:rPr>
          <w:rFonts w:cs="Arial"/>
          <w:snapToGrid w:val="0"/>
          <w:lang w:val="fr-FR"/>
        </w:rPr>
        <w:fldChar w:fldCharType="begin"/>
      </w:r>
      <w:r w:rsidRPr="00B637A3">
        <w:rPr>
          <w:rFonts w:cs="Arial"/>
          <w:snapToGrid w:val="0"/>
          <w:lang w:val="fr-FR"/>
        </w:rPr>
        <w:instrText xml:space="preserve"> AUTONUM  </w:instrText>
      </w:r>
      <w:r w:rsidRPr="00B637A3">
        <w:rPr>
          <w:rFonts w:cs="Arial"/>
          <w:snapToGrid w:val="0"/>
          <w:lang w:val="fr-FR"/>
        </w:rPr>
        <w:fldChar w:fldCharType="end"/>
      </w:r>
      <w:r w:rsidRPr="00B637A3">
        <w:rPr>
          <w:rFonts w:cs="Arial"/>
          <w:snapToGrid w:val="0"/>
          <w:lang w:val="fr-FR"/>
        </w:rPr>
        <w:tab/>
      </w:r>
      <w:r w:rsidR="00732899" w:rsidRPr="00B637A3">
        <w:rPr>
          <w:rFonts w:cs="Arial"/>
          <w:snapToGrid w:val="0"/>
          <w:lang w:val="fr-FR"/>
        </w:rPr>
        <w:t>Les abréviations ci</w:t>
      </w:r>
      <w:r w:rsidR="00A44650" w:rsidRPr="00B637A3">
        <w:rPr>
          <w:rFonts w:cs="Arial"/>
          <w:snapToGrid w:val="0"/>
          <w:lang w:val="fr-FR"/>
        </w:rPr>
        <w:noBreakHyphen/>
      </w:r>
      <w:r w:rsidR="00732899" w:rsidRPr="00B637A3">
        <w:rPr>
          <w:rFonts w:cs="Arial"/>
          <w:snapToGrid w:val="0"/>
          <w:lang w:val="fr-FR"/>
        </w:rPr>
        <w:t>après sont utilisées dans le présent document</w:t>
      </w:r>
      <w:r w:rsidR="00635BC5" w:rsidRPr="00B637A3">
        <w:rPr>
          <w:rFonts w:cs="Arial"/>
          <w:snapToGrid w:val="0"/>
          <w:lang w:val="fr-FR"/>
        </w:rPr>
        <w:t> </w:t>
      </w:r>
      <w:r w:rsidR="00732899" w:rsidRPr="00B637A3">
        <w:rPr>
          <w:rFonts w:cs="Arial"/>
          <w:snapToGrid w:val="0"/>
          <w:lang w:val="fr-FR"/>
        </w:rPr>
        <w:t>:</w:t>
      </w:r>
    </w:p>
    <w:p w:rsidR="00732899" w:rsidRPr="00B637A3" w:rsidRDefault="00732899" w:rsidP="00DF2259">
      <w:pPr>
        <w:rPr>
          <w:rFonts w:cs="Arial"/>
          <w:snapToGrid w:val="0"/>
          <w:lang w:val="fr-FR"/>
        </w:rPr>
      </w:pPr>
    </w:p>
    <w:p w:rsidR="008C5BDF" w:rsidRPr="00B637A3" w:rsidRDefault="00732899" w:rsidP="00732899">
      <w:pPr>
        <w:ind w:left="567"/>
        <w:rPr>
          <w:rFonts w:cs="Arial"/>
          <w:snapToGrid w:val="0"/>
          <w:lang w:val="fr-FR"/>
        </w:rPr>
      </w:pPr>
      <w:r w:rsidRPr="00B637A3">
        <w:rPr>
          <w:rFonts w:cs="Arial"/>
          <w:snapToGrid w:val="0"/>
          <w:lang w:val="fr-FR"/>
        </w:rPr>
        <w:t>CAJ</w:t>
      </w:r>
      <w:r w:rsidR="00635BC5" w:rsidRPr="00B637A3">
        <w:rPr>
          <w:rFonts w:cs="Arial"/>
          <w:snapToGrid w:val="0"/>
          <w:lang w:val="fr-FR"/>
        </w:rPr>
        <w:t> </w:t>
      </w:r>
      <w:r w:rsidRPr="00B637A3">
        <w:rPr>
          <w:rFonts w:cs="Arial"/>
          <w:snapToGrid w:val="0"/>
          <w:lang w:val="fr-FR"/>
        </w:rPr>
        <w:t xml:space="preserve">: </w:t>
      </w:r>
      <w:r w:rsidRPr="00B637A3">
        <w:rPr>
          <w:rFonts w:cs="Arial"/>
          <w:snapToGrid w:val="0"/>
          <w:lang w:val="fr-FR"/>
        </w:rPr>
        <w:tab/>
      </w:r>
      <w:r w:rsidR="00081235" w:rsidRPr="00B637A3">
        <w:rPr>
          <w:rFonts w:cs="Arial"/>
          <w:snapToGrid w:val="0"/>
          <w:lang w:val="fr-FR"/>
        </w:rPr>
        <w:tab/>
      </w:r>
      <w:r w:rsidRPr="00B637A3">
        <w:rPr>
          <w:rFonts w:cs="Arial"/>
          <w:snapToGrid w:val="0"/>
          <w:lang w:val="fr-FR"/>
        </w:rPr>
        <w:t>Comité administratif et juridique</w:t>
      </w:r>
    </w:p>
    <w:p w:rsidR="008C5BDF" w:rsidRPr="00B637A3" w:rsidRDefault="00732899" w:rsidP="00732899">
      <w:pPr>
        <w:ind w:left="567"/>
        <w:rPr>
          <w:rFonts w:cs="Arial"/>
          <w:snapToGrid w:val="0"/>
          <w:lang w:val="fr-FR"/>
        </w:rPr>
      </w:pPr>
      <w:r w:rsidRPr="00B637A3">
        <w:rPr>
          <w:rFonts w:cs="Arial"/>
          <w:snapToGrid w:val="0"/>
          <w:lang w:val="fr-FR"/>
        </w:rPr>
        <w:t>CAJ</w:t>
      </w:r>
      <w:r w:rsidR="00A44650" w:rsidRPr="00B637A3">
        <w:rPr>
          <w:rFonts w:cs="Arial"/>
          <w:snapToGrid w:val="0"/>
          <w:lang w:val="fr-FR"/>
        </w:rPr>
        <w:noBreakHyphen/>
      </w:r>
      <w:r w:rsidRPr="00B637A3">
        <w:rPr>
          <w:rFonts w:cs="Arial"/>
          <w:snapToGrid w:val="0"/>
          <w:lang w:val="fr-FR"/>
        </w:rPr>
        <w:t>AG</w:t>
      </w:r>
      <w:r w:rsidR="00635BC5" w:rsidRPr="00B637A3">
        <w:rPr>
          <w:rFonts w:cs="Arial"/>
          <w:snapToGrid w:val="0"/>
          <w:lang w:val="fr-FR"/>
        </w:rPr>
        <w:t> </w:t>
      </w:r>
      <w:r w:rsidRPr="00B637A3">
        <w:rPr>
          <w:rFonts w:cs="Arial"/>
          <w:snapToGrid w:val="0"/>
          <w:lang w:val="fr-FR"/>
        </w:rPr>
        <w:t xml:space="preserve">: </w:t>
      </w:r>
      <w:r w:rsidRPr="00B637A3">
        <w:rPr>
          <w:rFonts w:cs="Arial"/>
          <w:snapToGrid w:val="0"/>
          <w:lang w:val="fr-FR"/>
        </w:rPr>
        <w:tab/>
        <w:t>Groupe consultatif du Comité administratif et juridique</w:t>
      </w:r>
    </w:p>
    <w:p w:rsidR="00732899" w:rsidRPr="00B637A3" w:rsidRDefault="00732899" w:rsidP="00732899">
      <w:pPr>
        <w:ind w:left="567"/>
        <w:rPr>
          <w:rFonts w:cs="Arial"/>
          <w:snapToGrid w:val="0"/>
          <w:lang w:val="fr-FR"/>
        </w:rPr>
      </w:pPr>
      <w:r w:rsidRPr="00B637A3">
        <w:rPr>
          <w:rFonts w:cs="Arial"/>
          <w:snapToGrid w:val="0"/>
          <w:lang w:val="fr-FR"/>
        </w:rPr>
        <w:t>TC</w:t>
      </w:r>
      <w:r w:rsidR="00635BC5" w:rsidRPr="00B637A3">
        <w:rPr>
          <w:rFonts w:cs="Arial"/>
          <w:snapToGrid w:val="0"/>
          <w:lang w:val="fr-FR"/>
        </w:rPr>
        <w:t> </w:t>
      </w:r>
      <w:r w:rsidRPr="00B637A3">
        <w:rPr>
          <w:rFonts w:cs="Arial"/>
          <w:snapToGrid w:val="0"/>
          <w:lang w:val="fr-FR"/>
        </w:rPr>
        <w:t xml:space="preserve">: </w:t>
      </w:r>
      <w:r w:rsidRPr="00B637A3">
        <w:rPr>
          <w:rFonts w:cs="Arial"/>
          <w:snapToGrid w:val="0"/>
          <w:lang w:val="fr-FR"/>
        </w:rPr>
        <w:tab/>
      </w:r>
      <w:r w:rsidR="003B0423" w:rsidRPr="00B637A3">
        <w:rPr>
          <w:rFonts w:cs="Arial"/>
          <w:snapToGrid w:val="0"/>
          <w:lang w:val="fr-FR"/>
        </w:rPr>
        <w:tab/>
      </w:r>
      <w:r w:rsidRPr="00B637A3">
        <w:rPr>
          <w:rFonts w:cs="Arial"/>
          <w:snapToGrid w:val="0"/>
          <w:lang w:val="fr-FR"/>
        </w:rPr>
        <w:t>Comité technique</w:t>
      </w:r>
    </w:p>
    <w:p w:rsidR="008C5BDF" w:rsidRPr="00B637A3" w:rsidRDefault="00732899" w:rsidP="00197650">
      <w:pPr>
        <w:keepNext/>
        <w:ind w:left="1692" w:hanging="1125"/>
        <w:rPr>
          <w:snapToGrid w:val="0"/>
          <w:lang w:val="fr-FR" w:eastAsia="ja-JP"/>
        </w:rPr>
      </w:pPr>
      <w:r w:rsidRPr="00B637A3">
        <w:rPr>
          <w:snapToGrid w:val="0"/>
          <w:lang w:val="fr-FR" w:eastAsia="ja-JP"/>
        </w:rPr>
        <w:t>WG</w:t>
      </w:r>
      <w:r w:rsidR="00A44650" w:rsidRPr="00B637A3">
        <w:rPr>
          <w:snapToGrid w:val="0"/>
          <w:lang w:val="fr-FR" w:eastAsia="ja-JP"/>
        </w:rPr>
        <w:noBreakHyphen/>
      </w:r>
      <w:r w:rsidRPr="00B637A3">
        <w:rPr>
          <w:snapToGrid w:val="0"/>
          <w:lang w:val="fr-FR" w:eastAsia="ja-JP"/>
        </w:rPr>
        <w:t>DST</w:t>
      </w:r>
      <w:r w:rsidR="00635BC5" w:rsidRPr="00B637A3">
        <w:rPr>
          <w:snapToGrid w:val="0"/>
          <w:lang w:val="fr-FR" w:eastAsia="ja-JP"/>
        </w:rPr>
        <w:t> </w:t>
      </w:r>
      <w:r w:rsidRPr="00B637A3">
        <w:rPr>
          <w:snapToGrid w:val="0"/>
          <w:lang w:val="fr-FR" w:eastAsia="ja-JP"/>
        </w:rPr>
        <w:t xml:space="preserve">: </w:t>
      </w:r>
      <w:r w:rsidRPr="00B637A3">
        <w:rPr>
          <w:snapToGrid w:val="0"/>
          <w:lang w:val="fr-FR" w:eastAsia="ja-JP"/>
        </w:rPr>
        <w:tab/>
        <w:t>Groupe de travail sur l</w:t>
      </w:r>
      <w:r w:rsidR="00DF1AFC" w:rsidRPr="00B637A3">
        <w:rPr>
          <w:snapToGrid w:val="0"/>
          <w:lang w:val="fr-FR" w:eastAsia="ja-JP"/>
        </w:rPr>
        <w:t>’</w:t>
      </w:r>
      <w:r w:rsidRPr="00B637A3">
        <w:rPr>
          <w:snapToGrid w:val="0"/>
          <w:lang w:val="fr-FR" w:eastAsia="ja-JP"/>
        </w:rPr>
        <w:t>élaboration d</w:t>
      </w:r>
      <w:r w:rsidR="00DF1AFC" w:rsidRPr="00B637A3">
        <w:rPr>
          <w:snapToGrid w:val="0"/>
          <w:lang w:val="fr-FR" w:eastAsia="ja-JP"/>
        </w:rPr>
        <w:t>’</w:t>
      </w:r>
      <w:r w:rsidRPr="00B637A3">
        <w:rPr>
          <w:snapToGrid w:val="0"/>
          <w:lang w:val="fr-FR" w:eastAsia="ja-JP"/>
        </w:rPr>
        <w:t>un moteur de recherche de similitudes de l</w:t>
      </w:r>
      <w:r w:rsidR="00DF1AFC" w:rsidRPr="00B637A3">
        <w:rPr>
          <w:snapToGrid w:val="0"/>
          <w:lang w:val="fr-FR" w:eastAsia="ja-JP"/>
        </w:rPr>
        <w:t>’</w:t>
      </w:r>
      <w:r w:rsidRPr="00B637A3">
        <w:rPr>
          <w:snapToGrid w:val="0"/>
          <w:lang w:val="fr-FR" w:eastAsia="ja-JP"/>
        </w:rPr>
        <w:t>UPOV aux fins de la dénomination variétale</w:t>
      </w:r>
    </w:p>
    <w:p w:rsidR="00732899" w:rsidRPr="00B637A3" w:rsidRDefault="008B25B1" w:rsidP="00D02D52">
      <w:pPr>
        <w:keepNext/>
        <w:ind w:left="567"/>
        <w:rPr>
          <w:snapToGrid w:val="0"/>
          <w:lang w:val="fr-FR" w:eastAsia="ja-JP"/>
        </w:rPr>
      </w:pPr>
      <w:r w:rsidRPr="00B637A3">
        <w:rPr>
          <w:snapToGrid w:val="0"/>
          <w:lang w:val="fr-FR" w:eastAsia="ja-JP"/>
        </w:rPr>
        <w:t>WG</w:t>
      </w:r>
      <w:r w:rsidR="00A44650" w:rsidRPr="00B637A3">
        <w:rPr>
          <w:snapToGrid w:val="0"/>
          <w:lang w:val="fr-FR" w:eastAsia="ja-JP"/>
        </w:rPr>
        <w:noBreakHyphen/>
      </w:r>
      <w:r w:rsidRPr="00B637A3">
        <w:rPr>
          <w:snapToGrid w:val="0"/>
          <w:lang w:val="fr-FR" w:eastAsia="ja-JP"/>
        </w:rPr>
        <w:t>DEN</w:t>
      </w:r>
      <w:r w:rsidR="00635BC5" w:rsidRPr="00B637A3">
        <w:rPr>
          <w:snapToGrid w:val="0"/>
          <w:lang w:val="fr-FR" w:eastAsia="ja-JP"/>
        </w:rPr>
        <w:t xml:space="preserve"> : </w:t>
      </w:r>
      <w:r w:rsidRPr="00B637A3">
        <w:rPr>
          <w:snapToGrid w:val="0"/>
          <w:lang w:val="fr-FR" w:eastAsia="ja-JP"/>
        </w:rPr>
        <w:tab/>
      </w:r>
      <w:r w:rsidR="003B0423" w:rsidRPr="00B637A3">
        <w:rPr>
          <w:lang w:val="fr-FR" w:eastAsia="ja-JP"/>
        </w:rPr>
        <w:t>Groupe de travail sur les dénominations variétales</w:t>
      </w:r>
    </w:p>
    <w:p w:rsidR="00732899" w:rsidRPr="00B637A3" w:rsidRDefault="00732899" w:rsidP="00904AC6">
      <w:pPr>
        <w:rPr>
          <w:lang w:val="fr-FR"/>
        </w:rPr>
      </w:pPr>
    </w:p>
    <w:p w:rsidR="00732899" w:rsidRPr="00B637A3" w:rsidRDefault="00ED3F59">
      <w:pPr>
        <w:jc w:val="left"/>
        <w:rPr>
          <w:rFonts w:cs="Arial"/>
          <w:snapToGrid w:val="0"/>
          <w:lang w:val="fr-FR"/>
        </w:rPr>
      </w:pPr>
      <w:r w:rsidRPr="00B637A3">
        <w:rPr>
          <w:rFonts w:cs="Arial"/>
          <w:snapToGrid w:val="0"/>
          <w:lang w:val="fr-FR"/>
        </w:rPr>
        <w:br w:type="page"/>
      </w:r>
    </w:p>
    <w:p w:rsidR="00732899" w:rsidRPr="00B637A3" w:rsidRDefault="00DF2259" w:rsidP="00732899">
      <w:pPr>
        <w:keepNext/>
        <w:rPr>
          <w:rFonts w:cs="Arial"/>
          <w:snapToGrid w:val="0"/>
          <w:lang w:val="fr-FR" w:eastAsia="ja-JP"/>
        </w:rPr>
      </w:pPr>
      <w:r w:rsidRPr="00B637A3">
        <w:rPr>
          <w:rFonts w:cs="Arial"/>
          <w:snapToGrid w:val="0"/>
          <w:lang w:val="fr-FR"/>
        </w:rPr>
        <w:lastRenderedPageBreak/>
        <w:fldChar w:fldCharType="begin"/>
      </w:r>
      <w:r w:rsidRPr="00B637A3">
        <w:rPr>
          <w:rFonts w:cs="Arial"/>
          <w:snapToGrid w:val="0"/>
          <w:lang w:val="fr-FR"/>
        </w:rPr>
        <w:instrText xml:space="preserve"> AUTONUM  </w:instrText>
      </w:r>
      <w:r w:rsidRPr="00B637A3">
        <w:rPr>
          <w:rFonts w:cs="Arial"/>
          <w:snapToGrid w:val="0"/>
          <w:lang w:val="fr-FR"/>
        </w:rPr>
        <w:fldChar w:fldCharType="end"/>
      </w:r>
      <w:r w:rsidRPr="00B637A3">
        <w:rPr>
          <w:rFonts w:cs="Arial"/>
          <w:snapToGrid w:val="0"/>
          <w:lang w:val="fr-FR"/>
        </w:rPr>
        <w:tab/>
      </w:r>
      <w:r w:rsidR="00732899" w:rsidRPr="00B637A3">
        <w:rPr>
          <w:rFonts w:cs="Arial"/>
          <w:snapToGrid w:val="0"/>
          <w:lang w:val="fr-FR"/>
        </w:rPr>
        <w:t>La structure du présent document est la suivante</w:t>
      </w:r>
      <w:r w:rsidR="00635BC5" w:rsidRPr="00B637A3">
        <w:rPr>
          <w:rFonts w:cs="Arial"/>
          <w:snapToGrid w:val="0"/>
          <w:lang w:val="fr-FR"/>
        </w:rPr>
        <w:t> </w:t>
      </w:r>
      <w:r w:rsidR="00732899" w:rsidRPr="00B637A3">
        <w:rPr>
          <w:rFonts w:cs="Arial"/>
          <w:snapToGrid w:val="0"/>
          <w:lang w:val="fr-FR"/>
        </w:rPr>
        <w:t>:</w:t>
      </w:r>
    </w:p>
    <w:p w:rsidR="00732899" w:rsidRPr="00B637A3" w:rsidRDefault="00732899" w:rsidP="00377FF4">
      <w:pPr>
        <w:rPr>
          <w:rFonts w:cs="Arial"/>
          <w:snapToGrid w:val="0"/>
          <w:lang w:val="fr-FR" w:eastAsia="ja-JP"/>
        </w:rPr>
      </w:pPr>
    </w:p>
    <w:p w:rsidR="00DD4ABB" w:rsidRPr="00B637A3" w:rsidRDefault="00822961">
      <w:pPr>
        <w:pStyle w:val="TOC1"/>
        <w:rPr>
          <w:rFonts w:asciiTheme="minorHAnsi" w:hAnsiTheme="minorHAnsi" w:cstheme="minorBidi"/>
          <w:bCs w:val="0"/>
          <w:caps w:val="0"/>
          <w:noProof/>
          <w:sz w:val="22"/>
          <w:szCs w:val="22"/>
        </w:rPr>
      </w:pPr>
      <w:r w:rsidRPr="00B637A3">
        <w:rPr>
          <w:rFonts w:cs="Arial"/>
          <w:noProof/>
          <w:snapToGrid w:val="0"/>
          <w:lang w:val="fr-FR"/>
        </w:rPr>
        <w:fldChar w:fldCharType="begin"/>
      </w:r>
      <w:r w:rsidRPr="00B637A3">
        <w:rPr>
          <w:rFonts w:cs="Arial"/>
          <w:snapToGrid w:val="0"/>
          <w:lang w:val="fr-FR"/>
        </w:rPr>
        <w:instrText xml:space="preserve"> TOC \o "1-3" \h \z \u </w:instrText>
      </w:r>
      <w:r w:rsidRPr="00B637A3">
        <w:rPr>
          <w:rFonts w:cs="Arial"/>
          <w:noProof/>
          <w:snapToGrid w:val="0"/>
          <w:lang w:val="fr-FR"/>
        </w:rPr>
        <w:fldChar w:fldCharType="separate"/>
      </w:r>
      <w:hyperlink w:anchor="_Toc442940330" w:history="1">
        <w:r w:rsidR="00DD4ABB" w:rsidRPr="00B637A3">
          <w:rPr>
            <w:rStyle w:val="Hyperlink"/>
            <w:noProof/>
            <w:color w:val="auto"/>
          </w:rPr>
          <w:t>RéSUMé</w:t>
        </w:r>
        <w:r w:rsidR="00DD4ABB" w:rsidRPr="00B637A3">
          <w:rPr>
            <w:noProof/>
            <w:webHidden/>
          </w:rPr>
          <w:tab/>
        </w:r>
        <w:r w:rsidR="00DD4ABB" w:rsidRPr="00B637A3">
          <w:rPr>
            <w:noProof/>
            <w:webHidden/>
          </w:rPr>
          <w:fldChar w:fldCharType="begin"/>
        </w:r>
        <w:r w:rsidR="00DD4ABB" w:rsidRPr="00B637A3">
          <w:rPr>
            <w:noProof/>
            <w:webHidden/>
          </w:rPr>
          <w:instrText xml:space="preserve"> PAGEREF _Toc442940330 \h </w:instrText>
        </w:r>
        <w:r w:rsidR="00DD4ABB" w:rsidRPr="00B637A3">
          <w:rPr>
            <w:noProof/>
            <w:webHidden/>
          </w:rPr>
        </w:r>
        <w:r w:rsidR="00DD4ABB" w:rsidRPr="00B637A3">
          <w:rPr>
            <w:noProof/>
            <w:webHidden/>
          </w:rPr>
          <w:fldChar w:fldCharType="separate"/>
        </w:r>
        <w:r w:rsidR="00500A68">
          <w:rPr>
            <w:noProof/>
            <w:webHidden/>
          </w:rPr>
          <w:t>1</w:t>
        </w:r>
        <w:r w:rsidR="00DD4ABB" w:rsidRPr="00B637A3">
          <w:rPr>
            <w:noProof/>
            <w:webHidden/>
          </w:rPr>
          <w:fldChar w:fldCharType="end"/>
        </w:r>
      </w:hyperlink>
    </w:p>
    <w:p w:rsidR="00DD4ABB" w:rsidRPr="00B637A3" w:rsidRDefault="00500A68">
      <w:pPr>
        <w:pStyle w:val="TOC1"/>
        <w:rPr>
          <w:rFonts w:asciiTheme="minorHAnsi" w:hAnsiTheme="minorHAnsi" w:cstheme="minorBidi"/>
          <w:bCs w:val="0"/>
          <w:caps w:val="0"/>
          <w:noProof/>
          <w:sz w:val="22"/>
          <w:szCs w:val="22"/>
        </w:rPr>
      </w:pPr>
      <w:hyperlink w:anchor="_Toc442940331" w:history="1">
        <w:r w:rsidR="00DD4ABB" w:rsidRPr="00B637A3">
          <w:rPr>
            <w:rStyle w:val="Hyperlink"/>
            <w:noProof/>
            <w:snapToGrid w:val="0"/>
            <w:color w:val="auto"/>
          </w:rPr>
          <w:t>Possibilité d’élaboration d’un outil de recherche de l’UPOV de similarité aux fins de la dénomination variétale</w:t>
        </w:r>
        <w:r w:rsidR="00DD4ABB" w:rsidRPr="00B637A3">
          <w:rPr>
            <w:noProof/>
            <w:webHidden/>
          </w:rPr>
          <w:tab/>
        </w:r>
        <w:r w:rsidR="00DD4ABB" w:rsidRPr="00B637A3">
          <w:rPr>
            <w:noProof/>
            <w:webHidden/>
          </w:rPr>
          <w:fldChar w:fldCharType="begin"/>
        </w:r>
        <w:r w:rsidR="00DD4ABB" w:rsidRPr="00B637A3">
          <w:rPr>
            <w:noProof/>
            <w:webHidden/>
          </w:rPr>
          <w:instrText xml:space="preserve"> PAGEREF _Toc442940331 \h </w:instrText>
        </w:r>
        <w:r w:rsidR="00DD4ABB" w:rsidRPr="00B637A3">
          <w:rPr>
            <w:noProof/>
            <w:webHidden/>
          </w:rPr>
        </w:r>
        <w:r w:rsidR="00DD4ABB" w:rsidRPr="00B637A3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D4ABB" w:rsidRPr="00B637A3">
          <w:rPr>
            <w:noProof/>
            <w:webHidden/>
          </w:rPr>
          <w:fldChar w:fldCharType="end"/>
        </w:r>
      </w:hyperlink>
    </w:p>
    <w:p w:rsidR="00DD4ABB" w:rsidRPr="00B637A3" w:rsidRDefault="00500A68">
      <w:pPr>
        <w:pStyle w:val="TOC1"/>
        <w:rPr>
          <w:rFonts w:asciiTheme="minorHAnsi" w:hAnsiTheme="minorHAnsi" w:cstheme="minorBidi"/>
          <w:bCs w:val="0"/>
          <w:caps w:val="0"/>
          <w:noProof/>
          <w:sz w:val="22"/>
          <w:szCs w:val="22"/>
        </w:rPr>
      </w:pPr>
      <w:hyperlink w:anchor="_Toc442940332" w:history="1">
        <w:r w:rsidR="00DD4ABB" w:rsidRPr="00B637A3">
          <w:rPr>
            <w:rStyle w:val="Hyperlink"/>
            <w:noProof/>
            <w:snapToGrid w:val="0"/>
            <w:color w:val="auto"/>
          </w:rPr>
          <w:t>Révision éventuelle du document UPOV/INF/12 “Notes explicatives concernant les dénominations variétales en vertu de la Convention UPOV”</w:t>
        </w:r>
        <w:r w:rsidR="00DD4ABB" w:rsidRPr="00B637A3">
          <w:rPr>
            <w:noProof/>
            <w:webHidden/>
          </w:rPr>
          <w:tab/>
        </w:r>
        <w:r w:rsidR="00DD4ABB" w:rsidRPr="00B637A3">
          <w:rPr>
            <w:noProof/>
            <w:webHidden/>
          </w:rPr>
          <w:fldChar w:fldCharType="begin"/>
        </w:r>
        <w:r w:rsidR="00DD4ABB" w:rsidRPr="00B637A3">
          <w:rPr>
            <w:noProof/>
            <w:webHidden/>
          </w:rPr>
          <w:instrText xml:space="preserve"> PAGEREF _Toc442940332 \h </w:instrText>
        </w:r>
        <w:r w:rsidR="00DD4ABB" w:rsidRPr="00B637A3">
          <w:rPr>
            <w:noProof/>
            <w:webHidden/>
          </w:rPr>
        </w:r>
        <w:r w:rsidR="00DD4ABB" w:rsidRPr="00B637A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D4ABB" w:rsidRPr="00B637A3">
          <w:rPr>
            <w:noProof/>
            <w:webHidden/>
          </w:rPr>
          <w:fldChar w:fldCharType="end"/>
        </w:r>
      </w:hyperlink>
    </w:p>
    <w:p w:rsidR="00DD4ABB" w:rsidRPr="00B637A3" w:rsidRDefault="00500A68">
      <w:pPr>
        <w:pStyle w:val="TOC2"/>
        <w:rPr>
          <w:rFonts w:asciiTheme="minorHAnsi" w:hAnsiTheme="minorHAnsi" w:cstheme="minorBidi"/>
          <w:i w:val="0"/>
          <w:noProof/>
          <w:sz w:val="22"/>
          <w:szCs w:val="22"/>
        </w:rPr>
      </w:pPr>
      <w:hyperlink w:anchor="_Toc442940333" w:history="1">
        <w:r w:rsidR="00DD4ABB" w:rsidRPr="00B637A3">
          <w:rPr>
            <w:rStyle w:val="Hyperlink"/>
            <w:noProof/>
            <w:color w:val="auto"/>
          </w:rPr>
          <w:t>Orientations concernant les modifications de dénominations variétales enregistrées</w:t>
        </w:r>
        <w:r w:rsidR="00DD4ABB" w:rsidRPr="00B637A3">
          <w:rPr>
            <w:noProof/>
            <w:webHidden/>
          </w:rPr>
          <w:tab/>
        </w:r>
        <w:r w:rsidR="00DD4ABB" w:rsidRPr="00B637A3">
          <w:rPr>
            <w:noProof/>
            <w:webHidden/>
          </w:rPr>
          <w:fldChar w:fldCharType="begin"/>
        </w:r>
        <w:r w:rsidR="00DD4ABB" w:rsidRPr="00B637A3">
          <w:rPr>
            <w:noProof/>
            <w:webHidden/>
          </w:rPr>
          <w:instrText xml:space="preserve"> PAGEREF _Toc442940333 \h </w:instrText>
        </w:r>
        <w:r w:rsidR="00DD4ABB" w:rsidRPr="00B637A3">
          <w:rPr>
            <w:noProof/>
            <w:webHidden/>
          </w:rPr>
        </w:r>
        <w:r w:rsidR="00DD4ABB" w:rsidRPr="00B637A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D4ABB" w:rsidRPr="00B637A3">
          <w:rPr>
            <w:noProof/>
            <w:webHidden/>
          </w:rPr>
          <w:fldChar w:fldCharType="end"/>
        </w:r>
      </w:hyperlink>
    </w:p>
    <w:p w:rsidR="00DD4ABB" w:rsidRPr="00B637A3" w:rsidRDefault="00500A68">
      <w:pPr>
        <w:pStyle w:val="TOC2"/>
        <w:rPr>
          <w:rFonts w:asciiTheme="minorHAnsi" w:hAnsiTheme="minorHAnsi" w:cstheme="minorBidi"/>
          <w:i w:val="0"/>
          <w:noProof/>
          <w:sz w:val="22"/>
          <w:szCs w:val="22"/>
        </w:rPr>
      </w:pPr>
      <w:hyperlink w:anchor="_Toc442940334" w:history="1">
        <w:r w:rsidR="00DD4ABB" w:rsidRPr="00B637A3">
          <w:rPr>
            <w:rStyle w:val="Hyperlink"/>
            <w:noProof/>
            <w:color w:val="auto"/>
          </w:rPr>
          <w:t>Autres sections</w:t>
        </w:r>
        <w:r w:rsidR="00DD4ABB" w:rsidRPr="00B637A3">
          <w:rPr>
            <w:noProof/>
            <w:webHidden/>
          </w:rPr>
          <w:tab/>
        </w:r>
        <w:r w:rsidR="00DD4ABB" w:rsidRPr="00B637A3">
          <w:rPr>
            <w:noProof/>
            <w:webHidden/>
          </w:rPr>
          <w:fldChar w:fldCharType="begin"/>
        </w:r>
        <w:r w:rsidR="00DD4ABB" w:rsidRPr="00B637A3">
          <w:rPr>
            <w:noProof/>
            <w:webHidden/>
          </w:rPr>
          <w:instrText xml:space="preserve"> PAGEREF _Toc442940334 \h </w:instrText>
        </w:r>
        <w:r w:rsidR="00DD4ABB" w:rsidRPr="00B637A3">
          <w:rPr>
            <w:noProof/>
            <w:webHidden/>
          </w:rPr>
        </w:r>
        <w:r w:rsidR="00DD4ABB" w:rsidRPr="00B637A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D4ABB" w:rsidRPr="00B637A3">
          <w:rPr>
            <w:noProof/>
            <w:webHidden/>
          </w:rPr>
          <w:fldChar w:fldCharType="end"/>
        </w:r>
      </w:hyperlink>
    </w:p>
    <w:p w:rsidR="00DD4ABB" w:rsidRPr="00B637A3" w:rsidRDefault="00500A68">
      <w:pPr>
        <w:pStyle w:val="TOC2"/>
        <w:rPr>
          <w:rFonts w:asciiTheme="minorHAnsi" w:hAnsiTheme="minorHAnsi" w:cstheme="minorBidi"/>
          <w:i w:val="0"/>
          <w:noProof/>
          <w:sz w:val="22"/>
          <w:szCs w:val="22"/>
        </w:rPr>
      </w:pPr>
      <w:hyperlink w:anchor="_Toc442940335" w:history="1">
        <w:r w:rsidR="00DD4ABB" w:rsidRPr="00B637A3">
          <w:rPr>
            <w:rStyle w:val="Hyperlink"/>
            <w:noProof/>
            <w:color w:val="auto"/>
          </w:rPr>
          <w:t>Exposé présenté par l’Argentine</w:t>
        </w:r>
        <w:r w:rsidR="00DD4ABB" w:rsidRPr="00B637A3">
          <w:rPr>
            <w:noProof/>
            <w:webHidden/>
          </w:rPr>
          <w:tab/>
        </w:r>
        <w:r w:rsidR="00DD4ABB" w:rsidRPr="00B637A3">
          <w:rPr>
            <w:noProof/>
            <w:webHidden/>
          </w:rPr>
          <w:fldChar w:fldCharType="begin"/>
        </w:r>
        <w:r w:rsidR="00DD4ABB" w:rsidRPr="00B637A3">
          <w:rPr>
            <w:noProof/>
            <w:webHidden/>
          </w:rPr>
          <w:instrText xml:space="preserve"> PAGEREF _Toc442940335 \h </w:instrText>
        </w:r>
        <w:r w:rsidR="00DD4ABB" w:rsidRPr="00B637A3">
          <w:rPr>
            <w:noProof/>
            <w:webHidden/>
          </w:rPr>
        </w:r>
        <w:r w:rsidR="00DD4ABB" w:rsidRPr="00B637A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DD4ABB" w:rsidRPr="00B637A3">
          <w:rPr>
            <w:noProof/>
            <w:webHidden/>
          </w:rPr>
          <w:fldChar w:fldCharType="end"/>
        </w:r>
      </w:hyperlink>
    </w:p>
    <w:p w:rsidR="00DD4ABB" w:rsidRPr="00B637A3" w:rsidRDefault="00500A68">
      <w:pPr>
        <w:pStyle w:val="TOC2"/>
        <w:rPr>
          <w:rFonts w:asciiTheme="minorHAnsi" w:hAnsiTheme="minorHAnsi" w:cstheme="minorBidi"/>
          <w:i w:val="0"/>
          <w:noProof/>
          <w:sz w:val="22"/>
          <w:szCs w:val="22"/>
        </w:rPr>
      </w:pPr>
      <w:hyperlink w:anchor="_Toc442940336" w:history="1">
        <w:r w:rsidR="00DD4ABB" w:rsidRPr="00B637A3">
          <w:rPr>
            <w:rStyle w:val="Hyperlink"/>
            <w:noProof/>
            <w:color w:val="auto"/>
          </w:rPr>
          <w:t>Prochaines étapes</w:t>
        </w:r>
        <w:r w:rsidR="00DD4ABB" w:rsidRPr="00B637A3">
          <w:rPr>
            <w:noProof/>
            <w:webHidden/>
          </w:rPr>
          <w:tab/>
        </w:r>
        <w:r w:rsidR="00DD4ABB" w:rsidRPr="00B637A3">
          <w:rPr>
            <w:noProof/>
            <w:webHidden/>
          </w:rPr>
          <w:fldChar w:fldCharType="begin"/>
        </w:r>
        <w:r w:rsidR="00DD4ABB" w:rsidRPr="00B637A3">
          <w:rPr>
            <w:noProof/>
            <w:webHidden/>
          </w:rPr>
          <w:instrText xml:space="preserve"> PAGEREF _Toc442940336 \h </w:instrText>
        </w:r>
        <w:r w:rsidR="00DD4ABB" w:rsidRPr="00B637A3">
          <w:rPr>
            <w:noProof/>
            <w:webHidden/>
          </w:rPr>
        </w:r>
        <w:r w:rsidR="00DD4ABB" w:rsidRPr="00B637A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DD4ABB" w:rsidRPr="00B637A3">
          <w:rPr>
            <w:noProof/>
            <w:webHidden/>
          </w:rPr>
          <w:fldChar w:fldCharType="end"/>
        </w:r>
      </w:hyperlink>
    </w:p>
    <w:p w:rsidR="00732899" w:rsidRPr="00B637A3" w:rsidRDefault="00822961" w:rsidP="00DF2259">
      <w:pPr>
        <w:rPr>
          <w:rFonts w:cs="Arial"/>
          <w:snapToGrid w:val="0"/>
          <w:lang w:val="fr-FR" w:eastAsia="ja-JP"/>
        </w:rPr>
      </w:pPr>
      <w:r w:rsidRPr="00B637A3">
        <w:rPr>
          <w:rFonts w:cs="Arial"/>
          <w:snapToGrid w:val="0"/>
          <w:lang w:val="fr-FR"/>
        </w:rPr>
        <w:fldChar w:fldCharType="end"/>
      </w:r>
    </w:p>
    <w:p w:rsidR="00732899" w:rsidRPr="00B637A3" w:rsidRDefault="00732899" w:rsidP="00DF2259">
      <w:pPr>
        <w:rPr>
          <w:rFonts w:cs="Arial"/>
          <w:snapToGrid w:val="0"/>
          <w:lang w:val="fr-FR" w:eastAsia="ja-JP"/>
        </w:rPr>
      </w:pPr>
    </w:p>
    <w:p w:rsidR="00732899" w:rsidRPr="00B637A3" w:rsidRDefault="00732899" w:rsidP="003A37E8">
      <w:pPr>
        <w:pStyle w:val="Heading1"/>
        <w:rPr>
          <w:snapToGrid w:val="0"/>
          <w:color w:val="auto"/>
        </w:rPr>
      </w:pPr>
      <w:bookmarkStart w:id="6" w:name="_Toc442940331"/>
      <w:r w:rsidRPr="00B637A3">
        <w:rPr>
          <w:snapToGrid w:val="0"/>
          <w:color w:val="auto"/>
        </w:rPr>
        <w:t>Possibilité d</w:t>
      </w:r>
      <w:r w:rsidR="00DF1AFC" w:rsidRPr="00B637A3">
        <w:rPr>
          <w:snapToGrid w:val="0"/>
          <w:color w:val="auto"/>
        </w:rPr>
        <w:t>’</w:t>
      </w:r>
      <w:r w:rsidRPr="00B637A3">
        <w:rPr>
          <w:snapToGrid w:val="0"/>
          <w:color w:val="auto"/>
        </w:rPr>
        <w:t>élaboration d</w:t>
      </w:r>
      <w:r w:rsidR="00DF1AFC" w:rsidRPr="00B637A3">
        <w:rPr>
          <w:snapToGrid w:val="0"/>
          <w:color w:val="auto"/>
        </w:rPr>
        <w:t>’</w:t>
      </w:r>
      <w:r w:rsidRPr="00B637A3">
        <w:rPr>
          <w:snapToGrid w:val="0"/>
          <w:color w:val="auto"/>
        </w:rPr>
        <w:t>un outil de recherche de l</w:t>
      </w:r>
      <w:r w:rsidR="00DF1AFC" w:rsidRPr="00B637A3">
        <w:rPr>
          <w:snapToGrid w:val="0"/>
          <w:color w:val="auto"/>
        </w:rPr>
        <w:t>’</w:t>
      </w:r>
      <w:r w:rsidRPr="00B637A3">
        <w:rPr>
          <w:snapToGrid w:val="0"/>
          <w:color w:val="auto"/>
        </w:rPr>
        <w:t>UPOV de similarité aux fins de la dénomination variétale</w:t>
      </w:r>
      <w:bookmarkEnd w:id="6"/>
    </w:p>
    <w:p w:rsidR="00732899" w:rsidRPr="00B637A3" w:rsidRDefault="00732899" w:rsidP="008F5F2F">
      <w:pPr>
        <w:rPr>
          <w:rFonts w:cs="Arial"/>
          <w:snapToGrid w:val="0"/>
          <w:lang w:val="fr-FR"/>
        </w:rPr>
      </w:pPr>
    </w:p>
    <w:p w:rsidR="00732899" w:rsidRPr="00B637A3" w:rsidRDefault="008F5F2F" w:rsidP="00732899">
      <w:pPr>
        <w:rPr>
          <w:szCs w:val="24"/>
          <w:lang w:val="fr-FR" w:eastAsia="ja-JP"/>
        </w:rPr>
      </w:pPr>
      <w:r w:rsidRPr="00B637A3">
        <w:rPr>
          <w:lang w:val="fr-FR"/>
        </w:rPr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Pr="00B637A3">
        <w:rPr>
          <w:lang w:val="fr-FR"/>
        </w:rPr>
        <w:tab/>
      </w:r>
      <w:r w:rsidR="00732899" w:rsidRPr="00B637A3">
        <w:rPr>
          <w:lang w:val="fr-FR"/>
        </w:rPr>
        <w:t xml:space="preserve">Les informations générales sur cette question sont fournies dans le </w:t>
      </w:r>
      <w:r w:rsidR="00DF1AFC" w:rsidRPr="00B637A3">
        <w:rPr>
          <w:lang w:val="fr-FR"/>
        </w:rPr>
        <w:t>document TC</w:t>
      </w:r>
      <w:r w:rsidR="00732899" w:rsidRPr="00B637A3">
        <w:rPr>
          <w:lang w:val="fr-FR"/>
        </w:rPr>
        <w:t>/51/12 “Dénominations variétales”.</w:t>
      </w:r>
    </w:p>
    <w:p w:rsidR="00732899" w:rsidRPr="00B637A3" w:rsidRDefault="00732899" w:rsidP="008F5F2F">
      <w:pPr>
        <w:rPr>
          <w:szCs w:val="24"/>
          <w:lang w:val="fr-FR" w:eastAsia="ja-JP"/>
        </w:rPr>
      </w:pPr>
    </w:p>
    <w:p w:rsidR="00732899" w:rsidRPr="00B637A3" w:rsidRDefault="007B5BBF" w:rsidP="008F5F2F">
      <w:pPr>
        <w:rPr>
          <w:szCs w:val="24"/>
          <w:lang w:val="fr-FR" w:eastAsia="ja-JP"/>
        </w:rPr>
      </w:pPr>
      <w:r w:rsidRPr="00B637A3">
        <w:rPr>
          <w:lang w:val="fr-FR"/>
        </w:rPr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Pr="00B637A3">
        <w:rPr>
          <w:lang w:val="fr-FR"/>
        </w:rPr>
        <w:tab/>
      </w:r>
      <w:r w:rsidR="00E74765" w:rsidRPr="00B637A3">
        <w:rPr>
          <w:lang w:val="fr-FR" w:eastAsia="ja-JP"/>
        </w:rPr>
        <w:t>À sa cinquante</w:t>
      </w:r>
      <w:r w:rsidR="009E114F" w:rsidRPr="00B637A3">
        <w:rPr>
          <w:lang w:val="fr-FR" w:eastAsia="ja-JP"/>
        </w:rPr>
        <w:t> </w:t>
      </w:r>
      <w:r w:rsidR="00E74765" w:rsidRPr="00B637A3">
        <w:rPr>
          <w:lang w:val="fr-FR" w:eastAsia="ja-JP"/>
        </w:rPr>
        <w:t>et</w:t>
      </w:r>
      <w:r w:rsidR="009E114F" w:rsidRPr="00B637A3">
        <w:rPr>
          <w:lang w:val="fr-FR" w:eastAsia="ja-JP"/>
        </w:rPr>
        <w:t> </w:t>
      </w:r>
      <w:r w:rsidR="00E74765" w:rsidRPr="00B637A3">
        <w:rPr>
          <w:lang w:val="fr-FR" w:eastAsia="ja-JP"/>
        </w:rPr>
        <w:t>unième</w:t>
      </w:r>
      <w:r w:rsidR="009E114F" w:rsidRPr="00B637A3">
        <w:rPr>
          <w:lang w:val="fr-FR" w:eastAsia="ja-JP"/>
        </w:rPr>
        <w:t> </w:t>
      </w:r>
      <w:r w:rsidR="00E74765" w:rsidRPr="00B637A3">
        <w:rPr>
          <w:lang w:val="fr-FR" w:eastAsia="ja-JP"/>
        </w:rPr>
        <w:t>session, tenue à Genève du 23 au 2</w:t>
      </w:r>
      <w:r w:rsidR="00DF1AFC" w:rsidRPr="00B637A3">
        <w:rPr>
          <w:lang w:val="fr-FR" w:eastAsia="ja-JP"/>
        </w:rPr>
        <w:t>5 mars 20</w:t>
      </w:r>
      <w:r w:rsidR="00E74765" w:rsidRPr="00B637A3">
        <w:rPr>
          <w:lang w:val="fr-FR" w:eastAsia="ja-JP"/>
        </w:rPr>
        <w:t>15, le</w:t>
      </w:r>
      <w:r w:rsidR="00DF1AFC" w:rsidRPr="00B637A3">
        <w:rPr>
          <w:szCs w:val="24"/>
          <w:lang w:val="fr-FR" w:eastAsia="ja-JP"/>
        </w:rPr>
        <w:t> TC</w:t>
      </w:r>
      <w:r w:rsidR="00E74765" w:rsidRPr="00B637A3">
        <w:rPr>
          <w:szCs w:val="24"/>
          <w:lang w:val="fr-FR" w:eastAsia="ja-JP"/>
        </w:rPr>
        <w:t xml:space="preserve"> a pris note des travaux sur la possibilité d</w:t>
      </w:r>
      <w:r w:rsidR="00DF1AFC" w:rsidRPr="00B637A3">
        <w:rPr>
          <w:szCs w:val="24"/>
          <w:lang w:val="fr-FR" w:eastAsia="ja-JP"/>
        </w:rPr>
        <w:t>’</w:t>
      </w:r>
      <w:r w:rsidR="00E74765" w:rsidRPr="00B637A3">
        <w:rPr>
          <w:szCs w:val="24"/>
          <w:lang w:val="fr-FR" w:eastAsia="ja-JP"/>
        </w:rPr>
        <w:t>élabor</w:t>
      </w:r>
      <w:r w:rsidR="00FC1AA3">
        <w:rPr>
          <w:szCs w:val="24"/>
          <w:lang w:val="fr-FR" w:eastAsia="ja-JP"/>
        </w:rPr>
        <w:t>ation</w:t>
      </w:r>
      <w:r w:rsidR="00E74765" w:rsidRPr="00B637A3">
        <w:rPr>
          <w:szCs w:val="24"/>
          <w:lang w:val="fr-FR" w:eastAsia="ja-JP"/>
        </w:rPr>
        <w:t xml:space="preserve"> </w:t>
      </w:r>
      <w:r w:rsidR="00FC1AA3">
        <w:rPr>
          <w:szCs w:val="24"/>
          <w:lang w:val="fr-FR" w:eastAsia="ja-JP"/>
        </w:rPr>
        <w:t>d’</w:t>
      </w:r>
      <w:r w:rsidR="00E74765" w:rsidRPr="00B637A3">
        <w:rPr>
          <w:szCs w:val="24"/>
          <w:lang w:val="fr-FR" w:eastAsia="ja-JP"/>
        </w:rPr>
        <w:t xml:space="preserve">un outil de recherche </w:t>
      </w:r>
      <w:r w:rsidR="00FC1AA3" w:rsidRPr="00B637A3">
        <w:rPr>
          <w:szCs w:val="24"/>
          <w:lang w:val="fr-FR" w:eastAsia="ja-JP"/>
        </w:rPr>
        <w:t xml:space="preserve">de l’UPOV </w:t>
      </w:r>
      <w:r w:rsidR="00FC1AA3">
        <w:rPr>
          <w:szCs w:val="24"/>
          <w:lang w:val="fr-FR" w:eastAsia="ja-JP"/>
        </w:rPr>
        <w:t>de similarité</w:t>
      </w:r>
      <w:r w:rsidR="00E74765" w:rsidRPr="00B637A3">
        <w:rPr>
          <w:szCs w:val="24"/>
          <w:lang w:val="fr-FR" w:eastAsia="ja-JP"/>
        </w:rPr>
        <w:t xml:space="preserve"> aux fins de</w:t>
      </w:r>
      <w:r w:rsidR="002527A0">
        <w:rPr>
          <w:szCs w:val="24"/>
          <w:lang w:val="fr-FR" w:eastAsia="ja-JP"/>
        </w:rPr>
        <w:t xml:space="preserve"> la dénomination</w:t>
      </w:r>
      <w:r w:rsidR="00E74765" w:rsidRPr="00B637A3">
        <w:rPr>
          <w:szCs w:val="24"/>
          <w:lang w:val="fr-FR" w:eastAsia="ja-JP"/>
        </w:rPr>
        <w:t xml:space="preserve"> </w:t>
      </w:r>
      <w:r w:rsidR="002527A0">
        <w:rPr>
          <w:szCs w:val="24"/>
          <w:lang w:val="fr-FR" w:eastAsia="ja-JP"/>
        </w:rPr>
        <w:t>variétale</w:t>
      </w:r>
      <w:r w:rsidR="00E74765" w:rsidRPr="00B637A3">
        <w:rPr>
          <w:szCs w:val="24"/>
          <w:lang w:val="fr-FR" w:eastAsia="ja-JP"/>
        </w:rPr>
        <w:t xml:space="preserve"> par le groupe de travail sur l</w:t>
      </w:r>
      <w:r w:rsidR="00DF1AFC" w:rsidRPr="00B637A3">
        <w:rPr>
          <w:szCs w:val="24"/>
          <w:lang w:val="fr-FR" w:eastAsia="ja-JP"/>
        </w:rPr>
        <w:t>’</w:t>
      </w:r>
      <w:r w:rsidR="00E74765" w:rsidRPr="00B637A3">
        <w:rPr>
          <w:szCs w:val="24"/>
          <w:lang w:val="fr-FR" w:eastAsia="ja-JP"/>
        </w:rPr>
        <w:t>élaboration d</w:t>
      </w:r>
      <w:r w:rsidR="00DF1AFC" w:rsidRPr="00B637A3">
        <w:rPr>
          <w:szCs w:val="24"/>
          <w:lang w:val="fr-FR" w:eastAsia="ja-JP"/>
        </w:rPr>
        <w:t>’</w:t>
      </w:r>
      <w:r w:rsidR="00E74765" w:rsidRPr="00B637A3">
        <w:rPr>
          <w:szCs w:val="24"/>
          <w:lang w:val="fr-FR" w:eastAsia="ja-JP"/>
        </w:rPr>
        <w:t xml:space="preserve">un outil de recherche </w:t>
      </w:r>
      <w:r w:rsidR="00FC1AA3" w:rsidRPr="00B637A3">
        <w:rPr>
          <w:szCs w:val="24"/>
          <w:lang w:val="fr-FR" w:eastAsia="ja-JP"/>
        </w:rPr>
        <w:t xml:space="preserve">de l’UPOV </w:t>
      </w:r>
      <w:r w:rsidR="00FC1AA3">
        <w:rPr>
          <w:szCs w:val="24"/>
          <w:lang w:val="fr-FR" w:eastAsia="ja-JP"/>
        </w:rPr>
        <w:t>de similarité</w:t>
      </w:r>
      <w:r w:rsidR="00E74765" w:rsidRPr="00B637A3">
        <w:rPr>
          <w:szCs w:val="24"/>
          <w:lang w:val="fr-FR" w:eastAsia="ja-JP"/>
        </w:rPr>
        <w:t xml:space="preserve"> </w:t>
      </w:r>
      <w:r w:rsidR="002527A0" w:rsidRPr="00B637A3">
        <w:rPr>
          <w:szCs w:val="24"/>
          <w:lang w:val="fr-FR" w:eastAsia="ja-JP"/>
        </w:rPr>
        <w:t>aux fins de</w:t>
      </w:r>
      <w:r w:rsidR="002527A0">
        <w:rPr>
          <w:szCs w:val="24"/>
          <w:lang w:val="fr-FR" w:eastAsia="ja-JP"/>
        </w:rPr>
        <w:t xml:space="preserve"> la dénomination</w:t>
      </w:r>
      <w:r w:rsidR="002527A0" w:rsidRPr="00B637A3">
        <w:rPr>
          <w:szCs w:val="24"/>
          <w:lang w:val="fr-FR" w:eastAsia="ja-JP"/>
        </w:rPr>
        <w:t xml:space="preserve"> </w:t>
      </w:r>
      <w:r w:rsidR="002527A0">
        <w:rPr>
          <w:szCs w:val="24"/>
          <w:lang w:val="fr-FR" w:eastAsia="ja-JP"/>
        </w:rPr>
        <w:t>variétale</w:t>
      </w:r>
      <w:r w:rsidR="002527A0" w:rsidRPr="00B637A3">
        <w:rPr>
          <w:szCs w:val="24"/>
          <w:lang w:val="fr-FR" w:eastAsia="ja-JP"/>
        </w:rPr>
        <w:t xml:space="preserve"> </w:t>
      </w:r>
      <w:r w:rsidR="00E74765" w:rsidRPr="00B637A3">
        <w:rPr>
          <w:szCs w:val="24"/>
          <w:lang w:val="fr-FR" w:eastAsia="ja-JP"/>
        </w:rPr>
        <w:t>(WG</w:t>
      </w:r>
      <w:r w:rsidR="00A44650" w:rsidRPr="00B637A3">
        <w:rPr>
          <w:szCs w:val="24"/>
          <w:lang w:val="fr-FR" w:eastAsia="ja-JP"/>
        </w:rPr>
        <w:noBreakHyphen/>
      </w:r>
      <w:r w:rsidR="00E74765" w:rsidRPr="00B637A3">
        <w:rPr>
          <w:szCs w:val="24"/>
          <w:lang w:val="fr-FR" w:eastAsia="ja-JP"/>
        </w:rPr>
        <w:t xml:space="preserve">DST), </w:t>
      </w:r>
      <w:r w:rsidR="00DF1AFC" w:rsidRPr="00B637A3">
        <w:rPr>
          <w:szCs w:val="24"/>
          <w:lang w:val="fr-FR" w:eastAsia="ja-JP"/>
        </w:rPr>
        <w:t>y compris</w:t>
      </w:r>
      <w:r w:rsidR="00E74765" w:rsidRPr="00B637A3">
        <w:rPr>
          <w:szCs w:val="24"/>
          <w:lang w:val="fr-FR" w:eastAsia="ja-JP"/>
        </w:rPr>
        <w:t xml:space="preserve"> l</w:t>
      </w:r>
      <w:r w:rsidR="00DF1AFC" w:rsidRPr="00B637A3">
        <w:rPr>
          <w:szCs w:val="24"/>
          <w:lang w:val="fr-FR" w:eastAsia="ja-JP"/>
        </w:rPr>
        <w:t>’</w:t>
      </w:r>
      <w:r w:rsidR="00E74765" w:rsidRPr="00B637A3">
        <w:rPr>
          <w:szCs w:val="24"/>
          <w:lang w:val="fr-FR" w:eastAsia="ja-JP"/>
        </w:rPr>
        <w:t>étude test, comme indiqué aux paragraphes</w:t>
      </w:r>
      <w:r w:rsidR="009E114F" w:rsidRPr="00B637A3">
        <w:rPr>
          <w:szCs w:val="24"/>
          <w:lang w:val="fr-FR" w:eastAsia="ja-JP"/>
        </w:rPr>
        <w:t> </w:t>
      </w:r>
      <w:r w:rsidR="00E74765" w:rsidRPr="00B637A3">
        <w:rPr>
          <w:szCs w:val="24"/>
          <w:lang w:val="fr-FR" w:eastAsia="ja-JP"/>
        </w:rPr>
        <w:t xml:space="preserve">4 à 15 du </w:t>
      </w:r>
      <w:r w:rsidR="00DF1AFC" w:rsidRPr="00B637A3">
        <w:rPr>
          <w:szCs w:val="24"/>
          <w:lang w:val="fr-FR" w:eastAsia="ja-JP"/>
        </w:rPr>
        <w:t>document TC</w:t>
      </w:r>
      <w:r w:rsidR="00E74765" w:rsidRPr="00B637A3">
        <w:rPr>
          <w:szCs w:val="24"/>
          <w:lang w:val="fr-FR" w:eastAsia="ja-JP"/>
        </w:rPr>
        <w:t>/51/12</w:t>
      </w:r>
      <w:r w:rsidR="00212C1D" w:rsidRPr="00B637A3">
        <w:rPr>
          <w:szCs w:val="24"/>
          <w:lang w:val="fr-FR" w:eastAsia="ja-JP"/>
        </w:rPr>
        <w:t>.  Le</w:t>
      </w:r>
      <w:r w:rsidR="00DF1AFC" w:rsidRPr="00B637A3">
        <w:rPr>
          <w:szCs w:val="24"/>
          <w:lang w:val="fr-FR" w:eastAsia="ja-JP"/>
        </w:rPr>
        <w:t> TC</w:t>
      </w:r>
      <w:r w:rsidR="00212C1D" w:rsidRPr="00B637A3">
        <w:rPr>
          <w:szCs w:val="24"/>
          <w:lang w:val="fr-FR" w:eastAsia="ja-JP"/>
        </w:rPr>
        <w:t xml:space="preserve"> </w:t>
      </w:r>
      <w:r w:rsidR="002527A0">
        <w:rPr>
          <w:szCs w:val="24"/>
          <w:lang w:val="fr-FR" w:eastAsia="ja-JP"/>
        </w:rPr>
        <w:t xml:space="preserve">a pris </w:t>
      </w:r>
      <w:r w:rsidR="00212C1D" w:rsidRPr="00B637A3">
        <w:rPr>
          <w:szCs w:val="24"/>
          <w:lang w:val="fr-FR" w:eastAsia="ja-JP"/>
        </w:rPr>
        <w:t>également note que la conclusion de l</w:t>
      </w:r>
      <w:r w:rsidR="00DF1AFC" w:rsidRPr="00B637A3">
        <w:rPr>
          <w:szCs w:val="24"/>
          <w:lang w:val="fr-FR" w:eastAsia="ja-JP"/>
        </w:rPr>
        <w:t>’</w:t>
      </w:r>
      <w:r w:rsidR="00212C1D" w:rsidRPr="00B637A3">
        <w:rPr>
          <w:szCs w:val="24"/>
          <w:lang w:val="fr-FR" w:eastAsia="ja-JP"/>
        </w:rPr>
        <w:t>étude sera communiq</w:t>
      </w:r>
      <w:r w:rsidR="00A44650" w:rsidRPr="00B637A3">
        <w:rPr>
          <w:szCs w:val="24"/>
          <w:lang w:val="fr-FR" w:eastAsia="ja-JP"/>
        </w:rPr>
        <w:t>uée à la deuxième réunion du WG</w:t>
      </w:r>
      <w:r w:rsidR="00A44650" w:rsidRPr="00B637A3">
        <w:rPr>
          <w:szCs w:val="24"/>
          <w:lang w:val="fr-FR" w:eastAsia="ja-JP"/>
        </w:rPr>
        <w:noBreakHyphen/>
      </w:r>
      <w:r w:rsidR="00212C1D" w:rsidRPr="00B637A3">
        <w:rPr>
          <w:szCs w:val="24"/>
          <w:lang w:val="fr-FR" w:eastAsia="ja-JP"/>
        </w:rPr>
        <w:t>DST et que l</w:t>
      </w:r>
      <w:r w:rsidR="00DF1AFC" w:rsidRPr="00B637A3">
        <w:rPr>
          <w:szCs w:val="24"/>
          <w:lang w:val="fr-FR" w:eastAsia="ja-JP"/>
        </w:rPr>
        <w:t>’</w:t>
      </w:r>
      <w:r w:rsidR="00212C1D" w:rsidRPr="00B637A3">
        <w:rPr>
          <w:szCs w:val="24"/>
          <w:lang w:val="fr-FR" w:eastAsia="ja-JP"/>
        </w:rPr>
        <w:t xml:space="preserve">outil de recherche le plus efficace sera décrit et commenté </w:t>
      </w:r>
      <w:r w:rsidR="004A15CE" w:rsidRPr="00B637A3">
        <w:rPr>
          <w:lang w:val="fr-FR" w:eastAsia="ja-JP"/>
        </w:rPr>
        <w:t>(voir le paragraphe</w:t>
      </w:r>
      <w:r w:rsidR="00635BC5" w:rsidRPr="00B637A3">
        <w:rPr>
          <w:lang w:val="fr-FR" w:eastAsia="ja-JP"/>
        </w:rPr>
        <w:t> </w:t>
      </w:r>
      <w:r w:rsidR="004A15CE" w:rsidRPr="00B637A3">
        <w:rPr>
          <w:lang w:val="fr-FR" w:eastAsia="ja-JP"/>
        </w:rPr>
        <w:t xml:space="preserve">183 du </w:t>
      </w:r>
      <w:r w:rsidR="00DF1AFC" w:rsidRPr="00B637A3">
        <w:rPr>
          <w:lang w:val="fr-FR" w:eastAsia="ja-JP"/>
        </w:rPr>
        <w:t>document TC</w:t>
      </w:r>
      <w:r w:rsidRPr="00B637A3">
        <w:rPr>
          <w:lang w:val="fr-FR" w:eastAsia="ja-JP"/>
        </w:rPr>
        <w:t>/51/39 “</w:t>
      </w:r>
      <w:r w:rsidR="004A15CE" w:rsidRPr="00B637A3">
        <w:rPr>
          <w:lang w:val="fr-FR" w:eastAsia="ja-JP"/>
        </w:rPr>
        <w:t>Compte rendu</w:t>
      </w:r>
      <w:r w:rsidRPr="00B637A3">
        <w:rPr>
          <w:lang w:val="fr-FR" w:eastAsia="ja-JP"/>
        </w:rPr>
        <w:t>”)</w:t>
      </w:r>
      <w:r w:rsidRPr="00B637A3">
        <w:rPr>
          <w:szCs w:val="24"/>
          <w:lang w:val="fr-FR" w:eastAsia="ja-JP"/>
        </w:rPr>
        <w:t>.</w:t>
      </w:r>
    </w:p>
    <w:p w:rsidR="00732899" w:rsidRPr="00B637A3" w:rsidRDefault="00732899" w:rsidP="008F5F2F">
      <w:pPr>
        <w:rPr>
          <w:szCs w:val="24"/>
          <w:lang w:val="fr-FR" w:eastAsia="ja-JP"/>
        </w:rPr>
      </w:pPr>
    </w:p>
    <w:p w:rsidR="00732899" w:rsidRPr="00B637A3" w:rsidRDefault="0033446A" w:rsidP="008F5F2F">
      <w:pPr>
        <w:rPr>
          <w:szCs w:val="24"/>
          <w:lang w:val="fr-FR" w:eastAsia="ja-JP"/>
        </w:rPr>
      </w:pPr>
      <w:r w:rsidRPr="00B637A3">
        <w:rPr>
          <w:lang w:val="fr-FR"/>
        </w:rPr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Pr="00B637A3">
        <w:rPr>
          <w:lang w:val="fr-FR"/>
        </w:rPr>
        <w:tab/>
      </w:r>
      <w:r w:rsidR="00EC7884" w:rsidRPr="00B637A3">
        <w:rPr>
          <w:lang w:val="fr-FR"/>
        </w:rPr>
        <w:t>À sa soixante</w:t>
      </w:r>
      <w:r w:rsidR="009E114F" w:rsidRPr="00B637A3">
        <w:rPr>
          <w:lang w:val="fr-FR"/>
        </w:rPr>
        <w:t> </w:t>
      </w:r>
      <w:r w:rsidR="00EC7884" w:rsidRPr="00B637A3">
        <w:rPr>
          <w:lang w:val="fr-FR"/>
        </w:rPr>
        <w:t>et</w:t>
      </w:r>
      <w:r w:rsidR="009E114F" w:rsidRPr="00B637A3">
        <w:rPr>
          <w:lang w:val="fr-FR"/>
        </w:rPr>
        <w:t> </w:t>
      </w:r>
      <w:r w:rsidR="00EC7884" w:rsidRPr="00B637A3">
        <w:rPr>
          <w:lang w:val="fr-FR"/>
        </w:rPr>
        <w:t>onzième</w:t>
      </w:r>
      <w:r w:rsidR="009E114F" w:rsidRPr="00B637A3">
        <w:rPr>
          <w:lang w:val="fr-FR"/>
        </w:rPr>
        <w:t> </w:t>
      </w:r>
      <w:r w:rsidR="00EC7884" w:rsidRPr="00B637A3">
        <w:rPr>
          <w:lang w:val="fr-FR"/>
        </w:rPr>
        <w:t>session, tenue à Genève le 26 </w:t>
      </w:r>
      <w:r w:rsidR="00DF1AFC" w:rsidRPr="00B637A3">
        <w:rPr>
          <w:lang w:val="fr-FR"/>
        </w:rPr>
        <w:t>mars 20</w:t>
      </w:r>
      <w:r w:rsidR="00EC7884" w:rsidRPr="00B637A3">
        <w:rPr>
          <w:lang w:val="fr-FR"/>
        </w:rPr>
        <w:t>15,</w:t>
      </w:r>
      <w:r w:rsidR="00DF1AFC" w:rsidRPr="00B637A3">
        <w:rPr>
          <w:lang w:val="fr-FR"/>
        </w:rPr>
        <w:t xml:space="preserve"> le </w:t>
      </w:r>
      <w:r w:rsidR="00DF1AFC" w:rsidRPr="00B637A3">
        <w:rPr>
          <w:szCs w:val="24"/>
          <w:lang w:val="fr-FR" w:eastAsia="ja-JP"/>
        </w:rPr>
        <w:t>CAJ</w:t>
      </w:r>
      <w:r w:rsidR="00EC7884" w:rsidRPr="00B637A3">
        <w:rPr>
          <w:szCs w:val="24"/>
          <w:lang w:val="fr-FR" w:eastAsia="ja-JP"/>
        </w:rPr>
        <w:t xml:space="preserve"> a pris note des travaux effectués sur la </w:t>
      </w:r>
      <w:r w:rsidR="00FC1AA3" w:rsidRPr="00B637A3">
        <w:rPr>
          <w:szCs w:val="24"/>
          <w:lang w:val="fr-FR" w:eastAsia="ja-JP"/>
        </w:rPr>
        <w:t>possibilité d’élabor</w:t>
      </w:r>
      <w:r w:rsidR="00FC1AA3">
        <w:rPr>
          <w:szCs w:val="24"/>
          <w:lang w:val="fr-FR" w:eastAsia="ja-JP"/>
        </w:rPr>
        <w:t>ation</w:t>
      </w:r>
      <w:r w:rsidR="00FC1AA3" w:rsidRPr="00B637A3">
        <w:rPr>
          <w:szCs w:val="24"/>
          <w:lang w:val="fr-FR" w:eastAsia="ja-JP"/>
        </w:rPr>
        <w:t xml:space="preserve"> </w:t>
      </w:r>
      <w:r w:rsidR="00FC1AA3">
        <w:rPr>
          <w:szCs w:val="24"/>
          <w:lang w:val="fr-FR" w:eastAsia="ja-JP"/>
        </w:rPr>
        <w:t>d’</w:t>
      </w:r>
      <w:r w:rsidR="00FC1AA3" w:rsidRPr="00B637A3">
        <w:rPr>
          <w:szCs w:val="24"/>
          <w:lang w:val="fr-FR" w:eastAsia="ja-JP"/>
        </w:rPr>
        <w:t xml:space="preserve">un outil de recherche de l’UPOV </w:t>
      </w:r>
      <w:r w:rsidR="00FC1AA3">
        <w:rPr>
          <w:szCs w:val="24"/>
          <w:lang w:val="fr-FR" w:eastAsia="ja-JP"/>
        </w:rPr>
        <w:t>de similarité</w:t>
      </w:r>
      <w:r w:rsidR="00FC1AA3" w:rsidRPr="00B637A3">
        <w:rPr>
          <w:szCs w:val="24"/>
          <w:lang w:val="fr-FR" w:eastAsia="ja-JP"/>
        </w:rPr>
        <w:t xml:space="preserve"> aux fins de</w:t>
      </w:r>
      <w:r w:rsidR="00FC1AA3">
        <w:rPr>
          <w:szCs w:val="24"/>
          <w:lang w:val="fr-FR" w:eastAsia="ja-JP"/>
        </w:rPr>
        <w:t xml:space="preserve"> la dénomination</w:t>
      </w:r>
      <w:r w:rsidR="00FC1AA3" w:rsidRPr="00B637A3">
        <w:rPr>
          <w:szCs w:val="24"/>
          <w:lang w:val="fr-FR" w:eastAsia="ja-JP"/>
        </w:rPr>
        <w:t xml:space="preserve"> </w:t>
      </w:r>
      <w:r w:rsidR="00FC1AA3">
        <w:rPr>
          <w:szCs w:val="24"/>
          <w:lang w:val="fr-FR" w:eastAsia="ja-JP"/>
        </w:rPr>
        <w:t>variétale</w:t>
      </w:r>
      <w:r w:rsidR="00EC7884" w:rsidRPr="00B637A3">
        <w:rPr>
          <w:szCs w:val="24"/>
          <w:lang w:val="fr-FR" w:eastAsia="ja-JP"/>
        </w:rPr>
        <w:t xml:space="preserve"> par le</w:t>
      </w:r>
      <w:r w:rsidRPr="00B637A3">
        <w:rPr>
          <w:szCs w:val="24"/>
          <w:lang w:val="fr-FR" w:eastAsia="ja-JP"/>
        </w:rPr>
        <w:t xml:space="preserve"> WG</w:t>
      </w:r>
      <w:r w:rsidR="00A44650" w:rsidRPr="00B637A3">
        <w:rPr>
          <w:szCs w:val="24"/>
          <w:lang w:val="fr-FR" w:eastAsia="ja-JP"/>
        </w:rPr>
        <w:noBreakHyphen/>
      </w:r>
      <w:r w:rsidRPr="00B637A3">
        <w:rPr>
          <w:szCs w:val="24"/>
          <w:lang w:val="fr-FR" w:eastAsia="ja-JP"/>
        </w:rPr>
        <w:t xml:space="preserve">DST, </w:t>
      </w:r>
      <w:r w:rsidR="00DF1AFC" w:rsidRPr="00B637A3">
        <w:rPr>
          <w:szCs w:val="24"/>
          <w:lang w:val="fr-FR" w:eastAsia="ja-JP"/>
        </w:rPr>
        <w:t>y compris</w:t>
      </w:r>
      <w:r w:rsidR="00EC7884" w:rsidRPr="00B637A3">
        <w:rPr>
          <w:szCs w:val="24"/>
          <w:lang w:val="fr-FR" w:eastAsia="ja-JP"/>
        </w:rPr>
        <w:t xml:space="preserve"> de l</w:t>
      </w:r>
      <w:r w:rsidR="00DF1AFC" w:rsidRPr="00B637A3">
        <w:rPr>
          <w:szCs w:val="24"/>
          <w:lang w:val="fr-FR" w:eastAsia="ja-JP"/>
        </w:rPr>
        <w:t>’</w:t>
      </w:r>
      <w:r w:rsidR="00EC7884" w:rsidRPr="00B637A3">
        <w:rPr>
          <w:szCs w:val="24"/>
          <w:lang w:val="fr-FR" w:eastAsia="ja-JP"/>
        </w:rPr>
        <w:t>étude test, comme indiqué aux paragraphes</w:t>
      </w:r>
      <w:r w:rsidR="009E114F" w:rsidRPr="00B637A3">
        <w:rPr>
          <w:szCs w:val="24"/>
          <w:lang w:val="fr-FR" w:eastAsia="ja-JP"/>
        </w:rPr>
        <w:t> </w:t>
      </w:r>
      <w:r w:rsidR="00A44650" w:rsidRPr="00B637A3">
        <w:rPr>
          <w:szCs w:val="24"/>
          <w:lang w:val="fr-FR" w:eastAsia="ja-JP"/>
        </w:rPr>
        <w:t>6 à </w:t>
      </w:r>
      <w:r w:rsidR="00EC7884" w:rsidRPr="00B637A3">
        <w:rPr>
          <w:szCs w:val="24"/>
          <w:lang w:val="fr-FR" w:eastAsia="ja-JP"/>
        </w:rPr>
        <w:t>13 du document CAJ/71/3</w:t>
      </w:r>
      <w:r w:rsidRPr="00B637A3">
        <w:rPr>
          <w:szCs w:val="24"/>
          <w:lang w:val="fr-FR" w:eastAsia="ja-JP"/>
        </w:rPr>
        <w:t xml:space="preserve"> (</w:t>
      </w:r>
      <w:r w:rsidR="002527A0">
        <w:rPr>
          <w:szCs w:val="24"/>
          <w:lang w:val="fr-FR" w:eastAsia="ja-JP"/>
        </w:rPr>
        <w:t xml:space="preserve">voir le </w:t>
      </w:r>
      <w:r w:rsidR="004A15CE" w:rsidRPr="00B637A3">
        <w:rPr>
          <w:szCs w:val="24"/>
          <w:lang w:val="fr-FR" w:eastAsia="ja-JP"/>
        </w:rPr>
        <w:t>paragraphe</w:t>
      </w:r>
      <w:r w:rsidR="00635BC5" w:rsidRPr="00B637A3">
        <w:rPr>
          <w:szCs w:val="24"/>
          <w:lang w:val="fr-FR" w:eastAsia="ja-JP"/>
        </w:rPr>
        <w:t> </w:t>
      </w:r>
      <w:r w:rsidR="004A15CE" w:rsidRPr="00B637A3">
        <w:rPr>
          <w:szCs w:val="24"/>
          <w:lang w:val="fr-FR" w:eastAsia="ja-JP"/>
        </w:rPr>
        <w:t xml:space="preserve">33 du document </w:t>
      </w:r>
      <w:r w:rsidRPr="00B637A3">
        <w:rPr>
          <w:lang w:val="fr-FR" w:eastAsia="ja-JP"/>
        </w:rPr>
        <w:t>CAJ/71/10 “</w:t>
      </w:r>
      <w:r w:rsidR="004A15CE" w:rsidRPr="00B637A3">
        <w:rPr>
          <w:lang w:val="fr-FR" w:eastAsia="ja-JP"/>
        </w:rPr>
        <w:t>Compte rendu des conclusions</w:t>
      </w:r>
      <w:r w:rsidRPr="00B637A3">
        <w:rPr>
          <w:lang w:val="fr-FR" w:eastAsia="ja-JP"/>
        </w:rPr>
        <w:t>”)</w:t>
      </w:r>
      <w:r w:rsidRPr="00B637A3">
        <w:rPr>
          <w:szCs w:val="24"/>
          <w:lang w:val="fr-FR" w:eastAsia="ja-JP"/>
        </w:rPr>
        <w:t>.</w:t>
      </w:r>
    </w:p>
    <w:p w:rsidR="00732899" w:rsidRPr="00B637A3" w:rsidRDefault="00732899" w:rsidP="008F5F2F">
      <w:pPr>
        <w:rPr>
          <w:lang w:val="fr-FR" w:eastAsia="ja-JP"/>
        </w:rPr>
      </w:pPr>
    </w:p>
    <w:p w:rsidR="00732899" w:rsidRPr="00B637A3" w:rsidRDefault="003E1463" w:rsidP="002B33A3">
      <w:pPr>
        <w:rPr>
          <w:lang w:val="fr-FR" w:eastAsia="ja-JP"/>
        </w:rPr>
      </w:pPr>
      <w:r w:rsidRPr="00B637A3">
        <w:rPr>
          <w:lang w:val="fr-FR"/>
        </w:rPr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Pr="00B637A3">
        <w:rPr>
          <w:lang w:val="fr-FR"/>
        </w:rPr>
        <w:tab/>
      </w:r>
      <w:r w:rsidR="007F29A2" w:rsidRPr="00B637A3">
        <w:rPr>
          <w:lang w:val="fr-FR"/>
        </w:rPr>
        <w:t>À</w:t>
      </w:r>
      <w:r w:rsidR="002812A1" w:rsidRPr="00B637A3">
        <w:rPr>
          <w:lang w:val="fr-FR"/>
        </w:rPr>
        <w:t xml:space="preserve"> sa </w:t>
      </w:r>
      <w:r w:rsidR="007F29A2" w:rsidRPr="00B637A3">
        <w:rPr>
          <w:lang w:val="fr-FR"/>
        </w:rPr>
        <w:t>soixante</w:t>
      </w:r>
      <w:r w:rsidR="00A44650" w:rsidRPr="00B637A3">
        <w:rPr>
          <w:lang w:val="fr-FR"/>
        </w:rPr>
        <w:noBreakHyphen/>
      </w:r>
      <w:r w:rsidR="007F29A2" w:rsidRPr="00B637A3">
        <w:rPr>
          <w:lang w:val="fr-FR"/>
        </w:rPr>
        <w:t>douzième</w:t>
      </w:r>
      <w:r w:rsidR="00635BC5" w:rsidRPr="00B637A3">
        <w:rPr>
          <w:lang w:val="fr-FR"/>
        </w:rPr>
        <w:t> </w:t>
      </w:r>
      <w:r w:rsidR="00F26A91" w:rsidRPr="00B637A3">
        <w:rPr>
          <w:lang w:val="fr-FR"/>
        </w:rPr>
        <w:t>session,</w:t>
      </w:r>
      <w:r w:rsidR="008C5BDF" w:rsidRPr="00B637A3">
        <w:rPr>
          <w:lang w:val="fr-FR"/>
        </w:rPr>
        <w:t xml:space="preserve"> le </w:t>
      </w:r>
      <w:r w:rsidR="008C5BDF" w:rsidRPr="00B637A3">
        <w:rPr>
          <w:lang w:val="fr-FR" w:eastAsia="ja-JP"/>
        </w:rPr>
        <w:t>CAJ</w:t>
      </w:r>
      <w:r w:rsidR="007F29A2" w:rsidRPr="00B637A3">
        <w:rPr>
          <w:lang w:val="fr-FR" w:eastAsia="ja-JP"/>
        </w:rPr>
        <w:t xml:space="preserve"> a</w:t>
      </w:r>
      <w:r w:rsidR="002812A1" w:rsidRPr="00B637A3">
        <w:rPr>
          <w:lang w:val="fr-FR" w:eastAsia="ja-JP"/>
        </w:rPr>
        <w:t xml:space="preserve"> pris</w:t>
      </w:r>
      <w:r w:rsidR="002B33A3" w:rsidRPr="00B637A3">
        <w:rPr>
          <w:lang w:val="fr-FR" w:eastAsia="ja-JP"/>
        </w:rPr>
        <w:t xml:space="preserve"> </w:t>
      </w:r>
      <w:r w:rsidR="002812A1" w:rsidRPr="00B637A3">
        <w:rPr>
          <w:lang w:val="fr-FR" w:eastAsia="ja-JP"/>
        </w:rPr>
        <w:t>note du souhait du Japon de participer au WG</w:t>
      </w:r>
      <w:r w:rsidR="00A44650" w:rsidRPr="00B637A3">
        <w:rPr>
          <w:lang w:val="fr-FR" w:eastAsia="ja-JP"/>
        </w:rPr>
        <w:noBreakHyphen/>
      </w:r>
      <w:r w:rsidR="00081235" w:rsidRPr="00B637A3">
        <w:rPr>
          <w:lang w:val="fr-FR" w:eastAsia="ja-JP"/>
        </w:rPr>
        <w:t xml:space="preserve">DST </w:t>
      </w:r>
      <w:r w:rsidR="002B33A3" w:rsidRPr="00B637A3">
        <w:rPr>
          <w:lang w:val="fr-FR" w:eastAsia="ja-JP"/>
        </w:rPr>
        <w:t>(</w:t>
      </w:r>
      <w:r w:rsidR="004A15CE" w:rsidRPr="00B637A3">
        <w:rPr>
          <w:lang w:val="fr-FR" w:eastAsia="ja-JP"/>
        </w:rPr>
        <w:t>voir le paragraphe</w:t>
      </w:r>
      <w:r w:rsidR="00635BC5" w:rsidRPr="00B637A3">
        <w:rPr>
          <w:lang w:val="fr-FR" w:eastAsia="ja-JP"/>
        </w:rPr>
        <w:t> </w:t>
      </w:r>
      <w:r w:rsidR="004A15CE" w:rsidRPr="00B637A3">
        <w:rPr>
          <w:lang w:val="fr-FR" w:eastAsia="ja-JP"/>
        </w:rPr>
        <w:t xml:space="preserve">36 du </w:t>
      </w:r>
      <w:r w:rsidR="002B33A3" w:rsidRPr="00B637A3">
        <w:rPr>
          <w:lang w:val="fr-FR" w:eastAsia="ja-JP"/>
        </w:rPr>
        <w:t>document CAJ/71/ 10</w:t>
      </w:r>
      <w:r w:rsidR="0033446A" w:rsidRPr="00B637A3">
        <w:rPr>
          <w:lang w:val="fr-FR" w:eastAsia="ja-JP"/>
        </w:rPr>
        <w:t xml:space="preserve"> “</w:t>
      </w:r>
      <w:r w:rsidR="004A15CE" w:rsidRPr="00B637A3">
        <w:rPr>
          <w:lang w:val="fr-FR" w:eastAsia="ja-JP"/>
        </w:rPr>
        <w:t>Compte rendu des c</w:t>
      </w:r>
      <w:r w:rsidR="00D52899" w:rsidRPr="00B637A3">
        <w:rPr>
          <w:lang w:val="fr-FR" w:eastAsia="ja-JP"/>
        </w:rPr>
        <w:t>onclusions</w:t>
      </w:r>
      <w:r w:rsidR="0033446A" w:rsidRPr="00B637A3">
        <w:rPr>
          <w:lang w:val="fr-FR" w:eastAsia="ja-JP"/>
        </w:rPr>
        <w:t>”</w:t>
      </w:r>
      <w:r w:rsidR="002B33A3" w:rsidRPr="00B637A3">
        <w:rPr>
          <w:lang w:val="fr-FR" w:eastAsia="ja-JP"/>
        </w:rPr>
        <w:t>).</w:t>
      </w:r>
    </w:p>
    <w:p w:rsidR="00732899" w:rsidRPr="00B637A3" w:rsidRDefault="00732899" w:rsidP="0029141E">
      <w:pPr>
        <w:rPr>
          <w:lang w:val="fr-FR" w:eastAsia="ja-JP"/>
        </w:rPr>
      </w:pPr>
    </w:p>
    <w:p w:rsidR="00732899" w:rsidRPr="00B637A3" w:rsidRDefault="003E1463" w:rsidP="0029141E">
      <w:pPr>
        <w:rPr>
          <w:lang w:val="fr-FR" w:eastAsia="ja-JP"/>
        </w:rPr>
      </w:pPr>
      <w:r w:rsidRPr="00B637A3">
        <w:rPr>
          <w:lang w:val="fr-FR"/>
        </w:rPr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Pr="00B637A3">
        <w:rPr>
          <w:lang w:val="fr-FR"/>
        </w:rPr>
        <w:tab/>
      </w:r>
      <w:r w:rsidR="002812A1" w:rsidRPr="00B637A3">
        <w:rPr>
          <w:lang w:val="fr-FR"/>
        </w:rPr>
        <w:t>À sa soixante</w:t>
      </w:r>
      <w:r w:rsidR="00A44650" w:rsidRPr="00B637A3">
        <w:rPr>
          <w:lang w:val="fr-FR"/>
        </w:rPr>
        <w:noBreakHyphen/>
      </w:r>
      <w:r w:rsidR="002812A1" w:rsidRPr="00B637A3">
        <w:rPr>
          <w:lang w:val="fr-FR"/>
        </w:rPr>
        <w:t>douzième</w:t>
      </w:r>
      <w:r w:rsidR="00635BC5" w:rsidRPr="00B637A3">
        <w:rPr>
          <w:lang w:val="fr-FR"/>
        </w:rPr>
        <w:t> </w:t>
      </w:r>
      <w:r w:rsidR="002812A1" w:rsidRPr="00B637A3">
        <w:rPr>
          <w:lang w:val="fr-FR"/>
        </w:rPr>
        <w:t>session tenue à Genève les 26 et 2</w:t>
      </w:r>
      <w:r w:rsidR="008C5BDF" w:rsidRPr="00B637A3">
        <w:rPr>
          <w:lang w:val="fr-FR"/>
        </w:rPr>
        <w:t>7 octobre 20</w:t>
      </w:r>
      <w:r w:rsidR="002812A1" w:rsidRPr="00B637A3">
        <w:rPr>
          <w:lang w:val="fr-FR"/>
        </w:rPr>
        <w:t>15</w:t>
      </w:r>
      <w:r w:rsidR="008C5BDF" w:rsidRPr="00B637A3">
        <w:rPr>
          <w:lang w:val="fr-FR"/>
        </w:rPr>
        <w:t xml:space="preserve"> le </w:t>
      </w:r>
      <w:r w:rsidR="008C5BDF" w:rsidRPr="00B637A3">
        <w:rPr>
          <w:lang w:val="fr-FR" w:eastAsia="ja-JP"/>
        </w:rPr>
        <w:t>CAJ</w:t>
      </w:r>
      <w:r w:rsidR="002812A1" w:rsidRPr="00B637A3">
        <w:rPr>
          <w:lang w:val="fr-FR" w:eastAsia="ja-JP"/>
        </w:rPr>
        <w:t xml:space="preserve"> a examiné le</w:t>
      </w:r>
      <w:r w:rsidR="0029141E" w:rsidRPr="00B637A3">
        <w:rPr>
          <w:lang w:val="fr-FR" w:eastAsia="ja-JP"/>
        </w:rPr>
        <w:t xml:space="preserve"> document CAJ/72/3</w:t>
      </w:r>
      <w:r w:rsidRPr="00B637A3">
        <w:rPr>
          <w:lang w:val="fr-FR" w:eastAsia="ja-JP"/>
        </w:rPr>
        <w:t xml:space="preserve"> “</w:t>
      </w:r>
      <w:r w:rsidR="002812A1" w:rsidRPr="00B637A3">
        <w:rPr>
          <w:lang w:val="fr-FR" w:eastAsia="ja-JP"/>
        </w:rPr>
        <w:t>Dénominations variétales</w:t>
      </w:r>
      <w:r w:rsidRPr="00B637A3">
        <w:rPr>
          <w:lang w:val="fr-FR" w:eastAsia="ja-JP"/>
        </w:rPr>
        <w:t xml:space="preserve">” </w:t>
      </w:r>
      <w:r w:rsidR="003D3694" w:rsidRPr="00B637A3">
        <w:rPr>
          <w:lang w:val="fr-FR" w:eastAsia="ja-JP"/>
        </w:rPr>
        <w:t>(</w:t>
      </w:r>
      <w:r w:rsidR="002812A1" w:rsidRPr="00B637A3">
        <w:rPr>
          <w:lang w:val="fr-FR" w:eastAsia="ja-JP"/>
        </w:rPr>
        <w:t>voir le paragraphe</w:t>
      </w:r>
      <w:r w:rsidR="00635BC5" w:rsidRPr="00B637A3">
        <w:rPr>
          <w:lang w:val="fr-FR" w:eastAsia="ja-JP"/>
        </w:rPr>
        <w:t> </w:t>
      </w:r>
      <w:r w:rsidR="002812A1" w:rsidRPr="00B637A3">
        <w:rPr>
          <w:lang w:val="fr-FR" w:eastAsia="ja-JP"/>
        </w:rPr>
        <w:t>19 du</w:t>
      </w:r>
      <w:r w:rsidR="003D3694" w:rsidRPr="00B637A3">
        <w:rPr>
          <w:lang w:val="fr-FR" w:eastAsia="ja-JP"/>
        </w:rPr>
        <w:t xml:space="preserve"> document C</w:t>
      </w:r>
      <w:r w:rsidR="00821160" w:rsidRPr="00B637A3">
        <w:rPr>
          <w:lang w:val="fr-FR" w:eastAsia="ja-JP"/>
        </w:rPr>
        <w:t>A</w:t>
      </w:r>
      <w:r w:rsidR="003D3694" w:rsidRPr="00B637A3">
        <w:rPr>
          <w:lang w:val="fr-FR" w:eastAsia="ja-JP"/>
        </w:rPr>
        <w:t>J</w:t>
      </w:r>
      <w:r w:rsidR="00821160" w:rsidRPr="00B637A3">
        <w:rPr>
          <w:lang w:val="fr-FR" w:eastAsia="ja-JP"/>
        </w:rPr>
        <w:t>/72/9 “</w:t>
      </w:r>
      <w:r w:rsidR="002812A1" w:rsidRPr="00B637A3">
        <w:rPr>
          <w:lang w:val="fr-FR" w:eastAsia="ja-JP"/>
        </w:rPr>
        <w:t>Compte rendu des c</w:t>
      </w:r>
      <w:r w:rsidR="00D52899" w:rsidRPr="00B637A3">
        <w:rPr>
          <w:lang w:val="fr-FR" w:eastAsia="ja-JP"/>
        </w:rPr>
        <w:t>onclusions</w:t>
      </w:r>
      <w:r w:rsidR="00821160" w:rsidRPr="00B637A3">
        <w:rPr>
          <w:lang w:val="fr-FR" w:eastAsia="ja-JP"/>
        </w:rPr>
        <w:t>”)</w:t>
      </w:r>
      <w:r w:rsidR="003D3694" w:rsidRPr="00B637A3">
        <w:rPr>
          <w:lang w:val="fr-FR" w:eastAsia="ja-JP"/>
        </w:rPr>
        <w:t>.</w:t>
      </w:r>
    </w:p>
    <w:p w:rsidR="00732899" w:rsidRPr="00B637A3" w:rsidRDefault="00732899" w:rsidP="0029141E">
      <w:pPr>
        <w:rPr>
          <w:lang w:val="fr-FR" w:eastAsia="ja-JP"/>
        </w:rPr>
      </w:pPr>
    </w:p>
    <w:p w:rsidR="00732899" w:rsidRPr="00B637A3" w:rsidRDefault="00BC6B1E" w:rsidP="0029141E">
      <w:pPr>
        <w:rPr>
          <w:lang w:val="fr-FR" w:eastAsia="ja-JP"/>
        </w:rPr>
      </w:pPr>
      <w:r w:rsidRPr="00B637A3">
        <w:rPr>
          <w:lang w:val="fr-FR"/>
        </w:rPr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Pr="00B637A3">
        <w:rPr>
          <w:lang w:val="fr-FR"/>
        </w:rPr>
        <w:tab/>
      </w:r>
      <w:r w:rsidR="007F29A2" w:rsidRPr="00B637A3">
        <w:rPr>
          <w:lang w:val="fr-FR"/>
        </w:rPr>
        <w:t>À sa soixante</w:t>
      </w:r>
      <w:r w:rsidR="00A44650" w:rsidRPr="00B637A3">
        <w:rPr>
          <w:lang w:val="fr-FR"/>
        </w:rPr>
        <w:noBreakHyphen/>
      </w:r>
      <w:r w:rsidR="007F29A2" w:rsidRPr="00B637A3">
        <w:rPr>
          <w:lang w:val="fr-FR"/>
        </w:rPr>
        <w:t>douzième</w:t>
      </w:r>
      <w:r w:rsidR="00635BC5" w:rsidRPr="00B637A3">
        <w:rPr>
          <w:lang w:val="fr-FR"/>
        </w:rPr>
        <w:t> </w:t>
      </w:r>
      <w:r w:rsidR="007F29A2" w:rsidRPr="00B637A3">
        <w:rPr>
          <w:lang w:val="fr-FR"/>
        </w:rPr>
        <w:t>session</w:t>
      </w:r>
      <w:r w:rsidR="008C5BDF" w:rsidRPr="00B637A3">
        <w:rPr>
          <w:lang w:val="fr-FR"/>
        </w:rPr>
        <w:t xml:space="preserve"> le </w:t>
      </w:r>
      <w:r w:rsidR="008C5BDF" w:rsidRPr="00B637A3">
        <w:rPr>
          <w:lang w:val="fr-FR" w:eastAsia="ja-JP"/>
        </w:rPr>
        <w:t>CAJ</w:t>
      </w:r>
      <w:r w:rsidR="007F29A2" w:rsidRPr="00B637A3">
        <w:rPr>
          <w:lang w:val="fr-FR" w:eastAsia="ja-JP"/>
        </w:rPr>
        <w:t xml:space="preserve"> a pris note des travaux du</w:t>
      </w:r>
      <w:r w:rsidR="0029141E" w:rsidRPr="00B637A3">
        <w:rPr>
          <w:lang w:val="fr-FR" w:eastAsia="ja-JP"/>
        </w:rPr>
        <w:t xml:space="preserve"> WG</w:t>
      </w:r>
      <w:r w:rsidR="00A44650" w:rsidRPr="00B637A3">
        <w:rPr>
          <w:lang w:val="fr-FR" w:eastAsia="ja-JP"/>
        </w:rPr>
        <w:noBreakHyphen/>
      </w:r>
      <w:r w:rsidR="0029141E" w:rsidRPr="00B637A3">
        <w:rPr>
          <w:lang w:val="fr-FR" w:eastAsia="ja-JP"/>
        </w:rPr>
        <w:t xml:space="preserve">DST </w:t>
      </w:r>
      <w:r w:rsidR="007F29A2" w:rsidRPr="00B637A3">
        <w:rPr>
          <w:lang w:val="fr-FR" w:eastAsia="ja-JP"/>
        </w:rPr>
        <w:t xml:space="preserve">concernant la </w:t>
      </w:r>
      <w:r w:rsidR="00FC1AA3" w:rsidRPr="00B637A3">
        <w:rPr>
          <w:szCs w:val="24"/>
          <w:lang w:val="fr-FR" w:eastAsia="ja-JP"/>
        </w:rPr>
        <w:t>possibilité d’élabor</w:t>
      </w:r>
      <w:r w:rsidR="00FC1AA3">
        <w:rPr>
          <w:szCs w:val="24"/>
          <w:lang w:val="fr-FR" w:eastAsia="ja-JP"/>
        </w:rPr>
        <w:t>ation</w:t>
      </w:r>
      <w:r w:rsidR="00FC1AA3" w:rsidRPr="00B637A3">
        <w:rPr>
          <w:szCs w:val="24"/>
          <w:lang w:val="fr-FR" w:eastAsia="ja-JP"/>
        </w:rPr>
        <w:t xml:space="preserve"> </w:t>
      </w:r>
      <w:r w:rsidR="00FC1AA3">
        <w:rPr>
          <w:szCs w:val="24"/>
          <w:lang w:val="fr-FR" w:eastAsia="ja-JP"/>
        </w:rPr>
        <w:t>d’</w:t>
      </w:r>
      <w:r w:rsidR="00FC1AA3" w:rsidRPr="00B637A3">
        <w:rPr>
          <w:szCs w:val="24"/>
          <w:lang w:val="fr-FR" w:eastAsia="ja-JP"/>
        </w:rPr>
        <w:t xml:space="preserve">un outil de recherche de l’UPOV </w:t>
      </w:r>
      <w:r w:rsidR="00FC1AA3">
        <w:rPr>
          <w:szCs w:val="24"/>
          <w:lang w:val="fr-FR" w:eastAsia="ja-JP"/>
        </w:rPr>
        <w:t>de similarité</w:t>
      </w:r>
      <w:r w:rsidR="00FC1AA3" w:rsidRPr="00B637A3">
        <w:rPr>
          <w:szCs w:val="24"/>
          <w:lang w:val="fr-FR" w:eastAsia="ja-JP"/>
        </w:rPr>
        <w:t xml:space="preserve"> aux fins de</w:t>
      </w:r>
      <w:r w:rsidR="00FC1AA3">
        <w:rPr>
          <w:szCs w:val="24"/>
          <w:lang w:val="fr-FR" w:eastAsia="ja-JP"/>
        </w:rPr>
        <w:t xml:space="preserve"> la dénomination</w:t>
      </w:r>
      <w:r w:rsidR="00FC1AA3" w:rsidRPr="00B637A3">
        <w:rPr>
          <w:szCs w:val="24"/>
          <w:lang w:val="fr-FR" w:eastAsia="ja-JP"/>
        </w:rPr>
        <w:t xml:space="preserve"> </w:t>
      </w:r>
      <w:r w:rsidR="00FC1AA3">
        <w:rPr>
          <w:szCs w:val="24"/>
          <w:lang w:val="fr-FR" w:eastAsia="ja-JP"/>
        </w:rPr>
        <w:t>variétale</w:t>
      </w:r>
      <w:r w:rsidR="007F29A2" w:rsidRPr="00B637A3">
        <w:rPr>
          <w:lang w:val="fr-FR" w:eastAsia="ja-JP"/>
        </w:rPr>
        <w:t xml:space="preserve"> </w:t>
      </w:r>
      <w:r w:rsidR="003E08A3" w:rsidRPr="00B637A3">
        <w:rPr>
          <w:lang w:val="fr-FR" w:eastAsia="ja-JP"/>
        </w:rPr>
        <w:t>(</w:t>
      </w:r>
      <w:r w:rsidR="002812A1" w:rsidRPr="00B637A3">
        <w:rPr>
          <w:lang w:val="fr-FR" w:eastAsia="ja-JP"/>
        </w:rPr>
        <w:t>voir les paragraphes</w:t>
      </w:r>
      <w:r w:rsidR="00635BC5" w:rsidRPr="00B637A3">
        <w:rPr>
          <w:lang w:val="fr-FR" w:eastAsia="ja-JP"/>
        </w:rPr>
        <w:t> </w:t>
      </w:r>
      <w:r w:rsidR="002812A1" w:rsidRPr="00B637A3">
        <w:rPr>
          <w:lang w:val="fr-FR" w:eastAsia="ja-JP"/>
        </w:rPr>
        <w:t>21 et 22 du</w:t>
      </w:r>
      <w:r w:rsidR="003E08A3" w:rsidRPr="00B637A3">
        <w:rPr>
          <w:lang w:val="fr-FR" w:eastAsia="ja-JP"/>
        </w:rPr>
        <w:t xml:space="preserve"> document CAJ/72/9</w:t>
      </w:r>
      <w:r w:rsidR="0033446A" w:rsidRPr="00B637A3">
        <w:rPr>
          <w:lang w:val="fr-FR" w:eastAsia="ja-JP"/>
        </w:rPr>
        <w:t xml:space="preserve"> “</w:t>
      </w:r>
      <w:r w:rsidR="00CE265E" w:rsidRPr="00B637A3">
        <w:rPr>
          <w:lang w:val="fr-FR" w:eastAsia="ja-JP"/>
        </w:rPr>
        <w:t>C</w:t>
      </w:r>
      <w:r w:rsidR="002812A1" w:rsidRPr="00B637A3">
        <w:rPr>
          <w:lang w:val="fr-FR" w:eastAsia="ja-JP"/>
        </w:rPr>
        <w:t>ompte rendu des c</w:t>
      </w:r>
      <w:r w:rsidR="00D52899" w:rsidRPr="00B637A3">
        <w:rPr>
          <w:lang w:val="fr-FR" w:eastAsia="ja-JP"/>
        </w:rPr>
        <w:t>onclusions</w:t>
      </w:r>
      <w:r w:rsidR="0033446A" w:rsidRPr="00B637A3">
        <w:rPr>
          <w:lang w:val="fr-FR" w:eastAsia="ja-JP"/>
        </w:rPr>
        <w:t>”</w:t>
      </w:r>
      <w:r w:rsidR="002812A1" w:rsidRPr="00B637A3">
        <w:rPr>
          <w:lang w:val="fr-FR" w:eastAsia="ja-JP"/>
        </w:rPr>
        <w:t>)</w:t>
      </w:r>
      <w:r w:rsidR="003E08A3" w:rsidRPr="00B637A3">
        <w:rPr>
          <w:lang w:val="fr-FR" w:eastAsia="ja-JP"/>
        </w:rPr>
        <w:t>.</w:t>
      </w:r>
    </w:p>
    <w:p w:rsidR="00732899" w:rsidRPr="00B637A3" w:rsidRDefault="00732899" w:rsidP="0029141E">
      <w:pPr>
        <w:rPr>
          <w:lang w:val="fr-FR" w:eastAsia="ja-JP"/>
        </w:rPr>
      </w:pPr>
    </w:p>
    <w:p w:rsidR="00732899" w:rsidRPr="00B637A3" w:rsidRDefault="003E1463" w:rsidP="002D788F">
      <w:pPr>
        <w:rPr>
          <w:lang w:val="fr-FR" w:eastAsia="ja-JP"/>
        </w:rPr>
      </w:pPr>
      <w:r w:rsidRPr="00B637A3">
        <w:rPr>
          <w:lang w:val="fr-FR"/>
        </w:rPr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Pr="00B637A3">
        <w:rPr>
          <w:lang w:val="fr-FR"/>
        </w:rPr>
        <w:tab/>
      </w:r>
      <w:r w:rsidR="00264FC0" w:rsidRPr="00B637A3">
        <w:rPr>
          <w:lang w:val="fr-FR" w:eastAsia="ja-JP"/>
        </w:rPr>
        <w:t>À sa soixante</w:t>
      </w:r>
      <w:r w:rsidR="00A44650" w:rsidRPr="00B637A3">
        <w:rPr>
          <w:lang w:val="fr-FR" w:eastAsia="ja-JP"/>
        </w:rPr>
        <w:noBreakHyphen/>
      </w:r>
      <w:r w:rsidR="00264FC0" w:rsidRPr="00B637A3">
        <w:rPr>
          <w:lang w:val="fr-FR" w:eastAsia="ja-JP"/>
        </w:rPr>
        <w:t>douzième </w:t>
      </w:r>
      <w:r w:rsidR="00F26A91" w:rsidRPr="00B637A3">
        <w:rPr>
          <w:lang w:val="fr-FR" w:eastAsia="ja-JP"/>
        </w:rPr>
        <w:t>session,</w:t>
      </w:r>
      <w:r w:rsidR="00264FC0" w:rsidRPr="00B637A3">
        <w:rPr>
          <w:lang w:val="fr-FR" w:eastAsia="ja-JP"/>
        </w:rPr>
        <w:t xml:space="preserve"> le CAJ a pris note</w:t>
      </w:r>
      <w:r w:rsidR="00E81173" w:rsidRPr="00B637A3">
        <w:rPr>
          <w:lang w:val="fr-FR" w:eastAsia="ja-JP"/>
        </w:rPr>
        <w:t xml:space="preserve"> du rapport verbal fait par le secrétaire général adjoint</w:t>
      </w:r>
      <w:r w:rsidR="00A44650" w:rsidRPr="00B637A3">
        <w:rPr>
          <w:lang w:val="fr-FR" w:eastAsia="ja-JP"/>
        </w:rPr>
        <w:t xml:space="preserve"> sur la troisième réunion du WG</w:t>
      </w:r>
      <w:r w:rsidR="00A44650" w:rsidRPr="00B637A3">
        <w:rPr>
          <w:lang w:val="fr-FR" w:eastAsia="ja-JP"/>
        </w:rPr>
        <w:noBreakHyphen/>
      </w:r>
      <w:r w:rsidR="00E81173" w:rsidRPr="00B637A3">
        <w:rPr>
          <w:lang w:val="fr-FR" w:eastAsia="ja-JP"/>
        </w:rPr>
        <w:t>DST, qui s</w:t>
      </w:r>
      <w:r w:rsidR="00DF1AFC" w:rsidRPr="00B637A3">
        <w:rPr>
          <w:lang w:val="fr-FR" w:eastAsia="ja-JP"/>
        </w:rPr>
        <w:t>’</w:t>
      </w:r>
      <w:r w:rsidR="00E81173" w:rsidRPr="00B637A3">
        <w:rPr>
          <w:lang w:val="fr-FR" w:eastAsia="ja-JP"/>
        </w:rPr>
        <w:t xml:space="preserve">est tenue à Genève le </w:t>
      </w:r>
      <w:r w:rsidR="00DF1AFC" w:rsidRPr="00B637A3">
        <w:rPr>
          <w:lang w:val="fr-FR" w:eastAsia="ja-JP"/>
        </w:rPr>
        <w:t>2 octobre 20</w:t>
      </w:r>
      <w:r w:rsidR="00E81173" w:rsidRPr="00B637A3">
        <w:rPr>
          <w:lang w:val="fr-FR" w:eastAsia="ja-JP"/>
        </w:rPr>
        <w:t>15</w:t>
      </w:r>
      <w:r w:rsidR="00BC6B1E" w:rsidRPr="00B637A3">
        <w:rPr>
          <w:lang w:val="fr-FR" w:eastAsia="ja-JP"/>
        </w:rPr>
        <w:t>,</w:t>
      </w:r>
      <w:r w:rsidR="0029141E" w:rsidRPr="00B637A3">
        <w:rPr>
          <w:lang w:val="fr-FR" w:eastAsia="ja-JP"/>
        </w:rPr>
        <w:t xml:space="preserve"> </w:t>
      </w:r>
      <w:r w:rsidR="00E81173" w:rsidRPr="00B637A3">
        <w:rPr>
          <w:lang w:val="fr-FR" w:eastAsia="ja-JP"/>
        </w:rPr>
        <w:t>selon lequel les membres de l</w:t>
      </w:r>
      <w:r w:rsidR="00DF1AFC" w:rsidRPr="00B637A3">
        <w:rPr>
          <w:lang w:val="fr-FR" w:eastAsia="ja-JP"/>
        </w:rPr>
        <w:t>’</w:t>
      </w:r>
      <w:r w:rsidR="00E81173" w:rsidRPr="00B637A3">
        <w:rPr>
          <w:lang w:val="fr-FR" w:eastAsia="ja-JP"/>
        </w:rPr>
        <w:t xml:space="preserve">Union avaient été invités, au moyen de la circulaire </w:t>
      </w:r>
      <w:r w:rsidR="007D6D34" w:rsidRPr="00B637A3">
        <w:rPr>
          <w:lang w:val="fr-FR" w:eastAsia="ja-JP"/>
        </w:rPr>
        <w:t>E</w:t>
      </w:r>
      <w:r w:rsidR="00A44650" w:rsidRPr="00B637A3">
        <w:rPr>
          <w:lang w:val="fr-FR" w:eastAsia="ja-JP"/>
        </w:rPr>
        <w:noBreakHyphen/>
      </w:r>
      <w:r w:rsidR="007D6D34" w:rsidRPr="00B637A3">
        <w:rPr>
          <w:lang w:val="fr-FR" w:eastAsia="ja-JP"/>
        </w:rPr>
        <w:t>15/237</w:t>
      </w:r>
      <w:r w:rsidR="00781D3C" w:rsidRPr="00B637A3">
        <w:rPr>
          <w:lang w:val="fr-FR" w:eastAsia="ja-JP"/>
        </w:rPr>
        <w:t xml:space="preserve"> </w:t>
      </w:r>
      <w:r w:rsidR="00E81173" w:rsidRPr="00B637A3">
        <w:rPr>
          <w:lang w:val="fr-FR" w:eastAsia="ja-JP"/>
        </w:rPr>
        <w:t>du 21 </w:t>
      </w:r>
      <w:r w:rsidR="00DF1AFC" w:rsidRPr="00B637A3">
        <w:rPr>
          <w:lang w:val="fr-FR" w:eastAsia="ja-JP"/>
        </w:rPr>
        <w:t>octobre 20</w:t>
      </w:r>
      <w:r w:rsidR="00E81173" w:rsidRPr="00B637A3">
        <w:rPr>
          <w:lang w:val="fr-FR" w:eastAsia="ja-JP"/>
        </w:rPr>
        <w:t>15, à participer à la deuxième étape de l</w:t>
      </w:r>
      <w:r w:rsidR="00DF1AFC" w:rsidRPr="00B637A3">
        <w:rPr>
          <w:lang w:val="fr-FR" w:eastAsia="ja-JP"/>
        </w:rPr>
        <w:t>’</w:t>
      </w:r>
      <w:r w:rsidR="00E81173" w:rsidRPr="00B637A3">
        <w:rPr>
          <w:lang w:val="fr-FR" w:eastAsia="ja-JP"/>
        </w:rPr>
        <w:t>étude test en vue de l</w:t>
      </w:r>
      <w:r w:rsidR="00DF1AFC" w:rsidRPr="00B637A3">
        <w:rPr>
          <w:lang w:val="fr-FR" w:eastAsia="ja-JP"/>
        </w:rPr>
        <w:t>’</w:t>
      </w:r>
      <w:r w:rsidR="00E81173" w:rsidRPr="00B637A3">
        <w:rPr>
          <w:lang w:val="fr-FR" w:eastAsia="ja-JP"/>
        </w:rPr>
        <w:t>élaboration d</w:t>
      </w:r>
      <w:r w:rsidR="00DF1AFC" w:rsidRPr="00B637A3">
        <w:rPr>
          <w:lang w:val="fr-FR" w:eastAsia="ja-JP"/>
        </w:rPr>
        <w:t>’</w:t>
      </w:r>
      <w:r w:rsidR="00E81173" w:rsidRPr="00B637A3">
        <w:rPr>
          <w:lang w:val="fr-FR" w:eastAsia="ja-JP"/>
        </w:rPr>
        <w:t xml:space="preserve">un </w:t>
      </w:r>
      <w:r w:rsidR="00FC1AA3">
        <w:rPr>
          <w:lang w:val="fr-FR" w:eastAsia="ja-JP"/>
        </w:rPr>
        <w:t xml:space="preserve">outil </w:t>
      </w:r>
      <w:r w:rsidR="00E81173" w:rsidRPr="00B637A3">
        <w:rPr>
          <w:lang w:val="fr-FR" w:eastAsia="ja-JP"/>
        </w:rPr>
        <w:t>de recherche efficace de similarité aux fins de la dénomination variétale</w:t>
      </w:r>
      <w:r w:rsidR="0029141E" w:rsidRPr="00B637A3">
        <w:rPr>
          <w:lang w:val="fr-FR" w:eastAsia="ja-JP"/>
        </w:rPr>
        <w:t xml:space="preserve">. </w:t>
      </w:r>
      <w:r w:rsidR="003D3694" w:rsidRPr="00B637A3">
        <w:rPr>
          <w:lang w:val="fr-FR" w:eastAsia="ja-JP"/>
        </w:rPr>
        <w:t xml:space="preserve"> </w:t>
      </w:r>
      <w:r w:rsidR="00E81173" w:rsidRPr="00B637A3">
        <w:rPr>
          <w:lang w:val="fr-FR" w:eastAsia="ja-JP"/>
        </w:rPr>
        <w:t>L</w:t>
      </w:r>
      <w:r w:rsidR="00DF1AFC" w:rsidRPr="00B637A3">
        <w:rPr>
          <w:lang w:val="fr-FR" w:eastAsia="ja-JP"/>
        </w:rPr>
        <w:t>’</w:t>
      </w:r>
      <w:r w:rsidR="00E81173" w:rsidRPr="00B637A3">
        <w:rPr>
          <w:lang w:val="fr-FR" w:eastAsia="ja-JP"/>
        </w:rPr>
        <w:t>objectif de la deuxième étape était d</w:t>
      </w:r>
      <w:r w:rsidR="00DF1AFC" w:rsidRPr="00B637A3">
        <w:rPr>
          <w:lang w:val="fr-FR" w:eastAsia="ja-JP"/>
        </w:rPr>
        <w:t>’</w:t>
      </w:r>
      <w:r w:rsidR="00E81173" w:rsidRPr="00B637A3">
        <w:rPr>
          <w:lang w:val="fr-FR" w:eastAsia="ja-JP"/>
        </w:rPr>
        <w:t>affiner l</w:t>
      </w:r>
      <w:r w:rsidR="00DF1AFC" w:rsidRPr="00B637A3">
        <w:rPr>
          <w:lang w:val="fr-FR" w:eastAsia="ja-JP"/>
        </w:rPr>
        <w:t>’</w:t>
      </w:r>
      <w:r w:rsidR="00E81173" w:rsidRPr="00B637A3">
        <w:rPr>
          <w:lang w:val="fr-FR" w:eastAsia="ja-JP"/>
        </w:rPr>
        <w:t>algorithme qui avait été considéré comme le meilleur algorithme dans la première étape de l</w:t>
      </w:r>
      <w:r w:rsidR="00DF1AFC" w:rsidRPr="00B637A3">
        <w:rPr>
          <w:lang w:val="fr-FR" w:eastAsia="ja-JP"/>
        </w:rPr>
        <w:t>’</w:t>
      </w:r>
      <w:r w:rsidR="00E81173" w:rsidRPr="00B637A3">
        <w:rPr>
          <w:lang w:val="fr-FR" w:eastAsia="ja-JP"/>
        </w:rPr>
        <w:t>étude test</w:t>
      </w:r>
      <w:r w:rsidR="0029141E" w:rsidRPr="00B637A3">
        <w:rPr>
          <w:lang w:val="fr-FR" w:eastAsia="ja-JP"/>
        </w:rPr>
        <w:t xml:space="preserve">. </w:t>
      </w:r>
      <w:r w:rsidR="00635BC5" w:rsidRPr="00B637A3">
        <w:rPr>
          <w:lang w:val="fr-FR" w:eastAsia="ja-JP"/>
        </w:rPr>
        <w:t xml:space="preserve"> </w:t>
      </w:r>
      <w:r w:rsidR="00E81173" w:rsidRPr="00B637A3">
        <w:rPr>
          <w:lang w:val="fr-FR" w:eastAsia="ja-JP"/>
        </w:rPr>
        <w:t>En fonction des résultats de la deuxième étape, le Bureau de l</w:t>
      </w:r>
      <w:r w:rsidR="00DF1AFC" w:rsidRPr="00B637A3">
        <w:rPr>
          <w:lang w:val="fr-FR" w:eastAsia="ja-JP"/>
        </w:rPr>
        <w:t>’</w:t>
      </w:r>
      <w:r w:rsidR="00E81173" w:rsidRPr="00B637A3">
        <w:rPr>
          <w:lang w:val="fr-FR" w:eastAsia="ja-JP"/>
        </w:rPr>
        <w:t>Union affinera l</w:t>
      </w:r>
      <w:r w:rsidR="00DF1AFC" w:rsidRPr="00B637A3">
        <w:rPr>
          <w:lang w:val="fr-FR" w:eastAsia="ja-JP"/>
        </w:rPr>
        <w:t>’</w:t>
      </w:r>
      <w:r w:rsidR="00E81173" w:rsidRPr="00B637A3">
        <w:rPr>
          <w:lang w:val="fr-FR" w:eastAsia="ja-JP"/>
        </w:rPr>
        <w:t xml:space="preserve">algorithme dans le courant des mois de novembre et </w:t>
      </w:r>
      <w:r w:rsidR="00DF1AFC" w:rsidRPr="00B637A3">
        <w:rPr>
          <w:lang w:val="fr-FR" w:eastAsia="ja-JP"/>
        </w:rPr>
        <w:t>décembre 20</w:t>
      </w:r>
      <w:r w:rsidR="00E81173" w:rsidRPr="00B637A3">
        <w:rPr>
          <w:lang w:val="fr-FR" w:eastAsia="ja-JP"/>
        </w:rPr>
        <w:t>15 et l</w:t>
      </w:r>
      <w:r w:rsidR="00DF1AFC" w:rsidRPr="00B637A3">
        <w:rPr>
          <w:lang w:val="fr-FR" w:eastAsia="ja-JP"/>
        </w:rPr>
        <w:t>’</w:t>
      </w:r>
      <w:r w:rsidR="00E81173" w:rsidRPr="00B637A3">
        <w:rPr>
          <w:lang w:val="fr-FR" w:eastAsia="ja-JP"/>
        </w:rPr>
        <w:t xml:space="preserve">adaptera avant la fin de </w:t>
      </w:r>
      <w:r w:rsidR="00DF1AFC" w:rsidRPr="00B637A3">
        <w:rPr>
          <w:lang w:val="fr-FR" w:eastAsia="ja-JP"/>
        </w:rPr>
        <w:t>décembre 20</w:t>
      </w:r>
      <w:r w:rsidR="00E81173" w:rsidRPr="00B637A3">
        <w:rPr>
          <w:lang w:val="fr-FR" w:eastAsia="ja-JP"/>
        </w:rPr>
        <w:t>15</w:t>
      </w:r>
      <w:r w:rsidR="0029141E" w:rsidRPr="00B637A3">
        <w:rPr>
          <w:lang w:val="fr-FR" w:eastAsia="ja-JP"/>
        </w:rPr>
        <w:t xml:space="preserve">. </w:t>
      </w:r>
      <w:r w:rsidR="00635BC5" w:rsidRPr="00B637A3">
        <w:rPr>
          <w:lang w:val="fr-FR" w:eastAsia="ja-JP"/>
        </w:rPr>
        <w:t xml:space="preserve"> </w:t>
      </w:r>
      <w:r w:rsidR="007933DD" w:rsidRPr="00B637A3">
        <w:rPr>
          <w:lang w:val="fr-FR" w:eastAsia="ja-JP"/>
        </w:rPr>
        <w:t>L</w:t>
      </w:r>
      <w:r w:rsidR="00DF1AFC" w:rsidRPr="00B637A3">
        <w:rPr>
          <w:lang w:val="fr-FR" w:eastAsia="ja-JP"/>
        </w:rPr>
        <w:t>’</w:t>
      </w:r>
      <w:r w:rsidR="007933DD" w:rsidRPr="00B637A3">
        <w:rPr>
          <w:lang w:val="fr-FR" w:eastAsia="ja-JP"/>
        </w:rPr>
        <w:t>algorithm</w:t>
      </w:r>
      <w:r w:rsidR="00A44650" w:rsidRPr="00B637A3">
        <w:rPr>
          <w:lang w:val="fr-FR" w:eastAsia="ja-JP"/>
        </w:rPr>
        <w:t>e révisé sera examiné par le WG</w:t>
      </w:r>
      <w:r w:rsidR="00A44650" w:rsidRPr="00B637A3">
        <w:rPr>
          <w:lang w:val="fr-FR" w:eastAsia="ja-JP"/>
        </w:rPr>
        <w:noBreakHyphen/>
      </w:r>
      <w:r w:rsidR="007933DD" w:rsidRPr="00B637A3">
        <w:rPr>
          <w:lang w:val="fr-FR" w:eastAsia="ja-JP"/>
        </w:rPr>
        <w:t xml:space="preserve">DST à sa quatrième réunion, qui se tiendra le </w:t>
      </w:r>
      <w:r w:rsidR="00DF1AFC" w:rsidRPr="00B637A3">
        <w:rPr>
          <w:lang w:val="fr-FR" w:eastAsia="ja-JP"/>
        </w:rPr>
        <w:t>4 février 20</w:t>
      </w:r>
      <w:r w:rsidR="007933DD" w:rsidRPr="00B637A3">
        <w:rPr>
          <w:lang w:val="fr-FR" w:eastAsia="ja-JP"/>
        </w:rPr>
        <w:t>16</w:t>
      </w:r>
      <w:r w:rsidR="002D788F" w:rsidRPr="00B637A3">
        <w:rPr>
          <w:lang w:val="fr-FR" w:eastAsia="ja-JP"/>
        </w:rPr>
        <w:t xml:space="preserve"> (</w:t>
      </w:r>
      <w:r w:rsidR="007F29A2" w:rsidRPr="00B637A3">
        <w:rPr>
          <w:lang w:val="fr-FR" w:eastAsia="ja-JP"/>
        </w:rPr>
        <w:t>voir le paragraphe</w:t>
      </w:r>
      <w:r w:rsidR="00635BC5" w:rsidRPr="00B637A3">
        <w:rPr>
          <w:lang w:val="fr-FR" w:eastAsia="ja-JP"/>
        </w:rPr>
        <w:t> </w:t>
      </w:r>
      <w:r w:rsidR="007F29A2" w:rsidRPr="00B637A3">
        <w:rPr>
          <w:lang w:val="fr-FR" w:eastAsia="ja-JP"/>
        </w:rPr>
        <w:t>22 du</w:t>
      </w:r>
      <w:r w:rsidR="002D788F" w:rsidRPr="00B637A3">
        <w:rPr>
          <w:lang w:val="fr-FR" w:eastAsia="ja-JP"/>
        </w:rPr>
        <w:t xml:space="preserve"> document CAJ/72/9 “</w:t>
      </w:r>
      <w:r w:rsidR="00CE265E" w:rsidRPr="00B637A3">
        <w:rPr>
          <w:lang w:val="fr-FR" w:eastAsia="ja-JP"/>
        </w:rPr>
        <w:t>Compte rendu des conclusions</w:t>
      </w:r>
      <w:r w:rsidR="002D788F" w:rsidRPr="00B637A3">
        <w:rPr>
          <w:lang w:val="fr-FR" w:eastAsia="ja-JP"/>
        </w:rPr>
        <w:t>”</w:t>
      </w:r>
      <w:r w:rsidR="00904AC6" w:rsidRPr="00B637A3">
        <w:rPr>
          <w:lang w:val="fr-FR" w:eastAsia="ja-JP"/>
        </w:rPr>
        <w:t>)</w:t>
      </w:r>
      <w:r w:rsidR="002D788F" w:rsidRPr="00B637A3">
        <w:rPr>
          <w:lang w:val="fr-FR" w:eastAsia="ja-JP"/>
        </w:rPr>
        <w:t>.</w:t>
      </w:r>
    </w:p>
    <w:p w:rsidR="00732899" w:rsidRPr="00B637A3" w:rsidRDefault="00732899" w:rsidP="0029141E">
      <w:pPr>
        <w:rPr>
          <w:lang w:val="fr-FR" w:eastAsia="ja-JP"/>
        </w:rPr>
      </w:pPr>
    </w:p>
    <w:p w:rsidR="00732899" w:rsidRPr="00B637A3" w:rsidRDefault="00514760" w:rsidP="00D073CE">
      <w:pPr>
        <w:rPr>
          <w:lang w:val="fr-FR" w:eastAsia="ja-JP"/>
        </w:rPr>
      </w:pPr>
      <w:r w:rsidRPr="00B637A3">
        <w:rPr>
          <w:lang w:val="fr-FR"/>
        </w:rPr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Pr="00B637A3">
        <w:rPr>
          <w:lang w:val="fr-FR"/>
        </w:rPr>
        <w:tab/>
      </w:r>
      <w:r w:rsidR="00EC396A" w:rsidRPr="00B637A3">
        <w:rPr>
          <w:lang w:val="fr-FR"/>
        </w:rPr>
        <w:t xml:space="preserve">Un résumé des réponses </w:t>
      </w:r>
      <w:r w:rsidR="00FB1201" w:rsidRPr="00B637A3">
        <w:rPr>
          <w:lang w:val="fr-FR"/>
        </w:rPr>
        <w:t>concernant la deuxième étape de l</w:t>
      </w:r>
      <w:r w:rsidR="00DF1AFC" w:rsidRPr="00B637A3">
        <w:rPr>
          <w:lang w:val="fr-FR"/>
        </w:rPr>
        <w:t>’</w:t>
      </w:r>
      <w:r w:rsidR="00FB1201" w:rsidRPr="00B637A3">
        <w:rPr>
          <w:lang w:val="fr-FR"/>
        </w:rPr>
        <w:t>étude test révèle qu</w:t>
      </w:r>
      <w:r w:rsidR="00DF1AFC" w:rsidRPr="00B637A3">
        <w:rPr>
          <w:lang w:val="fr-FR"/>
        </w:rPr>
        <w:t>’</w:t>
      </w:r>
      <w:r w:rsidR="00FB1201" w:rsidRPr="00B637A3">
        <w:rPr>
          <w:lang w:val="fr-FR"/>
        </w:rPr>
        <w:t>un large éventail de dénominations ont été retenues et que les travaux qui ont été menés par la suite ont démontré qu</w:t>
      </w:r>
      <w:r w:rsidR="00DF1AFC" w:rsidRPr="00B637A3">
        <w:rPr>
          <w:lang w:val="fr-FR"/>
        </w:rPr>
        <w:t>’</w:t>
      </w:r>
      <w:r w:rsidR="00FB1201" w:rsidRPr="00B637A3">
        <w:rPr>
          <w:lang w:val="fr-FR"/>
        </w:rPr>
        <w:t>il y avait peu de convergence entre ces dénominations</w:t>
      </w:r>
      <w:r w:rsidR="00D073CE" w:rsidRPr="00B637A3">
        <w:rPr>
          <w:lang w:val="fr-FR"/>
        </w:rPr>
        <w:t>.</w:t>
      </w:r>
      <w:r w:rsidR="004449D5" w:rsidRPr="00B637A3">
        <w:rPr>
          <w:lang w:val="fr-FR" w:eastAsia="ja-JP"/>
        </w:rPr>
        <w:t xml:space="preserve">  </w:t>
      </w:r>
      <w:r w:rsidR="00FB1201" w:rsidRPr="00B637A3">
        <w:rPr>
          <w:lang w:val="fr-FR" w:eastAsia="ja-JP"/>
        </w:rPr>
        <w:t>De fait, un exercice supplémentaire a été organisé</w:t>
      </w:r>
      <w:r w:rsidR="004449D5" w:rsidRPr="00B637A3">
        <w:rPr>
          <w:lang w:val="fr-FR" w:eastAsia="ja-JP"/>
        </w:rPr>
        <w:t>.</w:t>
      </w:r>
    </w:p>
    <w:p w:rsidR="00732899" w:rsidRPr="00B637A3" w:rsidRDefault="00732899" w:rsidP="00D073CE">
      <w:pPr>
        <w:rPr>
          <w:lang w:val="fr-FR" w:eastAsia="ja-JP"/>
        </w:rPr>
      </w:pPr>
    </w:p>
    <w:p w:rsidR="00732899" w:rsidRPr="00B637A3" w:rsidRDefault="00AA1974" w:rsidP="00FC1AA3">
      <w:pPr>
        <w:keepLines/>
        <w:rPr>
          <w:lang w:val="fr-FR"/>
        </w:rPr>
      </w:pPr>
      <w:r w:rsidRPr="00B637A3">
        <w:rPr>
          <w:lang w:val="fr-FR"/>
        </w:rPr>
        <w:lastRenderedPageBreak/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Pr="00B637A3">
        <w:rPr>
          <w:lang w:val="fr-FR"/>
        </w:rPr>
        <w:tab/>
      </w:r>
      <w:r w:rsidR="00006C85" w:rsidRPr="00B637A3">
        <w:rPr>
          <w:lang w:val="fr-FR"/>
        </w:rPr>
        <w:t>Afin de pouvoir mettre au point une liste de dénominations suffisamment similaires pour pouvoir être acceptées comme telles par les experts participants, les membres du WG</w:t>
      </w:r>
      <w:r w:rsidR="00A44650" w:rsidRPr="00B637A3">
        <w:rPr>
          <w:lang w:val="fr-FR"/>
        </w:rPr>
        <w:noBreakHyphen/>
      </w:r>
      <w:r w:rsidR="00006C85" w:rsidRPr="00B637A3">
        <w:rPr>
          <w:lang w:val="fr-FR"/>
        </w:rPr>
        <w:t xml:space="preserve">DST </w:t>
      </w:r>
      <w:r w:rsidR="00F2533D" w:rsidRPr="00B637A3">
        <w:rPr>
          <w:lang w:val="fr-FR"/>
        </w:rPr>
        <w:t>et les répondants à l</w:t>
      </w:r>
      <w:r w:rsidR="00DF1AFC" w:rsidRPr="00B637A3">
        <w:rPr>
          <w:lang w:val="fr-FR"/>
        </w:rPr>
        <w:t>’</w:t>
      </w:r>
      <w:r w:rsidR="00F2533D" w:rsidRPr="00B637A3">
        <w:rPr>
          <w:lang w:val="fr-FR"/>
        </w:rPr>
        <w:t>exercice relatif à la deuxième étape de l</w:t>
      </w:r>
      <w:r w:rsidR="00DF1AFC" w:rsidRPr="00B637A3">
        <w:rPr>
          <w:lang w:val="fr-FR"/>
        </w:rPr>
        <w:t>’</w:t>
      </w:r>
      <w:r w:rsidR="00F2533D" w:rsidRPr="00B637A3">
        <w:rPr>
          <w:lang w:val="fr-FR"/>
        </w:rPr>
        <w:t xml:space="preserve">étude test ont été </w:t>
      </w:r>
      <w:r w:rsidR="00006C85" w:rsidRPr="00B637A3">
        <w:rPr>
          <w:lang w:val="fr-FR"/>
        </w:rPr>
        <w:t xml:space="preserve">invités </w:t>
      </w:r>
      <w:r w:rsidR="00F2533D" w:rsidRPr="00B637A3">
        <w:rPr>
          <w:lang w:val="fr-FR"/>
        </w:rPr>
        <w:t>au moyen de la circulaire E</w:t>
      </w:r>
      <w:r w:rsidR="00A44650" w:rsidRPr="00B637A3">
        <w:rPr>
          <w:lang w:val="fr-FR"/>
        </w:rPr>
        <w:noBreakHyphen/>
      </w:r>
      <w:r w:rsidR="00F2533D" w:rsidRPr="00B637A3">
        <w:rPr>
          <w:lang w:val="fr-FR"/>
        </w:rPr>
        <w:t>15/291 du 2</w:t>
      </w:r>
      <w:r w:rsidR="00DF1AFC" w:rsidRPr="00B637A3">
        <w:rPr>
          <w:lang w:val="fr-FR"/>
        </w:rPr>
        <w:t>1 décembre 20</w:t>
      </w:r>
      <w:r w:rsidR="00F2533D" w:rsidRPr="00B637A3">
        <w:rPr>
          <w:lang w:val="fr-FR"/>
        </w:rPr>
        <w:t xml:space="preserve">15 </w:t>
      </w:r>
      <w:r w:rsidR="00006C85" w:rsidRPr="00B637A3">
        <w:rPr>
          <w:lang w:val="fr-FR"/>
        </w:rPr>
        <w:t xml:space="preserve">à </w:t>
      </w:r>
      <w:r w:rsidR="00F2533D" w:rsidRPr="00B637A3">
        <w:rPr>
          <w:lang w:val="fr-FR"/>
        </w:rPr>
        <w:t>effectuer</w:t>
      </w:r>
      <w:r w:rsidR="00006C85" w:rsidRPr="00B637A3">
        <w:rPr>
          <w:lang w:val="fr-FR"/>
        </w:rPr>
        <w:t xml:space="preserve"> un nouvel exercice</w:t>
      </w:r>
      <w:r w:rsidRPr="00B637A3">
        <w:rPr>
          <w:lang w:val="fr-FR"/>
        </w:rPr>
        <w:t>.</w:t>
      </w:r>
    </w:p>
    <w:p w:rsidR="00732899" w:rsidRPr="00B637A3" w:rsidRDefault="00732899" w:rsidP="0029141E">
      <w:pPr>
        <w:rPr>
          <w:lang w:val="fr-FR" w:eastAsia="ja-JP"/>
        </w:rPr>
      </w:pPr>
    </w:p>
    <w:p w:rsidR="00732899" w:rsidRPr="00B637A3" w:rsidRDefault="00EE7F87" w:rsidP="00063692">
      <w:pPr>
        <w:rPr>
          <w:lang w:val="fr-FR" w:eastAsia="ja-JP"/>
        </w:rPr>
      </w:pPr>
      <w:r w:rsidRPr="00B637A3">
        <w:rPr>
          <w:lang w:val="fr-FR"/>
        </w:rPr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Pr="00B637A3">
        <w:rPr>
          <w:lang w:val="fr-FR"/>
        </w:rPr>
        <w:tab/>
      </w:r>
      <w:r w:rsidR="00D64295" w:rsidRPr="00B637A3">
        <w:rPr>
          <w:lang w:val="fr-FR"/>
        </w:rPr>
        <w:t>Tous les participants à la deuxième étape de l</w:t>
      </w:r>
      <w:r w:rsidR="00DF1AFC" w:rsidRPr="00B637A3">
        <w:rPr>
          <w:lang w:val="fr-FR"/>
        </w:rPr>
        <w:t>’</w:t>
      </w:r>
      <w:r w:rsidR="00D64295" w:rsidRPr="00B637A3">
        <w:rPr>
          <w:lang w:val="fr-FR"/>
        </w:rPr>
        <w:t>étude test ont participé à l</w:t>
      </w:r>
      <w:r w:rsidR="00DF1AFC" w:rsidRPr="00B637A3">
        <w:rPr>
          <w:lang w:val="fr-FR"/>
        </w:rPr>
        <w:t>’</w:t>
      </w:r>
      <w:r w:rsidR="00D64295" w:rsidRPr="00B637A3">
        <w:rPr>
          <w:lang w:val="fr-FR"/>
        </w:rPr>
        <w:t xml:space="preserve">exercice </w:t>
      </w:r>
      <w:r w:rsidR="00F26A91" w:rsidRPr="00B637A3">
        <w:rPr>
          <w:lang w:val="fr-FR"/>
        </w:rPr>
        <w:t>supplémentaire</w:t>
      </w:r>
      <w:r w:rsidR="00063692" w:rsidRPr="00B637A3">
        <w:rPr>
          <w:lang w:val="fr-FR" w:eastAsia="ja-JP"/>
        </w:rPr>
        <w:t xml:space="preserve">.  </w:t>
      </w:r>
      <w:r w:rsidR="00320AB9" w:rsidRPr="00B637A3">
        <w:rPr>
          <w:lang w:val="fr-FR" w:eastAsia="ja-JP"/>
        </w:rPr>
        <w:t>En </w:t>
      </w:r>
      <w:r w:rsidR="00D64295" w:rsidRPr="00B637A3">
        <w:rPr>
          <w:lang w:val="fr-FR" w:eastAsia="ja-JP"/>
        </w:rPr>
        <w:t>outre, trois</w:t>
      </w:r>
      <w:r w:rsidR="009E114F" w:rsidRPr="00B637A3">
        <w:rPr>
          <w:lang w:val="fr-FR" w:eastAsia="ja-JP"/>
        </w:rPr>
        <w:t> </w:t>
      </w:r>
      <w:r w:rsidR="00D64295" w:rsidRPr="00B637A3">
        <w:rPr>
          <w:lang w:val="fr-FR" w:eastAsia="ja-JP"/>
        </w:rPr>
        <w:t>nouveaux experts ont participé à l</w:t>
      </w:r>
      <w:r w:rsidR="00DF1AFC" w:rsidRPr="00B637A3">
        <w:rPr>
          <w:lang w:val="fr-FR" w:eastAsia="ja-JP"/>
        </w:rPr>
        <w:t>’</w:t>
      </w:r>
      <w:r w:rsidR="00D64295" w:rsidRPr="00B637A3">
        <w:rPr>
          <w:lang w:val="fr-FR" w:eastAsia="ja-JP"/>
        </w:rPr>
        <w:t xml:space="preserve">exercice </w:t>
      </w:r>
      <w:r w:rsidR="00F26A91" w:rsidRPr="00B637A3">
        <w:rPr>
          <w:lang w:val="fr-FR" w:eastAsia="ja-JP"/>
        </w:rPr>
        <w:t>supplémentaire</w:t>
      </w:r>
      <w:r w:rsidR="00063692" w:rsidRPr="00B637A3">
        <w:rPr>
          <w:lang w:val="fr-FR" w:eastAsia="ja-JP"/>
        </w:rPr>
        <w:t>.</w:t>
      </w:r>
    </w:p>
    <w:p w:rsidR="00732899" w:rsidRPr="00B637A3" w:rsidRDefault="00732899" w:rsidP="0029141E">
      <w:pPr>
        <w:rPr>
          <w:lang w:val="fr-FR" w:eastAsia="ja-JP"/>
        </w:rPr>
      </w:pPr>
    </w:p>
    <w:p w:rsidR="00732899" w:rsidRPr="00B637A3" w:rsidRDefault="00D073CE" w:rsidP="0029141E">
      <w:pPr>
        <w:rPr>
          <w:lang w:val="fr-FR" w:eastAsia="ja-JP"/>
        </w:rPr>
      </w:pPr>
      <w:r w:rsidRPr="00B637A3">
        <w:rPr>
          <w:lang w:val="fr-FR"/>
        </w:rPr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Pr="00B637A3">
        <w:rPr>
          <w:lang w:val="fr-FR"/>
        </w:rPr>
        <w:tab/>
      </w:r>
      <w:r w:rsidR="00951DE6" w:rsidRPr="00B637A3">
        <w:rPr>
          <w:lang w:val="fr-FR"/>
        </w:rPr>
        <w:t xml:space="preserve">Un nouveau rapport sur les avancées réalisées en ce qui concerne les travaux </w:t>
      </w:r>
      <w:r w:rsidR="0053433E" w:rsidRPr="00B637A3">
        <w:rPr>
          <w:lang w:val="fr-FR"/>
        </w:rPr>
        <w:t>en vue de la possibilité d</w:t>
      </w:r>
      <w:r w:rsidR="00DF1AFC" w:rsidRPr="00B637A3">
        <w:rPr>
          <w:lang w:val="fr-FR"/>
        </w:rPr>
        <w:t>’</w:t>
      </w:r>
      <w:r w:rsidR="0053433E" w:rsidRPr="00B637A3">
        <w:rPr>
          <w:lang w:val="fr-FR"/>
        </w:rPr>
        <w:t xml:space="preserve">élaborer un outil de recherche </w:t>
      </w:r>
      <w:r w:rsidR="00FC1AA3" w:rsidRPr="00B637A3">
        <w:rPr>
          <w:lang w:val="fr-FR"/>
        </w:rPr>
        <w:t xml:space="preserve">de l’UPOV </w:t>
      </w:r>
      <w:r w:rsidR="0053433E" w:rsidRPr="00B637A3">
        <w:rPr>
          <w:lang w:val="fr-FR"/>
        </w:rPr>
        <w:t>de similarité sera présenté au</w:t>
      </w:r>
      <w:r w:rsidR="00DF1AFC" w:rsidRPr="00B637A3">
        <w:rPr>
          <w:szCs w:val="24"/>
          <w:lang w:val="fr-FR" w:eastAsia="ja-JP"/>
        </w:rPr>
        <w:t> TC</w:t>
      </w:r>
      <w:r w:rsidR="00104F4D" w:rsidRPr="00B637A3">
        <w:rPr>
          <w:szCs w:val="24"/>
          <w:lang w:val="fr-FR" w:eastAsia="ja-JP"/>
        </w:rPr>
        <w:t xml:space="preserve">, </w:t>
      </w:r>
      <w:r w:rsidR="0053433E" w:rsidRPr="00B637A3">
        <w:rPr>
          <w:szCs w:val="24"/>
          <w:lang w:val="fr-FR" w:eastAsia="ja-JP"/>
        </w:rPr>
        <w:t xml:space="preserve">à sa </w:t>
      </w:r>
      <w:r w:rsidR="00F56AB8" w:rsidRPr="00B637A3">
        <w:rPr>
          <w:szCs w:val="24"/>
          <w:lang w:val="fr-FR" w:eastAsia="ja-JP"/>
        </w:rPr>
        <w:t>cinquante</w:t>
      </w:r>
      <w:r w:rsidR="00A44650" w:rsidRPr="00B637A3">
        <w:rPr>
          <w:szCs w:val="24"/>
          <w:lang w:val="fr-FR" w:eastAsia="ja-JP"/>
        </w:rPr>
        <w:noBreakHyphen/>
      </w:r>
      <w:r w:rsidR="00F56AB8" w:rsidRPr="00B637A3">
        <w:rPr>
          <w:szCs w:val="24"/>
          <w:lang w:val="fr-FR" w:eastAsia="ja-JP"/>
        </w:rPr>
        <w:t>deuxième</w:t>
      </w:r>
      <w:r w:rsidR="00FC1AA3">
        <w:rPr>
          <w:szCs w:val="24"/>
          <w:lang w:val="fr-FR" w:eastAsia="ja-JP"/>
        </w:rPr>
        <w:t xml:space="preserve"> </w:t>
      </w:r>
      <w:r w:rsidR="00F56AB8" w:rsidRPr="00B637A3">
        <w:rPr>
          <w:szCs w:val="24"/>
          <w:lang w:val="fr-FR" w:eastAsia="ja-JP"/>
        </w:rPr>
        <w:t>session</w:t>
      </w:r>
      <w:r w:rsidR="00104F4D" w:rsidRPr="00B637A3">
        <w:rPr>
          <w:szCs w:val="24"/>
          <w:lang w:val="fr-FR" w:eastAsia="ja-JP"/>
        </w:rPr>
        <w:t>.</w:t>
      </w:r>
    </w:p>
    <w:p w:rsidR="00732899" w:rsidRPr="00B637A3" w:rsidRDefault="00732899" w:rsidP="0029141E">
      <w:pPr>
        <w:rPr>
          <w:lang w:val="fr-FR" w:eastAsia="ja-JP"/>
        </w:rPr>
      </w:pPr>
    </w:p>
    <w:p w:rsidR="00732899" w:rsidRPr="00B637A3" w:rsidRDefault="00732899" w:rsidP="00DF2259">
      <w:pPr>
        <w:rPr>
          <w:lang w:val="fr-FR" w:eastAsia="ja-JP"/>
        </w:rPr>
      </w:pPr>
    </w:p>
    <w:p w:rsidR="00732899" w:rsidRPr="00B637A3" w:rsidRDefault="00732899" w:rsidP="003A37E8">
      <w:pPr>
        <w:pStyle w:val="Heading1"/>
        <w:rPr>
          <w:snapToGrid w:val="0"/>
          <w:color w:val="auto"/>
        </w:rPr>
      </w:pPr>
      <w:bookmarkStart w:id="7" w:name="_Toc442940332"/>
      <w:r w:rsidRPr="00B637A3">
        <w:rPr>
          <w:snapToGrid w:val="0"/>
          <w:color w:val="auto"/>
        </w:rPr>
        <w:t xml:space="preserve">Révision éventuelle du document UPOV/INF/12 “Notes explicatives concernant les dénominations variétales en vertu de la </w:t>
      </w:r>
      <w:r w:rsidR="00DF1AFC" w:rsidRPr="00B637A3">
        <w:rPr>
          <w:snapToGrid w:val="0"/>
          <w:color w:val="auto"/>
        </w:rPr>
        <w:t>Convention UPOV</w:t>
      </w:r>
      <w:r w:rsidRPr="00B637A3">
        <w:rPr>
          <w:snapToGrid w:val="0"/>
          <w:color w:val="auto"/>
        </w:rPr>
        <w:t>”</w:t>
      </w:r>
      <w:bookmarkEnd w:id="7"/>
    </w:p>
    <w:p w:rsidR="00732899" w:rsidRPr="00B637A3" w:rsidRDefault="00732899" w:rsidP="00377FF4">
      <w:pPr>
        <w:keepNext/>
        <w:rPr>
          <w:rFonts w:cs="Arial"/>
          <w:snapToGrid w:val="0"/>
          <w:lang w:val="fr-FR" w:eastAsia="ja-JP"/>
        </w:rPr>
      </w:pPr>
    </w:p>
    <w:p w:rsidR="00732899" w:rsidRPr="00B637A3" w:rsidRDefault="003B0423" w:rsidP="00197650">
      <w:pPr>
        <w:pStyle w:val="Heading2"/>
      </w:pPr>
      <w:bookmarkStart w:id="8" w:name="_Toc442940333"/>
      <w:r w:rsidRPr="00B637A3">
        <w:t>Orientations concernant les modifications de dénominations variétales enregistrées</w:t>
      </w:r>
      <w:bookmarkEnd w:id="8"/>
    </w:p>
    <w:p w:rsidR="00732899" w:rsidRPr="00B637A3" w:rsidRDefault="00732899" w:rsidP="00377FF4">
      <w:pPr>
        <w:keepNext/>
        <w:rPr>
          <w:rFonts w:cs="Arial"/>
          <w:snapToGrid w:val="0"/>
          <w:lang w:val="fr-FR" w:eastAsia="ja-JP"/>
        </w:rPr>
      </w:pPr>
    </w:p>
    <w:p w:rsidR="00732899" w:rsidRPr="00B637A3" w:rsidRDefault="007B3011" w:rsidP="00CE265E">
      <w:pPr>
        <w:rPr>
          <w:lang w:val="fr-FR" w:eastAsia="ja-JP"/>
        </w:rPr>
      </w:pPr>
      <w:r w:rsidRPr="00B637A3">
        <w:rPr>
          <w:lang w:val="fr-FR"/>
        </w:rPr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Pr="00B637A3">
        <w:rPr>
          <w:lang w:val="fr-FR"/>
        </w:rPr>
        <w:tab/>
      </w:r>
      <w:r w:rsidR="008D7652" w:rsidRPr="00B637A3">
        <w:rPr>
          <w:lang w:val="fr-FR" w:eastAsia="ja-JP"/>
        </w:rPr>
        <w:t>À sa cinquante</w:t>
      </w:r>
      <w:r w:rsidR="009E114F" w:rsidRPr="00B637A3">
        <w:rPr>
          <w:lang w:val="fr-FR" w:eastAsia="ja-JP"/>
        </w:rPr>
        <w:t> </w:t>
      </w:r>
      <w:r w:rsidR="008D7652" w:rsidRPr="00B637A3">
        <w:rPr>
          <w:lang w:val="fr-FR" w:eastAsia="ja-JP"/>
        </w:rPr>
        <w:t>et</w:t>
      </w:r>
      <w:r w:rsidR="009E114F" w:rsidRPr="00B637A3">
        <w:rPr>
          <w:lang w:val="fr-FR" w:eastAsia="ja-JP"/>
        </w:rPr>
        <w:t> </w:t>
      </w:r>
      <w:r w:rsidR="008D7652" w:rsidRPr="00B637A3">
        <w:rPr>
          <w:lang w:val="fr-FR" w:eastAsia="ja-JP"/>
        </w:rPr>
        <w:t>unième</w:t>
      </w:r>
      <w:r w:rsidR="009E114F" w:rsidRPr="00B637A3">
        <w:rPr>
          <w:lang w:val="fr-FR" w:eastAsia="ja-JP"/>
        </w:rPr>
        <w:t> </w:t>
      </w:r>
      <w:r w:rsidR="008D7652" w:rsidRPr="00B637A3">
        <w:rPr>
          <w:lang w:val="fr-FR" w:eastAsia="ja-JP"/>
        </w:rPr>
        <w:t>session</w:t>
      </w:r>
      <w:r w:rsidR="00585099" w:rsidRPr="00B637A3">
        <w:rPr>
          <w:lang w:val="fr-FR" w:eastAsia="ja-JP"/>
        </w:rPr>
        <w:t xml:space="preserve">, </w:t>
      </w:r>
      <w:r w:rsidR="008D7652" w:rsidRPr="00B637A3">
        <w:rPr>
          <w:lang w:val="fr-FR" w:eastAsia="ja-JP"/>
        </w:rPr>
        <w:t>le</w:t>
      </w:r>
      <w:r w:rsidR="00DF1AFC" w:rsidRPr="00B637A3">
        <w:rPr>
          <w:lang w:val="fr-FR" w:eastAsia="ja-JP"/>
        </w:rPr>
        <w:t> TC</w:t>
      </w:r>
      <w:r w:rsidR="008D7652" w:rsidRPr="00B637A3">
        <w:rPr>
          <w:lang w:val="fr-FR" w:eastAsia="ja-JP"/>
        </w:rPr>
        <w:t xml:space="preserve"> a pris note, et</w:t>
      </w:r>
      <w:r w:rsidR="00DF1AFC" w:rsidRPr="00B637A3">
        <w:rPr>
          <w:lang w:val="fr-FR" w:eastAsia="ja-JP"/>
        </w:rPr>
        <w:t xml:space="preserve"> le CAJ</w:t>
      </w:r>
      <w:r w:rsidR="00585099" w:rsidRPr="00B637A3">
        <w:rPr>
          <w:lang w:val="fr-FR" w:eastAsia="ja-JP"/>
        </w:rPr>
        <w:t xml:space="preserve">, </w:t>
      </w:r>
      <w:r w:rsidR="00443D1D" w:rsidRPr="00B637A3">
        <w:rPr>
          <w:lang w:val="fr-FR" w:eastAsia="ja-JP"/>
        </w:rPr>
        <w:t>à sa soixante</w:t>
      </w:r>
      <w:r w:rsidR="009E114F" w:rsidRPr="00B637A3">
        <w:rPr>
          <w:lang w:val="fr-FR" w:eastAsia="ja-JP"/>
        </w:rPr>
        <w:t> </w:t>
      </w:r>
      <w:r w:rsidR="00443D1D" w:rsidRPr="00B637A3">
        <w:rPr>
          <w:lang w:val="fr-FR" w:eastAsia="ja-JP"/>
        </w:rPr>
        <w:t>et</w:t>
      </w:r>
      <w:r w:rsidR="009E114F" w:rsidRPr="00B637A3">
        <w:rPr>
          <w:lang w:val="fr-FR" w:eastAsia="ja-JP"/>
        </w:rPr>
        <w:t> </w:t>
      </w:r>
      <w:r w:rsidR="00443D1D" w:rsidRPr="00B637A3">
        <w:rPr>
          <w:lang w:val="fr-FR" w:eastAsia="ja-JP"/>
        </w:rPr>
        <w:t>onzième</w:t>
      </w:r>
      <w:r w:rsidR="009E114F" w:rsidRPr="00B637A3">
        <w:rPr>
          <w:lang w:val="fr-FR" w:eastAsia="ja-JP"/>
        </w:rPr>
        <w:t> </w:t>
      </w:r>
      <w:r w:rsidR="00443D1D" w:rsidRPr="00B637A3">
        <w:rPr>
          <w:lang w:val="fr-FR" w:eastAsia="ja-JP"/>
        </w:rPr>
        <w:t>session</w:t>
      </w:r>
      <w:r w:rsidR="00585099" w:rsidRPr="00B637A3">
        <w:rPr>
          <w:lang w:val="fr-FR" w:eastAsia="ja-JP"/>
        </w:rPr>
        <w:t xml:space="preserve">, </w:t>
      </w:r>
      <w:r w:rsidR="00443D1D" w:rsidRPr="00B637A3">
        <w:rPr>
          <w:lang w:val="fr-FR" w:eastAsia="ja-JP"/>
        </w:rPr>
        <w:t xml:space="preserve">a approuvé </w:t>
      </w:r>
      <w:r w:rsidR="00ED795E" w:rsidRPr="00B637A3">
        <w:rPr>
          <w:lang w:val="fr-FR" w:eastAsia="ja-JP"/>
        </w:rPr>
        <w:t xml:space="preserve">la révision du </w:t>
      </w:r>
      <w:r w:rsidR="00585099" w:rsidRPr="00B637A3">
        <w:rPr>
          <w:lang w:val="fr-FR" w:eastAsia="ja-JP"/>
        </w:rPr>
        <w:t>document UPOV/INF/12 “</w:t>
      </w:r>
      <w:r w:rsidR="00CE265E" w:rsidRPr="00B637A3">
        <w:rPr>
          <w:lang w:val="fr-FR"/>
        </w:rPr>
        <w:t>N</w:t>
      </w:r>
      <w:r w:rsidR="00CE265E" w:rsidRPr="00B637A3">
        <w:rPr>
          <w:lang w:val="fr-FR" w:eastAsia="ja-JP"/>
        </w:rPr>
        <w:t xml:space="preserve">otes explicatives concernant les dénominations </w:t>
      </w:r>
      <w:r w:rsidR="0049386E" w:rsidRPr="00B637A3">
        <w:rPr>
          <w:lang w:val="fr-FR" w:eastAsia="ja-JP"/>
        </w:rPr>
        <w:t xml:space="preserve">variétales en vertu de la </w:t>
      </w:r>
      <w:r w:rsidR="00DF1AFC" w:rsidRPr="00B637A3">
        <w:rPr>
          <w:lang w:val="fr-FR" w:eastAsia="ja-JP"/>
        </w:rPr>
        <w:t>Convention UPOV</w:t>
      </w:r>
      <w:r w:rsidR="00CE265E" w:rsidRPr="00B637A3">
        <w:rPr>
          <w:lang w:val="fr-FR" w:eastAsia="ja-JP"/>
        </w:rPr>
        <w:t>”</w:t>
      </w:r>
      <w:r w:rsidR="00585099" w:rsidRPr="00B637A3">
        <w:rPr>
          <w:lang w:val="fr-FR" w:eastAsia="ja-JP"/>
        </w:rPr>
        <w:t xml:space="preserve"> </w:t>
      </w:r>
      <w:r w:rsidR="00CC061A" w:rsidRPr="00B637A3">
        <w:rPr>
          <w:lang w:val="fr-FR" w:eastAsia="ja-JP"/>
        </w:rPr>
        <w:t xml:space="preserve">en ce qui concerne les modifications de dénominations variétales enregistrées </w:t>
      </w:r>
      <w:r w:rsidR="00561EB3" w:rsidRPr="00B637A3">
        <w:rPr>
          <w:lang w:val="fr-FR" w:eastAsia="ja-JP"/>
        </w:rPr>
        <w:t>et est convenu de soumettre ces orientations au Conseil pour adoption à sa quarante</w:t>
      </w:r>
      <w:r w:rsidR="00A44650" w:rsidRPr="00B637A3">
        <w:rPr>
          <w:lang w:val="fr-FR" w:eastAsia="ja-JP"/>
        </w:rPr>
        <w:noBreakHyphen/>
      </w:r>
      <w:r w:rsidR="00561EB3" w:rsidRPr="00B637A3">
        <w:rPr>
          <w:lang w:val="fr-FR" w:eastAsia="ja-JP"/>
        </w:rPr>
        <w:t>neuvième</w:t>
      </w:r>
      <w:r w:rsidR="002865FB">
        <w:rPr>
          <w:lang w:val="fr-FR" w:eastAsia="ja-JP"/>
        </w:rPr>
        <w:t xml:space="preserve"> </w:t>
      </w:r>
      <w:r w:rsidR="00561EB3" w:rsidRPr="00B637A3">
        <w:rPr>
          <w:lang w:val="fr-FR" w:eastAsia="ja-JP"/>
        </w:rPr>
        <w:t>session ordinaire, tenue le 2</w:t>
      </w:r>
      <w:r w:rsidR="00DF1AFC" w:rsidRPr="00B637A3">
        <w:rPr>
          <w:lang w:val="fr-FR" w:eastAsia="ja-JP"/>
        </w:rPr>
        <w:t>9 octobre 20</w:t>
      </w:r>
      <w:r w:rsidR="00561EB3" w:rsidRPr="00B637A3">
        <w:rPr>
          <w:lang w:val="fr-FR" w:eastAsia="ja-JP"/>
        </w:rPr>
        <w:t xml:space="preserve">15 </w:t>
      </w:r>
      <w:r w:rsidR="00CE265E" w:rsidRPr="00B637A3">
        <w:rPr>
          <w:lang w:val="fr-FR" w:eastAsia="ja-JP"/>
        </w:rPr>
        <w:t>(voir le paragraphe</w:t>
      </w:r>
      <w:r w:rsidR="00635BC5" w:rsidRPr="00B637A3">
        <w:rPr>
          <w:lang w:val="fr-FR" w:eastAsia="ja-JP"/>
        </w:rPr>
        <w:t> </w:t>
      </w:r>
      <w:r w:rsidR="00CE265E" w:rsidRPr="00B637A3">
        <w:rPr>
          <w:lang w:val="fr-FR" w:eastAsia="ja-JP"/>
        </w:rPr>
        <w:t xml:space="preserve">184 du </w:t>
      </w:r>
      <w:r w:rsidR="00DF1AFC" w:rsidRPr="00B637A3">
        <w:rPr>
          <w:lang w:val="fr-FR" w:eastAsia="ja-JP"/>
        </w:rPr>
        <w:t>document TC</w:t>
      </w:r>
      <w:r w:rsidR="00585099" w:rsidRPr="00B637A3">
        <w:rPr>
          <w:lang w:val="fr-FR" w:eastAsia="ja-JP"/>
        </w:rPr>
        <w:t>/51/39 “</w:t>
      </w:r>
      <w:r w:rsidR="00CE265E" w:rsidRPr="00B637A3">
        <w:rPr>
          <w:lang w:val="fr-FR" w:eastAsia="ja-JP"/>
        </w:rPr>
        <w:t>Compte rendu</w:t>
      </w:r>
      <w:r w:rsidR="00585099" w:rsidRPr="00B637A3">
        <w:rPr>
          <w:lang w:val="fr-FR" w:eastAsia="ja-JP"/>
        </w:rPr>
        <w:t>”</w:t>
      </w:r>
      <w:r w:rsidR="00CE265E" w:rsidRPr="00B637A3">
        <w:rPr>
          <w:lang w:val="fr-FR" w:eastAsia="ja-JP"/>
        </w:rPr>
        <w:t xml:space="preserve"> et du paragraphe 34 du document</w:t>
      </w:r>
      <w:r w:rsidR="00585099" w:rsidRPr="00B637A3">
        <w:rPr>
          <w:lang w:val="fr-FR" w:eastAsia="ja-JP"/>
        </w:rPr>
        <w:t xml:space="preserve"> CAJ/71/10 “</w:t>
      </w:r>
      <w:r w:rsidR="00CE265E" w:rsidRPr="00B637A3">
        <w:rPr>
          <w:lang w:val="fr-FR" w:eastAsia="ja-JP"/>
        </w:rPr>
        <w:t>Compte rendu des conclusions</w:t>
      </w:r>
      <w:r w:rsidR="00585099" w:rsidRPr="00B637A3">
        <w:rPr>
          <w:lang w:val="fr-FR" w:eastAsia="ja-JP"/>
        </w:rPr>
        <w:t>”)</w:t>
      </w:r>
      <w:r w:rsidR="00CE265E" w:rsidRPr="00B637A3">
        <w:rPr>
          <w:lang w:val="fr-FR" w:eastAsia="ja-JP"/>
        </w:rPr>
        <w:t>.</w:t>
      </w:r>
    </w:p>
    <w:p w:rsidR="00732899" w:rsidRPr="00B637A3" w:rsidRDefault="00732899" w:rsidP="008B203B">
      <w:pPr>
        <w:rPr>
          <w:lang w:val="fr-FR" w:eastAsia="ja-JP"/>
        </w:rPr>
      </w:pPr>
    </w:p>
    <w:p w:rsidR="00732899" w:rsidRPr="00B637A3" w:rsidRDefault="006E31FF" w:rsidP="00786773">
      <w:pPr>
        <w:rPr>
          <w:rFonts w:cs="Arial"/>
          <w:snapToGrid w:val="0"/>
          <w:lang w:val="fr-FR" w:eastAsia="ja-JP"/>
        </w:rPr>
      </w:pPr>
      <w:r w:rsidRPr="00B637A3">
        <w:rPr>
          <w:lang w:val="fr-FR"/>
        </w:rPr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Pr="00B637A3">
        <w:rPr>
          <w:lang w:val="fr-FR"/>
        </w:rPr>
        <w:tab/>
      </w:r>
      <w:r w:rsidR="00786773" w:rsidRPr="00B637A3">
        <w:rPr>
          <w:lang w:val="fr-FR"/>
        </w:rPr>
        <w:t>À sa quarante</w:t>
      </w:r>
      <w:r w:rsidR="00A44650" w:rsidRPr="00B637A3">
        <w:rPr>
          <w:lang w:val="fr-FR"/>
        </w:rPr>
        <w:noBreakHyphen/>
      </w:r>
      <w:r w:rsidR="00786773" w:rsidRPr="00B637A3">
        <w:rPr>
          <w:lang w:val="fr-FR"/>
        </w:rPr>
        <w:t>neuvième</w:t>
      </w:r>
      <w:r w:rsidR="002865FB">
        <w:rPr>
          <w:lang w:val="fr-FR"/>
        </w:rPr>
        <w:t xml:space="preserve"> </w:t>
      </w:r>
      <w:r w:rsidR="00786773" w:rsidRPr="00B637A3">
        <w:rPr>
          <w:lang w:val="fr-FR"/>
        </w:rPr>
        <w:t>session ordinaire le</w:t>
      </w:r>
      <w:r w:rsidRPr="00B637A3">
        <w:rPr>
          <w:rFonts w:cs="Arial"/>
          <w:snapToGrid w:val="0"/>
          <w:lang w:val="fr-FR" w:eastAsia="ja-JP"/>
        </w:rPr>
        <w:t xml:space="preserve"> Co</w:t>
      </w:r>
      <w:r w:rsidR="00786773" w:rsidRPr="00B637A3">
        <w:rPr>
          <w:rFonts w:cs="Arial"/>
          <w:snapToGrid w:val="0"/>
          <w:lang w:val="fr-FR" w:eastAsia="ja-JP"/>
        </w:rPr>
        <w:t>nseil</w:t>
      </w:r>
      <w:r w:rsidRPr="00B637A3">
        <w:rPr>
          <w:rFonts w:cs="Arial"/>
          <w:snapToGrid w:val="0"/>
          <w:lang w:val="fr-FR" w:eastAsia="ja-JP"/>
        </w:rPr>
        <w:t xml:space="preserve"> </w:t>
      </w:r>
      <w:r w:rsidR="00786773" w:rsidRPr="00B637A3">
        <w:rPr>
          <w:rFonts w:cs="Arial"/>
          <w:snapToGrid w:val="0"/>
          <w:lang w:val="fr-FR" w:eastAsia="ja-JP"/>
        </w:rPr>
        <w:t>a adopté la révision du document</w:t>
      </w:r>
      <w:r w:rsidRPr="00B637A3">
        <w:rPr>
          <w:rFonts w:cs="Arial"/>
          <w:snapToGrid w:val="0"/>
          <w:lang w:val="fr-FR" w:eastAsia="ja-JP"/>
        </w:rPr>
        <w:t xml:space="preserve"> UPOV/INF/12/4 “</w:t>
      </w:r>
      <w:r w:rsidR="0057101A" w:rsidRPr="00B637A3">
        <w:rPr>
          <w:rFonts w:cs="Arial"/>
          <w:snapToGrid w:val="0"/>
          <w:lang w:val="fr-FR" w:eastAsia="ja-JP"/>
        </w:rPr>
        <w:t xml:space="preserve">Notes explicatives concernant les dénominations </w:t>
      </w:r>
      <w:r w:rsidR="0049386E" w:rsidRPr="00B637A3">
        <w:rPr>
          <w:rFonts w:cs="Arial"/>
          <w:snapToGrid w:val="0"/>
          <w:lang w:val="fr-FR" w:eastAsia="ja-JP"/>
        </w:rPr>
        <w:t xml:space="preserve">variétales en vertu de la </w:t>
      </w:r>
      <w:r w:rsidR="00DF1AFC" w:rsidRPr="00B637A3">
        <w:rPr>
          <w:rFonts w:cs="Arial"/>
          <w:snapToGrid w:val="0"/>
          <w:lang w:val="fr-FR" w:eastAsia="ja-JP"/>
        </w:rPr>
        <w:t>Convention UPOV</w:t>
      </w:r>
      <w:r w:rsidRPr="00B637A3">
        <w:rPr>
          <w:rFonts w:cs="Arial"/>
          <w:snapToGrid w:val="0"/>
          <w:lang w:val="fr-FR" w:eastAsia="ja-JP"/>
        </w:rPr>
        <w:t xml:space="preserve">” (document UPOV/INF/12/5), </w:t>
      </w:r>
      <w:r w:rsidR="0049386E" w:rsidRPr="00B637A3">
        <w:rPr>
          <w:rFonts w:cs="Arial"/>
          <w:snapToGrid w:val="0"/>
          <w:lang w:val="fr-FR" w:eastAsia="ja-JP"/>
        </w:rPr>
        <w:t xml:space="preserve">sur la base des </w:t>
      </w:r>
      <w:r w:rsidR="002865FB">
        <w:rPr>
          <w:rFonts w:cs="Arial"/>
          <w:snapToGrid w:val="0"/>
          <w:lang w:val="fr-FR" w:eastAsia="ja-JP"/>
        </w:rPr>
        <w:t xml:space="preserve">modifications </w:t>
      </w:r>
      <w:r w:rsidR="0049386E" w:rsidRPr="00B637A3">
        <w:rPr>
          <w:rFonts w:cs="Arial"/>
          <w:snapToGrid w:val="0"/>
          <w:lang w:val="fr-FR" w:eastAsia="ja-JP"/>
        </w:rPr>
        <w:t>proposé</w:t>
      </w:r>
      <w:r w:rsidR="002865FB">
        <w:rPr>
          <w:rFonts w:cs="Arial"/>
          <w:snapToGrid w:val="0"/>
          <w:lang w:val="fr-FR" w:eastAsia="ja-JP"/>
        </w:rPr>
        <w:t>e</w:t>
      </w:r>
      <w:r w:rsidR="0049386E" w:rsidRPr="00B637A3">
        <w:rPr>
          <w:rFonts w:cs="Arial"/>
          <w:snapToGrid w:val="0"/>
          <w:lang w:val="fr-FR" w:eastAsia="ja-JP"/>
        </w:rPr>
        <w:t>s dans l</w:t>
      </w:r>
      <w:r w:rsidR="00DF1AFC" w:rsidRPr="00B637A3">
        <w:rPr>
          <w:rFonts w:cs="Arial"/>
          <w:snapToGrid w:val="0"/>
          <w:lang w:val="fr-FR" w:eastAsia="ja-JP"/>
        </w:rPr>
        <w:t>’</w:t>
      </w:r>
      <w:r w:rsidR="0049386E" w:rsidRPr="00B637A3">
        <w:rPr>
          <w:rFonts w:cs="Arial"/>
          <w:snapToGrid w:val="0"/>
          <w:lang w:val="fr-FR" w:eastAsia="ja-JP"/>
        </w:rPr>
        <w:t xml:space="preserve">annexe III du document C/49/14 </w:t>
      </w:r>
      <w:r w:rsidRPr="00B637A3">
        <w:rPr>
          <w:rFonts w:cs="Arial"/>
          <w:snapToGrid w:val="0"/>
          <w:lang w:val="fr-FR" w:eastAsia="ja-JP"/>
        </w:rPr>
        <w:t>“</w:t>
      </w:r>
      <w:r w:rsidR="00786773" w:rsidRPr="00B637A3">
        <w:rPr>
          <w:rFonts w:cs="Arial"/>
          <w:snapToGrid w:val="0"/>
          <w:lang w:val="fr-FR" w:eastAsia="ja-JP"/>
        </w:rPr>
        <w:t xml:space="preserve">Propositions de modification du document UPOV/INF/12/4 </w:t>
      </w:r>
      <w:r w:rsidR="00DF1AFC" w:rsidRPr="00B637A3">
        <w:rPr>
          <w:rFonts w:cs="Arial"/>
          <w:snapToGrid w:val="0"/>
          <w:lang w:val="fr-FR" w:eastAsia="ja-JP"/>
        </w:rPr>
        <w:t>‘</w:t>
      </w:r>
      <w:r w:rsidR="00786773" w:rsidRPr="00B637A3">
        <w:rPr>
          <w:rFonts w:cs="Arial"/>
          <w:snapToGrid w:val="0"/>
          <w:lang w:val="fr-FR" w:eastAsia="ja-JP"/>
        </w:rPr>
        <w:t xml:space="preserve">Notes explicatives concernant les dénominations </w:t>
      </w:r>
      <w:r w:rsidR="0049386E" w:rsidRPr="00B637A3">
        <w:rPr>
          <w:rFonts w:cs="Arial"/>
          <w:snapToGrid w:val="0"/>
          <w:lang w:val="fr-FR" w:eastAsia="ja-JP"/>
        </w:rPr>
        <w:t xml:space="preserve">variétales en vertu de la </w:t>
      </w:r>
      <w:r w:rsidR="00DF1AFC" w:rsidRPr="00B637A3">
        <w:rPr>
          <w:rFonts w:cs="Arial"/>
          <w:snapToGrid w:val="0"/>
          <w:lang w:val="fr-FR" w:eastAsia="ja-JP"/>
        </w:rPr>
        <w:t>Convention UPOV’</w:t>
      </w:r>
      <w:r w:rsidR="009E114F" w:rsidRPr="00B637A3">
        <w:rPr>
          <w:rFonts w:cs="Arial"/>
          <w:snapToGrid w:val="0"/>
          <w:lang w:val="fr-FR" w:eastAsia="ja-JP"/>
        </w:rPr>
        <w:t>” :</w:t>
      </w:r>
    </w:p>
    <w:p w:rsidR="00732899" w:rsidRPr="00B637A3" w:rsidRDefault="00732899" w:rsidP="008B203B">
      <w:pPr>
        <w:ind w:left="540"/>
        <w:rPr>
          <w:rFonts w:cs="Arial"/>
          <w:i/>
          <w:snapToGrid w:val="0"/>
          <w:lang w:val="fr-FR" w:eastAsia="ja-JP"/>
        </w:rPr>
      </w:pPr>
    </w:p>
    <w:p w:rsidR="00732899" w:rsidRPr="00B637A3" w:rsidRDefault="00732899" w:rsidP="00732899">
      <w:pPr>
        <w:ind w:left="540" w:rightChars="283" w:right="566"/>
        <w:rPr>
          <w:rFonts w:cs="Arial"/>
          <w:snapToGrid w:val="0"/>
          <w:sz w:val="18"/>
          <w:szCs w:val="18"/>
          <w:lang w:val="fr-FR" w:eastAsia="ja-JP"/>
        </w:rPr>
      </w:pPr>
      <w:r w:rsidRPr="00B637A3">
        <w:rPr>
          <w:rFonts w:cs="Arial"/>
          <w:snapToGrid w:val="0"/>
          <w:sz w:val="18"/>
          <w:szCs w:val="18"/>
          <w:lang w:val="fr-FR" w:eastAsia="ja-JP"/>
        </w:rPr>
        <w:t>“7.2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ab/>
        <w:t>Les points suivants fournissent des orientations concernant les modifications de dénominations variétales enregistrées</w:t>
      </w:r>
      <w:r w:rsidR="00635BC5" w:rsidRPr="00B637A3">
        <w:rPr>
          <w:rFonts w:cs="Arial"/>
          <w:snapToGrid w:val="0"/>
          <w:sz w:val="18"/>
          <w:szCs w:val="18"/>
          <w:lang w:val="fr-FR" w:eastAsia="ja-JP"/>
        </w:rPr>
        <w:t> 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:</w:t>
      </w:r>
    </w:p>
    <w:p w:rsidR="00732899" w:rsidRPr="00B637A3" w:rsidRDefault="00732899" w:rsidP="00904AC6">
      <w:pPr>
        <w:keepNext/>
        <w:ind w:left="432" w:rightChars="283" w:right="566"/>
        <w:rPr>
          <w:rFonts w:cs="Arial"/>
          <w:snapToGrid w:val="0"/>
          <w:sz w:val="18"/>
          <w:szCs w:val="18"/>
          <w:lang w:val="fr-FR" w:eastAsia="ja-JP"/>
        </w:rPr>
      </w:pPr>
    </w:p>
    <w:p w:rsidR="00732899" w:rsidRPr="00B637A3" w:rsidRDefault="00732899" w:rsidP="00732899">
      <w:pPr>
        <w:keepNext/>
        <w:ind w:left="1701" w:rightChars="283" w:right="566" w:hanging="567"/>
        <w:rPr>
          <w:rFonts w:cs="Arial"/>
          <w:snapToGrid w:val="0"/>
          <w:sz w:val="18"/>
          <w:szCs w:val="18"/>
          <w:lang w:val="fr-FR" w:eastAsia="ja-JP"/>
        </w:rPr>
      </w:pPr>
      <w:r w:rsidRPr="00B637A3">
        <w:rPr>
          <w:rFonts w:cs="Arial"/>
          <w:snapToGrid w:val="0"/>
          <w:sz w:val="18"/>
          <w:szCs w:val="18"/>
          <w:lang w:val="fr-FR" w:eastAsia="ja-JP"/>
        </w:rPr>
        <w:t>“a)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ab/>
        <w:t xml:space="preserve">La </w:t>
      </w:r>
      <w:r w:rsidR="00DF1AFC" w:rsidRPr="00B637A3">
        <w:rPr>
          <w:rFonts w:cs="Arial"/>
          <w:snapToGrid w:val="0"/>
          <w:sz w:val="18"/>
          <w:szCs w:val="18"/>
          <w:lang w:val="fr-FR" w:eastAsia="ja-JP"/>
        </w:rPr>
        <w:t>Convention UPOV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 xml:space="preserve"> exige de changer la dénomination enregistrée lorsque la dénomination de la variété est radiée après l</w:t>
      </w:r>
      <w:r w:rsidR="00DF1AFC" w:rsidRPr="00B637A3">
        <w:rPr>
          <w:rFonts w:cs="Arial"/>
          <w:snapToGrid w:val="0"/>
          <w:sz w:val="18"/>
          <w:szCs w:val="18"/>
          <w:lang w:val="fr-FR" w:eastAsia="ja-JP"/>
        </w:rPr>
        <w:t>’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octroi du droit d</w:t>
      </w:r>
      <w:r w:rsidR="00DF1AFC" w:rsidRPr="00B637A3">
        <w:rPr>
          <w:rFonts w:cs="Arial"/>
          <w:snapToGrid w:val="0"/>
          <w:sz w:val="18"/>
          <w:szCs w:val="18"/>
          <w:lang w:val="fr-FR" w:eastAsia="ja-JP"/>
        </w:rPr>
        <w:t>’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obtenteur.</w:t>
      </w:r>
      <w:r w:rsidR="00DD0DF1" w:rsidRPr="00B637A3">
        <w:rPr>
          <w:sz w:val="18"/>
          <w:lang w:val="fr-FR"/>
        </w:rPr>
        <w:t xml:space="preserve"> </w:t>
      </w:r>
      <w:r w:rsidR="00635BC5" w:rsidRPr="00B637A3">
        <w:rPr>
          <w:rFonts w:cs="Arial"/>
          <w:snapToGrid w:val="0"/>
          <w:sz w:val="18"/>
          <w:szCs w:val="18"/>
          <w:lang w:val="fr-FR" w:eastAsia="ja-JP"/>
        </w:rPr>
        <w:t xml:space="preserve"> 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Le service compétent doit radier une dénomination variétale si</w:t>
      </w:r>
      <w:r w:rsidR="00635BC5" w:rsidRPr="00B637A3">
        <w:rPr>
          <w:rFonts w:cs="Arial"/>
          <w:snapToGrid w:val="0"/>
          <w:sz w:val="18"/>
          <w:szCs w:val="18"/>
          <w:lang w:val="fr-FR" w:eastAsia="ja-JP"/>
        </w:rPr>
        <w:t> 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:</w:t>
      </w:r>
    </w:p>
    <w:p w:rsidR="00732899" w:rsidRPr="00B637A3" w:rsidRDefault="00732899" w:rsidP="00904AC6">
      <w:pPr>
        <w:keepNext/>
        <w:ind w:left="432" w:rightChars="283" w:right="566"/>
        <w:rPr>
          <w:rFonts w:cs="Arial"/>
          <w:snapToGrid w:val="0"/>
          <w:sz w:val="18"/>
          <w:szCs w:val="18"/>
          <w:lang w:val="fr-FR" w:eastAsia="ja-JP"/>
        </w:rPr>
      </w:pPr>
    </w:p>
    <w:p w:rsidR="00732899" w:rsidRPr="00B637A3" w:rsidRDefault="00732899" w:rsidP="00732899">
      <w:pPr>
        <w:keepNext/>
        <w:ind w:left="1701" w:rightChars="283" w:right="566"/>
        <w:rPr>
          <w:rFonts w:cs="Arial"/>
          <w:snapToGrid w:val="0"/>
          <w:sz w:val="18"/>
          <w:szCs w:val="18"/>
          <w:lang w:val="fr-FR" w:eastAsia="ja-JP"/>
        </w:rPr>
      </w:pPr>
      <w:r w:rsidRPr="00B637A3">
        <w:rPr>
          <w:rFonts w:cs="Arial"/>
          <w:snapToGrid w:val="0"/>
          <w:sz w:val="18"/>
          <w:szCs w:val="18"/>
          <w:lang w:val="fr-FR" w:eastAsia="ja-JP"/>
        </w:rPr>
        <w:t>“i)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ab/>
        <w:t>en vertu d</w:t>
      </w:r>
      <w:r w:rsidR="00DF1AFC" w:rsidRPr="00B637A3">
        <w:rPr>
          <w:rFonts w:cs="Arial"/>
          <w:snapToGrid w:val="0"/>
          <w:sz w:val="18"/>
          <w:szCs w:val="18"/>
          <w:lang w:val="fr-FR" w:eastAsia="ja-JP"/>
        </w:rPr>
        <w:t>’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un droit antérieur, l</w:t>
      </w:r>
      <w:r w:rsidR="00DF1AFC" w:rsidRPr="00B637A3">
        <w:rPr>
          <w:rFonts w:cs="Arial"/>
          <w:snapToGrid w:val="0"/>
          <w:sz w:val="18"/>
          <w:szCs w:val="18"/>
          <w:lang w:val="fr-FR" w:eastAsia="ja-JP"/>
        </w:rPr>
        <w:t>’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utilisation de la dénomination d</w:t>
      </w:r>
      <w:r w:rsidR="00DF1AFC" w:rsidRPr="00B637A3">
        <w:rPr>
          <w:rFonts w:cs="Arial"/>
          <w:snapToGrid w:val="0"/>
          <w:sz w:val="18"/>
          <w:szCs w:val="18"/>
          <w:lang w:val="fr-FR" w:eastAsia="ja-JP"/>
        </w:rPr>
        <w:t>’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une variété est interdite à une personne qui, conformément aux dispositions du paragraphe</w:t>
      </w:r>
      <w:r w:rsidR="00635BC5" w:rsidRPr="00B637A3">
        <w:rPr>
          <w:rFonts w:cs="Arial"/>
          <w:snapToGrid w:val="0"/>
          <w:sz w:val="18"/>
          <w:szCs w:val="18"/>
          <w:lang w:val="fr-FR" w:eastAsia="ja-JP"/>
        </w:rPr>
        <w:t> 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7), est obligée de l</w:t>
      </w:r>
      <w:r w:rsidR="00DF1AFC" w:rsidRPr="00B637A3">
        <w:rPr>
          <w:rFonts w:cs="Arial"/>
          <w:snapToGrid w:val="0"/>
          <w:sz w:val="18"/>
          <w:szCs w:val="18"/>
          <w:lang w:val="fr-FR" w:eastAsia="ja-JP"/>
        </w:rPr>
        <w:t>’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utiliser (voir le paragraphe</w:t>
      </w:r>
      <w:r w:rsidR="00635BC5" w:rsidRPr="00B637A3">
        <w:rPr>
          <w:rFonts w:cs="Arial"/>
          <w:snapToGrid w:val="0"/>
          <w:sz w:val="18"/>
          <w:szCs w:val="18"/>
          <w:lang w:val="fr-FR" w:eastAsia="ja-JP"/>
        </w:rPr>
        <w:t> 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 xml:space="preserve">4) </w:t>
      </w:r>
      <w:r w:rsidR="00DF1AFC" w:rsidRPr="00B637A3">
        <w:rPr>
          <w:rFonts w:cs="Arial"/>
          <w:snapToGrid w:val="0"/>
          <w:sz w:val="18"/>
          <w:szCs w:val="18"/>
          <w:lang w:val="fr-FR" w:eastAsia="ja-JP"/>
        </w:rPr>
        <w:t>‘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Droits antérieurs des tiers</w:t>
      </w:r>
      <w:r w:rsidR="00DF1AFC" w:rsidRPr="00B637A3">
        <w:rPr>
          <w:rFonts w:cs="Arial"/>
          <w:snapToGrid w:val="0"/>
          <w:sz w:val="18"/>
          <w:szCs w:val="18"/>
          <w:lang w:val="fr-FR" w:eastAsia="ja-JP"/>
        </w:rPr>
        <w:t>’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);</w:t>
      </w:r>
    </w:p>
    <w:p w:rsidR="00732899" w:rsidRPr="00B637A3" w:rsidRDefault="00732899" w:rsidP="00904AC6">
      <w:pPr>
        <w:keepNext/>
        <w:ind w:left="1701" w:rightChars="283" w:right="566"/>
        <w:rPr>
          <w:rFonts w:cs="Arial"/>
          <w:snapToGrid w:val="0"/>
          <w:sz w:val="18"/>
          <w:szCs w:val="18"/>
          <w:lang w:val="fr-FR" w:eastAsia="ja-JP"/>
        </w:rPr>
      </w:pPr>
    </w:p>
    <w:p w:rsidR="00732899" w:rsidRPr="00B637A3" w:rsidRDefault="00732899" w:rsidP="00732899">
      <w:pPr>
        <w:keepNext/>
        <w:ind w:left="1701" w:rightChars="283" w:right="566"/>
        <w:rPr>
          <w:rFonts w:cs="Arial"/>
          <w:snapToGrid w:val="0"/>
          <w:sz w:val="18"/>
          <w:szCs w:val="18"/>
          <w:lang w:val="fr-FR" w:eastAsia="ja-JP"/>
        </w:rPr>
      </w:pPr>
      <w:r w:rsidRPr="00B637A3">
        <w:rPr>
          <w:rFonts w:cs="Arial"/>
          <w:snapToGrid w:val="0"/>
          <w:sz w:val="18"/>
          <w:szCs w:val="18"/>
          <w:lang w:val="fr-FR" w:eastAsia="ja-JP"/>
        </w:rPr>
        <w:t>“ii)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ab/>
        <w:t>la dénomination est inadéquate car elle est contraire aux dispositions du paragraphe</w:t>
      </w:r>
      <w:r w:rsidR="00635BC5" w:rsidRPr="00B637A3">
        <w:rPr>
          <w:rFonts w:cs="Arial"/>
          <w:snapToGrid w:val="0"/>
          <w:sz w:val="18"/>
          <w:szCs w:val="18"/>
          <w:lang w:val="fr-FR" w:eastAsia="ja-JP"/>
        </w:rPr>
        <w:t> 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 xml:space="preserve">2) </w:t>
      </w:r>
      <w:r w:rsidR="00DF1AFC" w:rsidRPr="00B637A3">
        <w:rPr>
          <w:rFonts w:cs="Arial"/>
          <w:snapToGrid w:val="0"/>
          <w:sz w:val="18"/>
          <w:szCs w:val="18"/>
          <w:lang w:val="fr-FR" w:eastAsia="ja-JP"/>
        </w:rPr>
        <w:t>‘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Caractères de la dénomination</w:t>
      </w:r>
      <w:r w:rsidR="00DF1AFC" w:rsidRPr="00B637A3">
        <w:rPr>
          <w:rFonts w:cs="Arial"/>
          <w:snapToGrid w:val="0"/>
          <w:sz w:val="18"/>
          <w:szCs w:val="18"/>
          <w:lang w:val="fr-FR" w:eastAsia="ja-JP"/>
        </w:rPr>
        <w:t>’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;</w:t>
      </w:r>
    </w:p>
    <w:p w:rsidR="00732899" w:rsidRPr="00B637A3" w:rsidRDefault="00732899" w:rsidP="00904AC6">
      <w:pPr>
        <w:keepNext/>
        <w:ind w:left="432" w:rightChars="283" w:right="566"/>
        <w:rPr>
          <w:rFonts w:cs="Arial"/>
          <w:snapToGrid w:val="0"/>
          <w:sz w:val="18"/>
          <w:szCs w:val="18"/>
          <w:lang w:val="fr-FR" w:eastAsia="ja-JP"/>
        </w:rPr>
      </w:pPr>
    </w:p>
    <w:p w:rsidR="00732899" w:rsidRPr="00B637A3" w:rsidRDefault="00732899" w:rsidP="00732899">
      <w:pPr>
        <w:keepNext/>
        <w:ind w:left="1701" w:rightChars="283" w:right="566" w:hanging="567"/>
        <w:rPr>
          <w:rFonts w:cs="Arial"/>
          <w:snapToGrid w:val="0"/>
          <w:sz w:val="18"/>
          <w:szCs w:val="18"/>
          <w:lang w:val="fr-FR" w:eastAsia="ja-JP"/>
        </w:rPr>
      </w:pPr>
      <w:r w:rsidRPr="00B637A3">
        <w:rPr>
          <w:rFonts w:cs="Arial"/>
          <w:snapToGrid w:val="0"/>
          <w:sz w:val="18"/>
          <w:szCs w:val="18"/>
          <w:lang w:val="fr-FR" w:eastAsia="ja-JP"/>
        </w:rPr>
        <w:t>“b)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ab/>
        <w:t>si la dénomination enregistrée est par la suite refusée dans un autre membre de l</w:t>
      </w:r>
      <w:r w:rsidR="00DF1AFC" w:rsidRPr="00B637A3">
        <w:rPr>
          <w:rFonts w:cs="Arial"/>
          <w:snapToGrid w:val="0"/>
          <w:sz w:val="18"/>
          <w:szCs w:val="18"/>
          <w:lang w:val="fr-FR" w:eastAsia="ja-JP"/>
        </w:rPr>
        <w:t>’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Union car elle est inadéquate sur ce territoire (p.</w:t>
      </w:r>
      <w:r w:rsidR="00635BC5" w:rsidRPr="00B637A3">
        <w:rPr>
          <w:rFonts w:cs="Arial"/>
          <w:snapToGrid w:val="0"/>
          <w:sz w:val="18"/>
          <w:szCs w:val="18"/>
          <w:lang w:val="fr-FR" w:eastAsia="ja-JP"/>
        </w:rPr>
        <w:t> 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ex. droit antérieur), à la demande de l</w:t>
      </w:r>
      <w:r w:rsidR="00DF1AFC" w:rsidRPr="00B637A3">
        <w:rPr>
          <w:rFonts w:cs="Arial"/>
          <w:snapToGrid w:val="0"/>
          <w:sz w:val="18"/>
          <w:szCs w:val="18"/>
          <w:lang w:val="fr-FR" w:eastAsia="ja-JP"/>
        </w:rPr>
        <w:t>’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obtenteur, le service peut juger approprié de modifier la dénomination enregistrée dans cet autre membre de l</w:t>
      </w:r>
      <w:r w:rsidR="00DF1AFC" w:rsidRPr="00B637A3">
        <w:rPr>
          <w:rFonts w:cs="Arial"/>
          <w:snapToGrid w:val="0"/>
          <w:sz w:val="18"/>
          <w:szCs w:val="18"/>
          <w:lang w:val="fr-FR" w:eastAsia="ja-JP"/>
        </w:rPr>
        <w:t>’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Union (voir les dispositions dans le paragraphe</w:t>
      </w:r>
      <w:r w:rsidR="00635BC5" w:rsidRPr="00B637A3">
        <w:rPr>
          <w:rFonts w:cs="Arial"/>
          <w:snapToGrid w:val="0"/>
          <w:sz w:val="18"/>
          <w:szCs w:val="18"/>
          <w:lang w:val="fr-FR" w:eastAsia="ja-JP"/>
        </w:rPr>
        <w:t> 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 xml:space="preserve">5) </w:t>
      </w:r>
      <w:r w:rsidR="00DF1AFC" w:rsidRPr="00B637A3">
        <w:rPr>
          <w:rFonts w:cs="Arial"/>
          <w:snapToGrid w:val="0"/>
          <w:sz w:val="18"/>
          <w:szCs w:val="18"/>
          <w:lang w:val="fr-FR" w:eastAsia="ja-JP"/>
        </w:rPr>
        <w:t>‘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Même dénomination dans toutes les Parties contractantes</w:t>
      </w:r>
      <w:r w:rsidR="00DF1AFC" w:rsidRPr="00B637A3">
        <w:rPr>
          <w:rFonts w:cs="Arial"/>
          <w:snapToGrid w:val="0"/>
          <w:sz w:val="18"/>
          <w:szCs w:val="18"/>
          <w:lang w:val="fr-FR" w:eastAsia="ja-JP"/>
        </w:rPr>
        <w:t>’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);  et</w:t>
      </w:r>
    </w:p>
    <w:p w:rsidR="00732899" w:rsidRPr="00B637A3" w:rsidRDefault="00732899" w:rsidP="00904AC6">
      <w:pPr>
        <w:keepNext/>
        <w:ind w:left="1701" w:rightChars="283" w:right="566" w:hanging="567"/>
        <w:rPr>
          <w:rFonts w:cs="Arial"/>
          <w:snapToGrid w:val="0"/>
          <w:sz w:val="18"/>
          <w:szCs w:val="18"/>
          <w:lang w:val="fr-FR" w:eastAsia="ja-JP"/>
        </w:rPr>
      </w:pPr>
    </w:p>
    <w:p w:rsidR="00732899" w:rsidRPr="00B637A3" w:rsidRDefault="00732899" w:rsidP="00732899">
      <w:pPr>
        <w:keepNext/>
        <w:ind w:left="1701" w:rightChars="283" w:right="566" w:hanging="567"/>
        <w:rPr>
          <w:rFonts w:cs="Arial"/>
          <w:snapToGrid w:val="0"/>
          <w:sz w:val="18"/>
          <w:szCs w:val="18"/>
          <w:lang w:val="fr-FR" w:eastAsia="ja-JP"/>
        </w:rPr>
      </w:pPr>
      <w:r w:rsidRPr="00B637A3">
        <w:rPr>
          <w:rFonts w:cs="Arial"/>
          <w:snapToGrid w:val="0"/>
          <w:sz w:val="18"/>
          <w:szCs w:val="18"/>
          <w:lang w:val="fr-FR" w:eastAsia="ja-JP"/>
        </w:rPr>
        <w:t>“</w:t>
      </w:r>
      <w:proofErr w:type="gramStart"/>
      <w:r w:rsidRPr="00B637A3">
        <w:rPr>
          <w:rFonts w:cs="Arial"/>
          <w:snapToGrid w:val="0"/>
          <w:sz w:val="18"/>
          <w:szCs w:val="18"/>
          <w:lang w:val="fr-FR" w:eastAsia="ja-JP"/>
        </w:rPr>
        <w:t>c</w:t>
      </w:r>
      <w:proofErr w:type="gramEnd"/>
      <w:r w:rsidRPr="00B637A3">
        <w:rPr>
          <w:rFonts w:cs="Arial"/>
          <w:snapToGrid w:val="0"/>
          <w:sz w:val="18"/>
          <w:szCs w:val="18"/>
          <w:lang w:val="fr-FR" w:eastAsia="ja-JP"/>
        </w:rPr>
        <w:t>)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ab/>
        <w:t>En général, sous réserve des alinéas</w:t>
      </w:r>
      <w:r w:rsidR="00635BC5" w:rsidRPr="00B637A3">
        <w:rPr>
          <w:rFonts w:cs="Arial"/>
          <w:snapToGrid w:val="0"/>
          <w:sz w:val="18"/>
          <w:szCs w:val="18"/>
          <w:lang w:val="fr-FR" w:eastAsia="ja-JP"/>
        </w:rPr>
        <w:t> 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a) et b)</w:t>
      </w:r>
      <w:r w:rsidR="00635BC5" w:rsidRPr="00B637A3">
        <w:rPr>
          <w:rFonts w:cs="Arial"/>
          <w:snapToGrid w:val="0"/>
          <w:sz w:val="18"/>
          <w:szCs w:val="18"/>
          <w:lang w:val="fr-FR" w:eastAsia="ja-JP"/>
        </w:rPr>
        <w:t> 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ci</w:t>
      </w:r>
      <w:r w:rsidR="00A44650" w:rsidRPr="00B637A3">
        <w:rPr>
          <w:rFonts w:cs="Arial"/>
          <w:snapToGrid w:val="0"/>
          <w:sz w:val="18"/>
          <w:szCs w:val="18"/>
          <w:lang w:val="fr-FR" w:eastAsia="ja-JP"/>
        </w:rPr>
        <w:noBreakHyphen/>
      </w:r>
      <w:r w:rsidRPr="00B637A3">
        <w:rPr>
          <w:rFonts w:cs="Arial"/>
          <w:snapToGrid w:val="0"/>
          <w:sz w:val="18"/>
          <w:szCs w:val="18"/>
          <w:lang w:val="fr-FR" w:eastAsia="ja-JP"/>
        </w:rPr>
        <w:t>dessus, il ne serait pas approprié pour le service de modifier une dénomination enregistrée à la demande de l</w:t>
      </w:r>
      <w:r w:rsidR="00DF1AFC" w:rsidRPr="00B637A3">
        <w:rPr>
          <w:rFonts w:cs="Arial"/>
          <w:snapToGrid w:val="0"/>
          <w:sz w:val="18"/>
          <w:szCs w:val="18"/>
          <w:lang w:val="fr-FR" w:eastAsia="ja-JP"/>
        </w:rPr>
        <w:t>’</w:t>
      </w:r>
      <w:r w:rsidRPr="00B637A3">
        <w:rPr>
          <w:rFonts w:cs="Arial"/>
          <w:snapToGrid w:val="0"/>
          <w:sz w:val="18"/>
          <w:szCs w:val="18"/>
          <w:lang w:val="fr-FR" w:eastAsia="ja-JP"/>
        </w:rPr>
        <w:t>obtenteur”.</w:t>
      </w:r>
    </w:p>
    <w:p w:rsidR="00732899" w:rsidRPr="00B637A3" w:rsidRDefault="00732899" w:rsidP="006E31FF">
      <w:pPr>
        <w:keepNext/>
        <w:rPr>
          <w:rFonts w:cs="Arial"/>
          <w:snapToGrid w:val="0"/>
          <w:lang w:val="fr-FR" w:eastAsia="ja-JP"/>
        </w:rPr>
      </w:pPr>
    </w:p>
    <w:p w:rsidR="00732899" w:rsidRPr="00B637A3" w:rsidRDefault="005B6505" w:rsidP="00197650">
      <w:pPr>
        <w:pStyle w:val="Heading2"/>
      </w:pPr>
      <w:bookmarkStart w:id="9" w:name="_Toc442940334"/>
      <w:r w:rsidRPr="00B637A3">
        <w:t xml:space="preserve">Autres </w:t>
      </w:r>
      <w:r w:rsidR="00B23E19" w:rsidRPr="00B637A3">
        <w:t>sections</w:t>
      </w:r>
      <w:bookmarkEnd w:id="9"/>
    </w:p>
    <w:p w:rsidR="00732899" w:rsidRPr="00B637A3" w:rsidRDefault="00732899" w:rsidP="006E31FF">
      <w:pPr>
        <w:keepNext/>
        <w:rPr>
          <w:rFonts w:cs="Arial"/>
          <w:snapToGrid w:val="0"/>
          <w:lang w:val="fr-FR" w:eastAsia="ja-JP"/>
        </w:rPr>
      </w:pPr>
    </w:p>
    <w:p w:rsidR="00732899" w:rsidRPr="00B637A3" w:rsidRDefault="007B3011" w:rsidP="00B35889">
      <w:pPr>
        <w:rPr>
          <w:lang w:val="fr-FR" w:eastAsia="ja-JP"/>
        </w:rPr>
      </w:pPr>
      <w:r w:rsidRPr="00B637A3">
        <w:rPr>
          <w:lang w:val="fr-FR"/>
        </w:rPr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Pr="00B637A3">
        <w:rPr>
          <w:lang w:val="fr-FR"/>
        </w:rPr>
        <w:tab/>
      </w:r>
      <w:r w:rsidR="00A505DD" w:rsidRPr="00B637A3">
        <w:rPr>
          <w:lang w:val="fr-FR"/>
        </w:rPr>
        <w:t>À sa soixante</w:t>
      </w:r>
      <w:r w:rsidR="00FD641A" w:rsidRPr="00B637A3">
        <w:rPr>
          <w:lang w:val="fr-FR"/>
        </w:rPr>
        <w:t> </w:t>
      </w:r>
      <w:r w:rsidR="00A505DD" w:rsidRPr="00B637A3">
        <w:rPr>
          <w:lang w:val="fr-FR"/>
        </w:rPr>
        <w:t>et</w:t>
      </w:r>
      <w:r w:rsidR="00FD641A" w:rsidRPr="00B637A3">
        <w:rPr>
          <w:lang w:val="fr-FR"/>
        </w:rPr>
        <w:t> </w:t>
      </w:r>
      <w:r w:rsidR="00A505DD" w:rsidRPr="00B637A3">
        <w:rPr>
          <w:lang w:val="fr-FR"/>
        </w:rPr>
        <w:t>onzième</w:t>
      </w:r>
      <w:r w:rsidR="00635BC5" w:rsidRPr="00B637A3">
        <w:rPr>
          <w:lang w:val="fr-FR"/>
        </w:rPr>
        <w:t> </w:t>
      </w:r>
      <w:r w:rsidR="00ED3F59" w:rsidRPr="00B637A3">
        <w:rPr>
          <w:lang w:val="fr-FR" w:eastAsia="ja-JP"/>
        </w:rPr>
        <w:t>session,</w:t>
      </w:r>
      <w:r w:rsidR="008C5BDF" w:rsidRPr="00B637A3">
        <w:rPr>
          <w:lang w:val="fr-FR" w:eastAsia="ja-JP"/>
        </w:rPr>
        <w:t xml:space="preserve"> le CAJ</w:t>
      </w:r>
      <w:r w:rsidR="00A505DD" w:rsidRPr="00B637A3">
        <w:rPr>
          <w:lang w:val="fr-FR" w:eastAsia="ja-JP"/>
        </w:rPr>
        <w:t xml:space="preserve"> a décidé d</w:t>
      </w:r>
      <w:r w:rsidR="00DF1AFC" w:rsidRPr="00B637A3">
        <w:rPr>
          <w:lang w:val="fr-FR" w:eastAsia="ja-JP"/>
        </w:rPr>
        <w:t>’</w:t>
      </w:r>
      <w:r w:rsidR="00A505DD" w:rsidRPr="00B637A3">
        <w:rPr>
          <w:lang w:val="fr-FR" w:eastAsia="ja-JP"/>
        </w:rPr>
        <w:t>inviter le</w:t>
      </w:r>
      <w:r w:rsidR="00B35889" w:rsidRPr="00B637A3">
        <w:rPr>
          <w:lang w:val="fr-FR" w:eastAsia="ja-JP"/>
        </w:rPr>
        <w:t xml:space="preserve"> WG</w:t>
      </w:r>
      <w:r w:rsidR="00A44650" w:rsidRPr="00B637A3">
        <w:rPr>
          <w:lang w:val="fr-FR" w:eastAsia="ja-JP"/>
        </w:rPr>
        <w:noBreakHyphen/>
      </w:r>
      <w:r w:rsidR="00B35889" w:rsidRPr="00B637A3">
        <w:rPr>
          <w:lang w:val="fr-FR" w:eastAsia="ja-JP"/>
        </w:rPr>
        <w:t xml:space="preserve">DST </w:t>
      </w:r>
      <w:r w:rsidR="00A505DD" w:rsidRPr="00B637A3">
        <w:rPr>
          <w:lang w:val="fr-FR" w:eastAsia="ja-JP"/>
        </w:rPr>
        <w:t>à examiner les observations faites par</w:t>
      </w:r>
      <w:r w:rsidR="008C5BDF" w:rsidRPr="00B637A3">
        <w:rPr>
          <w:lang w:val="fr-FR" w:eastAsia="ja-JP"/>
        </w:rPr>
        <w:t xml:space="preserve"> le CAJ</w:t>
      </w:r>
      <w:r w:rsidR="00A44650" w:rsidRPr="00B637A3">
        <w:rPr>
          <w:lang w:val="fr-FR" w:eastAsia="ja-JP"/>
        </w:rPr>
        <w:noBreakHyphen/>
      </w:r>
      <w:r w:rsidR="00A505DD" w:rsidRPr="00B637A3">
        <w:rPr>
          <w:lang w:val="fr-FR" w:eastAsia="ja-JP"/>
        </w:rPr>
        <w:t xml:space="preserve">AG sur les propositions présentées dans le document UPOV/INF/12/5 </w:t>
      </w:r>
      <w:proofErr w:type="spellStart"/>
      <w:r w:rsidR="00A505DD" w:rsidRPr="00B637A3">
        <w:rPr>
          <w:lang w:val="fr-FR" w:eastAsia="ja-JP"/>
        </w:rPr>
        <w:t>Draft</w:t>
      </w:r>
      <w:proofErr w:type="spellEnd"/>
      <w:r w:rsidR="00A505DD" w:rsidRPr="00B637A3">
        <w:rPr>
          <w:lang w:val="fr-FR" w:eastAsia="ja-JP"/>
        </w:rPr>
        <w:t xml:space="preserve"> 2 concernant les paragraphes</w:t>
      </w:r>
      <w:r w:rsidR="00635BC5" w:rsidRPr="00B637A3">
        <w:rPr>
          <w:lang w:val="fr-FR" w:eastAsia="ja-JP"/>
        </w:rPr>
        <w:t> </w:t>
      </w:r>
      <w:r w:rsidR="00A505DD" w:rsidRPr="00B637A3">
        <w:rPr>
          <w:lang w:val="fr-FR" w:eastAsia="ja-JP"/>
        </w:rPr>
        <w:t>2.2.2.b), 2.3.1.c) et d)</w:t>
      </w:r>
      <w:r w:rsidR="00635BC5" w:rsidRPr="00B637A3">
        <w:rPr>
          <w:lang w:val="fr-FR" w:eastAsia="ja-JP"/>
        </w:rPr>
        <w:t> </w:t>
      </w:r>
      <w:r w:rsidR="00A505DD" w:rsidRPr="00B637A3">
        <w:rPr>
          <w:lang w:val="fr-FR" w:eastAsia="ja-JP"/>
        </w:rPr>
        <w:t>et 2.3.3, comme indiqué au paragraphe</w:t>
      </w:r>
      <w:r w:rsidR="00635BC5" w:rsidRPr="00B637A3">
        <w:rPr>
          <w:lang w:val="fr-FR" w:eastAsia="ja-JP"/>
        </w:rPr>
        <w:t> </w:t>
      </w:r>
      <w:r w:rsidR="00A505DD" w:rsidRPr="00B637A3">
        <w:rPr>
          <w:lang w:val="fr-FR" w:eastAsia="ja-JP"/>
        </w:rPr>
        <w:t xml:space="preserve">27 </w:t>
      </w:r>
      <w:r w:rsidR="0049386E" w:rsidRPr="00B637A3">
        <w:rPr>
          <w:lang w:val="fr-FR" w:eastAsia="ja-JP"/>
        </w:rPr>
        <w:t>du</w:t>
      </w:r>
      <w:r w:rsidR="00B35889" w:rsidRPr="00B637A3">
        <w:rPr>
          <w:lang w:val="fr-FR" w:eastAsia="ja-JP"/>
        </w:rPr>
        <w:t xml:space="preserve"> document CAJ/71/3 “</w:t>
      </w:r>
      <w:r w:rsidR="0049386E" w:rsidRPr="00B637A3">
        <w:rPr>
          <w:lang w:val="fr-FR" w:eastAsia="ja-JP"/>
        </w:rPr>
        <w:t xml:space="preserve">Dénominations variétales” </w:t>
      </w:r>
      <w:r w:rsidR="00B35889" w:rsidRPr="00B637A3">
        <w:rPr>
          <w:lang w:val="fr-FR" w:eastAsia="ja-JP"/>
        </w:rPr>
        <w:t>(</w:t>
      </w:r>
      <w:r w:rsidR="0049386E" w:rsidRPr="00B637A3">
        <w:rPr>
          <w:lang w:val="fr-FR" w:eastAsia="ja-JP"/>
        </w:rPr>
        <w:t>voir le paragraphe 35 du</w:t>
      </w:r>
      <w:r w:rsidR="00B35889" w:rsidRPr="00B637A3">
        <w:rPr>
          <w:lang w:val="fr-FR" w:eastAsia="ja-JP"/>
        </w:rPr>
        <w:t xml:space="preserve"> document CAJ/71/10 “</w:t>
      </w:r>
      <w:r w:rsidR="0049386E" w:rsidRPr="00B637A3">
        <w:rPr>
          <w:lang w:val="fr-FR" w:eastAsia="ja-JP"/>
        </w:rPr>
        <w:t>Compte rendu des conclusions</w:t>
      </w:r>
      <w:r w:rsidR="00B35889" w:rsidRPr="00B637A3">
        <w:rPr>
          <w:lang w:val="fr-FR" w:eastAsia="ja-JP"/>
        </w:rPr>
        <w:t>”)</w:t>
      </w:r>
      <w:r w:rsidR="00DD0DF1" w:rsidRPr="00B637A3">
        <w:rPr>
          <w:lang w:val="fr-FR" w:eastAsia="ja-JP"/>
        </w:rPr>
        <w:t>.</w:t>
      </w:r>
      <w:r w:rsidR="009B717B" w:rsidRPr="00B637A3">
        <w:rPr>
          <w:lang w:val="fr-FR"/>
        </w:rPr>
        <w:t xml:space="preserve">  </w:t>
      </w:r>
      <w:r w:rsidR="009B717B" w:rsidRPr="00B637A3">
        <w:rPr>
          <w:lang w:val="fr-FR" w:eastAsia="ja-JP"/>
        </w:rPr>
        <w:t>Les commentaires</w:t>
      </w:r>
      <w:r w:rsidR="008C5BDF" w:rsidRPr="00B637A3">
        <w:rPr>
          <w:lang w:val="fr-FR" w:eastAsia="ja-JP"/>
        </w:rPr>
        <w:t xml:space="preserve"> du CAJ</w:t>
      </w:r>
      <w:r w:rsidR="00A44650" w:rsidRPr="00B637A3">
        <w:rPr>
          <w:lang w:val="fr-FR" w:eastAsia="ja-JP"/>
        </w:rPr>
        <w:noBreakHyphen/>
      </w:r>
      <w:r w:rsidR="00904AC6" w:rsidRPr="00B637A3">
        <w:rPr>
          <w:lang w:val="fr-FR" w:eastAsia="ja-JP"/>
        </w:rPr>
        <w:t xml:space="preserve">AG </w:t>
      </w:r>
      <w:r w:rsidR="009B717B" w:rsidRPr="00B637A3">
        <w:rPr>
          <w:lang w:val="fr-FR" w:eastAsia="ja-JP"/>
        </w:rPr>
        <w:t>sont reproduits ci</w:t>
      </w:r>
      <w:r w:rsidR="00A44650" w:rsidRPr="00B637A3">
        <w:rPr>
          <w:lang w:val="fr-FR" w:eastAsia="ja-JP"/>
        </w:rPr>
        <w:noBreakHyphen/>
      </w:r>
      <w:r w:rsidR="009B717B" w:rsidRPr="00B637A3">
        <w:rPr>
          <w:lang w:val="fr-FR" w:eastAsia="ja-JP"/>
        </w:rPr>
        <w:t>dessous </w:t>
      </w:r>
      <w:r w:rsidR="00904AC6" w:rsidRPr="00B637A3">
        <w:rPr>
          <w:lang w:val="fr-FR" w:eastAsia="ja-JP"/>
        </w:rPr>
        <w:t>:</w:t>
      </w:r>
    </w:p>
    <w:p w:rsidR="007E54F5" w:rsidRPr="00B637A3" w:rsidRDefault="007E54F5" w:rsidP="007E54F5">
      <w:pPr>
        <w:keepNext/>
        <w:rPr>
          <w:rFonts w:cs="Arial"/>
          <w:lang w:val="fr-FR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391"/>
        <w:gridCol w:w="7789"/>
      </w:tblGrid>
      <w:tr w:rsidR="00B637A3" w:rsidRPr="00B637A3" w:rsidTr="00666088">
        <w:trPr>
          <w:cantSplit/>
        </w:trPr>
        <w:tc>
          <w:tcPr>
            <w:tcW w:w="1391" w:type="dxa"/>
          </w:tcPr>
          <w:p w:rsidR="007E54F5" w:rsidRPr="00B637A3" w:rsidRDefault="00732899" w:rsidP="00732899">
            <w:pPr>
              <w:rPr>
                <w:rFonts w:cs="Arial"/>
                <w:lang w:val="fr-FR"/>
              </w:rPr>
            </w:pPr>
            <w:r w:rsidRPr="00B637A3">
              <w:rPr>
                <w:rFonts w:cs="Arial"/>
                <w:lang w:val="fr-FR"/>
              </w:rPr>
              <w:t>2.2.2.b)</w:t>
            </w:r>
          </w:p>
        </w:tc>
        <w:tc>
          <w:tcPr>
            <w:tcW w:w="7789" w:type="dxa"/>
          </w:tcPr>
          <w:p w:rsidR="00732899" w:rsidRPr="00B637A3" w:rsidRDefault="00732899" w:rsidP="00732899">
            <w:pPr>
              <w:rPr>
                <w:snapToGrid w:val="0"/>
                <w:lang w:val="fr-FR"/>
              </w:rPr>
            </w:pPr>
            <w:r w:rsidRPr="00B637A3">
              <w:rPr>
                <w:snapToGrid w:val="0"/>
                <w:lang w:val="fr-FR"/>
              </w:rPr>
              <w:t>Préciser la terminologie dans 2.2.2.b).</w:t>
            </w:r>
            <w:r w:rsidR="00635BC5" w:rsidRPr="00B637A3">
              <w:rPr>
                <w:snapToGrid w:val="0"/>
                <w:lang w:val="fr-FR"/>
              </w:rPr>
              <w:t xml:space="preserve"> </w:t>
            </w:r>
            <w:r w:rsidR="007E54F5" w:rsidRPr="00B637A3">
              <w:rPr>
                <w:lang w:val="fr-FR"/>
              </w:rPr>
              <w:t xml:space="preserve"> </w:t>
            </w:r>
            <w:r w:rsidRPr="00B637A3">
              <w:rPr>
                <w:snapToGrid w:val="0"/>
                <w:lang w:val="fr-FR"/>
              </w:rPr>
              <w:t>En particulier, envisager de modifier les exemples ou de remplacer “espèces” par “genres” ou “taxons” dans la phrase suivante</w:t>
            </w:r>
            <w:r w:rsidR="00635BC5" w:rsidRPr="00B637A3">
              <w:rPr>
                <w:snapToGrid w:val="0"/>
                <w:lang w:val="fr-FR"/>
              </w:rPr>
              <w:t> </w:t>
            </w:r>
            <w:r w:rsidRPr="00B637A3">
              <w:rPr>
                <w:snapToGrid w:val="0"/>
                <w:lang w:val="fr-FR"/>
              </w:rPr>
              <w:t>:</w:t>
            </w:r>
          </w:p>
          <w:p w:rsidR="00732899" w:rsidRPr="00B637A3" w:rsidRDefault="00732899" w:rsidP="00666088">
            <w:pPr>
              <w:rPr>
                <w:snapToGrid w:val="0"/>
                <w:lang w:val="fr-FR"/>
              </w:rPr>
            </w:pPr>
          </w:p>
          <w:p w:rsidR="007E54F5" w:rsidRPr="00B637A3" w:rsidRDefault="007E54F5" w:rsidP="00666088">
            <w:pPr>
              <w:rPr>
                <w:snapToGrid w:val="0"/>
                <w:lang w:val="fr-FR"/>
              </w:rPr>
            </w:pPr>
            <w:r w:rsidRPr="00B637A3">
              <w:rPr>
                <w:snapToGrid w:val="0"/>
                <w:lang w:val="fr-FR"/>
              </w:rPr>
              <w:t>“</w:t>
            </w:r>
            <w:r w:rsidRPr="00B637A3">
              <w:rPr>
                <w:lang w:val="fr-FR"/>
              </w:rPr>
              <w:t>b)</w:t>
            </w:r>
            <w:r w:rsidRPr="00B637A3">
              <w:rPr>
                <w:lang w:val="fr-FR"/>
              </w:rPr>
              <w:tab/>
            </w:r>
            <w:r w:rsidR="00B03BC0" w:rsidRPr="00B637A3">
              <w:rPr>
                <w:lang w:val="fr-FR"/>
              </w:rPr>
              <w:t xml:space="preserve">les pratiques commerciales établies pour certains types de variétés (par exemple les hybrides) et certaines espèces (par exemple </w:t>
            </w:r>
            <w:proofErr w:type="spellStart"/>
            <w:r w:rsidR="00B03BC0" w:rsidRPr="00B637A3">
              <w:rPr>
                <w:lang w:val="fr-FR"/>
              </w:rPr>
              <w:t>Medicago</w:t>
            </w:r>
            <w:proofErr w:type="spellEnd"/>
            <w:r w:rsidR="00B03BC0" w:rsidRPr="00B637A3">
              <w:rPr>
                <w:lang w:val="fr-FR"/>
              </w:rPr>
              <w:t xml:space="preserve">, </w:t>
            </w:r>
            <w:proofErr w:type="spellStart"/>
            <w:r w:rsidR="00B03BC0" w:rsidRPr="00B637A3">
              <w:rPr>
                <w:lang w:val="fr-FR"/>
              </w:rPr>
              <w:t>Helianthus</w:t>
            </w:r>
            <w:proofErr w:type="spellEnd"/>
            <w:r w:rsidR="00B03BC0" w:rsidRPr="00B637A3">
              <w:rPr>
                <w:lang w:val="fr-FR"/>
              </w:rPr>
              <w:t>).</w:t>
            </w:r>
          </w:p>
        </w:tc>
      </w:tr>
      <w:tr w:rsidR="00B637A3" w:rsidRPr="00B637A3" w:rsidTr="00666088">
        <w:trPr>
          <w:cantSplit/>
        </w:trPr>
        <w:tc>
          <w:tcPr>
            <w:tcW w:w="1391" w:type="dxa"/>
          </w:tcPr>
          <w:p w:rsidR="007E54F5" w:rsidRPr="00B637A3" w:rsidRDefault="00732899" w:rsidP="00732899">
            <w:pPr>
              <w:rPr>
                <w:rFonts w:cs="Arial"/>
                <w:lang w:val="fr-FR"/>
              </w:rPr>
            </w:pPr>
            <w:r w:rsidRPr="00B637A3">
              <w:rPr>
                <w:rFonts w:cs="Arial"/>
                <w:lang w:val="fr-FR"/>
              </w:rPr>
              <w:t>2.2.2.c)</w:t>
            </w:r>
          </w:p>
        </w:tc>
        <w:tc>
          <w:tcPr>
            <w:tcW w:w="7789" w:type="dxa"/>
          </w:tcPr>
          <w:p w:rsidR="00732899" w:rsidRPr="00B637A3" w:rsidRDefault="00732899" w:rsidP="00732899">
            <w:pPr>
              <w:rPr>
                <w:rFonts w:cs="Arial"/>
                <w:lang w:val="fr-FR"/>
              </w:rPr>
            </w:pPr>
            <w:r w:rsidRPr="00B637A3">
              <w:rPr>
                <w:rFonts w:cs="Arial"/>
                <w:lang w:val="fr-FR"/>
              </w:rPr>
              <w:t>Ajouter 2.2.2.c) comme suit</w:t>
            </w:r>
            <w:r w:rsidR="00635BC5" w:rsidRPr="00B637A3">
              <w:rPr>
                <w:rFonts w:cs="Arial"/>
                <w:lang w:val="fr-FR"/>
              </w:rPr>
              <w:t> </w:t>
            </w:r>
            <w:r w:rsidRPr="00B637A3">
              <w:rPr>
                <w:rFonts w:cs="Arial"/>
                <w:lang w:val="fr-FR"/>
              </w:rPr>
              <w:t>:</w:t>
            </w:r>
          </w:p>
          <w:p w:rsidR="00732899" w:rsidRPr="00B637A3" w:rsidRDefault="00732899" w:rsidP="00666088">
            <w:pPr>
              <w:rPr>
                <w:rFonts w:cs="Arial"/>
                <w:lang w:val="fr-FR"/>
              </w:rPr>
            </w:pPr>
          </w:p>
          <w:p w:rsidR="007E54F5" w:rsidRPr="00B637A3" w:rsidRDefault="00732899" w:rsidP="00732899">
            <w:pPr>
              <w:rPr>
                <w:rFonts w:cs="Arial"/>
                <w:lang w:val="fr-FR"/>
              </w:rPr>
            </w:pPr>
            <w:r w:rsidRPr="00B637A3">
              <w:rPr>
                <w:rFonts w:cs="Arial"/>
                <w:lang w:val="fr-FR"/>
              </w:rPr>
              <w:t>“c)</w:t>
            </w:r>
            <w:r w:rsidRPr="00B637A3">
              <w:rPr>
                <w:rFonts w:cs="Arial"/>
                <w:lang w:val="fr-FR"/>
              </w:rPr>
              <w:tab/>
              <w:t xml:space="preserve">Il y a </w:t>
            </w:r>
            <w:r w:rsidR="00DF1AFC" w:rsidRPr="00B637A3">
              <w:rPr>
                <w:rFonts w:cs="Arial"/>
                <w:lang w:val="fr-FR"/>
              </w:rPr>
              <w:t>‘</w:t>
            </w:r>
            <w:r w:rsidRPr="00B637A3">
              <w:rPr>
                <w:rFonts w:cs="Arial"/>
                <w:lang w:val="fr-FR"/>
              </w:rPr>
              <w:t>pratique consacrée</w:t>
            </w:r>
            <w:r w:rsidR="00DF1AFC" w:rsidRPr="00B637A3">
              <w:rPr>
                <w:rFonts w:cs="Arial"/>
                <w:lang w:val="fr-FR"/>
              </w:rPr>
              <w:t>’</w:t>
            </w:r>
            <w:r w:rsidRPr="00B637A3">
              <w:rPr>
                <w:rFonts w:cs="Arial"/>
                <w:lang w:val="fr-FR"/>
              </w:rPr>
              <w:t xml:space="preserve"> lorsque l</w:t>
            </w:r>
            <w:r w:rsidR="00DF1AFC" w:rsidRPr="00B637A3">
              <w:rPr>
                <w:rFonts w:cs="Arial"/>
                <w:lang w:val="fr-FR"/>
              </w:rPr>
              <w:t>’</w:t>
            </w:r>
            <w:r w:rsidRPr="00B637A3">
              <w:rPr>
                <w:rFonts w:cs="Arial"/>
                <w:lang w:val="fr-FR"/>
              </w:rPr>
              <w:t>enregistrement a été accepté pour une espèce ou un groupe de telle sorte qu</w:t>
            </w:r>
            <w:r w:rsidR="00DF1AFC" w:rsidRPr="00B637A3">
              <w:rPr>
                <w:rFonts w:cs="Arial"/>
                <w:lang w:val="fr-FR"/>
              </w:rPr>
              <w:t>’</w:t>
            </w:r>
            <w:r w:rsidRPr="00B637A3">
              <w:rPr>
                <w:rFonts w:cs="Arial"/>
                <w:lang w:val="fr-FR"/>
              </w:rPr>
              <w:t>il puisse être utilisé dans d</w:t>
            </w:r>
            <w:r w:rsidR="00DF1AFC" w:rsidRPr="00B637A3">
              <w:rPr>
                <w:rFonts w:cs="Arial"/>
                <w:lang w:val="fr-FR"/>
              </w:rPr>
              <w:t>’</w:t>
            </w:r>
            <w:r w:rsidRPr="00B637A3">
              <w:rPr>
                <w:rFonts w:cs="Arial"/>
                <w:lang w:val="fr-FR"/>
              </w:rPr>
              <w:t>autres espèces qui n</w:t>
            </w:r>
            <w:r w:rsidR="00DF1AFC" w:rsidRPr="00B637A3">
              <w:rPr>
                <w:rFonts w:cs="Arial"/>
                <w:lang w:val="fr-FR"/>
              </w:rPr>
              <w:t>’</w:t>
            </w:r>
            <w:r w:rsidRPr="00B637A3">
              <w:rPr>
                <w:rFonts w:cs="Arial"/>
                <w:lang w:val="fr-FR"/>
              </w:rPr>
              <w:t>ont pas encore enregistré une variété dont la dénomination consiste uniquement en chiffres”.</w:t>
            </w:r>
          </w:p>
        </w:tc>
      </w:tr>
      <w:tr w:rsidR="00B637A3" w:rsidRPr="00B637A3" w:rsidTr="00666088">
        <w:trPr>
          <w:cantSplit/>
        </w:trPr>
        <w:tc>
          <w:tcPr>
            <w:tcW w:w="1391" w:type="dxa"/>
          </w:tcPr>
          <w:p w:rsidR="007E54F5" w:rsidRPr="00B637A3" w:rsidRDefault="00732899" w:rsidP="00732899">
            <w:pPr>
              <w:rPr>
                <w:rFonts w:cs="Arial"/>
                <w:lang w:val="fr-FR"/>
              </w:rPr>
            </w:pPr>
            <w:r w:rsidRPr="00B637A3">
              <w:rPr>
                <w:rFonts w:cs="Arial"/>
                <w:lang w:val="fr-FR"/>
              </w:rPr>
              <w:t>2.3.1.c)</w:t>
            </w:r>
          </w:p>
        </w:tc>
        <w:tc>
          <w:tcPr>
            <w:tcW w:w="7789" w:type="dxa"/>
          </w:tcPr>
          <w:p w:rsidR="00732899" w:rsidRPr="00B637A3" w:rsidRDefault="00732899" w:rsidP="00732899">
            <w:pPr>
              <w:rPr>
                <w:lang w:val="fr-FR"/>
              </w:rPr>
            </w:pPr>
            <w:r w:rsidRPr="00B637A3">
              <w:rPr>
                <w:lang w:val="fr-FR"/>
              </w:rPr>
              <w:t>Élaborer des orientations supplémentaires sur 2.3.1.c) et donner d</w:t>
            </w:r>
            <w:r w:rsidR="00DF1AFC" w:rsidRPr="00B637A3">
              <w:rPr>
                <w:lang w:val="fr-FR"/>
              </w:rPr>
              <w:t>’</w:t>
            </w:r>
            <w:r w:rsidRPr="00B637A3">
              <w:rPr>
                <w:lang w:val="fr-FR"/>
              </w:rPr>
              <w:t>autres exemples plus appropriés</w:t>
            </w:r>
          </w:p>
          <w:p w:rsidR="00732899" w:rsidRPr="00B637A3" w:rsidRDefault="00732899" w:rsidP="00666088">
            <w:pPr>
              <w:keepNext/>
              <w:rPr>
                <w:lang w:val="fr-FR"/>
              </w:rPr>
            </w:pPr>
          </w:p>
          <w:p w:rsidR="00732899" w:rsidRPr="00B637A3" w:rsidRDefault="00732899" w:rsidP="00732899">
            <w:pPr>
              <w:keepNext/>
              <w:rPr>
                <w:lang w:val="fr-FR"/>
              </w:rPr>
            </w:pPr>
            <w:r w:rsidRPr="00B637A3">
              <w:rPr>
                <w:lang w:val="fr-FR"/>
              </w:rPr>
              <w:t>“c)</w:t>
            </w:r>
            <w:r w:rsidRPr="00B637A3">
              <w:rPr>
                <w:lang w:val="fr-FR"/>
              </w:rPr>
              <w:tab/>
              <w:t>donner l</w:t>
            </w:r>
            <w:r w:rsidR="00DF1AFC" w:rsidRPr="00B637A3">
              <w:rPr>
                <w:lang w:val="fr-FR"/>
              </w:rPr>
              <w:t>’</w:t>
            </w:r>
            <w:r w:rsidRPr="00B637A3">
              <w:rPr>
                <w:lang w:val="fr-FR"/>
              </w:rPr>
              <w:t>impression que la variété est issue d</w:t>
            </w:r>
            <w:r w:rsidR="00DF1AFC" w:rsidRPr="00B637A3">
              <w:rPr>
                <w:lang w:val="fr-FR"/>
              </w:rPr>
              <w:t>’</w:t>
            </w:r>
            <w:r w:rsidRPr="00B637A3">
              <w:rPr>
                <w:lang w:val="fr-FR"/>
              </w:rPr>
              <w:t>une autre variété ou lui est apparentée, lorsque ce n</w:t>
            </w:r>
            <w:r w:rsidR="00DF1AFC" w:rsidRPr="00B637A3">
              <w:rPr>
                <w:lang w:val="fr-FR"/>
              </w:rPr>
              <w:t>’</w:t>
            </w:r>
            <w:r w:rsidRPr="00B637A3">
              <w:rPr>
                <w:lang w:val="fr-FR"/>
              </w:rPr>
              <w:t>est pas le cas;</w:t>
            </w:r>
          </w:p>
          <w:p w:rsidR="00732899" w:rsidRPr="00B637A3" w:rsidRDefault="00732899" w:rsidP="00666088">
            <w:pPr>
              <w:keepNext/>
              <w:rPr>
                <w:lang w:val="fr-FR"/>
              </w:rPr>
            </w:pPr>
          </w:p>
          <w:p w:rsidR="007E54F5" w:rsidRPr="00B637A3" w:rsidRDefault="00732899" w:rsidP="00197650">
            <w:pPr>
              <w:rPr>
                <w:rFonts w:cs="Arial"/>
                <w:lang w:val="fr-FR"/>
              </w:rPr>
            </w:pPr>
            <w:r w:rsidRPr="00B637A3">
              <w:rPr>
                <w:i/>
                <w:lang w:val="fr-FR"/>
              </w:rPr>
              <w:t>Exemple</w:t>
            </w:r>
            <w:r w:rsidR="00635BC5" w:rsidRPr="00B637A3">
              <w:rPr>
                <w:lang w:val="fr-FR"/>
              </w:rPr>
              <w:t> </w:t>
            </w:r>
            <w:r w:rsidRPr="00B637A3">
              <w:rPr>
                <w:lang w:val="fr-FR"/>
              </w:rPr>
              <w:t>:</w:t>
            </w:r>
            <w:r w:rsidRPr="00B637A3">
              <w:rPr>
                <w:i/>
                <w:lang w:val="fr-FR"/>
              </w:rPr>
              <w:t xml:space="preserve"> </w:t>
            </w:r>
            <w:r w:rsidRPr="00B637A3">
              <w:rPr>
                <w:lang w:val="fr-FR"/>
              </w:rPr>
              <w:t>une dénomination analogue à celle d</w:t>
            </w:r>
            <w:r w:rsidR="00DF1AFC" w:rsidRPr="00B637A3">
              <w:rPr>
                <w:lang w:val="fr-FR"/>
              </w:rPr>
              <w:t>’</w:t>
            </w:r>
            <w:r w:rsidRPr="00B637A3">
              <w:rPr>
                <w:lang w:val="fr-FR"/>
              </w:rPr>
              <w:t>une autre variété de la même espèce ou qui lui est apparentée;  p.</w:t>
            </w:r>
            <w:r w:rsidR="00635BC5" w:rsidRPr="00B637A3">
              <w:rPr>
                <w:lang w:val="fr-FR"/>
              </w:rPr>
              <w:t> </w:t>
            </w:r>
            <w:r w:rsidRPr="00B637A3">
              <w:rPr>
                <w:lang w:val="fr-FR"/>
              </w:rPr>
              <w:t>ex.</w:t>
            </w:r>
            <w:r w:rsidR="00197650" w:rsidRPr="00B637A3">
              <w:rPr>
                <w:lang w:val="fr-FR"/>
              </w:rPr>
              <w:t xml:space="preserve"> : </w:t>
            </w:r>
            <w:r w:rsidR="00DF1AFC" w:rsidRPr="00B637A3">
              <w:rPr>
                <w:lang w:val="fr-FR"/>
              </w:rPr>
              <w:t>‘</w:t>
            </w:r>
            <w:proofErr w:type="spellStart"/>
            <w:r w:rsidRPr="00B637A3">
              <w:rPr>
                <w:lang w:val="fr-FR"/>
              </w:rPr>
              <w:t>Southern</w:t>
            </w:r>
            <w:proofErr w:type="spellEnd"/>
            <w:r w:rsidRPr="00B637A3">
              <w:rPr>
                <w:lang w:val="fr-FR"/>
              </w:rPr>
              <w:t xml:space="preserve"> cross 1</w:t>
            </w:r>
            <w:r w:rsidR="00DF1AFC" w:rsidRPr="00B637A3">
              <w:rPr>
                <w:lang w:val="fr-FR"/>
              </w:rPr>
              <w:t>’</w:t>
            </w:r>
            <w:r w:rsidR="00197650" w:rsidRPr="00B637A3">
              <w:rPr>
                <w:lang w:val="fr-FR"/>
              </w:rPr>
              <w:t xml:space="preserve">;  </w:t>
            </w:r>
            <w:r w:rsidR="00DF1AFC" w:rsidRPr="00B637A3">
              <w:rPr>
                <w:lang w:val="fr-FR"/>
              </w:rPr>
              <w:t>‘</w:t>
            </w:r>
            <w:proofErr w:type="spellStart"/>
            <w:r w:rsidRPr="00B637A3">
              <w:rPr>
                <w:lang w:val="fr-FR"/>
              </w:rPr>
              <w:t>Southern</w:t>
            </w:r>
            <w:proofErr w:type="spellEnd"/>
            <w:r w:rsidRPr="00B637A3">
              <w:rPr>
                <w:lang w:val="fr-FR"/>
              </w:rPr>
              <w:t xml:space="preserve"> cross 2</w:t>
            </w:r>
            <w:r w:rsidR="00DF1AFC" w:rsidRPr="00B637A3">
              <w:rPr>
                <w:lang w:val="fr-FR"/>
              </w:rPr>
              <w:t>’</w:t>
            </w:r>
            <w:r w:rsidRPr="00B637A3">
              <w:rPr>
                <w:lang w:val="fr-FR"/>
              </w:rPr>
              <w:t>;  etc., qui donne l</w:t>
            </w:r>
            <w:r w:rsidR="00DF1AFC" w:rsidRPr="00B637A3">
              <w:rPr>
                <w:lang w:val="fr-FR"/>
              </w:rPr>
              <w:t>’</w:t>
            </w:r>
            <w:r w:rsidRPr="00B637A3">
              <w:rPr>
                <w:lang w:val="fr-FR"/>
              </w:rPr>
              <w:t>impression que ces variétés constituent une série de variétés apparentées présentant les mêmes caractéristiques alors que ce n</w:t>
            </w:r>
            <w:r w:rsidR="00DF1AFC" w:rsidRPr="00B637A3">
              <w:rPr>
                <w:lang w:val="fr-FR"/>
              </w:rPr>
              <w:t>’</w:t>
            </w:r>
            <w:r w:rsidRPr="00B637A3">
              <w:rPr>
                <w:lang w:val="fr-FR"/>
              </w:rPr>
              <w:t>est pas le cas.</w:t>
            </w:r>
          </w:p>
        </w:tc>
      </w:tr>
      <w:tr w:rsidR="00B637A3" w:rsidRPr="00B637A3" w:rsidTr="00666088">
        <w:trPr>
          <w:cantSplit/>
        </w:trPr>
        <w:tc>
          <w:tcPr>
            <w:tcW w:w="1391" w:type="dxa"/>
          </w:tcPr>
          <w:p w:rsidR="007E54F5" w:rsidRPr="00B637A3" w:rsidRDefault="00732899" w:rsidP="00732899">
            <w:pPr>
              <w:rPr>
                <w:lang w:val="fr-FR"/>
              </w:rPr>
            </w:pPr>
            <w:r w:rsidRPr="00B637A3">
              <w:rPr>
                <w:lang w:val="fr-FR"/>
              </w:rPr>
              <w:t>2.3.1.d)</w:t>
            </w:r>
          </w:p>
        </w:tc>
        <w:tc>
          <w:tcPr>
            <w:tcW w:w="7789" w:type="dxa"/>
          </w:tcPr>
          <w:p w:rsidR="00732899" w:rsidRPr="00B637A3" w:rsidRDefault="00732899" w:rsidP="00732899">
            <w:pPr>
              <w:rPr>
                <w:lang w:val="fr-FR"/>
              </w:rPr>
            </w:pPr>
            <w:r w:rsidRPr="00B637A3">
              <w:rPr>
                <w:lang w:val="fr-FR"/>
              </w:rPr>
              <w:t>Ajouter 2.3.1.d) comme suit</w:t>
            </w:r>
            <w:r w:rsidR="00635BC5" w:rsidRPr="00B637A3">
              <w:rPr>
                <w:lang w:val="fr-FR"/>
              </w:rPr>
              <w:t> </w:t>
            </w:r>
            <w:r w:rsidRPr="00B637A3">
              <w:rPr>
                <w:lang w:val="fr-FR"/>
              </w:rPr>
              <w:t>:</w:t>
            </w:r>
          </w:p>
          <w:p w:rsidR="00732899" w:rsidRPr="00B637A3" w:rsidRDefault="00732899" w:rsidP="00666088">
            <w:pPr>
              <w:rPr>
                <w:lang w:val="fr-FR"/>
              </w:rPr>
            </w:pPr>
          </w:p>
          <w:p w:rsidR="00732899" w:rsidRPr="00B637A3" w:rsidRDefault="00732899" w:rsidP="00732899">
            <w:pPr>
              <w:rPr>
                <w:lang w:val="fr-FR"/>
              </w:rPr>
            </w:pPr>
            <w:r w:rsidRPr="00B637A3">
              <w:rPr>
                <w:lang w:val="fr-FR"/>
              </w:rPr>
              <w:t>“d)</w:t>
            </w:r>
            <w:r w:rsidRPr="00B637A3">
              <w:rPr>
                <w:lang w:val="fr-FR"/>
              </w:rPr>
              <w:tab/>
              <w:t>contient le nom botanique ou commun du genre auquel cette variété appartient.</w:t>
            </w:r>
            <w:r w:rsidR="00635BC5" w:rsidRPr="00B637A3">
              <w:rPr>
                <w:lang w:val="fr-FR"/>
              </w:rPr>
              <w:t xml:space="preserve"> </w:t>
            </w:r>
            <w:r w:rsidR="007E54F5" w:rsidRPr="00B637A3">
              <w:rPr>
                <w:lang w:val="fr-FR"/>
              </w:rPr>
              <w:t xml:space="preserve"> </w:t>
            </w:r>
            <w:r w:rsidRPr="00B637A3">
              <w:rPr>
                <w:lang w:val="fr-FR"/>
              </w:rPr>
              <w:t>L</w:t>
            </w:r>
            <w:r w:rsidR="00DF1AFC" w:rsidRPr="00B637A3">
              <w:rPr>
                <w:lang w:val="fr-FR"/>
              </w:rPr>
              <w:t>’</w:t>
            </w:r>
            <w:r w:rsidRPr="00B637A3">
              <w:rPr>
                <w:lang w:val="fr-FR"/>
              </w:rPr>
              <w:t>identité de la dénomination et celle du genre auquel elle appartient pourraient devenir peu nettes et prêter à confusion”.</w:t>
            </w:r>
          </w:p>
          <w:p w:rsidR="00732899" w:rsidRPr="00B637A3" w:rsidRDefault="00732899" w:rsidP="00666088">
            <w:pPr>
              <w:rPr>
                <w:highlight w:val="lightGray"/>
                <w:lang w:val="fr-FR"/>
              </w:rPr>
            </w:pPr>
          </w:p>
          <w:p w:rsidR="00732899" w:rsidRPr="00B637A3" w:rsidRDefault="00732899" w:rsidP="00732899">
            <w:pPr>
              <w:rPr>
                <w:lang w:val="fr-FR"/>
              </w:rPr>
            </w:pPr>
            <w:r w:rsidRPr="00B637A3">
              <w:rPr>
                <w:lang w:val="fr-FR"/>
              </w:rPr>
              <w:t>Préciser l</w:t>
            </w:r>
            <w:r w:rsidR="00DF1AFC" w:rsidRPr="00B637A3">
              <w:rPr>
                <w:lang w:val="fr-FR"/>
              </w:rPr>
              <w:t>’</w:t>
            </w:r>
            <w:r w:rsidRPr="00B637A3">
              <w:rPr>
                <w:lang w:val="fr-FR"/>
              </w:rPr>
              <w:t>exemple suivant</w:t>
            </w:r>
            <w:r w:rsidR="00635BC5" w:rsidRPr="00B637A3">
              <w:rPr>
                <w:lang w:val="fr-FR"/>
              </w:rPr>
              <w:t> </w:t>
            </w:r>
            <w:r w:rsidRPr="00B637A3">
              <w:rPr>
                <w:lang w:val="fr-FR"/>
              </w:rPr>
              <w:t>:</w:t>
            </w:r>
          </w:p>
          <w:p w:rsidR="00732899" w:rsidRPr="00B637A3" w:rsidRDefault="00732899" w:rsidP="00666088">
            <w:pPr>
              <w:rPr>
                <w:lang w:val="fr-FR"/>
              </w:rPr>
            </w:pPr>
          </w:p>
          <w:p w:rsidR="00732899" w:rsidRPr="00B637A3" w:rsidRDefault="00732899" w:rsidP="00732899">
            <w:pPr>
              <w:ind w:left="567"/>
              <w:rPr>
                <w:lang w:val="fr-FR"/>
              </w:rPr>
            </w:pPr>
            <w:r w:rsidRPr="00B637A3">
              <w:rPr>
                <w:i/>
                <w:lang w:val="fr-FR"/>
              </w:rPr>
              <w:t>Exemple</w:t>
            </w:r>
            <w:r w:rsidR="00635BC5" w:rsidRPr="00B637A3">
              <w:rPr>
                <w:lang w:val="fr-FR"/>
              </w:rPr>
              <w:t> </w:t>
            </w:r>
            <w:r w:rsidRPr="00B637A3">
              <w:rPr>
                <w:lang w:val="fr-FR"/>
              </w:rPr>
              <w:t xml:space="preserve">: variété </w:t>
            </w:r>
            <w:r w:rsidRPr="00B637A3">
              <w:rPr>
                <w:i/>
                <w:lang w:val="fr-FR"/>
              </w:rPr>
              <w:t xml:space="preserve">Carex </w:t>
            </w:r>
            <w:r w:rsidR="00DF1AFC" w:rsidRPr="00B637A3">
              <w:rPr>
                <w:lang w:val="fr-FR"/>
              </w:rPr>
              <w:t>‘</w:t>
            </w:r>
            <w:r w:rsidRPr="00B637A3">
              <w:rPr>
                <w:lang w:val="fr-FR"/>
              </w:rPr>
              <w:t>Laiche</w:t>
            </w:r>
            <w:r w:rsidR="00DF1AFC" w:rsidRPr="00B637A3">
              <w:rPr>
                <w:lang w:val="fr-FR"/>
              </w:rPr>
              <w:t>’</w:t>
            </w:r>
            <w:r w:rsidRPr="00B637A3">
              <w:rPr>
                <w:lang w:val="fr-FR"/>
              </w:rPr>
              <w:t>.</w:t>
            </w:r>
            <w:r w:rsidR="00635BC5" w:rsidRPr="00B637A3">
              <w:rPr>
                <w:lang w:val="fr-FR"/>
              </w:rPr>
              <w:t xml:space="preserve"> </w:t>
            </w:r>
            <w:r w:rsidR="007E54F5" w:rsidRPr="00B637A3">
              <w:rPr>
                <w:lang w:val="fr-FR"/>
              </w:rPr>
              <w:t xml:space="preserve"> </w:t>
            </w:r>
            <w:r w:rsidRPr="00B637A3">
              <w:rPr>
                <w:lang w:val="fr-FR"/>
              </w:rPr>
              <w:t>On pourrait l</w:t>
            </w:r>
            <w:r w:rsidR="00DF1AFC" w:rsidRPr="00B637A3">
              <w:rPr>
                <w:lang w:val="fr-FR"/>
              </w:rPr>
              <w:t>’</w:t>
            </w:r>
            <w:r w:rsidRPr="00B637A3">
              <w:rPr>
                <w:lang w:val="fr-FR"/>
              </w:rPr>
              <w:t xml:space="preserve">appeler </w:t>
            </w:r>
            <w:r w:rsidR="00DF1AFC" w:rsidRPr="00B637A3">
              <w:rPr>
                <w:lang w:val="fr-FR"/>
              </w:rPr>
              <w:t>‘</w:t>
            </w:r>
            <w:r w:rsidRPr="00B637A3">
              <w:rPr>
                <w:lang w:val="fr-FR"/>
              </w:rPr>
              <w:t>Laiche</w:t>
            </w:r>
            <w:r w:rsidR="00DF1AFC" w:rsidRPr="00B637A3">
              <w:rPr>
                <w:lang w:val="fr-FR"/>
              </w:rPr>
              <w:t>’</w:t>
            </w:r>
            <w:r w:rsidRPr="00B637A3">
              <w:rPr>
                <w:lang w:val="fr-FR"/>
              </w:rPr>
              <w:t xml:space="preserve"> </w:t>
            </w:r>
            <w:r w:rsidRPr="00B637A3">
              <w:rPr>
                <w:i/>
                <w:lang w:val="fr-FR"/>
              </w:rPr>
              <w:t xml:space="preserve">Carex.  </w:t>
            </w:r>
            <w:r w:rsidRPr="00B637A3">
              <w:rPr>
                <w:lang w:val="fr-FR"/>
              </w:rPr>
              <w:t>Sans utiliser des italiques ou des guillemets simples, l</w:t>
            </w:r>
            <w:r w:rsidR="00DF1AFC" w:rsidRPr="00B637A3">
              <w:rPr>
                <w:lang w:val="fr-FR"/>
              </w:rPr>
              <w:t>’</w:t>
            </w:r>
            <w:r w:rsidRPr="00B637A3">
              <w:rPr>
                <w:lang w:val="fr-FR"/>
              </w:rPr>
              <w:t>identité de la dénomination et du genre peut ne pas être claire.</w:t>
            </w:r>
          </w:p>
          <w:p w:rsidR="00732899" w:rsidRPr="00B637A3" w:rsidRDefault="00732899" w:rsidP="00666088">
            <w:pPr>
              <w:rPr>
                <w:lang w:val="fr-FR"/>
              </w:rPr>
            </w:pPr>
          </w:p>
          <w:p w:rsidR="007E54F5" w:rsidRPr="00B637A3" w:rsidRDefault="00732899" w:rsidP="00732899">
            <w:pPr>
              <w:rPr>
                <w:lang w:val="fr-FR"/>
              </w:rPr>
            </w:pPr>
            <w:r w:rsidRPr="00B637A3">
              <w:rPr>
                <w:lang w:val="fr-FR"/>
              </w:rPr>
              <w:t>Élaborer des orientations sur la confusion possible du nom botanique ou du nom commun d</w:t>
            </w:r>
            <w:r w:rsidR="00DF1AFC" w:rsidRPr="00B637A3">
              <w:rPr>
                <w:lang w:val="fr-FR"/>
              </w:rPr>
              <w:t>’</w:t>
            </w:r>
            <w:r w:rsidRPr="00B637A3">
              <w:rPr>
                <w:lang w:val="fr-FR"/>
              </w:rPr>
              <w:t xml:space="preserve">un genre auquel cette variété </w:t>
            </w:r>
            <w:r w:rsidRPr="00B637A3">
              <w:rPr>
                <w:u w:val="single"/>
                <w:lang w:val="fr-FR"/>
              </w:rPr>
              <w:t>n</w:t>
            </w:r>
            <w:r w:rsidR="00DF1AFC" w:rsidRPr="00B637A3">
              <w:rPr>
                <w:lang w:val="fr-FR"/>
              </w:rPr>
              <w:t>’</w:t>
            </w:r>
            <w:r w:rsidRPr="00B637A3">
              <w:rPr>
                <w:lang w:val="fr-FR"/>
              </w:rPr>
              <w:t xml:space="preserve">appartient </w:t>
            </w:r>
            <w:r w:rsidRPr="00B637A3">
              <w:rPr>
                <w:u w:val="single"/>
                <w:lang w:val="fr-FR"/>
              </w:rPr>
              <w:t>pas</w:t>
            </w:r>
            <w:r w:rsidRPr="00B637A3">
              <w:rPr>
                <w:lang w:val="fr-FR"/>
              </w:rPr>
              <w:t xml:space="preserve"> – cas par cas</w:t>
            </w:r>
          </w:p>
        </w:tc>
      </w:tr>
      <w:tr w:rsidR="00B637A3" w:rsidRPr="00B637A3" w:rsidTr="00666088">
        <w:trPr>
          <w:cantSplit/>
        </w:trPr>
        <w:tc>
          <w:tcPr>
            <w:tcW w:w="1391" w:type="dxa"/>
          </w:tcPr>
          <w:p w:rsidR="007E54F5" w:rsidRPr="00B637A3" w:rsidRDefault="007E54F5" w:rsidP="00666088">
            <w:pPr>
              <w:rPr>
                <w:lang w:val="fr-FR"/>
              </w:rPr>
            </w:pPr>
            <w:r w:rsidRPr="00B637A3">
              <w:rPr>
                <w:lang w:val="fr-FR"/>
              </w:rPr>
              <w:t>2.3.3</w:t>
            </w:r>
          </w:p>
        </w:tc>
        <w:tc>
          <w:tcPr>
            <w:tcW w:w="7789" w:type="dxa"/>
          </w:tcPr>
          <w:p w:rsidR="007E54F5" w:rsidRPr="00B637A3" w:rsidRDefault="00732899" w:rsidP="00732899">
            <w:pPr>
              <w:rPr>
                <w:snapToGrid w:val="0"/>
                <w:lang w:val="fr-FR"/>
              </w:rPr>
            </w:pPr>
            <w:r w:rsidRPr="00B637A3">
              <w:rPr>
                <w:snapToGrid w:val="0"/>
                <w:lang w:val="fr-FR"/>
              </w:rPr>
              <w:t>Prendre en compte les propositions dans le paragraphe</w:t>
            </w:r>
            <w:r w:rsidR="00635BC5" w:rsidRPr="00B637A3">
              <w:rPr>
                <w:snapToGrid w:val="0"/>
                <w:lang w:val="fr-FR"/>
              </w:rPr>
              <w:t> </w:t>
            </w:r>
            <w:r w:rsidRPr="00B637A3">
              <w:rPr>
                <w:snapToGrid w:val="0"/>
                <w:lang w:val="fr-FR"/>
              </w:rPr>
              <w:t xml:space="preserve">2.3.3 du document UPOV/INF/12/5 </w:t>
            </w:r>
            <w:proofErr w:type="spellStart"/>
            <w:r w:rsidRPr="00B637A3">
              <w:rPr>
                <w:snapToGrid w:val="0"/>
                <w:lang w:val="fr-FR"/>
              </w:rPr>
              <w:t>Draft</w:t>
            </w:r>
            <w:proofErr w:type="spellEnd"/>
            <w:r w:rsidRPr="00B637A3">
              <w:rPr>
                <w:snapToGrid w:val="0"/>
                <w:lang w:val="fr-FR"/>
              </w:rPr>
              <w:t xml:space="preserve"> 2 en tant qu</w:t>
            </w:r>
            <w:r w:rsidR="00DF1AFC" w:rsidRPr="00B637A3">
              <w:rPr>
                <w:snapToGrid w:val="0"/>
                <w:lang w:val="fr-FR"/>
              </w:rPr>
              <w:t>’</w:t>
            </w:r>
            <w:r w:rsidRPr="00B637A3">
              <w:rPr>
                <w:snapToGrid w:val="0"/>
                <w:lang w:val="fr-FR"/>
              </w:rPr>
              <w:t>étape initiale de l</w:t>
            </w:r>
            <w:r w:rsidR="00DF1AFC" w:rsidRPr="00B637A3">
              <w:rPr>
                <w:snapToGrid w:val="0"/>
                <w:lang w:val="fr-FR"/>
              </w:rPr>
              <w:t>’</w:t>
            </w:r>
            <w:r w:rsidRPr="00B637A3">
              <w:rPr>
                <w:snapToGrid w:val="0"/>
                <w:lang w:val="fr-FR"/>
              </w:rPr>
              <w:t>élaboration d</w:t>
            </w:r>
            <w:r w:rsidR="00DF1AFC" w:rsidRPr="00B637A3">
              <w:rPr>
                <w:snapToGrid w:val="0"/>
                <w:lang w:val="fr-FR"/>
              </w:rPr>
              <w:t>’</w:t>
            </w:r>
            <w:r w:rsidRPr="00B637A3">
              <w:rPr>
                <w:snapToGrid w:val="0"/>
                <w:lang w:val="fr-FR"/>
              </w:rPr>
              <w:t>orientations supplémentaires et d</w:t>
            </w:r>
            <w:r w:rsidR="00DF1AFC" w:rsidRPr="00B637A3">
              <w:rPr>
                <w:snapToGrid w:val="0"/>
                <w:lang w:val="fr-FR"/>
              </w:rPr>
              <w:t>’</w:t>
            </w:r>
            <w:r w:rsidRPr="00B637A3">
              <w:rPr>
                <w:snapToGrid w:val="0"/>
                <w:lang w:val="fr-FR"/>
              </w:rPr>
              <w:t>exemples appropriés de concert avec l</w:t>
            </w:r>
            <w:r w:rsidR="00DF1AFC" w:rsidRPr="00B637A3">
              <w:rPr>
                <w:snapToGrid w:val="0"/>
                <w:lang w:val="fr-FR"/>
              </w:rPr>
              <w:t>’</w:t>
            </w:r>
            <w:r w:rsidRPr="00B637A3">
              <w:rPr>
                <w:snapToGrid w:val="0"/>
                <w:lang w:val="fr-FR"/>
              </w:rPr>
              <w:t>élaboration d</w:t>
            </w:r>
            <w:r w:rsidR="00DF1AFC" w:rsidRPr="00B637A3">
              <w:rPr>
                <w:snapToGrid w:val="0"/>
                <w:lang w:val="fr-FR"/>
              </w:rPr>
              <w:t>’</w:t>
            </w:r>
            <w:r w:rsidRPr="00B637A3">
              <w:rPr>
                <w:snapToGrid w:val="0"/>
                <w:lang w:val="fr-FR"/>
              </w:rPr>
              <w:t>un outil de recherche de l</w:t>
            </w:r>
            <w:r w:rsidR="00DF1AFC" w:rsidRPr="00B637A3">
              <w:rPr>
                <w:snapToGrid w:val="0"/>
                <w:lang w:val="fr-FR"/>
              </w:rPr>
              <w:t>’</w:t>
            </w:r>
            <w:r w:rsidRPr="00B637A3">
              <w:rPr>
                <w:snapToGrid w:val="0"/>
                <w:lang w:val="fr-FR"/>
              </w:rPr>
              <w:t>UPOV de similarité efficace.</w:t>
            </w:r>
          </w:p>
        </w:tc>
      </w:tr>
      <w:tr w:rsidR="00B637A3" w:rsidRPr="00B637A3" w:rsidTr="00666088">
        <w:trPr>
          <w:cantSplit/>
        </w:trPr>
        <w:tc>
          <w:tcPr>
            <w:tcW w:w="1391" w:type="dxa"/>
          </w:tcPr>
          <w:p w:rsidR="007E54F5" w:rsidRPr="00B637A3" w:rsidRDefault="00B03BC0" w:rsidP="00666088">
            <w:pPr>
              <w:rPr>
                <w:lang w:val="fr-FR"/>
              </w:rPr>
            </w:pPr>
            <w:r w:rsidRPr="00B637A3">
              <w:rPr>
                <w:lang w:val="fr-FR"/>
              </w:rPr>
              <w:t>4.</w:t>
            </w:r>
            <w:r w:rsidR="007E54F5" w:rsidRPr="00B637A3">
              <w:rPr>
                <w:lang w:val="fr-FR"/>
              </w:rPr>
              <w:t>a)</w:t>
            </w:r>
          </w:p>
        </w:tc>
        <w:tc>
          <w:tcPr>
            <w:tcW w:w="7789" w:type="dxa"/>
          </w:tcPr>
          <w:p w:rsidR="00732899" w:rsidRPr="00B637A3" w:rsidRDefault="00732899" w:rsidP="00732899">
            <w:pPr>
              <w:rPr>
                <w:snapToGrid w:val="0"/>
                <w:lang w:val="fr-FR"/>
              </w:rPr>
            </w:pPr>
            <w:r w:rsidRPr="00B637A3">
              <w:rPr>
                <w:snapToGrid w:val="0"/>
                <w:lang w:val="fr-FR"/>
              </w:rPr>
              <w:t>Modifier 4.a) comme suit</w:t>
            </w:r>
            <w:r w:rsidR="00635BC5" w:rsidRPr="00B637A3">
              <w:rPr>
                <w:snapToGrid w:val="0"/>
                <w:lang w:val="fr-FR"/>
              </w:rPr>
              <w:t> </w:t>
            </w:r>
            <w:r w:rsidRPr="00B637A3">
              <w:rPr>
                <w:snapToGrid w:val="0"/>
                <w:lang w:val="fr-FR"/>
              </w:rPr>
              <w:t>:</w:t>
            </w:r>
          </w:p>
          <w:p w:rsidR="00732899" w:rsidRPr="00B637A3" w:rsidRDefault="00732899" w:rsidP="00666088">
            <w:pPr>
              <w:rPr>
                <w:snapToGrid w:val="0"/>
                <w:lang w:val="fr-FR"/>
              </w:rPr>
            </w:pPr>
          </w:p>
          <w:p w:rsidR="007E54F5" w:rsidRPr="00B637A3" w:rsidRDefault="00732899" w:rsidP="00A44650">
            <w:pPr>
              <w:ind w:firstLine="567"/>
              <w:rPr>
                <w:lang w:val="fr-FR"/>
              </w:rPr>
            </w:pPr>
            <w:r w:rsidRPr="00B637A3">
              <w:rPr>
                <w:lang w:val="fr-FR"/>
              </w:rPr>
              <w:t>“a)</w:t>
            </w:r>
            <w:r w:rsidRPr="00B637A3">
              <w:rPr>
                <w:lang w:val="fr-FR"/>
              </w:rPr>
              <w:tab/>
              <w:t>Un service ne doit pas accepte</w:t>
            </w:r>
            <w:r w:rsidR="00A44650" w:rsidRPr="00B637A3">
              <w:rPr>
                <w:lang w:val="fr-FR"/>
              </w:rPr>
              <w:t>r une dénomination variétale s’</w:t>
            </w:r>
            <w:r w:rsidRPr="00B637A3">
              <w:rPr>
                <w:u w:val="single"/>
                <w:lang w:val="fr-FR"/>
              </w:rPr>
              <w:t>il y a un</w:t>
            </w:r>
            <w:r w:rsidRPr="00B637A3">
              <w:rPr>
                <w:lang w:val="fr-FR"/>
              </w:rPr>
              <w:t xml:space="preserve"> droit antérieur </w:t>
            </w:r>
            <w:r w:rsidRPr="00B637A3">
              <w:rPr>
                <w:u w:val="single"/>
                <w:lang w:val="fr-FR"/>
              </w:rPr>
              <w:t>existant</w:t>
            </w:r>
            <w:r w:rsidRPr="00B637A3">
              <w:rPr>
                <w:lang w:val="fr-FR"/>
              </w:rPr>
              <w:t>, dont l</w:t>
            </w:r>
            <w:r w:rsidR="00DF1AFC" w:rsidRPr="00B637A3">
              <w:rPr>
                <w:lang w:val="fr-FR"/>
              </w:rPr>
              <w:t>’</w:t>
            </w:r>
            <w:r w:rsidRPr="00B637A3">
              <w:rPr>
                <w:lang w:val="fr-FR"/>
              </w:rPr>
              <w:t>exercice peut empêcher l</w:t>
            </w:r>
            <w:r w:rsidR="00DF1AFC" w:rsidRPr="00B637A3">
              <w:rPr>
                <w:lang w:val="fr-FR"/>
              </w:rPr>
              <w:t>’</w:t>
            </w:r>
            <w:r w:rsidRPr="00B637A3">
              <w:rPr>
                <w:lang w:val="fr-FR"/>
              </w:rPr>
              <w:t xml:space="preserve">utilisation de la dénomination proposée, </w:t>
            </w:r>
            <w:r w:rsidRPr="00B637A3">
              <w:rPr>
                <w:strike/>
                <w:lang w:val="fr-FR"/>
              </w:rPr>
              <w:t>a déjà été octroyé à un tiers en vertu de la loi sur les droits d</w:t>
            </w:r>
            <w:r w:rsidR="00DF1AFC" w:rsidRPr="00B637A3">
              <w:rPr>
                <w:strike/>
                <w:lang w:val="fr-FR"/>
              </w:rPr>
              <w:t>’</w:t>
            </w:r>
            <w:r w:rsidRPr="00B637A3">
              <w:rPr>
                <w:strike/>
                <w:lang w:val="fr-FR"/>
              </w:rPr>
              <w:t>obtenteur, de la loi sur les marques ou de toute autre loi sur la propriété intellectuelle</w:t>
            </w:r>
            <w:r w:rsidRPr="00B637A3">
              <w:rPr>
                <w:lang w:val="fr-FR"/>
              </w:rPr>
              <w:t>.</w:t>
            </w:r>
            <w:r w:rsidR="007E54F5" w:rsidRPr="00B637A3">
              <w:rPr>
                <w:lang w:val="fr-FR"/>
              </w:rPr>
              <w:t xml:space="preserve"> </w:t>
            </w:r>
            <w:r w:rsidR="00635BC5" w:rsidRPr="00B637A3">
              <w:rPr>
                <w:lang w:val="fr-FR"/>
              </w:rPr>
              <w:t xml:space="preserve"> </w:t>
            </w:r>
            <w:r w:rsidRPr="00B637A3">
              <w:rPr>
                <w:lang w:val="fr-FR"/>
              </w:rPr>
              <w:t>Il incombe au titulaire d</w:t>
            </w:r>
            <w:r w:rsidR="00DF1AFC" w:rsidRPr="00B637A3">
              <w:rPr>
                <w:lang w:val="fr-FR"/>
              </w:rPr>
              <w:t>’</w:t>
            </w:r>
            <w:r w:rsidRPr="00B637A3">
              <w:rPr>
                <w:lang w:val="fr-FR"/>
              </w:rPr>
              <w:t>un droit antérieur de faire valoir ses droits dans le cadre des procédures d</w:t>
            </w:r>
            <w:r w:rsidR="00DF1AFC" w:rsidRPr="00B637A3">
              <w:rPr>
                <w:lang w:val="fr-FR"/>
              </w:rPr>
              <w:t>’</w:t>
            </w:r>
            <w:r w:rsidRPr="00B637A3">
              <w:rPr>
                <w:lang w:val="fr-FR"/>
              </w:rPr>
              <w:t>opposition ou des procédures judiciaires disponibles.</w:t>
            </w:r>
            <w:r w:rsidR="007E54F5" w:rsidRPr="00B637A3">
              <w:rPr>
                <w:lang w:val="fr-FR"/>
              </w:rPr>
              <w:t xml:space="preserve">  </w:t>
            </w:r>
            <w:r w:rsidRPr="00B637A3">
              <w:rPr>
                <w:lang w:val="fr-FR"/>
              </w:rPr>
              <w:t>Cela étant, les services sont encouragés à effectuer des recherches préalables dans les publications (p.</w:t>
            </w:r>
            <w:r w:rsidR="00635BC5" w:rsidRPr="00B637A3">
              <w:rPr>
                <w:lang w:val="fr-FR"/>
              </w:rPr>
              <w:t> </w:t>
            </w:r>
            <w:r w:rsidRPr="00B637A3">
              <w:rPr>
                <w:lang w:val="fr-FR"/>
              </w:rPr>
              <w:t>ex. : les bulletins officiels) et les bases de données pertinentes (p.</w:t>
            </w:r>
            <w:r w:rsidR="00635BC5" w:rsidRPr="00B637A3">
              <w:rPr>
                <w:lang w:val="fr-FR"/>
              </w:rPr>
              <w:t> </w:t>
            </w:r>
            <w:r w:rsidRPr="00B637A3">
              <w:rPr>
                <w:lang w:val="fr-FR"/>
              </w:rPr>
              <w:t>ex.</w:t>
            </w:r>
            <w:r w:rsidR="007E54F5" w:rsidRPr="00B637A3">
              <w:rPr>
                <w:lang w:val="fr-FR"/>
              </w:rPr>
              <w:t xml:space="preserve"> </w:t>
            </w:r>
            <w:r w:rsidRPr="00B637A3">
              <w:rPr>
                <w:lang w:val="fr-FR"/>
              </w:rPr>
              <w:t xml:space="preserve">Base de données UPOV sur les variétés végétales (PLUTO) </w:t>
            </w:r>
            <w:hyperlink r:id="rId10" w:history="1">
              <w:r w:rsidRPr="002865FB">
                <w:rPr>
                  <w:rStyle w:val="Hyperlink"/>
                  <w:lang w:val="fr-FR"/>
                </w:rPr>
                <w:t>http://www.upov.int/pluto/fr/</w:t>
              </w:r>
            </w:hyperlink>
            <w:r w:rsidRPr="00B637A3">
              <w:rPr>
                <w:lang w:val="fr-FR"/>
              </w:rPr>
              <w:t>) pour identifier les droits antérieurs de dénominations variétales.</w:t>
            </w:r>
            <w:r w:rsidR="007E54F5" w:rsidRPr="00B637A3">
              <w:rPr>
                <w:lang w:val="fr-FR"/>
              </w:rPr>
              <w:t xml:space="preserve">  </w:t>
            </w:r>
            <w:r w:rsidRPr="00B637A3">
              <w:rPr>
                <w:lang w:val="fr-FR"/>
              </w:rPr>
              <w:t>Ils peuvent aussi effectuer des recherches dans d</w:t>
            </w:r>
            <w:r w:rsidR="00DF1AFC" w:rsidRPr="00B637A3">
              <w:rPr>
                <w:lang w:val="fr-FR"/>
              </w:rPr>
              <w:t>’</w:t>
            </w:r>
            <w:r w:rsidRPr="00B637A3">
              <w:rPr>
                <w:lang w:val="fr-FR"/>
              </w:rPr>
              <w:t>autres registres, tels que des registres de marques, avant d</w:t>
            </w:r>
            <w:r w:rsidR="00DF1AFC" w:rsidRPr="00B637A3">
              <w:rPr>
                <w:lang w:val="fr-FR"/>
              </w:rPr>
              <w:t>’</w:t>
            </w:r>
            <w:r w:rsidRPr="00B637A3">
              <w:rPr>
                <w:lang w:val="fr-FR"/>
              </w:rPr>
              <w:t>accepter une dénomination variétale”.</w:t>
            </w:r>
          </w:p>
        </w:tc>
      </w:tr>
      <w:tr w:rsidR="007E54F5" w:rsidRPr="00B637A3" w:rsidTr="00666088">
        <w:trPr>
          <w:cantSplit/>
        </w:trPr>
        <w:tc>
          <w:tcPr>
            <w:tcW w:w="1391" w:type="dxa"/>
          </w:tcPr>
          <w:p w:rsidR="007E54F5" w:rsidRPr="00B637A3" w:rsidRDefault="00732899" w:rsidP="00732899">
            <w:pPr>
              <w:rPr>
                <w:lang w:val="fr-FR"/>
              </w:rPr>
            </w:pPr>
            <w:r w:rsidRPr="00B637A3">
              <w:rPr>
                <w:lang w:val="fr-FR"/>
              </w:rPr>
              <w:t>4.e)i)</w:t>
            </w:r>
          </w:p>
        </w:tc>
        <w:tc>
          <w:tcPr>
            <w:tcW w:w="7789" w:type="dxa"/>
          </w:tcPr>
          <w:p w:rsidR="00732899" w:rsidRPr="00B637A3" w:rsidRDefault="00732899" w:rsidP="00732899">
            <w:pPr>
              <w:rPr>
                <w:snapToGrid w:val="0"/>
                <w:lang w:val="fr-FR"/>
              </w:rPr>
            </w:pPr>
            <w:r w:rsidRPr="00B637A3">
              <w:rPr>
                <w:snapToGrid w:val="0"/>
                <w:lang w:val="fr-FR"/>
              </w:rPr>
              <w:t>Modifier la dernière phrase du paragraphe</w:t>
            </w:r>
            <w:r w:rsidR="00635BC5" w:rsidRPr="00B637A3">
              <w:rPr>
                <w:snapToGrid w:val="0"/>
                <w:lang w:val="fr-FR"/>
              </w:rPr>
              <w:t> </w:t>
            </w:r>
            <w:r w:rsidRPr="00B637A3">
              <w:rPr>
                <w:snapToGrid w:val="0"/>
                <w:lang w:val="fr-FR"/>
              </w:rPr>
              <w:t>4.e)i) comme suit</w:t>
            </w:r>
            <w:r w:rsidR="00635BC5" w:rsidRPr="00B637A3">
              <w:rPr>
                <w:snapToGrid w:val="0"/>
                <w:lang w:val="fr-FR"/>
              </w:rPr>
              <w:t> </w:t>
            </w:r>
            <w:r w:rsidRPr="00B637A3">
              <w:rPr>
                <w:snapToGrid w:val="0"/>
                <w:lang w:val="fr-FR"/>
              </w:rPr>
              <w:t>:</w:t>
            </w:r>
          </w:p>
          <w:p w:rsidR="00732899" w:rsidRPr="00B637A3" w:rsidRDefault="00732899" w:rsidP="00666088">
            <w:pPr>
              <w:rPr>
                <w:snapToGrid w:val="0"/>
                <w:lang w:val="fr-FR"/>
              </w:rPr>
            </w:pPr>
          </w:p>
          <w:p w:rsidR="007E54F5" w:rsidRPr="00B637A3" w:rsidRDefault="00732899" w:rsidP="00732899">
            <w:pPr>
              <w:tabs>
                <w:tab w:val="right" w:pos="1134"/>
                <w:tab w:val="left" w:pos="1418"/>
              </w:tabs>
              <w:rPr>
                <w:spacing w:val="-2"/>
                <w:lang w:val="fr-FR"/>
              </w:rPr>
            </w:pPr>
            <w:r w:rsidRPr="00B637A3">
              <w:rPr>
                <w:spacing w:val="-2"/>
                <w:lang w:val="fr-FR"/>
              </w:rPr>
              <w:t xml:space="preserve">“Dans les cas de simple similitude ou de faible risque </w:t>
            </w:r>
            <w:r w:rsidRPr="00B637A3">
              <w:rPr>
                <w:strike/>
                <w:spacing w:val="-2"/>
                <w:lang w:val="fr-FR"/>
              </w:rPr>
              <w:t>d</w:t>
            </w:r>
            <w:r w:rsidR="00DF1AFC" w:rsidRPr="00B637A3">
              <w:rPr>
                <w:strike/>
                <w:spacing w:val="-2"/>
                <w:lang w:val="fr-FR"/>
              </w:rPr>
              <w:t>’</w:t>
            </w:r>
            <w:r w:rsidRPr="00B637A3">
              <w:rPr>
                <w:strike/>
                <w:spacing w:val="-2"/>
                <w:lang w:val="fr-FR"/>
              </w:rPr>
              <w:t>association</w:t>
            </w:r>
            <w:r w:rsidRPr="00B637A3">
              <w:rPr>
                <w:spacing w:val="-2"/>
                <w:lang w:val="fr-FR"/>
              </w:rPr>
              <w:t xml:space="preserve"> </w:t>
            </w:r>
            <w:r w:rsidRPr="00B637A3">
              <w:rPr>
                <w:spacing w:val="-2"/>
                <w:u w:val="single"/>
                <w:lang w:val="fr-FR"/>
              </w:rPr>
              <w:t>de confusion</w:t>
            </w:r>
            <w:r w:rsidRPr="00B637A3">
              <w:rPr>
                <w:spacing w:val="-2"/>
                <w:lang w:val="fr-FR"/>
              </w:rPr>
              <w:t xml:space="preserve"> par les utilisateurs, des dérogations accordées aux obtenteurs par les titulaires des droits antérieurs sur une marque peuvent convenir”.</w:t>
            </w:r>
          </w:p>
        </w:tc>
      </w:tr>
    </w:tbl>
    <w:p w:rsidR="00732899" w:rsidRPr="00B637A3" w:rsidRDefault="00732899" w:rsidP="00B35889">
      <w:pPr>
        <w:rPr>
          <w:lang w:val="fr-FR" w:eastAsia="ja-JP"/>
        </w:rPr>
      </w:pPr>
    </w:p>
    <w:p w:rsidR="00732899" w:rsidRPr="00B637A3" w:rsidRDefault="007B3011" w:rsidP="00B35889">
      <w:pPr>
        <w:rPr>
          <w:lang w:val="fr-FR" w:eastAsia="ja-JP"/>
        </w:rPr>
      </w:pPr>
      <w:r w:rsidRPr="00B637A3">
        <w:rPr>
          <w:lang w:val="fr-FR"/>
        </w:rPr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Pr="00B637A3">
        <w:rPr>
          <w:lang w:val="fr-FR"/>
        </w:rPr>
        <w:tab/>
      </w:r>
      <w:r w:rsidR="00750A1D" w:rsidRPr="00B637A3">
        <w:rPr>
          <w:lang w:val="fr-FR" w:eastAsia="ja-JP"/>
        </w:rPr>
        <w:t xml:space="preserve">Le CAJ </w:t>
      </w:r>
      <w:r w:rsidR="002865FB">
        <w:rPr>
          <w:lang w:val="fr-FR" w:eastAsia="ja-JP"/>
        </w:rPr>
        <w:t xml:space="preserve">est convenu </w:t>
      </w:r>
      <w:r w:rsidR="00750A1D" w:rsidRPr="00B637A3">
        <w:rPr>
          <w:lang w:val="fr-FR" w:eastAsia="ja-JP"/>
        </w:rPr>
        <w:t>d</w:t>
      </w:r>
      <w:r w:rsidR="00DF1AFC" w:rsidRPr="00B637A3">
        <w:rPr>
          <w:lang w:val="fr-FR" w:eastAsia="ja-JP"/>
        </w:rPr>
        <w:t>’</w:t>
      </w:r>
      <w:r w:rsidR="00750A1D" w:rsidRPr="00B637A3">
        <w:rPr>
          <w:lang w:val="fr-FR" w:eastAsia="ja-JP"/>
        </w:rPr>
        <w:t>examiner les propositions</w:t>
      </w:r>
      <w:r w:rsidR="008C5BDF" w:rsidRPr="00B637A3">
        <w:rPr>
          <w:lang w:val="fr-FR" w:eastAsia="ja-JP"/>
        </w:rPr>
        <w:t xml:space="preserve"> du CAJ</w:t>
      </w:r>
      <w:r w:rsidR="00AE7C81" w:rsidRPr="00B637A3">
        <w:rPr>
          <w:lang w:val="fr-FR" w:eastAsia="ja-JP"/>
        </w:rPr>
        <w:noBreakHyphen/>
      </w:r>
      <w:r w:rsidR="00750A1D" w:rsidRPr="00B637A3">
        <w:rPr>
          <w:lang w:val="fr-FR" w:eastAsia="ja-JP"/>
        </w:rPr>
        <w:t>AG concernant les paragraphes</w:t>
      </w:r>
      <w:r w:rsidR="00635BC5" w:rsidRPr="00B637A3">
        <w:rPr>
          <w:lang w:val="fr-FR" w:eastAsia="ja-JP"/>
        </w:rPr>
        <w:t> </w:t>
      </w:r>
      <w:r w:rsidR="00750A1D" w:rsidRPr="00B637A3">
        <w:rPr>
          <w:lang w:val="fr-FR" w:eastAsia="ja-JP"/>
        </w:rPr>
        <w:t>2.2.2.c</w:t>
      </w:r>
      <w:r w:rsidR="00F257AD" w:rsidRPr="00B637A3">
        <w:rPr>
          <w:lang w:val="fr-FR" w:eastAsia="ja-JP"/>
        </w:rPr>
        <w:t>), 4.a) et 4.e)i) à sa soixante</w:t>
      </w:r>
      <w:r w:rsidR="00A44650" w:rsidRPr="00B637A3">
        <w:rPr>
          <w:lang w:val="fr-FR" w:eastAsia="ja-JP"/>
        </w:rPr>
        <w:noBreakHyphen/>
      </w:r>
      <w:r w:rsidR="00750A1D" w:rsidRPr="00B637A3">
        <w:rPr>
          <w:lang w:val="fr-FR" w:eastAsia="ja-JP"/>
        </w:rPr>
        <w:t>douzième</w:t>
      </w:r>
      <w:r w:rsidR="00635BC5" w:rsidRPr="00B637A3">
        <w:rPr>
          <w:lang w:val="fr-FR" w:eastAsia="ja-JP"/>
        </w:rPr>
        <w:t> </w:t>
      </w:r>
      <w:r w:rsidR="00750A1D" w:rsidRPr="00B637A3">
        <w:rPr>
          <w:lang w:val="fr-FR" w:eastAsia="ja-JP"/>
        </w:rPr>
        <w:t>session, comme indiqué au paragraphe</w:t>
      </w:r>
      <w:r w:rsidR="00635BC5" w:rsidRPr="00B637A3">
        <w:rPr>
          <w:lang w:val="fr-FR" w:eastAsia="ja-JP"/>
        </w:rPr>
        <w:t> </w:t>
      </w:r>
      <w:r w:rsidR="00750A1D" w:rsidRPr="00B637A3">
        <w:rPr>
          <w:lang w:val="fr-FR" w:eastAsia="ja-JP"/>
        </w:rPr>
        <w:t>28 du document CAJ/71/3 (voir le paragraphe</w:t>
      </w:r>
      <w:r w:rsidR="00635BC5" w:rsidRPr="00B637A3">
        <w:rPr>
          <w:lang w:val="fr-FR" w:eastAsia="ja-JP"/>
        </w:rPr>
        <w:t> </w:t>
      </w:r>
      <w:r w:rsidR="00750A1D" w:rsidRPr="00B637A3">
        <w:rPr>
          <w:lang w:val="fr-FR" w:eastAsia="ja-JP"/>
        </w:rPr>
        <w:t xml:space="preserve">37 du </w:t>
      </w:r>
      <w:r w:rsidR="00B35889" w:rsidRPr="00B637A3">
        <w:rPr>
          <w:lang w:val="fr-FR" w:eastAsia="ja-JP"/>
        </w:rPr>
        <w:t>document CAJ/71/10</w:t>
      </w:r>
      <w:r w:rsidR="002865FB">
        <w:rPr>
          <w:lang w:val="fr-FR" w:eastAsia="ja-JP"/>
        </w:rPr>
        <w:t xml:space="preserve"> </w:t>
      </w:r>
      <w:r w:rsidR="002865FB" w:rsidRPr="00B637A3">
        <w:rPr>
          <w:lang w:val="fr-FR" w:eastAsia="ja-JP"/>
        </w:rPr>
        <w:t>“Compte rendu des conclusions”</w:t>
      </w:r>
      <w:r w:rsidR="00B35889" w:rsidRPr="00B637A3">
        <w:rPr>
          <w:lang w:val="fr-FR" w:eastAsia="ja-JP"/>
        </w:rPr>
        <w:t>).</w:t>
      </w:r>
    </w:p>
    <w:p w:rsidR="00732899" w:rsidRPr="00B637A3" w:rsidRDefault="00732899" w:rsidP="00B35889">
      <w:pPr>
        <w:rPr>
          <w:lang w:val="fr-FR" w:eastAsia="ja-JP"/>
        </w:rPr>
      </w:pPr>
    </w:p>
    <w:p w:rsidR="00732899" w:rsidRPr="00B637A3" w:rsidRDefault="003606F7" w:rsidP="00197650">
      <w:pPr>
        <w:pStyle w:val="Heading2"/>
        <w:rPr>
          <w:rFonts w:cs="Arial"/>
        </w:rPr>
      </w:pPr>
      <w:bookmarkStart w:id="10" w:name="_Toc442940335"/>
      <w:r w:rsidRPr="00B637A3">
        <w:t>Exposé p</w:t>
      </w:r>
      <w:r w:rsidR="00781D3C" w:rsidRPr="00B637A3">
        <w:t>r</w:t>
      </w:r>
      <w:r w:rsidRPr="00B637A3">
        <w:t>ésen</w:t>
      </w:r>
      <w:r w:rsidR="00781D3C" w:rsidRPr="00B637A3">
        <w:t>t</w:t>
      </w:r>
      <w:r w:rsidRPr="00B637A3">
        <w:t>é par l</w:t>
      </w:r>
      <w:r w:rsidR="00DF1AFC" w:rsidRPr="00B637A3">
        <w:t>’</w:t>
      </w:r>
      <w:r w:rsidR="00781D3C" w:rsidRPr="00B637A3">
        <w:t>Argentin</w:t>
      </w:r>
      <w:r w:rsidRPr="00B637A3">
        <w:t>e</w:t>
      </w:r>
      <w:bookmarkEnd w:id="10"/>
    </w:p>
    <w:p w:rsidR="00732899" w:rsidRPr="00B637A3" w:rsidRDefault="00732899" w:rsidP="00377FF4">
      <w:pPr>
        <w:keepNext/>
        <w:rPr>
          <w:rFonts w:cs="Arial"/>
          <w:snapToGrid w:val="0"/>
          <w:lang w:val="fr-FR" w:eastAsia="ja-JP"/>
        </w:rPr>
      </w:pPr>
    </w:p>
    <w:p w:rsidR="00732899" w:rsidRPr="00B637A3" w:rsidRDefault="007B3011" w:rsidP="00B35889">
      <w:pPr>
        <w:rPr>
          <w:lang w:val="fr-FR" w:eastAsia="ja-JP"/>
        </w:rPr>
      </w:pPr>
      <w:r w:rsidRPr="00B637A3">
        <w:rPr>
          <w:lang w:val="fr-FR"/>
        </w:rPr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Pr="00B637A3">
        <w:rPr>
          <w:lang w:val="fr-FR"/>
        </w:rPr>
        <w:tab/>
      </w:r>
      <w:r w:rsidR="003606F7" w:rsidRPr="00B637A3">
        <w:rPr>
          <w:lang w:val="fr-FR"/>
        </w:rPr>
        <w:t>Le</w:t>
      </w:r>
      <w:r w:rsidR="00DF1AFC" w:rsidRPr="00B637A3">
        <w:rPr>
          <w:lang w:val="fr-FR" w:eastAsia="ja-JP"/>
        </w:rPr>
        <w:t> TC</w:t>
      </w:r>
      <w:r w:rsidR="00C84A14">
        <w:rPr>
          <w:lang w:val="fr-FR" w:eastAsia="ja-JP"/>
        </w:rPr>
        <w:t>,</w:t>
      </w:r>
      <w:r w:rsidR="003606F7" w:rsidRPr="00B637A3">
        <w:rPr>
          <w:lang w:val="fr-FR" w:eastAsia="ja-JP"/>
        </w:rPr>
        <w:t xml:space="preserve"> à sa cinquante</w:t>
      </w:r>
      <w:r w:rsidR="009E114F" w:rsidRPr="00B637A3">
        <w:rPr>
          <w:lang w:val="fr-FR" w:eastAsia="ja-JP"/>
        </w:rPr>
        <w:t> </w:t>
      </w:r>
      <w:r w:rsidR="003606F7" w:rsidRPr="00B637A3">
        <w:rPr>
          <w:lang w:val="fr-FR" w:eastAsia="ja-JP"/>
        </w:rPr>
        <w:t>et</w:t>
      </w:r>
      <w:r w:rsidR="009E114F" w:rsidRPr="00B637A3">
        <w:rPr>
          <w:lang w:val="fr-FR" w:eastAsia="ja-JP"/>
        </w:rPr>
        <w:t> </w:t>
      </w:r>
      <w:r w:rsidR="003606F7" w:rsidRPr="00B637A3">
        <w:rPr>
          <w:lang w:val="fr-FR" w:eastAsia="ja-JP"/>
        </w:rPr>
        <w:t>unième</w:t>
      </w:r>
      <w:r w:rsidR="009E114F" w:rsidRPr="00B637A3">
        <w:rPr>
          <w:lang w:val="fr-FR" w:eastAsia="ja-JP"/>
        </w:rPr>
        <w:t> </w:t>
      </w:r>
      <w:r w:rsidR="003606F7" w:rsidRPr="00B637A3">
        <w:rPr>
          <w:lang w:val="fr-FR" w:eastAsia="ja-JP"/>
        </w:rPr>
        <w:t>session, et</w:t>
      </w:r>
      <w:r w:rsidR="00DF1AFC" w:rsidRPr="00B637A3">
        <w:rPr>
          <w:lang w:val="fr-FR" w:eastAsia="ja-JP"/>
        </w:rPr>
        <w:t xml:space="preserve"> le CAJ</w:t>
      </w:r>
      <w:r w:rsidR="00C84A14">
        <w:rPr>
          <w:lang w:val="fr-FR" w:eastAsia="ja-JP"/>
        </w:rPr>
        <w:t>,</w:t>
      </w:r>
      <w:r w:rsidR="00175544" w:rsidRPr="00B637A3">
        <w:rPr>
          <w:lang w:val="fr-FR" w:eastAsia="ja-JP"/>
        </w:rPr>
        <w:t xml:space="preserve"> à sa soixante et onzième session ont pris note du fait que l</w:t>
      </w:r>
      <w:r w:rsidR="00AE7C81" w:rsidRPr="00B637A3">
        <w:rPr>
          <w:lang w:val="fr-FR" w:eastAsia="ja-JP"/>
        </w:rPr>
        <w:t>a</w:t>
      </w:r>
      <w:r w:rsidR="00175544" w:rsidRPr="00B637A3">
        <w:rPr>
          <w:lang w:val="fr-FR" w:eastAsia="ja-JP"/>
        </w:rPr>
        <w:t xml:space="preserve"> délégation de l</w:t>
      </w:r>
      <w:r w:rsidR="00DF1AFC" w:rsidRPr="00B637A3">
        <w:rPr>
          <w:lang w:val="fr-FR" w:eastAsia="ja-JP"/>
        </w:rPr>
        <w:t>’</w:t>
      </w:r>
      <w:r w:rsidR="00175544" w:rsidRPr="00B637A3">
        <w:rPr>
          <w:lang w:val="fr-FR" w:eastAsia="ja-JP"/>
        </w:rPr>
        <w:t>A</w:t>
      </w:r>
      <w:r w:rsidR="002E2E2D" w:rsidRPr="00B637A3">
        <w:rPr>
          <w:lang w:val="fr-FR" w:eastAsia="ja-JP"/>
        </w:rPr>
        <w:t>rgentin</w:t>
      </w:r>
      <w:r w:rsidR="00175544" w:rsidRPr="00B637A3">
        <w:rPr>
          <w:lang w:val="fr-FR" w:eastAsia="ja-JP"/>
        </w:rPr>
        <w:t>e</w:t>
      </w:r>
      <w:r w:rsidR="002E2E2D" w:rsidRPr="00B637A3">
        <w:rPr>
          <w:lang w:val="fr-FR" w:eastAsia="ja-JP"/>
        </w:rPr>
        <w:t xml:space="preserve"> </w:t>
      </w:r>
      <w:r w:rsidR="00175544" w:rsidRPr="00B637A3">
        <w:rPr>
          <w:lang w:val="fr-FR" w:eastAsia="ja-JP"/>
        </w:rPr>
        <w:t>menait une étude sur les dénominations variétales qui serait présentée</w:t>
      </w:r>
      <w:r w:rsidR="00DF1AFC" w:rsidRPr="00B637A3">
        <w:rPr>
          <w:lang w:val="fr-FR" w:eastAsia="ja-JP"/>
        </w:rPr>
        <w:t xml:space="preserve"> au CAJ</w:t>
      </w:r>
      <w:r w:rsidR="002E2E2D" w:rsidRPr="00B637A3">
        <w:rPr>
          <w:lang w:val="fr-FR" w:eastAsia="ja-JP"/>
        </w:rPr>
        <w:t xml:space="preserve"> </w:t>
      </w:r>
      <w:r w:rsidR="008F6F63" w:rsidRPr="00B637A3">
        <w:rPr>
          <w:lang w:val="fr-FR" w:eastAsia="ja-JP"/>
        </w:rPr>
        <w:t>les 26 et 2</w:t>
      </w:r>
      <w:r w:rsidR="00DF1AFC" w:rsidRPr="00B637A3">
        <w:rPr>
          <w:lang w:val="fr-FR" w:eastAsia="ja-JP"/>
        </w:rPr>
        <w:t>7 octobre 20</w:t>
      </w:r>
      <w:r w:rsidR="008F6F63" w:rsidRPr="00B637A3">
        <w:rPr>
          <w:lang w:val="fr-FR" w:eastAsia="ja-JP"/>
        </w:rPr>
        <w:t xml:space="preserve">15, </w:t>
      </w:r>
      <w:r w:rsidR="00175544" w:rsidRPr="00B637A3">
        <w:rPr>
          <w:lang w:val="fr-FR" w:eastAsia="ja-JP"/>
        </w:rPr>
        <w:t>à sa soixante</w:t>
      </w:r>
      <w:r w:rsidR="00A44650" w:rsidRPr="00B637A3">
        <w:rPr>
          <w:lang w:val="fr-FR" w:eastAsia="ja-JP"/>
        </w:rPr>
        <w:noBreakHyphen/>
      </w:r>
      <w:r w:rsidR="00175544" w:rsidRPr="00B637A3">
        <w:rPr>
          <w:lang w:val="fr-FR" w:eastAsia="ja-JP"/>
        </w:rPr>
        <w:t>douzième</w:t>
      </w:r>
      <w:r w:rsidR="009E114F" w:rsidRPr="00B637A3">
        <w:rPr>
          <w:lang w:val="fr-FR" w:eastAsia="ja-JP"/>
        </w:rPr>
        <w:t> </w:t>
      </w:r>
      <w:r w:rsidR="00175544" w:rsidRPr="00B637A3">
        <w:rPr>
          <w:lang w:val="fr-FR" w:eastAsia="ja-JP"/>
        </w:rPr>
        <w:t xml:space="preserve">session </w:t>
      </w:r>
      <w:r w:rsidR="00B35889" w:rsidRPr="00B637A3">
        <w:rPr>
          <w:lang w:val="fr-FR" w:eastAsia="ja-JP"/>
        </w:rPr>
        <w:t>(</w:t>
      </w:r>
      <w:r w:rsidR="00750A1D" w:rsidRPr="00B637A3">
        <w:rPr>
          <w:lang w:val="fr-FR" w:eastAsia="ja-JP"/>
        </w:rPr>
        <w:t xml:space="preserve">voir le paragraphe 187 du </w:t>
      </w:r>
      <w:r w:rsidR="00DF1AFC" w:rsidRPr="00B637A3">
        <w:rPr>
          <w:lang w:val="fr-FR" w:eastAsia="ja-JP"/>
        </w:rPr>
        <w:t>document TC</w:t>
      </w:r>
      <w:r w:rsidR="00B35889" w:rsidRPr="00B637A3">
        <w:rPr>
          <w:lang w:val="fr-FR" w:eastAsia="ja-JP"/>
        </w:rPr>
        <w:t>/51/39 “</w:t>
      </w:r>
      <w:r w:rsidR="00750A1D" w:rsidRPr="00B637A3">
        <w:rPr>
          <w:lang w:val="fr-FR" w:eastAsia="ja-JP"/>
        </w:rPr>
        <w:t>Compte rendu</w:t>
      </w:r>
      <w:r w:rsidR="00B35889" w:rsidRPr="00B637A3">
        <w:rPr>
          <w:lang w:val="fr-FR" w:eastAsia="ja-JP"/>
        </w:rPr>
        <w:t>”</w:t>
      </w:r>
      <w:r w:rsidR="00750A1D" w:rsidRPr="00B637A3">
        <w:rPr>
          <w:lang w:val="fr-FR" w:eastAsia="ja-JP"/>
        </w:rPr>
        <w:t xml:space="preserve"> et du paragraphe</w:t>
      </w:r>
      <w:r w:rsidR="00635BC5" w:rsidRPr="00B637A3">
        <w:rPr>
          <w:lang w:val="fr-FR" w:eastAsia="ja-JP"/>
        </w:rPr>
        <w:t> </w:t>
      </w:r>
      <w:r w:rsidR="00750A1D" w:rsidRPr="00B637A3">
        <w:rPr>
          <w:lang w:val="fr-FR" w:eastAsia="ja-JP"/>
        </w:rPr>
        <w:t>38 du document</w:t>
      </w:r>
      <w:r w:rsidR="00B35889" w:rsidRPr="00B637A3">
        <w:rPr>
          <w:lang w:val="fr-FR" w:eastAsia="ja-JP"/>
        </w:rPr>
        <w:t xml:space="preserve"> CAJ/71/10</w:t>
      </w:r>
      <w:r w:rsidR="001E44ED">
        <w:rPr>
          <w:lang w:val="fr-FR" w:eastAsia="ja-JP"/>
        </w:rPr>
        <w:t xml:space="preserve"> </w:t>
      </w:r>
      <w:r w:rsidR="001E44ED" w:rsidRPr="00B637A3">
        <w:rPr>
          <w:lang w:val="fr-FR" w:eastAsia="ja-JP"/>
        </w:rPr>
        <w:t>“Compte rendu des conclusions”</w:t>
      </w:r>
      <w:r w:rsidR="00B35889" w:rsidRPr="00B637A3">
        <w:rPr>
          <w:lang w:val="fr-FR" w:eastAsia="ja-JP"/>
        </w:rPr>
        <w:t>).</w:t>
      </w:r>
    </w:p>
    <w:p w:rsidR="00732899" w:rsidRPr="00B637A3" w:rsidRDefault="00732899" w:rsidP="00B35889">
      <w:pPr>
        <w:rPr>
          <w:lang w:val="fr-FR" w:eastAsia="ja-JP"/>
        </w:rPr>
      </w:pPr>
    </w:p>
    <w:p w:rsidR="00732899" w:rsidRPr="00B637A3" w:rsidRDefault="007B3011" w:rsidP="00B35889">
      <w:pPr>
        <w:rPr>
          <w:lang w:val="fr-FR" w:eastAsia="ja-JP"/>
        </w:rPr>
      </w:pPr>
      <w:r w:rsidRPr="00B637A3">
        <w:rPr>
          <w:lang w:val="fr-FR"/>
        </w:rPr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Pr="00B637A3">
        <w:rPr>
          <w:lang w:val="fr-FR"/>
        </w:rPr>
        <w:tab/>
      </w:r>
      <w:r w:rsidR="001F69C1" w:rsidRPr="00B637A3">
        <w:rPr>
          <w:lang w:val="fr-FR"/>
        </w:rPr>
        <w:t>À</w:t>
      </w:r>
      <w:r w:rsidR="00946502" w:rsidRPr="00B637A3">
        <w:rPr>
          <w:lang w:val="fr-FR"/>
        </w:rPr>
        <w:t xml:space="preserve"> sa soixante</w:t>
      </w:r>
      <w:r w:rsidR="00A44650" w:rsidRPr="00B637A3">
        <w:rPr>
          <w:lang w:val="fr-FR"/>
        </w:rPr>
        <w:noBreakHyphen/>
      </w:r>
      <w:r w:rsidR="00946502" w:rsidRPr="00B637A3">
        <w:rPr>
          <w:lang w:val="fr-FR"/>
        </w:rPr>
        <w:t>douzième</w:t>
      </w:r>
      <w:r w:rsidR="00635BC5" w:rsidRPr="00B637A3">
        <w:rPr>
          <w:lang w:val="fr-FR"/>
        </w:rPr>
        <w:t> </w:t>
      </w:r>
      <w:r w:rsidR="00946502" w:rsidRPr="00B637A3">
        <w:rPr>
          <w:lang w:val="fr-FR"/>
        </w:rPr>
        <w:t>session,</w:t>
      </w:r>
      <w:r w:rsidR="008C5BDF" w:rsidRPr="00B637A3">
        <w:rPr>
          <w:lang w:val="fr-FR"/>
        </w:rPr>
        <w:t xml:space="preserve"> le </w:t>
      </w:r>
      <w:r w:rsidR="008C5BDF" w:rsidRPr="00B637A3">
        <w:rPr>
          <w:lang w:val="fr-FR" w:eastAsia="ja-JP"/>
        </w:rPr>
        <w:t>CAJ</w:t>
      </w:r>
      <w:r w:rsidR="00ED3F59" w:rsidRPr="00B637A3">
        <w:rPr>
          <w:lang w:val="fr-FR" w:eastAsia="ja-JP"/>
        </w:rPr>
        <w:t xml:space="preserve"> </w:t>
      </w:r>
      <w:r w:rsidR="001F69C1" w:rsidRPr="00B637A3">
        <w:rPr>
          <w:lang w:val="fr-FR" w:eastAsia="ja-JP"/>
        </w:rPr>
        <w:t>a pris note de l</w:t>
      </w:r>
      <w:r w:rsidR="00DF1AFC" w:rsidRPr="00B637A3">
        <w:rPr>
          <w:lang w:val="fr-FR" w:eastAsia="ja-JP"/>
        </w:rPr>
        <w:t>’</w:t>
      </w:r>
      <w:r w:rsidR="001F69C1" w:rsidRPr="00B637A3">
        <w:rPr>
          <w:lang w:val="fr-FR" w:eastAsia="ja-JP"/>
        </w:rPr>
        <w:t>exposé de l</w:t>
      </w:r>
      <w:r w:rsidR="00DF1AFC" w:rsidRPr="00B637A3">
        <w:rPr>
          <w:lang w:val="fr-FR" w:eastAsia="ja-JP"/>
        </w:rPr>
        <w:t>’</w:t>
      </w:r>
      <w:r w:rsidR="001F69C1" w:rsidRPr="00B637A3">
        <w:rPr>
          <w:lang w:val="fr-FR" w:eastAsia="ja-JP"/>
        </w:rPr>
        <w:t>Argentine sur les dénominations var</w:t>
      </w:r>
      <w:r w:rsidR="00C84A14">
        <w:rPr>
          <w:lang w:val="fr-FR" w:eastAsia="ja-JP"/>
        </w:rPr>
        <w:t>iétales, dont une copie figure</w:t>
      </w:r>
      <w:r w:rsidR="001F69C1" w:rsidRPr="00B637A3">
        <w:rPr>
          <w:lang w:val="fr-FR" w:eastAsia="ja-JP"/>
        </w:rPr>
        <w:t xml:space="preserve"> dans un additif au document CAJ/72/3</w:t>
      </w:r>
      <w:r w:rsidR="00B35889" w:rsidRPr="00B637A3">
        <w:rPr>
          <w:lang w:val="fr-FR" w:eastAsia="ja-JP"/>
        </w:rPr>
        <w:t xml:space="preserve"> “</w:t>
      </w:r>
      <w:r w:rsidR="00946502" w:rsidRPr="00B637A3">
        <w:rPr>
          <w:lang w:val="fr-FR" w:eastAsia="ja-JP"/>
        </w:rPr>
        <w:t>Dénominations variétales</w:t>
      </w:r>
      <w:r w:rsidR="00B35889" w:rsidRPr="00B637A3">
        <w:rPr>
          <w:lang w:val="fr-FR" w:eastAsia="ja-JP"/>
        </w:rPr>
        <w:t>” (</w:t>
      </w:r>
      <w:r w:rsidR="00750A1D" w:rsidRPr="00B637A3">
        <w:rPr>
          <w:lang w:val="fr-FR" w:eastAsia="ja-JP"/>
        </w:rPr>
        <w:t>voir le paragraphe</w:t>
      </w:r>
      <w:r w:rsidR="00635BC5" w:rsidRPr="00B637A3">
        <w:rPr>
          <w:lang w:val="fr-FR" w:eastAsia="ja-JP"/>
        </w:rPr>
        <w:t> </w:t>
      </w:r>
      <w:r w:rsidR="00750A1D" w:rsidRPr="00B637A3">
        <w:rPr>
          <w:lang w:val="fr-FR" w:eastAsia="ja-JP"/>
        </w:rPr>
        <w:t>20 du</w:t>
      </w:r>
      <w:r w:rsidR="00B35889" w:rsidRPr="00B637A3">
        <w:rPr>
          <w:lang w:val="fr-FR" w:eastAsia="ja-JP"/>
        </w:rPr>
        <w:t xml:space="preserve"> document CAJ/72/9 “</w:t>
      </w:r>
      <w:r w:rsidR="00750A1D" w:rsidRPr="00B637A3">
        <w:rPr>
          <w:lang w:val="fr-FR" w:eastAsia="ja-JP"/>
        </w:rPr>
        <w:t>Compte rendu des c</w:t>
      </w:r>
      <w:r w:rsidR="00904AC6" w:rsidRPr="00B637A3">
        <w:rPr>
          <w:lang w:val="fr-FR" w:eastAsia="ja-JP"/>
        </w:rPr>
        <w:t>onclusions</w:t>
      </w:r>
      <w:r w:rsidR="00B35889" w:rsidRPr="00B637A3">
        <w:rPr>
          <w:lang w:val="fr-FR" w:eastAsia="ja-JP"/>
        </w:rPr>
        <w:t>”).</w:t>
      </w:r>
    </w:p>
    <w:p w:rsidR="00732899" w:rsidRPr="00B637A3" w:rsidRDefault="00732899" w:rsidP="00CD5FCA">
      <w:pPr>
        <w:rPr>
          <w:rFonts w:cs="Arial"/>
          <w:snapToGrid w:val="0"/>
          <w:lang w:val="fr-FR" w:eastAsia="ja-JP"/>
        </w:rPr>
      </w:pPr>
    </w:p>
    <w:p w:rsidR="00732899" w:rsidRPr="00B637A3" w:rsidRDefault="00732899" w:rsidP="00197650">
      <w:pPr>
        <w:pStyle w:val="Heading2"/>
      </w:pPr>
      <w:bookmarkStart w:id="11" w:name="_Toc442940336"/>
      <w:r w:rsidRPr="00B637A3">
        <w:t>Prochaines étapes</w:t>
      </w:r>
      <w:bookmarkEnd w:id="11"/>
    </w:p>
    <w:p w:rsidR="00732899" w:rsidRPr="00B637A3" w:rsidRDefault="00732899" w:rsidP="00B35889">
      <w:pPr>
        <w:keepNext/>
        <w:rPr>
          <w:rFonts w:cs="Arial"/>
          <w:snapToGrid w:val="0"/>
          <w:lang w:val="fr-FR" w:eastAsia="ja-JP"/>
        </w:rPr>
      </w:pPr>
    </w:p>
    <w:p w:rsidR="00732899" w:rsidRPr="00B637A3" w:rsidRDefault="007B3011" w:rsidP="00921503">
      <w:pPr>
        <w:rPr>
          <w:lang w:val="fr-FR" w:eastAsia="ja-JP"/>
        </w:rPr>
      </w:pPr>
      <w:r w:rsidRPr="00B637A3">
        <w:rPr>
          <w:lang w:val="fr-FR"/>
        </w:rPr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Pr="00B637A3">
        <w:rPr>
          <w:lang w:val="fr-FR"/>
        </w:rPr>
        <w:tab/>
      </w:r>
      <w:r w:rsidR="00921503" w:rsidRPr="00B637A3">
        <w:rPr>
          <w:lang w:val="fr-FR"/>
        </w:rPr>
        <w:t>À sa soixante</w:t>
      </w:r>
      <w:r w:rsidR="00A44650" w:rsidRPr="00B637A3">
        <w:rPr>
          <w:lang w:val="fr-FR"/>
        </w:rPr>
        <w:noBreakHyphen/>
      </w:r>
      <w:r w:rsidR="00921503" w:rsidRPr="00B637A3">
        <w:rPr>
          <w:lang w:val="fr-FR"/>
        </w:rPr>
        <w:t>douzième</w:t>
      </w:r>
      <w:r w:rsidR="00635BC5" w:rsidRPr="00B637A3">
        <w:rPr>
          <w:lang w:val="fr-FR"/>
        </w:rPr>
        <w:t> </w:t>
      </w:r>
      <w:r w:rsidR="00921503" w:rsidRPr="00B637A3">
        <w:rPr>
          <w:lang w:val="fr-FR"/>
        </w:rPr>
        <w:t>session,</w:t>
      </w:r>
      <w:r w:rsidR="008C5BDF" w:rsidRPr="00B637A3">
        <w:rPr>
          <w:lang w:val="fr-FR"/>
        </w:rPr>
        <w:t xml:space="preserve"> le </w:t>
      </w:r>
      <w:r w:rsidR="008C5BDF" w:rsidRPr="00B637A3">
        <w:rPr>
          <w:lang w:val="fr-FR" w:eastAsia="ja-JP"/>
        </w:rPr>
        <w:t>CAJ</w:t>
      </w:r>
      <w:r w:rsidR="00921503" w:rsidRPr="00B637A3">
        <w:rPr>
          <w:lang w:val="fr-FR" w:eastAsia="ja-JP"/>
        </w:rPr>
        <w:t xml:space="preserve"> </w:t>
      </w:r>
      <w:r w:rsidR="006A5409" w:rsidRPr="00B637A3">
        <w:rPr>
          <w:lang w:val="fr-FR" w:eastAsia="ja-JP"/>
        </w:rPr>
        <w:t xml:space="preserve">a </w:t>
      </w:r>
      <w:r w:rsidR="00921503" w:rsidRPr="00B637A3">
        <w:rPr>
          <w:lang w:val="fr-FR" w:eastAsia="ja-JP"/>
        </w:rPr>
        <w:t>approuv</w:t>
      </w:r>
      <w:r w:rsidR="006A5409" w:rsidRPr="00B637A3">
        <w:rPr>
          <w:lang w:val="fr-FR" w:eastAsia="ja-JP"/>
        </w:rPr>
        <w:t>é</w:t>
      </w:r>
      <w:r w:rsidR="00921503" w:rsidRPr="00B637A3">
        <w:rPr>
          <w:lang w:val="fr-FR" w:eastAsia="ja-JP"/>
        </w:rPr>
        <w:t xml:space="preserve"> les étapes ci</w:t>
      </w:r>
      <w:r w:rsidR="00A44650" w:rsidRPr="00B637A3">
        <w:rPr>
          <w:lang w:val="fr-FR" w:eastAsia="ja-JP"/>
        </w:rPr>
        <w:noBreakHyphen/>
      </w:r>
      <w:r w:rsidR="00921503" w:rsidRPr="00B637A3">
        <w:rPr>
          <w:lang w:val="fr-FR" w:eastAsia="ja-JP"/>
        </w:rPr>
        <w:t xml:space="preserve">après pour la révision </w:t>
      </w:r>
      <w:r w:rsidR="006A5409" w:rsidRPr="00B637A3">
        <w:rPr>
          <w:lang w:val="fr-FR" w:eastAsia="ja-JP"/>
        </w:rPr>
        <w:t xml:space="preserve">des </w:t>
      </w:r>
      <w:r w:rsidR="00C84A14">
        <w:rPr>
          <w:lang w:val="fr-FR" w:eastAsia="ja-JP"/>
        </w:rPr>
        <w:br/>
      </w:r>
      <w:r w:rsidR="00B35889" w:rsidRPr="00B637A3">
        <w:rPr>
          <w:lang w:val="fr-FR" w:eastAsia="ja-JP"/>
        </w:rPr>
        <w:t>“</w:t>
      </w:r>
      <w:r w:rsidR="00921503" w:rsidRPr="00B637A3">
        <w:rPr>
          <w:lang w:val="fr-FR" w:eastAsia="ja-JP"/>
        </w:rPr>
        <w:t xml:space="preserve">Notes explicatives concernant les dénominations variétales en vertu de la </w:t>
      </w:r>
      <w:r w:rsidR="00DF1AFC" w:rsidRPr="00B637A3">
        <w:rPr>
          <w:lang w:val="fr-FR" w:eastAsia="ja-JP"/>
        </w:rPr>
        <w:t>Convention UPOV</w:t>
      </w:r>
      <w:r w:rsidR="00B35889" w:rsidRPr="00B637A3">
        <w:rPr>
          <w:lang w:val="fr-FR" w:eastAsia="ja-JP"/>
        </w:rPr>
        <w:t>”</w:t>
      </w:r>
      <w:r w:rsidR="00750A1D" w:rsidRPr="00B637A3">
        <w:rPr>
          <w:lang w:val="fr-FR" w:eastAsia="ja-JP"/>
        </w:rPr>
        <w:t xml:space="preserve"> (</w:t>
      </w:r>
      <w:r w:rsidR="007E477E" w:rsidRPr="00B637A3">
        <w:rPr>
          <w:lang w:val="fr-FR" w:eastAsia="ja-JP"/>
        </w:rPr>
        <w:t>voir le paragraphe </w:t>
      </w:r>
      <w:r w:rsidR="00750A1D" w:rsidRPr="00B637A3">
        <w:rPr>
          <w:lang w:val="fr-FR" w:eastAsia="ja-JP"/>
        </w:rPr>
        <w:t xml:space="preserve">23 du </w:t>
      </w:r>
      <w:r w:rsidR="00B35889" w:rsidRPr="00B637A3">
        <w:rPr>
          <w:lang w:val="fr-FR" w:eastAsia="ja-JP"/>
        </w:rPr>
        <w:t>document CAJ/72/9 “</w:t>
      </w:r>
      <w:r w:rsidR="00750A1D" w:rsidRPr="00B637A3">
        <w:rPr>
          <w:lang w:val="fr-FR" w:eastAsia="ja-JP"/>
        </w:rPr>
        <w:t>Compte rendu des c</w:t>
      </w:r>
      <w:r w:rsidR="00904AC6" w:rsidRPr="00B637A3">
        <w:rPr>
          <w:lang w:val="fr-FR" w:eastAsia="ja-JP"/>
        </w:rPr>
        <w:t>onclusions</w:t>
      </w:r>
      <w:r w:rsidR="00B35889" w:rsidRPr="00B637A3">
        <w:rPr>
          <w:lang w:val="fr-FR" w:eastAsia="ja-JP"/>
        </w:rPr>
        <w:t>”)</w:t>
      </w:r>
      <w:r w:rsidR="00750A1D" w:rsidRPr="00B637A3">
        <w:rPr>
          <w:lang w:val="fr-FR" w:eastAsia="ja-JP"/>
        </w:rPr>
        <w:t> </w:t>
      </w:r>
      <w:r w:rsidR="00B35889" w:rsidRPr="00B637A3">
        <w:rPr>
          <w:lang w:val="fr-FR" w:eastAsia="ja-JP"/>
        </w:rPr>
        <w:t>:</w:t>
      </w:r>
    </w:p>
    <w:p w:rsidR="00732899" w:rsidRPr="00B637A3" w:rsidRDefault="00732899" w:rsidP="00B35889">
      <w:pPr>
        <w:rPr>
          <w:lang w:val="fr-FR" w:eastAsia="ja-JP"/>
        </w:rPr>
      </w:pPr>
    </w:p>
    <w:p w:rsidR="00732899" w:rsidRPr="00B637A3" w:rsidRDefault="00B35889" w:rsidP="00CD5FCA">
      <w:pPr>
        <w:ind w:left="567" w:right="567"/>
        <w:rPr>
          <w:lang w:val="fr-FR" w:eastAsia="ja-JP"/>
        </w:rPr>
      </w:pPr>
      <w:r w:rsidRPr="00B637A3">
        <w:rPr>
          <w:lang w:val="fr-FR" w:eastAsia="ja-JP"/>
        </w:rPr>
        <w:t xml:space="preserve">a) </w:t>
      </w:r>
      <w:r w:rsidR="00832DCD" w:rsidRPr="00B637A3">
        <w:rPr>
          <w:lang w:val="fr-FR" w:eastAsia="ja-JP"/>
        </w:rPr>
        <w:tab/>
      </w:r>
      <w:r w:rsidR="00F73596" w:rsidRPr="00B637A3">
        <w:rPr>
          <w:lang w:val="fr-FR" w:eastAsia="ja-JP"/>
        </w:rPr>
        <w:t>l</w:t>
      </w:r>
      <w:r w:rsidR="00DF1AFC" w:rsidRPr="00B637A3">
        <w:rPr>
          <w:lang w:val="fr-FR" w:eastAsia="ja-JP"/>
        </w:rPr>
        <w:t>’</w:t>
      </w:r>
      <w:r w:rsidR="007E477E" w:rsidRPr="00B637A3">
        <w:rPr>
          <w:lang w:val="fr-FR" w:eastAsia="ja-JP"/>
        </w:rPr>
        <w:t>élargissement du mandat et de la composition du Groupe de travail sur l</w:t>
      </w:r>
      <w:r w:rsidR="00DF1AFC" w:rsidRPr="00B637A3">
        <w:rPr>
          <w:lang w:val="fr-FR" w:eastAsia="ja-JP"/>
        </w:rPr>
        <w:t>’</w:t>
      </w:r>
      <w:r w:rsidR="007E477E" w:rsidRPr="00B637A3">
        <w:rPr>
          <w:lang w:val="fr-FR" w:eastAsia="ja-JP"/>
        </w:rPr>
        <w:t>élaboration d</w:t>
      </w:r>
      <w:r w:rsidR="00DF1AFC" w:rsidRPr="00B637A3">
        <w:rPr>
          <w:lang w:val="fr-FR" w:eastAsia="ja-JP"/>
        </w:rPr>
        <w:t>’</w:t>
      </w:r>
      <w:r w:rsidR="007E477E" w:rsidRPr="00B637A3">
        <w:rPr>
          <w:lang w:val="fr-FR" w:eastAsia="ja-JP"/>
        </w:rPr>
        <w:t>un moteur de recherche de similitudes de l</w:t>
      </w:r>
      <w:r w:rsidR="00DF1AFC" w:rsidRPr="00B637A3">
        <w:rPr>
          <w:lang w:val="fr-FR" w:eastAsia="ja-JP"/>
        </w:rPr>
        <w:t>’</w:t>
      </w:r>
      <w:r w:rsidR="007E477E" w:rsidRPr="00B637A3">
        <w:rPr>
          <w:lang w:val="fr-FR" w:eastAsia="ja-JP"/>
        </w:rPr>
        <w:t>UPOV aux fins d</w:t>
      </w:r>
      <w:r w:rsidR="00AE7C81" w:rsidRPr="00B637A3">
        <w:rPr>
          <w:lang w:val="fr-FR" w:eastAsia="ja-JP"/>
        </w:rPr>
        <w:t>e la dénomination variétale (WG</w:t>
      </w:r>
      <w:r w:rsidR="00AE7C81" w:rsidRPr="00B637A3">
        <w:rPr>
          <w:lang w:val="fr-FR" w:eastAsia="ja-JP"/>
        </w:rPr>
        <w:noBreakHyphen/>
      </w:r>
      <w:r w:rsidR="007E477E" w:rsidRPr="00B637A3">
        <w:rPr>
          <w:lang w:val="fr-FR" w:eastAsia="ja-JP"/>
        </w:rPr>
        <w:t>DST) afin de formuler des recommandations pour</w:t>
      </w:r>
      <w:r w:rsidR="008C5BDF" w:rsidRPr="00B637A3">
        <w:rPr>
          <w:lang w:val="fr-FR" w:eastAsia="ja-JP"/>
        </w:rPr>
        <w:t xml:space="preserve"> le CAJ</w:t>
      </w:r>
      <w:r w:rsidR="007E477E" w:rsidRPr="00B637A3">
        <w:rPr>
          <w:lang w:val="fr-FR" w:eastAsia="ja-JP"/>
        </w:rPr>
        <w:t xml:space="preserve"> au sujet de la révision du document UPOV/INF/12 “Notes explicatives sur les dénominations variétales selon la </w:t>
      </w:r>
      <w:r w:rsidR="00DF1AFC" w:rsidRPr="00B637A3">
        <w:rPr>
          <w:lang w:val="fr-FR" w:eastAsia="ja-JP"/>
        </w:rPr>
        <w:t>Convention UPOV</w:t>
      </w:r>
      <w:r w:rsidR="007E477E" w:rsidRPr="00B637A3">
        <w:rPr>
          <w:lang w:val="fr-FR" w:eastAsia="ja-JP"/>
        </w:rPr>
        <w:t>” (Groupe de travail sur les dénominations variétales (WG DEN));</w:t>
      </w:r>
    </w:p>
    <w:p w:rsidR="00732899" w:rsidRPr="00B637A3" w:rsidRDefault="00732899" w:rsidP="00CD5FCA">
      <w:pPr>
        <w:ind w:left="567" w:right="567"/>
        <w:rPr>
          <w:lang w:val="fr-FR" w:eastAsia="ja-JP"/>
        </w:rPr>
      </w:pPr>
    </w:p>
    <w:p w:rsidR="00732899" w:rsidRPr="00B637A3" w:rsidRDefault="00B35889" w:rsidP="00CD5FCA">
      <w:pPr>
        <w:ind w:left="567" w:right="567"/>
        <w:rPr>
          <w:lang w:val="fr-FR" w:eastAsia="ja-JP"/>
        </w:rPr>
      </w:pPr>
      <w:r w:rsidRPr="00B637A3">
        <w:rPr>
          <w:lang w:val="fr-FR" w:eastAsia="ja-JP"/>
        </w:rPr>
        <w:t xml:space="preserve">b) </w:t>
      </w:r>
      <w:r w:rsidR="00832DCD" w:rsidRPr="00B637A3">
        <w:rPr>
          <w:lang w:val="fr-FR" w:eastAsia="ja-JP"/>
        </w:rPr>
        <w:tab/>
      </w:r>
      <w:r w:rsidR="007E477E" w:rsidRPr="00B637A3">
        <w:rPr>
          <w:lang w:val="fr-FR" w:eastAsia="ja-JP"/>
        </w:rPr>
        <w:t>le Bureau de l</w:t>
      </w:r>
      <w:r w:rsidR="00DF1AFC" w:rsidRPr="00B637A3">
        <w:rPr>
          <w:lang w:val="fr-FR" w:eastAsia="ja-JP"/>
        </w:rPr>
        <w:t>’</w:t>
      </w:r>
      <w:r w:rsidR="007E477E" w:rsidRPr="00B637A3">
        <w:rPr>
          <w:lang w:val="fr-FR" w:eastAsia="ja-JP"/>
        </w:rPr>
        <w:t>Union publiera une circulaire dans laquelle il sera demandé aux membres et aux observateurs</w:t>
      </w:r>
      <w:r w:rsidR="008C5BDF" w:rsidRPr="00B637A3">
        <w:rPr>
          <w:lang w:val="fr-FR" w:eastAsia="ja-JP"/>
        </w:rPr>
        <w:t xml:space="preserve"> du CAJ</w:t>
      </w:r>
      <w:r w:rsidR="00AE7C81" w:rsidRPr="00B637A3">
        <w:rPr>
          <w:lang w:val="fr-FR" w:eastAsia="ja-JP"/>
        </w:rPr>
        <w:t xml:space="preserve"> </w:t>
      </w:r>
      <w:r w:rsidR="00D02FB5">
        <w:rPr>
          <w:lang w:val="fr-FR" w:eastAsia="ja-JP"/>
        </w:rPr>
        <w:t xml:space="preserve">à faire part de leur souhait </w:t>
      </w:r>
      <w:r w:rsidR="00AE7C81" w:rsidRPr="00B637A3">
        <w:rPr>
          <w:lang w:val="fr-FR" w:eastAsia="ja-JP"/>
        </w:rPr>
        <w:t>de participer au WG</w:t>
      </w:r>
      <w:r w:rsidR="00AE7C81" w:rsidRPr="00B637A3">
        <w:rPr>
          <w:lang w:val="fr-FR" w:eastAsia="ja-JP"/>
        </w:rPr>
        <w:noBreakHyphen/>
      </w:r>
      <w:r w:rsidR="007E477E" w:rsidRPr="00B637A3">
        <w:rPr>
          <w:lang w:val="fr-FR" w:eastAsia="ja-JP"/>
        </w:rPr>
        <w:t>DEN et, le cas échéant, de formuler des propositions de révision du document UPOV/INF/12 au plus tard le 2</w:t>
      </w:r>
      <w:r w:rsidR="008C5BDF" w:rsidRPr="00B637A3">
        <w:rPr>
          <w:lang w:val="fr-FR" w:eastAsia="ja-JP"/>
        </w:rPr>
        <w:t>0 janvier 20</w:t>
      </w:r>
      <w:r w:rsidR="007E477E" w:rsidRPr="00B637A3">
        <w:rPr>
          <w:lang w:val="fr-FR" w:eastAsia="ja-JP"/>
        </w:rPr>
        <w:t>16;</w:t>
      </w:r>
    </w:p>
    <w:p w:rsidR="00732899" w:rsidRPr="00B637A3" w:rsidRDefault="00732899" w:rsidP="00CD5FCA">
      <w:pPr>
        <w:ind w:left="567" w:right="567"/>
        <w:rPr>
          <w:lang w:val="fr-FR" w:eastAsia="ja-JP"/>
        </w:rPr>
      </w:pPr>
    </w:p>
    <w:p w:rsidR="00732899" w:rsidRPr="00B637A3" w:rsidRDefault="00B35889" w:rsidP="00CD5FCA">
      <w:pPr>
        <w:ind w:left="567" w:right="567"/>
        <w:rPr>
          <w:lang w:val="fr-FR" w:eastAsia="ja-JP"/>
        </w:rPr>
      </w:pPr>
      <w:r w:rsidRPr="00B637A3">
        <w:rPr>
          <w:lang w:val="fr-FR" w:eastAsia="ja-JP"/>
        </w:rPr>
        <w:t xml:space="preserve">c) </w:t>
      </w:r>
      <w:r w:rsidR="00832DCD" w:rsidRPr="00B637A3">
        <w:rPr>
          <w:lang w:val="fr-FR" w:eastAsia="ja-JP"/>
        </w:rPr>
        <w:tab/>
      </w:r>
      <w:r w:rsidR="00FD641A" w:rsidRPr="00B637A3">
        <w:rPr>
          <w:lang w:val="fr-FR" w:eastAsia="ja-JP"/>
        </w:rPr>
        <w:t>le WG</w:t>
      </w:r>
      <w:r w:rsidR="00A44650" w:rsidRPr="00B637A3">
        <w:rPr>
          <w:lang w:val="fr-FR" w:eastAsia="ja-JP"/>
        </w:rPr>
        <w:noBreakHyphen/>
      </w:r>
      <w:r w:rsidR="007E477E" w:rsidRPr="00B637A3">
        <w:rPr>
          <w:lang w:val="fr-FR" w:eastAsia="ja-JP"/>
        </w:rPr>
        <w:t xml:space="preserve">DEN se réunira en </w:t>
      </w:r>
      <w:r w:rsidR="008C5BDF" w:rsidRPr="00B637A3">
        <w:rPr>
          <w:lang w:val="fr-FR" w:eastAsia="ja-JP"/>
        </w:rPr>
        <w:t>mars 20</w:t>
      </w:r>
      <w:r w:rsidR="007E477E" w:rsidRPr="00B637A3">
        <w:rPr>
          <w:lang w:val="fr-FR" w:eastAsia="ja-JP"/>
        </w:rPr>
        <w:t>16, la semaine où auront lieu les sessions de l</w:t>
      </w:r>
      <w:r w:rsidR="00DF1AFC" w:rsidRPr="00B637A3">
        <w:rPr>
          <w:lang w:val="fr-FR" w:eastAsia="ja-JP"/>
        </w:rPr>
        <w:t>’</w:t>
      </w:r>
      <w:r w:rsidR="007E477E" w:rsidRPr="00B637A3">
        <w:rPr>
          <w:lang w:val="fr-FR" w:eastAsia="ja-JP"/>
        </w:rPr>
        <w:t>UPOV;</w:t>
      </w:r>
    </w:p>
    <w:p w:rsidR="00732899" w:rsidRPr="00B637A3" w:rsidRDefault="00732899" w:rsidP="00CD5FCA">
      <w:pPr>
        <w:ind w:left="567" w:right="567"/>
        <w:rPr>
          <w:lang w:val="fr-FR" w:eastAsia="ja-JP"/>
        </w:rPr>
      </w:pPr>
    </w:p>
    <w:p w:rsidR="00732899" w:rsidRPr="00B637A3" w:rsidRDefault="00B35889" w:rsidP="00CD5FCA">
      <w:pPr>
        <w:ind w:left="567" w:right="567"/>
        <w:rPr>
          <w:lang w:val="fr-FR" w:eastAsia="ja-JP"/>
        </w:rPr>
      </w:pPr>
      <w:r w:rsidRPr="00B637A3">
        <w:rPr>
          <w:lang w:val="fr-FR" w:eastAsia="ja-JP"/>
        </w:rPr>
        <w:t xml:space="preserve">d) </w:t>
      </w:r>
      <w:r w:rsidR="00832DCD" w:rsidRPr="00B637A3">
        <w:rPr>
          <w:lang w:val="fr-FR" w:eastAsia="ja-JP"/>
        </w:rPr>
        <w:tab/>
      </w:r>
      <w:r w:rsidR="007E477E" w:rsidRPr="00B637A3">
        <w:rPr>
          <w:lang w:val="fr-FR" w:eastAsia="ja-JP"/>
        </w:rPr>
        <w:t>le WG</w:t>
      </w:r>
      <w:r w:rsidR="00A44650" w:rsidRPr="00B637A3">
        <w:rPr>
          <w:lang w:val="fr-FR" w:eastAsia="ja-JP"/>
        </w:rPr>
        <w:noBreakHyphen/>
      </w:r>
      <w:r w:rsidR="007E477E" w:rsidRPr="00B637A3">
        <w:rPr>
          <w:lang w:val="fr-FR" w:eastAsia="ja-JP"/>
        </w:rPr>
        <w:t>DEN recevra les propositions reçues en réponse à la circulaire</w:t>
      </w:r>
      <w:r w:rsidR="00F73596" w:rsidRPr="00B637A3">
        <w:rPr>
          <w:lang w:val="fr-FR" w:eastAsia="ja-JP"/>
        </w:rPr>
        <w:t xml:space="preserve"> mentionnée au paragraphe</w:t>
      </w:r>
      <w:r w:rsidR="00635BC5" w:rsidRPr="00B637A3">
        <w:rPr>
          <w:lang w:val="fr-FR" w:eastAsia="ja-JP"/>
        </w:rPr>
        <w:t> </w:t>
      </w:r>
      <w:r w:rsidR="00F73596" w:rsidRPr="00B637A3">
        <w:rPr>
          <w:lang w:val="fr-FR" w:eastAsia="ja-JP"/>
        </w:rPr>
        <w:t>b) ci</w:t>
      </w:r>
      <w:r w:rsidR="00A44650" w:rsidRPr="00B637A3">
        <w:rPr>
          <w:lang w:val="fr-FR" w:eastAsia="ja-JP"/>
        </w:rPr>
        <w:noBreakHyphen/>
      </w:r>
      <w:r w:rsidR="007E477E" w:rsidRPr="00B637A3">
        <w:rPr>
          <w:lang w:val="fr-FR" w:eastAsia="ja-JP"/>
        </w:rPr>
        <w:t>dessus et les propositions figurant aux paragraphes</w:t>
      </w:r>
      <w:r w:rsidR="00C84A14">
        <w:rPr>
          <w:lang w:val="fr-FR" w:eastAsia="ja-JP"/>
        </w:rPr>
        <w:t xml:space="preserve"> </w:t>
      </w:r>
      <w:r w:rsidR="007E477E" w:rsidRPr="00B637A3">
        <w:rPr>
          <w:lang w:val="fr-FR" w:eastAsia="ja-JP"/>
        </w:rPr>
        <w:t>28 à 37 et 41 du document CAJ/72/3 conjointement avec les travaux sur l</w:t>
      </w:r>
      <w:r w:rsidR="00DF1AFC" w:rsidRPr="00B637A3">
        <w:rPr>
          <w:lang w:val="fr-FR" w:eastAsia="ja-JP"/>
        </w:rPr>
        <w:t>’</w:t>
      </w:r>
      <w:r w:rsidR="007E477E" w:rsidRPr="00B637A3">
        <w:rPr>
          <w:lang w:val="fr-FR" w:eastAsia="ja-JP"/>
        </w:rPr>
        <w:t>élaboration d</w:t>
      </w:r>
      <w:r w:rsidR="00DF1AFC" w:rsidRPr="00B637A3">
        <w:rPr>
          <w:lang w:val="fr-FR" w:eastAsia="ja-JP"/>
        </w:rPr>
        <w:t>’</w:t>
      </w:r>
      <w:r w:rsidR="007E477E" w:rsidRPr="00B637A3">
        <w:rPr>
          <w:lang w:val="fr-FR" w:eastAsia="ja-JP"/>
        </w:rPr>
        <w:t>un moteur de recherche de similitudes de l</w:t>
      </w:r>
      <w:r w:rsidR="00DF1AFC" w:rsidRPr="00B637A3">
        <w:rPr>
          <w:lang w:val="fr-FR" w:eastAsia="ja-JP"/>
        </w:rPr>
        <w:t>’</w:t>
      </w:r>
      <w:r w:rsidR="007E477E" w:rsidRPr="00B637A3">
        <w:rPr>
          <w:lang w:val="fr-FR" w:eastAsia="ja-JP"/>
        </w:rPr>
        <w:t>UPOV aux fins de la dénomination variétale</w:t>
      </w:r>
      <w:r w:rsidRPr="00B637A3">
        <w:rPr>
          <w:lang w:val="fr-FR" w:eastAsia="ja-JP"/>
        </w:rPr>
        <w:t>;</w:t>
      </w:r>
    </w:p>
    <w:p w:rsidR="00732899" w:rsidRPr="00B637A3" w:rsidRDefault="00732899" w:rsidP="00CD5FCA">
      <w:pPr>
        <w:ind w:left="567" w:right="567"/>
        <w:rPr>
          <w:lang w:val="fr-FR" w:eastAsia="ja-JP"/>
        </w:rPr>
      </w:pPr>
    </w:p>
    <w:p w:rsidR="00732899" w:rsidRPr="00B637A3" w:rsidRDefault="00B35889" w:rsidP="00CD5FCA">
      <w:pPr>
        <w:ind w:left="567" w:right="567"/>
        <w:rPr>
          <w:lang w:val="fr-FR" w:eastAsia="ja-JP"/>
        </w:rPr>
      </w:pPr>
      <w:r w:rsidRPr="00B637A3">
        <w:rPr>
          <w:lang w:val="fr-FR" w:eastAsia="ja-JP"/>
        </w:rPr>
        <w:t xml:space="preserve">e) </w:t>
      </w:r>
      <w:r w:rsidR="00832DCD" w:rsidRPr="00B637A3">
        <w:rPr>
          <w:lang w:val="fr-FR" w:eastAsia="ja-JP"/>
        </w:rPr>
        <w:tab/>
      </w:r>
      <w:r w:rsidR="007E477E" w:rsidRPr="00B637A3">
        <w:rPr>
          <w:lang w:val="fr-FR" w:eastAsia="ja-JP"/>
        </w:rPr>
        <w:t>le WG</w:t>
      </w:r>
      <w:r w:rsidR="00A44650" w:rsidRPr="00B637A3">
        <w:rPr>
          <w:lang w:val="fr-FR" w:eastAsia="ja-JP"/>
        </w:rPr>
        <w:noBreakHyphen/>
      </w:r>
      <w:r w:rsidR="007E477E" w:rsidRPr="00B637A3">
        <w:rPr>
          <w:lang w:val="fr-FR" w:eastAsia="ja-JP"/>
        </w:rPr>
        <w:t>DEN examinera les propositions d</w:t>
      </w:r>
      <w:r w:rsidR="00DF1AFC" w:rsidRPr="00B637A3">
        <w:rPr>
          <w:lang w:val="fr-FR" w:eastAsia="ja-JP"/>
        </w:rPr>
        <w:t>’</w:t>
      </w:r>
      <w:r w:rsidR="007E477E" w:rsidRPr="00B637A3">
        <w:rPr>
          <w:lang w:val="fr-FR" w:eastAsia="ja-JP"/>
        </w:rPr>
        <w:t>élargissement du contenu de la base de données PLUTO en vue d</w:t>
      </w:r>
      <w:r w:rsidR="00DF1AFC" w:rsidRPr="00B637A3">
        <w:rPr>
          <w:lang w:val="fr-FR" w:eastAsia="ja-JP"/>
        </w:rPr>
        <w:t>’</w:t>
      </w:r>
      <w:r w:rsidR="007E477E" w:rsidRPr="00B637A3">
        <w:rPr>
          <w:lang w:val="fr-FR" w:eastAsia="ja-JP"/>
        </w:rPr>
        <w:t xml:space="preserve">inclure toutes les variétés reconnues, </w:t>
      </w:r>
      <w:r w:rsidR="00DF1AFC" w:rsidRPr="00B637A3">
        <w:rPr>
          <w:lang w:val="fr-FR" w:eastAsia="ja-JP"/>
        </w:rPr>
        <w:t>y compris</w:t>
      </w:r>
      <w:r w:rsidR="007E477E" w:rsidRPr="00B637A3">
        <w:rPr>
          <w:lang w:val="fr-FR" w:eastAsia="ja-JP"/>
        </w:rPr>
        <w:t xml:space="preserve"> celles qui n</w:t>
      </w:r>
      <w:r w:rsidR="00DF1AFC" w:rsidRPr="00B637A3">
        <w:rPr>
          <w:lang w:val="fr-FR" w:eastAsia="ja-JP"/>
        </w:rPr>
        <w:t>’</w:t>
      </w:r>
      <w:r w:rsidR="007E477E" w:rsidRPr="00B637A3">
        <w:rPr>
          <w:lang w:val="fr-FR" w:eastAsia="ja-JP"/>
        </w:rPr>
        <w:t>ont pas été, ou ne sont plus, enregistrées ou protégées (voir le paragraphe</w:t>
      </w:r>
      <w:r w:rsidR="00F73596" w:rsidRPr="00B637A3">
        <w:rPr>
          <w:lang w:val="fr-FR" w:eastAsia="ja-JP"/>
        </w:rPr>
        <w:t> </w:t>
      </w:r>
      <w:r w:rsidR="007E477E" w:rsidRPr="00B637A3">
        <w:rPr>
          <w:lang w:val="fr-FR" w:eastAsia="ja-JP"/>
        </w:rPr>
        <w:t>38 du document CAJ/72/6 “Bases de données d</w:t>
      </w:r>
      <w:r w:rsidR="00DF1AFC" w:rsidRPr="00B637A3">
        <w:rPr>
          <w:lang w:val="fr-FR" w:eastAsia="ja-JP"/>
        </w:rPr>
        <w:t>’</w:t>
      </w:r>
      <w:r w:rsidR="007E477E" w:rsidRPr="00B637A3">
        <w:rPr>
          <w:lang w:val="fr-FR" w:eastAsia="ja-JP"/>
        </w:rPr>
        <w:t>information de l</w:t>
      </w:r>
      <w:r w:rsidR="00DF1AFC" w:rsidRPr="00B637A3">
        <w:rPr>
          <w:lang w:val="fr-FR" w:eastAsia="ja-JP"/>
        </w:rPr>
        <w:t>’</w:t>
      </w:r>
      <w:r w:rsidR="007E477E" w:rsidRPr="00B637A3">
        <w:rPr>
          <w:lang w:val="fr-FR" w:eastAsia="ja-JP"/>
        </w:rPr>
        <w:t>UPOV”).</w:t>
      </w:r>
    </w:p>
    <w:p w:rsidR="00732899" w:rsidRPr="00B637A3" w:rsidRDefault="00732899" w:rsidP="00CD5FCA">
      <w:pPr>
        <w:rPr>
          <w:rFonts w:cs="Arial"/>
          <w:snapToGrid w:val="0"/>
          <w:lang w:val="fr-FR" w:eastAsia="ja-JP"/>
        </w:rPr>
      </w:pPr>
    </w:p>
    <w:p w:rsidR="00732899" w:rsidRPr="00B637A3" w:rsidRDefault="009E746E" w:rsidP="00CD5FCA">
      <w:pPr>
        <w:rPr>
          <w:rFonts w:cs="Arial"/>
          <w:snapToGrid w:val="0"/>
          <w:lang w:val="fr-FR" w:eastAsia="ja-JP"/>
        </w:rPr>
      </w:pPr>
      <w:r w:rsidRPr="00B637A3">
        <w:rPr>
          <w:lang w:val="fr-FR"/>
        </w:rPr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Pr="00B637A3">
        <w:rPr>
          <w:lang w:val="fr-FR"/>
        </w:rPr>
        <w:tab/>
      </w:r>
      <w:r w:rsidR="0019618E" w:rsidRPr="00B637A3">
        <w:rPr>
          <w:lang w:val="fr-FR"/>
        </w:rPr>
        <w:t>À</w:t>
      </w:r>
      <w:r w:rsidR="00F73596" w:rsidRPr="00B637A3">
        <w:rPr>
          <w:lang w:val="fr-FR"/>
        </w:rPr>
        <w:t xml:space="preserve"> sa quarante</w:t>
      </w:r>
      <w:r w:rsidR="00A44650" w:rsidRPr="00B637A3">
        <w:rPr>
          <w:lang w:val="fr-FR"/>
        </w:rPr>
        <w:noBreakHyphen/>
      </w:r>
      <w:r w:rsidR="00F73596" w:rsidRPr="00B637A3">
        <w:rPr>
          <w:lang w:val="fr-FR"/>
        </w:rPr>
        <w:t>neuvième</w:t>
      </w:r>
      <w:r w:rsidR="00C942BD">
        <w:rPr>
          <w:lang w:val="fr-FR"/>
        </w:rPr>
        <w:t xml:space="preserve"> </w:t>
      </w:r>
      <w:r w:rsidR="00F73596" w:rsidRPr="00B637A3">
        <w:rPr>
          <w:lang w:val="fr-FR"/>
        </w:rPr>
        <w:t>session ordinaire, le Conseil a re</w:t>
      </w:r>
      <w:r w:rsidR="0019618E" w:rsidRPr="00B637A3">
        <w:rPr>
          <w:lang w:val="fr-FR"/>
        </w:rPr>
        <w:t>çu un rapport du Comité consultatif concernant le calendrier des réunions en</w:t>
      </w:r>
      <w:r w:rsidR="00635BC5" w:rsidRPr="00B637A3">
        <w:rPr>
          <w:lang w:val="fr-FR"/>
        </w:rPr>
        <w:t> </w:t>
      </w:r>
      <w:r w:rsidR="0019618E" w:rsidRPr="00B637A3">
        <w:rPr>
          <w:lang w:val="fr-FR"/>
        </w:rPr>
        <w:t xml:space="preserve">2016 </w:t>
      </w:r>
      <w:r w:rsidR="00F73596" w:rsidRPr="00B637A3">
        <w:rPr>
          <w:snapToGrid w:val="0"/>
          <w:lang w:val="fr-FR"/>
        </w:rPr>
        <w:t>(voir les paragraphes</w:t>
      </w:r>
      <w:r w:rsidR="00635BC5" w:rsidRPr="00B637A3">
        <w:rPr>
          <w:snapToGrid w:val="0"/>
          <w:lang w:val="fr-FR"/>
        </w:rPr>
        <w:t> </w:t>
      </w:r>
      <w:r w:rsidR="00F73596" w:rsidRPr="00B637A3">
        <w:rPr>
          <w:snapToGrid w:val="0"/>
          <w:lang w:val="fr-FR"/>
        </w:rPr>
        <w:t>64 à 66 du</w:t>
      </w:r>
      <w:r w:rsidRPr="00B637A3">
        <w:rPr>
          <w:snapToGrid w:val="0"/>
          <w:lang w:val="fr-FR"/>
        </w:rPr>
        <w:t xml:space="preserve"> document C/49/16 “</w:t>
      </w:r>
      <w:r w:rsidR="00C942BD" w:rsidRPr="00C942BD">
        <w:rPr>
          <w:i/>
          <w:snapToGrid w:val="0"/>
        </w:rPr>
        <w:t>Report by the President on the work of the ninetieth session of the Consultative Committee; adoption of recommendations, if any, prepared by that Committee</w:t>
      </w:r>
      <w:r w:rsidR="00C942BD">
        <w:rPr>
          <w:snapToGrid w:val="0"/>
        </w:rPr>
        <w:t>”</w:t>
      </w:r>
      <w:r w:rsidR="00C942BD">
        <w:rPr>
          <w:snapToGrid w:val="0"/>
          <w:lang w:val="fr-FR"/>
        </w:rPr>
        <w:t xml:space="preserve"> (</w:t>
      </w:r>
      <w:r w:rsidR="00F73596" w:rsidRPr="00B637A3">
        <w:rPr>
          <w:snapToGrid w:val="0"/>
          <w:lang w:val="fr-FR"/>
        </w:rPr>
        <w:t>Rapport de la présidente sur les travaux de la quatre</w:t>
      </w:r>
      <w:r w:rsidR="00A44650" w:rsidRPr="00B637A3">
        <w:rPr>
          <w:snapToGrid w:val="0"/>
          <w:lang w:val="fr-FR"/>
        </w:rPr>
        <w:noBreakHyphen/>
      </w:r>
      <w:r w:rsidR="00F73596" w:rsidRPr="00B637A3">
        <w:rPr>
          <w:snapToGrid w:val="0"/>
          <w:lang w:val="fr-FR"/>
        </w:rPr>
        <w:t>vingt</w:t>
      </w:r>
      <w:r w:rsidR="00A44650" w:rsidRPr="00B637A3">
        <w:rPr>
          <w:snapToGrid w:val="0"/>
          <w:lang w:val="fr-FR"/>
        </w:rPr>
        <w:noBreakHyphen/>
      </w:r>
      <w:r w:rsidR="00F73596" w:rsidRPr="00B637A3">
        <w:rPr>
          <w:snapToGrid w:val="0"/>
          <w:lang w:val="fr-FR"/>
        </w:rPr>
        <w:t>dixième</w:t>
      </w:r>
      <w:r w:rsidR="00635BC5" w:rsidRPr="00B637A3">
        <w:rPr>
          <w:snapToGrid w:val="0"/>
          <w:lang w:val="fr-FR"/>
        </w:rPr>
        <w:t> </w:t>
      </w:r>
      <w:r w:rsidR="00F73596" w:rsidRPr="00B637A3">
        <w:rPr>
          <w:snapToGrid w:val="0"/>
          <w:lang w:val="fr-FR"/>
        </w:rPr>
        <w:t>session du Comité consultatif;</w:t>
      </w:r>
      <w:r w:rsidR="00635BC5" w:rsidRPr="00B637A3">
        <w:rPr>
          <w:snapToGrid w:val="0"/>
          <w:lang w:val="fr-FR"/>
        </w:rPr>
        <w:t xml:space="preserve"> </w:t>
      </w:r>
      <w:r w:rsidR="00F73596" w:rsidRPr="00B637A3">
        <w:rPr>
          <w:snapToGrid w:val="0"/>
          <w:lang w:val="fr-FR"/>
        </w:rPr>
        <w:t xml:space="preserve"> adoption, le cas échéant, des recommandations élaborées par ce comité</w:t>
      </w:r>
      <w:r w:rsidRPr="00B637A3">
        <w:rPr>
          <w:snapToGrid w:val="0"/>
          <w:lang w:val="fr-FR"/>
        </w:rPr>
        <w:t xml:space="preserve">), </w:t>
      </w:r>
      <w:r w:rsidR="00DE0885" w:rsidRPr="00B637A3">
        <w:rPr>
          <w:snapToGrid w:val="0"/>
          <w:lang w:val="fr-FR"/>
        </w:rPr>
        <w:t>dans lequel il a été rapporté qu</w:t>
      </w:r>
      <w:r w:rsidR="00DF1AFC" w:rsidRPr="00B637A3">
        <w:rPr>
          <w:snapToGrid w:val="0"/>
          <w:lang w:val="fr-FR"/>
        </w:rPr>
        <w:t>’</w:t>
      </w:r>
      <w:r w:rsidR="00DE0885" w:rsidRPr="00B637A3">
        <w:rPr>
          <w:snapToGrid w:val="0"/>
          <w:lang w:val="fr-FR"/>
        </w:rPr>
        <w:t>à sa soixante</w:t>
      </w:r>
      <w:r w:rsidR="00A44650" w:rsidRPr="00B637A3">
        <w:rPr>
          <w:snapToGrid w:val="0"/>
          <w:lang w:val="fr-FR"/>
        </w:rPr>
        <w:noBreakHyphen/>
      </w:r>
      <w:r w:rsidR="00DE0885" w:rsidRPr="00B637A3">
        <w:rPr>
          <w:snapToGrid w:val="0"/>
          <w:lang w:val="fr-FR"/>
        </w:rPr>
        <w:t>douzième</w:t>
      </w:r>
      <w:r w:rsidR="00635BC5" w:rsidRPr="00B637A3">
        <w:rPr>
          <w:snapToGrid w:val="0"/>
          <w:lang w:val="fr-FR"/>
        </w:rPr>
        <w:t> </w:t>
      </w:r>
      <w:r w:rsidR="00DE0885" w:rsidRPr="00B637A3">
        <w:rPr>
          <w:snapToGrid w:val="0"/>
          <w:lang w:val="fr-FR"/>
        </w:rPr>
        <w:t>session,</w:t>
      </w:r>
      <w:r w:rsidR="008C5BDF" w:rsidRPr="00B637A3">
        <w:rPr>
          <w:snapToGrid w:val="0"/>
          <w:lang w:val="fr-FR"/>
        </w:rPr>
        <w:t xml:space="preserve"> le CAJ</w:t>
      </w:r>
      <w:r w:rsidR="00DE0885" w:rsidRPr="00B637A3">
        <w:rPr>
          <w:snapToGrid w:val="0"/>
          <w:lang w:val="fr-FR"/>
        </w:rPr>
        <w:t xml:space="preserve"> </w:t>
      </w:r>
      <w:r w:rsidR="00C942BD">
        <w:rPr>
          <w:snapToGrid w:val="0"/>
          <w:lang w:val="fr-FR"/>
        </w:rPr>
        <w:t xml:space="preserve">est convenu </w:t>
      </w:r>
      <w:r w:rsidR="000C19CA" w:rsidRPr="00B637A3">
        <w:rPr>
          <w:snapToGrid w:val="0"/>
          <w:lang w:val="fr-FR"/>
        </w:rPr>
        <w:t>d</w:t>
      </w:r>
      <w:r w:rsidR="00DF1AFC" w:rsidRPr="00B637A3">
        <w:rPr>
          <w:snapToGrid w:val="0"/>
          <w:lang w:val="fr-FR"/>
        </w:rPr>
        <w:t>’</w:t>
      </w:r>
      <w:r w:rsidR="000C19CA" w:rsidRPr="00B637A3">
        <w:rPr>
          <w:snapToGrid w:val="0"/>
          <w:lang w:val="fr-FR"/>
        </w:rPr>
        <w:t>élargir le mandat et la composition du</w:t>
      </w:r>
      <w:r w:rsidRPr="00B637A3">
        <w:rPr>
          <w:lang w:val="fr-FR"/>
        </w:rPr>
        <w:t xml:space="preserve"> </w:t>
      </w:r>
      <w:r w:rsidRPr="00B637A3">
        <w:rPr>
          <w:lang w:val="fr-FR" w:eastAsia="ja-JP"/>
        </w:rPr>
        <w:t>WG</w:t>
      </w:r>
      <w:r w:rsidR="00A44650" w:rsidRPr="00B637A3">
        <w:rPr>
          <w:lang w:val="fr-FR" w:eastAsia="ja-JP"/>
        </w:rPr>
        <w:noBreakHyphen/>
      </w:r>
      <w:r w:rsidRPr="00B637A3">
        <w:rPr>
          <w:lang w:val="fr-FR" w:eastAsia="ja-JP"/>
        </w:rPr>
        <w:t xml:space="preserve">DST </w:t>
      </w:r>
      <w:r w:rsidR="000C19CA" w:rsidRPr="00B637A3">
        <w:rPr>
          <w:rFonts w:cs="Arial"/>
          <w:snapToGrid w:val="0"/>
          <w:lang w:val="fr-FR" w:eastAsia="ja-JP"/>
        </w:rPr>
        <w:t xml:space="preserve">afin de formuler des recommandations au sujet de la révision du document UPOV/INF/12 </w:t>
      </w:r>
      <w:r w:rsidRPr="00B637A3">
        <w:rPr>
          <w:rFonts w:cs="Arial"/>
          <w:snapToGrid w:val="0"/>
          <w:lang w:val="fr-FR" w:eastAsia="ja-JP"/>
        </w:rPr>
        <w:t>“</w:t>
      </w:r>
      <w:r w:rsidR="0019618E" w:rsidRPr="00B637A3">
        <w:rPr>
          <w:rFonts w:cs="Arial"/>
          <w:snapToGrid w:val="0"/>
          <w:lang w:val="fr-FR" w:eastAsia="ja-JP"/>
        </w:rPr>
        <w:t xml:space="preserve">Notes explicatives concernant les dénominations variétales en vertu de la </w:t>
      </w:r>
      <w:r w:rsidR="00DF1AFC" w:rsidRPr="00B637A3">
        <w:rPr>
          <w:rFonts w:cs="Arial"/>
          <w:snapToGrid w:val="0"/>
          <w:lang w:val="fr-FR" w:eastAsia="ja-JP"/>
        </w:rPr>
        <w:t>Convention UPOV</w:t>
      </w:r>
      <w:r w:rsidRPr="00B637A3">
        <w:rPr>
          <w:rFonts w:cs="Arial"/>
          <w:snapToGrid w:val="0"/>
          <w:lang w:val="fr-FR" w:eastAsia="ja-JP"/>
        </w:rPr>
        <w:t>” (</w:t>
      </w:r>
      <w:r w:rsidR="00CD1FE9" w:rsidRPr="00B637A3">
        <w:rPr>
          <w:rFonts w:cs="Arial"/>
          <w:snapToGrid w:val="0"/>
          <w:lang w:val="fr-FR" w:eastAsia="ja-JP"/>
        </w:rPr>
        <w:t>qui devient ainsi</w:t>
      </w:r>
      <w:r w:rsidR="00B05A44" w:rsidRPr="00B637A3">
        <w:rPr>
          <w:rFonts w:cs="Arial"/>
          <w:snapToGrid w:val="0"/>
          <w:lang w:val="fr-FR" w:eastAsia="ja-JP"/>
        </w:rPr>
        <w:t xml:space="preserve"> le </w:t>
      </w:r>
      <w:r w:rsidRPr="00B637A3">
        <w:rPr>
          <w:rFonts w:cs="Arial"/>
          <w:snapToGrid w:val="0"/>
          <w:lang w:val="fr-FR" w:eastAsia="ja-JP"/>
        </w:rPr>
        <w:t>WG</w:t>
      </w:r>
      <w:r w:rsidR="00A44650" w:rsidRPr="00B637A3">
        <w:rPr>
          <w:rFonts w:cs="Arial"/>
          <w:snapToGrid w:val="0"/>
          <w:lang w:val="fr-FR" w:eastAsia="ja-JP"/>
        </w:rPr>
        <w:noBreakHyphen/>
      </w:r>
      <w:r w:rsidRPr="00B637A3">
        <w:rPr>
          <w:rFonts w:cs="Arial"/>
          <w:snapToGrid w:val="0"/>
          <w:lang w:val="fr-FR" w:eastAsia="ja-JP"/>
        </w:rPr>
        <w:t xml:space="preserve">DEN) </w:t>
      </w:r>
      <w:r w:rsidR="00AE7C81" w:rsidRPr="00B637A3">
        <w:rPr>
          <w:rFonts w:cs="Arial"/>
          <w:snapToGrid w:val="0"/>
          <w:lang w:val="fr-FR" w:eastAsia="ja-JP"/>
        </w:rPr>
        <w:t>et propose que le WG</w:t>
      </w:r>
      <w:r w:rsidR="00AE7C81" w:rsidRPr="00B637A3">
        <w:rPr>
          <w:rFonts w:cs="Arial"/>
          <w:snapToGrid w:val="0"/>
          <w:lang w:val="fr-FR" w:eastAsia="ja-JP"/>
        </w:rPr>
        <w:noBreakHyphen/>
      </w:r>
      <w:r w:rsidR="000C19CA" w:rsidRPr="00B637A3">
        <w:rPr>
          <w:rFonts w:cs="Arial"/>
          <w:snapToGrid w:val="0"/>
          <w:lang w:val="fr-FR" w:eastAsia="ja-JP"/>
        </w:rPr>
        <w:t xml:space="preserve">DEN se réunisse en </w:t>
      </w:r>
      <w:r w:rsidR="008C5BDF" w:rsidRPr="00B637A3">
        <w:rPr>
          <w:rFonts w:cs="Arial"/>
          <w:snapToGrid w:val="0"/>
          <w:lang w:val="fr-FR" w:eastAsia="ja-JP"/>
        </w:rPr>
        <w:t>mars 20</w:t>
      </w:r>
      <w:r w:rsidR="000C19CA" w:rsidRPr="00B637A3">
        <w:rPr>
          <w:rFonts w:cs="Arial"/>
          <w:snapToGrid w:val="0"/>
          <w:lang w:val="fr-FR" w:eastAsia="ja-JP"/>
        </w:rPr>
        <w:t>16, la semaine où auront lieu les sessions de l</w:t>
      </w:r>
      <w:r w:rsidR="00DF1AFC" w:rsidRPr="00B637A3">
        <w:rPr>
          <w:rFonts w:cs="Arial"/>
          <w:snapToGrid w:val="0"/>
          <w:lang w:val="fr-FR" w:eastAsia="ja-JP"/>
        </w:rPr>
        <w:t>’</w:t>
      </w:r>
      <w:r w:rsidR="000C19CA" w:rsidRPr="00B637A3">
        <w:rPr>
          <w:rFonts w:cs="Arial"/>
          <w:snapToGrid w:val="0"/>
          <w:lang w:val="fr-FR" w:eastAsia="ja-JP"/>
        </w:rPr>
        <w:t xml:space="preserve">UPOV </w:t>
      </w:r>
      <w:r w:rsidR="0019618E" w:rsidRPr="00B637A3">
        <w:rPr>
          <w:rFonts w:cs="Arial"/>
          <w:snapToGrid w:val="0"/>
          <w:lang w:val="fr-FR" w:eastAsia="ja-JP"/>
        </w:rPr>
        <w:t>(</w:t>
      </w:r>
      <w:r w:rsidR="008C5BDF" w:rsidRPr="00B637A3">
        <w:rPr>
          <w:rFonts w:cs="Arial"/>
          <w:snapToGrid w:val="0"/>
          <w:lang w:val="fr-FR" w:eastAsia="ja-JP"/>
        </w:rPr>
        <w:t>voir le paragraphe </w:t>
      </w:r>
      <w:r w:rsidR="0019618E" w:rsidRPr="00B637A3">
        <w:rPr>
          <w:rFonts w:cs="Arial"/>
          <w:snapToGrid w:val="0"/>
          <w:lang w:val="fr-FR" w:eastAsia="ja-JP"/>
        </w:rPr>
        <w:t xml:space="preserve">53 du </w:t>
      </w:r>
      <w:r w:rsidRPr="00B637A3">
        <w:rPr>
          <w:rFonts w:cs="Arial"/>
          <w:snapToGrid w:val="0"/>
          <w:lang w:val="fr-FR" w:eastAsia="ja-JP"/>
        </w:rPr>
        <w:t>document C/49/18 “</w:t>
      </w:r>
      <w:r w:rsidR="0019618E" w:rsidRPr="00B637A3">
        <w:rPr>
          <w:rFonts w:cs="Arial"/>
          <w:snapToGrid w:val="0"/>
          <w:lang w:val="fr-FR" w:eastAsia="ja-JP"/>
        </w:rPr>
        <w:t>Compte rendu des décisions</w:t>
      </w:r>
      <w:r w:rsidRPr="00B637A3">
        <w:rPr>
          <w:rFonts w:cs="Arial"/>
          <w:snapToGrid w:val="0"/>
          <w:lang w:val="fr-FR" w:eastAsia="ja-JP"/>
        </w:rPr>
        <w:t>”).</w:t>
      </w:r>
    </w:p>
    <w:p w:rsidR="00732899" w:rsidRPr="00B637A3" w:rsidRDefault="00732899" w:rsidP="00CD5FCA">
      <w:pPr>
        <w:rPr>
          <w:rFonts w:cs="Arial"/>
          <w:snapToGrid w:val="0"/>
          <w:lang w:val="fr-FR" w:eastAsia="ja-JP"/>
        </w:rPr>
      </w:pPr>
    </w:p>
    <w:p w:rsidR="008C5BDF" w:rsidRPr="00B637A3" w:rsidRDefault="00D0753E" w:rsidP="00CD5FCA">
      <w:pPr>
        <w:rPr>
          <w:rFonts w:cs="Arial"/>
          <w:snapToGrid w:val="0"/>
          <w:lang w:val="fr-FR" w:eastAsia="ja-JP"/>
        </w:rPr>
      </w:pPr>
      <w:r w:rsidRPr="00B637A3">
        <w:rPr>
          <w:lang w:val="fr-FR"/>
        </w:rPr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Pr="00B637A3">
        <w:rPr>
          <w:lang w:val="fr-FR"/>
        </w:rPr>
        <w:tab/>
      </w:r>
      <w:r w:rsidR="006A5409" w:rsidRPr="00B637A3">
        <w:rPr>
          <w:lang w:val="fr-FR"/>
        </w:rPr>
        <w:t>À sa quarante</w:t>
      </w:r>
      <w:r w:rsidR="00A44650" w:rsidRPr="00B637A3">
        <w:rPr>
          <w:lang w:val="fr-FR"/>
        </w:rPr>
        <w:noBreakHyphen/>
      </w:r>
      <w:r w:rsidR="006A5409" w:rsidRPr="00B637A3">
        <w:rPr>
          <w:lang w:val="fr-FR"/>
        </w:rPr>
        <w:t>neuvième</w:t>
      </w:r>
      <w:r w:rsidR="00635BC5" w:rsidRPr="00B637A3">
        <w:rPr>
          <w:lang w:val="fr-FR"/>
        </w:rPr>
        <w:t> </w:t>
      </w:r>
      <w:r w:rsidR="006A5409" w:rsidRPr="00B637A3">
        <w:rPr>
          <w:lang w:val="fr-FR"/>
        </w:rPr>
        <w:t>session ordinaire, le Conseil a approuvé le calendrier des réunions en</w:t>
      </w:r>
      <w:r w:rsidR="00635BC5" w:rsidRPr="00B637A3">
        <w:rPr>
          <w:lang w:val="fr-FR"/>
        </w:rPr>
        <w:t> </w:t>
      </w:r>
      <w:r w:rsidR="006A5409" w:rsidRPr="00B637A3">
        <w:rPr>
          <w:lang w:val="fr-FR"/>
        </w:rPr>
        <w:t>2016</w:t>
      </w:r>
      <w:r w:rsidRPr="00B637A3">
        <w:rPr>
          <w:lang w:val="fr-FR" w:eastAsia="ja-JP"/>
        </w:rPr>
        <w:t xml:space="preserve"> </w:t>
      </w:r>
      <w:r w:rsidR="006A5409" w:rsidRPr="00B637A3">
        <w:rPr>
          <w:rFonts w:cs="Arial"/>
          <w:snapToGrid w:val="0"/>
          <w:lang w:val="fr-FR" w:eastAsia="ja-JP"/>
        </w:rPr>
        <w:t>(voir le paragraphe</w:t>
      </w:r>
      <w:r w:rsidR="00635BC5" w:rsidRPr="00B637A3">
        <w:rPr>
          <w:rFonts w:cs="Arial"/>
          <w:snapToGrid w:val="0"/>
          <w:lang w:val="fr-FR" w:eastAsia="ja-JP"/>
        </w:rPr>
        <w:t> </w:t>
      </w:r>
      <w:r w:rsidR="006A5409" w:rsidRPr="00B637A3">
        <w:rPr>
          <w:rFonts w:cs="Arial"/>
          <w:snapToGrid w:val="0"/>
          <w:lang w:val="fr-FR" w:eastAsia="ja-JP"/>
        </w:rPr>
        <w:t>54 du</w:t>
      </w:r>
      <w:r w:rsidRPr="00B637A3">
        <w:rPr>
          <w:rFonts w:cs="Arial"/>
          <w:snapToGrid w:val="0"/>
          <w:lang w:val="fr-FR" w:eastAsia="ja-JP"/>
        </w:rPr>
        <w:t xml:space="preserve"> document C/49/18 “</w:t>
      </w:r>
      <w:r w:rsidR="006A5409" w:rsidRPr="00B637A3">
        <w:rPr>
          <w:rFonts w:cs="Arial"/>
          <w:snapToGrid w:val="0"/>
          <w:lang w:val="fr-FR" w:eastAsia="ja-JP"/>
        </w:rPr>
        <w:t>Compte rendu des décisions</w:t>
      </w:r>
      <w:r w:rsidRPr="00B637A3">
        <w:rPr>
          <w:rFonts w:cs="Arial"/>
          <w:snapToGrid w:val="0"/>
          <w:lang w:val="fr-FR" w:eastAsia="ja-JP"/>
        </w:rPr>
        <w:t>”).</w:t>
      </w:r>
      <w:r w:rsidR="007E477E" w:rsidRPr="00B637A3">
        <w:rPr>
          <w:rFonts w:cs="Arial"/>
          <w:snapToGrid w:val="0"/>
          <w:lang w:val="fr-FR" w:eastAsia="ja-JP"/>
        </w:rPr>
        <w:t xml:space="preserve">  Le </w:t>
      </w:r>
      <w:r w:rsidR="00CD7CD3" w:rsidRPr="00B637A3">
        <w:rPr>
          <w:rFonts w:cs="Arial"/>
          <w:snapToGrid w:val="0"/>
          <w:lang w:val="fr-FR" w:eastAsia="ja-JP"/>
        </w:rPr>
        <w:t>WG</w:t>
      </w:r>
      <w:r w:rsidR="00A44650" w:rsidRPr="00B637A3">
        <w:rPr>
          <w:rFonts w:cs="Arial"/>
          <w:snapToGrid w:val="0"/>
          <w:lang w:val="fr-FR" w:eastAsia="ja-JP"/>
        </w:rPr>
        <w:noBreakHyphen/>
      </w:r>
      <w:r w:rsidR="00CD7CD3" w:rsidRPr="00B637A3">
        <w:rPr>
          <w:rFonts w:cs="Arial"/>
          <w:snapToGrid w:val="0"/>
          <w:lang w:val="fr-FR" w:eastAsia="ja-JP"/>
        </w:rPr>
        <w:t xml:space="preserve">DEN </w:t>
      </w:r>
      <w:r w:rsidR="007E477E" w:rsidRPr="00B637A3">
        <w:rPr>
          <w:rFonts w:cs="Arial"/>
          <w:snapToGrid w:val="0"/>
          <w:lang w:val="fr-FR" w:eastAsia="ja-JP"/>
        </w:rPr>
        <w:t>se réunira à Genève, le 1</w:t>
      </w:r>
      <w:r w:rsidR="008C5BDF" w:rsidRPr="00B637A3">
        <w:rPr>
          <w:rFonts w:cs="Arial"/>
          <w:snapToGrid w:val="0"/>
          <w:lang w:val="fr-FR" w:eastAsia="ja-JP"/>
        </w:rPr>
        <w:t>8 mars 20</w:t>
      </w:r>
      <w:r w:rsidR="00CD7CD3" w:rsidRPr="00B637A3">
        <w:rPr>
          <w:rFonts w:cs="Arial"/>
          <w:snapToGrid w:val="0"/>
          <w:lang w:val="fr-FR" w:eastAsia="ja-JP"/>
        </w:rPr>
        <w:t>16.</w:t>
      </w:r>
    </w:p>
    <w:p w:rsidR="00732899" w:rsidRPr="00B637A3" w:rsidRDefault="00732899" w:rsidP="00CD5FCA">
      <w:pPr>
        <w:rPr>
          <w:rFonts w:cs="Arial"/>
          <w:snapToGrid w:val="0"/>
          <w:lang w:val="fr-FR" w:eastAsia="ja-JP"/>
        </w:rPr>
      </w:pPr>
    </w:p>
    <w:p w:rsidR="00732899" w:rsidRPr="00B637A3" w:rsidRDefault="007B3011" w:rsidP="00D02FB5">
      <w:pPr>
        <w:keepLines/>
        <w:rPr>
          <w:rFonts w:cs="Arial"/>
          <w:snapToGrid w:val="0"/>
          <w:lang w:val="fr-FR" w:eastAsia="ja-JP"/>
        </w:rPr>
      </w:pPr>
      <w:r w:rsidRPr="00B637A3">
        <w:rPr>
          <w:lang w:val="fr-FR"/>
        </w:rPr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Pr="00B637A3">
        <w:rPr>
          <w:lang w:val="fr-FR"/>
        </w:rPr>
        <w:tab/>
      </w:r>
      <w:r w:rsidR="00731467" w:rsidRPr="00B637A3">
        <w:rPr>
          <w:lang w:val="fr-FR"/>
        </w:rPr>
        <w:t>Le 3 </w:t>
      </w:r>
      <w:r w:rsidR="00DF1AFC" w:rsidRPr="00B637A3">
        <w:rPr>
          <w:lang w:val="fr-FR"/>
        </w:rPr>
        <w:t>décembre </w:t>
      </w:r>
      <w:r w:rsidR="00DF1AFC" w:rsidRPr="00B637A3">
        <w:rPr>
          <w:rFonts w:cs="Arial"/>
          <w:snapToGrid w:val="0"/>
          <w:lang w:val="fr-FR" w:eastAsia="ja-JP"/>
        </w:rPr>
        <w:t>20</w:t>
      </w:r>
      <w:r w:rsidRPr="00B637A3">
        <w:rPr>
          <w:rFonts w:cs="Arial"/>
          <w:snapToGrid w:val="0"/>
          <w:lang w:val="fr-FR" w:eastAsia="ja-JP"/>
        </w:rPr>
        <w:t xml:space="preserve">15, </w:t>
      </w:r>
      <w:r w:rsidR="00731467" w:rsidRPr="00B637A3">
        <w:rPr>
          <w:rFonts w:cs="Arial"/>
          <w:snapToGrid w:val="0"/>
          <w:lang w:val="fr-FR" w:eastAsia="ja-JP"/>
        </w:rPr>
        <w:t>le bureau de l</w:t>
      </w:r>
      <w:r w:rsidR="00DF1AFC" w:rsidRPr="00B637A3">
        <w:rPr>
          <w:rFonts w:cs="Arial"/>
          <w:snapToGrid w:val="0"/>
          <w:lang w:val="fr-FR" w:eastAsia="ja-JP"/>
        </w:rPr>
        <w:t>’</w:t>
      </w:r>
      <w:r w:rsidR="00731467" w:rsidRPr="00B637A3">
        <w:rPr>
          <w:rFonts w:cs="Arial"/>
          <w:snapToGrid w:val="0"/>
          <w:lang w:val="fr-FR" w:eastAsia="ja-JP"/>
        </w:rPr>
        <w:t xml:space="preserve">Union a diffusé une circulaire </w:t>
      </w:r>
      <w:r w:rsidR="009E746E" w:rsidRPr="00B637A3">
        <w:rPr>
          <w:rFonts w:cs="Arial"/>
          <w:snapToGrid w:val="0"/>
          <w:lang w:val="fr-FR" w:eastAsia="ja-JP"/>
        </w:rPr>
        <w:t>E</w:t>
      </w:r>
      <w:r w:rsidR="00A44650" w:rsidRPr="00B637A3">
        <w:rPr>
          <w:rFonts w:cs="Arial"/>
          <w:snapToGrid w:val="0"/>
          <w:lang w:val="fr-FR" w:eastAsia="ja-JP"/>
        </w:rPr>
        <w:noBreakHyphen/>
      </w:r>
      <w:r w:rsidR="009E746E" w:rsidRPr="00B637A3">
        <w:rPr>
          <w:rFonts w:cs="Arial"/>
          <w:snapToGrid w:val="0"/>
          <w:lang w:val="fr-FR" w:eastAsia="ja-JP"/>
        </w:rPr>
        <w:t>15/276</w:t>
      </w:r>
      <w:r w:rsidRPr="00B637A3">
        <w:rPr>
          <w:rFonts w:cs="Arial"/>
          <w:snapToGrid w:val="0"/>
          <w:lang w:val="fr-FR" w:eastAsia="ja-JP"/>
        </w:rPr>
        <w:t xml:space="preserve"> </w:t>
      </w:r>
      <w:r w:rsidR="00AD2897" w:rsidRPr="00B637A3">
        <w:rPr>
          <w:rFonts w:cs="Arial"/>
          <w:snapToGrid w:val="0"/>
          <w:lang w:val="fr-FR" w:eastAsia="ja-JP"/>
        </w:rPr>
        <w:t>invit</w:t>
      </w:r>
      <w:r w:rsidR="00731467" w:rsidRPr="00B637A3">
        <w:rPr>
          <w:rFonts w:cs="Arial"/>
          <w:snapToGrid w:val="0"/>
          <w:lang w:val="fr-FR" w:eastAsia="ja-JP"/>
        </w:rPr>
        <w:t>ant</w:t>
      </w:r>
      <w:r w:rsidRPr="00B637A3">
        <w:rPr>
          <w:rFonts w:cs="Arial"/>
          <w:snapToGrid w:val="0"/>
          <w:lang w:val="fr-FR" w:eastAsia="ja-JP"/>
        </w:rPr>
        <w:t xml:space="preserve"> </w:t>
      </w:r>
      <w:r w:rsidR="00731467" w:rsidRPr="00B637A3">
        <w:rPr>
          <w:rFonts w:cs="Arial"/>
          <w:snapToGrid w:val="0"/>
          <w:lang w:val="fr-FR" w:eastAsia="ja-JP"/>
        </w:rPr>
        <w:t>les membres</w:t>
      </w:r>
      <w:r w:rsidR="00DF1AFC" w:rsidRPr="00B637A3">
        <w:rPr>
          <w:rFonts w:cs="Arial"/>
          <w:snapToGrid w:val="0"/>
          <w:lang w:val="fr-FR" w:eastAsia="ja-JP"/>
        </w:rPr>
        <w:t xml:space="preserve"> </w:t>
      </w:r>
      <w:r w:rsidR="00731467" w:rsidRPr="00B637A3">
        <w:rPr>
          <w:rFonts w:cs="Arial"/>
          <w:snapToGrid w:val="0"/>
          <w:lang w:val="fr-FR" w:eastAsia="ja-JP"/>
        </w:rPr>
        <w:t>et les observateurs</w:t>
      </w:r>
      <w:r w:rsidR="00C942BD" w:rsidRPr="00C942BD">
        <w:rPr>
          <w:rFonts w:cs="Arial"/>
          <w:snapToGrid w:val="0"/>
          <w:lang w:val="fr-FR" w:eastAsia="ja-JP"/>
        </w:rPr>
        <w:t xml:space="preserve"> </w:t>
      </w:r>
      <w:r w:rsidR="00C942BD" w:rsidRPr="00B637A3">
        <w:rPr>
          <w:rFonts w:cs="Arial"/>
          <w:snapToGrid w:val="0"/>
          <w:lang w:val="fr-FR" w:eastAsia="ja-JP"/>
        </w:rPr>
        <w:t>du CAJ</w:t>
      </w:r>
      <w:r w:rsidR="00A0295D" w:rsidRPr="00B637A3">
        <w:rPr>
          <w:rFonts w:cs="Arial"/>
          <w:snapToGrid w:val="0"/>
          <w:lang w:val="fr-FR" w:eastAsia="ja-JP"/>
        </w:rPr>
        <w:t>, ainsi que les membres du WG</w:t>
      </w:r>
      <w:r w:rsidR="00A44650" w:rsidRPr="00B637A3">
        <w:rPr>
          <w:rFonts w:cs="Arial"/>
          <w:snapToGrid w:val="0"/>
          <w:lang w:val="fr-FR" w:eastAsia="ja-JP"/>
        </w:rPr>
        <w:noBreakHyphen/>
      </w:r>
      <w:r w:rsidR="00A0295D" w:rsidRPr="00B637A3">
        <w:rPr>
          <w:rFonts w:cs="Arial"/>
          <w:snapToGrid w:val="0"/>
          <w:lang w:val="fr-FR" w:eastAsia="ja-JP"/>
        </w:rPr>
        <w:t>DST, à faire part de leur souhait de participer au WG</w:t>
      </w:r>
      <w:r w:rsidR="00A44650" w:rsidRPr="00B637A3">
        <w:rPr>
          <w:rFonts w:cs="Arial"/>
          <w:snapToGrid w:val="0"/>
          <w:lang w:val="fr-FR" w:eastAsia="ja-JP"/>
        </w:rPr>
        <w:noBreakHyphen/>
      </w:r>
      <w:r w:rsidR="00A0295D" w:rsidRPr="00B637A3">
        <w:rPr>
          <w:rFonts w:cs="Arial"/>
          <w:snapToGrid w:val="0"/>
          <w:lang w:val="fr-FR" w:eastAsia="ja-JP"/>
        </w:rPr>
        <w:t>DEN et à fournir des observations concernant le document</w:t>
      </w:r>
      <w:r w:rsidR="00731467" w:rsidRPr="00B637A3">
        <w:rPr>
          <w:rFonts w:cs="Arial"/>
          <w:snapToGrid w:val="0"/>
          <w:lang w:val="fr-FR" w:eastAsia="ja-JP"/>
        </w:rPr>
        <w:t xml:space="preserve"> </w:t>
      </w:r>
      <w:r w:rsidRPr="00B637A3">
        <w:rPr>
          <w:rFonts w:cs="Arial"/>
          <w:snapToGrid w:val="0"/>
          <w:lang w:val="fr-FR" w:eastAsia="ja-JP"/>
        </w:rPr>
        <w:t xml:space="preserve">UPOV/INF/12/5 </w:t>
      </w:r>
      <w:r w:rsidRPr="00B637A3">
        <w:rPr>
          <w:lang w:val="fr-FR" w:eastAsia="ja-JP"/>
        </w:rPr>
        <w:t>“</w:t>
      </w:r>
      <w:r w:rsidR="008C5BDF" w:rsidRPr="00B637A3">
        <w:rPr>
          <w:snapToGrid w:val="0"/>
          <w:lang w:val="fr-FR" w:eastAsia="ja-JP"/>
        </w:rPr>
        <w:t xml:space="preserve">Notes explicatives concernant les dénominations variétales en vertu de la </w:t>
      </w:r>
      <w:r w:rsidR="00DF1AFC" w:rsidRPr="00B637A3">
        <w:rPr>
          <w:snapToGrid w:val="0"/>
          <w:lang w:val="fr-FR" w:eastAsia="ja-JP"/>
        </w:rPr>
        <w:t>Convention UPOV</w:t>
      </w:r>
      <w:r w:rsidRPr="00B637A3">
        <w:rPr>
          <w:lang w:val="fr-FR" w:eastAsia="ja-JP"/>
        </w:rPr>
        <w:t>”</w:t>
      </w:r>
      <w:r w:rsidRPr="00B637A3">
        <w:rPr>
          <w:rFonts w:cs="Arial"/>
          <w:snapToGrid w:val="0"/>
          <w:lang w:val="fr-FR" w:eastAsia="ja-JP"/>
        </w:rPr>
        <w:t>.</w:t>
      </w:r>
    </w:p>
    <w:p w:rsidR="00732899" w:rsidRPr="00B637A3" w:rsidRDefault="00732899" w:rsidP="00CD5FCA">
      <w:pPr>
        <w:rPr>
          <w:snapToGrid w:val="0"/>
          <w:lang w:val="fr-FR" w:eastAsia="ja-JP"/>
        </w:rPr>
      </w:pPr>
      <w:bookmarkStart w:id="12" w:name="_Toc382388626"/>
    </w:p>
    <w:p w:rsidR="00732899" w:rsidRPr="00B637A3" w:rsidRDefault="00104F4D" w:rsidP="00104F4D">
      <w:pPr>
        <w:rPr>
          <w:lang w:val="fr-FR" w:eastAsia="ja-JP"/>
        </w:rPr>
      </w:pPr>
      <w:r w:rsidRPr="00B637A3">
        <w:rPr>
          <w:lang w:val="fr-FR"/>
        </w:rPr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Pr="00B637A3">
        <w:rPr>
          <w:lang w:val="fr-FR"/>
        </w:rPr>
        <w:tab/>
      </w:r>
      <w:r w:rsidR="00B40042" w:rsidRPr="00B637A3">
        <w:rPr>
          <w:lang w:val="fr-FR"/>
        </w:rPr>
        <w:t xml:space="preserve">Un rapport sur les avancées réalisées en ce qui concerne les travaux en vue de la possibilité de réviser le document </w:t>
      </w:r>
      <w:r w:rsidR="009E746E" w:rsidRPr="00B637A3">
        <w:rPr>
          <w:snapToGrid w:val="0"/>
          <w:lang w:val="fr-FR" w:eastAsia="ja-JP"/>
        </w:rPr>
        <w:t>UPOV/INF/12 “</w:t>
      </w:r>
      <w:r w:rsidR="007E477E" w:rsidRPr="00B637A3">
        <w:rPr>
          <w:snapToGrid w:val="0"/>
          <w:lang w:val="fr-FR" w:eastAsia="ja-JP"/>
        </w:rPr>
        <w:t xml:space="preserve">Notes explicatives concernant les dénominations variétales en vertu de la </w:t>
      </w:r>
      <w:r w:rsidR="00DF1AFC" w:rsidRPr="00B637A3">
        <w:rPr>
          <w:snapToGrid w:val="0"/>
          <w:lang w:val="fr-FR" w:eastAsia="ja-JP"/>
        </w:rPr>
        <w:t>Convention UPOV</w:t>
      </w:r>
      <w:r w:rsidR="009E746E" w:rsidRPr="00B637A3">
        <w:rPr>
          <w:snapToGrid w:val="0"/>
          <w:lang w:val="fr-FR" w:eastAsia="ja-JP"/>
        </w:rPr>
        <w:t>”</w:t>
      </w:r>
      <w:r w:rsidR="00CD7CD3" w:rsidRPr="00B637A3">
        <w:rPr>
          <w:szCs w:val="24"/>
          <w:lang w:val="fr-FR" w:eastAsia="ja-JP"/>
        </w:rPr>
        <w:t xml:space="preserve"> </w:t>
      </w:r>
      <w:r w:rsidR="00B40042" w:rsidRPr="00B637A3">
        <w:rPr>
          <w:szCs w:val="24"/>
          <w:lang w:val="fr-FR" w:eastAsia="ja-JP"/>
        </w:rPr>
        <w:t>sera présenté au</w:t>
      </w:r>
      <w:r w:rsidR="00DF1AFC" w:rsidRPr="00B637A3">
        <w:rPr>
          <w:szCs w:val="24"/>
          <w:lang w:val="fr-FR" w:eastAsia="ja-JP"/>
        </w:rPr>
        <w:t> TC</w:t>
      </w:r>
      <w:r w:rsidRPr="00B637A3">
        <w:rPr>
          <w:szCs w:val="24"/>
          <w:lang w:val="fr-FR" w:eastAsia="ja-JP"/>
        </w:rPr>
        <w:t xml:space="preserve">, </w:t>
      </w:r>
      <w:r w:rsidR="00B40042" w:rsidRPr="00B637A3">
        <w:rPr>
          <w:szCs w:val="24"/>
          <w:lang w:val="fr-FR" w:eastAsia="ja-JP"/>
        </w:rPr>
        <w:t>à sa cinquante</w:t>
      </w:r>
      <w:r w:rsidR="00A44650" w:rsidRPr="00B637A3">
        <w:rPr>
          <w:szCs w:val="24"/>
          <w:lang w:val="fr-FR" w:eastAsia="ja-JP"/>
        </w:rPr>
        <w:noBreakHyphen/>
      </w:r>
      <w:r w:rsidR="00B40042" w:rsidRPr="00B637A3">
        <w:rPr>
          <w:szCs w:val="24"/>
          <w:lang w:val="fr-FR" w:eastAsia="ja-JP"/>
        </w:rPr>
        <w:t>troisième</w:t>
      </w:r>
      <w:r w:rsidR="009E114F" w:rsidRPr="00B637A3">
        <w:rPr>
          <w:szCs w:val="24"/>
          <w:lang w:val="fr-FR" w:eastAsia="ja-JP"/>
        </w:rPr>
        <w:t> </w:t>
      </w:r>
      <w:r w:rsidR="00B40042" w:rsidRPr="00B637A3">
        <w:rPr>
          <w:szCs w:val="24"/>
          <w:lang w:val="fr-FR" w:eastAsia="ja-JP"/>
        </w:rPr>
        <w:t>session</w:t>
      </w:r>
      <w:r w:rsidRPr="00B637A3">
        <w:rPr>
          <w:szCs w:val="24"/>
          <w:lang w:val="fr-FR" w:eastAsia="ja-JP"/>
        </w:rPr>
        <w:t>.</w:t>
      </w:r>
    </w:p>
    <w:p w:rsidR="00732899" w:rsidRPr="00B637A3" w:rsidRDefault="00732899" w:rsidP="00801300">
      <w:pPr>
        <w:rPr>
          <w:snapToGrid w:val="0"/>
          <w:lang w:val="fr-FR" w:eastAsia="ja-JP"/>
        </w:rPr>
      </w:pPr>
    </w:p>
    <w:p w:rsidR="008C5BDF" w:rsidRPr="00B637A3" w:rsidRDefault="003E5C14" w:rsidP="00C942BD">
      <w:pPr>
        <w:pStyle w:val="DecisionParagraphs"/>
        <w:tabs>
          <w:tab w:val="left" w:pos="5954"/>
        </w:tabs>
        <w:rPr>
          <w:lang w:val="fr-FR"/>
        </w:rPr>
      </w:pPr>
      <w:r w:rsidRPr="00B637A3">
        <w:rPr>
          <w:lang w:val="fr-FR"/>
        </w:rPr>
        <w:fldChar w:fldCharType="begin"/>
      </w:r>
      <w:r w:rsidRPr="00B637A3">
        <w:rPr>
          <w:lang w:val="fr-FR"/>
        </w:rPr>
        <w:instrText xml:space="preserve"> AUTONUM  </w:instrText>
      </w:r>
      <w:r w:rsidRPr="00B637A3">
        <w:rPr>
          <w:lang w:val="fr-FR"/>
        </w:rPr>
        <w:fldChar w:fldCharType="end"/>
      </w:r>
      <w:r w:rsidR="00FD0FD0" w:rsidRPr="00B637A3">
        <w:rPr>
          <w:lang w:val="fr-FR"/>
        </w:rPr>
        <w:tab/>
      </w:r>
      <w:bookmarkEnd w:id="12"/>
      <w:r w:rsidR="00732899" w:rsidRPr="00B637A3">
        <w:rPr>
          <w:lang w:val="fr-FR"/>
        </w:rPr>
        <w:t>Le</w:t>
      </w:r>
      <w:r w:rsidR="00DF1AFC" w:rsidRPr="00B637A3">
        <w:rPr>
          <w:lang w:val="fr-FR"/>
        </w:rPr>
        <w:t> TC</w:t>
      </w:r>
      <w:r w:rsidR="00732899" w:rsidRPr="00B637A3">
        <w:rPr>
          <w:lang w:val="fr-FR"/>
        </w:rPr>
        <w:t xml:space="preserve"> est invité à prendre note</w:t>
      </w:r>
      <w:r w:rsidR="00C942BD">
        <w:rPr>
          <w:lang w:val="fr-FR"/>
        </w:rPr>
        <w:t> :</w:t>
      </w:r>
    </w:p>
    <w:p w:rsidR="00732899" w:rsidRPr="00B637A3" w:rsidRDefault="00732899" w:rsidP="00C942BD">
      <w:pPr>
        <w:pStyle w:val="DecisionParagraphs"/>
        <w:tabs>
          <w:tab w:val="left" w:pos="5954"/>
        </w:tabs>
        <w:rPr>
          <w:rFonts w:eastAsia="MS Mincho"/>
          <w:snapToGrid w:val="0"/>
          <w:lang w:val="fr-FR" w:eastAsia="ja-JP"/>
        </w:rPr>
      </w:pPr>
    </w:p>
    <w:p w:rsidR="00732899" w:rsidRPr="00B637A3" w:rsidRDefault="00C942BD" w:rsidP="00C942BD">
      <w:pPr>
        <w:pStyle w:val="DecisionParagraphs"/>
        <w:tabs>
          <w:tab w:val="left" w:pos="5954"/>
        </w:tabs>
        <w:rPr>
          <w:lang w:val="fr-FR"/>
        </w:rPr>
      </w:pPr>
      <w:r>
        <w:rPr>
          <w:lang w:val="fr-FR"/>
        </w:rPr>
        <w:tab/>
      </w:r>
      <w:r w:rsidR="0062378D" w:rsidRPr="00B637A3">
        <w:rPr>
          <w:lang w:val="fr-FR"/>
        </w:rPr>
        <w:t>a)</w:t>
      </w:r>
      <w:r w:rsidR="0062378D" w:rsidRPr="00B637A3">
        <w:rPr>
          <w:lang w:val="fr-FR"/>
        </w:rPr>
        <w:tab/>
      </w:r>
      <w:r w:rsidR="00732899" w:rsidRPr="00B637A3">
        <w:rPr>
          <w:lang w:val="fr-FR"/>
        </w:rPr>
        <w:t>des travaux sur la possibilité d</w:t>
      </w:r>
      <w:r w:rsidR="00DF1AFC" w:rsidRPr="00B637A3">
        <w:rPr>
          <w:lang w:val="fr-FR"/>
        </w:rPr>
        <w:t>’</w:t>
      </w:r>
      <w:r w:rsidR="00732899" w:rsidRPr="00B637A3">
        <w:rPr>
          <w:lang w:val="fr-FR"/>
        </w:rPr>
        <w:t xml:space="preserve">élaborer un outil de recherche </w:t>
      </w:r>
      <w:r w:rsidRPr="00B637A3">
        <w:rPr>
          <w:lang w:val="fr-FR"/>
        </w:rPr>
        <w:t xml:space="preserve">de l’UPOV </w:t>
      </w:r>
      <w:r w:rsidR="00732899" w:rsidRPr="00B637A3">
        <w:rPr>
          <w:lang w:val="fr-FR"/>
        </w:rPr>
        <w:t>de similarité aux fins de</w:t>
      </w:r>
      <w:r>
        <w:rPr>
          <w:lang w:val="fr-FR"/>
        </w:rPr>
        <w:t xml:space="preserve"> la dénomination variétale</w:t>
      </w:r>
      <w:r w:rsidR="00732899" w:rsidRPr="00B637A3">
        <w:rPr>
          <w:lang w:val="fr-FR"/>
        </w:rPr>
        <w:t xml:space="preserve"> par le WG</w:t>
      </w:r>
      <w:r w:rsidR="00A44650" w:rsidRPr="00B637A3">
        <w:rPr>
          <w:lang w:val="fr-FR"/>
        </w:rPr>
        <w:noBreakHyphen/>
      </w:r>
      <w:r w:rsidR="00732899" w:rsidRPr="00B637A3">
        <w:rPr>
          <w:lang w:val="fr-FR"/>
        </w:rPr>
        <w:t xml:space="preserve">DST, </w:t>
      </w:r>
      <w:r w:rsidR="00DF1AFC" w:rsidRPr="00B637A3">
        <w:rPr>
          <w:lang w:val="fr-FR"/>
        </w:rPr>
        <w:t>y compris</w:t>
      </w:r>
      <w:r w:rsidR="00732899" w:rsidRPr="00B637A3">
        <w:rPr>
          <w:lang w:val="fr-FR"/>
        </w:rPr>
        <w:t xml:space="preserve"> l</w:t>
      </w:r>
      <w:r w:rsidR="00DF1AFC" w:rsidRPr="00B637A3">
        <w:rPr>
          <w:lang w:val="fr-FR"/>
        </w:rPr>
        <w:t>’</w:t>
      </w:r>
      <w:r w:rsidR="00732899" w:rsidRPr="00B637A3">
        <w:rPr>
          <w:lang w:val="fr-FR"/>
        </w:rPr>
        <w:t>étude test, comme indiqué aux paragraphes</w:t>
      </w:r>
      <w:r w:rsidR="00635BC5" w:rsidRPr="00B637A3">
        <w:rPr>
          <w:lang w:val="fr-FR"/>
        </w:rPr>
        <w:t> </w:t>
      </w:r>
      <w:r>
        <w:rPr>
          <w:lang w:val="fr-FR"/>
        </w:rPr>
        <w:t>5 à 15 du présent document;</w:t>
      </w:r>
    </w:p>
    <w:p w:rsidR="00732899" w:rsidRPr="00B637A3" w:rsidRDefault="00732899" w:rsidP="00C942BD">
      <w:pPr>
        <w:pStyle w:val="DecisionParagraphs"/>
        <w:tabs>
          <w:tab w:val="left" w:pos="5954"/>
        </w:tabs>
        <w:rPr>
          <w:lang w:val="fr-FR"/>
        </w:rPr>
      </w:pPr>
    </w:p>
    <w:p w:rsidR="00732899" w:rsidRPr="00B637A3" w:rsidRDefault="00FD0FD0" w:rsidP="00C942BD">
      <w:pPr>
        <w:pStyle w:val="DecisionParagraphs"/>
        <w:tabs>
          <w:tab w:val="left" w:pos="5954"/>
        </w:tabs>
        <w:rPr>
          <w:rFonts w:eastAsia="MS Mincho"/>
          <w:lang w:val="fr-FR"/>
        </w:rPr>
      </w:pPr>
      <w:r w:rsidRPr="00B637A3">
        <w:rPr>
          <w:rFonts w:eastAsia="MS Mincho" w:cs="Arial"/>
          <w:lang w:val="fr-FR" w:eastAsia="ja-JP"/>
        </w:rPr>
        <w:tab/>
        <w:t>b)</w:t>
      </w:r>
      <w:r w:rsidRPr="00B637A3">
        <w:rPr>
          <w:rFonts w:eastAsia="MS Mincho" w:cs="Arial"/>
          <w:lang w:val="fr-FR" w:eastAsia="ja-JP"/>
        </w:rPr>
        <w:tab/>
      </w:r>
      <w:r w:rsidR="0032547C" w:rsidRPr="00B637A3">
        <w:rPr>
          <w:rFonts w:eastAsia="MS Mincho" w:cs="Arial"/>
          <w:lang w:val="fr-FR" w:eastAsia="ja-JP"/>
        </w:rPr>
        <w:t xml:space="preserve">du fait que la proposition de révision du document UPOV/INF/12 en ce qui concerne les modifications de dénominations variétales enregistrées a été </w:t>
      </w:r>
      <w:r w:rsidR="00F26A91" w:rsidRPr="00B637A3">
        <w:rPr>
          <w:rFonts w:eastAsia="MS Mincho" w:cs="Arial"/>
          <w:lang w:val="fr-FR" w:eastAsia="ja-JP"/>
        </w:rPr>
        <w:t>adoptée</w:t>
      </w:r>
      <w:r w:rsidR="0032547C" w:rsidRPr="00B637A3">
        <w:rPr>
          <w:rFonts w:eastAsia="MS Mincho" w:cs="Arial"/>
          <w:lang w:val="fr-FR" w:eastAsia="ja-JP"/>
        </w:rPr>
        <w:t xml:space="preserve"> par le Conseil à sa quarante</w:t>
      </w:r>
      <w:r w:rsidR="00A44650" w:rsidRPr="00B637A3">
        <w:rPr>
          <w:rFonts w:eastAsia="MS Mincho" w:cs="Arial"/>
          <w:lang w:val="fr-FR" w:eastAsia="ja-JP"/>
        </w:rPr>
        <w:noBreakHyphen/>
      </w:r>
      <w:r w:rsidR="0032547C" w:rsidRPr="00B637A3">
        <w:rPr>
          <w:rFonts w:eastAsia="MS Mincho" w:cs="Arial"/>
          <w:lang w:val="fr-FR" w:eastAsia="ja-JP"/>
        </w:rPr>
        <w:t>neuvième</w:t>
      </w:r>
      <w:r w:rsidR="00C942BD">
        <w:rPr>
          <w:rFonts w:eastAsia="MS Mincho" w:cs="Arial"/>
          <w:lang w:val="fr-FR" w:eastAsia="ja-JP"/>
        </w:rPr>
        <w:t xml:space="preserve"> </w:t>
      </w:r>
      <w:r w:rsidR="0032547C" w:rsidRPr="00B637A3">
        <w:rPr>
          <w:rFonts w:eastAsia="MS Mincho" w:cs="Arial"/>
          <w:lang w:val="fr-FR" w:eastAsia="ja-JP"/>
        </w:rPr>
        <w:t xml:space="preserve">session ordinaire </w:t>
      </w:r>
      <w:r w:rsidR="007A1349" w:rsidRPr="00B637A3">
        <w:rPr>
          <w:lang w:val="fr-FR"/>
        </w:rPr>
        <w:t>(</w:t>
      </w:r>
      <w:r w:rsidR="00A744E2" w:rsidRPr="00B637A3">
        <w:rPr>
          <w:lang w:val="fr-FR"/>
        </w:rPr>
        <w:t xml:space="preserve">voir le </w:t>
      </w:r>
      <w:r w:rsidR="007A1349" w:rsidRPr="00B637A3">
        <w:rPr>
          <w:lang w:val="fr-FR"/>
        </w:rPr>
        <w:t>paragraph</w:t>
      </w:r>
      <w:r w:rsidR="00A744E2" w:rsidRPr="00B637A3">
        <w:rPr>
          <w:lang w:val="fr-FR"/>
        </w:rPr>
        <w:t>e</w:t>
      </w:r>
      <w:r w:rsidR="009E114F" w:rsidRPr="00B637A3">
        <w:rPr>
          <w:lang w:val="fr-FR"/>
        </w:rPr>
        <w:t> </w:t>
      </w:r>
      <w:r w:rsidR="007A1349" w:rsidRPr="00B637A3">
        <w:rPr>
          <w:lang w:val="fr-FR"/>
        </w:rPr>
        <w:t>17)</w:t>
      </w:r>
      <w:r w:rsidR="00C942BD">
        <w:rPr>
          <w:lang w:val="fr-FR"/>
        </w:rPr>
        <w:t>;</w:t>
      </w:r>
    </w:p>
    <w:p w:rsidR="00732899" w:rsidRPr="00B637A3" w:rsidRDefault="00732899" w:rsidP="00C942BD">
      <w:pPr>
        <w:pStyle w:val="DecisionParagraphs"/>
        <w:tabs>
          <w:tab w:val="left" w:pos="5954"/>
        </w:tabs>
        <w:rPr>
          <w:rFonts w:eastAsia="MS Mincho" w:cs="Arial"/>
          <w:lang w:val="fr-FR" w:eastAsia="ja-JP"/>
        </w:rPr>
      </w:pPr>
    </w:p>
    <w:p w:rsidR="00732899" w:rsidRPr="00B637A3" w:rsidRDefault="00C942BD" w:rsidP="00C942BD">
      <w:pPr>
        <w:pStyle w:val="DecisionParagraphs"/>
        <w:tabs>
          <w:tab w:val="left" w:pos="5954"/>
        </w:tabs>
        <w:rPr>
          <w:rFonts w:cs="Arial"/>
          <w:lang w:val="fr-FR" w:eastAsia="ja-JP"/>
        </w:rPr>
      </w:pPr>
      <w:r>
        <w:rPr>
          <w:rFonts w:eastAsia="MS Mincho" w:cs="Arial"/>
          <w:lang w:val="fr-FR" w:eastAsia="ja-JP"/>
        </w:rPr>
        <w:tab/>
      </w:r>
      <w:r w:rsidR="00ED3F59" w:rsidRPr="00B637A3">
        <w:rPr>
          <w:rFonts w:eastAsia="MS Mincho" w:cs="Arial"/>
          <w:lang w:val="fr-FR" w:eastAsia="ja-JP"/>
        </w:rPr>
        <w:t>c)</w:t>
      </w:r>
      <w:r w:rsidR="00ED3F59" w:rsidRPr="00B637A3">
        <w:rPr>
          <w:rFonts w:eastAsia="MS Mincho" w:cs="Arial"/>
          <w:lang w:val="fr-FR" w:eastAsia="ja-JP"/>
        </w:rPr>
        <w:tab/>
      </w:r>
      <w:r w:rsidR="00F91804" w:rsidRPr="00B637A3">
        <w:rPr>
          <w:rFonts w:eastAsia="MS Mincho" w:cs="Arial"/>
          <w:lang w:val="fr-FR" w:eastAsia="ja-JP"/>
        </w:rPr>
        <w:t>du fait que</w:t>
      </w:r>
      <w:r w:rsidR="00AE7C81" w:rsidRPr="00B637A3">
        <w:rPr>
          <w:rFonts w:eastAsia="MS Mincho" w:cs="Arial"/>
          <w:lang w:val="fr-FR" w:eastAsia="ja-JP"/>
        </w:rPr>
        <w:t xml:space="preserve"> le</w:t>
      </w:r>
      <w:r w:rsidR="00F91804" w:rsidRPr="00B637A3">
        <w:rPr>
          <w:rFonts w:eastAsia="MS Mincho" w:cs="Arial"/>
          <w:lang w:val="fr-FR" w:eastAsia="ja-JP"/>
        </w:rPr>
        <w:t xml:space="preserve"> mandat et la composition du WG</w:t>
      </w:r>
      <w:r w:rsidR="00A44650" w:rsidRPr="00B637A3">
        <w:rPr>
          <w:rFonts w:eastAsia="MS Mincho" w:cs="Arial"/>
          <w:lang w:val="fr-FR" w:eastAsia="ja-JP"/>
        </w:rPr>
        <w:noBreakHyphen/>
      </w:r>
      <w:r w:rsidR="00F91804" w:rsidRPr="00B637A3">
        <w:rPr>
          <w:rFonts w:eastAsia="MS Mincho" w:cs="Arial"/>
          <w:lang w:val="fr-FR" w:eastAsia="ja-JP"/>
        </w:rPr>
        <w:t>DST ont été élargis aux fins d</w:t>
      </w:r>
      <w:r w:rsidR="006D5C28">
        <w:rPr>
          <w:rFonts w:eastAsia="MS Mincho" w:cs="Arial"/>
          <w:lang w:val="fr-FR" w:eastAsia="ja-JP"/>
        </w:rPr>
        <w:t>e l’</w:t>
      </w:r>
      <w:r w:rsidR="00F91804" w:rsidRPr="00B637A3">
        <w:rPr>
          <w:rFonts w:eastAsia="MS Mincho" w:cs="Arial"/>
          <w:lang w:val="fr-FR" w:eastAsia="ja-JP"/>
        </w:rPr>
        <w:t>élaboration de recommandations à l</w:t>
      </w:r>
      <w:r w:rsidR="00DF1AFC" w:rsidRPr="00B637A3">
        <w:rPr>
          <w:rFonts w:eastAsia="MS Mincho" w:cs="Arial"/>
          <w:lang w:val="fr-FR" w:eastAsia="ja-JP"/>
        </w:rPr>
        <w:t>’</w:t>
      </w:r>
      <w:r w:rsidR="00F91804" w:rsidRPr="00B637A3">
        <w:rPr>
          <w:rFonts w:eastAsia="MS Mincho" w:cs="Arial"/>
          <w:lang w:val="fr-FR" w:eastAsia="ja-JP"/>
        </w:rPr>
        <w:t>intention</w:t>
      </w:r>
      <w:r w:rsidR="00DF1AFC" w:rsidRPr="00B637A3">
        <w:rPr>
          <w:rFonts w:eastAsia="MS Mincho" w:cs="Arial"/>
          <w:lang w:val="fr-FR" w:eastAsia="ja-JP"/>
        </w:rPr>
        <w:t xml:space="preserve"> du CAJ</w:t>
      </w:r>
      <w:r w:rsidR="00F91804" w:rsidRPr="00B637A3">
        <w:rPr>
          <w:rFonts w:eastAsia="MS Mincho" w:cs="Arial"/>
          <w:lang w:val="fr-FR" w:eastAsia="ja-JP"/>
        </w:rPr>
        <w:t xml:space="preserve"> concernant une éventuelle révision du document UPOV/INF/12 “Notes explicatives concernant les dénominations variétales en vertu de la </w:t>
      </w:r>
      <w:r w:rsidR="00DF1AFC" w:rsidRPr="00B637A3">
        <w:rPr>
          <w:rFonts w:eastAsia="MS Mincho" w:cs="Arial"/>
          <w:lang w:val="fr-FR" w:eastAsia="ja-JP"/>
        </w:rPr>
        <w:t>Convention UPOV</w:t>
      </w:r>
      <w:r w:rsidR="00F91804" w:rsidRPr="00B637A3">
        <w:rPr>
          <w:rFonts w:eastAsia="MS Mincho" w:cs="Arial"/>
          <w:lang w:val="fr-FR" w:eastAsia="ja-JP"/>
        </w:rPr>
        <w:t>” (qui devient ainsi le WG</w:t>
      </w:r>
      <w:r w:rsidR="00A44650" w:rsidRPr="00B637A3">
        <w:rPr>
          <w:rFonts w:eastAsia="MS Mincho" w:cs="Arial"/>
          <w:lang w:val="fr-FR" w:eastAsia="ja-JP"/>
        </w:rPr>
        <w:noBreakHyphen/>
      </w:r>
      <w:r w:rsidR="00F91804" w:rsidRPr="00B637A3">
        <w:rPr>
          <w:rFonts w:eastAsia="MS Mincho" w:cs="Arial"/>
          <w:lang w:val="fr-FR" w:eastAsia="ja-JP"/>
        </w:rPr>
        <w:t>DEN) et que le WG</w:t>
      </w:r>
      <w:r w:rsidR="00A44650" w:rsidRPr="00B637A3">
        <w:rPr>
          <w:rFonts w:eastAsia="MS Mincho" w:cs="Arial"/>
          <w:lang w:val="fr-FR" w:eastAsia="ja-JP"/>
        </w:rPr>
        <w:noBreakHyphen/>
      </w:r>
      <w:r w:rsidR="00F91804" w:rsidRPr="00B637A3">
        <w:rPr>
          <w:rFonts w:eastAsia="MS Mincho" w:cs="Arial"/>
          <w:lang w:val="fr-FR" w:eastAsia="ja-JP"/>
        </w:rPr>
        <w:t>DEN se réunira le 1</w:t>
      </w:r>
      <w:r w:rsidR="00DF1AFC" w:rsidRPr="00B637A3">
        <w:rPr>
          <w:rFonts w:eastAsia="MS Mincho" w:cs="Arial"/>
          <w:lang w:val="fr-FR" w:eastAsia="ja-JP"/>
        </w:rPr>
        <w:t>8 mars 20</w:t>
      </w:r>
      <w:r w:rsidR="00F91804" w:rsidRPr="00B637A3">
        <w:rPr>
          <w:rFonts w:eastAsia="MS Mincho" w:cs="Arial"/>
          <w:lang w:val="fr-FR" w:eastAsia="ja-JP"/>
        </w:rPr>
        <w:t>16</w:t>
      </w:r>
      <w:r>
        <w:rPr>
          <w:rFonts w:eastAsia="MS Mincho" w:cs="Arial"/>
          <w:lang w:val="fr-FR" w:eastAsia="ja-JP"/>
        </w:rPr>
        <w:t>;</w:t>
      </w:r>
      <w:r w:rsidR="00635BC5" w:rsidRPr="00B637A3">
        <w:rPr>
          <w:rFonts w:cs="Arial"/>
          <w:lang w:val="fr-FR" w:eastAsia="ja-JP"/>
        </w:rPr>
        <w:t xml:space="preserve"> </w:t>
      </w:r>
      <w:r w:rsidR="00F26A91" w:rsidRPr="00B637A3">
        <w:rPr>
          <w:rFonts w:cs="Arial"/>
          <w:lang w:val="fr-FR" w:eastAsia="ja-JP"/>
        </w:rPr>
        <w:t>et</w:t>
      </w:r>
    </w:p>
    <w:p w:rsidR="00732899" w:rsidRPr="00B637A3" w:rsidRDefault="00732899" w:rsidP="00C942BD">
      <w:pPr>
        <w:pStyle w:val="DecisionParagraphs"/>
        <w:tabs>
          <w:tab w:val="left" w:pos="5954"/>
        </w:tabs>
        <w:rPr>
          <w:rFonts w:cs="Arial"/>
          <w:lang w:val="fr-FR" w:eastAsia="ja-JP"/>
        </w:rPr>
      </w:pPr>
    </w:p>
    <w:p w:rsidR="00732899" w:rsidRPr="00B637A3" w:rsidRDefault="00C942BD" w:rsidP="00C942BD">
      <w:pPr>
        <w:pStyle w:val="DecisionParagraphs"/>
        <w:tabs>
          <w:tab w:val="left" w:pos="5954"/>
        </w:tabs>
        <w:rPr>
          <w:rFonts w:cs="Arial"/>
          <w:lang w:val="fr-FR" w:eastAsia="ja-JP"/>
        </w:rPr>
      </w:pPr>
      <w:r>
        <w:rPr>
          <w:rFonts w:eastAsia="MS Mincho" w:cs="Arial"/>
          <w:lang w:val="fr-FR" w:eastAsia="ja-JP"/>
        </w:rPr>
        <w:tab/>
      </w:r>
      <w:r w:rsidR="00FD0FD0" w:rsidRPr="00B637A3">
        <w:rPr>
          <w:rFonts w:eastAsia="MS Mincho" w:cs="Arial"/>
          <w:lang w:val="fr-FR" w:eastAsia="ja-JP"/>
        </w:rPr>
        <w:t>d</w:t>
      </w:r>
      <w:r w:rsidR="00411A9E" w:rsidRPr="00B637A3">
        <w:rPr>
          <w:rFonts w:cs="Arial"/>
          <w:lang w:val="fr-FR"/>
        </w:rPr>
        <w:t>)</w:t>
      </w:r>
      <w:r w:rsidR="00ED3F59" w:rsidRPr="00B637A3">
        <w:rPr>
          <w:rFonts w:cs="Arial"/>
          <w:lang w:val="fr-FR"/>
        </w:rPr>
        <w:tab/>
      </w:r>
      <w:r w:rsidR="00C812E7" w:rsidRPr="00B637A3">
        <w:rPr>
          <w:rFonts w:cs="Arial"/>
          <w:lang w:val="fr-FR"/>
        </w:rPr>
        <w:t>du fait que le Bureau de l</w:t>
      </w:r>
      <w:r w:rsidR="00DF1AFC" w:rsidRPr="00B637A3">
        <w:rPr>
          <w:rFonts w:cs="Arial"/>
          <w:lang w:val="fr-FR"/>
        </w:rPr>
        <w:t>’</w:t>
      </w:r>
      <w:r w:rsidR="00C812E7" w:rsidRPr="00B637A3">
        <w:rPr>
          <w:rFonts w:cs="Arial"/>
          <w:lang w:val="fr-FR"/>
        </w:rPr>
        <w:t>Union a diffusé une circulaire invitant les membres</w:t>
      </w:r>
      <w:r w:rsidR="00DF1AFC" w:rsidRPr="00B637A3">
        <w:rPr>
          <w:rFonts w:cs="Arial"/>
          <w:lang w:val="fr-FR"/>
        </w:rPr>
        <w:t xml:space="preserve"> </w:t>
      </w:r>
      <w:r w:rsidR="006D5C28" w:rsidRPr="00B637A3">
        <w:rPr>
          <w:rFonts w:cs="Arial"/>
          <w:lang w:val="fr-FR"/>
        </w:rPr>
        <w:t xml:space="preserve">et les observateurs </w:t>
      </w:r>
      <w:r w:rsidR="00DF1AFC" w:rsidRPr="00B637A3">
        <w:rPr>
          <w:rFonts w:cs="Arial"/>
          <w:lang w:val="fr-FR"/>
        </w:rPr>
        <w:t>du CAJ</w:t>
      </w:r>
      <w:r w:rsidR="00C812E7" w:rsidRPr="00B637A3">
        <w:rPr>
          <w:rFonts w:cs="Arial"/>
          <w:lang w:val="fr-FR"/>
        </w:rPr>
        <w:t>, ainsi que les membres du WG</w:t>
      </w:r>
      <w:r w:rsidR="00A44650" w:rsidRPr="00B637A3">
        <w:rPr>
          <w:rFonts w:cs="Arial"/>
          <w:lang w:val="fr-FR"/>
        </w:rPr>
        <w:noBreakHyphen/>
      </w:r>
      <w:r w:rsidR="00C812E7" w:rsidRPr="00B637A3">
        <w:rPr>
          <w:rFonts w:cs="Arial"/>
          <w:lang w:val="fr-FR"/>
        </w:rPr>
        <w:t>DST, à faire part de leur souhait de participer au WG</w:t>
      </w:r>
      <w:r w:rsidR="00A44650" w:rsidRPr="00B637A3">
        <w:rPr>
          <w:rFonts w:cs="Arial"/>
          <w:lang w:val="fr-FR"/>
        </w:rPr>
        <w:noBreakHyphen/>
      </w:r>
      <w:r w:rsidR="00C812E7" w:rsidRPr="00B637A3">
        <w:rPr>
          <w:rFonts w:cs="Arial"/>
          <w:lang w:val="fr-FR"/>
        </w:rPr>
        <w:t>DEN et à fournir des observations concernant le document</w:t>
      </w:r>
      <w:r>
        <w:rPr>
          <w:rFonts w:cs="Arial"/>
          <w:lang w:val="fr-FR"/>
        </w:rPr>
        <w:t> </w:t>
      </w:r>
      <w:r w:rsidR="00ED3F59" w:rsidRPr="00B637A3">
        <w:rPr>
          <w:rFonts w:cs="Arial"/>
          <w:lang w:val="fr-FR"/>
        </w:rPr>
        <w:t>UPOV/INF/12/5</w:t>
      </w:r>
      <w:r w:rsidR="00FD0FD0" w:rsidRPr="00B637A3">
        <w:rPr>
          <w:rFonts w:cs="Arial"/>
          <w:lang w:val="fr-FR"/>
        </w:rPr>
        <w:t>.</w:t>
      </w:r>
    </w:p>
    <w:p w:rsidR="00732899" w:rsidRPr="00B637A3" w:rsidRDefault="00732899" w:rsidP="007A1349">
      <w:pPr>
        <w:rPr>
          <w:lang w:val="fr-FR"/>
        </w:rPr>
      </w:pPr>
    </w:p>
    <w:p w:rsidR="00732899" w:rsidRPr="00B637A3" w:rsidRDefault="00732899" w:rsidP="007A1349">
      <w:pPr>
        <w:rPr>
          <w:lang w:val="fr-FR"/>
        </w:rPr>
      </w:pPr>
    </w:p>
    <w:p w:rsidR="00732899" w:rsidRPr="00B637A3" w:rsidRDefault="00732899" w:rsidP="007A1349">
      <w:pPr>
        <w:rPr>
          <w:lang w:val="fr-FR"/>
        </w:rPr>
      </w:pPr>
    </w:p>
    <w:p w:rsidR="00732899" w:rsidRPr="00B637A3" w:rsidRDefault="00732899" w:rsidP="00732899">
      <w:pPr>
        <w:pStyle w:val="dec"/>
        <w:tabs>
          <w:tab w:val="left" w:pos="5387"/>
          <w:tab w:val="left" w:pos="5954"/>
        </w:tabs>
        <w:ind w:left="4820" w:firstLine="567"/>
        <w:jc w:val="right"/>
        <w:rPr>
          <w:rFonts w:cs="Arial"/>
          <w:i w:val="0"/>
          <w:lang w:val="fr-FR"/>
        </w:rPr>
      </w:pPr>
      <w:r w:rsidRPr="00B637A3">
        <w:rPr>
          <w:rFonts w:cs="Arial"/>
          <w:i w:val="0"/>
          <w:lang w:val="fr-FR"/>
        </w:rPr>
        <w:t>[Fin du document]</w:t>
      </w:r>
    </w:p>
    <w:p w:rsidR="00F44C35" w:rsidRPr="00B637A3" w:rsidRDefault="00F44C35" w:rsidP="00D0753E">
      <w:pPr>
        <w:pStyle w:val="dec"/>
        <w:tabs>
          <w:tab w:val="left" w:pos="5387"/>
          <w:tab w:val="left" w:pos="5954"/>
        </w:tabs>
        <w:ind w:left="4820" w:firstLine="567"/>
        <w:jc w:val="right"/>
        <w:rPr>
          <w:rFonts w:cs="Arial"/>
          <w:i w:val="0"/>
          <w:lang w:val="fr-FR"/>
        </w:rPr>
      </w:pPr>
    </w:p>
    <w:sectPr w:rsidR="00F44C35" w:rsidRPr="00B637A3" w:rsidSect="00F257AD">
      <w:head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EE0" w:rsidRDefault="00AD5EE0" w:rsidP="00822961">
      <w:r>
        <w:separator/>
      </w:r>
    </w:p>
  </w:endnote>
  <w:endnote w:type="continuationSeparator" w:id="0">
    <w:p w:rsidR="00AD5EE0" w:rsidRDefault="00AD5EE0" w:rsidP="00822961">
      <w:r>
        <w:continuationSeparator/>
      </w:r>
    </w:p>
  </w:endnote>
  <w:endnote w:type="continuationNotice" w:id="1">
    <w:p w:rsidR="00197650" w:rsidRDefault="001976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EE0" w:rsidRDefault="00AD5EE0" w:rsidP="00822961">
      <w:r>
        <w:separator/>
      </w:r>
    </w:p>
  </w:footnote>
  <w:footnote w:type="continuationSeparator" w:id="0">
    <w:p w:rsidR="00AD5EE0" w:rsidRDefault="00AD5EE0" w:rsidP="00822961">
      <w:r>
        <w:continuationSeparator/>
      </w:r>
    </w:p>
  </w:footnote>
  <w:footnote w:type="continuationNotice" w:id="1">
    <w:p w:rsidR="00197650" w:rsidRDefault="001976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35" w:rsidRPr="00997029" w:rsidRDefault="00F44C35" w:rsidP="00377FF4">
    <w:pPr>
      <w:pStyle w:val="Header"/>
      <w:rPr>
        <w:rStyle w:val="PageNumber"/>
      </w:rPr>
    </w:pPr>
    <w:r>
      <w:rPr>
        <w:rStyle w:val="PageNumber"/>
      </w:rPr>
      <w:t>TC/5</w:t>
    </w:r>
    <w:r w:rsidR="008C6F4B">
      <w:rPr>
        <w:rStyle w:val="PageNumber"/>
        <w:rFonts w:hint="eastAsia"/>
        <w:lang w:eastAsia="ja-JP"/>
      </w:rPr>
      <w:t>2</w:t>
    </w:r>
    <w:r>
      <w:rPr>
        <w:rStyle w:val="PageNumber"/>
        <w:rFonts w:hint="eastAsia"/>
        <w:lang w:eastAsia="ja-JP"/>
      </w:rPr>
      <w:t>/</w:t>
    </w:r>
    <w:r>
      <w:rPr>
        <w:rStyle w:val="PageNumber"/>
      </w:rPr>
      <w:t>12</w:t>
    </w:r>
  </w:p>
  <w:p w:rsidR="00F44C35" w:rsidRPr="00997029" w:rsidRDefault="00F44C35" w:rsidP="00377FF4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500A68">
      <w:rPr>
        <w:rStyle w:val="PageNumber"/>
        <w:noProof/>
      </w:rPr>
      <w:t>4</w:t>
    </w:r>
    <w:r w:rsidRPr="00997029">
      <w:rPr>
        <w:rStyle w:val="PageNumber"/>
      </w:rPr>
      <w:fldChar w:fldCharType="end"/>
    </w:r>
  </w:p>
  <w:p w:rsidR="00F44C35" w:rsidRPr="00997029" w:rsidRDefault="00F44C35" w:rsidP="00377FF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094C"/>
    <w:multiLevelType w:val="hybridMultilevel"/>
    <w:tmpl w:val="BF26958A"/>
    <w:lvl w:ilvl="0" w:tplc="32FC68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E121C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5145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960F0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4CE6F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690D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E9C60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33428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9AC7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>
    <w:nsid w:val="2A1B1583"/>
    <w:multiLevelType w:val="singleLevel"/>
    <w:tmpl w:val="E178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29D6820"/>
    <w:multiLevelType w:val="hybridMultilevel"/>
    <w:tmpl w:val="C2B2D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004C7C"/>
    <w:multiLevelType w:val="hybridMultilevel"/>
    <w:tmpl w:val="F2BA6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E8096B"/>
    <w:multiLevelType w:val="hybridMultilevel"/>
    <w:tmpl w:val="0A9C5D1E"/>
    <w:lvl w:ilvl="0" w:tplc="A18AA3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5B61E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33EC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7AA485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65E36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6205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8B5A5B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96EC61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BB46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>
    <w:nsid w:val="41272C0A"/>
    <w:multiLevelType w:val="hybridMultilevel"/>
    <w:tmpl w:val="9C2267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A3FDB"/>
    <w:multiLevelType w:val="hybridMultilevel"/>
    <w:tmpl w:val="C7B63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3775F5"/>
    <w:multiLevelType w:val="hybridMultilevel"/>
    <w:tmpl w:val="0D166088"/>
    <w:lvl w:ilvl="0" w:tplc="D1C611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BBDC7C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9345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B9ED1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E6E38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A7C0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110A7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8FE3D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468A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>
    <w:nsid w:val="777B7CAB"/>
    <w:multiLevelType w:val="hybridMultilevel"/>
    <w:tmpl w:val="F748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extBase TMs\IP in General\Meetings|TextBase TMs\WorkspaceFTS\EN-FR\SCT|TextBase TMs\Treaties\WIPO-administered|TextBase TMs\WorkspaceFTS\EN-FR\UPOV|TextBase TMs\Treaties\Model Laws|TextBase TMs\UPOV\Meetings|TextBase TMs\UPOV\Other|TextBase TMs\UPOV\Publications|TextBase TMs\UPOV\Technical Guidelines"/>
    <w:docVar w:name="TextBaseURL" w:val="empty"/>
    <w:docVar w:name="UILng" w:val="en"/>
  </w:docVars>
  <w:rsids>
    <w:rsidRoot w:val="00822961"/>
    <w:rsid w:val="00000531"/>
    <w:rsid w:val="00002775"/>
    <w:rsid w:val="00002A8E"/>
    <w:rsid w:val="000031A2"/>
    <w:rsid w:val="00004E4E"/>
    <w:rsid w:val="00005853"/>
    <w:rsid w:val="0000682E"/>
    <w:rsid w:val="00006C85"/>
    <w:rsid w:val="00006D0B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1CC2"/>
    <w:rsid w:val="00023EDE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4B4"/>
    <w:rsid w:val="00035D04"/>
    <w:rsid w:val="00036210"/>
    <w:rsid w:val="000362B4"/>
    <w:rsid w:val="0003732E"/>
    <w:rsid w:val="00040547"/>
    <w:rsid w:val="0004179D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30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20CD"/>
    <w:rsid w:val="00062397"/>
    <w:rsid w:val="000625BE"/>
    <w:rsid w:val="000635B4"/>
    <w:rsid w:val="00063692"/>
    <w:rsid w:val="000646E6"/>
    <w:rsid w:val="00066312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4168"/>
    <w:rsid w:val="00074B8E"/>
    <w:rsid w:val="00074B97"/>
    <w:rsid w:val="00074C3D"/>
    <w:rsid w:val="00075D9E"/>
    <w:rsid w:val="000762E5"/>
    <w:rsid w:val="00076651"/>
    <w:rsid w:val="00077138"/>
    <w:rsid w:val="00080744"/>
    <w:rsid w:val="00081235"/>
    <w:rsid w:val="00082605"/>
    <w:rsid w:val="00082F8A"/>
    <w:rsid w:val="00083D83"/>
    <w:rsid w:val="00083E36"/>
    <w:rsid w:val="0008525F"/>
    <w:rsid w:val="000855FB"/>
    <w:rsid w:val="00085885"/>
    <w:rsid w:val="00085A1E"/>
    <w:rsid w:val="00086DA8"/>
    <w:rsid w:val="0009063D"/>
    <w:rsid w:val="000906CD"/>
    <w:rsid w:val="000916DC"/>
    <w:rsid w:val="00091F9C"/>
    <w:rsid w:val="00092143"/>
    <w:rsid w:val="0009226C"/>
    <w:rsid w:val="00093556"/>
    <w:rsid w:val="00093F65"/>
    <w:rsid w:val="00094A83"/>
    <w:rsid w:val="00095525"/>
    <w:rsid w:val="00095A20"/>
    <w:rsid w:val="000A0D14"/>
    <w:rsid w:val="000A14C2"/>
    <w:rsid w:val="000A16C8"/>
    <w:rsid w:val="000A1D0F"/>
    <w:rsid w:val="000A2039"/>
    <w:rsid w:val="000A242A"/>
    <w:rsid w:val="000A2F5D"/>
    <w:rsid w:val="000A3293"/>
    <w:rsid w:val="000A4E01"/>
    <w:rsid w:val="000A6D32"/>
    <w:rsid w:val="000B011B"/>
    <w:rsid w:val="000B087C"/>
    <w:rsid w:val="000B2607"/>
    <w:rsid w:val="000B3512"/>
    <w:rsid w:val="000B408C"/>
    <w:rsid w:val="000B4F2D"/>
    <w:rsid w:val="000B5B01"/>
    <w:rsid w:val="000B6276"/>
    <w:rsid w:val="000C19CA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2DDA"/>
    <w:rsid w:val="000E37F8"/>
    <w:rsid w:val="000E3FE3"/>
    <w:rsid w:val="000E4221"/>
    <w:rsid w:val="000E491C"/>
    <w:rsid w:val="000E562B"/>
    <w:rsid w:val="000E5C22"/>
    <w:rsid w:val="000E7A1B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100AB7"/>
    <w:rsid w:val="00100D18"/>
    <w:rsid w:val="00101F79"/>
    <w:rsid w:val="00101FD5"/>
    <w:rsid w:val="00103274"/>
    <w:rsid w:val="0010482D"/>
    <w:rsid w:val="00104864"/>
    <w:rsid w:val="00104F4D"/>
    <w:rsid w:val="001051F1"/>
    <w:rsid w:val="00105420"/>
    <w:rsid w:val="00106091"/>
    <w:rsid w:val="00106F43"/>
    <w:rsid w:val="00111C96"/>
    <w:rsid w:val="0011245B"/>
    <w:rsid w:val="00113AE2"/>
    <w:rsid w:val="001166FC"/>
    <w:rsid w:val="00120461"/>
    <w:rsid w:val="00122F6C"/>
    <w:rsid w:val="00127C0D"/>
    <w:rsid w:val="0013000A"/>
    <w:rsid w:val="00130571"/>
    <w:rsid w:val="00131413"/>
    <w:rsid w:val="00131973"/>
    <w:rsid w:val="00131DA6"/>
    <w:rsid w:val="00132C88"/>
    <w:rsid w:val="00133122"/>
    <w:rsid w:val="00133DEF"/>
    <w:rsid w:val="001350AE"/>
    <w:rsid w:val="00135728"/>
    <w:rsid w:val="0013633B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29B"/>
    <w:rsid w:val="00157840"/>
    <w:rsid w:val="001619D7"/>
    <w:rsid w:val="00161C39"/>
    <w:rsid w:val="00162273"/>
    <w:rsid w:val="001623A0"/>
    <w:rsid w:val="0016241A"/>
    <w:rsid w:val="001641C6"/>
    <w:rsid w:val="00165579"/>
    <w:rsid w:val="00167EC8"/>
    <w:rsid w:val="00167FBD"/>
    <w:rsid w:val="001703F3"/>
    <w:rsid w:val="001706B9"/>
    <w:rsid w:val="00171099"/>
    <w:rsid w:val="00172A6A"/>
    <w:rsid w:val="00175544"/>
    <w:rsid w:val="00176502"/>
    <w:rsid w:val="001769B8"/>
    <w:rsid w:val="00177001"/>
    <w:rsid w:val="00177708"/>
    <w:rsid w:val="0017786C"/>
    <w:rsid w:val="00180595"/>
    <w:rsid w:val="00180802"/>
    <w:rsid w:val="001811B0"/>
    <w:rsid w:val="001815F2"/>
    <w:rsid w:val="00185DEA"/>
    <w:rsid w:val="001870D8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351"/>
    <w:rsid w:val="00195503"/>
    <w:rsid w:val="001956F6"/>
    <w:rsid w:val="001960CC"/>
    <w:rsid w:val="0019618E"/>
    <w:rsid w:val="00197074"/>
    <w:rsid w:val="00197650"/>
    <w:rsid w:val="001976BB"/>
    <w:rsid w:val="001A0105"/>
    <w:rsid w:val="001A08A2"/>
    <w:rsid w:val="001A1679"/>
    <w:rsid w:val="001A1940"/>
    <w:rsid w:val="001A387A"/>
    <w:rsid w:val="001A4181"/>
    <w:rsid w:val="001A44D2"/>
    <w:rsid w:val="001A4B25"/>
    <w:rsid w:val="001A59D0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86"/>
    <w:rsid w:val="001D7DD5"/>
    <w:rsid w:val="001E02A9"/>
    <w:rsid w:val="001E0CD2"/>
    <w:rsid w:val="001E0DB2"/>
    <w:rsid w:val="001E1089"/>
    <w:rsid w:val="001E10AD"/>
    <w:rsid w:val="001E276E"/>
    <w:rsid w:val="001E44ED"/>
    <w:rsid w:val="001E4948"/>
    <w:rsid w:val="001E525D"/>
    <w:rsid w:val="001E71A9"/>
    <w:rsid w:val="001E7BDA"/>
    <w:rsid w:val="001F168B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9C1"/>
    <w:rsid w:val="001F6AD0"/>
    <w:rsid w:val="001F6B14"/>
    <w:rsid w:val="001F6E0B"/>
    <w:rsid w:val="001F77FB"/>
    <w:rsid w:val="001F7A59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2C1D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981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0EEC"/>
    <w:rsid w:val="002334C6"/>
    <w:rsid w:val="00233B80"/>
    <w:rsid w:val="00233F1F"/>
    <w:rsid w:val="00236F3A"/>
    <w:rsid w:val="002403C8"/>
    <w:rsid w:val="00240860"/>
    <w:rsid w:val="00242EB1"/>
    <w:rsid w:val="002432FA"/>
    <w:rsid w:val="002437D1"/>
    <w:rsid w:val="00243953"/>
    <w:rsid w:val="002453DC"/>
    <w:rsid w:val="00245FF4"/>
    <w:rsid w:val="0024755E"/>
    <w:rsid w:val="002509D7"/>
    <w:rsid w:val="00251097"/>
    <w:rsid w:val="002527A0"/>
    <w:rsid w:val="00255928"/>
    <w:rsid w:val="002560D7"/>
    <w:rsid w:val="00256210"/>
    <w:rsid w:val="00260B84"/>
    <w:rsid w:val="00260F87"/>
    <w:rsid w:val="00261F07"/>
    <w:rsid w:val="002629CA"/>
    <w:rsid w:val="00262D64"/>
    <w:rsid w:val="00264FC0"/>
    <w:rsid w:val="00265AF2"/>
    <w:rsid w:val="002668EC"/>
    <w:rsid w:val="00266AE7"/>
    <w:rsid w:val="00267280"/>
    <w:rsid w:val="00270479"/>
    <w:rsid w:val="00270CF1"/>
    <w:rsid w:val="0027174A"/>
    <w:rsid w:val="002730CC"/>
    <w:rsid w:val="00275D7F"/>
    <w:rsid w:val="00275EF2"/>
    <w:rsid w:val="00276166"/>
    <w:rsid w:val="002777B8"/>
    <w:rsid w:val="00280406"/>
    <w:rsid w:val="00280426"/>
    <w:rsid w:val="00280BF5"/>
    <w:rsid w:val="002812A1"/>
    <w:rsid w:val="0028205E"/>
    <w:rsid w:val="00283FE8"/>
    <w:rsid w:val="00284D35"/>
    <w:rsid w:val="002859AA"/>
    <w:rsid w:val="00286407"/>
    <w:rsid w:val="002865FB"/>
    <w:rsid w:val="00286A5C"/>
    <w:rsid w:val="00286ABF"/>
    <w:rsid w:val="00287115"/>
    <w:rsid w:val="00287C5E"/>
    <w:rsid w:val="00290507"/>
    <w:rsid w:val="0029058A"/>
    <w:rsid w:val="00290F98"/>
    <w:rsid w:val="0029141E"/>
    <w:rsid w:val="00291D33"/>
    <w:rsid w:val="00292460"/>
    <w:rsid w:val="00292CE5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199F"/>
    <w:rsid w:val="002A29A5"/>
    <w:rsid w:val="002A3501"/>
    <w:rsid w:val="002A3D46"/>
    <w:rsid w:val="002A56B5"/>
    <w:rsid w:val="002A5A71"/>
    <w:rsid w:val="002A5ECE"/>
    <w:rsid w:val="002A60E6"/>
    <w:rsid w:val="002A7756"/>
    <w:rsid w:val="002B13E8"/>
    <w:rsid w:val="002B33A3"/>
    <w:rsid w:val="002B3CB7"/>
    <w:rsid w:val="002B52E9"/>
    <w:rsid w:val="002B5EB6"/>
    <w:rsid w:val="002B6038"/>
    <w:rsid w:val="002C5439"/>
    <w:rsid w:val="002C57C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88F"/>
    <w:rsid w:val="002D790E"/>
    <w:rsid w:val="002E0B31"/>
    <w:rsid w:val="002E1869"/>
    <w:rsid w:val="002E1F19"/>
    <w:rsid w:val="002E216C"/>
    <w:rsid w:val="002E2E2D"/>
    <w:rsid w:val="002E3CF7"/>
    <w:rsid w:val="002E4C89"/>
    <w:rsid w:val="002E6989"/>
    <w:rsid w:val="002E6D07"/>
    <w:rsid w:val="002F1D59"/>
    <w:rsid w:val="002F1E5B"/>
    <w:rsid w:val="002F36CE"/>
    <w:rsid w:val="002F44F2"/>
    <w:rsid w:val="002F5834"/>
    <w:rsid w:val="002F6A5B"/>
    <w:rsid w:val="002F7C69"/>
    <w:rsid w:val="002F7F8A"/>
    <w:rsid w:val="00300EB9"/>
    <w:rsid w:val="003012F6"/>
    <w:rsid w:val="003024B5"/>
    <w:rsid w:val="0030281F"/>
    <w:rsid w:val="0030435A"/>
    <w:rsid w:val="00305903"/>
    <w:rsid w:val="00305D05"/>
    <w:rsid w:val="00306247"/>
    <w:rsid w:val="003077CA"/>
    <w:rsid w:val="00307A9E"/>
    <w:rsid w:val="00307AC6"/>
    <w:rsid w:val="0031187D"/>
    <w:rsid w:val="003127A5"/>
    <w:rsid w:val="00314BB8"/>
    <w:rsid w:val="00314CF8"/>
    <w:rsid w:val="00315460"/>
    <w:rsid w:val="003156B9"/>
    <w:rsid w:val="00315915"/>
    <w:rsid w:val="003159C3"/>
    <w:rsid w:val="0031633F"/>
    <w:rsid w:val="00320742"/>
    <w:rsid w:val="00320AA9"/>
    <w:rsid w:val="00320AB9"/>
    <w:rsid w:val="00320E1A"/>
    <w:rsid w:val="003238A2"/>
    <w:rsid w:val="00324537"/>
    <w:rsid w:val="00324F66"/>
    <w:rsid w:val="0032547C"/>
    <w:rsid w:val="00325B84"/>
    <w:rsid w:val="00327307"/>
    <w:rsid w:val="00330C10"/>
    <w:rsid w:val="00331AFF"/>
    <w:rsid w:val="003322E3"/>
    <w:rsid w:val="0033300E"/>
    <w:rsid w:val="00333777"/>
    <w:rsid w:val="00333E8A"/>
    <w:rsid w:val="00333FD9"/>
    <w:rsid w:val="0033446A"/>
    <w:rsid w:val="00334558"/>
    <w:rsid w:val="0033584D"/>
    <w:rsid w:val="00335A41"/>
    <w:rsid w:val="00335F46"/>
    <w:rsid w:val="00336624"/>
    <w:rsid w:val="003371B8"/>
    <w:rsid w:val="00341784"/>
    <w:rsid w:val="00341EC2"/>
    <w:rsid w:val="00343605"/>
    <w:rsid w:val="003458C7"/>
    <w:rsid w:val="00345907"/>
    <w:rsid w:val="00347FC6"/>
    <w:rsid w:val="00350C7F"/>
    <w:rsid w:val="003510E5"/>
    <w:rsid w:val="00351280"/>
    <w:rsid w:val="0035140A"/>
    <w:rsid w:val="00352499"/>
    <w:rsid w:val="003526C7"/>
    <w:rsid w:val="003526EA"/>
    <w:rsid w:val="00354B79"/>
    <w:rsid w:val="0035506D"/>
    <w:rsid w:val="0035533A"/>
    <w:rsid w:val="003566BA"/>
    <w:rsid w:val="003606F7"/>
    <w:rsid w:val="003624A3"/>
    <w:rsid w:val="00362DFB"/>
    <w:rsid w:val="00363D5B"/>
    <w:rsid w:val="00364D90"/>
    <w:rsid w:val="0036502F"/>
    <w:rsid w:val="0036717D"/>
    <w:rsid w:val="003677C6"/>
    <w:rsid w:val="003709D6"/>
    <w:rsid w:val="003711CB"/>
    <w:rsid w:val="00371545"/>
    <w:rsid w:val="00371FFE"/>
    <w:rsid w:val="00372C60"/>
    <w:rsid w:val="00372EAA"/>
    <w:rsid w:val="00372F0B"/>
    <w:rsid w:val="003730E9"/>
    <w:rsid w:val="00373211"/>
    <w:rsid w:val="003772B8"/>
    <w:rsid w:val="003774DA"/>
    <w:rsid w:val="0037768F"/>
    <w:rsid w:val="00377FF4"/>
    <w:rsid w:val="00380A87"/>
    <w:rsid w:val="00380AE4"/>
    <w:rsid w:val="00381DEE"/>
    <w:rsid w:val="00382B96"/>
    <w:rsid w:val="003839BE"/>
    <w:rsid w:val="00383CA3"/>
    <w:rsid w:val="00385E3C"/>
    <w:rsid w:val="003868FD"/>
    <w:rsid w:val="003911C4"/>
    <w:rsid w:val="003911FB"/>
    <w:rsid w:val="00391411"/>
    <w:rsid w:val="00391A76"/>
    <w:rsid w:val="00394208"/>
    <w:rsid w:val="00396AC0"/>
    <w:rsid w:val="003A002F"/>
    <w:rsid w:val="003A0663"/>
    <w:rsid w:val="003A1164"/>
    <w:rsid w:val="003A128B"/>
    <w:rsid w:val="003A16CD"/>
    <w:rsid w:val="003A2018"/>
    <w:rsid w:val="003A29EC"/>
    <w:rsid w:val="003A359E"/>
    <w:rsid w:val="003A37E8"/>
    <w:rsid w:val="003A3DB3"/>
    <w:rsid w:val="003A4336"/>
    <w:rsid w:val="003A465F"/>
    <w:rsid w:val="003A7078"/>
    <w:rsid w:val="003A70A0"/>
    <w:rsid w:val="003A7AD9"/>
    <w:rsid w:val="003A7FC2"/>
    <w:rsid w:val="003B001D"/>
    <w:rsid w:val="003B0423"/>
    <w:rsid w:val="003B0B59"/>
    <w:rsid w:val="003B172A"/>
    <w:rsid w:val="003B215F"/>
    <w:rsid w:val="003B2370"/>
    <w:rsid w:val="003B2927"/>
    <w:rsid w:val="003B5C6C"/>
    <w:rsid w:val="003B670A"/>
    <w:rsid w:val="003B74CD"/>
    <w:rsid w:val="003C0AC2"/>
    <w:rsid w:val="003C0C8B"/>
    <w:rsid w:val="003C11E2"/>
    <w:rsid w:val="003C13EA"/>
    <w:rsid w:val="003C18DB"/>
    <w:rsid w:val="003C1C4A"/>
    <w:rsid w:val="003C3DE3"/>
    <w:rsid w:val="003C5DB7"/>
    <w:rsid w:val="003C681B"/>
    <w:rsid w:val="003C7AC0"/>
    <w:rsid w:val="003D15FB"/>
    <w:rsid w:val="003D2AD2"/>
    <w:rsid w:val="003D3694"/>
    <w:rsid w:val="003D3956"/>
    <w:rsid w:val="003D3BE0"/>
    <w:rsid w:val="003D6645"/>
    <w:rsid w:val="003D73E3"/>
    <w:rsid w:val="003D7A69"/>
    <w:rsid w:val="003D7AB1"/>
    <w:rsid w:val="003E02A5"/>
    <w:rsid w:val="003E08A3"/>
    <w:rsid w:val="003E1463"/>
    <w:rsid w:val="003E1B82"/>
    <w:rsid w:val="003E23B4"/>
    <w:rsid w:val="003E2531"/>
    <w:rsid w:val="003E25D4"/>
    <w:rsid w:val="003E2C7F"/>
    <w:rsid w:val="003E376C"/>
    <w:rsid w:val="003E4515"/>
    <w:rsid w:val="003E45E4"/>
    <w:rsid w:val="003E4C27"/>
    <w:rsid w:val="003E5C14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3F9F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1A9E"/>
    <w:rsid w:val="004126B6"/>
    <w:rsid w:val="00412E09"/>
    <w:rsid w:val="00414E05"/>
    <w:rsid w:val="00414ED4"/>
    <w:rsid w:val="00415150"/>
    <w:rsid w:val="00415C9E"/>
    <w:rsid w:val="004174EA"/>
    <w:rsid w:val="00417703"/>
    <w:rsid w:val="00420A31"/>
    <w:rsid w:val="0042110A"/>
    <w:rsid w:val="004229F3"/>
    <w:rsid w:val="00422D17"/>
    <w:rsid w:val="004241E7"/>
    <w:rsid w:val="00425EA8"/>
    <w:rsid w:val="00430280"/>
    <w:rsid w:val="00431391"/>
    <w:rsid w:val="004316B8"/>
    <w:rsid w:val="00431CE0"/>
    <w:rsid w:val="004338B2"/>
    <w:rsid w:val="00434151"/>
    <w:rsid w:val="00434FEF"/>
    <w:rsid w:val="004401FC"/>
    <w:rsid w:val="00443537"/>
    <w:rsid w:val="00443CED"/>
    <w:rsid w:val="00443D1D"/>
    <w:rsid w:val="004449D5"/>
    <w:rsid w:val="00445492"/>
    <w:rsid w:val="004454BC"/>
    <w:rsid w:val="004458CD"/>
    <w:rsid w:val="00445ACB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F66"/>
    <w:rsid w:val="004662EE"/>
    <w:rsid w:val="004663DB"/>
    <w:rsid w:val="004665EE"/>
    <w:rsid w:val="00466F95"/>
    <w:rsid w:val="00470205"/>
    <w:rsid w:val="00472434"/>
    <w:rsid w:val="00472A58"/>
    <w:rsid w:val="00473812"/>
    <w:rsid w:val="004757E7"/>
    <w:rsid w:val="0047691A"/>
    <w:rsid w:val="00476E80"/>
    <w:rsid w:val="00477F73"/>
    <w:rsid w:val="00480B41"/>
    <w:rsid w:val="00480D6B"/>
    <w:rsid w:val="004812A6"/>
    <w:rsid w:val="0048167C"/>
    <w:rsid w:val="0048173D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386E"/>
    <w:rsid w:val="004969E0"/>
    <w:rsid w:val="0049701E"/>
    <w:rsid w:val="004A1370"/>
    <w:rsid w:val="004A15CE"/>
    <w:rsid w:val="004A1CBD"/>
    <w:rsid w:val="004A3254"/>
    <w:rsid w:val="004A3C70"/>
    <w:rsid w:val="004A42D1"/>
    <w:rsid w:val="004A42F5"/>
    <w:rsid w:val="004A47F9"/>
    <w:rsid w:val="004A6ADF"/>
    <w:rsid w:val="004A70A6"/>
    <w:rsid w:val="004A7314"/>
    <w:rsid w:val="004B07C3"/>
    <w:rsid w:val="004B4AD0"/>
    <w:rsid w:val="004B4B82"/>
    <w:rsid w:val="004B506E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5E8C"/>
    <w:rsid w:val="004C6532"/>
    <w:rsid w:val="004C7C43"/>
    <w:rsid w:val="004D1C79"/>
    <w:rsid w:val="004D1C9F"/>
    <w:rsid w:val="004D2ACE"/>
    <w:rsid w:val="004D2BC3"/>
    <w:rsid w:val="004D2D37"/>
    <w:rsid w:val="004D56F6"/>
    <w:rsid w:val="004D58D5"/>
    <w:rsid w:val="004D6051"/>
    <w:rsid w:val="004D6C61"/>
    <w:rsid w:val="004D7637"/>
    <w:rsid w:val="004D7A17"/>
    <w:rsid w:val="004E0C17"/>
    <w:rsid w:val="004E1AF5"/>
    <w:rsid w:val="004E1ED1"/>
    <w:rsid w:val="004E3C65"/>
    <w:rsid w:val="004E3C89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5285"/>
    <w:rsid w:val="004F53E9"/>
    <w:rsid w:val="004F5D28"/>
    <w:rsid w:val="004F7230"/>
    <w:rsid w:val="004F750B"/>
    <w:rsid w:val="004F7D56"/>
    <w:rsid w:val="00500A68"/>
    <w:rsid w:val="005020B7"/>
    <w:rsid w:val="005035AA"/>
    <w:rsid w:val="0050486A"/>
    <w:rsid w:val="00504E63"/>
    <w:rsid w:val="005050CC"/>
    <w:rsid w:val="005056FC"/>
    <w:rsid w:val="0050710E"/>
    <w:rsid w:val="005074D8"/>
    <w:rsid w:val="00507E04"/>
    <w:rsid w:val="00510EB1"/>
    <w:rsid w:val="00511731"/>
    <w:rsid w:val="00512FC9"/>
    <w:rsid w:val="005131CD"/>
    <w:rsid w:val="005146C4"/>
    <w:rsid w:val="00514760"/>
    <w:rsid w:val="00517B9F"/>
    <w:rsid w:val="005205F9"/>
    <w:rsid w:val="005208F4"/>
    <w:rsid w:val="005209BD"/>
    <w:rsid w:val="00520A99"/>
    <w:rsid w:val="00520F91"/>
    <w:rsid w:val="00521A61"/>
    <w:rsid w:val="00521DA2"/>
    <w:rsid w:val="0052216A"/>
    <w:rsid w:val="00524E0C"/>
    <w:rsid w:val="00526F62"/>
    <w:rsid w:val="005311B3"/>
    <w:rsid w:val="0053160D"/>
    <w:rsid w:val="005323AC"/>
    <w:rsid w:val="005336FA"/>
    <w:rsid w:val="0053433E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D1A"/>
    <w:rsid w:val="00543F37"/>
    <w:rsid w:val="00546DB4"/>
    <w:rsid w:val="00546F4D"/>
    <w:rsid w:val="00547816"/>
    <w:rsid w:val="00547E3C"/>
    <w:rsid w:val="005513DF"/>
    <w:rsid w:val="00552A3B"/>
    <w:rsid w:val="005572B4"/>
    <w:rsid w:val="005576D1"/>
    <w:rsid w:val="00561EB3"/>
    <w:rsid w:val="0056302B"/>
    <w:rsid w:val="00566214"/>
    <w:rsid w:val="0056728C"/>
    <w:rsid w:val="00567EC5"/>
    <w:rsid w:val="00567F47"/>
    <w:rsid w:val="0057101A"/>
    <w:rsid w:val="005713E9"/>
    <w:rsid w:val="0057160E"/>
    <w:rsid w:val="005735D0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099"/>
    <w:rsid w:val="005853AF"/>
    <w:rsid w:val="00587BE6"/>
    <w:rsid w:val="0059000E"/>
    <w:rsid w:val="00590D24"/>
    <w:rsid w:val="00591010"/>
    <w:rsid w:val="00592C5D"/>
    <w:rsid w:val="0059398F"/>
    <w:rsid w:val="00594384"/>
    <w:rsid w:val="00594B41"/>
    <w:rsid w:val="00596550"/>
    <w:rsid w:val="0059683E"/>
    <w:rsid w:val="005969C1"/>
    <w:rsid w:val="00597AD5"/>
    <w:rsid w:val="00597E91"/>
    <w:rsid w:val="005A2310"/>
    <w:rsid w:val="005A291D"/>
    <w:rsid w:val="005A2C11"/>
    <w:rsid w:val="005A368F"/>
    <w:rsid w:val="005A398D"/>
    <w:rsid w:val="005A654E"/>
    <w:rsid w:val="005B1117"/>
    <w:rsid w:val="005B3875"/>
    <w:rsid w:val="005B3F9D"/>
    <w:rsid w:val="005B414B"/>
    <w:rsid w:val="005B4488"/>
    <w:rsid w:val="005B6087"/>
    <w:rsid w:val="005B6505"/>
    <w:rsid w:val="005B6E11"/>
    <w:rsid w:val="005C19F5"/>
    <w:rsid w:val="005C214D"/>
    <w:rsid w:val="005C391A"/>
    <w:rsid w:val="005C39FF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456D"/>
    <w:rsid w:val="005D7065"/>
    <w:rsid w:val="005D7FD2"/>
    <w:rsid w:val="005E0696"/>
    <w:rsid w:val="005E0A80"/>
    <w:rsid w:val="005E1E3E"/>
    <w:rsid w:val="005E20A2"/>
    <w:rsid w:val="005E233F"/>
    <w:rsid w:val="005E281A"/>
    <w:rsid w:val="005E2F41"/>
    <w:rsid w:val="005E38FD"/>
    <w:rsid w:val="005E3ECF"/>
    <w:rsid w:val="005E40F4"/>
    <w:rsid w:val="005E5265"/>
    <w:rsid w:val="005E532E"/>
    <w:rsid w:val="005E6790"/>
    <w:rsid w:val="005F0328"/>
    <w:rsid w:val="005F03EB"/>
    <w:rsid w:val="005F16FB"/>
    <w:rsid w:val="005F4000"/>
    <w:rsid w:val="005F4D73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3BB6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8D"/>
    <w:rsid w:val="006237B6"/>
    <w:rsid w:val="0062530A"/>
    <w:rsid w:val="0062679D"/>
    <w:rsid w:val="00626B9D"/>
    <w:rsid w:val="00627F3C"/>
    <w:rsid w:val="006319D6"/>
    <w:rsid w:val="00631DB2"/>
    <w:rsid w:val="00631E9B"/>
    <w:rsid w:val="006333EC"/>
    <w:rsid w:val="00633793"/>
    <w:rsid w:val="00634C7E"/>
    <w:rsid w:val="00634DB2"/>
    <w:rsid w:val="00635959"/>
    <w:rsid w:val="00635BC5"/>
    <w:rsid w:val="006376C3"/>
    <w:rsid w:val="00641D81"/>
    <w:rsid w:val="0064223D"/>
    <w:rsid w:val="00642B0B"/>
    <w:rsid w:val="00643649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3610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4037"/>
    <w:rsid w:val="00664265"/>
    <w:rsid w:val="00665E9C"/>
    <w:rsid w:val="006665BF"/>
    <w:rsid w:val="00666A97"/>
    <w:rsid w:val="00667DEC"/>
    <w:rsid w:val="006701FD"/>
    <w:rsid w:val="006702E4"/>
    <w:rsid w:val="006713E6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4620"/>
    <w:rsid w:val="0068533F"/>
    <w:rsid w:val="006854B3"/>
    <w:rsid w:val="00685525"/>
    <w:rsid w:val="0068562E"/>
    <w:rsid w:val="0068688B"/>
    <w:rsid w:val="00686ECD"/>
    <w:rsid w:val="00686F03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97DAE"/>
    <w:rsid w:val="006A1CD0"/>
    <w:rsid w:val="006A394F"/>
    <w:rsid w:val="006A46EF"/>
    <w:rsid w:val="006A5409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C7C62"/>
    <w:rsid w:val="006D026B"/>
    <w:rsid w:val="006D05D3"/>
    <w:rsid w:val="006D08C3"/>
    <w:rsid w:val="006D1CCA"/>
    <w:rsid w:val="006D2359"/>
    <w:rsid w:val="006D265A"/>
    <w:rsid w:val="006D30F2"/>
    <w:rsid w:val="006D313F"/>
    <w:rsid w:val="006D3C53"/>
    <w:rsid w:val="006D5C28"/>
    <w:rsid w:val="006D6A67"/>
    <w:rsid w:val="006D6C74"/>
    <w:rsid w:val="006D6D94"/>
    <w:rsid w:val="006D7782"/>
    <w:rsid w:val="006E1474"/>
    <w:rsid w:val="006E193B"/>
    <w:rsid w:val="006E2B83"/>
    <w:rsid w:val="006E2C68"/>
    <w:rsid w:val="006E31FF"/>
    <w:rsid w:val="006E3A5F"/>
    <w:rsid w:val="006E3A8E"/>
    <w:rsid w:val="006E3C2E"/>
    <w:rsid w:val="006E4E4E"/>
    <w:rsid w:val="006E5489"/>
    <w:rsid w:val="006E5537"/>
    <w:rsid w:val="006E5D43"/>
    <w:rsid w:val="006E752D"/>
    <w:rsid w:val="006E757B"/>
    <w:rsid w:val="006F12AA"/>
    <w:rsid w:val="006F14D7"/>
    <w:rsid w:val="006F1D2A"/>
    <w:rsid w:val="006F240D"/>
    <w:rsid w:val="006F4357"/>
    <w:rsid w:val="006F5603"/>
    <w:rsid w:val="006F56C5"/>
    <w:rsid w:val="006F6210"/>
    <w:rsid w:val="006F62B1"/>
    <w:rsid w:val="006F687D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67"/>
    <w:rsid w:val="0073147D"/>
    <w:rsid w:val="00731981"/>
    <w:rsid w:val="00731B27"/>
    <w:rsid w:val="00732899"/>
    <w:rsid w:val="00733008"/>
    <w:rsid w:val="007343D3"/>
    <w:rsid w:val="00734A61"/>
    <w:rsid w:val="007369D4"/>
    <w:rsid w:val="00736D73"/>
    <w:rsid w:val="00736FE8"/>
    <w:rsid w:val="007372E2"/>
    <w:rsid w:val="00740108"/>
    <w:rsid w:val="007403E3"/>
    <w:rsid w:val="00740E84"/>
    <w:rsid w:val="0074292A"/>
    <w:rsid w:val="00742972"/>
    <w:rsid w:val="00744567"/>
    <w:rsid w:val="00744A8F"/>
    <w:rsid w:val="00744F57"/>
    <w:rsid w:val="007465E7"/>
    <w:rsid w:val="0074690D"/>
    <w:rsid w:val="00746A78"/>
    <w:rsid w:val="00747C42"/>
    <w:rsid w:val="00750A1D"/>
    <w:rsid w:val="00751D55"/>
    <w:rsid w:val="0075406E"/>
    <w:rsid w:val="0075571A"/>
    <w:rsid w:val="00757526"/>
    <w:rsid w:val="00761FB7"/>
    <w:rsid w:val="007623E3"/>
    <w:rsid w:val="00763372"/>
    <w:rsid w:val="00766AAD"/>
    <w:rsid w:val="00766F6F"/>
    <w:rsid w:val="00767D20"/>
    <w:rsid w:val="00770A36"/>
    <w:rsid w:val="00771846"/>
    <w:rsid w:val="00773385"/>
    <w:rsid w:val="007735EA"/>
    <w:rsid w:val="00774F51"/>
    <w:rsid w:val="00777AEF"/>
    <w:rsid w:val="00781062"/>
    <w:rsid w:val="00781D3C"/>
    <w:rsid w:val="007825DF"/>
    <w:rsid w:val="00782E26"/>
    <w:rsid w:val="00782F3D"/>
    <w:rsid w:val="0078367A"/>
    <w:rsid w:val="007837BE"/>
    <w:rsid w:val="007840C6"/>
    <w:rsid w:val="00786773"/>
    <w:rsid w:val="00787C20"/>
    <w:rsid w:val="00791384"/>
    <w:rsid w:val="007933DD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1349"/>
    <w:rsid w:val="007A13F5"/>
    <w:rsid w:val="007A5B13"/>
    <w:rsid w:val="007A5B1D"/>
    <w:rsid w:val="007A720D"/>
    <w:rsid w:val="007B0581"/>
    <w:rsid w:val="007B0E4D"/>
    <w:rsid w:val="007B3011"/>
    <w:rsid w:val="007B3903"/>
    <w:rsid w:val="007B4153"/>
    <w:rsid w:val="007B4ACF"/>
    <w:rsid w:val="007B5094"/>
    <w:rsid w:val="007B5B1C"/>
    <w:rsid w:val="007B5BBF"/>
    <w:rsid w:val="007B5D6A"/>
    <w:rsid w:val="007B6CFC"/>
    <w:rsid w:val="007B6EE1"/>
    <w:rsid w:val="007B6F57"/>
    <w:rsid w:val="007B7193"/>
    <w:rsid w:val="007B72DA"/>
    <w:rsid w:val="007C01B1"/>
    <w:rsid w:val="007C1632"/>
    <w:rsid w:val="007C1700"/>
    <w:rsid w:val="007C239B"/>
    <w:rsid w:val="007C2581"/>
    <w:rsid w:val="007C436E"/>
    <w:rsid w:val="007C4DB7"/>
    <w:rsid w:val="007C5670"/>
    <w:rsid w:val="007C5CEE"/>
    <w:rsid w:val="007C72DC"/>
    <w:rsid w:val="007C7FF9"/>
    <w:rsid w:val="007D1805"/>
    <w:rsid w:val="007D2262"/>
    <w:rsid w:val="007D3FD7"/>
    <w:rsid w:val="007D4460"/>
    <w:rsid w:val="007D5525"/>
    <w:rsid w:val="007D670E"/>
    <w:rsid w:val="007D6D34"/>
    <w:rsid w:val="007E01DE"/>
    <w:rsid w:val="007E0283"/>
    <w:rsid w:val="007E18DD"/>
    <w:rsid w:val="007E210D"/>
    <w:rsid w:val="007E24D0"/>
    <w:rsid w:val="007E2583"/>
    <w:rsid w:val="007E297C"/>
    <w:rsid w:val="007E29DB"/>
    <w:rsid w:val="007E4104"/>
    <w:rsid w:val="007E477E"/>
    <w:rsid w:val="007E54F5"/>
    <w:rsid w:val="007E560A"/>
    <w:rsid w:val="007E69EE"/>
    <w:rsid w:val="007E6C5A"/>
    <w:rsid w:val="007E7836"/>
    <w:rsid w:val="007E7869"/>
    <w:rsid w:val="007F0B0F"/>
    <w:rsid w:val="007F0D3C"/>
    <w:rsid w:val="007F1695"/>
    <w:rsid w:val="007F21FC"/>
    <w:rsid w:val="007F29A2"/>
    <w:rsid w:val="007F2B90"/>
    <w:rsid w:val="007F2ECE"/>
    <w:rsid w:val="007F412B"/>
    <w:rsid w:val="007F5C6F"/>
    <w:rsid w:val="007F6A2B"/>
    <w:rsid w:val="0080101C"/>
    <w:rsid w:val="00801300"/>
    <w:rsid w:val="0080293A"/>
    <w:rsid w:val="00802B83"/>
    <w:rsid w:val="00803D19"/>
    <w:rsid w:val="0080429D"/>
    <w:rsid w:val="0080476C"/>
    <w:rsid w:val="008058F0"/>
    <w:rsid w:val="008059B5"/>
    <w:rsid w:val="00805BDC"/>
    <w:rsid w:val="0080722A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07DD"/>
    <w:rsid w:val="00821160"/>
    <w:rsid w:val="00821272"/>
    <w:rsid w:val="008212B7"/>
    <w:rsid w:val="00821EB9"/>
    <w:rsid w:val="00821F35"/>
    <w:rsid w:val="008220D0"/>
    <w:rsid w:val="008226C9"/>
    <w:rsid w:val="00822898"/>
    <w:rsid w:val="00822961"/>
    <w:rsid w:val="0082356B"/>
    <w:rsid w:val="00823D91"/>
    <w:rsid w:val="00825B54"/>
    <w:rsid w:val="008264A6"/>
    <w:rsid w:val="00827CAC"/>
    <w:rsid w:val="00832DCD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7140"/>
    <w:rsid w:val="00850DA2"/>
    <w:rsid w:val="0085247D"/>
    <w:rsid w:val="00852644"/>
    <w:rsid w:val="00852E53"/>
    <w:rsid w:val="0085302B"/>
    <w:rsid w:val="0085422B"/>
    <w:rsid w:val="00854CB9"/>
    <w:rsid w:val="00854CD1"/>
    <w:rsid w:val="00855817"/>
    <w:rsid w:val="00855E67"/>
    <w:rsid w:val="00857E82"/>
    <w:rsid w:val="00861845"/>
    <w:rsid w:val="00861D61"/>
    <w:rsid w:val="008620E3"/>
    <w:rsid w:val="00862436"/>
    <w:rsid w:val="00862B0D"/>
    <w:rsid w:val="00862E91"/>
    <w:rsid w:val="0086389C"/>
    <w:rsid w:val="0086421C"/>
    <w:rsid w:val="00864930"/>
    <w:rsid w:val="00865514"/>
    <w:rsid w:val="00865A5E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F85"/>
    <w:rsid w:val="00875714"/>
    <w:rsid w:val="0087587C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88F"/>
    <w:rsid w:val="008919ED"/>
    <w:rsid w:val="00891E1F"/>
    <w:rsid w:val="008926B4"/>
    <w:rsid w:val="008926B9"/>
    <w:rsid w:val="00892BAE"/>
    <w:rsid w:val="00892D44"/>
    <w:rsid w:val="00892F87"/>
    <w:rsid w:val="008933F8"/>
    <w:rsid w:val="008948E1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03B"/>
    <w:rsid w:val="008B2198"/>
    <w:rsid w:val="008B25B1"/>
    <w:rsid w:val="008B37C2"/>
    <w:rsid w:val="008B3B75"/>
    <w:rsid w:val="008B40D3"/>
    <w:rsid w:val="008B5358"/>
    <w:rsid w:val="008B56C1"/>
    <w:rsid w:val="008B5F0B"/>
    <w:rsid w:val="008B7FA7"/>
    <w:rsid w:val="008C039F"/>
    <w:rsid w:val="008C04F9"/>
    <w:rsid w:val="008C13BA"/>
    <w:rsid w:val="008C1DFC"/>
    <w:rsid w:val="008C31B9"/>
    <w:rsid w:val="008C4616"/>
    <w:rsid w:val="008C529A"/>
    <w:rsid w:val="008C547D"/>
    <w:rsid w:val="008C5BDF"/>
    <w:rsid w:val="008C5F38"/>
    <w:rsid w:val="008C6058"/>
    <w:rsid w:val="008C68AB"/>
    <w:rsid w:val="008C6DDE"/>
    <w:rsid w:val="008C6F4B"/>
    <w:rsid w:val="008C7833"/>
    <w:rsid w:val="008C7AE6"/>
    <w:rsid w:val="008D0254"/>
    <w:rsid w:val="008D085C"/>
    <w:rsid w:val="008D09CC"/>
    <w:rsid w:val="008D1291"/>
    <w:rsid w:val="008D1BC4"/>
    <w:rsid w:val="008D235B"/>
    <w:rsid w:val="008D310B"/>
    <w:rsid w:val="008D4B4B"/>
    <w:rsid w:val="008D4BA5"/>
    <w:rsid w:val="008D5A54"/>
    <w:rsid w:val="008D7652"/>
    <w:rsid w:val="008D7A68"/>
    <w:rsid w:val="008D7E42"/>
    <w:rsid w:val="008D7F3E"/>
    <w:rsid w:val="008E3A89"/>
    <w:rsid w:val="008E47A0"/>
    <w:rsid w:val="008E52A1"/>
    <w:rsid w:val="008E5402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D43"/>
    <w:rsid w:val="008F3258"/>
    <w:rsid w:val="008F3908"/>
    <w:rsid w:val="008F408D"/>
    <w:rsid w:val="008F50BC"/>
    <w:rsid w:val="008F57F0"/>
    <w:rsid w:val="008F5816"/>
    <w:rsid w:val="008F5F2F"/>
    <w:rsid w:val="008F6E44"/>
    <w:rsid w:val="008F6F63"/>
    <w:rsid w:val="008F7A9D"/>
    <w:rsid w:val="008F7F61"/>
    <w:rsid w:val="009005BE"/>
    <w:rsid w:val="009008CC"/>
    <w:rsid w:val="00903BF7"/>
    <w:rsid w:val="00903C78"/>
    <w:rsid w:val="009044A3"/>
    <w:rsid w:val="00904AC6"/>
    <w:rsid w:val="00906363"/>
    <w:rsid w:val="00906724"/>
    <w:rsid w:val="009067A6"/>
    <w:rsid w:val="00910F50"/>
    <w:rsid w:val="00912F51"/>
    <w:rsid w:val="00913118"/>
    <w:rsid w:val="00913A3A"/>
    <w:rsid w:val="00917594"/>
    <w:rsid w:val="00917FDC"/>
    <w:rsid w:val="00920F12"/>
    <w:rsid w:val="00921503"/>
    <w:rsid w:val="00923BDF"/>
    <w:rsid w:val="00924180"/>
    <w:rsid w:val="0092431D"/>
    <w:rsid w:val="00924CB7"/>
    <w:rsid w:val="0092588D"/>
    <w:rsid w:val="0092698E"/>
    <w:rsid w:val="00926AB1"/>
    <w:rsid w:val="00927687"/>
    <w:rsid w:val="0093090A"/>
    <w:rsid w:val="00930C2D"/>
    <w:rsid w:val="009320D7"/>
    <w:rsid w:val="00932824"/>
    <w:rsid w:val="009331B8"/>
    <w:rsid w:val="00933BF4"/>
    <w:rsid w:val="00933FDD"/>
    <w:rsid w:val="0093410A"/>
    <w:rsid w:val="00934528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5EE8"/>
    <w:rsid w:val="00946502"/>
    <w:rsid w:val="00946F6F"/>
    <w:rsid w:val="00947E43"/>
    <w:rsid w:val="00951DE6"/>
    <w:rsid w:val="00953EEC"/>
    <w:rsid w:val="00955A00"/>
    <w:rsid w:val="00955EDA"/>
    <w:rsid w:val="00956325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4840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76DC"/>
    <w:rsid w:val="009A09E8"/>
    <w:rsid w:val="009A313B"/>
    <w:rsid w:val="009A38DA"/>
    <w:rsid w:val="009A5596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287"/>
    <w:rsid w:val="009B686D"/>
    <w:rsid w:val="009B6D59"/>
    <w:rsid w:val="009B70E6"/>
    <w:rsid w:val="009B717B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C38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114F"/>
    <w:rsid w:val="009E132A"/>
    <w:rsid w:val="009E1B11"/>
    <w:rsid w:val="009E2121"/>
    <w:rsid w:val="009E3207"/>
    <w:rsid w:val="009E3B8B"/>
    <w:rsid w:val="009E5644"/>
    <w:rsid w:val="009E58B1"/>
    <w:rsid w:val="009E691A"/>
    <w:rsid w:val="009E746E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58B"/>
    <w:rsid w:val="00A01A22"/>
    <w:rsid w:val="00A021A8"/>
    <w:rsid w:val="00A0295D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554"/>
    <w:rsid w:val="00A11E72"/>
    <w:rsid w:val="00A13CE9"/>
    <w:rsid w:val="00A1452B"/>
    <w:rsid w:val="00A1480B"/>
    <w:rsid w:val="00A1577E"/>
    <w:rsid w:val="00A15CED"/>
    <w:rsid w:val="00A1675F"/>
    <w:rsid w:val="00A17B6A"/>
    <w:rsid w:val="00A20156"/>
    <w:rsid w:val="00A22318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4650"/>
    <w:rsid w:val="00A45A82"/>
    <w:rsid w:val="00A47257"/>
    <w:rsid w:val="00A477DA"/>
    <w:rsid w:val="00A502AB"/>
    <w:rsid w:val="00A505DD"/>
    <w:rsid w:val="00A51B21"/>
    <w:rsid w:val="00A51DA2"/>
    <w:rsid w:val="00A523CF"/>
    <w:rsid w:val="00A527F9"/>
    <w:rsid w:val="00A53C7D"/>
    <w:rsid w:val="00A53F26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B2E"/>
    <w:rsid w:val="00A744E2"/>
    <w:rsid w:val="00A747D1"/>
    <w:rsid w:val="00A76972"/>
    <w:rsid w:val="00A76D35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37F2"/>
    <w:rsid w:val="00A8417F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1974"/>
    <w:rsid w:val="00AA271B"/>
    <w:rsid w:val="00AA2C95"/>
    <w:rsid w:val="00AA3949"/>
    <w:rsid w:val="00AA39B0"/>
    <w:rsid w:val="00AA4720"/>
    <w:rsid w:val="00AA54BF"/>
    <w:rsid w:val="00AA55F7"/>
    <w:rsid w:val="00AA5ECB"/>
    <w:rsid w:val="00AA6D37"/>
    <w:rsid w:val="00AA7159"/>
    <w:rsid w:val="00AA7E74"/>
    <w:rsid w:val="00AA7EDC"/>
    <w:rsid w:val="00AB0360"/>
    <w:rsid w:val="00AB1816"/>
    <w:rsid w:val="00AB19BD"/>
    <w:rsid w:val="00AB1A2C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157B"/>
    <w:rsid w:val="00AC40A2"/>
    <w:rsid w:val="00AC49C5"/>
    <w:rsid w:val="00AC4CDA"/>
    <w:rsid w:val="00AC510D"/>
    <w:rsid w:val="00AC71D2"/>
    <w:rsid w:val="00AC7A38"/>
    <w:rsid w:val="00AC7A70"/>
    <w:rsid w:val="00AD0C63"/>
    <w:rsid w:val="00AD100B"/>
    <w:rsid w:val="00AD17A1"/>
    <w:rsid w:val="00AD1F3B"/>
    <w:rsid w:val="00AD2897"/>
    <w:rsid w:val="00AD3016"/>
    <w:rsid w:val="00AD4576"/>
    <w:rsid w:val="00AD4C00"/>
    <w:rsid w:val="00AD4DB1"/>
    <w:rsid w:val="00AD5A35"/>
    <w:rsid w:val="00AD5E55"/>
    <w:rsid w:val="00AD5EE0"/>
    <w:rsid w:val="00AD5EF0"/>
    <w:rsid w:val="00AD6279"/>
    <w:rsid w:val="00AE0DD6"/>
    <w:rsid w:val="00AE3A6D"/>
    <w:rsid w:val="00AE3B1A"/>
    <w:rsid w:val="00AE4264"/>
    <w:rsid w:val="00AE4476"/>
    <w:rsid w:val="00AE6010"/>
    <w:rsid w:val="00AE7C29"/>
    <w:rsid w:val="00AE7C81"/>
    <w:rsid w:val="00AE7E99"/>
    <w:rsid w:val="00AF03BB"/>
    <w:rsid w:val="00AF145E"/>
    <w:rsid w:val="00AF17BA"/>
    <w:rsid w:val="00AF203C"/>
    <w:rsid w:val="00AF20F9"/>
    <w:rsid w:val="00AF2159"/>
    <w:rsid w:val="00AF28B1"/>
    <w:rsid w:val="00AF30E2"/>
    <w:rsid w:val="00AF34F8"/>
    <w:rsid w:val="00AF3AB8"/>
    <w:rsid w:val="00AF3B67"/>
    <w:rsid w:val="00AF3D34"/>
    <w:rsid w:val="00AF41EB"/>
    <w:rsid w:val="00AF51D4"/>
    <w:rsid w:val="00AF5B96"/>
    <w:rsid w:val="00AF7060"/>
    <w:rsid w:val="00AF70C7"/>
    <w:rsid w:val="00B0149B"/>
    <w:rsid w:val="00B03319"/>
    <w:rsid w:val="00B03BC0"/>
    <w:rsid w:val="00B04CE3"/>
    <w:rsid w:val="00B05A44"/>
    <w:rsid w:val="00B06A49"/>
    <w:rsid w:val="00B0742F"/>
    <w:rsid w:val="00B074DF"/>
    <w:rsid w:val="00B10805"/>
    <w:rsid w:val="00B10F67"/>
    <w:rsid w:val="00B11044"/>
    <w:rsid w:val="00B11198"/>
    <w:rsid w:val="00B118C5"/>
    <w:rsid w:val="00B1354A"/>
    <w:rsid w:val="00B14034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B55"/>
    <w:rsid w:val="00B21DB0"/>
    <w:rsid w:val="00B21F9F"/>
    <w:rsid w:val="00B223F1"/>
    <w:rsid w:val="00B2254F"/>
    <w:rsid w:val="00B23E19"/>
    <w:rsid w:val="00B2424B"/>
    <w:rsid w:val="00B24352"/>
    <w:rsid w:val="00B24B81"/>
    <w:rsid w:val="00B24E75"/>
    <w:rsid w:val="00B257C7"/>
    <w:rsid w:val="00B25ED5"/>
    <w:rsid w:val="00B26602"/>
    <w:rsid w:val="00B26915"/>
    <w:rsid w:val="00B2787C"/>
    <w:rsid w:val="00B27B20"/>
    <w:rsid w:val="00B30130"/>
    <w:rsid w:val="00B31E30"/>
    <w:rsid w:val="00B32406"/>
    <w:rsid w:val="00B32FE5"/>
    <w:rsid w:val="00B33046"/>
    <w:rsid w:val="00B3405A"/>
    <w:rsid w:val="00B34E39"/>
    <w:rsid w:val="00B35889"/>
    <w:rsid w:val="00B3636D"/>
    <w:rsid w:val="00B37C2B"/>
    <w:rsid w:val="00B40042"/>
    <w:rsid w:val="00B41020"/>
    <w:rsid w:val="00B41EEA"/>
    <w:rsid w:val="00B426C8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36EF"/>
    <w:rsid w:val="00B637A3"/>
    <w:rsid w:val="00B63BCF"/>
    <w:rsid w:val="00B6440E"/>
    <w:rsid w:val="00B67E7A"/>
    <w:rsid w:val="00B702BC"/>
    <w:rsid w:val="00B703E8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4CD"/>
    <w:rsid w:val="00B8122C"/>
    <w:rsid w:val="00B81312"/>
    <w:rsid w:val="00B8224F"/>
    <w:rsid w:val="00B829A2"/>
    <w:rsid w:val="00B829C1"/>
    <w:rsid w:val="00B82F2F"/>
    <w:rsid w:val="00B86C64"/>
    <w:rsid w:val="00B87546"/>
    <w:rsid w:val="00B87757"/>
    <w:rsid w:val="00B878BF"/>
    <w:rsid w:val="00B90C15"/>
    <w:rsid w:val="00B911F8"/>
    <w:rsid w:val="00B91610"/>
    <w:rsid w:val="00B92175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B1E"/>
    <w:rsid w:val="00BC6C64"/>
    <w:rsid w:val="00BC6EB2"/>
    <w:rsid w:val="00BD13E2"/>
    <w:rsid w:val="00BD1747"/>
    <w:rsid w:val="00BD191B"/>
    <w:rsid w:val="00BD3C21"/>
    <w:rsid w:val="00BD40E8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4965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7C5E"/>
    <w:rsid w:val="00C217A9"/>
    <w:rsid w:val="00C22700"/>
    <w:rsid w:val="00C24935"/>
    <w:rsid w:val="00C25291"/>
    <w:rsid w:val="00C26397"/>
    <w:rsid w:val="00C26A76"/>
    <w:rsid w:val="00C26BDF"/>
    <w:rsid w:val="00C30D3E"/>
    <w:rsid w:val="00C31938"/>
    <w:rsid w:val="00C31D02"/>
    <w:rsid w:val="00C32075"/>
    <w:rsid w:val="00C359EE"/>
    <w:rsid w:val="00C35BFF"/>
    <w:rsid w:val="00C35EB6"/>
    <w:rsid w:val="00C36121"/>
    <w:rsid w:val="00C36F0D"/>
    <w:rsid w:val="00C37433"/>
    <w:rsid w:val="00C37F76"/>
    <w:rsid w:val="00C40CC6"/>
    <w:rsid w:val="00C415A0"/>
    <w:rsid w:val="00C4201F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47ED1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6F04"/>
    <w:rsid w:val="00C8001A"/>
    <w:rsid w:val="00C812E7"/>
    <w:rsid w:val="00C819E1"/>
    <w:rsid w:val="00C822C1"/>
    <w:rsid w:val="00C8242B"/>
    <w:rsid w:val="00C83163"/>
    <w:rsid w:val="00C842C9"/>
    <w:rsid w:val="00C84786"/>
    <w:rsid w:val="00C84A14"/>
    <w:rsid w:val="00C84BF3"/>
    <w:rsid w:val="00C8642D"/>
    <w:rsid w:val="00C87AE7"/>
    <w:rsid w:val="00C90854"/>
    <w:rsid w:val="00C920D5"/>
    <w:rsid w:val="00C925A2"/>
    <w:rsid w:val="00C92AD8"/>
    <w:rsid w:val="00C9338B"/>
    <w:rsid w:val="00C93515"/>
    <w:rsid w:val="00C942BD"/>
    <w:rsid w:val="00C95441"/>
    <w:rsid w:val="00C95E67"/>
    <w:rsid w:val="00C977F5"/>
    <w:rsid w:val="00CA1047"/>
    <w:rsid w:val="00CA195F"/>
    <w:rsid w:val="00CA1F73"/>
    <w:rsid w:val="00CA2398"/>
    <w:rsid w:val="00CA28E2"/>
    <w:rsid w:val="00CA2A84"/>
    <w:rsid w:val="00CA2E85"/>
    <w:rsid w:val="00CA3469"/>
    <w:rsid w:val="00CA4100"/>
    <w:rsid w:val="00CA4765"/>
    <w:rsid w:val="00CA662C"/>
    <w:rsid w:val="00CB03B3"/>
    <w:rsid w:val="00CB0ED3"/>
    <w:rsid w:val="00CB24CE"/>
    <w:rsid w:val="00CB29F2"/>
    <w:rsid w:val="00CB38C8"/>
    <w:rsid w:val="00CB44BE"/>
    <w:rsid w:val="00CB5C6B"/>
    <w:rsid w:val="00CB5DC7"/>
    <w:rsid w:val="00CB6402"/>
    <w:rsid w:val="00CB708E"/>
    <w:rsid w:val="00CB70B3"/>
    <w:rsid w:val="00CC061A"/>
    <w:rsid w:val="00CC13C4"/>
    <w:rsid w:val="00CC1D2F"/>
    <w:rsid w:val="00CC3C0E"/>
    <w:rsid w:val="00CC3E64"/>
    <w:rsid w:val="00CC5E74"/>
    <w:rsid w:val="00CC6D28"/>
    <w:rsid w:val="00CD0380"/>
    <w:rsid w:val="00CD1FE9"/>
    <w:rsid w:val="00CD2E4A"/>
    <w:rsid w:val="00CD303E"/>
    <w:rsid w:val="00CD311A"/>
    <w:rsid w:val="00CD4C21"/>
    <w:rsid w:val="00CD5C79"/>
    <w:rsid w:val="00CD5FCA"/>
    <w:rsid w:val="00CD6470"/>
    <w:rsid w:val="00CD7696"/>
    <w:rsid w:val="00CD7CD3"/>
    <w:rsid w:val="00CE0E08"/>
    <w:rsid w:val="00CE265E"/>
    <w:rsid w:val="00CE2DFA"/>
    <w:rsid w:val="00CE48FA"/>
    <w:rsid w:val="00CE5818"/>
    <w:rsid w:val="00CE63E8"/>
    <w:rsid w:val="00CE6991"/>
    <w:rsid w:val="00CE713F"/>
    <w:rsid w:val="00CE7EDA"/>
    <w:rsid w:val="00CF0186"/>
    <w:rsid w:val="00CF0C04"/>
    <w:rsid w:val="00CF1735"/>
    <w:rsid w:val="00CF2454"/>
    <w:rsid w:val="00CF2E0A"/>
    <w:rsid w:val="00CF6272"/>
    <w:rsid w:val="00CF7111"/>
    <w:rsid w:val="00D00338"/>
    <w:rsid w:val="00D01E37"/>
    <w:rsid w:val="00D02D52"/>
    <w:rsid w:val="00D02FB5"/>
    <w:rsid w:val="00D032A8"/>
    <w:rsid w:val="00D03461"/>
    <w:rsid w:val="00D05099"/>
    <w:rsid w:val="00D05774"/>
    <w:rsid w:val="00D06257"/>
    <w:rsid w:val="00D0668A"/>
    <w:rsid w:val="00D06AEB"/>
    <w:rsid w:val="00D073CE"/>
    <w:rsid w:val="00D0753E"/>
    <w:rsid w:val="00D1321A"/>
    <w:rsid w:val="00D1331B"/>
    <w:rsid w:val="00D14951"/>
    <w:rsid w:val="00D16200"/>
    <w:rsid w:val="00D16D64"/>
    <w:rsid w:val="00D16FA7"/>
    <w:rsid w:val="00D1700C"/>
    <w:rsid w:val="00D17854"/>
    <w:rsid w:val="00D17CE8"/>
    <w:rsid w:val="00D22312"/>
    <w:rsid w:val="00D22717"/>
    <w:rsid w:val="00D22A27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53A"/>
    <w:rsid w:val="00D31990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899"/>
    <w:rsid w:val="00D5293F"/>
    <w:rsid w:val="00D52E71"/>
    <w:rsid w:val="00D54D70"/>
    <w:rsid w:val="00D555B0"/>
    <w:rsid w:val="00D57A32"/>
    <w:rsid w:val="00D6291D"/>
    <w:rsid w:val="00D6384D"/>
    <w:rsid w:val="00D64295"/>
    <w:rsid w:val="00D65283"/>
    <w:rsid w:val="00D66E61"/>
    <w:rsid w:val="00D66EC3"/>
    <w:rsid w:val="00D67921"/>
    <w:rsid w:val="00D701C8"/>
    <w:rsid w:val="00D74999"/>
    <w:rsid w:val="00D75105"/>
    <w:rsid w:val="00D7555C"/>
    <w:rsid w:val="00D7565F"/>
    <w:rsid w:val="00D75AEA"/>
    <w:rsid w:val="00D75E39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12A"/>
    <w:rsid w:val="00D9184F"/>
    <w:rsid w:val="00D93782"/>
    <w:rsid w:val="00D94636"/>
    <w:rsid w:val="00D9463E"/>
    <w:rsid w:val="00D957E8"/>
    <w:rsid w:val="00D95B0C"/>
    <w:rsid w:val="00D962A5"/>
    <w:rsid w:val="00D965FB"/>
    <w:rsid w:val="00D96B33"/>
    <w:rsid w:val="00D96D10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75D2"/>
    <w:rsid w:val="00DD0AEB"/>
    <w:rsid w:val="00DD0DF1"/>
    <w:rsid w:val="00DD13BE"/>
    <w:rsid w:val="00DD1527"/>
    <w:rsid w:val="00DD2324"/>
    <w:rsid w:val="00DD4ABB"/>
    <w:rsid w:val="00DD51BA"/>
    <w:rsid w:val="00DD5826"/>
    <w:rsid w:val="00DD5C73"/>
    <w:rsid w:val="00DD74BE"/>
    <w:rsid w:val="00DD7EA8"/>
    <w:rsid w:val="00DE072A"/>
    <w:rsid w:val="00DE0885"/>
    <w:rsid w:val="00DE08AC"/>
    <w:rsid w:val="00DE0F23"/>
    <w:rsid w:val="00DE16D0"/>
    <w:rsid w:val="00DE23CF"/>
    <w:rsid w:val="00DE242C"/>
    <w:rsid w:val="00DE2D50"/>
    <w:rsid w:val="00DE32E2"/>
    <w:rsid w:val="00DE3327"/>
    <w:rsid w:val="00DE4514"/>
    <w:rsid w:val="00DE4565"/>
    <w:rsid w:val="00DE4E74"/>
    <w:rsid w:val="00DE5076"/>
    <w:rsid w:val="00DE55CA"/>
    <w:rsid w:val="00DE601B"/>
    <w:rsid w:val="00DE6A85"/>
    <w:rsid w:val="00DE6E48"/>
    <w:rsid w:val="00DF09EA"/>
    <w:rsid w:val="00DF17B3"/>
    <w:rsid w:val="00DF1AFC"/>
    <w:rsid w:val="00DF222E"/>
    <w:rsid w:val="00DF2259"/>
    <w:rsid w:val="00DF2A36"/>
    <w:rsid w:val="00DF3FFB"/>
    <w:rsid w:val="00DF4C84"/>
    <w:rsid w:val="00DF5916"/>
    <w:rsid w:val="00DF6361"/>
    <w:rsid w:val="00DF6863"/>
    <w:rsid w:val="00DF70A3"/>
    <w:rsid w:val="00DF741A"/>
    <w:rsid w:val="00DF7AD5"/>
    <w:rsid w:val="00E00032"/>
    <w:rsid w:val="00E0074A"/>
    <w:rsid w:val="00E00812"/>
    <w:rsid w:val="00E029C5"/>
    <w:rsid w:val="00E02C96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065"/>
    <w:rsid w:val="00E31E68"/>
    <w:rsid w:val="00E33A0B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9C"/>
    <w:rsid w:val="00E41BC4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D80"/>
    <w:rsid w:val="00E721D9"/>
    <w:rsid w:val="00E7359C"/>
    <w:rsid w:val="00E73FEA"/>
    <w:rsid w:val="00E74765"/>
    <w:rsid w:val="00E74FF9"/>
    <w:rsid w:val="00E75D7C"/>
    <w:rsid w:val="00E81173"/>
    <w:rsid w:val="00E81422"/>
    <w:rsid w:val="00E81B14"/>
    <w:rsid w:val="00E829D3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E0B"/>
    <w:rsid w:val="00EA046B"/>
    <w:rsid w:val="00EA3CC8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4723"/>
    <w:rsid w:val="00EB5421"/>
    <w:rsid w:val="00EC03F0"/>
    <w:rsid w:val="00EC0C4A"/>
    <w:rsid w:val="00EC11C9"/>
    <w:rsid w:val="00EC2279"/>
    <w:rsid w:val="00EC2930"/>
    <w:rsid w:val="00EC38B7"/>
    <w:rsid w:val="00EC396A"/>
    <w:rsid w:val="00EC4E75"/>
    <w:rsid w:val="00EC5BFA"/>
    <w:rsid w:val="00EC604D"/>
    <w:rsid w:val="00EC722C"/>
    <w:rsid w:val="00EC7884"/>
    <w:rsid w:val="00EC79DC"/>
    <w:rsid w:val="00ED15F4"/>
    <w:rsid w:val="00ED3F59"/>
    <w:rsid w:val="00ED4482"/>
    <w:rsid w:val="00ED4B87"/>
    <w:rsid w:val="00ED4FB1"/>
    <w:rsid w:val="00ED5662"/>
    <w:rsid w:val="00ED795E"/>
    <w:rsid w:val="00ED7CB2"/>
    <w:rsid w:val="00EE0EF3"/>
    <w:rsid w:val="00EE0F2B"/>
    <w:rsid w:val="00EE1632"/>
    <w:rsid w:val="00EE1C6B"/>
    <w:rsid w:val="00EE2D42"/>
    <w:rsid w:val="00EE34BF"/>
    <w:rsid w:val="00EE3922"/>
    <w:rsid w:val="00EE3CE1"/>
    <w:rsid w:val="00EE5AB9"/>
    <w:rsid w:val="00EE6837"/>
    <w:rsid w:val="00EE779C"/>
    <w:rsid w:val="00EE7F87"/>
    <w:rsid w:val="00EF06D0"/>
    <w:rsid w:val="00EF0E3E"/>
    <w:rsid w:val="00EF1129"/>
    <w:rsid w:val="00EF1BC6"/>
    <w:rsid w:val="00EF383F"/>
    <w:rsid w:val="00EF5516"/>
    <w:rsid w:val="00EF5988"/>
    <w:rsid w:val="00EF6F1E"/>
    <w:rsid w:val="00EF7982"/>
    <w:rsid w:val="00F014B0"/>
    <w:rsid w:val="00F01745"/>
    <w:rsid w:val="00F03987"/>
    <w:rsid w:val="00F03996"/>
    <w:rsid w:val="00F04ADA"/>
    <w:rsid w:val="00F04EF0"/>
    <w:rsid w:val="00F05351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B03"/>
    <w:rsid w:val="00F20EE0"/>
    <w:rsid w:val="00F215AD"/>
    <w:rsid w:val="00F23560"/>
    <w:rsid w:val="00F25056"/>
    <w:rsid w:val="00F2533D"/>
    <w:rsid w:val="00F257AD"/>
    <w:rsid w:val="00F25844"/>
    <w:rsid w:val="00F261B4"/>
    <w:rsid w:val="00F26A91"/>
    <w:rsid w:val="00F26EC8"/>
    <w:rsid w:val="00F26FEC"/>
    <w:rsid w:val="00F27171"/>
    <w:rsid w:val="00F312B1"/>
    <w:rsid w:val="00F331D4"/>
    <w:rsid w:val="00F34DD7"/>
    <w:rsid w:val="00F36351"/>
    <w:rsid w:val="00F369EE"/>
    <w:rsid w:val="00F378D2"/>
    <w:rsid w:val="00F41136"/>
    <w:rsid w:val="00F41376"/>
    <w:rsid w:val="00F4164C"/>
    <w:rsid w:val="00F41716"/>
    <w:rsid w:val="00F42AD8"/>
    <w:rsid w:val="00F437ED"/>
    <w:rsid w:val="00F43C60"/>
    <w:rsid w:val="00F44106"/>
    <w:rsid w:val="00F4414B"/>
    <w:rsid w:val="00F44C35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1A2"/>
    <w:rsid w:val="00F55344"/>
    <w:rsid w:val="00F56AB8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677C3"/>
    <w:rsid w:val="00F7070A"/>
    <w:rsid w:val="00F71CC6"/>
    <w:rsid w:val="00F71EE1"/>
    <w:rsid w:val="00F71F16"/>
    <w:rsid w:val="00F7359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4E0D"/>
    <w:rsid w:val="00F853C1"/>
    <w:rsid w:val="00F9048F"/>
    <w:rsid w:val="00F9151B"/>
    <w:rsid w:val="00F91804"/>
    <w:rsid w:val="00F9213D"/>
    <w:rsid w:val="00F92376"/>
    <w:rsid w:val="00F92D3A"/>
    <w:rsid w:val="00F9468A"/>
    <w:rsid w:val="00F94B2A"/>
    <w:rsid w:val="00F96285"/>
    <w:rsid w:val="00F96CB3"/>
    <w:rsid w:val="00FA07DA"/>
    <w:rsid w:val="00FA26D6"/>
    <w:rsid w:val="00FA3CC3"/>
    <w:rsid w:val="00FA4498"/>
    <w:rsid w:val="00FA5C99"/>
    <w:rsid w:val="00FA731B"/>
    <w:rsid w:val="00FA75EC"/>
    <w:rsid w:val="00FB100C"/>
    <w:rsid w:val="00FB1201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A3"/>
    <w:rsid w:val="00FC1AE8"/>
    <w:rsid w:val="00FC1C35"/>
    <w:rsid w:val="00FC2651"/>
    <w:rsid w:val="00FC26C4"/>
    <w:rsid w:val="00FC4A02"/>
    <w:rsid w:val="00FC4E77"/>
    <w:rsid w:val="00FC619B"/>
    <w:rsid w:val="00FC64C4"/>
    <w:rsid w:val="00FC773B"/>
    <w:rsid w:val="00FC7DBB"/>
    <w:rsid w:val="00FD00EA"/>
    <w:rsid w:val="00FD0FD0"/>
    <w:rsid w:val="00FD38D5"/>
    <w:rsid w:val="00FD4EBC"/>
    <w:rsid w:val="00FD641A"/>
    <w:rsid w:val="00FE0B0B"/>
    <w:rsid w:val="00FE10C9"/>
    <w:rsid w:val="00FE117A"/>
    <w:rsid w:val="00FE19DA"/>
    <w:rsid w:val="00FE3CB7"/>
    <w:rsid w:val="00FE4FF1"/>
    <w:rsid w:val="00FE503B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AC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A37E8"/>
    <w:pPr>
      <w:keepNext/>
      <w:jc w:val="both"/>
      <w:outlineLvl w:val="0"/>
    </w:pPr>
    <w:rPr>
      <w:rFonts w:ascii="Arial" w:eastAsia="MS Mincho" w:hAnsi="Arial"/>
      <w:caps/>
      <w:color w:val="008000"/>
      <w:lang w:val="fr-FR" w:eastAsia="ja-JP"/>
    </w:rPr>
  </w:style>
  <w:style w:type="paragraph" w:styleId="Heading2">
    <w:name w:val="heading 2"/>
    <w:next w:val="Normal"/>
    <w:autoRedefine/>
    <w:qFormat/>
    <w:rsid w:val="00197650"/>
    <w:pPr>
      <w:keepNext/>
      <w:jc w:val="both"/>
      <w:outlineLvl w:val="1"/>
    </w:pPr>
    <w:rPr>
      <w:rFonts w:ascii="Arial" w:hAnsi="Arial"/>
      <w:snapToGrid w:val="0"/>
      <w:u w:val="single"/>
      <w:lang w:val="fr-FR" w:eastAsia="ja-JP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qFormat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rsid w:val="00904AC6"/>
    <w:pPr>
      <w:tabs>
        <w:tab w:val="right" w:leader="dot" w:pos="9639"/>
      </w:tabs>
      <w:spacing w:before="60" w:after="120"/>
      <w:ind w:right="567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Docoriginal">
    <w:name w:val="Doc_original"/>
    <w:basedOn w:val="Normal"/>
    <w:link w:val="DocoriginalChar"/>
    <w:rsid w:val="00822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822961"/>
    <w:pPr>
      <w:tabs>
        <w:tab w:val="left" w:pos="5387"/>
      </w:tabs>
      <w:ind w:left="4820"/>
    </w:pPr>
    <w:rPr>
      <w:i/>
    </w:rPr>
  </w:style>
  <w:style w:type="paragraph" w:customStyle="1" w:styleId="upove">
    <w:name w:val="upov_e"/>
    <w:basedOn w:val="Normal"/>
    <w:rsid w:val="00822961"/>
    <w:pPr>
      <w:spacing w:before="60"/>
      <w:jc w:val="center"/>
    </w:pPr>
    <w:rPr>
      <w:b/>
      <w:bCs/>
      <w:spacing w:val="8"/>
      <w:sz w:val="24"/>
    </w:rPr>
  </w:style>
  <w:style w:type="paragraph" w:customStyle="1" w:styleId="Country">
    <w:name w:val="Country"/>
    <w:basedOn w:val="Normal"/>
    <w:semiHidden/>
    <w:rsid w:val="00822961"/>
    <w:pPr>
      <w:spacing w:before="60" w:after="480"/>
      <w:jc w:val="center"/>
    </w:pPr>
  </w:style>
  <w:style w:type="paragraph" w:customStyle="1" w:styleId="Lettrine">
    <w:name w:val="Lettrine"/>
    <w:basedOn w:val="Normal"/>
    <w:rsid w:val="00822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22961"/>
    <w:pPr>
      <w:spacing w:before="720"/>
      <w:jc w:val="center"/>
    </w:pPr>
  </w:style>
  <w:style w:type="paragraph" w:customStyle="1" w:styleId="Sessiontc">
    <w:name w:val="Session_tc"/>
    <w:basedOn w:val="Normal"/>
    <w:rsid w:val="00822961"/>
    <w:pPr>
      <w:spacing w:before="240"/>
      <w:jc w:val="center"/>
    </w:pPr>
    <w:rPr>
      <w:b/>
      <w:bCs/>
      <w:caps/>
      <w:kern w:val="28"/>
      <w:sz w:val="24"/>
    </w:rPr>
  </w:style>
  <w:style w:type="paragraph" w:customStyle="1" w:styleId="Sessiontcplacedate">
    <w:name w:val="Session_tc_place_date"/>
    <w:basedOn w:val="Normal"/>
    <w:rsid w:val="00822961"/>
    <w:pPr>
      <w:spacing w:before="240"/>
      <w:jc w:val="center"/>
    </w:pPr>
    <w:rPr>
      <w:b/>
      <w:bCs/>
      <w:kern w:val="28"/>
      <w:sz w:val="24"/>
    </w:rPr>
  </w:style>
  <w:style w:type="paragraph" w:customStyle="1" w:styleId="Titleofdoc0">
    <w:name w:val="Title_of_doc"/>
    <w:basedOn w:val="TitleofDoc"/>
    <w:rsid w:val="00822961"/>
    <w:pPr>
      <w:spacing w:before="600"/>
    </w:pPr>
  </w:style>
  <w:style w:type="paragraph" w:customStyle="1" w:styleId="preparedby0">
    <w:name w:val="prepared_by"/>
    <w:basedOn w:val="Normal"/>
    <w:rsid w:val="00822961"/>
    <w:pPr>
      <w:spacing w:before="240" w:after="60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822961"/>
    <w:rPr>
      <w:rFonts w:ascii="Arial" w:hAnsi="Arial"/>
      <w:b/>
      <w:bCs/>
      <w:spacing w:val="10"/>
    </w:rPr>
  </w:style>
  <w:style w:type="character" w:customStyle="1" w:styleId="StyleDocoriginalNotBold1">
    <w:name w:val="Style Doc_original + Not Bold1"/>
    <w:basedOn w:val="DefaultParagraphFont"/>
    <w:rsid w:val="00822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efaultParagraphFont"/>
    <w:rsid w:val="00822961"/>
    <w:rPr>
      <w:rFonts w:ascii="Arial" w:hAnsi="Arial"/>
      <w:b/>
      <w:bCs/>
      <w:sz w:val="20"/>
      <w:lang w:val="en-US"/>
    </w:rPr>
  </w:style>
  <w:style w:type="paragraph" w:styleId="BodyText2">
    <w:name w:val="Body Text 2"/>
    <w:basedOn w:val="Normal"/>
    <w:link w:val="BodyText2Char"/>
    <w:rsid w:val="008229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22961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822961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822961"/>
    <w:rPr>
      <w:rFonts w:ascii="Arial" w:hAnsi="Arial"/>
      <w:sz w:val="14"/>
    </w:rPr>
  </w:style>
  <w:style w:type="character" w:customStyle="1" w:styleId="BodyTextChar">
    <w:name w:val="Body Text Char"/>
    <w:basedOn w:val="DefaultParagraphFont"/>
    <w:link w:val="BodyText"/>
    <w:rsid w:val="00822961"/>
    <w:rPr>
      <w:rFonts w:ascii="Arial" w:hAnsi="Arial"/>
    </w:rPr>
  </w:style>
  <w:style w:type="paragraph" w:customStyle="1" w:styleId="dec">
    <w:name w:val="dec"/>
    <w:basedOn w:val="Normal"/>
    <w:link w:val="decChar"/>
    <w:qFormat/>
    <w:rsid w:val="00822961"/>
    <w:pPr>
      <w:ind w:left="4536"/>
    </w:pPr>
    <w:rPr>
      <w:i/>
      <w:spacing w:val="-2"/>
    </w:rPr>
  </w:style>
  <w:style w:type="character" w:customStyle="1" w:styleId="decChar">
    <w:name w:val="dec Char"/>
    <w:basedOn w:val="DefaultParagraphFont"/>
    <w:link w:val="dec"/>
    <w:rsid w:val="00822961"/>
    <w:rPr>
      <w:rFonts w:ascii="Arial" w:hAnsi="Arial"/>
      <w:i/>
      <w:spacing w:val="-2"/>
    </w:rPr>
  </w:style>
  <w:style w:type="character" w:customStyle="1" w:styleId="DecisionParagraphsChar">
    <w:name w:val="DecisionParagraphs Char"/>
    <w:basedOn w:val="DefaultParagraphFont"/>
    <w:link w:val="DecisionParagraphs"/>
    <w:rsid w:val="00822961"/>
    <w:rPr>
      <w:rFonts w:ascii="Arial" w:hAnsi="Arial"/>
      <w:i/>
    </w:rPr>
  </w:style>
  <w:style w:type="character" w:customStyle="1" w:styleId="BodyTextIndentChar">
    <w:name w:val="Body Text Indent Char"/>
    <w:basedOn w:val="DefaultParagraphFont"/>
    <w:link w:val="BodyTextIndent"/>
    <w:rsid w:val="005F4000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5F4000"/>
    <w:rPr>
      <w:rFonts w:ascii="Arial" w:hAnsi="Arial"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B26602"/>
    <w:pPr>
      <w:ind w:left="720"/>
      <w:contextualSpacing/>
    </w:pPr>
    <w:rPr>
      <w:rFonts w:eastAsia="Times New Roman"/>
    </w:rPr>
  </w:style>
  <w:style w:type="character" w:customStyle="1" w:styleId="FootnoteTextChar">
    <w:name w:val="Footnote Text Char"/>
    <w:link w:val="FootnoteText"/>
    <w:rsid w:val="007837BE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AC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A37E8"/>
    <w:pPr>
      <w:keepNext/>
      <w:jc w:val="both"/>
      <w:outlineLvl w:val="0"/>
    </w:pPr>
    <w:rPr>
      <w:rFonts w:ascii="Arial" w:eastAsia="MS Mincho" w:hAnsi="Arial"/>
      <w:caps/>
      <w:color w:val="008000"/>
      <w:lang w:val="fr-FR" w:eastAsia="ja-JP"/>
    </w:rPr>
  </w:style>
  <w:style w:type="paragraph" w:styleId="Heading2">
    <w:name w:val="heading 2"/>
    <w:next w:val="Normal"/>
    <w:autoRedefine/>
    <w:qFormat/>
    <w:rsid w:val="00197650"/>
    <w:pPr>
      <w:keepNext/>
      <w:jc w:val="both"/>
      <w:outlineLvl w:val="1"/>
    </w:pPr>
    <w:rPr>
      <w:rFonts w:ascii="Arial" w:hAnsi="Arial"/>
      <w:snapToGrid w:val="0"/>
      <w:u w:val="single"/>
      <w:lang w:val="fr-FR" w:eastAsia="ja-JP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qFormat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rsid w:val="00904AC6"/>
    <w:pPr>
      <w:tabs>
        <w:tab w:val="right" w:leader="dot" w:pos="9639"/>
      </w:tabs>
      <w:spacing w:before="60" w:after="120"/>
      <w:ind w:right="567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Docoriginal">
    <w:name w:val="Doc_original"/>
    <w:basedOn w:val="Normal"/>
    <w:link w:val="DocoriginalChar"/>
    <w:rsid w:val="00822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822961"/>
    <w:pPr>
      <w:tabs>
        <w:tab w:val="left" w:pos="5387"/>
      </w:tabs>
      <w:ind w:left="4820"/>
    </w:pPr>
    <w:rPr>
      <w:i/>
    </w:rPr>
  </w:style>
  <w:style w:type="paragraph" w:customStyle="1" w:styleId="upove">
    <w:name w:val="upov_e"/>
    <w:basedOn w:val="Normal"/>
    <w:rsid w:val="00822961"/>
    <w:pPr>
      <w:spacing w:before="60"/>
      <w:jc w:val="center"/>
    </w:pPr>
    <w:rPr>
      <w:b/>
      <w:bCs/>
      <w:spacing w:val="8"/>
      <w:sz w:val="24"/>
    </w:rPr>
  </w:style>
  <w:style w:type="paragraph" w:customStyle="1" w:styleId="Country">
    <w:name w:val="Country"/>
    <w:basedOn w:val="Normal"/>
    <w:semiHidden/>
    <w:rsid w:val="00822961"/>
    <w:pPr>
      <w:spacing w:before="60" w:after="480"/>
      <w:jc w:val="center"/>
    </w:pPr>
  </w:style>
  <w:style w:type="paragraph" w:customStyle="1" w:styleId="Lettrine">
    <w:name w:val="Lettrine"/>
    <w:basedOn w:val="Normal"/>
    <w:rsid w:val="00822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22961"/>
    <w:pPr>
      <w:spacing w:before="720"/>
      <w:jc w:val="center"/>
    </w:pPr>
  </w:style>
  <w:style w:type="paragraph" w:customStyle="1" w:styleId="Sessiontc">
    <w:name w:val="Session_tc"/>
    <w:basedOn w:val="Normal"/>
    <w:rsid w:val="00822961"/>
    <w:pPr>
      <w:spacing w:before="240"/>
      <w:jc w:val="center"/>
    </w:pPr>
    <w:rPr>
      <w:b/>
      <w:bCs/>
      <w:caps/>
      <w:kern w:val="28"/>
      <w:sz w:val="24"/>
    </w:rPr>
  </w:style>
  <w:style w:type="paragraph" w:customStyle="1" w:styleId="Sessiontcplacedate">
    <w:name w:val="Session_tc_place_date"/>
    <w:basedOn w:val="Normal"/>
    <w:rsid w:val="00822961"/>
    <w:pPr>
      <w:spacing w:before="240"/>
      <w:jc w:val="center"/>
    </w:pPr>
    <w:rPr>
      <w:b/>
      <w:bCs/>
      <w:kern w:val="28"/>
      <w:sz w:val="24"/>
    </w:rPr>
  </w:style>
  <w:style w:type="paragraph" w:customStyle="1" w:styleId="Titleofdoc0">
    <w:name w:val="Title_of_doc"/>
    <w:basedOn w:val="TitleofDoc"/>
    <w:rsid w:val="00822961"/>
    <w:pPr>
      <w:spacing w:before="600"/>
    </w:pPr>
  </w:style>
  <w:style w:type="paragraph" w:customStyle="1" w:styleId="preparedby0">
    <w:name w:val="prepared_by"/>
    <w:basedOn w:val="Normal"/>
    <w:rsid w:val="00822961"/>
    <w:pPr>
      <w:spacing w:before="240" w:after="60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822961"/>
    <w:rPr>
      <w:rFonts w:ascii="Arial" w:hAnsi="Arial"/>
      <w:b/>
      <w:bCs/>
      <w:spacing w:val="10"/>
    </w:rPr>
  </w:style>
  <w:style w:type="character" w:customStyle="1" w:styleId="StyleDocoriginalNotBold1">
    <w:name w:val="Style Doc_original + Not Bold1"/>
    <w:basedOn w:val="DefaultParagraphFont"/>
    <w:rsid w:val="00822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efaultParagraphFont"/>
    <w:rsid w:val="00822961"/>
    <w:rPr>
      <w:rFonts w:ascii="Arial" w:hAnsi="Arial"/>
      <w:b/>
      <w:bCs/>
      <w:sz w:val="20"/>
      <w:lang w:val="en-US"/>
    </w:rPr>
  </w:style>
  <w:style w:type="paragraph" w:styleId="BodyText2">
    <w:name w:val="Body Text 2"/>
    <w:basedOn w:val="Normal"/>
    <w:link w:val="BodyText2Char"/>
    <w:rsid w:val="008229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22961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822961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822961"/>
    <w:rPr>
      <w:rFonts w:ascii="Arial" w:hAnsi="Arial"/>
      <w:sz w:val="14"/>
    </w:rPr>
  </w:style>
  <w:style w:type="character" w:customStyle="1" w:styleId="BodyTextChar">
    <w:name w:val="Body Text Char"/>
    <w:basedOn w:val="DefaultParagraphFont"/>
    <w:link w:val="BodyText"/>
    <w:rsid w:val="00822961"/>
    <w:rPr>
      <w:rFonts w:ascii="Arial" w:hAnsi="Arial"/>
    </w:rPr>
  </w:style>
  <w:style w:type="paragraph" w:customStyle="1" w:styleId="dec">
    <w:name w:val="dec"/>
    <w:basedOn w:val="Normal"/>
    <w:link w:val="decChar"/>
    <w:qFormat/>
    <w:rsid w:val="00822961"/>
    <w:pPr>
      <w:ind w:left="4536"/>
    </w:pPr>
    <w:rPr>
      <w:i/>
      <w:spacing w:val="-2"/>
    </w:rPr>
  </w:style>
  <w:style w:type="character" w:customStyle="1" w:styleId="decChar">
    <w:name w:val="dec Char"/>
    <w:basedOn w:val="DefaultParagraphFont"/>
    <w:link w:val="dec"/>
    <w:rsid w:val="00822961"/>
    <w:rPr>
      <w:rFonts w:ascii="Arial" w:hAnsi="Arial"/>
      <w:i/>
      <w:spacing w:val="-2"/>
    </w:rPr>
  </w:style>
  <w:style w:type="character" w:customStyle="1" w:styleId="DecisionParagraphsChar">
    <w:name w:val="DecisionParagraphs Char"/>
    <w:basedOn w:val="DefaultParagraphFont"/>
    <w:link w:val="DecisionParagraphs"/>
    <w:rsid w:val="00822961"/>
    <w:rPr>
      <w:rFonts w:ascii="Arial" w:hAnsi="Arial"/>
      <w:i/>
    </w:rPr>
  </w:style>
  <w:style w:type="character" w:customStyle="1" w:styleId="BodyTextIndentChar">
    <w:name w:val="Body Text Indent Char"/>
    <w:basedOn w:val="DefaultParagraphFont"/>
    <w:link w:val="BodyTextIndent"/>
    <w:rsid w:val="005F4000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5F4000"/>
    <w:rPr>
      <w:rFonts w:ascii="Arial" w:hAnsi="Arial"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B26602"/>
    <w:pPr>
      <w:ind w:left="720"/>
      <w:contextualSpacing/>
    </w:pPr>
    <w:rPr>
      <w:rFonts w:eastAsia="Times New Roman"/>
    </w:rPr>
  </w:style>
  <w:style w:type="character" w:customStyle="1" w:styleId="FootnoteTextChar">
    <w:name w:val="Footnote Text Char"/>
    <w:link w:val="FootnoteText"/>
    <w:rsid w:val="007837BE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pov.int/pluto/f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F1F3-FC24-4C5D-BC00-BC883A46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6</Pages>
  <Words>2946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keywords>MHF</cp:keywords>
  <cp:lastModifiedBy>SANCHEZ-VIZCAINO GOMEZ Rosa Maria</cp:lastModifiedBy>
  <cp:revision>67</cp:revision>
  <cp:lastPrinted>2016-02-17T17:23:00Z</cp:lastPrinted>
  <dcterms:created xsi:type="dcterms:W3CDTF">2016-02-10T10:31:00Z</dcterms:created>
  <dcterms:modified xsi:type="dcterms:W3CDTF">2016-02-17T17:23:00Z</dcterms:modified>
</cp:coreProperties>
</file>