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77193" w:rsidRPr="000622D7" w:rsidTr="00025E40">
        <w:trPr>
          <w:trHeight w:val="1760"/>
        </w:trPr>
        <w:tc>
          <w:tcPr>
            <w:tcW w:w="4243" w:type="dxa"/>
          </w:tcPr>
          <w:p w:rsidR="00821754" w:rsidRPr="000622D7" w:rsidRDefault="00821754" w:rsidP="00F77193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821754" w:rsidRPr="000622D7" w:rsidRDefault="00821754" w:rsidP="00F77193">
            <w:pPr>
              <w:pStyle w:val="LogoUPOV"/>
              <w:rPr>
                <w:lang w:val="fr-FR"/>
              </w:rPr>
            </w:pPr>
            <w:r w:rsidRPr="000622D7">
              <w:rPr>
                <w:noProof/>
              </w:rPr>
              <w:drawing>
                <wp:inline distT="0" distB="0" distL="0" distR="0" wp14:anchorId="107C9891" wp14:editId="16F5A3A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21754" w:rsidRPr="000622D7" w:rsidRDefault="00821754" w:rsidP="00F77193">
            <w:pPr>
              <w:pStyle w:val="Lettrine"/>
              <w:spacing w:line="240" w:lineRule="auto"/>
              <w:rPr>
                <w:lang w:val="fr-FR"/>
              </w:rPr>
            </w:pPr>
            <w:r w:rsidRPr="000622D7">
              <w:rPr>
                <w:lang w:val="fr-FR"/>
              </w:rPr>
              <w:t>F</w:t>
            </w:r>
          </w:p>
          <w:p w:rsidR="00821754" w:rsidRPr="000622D7" w:rsidRDefault="00821754" w:rsidP="002277CF">
            <w:pPr>
              <w:pStyle w:val="Docoriginal"/>
              <w:spacing w:line="280" w:lineRule="atLeast"/>
              <w:rPr>
                <w:lang w:val="fr-FR"/>
              </w:rPr>
            </w:pPr>
            <w:r w:rsidRPr="000622D7">
              <w:rPr>
                <w:lang w:val="fr-FR"/>
              </w:rPr>
              <w:t>TC/52/</w:t>
            </w:r>
            <w:bookmarkStart w:id="1" w:name="Code"/>
            <w:bookmarkEnd w:id="1"/>
            <w:r w:rsidRPr="000622D7">
              <w:rPr>
                <w:lang w:val="fr-FR"/>
              </w:rPr>
              <w:t>11</w:t>
            </w:r>
          </w:p>
          <w:p w:rsidR="00821754" w:rsidRPr="000622D7" w:rsidRDefault="00821754" w:rsidP="002277CF">
            <w:pPr>
              <w:pStyle w:val="Docoriginal"/>
              <w:spacing w:line="280" w:lineRule="atLeast"/>
              <w:rPr>
                <w:b w:val="0"/>
                <w:spacing w:val="0"/>
                <w:lang w:val="fr-FR"/>
              </w:rPr>
            </w:pPr>
            <w:r w:rsidRPr="000622D7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CF2B96" w:rsidRPr="000622D7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0622D7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0622D7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0622D7">
              <w:rPr>
                <w:b w:val="0"/>
                <w:spacing w:val="0"/>
                <w:lang w:val="fr-FR"/>
              </w:rPr>
              <w:t>anglais</w:t>
            </w:r>
          </w:p>
          <w:p w:rsidR="00821754" w:rsidRPr="000622D7" w:rsidRDefault="00821754" w:rsidP="002277CF">
            <w:pPr>
              <w:pStyle w:val="Docoriginal"/>
              <w:spacing w:line="280" w:lineRule="atLeast"/>
              <w:rPr>
                <w:lang w:val="fr-FR"/>
              </w:rPr>
            </w:pPr>
            <w:r w:rsidRPr="000622D7">
              <w:rPr>
                <w:spacing w:val="0"/>
                <w:lang w:val="fr-FR"/>
              </w:rPr>
              <w:t>DATE</w:t>
            </w:r>
            <w:r w:rsidR="00CF2B96" w:rsidRPr="000622D7">
              <w:rPr>
                <w:spacing w:val="0"/>
                <w:lang w:val="fr-FR"/>
              </w:rPr>
              <w:t> </w:t>
            </w:r>
            <w:r w:rsidRPr="000622D7">
              <w:rPr>
                <w:spacing w:val="0"/>
                <w:lang w:val="fr-FR"/>
              </w:rPr>
              <w:t>:</w:t>
            </w:r>
            <w:r w:rsidRPr="000622D7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Pr="000622D7">
              <w:rPr>
                <w:b w:val="0"/>
                <w:spacing w:val="0"/>
                <w:lang w:val="fr-FR"/>
              </w:rPr>
              <w:t>2</w:t>
            </w:r>
            <w:r w:rsidR="00034D19" w:rsidRPr="000622D7">
              <w:rPr>
                <w:b w:val="0"/>
                <w:spacing w:val="0"/>
                <w:lang w:val="fr-FR"/>
              </w:rPr>
              <w:t>3 février 20</w:t>
            </w:r>
            <w:r w:rsidRPr="000622D7">
              <w:rPr>
                <w:b w:val="0"/>
                <w:spacing w:val="0"/>
                <w:lang w:val="fr-FR"/>
              </w:rPr>
              <w:t>16</w:t>
            </w:r>
          </w:p>
        </w:tc>
      </w:tr>
      <w:tr w:rsidR="00F77193" w:rsidRPr="000622D7" w:rsidTr="00025E40">
        <w:tc>
          <w:tcPr>
            <w:tcW w:w="10131" w:type="dxa"/>
            <w:gridSpan w:val="3"/>
          </w:tcPr>
          <w:p w:rsidR="00821754" w:rsidRPr="000622D7" w:rsidRDefault="00821754" w:rsidP="00F77193">
            <w:pPr>
              <w:pStyle w:val="upove"/>
              <w:rPr>
                <w:sz w:val="28"/>
                <w:lang w:val="fr-FR"/>
              </w:rPr>
            </w:pPr>
            <w:r w:rsidRPr="000622D7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77193" w:rsidRPr="000622D7" w:rsidTr="00025E40">
        <w:tc>
          <w:tcPr>
            <w:tcW w:w="10131" w:type="dxa"/>
            <w:gridSpan w:val="3"/>
          </w:tcPr>
          <w:p w:rsidR="00821754" w:rsidRPr="000622D7" w:rsidRDefault="00821754" w:rsidP="00F77193">
            <w:pPr>
              <w:pStyle w:val="Country"/>
              <w:rPr>
                <w:lang w:val="fr-FR"/>
              </w:rPr>
            </w:pPr>
            <w:r w:rsidRPr="000622D7">
              <w:rPr>
                <w:lang w:val="fr-FR"/>
              </w:rPr>
              <w:t>Genève</w:t>
            </w:r>
          </w:p>
        </w:tc>
      </w:tr>
    </w:tbl>
    <w:p w:rsidR="00821754" w:rsidRPr="000622D7" w:rsidRDefault="00821754" w:rsidP="00F77193">
      <w:pPr>
        <w:pStyle w:val="Sessiontc"/>
        <w:rPr>
          <w:lang w:val="fr-FR"/>
        </w:rPr>
      </w:pPr>
      <w:r w:rsidRPr="000622D7">
        <w:rPr>
          <w:lang w:val="fr-FR"/>
        </w:rPr>
        <w:t>Comité TECHNIQUE</w:t>
      </w:r>
    </w:p>
    <w:p w:rsidR="00821754" w:rsidRPr="000622D7" w:rsidRDefault="00821754" w:rsidP="00F77193">
      <w:pPr>
        <w:pStyle w:val="Sessiontcplacedate"/>
        <w:rPr>
          <w:lang w:val="fr-FR"/>
        </w:rPr>
      </w:pPr>
      <w:r w:rsidRPr="000622D7">
        <w:rPr>
          <w:lang w:val="fr-FR"/>
        </w:rPr>
        <w:t>Cinquante</w:t>
      </w:r>
      <w:r w:rsidR="007F1BBD" w:rsidRPr="000622D7">
        <w:rPr>
          <w:lang w:val="fr-FR"/>
        </w:rPr>
        <w:noBreakHyphen/>
      </w:r>
      <w:r w:rsidRPr="000622D7">
        <w:rPr>
          <w:lang w:val="fr-FR"/>
        </w:rPr>
        <w:t>deuxième</w:t>
      </w:r>
      <w:r w:rsidR="00CF2B96" w:rsidRPr="000622D7">
        <w:rPr>
          <w:lang w:val="fr-FR"/>
        </w:rPr>
        <w:t> </w:t>
      </w:r>
      <w:r w:rsidRPr="000622D7">
        <w:rPr>
          <w:lang w:val="fr-FR"/>
        </w:rPr>
        <w:t xml:space="preserve">session </w:t>
      </w:r>
      <w:r w:rsidRPr="000622D7">
        <w:rPr>
          <w:lang w:val="fr-FR"/>
        </w:rPr>
        <w:br/>
        <w:t>Genève, 14</w:t>
      </w:r>
      <w:r w:rsidR="007F1BBD" w:rsidRPr="000622D7">
        <w:rPr>
          <w:lang w:val="fr-FR"/>
        </w:rPr>
        <w:noBreakHyphen/>
      </w:r>
      <w:r w:rsidRPr="000622D7">
        <w:rPr>
          <w:lang w:val="fr-FR"/>
        </w:rPr>
        <w:t>1</w:t>
      </w:r>
      <w:r w:rsidR="00034D19" w:rsidRPr="000622D7">
        <w:rPr>
          <w:lang w:val="fr-FR"/>
        </w:rPr>
        <w:t>6 mars 20</w:t>
      </w:r>
      <w:r w:rsidRPr="000622D7">
        <w:rPr>
          <w:lang w:val="fr-FR"/>
        </w:rPr>
        <w:t>16</w:t>
      </w:r>
    </w:p>
    <w:p w:rsidR="00A94B4B" w:rsidRPr="000622D7" w:rsidRDefault="00A94B4B" w:rsidP="00F77193">
      <w:pPr>
        <w:pStyle w:val="Titleofdoc0"/>
        <w:rPr>
          <w:lang w:val="fr-FR"/>
        </w:rPr>
      </w:pPr>
      <w:r w:rsidRPr="000622D7">
        <w:rPr>
          <w:lang w:val="fr-FR"/>
        </w:rPr>
        <w:t>techniques moléculaires</w:t>
      </w:r>
    </w:p>
    <w:p w:rsidR="00A94B4B" w:rsidRPr="000622D7" w:rsidRDefault="00821754" w:rsidP="00F77193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0622D7">
        <w:rPr>
          <w:lang w:val="fr-FR"/>
        </w:rPr>
        <w:t>Document établi par le Bureau de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Union</w:t>
      </w:r>
      <w:r w:rsidRPr="000622D7">
        <w:rPr>
          <w:lang w:val="fr-FR"/>
        </w:rPr>
        <w:br/>
      </w:r>
      <w:r w:rsidRPr="000622D7">
        <w:rPr>
          <w:lang w:val="fr-FR"/>
        </w:rPr>
        <w:br/>
      </w:r>
      <w:r w:rsidRPr="000622D7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5C211B" w:rsidRPr="000622D7">
        <w:rPr>
          <w:color w:val="A6A6A6" w:themeColor="background1" w:themeShade="A6"/>
          <w:lang w:val="fr-FR"/>
        </w:rPr>
        <w:t>’</w:t>
      </w:r>
      <w:r w:rsidRPr="000622D7">
        <w:rPr>
          <w:color w:val="A6A6A6" w:themeColor="background1" w:themeShade="A6"/>
          <w:lang w:val="fr-FR"/>
        </w:rPr>
        <w:t>UPOV</w:t>
      </w:r>
    </w:p>
    <w:p w:rsidR="00A94B4B" w:rsidRPr="000622D7" w:rsidRDefault="00C62645" w:rsidP="00F77193">
      <w:pPr>
        <w:pStyle w:val="Heading1"/>
        <w:rPr>
          <w:color w:val="auto"/>
        </w:rPr>
      </w:pPr>
      <w:bookmarkStart w:id="5" w:name="_Toc444674441"/>
      <w:r w:rsidRPr="000622D7">
        <w:rPr>
          <w:color w:val="auto"/>
        </w:rPr>
        <w:t>Résumé</w:t>
      </w:r>
      <w:bookmarkEnd w:id="5"/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0F7E6A" w:rsidP="00F77193">
      <w:pPr>
        <w:rPr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DD7101" w:rsidRPr="000622D7">
        <w:rPr>
          <w:lang w:val="fr-FR"/>
        </w:rPr>
        <w:t>L</w:t>
      </w:r>
      <w:r w:rsidR="005C211B" w:rsidRPr="000622D7">
        <w:rPr>
          <w:lang w:val="fr-FR"/>
        </w:rPr>
        <w:t>’</w:t>
      </w:r>
      <w:r w:rsidR="00DD7101" w:rsidRPr="000622D7">
        <w:rPr>
          <w:lang w:val="fr-FR"/>
        </w:rPr>
        <w:t xml:space="preserve">objet du présent document est de rendre compte des faits nouveaux survenus dans le domaine des techniques moléculaires en rapport avec </w:t>
      </w:r>
      <w:r w:rsidR="00410071" w:rsidRPr="000622D7">
        <w:rPr>
          <w:lang w:val="fr-FR"/>
        </w:rPr>
        <w:t>l</w:t>
      </w:r>
      <w:r w:rsidR="005C211B" w:rsidRPr="000622D7">
        <w:rPr>
          <w:lang w:val="fr-FR"/>
        </w:rPr>
        <w:t>’</w:t>
      </w:r>
      <w:r w:rsidR="00410071" w:rsidRPr="000622D7">
        <w:rPr>
          <w:lang w:val="fr-FR"/>
        </w:rPr>
        <w:t xml:space="preserve">atelier conjoint organisé par les groupes de travail techniques </w:t>
      </w:r>
      <w:r w:rsidR="00CE40BF" w:rsidRPr="000622D7">
        <w:rPr>
          <w:lang w:val="fr-FR"/>
        </w:rPr>
        <w:t xml:space="preserve">(TWP) </w:t>
      </w:r>
      <w:r w:rsidR="00410071" w:rsidRPr="000622D7">
        <w:rPr>
          <w:lang w:val="fr-FR"/>
        </w:rPr>
        <w:t xml:space="preserve">et </w:t>
      </w:r>
      <w:r w:rsidR="00DD7101" w:rsidRPr="000622D7">
        <w:rPr>
          <w:lang w:val="fr-FR" w:eastAsia="ja-JP"/>
        </w:rPr>
        <w:t>l</w:t>
      </w:r>
      <w:r w:rsidR="005C211B" w:rsidRPr="000622D7">
        <w:rPr>
          <w:lang w:val="fr-FR" w:eastAsia="ja-JP"/>
        </w:rPr>
        <w:t>’</w:t>
      </w:r>
      <w:r w:rsidR="00DD7101" w:rsidRPr="000622D7">
        <w:rPr>
          <w:lang w:val="fr-FR" w:eastAsia="ja-JP"/>
        </w:rPr>
        <w:t>OCDE, l</w:t>
      </w:r>
      <w:r w:rsidR="005C211B" w:rsidRPr="000622D7">
        <w:rPr>
          <w:lang w:val="fr-FR" w:eastAsia="ja-JP"/>
        </w:rPr>
        <w:t>’</w:t>
      </w:r>
      <w:r w:rsidR="00DD7101" w:rsidRPr="000622D7">
        <w:rPr>
          <w:lang w:val="fr-FR" w:eastAsia="ja-JP"/>
        </w:rPr>
        <w:t>UPOV</w:t>
      </w:r>
      <w:r w:rsidR="00410071" w:rsidRPr="000622D7">
        <w:rPr>
          <w:lang w:val="fr-FR" w:eastAsia="ja-JP"/>
        </w:rPr>
        <w:t xml:space="preserve"> et</w:t>
      </w:r>
      <w:r w:rsidR="00DD7101" w:rsidRPr="000622D7">
        <w:rPr>
          <w:lang w:val="fr-FR" w:eastAsia="ja-JP"/>
        </w:rPr>
        <w:t xml:space="preserve"> l</w:t>
      </w:r>
      <w:r w:rsidR="005C211B" w:rsidRPr="000622D7">
        <w:rPr>
          <w:lang w:val="fr-FR" w:eastAsia="ja-JP"/>
        </w:rPr>
        <w:t>’</w:t>
      </w:r>
      <w:r w:rsidR="00DD7101" w:rsidRPr="000622D7">
        <w:rPr>
          <w:lang w:val="fr-FR" w:eastAsia="ja-JP"/>
        </w:rPr>
        <w:t>ISTA</w:t>
      </w:r>
      <w:r w:rsidR="00410071" w:rsidRPr="000622D7">
        <w:rPr>
          <w:lang w:val="fr-FR" w:eastAsia="ja-JP"/>
        </w:rPr>
        <w:t>, et d</w:t>
      </w:r>
      <w:r w:rsidR="005C211B" w:rsidRPr="000622D7">
        <w:rPr>
          <w:lang w:val="fr-FR" w:eastAsia="ja-JP"/>
        </w:rPr>
        <w:t>’</w:t>
      </w:r>
      <w:r w:rsidR="00410071" w:rsidRPr="000622D7">
        <w:rPr>
          <w:lang w:val="fr-FR" w:eastAsia="ja-JP"/>
        </w:rPr>
        <w:t>examiner un projet de questions et réponses concernant la diffusion d</w:t>
      </w:r>
      <w:r w:rsidR="005C211B" w:rsidRPr="000622D7">
        <w:rPr>
          <w:lang w:val="fr-FR" w:eastAsia="ja-JP"/>
        </w:rPr>
        <w:t>’</w:t>
      </w:r>
      <w:r w:rsidR="00410071" w:rsidRPr="000622D7">
        <w:rPr>
          <w:lang w:val="fr-FR" w:eastAsia="ja-JP"/>
        </w:rPr>
        <w:t xml:space="preserve">informations à un large public, </w:t>
      </w:r>
      <w:r w:rsidR="005C211B" w:rsidRPr="000622D7">
        <w:rPr>
          <w:lang w:val="fr-FR" w:eastAsia="ja-JP"/>
        </w:rPr>
        <w:t>y compris</w:t>
      </w:r>
      <w:r w:rsidR="00410071" w:rsidRPr="000622D7">
        <w:rPr>
          <w:lang w:val="fr-FR" w:eastAsia="ja-JP"/>
        </w:rPr>
        <w:t xml:space="preserve"> le public en général, sur la situation à l</w:t>
      </w:r>
      <w:r w:rsidR="005C211B" w:rsidRPr="000622D7">
        <w:rPr>
          <w:lang w:val="fr-FR" w:eastAsia="ja-JP"/>
        </w:rPr>
        <w:t>’</w:t>
      </w:r>
      <w:r w:rsidR="00410071" w:rsidRPr="000622D7">
        <w:rPr>
          <w:lang w:val="fr-FR" w:eastAsia="ja-JP"/>
        </w:rPr>
        <w:t>UPOV au regard de l</w:t>
      </w:r>
      <w:r w:rsidR="005C211B" w:rsidRPr="000622D7">
        <w:rPr>
          <w:lang w:val="fr-FR" w:eastAsia="ja-JP"/>
        </w:rPr>
        <w:t>’</w:t>
      </w:r>
      <w:r w:rsidR="00410071" w:rsidRPr="000622D7">
        <w:rPr>
          <w:lang w:val="fr-FR" w:eastAsia="ja-JP"/>
        </w:rPr>
        <w:t>utilisation de techniques moléculaires</w:t>
      </w:r>
      <w:r w:rsidR="006D5C91" w:rsidRPr="000622D7">
        <w:rPr>
          <w:lang w:val="fr-FR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3F4BEF" w:rsidP="00F77193">
      <w:pPr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A94B4B" w:rsidRPr="000622D7">
        <w:rPr>
          <w:lang w:val="fr-FR"/>
        </w:rPr>
        <w:t>Le</w:t>
      </w:r>
      <w:r w:rsidR="005C211B" w:rsidRPr="000622D7">
        <w:rPr>
          <w:lang w:val="fr-FR"/>
        </w:rPr>
        <w:t> TC</w:t>
      </w:r>
      <w:r w:rsidR="00A94B4B" w:rsidRPr="000622D7">
        <w:rPr>
          <w:lang w:val="fr-FR"/>
        </w:rPr>
        <w:t xml:space="preserve"> est invité</w:t>
      </w:r>
      <w:r w:rsidR="00066552" w:rsidRPr="000622D7">
        <w:rPr>
          <w:lang w:val="fr-FR"/>
        </w:rPr>
        <w:t xml:space="preserve"> à :</w:t>
      </w:r>
    </w:p>
    <w:p w:rsidR="00A94B4B" w:rsidRPr="000622D7" w:rsidRDefault="00A94B4B" w:rsidP="00F77193">
      <w:pPr>
        <w:ind w:left="540" w:hanging="540"/>
        <w:rPr>
          <w:lang w:val="fr-FR" w:eastAsia="ja-JP"/>
        </w:rPr>
      </w:pPr>
    </w:p>
    <w:p w:rsidR="00A94B4B" w:rsidRPr="000622D7" w:rsidRDefault="00D10599" w:rsidP="00F77193">
      <w:pPr>
        <w:rPr>
          <w:lang w:val="fr-FR"/>
        </w:rPr>
      </w:pPr>
      <w:r w:rsidRPr="000622D7">
        <w:rPr>
          <w:lang w:val="fr-FR"/>
        </w:rPr>
        <w:tab/>
      </w:r>
      <w:r w:rsidR="00A94B4B" w:rsidRPr="000622D7">
        <w:rPr>
          <w:lang w:val="fr-FR"/>
        </w:rPr>
        <w:t>a)</w:t>
      </w:r>
      <w:r w:rsidR="00A94B4B" w:rsidRPr="000622D7">
        <w:rPr>
          <w:lang w:val="fr-FR"/>
        </w:rPr>
        <w:tab/>
        <w:t>prendre note du rapport sur les faits nouveaux survenus au sein</w:t>
      </w:r>
      <w:r w:rsidR="00034D19" w:rsidRPr="000622D7">
        <w:rPr>
          <w:lang w:val="fr-FR"/>
        </w:rPr>
        <w:t xml:space="preserve"> des TWP</w:t>
      </w:r>
      <w:r w:rsidR="00A94B4B" w:rsidRPr="000622D7">
        <w:rPr>
          <w:lang w:val="fr-FR"/>
        </w:rPr>
        <w:t xml:space="preserve"> et</w:t>
      </w:r>
      <w:r w:rsidR="00034D19" w:rsidRPr="000622D7">
        <w:rPr>
          <w:lang w:val="fr-FR"/>
        </w:rPr>
        <w:t xml:space="preserve"> du BMT</w:t>
      </w:r>
      <w:r w:rsidR="00A94B4B" w:rsidRPr="000622D7">
        <w:rPr>
          <w:lang w:val="fr-FR"/>
        </w:rPr>
        <w:t>, présenté aux paragraphes</w:t>
      </w:r>
      <w:r w:rsidR="00CF2B96" w:rsidRPr="000622D7">
        <w:rPr>
          <w:lang w:val="fr-FR"/>
        </w:rPr>
        <w:t> </w:t>
      </w:r>
      <w:r w:rsidR="00A94B4B" w:rsidRPr="000622D7">
        <w:rPr>
          <w:lang w:val="fr-FR"/>
        </w:rPr>
        <w:t>5 à 15 du présent document</w:t>
      </w:r>
      <w:r w:rsidR="001A6AFE" w:rsidRPr="000622D7">
        <w:rPr>
          <w:lang w:val="fr-FR"/>
        </w:rPr>
        <w:t>;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D10599" w:rsidP="00F77193">
      <w:pPr>
        <w:rPr>
          <w:lang w:val="fr-FR"/>
        </w:rPr>
      </w:pPr>
      <w:r w:rsidRPr="000622D7">
        <w:rPr>
          <w:lang w:val="fr-FR"/>
        </w:rPr>
        <w:tab/>
        <w:t>b)</w:t>
      </w:r>
      <w:r w:rsidRPr="000622D7">
        <w:rPr>
          <w:lang w:val="fr-FR"/>
        </w:rPr>
        <w:tab/>
      </w:r>
      <w:r w:rsidR="008B3A9D" w:rsidRPr="000622D7">
        <w:rPr>
          <w:lang w:val="fr-FR"/>
        </w:rPr>
        <w:t xml:space="preserve">prendre </w:t>
      </w:r>
      <w:r w:rsidR="00255BB6" w:rsidRPr="000622D7">
        <w:rPr>
          <w:lang w:val="fr-FR"/>
        </w:rPr>
        <w:t>note des projets des Systèmes de semences de l</w:t>
      </w:r>
      <w:r w:rsidR="005C211B" w:rsidRPr="000622D7">
        <w:rPr>
          <w:lang w:val="fr-FR"/>
        </w:rPr>
        <w:t>’</w:t>
      </w:r>
      <w:r w:rsidR="00255BB6" w:rsidRPr="000622D7">
        <w:rPr>
          <w:lang w:val="fr-FR"/>
        </w:rPr>
        <w:t>OCDE visant à organiser un atelier conjoint de l</w:t>
      </w:r>
      <w:r w:rsidR="005C211B" w:rsidRPr="000622D7">
        <w:rPr>
          <w:lang w:val="fr-FR"/>
        </w:rPr>
        <w:t>’</w:t>
      </w:r>
      <w:r w:rsidR="00255BB6" w:rsidRPr="000622D7">
        <w:rPr>
          <w:lang w:val="fr-FR"/>
        </w:rPr>
        <w:t>OCDE, de l</w:t>
      </w:r>
      <w:r w:rsidR="005C211B" w:rsidRPr="000622D7">
        <w:rPr>
          <w:lang w:val="fr-FR"/>
        </w:rPr>
        <w:t>’</w:t>
      </w:r>
      <w:r w:rsidR="00255BB6" w:rsidRPr="000622D7">
        <w:rPr>
          <w:lang w:val="fr-FR"/>
        </w:rPr>
        <w:t>UPOV, de l</w:t>
      </w:r>
      <w:r w:rsidR="005C211B" w:rsidRPr="000622D7">
        <w:rPr>
          <w:lang w:val="fr-FR"/>
        </w:rPr>
        <w:t>’</w:t>
      </w:r>
      <w:r w:rsidR="00255BB6" w:rsidRPr="000622D7">
        <w:rPr>
          <w:lang w:val="fr-FR"/>
        </w:rPr>
        <w:t>ISTA et de l</w:t>
      </w:r>
      <w:r w:rsidR="005C211B" w:rsidRPr="000622D7">
        <w:rPr>
          <w:lang w:val="fr-FR"/>
        </w:rPr>
        <w:t>’</w:t>
      </w:r>
      <w:r w:rsidR="00255BB6" w:rsidRPr="000622D7">
        <w:rPr>
          <w:lang w:val="fr-FR"/>
        </w:rPr>
        <w:t xml:space="preserve">AOSA sur </w:t>
      </w:r>
      <w:r w:rsidR="00D3633B" w:rsidRPr="000622D7">
        <w:rPr>
          <w:lang w:val="fr-FR"/>
        </w:rPr>
        <w:t>les techniques biochimiques et moléculaires à P</w:t>
      </w:r>
      <w:r w:rsidRPr="000622D7">
        <w:rPr>
          <w:lang w:val="fr-FR"/>
        </w:rPr>
        <w:t>aris</w:t>
      </w:r>
      <w:r w:rsidR="00D3633B" w:rsidRPr="000622D7">
        <w:rPr>
          <w:lang w:val="fr-FR"/>
        </w:rPr>
        <w:t xml:space="preserve"> (France)</w:t>
      </w:r>
      <w:r w:rsidR="00A743CD" w:rsidRPr="000622D7">
        <w:rPr>
          <w:lang w:val="fr-FR"/>
        </w:rPr>
        <w:t xml:space="preserve">, </w:t>
      </w:r>
      <w:r w:rsidR="00D3633B" w:rsidRPr="000622D7">
        <w:rPr>
          <w:lang w:val="fr-FR"/>
        </w:rPr>
        <w:t xml:space="preserve">les 7 et </w:t>
      </w:r>
      <w:r w:rsidR="005C211B" w:rsidRPr="000622D7">
        <w:rPr>
          <w:lang w:val="fr-FR"/>
        </w:rPr>
        <w:t>8 juin 20</w:t>
      </w:r>
      <w:r w:rsidR="001A6AFE" w:rsidRPr="000622D7">
        <w:rPr>
          <w:lang w:val="fr-FR"/>
        </w:rPr>
        <w:t>16;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D10599" w:rsidP="00F77193">
      <w:pPr>
        <w:rPr>
          <w:lang w:val="fr-FR"/>
        </w:rPr>
      </w:pPr>
      <w:r w:rsidRPr="000622D7">
        <w:rPr>
          <w:lang w:val="fr-FR"/>
        </w:rPr>
        <w:tab/>
        <w:t>c)</w:t>
      </w:r>
      <w:r w:rsidRPr="000622D7">
        <w:rPr>
          <w:lang w:val="fr-FR"/>
        </w:rPr>
        <w:tab/>
      </w:r>
      <w:r w:rsidR="00E43AE7" w:rsidRPr="000622D7">
        <w:rPr>
          <w:lang w:val="fr-FR"/>
        </w:rPr>
        <w:t>prendre note</w:t>
      </w:r>
      <w:r w:rsidRPr="000622D7">
        <w:rPr>
          <w:lang w:val="fr-FR"/>
        </w:rPr>
        <w:t xml:space="preserve"> </w:t>
      </w:r>
      <w:r w:rsidR="00E43AE7" w:rsidRPr="000622D7">
        <w:rPr>
          <w:lang w:val="fr-FR"/>
        </w:rPr>
        <w:t>du fait que les observations formulées par l</w:t>
      </w:r>
      <w:r w:rsidR="005C211B" w:rsidRPr="000622D7">
        <w:rPr>
          <w:lang w:val="fr-FR"/>
        </w:rPr>
        <w:t>’</w:t>
      </w:r>
      <w:r w:rsidR="00E43AE7" w:rsidRPr="000622D7">
        <w:rPr>
          <w:lang w:val="fr-FR"/>
        </w:rPr>
        <w:t>OCDE et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 xml:space="preserve">ISTA </w:t>
      </w:r>
      <w:r w:rsidR="00E43AE7" w:rsidRPr="000622D7">
        <w:rPr>
          <w:lang w:val="fr-FR"/>
        </w:rPr>
        <w:t>concernant les principaux systèmes de l</w:t>
      </w:r>
      <w:r w:rsidR="005C211B" w:rsidRPr="000622D7">
        <w:rPr>
          <w:lang w:val="fr-FR"/>
        </w:rPr>
        <w:t>’</w:t>
      </w:r>
      <w:r w:rsidR="006E66FA" w:rsidRPr="000622D7">
        <w:rPr>
          <w:lang w:val="fr-FR"/>
        </w:rPr>
        <w:t>OCDE</w:t>
      </w:r>
      <w:r w:rsidRPr="000622D7">
        <w:rPr>
          <w:lang w:val="fr-FR"/>
        </w:rPr>
        <w:t xml:space="preserve">, </w:t>
      </w:r>
      <w:r w:rsidR="00E43AE7" w:rsidRPr="000622D7">
        <w:rPr>
          <w:lang w:val="fr-FR"/>
        </w:rPr>
        <w:t>de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 xml:space="preserve">UPOV </w:t>
      </w:r>
      <w:r w:rsidR="00E43AE7" w:rsidRPr="000622D7">
        <w:rPr>
          <w:lang w:val="fr-FR"/>
        </w:rPr>
        <w:t>et de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 xml:space="preserve">ISTA </w:t>
      </w:r>
      <w:r w:rsidR="00E43AE7" w:rsidRPr="000622D7">
        <w:rPr>
          <w:lang w:val="fr-FR"/>
        </w:rPr>
        <w:t>seront communiquées au</w:t>
      </w:r>
      <w:r w:rsidR="005C211B" w:rsidRPr="000622D7">
        <w:rPr>
          <w:lang w:val="fr-FR"/>
        </w:rPr>
        <w:t> TC</w:t>
      </w:r>
      <w:r w:rsidR="00DA0734" w:rsidRPr="000622D7">
        <w:rPr>
          <w:lang w:val="fr-FR"/>
        </w:rPr>
        <w:t xml:space="preserve"> à sa cinquante</w:t>
      </w:r>
      <w:r w:rsidR="007F1BBD" w:rsidRPr="000622D7">
        <w:rPr>
          <w:lang w:val="fr-FR"/>
        </w:rPr>
        <w:noBreakHyphen/>
      </w:r>
      <w:r w:rsidR="00DA0734" w:rsidRPr="000622D7">
        <w:rPr>
          <w:lang w:val="fr-FR"/>
        </w:rPr>
        <w:t>troisième</w:t>
      </w:r>
      <w:r w:rsidR="0090653E" w:rsidRPr="000622D7">
        <w:rPr>
          <w:lang w:val="fr-FR"/>
        </w:rPr>
        <w:t> </w:t>
      </w:r>
      <w:r w:rsidR="00DA0734" w:rsidRPr="000622D7">
        <w:rPr>
          <w:lang w:val="fr-FR"/>
        </w:rPr>
        <w:t>session</w:t>
      </w:r>
      <w:r w:rsidR="001A6AFE" w:rsidRPr="000622D7">
        <w:rPr>
          <w:lang w:val="fr-FR"/>
        </w:rPr>
        <w:t>;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D10599" w:rsidP="00F77193">
      <w:pPr>
        <w:rPr>
          <w:lang w:val="fr-FR"/>
        </w:rPr>
      </w:pPr>
      <w:r w:rsidRPr="000622D7">
        <w:rPr>
          <w:lang w:val="fr-FR"/>
        </w:rPr>
        <w:tab/>
        <w:t>d)</w:t>
      </w:r>
      <w:r w:rsidRPr="000622D7">
        <w:rPr>
          <w:lang w:val="fr-FR"/>
        </w:rPr>
        <w:tab/>
      </w:r>
      <w:r w:rsidR="00794DF9" w:rsidRPr="000622D7">
        <w:rPr>
          <w:lang w:val="fr-FR"/>
        </w:rPr>
        <w:t>prendre note du fait que les observations formulées par l</w:t>
      </w:r>
      <w:r w:rsidR="005C211B" w:rsidRPr="000622D7">
        <w:rPr>
          <w:lang w:val="fr-FR"/>
        </w:rPr>
        <w:t>’</w:t>
      </w:r>
      <w:r w:rsidR="00794DF9" w:rsidRPr="000622D7">
        <w:rPr>
          <w:lang w:val="fr-FR"/>
        </w:rPr>
        <w:t>OCDE et l</w:t>
      </w:r>
      <w:r w:rsidR="005C211B" w:rsidRPr="000622D7">
        <w:rPr>
          <w:lang w:val="fr-FR"/>
        </w:rPr>
        <w:t>’</w:t>
      </w:r>
      <w:r w:rsidR="00794DF9" w:rsidRPr="000622D7">
        <w:rPr>
          <w:lang w:val="fr-FR"/>
        </w:rPr>
        <w:t>ISTA concernant l</w:t>
      </w:r>
      <w:r w:rsidR="005C211B" w:rsidRPr="000622D7">
        <w:rPr>
          <w:lang w:val="fr-FR"/>
        </w:rPr>
        <w:t>’</w:t>
      </w:r>
      <w:r w:rsidR="00794DF9" w:rsidRPr="000622D7">
        <w:rPr>
          <w:lang w:val="fr-FR"/>
        </w:rPr>
        <w:t>utilisation qui est faite des techniques faisant intervenir des marqueurs moléculaires, par plante, seront communiquées au</w:t>
      </w:r>
      <w:r w:rsidR="005C211B" w:rsidRPr="000622D7">
        <w:rPr>
          <w:lang w:val="fr-FR"/>
        </w:rPr>
        <w:t> TC</w:t>
      </w:r>
      <w:r w:rsidR="00794DF9" w:rsidRPr="000622D7">
        <w:rPr>
          <w:lang w:val="fr-FR"/>
        </w:rPr>
        <w:t xml:space="preserve"> à sa cinquante</w:t>
      </w:r>
      <w:r w:rsidR="007F1BBD" w:rsidRPr="000622D7">
        <w:rPr>
          <w:lang w:val="fr-FR"/>
        </w:rPr>
        <w:noBreakHyphen/>
      </w:r>
      <w:r w:rsidR="00794DF9" w:rsidRPr="000622D7">
        <w:rPr>
          <w:lang w:val="fr-FR"/>
        </w:rPr>
        <w:t>troisième</w:t>
      </w:r>
      <w:r w:rsidR="0090653E" w:rsidRPr="000622D7">
        <w:rPr>
          <w:lang w:val="fr-FR"/>
        </w:rPr>
        <w:t> </w:t>
      </w:r>
      <w:r w:rsidR="00794DF9" w:rsidRPr="000622D7">
        <w:rPr>
          <w:lang w:val="fr-FR"/>
        </w:rPr>
        <w:t>session</w:t>
      </w:r>
      <w:r w:rsidR="001A6AFE" w:rsidRPr="000622D7">
        <w:rPr>
          <w:lang w:val="fr-FR"/>
        </w:rPr>
        <w:t>;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D10599" w:rsidP="00F77193">
      <w:pPr>
        <w:rPr>
          <w:lang w:val="fr-FR"/>
        </w:rPr>
      </w:pPr>
      <w:r w:rsidRPr="000622D7">
        <w:rPr>
          <w:lang w:val="fr-FR"/>
        </w:rPr>
        <w:tab/>
        <w:t>e)</w:t>
      </w:r>
      <w:r w:rsidRPr="000622D7">
        <w:rPr>
          <w:lang w:val="fr-FR"/>
        </w:rPr>
        <w:tab/>
      </w:r>
      <w:r w:rsidR="00FA1C1A" w:rsidRPr="000622D7">
        <w:rPr>
          <w:lang w:val="fr-FR"/>
        </w:rPr>
        <w:t>prendre note du fait que</w:t>
      </w:r>
      <w:r w:rsidR="005C211B" w:rsidRPr="000622D7">
        <w:rPr>
          <w:lang w:val="fr-FR"/>
        </w:rPr>
        <w:t xml:space="preserve"> le BMT</w:t>
      </w:r>
      <w:r w:rsidR="00FA1C1A" w:rsidRPr="000622D7">
        <w:rPr>
          <w:lang w:val="fr-FR"/>
        </w:rPr>
        <w:t>, à sa quinzième</w:t>
      </w:r>
      <w:r w:rsidR="0090653E" w:rsidRPr="000622D7">
        <w:rPr>
          <w:lang w:val="fr-FR"/>
        </w:rPr>
        <w:t> </w:t>
      </w:r>
      <w:r w:rsidR="00FA1C1A" w:rsidRPr="000622D7">
        <w:rPr>
          <w:lang w:val="fr-FR"/>
        </w:rPr>
        <w:t>session, sera invité à dresser une liste d</w:t>
      </w:r>
      <w:r w:rsidR="005C211B" w:rsidRPr="000622D7">
        <w:rPr>
          <w:lang w:val="fr-FR"/>
        </w:rPr>
        <w:t>’</w:t>
      </w:r>
      <w:r w:rsidR="00FA1C1A" w:rsidRPr="000622D7">
        <w:rPr>
          <w:lang w:val="fr-FR"/>
        </w:rPr>
        <w:t>initiatives conjointes possibles avec l</w:t>
      </w:r>
      <w:r w:rsidR="005C211B" w:rsidRPr="000622D7">
        <w:rPr>
          <w:lang w:val="fr-FR"/>
        </w:rPr>
        <w:t>’</w:t>
      </w:r>
      <w:r w:rsidR="00FA1C1A" w:rsidRPr="000622D7">
        <w:rPr>
          <w:lang w:val="fr-FR"/>
        </w:rPr>
        <w:t>OCDE et l</w:t>
      </w:r>
      <w:r w:rsidR="005C211B" w:rsidRPr="000622D7">
        <w:rPr>
          <w:lang w:val="fr-FR"/>
        </w:rPr>
        <w:t>’</w:t>
      </w:r>
      <w:r w:rsidR="00FA1C1A" w:rsidRPr="000622D7">
        <w:rPr>
          <w:lang w:val="fr-FR"/>
        </w:rPr>
        <w:t>ISTA et devant être présentée au</w:t>
      </w:r>
      <w:r w:rsidR="005C211B" w:rsidRPr="000622D7">
        <w:rPr>
          <w:lang w:val="fr-FR"/>
        </w:rPr>
        <w:t> TC</w:t>
      </w:r>
      <w:r w:rsidR="00FA1C1A" w:rsidRPr="000622D7">
        <w:rPr>
          <w:lang w:val="fr-FR"/>
        </w:rPr>
        <w:t xml:space="preserve"> à sa cinquante</w:t>
      </w:r>
      <w:r w:rsidR="007F1BBD" w:rsidRPr="000622D7">
        <w:rPr>
          <w:lang w:val="fr-FR"/>
        </w:rPr>
        <w:noBreakHyphen/>
      </w:r>
      <w:r w:rsidR="00FA1C1A" w:rsidRPr="000622D7">
        <w:rPr>
          <w:lang w:val="fr-FR"/>
        </w:rPr>
        <w:t>troisième</w:t>
      </w:r>
      <w:r w:rsidR="0090653E" w:rsidRPr="000622D7">
        <w:rPr>
          <w:lang w:val="fr-FR"/>
        </w:rPr>
        <w:t> </w:t>
      </w:r>
      <w:r w:rsidR="001A6AFE" w:rsidRPr="000622D7">
        <w:rPr>
          <w:lang w:val="fr-FR"/>
        </w:rPr>
        <w:t>session;</w:t>
      </w:r>
      <w:r w:rsidRPr="000622D7">
        <w:rPr>
          <w:lang w:val="fr-FR"/>
        </w:rPr>
        <w:t xml:space="preserve"> </w:t>
      </w:r>
      <w:r w:rsidR="0074136C" w:rsidRPr="000622D7">
        <w:rPr>
          <w:lang w:val="fr-FR"/>
        </w:rPr>
        <w:t>et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D10599" w:rsidP="00F77193">
      <w:pPr>
        <w:rPr>
          <w:lang w:val="fr-FR"/>
        </w:rPr>
      </w:pPr>
      <w:r w:rsidRPr="000622D7">
        <w:rPr>
          <w:lang w:val="fr-FR"/>
        </w:rPr>
        <w:tab/>
        <w:t>f)</w:t>
      </w:r>
      <w:r w:rsidRPr="000622D7">
        <w:rPr>
          <w:lang w:val="fr-FR"/>
        </w:rPr>
        <w:tab/>
      </w:r>
      <w:r w:rsidR="002237AC" w:rsidRPr="000622D7">
        <w:rPr>
          <w:lang w:val="fr-FR"/>
        </w:rPr>
        <w:t xml:space="preserve">examiner </w:t>
      </w:r>
      <w:r w:rsidR="00620D81" w:rsidRPr="000622D7">
        <w:rPr>
          <w:lang w:val="fr-FR"/>
        </w:rPr>
        <w:t>un projet de questions et réponses concernant la diffusion d</w:t>
      </w:r>
      <w:r w:rsidR="005C211B" w:rsidRPr="000622D7">
        <w:rPr>
          <w:lang w:val="fr-FR"/>
        </w:rPr>
        <w:t>’</w:t>
      </w:r>
      <w:r w:rsidR="00620D81" w:rsidRPr="000622D7">
        <w:rPr>
          <w:lang w:val="fr-FR"/>
        </w:rPr>
        <w:t xml:space="preserve">informations à un large public, </w:t>
      </w:r>
      <w:r w:rsidR="005C211B" w:rsidRPr="000622D7">
        <w:rPr>
          <w:lang w:val="fr-FR"/>
        </w:rPr>
        <w:t>y compris</w:t>
      </w:r>
      <w:r w:rsidR="00620D81" w:rsidRPr="000622D7">
        <w:rPr>
          <w:lang w:val="fr-FR"/>
        </w:rPr>
        <w:t xml:space="preserve"> le public en général, sur la situation à l</w:t>
      </w:r>
      <w:r w:rsidR="005C211B" w:rsidRPr="000622D7">
        <w:rPr>
          <w:lang w:val="fr-FR"/>
        </w:rPr>
        <w:t>’</w:t>
      </w:r>
      <w:r w:rsidR="00620D81" w:rsidRPr="000622D7">
        <w:rPr>
          <w:lang w:val="fr-FR"/>
        </w:rPr>
        <w:t>UPOV au regard de l</w:t>
      </w:r>
      <w:r w:rsidR="005C211B" w:rsidRPr="000622D7">
        <w:rPr>
          <w:lang w:val="fr-FR"/>
        </w:rPr>
        <w:t>’</w:t>
      </w:r>
      <w:r w:rsidR="00620D81" w:rsidRPr="000622D7">
        <w:rPr>
          <w:lang w:val="fr-FR"/>
        </w:rPr>
        <w:t>utilisation de techniques moléculaires, comme indiqué au paragraphe</w:t>
      </w:r>
      <w:r w:rsidR="0090653E" w:rsidRPr="000622D7">
        <w:rPr>
          <w:lang w:val="fr-FR"/>
        </w:rPr>
        <w:t> </w:t>
      </w:r>
      <w:r w:rsidR="00620D81" w:rsidRPr="000622D7">
        <w:rPr>
          <w:lang w:val="fr-FR"/>
        </w:rPr>
        <w:t>38 du présent document</w:t>
      </w:r>
      <w:r w:rsidRPr="000622D7">
        <w:rPr>
          <w:lang w:val="fr-FR"/>
        </w:rPr>
        <w:t>.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D10599" w:rsidP="00F77193">
      <w:pPr>
        <w:jc w:val="left"/>
        <w:rPr>
          <w:lang w:val="fr-FR"/>
        </w:rPr>
      </w:pPr>
      <w:r w:rsidRPr="000622D7">
        <w:rPr>
          <w:lang w:val="fr-FR"/>
        </w:rPr>
        <w:br w:type="page"/>
      </w:r>
    </w:p>
    <w:p w:rsidR="00A94B4B" w:rsidRPr="000622D7" w:rsidRDefault="00D10599" w:rsidP="00F77193">
      <w:pPr>
        <w:rPr>
          <w:lang w:val="fr-FR"/>
        </w:rPr>
      </w:pPr>
      <w:r w:rsidRPr="000622D7">
        <w:rPr>
          <w:lang w:val="fr-FR"/>
        </w:rPr>
        <w:lastRenderedPageBreak/>
        <w:t>3.</w:t>
      </w:r>
      <w:r w:rsidR="00195A44" w:rsidRPr="000622D7">
        <w:rPr>
          <w:lang w:val="fr-FR"/>
        </w:rPr>
        <w:tab/>
      </w:r>
      <w:r w:rsidR="00A743CD" w:rsidRPr="000622D7">
        <w:rPr>
          <w:lang w:val="fr-FR"/>
        </w:rPr>
        <w:t>Les abréviations ci</w:t>
      </w:r>
      <w:r w:rsidR="007F1BBD" w:rsidRPr="000622D7">
        <w:rPr>
          <w:lang w:val="fr-FR"/>
        </w:rPr>
        <w:noBreakHyphen/>
      </w:r>
      <w:r w:rsidR="00A743CD" w:rsidRPr="000622D7">
        <w:rPr>
          <w:lang w:val="fr-FR"/>
        </w:rPr>
        <w:t>après sont utilisées dans le présent document :</w:t>
      </w:r>
    </w:p>
    <w:p w:rsidR="00A94B4B" w:rsidRPr="000622D7" w:rsidRDefault="00A94B4B" w:rsidP="00F77193">
      <w:pPr>
        <w:keepNext/>
        <w:ind w:left="1692" w:hanging="1125"/>
        <w:jc w:val="left"/>
        <w:rPr>
          <w:lang w:val="fr-FR"/>
        </w:rPr>
      </w:pPr>
    </w:p>
    <w:p w:rsidR="00034D19" w:rsidRPr="000622D7" w:rsidRDefault="00A94B4B" w:rsidP="00F77193">
      <w:pPr>
        <w:keepNext/>
        <w:tabs>
          <w:tab w:val="left" w:pos="567"/>
        </w:tabs>
        <w:ind w:left="1692" w:hanging="1125"/>
        <w:rPr>
          <w:lang w:val="fr-FR"/>
        </w:rPr>
      </w:pPr>
      <w:r w:rsidRPr="000622D7">
        <w:rPr>
          <w:lang w:val="fr-FR"/>
        </w:rPr>
        <w:t>BMT</w:t>
      </w:r>
      <w:r w:rsidR="00CF2B96" w:rsidRPr="000622D7">
        <w:rPr>
          <w:lang w:val="fr-FR"/>
        </w:rPr>
        <w:t> </w:t>
      </w:r>
      <w:r w:rsidRPr="000622D7">
        <w:rPr>
          <w:lang w:val="fr-FR"/>
        </w:rPr>
        <w:t xml:space="preserve">: </w:t>
      </w:r>
      <w:r w:rsidRPr="000622D7">
        <w:rPr>
          <w:lang w:val="fr-FR"/>
        </w:rPr>
        <w:tab/>
      </w:r>
      <w:r w:rsidR="00034D19" w:rsidRPr="000622D7">
        <w:rPr>
          <w:lang w:val="fr-FR"/>
        </w:rPr>
        <w:tab/>
      </w:r>
      <w:r w:rsidRPr="000622D7">
        <w:rPr>
          <w:lang w:val="fr-FR"/>
        </w:rPr>
        <w:t>Groupe de travail sur les techniques biochimiques et moléculaires, notamment les profils d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ADN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lang w:val="fr-FR"/>
        </w:rPr>
      </w:pPr>
      <w:r w:rsidRPr="000622D7">
        <w:rPr>
          <w:lang w:val="fr-FR"/>
        </w:rPr>
        <w:t>CAJ</w:t>
      </w:r>
      <w:r w:rsidR="00CF2B96" w:rsidRPr="000622D7">
        <w:rPr>
          <w:lang w:val="fr-FR"/>
        </w:rPr>
        <w:t> </w:t>
      </w:r>
      <w:r w:rsidRPr="000622D7">
        <w:rPr>
          <w:lang w:val="fr-FR"/>
        </w:rPr>
        <w:t xml:space="preserve">: </w:t>
      </w:r>
      <w:r w:rsidRPr="000622D7">
        <w:rPr>
          <w:lang w:val="fr-FR"/>
        </w:rPr>
        <w:tab/>
      </w:r>
      <w:r w:rsidR="00034D19" w:rsidRPr="000622D7">
        <w:rPr>
          <w:lang w:val="fr-FR"/>
        </w:rPr>
        <w:tab/>
      </w:r>
      <w:r w:rsidRPr="000622D7">
        <w:rPr>
          <w:lang w:val="fr-FR"/>
        </w:rPr>
        <w:t>Comité administratif et juridique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lang w:val="fr-FR"/>
        </w:rPr>
      </w:pPr>
      <w:r w:rsidRPr="000622D7">
        <w:rPr>
          <w:lang w:val="fr-FR"/>
        </w:rPr>
        <w:t>TC</w:t>
      </w:r>
      <w:r w:rsidR="00CF2B96" w:rsidRPr="000622D7">
        <w:rPr>
          <w:lang w:val="fr-FR"/>
        </w:rPr>
        <w:t> :</w:t>
      </w:r>
      <w:r w:rsidRPr="000622D7">
        <w:rPr>
          <w:lang w:val="fr-FR"/>
        </w:rPr>
        <w:t xml:space="preserve"> </w:t>
      </w:r>
      <w:r w:rsidR="00034D19" w:rsidRPr="000622D7">
        <w:rPr>
          <w:lang w:val="fr-FR"/>
        </w:rPr>
        <w:tab/>
      </w:r>
      <w:r w:rsidR="00034D19" w:rsidRPr="000622D7">
        <w:rPr>
          <w:lang w:val="fr-FR"/>
        </w:rPr>
        <w:tab/>
      </w:r>
      <w:r w:rsidRPr="000622D7">
        <w:rPr>
          <w:lang w:val="fr-FR"/>
        </w:rPr>
        <w:t>Comité technique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rFonts w:eastAsia="PMingLiU" w:cs="Arial"/>
          <w:szCs w:val="24"/>
          <w:lang w:val="fr-FR"/>
        </w:rPr>
      </w:pPr>
      <w:r w:rsidRPr="000622D7">
        <w:rPr>
          <w:rFonts w:eastAsia="PMingLiU" w:cs="Arial"/>
          <w:szCs w:val="24"/>
          <w:lang w:val="fr-FR"/>
        </w:rPr>
        <w:t>TC</w:t>
      </w:r>
      <w:r w:rsidR="007F1BBD" w:rsidRPr="000622D7">
        <w:rPr>
          <w:rFonts w:eastAsia="PMingLiU" w:cs="Arial"/>
          <w:szCs w:val="24"/>
          <w:lang w:val="fr-FR"/>
        </w:rPr>
        <w:noBreakHyphen/>
      </w:r>
      <w:r w:rsidRPr="000622D7">
        <w:rPr>
          <w:rFonts w:eastAsia="PMingLiU" w:cs="Arial"/>
          <w:szCs w:val="24"/>
          <w:lang w:val="fr-FR"/>
        </w:rPr>
        <w:t>EDC</w:t>
      </w:r>
      <w:r w:rsidR="0090653E" w:rsidRPr="000622D7">
        <w:rPr>
          <w:rFonts w:eastAsia="PMingLiU" w:cs="Arial"/>
          <w:szCs w:val="24"/>
          <w:lang w:val="fr-FR"/>
        </w:rPr>
        <w:t xml:space="preserve"> : </w:t>
      </w:r>
      <w:r w:rsidR="00856ACA" w:rsidRPr="000622D7">
        <w:rPr>
          <w:rFonts w:eastAsia="PMingLiU" w:cs="Arial"/>
          <w:szCs w:val="24"/>
          <w:lang w:val="fr-FR"/>
        </w:rPr>
        <w:tab/>
      </w:r>
      <w:r w:rsidR="00856ACA" w:rsidRPr="000622D7">
        <w:rPr>
          <w:rFonts w:eastAsia="PMingLiU" w:cs="Arial"/>
          <w:szCs w:val="24"/>
          <w:lang w:val="fr-FR"/>
        </w:rPr>
        <w:tab/>
      </w:r>
      <w:r w:rsidRPr="000622D7">
        <w:rPr>
          <w:lang w:val="fr-FR"/>
        </w:rPr>
        <w:t>Comité</w:t>
      </w:r>
      <w:r w:rsidRPr="000622D7">
        <w:rPr>
          <w:rFonts w:eastAsia="PMingLiU" w:cs="Arial"/>
          <w:szCs w:val="24"/>
          <w:lang w:val="fr-FR"/>
        </w:rPr>
        <w:t xml:space="preserve"> de rédaction élargi du Comité technique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rFonts w:eastAsia="PMingLiU" w:cs="Arial"/>
          <w:szCs w:val="24"/>
          <w:lang w:val="fr-FR"/>
        </w:rPr>
      </w:pPr>
      <w:r w:rsidRPr="000622D7">
        <w:rPr>
          <w:rFonts w:eastAsia="PMingLiU" w:cs="Arial"/>
          <w:szCs w:val="24"/>
          <w:lang w:val="fr-FR"/>
        </w:rPr>
        <w:t>TWA</w:t>
      </w:r>
      <w:r w:rsidR="00CF2B96" w:rsidRPr="000622D7">
        <w:rPr>
          <w:rFonts w:eastAsia="PMingLiU" w:cs="Arial"/>
          <w:szCs w:val="24"/>
          <w:lang w:val="fr-FR"/>
        </w:rPr>
        <w:t> </w:t>
      </w:r>
      <w:r w:rsidRPr="000622D7">
        <w:rPr>
          <w:rFonts w:eastAsia="PMingLiU" w:cs="Arial"/>
          <w:szCs w:val="24"/>
          <w:lang w:val="fr-FR"/>
        </w:rPr>
        <w:t xml:space="preserve">: </w:t>
      </w:r>
      <w:r w:rsidRPr="000622D7">
        <w:rPr>
          <w:rFonts w:eastAsia="PMingLiU" w:cs="Arial"/>
          <w:szCs w:val="24"/>
          <w:lang w:val="fr-FR"/>
        </w:rPr>
        <w:tab/>
      </w:r>
      <w:r w:rsidR="00034D19" w:rsidRPr="000622D7">
        <w:rPr>
          <w:rFonts w:eastAsia="PMingLiU" w:cs="Arial"/>
          <w:szCs w:val="24"/>
          <w:lang w:val="fr-FR"/>
        </w:rPr>
        <w:tab/>
      </w:r>
      <w:r w:rsidRPr="000622D7">
        <w:rPr>
          <w:lang w:val="fr-FR"/>
        </w:rPr>
        <w:t>Groupe</w:t>
      </w:r>
      <w:r w:rsidRPr="000622D7">
        <w:rPr>
          <w:rFonts w:eastAsia="PMingLiU" w:cs="Arial"/>
          <w:szCs w:val="24"/>
          <w:lang w:val="fr-FR"/>
        </w:rPr>
        <w:t xml:space="preserve"> de travail technique sur les plantes agricoles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rFonts w:eastAsia="PMingLiU" w:cs="Arial"/>
          <w:szCs w:val="24"/>
          <w:lang w:val="fr-FR"/>
        </w:rPr>
      </w:pPr>
      <w:r w:rsidRPr="000622D7">
        <w:rPr>
          <w:rFonts w:eastAsia="PMingLiU" w:cs="Arial"/>
          <w:szCs w:val="24"/>
          <w:lang w:val="fr-FR"/>
        </w:rPr>
        <w:t>TWC</w:t>
      </w:r>
      <w:r w:rsidR="00CF2B96" w:rsidRPr="000622D7">
        <w:rPr>
          <w:rFonts w:eastAsia="PMingLiU" w:cs="Arial"/>
          <w:szCs w:val="24"/>
          <w:lang w:val="fr-FR"/>
        </w:rPr>
        <w:t> </w:t>
      </w:r>
      <w:r w:rsidRPr="000622D7">
        <w:rPr>
          <w:rFonts w:eastAsia="PMingLiU" w:cs="Arial"/>
          <w:szCs w:val="24"/>
          <w:lang w:val="fr-FR"/>
        </w:rPr>
        <w:t xml:space="preserve">: </w:t>
      </w:r>
      <w:r w:rsidRPr="000622D7">
        <w:rPr>
          <w:rFonts w:eastAsia="PMingLiU" w:cs="Arial"/>
          <w:szCs w:val="24"/>
          <w:lang w:val="fr-FR"/>
        </w:rPr>
        <w:tab/>
      </w:r>
      <w:r w:rsidR="00034D19" w:rsidRPr="000622D7">
        <w:rPr>
          <w:rFonts w:eastAsia="PMingLiU" w:cs="Arial"/>
          <w:szCs w:val="24"/>
          <w:lang w:val="fr-FR"/>
        </w:rPr>
        <w:tab/>
      </w:r>
      <w:r w:rsidRPr="000622D7">
        <w:rPr>
          <w:rFonts w:eastAsia="PMingLiU" w:cs="Arial"/>
          <w:szCs w:val="24"/>
          <w:lang w:val="fr-FR"/>
        </w:rPr>
        <w:t>Groupe de travail technique sur les systèmes d</w:t>
      </w:r>
      <w:r w:rsidR="005C211B" w:rsidRPr="000622D7">
        <w:rPr>
          <w:rFonts w:eastAsia="PMingLiU" w:cs="Arial"/>
          <w:szCs w:val="24"/>
          <w:lang w:val="fr-FR"/>
        </w:rPr>
        <w:t>’</w:t>
      </w:r>
      <w:r w:rsidRPr="000622D7">
        <w:rPr>
          <w:rFonts w:eastAsia="PMingLiU" w:cs="Arial"/>
          <w:szCs w:val="24"/>
          <w:lang w:val="fr-FR"/>
        </w:rPr>
        <w:t>automatisation et les programmes d</w:t>
      </w:r>
      <w:r w:rsidR="005C211B" w:rsidRPr="000622D7">
        <w:rPr>
          <w:rFonts w:eastAsia="PMingLiU" w:cs="Arial"/>
          <w:szCs w:val="24"/>
          <w:lang w:val="fr-FR"/>
        </w:rPr>
        <w:t>’</w:t>
      </w:r>
      <w:r w:rsidRPr="000622D7">
        <w:rPr>
          <w:rFonts w:eastAsia="PMingLiU" w:cs="Arial"/>
          <w:szCs w:val="24"/>
          <w:lang w:val="fr-FR"/>
        </w:rPr>
        <w:t>ordinateur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rFonts w:eastAsia="PMingLiU" w:cs="Arial"/>
          <w:szCs w:val="24"/>
          <w:lang w:val="fr-FR"/>
        </w:rPr>
      </w:pPr>
      <w:r w:rsidRPr="000622D7">
        <w:rPr>
          <w:rFonts w:eastAsia="PMingLiU" w:cs="Arial"/>
          <w:szCs w:val="24"/>
          <w:lang w:val="fr-FR"/>
        </w:rPr>
        <w:t>TWF</w:t>
      </w:r>
      <w:r w:rsidR="00CF2B96" w:rsidRPr="000622D7">
        <w:rPr>
          <w:rFonts w:eastAsia="PMingLiU" w:cs="Arial"/>
          <w:szCs w:val="24"/>
          <w:lang w:val="fr-FR"/>
        </w:rPr>
        <w:t> </w:t>
      </w:r>
      <w:r w:rsidRPr="000622D7">
        <w:rPr>
          <w:rFonts w:eastAsia="PMingLiU" w:cs="Arial"/>
          <w:szCs w:val="24"/>
          <w:lang w:val="fr-FR"/>
        </w:rPr>
        <w:t xml:space="preserve">: </w:t>
      </w:r>
      <w:r w:rsidRPr="000622D7">
        <w:rPr>
          <w:rFonts w:eastAsia="PMingLiU" w:cs="Arial"/>
          <w:szCs w:val="24"/>
          <w:lang w:val="fr-FR"/>
        </w:rPr>
        <w:tab/>
      </w:r>
      <w:r w:rsidR="00034D19" w:rsidRPr="000622D7">
        <w:rPr>
          <w:rFonts w:eastAsia="PMingLiU" w:cs="Arial"/>
          <w:szCs w:val="24"/>
          <w:lang w:val="fr-FR"/>
        </w:rPr>
        <w:tab/>
      </w:r>
      <w:r w:rsidRPr="000622D7">
        <w:rPr>
          <w:rFonts w:eastAsia="PMingLiU" w:cs="Arial"/>
          <w:szCs w:val="24"/>
          <w:lang w:val="fr-FR"/>
        </w:rPr>
        <w:t>Groupe de travail technique sur les plantes fruitières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rFonts w:eastAsia="PMingLiU" w:cs="Arial"/>
          <w:szCs w:val="24"/>
          <w:lang w:val="fr-FR"/>
        </w:rPr>
      </w:pPr>
      <w:r w:rsidRPr="000622D7">
        <w:rPr>
          <w:rFonts w:eastAsia="PMingLiU" w:cs="Arial"/>
          <w:szCs w:val="24"/>
          <w:lang w:val="fr-FR"/>
        </w:rPr>
        <w:t>TWO</w:t>
      </w:r>
      <w:r w:rsidR="00CF2B96" w:rsidRPr="000622D7">
        <w:rPr>
          <w:rFonts w:eastAsia="PMingLiU" w:cs="Arial"/>
          <w:szCs w:val="24"/>
          <w:lang w:val="fr-FR"/>
        </w:rPr>
        <w:t> </w:t>
      </w:r>
      <w:r w:rsidRPr="000622D7">
        <w:rPr>
          <w:rFonts w:eastAsia="PMingLiU" w:cs="Arial"/>
          <w:szCs w:val="24"/>
          <w:lang w:val="fr-FR"/>
        </w:rPr>
        <w:t xml:space="preserve">: </w:t>
      </w:r>
      <w:r w:rsidRPr="000622D7">
        <w:rPr>
          <w:rFonts w:eastAsia="PMingLiU" w:cs="Arial"/>
          <w:szCs w:val="24"/>
          <w:lang w:val="fr-FR"/>
        </w:rPr>
        <w:tab/>
      </w:r>
      <w:r w:rsidR="00034D19" w:rsidRPr="000622D7">
        <w:rPr>
          <w:rFonts w:eastAsia="PMingLiU" w:cs="Arial"/>
          <w:szCs w:val="24"/>
          <w:lang w:val="fr-FR"/>
        </w:rPr>
        <w:tab/>
      </w:r>
      <w:r w:rsidRPr="000622D7">
        <w:rPr>
          <w:rFonts w:eastAsia="PMingLiU" w:cs="Arial"/>
          <w:szCs w:val="24"/>
          <w:lang w:val="fr-FR"/>
        </w:rPr>
        <w:t>Groupe de travail technique sur les plantes ornementales et les arbres forestiers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rFonts w:eastAsia="PMingLiU" w:cs="Arial"/>
          <w:szCs w:val="24"/>
          <w:lang w:val="fr-FR"/>
        </w:rPr>
      </w:pPr>
      <w:r w:rsidRPr="000622D7">
        <w:rPr>
          <w:rFonts w:eastAsia="PMingLiU" w:cs="Arial"/>
          <w:szCs w:val="24"/>
          <w:lang w:val="fr-FR"/>
        </w:rPr>
        <w:t>TWP</w:t>
      </w:r>
      <w:r w:rsidR="00CF2B96" w:rsidRPr="000622D7">
        <w:rPr>
          <w:rFonts w:eastAsia="PMingLiU" w:cs="Arial"/>
          <w:szCs w:val="24"/>
          <w:lang w:val="fr-FR"/>
        </w:rPr>
        <w:t> </w:t>
      </w:r>
      <w:r w:rsidRPr="000622D7">
        <w:rPr>
          <w:rFonts w:eastAsia="PMingLiU" w:cs="Arial"/>
          <w:szCs w:val="24"/>
          <w:lang w:val="fr-FR"/>
        </w:rPr>
        <w:t xml:space="preserve">: </w:t>
      </w:r>
      <w:r w:rsidRPr="000622D7">
        <w:rPr>
          <w:rFonts w:eastAsia="PMingLiU" w:cs="Arial"/>
          <w:szCs w:val="24"/>
          <w:lang w:val="fr-FR"/>
        </w:rPr>
        <w:tab/>
      </w:r>
      <w:r w:rsidR="00034D19" w:rsidRPr="000622D7">
        <w:rPr>
          <w:rFonts w:eastAsia="PMingLiU" w:cs="Arial"/>
          <w:szCs w:val="24"/>
          <w:lang w:val="fr-FR"/>
        </w:rPr>
        <w:tab/>
      </w:r>
      <w:r w:rsidRPr="000622D7">
        <w:rPr>
          <w:rFonts w:eastAsia="PMingLiU" w:cs="Arial"/>
          <w:szCs w:val="24"/>
          <w:lang w:val="fr-FR"/>
        </w:rPr>
        <w:t>Groupes de travail techniques</w:t>
      </w:r>
    </w:p>
    <w:p w:rsidR="00A94B4B" w:rsidRPr="000622D7" w:rsidRDefault="00A94B4B" w:rsidP="00F77193">
      <w:pPr>
        <w:ind w:left="1560" w:hanging="993"/>
        <w:rPr>
          <w:rFonts w:eastAsia="PMingLiU" w:cs="Arial"/>
          <w:szCs w:val="24"/>
          <w:lang w:val="fr-FR"/>
        </w:rPr>
      </w:pPr>
      <w:r w:rsidRPr="000622D7">
        <w:rPr>
          <w:rFonts w:eastAsia="PMingLiU" w:cs="Arial"/>
          <w:szCs w:val="24"/>
          <w:lang w:val="fr-FR"/>
        </w:rPr>
        <w:t>TWV</w:t>
      </w:r>
      <w:r w:rsidR="00CF2B96" w:rsidRPr="000622D7">
        <w:rPr>
          <w:rFonts w:eastAsia="PMingLiU" w:cs="Arial"/>
          <w:szCs w:val="24"/>
          <w:lang w:val="fr-FR"/>
        </w:rPr>
        <w:t> </w:t>
      </w:r>
      <w:r w:rsidRPr="000622D7">
        <w:rPr>
          <w:rFonts w:eastAsia="PMingLiU" w:cs="Arial"/>
          <w:szCs w:val="24"/>
          <w:lang w:val="fr-FR"/>
        </w:rPr>
        <w:t xml:space="preserve">: </w:t>
      </w:r>
      <w:r w:rsidRPr="000622D7">
        <w:rPr>
          <w:rFonts w:eastAsia="PMingLiU" w:cs="Arial"/>
          <w:szCs w:val="24"/>
          <w:lang w:val="fr-FR"/>
        </w:rPr>
        <w:tab/>
      </w:r>
      <w:r w:rsidR="00034D19" w:rsidRPr="000622D7">
        <w:rPr>
          <w:rFonts w:eastAsia="PMingLiU" w:cs="Arial"/>
          <w:szCs w:val="24"/>
          <w:lang w:val="fr-FR"/>
        </w:rPr>
        <w:tab/>
      </w:r>
      <w:r w:rsidRPr="000622D7">
        <w:rPr>
          <w:rFonts w:eastAsia="PMingLiU" w:cs="Arial"/>
          <w:szCs w:val="24"/>
          <w:lang w:val="fr-FR"/>
        </w:rPr>
        <w:t>Groupe de travail technique sur les plantes potagères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rFonts w:eastAsia="PMingLiU" w:cs="Arial"/>
          <w:snapToGrid w:val="0"/>
          <w:szCs w:val="24"/>
          <w:lang w:val="fr-FR"/>
        </w:rPr>
      </w:pPr>
      <w:r w:rsidRPr="000622D7">
        <w:rPr>
          <w:rFonts w:eastAsia="PMingLiU" w:cs="Arial"/>
          <w:snapToGrid w:val="0"/>
          <w:szCs w:val="24"/>
          <w:lang w:val="fr-FR"/>
        </w:rPr>
        <w:t>OCDE</w:t>
      </w:r>
      <w:r w:rsidR="00CF2B96" w:rsidRPr="000622D7">
        <w:rPr>
          <w:rFonts w:eastAsia="PMingLiU" w:cs="Arial"/>
          <w:snapToGrid w:val="0"/>
          <w:szCs w:val="24"/>
          <w:lang w:val="fr-FR"/>
        </w:rPr>
        <w:t> </w:t>
      </w:r>
      <w:r w:rsidRPr="000622D7">
        <w:rPr>
          <w:rFonts w:eastAsia="PMingLiU" w:cs="Arial"/>
          <w:snapToGrid w:val="0"/>
          <w:szCs w:val="24"/>
          <w:lang w:val="fr-FR"/>
        </w:rPr>
        <w:t xml:space="preserve">: </w:t>
      </w:r>
      <w:r w:rsidRPr="000622D7">
        <w:rPr>
          <w:rFonts w:eastAsia="PMingLiU" w:cs="Arial"/>
          <w:snapToGrid w:val="0"/>
          <w:szCs w:val="24"/>
          <w:lang w:val="fr-FR"/>
        </w:rPr>
        <w:tab/>
      </w:r>
      <w:r w:rsidR="00034D19" w:rsidRPr="000622D7">
        <w:rPr>
          <w:rFonts w:eastAsia="PMingLiU" w:cs="Arial"/>
          <w:snapToGrid w:val="0"/>
          <w:szCs w:val="24"/>
          <w:lang w:val="fr-FR"/>
        </w:rPr>
        <w:tab/>
      </w:r>
      <w:r w:rsidRPr="000622D7">
        <w:rPr>
          <w:rFonts w:eastAsia="PMingLiU" w:cs="Arial"/>
          <w:szCs w:val="24"/>
          <w:lang w:val="fr-FR"/>
        </w:rPr>
        <w:t>Organisation</w:t>
      </w:r>
      <w:r w:rsidRPr="000622D7">
        <w:rPr>
          <w:rFonts w:eastAsia="PMingLiU" w:cs="Arial"/>
          <w:snapToGrid w:val="0"/>
          <w:szCs w:val="24"/>
          <w:lang w:val="fr-FR"/>
        </w:rPr>
        <w:t xml:space="preserve"> de coopération et de développement économiques</w:t>
      </w:r>
    </w:p>
    <w:p w:rsidR="00A94B4B" w:rsidRPr="000622D7" w:rsidRDefault="00A94B4B" w:rsidP="00F77193">
      <w:pPr>
        <w:keepNext/>
        <w:tabs>
          <w:tab w:val="left" w:pos="567"/>
        </w:tabs>
        <w:ind w:left="1692" w:hanging="1125"/>
        <w:rPr>
          <w:rFonts w:eastAsia="PMingLiU" w:cs="Arial"/>
          <w:szCs w:val="24"/>
          <w:lang w:val="fr-FR"/>
        </w:rPr>
      </w:pPr>
      <w:r w:rsidRPr="000622D7">
        <w:rPr>
          <w:rFonts w:eastAsia="PMingLiU" w:cs="Arial"/>
          <w:szCs w:val="24"/>
          <w:lang w:val="fr-FR"/>
        </w:rPr>
        <w:t>ISTA</w:t>
      </w:r>
      <w:r w:rsidR="00CF2B96" w:rsidRPr="000622D7">
        <w:rPr>
          <w:rFonts w:eastAsia="PMingLiU" w:cs="Arial"/>
          <w:szCs w:val="24"/>
          <w:lang w:val="fr-FR"/>
        </w:rPr>
        <w:t> </w:t>
      </w:r>
      <w:r w:rsidRPr="000622D7">
        <w:rPr>
          <w:rFonts w:eastAsia="PMingLiU" w:cs="Arial"/>
          <w:szCs w:val="24"/>
          <w:lang w:val="fr-FR"/>
        </w:rPr>
        <w:t xml:space="preserve">: </w:t>
      </w:r>
      <w:r w:rsidRPr="000622D7">
        <w:rPr>
          <w:rFonts w:eastAsia="PMingLiU" w:cs="Arial"/>
          <w:szCs w:val="24"/>
          <w:lang w:val="fr-FR"/>
        </w:rPr>
        <w:tab/>
      </w:r>
      <w:r w:rsidR="00034D19" w:rsidRPr="000622D7">
        <w:rPr>
          <w:rFonts w:eastAsia="PMingLiU" w:cs="Arial"/>
          <w:szCs w:val="24"/>
          <w:lang w:val="fr-FR"/>
        </w:rPr>
        <w:tab/>
      </w:r>
      <w:r w:rsidRPr="000622D7">
        <w:rPr>
          <w:rFonts w:eastAsia="PMingLiU" w:cs="Arial"/>
          <w:szCs w:val="24"/>
          <w:lang w:val="fr-FR"/>
        </w:rPr>
        <w:t>Association internationale d</w:t>
      </w:r>
      <w:r w:rsidR="005C211B" w:rsidRPr="000622D7">
        <w:rPr>
          <w:rFonts w:eastAsia="PMingLiU" w:cs="Arial"/>
          <w:szCs w:val="24"/>
          <w:lang w:val="fr-FR"/>
        </w:rPr>
        <w:t>’</w:t>
      </w:r>
      <w:r w:rsidRPr="000622D7">
        <w:rPr>
          <w:rFonts w:eastAsia="PMingLiU" w:cs="Arial"/>
          <w:szCs w:val="24"/>
          <w:lang w:val="fr-FR"/>
        </w:rPr>
        <w:t>essais de semences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3D27DD" w:rsidP="00F77193">
      <w:pPr>
        <w:keepNext/>
        <w:rPr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A94B4B" w:rsidRPr="000622D7">
        <w:rPr>
          <w:lang w:val="fr-FR"/>
        </w:rPr>
        <w:t>La structure du présent document est la suivante</w:t>
      </w:r>
      <w:r w:rsidR="00CF2B96" w:rsidRPr="000622D7">
        <w:rPr>
          <w:lang w:val="fr-FR"/>
        </w:rPr>
        <w:t> </w:t>
      </w:r>
      <w:r w:rsidR="00A94B4B" w:rsidRPr="000622D7">
        <w:rPr>
          <w:lang w:val="fr-FR"/>
        </w:rPr>
        <w:t>:</w:t>
      </w:r>
    </w:p>
    <w:sdt>
      <w:sdtPr>
        <w:rPr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A94B4B" w:rsidRPr="000622D7" w:rsidRDefault="00A94B4B" w:rsidP="00F77193">
          <w:pPr>
            <w:keepNext/>
            <w:rPr>
              <w:rFonts w:cs="Arial"/>
              <w:b/>
              <w:lang w:val="fr-FR"/>
            </w:rPr>
          </w:pPr>
        </w:p>
        <w:p w:rsidR="00A65E99" w:rsidRPr="000622D7" w:rsidRDefault="00DC6260" w:rsidP="00F77193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/>
            </w:rPr>
          </w:pPr>
          <w:r w:rsidRPr="000622D7">
            <w:rPr>
              <w:lang w:val="fr-FR"/>
            </w:rPr>
            <w:fldChar w:fldCharType="begin"/>
          </w:r>
          <w:r w:rsidRPr="000622D7">
            <w:rPr>
              <w:lang w:val="fr-FR"/>
            </w:rPr>
            <w:instrText xml:space="preserve"> TOC \o "1-3" \h \z \u </w:instrText>
          </w:r>
          <w:r w:rsidRPr="000622D7">
            <w:rPr>
              <w:lang w:val="fr-FR"/>
            </w:rPr>
            <w:fldChar w:fldCharType="separate"/>
          </w:r>
          <w:hyperlink w:anchor="_Toc444674441" w:history="1">
            <w:r w:rsidR="00A65E99" w:rsidRPr="000622D7">
              <w:rPr>
                <w:rStyle w:val="Hyperlink"/>
                <w:color w:val="auto"/>
                <w:lang w:val="fr-FR"/>
              </w:rPr>
              <w:t>Résumé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_Toc444674441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 w:rsidR="00204743">
              <w:rPr>
                <w:webHidden/>
                <w:lang w:val="fr-FR"/>
              </w:rPr>
              <w:t>1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/>
            </w:rPr>
          </w:pPr>
          <w:hyperlink w:anchor="_Toc444674442" w:history="1">
            <w:r w:rsidR="00A65E99" w:rsidRPr="000622D7">
              <w:rPr>
                <w:rStyle w:val="Hyperlink"/>
                <w:snapToGrid w:val="0"/>
                <w:color w:val="auto"/>
                <w:lang w:val="fr-FR"/>
              </w:rPr>
              <w:t>Faits nouveaux survenus au sein des groupes de travail techniques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_Toc444674442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2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/>
            </w:rPr>
          </w:pPr>
          <w:hyperlink w:anchor="_Toc444674443" w:history="1">
            <w:r w:rsidR="00A65E99" w:rsidRPr="000622D7">
              <w:rPr>
                <w:rStyle w:val="Hyperlink"/>
                <w:color w:val="auto"/>
                <w:lang w:val="fr-FR"/>
              </w:rPr>
              <w:t>Groupe de travail sur les techniques biochimiques et moléculaires, notamment les profils d’ADN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_Toc444674443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3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/>
            </w:rPr>
          </w:pPr>
          <w:hyperlink w:anchor="_Toc444674444" w:history="1">
            <w:r w:rsidR="00A65E99" w:rsidRPr="000622D7">
              <w:rPr>
                <w:rStyle w:val="Hyperlink"/>
                <w:color w:val="auto"/>
                <w:lang w:val="fr-FR"/>
              </w:rPr>
              <w:t>Atelier conjoint de l’OCDE, de l’UPOV et de l’ISTA sur les techniques moléculaires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_Toc444674444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4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2"/>
            <w:rPr>
              <w:rFonts w:asciiTheme="minorHAnsi" w:hAnsiTheme="minorHAnsi" w:cstheme="minorBidi"/>
              <w:sz w:val="22"/>
              <w:szCs w:val="22"/>
              <w:lang w:val="fr-FR"/>
            </w:rPr>
          </w:pPr>
          <w:hyperlink w:anchor="_Toc444674445" w:history="1">
            <w:r w:rsidR="00A65E99" w:rsidRPr="000622D7">
              <w:rPr>
                <w:rStyle w:val="Hyperlink"/>
                <w:color w:val="auto"/>
                <w:lang w:val="fr-FR"/>
              </w:rPr>
              <w:t>Généralités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_Toc444674445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4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2"/>
            <w:rPr>
              <w:rFonts w:asciiTheme="minorHAnsi" w:hAnsiTheme="minorHAnsi" w:cstheme="minorBidi"/>
              <w:sz w:val="22"/>
              <w:szCs w:val="22"/>
              <w:lang w:val="fr-FR"/>
            </w:rPr>
          </w:pPr>
          <w:hyperlink w:anchor="_Toc444674446" w:history="1">
            <w:r w:rsidR="00A65E99" w:rsidRPr="000622D7">
              <w:rPr>
                <w:rStyle w:val="Hyperlink"/>
                <w:color w:val="auto"/>
                <w:lang w:val="fr-FR"/>
              </w:rPr>
              <w:t>Atelier conjoint de l’OCDE, de l’UPOV et de l’ISTA sur les techniques moléculaires dans le cadre des réunions pertinentes de l’OCDE et de l’ISTA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_Toc444674446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5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2"/>
            <w:rPr>
              <w:rFonts w:asciiTheme="minorHAnsi" w:hAnsiTheme="minorHAnsi" w:cstheme="minorBidi"/>
              <w:sz w:val="22"/>
              <w:szCs w:val="22"/>
              <w:lang w:val="fr-FR"/>
            </w:rPr>
          </w:pPr>
          <w:hyperlink w:anchor="_Toc444674447" w:history="1">
            <w:r w:rsidR="00A65E99" w:rsidRPr="000622D7">
              <w:rPr>
                <w:rStyle w:val="Hyperlink"/>
                <w:color w:val="auto"/>
                <w:lang w:val="fr-FR"/>
              </w:rPr>
              <w:t>Particularités des systèmes de l’OCDE, de l’UPOV et de l’ISTA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_Toc444674447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5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2"/>
            <w:rPr>
              <w:rFonts w:asciiTheme="minorHAnsi" w:hAnsiTheme="minorHAnsi" w:cstheme="minorBidi"/>
              <w:sz w:val="22"/>
              <w:szCs w:val="22"/>
              <w:lang w:val="fr-FR"/>
            </w:rPr>
          </w:pPr>
          <w:hyperlink w:anchor="_Toc444674448" w:history="1">
            <w:r w:rsidR="00A65E99" w:rsidRPr="000622D7">
              <w:rPr>
                <w:rStyle w:val="Hyperlink"/>
                <w:color w:val="auto"/>
                <w:lang w:val="fr-FR"/>
              </w:rPr>
              <w:t>Inventaire de l’utilisation qui est faite des techniques faisant intervenir des marqueurs moléculaires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_Toc444674448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5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2"/>
            <w:rPr>
              <w:rFonts w:asciiTheme="minorHAnsi" w:hAnsiTheme="minorHAnsi" w:cstheme="minorBidi"/>
              <w:sz w:val="22"/>
              <w:szCs w:val="22"/>
              <w:lang w:val="fr-FR"/>
            </w:rPr>
          </w:pPr>
          <w:hyperlink w:anchor="_Toc444674449" w:history="1">
            <w:r w:rsidR="00A65E99" w:rsidRPr="000622D7">
              <w:rPr>
                <w:rStyle w:val="Hyperlink"/>
                <w:color w:val="auto"/>
                <w:lang w:val="fr-FR"/>
              </w:rPr>
              <w:t>Listes d’initiatives conjointes possibles avec l’OCDE et l’ISTA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_Toc444674449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6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/>
            </w:rPr>
          </w:pPr>
          <w:hyperlink w:anchor="_Toc444674450" w:history="1">
            <w:r w:rsidR="00A65E99" w:rsidRPr="000622D7">
              <w:rPr>
                <w:rStyle w:val="Hyperlink"/>
                <w:color w:val="auto"/>
                <w:lang w:val="fr-FR"/>
              </w:rPr>
              <w:t>diffusion d’informations sur la situation à l’UPOV concernant l’utilisation de techniques moléculaires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_Toc444674450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6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2"/>
            <w:rPr>
              <w:rFonts w:asciiTheme="minorHAnsi" w:hAnsiTheme="minorHAnsi" w:cstheme="minorBidi"/>
              <w:sz w:val="22"/>
              <w:szCs w:val="22"/>
              <w:lang w:val="fr-FR"/>
            </w:rPr>
          </w:pPr>
          <w:hyperlink w:anchor="_Toc444674451" w:history="1">
            <w:r w:rsidR="00A65E99" w:rsidRPr="000622D7">
              <w:rPr>
                <w:rStyle w:val="Hyperlink"/>
                <w:color w:val="auto"/>
                <w:lang w:val="fr-FR"/>
              </w:rPr>
              <w:t>Généralités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_Toc444674451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6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2"/>
            <w:rPr>
              <w:rFonts w:asciiTheme="minorHAnsi" w:hAnsiTheme="minorHAnsi" w:cstheme="minorBidi"/>
              <w:sz w:val="22"/>
              <w:szCs w:val="22"/>
              <w:lang w:val="fr-FR"/>
            </w:rPr>
          </w:pPr>
          <w:hyperlink w:anchor="_Toc444674452" w:history="1">
            <w:r w:rsidR="00A65E99" w:rsidRPr="000622D7">
              <w:rPr>
                <w:rStyle w:val="Hyperlink"/>
                <w:color w:val="auto"/>
                <w:lang w:val="fr-FR"/>
              </w:rPr>
              <w:t>Observations des groupes de travail techniques en 2015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_Toc444674452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7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65E99" w:rsidRPr="000622D7" w:rsidRDefault="00204743" w:rsidP="00F77193">
          <w:pPr>
            <w:pStyle w:val="TOC2"/>
            <w:rPr>
              <w:rFonts w:asciiTheme="minorHAnsi" w:hAnsiTheme="minorHAnsi" w:cstheme="minorBidi"/>
              <w:sz w:val="22"/>
              <w:szCs w:val="22"/>
              <w:lang w:val="fr-FR"/>
            </w:rPr>
          </w:pPr>
          <w:hyperlink w:anchor="_Toc444674453" w:history="1">
            <w:r w:rsidR="00A65E99" w:rsidRPr="000622D7">
              <w:rPr>
                <w:rStyle w:val="Hyperlink"/>
                <w:color w:val="auto"/>
                <w:lang w:val="fr-FR"/>
              </w:rPr>
              <w:t>Observations formulées par le TC</w:t>
            </w:r>
            <w:r w:rsidR="00A65E99" w:rsidRPr="000622D7">
              <w:rPr>
                <w:rStyle w:val="Hyperlink"/>
                <w:color w:val="auto"/>
                <w:lang w:val="fr-FR"/>
              </w:rPr>
              <w:noBreakHyphen/>
              <w:t>EDC</w:t>
            </w:r>
            <w:r w:rsidR="00A65E99" w:rsidRPr="000622D7">
              <w:rPr>
                <w:webHidden/>
                <w:lang w:val="fr-FR"/>
              </w:rPr>
              <w:tab/>
            </w:r>
            <w:r w:rsidR="00A65E99" w:rsidRPr="000622D7">
              <w:rPr>
                <w:webHidden/>
                <w:lang w:val="fr-FR"/>
              </w:rPr>
              <w:fldChar w:fldCharType="begin"/>
            </w:r>
            <w:r w:rsidR="00A65E99" w:rsidRPr="000622D7">
              <w:rPr>
                <w:webHidden/>
                <w:lang w:val="fr-FR"/>
              </w:rPr>
              <w:instrText xml:space="preserve"> PAGEREF _Toc444674453 \h </w:instrText>
            </w:r>
            <w:r w:rsidR="00A65E99" w:rsidRPr="000622D7">
              <w:rPr>
                <w:webHidden/>
                <w:lang w:val="fr-FR"/>
              </w:rPr>
            </w:r>
            <w:r w:rsidR="00A65E99" w:rsidRPr="000622D7">
              <w:rPr>
                <w:webHidden/>
                <w:lang w:val="fr-FR"/>
              </w:rPr>
              <w:fldChar w:fldCharType="separate"/>
            </w:r>
            <w:r>
              <w:rPr>
                <w:webHidden/>
                <w:lang w:val="fr-FR"/>
              </w:rPr>
              <w:t>7</w:t>
            </w:r>
            <w:r w:rsidR="00A65E99" w:rsidRPr="000622D7">
              <w:rPr>
                <w:webHidden/>
                <w:lang w:val="fr-FR"/>
              </w:rPr>
              <w:fldChar w:fldCharType="end"/>
            </w:r>
          </w:hyperlink>
        </w:p>
        <w:p w:rsidR="00A94B4B" w:rsidRPr="000622D7" w:rsidRDefault="00DC6260" w:rsidP="00F77193">
          <w:pPr>
            <w:keepNext/>
            <w:rPr>
              <w:lang w:val="fr-FR"/>
            </w:rPr>
          </w:pPr>
          <w:r w:rsidRPr="000622D7">
            <w:rPr>
              <w:b/>
              <w:bCs/>
              <w:noProof/>
              <w:lang w:val="fr-FR"/>
            </w:rPr>
            <w:fldChar w:fldCharType="end"/>
          </w:r>
        </w:p>
      </w:sdtContent>
    </w:sdt>
    <w:p w:rsidR="00A94B4B" w:rsidRPr="000622D7" w:rsidRDefault="00A94B4B" w:rsidP="00F77193">
      <w:pPr>
        <w:rPr>
          <w:rFonts w:eastAsia="MS Mincho"/>
          <w:snapToGrid w:val="0"/>
          <w:lang w:val="fr-FR" w:eastAsia="ja-JP"/>
        </w:rPr>
      </w:pPr>
    </w:p>
    <w:p w:rsidR="00A94B4B" w:rsidRPr="000622D7" w:rsidRDefault="00A743CD" w:rsidP="00F77193">
      <w:pPr>
        <w:pStyle w:val="Heading1"/>
        <w:rPr>
          <w:snapToGrid w:val="0"/>
          <w:color w:val="auto"/>
        </w:rPr>
      </w:pPr>
      <w:bookmarkStart w:id="6" w:name="_Toc444674442"/>
      <w:r w:rsidRPr="000622D7">
        <w:rPr>
          <w:snapToGrid w:val="0"/>
          <w:color w:val="auto"/>
        </w:rPr>
        <w:t>Faits nouveaux survenus au sein des groupes de travail techniques</w:t>
      </w:r>
      <w:bookmarkEnd w:id="6"/>
    </w:p>
    <w:p w:rsidR="00A94B4B" w:rsidRPr="000622D7" w:rsidRDefault="00A94B4B" w:rsidP="00F77193">
      <w:pPr>
        <w:rPr>
          <w:rFonts w:eastAsia="MS Mincho"/>
          <w:snapToGrid w:val="0"/>
          <w:lang w:val="fr-FR" w:eastAsia="ja-JP"/>
        </w:rPr>
      </w:pPr>
    </w:p>
    <w:p w:rsidR="00A94B4B" w:rsidRPr="000622D7" w:rsidRDefault="009A5CC2" w:rsidP="00F77193">
      <w:pPr>
        <w:rPr>
          <w:snapToGrid w:val="0"/>
          <w:lang w:val="fr-FR" w:eastAsia="ja-JP"/>
        </w:rPr>
      </w:pPr>
      <w:r w:rsidRPr="000622D7">
        <w:rPr>
          <w:rFonts w:cs="Arial"/>
          <w:lang w:val="fr-FR"/>
        </w:rPr>
        <w:fldChar w:fldCharType="begin"/>
      </w:r>
      <w:r w:rsidRPr="000622D7">
        <w:rPr>
          <w:rFonts w:cs="Arial"/>
          <w:lang w:val="fr-FR"/>
        </w:rPr>
        <w:instrText xml:space="preserve"> AUTONUM  </w:instrText>
      </w:r>
      <w:r w:rsidRPr="000622D7">
        <w:rPr>
          <w:rFonts w:cs="Arial"/>
          <w:lang w:val="fr-FR"/>
        </w:rPr>
        <w:fldChar w:fldCharType="end"/>
      </w:r>
      <w:r w:rsidRPr="000622D7">
        <w:rPr>
          <w:rFonts w:cs="Arial"/>
          <w:lang w:val="fr-FR"/>
        </w:rPr>
        <w:tab/>
      </w:r>
      <w:r w:rsidR="00751D6D" w:rsidRPr="000622D7">
        <w:rPr>
          <w:lang w:val="fr-FR" w:eastAsia="ja-JP"/>
        </w:rPr>
        <w:t>À leurs sessions en</w:t>
      </w:r>
      <w:r w:rsidR="00CF2B96" w:rsidRPr="000622D7">
        <w:rPr>
          <w:lang w:val="fr-FR" w:eastAsia="ja-JP"/>
        </w:rPr>
        <w:t> </w:t>
      </w:r>
      <w:r w:rsidR="00A64B75" w:rsidRPr="000622D7">
        <w:rPr>
          <w:lang w:val="fr-FR" w:eastAsia="ja-JP"/>
        </w:rPr>
        <w:t>2015</w:t>
      </w:r>
      <w:r w:rsidRPr="000622D7">
        <w:rPr>
          <w:lang w:val="fr-FR" w:eastAsia="ja-JP"/>
        </w:rPr>
        <w:t>,</w:t>
      </w:r>
      <w:r w:rsidR="00034D19" w:rsidRPr="000622D7">
        <w:rPr>
          <w:lang w:val="fr-FR" w:eastAsia="ja-JP"/>
        </w:rPr>
        <w:t xml:space="preserve"> le TWV</w:t>
      </w:r>
      <w:r w:rsidRPr="000622D7">
        <w:rPr>
          <w:lang w:val="fr-FR" w:eastAsia="ja-JP"/>
        </w:rPr>
        <w:t>, TW</w:t>
      </w:r>
      <w:r w:rsidR="00A64B75" w:rsidRPr="000622D7">
        <w:rPr>
          <w:lang w:val="fr-FR" w:eastAsia="ja-JP"/>
        </w:rPr>
        <w:t>C</w:t>
      </w:r>
      <w:r w:rsidRPr="000622D7">
        <w:rPr>
          <w:lang w:val="fr-FR" w:eastAsia="ja-JP"/>
        </w:rPr>
        <w:t>, TW</w:t>
      </w:r>
      <w:r w:rsidR="00A64B75" w:rsidRPr="000622D7">
        <w:rPr>
          <w:lang w:val="fr-FR" w:eastAsia="ja-JP"/>
        </w:rPr>
        <w:t>A</w:t>
      </w:r>
      <w:r w:rsidRPr="000622D7">
        <w:rPr>
          <w:lang w:val="fr-FR" w:eastAsia="ja-JP"/>
        </w:rPr>
        <w:t>, TW</w:t>
      </w:r>
      <w:r w:rsidR="00A64B75" w:rsidRPr="000622D7">
        <w:rPr>
          <w:lang w:val="fr-FR" w:eastAsia="ja-JP"/>
        </w:rPr>
        <w:t>F</w:t>
      </w:r>
      <w:r w:rsidRPr="000622D7">
        <w:rPr>
          <w:lang w:val="fr-FR" w:eastAsia="ja-JP"/>
        </w:rPr>
        <w:t xml:space="preserve"> </w:t>
      </w:r>
      <w:r w:rsidR="00751D6D" w:rsidRPr="000622D7">
        <w:rPr>
          <w:lang w:val="fr-FR" w:eastAsia="ja-JP"/>
        </w:rPr>
        <w:t>et</w:t>
      </w:r>
      <w:r w:rsidR="00034D19" w:rsidRPr="000622D7">
        <w:rPr>
          <w:lang w:val="fr-FR" w:eastAsia="ja-JP"/>
        </w:rPr>
        <w:t xml:space="preserve"> le TWO</w:t>
      </w:r>
      <w:r w:rsidRPr="000622D7">
        <w:rPr>
          <w:lang w:val="fr-FR" w:eastAsia="ja-JP"/>
        </w:rPr>
        <w:t xml:space="preserve"> </w:t>
      </w:r>
      <w:r w:rsidR="00751D6D" w:rsidRPr="000622D7">
        <w:rPr>
          <w:snapToGrid w:val="0"/>
          <w:lang w:val="fr-FR"/>
        </w:rPr>
        <w:t>ont examiné les documents</w:t>
      </w:r>
      <w:r w:rsidRPr="000622D7">
        <w:rPr>
          <w:snapToGrid w:val="0"/>
          <w:lang w:val="fr-FR"/>
        </w:rPr>
        <w:t xml:space="preserve"> </w:t>
      </w:r>
      <w:r w:rsidR="00A64B75" w:rsidRPr="000622D7">
        <w:rPr>
          <w:snapToGrid w:val="0"/>
          <w:lang w:val="fr-FR"/>
        </w:rPr>
        <w:t>TWV</w:t>
      </w:r>
      <w:r w:rsidRPr="000622D7">
        <w:rPr>
          <w:snapToGrid w:val="0"/>
          <w:lang w:val="fr-FR"/>
        </w:rPr>
        <w:t>/4</w:t>
      </w:r>
      <w:r w:rsidR="00A64B75" w:rsidRPr="000622D7">
        <w:rPr>
          <w:snapToGrid w:val="0"/>
          <w:lang w:val="fr-FR" w:eastAsia="ja-JP"/>
        </w:rPr>
        <w:t>9</w:t>
      </w:r>
      <w:r w:rsidRPr="000622D7">
        <w:rPr>
          <w:snapToGrid w:val="0"/>
          <w:lang w:val="fr-FR"/>
        </w:rPr>
        <w:t>/</w:t>
      </w:r>
      <w:r w:rsidRPr="000622D7">
        <w:rPr>
          <w:snapToGrid w:val="0"/>
          <w:lang w:val="fr-FR" w:eastAsia="ja-JP"/>
        </w:rPr>
        <w:t>2</w:t>
      </w:r>
      <w:r w:rsidR="00A64B75" w:rsidRPr="000622D7">
        <w:rPr>
          <w:snapToGrid w:val="0"/>
          <w:lang w:val="fr-FR"/>
        </w:rPr>
        <w:t>, TWC</w:t>
      </w:r>
      <w:r w:rsidRPr="000622D7">
        <w:rPr>
          <w:snapToGrid w:val="0"/>
          <w:lang w:val="fr-FR"/>
        </w:rPr>
        <w:t>/</w:t>
      </w:r>
      <w:r w:rsidR="00A64B75" w:rsidRPr="000622D7">
        <w:rPr>
          <w:snapToGrid w:val="0"/>
          <w:lang w:val="fr-FR"/>
        </w:rPr>
        <w:t>33</w:t>
      </w:r>
      <w:r w:rsidRPr="000622D7">
        <w:rPr>
          <w:snapToGrid w:val="0"/>
          <w:lang w:val="fr-FR"/>
        </w:rPr>
        <w:t>/</w:t>
      </w:r>
      <w:r w:rsidRPr="000622D7">
        <w:rPr>
          <w:snapToGrid w:val="0"/>
          <w:lang w:val="fr-FR" w:eastAsia="ja-JP"/>
        </w:rPr>
        <w:t>2</w:t>
      </w:r>
      <w:r w:rsidRPr="000622D7">
        <w:rPr>
          <w:snapToGrid w:val="0"/>
          <w:lang w:val="fr-FR"/>
        </w:rPr>
        <w:t xml:space="preserve">, </w:t>
      </w:r>
      <w:r w:rsidR="00A64B75" w:rsidRPr="000622D7">
        <w:rPr>
          <w:snapToGrid w:val="0"/>
          <w:lang w:val="fr-FR"/>
        </w:rPr>
        <w:t>TWA/44</w:t>
      </w:r>
      <w:r w:rsidRPr="000622D7">
        <w:rPr>
          <w:snapToGrid w:val="0"/>
          <w:lang w:val="fr-FR"/>
        </w:rPr>
        <w:t>/</w:t>
      </w:r>
      <w:r w:rsidRPr="000622D7">
        <w:rPr>
          <w:snapToGrid w:val="0"/>
          <w:lang w:val="fr-FR" w:eastAsia="ja-JP"/>
        </w:rPr>
        <w:t xml:space="preserve">2, </w:t>
      </w:r>
      <w:r w:rsidRPr="000622D7">
        <w:rPr>
          <w:snapToGrid w:val="0"/>
          <w:lang w:val="fr-FR"/>
        </w:rPr>
        <w:t>TW</w:t>
      </w:r>
      <w:r w:rsidR="00A64B75" w:rsidRPr="000622D7">
        <w:rPr>
          <w:snapToGrid w:val="0"/>
          <w:lang w:val="fr-FR"/>
        </w:rPr>
        <w:t>F</w:t>
      </w:r>
      <w:r w:rsidRPr="000622D7">
        <w:rPr>
          <w:snapToGrid w:val="0"/>
          <w:lang w:val="fr-FR"/>
        </w:rPr>
        <w:t>/4</w:t>
      </w:r>
      <w:r w:rsidR="00A64B75" w:rsidRPr="000622D7">
        <w:rPr>
          <w:snapToGrid w:val="0"/>
          <w:lang w:val="fr-FR"/>
        </w:rPr>
        <w:t>6</w:t>
      </w:r>
      <w:r w:rsidRPr="000622D7">
        <w:rPr>
          <w:snapToGrid w:val="0"/>
          <w:lang w:val="fr-FR"/>
        </w:rPr>
        <w:t>/</w:t>
      </w:r>
      <w:r w:rsidRPr="000622D7">
        <w:rPr>
          <w:snapToGrid w:val="0"/>
          <w:lang w:val="fr-FR" w:eastAsia="ja-JP"/>
        </w:rPr>
        <w:t>2</w:t>
      </w:r>
      <w:r w:rsidRPr="000622D7">
        <w:rPr>
          <w:snapToGrid w:val="0"/>
          <w:lang w:val="fr-FR"/>
        </w:rPr>
        <w:t xml:space="preserve"> </w:t>
      </w:r>
      <w:r w:rsidR="00751D6D" w:rsidRPr="000622D7">
        <w:rPr>
          <w:snapToGrid w:val="0"/>
          <w:lang w:val="fr-FR"/>
        </w:rPr>
        <w:t>et</w:t>
      </w:r>
      <w:r w:rsidR="00034D19" w:rsidRPr="000622D7">
        <w:rPr>
          <w:snapToGrid w:val="0"/>
          <w:lang w:val="fr-FR"/>
        </w:rPr>
        <w:t xml:space="preserve"> le TWO</w:t>
      </w:r>
      <w:r w:rsidRPr="000622D7">
        <w:rPr>
          <w:snapToGrid w:val="0"/>
          <w:lang w:val="fr-FR"/>
        </w:rPr>
        <w:t>/4</w:t>
      </w:r>
      <w:r w:rsidR="00A64B75" w:rsidRPr="000622D7">
        <w:rPr>
          <w:snapToGrid w:val="0"/>
          <w:lang w:val="fr-FR"/>
        </w:rPr>
        <w:t>8</w:t>
      </w:r>
      <w:r w:rsidRPr="000622D7">
        <w:rPr>
          <w:snapToGrid w:val="0"/>
          <w:lang w:val="fr-FR"/>
        </w:rPr>
        <w:t>/</w:t>
      </w:r>
      <w:r w:rsidRPr="000622D7">
        <w:rPr>
          <w:snapToGrid w:val="0"/>
          <w:lang w:val="fr-FR" w:eastAsia="ja-JP"/>
        </w:rPr>
        <w:t>2</w:t>
      </w:r>
      <w:r w:rsidR="000E5EE5" w:rsidRPr="000622D7">
        <w:rPr>
          <w:snapToGrid w:val="0"/>
          <w:lang w:val="fr-FR" w:eastAsia="ja-JP"/>
        </w:rPr>
        <w:t xml:space="preserve"> “</w:t>
      </w:r>
      <w:proofErr w:type="spellStart"/>
      <w:r w:rsidR="000E5EE5" w:rsidRPr="000622D7">
        <w:rPr>
          <w:i/>
          <w:snapToGrid w:val="0"/>
          <w:lang w:val="fr-FR" w:eastAsia="ja-JP"/>
        </w:rPr>
        <w:t>Molecular</w:t>
      </w:r>
      <w:proofErr w:type="spellEnd"/>
      <w:r w:rsidR="000E5EE5" w:rsidRPr="000622D7">
        <w:rPr>
          <w:i/>
          <w:snapToGrid w:val="0"/>
          <w:lang w:val="fr-FR" w:eastAsia="ja-JP"/>
        </w:rPr>
        <w:t xml:space="preserve"> Techniques</w:t>
      </w:r>
      <w:r w:rsidR="000E5EE5" w:rsidRPr="000622D7">
        <w:rPr>
          <w:snapToGrid w:val="0"/>
          <w:lang w:val="fr-FR" w:eastAsia="ja-JP"/>
        </w:rPr>
        <w:t>”</w:t>
      </w:r>
      <w:r w:rsidRPr="000622D7">
        <w:rPr>
          <w:snapToGrid w:val="0"/>
          <w:lang w:val="fr-FR" w:eastAsia="ja-JP"/>
        </w:rPr>
        <w:t>,</w:t>
      </w:r>
      <w:r w:rsidRPr="000622D7">
        <w:rPr>
          <w:snapToGrid w:val="0"/>
          <w:lang w:val="fr-FR"/>
        </w:rPr>
        <w:t xml:space="preserve"> </w:t>
      </w:r>
      <w:r w:rsidR="00751D6D" w:rsidRPr="000622D7">
        <w:rPr>
          <w:snapToGrid w:val="0"/>
          <w:lang w:val="fr-FR"/>
        </w:rPr>
        <w:t>respectivement</w:t>
      </w:r>
      <w:r w:rsidRPr="000622D7">
        <w:rPr>
          <w:snapToGrid w:val="0"/>
          <w:lang w:val="fr-FR"/>
        </w:rPr>
        <w:t>.</w:t>
      </w:r>
    </w:p>
    <w:p w:rsidR="00A94B4B" w:rsidRPr="000622D7" w:rsidRDefault="00A94B4B" w:rsidP="00F77193">
      <w:pPr>
        <w:keepNext/>
        <w:keepLines/>
        <w:rPr>
          <w:lang w:val="fr-FR" w:eastAsia="ja-JP"/>
        </w:rPr>
      </w:pPr>
    </w:p>
    <w:p w:rsidR="00034D19" w:rsidRPr="000622D7" w:rsidRDefault="009A5CC2" w:rsidP="00F77193">
      <w:pPr>
        <w:rPr>
          <w:snapToGrid w:val="0"/>
          <w:lang w:val="fr-FR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="00DD6FBE" w:rsidRPr="000622D7">
        <w:rPr>
          <w:snapToGrid w:val="0"/>
          <w:lang w:val="fr-FR"/>
        </w:rPr>
        <w:tab/>
      </w:r>
      <w:r w:rsidR="00751D6D" w:rsidRPr="000622D7">
        <w:rPr>
          <w:snapToGrid w:val="0"/>
          <w:lang w:val="fr-FR"/>
        </w:rPr>
        <w:t xml:space="preserve">Le </w:t>
      </w:r>
      <w:r w:rsidR="00DD6FBE" w:rsidRPr="000622D7">
        <w:rPr>
          <w:snapToGrid w:val="0"/>
          <w:lang w:val="fr-FR"/>
        </w:rPr>
        <w:t>TWV</w:t>
      </w:r>
      <w:r w:rsidR="00DD6FBE" w:rsidRPr="000622D7">
        <w:rPr>
          <w:snapToGrid w:val="0"/>
          <w:lang w:val="fr-FR" w:eastAsia="ja-JP"/>
        </w:rPr>
        <w:t xml:space="preserve">, TWC, TWA, TWF </w:t>
      </w:r>
      <w:r w:rsidR="00751D6D" w:rsidRPr="000622D7">
        <w:rPr>
          <w:snapToGrid w:val="0"/>
          <w:lang w:val="fr-FR" w:eastAsia="ja-JP"/>
        </w:rPr>
        <w:t>et</w:t>
      </w:r>
      <w:r w:rsidR="00034D19" w:rsidRPr="000622D7">
        <w:rPr>
          <w:snapToGrid w:val="0"/>
          <w:lang w:val="fr-FR" w:eastAsia="ja-JP"/>
        </w:rPr>
        <w:t xml:space="preserve"> le TWO</w:t>
      </w:r>
      <w:r w:rsidRPr="000622D7">
        <w:rPr>
          <w:snapToGrid w:val="0"/>
          <w:lang w:val="fr-FR"/>
        </w:rPr>
        <w:t xml:space="preserve"> </w:t>
      </w:r>
      <w:r w:rsidR="00751D6D" w:rsidRPr="000622D7">
        <w:rPr>
          <w:snapToGrid w:val="0"/>
          <w:lang w:val="fr-FR"/>
        </w:rPr>
        <w:t>ont pris note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751D6D" w:rsidP="00F77193">
      <w:pPr>
        <w:rPr>
          <w:lang w:val="fr-FR" w:eastAsia="ja-JP"/>
        </w:rPr>
      </w:pPr>
      <w:r w:rsidRPr="000622D7">
        <w:rPr>
          <w:lang w:val="fr-FR" w:eastAsia="ja-JP"/>
        </w:rPr>
        <w:tab/>
      </w:r>
      <w:r w:rsidR="007B7770" w:rsidRPr="000622D7">
        <w:rPr>
          <w:lang w:val="fr-FR" w:eastAsia="ja-JP"/>
        </w:rPr>
        <w:t>a</w:t>
      </w:r>
      <w:r w:rsidR="0074136C" w:rsidRPr="000622D7">
        <w:rPr>
          <w:lang w:val="fr-FR" w:eastAsia="ja-JP"/>
        </w:rPr>
        <w:t>)</w:t>
      </w:r>
      <w:r w:rsidR="0074136C" w:rsidRPr="000622D7">
        <w:rPr>
          <w:lang w:val="fr-FR" w:eastAsia="ja-JP"/>
        </w:rPr>
        <w:tab/>
      </w:r>
      <w:r w:rsidR="00AC210E" w:rsidRPr="000622D7">
        <w:rPr>
          <w:lang w:val="fr-FR" w:eastAsia="ja-JP"/>
        </w:rPr>
        <w:t xml:space="preserve">des faits nouveaux concernant </w:t>
      </w:r>
      <w:r w:rsidR="0074136C" w:rsidRPr="000622D7">
        <w:rPr>
          <w:lang w:val="fr-FR" w:eastAsia="ja-JP"/>
        </w:rPr>
        <w:t>le</w:t>
      </w:r>
      <w:r w:rsidR="0074136C" w:rsidRPr="000622D7">
        <w:rPr>
          <w:lang w:val="fr-FR"/>
        </w:rPr>
        <w:t xml:space="preserve"> </w:t>
      </w:r>
      <w:r w:rsidR="0074136C" w:rsidRPr="000622D7">
        <w:rPr>
          <w:lang w:val="fr-FR" w:eastAsia="ja-JP"/>
        </w:rPr>
        <w:t>Groupe de travail sur les techniques biochimiques et moléculaires, notamment les profils d</w:t>
      </w:r>
      <w:r w:rsidR="005C211B" w:rsidRPr="000622D7">
        <w:rPr>
          <w:lang w:val="fr-FR" w:eastAsia="ja-JP"/>
        </w:rPr>
        <w:t>’</w:t>
      </w:r>
      <w:r w:rsidR="0074136C" w:rsidRPr="000622D7">
        <w:rPr>
          <w:lang w:val="fr-FR" w:eastAsia="ja-JP"/>
        </w:rPr>
        <w:t>ADN</w:t>
      </w:r>
      <w:r w:rsidR="007B7770" w:rsidRPr="000622D7">
        <w:rPr>
          <w:lang w:val="fr-FR" w:eastAsia="ja-JP"/>
        </w:rPr>
        <w:t xml:space="preserve"> (BMT)</w:t>
      </w:r>
      <w:r w:rsidR="001A6AFE" w:rsidRPr="000622D7">
        <w:rPr>
          <w:lang w:val="fr-FR"/>
        </w:rPr>
        <w:t>;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751D6D" w:rsidP="00F77193">
      <w:pPr>
        <w:rPr>
          <w:lang w:val="fr-FR" w:eastAsia="ja-JP"/>
        </w:rPr>
      </w:pPr>
      <w:r w:rsidRPr="000622D7">
        <w:rPr>
          <w:lang w:val="fr-FR" w:eastAsia="ja-JP"/>
        </w:rPr>
        <w:tab/>
      </w:r>
      <w:r w:rsidR="007B7770" w:rsidRPr="000622D7">
        <w:rPr>
          <w:lang w:val="fr-FR" w:eastAsia="ja-JP"/>
        </w:rPr>
        <w:t>b)</w:t>
      </w:r>
      <w:r w:rsidR="007B7770" w:rsidRPr="000622D7">
        <w:rPr>
          <w:lang w:val="fr-FR" w:eastAsia="ja-JP"/>
        </w:rPr>
        <w:tab/>
      </w:r>
      <w:r w:rsidR="00AC210E" w:rsidRPr="000622D7">
        <w:rPr>
          <w:lang w:val="fr-FR" w:eastAsia="ja-JP"/>
        </w:rPr>
        <w:t xml:space="preserve">du fait </w:t>
      </w:r>
      <w:r w:rsidR="00CE652A" w:rsidRPr="000622D7">
        <w:rPr>
          <w:lang w:val="fr-FR" w:eastAsia="ja-JP"/>
        </w:rPr>
        <w:t>qu</w:t>
      </w:r>
      <w:r w:rsidR="005C211B" w:rsidRPr="000622D7">
        <w:rPr>
          <w:lang w:val="fr-FR" w:eastAsia="ja-JP"/>
        </w:rPr>
        <w:t>’</w:t>
      </w:r>
      <w:r w:rsidR="00CE652A" w:rsidRPr="000622D7">
        <w:rPr>
          <w:lang w:val="fr-FR" w:eastAsia="ja-JP"/>
        </w:rPr>
        <w:t>à</w:t>
      </w:r>
      <w:r w:rsidRPr="000622D7">
        <w:rPr>
          <w:lang w:val="fr-FR" w:eastAsia="ja-JP"/>
        </w:rPr>
        <w:t xml:space="preserve"> sa cinquante</w:t>
      </w:r>
      <w:r w:rsidR="007F1BBD" w:rsidRPr="000622D7">
        <w:rPr>
          <w:lang w:val="fr-FR" w:eastAsia="ja-JP"/>
        </w:rPr>
        <w:noBreakHyphen/>
      </w:r>
      <w:r w:rsidRPr="000622D7">
        <w:rPr>
          <w:lang w:val="fr-FR" w:eastAsia="ja-JP"/>
        </w:rPr>
        <w:t>cinquième</w:t>
      </w:r>
      <w:r w:rsidR="00CF2B96" w:rsidRPr="000622D7">
        <w:rPr>
          <w:lang w:val="fr-FR" w:eastAsia="ja-JP"/>
        </w:rPr>
        <w:t> </w:t>
      </w:r>
      <w:r w:rsidRPr="000622D7">
        <w:rPr>
          <w:lang w:val="fr-FR" w:eastAsia="ja-JP"/>
        </w:rPr>
        <w:t>session tenue à Genève du 23 au 2</w:t>
      </w:r>
      <w:r w:rsidR="00034D19" w:rsidRPr="000622D7">
        <w:rPr>
          <w:lang w:val="fr-FR" w:eastAsia="ja-JP"/>
        </w:rPr>
        <w:t>5 mars</w:t>
      </w:r>
      <w:r w:rsidRPr="000622D7">
        <w:rPr>
          <w:lang w:val="fr-FR" w:eastAsia="ja-JP"/>
        </w:rPr>
        <w:t> 2015</w:t>
      </w:r>
      <w:r w:rsidR="0097762D" w:rsidRPr="000622D7">
        <w:rPr>
          <w:lang w:val="fr-FR" w:eastAsia="ja-JP"/>
        </w:rPr>
        <w:t xml:space="preserve">, </w:t>
      </w:r>
      <w:r w:rsidRPr="000622D7">
        <w:rPr>
          <w:lang w:val="fr-FR" w:eastAsia="ja-JP"/>
        </w:rPr>
        <w:t xml:space="preserve">le </w:t>
      </w:r>
      <w:r w:rsidR="001A6AFE" w:rsidRPr="000622D7">
        <w:rPr>
          <w:lang w:val="fr-FR" w:eastAsia="ja-JP"/>
        </w:rPr>
        <w:t>TC</w:t>
      </w:r>
      <w:r w:rsidRPr="000622D7">
        <w:rPr>
          <w:lang w:val="fr-FR" w:eastAsia="ja-JP"/>
        </w:rPr>
        <w:t xml:space="preserve"> est convenu d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élaborer un document commun présentant les particularités des systèmes de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OCDE, de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UPOV et de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ISTA</w:t>
      </w:r>
      <w:r w:rsidR="001A6AFE" w:rsidRPr="000622D7">
        <w:rPr>
          <w:lang w:val="fr-FR"/>
        </w:rPr>
        <w:t>;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751D6D" w:rsidP="00F77193">
      <w:pPr>
        <w:rPr>
          <w:lang w:val="fr-FR" w:eastAsia="ja-JP"/>
        </w:rPr>
      </w:pPr>
      <w:r w:rsidRPr="000622D7">
        <w:rPr>
          <w:lang w:val="fr-FR" w:eastAsia="ja-JP"/>
        </w:rPr>
        <w:tab/>
      </w:r>
      <w:r w:rsidR="007B7770" w:rsidRPr="000622D7">
        <w:rPr>
          <w:lang w:val="fr-FR" w:eastAsia="ja-JP"/>
        </w:rPr>
        <w:t>c)</w:t>
      </w:r>
      <w:r w:rsidR="007B7770" w:rsidRPr="000622D7">
        <w:rPr>
          <w:lang w:val="fr-FR" w:eastAsia="ja-JP"/>
        </w:rPr>
        <w:tab/>
      </w:r>
      <w:r w:rsidR="00AC210E" w:rsidRPr="000622D7">
        <w:rPr>
          <w:lang w:val="fr-FR" w:eastAsia="ja-JP"/>
        </w:rPr>
        <w:t xml:space="preserve">du fait </w:t>
      </w:r>
      <w:r w:rsidR="00CE652A" w:rsidRPr="000622D7">
        <w:rPr>
          <w:lang w:val="fr-FR" w:eastAsia="ja-JP"/>
        </w:rPr>
        <w:t>qu</w:t>
      </w:r>
      <w:r w:rsidR="005C211B" w:rsidRPr="000622D7">
        <w:rPr>
          <w:lang w:val="fr-FR" w:eastAsia="ja-JP"/>
        </w:rPr>
        <w:t>’</w:t>
      </w:r>
      <w:r w:rsidR="00CE652A" w:rsidRPr="000622D7">
        <w:rPr>
          <w:lang w:val="fr-FR" w:eastAsia="ja-JP"/>
        </w:rPr>
        <w:t>à</w:t>
      </w:r>
      <w:r w:rsidR="005F60E0" w:rsidRPr="000622D7">
        <w:rPr>
          <w:lang w:val="fr-FR" w:eastAsia="ja-JP"/>
        </w:rPr>
        <w:t xml:space="preserve"> sa cinquante</w:t>
      </w:r>
      <w:r w:rsidR="007F1BBD" w:rsidRPr="000622D7">
        <w:rPr>
          <w:lang w:val="fr-FR" w:eastAsia="ja-JP"/>
        </w:rPr>
        <w:noBreakHyphen/>
      </w:r>
      <w:r w:rsidR="005F60E0" w:rsidRPr="000622D7">
        <w:rPr>
          <w:lang w:val="fr-FR" w:eastAsia="ja-JP"/>
        </w:rPr>
        <w:t>cinquième</w:t>
      </w:r>
      <w:r w:rsidR="00CF2B96" w:rsidRPr="000622D7">
        <w:rPr>
          <w:lang w:val="fr-FR" w:eastAsia="ja-JP"/>
        </w:rPr>
        <w:t> </w:t>
      </w:r>
      <w:r w:rsidR="005F60E0" w:rsidRPr="000622D7">
        <w:rPr>
          <w:lang w:val="fr-FR" w:eastAsia="ja-JP"/>
        </w:rPr>
        <w:t xml:space="preserve">session le </w:t>
      </w:r>
      <w:r w:rsidR="001A6AFE" w:rsidRPr="000622D7">
        <w:rPr>
          <w:lang w:val="fr-FR" w:eastAsia="ja-JP"/>
        </w:rPr>
        <w:t>TC</w:t>
      </w:r>
      <w:r w:rsidR="005F60E0" w:rsidRPr="000622D7">
        <w:rPr>
          <w:lang w:val="fr-FR" w:eastAsia="ja-JP"/>
        </w:rPr>
        <w:t xml:space="preserve"> est convenu de dresser un inventaire, par plante, de l</w:t>
      </w:r>
      <w:r w:rsidR="005C211B" w:rsidRPr="000622D7">
        <w:rPr>
          <w:lang w:val="fr-FR" w:eastAsia="ja-JP"/>
        </w:rPr>
        <w:t>’</w:t>
      </w:r>
      <w:r w:rsidR="005F60E0" w:rsidRPr="000622D7">
        <w:rPr>
          <w:lang w:val="fr-FR" w:eastAsia="ja-JP"/>
        </w:rPr>
        <w:t>utilisation qui est faite des techniques faisant intervenir des marqueurs moléculaires, en vue de l</w:t>
      </w:r>
      <w:r w:rsidR="005C211B" w:rsidRPr="000622D7">
        <w:rPr>
          <w:lang w:val="fr-FR" w:eastAsia="ja-JP"/>
        </w:rPr>
        <w:t>’</w:t>
      </w:r>
      <w:r w:rsidR="005F60E0" w:rsidRPr="000622D7">
        <w:rPr>
          <w:lang w:val="fr-FR" w:eastAsia="ja-JP"/>
        </w:rPr>
        <w:t>élaboration d</w:t>
      </w:r>
      <w:r w:rsidR="005C211B" w:rsidRPr="000622D7">
        <w:rPr>
          <w:lang w:val="fr-FR" w:eastAsia="ja-JP"/>
        </w:rPr>
        <w:t>’</w:t>
      </w:r>
      <w:r w:rsidR="005F60E0" w:rsidRPr="000622D7">
        <w:rPr>
          <w:lang w:val="fr-FR" w:eastAsia="ja-JP"/>
        </w:rPr>
        <w:t>un document commun à l</w:t>
      </w:r>
      <w:r w:rsidR="005C211B" w:rsidRPr="000622D7">
        <w:rPr>
          <w:lang w:val="fr-FR" w:eastAsia="ja-JP"/>
        </w:rPr>
        <w:t>’</w:t>
      </w:r>
      <w:r w:rsidR="005F60E0" w:rsidRPr="000622D7">
        <w:rPr>
          <w:lang w:val="fr-FR" w:eastAsia="ja-JP"/>
        </w:rPr>
        <w:t>OCDE, à l</w:t>
      </w:r>
      <w:r w:rsidR="005C211B" w:rsidRPr="000622D7">
        <w:rPr>
          <w:lang w:val="fr-FR" w:eastAsia="ja-JP"/>
        </w:rPr>
        <w:t>’</w:t>
      </w:r>
      <w:r w:rsidR="005F60E0" w:rsidRPr="000622D7">
        <w:rPr>
          <w:lang w:val="fr-FR" w:eastAsia="ja-JP"/>
        </w:rPr>
        <w:t>UPOV et à l</w:t>
      </w:r>
      <w:r w:rsidR="005C211B" w:rsidRPr="000622D7">
        <w:rPr>
          <w:lang w:val="fr-FR" w:eastAsia="ja-JP"/>
        </w:rPr>
        <w:t>’</w:t>
      </w:r>
      <w:r w:rsidR="005F60E0" w:rsidRPr="000622D7">
        <w:rPr>
          <w:lang w:val="fr-FR" w:eastAsia="ja-JP"/>
        </w:rPr>
        <w:t>ISTA contenant ces informations,</w:t>
      </w:r>
      <w:r w:rsidR="005F60E0" w:rsidRPr="000622D7">
        <w:rPr>
          <w:lang w:val="fr-FR"/>
        </w:rPr>
        <w:t xml:space="preserve"> </w:t>
      </w:r>
      <w:r w:rsidR="005F60E0" w:rsidRPr="000622D7">
        <w:rPr>
          <w:lang w:val="fr-FR" w:eastAsia="ja-JP"/>
        </w:rPr>
        <w:t>dans un format semblable à celui du document UPOV/INF/16 “Logiciels échangeables”, sous réserve de l</w:t>
      </w:r>
      <w:r w:rsidR="005C211B" w:rsidRPr="000622D7">
        <w:rPr>
          <w:lang w:val="fr-FR" w:eastAsia="ja-JP"/>
        </w:rPr>
        <w:t>’</w:t>
      </w:r>
      <w:r w:rsidR="005F60E0" w:rsidRPr="000622D7">
        <w:rPr>
          <w:lang w:val="fr-FR" w:eastAsia="ja-JP"/>
        </w:rPr>
        <w:t>approbation du Conseil et en coordination avec l</w:t>
      </w:r>
      <w:r w:rsidR="005C211B" w:rsidRPr="000622D7">
        <w:rPr>
          <w:lang w:val="fr-FR" w:eastAsia="ja-JP"/>
        </w:rPr>
        <w:t>’</w:t>
      </w:r>
      <w:r w:rsidR="005F60E0" w:rsidRPr="000622D7">
        <w:rPr>
          <w:lang w:val="fr-FR" w:eastAsia="ja-JP"/>
        </w:rPr>
        <w:t>OCDE et l</w:t>
      </w:r>
      <w:r w:rsidR="005C211B" w:rsidRPr="000622D7">
        <w:rPr>
          <w:lang w:val="fr-FR" w:eastAsia="ja-JP"/>
        </w:rPr>
        <w:t>’</w:t>
      </w:r>
      <w:r w:rsidR="005F60E0" w:rsidRPr="000622D7">
        <w:rPr>
          <w:lang w:val="fr-FR" w:eastAsia="ja-JP"/>
        </w:rPr>
        <w:t>ISTA</w:t>
      </w:r>
      <w:r w:rsidR="001A6AFE" w:rsidRPr="000622D7">
        <w:rPr>
          <w:lang w:val="fr-FR"/>
        </w:rPr>
        <w:t>;</w:t>
      </w:r>
    </w:p>
    <w:p w:rsidR="00A94B4B" w:rsidRPr="000622D7" w:rsidRDefault="00A94B4B" w:rsidP="00F77193">
      <w:pPr>
        <w:rPr>
          <w:lang w:val="fr-FR" w:eastAsia="ja-JP"/>
        </w:rPr>
      </w:pPr>
    </w:p>
    <w:p w:rsidR="005C211B" w:rsidRPr="000622D7" w:rsidRDefault="00760E5D" w:rsidP="00F77193">
      <w:pPr>
        <w:rPr>
          <w:lang w:val="fr-FR" w:eastAsia="ja-JP"/>
        </w:rPr>
      </w:pPr>
      <w:r w:rsidRPr="000622D7">
        <w:rPr>
          <w:lang w:val="fr-FR" w:eastAsia="ja-JP"/>
        </w:rPr>
        <w:tab/>
      </w:r>
      <w:r w:rsidR="007B7770" w:rsidRPr="000622D7">
        <w:rPr>
          <w:lang w:val="fr-FR" w:eastAsia="ja-JP"/>
        </w:rPr>
        <w:t>d)</w:t>
      </w:r>
      <w:r w:rsidR="007B7770" w:rsidRPr="000622D7">
        <w:rPr>
          <w:lang w:val="fr-FR" w:eastAsia="ja-JP"/>
        </w:rPr>
        <w:tab/>
      </w:r>
      <w:r w:rsidR="00AD202E" w:rsidRPr="000622D7">
        <w:rPr>
          <w:lang w:val="fr-FR" w:eastAsia="ja-JP"/>
        </w:rPr>
        <w:t xml:space="preserve">du fait que le </w:t>
      </w:r>
      <w:r w:rsidR="001A6AFE" w:rsidRPr="000622D7">
        <w:rPr>
          <w:lang w:val="fr-FR" w:eastAsia="ja-JP"/>
        </w:rPr>
        <w:t>TC</w:t>
      </w:r>
      <w:r w:rsidR="00AD202E" w:rsidRPr="000622D7">
        <w:rPr>
          <w:lang w:val="fr-FR" w:eastAsia="ja-JP"/>
        </w:rPr>
        <w:t>, à sa cinquante</w:t>
      </w:r>
      <w:r w:rsidR="0090653E" w:rsidRPr="000622D7">
        <w:rPr>
          <w:lang w:val="fr-FR" w:eastAsia="ja-JP"/>
        </w:rPr>
        <w:t> </w:t>
      </w:r>
      <w:r w:rsidR="00AD202E" w:rsidRPr="000622D7">
        <w:rPr>
          <w:lang w:val="fr-FR" w:eastAsia="ja-JP"/>
        </w:rPr>
        <w:t>et</w:t>
      </w:r>
      <w:r w:rsidR="0090653E" w:rsidRPr="000622D7">
        <w:rPr>
          <w:lang w:val="fr-FR" w:eastAsia="ja-JP"/>
        </w:rPr>
        <w:t> </w:t>
      </w:r>
      <w:r w:rsidR="00AD202E" w:rsidRPr="000622D7">
        <w:rPr>
          <w:lang w:val="fr-FR" w:eastAsia="ja-JP"/>
        </w:rPr>
        <w:t>unième</w:t>
      </w:r>
      <w:r w:rsidR="0090653E" w:rsidRPr="000622D7">
        <w:rPr>
          <w:lang w:val="fr-FR" w:eastAsia="ja-JP"/>
        </w:rPr>
        <w:t> </w:t>
      </w:r>
      <w:r w:rsidR="00AD202E" w:rsidRPr="000622D7">
        <w:rPr>
          <w:lang w:val="fr-FR" w:eastAsia="ja-JP"/>
        </w:rPr>
        <w:t>session</w:t>
      </w:r>
      <w:r w:rsidR="007B7770" w:rsidRPr="000622D7">
        <w:rPr>
          <w:lang w:val="fr-FR" w:eastAsia="ja-JP"/>
        </w:rPr>
        <w:t xml:space="preserve">, </w:t>
      </w:r>
      <w:r w:rsidR="00AD202E" w:rsidRPr="000622D7">
        <w:rPr>
          <w:lang w:val="fr-FR" w:eastAsia="ja-JP"/>
        </w:rPr>
        <w:t>était convenu que</w:t>
      </w:r>
      <w:r w:rsidR="005C211B" w:rsidRPr="000622D7">
        <w:rPr>
          <w:lang w:val="fr-FR" w:eastAsia="ja-JP"/>
        </w:rPr>
        <w:t xml:space="preserve"> le BMT</w:t>
      </w:r>
      <w:r w:rsidR="00AD202E" w:rsidRPr="000622D7">
        <w:rPr>
          <w:lang w:val="fr-FR" w:eastAsia="ja-JP"/>
        </w:rPr>
        <w:t>, à sa quinzième</w:t>
      </w:r>
      <w:r w:rsidR="0090653E" w:rsidRPr="000622D7">
        <w:rPr>
          <w:lang w:val="fr-FR" w:eastAsia="ja-JP"/>
        </w:rPr>
        <w:t> </w:t>
      </w:r>
      <w:r w:rsidR="00AD202E" w:rsidRPr="000622D7">
        <w:rPr>
          <w:lang w:val="fr-FR" w:eastAsia="ja-JP"/>
        </w:rPr>
        <w:t>session, dresse des listes d</w:t>
      </w:r>
      <w:r w:rsidR="005C211B" w:rsidRPr="000622D7">
        <w:rPr>
          <w:lang w:val="fr-FR" w:eastAsia="ja-JP"/>
        </w:rPr>
        <w:t>’</w:t>
      </w:r>
      <w:r w:rsidR="00AD202E" w:rsidRPr="000622D7">
        <w:rPr>
          <w:lang w:val="fr-FR" w:eastAsia="ja-JP"/>
        </w:rPr>
        <w:t>initiatives conjointes possibles avec l</w:t>
      </w:r>
      <w:r w:rsidR="005C211B" w:rsidRPr="000622D7">
        <w:rPr>
          <w:lang w:val="fr-FR" w:eastAsia="ja-JP"/>
        </w:rPr>
        <w:t>’</w:t>
      </w:r>
      <w:r w:rsidR="00AD202E" w:rsidRPr="000622D7">
        <w:rPr>
          <w:lang w:val="fr-FR" w:eastAsia="ja-JP"/>
        </w:rPr>
        <w:t>OCDE et l</w:t>
      </w:r>
      <w:r w:rsidR="005C211B" w:rsidRPr="000622D7">
        <w:rPr>
          <w:lang w:val="fr-FR" w:eastAsia="ja-JP"/>
        </w:rPr>
        <w:t>’</w:t>
      </w:r>
      <w:r w:rsidR="00AD202E" w:rsidRPr="000622D7">
        <w:rPr>
          <w:lang w:val="fr-FR" w:eastAsia="ja-JP"/>
        </w:rPr>
        <w:t>ISTA dans le domaine des techniques moléculaires, aux fins d</w:t>
      </w:r>
      <w:r w:rsidR="005C211B" w:rsidRPr="000622D7">
        <w:rPr>
          <w:lang w:val="fr-FR" w:eastAsia="ja-JP"/>
        </w:rPr>
        <w:t>’</w:t>
      </w:r>
      <w:r w:rsidR="001A6AFE" w:rsidRPr="000622D7">
        <w:rPr>
          <w:lang w:val="fr-FR" w:eastAsia="ja-JP"/>
        </w:rPr>
        <w:t>examen par le TC</w:t>
      </w:r>
      <w:r w:rsidR="001A6AFE" w:rsidRPr="000622D7">
        <w:rPr>
          <w:lang w:val="fr-FR"/>
        </w:rPr>
        <w:t>;</w:t>
      </w:r>
      <w:r w:rsidR="00AD202E" w:rsidRPr="000622D7">
        <w:rPr>
          <w:lang w:val="fr-FR" w:eastAsia="ja-JP"/>
        </w:rPr>
        <w:t xml:space="preserve"> et</w:t>
      </w:r>
    </w:p>
    <w:p w:rsidR="005F60E0" w:rsidRPr="000622D7" w:rsidRDefault="005F60E0" w:rsidP="00F77193">
      <w:pPr>
        <w:rPr>
          <w:lang w:val="fr-FR" w:eastAsia="ja-JP"/>
        </w:rPr>
      </w:pPr>
    </w:p>
    <w:p w:rsidR="00A94B4B" w:rsidRPr="000622D7" w:rsidRDefault="00760E5D" w:rsidP="00F77193">
      <w:pPr>
        <w:rPr>
          <w:lang w:val="fr-FR" w:eastAsia="ja-JP"/>
        </w:rPr>
      </w:pPr>
      <w:r w:rsidRPr="000622D7">
        <w:rPr>
          <w:lang w:val="fr-FR" w:eastAsia="ja-JP"/>
        </w:rPr>
        <w:tab/>
      </w:r>
      <w:r w:rsidR="007B7770" w:rsidRPr="000622D7">
        <w:rPr>
          <w:lang w:val="fr-FR" w:eastAsia="ja-JP"/>
        </w:rPr>
        <w:t>e)</w:t>
      </w:r>
      <w:r w:rsidR="007B7770" w:rsidRPr="000622D7">
        <w:rPr>
          <w:lang w:val="fr-FR" w:eastAsia="ja-JP"/>
        </w:rPr>
        <w:tab/>
      </w:r>
      <w:r w:rsidR="00504885" w:rsidRPr="000622D7">
        <w:rPr>
          <w:lang w:val="fr-FR" w:eastAsia="ja-JP"/>
        </w:rPr>
        <w:t xml:space="preserve">du fait </w:t>
      </w:r>
      <w:r w:rsidR="002B3490" w:rsidRPr="000622D7">
        <w:rPr>
          <w:lang w:val="fr-FR" w:eastAsia="ja-JP"/>
        </w:rPr>
        <w:t>qu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il avait été convenu à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atelier conjoint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OCDE,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UPOV et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ISTA sur les techniques moléculaires qu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il serait utile d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organiser à nouveau cet atelier conjoint dans le cadre des réunions pertinentes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OCDE et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ISTA et que, à cet égard, le Groupe de travail technique sur les systèmes de semences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OCDE était convenu qu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 xml:space="preserve">un autre </w:t>
      </w:r>
      <w:r w:rsidR="00712AC3" w:rsidRPr="000622D7">
        <w:rPr>
          <w:lang w:val="fr-FR" w:eastAsia="ja-JP"/>
        </w:rPr>
        <w:t>a</w:t>
      </w:r>
      <w:r w:rsidR="002B3490" w:rsidRPr="000622D7">
        <w:rPr>
          <w:lang w:val="fr-FR" w:eastAsia="ja-JP"/>
        </w:rPr>
        <w:t>telier conjoint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OCDE,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UPOV et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ISTA sur les techniques moléculaires devrait être organisé soit immédiatement avant ou après la Réunion annuelle des Systèmes de semences de l</w:t>
      </w:r>
      <w:r w:rsidR="005C211B" w:rsidRPr="000622D7">
        <w:rPr>
          <w:lang w:val="fr-FR" w:eastAsia="ja-JP"/>
        </w:rPr>
        <w:t>’</w:t>
      </w:r>
      <w:r w:rsidR="002B3490" w:rsidRPr="000622D7">
        <w:rPr>
          <w:lang w:val="fr-FR" w:eastAsia="ja-JP"/>
        </w:rPr>
        <w:t>OCDE, soit en même temps que la Réunion du Groupe de travail technique</w:t>
      </w:r>
      <w:r w:rsidR="00712AC3" w:rsidRPr="000622D7">
        <w:rPr>
          <w:lang w:val="fr-FR" w:eastAsia="ja-JP"/>
        </w:rPr>
        <w:t xml:space="preserve"> de l</w:t>
      </w:r>
      <w:r w:rsidR="005C211B" w:rsidRPr="000622D7">
        <w:rPr>
          <w:lang w:val="fr-FR" w:eastAsia="ja-JP"/>
        </w:rPr>
        <w:t>’</w:t>
      </w:r>
      <w:r w:rsidR="00712AC3" w:rsidRPr="000622D7">
        <w:rPr>
          <w:lang w:val="fr-FR" w:eastAsia="ja-JP"/>
        </w:rPr>
        <w:t>OCDE</w:t>
      </w:r>
      <w:r w:rsidR="00E36299"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snapToGrid w:val="0"/>
          <w:lang w:val="fr-FR" w:eastAsia="ja-JP"/>
        </w:rPr>
      </w:pPr>
    </w:p>
    <w:p w:rsidR="00A94B4B" w:rsidRPr="000622D7" w:rsidRDefault="006F40BE" w:rsidP="00F77193">
      <w:pPr>
        <w:rPr>
          <w:snapToGrid w:val="0"/>
          <w:lang w:val="fr-FR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Pr="000622D7">
        <w:rPr>
          <w:snapToGrid w:val="0"/>
          <w:lang w:val="fr-FR"/>
        </w:rPr>
        <w:tab/>
      </w:r>
      <w:r w:rsidR="00D267BC" w:rsidRPr="000622D7">
        <w:rPr>
          <w:snapToGrid w:val="0"/>
          <w:lang w:val="fr-FR"/>
        </w:rPr>
        <w:t>À sa trente</w:t>
      </w:r>
      <w:r w:rsidR="007F1BBD" w:rsidRPr="000622D7">
        <w:rPr>
          <w:snapToGrid w:val="0"/>
          <w:lang w:val="fr-FR"/>
        </w:rPr>
        <w:noBreakHyphen/>
      </w:r>
      <w:r w:rsidR="00D267BC" w:rsidRPr="000622D7">
        <w:rPr>
          <w:snapToGrid w:val="0"/>
          <w:lang w:val="fr-FR"/>
        </w:rPr>
        <w:t>troisième</w:t>
      </w:r>
      <w:r w:rsidR="0090653E" w:rsidRPr="000622D7">
        <w:rPr>
          <w:snapToGrid w:val="0"/>
          <w:lang w:val="fr-FR"/>
        </w:rPr>
        <w:t> </w:t>
      </w:r>
      <w:r w:rsidR="00D267BC" w:rsidRPr="000622D7">
        <w:rPr>
          <w:snapToGrid w:val="0"/>
          <w:lang w:val="fr-FR"/>
        </w:rPr>
        <w:t>session</w:t>
      </w:r>
      <w:r w:rsidR="00B025D6" w:rsidRPr="000622D7">
        <w:rPr>
          <w:snapToGrid w:val="0"/>
          <w:lang w:val="fr-FR"/>
        </w:rPr>
        <w:t xml:space="preserve">, </w:t>
      </w:r>
      <w:r w:rsidR="00D267BC" w:rsidRPr="000622D7">
        <w:rPr>
          <w:snapToGrid w:val="0"/>
          <w:lang w:val="fr-FR"/>
        </w:rPr>
        <w:t>tenue à Natal (Brésil) du 3</w:t>
      </w:r>
      <w:r w:rsidR="005C211B" w:rsidRPr="000622D7">
        <w:rPr>
          <w:snapToGrid w:val="0"/>
          <w:lang w:val="fr-FR"/>
        </w:rPr>
        <w:t>0 juin</w:t>
      </w:r>
      <w:r w:rsidR="00D267BC" w:rsidRPr="000622D7">
        <w:rPr>
          <w:snapToGrid w:val="0"/>
          <w:lang w:val="fr-FR"/>
        </w:rPr>
        <w:t xml:space="preserve"> au </w:t>
      </w:r>
      <w:r w:rsidR="005C211B" w:rsidRPr="000622D7">
        <w:rPr>
          <w:snapToGrid w:val="0"/>
          <w:lang w:val="fr-FR"/>
        </w:rPr>
        <w:t>2 juillet 20</w:t>
      </w:r>
      <w:r w:rsidR="00D267BC" w:rsidRPr="000622D7">
        <w:rPr>
          <w:snapToGrid w:val="0"/>
          <w:lang w:val="fr-FR"/>
        </w:rPr>
        <w:t>15,</w:t>
      </w:r>
      <w:r w:rsidR="005C211B" w:rsidRPr="000622D7">
        <w:rPr>
          <w:snapToGrid w:val="0"/>
          <w:lang w:val="fr-FR"/>
        </w:rPr>
        <w:t xml:space="preserve"> le TWC</w:t>
      </w:r>
      <w:r w:rsidR="00D267BC" w:rsidRPr="000622D7">
        <w:rPr>
          <w:snapToGrid w:val="0"/>
          <w:lang w:val="fr-FR"/>
        </w:rPr>
        <w:t xml:space="preserve"> a pris note d</w:t>
      </w:r>
      <w:r w:rsidR="005C211B" w:rsidRPr="000622D7">
        <w:rPr>
          <w:snapToGrid w:val="0"/>
          <w:lang w:val="fr-FR"/>
        </w:rPr>
        <w:t>’</w:t>
      </w:r>
      <w:r w:rsidR="00D267BC" w:rsidRPr="000622D7">
        <w:rPr>
          <w:snapToGrid w:val="0"/>
          <w:lang w:val="fr-FR"/>
        </w:rPr>
        <w:t xml:space="preserve">un </w:t>
      </w:r>
      <w:r w:rsidR="00204A41" w:rsidRPr="000622D7">
        <w:rPr>
          <w:snapToGrid w:val="0"/>
          <w:lang w:val="fr-FR"/>
        </w:rPr>
        <w:t xml:space="preserve">compte rendu verbal présenté par </w:t>
      </w:r>
      <w:r w:rsidRPr="000622D7">
        <w:rPr>
          <w:snapToGrid w:val="0"/>
          <w:lang w:val="fr-FR"/>
        </w:rPr>
        <w:t>M.</w:t>
      </w:r>
      <w:r w:rsidR="00CF2B96" w:rsidRPr="000622D7">
        <w:rPr>
          <w:snapToGrid w:val="0"/>
          <w:lang w:val="fr-FR"/>
        </w:rPr>
        <w:t> </w:t>
      </w:r>
      <w:r w:rsidRPr="000622D7">
        <w:rPr>
          <w:snapToGrid w:val="0"/>
          <w:lang w:val="fr-FR"/>
        </w:rPr>
        <w:t xml:space="preserve">Kees van </w:t>
      </w:r>
      <w:proofErr w:type="spellStart"/>
      <w:r w:rsidRPr="000622D7">
        <w:rPr>
          <w:snapToGrid w:val="0"/>
          <w:lang w:val="fr-FR"/>
        </w:rPr>
        <w:t>Ettekoven</w:t>
      </w:r>
      <w:proofErr w:type="spellEnd"/>
      <w:r w:rsidRPr="000622D7">
        <w:rPr>
          <w:snapToGrid w:val="0"/>
          <w:lang w:val="fr-FR"/>
        </w:rPr>
        <w:t xml:space="preserve">, </w:t>
      </w:r>
      <w:r w:rsidR="00204A41" w:rsidRPr="000622D7">
        <w:rPr>
          <w:snapToGrid w:val="0"/>
          <w:lang w:val="fr-FR"/>
        </w:rPr>
        <w:t>président</w:t>
      </w:r>
      <w:r w:rsidR="005C211B" w:rsidRPr="000622D7">
        <w:rPr>
          <w:snapToGrid w:val="0"/>
          <w:lang w:val="fr-FR"/>
        </w:rPr>
        <w:t xml:space="preserve"> du BMT</w:t>
      </w:r>
      <w:r w:rsidRPr="000622D7">
        <w:rPr>
          <w:snapToGrid w:val="0"/>
          <w:lang w:val="fr-FR"/>
        </w:rPr>
        <w:t xml:space="preserve">, </w:t>
      </w:r>
      <w:r w:rsidR="00204A41" w:rsidRPr="000622D7">
        <w:rPr>
          <w:snapToGrid w:val="0"/>
          <w:lang w:val="fr-FR"/>
        </w:rPr>
        <w:t xml:space="preserve">et faisant état </w:t>
      </w:r>
      <w:r w:rsidR="00B025D6" w:rsidRPr="000622D7">
        <w:rPr>
          <w:snapToGrid w:val="0"/>
          <w:lang w:val="fr-FR"/>
        </w:rPr>
        <w:t xml:space="preserve">des faits nouveaux dans le domaine des techniques moléculaires </w:t>
      </w:r>
      <w:r w:rsidR="0049615F" w:rsidRPr="000622D7">
        <w:rPr>
          <w:snapToGrid w:val="0"/>
          <w:lang w:val="fr-FR"/>
        </w:rPr>
        <w:t xml:space="preserve">qui ont été </w:t>
      </w:r>
      <w:r w:rsidR="00B025D6" w:rsidRPr="000622D7">
        <w:rPr>
          <w:snapToGrid w:val="0"/>
          <w:lang w:val="fr-FR"/>
        </w:rPr>
        <w:t>présentés à la quatorzième</w:t>
      </w:r>
      <w:r w:rsidR="0090653E" w:rsidRPr="000622D7">
        <w:rPr>
          <w:snapToGrid w:val="0"/>
          <w:lang w:val="fr-FR"/>
        </w:rPr>
        <w:t> </w:t>
      </w:r>
      <w:r w:rsidR="00B025D6" w:rsidRPr="000622D7">
        <w:rPr>
          <w:snapToGrid w:val="0"/>
          <w:lang w:val="fr-FR"/>
        </w:rPr>
        <w:t>session</w:t>
      </w:r>
      <w:r w:rsidR="005C211B" w:rsidRPr="000622D7">
        <w:rPr>
          <w:snapToGrid w:val="0"/>
          <w:lang w:val="fr-FR"/>
        </w:rPr>
        <w:t xml:space="preserve"> du BMT</w:t>
      </w:r>
      <w:r w:rsidR="00B025D6" w:rsidRPr="000622D7">
        <w:rPr>
          <w:snapToGrid w:val="0"/>
          <w:lang w:val="fr-FR"/>
        </w:rPr>
        <w:t>, qui s</w:t>
      </w:r>
      <w:r w:rsidR="005C211B" w:rsidRPr="000622D7">
        <w:rPr>
          <w:snapToGrid w:val="0"/>
          <w:lang w:val="fr-FR"/>
        </w:rPr>
        <w:t>’</w:t>
      </w:r>
      <w:r w:rsidR="00B025D6" w:rsidRPr="000622D7">
        <w:rPr>
          <w:snapToGrid w:val="0"/>
          <w:lang w:val="fr-FR"/>
        </w:rPr>
        <w:t>est tenue à Séoul (République de Corée) du 10 au 1</w:t>
      </w:r>
      <w:r w:rsidR="005C211B" w:rsidRPr="000622D7">
        <w:rPr>
          <w:snapToGrid w:val="0"/>
          <w:lang w:val="fr-FR"/>
        </w:rPr>
        <w:t>3 novembre 20</w:t>
      </w:r>
      <w:r w:rsidR="00B025D6" w:rsidRPr="000622D7">
        <w:rPr>
          <w:snapToGrid w:val="0"/>
          <w:lang w:val="fr-FR"/>
        </w:rPr>
        <w:t xml:space="preserve">14, notamment </w:t>
      </w:r>
      <w:r w:rsidR="00447DD2" w:rsidRPr="000622D7">
        <w:rPr>
          <w:snapToGrid w:val="0"/>
          <w:lang w:val="fr-FR"/>
        </w:rPr>
        <w:t xml:space="preserve">des exposés présentés par : </w:t>
      </w:r>
      <w:r w:rsidR="00B025D6" w:rsidRPr="000622D7">
        <w:rPr>
          <w:snapToGrid w:val="0"/>
          <w:lang w:val="fr-FR"/>
        </w:rPr>
        <w:t xml:space="preserve">la République de Corée </w:t>
      </w:r>
      <w:r w:rsidR="0049615F" w:rsidRPr="000622D7">
        <w:rPr>
          <w:snapToGrid w:val="0"/>
          <w:lang w:val="fr-FR"/>
        </w:rPr>
        <w:t>(voir le document BMT/14/16 Rev.2 “Utilisation de techniques faisant intervenir des marqueurs moléculaires aux fins de la sélection d</w:t>
      </w:r>
      <w:r w:rsidR="005C211B" w:rsidRPr="000622D7">
        <w:rPr>
          <w:snapToGrid w:val="0"/>
          <w:lang w:val="fr-FR"/>
        </w:rPr>
        <w:t>’</w:t>
      </w:r>
      <w:r w:rsidR="0049615F" w:rsidRPr="000622D7">
        <w:rPr>
          <w:snapToGrid w:val="0"/>
          <w:lang w:val="fr-FR"/>
        </w:rPr>
        <w:t xml:space="preserve">une </w:t>
      </w:r>
      <w:r w:rsidR="005C211B" w:rsidRPr="000622D7">
        <w:rPr>
          <w:snapToGrid w:val="0"/>
          <w:lang w:val="fr-FR"/>
        </w:rPr>
        <w:t>‘</w:t>
      </w:r>
      <w:r w:rsidR="0049615F" w:rsidRPr="000622D7">
        <w:rPr>
          <w:snapToGrid w:val="0"/>
          <w:lang w:val="fr-FR"/>
        </w:rPr>
        <w:t>variété voisine</w:t>
      </w:r>
      <w:r w:rsidR="005C211B" w:rsidRPr="000622D7">
        <w:rPr>
          <w:snapToGrid w:val="0"/>
          <w:lang w:val="fr-FR"/>
        </w:rPr>
        <w:t>’</w:t>
      </w:r>
      <w:r w:rsidR="0049615F" w:rsidRPr="000622D7">
        <w:rPr>
          <w:snapToGrid w:val="0"/>
          <w:lang w:val="fr-FR"/>
        </w:rPr>
        <w:t xml:space="preserve"> d</w:t>
      </w:r>
      <w:r w:rsidR="005C211B" w:rsidRPr="000622D7">
        <w:rPr>
          <w:snapToGrid w:val="0"/>
          <w:lang w:val="fr-FR"/>
        </w:rPr>
        <w:t>’</w:t>
      </w:r>
      <w:r w:rsidR="0049615F" w:rsidRPr="000622D7">
        <w:rPr>
          <w:snapToGrid w:val="0"/>
          <w:lang w:val="fr-FR"/>
        </w:rPr>
        <w:t xml:space="preserve">une </w:t>
      </w:r>
      <w:r w:rsidR="005C211B" w:rsidRPr="000622D7">
        <w:rPr>
          <w:snapToGrid w:val="0"/>
          <w:lang w:val="fr-FR"/>
        </w:rPr>
        <w:t>‘</w:t>
      </w:r>
      <w:r w:rsidR="0049615F" w:rsidRPr="000622D7">
        <w:rPr>
          <w:snapToGrid w:val="0"/>
          <w:lang w:val="fr-FR"/>
        </w:rPr>
        <w:t>variété candidate</w:t>
      </w:r>
      <w:r w:rsidR="005C211B" w:rsidRPr="000622D7">
        <w:rPr>
          <w:snapToGrid w:val="0"/>
          <w:lang w:val="fr-FR"/>
        </w:rPr>
        <w:t>’</w:t>
      </w:r>
      <w:r w:rsidR="0049615F" w:rsidRPr="000622D7">
        <w:rPr>
          <w:snapToGrid w:val="0"/>
          <w:lang w:val="fr-FR"/>
        </w:rPr>
        <w:t>”</w:t>
      </w:r>
      <w:r w:rsidR="00447DD2" w:rsidRPr="000622D7">
        <w:rPr>
          <w:snapToGrid w:val="0"/>
          <w:lang w:val="fr-FR"/>
        </w:rPr>
        <w:t>)</w:t>
      </w:r>
      <w:r w:rsidRPr="000622D7">
        <w:rPr>
          <w:snapToGrid w:val="0"/>
          <w:lang w:val="fr-FR"/>
        </w:rPr>
        <w:t xml:space="preserve">; </w:t>
      </w:r>
      <w:r w:rsidR="0090653E" w:rsidRPr="000622D7">
        <w:rPr>
          <w:snapToGrid w:val="0"/>
          <w:lang w:val="fr-FR"/>
        </w:rPr>
        <w:t xml:space="preserve"> </w:t>
      </w:r>
      <w:r w:rsidR="00447DD2" w:rsidRPr="000622D7">
        <w:rPr>
          <w:snapToGrid w:val="0"/>
          <w:lang w:val="fr-FR"/>
        </w:rPr>
        <w:t>les États</w:t>
      </w:r>
      <w:r w:rsidR="007F1BBD" w:rsidRPr="000622D7">
        <w:rPr>
          <w:snapToGrid w:val="0"/>
          <w:lang w:val="fr-FR"/>
        </w:rPr>
        <w:noBreakHyphen/>
      </w:r>
      <w:r w:rsidR="00447DD2" w:rsidRPr="000622D7">
        <w:rPr>
          <w:snapToGrid w:val="0"/>
          <w:lang w:val="fr-FR"/>
        </w:rPr>
        <w:t>Unis d</w:t>
      </w:r>
      <w:r w:rsidR="005C211B" w:rsidRPr="000622D7">
        <w:rPr>
          <w:snapToGrid w:val="0"/>
          <w:lang w:val="fr-FR"/>
        </w:rPr>
        <w:t>’</w:t>
      </w:r>
      <w:r w:rsidR="00447DD2" w:rsidRPr="000622D7">
        <w:rPr>
          <w:snapToGrid w:val="0"/>
          <w:lang w:val="fr-FR"/>
        </w:rPr>
        <w:t>Amérique</w:t>
      </w:r>
      <w:r w:rsidRPr="000622D7">
        <w:rPr>
          <w:snapToGrid w:val="0"/>
          <w:lang w:val="fr-FR"/>
        </w:rPr>
        <w:t xml:space="preserve"> (</w:t>
      </w:r>
      <w:r w:rsidR="00447DD2" w:rsidRPr="000622D7">
        <w:rPr>
          <w:snapToGrid w:val="0"/>
          <w:lang w:val="fr-FR"/>
        </w:rPr>
        <w:t xml:space="preserve">voir les </w:t>
      </w:r>
      <w:r w:rsidRPr="000622D7">
        <w:rPr>
          <w:snapToGrid w:val="0"/>
          <w:lang w:val="fr-FR"/>
        </w:rPr>
        <w:t xml:space="preserve">documents BMT/14/5 </w:t>
      </w:r>
      <w:r w:rsidR="00447DD2" w:rsidRPr="000622D7">
        <w:rPr>
          <w:snapToGrid w:val="0"/>
          <w:lang w:val="fr-FR"/>
        </w:rPr>
        <w:t>et</w:t>
      </w:r>
      <w:r w:rsidRPr="000622D7">
        <w:rPr>
          <w:snapToGrid w:val="0"/>
          <w:lang w:val="fr-FR"/>
        </w:rPr>
        <w:t xml:space="preserve"> BMT/14/5</w:t>
      </w:r>
      <w:r w:rsidR="00CF2B96" w:rsidRPr="000622D7">
        <w:rPr>
          <w:snapToGrid w:val="0"/>
          <w:lang w:val="fr-FR"/>
        </w:rPr>
        <w:t> </w:t>
      </w:r>
      <w:proofErr w:type="spellStart"/>
      <w:r w:rsidRPr="000622D7">
        <w:rPr>
          <w:snapToGrid w:val="0"/>
          <w:lang w:val="fr-FR"/>
        </w:rPr>
        <w:t>Add</w:t>
      </w:r>
      <w:proofErr w:type="spellEnd"/>
      <w:r w:rsidRPr="000622D7">
        <w:rPr>
          <w:snapToGrid w:val="0"/>
          <w:lang w:val="fr-FR"/>
        </w:rPr>
        <w:t>. “</w:t>
      </w:r>
      <w:r w:rsidR="00447DD2" w:rsidRPr="000622D7">
        <w:rPr>
          <w:snapToGrid w:val="0"/>
          <w:lang w:val="fr-FR"/>
        </w:rPr>
        <w:t>Utilisation de variétés de référence pour l</w:t>
      </w:r>
      <w:r w:rsidR="005C211B" w:rsidRPr="000622D7">
        <w:rPr>
          <w:snapToGrid w:val="0"/>
          <w:lang w:val="fr-FR"/>
        </w:rPr>
        <w:t>’</w:t>
      </w:r>
      <w:r w:rsidR="00447DD2" w:rsidRPr="000622D7">
        <w:rPr>
          <w:snapToGrid w:val="0"/>
          <w:lang w:val="fr-FR"/>
        </w:rPr>
        <w:t>examen de la distinction de variétés</w:t>
      </w:r>
      <w:r w:rsidR="0090653E" w:rsidRPr="000622D7">
        <w:rPr>
          <w:snapToGrid w:val="0"/>
          <w:lang w:val="fr-FR"/>
        </w:rPr>
        <w:t> </w:t>
      </w:r>
      <w:r w:rsidR="00447DD2" w:rsidRPr="000622D7">
        <w:rPr>
          <w:snapToGrid w:val="0"/>
          <w:lang w:val="fr-FR"/>
        </w:rPr>
        <w:t>: méthode étudiée aux États</w:t>
      </w:r>
      <w:r w:rsidR="007F1BBD" w:rsidRPr="000622D7">
        <w:rPr>
          <w:snapToGrid w:val="0"/>
          <w:lang w:val="fr-FR"/>
        </w:rPr>
        <w:noBreakHyphen/>
      </w:r>
      <w:r w:rsidR="00447DD2" w:rsidRPr="000622D7">
        <w:rPr>
          <w:snapToGrid w:val="0"/>
          <w:lang w:val="fr-FR"/>
        </w:rPr>
        <w:t>Unis d</w:t>
      </w:r>
      <w:r w:rsidR="005C211B" w:rsidRPr="000622D7">
        <w:rPr>
          <w:snapToGrid w:val="0"/>
          <w:lang w:val="fr-FR"/>
        </w:rPr>
        <w:t>’</w:t>
      </w:r>
      <w:r w:rsidR="00447DD2" w:rsidRPr="000622D7">
        <w:rPr>
          <w:snapToGrid w:val="0"/>
          <w:lang w:val="fr-FR"/>
        </w:rPr>
        <w:t>Amérique potentiellement applicable à la protection des obtentions végétales</w:t>
      </w:r>
      <w:r w:rsidRPr="000622D7">
        <w:rPr>
          <w:snapToGrid w:val="0"/>
          <w:lang w:val="fr-FR"/>
        </w:rPr>
        <w:t xml:space="preserve">”); </w:t>
      </w:r>
      <w:r w:rsidR="0090653E" w:rsidRPr="000622D7">
        <w:rPr>
          <w:snapToGrid w:val="0"/>
          <w:lang w:val="fr-FR"/>
        </w:rPr>
        <w:t xml:space="preserve"> </w:t>
      </w:r>
      <w:r w:rsidR="00447DD2" w:rsidRPr="000622D7">
        <w:rPr>
          <w:snapToGrid w:val="0"/>
          <w:lang w:val="fr-FR"/>
        </w:rPr>
        <w:t>les Pays</w:t>
      </w:r>
      <w:r w:rsidR="007F1BBD" w:rsidRPr="000622D7">
        <w:rPr>
          <w:snapToGrid w:val="0"/>
          <w:lang w:val="fr-FR"/>
        </w:rPr>
        <w:noBreakHyphen/>
      </w:r>
      <w:r w:rsidR="00447DD2" w:rsidRPr="000622D7">
        <w:rPr>
          <w:snapToGrid w:val="0"/>
          <w:lang w:val="fr-FR"/>
        </w:rPr>
        <w:t>Bas</w:t>
      </w:r>
      <w:r w:rsidRPr="000622D7">
        <w:rPr>
          <w:snapToGrid w:val="0"/>
          <w:lang w:val="fr-FR"/>
        </w:rPr>
        <w:t xml:space="preserve"> (</w:t>
      </w:r>
      <w:r w:rsidR="00447DD2" w:rsidRPr="000622D7">
        <w:rPr>
          <w:snapToGrid w:val="0"/>
          <w:lang w:val="fr-FR"/>
        </w:rPr>
        <w:t>voir le d</w:t>
      </w:r>
      <w:r w:rsidRPr="000622D7">
        <w:rPr>
          <w:snapToGrid w:val="0"/>
          <w:lang w:val="fr-FR"/>
        </w:rPr>
        <w:t>ocument BMT/14/11 “</w:t>
      </w:r>
      <w:r w:rsidR="00447DD2" w:rsidRPr="000622D7">
        <w:rPr>
          <w:snapToGrid w:val="0"/>
          <w:lang w:val="fr-FR"/>
        </w:rPr>
        <w:t>Propriété et utilisation d</w:t>
      </w:r>
      <w:r w:rsidR="005C211B" w:rsidRPr="000622D7">
        <w:rPr>
          <w:snapToGrid w:val="0"/>
          <w:lang w:val="fr-FR"/>
        </w:rPr>
        <w:t>’</w:t>
      </w:r>
      <w:r w:rsidR="00447DD2" w:rsidRPr="000622D7">
        <w:rPr>
          <w:snapToGrid w:val="0"/>
          <w:lang w:val="fr-FR"/>
        </w:rPr>
        <w:t>échantillons utilisés dans un examen</w:t>
      </w:r>
      <w:r w:rsidR="0090653E" w:rsidRPr="000622D7">
        <w:rPr>
          <w:snapToGrid w:val="0"/>
          <w:lang w:val="fr-FR"/>
        </w:rPr>
        <w:t> </w:t>
      </w:r>
      <w:r w:rsidR="00447DD2" w:rsidRPr="000622D7">
        <w:rPr>
          <w:snapToGrid w:val="0"/>
          <w:lang w:val="fr-FR"/>
        </w:rPr>
        <w:t>DHS, de l</w:t>
      </w:r>
      <w:r w:rsidR="005C211B" w:rsidRPr="000622D7">
        <w:rPr>
          <w:snapToGrid w:val="0"/>
          <w:lang w:val="fr-FR"/>
        </w:rPr>
        <w:t>’</w:t>
      </w:r>
      <w:r w:rsidR="00447DD2" w:rsidRPr="000622D7">
        <w:rPr>
          <w:snapToGrid w:val="0"/>
          <w:lang w:val="fr-FR"/>
        </w:rPr>
        <w:t>ADN et des données relatives à l</w:t>
      </w:r>
      <w:r w:rsidR="005C211B" w:rsidRPr="000622D7">
        <w:rPr>
          <w:snapToGrid w:val="0"/>
          <w:lang w:val="fr-FR"/>
        </w:rPr>
        <w:t>’</w:t>
      </w:r>
      <w:r w:rsidR="00447DD2" w:rsidRPr="000622D7">
        <w:rPr>
          <w:snapToGrid w:val="0"/>
          <w:lang w:val="fr-FR"/>
        </w:rPr>
        <w:t>ADN pendant et après un examen</w:t>
      </w:r>
      <w:r w:rsidR="0090653E" w:rsidRPr="000622D7">
        <w:rPr>
          <w:snapToGrid w:val="0"/>
          <w:lang w:val="fr-FR"/>
        </w:rPr>
        <w:t> </w:t>
      </w:r>
      <w:r w:rsidR="00447DD2" w:rsidRPr="000622D7">
        <w:rPr>
          <w:snapToGrid w:val="0"/>
          <w:lang w:val="fr-FR"/>
        </w:rPr>
        <w:t>DHS</w:t>
      </w:r>
      <w:r w:rsidRPr="000622D7">
        <w:rPr>
          <w:snapToGrid w:val="0"/>
          <w:lang w:val="fr-FR"/>
        </w:rPr>
        <w:t xml:space="preserve">”) </w:t>
      </w:r>
      <w:r w:rsidR="00447DD2" w:rsidRPr="000622D7">
        <w:rPr>
          <w:snapToGrid w:val="0"/>
          <w:lang w:val="fr-FR"/>
        </w:rPr>
        <w:t>ainsi que sur la coopération entre l</w:t>
      </w:r>
      <w:r w:rsidR="005C211B" w:rsidRPr="000622D7">
        <w:rPr>
          <w:snapToGrid w:val="0"/>
          <w:lang w:val="fr-FR"/>
        </w:rPr>
        <w:t>’</w:t>
      </w:r>
      <w:r w:rsidRPr="000622D7">
        <w:rPr>
          <w:snapToGrid w:val="0"/>
          <w:lang w:val="fr-FR"/>
        </w:rPr>
        <w:t xml:space="preserve">UPOV, </w:t>
      </w:r>
      <w:r w:rsidR="00447DD2" w:rsidRPr="000622D7">
        <w:rPr>
          <w:snapToGrid w:val="0"/>
          <w:lang w:val="fr-FR"/>
        </w:rPr>
        <w:t>l</w:t>
      </w:r>
      <w:r w:rsidR="005C211B" w:rsidRPr="000622D7">
        <w:rPr>
          <w:snapToGrid w:val="0"/>
          <w:lang w:val="fr-FR"/>
        </w:rPr>
        <w:t>’</w:t>
      </w:r>
      <w:r w:rsidR="00447DD2" w:rsidRPr="000622D7">
        <w:rPr>
          <w:snapToGrid w:val="0"/>
          <w:lang w:val="fr-FR"/>
        </w:rPr>
        <w:t>OCDE et l</w:t>
      </w:r>
      <w:r w:rsidR="005C211B" w:rsidRPr="000622D7">
        <w:rPr>
          <w:snapToGrid w:val="0"/>
          <w:lang w:val="fr-FR"/>
        </w:rPr>
        <w:t>’</w:t>
      </w:r>
      <w:r w:rsidRPr="000622D7">
        <w:rPr>
          <w:snapToGrid w:val="0"/>
          <w:lang w:val="fr-FR"/>
        </w:rPr>
        <w:t xml:space="preserve">ISTA </w:t>
      </w:r>
      <w:r w:rsidR="00447DD2" w:rsidRPr="000622D7">
        <w:rPr>
          <w:snapToGrid w:val="0"/>
          <w:lang w:val="fr-FR"/>
        </w:rPr>
        <w:t xml:space="preserve">concernant les techniques moléculaires </w:t>
      </w:r>
      <w:r w:rsidRPr="000622D7">
        <w:rPr>
          <w:snapToGrid w:val="0"/>
          <w:lang w:val="fr-FR"/>
        </w:rPr>
        <w:t>(</w:t>
      </w:r>
      <w:r w:rsidR="009E5DDD" w:rsidRPr="000622D7">
        <w:rPr>
          <w:snapToGrid w:val="0"/>
          <w:lang w:val="fr-FR"/>
        </w:rPr>
        <w:t>voir le paragraphe </w:t>
      </w:r>
      <w:r w:rsidR="00986974" w:rsidRPr="000622D7">
        <w:rPr>
          <w:snapToGrid w:val="0"/>
          <w:lang w:val="fr-FR"/>
        </w:rPr>
        <w:t>1</w:t>
      </w:r>
      <w:r w:rsidR="009E5DDD" w:rsidRPr="000622D7">
        <w:rPr>
          <w:snapToGrid w:val="0"/>
          <w:lang w:val="fr-FR"/>
        </w:rPr>
        <w:t>10 du</w:t>
      </w:r>
      <w:r w:rsidRPr="000622D7">
        <w:rPr>
          <w:snapToGrid w:val="0"/>
          <w:lang w:val="fr-FR"/>
        </w:rPr>
        <w:t xml:space="preserve"> document</w:t>
      </w:r>
      <w:r w:rsidRPr="000622D7">
        <w:rPr>
          <w:rFonts w:cs="Arial"/>
          <w:shd w:val="clear" w:color="auto" w:fill="FFFFFF"/>
          <w:lang w:val="fr-FR" w:eastAsia="ja-JP"/>
        </w:rPr>
        <w:t xml:space="preserve"> TWC/33/30</w:t>
      </w:r>
      <w:r w:rsidR="00986974" w:rsidRPr="000622D7">
        <w:rPr>
          <w:rFonts w:cs="Arial"/>
          <w:shd w:val="clear" w:color="auto" w:fill="FFFFFF"/>
          <w:lang w:val="fr-FR" w:eastAsia="ja-JP"/>
        </w:rPr>
        <w:t xml:space="preserve"> “</w:t>
      </w:r>
      <w:r w:rsidR="00D33D88" w:rsidRPr="000622D7">
        <w:rPr>
          <w:rFonts w:cs="Arial"/>
          <w:i/>
          <w:shd w:val="clear" w:color="auto" w:fill="FFFFFF"/>
          <w:lang w:val="fr-FR" w:eastAsia="ja-JP"/>
        </w:rPr>
        <w:t>Report</w:t>
      </w:r>
      <w:r w:rsidR="00161F46" w:rsidRPr="000622D7">
        <w:rPr>
          <w:rFonts w:cs="Arial"/>
          <w:shd w:val="clear" w:color="auto" w:fill="FFFFFF"/>
          <w:lang w:val="fr-FR" w:eastAsia="ja-JP"/>
        </w:rPr>
        <w:t>”</w:t>
      </w:r>
      <w:r w:rsidRPr="000622D7">
        <w:rPr>
          <w:rFonts w:cs="Arial"/>
          <w:shd w:val="clear" w:color="auto" w:fill="FFFFFF"/>
          <w:lang w:val="fr-FR" w:eastAsia="ja-JP"/>
        </w:rPr>
        <w:t>)</w:t>
      </w:r>
      <w:r w:rsidR="00E84836" w:rsidRPr="000622D7">
        <w:rPr>
          <w:rFonts w:cs="Arial"/>
          <w:shd w:val="clear" w:color="auto" w:fill="FFFFFF"/>
          <w:lang w:val="fr-FR" w:eastAsia="ja-JP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034D19" w:rsidRPr="000622D7" w:rsidRDefault="00E36299" w:rsidP="00F77193">
      <w:pPr>
        <w:rPr>
          <w:lang w:val="fr-FR" w:eastAsia="ja-JP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Pr="000622D7">
        <w:rPr>
          <w:snapToGrid w:val="0"/>
          <w:lang w:val="fr-FR"/>
        </w:rPr>
        <w:tab/>
      </w:r>
      <w:r w:rsidR="00B56E60" w:rsidRPr="000622D7">
        <w:rPr>
          <w:lang w:val="fr-FR" w:eastAsia="ja-JP"/>
        </w:rPr>
        <w:t xml:space="preserve">À sa </w:t>
      </w:r>
      <w:r w:rsidR="00B61698" w:rsidRPr="000622D7">
        <w:rPr>
          <w:lang w:val="fr-FR" w:eastAsia="ja-JP"/>
        </w:rPr>
        <w:t>quarante</w:t>
      </w:r>
      <w:r w:rsidR="007F1BBD" w:rsidRPr="000622D7">
        <w:rPr>
          <w:lang w:val="fr-FR" w:eastAsia="ja-JP"/>
        </w:rPr>
        <w:noBreakHyphen/>
      </w:r>
      <w:r w:rsidR="00B61698" w:rsidRPr="000622D7">
        <w:rPr>
          <w:lang w:val="fr-FR" w:eastAsia="ja-JP"/>
        </w:rPr>
        <w:t>sixième</w:t>
      </w:r>
      <w:r w:rsidR="0090653E" w:rsidRPr="000622D7">
        <w:rPr>
          <w:lang w:val="fr-FR" w:eastAsia="ja-JP"/>
        </w:rPr>
        <w:t> </w:t>
      </w:r>
      <w:r w:rsidR="00B56E60" w:rsidRPr="000622D7">
        <w:rPr>
          <w:lang w:val="fr-FR" w:eastAsia="ja-JP"/>
        </w:rPr>
        <w:t>session tenue à Mpumalanga (Afrique du Sud) du 24 au 2</w:t>
      </w:r>
      <w:r w:rsidR="005C211B" w:rsidRPr="000622D7">
        <w:rPr>
          <w:lang w:val="fr-FR" w:eastAsia="ja-JP"/>
        </w:rPr>
        <w:t>8 août 20</w:t>
      </w:r>
      <w:r w:rsidR="00B56E60" w:rsidRPr="000622D7">
        <w:rPr>
          <w:lang w:val="fr-FR" w:eastAsia="ja-JP"/>
        </w:rPr>
        <w:t>15,</w:t>
      </w:r>
      <w:r w:rsidR="005C211B" w:rsidRPr="000622D7">
        <w:rPr>
          <w:lang w:val="fr-FR" w:eastAsia="ja-JP"/>
        </w:rPr>
        <w:t xml:space="preserve"> le TWF</w:t>
      </w:r>
      <w:r w:rsidR="00B56E60" w:rsidRPr="000622D7">
        <w:rPr>
          <w:lang w:val="fr-FR" w:eastAsia="ja-JP"/>
        </w:rPr>
        <w:t xml:space="preserve"> a pris note du fait que les techniques faisant intervenir des marqueurs moléculaires étaient utilisées par de nombreux membres de l</w:t>
      </w:r>
      <w:r w:rsidR="005C211B" w:rsidRPr="000622D7">
        <w:rPr>
          <w:lang w:val="fr-FR" w:eastAsia="ja-JP"/>
        </w:rPr>
        <w:t>’</w:t>
      </w:r>
      <w:r w:rsidR="00B56E60" w:rsidRPr="000622D7">
        <w:rPr>
          <w:lang w:val="fr-FR" w:eastAsia="ja-JP"/>
        </w:rPr>
        <w:t xml:space="preserve">UPOV </w:t>
      </w:r>
      <w:r w:rsidR="009E6F99" w:rsidRPr="000622D7">
        <w:rPr>
          <w:lang w:val="fr-FR" w:eastAsia="ja-JP"/>
        </w:rPr>
        <w:t>aux fins d</w:t>
      </w:r>
      <w:r w:rsidR="005C211B" w:rsidRPr="000622D7">
        <w:rPr>
          <w:lang w:val="fr-FR" w:eastAsia="ja-JP"/>
        </w:rPr>
        <w:t>’</w:t>
      </w:r>
      <w:r w:rsidR="00B61698" w:rsidRPr="000622D7">
        <w:rPr>
          <w:lang w:val="fr-FR" w:eastAsia="ja-JP"/>
        </w:rPr>
        <w:t>identification</w:t>
      </w:r>
      <w:r w:rsidR="009E6F99" w:rsidRPr="000622D7">
        <w:rPr>
          <w:lang w:val="fr-FR" w:eastAsia="ja-JP"/>
        </w:rPr>
        <w:t xml:space="preserve"> des variétés</w:t>
      </w:r>
      <w:r w:rsidR="007512C7" w:rsidRPr="000622D7">
        <w:rPr>
          <w:lang w:val="fr-FR" w:eastAsia="ja-JP"/>
        </w:rPr>
        <w:t xml:space="preserve">, </w:t>
      </w:r>
      <w:r w:rsidR="00A13F35" w:rsidRPr="000622D7">
        <w:rPr>
          <w:lang w:val="fr-FR" w:eastAsia="ja-JP"/>
        </w:rPr>
        <w:t>et qu</w:t>
      </w:r>
      <w:r w:rsidR="005C211B" w:rsidRPr="000622D7">
        <w:rPr>
          <w:lang w:val="fr-FR" w:eastAsia="ja-JP"/>
        </w:rPr>
        <w:t>’</w:t>
      </w:r>
      <w:r w:rsidR="00A13F35" w:rsidRPr="000622D7">
        <w:rPr>
          <w:lang w:val="fr-FR" w:eastAsia="ja-JP"/>
        </w:rPr>
        <w:t xml:space="preserve">elles constituaient un outil important </w:t>
      </w:r>
      <w:r w:rsidR="00F073B8" w:rsidRPr="000622D7">
        <w:rPr>
          <w:lang w:val="fr-FR" w:eastAsia="ja-JP"/>
        </w:rPr>
        <w:t>en ce qui concerne la défense des droits d</w:t>
      </w:r>
      <w:r w:rsidR="005C211B" w:rsidRPr="000622D7">
        <w:rPr>
          <w:lang w:val="fr-FR" w:eastAsia="ja-JP"/>
        </w:rPr>
        <w:t>’</w:t>
      </w:r>
      <w:r w:rsidR="00F073B8" w:rsidRPr="000622D7">
        <w:rPr>
          <w:lang w:val="fr-FR" w:eastAsia="ja-JP"/>
        </w:rPr>
        <w:t>obtenteur</w:t>
      </w:r>
      <w:r w:rsidRPr="000622D7">
        <w:rPr>
          <w:lang w:val="fr-FR" w:eastAsia="ja-JP"/>
        </w:rPr>
        <w:t xml:space="preserve">. </w:t>
      </w:r>
      <w:r w:rsidR="005C211B" w:rsidRPr="000622D7">
        <w:rPr>
          <w:lang w:val="fr-FR" w:eastAsia="ja-JP"/>
        </w:rPr>
        <w:t xml:space="preserve"> Le TWF</w:t>
      </w:r>
      <w:r w:rsidRPr="000622D7">
        <w:rPr>
          <w:lang w:val="fr-FR" w:eastAsia="ja-JP"/>
        </w:rPr>
        <w:t xml:space="preserve"> </w:t>
      </w:r>
      <w:r w:rsidR="00F073B8" w:rsidRPr="000622D7">
        <w:rPr>
          <w:lang w:val="fr-FR" w:eastAsia="ja-JP"/>
        </w:rPr>
        <w:t>est convenu qu</w:t>
      </w:r>
      <w:r w:rsidR="005C211B" w:rsidRPr="000622D7">
        <w:rPr>
          <w:lang w:val="fr-FR" w:eastAsia="ja-JP"/>
        </w:rPr>
        <w:t>’</w:t>
      </w:r>
      <w:r w:rsidR="00F073B8" w:rsidRPr="000622D7">
        <w:rPr>
          <w:lang w:val="fr-FR" w:eastAsia="ja-JP"/>
        </w:rPr>
        <w:t>il serait utile de dif</w:t>
      </w:r>
      <w:r w:rsidR="00611C26" w:rsidRPr="000622D7">
        <w:rPr>
          <w:lang w:val="fr-FR" w:eastAsia="ja-JP"/>
        </w:rPr>
        <w:t>f</w:t>
      </w:r>
      <w:r w:rsidR="00F073B8" w:rsidRPr="000622D7">
        <w:rPr>
          <w:lang w:val="fr-FR" w:eastAsia="ja-JP"/>
        </w:rPr>
        <w:t xml:space="preserve">user des informations à un plus </w:t>
      </w:r>
      <w:r w:rsidR="00611C26" w:rsidRPr="000622D7">
        <w:rPr>
          <w:lang w:val="fr-FR" w:eastAsia="ja-JP"/>
        </w:rPr>
        <w:t>large public concernant le fait que les techniques faisant intervenir des marqueurs moléculaires étaient largement utilisées dans le cadre des droits d</w:t>
      </w:r>
      <w:r w:rsidR="005C211B" w:rsidRPr="000622D7">
        <w:rPr>
          <w:lang w:val="fr-FR" w:eastAsia="ja-JP"/>
        </w:rPr>
        <w:t>’</w:t>
      </w:r>
      <w:r w:rsidR="00611C26" w:rsidRPr="000622D7">
        <w:rPr>
          <w:lang w:val="fr-FR" w:eastAsia="ja-JP"/>
        </w:rPr>
        <w:t>obtenteur pour l</w:t>
      </w:r>
      <w:r w:rsidR="005C211B" w:rsidRPr="000622D7">
        <w:rPr>
          <w:lang w:val="fr-FR" w:eastAsia="ja-JP"/>
        </w:rPr>
        <w:t>’</w:t>
      </w:r>
      <w:r w:rsidR="00611C26" w:rsidRPr="000622D7">
        <w:rPr>
          <w:lang w:val="fr-FR" w:eastAsia="ja-JP"/>
        </w:rPr>
        <w:t>identification des variétés et la défense des droits d</w:t>
      </w:r>
      <w:r w:rsidR="005C211B" w:rsidRPr="000622D7">
        <w:rPr>
          <w:lang w:val="fr-FR" w:eastAsia="ja-JP"/>
        </w:rPr>
        <w:t>’</w:t>
      </w:r>
      <w:r w:rsidR="00611C26" w:rsidRPr="000622D7">
        <w:rPr>
          <w:lang w:val="fr-FR" w:eastAsia="ja-JP"/>
        </w:rPr>
        <w:t>obtenteur</w:t>
      </w:r>
      <w:r w:rsidR="00E84836" w:rsidRPr="000622D7">
        <w:rPr>
          <w:lang w:val="fr-FR" w:eastAsia="ja-JP"/>
        </w:rPr>
        <w:t xml:space="preserve"> </w:t>
      </w:r>
      <w:r w:rsidR="00E84836" w:rsidRPr="000622D7">
        <w:rPr>
          <w:snapToGrid w:val="0"/>
          <w:lang w:val="fr-FR"/>
        </w:rPr>
        <w:t>(</w:t>
      </w:r>
      <w:r w:rsidR="00986974" w:rsidRPr="000622D7">
        <w:rPr>
          <w:snapToGrid w:val="0"/>
          <w:lang w:val="fr-FR"/>
        </w:rPr>
        <w:t xml:space="preserve">voir les </w:t>
      </w:r>
      <w:r w:rsidR="00B61698" w:rsidRPr="000622D7">
        <w:rPr>
          <w:snapToGrid w:val="0"/>
          <w:lang w:val="fr-FR"/>
        </w:rPr>
        <w:t>paragraphes</w:t>
      </w:r>
      <w:r w:rsidR="00986974" w:rsidRPr="000622D7">
        <w:rPr>
          <w:snapToGrid w:val="0"/>
          <w:lang w:val="fr-FR"/>
        </w:rPr>
        <w:t> 73 à 75 du</w:t>
      </w:r>
      <w:r w:rsidR="00E84836" w:rsidRPr="000622D7">
        <w:rPr>
          <w:snapToGrid w:val="0"/>
          <w:lang w:val="fr-FR"/>
        </w:rPr>
        <w:t xml:space="preserve"> document</w:t>
      </w:r>
      <w:r w:rsidR="00E84836" w:rsidRPr="000622D7">
        <w:rPr>
          <w:rFonts w:cs="Arial"/>
          <w:shd w:val="clear" w:color="auto" w:fill="FFFFFF"/>
          <w:lang w:val="fr-FR" w:eastAsia="ja-JP"/>
        </w:rPr>
        <w:t xml:space="preserve"> </w:t>
      </w:r>
      <w:r w:rsidR="000F5EFF" w:rsidRPr="000622D7">
        <w:rPr>
          <w:rFonts w:cs="Arial"/>
          <w:shd w:val="clear" w:color="auto" w:fill="FFFFFF"/>
          <w:lang w:val="fr-FR" w:eastAsia="ja-JP"/>
        </w:rPr>
        <w:t>T</w:t>
      </w:r>
      <w:r w:rsidR="00E84836" w:rsidRPr="000622D7">
        <w:rPr>
          <w:rFonts w:cs="Arial"/>
          <w:shd w:val="clear" w:color="auto" w:fill="FFFFFF"/>
          <w:lang w:val="fr-FR" w:eastAsia="ja-JP"/>
        </w:rPr>
        <w:t>WF/46/29</w:t>
      </w:r>
      <w:r w:rsidR="00CF2B96" w:rsidRPr="000622D7">
        <w:rPr>
          <w:rFonts w:cs="Arial"/>
          <w:shd w:val="clear" w:color="auto" w:fill="FFFFFF"/>
          <w:lang w:val="fr-FR" w:eastAsia="ja-JP"/>
        </w:rPr>
        <w:t> </w:t>
      </w:r>
      <w:proofErr w:type="spellStart"/>
      <w:r w:rsidR="00560113" w:rsidRPr="000622D7">
        <w:rPr>
          <w:rFonts w:cs="Arial"/>
          <w:shd w:val="clear" w:color="auto" w:fill="FFFFFF"/>
          <w:lang w:val="fr-FR" w:eastAsia="ja-JP"/>
        </w:rPr>
        <w:t>Rev</w:t>
      </w:r>
      <w:proofErr w:type="spellEnd"/>
      <w:r w:rsidR="00560113" w:rsidRPr="000622D7">
        <w:rPr>
          <w:rFonts w:cs="Arial"/>
          <w:shd w:val="clear" w:color="auto" w:fill="FFFFFF"/>
          <w:lang w:val="fr-FR" w:eastAsia="ja-JP"/>
        </w:rPr>
        <w:t>.</w:t>
      </w:r>
      <w:r w:rsidR="00161F46" w:rsidRPr="000622D7">
        <w:rPr>
          <w:rFonts w:cs="Arial"/>
          <w:shd w:val="clear" w:color="auto" w:fill="FFFFFF"/>
          <w:lang w:val="fr-FR" w:eastAsia="ja-JP"/>
        </w:rPr>
        <w:t xml:space="preserve"> “</w:t>
      </w:r>
      <w:proofErr w:type="spellStart"/>
      <w:r w:rsidR="00967457" w:rsidRPr="000622D7">
        <w:rPr>
          <w:rFonts w:cs="Arial"/>
          <w:i/>
          <w:shd w:val="clear" w:color="auto" w:fill="FFFFFF"/>
          <w:lang w:val="fr-FR" w:eastAsia="ja-JP"/>
        </w:rPr>
        <w:t>Revised</w:t>
      </w:r>
      <w:proofErr w:type="spellEnd"/>
      <w:r w:rsidR="00967457" w:rsidRPr="000622D7">
        <w:rPr>
          <w:rFonts w:cs="Arial"/>
          <w:i/>
          <w:shd w:val="clear" w:color="auto" w:fill="FFFFFF"/>
          <w:lang w:val="fr-FR" w:eastAsia="ja-JP"/>
        </w:rPr>
        <w:t xml:space="preserve"> </w:t>
      </w:r>
      <w:r w:rsidR="00161F46" w:rsidRPr="000622D7">
        <w:rPr>
          <w:rFonts w:cs="Arial"/>
          <w:i/>
          <w:shd w:val="clear" w:color="auto" w:fill="FFFFFF"/>
          <w:lang w:val="fr-FR" w:eastAsia="ja-JP"/>
        </w:rPr>
        <w:t>Report</w:t>
      </w:r>
      <w:r w:rsidR="00986974" w:rsidRPr="000622D7">
        <w:rPr>
          <w:rFonts w:cs="Arial"/>
          <w:shd w:val="clear" w:color="auto" w:fill="FFFFFF"/>
          <w:lang w:val="fr-FR" w:eastAsia="ja-JP"/>
        </w:rPr>
        <w:t>”</w:t>
      </w:r>
      <w:r w:rsidR="00E84836" w:rsidRPr="000622D7">
        <w:rPr>
          <w:rFonts w:cs="Arial"/>
          <w:shd w:val="clear" w:color="auto" w:fill="FFFFFF"/>
          <w:lang w:val="fr-FR" w:eastAsia="ja-JP"/>
        </w:rPr>
        <w:t>)</w:t>
      </w:r>
      <w:r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E36299" w:rsidP="00F77193">
      <w:pPr>
        <w:rPr>
          <w:lang w:val="fr-FR" w:eastAsia="ja-JP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Pr="000622D7">
        <w:rPr>
          <w:snapToGrid w:val="0"/>
          <w:lang w:val="fr-FR"/>
        </w:rPr>
        <w:tab/>
      </w:r>
      <w:r w:rsidR="00B10BB8" w:rsidRPr="000622D7">
        <w:rPr>
          <w:lang w:val="fr-FR" w:eastAsia="ja-JP"/>
        </w:rPr>
        <w:t>L</w:t>
      </w:r>
      <w:r w:rsidRPr="000622D7">
        <w:rPr>
          <w:lang w:val="fr-FR" w:eastAsia="ja-JP"/>
        </w:rPr>
        <w:t xml:space="preserve">e TWF </w:t>
      </w:r>
      <w:r w:rsidR="00B10BB8" w:rsidRPr="000622D7">
        <w:rPr>
          <w:lang w:val="fr-FR" w:eastAsia="ja-JP"/>
        </w:rPr>
        <w:t>a noté l</w:t>
      </w:r>
      <w:r w:rsidR="00977AE7" w:rsidRPr="000622D7">
        <w:rPr>
          <w:lang w:val="fr-FR" w:eastAsia="ja-JP"/>
        </w:rPr>
        <w:t>e</w:t>
      </w:r>
      <w:r w:rsidR="00B10BB8" w:rsidRPr="000622D7">
        <w:rPr>
          <w:lang w:val="fr-FR" w:eastAsia="ja-JP"/>
        </w:rPr>
        <w:t xml:space="preserve"> fait que la </w:t>
      </w:r>
      <w:r w:rsidRPr="000622D7">
        <w:rPr>
          <w:lang w:val="fr-FR" w:eastAsia="ja-JP"/>
        </w:rPr>
        <w:t xml:space="preserve">France </w:t>
      </w:r>
      <w:r w:rsidR="00B10BB8" w:rsidRPr="000622D7">
        <w:rPr>
          <w:lang w:val="fr-FR" w:eastAsia="ja-JP"/>
        </w:rPr>
        <w:t xml:space="preserve">utilisait les distances moléculaires </w:t>
      </w:r>
      <w:r w:rsidR="002D5578" w:rsidRPr="000622D7">
        <w:rPr>
          <w:lang w:val="fr-FR" w:eastAsia="ja-JP"/>
        </w:rPr>
        <w:t>en conjonction avec la di</w:t>
      </w:r>
      <w:r w:rsidR="00126E53" w:rsidRPr="000622D7">
        <w:rPr>
          <w:lang w:val="fr-FR" w:eastAsia="ja-JP"/>
        </w:rPr>
        <w:t>stance</w:t>
      </w:r>
      <w:r w:rsidR="002D5578" w:rsidRPr="000622D7">
        <w:rPr>
          <w:lang w:val="fr-FR" w:eastAsia="ja-JP"/>
        </w:rPr>
        <w:t xml:space="preserve"> phénotypique dans le but </w:t>
      </w:r>
      <w:r w:rsidR="00977AE7" w:rsidRPr="000622D7">
        <w:rPr>
          <w:lang w:val="fr-FR" w:eastAsia="ja-JP"/>
        </w:rPr>
        <w:t>de maximiser la taille des essais de plantes fruitières depuis</w:t>
      </w:r>
      <w:r w:rsidR="0090653E" w:rsidRPr="000622D7">
        <w:rPr>
          <w:lang w:val="fr-FR" w:eastAsia="ja-JP"/>
        </w:rPr>
        <w:t> </w:t>
      </w:r>
      <w:r w:rsidRPr="000622D7">
        <w:rPr>
          <w:lang w:val="fr-FR" w:eastAsia="ja-JP"/>
        </w:rPr>
        <w:t xml:space="preserve">2000. </w:t>
      </w:r>
      <w:r w:rsidR="005C211B" w:rsidRPr="000622D7">
        <w:rPr>
          <w:lang w:val="fr-FR" w:eastAsia="ja-JP"/>
        </w:rPr>
        <w:t xml:space="preserve"> Le TWF</w:t>
      </w:r>
      <w:r w:rsidRPr="000622D7">
        <w:rPr>
          <w:lang w:val="fr-FR" w:eastAsia="ja-JP"/>
        </w:rPr>
        <w:t xml:space="preserve"> </w:t>
      </w:r>
      <w:r w:rsidR="00977AE7" w:rsidRPr="000622D7">
        <w:rPr>
          <w:lang w:val="fr-FR" w:eastAsia="ja-JP"/>
        </w:rPr>
        <w:t xml:space="preserve">est convenu que les marqueurs moléculaires apportaient également des informations utiles sur les espèces pour lesquelles les services concernés ne disposaient pas </w:t>
      </w:r>
      <w:r w:rsidR="00105E76" w:rsidRPr="000622D7">
        <w:rPr>
          <w:lang w:val="fr-FR" w:eastAsia="ja-JP"/>
        </w:rPr>
        <w:t>d</w:t>
      </w:r>
      <w:r w:rsidR="005C211B" w:rsidRPr="000622D7">
        <w:rPr>
          <w:lang w:val="fr-FR" w:eastAsia="ja-JP"/>
        </w:rPr>
        <w:t>’</w:t>
      </w:r>
      <w:r w:rsidR="00105E76" w:rsidRPr="000622D7">
        <w:rPr>
          <w:lang w:val="fr-FR" w:eastAsia="ja-JP"/>
        </w:rPr>
        <w:t>échantillon de référence d</w:t>
      </w:r>
      <w:r w:rsidR="00520565" w:rsidRPr="000622D7">
        <w:rPr>
          <w:lang w:val="fr-FR" w:eastAsia="ja-JP"/>
        </w:rPr>
        <w:t>u</w:t>
      </w:r>
      <w:r w:rsidR="00105E76" w:rsidRPr="000622D7">
        <w:rPr>
          <w:lang w:val="fr-FR" w:eastAsia="ja-JP"/>
        </w:rPr>
        <w:t xml:space="preserve"> matériel vivant</w:t>
      </w:r>
      <w:r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034D19" w:rsidRPr="000622D7" w:rsidRDefault="00E36299" w:rsidP="00F77193">
      <w:pPr>
        <w:rPr>
          <w:lang w:val="fr-FR" w:eastAsia="ja-JP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Pr="000622D7">
        <w:rPr>
          <w:snapToGrid w:val="0"/>
          <w:lang w:val="fr-FR"/>
        </w:rPr>
        <w:tab/>
      </w:r>
      <w:r w:rsidR="00520565" w:rsidRPr="000622D7">
        <w:rPr>
          <w:lang w:val="fr-FR" w:eastAsia="ja-JP"/>
        </w:rPr>
        <w:t>Le TWF a noté le fait que dans de nombreux pays membres de l</w:t>
      </w:r>
      <w:r w:rsidR="005C211B" w:rsidRPr="000622D7">
        <w:rPr>
          <w:lang w:val="fr-FR" w:eastAsia="ja-JP"/>
        </w:rPr>
        <w:t>’</w:t>
      </w:r>
      <w:r w:rsidR="00520565" w:rsidRPr="000622D7">
        <w:rPr>
          <w:lang w:val="fr-FR" w:eastAsia="ja-JP"/>
        </w:rPr>
        <w:t>UPOV, les obtenteurs demandaient aux services concernés d</w:t>
      </w:r>
      <w:r w:rsidR="005C211B" w:rsidRPr="000622D7">
        <w:rPr>
          <w:lang w:val="fr-FR" w:eastAsia="ja-JP"/>
        </w:rPr>
        <w:t>’</w:t>
      </w:r>
      <w:r w:rsidR="00520565" w:rsidRPr="000622D7">
        <w:rPr>
          <w:lang w:val="fr-FR" w:eastAsia="ja-JP"/>
        </w:rPr>
        <w:t xml:space="preserve">accepter les données relatives aux marqueurs moléculaires dans </w:t>
      </w:r>
      <w:r w:rsidR="00DC3EEC" w:rsidRPr="000622D7">
        <w:rPr>
          <w:lang w:val="fr-FR" w:eastAsia="ja-JP"/>
        </w:rPr>
        <w:t>le cadre d</w:t>
      </w:r>
      <w:r w:rsidR="00520565" w:rsidRPr="000622D7">
        <w:rPr>
          <w:lang w:val="fr-FR" w:eastAsia="ja-JP"/>
        </w:rPr>
        <w:t xml:space="preserve">es demandes </w:t>
      </w:r>
      <w:r w:rsidR="00DC3EEC" w:rsidRPr="000622D7">
        <w:rPr>
          <w:lang w:val="fr-FR" w:eastAsia="ja-JP"/>
        </w:rPr>
        <w:t>de droits d</w:t>
      </w:r>
      <w:r w:rsidR="005C211B" w:rsidRPr="000622D7">
        <w:rPr>
          <w:lang w:val="fr-FR" w:eastAsia="ja-JP"/>
        </w:rPr>
        <w:t>’</w:t>
      </w:r>
      <w:r w:rsidR="00DC3EEC" w:rsidRPr="000622D7">
        <w:rPr>
          <w:lang w:val="fr-FR" w:eastAsia="ja-JP"/>
        </w:rPr>
        <w:t>obtenteur</w:t>
      </w:r>
      <w:r w:rsidRPr="000622D7">
        <w:rPr>
          <w:lang w:val="fr-FR" w:eastAsia="ja-JP"/>
        </w:rPr>
        <w:t xml:space="preserve">. </w:t>
      </w:r>
      <w:r w:rsidR="005C211B" w:rsidRPr="000622D7">
        <w:rPr>
          <w:lang w:val="fr-FR" w:eastAsia="ja-JP"/>
        </w:rPr>
        <w:t xml:space="preserve"> Le TWF</w:t>
      </w:r>
      <w:r w:rsidRPr="000622D7">
        <w:rPr>
          <w:lang w:val="fr-FR" w:eastAsia="ja-JP"/>
        </w:rPr>
        <w:t xml:space="preserve"> </w:t>
      </w:r>
      <w:r w:rsidR="00DC3EEC" w:rsidRPr="000622D7">
        <w:rPr>
          <w:lang w:val="fr-FR" w:eastAsia="ja-JP"/>
        </w:rPr>
        <w:t>a noté que les services concernés n</w:t>
      </w:r>
      <w:r w:rsidR="005C211B" w:rsidRPr="000622D7">
        <w:rPr>
          <w:lang w:val="fr-FR" w:eastAsia="ja-JP"/>
        </w:rPr>
        <w:t>’</w:t>
      </w:r>
      <w:r w:rsidR="00DC3EEC" w:rsidRPr="000622D7">
        <w:rPr>
          <w:lang w:val="fr-FR" w:eastAsia="ja-JP"/>
        </w:rPr>
        <w:t>exigeaient pas l</w:t>
      </w:r>
      <w:r w:rsidR="005C211B" w:rsidRPr="000622D7">
        <w:rPr>
          <w:lang w:val="fr-FR" w:eastAsia="ja-JP"/>
        </w:rPr>
        <w:t>’</w:t>
      </w:r>
      <w:r w:rsidR="00DC3EEC" w:rsidRPr="000622D7">
        <w:rPr>
          <w:lang w:val="fr-FR" w:eastAsia="ja-JP"/>
        </w:rPr>
        <w:t>inclusion de données relatives aux marqueurs moléculaires dans le cadre des demandes de droits d</w:t>
      </w:r>
      <w:r w:rsidR="005C211B" w:rsidRPr="000622D7">
        <w:rPr>
          <w:lang w:val="fr-FR" w:eastAsia="ja-JP"/>
        </w:rPr>
        <w:t>’</w:t>
      </w:r>
      <w:r w:rsidR="00DC3EEC" w:rsidRPr="000622D7">
        <w:rPr>
          <w:lang w:val="fr-FR" w:eastAsia="ja-JP"/>
        </w:rPr>
        <w:t>obtenteur, bien que certains services les acceptent à titre d</w:t>
      </w:r>
      <w:r w:rsidR="005C211B" w:rsidRPr="000622D7">
        <w:rPr>
          <w:lang w:val="fr-FR" w:eastAsia="ja-JP"/>
        </w:rPr>
        <w:t>’</w:t>
      </w:r>
      <w:r w:rsidR="00DC3EEC" w:rsidRPr="000622D7">
        <w:rPr>
          <w:lang w:val="fr-FR" w:eastAsia="ja-JP"/>
        </w:rPr>
        <w:t xml:space="preserve">information complémentaire. </w:t>
      </w:r>
      <w:r w:rsidR="005C211B" w:rsidRPr="000622D7">
        <w:rPr>
          <w:lang w:val="fr-FR" w:eastAsia="ja-JP"/>
        </w:rPr>
        <w:t xml:space="preserve"> Le TWF</w:t>
      </w:r>
      <w:r w:rsidRPr="000622D7">
        <w:rPr>
          <w:lang w:val="fr-FR" w:eastAsia="ja-JP"/>
        </w:rPr>
        <w:t xml:space="preserve"> </w:t>
      </w:r>
      <w:r w:rsidR="00DC3EEC" w:rsidRPr="000622D7">
        <w:rPr>
          <w:lang w:val="fr-FR" w:eastAsia="ja-JP"/>
        </w:rPr>
        <w:t>a pris note des inquiétudes exprimées par certains membres au sujet de</w:t>
      </w:r>
      <w:r w:rsidR="00797A97" w:rsidRPr="000622D7">
        <w:rPr>
          <w:lang w:val="fr-FR" w:eastAsia="ja-JP"/>
        </w:rPr>
        <w:t xml:space="preserve">s questions </w:t>
      </w:r>
      <w:r w:rsidR="00425FB1" w:rsidRPr="000622D7">
        <w:rPr>
          <w:lang w:val="fr-FR" w:eastAsia="ja-JP"/>
        </w:rPr>
        <w:t xml:space="preserve">se rapportant à </w:t>
      </w:r>
      <w:r w:rsidR="00797A97" w:rsidRPr="000622D7">
        <w:rPr>
          <w:lang w:val="fr-FR" w:eastAsia="ja-JP"/>
        </w:rPr>
        <w:t xml:space="preserve">la </w:t>
      </w:r>
      <w:r w:rsidR="00DC3EEC" w:rsidRPr="000622D7">
        <w:rPr>
          <w:lang w:val="fr-FR" w:eastAsia="ja-JP"/>
        </w:rPr>
        <w:t xml:space="preserve">confidentialité </w:t>
      </w:r>
      <w:r w:rsidR="00797A97" w:rsidRPr="000622D7">
        <w:rPr>
          <w:lang w:val="fr-FR" w:eastAsia="ja-JP"/>
        </w:rPr>
        <w:t xml:space="preserve">des données </w:t>
      </w:r>
      <w:r w:rsidR="00425FB1" w:rsidRPr="000622D7">
        <w:rPr>
          <w:lang w:val="fr-FR" w:eastAsia="ja-JP"/>
        </w:rPr>
        <w:t>relatives aux marqueurs moléculaires, ainsi que sur la question de savoir si ces données pourraient être mises à la disposition du public</w:t>
      </w:r>
      <w:r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034D19" w:rsidRPr="000622D7" w:rsidRDefault="00E36299" w:rsidP="00F77193">
      <w:pPr>
        <w:rPr>
          <w:lang w:val="fr-FR" w:eastAsia="ja-JP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Pr="000622D7">
        <w:rPr>
          <w:snapToGrid w:val="0"/>
          <w:lang w:val="fr-FR"/>
        </w:rPr>
        <w:tab/>
      </w:r>
      <w:r w:rsidR="00924962" w:rsidRPr="000622D7">
        <w:rPr>
          <w:snapToGrid w:val="0"/>
          <w:lang w:val="fr-FR"/>
        </w:rPr>
        <w:t xml:space="preserve">À sa </w:t>
      </w:r>
      <w:r w:rsidR="00B61698" w:rsidRPr="000622D7">
        <w:rPr>
          <w:snapToGrid w:val="0"/>
          <w:lang w:val="fr-FR"/>
        </w:rPr>
        <w:t>quarante</w:t>
      </w:r>
      <w:r w:rsidR="007F1BBD" w:rsidRPr="000622D7">
        <w:rPr>
          <w:snapToGrid w:val="0"/>
          <w:lang w:val="fr-FR"/>
        </w:rPr>
        <w:noBreakHyphen/>
      </w:r>
      <w:r w:rsidR="00B61698" w:rsidRPr="000622D7">
        <w:rPr>
          <w:snapToGrid w:val="0"/>
          <w:lang w:val="fr-FR"/>
        </w:rPr>
        <w:t>huitième</w:t>
      </w:r>
      <w:r w:rsidR="0090653E" w:rsidRPr="000622D7">
        <w:rPr>
          <w:snapToGrid w:val="0"/>
          <w:lang w:val="fr-FR"/>
        </w:rPr>
        <w:t> </w:t>
      </w:r>
      <w:r w:rsidR="00924962" w:rsidRPr="000622D7">
        <w:rPr>
          <w:snapToGrid w:val="0"/>
          <w:lang w:val="fr-FR"/>
        </w:rPr>
        <w:t>session tenue à Cambridge (</w:t>
      </w:r>
      <w:r w:rsidR="00B61698" w:rsidRPr="000622D7">
        <w:rPr>
          <w:snapToGrid w:val="0"/>
          <w:lang w:val="fr-FR"/>
        </w:rPr>
        <w:t>Royaume</w:t>
      </w:r>
      <w:r w:rsidR="007F1BBD" w:rsidRPr="000622D7">
        <w:rPr>
          <w:snapToGrid w:val="0"/>
          <w:lang w:val="fr-FR"/>
        </w:rPr>
        <w:noBreakHyphen/>
      </w:r>
      <w:r w:rsidR="00B61698" w:rsidRPr="000622D7">
        <w:rPr>
          <w:snapToGrid w:val="0"/>
          <w:lang w:val="fr-FR"/>
        </w:rPr>
        <w:t>Uni</w:t>
      </w:r>
      <w:r w:rsidR="00924962" w:rsidRPr="000622D7">
        <w:rPr>
          <w:snapToGrid w:val="0"/>
          <w:lang w:val="fr-FR"/>
        </w:rPr>
        <w:t>) du 14 au 1</w:t>
      </w:r>
      <w:r w:rsidR="005C211B" w:rsidRPr="000622D7">
        <w:rPr>
          <w:snapToGrid w:val="0"/>
          <w:lang w:val="fr-FR"/>
        </w:rPr>
        <w:t>8 septembre 20</w:t>
      </w:r>
      <w:r w:rsidR="00924962" w:rsidRPr="000622D7">
        <w:rPr>
          <w:snapToGrid w:val="0"/>
          <w:lang w:val="fr-FR"/>
        </w:rPr>
        <w:t>15,</w:t>
      </w:r>
      <w:r w:rsidR="005C211B" w:rsidRPr="000622D7">
        <w:rPr>
          <w:snapToGrid w:val="0"/>
          <w:lang w:val="fr-FR"/>
        </w:rPr>
        <w:t xml:space="preserve"> le TWO</w:t>
      </w:r>
      <w:r w:rsidR="00924962" w:rsidRPr="000622D7">
        <w:rPr>
          <w:snapToGrid w:val="0"/>
          <w:lang w:val="fr-FR"/>
        </w:rPr>
        <w:t xml:space="preserve"> a</w:t>
      </w:r>
      <w:r w:rsidRPr="000622D7">
        <w:rPr>
          <w:lang w:val="fr-FR" w:eastAsia="ja-JP"/>
        </w:rPr>
        <w:t xml:space="preserve"> </w:t>
      </w:r>
      <w:r w:rsidR="00924962" w:rsidRPr="000622D7">
        <w:rPr>
          <w:lang w:val="fr-FR" w:eastAsia="ja-JP"/>
        </w:rPr>
        <w:t>pris note du fait que certains obtenteurs fournissaient des données relatives aux marqueurs moléculaires dans le cadre des demandes de droits d</w:t>
      </w:r>
      <w:r w:rsidR="005C211B" w:rsidRPr="000622D7">
        <w:rPr>
          <w:lang w:val="fr-FR" w:eastAsia="ja-JP"/>
        </w:rPr>
        <w:t>’</w:t>
      </w:r>
      <w:r w:rsidR="00924962" w:rsidRPr="000622D7">
        <w:rPr>
          <w:lang w:val="fr-FR" w:eastAsia="ja-JP"/>
        </w:rPr>
        <w:t xml:space="preserve">obtenteur et est convenu que si les données </w:t>
      </w:r>
      <w:r w:rsidR="006F2234" w:rsidRPr="000622D7">
        <w:rPr>
          <w:lang w:val="fr-FR" w:eastAsia="ja-JP"/>
        </w:rPr>
        <w:t>n</w:t>
      </w:r>
      <w:r w:rsidR="005C211B" w:rsidRPr="000622D7">
        <w:rPr>
          <w:lang w:val="fr-FR" w:eastAsia="ja-JP"/>
        </w:rPr>
        <w:t>’</w:t>
      </w:r>
      <w:r w:rsidR="00924962" w:rsidRPr="000622D7">
        <w:rPr>
          <w:lang w:val="fr-FR" w:eastAsia="ja-JP"/>
        </w:rPr>
        <w:t>étaient validées par les services concernés</w:t>
      </w:r>
      <w:r w:rsidR="006F2234" w:rsidRPr="000622D7">
        <w:rPr>
          <w:lang w:val="fr-FR" w:eastAsia="ja-JP"/>
        </w:rPr>
        <w:t>, elles n</w:t>
      </w:r>
      <w:r w:rsidR="005C211B" w:rsidRPr="000622D7">
        <w:rPr>
          <w:lang w:val="fr-FR" w:eastAsia="ja-JP"/>
        </w:rPr>
        <w:t>’</w:t>
      </w:r>
      <w:r w:rsidR="006F2234" w:rsidRPr="000622D7">
        <w:rPr>
          <w:lang w:val="fr-FR" w:eastAsia="ja-JP"/>
        </w:rPr>
        <w:t>auraient pas de lien avéré avec le matériel utilisé pour l</w:t>
      </w:r>
      <w:r w:rsidR="005C211B" w:rsidRPr="000622D7">
        <w:rPr>
          <w:lang w:val="fr-FR" w:eastAsia="ja-JP"/>
        </w:rPr>
        <w:t>’</w:t>
      </w:r>
      <w:r w:rsidR="006F2234" w:rsidRPr="000622D7">
        <w:rPr>
          <w:lang w:val="fr-FR" w:eastAsia="ja-JP"/>
        </w:rPr>
        <w:t>examen</w:t>
      </w:r>
      <w:r w:rsidR="0090653E" w:rsidRPr="000622D7">
        <w:rPr>
          <w:lang w:val="fr-FR" w:eastAsia="ja-JP"/>
        </w:rPr>
        <w:t> </w:t>
      </w:r>
      <w:r w:rsidR="006F2234" w:rsidRPr="000622D7">
        <w:rPr>
          <w:lang w:val="fr-FR" w:eastAsia="ja-JP"/>
        </w:rPr>
        <w:t>DHS</w:t>
      </w:r>
      <w:r w:rsidR="00924962" w:rsidRPr="000622D7">
        <w:rPr>
          <w:lang w:val="fr-FR" w:eastAsia="ja-JP"/>
        </w:rPr>
        <w:t xml:space="preserve"> </w:t>
      </w:r>
      <w:r w:rsidR="00E84836" w:rsidRPr="000622D7">
        <w:rPr>
          <w:snapToGrid w:val="0"/>
          <w:lang w:val="fr-FR"/>
        </w:rPr>
        <w:t>(</w:t>
      </w:r>
      <w:r w:rsidR="00103141" w:rsidRPr="000622D7">
        <w:rPr>
          <w:snapToGrid w:val="0"/>
          <w:lang w:val="fr-FR"/>
        </w:rPr>
        <w:t>voir le paragraphe</w:t>
      </w:r>
      <w:r w:rsidR="00CF2B96" w:rsidRPr="000622D7">
        <w:rPr>
          <w:snapToGrid w:val="0"/>
          <w:lang w:val="fr-FR"/>
        </w:rPr>
        <w:t> </w:t>
      </w:r>
      <w:r w:rsidR="00103141" w:rsidRPr="000622D7">
        <w:rPr>
          <w:snapToGrid w:val="0"/>
          <w:lang w:val="fr-FR"/>
        </w:rPr>
        <w:t xml:space="preserve">81 du </w:t>
      </w:r>
      <w:r w:rsidR="00E84836" w:rsidRPr="000622D7">
        <w:rPr>
          <w:snapToGrid w:val="0"/>
          <w:lang w:val="fr-FR"/>
        </w:rPr>
        <w:t>document</w:t>
      </w:r>
      <w:r w:rsidR="00E84836" w:rsidRPr="000622D7">
        <w:rPr>
          <w:rFonts w:cs="Arial"/>
          <w:shd w:val="clear" w:color="auto" w:fill="FFFFFF"/>
          <w:lang w:val="fr-FR" w:eastAsia="ja-JP"/>
        </w:rPr>
        <w:t xml:space="preserve"> TWO/48/26</w:t>
      </w:r>
      <w:r w:rsidR="00161F46" w:rsidRPr="000622D7">
        <w:rPr>
          <w:rFonts w:cs="Arial"/>
          <w:shd w:val="clear" w:color="auto" w:fill="FFFFFF"/>
          <w:lang w:val="fr-FR" w:eastAsia="ja-JP"/>
        </w:rPr>
        <w:t xml:space="preserve"> “</w:t>
      </w:r>
      <w:r w:rsidR="00D33D88" w:rsidRPr="000622D7">
        <w:rPr>
          <w:rFonts w:cs="Arial"/>
          <w:i/>
          <w:shd w:val="clear" w:color="auto" w:fill="FFFFFF"/>
          <w:lang w:val="fr-FR" w:eastAsia="ja-JP"/>
        </w:rPr>
        <w:t>Report</w:t>
      </w:r>
      <w:r w:rsidR="00161F46" w:rsidRPr="000622D7">
        <w:rPr>
          <w:rFonts w:cs="Arial"/>
          <w:shd w:val="clear" w:color="auto" w:fill="FFFFFF"/>
          <w:lang w:val="fr-FR" w:eastAsia="ja-JP"/>
        </w:rPr>
        <w:t>”</w:t>
      </w:r>
      <w:r w:rsidR="00E84836" w:rsidRPr="000622D7">
        <w:rPr>
          <w:rFonts w:cs="Arial"/>
          <w:shd w:val="clear" w:color="auto" w:fill="FFFFFF"/>
          <w:lang w:val="fr-FR" w:eastAsia="ja-JP"/>
        </w:rPr>
        <w:t>)</w:t>
      </w:r>
      <w:r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A94B4B" w:rsidP="00F77193">
      <w:pPr>
        <w:pStyle w:val="Heading1"/>
        <w:rPr>
          <w:color w:val="auto"/>
        </w:rPr>
      </w:pPr>
      <w:bookmarkStart w:id="7" w:name="_Toc444674443"/>
      <w:r w:rsidRPr="000622D7">
        <w:rPr>
          <w:color w:val="auto"/>
        </w:rPr>
        <w:t>Groupe de travail sur les techniques biochimiques et moléculaires, notamment les profils d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ADN</w:t>
      </w:r>
      <w:bookmarkEnd w:id="7"/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8D6750" w:rsidP="00F77193">
      <w:pPr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A94B4B" w:rsidRPr="000622D7">
        <w:rPr>
          <w:lang w:val="fr-FR"/>
        </w:rPr>
        <w:t>Le mandat</w:t>
      </w:r>
      <w:r w:rsidR="00034D19" w:rsidRPr="000622D7">
        <w:rPr>
          <w:lang w:val="fr-FR"/>
        </w:rPr>
        <w:t xml:space="preserve"> du BMT</w:t>
      </w:r>
      <w:r w:rsidR="00A94B4B" w:rsidRPr="000622D7">
        <w:rPr>
          <w:lang w:val="fr-FR"/>
        </w:rPr>
        <w:t xml:space="preserve"> est indiqué dans l</w:t>
      </w:r>
      <w:r w:rsidR="005C211B" w:rsidRPr="000622D7">
        <w:rPr>
          <w:lang w:val="fr-FR"/>
        </w:rPr>
        <w:t>’</w:t>
      </w:r>
      <w:r w:rsidR="00A94B4B" w:rsidRPr="000622D7">
        <w:rPr>
          <w:lang w:val="fr-FR"/>
        </w:rPr>
        <w:t>annexe du présent document.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2D64DE" w:rsidP="00F77193">
      <w:pPr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5027D4" w:rsidRPr="000622D7">
        <w:rPr>
          <w:lang w:val="fr-FR"/>
        </w:rPr>
        <w:t>À sa quatorzième</w:t>
      </w:r>
      <w:r w:rsidR="0090653E" w:rsidRPr="000622D7">
        <w:rPr>
          <w:lang w:val="fr-FR"/>
        </w:rPr>
        <w:t> </w:t>
      </w:r>
      <w:r w:rsidR="005027D4" w:rsidRPr="000622D7">
        <w:rPr>
          <w:lang w:val="fr-FR"/>
        </w:rPr>
        <w:t>session tenue à Séoul (République de Corée) du 10 au 1</w:t>
      </w:r>
      <w:r w:rsidR="005C211B" w:rsidRPr="000622D7">
        <w:rPr>
          <w:lang w:val="fr-FR"/>
        </w:rPr>
        <w:t>3 novembre 20</w:t>
      </w:r>
      <w:r w:rsidR="005027D4" w:rsidRPr="000622D7">
        <w:rPr>
          <w:lang w:val="fr-FR"/>
        </w:rPr>
        <w:t>14,</w:t>
      </w:r>
      <w:r w:rsidR="005C211B" w:rsidRPr="000622D7">
        <w:rPr>
          <w:lang w:val="fr-FR"/>
        </w:rPr>
        <w:t xml:space="preserve"> l</w:t>
      </w:r>
      <w:r w:rsidR="005C211B" w:rsidRPr="000622D7">
        <w:rPr>
          <w:lang w:val="fr-FR" w:eastAsia="ja-JP"/>
        </w:rPr>
        <w:t>e</w:t>
      </w:r>
      <w:r w:rsidR="005C211B" w:rsidRPr="000622D7">
        <w:rPr>
          <w:lang w:val="fr-FR"/>
        </w:rPr>
        <w:t> </w:t>
      </w:r>
      <w:r w:rsidR="005C211B" w:rsidRPr="000622D7">
        <w:rPr>
          <w:lang w:val="fr-FR" w:eastAsia="ja-JP"/>
        </w:rPr>
        <w:t>BMT</w:t>
      </w:r>
      <w:r w:rsidR="008D1B89" w:rsidRPr="000622D7">
        <w:rPr>
          <w:lang w:val="fr-FR" w:eastAsia="ja-JP"/>
        </w:rPr>
        <w:t>, à la suite de l</w:t>
      </w:r>
      <w:r w:rsidR="005C211B" w:rsidRPr="000622D7">
        <w:rPr>
          <w:lang w:val="fr-FR" w:eastAsia="ja-JP"/>
        </w:rPr>
        <w:t>’</w:t>
      </w:r>
      <w:r w:rsidR="008D1B89" w:rsidRPr="000622D7">
        <w:rPr>
          <w:lang w:val="fr-FR" w:eastAsia="ja-JP"/>
        </w:rPr>
        <w:t>invitation de la Fédération de Russie, est convenu de tenir sa quinzième</w:t>
      </w:r>
      <w:r w:rsidR="0090653E" w:rsidRPr="000622D7">
        <w:rPr>
          <w:lang w:val="fr-FR" w:eastAsia="ja-JP"/>
        </w:rPr>
        <w:t> </w:t>
      </w:r>
      <w:r w:rsidR="008D1B89" w:rsidRPr="000622D7">
        <w:rPr>
          <w:lang w:val="fr-FR" w:eastAsia="ja-JP"/>
        </w:rPr>
        <w:t xml:space="preserve">session à Moscou en </w:t>
      </w:r>
      <w:r w:rsidR="005C211B" w:rsidRPr="000622D7">
        <w:rPr>
          <w:lang w:val="fr-FR" w:eastAsia="ja-JP"/>
        </w:rPr>
        <w:t>mai 20</w:t>
      </w:r>
      <w:r w:rsidR="008D1B89" w:rsidRPr="000622D7">
        <w:rPr>
          <w:lang w:val="fr-FR" w:eastAsia="ja-JP"/>
        </w:rPr>
        <w:t xml:space="preserve">16, un atelier préparatoire étant prévu en </w:t>
      </w:r>
      <w:r w:rsidR="005C211B" w:rsidRPr="000622D7">
        <w:rPr>
          <w:lang w:val="fr-FR" w:eastAsia="ja-JP"/>
        </w:rPr>
        <w:t>mai 20</w:t>
      </w:r>
      <w:r w:rsidR="008D1B89" w:rsidRPr="000622D7">
        <w:rPr>
          <w:lang w:val="fr-FR" w:eastAsia="ja-JP"/>
        </w:rPr>
        <w:t>16</w:t>
      </w:r>
      <w:r w:rsidRPr="000622D7">
        <w:rPr>
          <w:lang w:val="fr-FR" w:eastAsia="ja-JP"/>
        </w:rPr>
        <w:t xml:space="preserve">. </w:t>
      </w:r>
      <w:r w:rsidR="00034D19" w:rsidRPr="000622D7">
        <w:rPr>
          <w:lang w:val="fr-FR" w:eastAsia="ja-JP"/>
        </w:rPr>
        <w:t xml:space="preserve"> Le BMT</w:t>
      </w:r>
      <w:r w:rsidR="00A94B4B" w:rsidRPr="000622D7">
        <w:rPr>
          <w:lang w:val="fr-FR" w:eastAsia="ja-JP"/>
        </w:rPr>
        <w:t xml:space="preserve"> a prévu d</w:t>
      </w:r>
      <w:r w:rsidR="005C211B" w:rsidRPr="000622D7">
        <w:rPr>
          <w:lang w:val="fr-FR" w:eastAsia="ja-JP"/>
        </w:rPr>
        <w:t>’</w:t>
      </w:r>
      <w:r w:rsidR="00A94B4B" w:rsidRPr="000622D7">
        <w:rPr>
          <w:lang w:val="fr-FR" w:eastAsia="ja-JP"/>
        </w:rPr>
        <w:t>examiner les questions suivantes</w:t>
      </w:r>
      <w:r w:rsidR="00CF2B96" w:rsidRPr="000622D7">
        <w:rPr>
          <w:lang w:val="fr-FR" w:eastAsia="ja-JP"/>
        </w:rPr>
        <w:t> </w:t>
      </w:r>
      <w:r w:rsidR="00A94B4B" w:rsidRPr="000622D7">
        <w:rPr>
          <w:lang w:val="fr-FR" w:eastAsia="ja-JP"/>
        </w:rPr>
        <w:t>:</w:t>
      </w:r>
    </w:p>
    <w:p w:rsidR="00A94B4B" w:rsidRPr="000622D7" w:rsidRDefault="00A94B4B" w:rsidP="00F77193">
      <w:pPr>
        <w:ind w:left="540" w:right="369"/>
        <w:rPr>
          <w:lang w:val="fr-FR" w:eastAsia="ja-JP"/>
        </w:rPr>
      </w:pPr>
    </w:p>
    <w:p w:rsidR="00034D19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1.</w:t>
      </w:r>
      <w:r w:rsidR="00760E5D" w:rsidRPr="000622D7">
        <w:rPr>
          <w:lang w:val="fr-FR" w:eastAsia="ja-JP"/>
        </w:rPr>
        <w:tab/>
      </w:r>
      <w:r w:rsidRPr="000622D7">
        <w:rPr>
          <w:lang w:val="fr-FR" w:eastAsia="ja-JP"/>
        </w:rPr>
        <w:t>Ouverture de la session</w:t>
      </w:r>
    </w:p>
    <w:p w:rsidR="00A94B4B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2.</w:t>
      </w:r>
      <w:r w:rsidR="00CF2B96" w:rsidRPr="000622D7">
        <w:rPr>
          <w:lang w:val="fr-FR" w:eastAsia="ja-JP"/>
        </w:rPr>
        <w:t xml:space="preserve"> </w:t>
      </w:r>
      <w:r w:rsidRPr="000622D7">
        <w:rPr>
          <w:lang w:val="fr-FR" w:eastAsia="ja-JP"/>
        </w:rPr>
        <w:t xml:space="preserve"> </w:t>
      </w:r>
      <w:r w:rsidR="00760E5D" w:rsidRPr="000622D7">
        <w:rPr>
          <w:lang w:val="fr-FR" w:eastAsia="ja-JP"/>
        </w:rPr>
        <w:tab/>
      </w:r>
      <w:r w:rsidRPr="000622D7">
        <w:rPr>
          <w:lang w:val="fr-FR" w:eastAsia="ja-JP"/>
        </w:rPr>
        <w:t>Adoption de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ordre du jour</w:t>
      </w:r>
    </w:p>
    <w:p w:rsidR="00A94B4B" w:rsidRPr="000622D7" w:rsidRDefault="00760E5D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3.</w:t>
      </w:r>
      <w:r w:rsidRPr="000622D7">
        <w:rPr>
          <w:lang w:val="fr-FR" w:eastAsia="ja-JP"/>
        </w:rPr>
        <w:tab/>
      </w:r>
      <w:r w:rsidR="00A94B4B" w:rsidRPr="000622D7">
        <w:rPr>
          <w:lang w:val="fr-FR" w:eastAsia="ja-JP"/>
        </w:rPr>
        <w:t>Comptes rendus des faits nouveaux survenus au sein de l</w:t>
      </w:r>
      <w:r w:rsidR="005C211B" w:rsidRPr="000622D7">
        <w:rPr>
          <w:lang w:val="fr-FR" w:eastAsia="ja-JP"/>
        </w:rPr>
        <w:t>’</w:t>
      </w:r>
      <w:r w:rsidR="00A94B4B" w:rsidRPr="000622D7">
        <w:rPr>
          <w:lang w:val="fr-FR" w:eastAsia="ja-JP"/>
        </w:rPr>
        <w:t>UPOV et concernant les techniques biochimiques et moléculaires</w:t>
      </w:r>
    </w:p>
    <w:p w:rsidR="00034D19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4.</w:t>
      </w:r>
      <w:r w:rsidRPr="000622D7">
        <w:rPr>
          <w:lang w:val="fr-FR" w:eastAsia="ja-JP"/>
        </w:rPr>
        <w:tab/>
        <w:t>Exposés succincts sur les faits nouveaux survenus dans le domaine des techniques biochimiques et moléculaires présentés par des spécialistes de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examen</w:t>
      </w:r>
      <w:r w:rsidR="00CF2B96" w:rsidRPr="000622D7">
        <w:rPr>
          <w:lang w:val="fr-FR" w:eastAsia="ja-JP"/>
        </w:rPr>
        <w:t> </w:t>
      </w:r>
      <w:r w:rsidRPr="000622D7">
        <w:rPr>
          <w:lang w:val="fr-FR" w:eastAsia="ja-JP"/>
        </w:rPr>
        <w:t>DHS, des spécialistes des techniques biochimiques et moléculaires, des obtenteurs et les organisations internationales concernées</w:t>
      </w:r>
    </w:p>
    <w:p w:rsidR="00A94B4B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5.</w:t>
      </w:r>
      <w:r w:rsidRPr="000622D7">
        <w:rPr>
          <w:lang w:val="fr-FR" w:eastAsia="ja-JP"/>
        </w:rPr>
        <w:tab/>
        <w:t>Compte rendu des travaux sur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utilisation des techniques moléculaires dans le cadre de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examen</w:t>
      </w:r>
      <w:r w:rsidR="00CF2B96" w:rsidRPr="000622D7">
        <w:rPr>
          <w:lang w:val="fr-FR" w:eastAsia="ja-JP"/>
        </w:rPr>
        <w:t> </w:t>
      </w:r>
      <w:r w:rsidRPr="000622D7">
        <w:rPr>
          <w:lang w:val="fr-FR" w:eastAsia="ja-JP"/>
        </w:rPr>
        <w:t>DHS</w:t>
      </w:r>
    </w:p>
    <w:p w:rsidR="00A94B4B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6.</w:t>
      </w:r>
      <w:r w:rsidRPr="000622D7">
        <w:rPr>
          <w:lang w:val="fr-FR" w:eastAsia="ja-JP"/>
        </w:rPr>
        <w:tab/>
        <w:t>Directives internationales en matière de techniques moléculaires</w:t>
      </w:r>
    </w:p>
    <w:p w:rsidR="00A94B4B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7.</w:t>
      </w:r>
      <w:r w:rsidRPr="000622D7">
        <w:rPr>
          <w:lang w:val="fr-FR" w:eastAsia="ja-JP"/>
        </w:rPr>
        <w:tab/>
        <w:t>Bases de données sur les descriptions variétales</w:t>
      </w:r>
    </w:p>
    <w:p w:rsidR="00034D19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8.</w:t>
      </w:r>
      <w:r w:rsidRPr="000622D7">
        <w:rPr>
          <w:lang w:val="fr-FR" w:eastAsia="ja-JP"/>
        </w:rPr>
        <w:tab/>
        <w:t>Méthodes d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analyse des données moléculaires</w:t>
      </w:r>
    </w:p>
    <w:p w:rsidR="00034D19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9.</w:t>
      </w:r>
      <w:r w:rsidRPr="000622D7">
        <w:rPr>
          <w:lang w:val="fr-FR" w:eastAsia="ja-JP"/>
        </w:rPr>
        <w:tab/>
        <w:t>Utilisation des techniques moléculaires pour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examen de variétés essentiellement dérivées</w:t>
      </w:r>
    </w:p>
    <w:p w:rsidR="00A94B4B" w:rsidRPr="000622D7" w:rsidRDefault="002D64DE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10.</w:t>
      </w:r>
      <w:r w:rsidRPr="000622D7">
        <w:rPr>
          <w:lang w:val="fr-FR" w:eastAsia="ja-JP"/>
        </w:rPr>
        <w:tab/>
      </w:r>
      <w:r w:rsidR="00CE652A" w:rsidRPr="000622D7">
        <w:rPr>
          <w:lang w:val="fr-FR" w:eastAsia="ja-JP"/>
        </w:rPr>
        <w:t>Utilisation des techniques moléculaires pour l</w:t>
      </w:r>
      <w:r w:rsidR="005C211B" w:rsidRPr="000622D7">
        <w:rPr>
          <w:lang w:val="fr-FR" w:eastAsia="ja-JP"/>
        </w:rPr>
        <w:t>’</w:t>
      </w:r>
      <w:r w:rsidR="00CE652A" w:rsidRPr="000622D7">
        <w:rPr>
          <w:lang w:val="fr-FR" w:eastAsia="ja-JP"/>
        </w:rPr>
        <w:t>identification de la variété </w:t>
      </w:r>
      <w:r w:rsidRPr="000622D7">
        <w:rPr>
          <w:lang w:val="fr-FR" w:eastAsia="ja-JP"/>
        </w:rPr>
        <w:t>1</w:t>
      </w:r>
    </w:p>
    <w:p w:rsidR="00A94B4B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11.</w:t>
      </w:r>
      <w:r w:rsidRPr="000622D7">
        <w:rPr>
          <w:lang w:val="fr-FR" w:eastAsia="ja-JP"/>
        </w:rPr>
        <w:tab/>
        <w:t>Coopération entre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OCDE,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UPOV,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ISTA et l</w:t>
      </w:r>
      <w:r w:rsidR="005C211B" w:rsidRPr="000622D7">
        <w:rPr>
          <w:lang w:val="fr-FR" w:eastAsia="ja-JP"/>
        </w:rPr>
        <w:t>’</w:t>
      </w:r>
      <w:r w:rsidRPr="000622D7">
        <w:rPr>
          <w:lang w:val="fr-FR" w:eastAsia="ja-JP"/>
        </w:rPr>
        <w:t>ISO</w:t>
      </w:r>
    </w:p>
    <w:p w:rsidR="00A94B4B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12.</w:t>
      </w:r>
      <w:r w:rsidRPr="000622D7">
        <w:rPr>
          <w:lang w:val="fr-FR" w:eastAsia="ja-JP"/>
        </w:rPr>
        <w:tab/>
        <w:t>Date et lieu de la prochaine session</w:t>
      </w:r>
    </w:p>
    <w:p w:rsidR="00A94B4B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13.</w:t>
      </w:r>
      <w:r w:rsidRPr="000622D7">
        <w:rPr>
          <w:lang w:val="fr-FR" w:eastAsia="ja-JP"/>
        </w:rPr>
        <w:tab/>
        <w:t>Programme futur</w:t>
      </w:r>
    </w:p>
    <w:p w:rsidR="00A94B4B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>14.</w:t>
      </w:r>
      <w:r w:rsidRPr="000622D7">
        <w:rPr>
          <w:lang w:val="fr-FR" w:eastAsia="ja-JP"/>
        </w:rPr>
        <w:tab/>
        <w:t>Compte rendu de la session (selon le temps disponible)</w:t>
      </w:r>
    </w:p>
    <w:p w:rsidR="00A94B4B" w:rsidRPr="000622D7" w:rsidRDefault="00A94B4B" w:rsidP="00F77193">
      <w:pPr>
        <w:ind w:left="1134" w:hanging="567"/>
        <w:rPr>
          <w:lang w:val="fr-FR" w:eastAsia="ja-JP"/>
        </w:rPr>
      </w:pPr>
      <w:r w:rsidRPr="000622D7">
        <w:rPr>
          <w:lang w:val="fr-FR" w:eastAsia="ja-JP"/>
        </w:rPr>
        <w:t xml:space="preserve">15. </w:t>
      </w:r>
      <w:r w:rsidR="00CF2B96" w:rsidRPr="000622D7">
        <w:rPr>
          <w:lang w:val="fr-FR" w:eastAsia="ja-JP"/>
        </w:rPr>
        <w:t xml:space="preserve"> </w:t>
      </w:r>
      <w:r w:rsidRPr="000622D7">
        <w:rPr>
          <w:lang w:val="fr-FR" w:eastAsia="ja-JP"/>
        </w:rPr>
        <w:t>Clôture de la session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B13BEB" w:rsidP="00F77193">
      <w:pPr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8159DE" w:rsidRPr="000622D7">
        <w:rPr>
          <w:lang w:val="fr-FR" w:eastAsia="ja-JP"/>
        </w:rPr>
        <w:t>À sa cinquante</w:t>
      </w:r>
      <w:r w:rsidR="0090653E" w:rsidRPr="000622D7">
        <w:rPr>
          <w:lang w:val="fr-FR" w:eastAsia="ja-JP"/>
        </w:rPr>
        <w:t> </w:t>
      </w:r>
      <w:r w:rsidR="008159DE" w:rsidRPr="000622D7">
        <w:rPr>
          <w:lang w:val="fr-FR" w:eastAsia="ja-JP"/>
        </w:rPr>
        <w:t>et</w:t>
      </w:r>
      <w:r w:rsidR="0090653E" w:rsidRPr="000622D7">
        <w:rPr>
          <w:lang w:val="fr-FR" w:eastAsia="ja-JP"/>
        </w:rPr>
        <w:t> </w:t>
      </w:r>
      <w:r w:rsidR="008159DE" w:rsidRPr="000622D7">
        <w:rPr>
          <w:lang w:val="fr-FR" w:eastAsia="ja-JP"/>
        </w:rPr>
        <w:t>unième</w:t>
      </w:r>
      <w:r w:rsidR="0090653E" w:rsidRPr="000622D7">
        <w:rPr>
          <w:lang w:val="fr-FR" w:eastAsia="ja-JP"/>
        </w:rPr>
        <w:t> </w:t>
      </w:r>
      <w:r w:rsidR="008159DE" w:rsidRPr="000622D7">
        <w:rPr>
          <w:lang w:val="fr-FR" w:eastAsia="ja-JP"/>
        </w:rPr>
        <w:t>session, tenue à Genève du 23 au 2</w:t>
      </w:r>
      <w:r w:rsidR="005C211B" w:rsidRPr="000622D7">
        <w:rPr>
          <w:lang w:val="fr-FR" w:eastAsia="ja-JP"/>
        </w:rPr>
        <w:t>5 mars 20</w:t>
      </w:r>
      <w:r w:rsidR="008159DE" w:rsidRPr="000622D7">
        <w:rPr>
          <w:lang w:val="fr-FR" w:eastAsia="ja-JP"/>
        </w:rPr>
        <w:t>15, le</w:t>
      </w:r>
      <w:r w:rsidR="005C211B" w:rsidRPr="000622D7">
        <w:rPr>
          <w:lang w:val="fr-FR" w:eastAsia="ja-JP"/>
        </w:rPr>
        <w:t> TC</w:t>
      </w:r>
      <w:r w:rsidR="008159DE" w:rsidRPr="000622D7">
        <w:rPr>
          <w:lang w:val="fr-FR" w:eastAsia="ja-JP"/>
        </w:rPr>
        <w:t xml:space="preserve"> a</w:t>
      </w:r>
      <w:r w:rsidR="002E6D56" w:rsidRPr="000622D7">
        <w:rPr>
          <w:lang w:val="fr-FR" w:eastAsia="ja-JP"/>
        </w:rPr>
        <w:t xml:space="preserve"> </w:t>
      </w:r>
      <w:r w:rsidR="008159DE" w:rsidRPr="000622D7">
        <w:rPr>
          <w:lang w:val="fr-FR" w:eastAsia="ja-JP"/>
        </w:rPr>
        <w:t>approuvé le programme de la quinzième</w:t>
      </w:r>
      <w:r w:rsidR="0090653E" w:rsidRPr="000622D7">
        <w:rPr>
          <w:lang w:val="fr-FR" w:eastAsia="ja-JP"/>
        </w:rPr>
        <w:t> </w:t>
      </w:r>
      <w:r w:rsidR="008159DE" w:rsidRPr="000622D7">
        <w:rPr>
          <w:lang w:val="fr-FR" w:eastAsia="ja-JP"/>
        </w:rPr>
        <w:t>session</w:t>
      </w:r>
      <w:r w:rsidR="005C211B" w:rsidRPr="000622D7">
        <w:rPr>
          <w:lang w:val="fr-FR" w:eastAsia="ja-JP"/>
        </w:rPr>
        <w:t xml:space="preserve"> du BMT</w:t>
      </w:r>
      <w:r w:rsidR="008159DE" w:rsidRPr="000622D7">
        <w:rPr>
          <w:lang w:val="fr-FR" w:eastAsia="ja-JP"/>
        </w:rPr>
        <w:t>, qui se tiendra en</w:t>
      </w:r>
      <w:r w:rsidR="0090653E" w:rsidRPr="000622D7">
        <w:rPr>
          <w:lang w:val="fr-FR" w:eastAsia="ja-JP"/>
        </w:rPr>
        <w:t> </w:t>
      </w:r>
      <w:r w:rsidR="008159DE" w:rsidRPr="000622D7">
        <w:rPr>
          <w:lang w:val="fr-FR" w:eastAsia="ja-JP"/>
        </w:rPr>
        <w:t xml:space="preserve">2016, </w:t>
      </w:r>
      <w:r w:rsidR="005C211B" w:rsidRPr="000622D7">
        <w:rPr>
          <w:lang w:val="fr-FR" w:eastAsia="ja-JP"/>
        </w:rPr>
        <w:t>y compris</w:t>
      </w:r>
      <w:r w:rsidR="008159DE" w:rsidRPr="000622D7">
        <w:rPr>
          <w:lang w:val="fr-FR" w:eastAsia="ja-JP"/>
        </w:rPr>
        <w:t xml:space="preserve"> la tenue d</w:t>
      </w:r>
      <w:r w:rsidR="005C211B" w:rsidRPr="000622D7">
        <w:rPr>
          <w:lang w:val="fr-FR" w:eastAsia="ja-JP"/>
        </w:rPr>
        <w:t>’</w:t>
      </w:r>
      <w:r w:rsidR="008159DE" w:rsidRPr="000622D7">
        <w:rPr>
          <w:lang w:val="fr-FR" w:eastAsia="ja-JP"/>
        </w:rPr>
        <w:t>une journée spéciale (“Journée des obtenteurs”), en ce qui concerne les points de l</w:t>
      </w:r>
      <w:r w:rsidR="005C211B" w:rsidRPr="000622D7">
        <w:rPr>
          <w:lang w:val="fr-FR" w:eastAsia="ja-JP"/>
        </w:rPr>
        <w:t>’</w:t>
      </w:r>
      <w:r w:rsidR="008159DE" w:rsidRPr="000622D7">
        <w:rPr>
          <w:lang w:val="fr-FR" w:eastAsia="ja-JP"/>
        </w:rPr>
        <w:t>ordre du jour relatifs à l</w:t>
      </w:r>
      <w:r w:rsidR="005C211B" w:rsidRPr="000622D7">
        <w:rPr>
          <w:lang w:val="fr-FR" w:eastAsia="ja-JP"/>
        </w:rPr>
        <w:t>’</w:t>
      </w:r>
      <w:r w:rsidR="008159DE" w:rsidRPr="000622D7">
        <w:rPr>
          <w:lang w:val="fr-FR" w:eastAsia="ja-JP"/>
        </w:rPr>
        <w:t>utilisation de techniques moléculaires pour l</w:t>
      </w:r>
      <w:r w:rsidR="005C211B" w:rsidRPr="000622D7">
        <w:rPr>
          <w:lang w:val="fr-FR" w:eastAsia="ja-JP"/>
        </w:rPr>
        <w:t>’</w:t>
      </w:r>
      <w:r w:rsidR="008159DE" w:rsidRPr="000622D7">
        <w:rPr>
          <w:lang w:val="fr-FR" w:eastAsia="ja-JP"/>
        </w:rPr>
        <w:t>appréciation de la notion de variété essentiellement dérivée et pour l</w:t>
      </w:r>
      <w:r w:rsidR="005C211B" w:rsidRPr="000622D7">
        <w:rPr>
          <w:lang w:val="fr-FR" w:eastAsia="ja-JP"/>
        </w:rPr>
        <w:t>’</w:t>
      </w:r>
      <w:r w:rsidR="008159DE" w:rsidRPr="000622D7">
        <w:rPr>
          <w:lang w:val="fr-FR" w:eastAsia="ja-JP"/>
        </w:rPr>
        <w:t>identification des variétés comme indiqué au paragraphe</w:t>
      </w:r>
      <w:r w:rsidR="0090653E" w:rsidRPr="000622D7">
        <w:rPr>
          <w:lang w:val="fr-FR" w:eastAsia="ja-JP"/>
        </w:rPr>
        <w:t> </w:t>
      </w:r>
      <w:r w:rsidR="002D64DE" w:rsidRPr="000622D7">
        <w:rPr>
          <w:lang w:val="fr-FR" w:eastAsia="ja-JP"/>
        </w:rPr>
        <w:t xml:space="preserve">13 </w:t>
      </w:r>
      <w:r w:rsidR="008159DE" w:rsidRPr="000622D7">
        <w:rPr>
          <w:lang w:val="fr-FR" w:eastAsia="ja-JP"/>
        </w:rPr>
        <w:t>ci</w:t>
      </w:r>
      <w:r w:rsidR="007F1BBD" w:rsidRPr="000622D7">
        <w:rPr>
          <w:lang w:val="fr-FR" w:eastAsia="ja-JP"/>
        </w:rPr>
        <w:noBreakHyphen/>
      </w:r>
      <w:r w:rsidR="008159DE" w:rsidRPr="000622D7">
        <w:rPr>
          <w:lang w:val="fr-FR" w:eastAsia="ja-JP"/>
        </w:rPr>
        <w:t>dessus</w:t>
      </w:r>
      <w:r w:rsidR="000F5EFF" w:rsidRPr="000622D7">
        <w:rPr>
          <w:lang w:val="fr-FR" w:eastAsia="ja-JP"/>
        </w:rPr>
        <w:t xml:space="preserve"> </w:t>
      </w:r>
      <w:r w:rsidR="00CF392A" w:rsidRPr="000622D7">
        <w:rPr>
          <w:lang w:val="fr-FR" w:eastAsia="ja-JP"/>
        </w:rPr>
        <w:t>(</w:t>
      </w:r>
      <w:r w:rsidR="00103141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103141" w:rsidRPr="000622D7">
        <w:rPr>
          <w:lang w:val="fr-FR" w:eastAsia="ja-JP"/>
        </w:rPr>
        <w:t xml:space="preserve">176 du </w:t>
      </w:r>
      <w:r w:rsidR="005C211B" w:rsidRPr="000622D7">
        <w:rPr>
          <w:lang w:val="fr-FR" w:eastAsia="ja-JP"/>
        </w:rPr>
        <w:t>document TC</w:t>
      </w:r>
      <w:r w:rsidR="00103141" w:rsidRPr="000622D7">
        <w:rPr>
          <w:lang w:val="fr-FR" w:eastAsia="ja-JP"/>
        </w:rPr>
        <w:t>/51/39 “</w:t>
      </w:r>
      <w:r w:rsidR="00D33D88" w:rsidRPr="000622D7">
        <w:rPr>
          <w:i/>
          <w:lang w:val="fr-FR" w:eastAsia="ja-JP"/>
        </w:rPr>
        <w:t>Report</w:t>
      </w:r>
      <w:r w:rsidR="00103141" w:rsidRPr="000622D7">
        <w:rPr>
          <w:lang w:val="fr-FR" w:eastAsia="ja-JP"/>
        </w:rPr>
        <w:t>”</w:t>
      </w:r>
      <w:r w:rsidR="00CF392A" w:rsidRPr="000622D7">
        <w:rPr>
          <w:lang w:val="fr-FR" w:eastAsia="ja-JP"/>
        </w:rPr>
        <w:t>)</w:t>
      </w:r>
      <w:r w:rsidR="005A5314"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034D19" w:rsidRPr="000622D7" w:rsidRDefault="00B87AF3" w:rsidP="00F77193">
      <w:pPr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182167" w:rsidRPr="000622D7">
        <w:rPr>
          <w:lang w:val="fr-FR"/>
        </w:rPr>
        <w:t>La quinzième</w:t>
      </w:r>
      <w:r w:rsidR="0090653E" w:rsidRPr="000622D7">
        <w:rPr>
          <w:lang w:val="fr-FR"/>
        </w:rPr>
        <w:t> </w:t>
      </w:r>
      <w:r w:rsidR="00182167" w:rsidRPr="000622D7">
        <w:rPr>
          <w:lang w:val="fr-FR"/>
        </w:rPr>
        <w:t>session</w:t>
      </w:r>
      <w:r w:rsidR="005C211B" w:rsidRPr="000622D7">
        <w:rPr>
          <w:lang w:val="fr-FR"/>
        </w:rPr>
        <w:t xml:space="preserve"> du BMT</w:t>
      </w:r>
      <w:r w:rsidR="00182167" w:rsidRPr="000622D7">
        <w:rPr>
          <w:lang w:val="fr-FR"/>
        </w:rPr>
        <w:t xml:space="preserve"> se tiendra du 24 au 2</w:t>
      </w:r>
      <w:r w:rsidR="005C211B" w:rsidRPr="000622D7">
        <w:rPr>
          <w:lang w:val="fr-FR"/>
        </w:rPr>
        <w:t>7 mai 20</w:t>
      </w:r>
      <w:r w:rsidR="00182167" w:rsidRPr="000622D7">
        <w:rPr>
          <w:lang w:val="fr-FR"/>
        </w:rPr>
        <w:t>16 à Moscou (Fédération de Russie), un atelier préparatoire étant prévu le 2</w:t>
      </w:r>
      <w:r w:rsidR="005C211B" w:rsidRPr="000622D7">
        <w:rPr>
          <w:lang w:val="fr-FR"/>
        </w:rPr>
        <w:t>3 mai 20</w:t>
      </w:r>
      <w:r w:rsidR="00182167" w:rsidRPr="000622D7">
        <w:rPr>
          <w:lang w:val="fr-FR"/>
        </w:rPr>
        <w:t>16</w:t>
      </w:r>
      <w:r w:rsidRPr="000622D7">
        <w:rPr>
          <w:lang w:val="fr-FR" w:eastAsia="ja-JP"/>
        </w:rPr>
        <w:t>.</w:t>
      </w:r>
    </w:p>
    <w:p w:rsidR="00A94B4B" w:rsidRPr="000622D7" w:rsidRDefault="00A94B4B" w:rsidP="00F77193">
      <w:pPr>
        <w:pStyle w:val="Heading1"/>
        <w:rPr>
          <w:color w:val="auto"/>
        </w:rPr>
      </w:pPr>
    </w:p>
    <w:p w:rsidR="00A94B4B" w:rsidRPr="000622D7" w:rsidRDefault="00A94B4B" w:rsidP="00F77193">
      <w:pPr>
        <w:pStyle w:val="Heading1"/>
        <w:rPr>
          <w:color w:val="auto"/>
        </w:rPr>
      </w:pPr>
    </w:p>
    <w:p w:rsidR="00A94B4B" w:rsidRPr="000622D7" w:rsidRDefault="00A94B4B" w:rsidP="00F77193">
      <w:pPr>
        <w:pStyle w:val="Heading1"/>
        <w:rPr>
          <w:color w:val="auto"/>
        </w:rPr>
      </w:pPr>
      <w:bookmarkStart w:id="8" w:name="_Toc444674444"/>
      <w:r w:rsidRPr="000622D7">
        <w:rPr>
          <w:color w:val="auto"/>
        </w:rPr>
        <w:t>Atelier conjoint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OCDE,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UPOV et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ISTA sur les techniques moléculaires</w:t>
      </w:r>
      <w:bookmarkEnd w:id="8"/>
    </w:p>
    <w:p w:rsidR="00A94B4B" w:rsidRPr="000622D7" w:rsidRDefault="00A94B4B" w:rsidP="00F77193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A94B4B" w:rsidRPr="000622D7" w:rsidRDefault="00A94B4B" w:rsidP="00F77193">
      <w:pPr>
        <w:pStyle w:val="Heading2"/>
        <w:rPr>
          <w:color w:val="auto"/>
        </w:rPr>
      </w:pPr>
      <w:bookmarkStart w:id="9" w:name="_Toc444674445"/>
      <w:r w:rsidRPr="000622D7">
        <w:rPr>
          <w:color w:val="auto"/>
        </w:rPr>
        <w:t>Généralités</w:t>
      </w:r>
      <w:bookmarkEnd w:id="9"/>
    </w:p>
    <w:p w:rsidR="00A94B4B" w:rsidRPr="000622D7" w:rsidRDefault="00A94B4B" w:rsidP="00F77193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A94B4B" w:rsidRPr="000622D7" w:rsidRDefault="005A5314" w:rsidP="00F77193">
      <w:pPr>
        <w:autoSpaceDE w:val="0"/>
        <w:autoSpaceDN w:val="0"/>
        <w:adjustRightInd w:val="0"/>
        <w:rPr>
          <w:rFonts w:cs="Arial"/>
          <w:lang w:val="fr-FR" w:eastAsia="ja-JP"/>
        </w:rPr>
      </w:pPr>
      <w:r w:rsidRPr="000622D7">
        <w:rPr>
          <w:rFonts w:cs="Arial"/>
          <w:lang w:val="fr-FR" w:eastAsia="ja-JP"/>
        </w:rPr>
        <w:fldChar w:fldCharType="begin"/>
      </w:r>
      <w:r w:rsidRPr="000622D7">
        <w:rPr>
          <w:rFonts w:cs="Arial"/>
          <w:lang w:val="fr-FR" w:eastAsia="ja-JP"/>
        </w:rPr>
        <w:instrText xml:space="preserve"> AUTONUM  </w:instrText>
      </w:r>
      <w:r w:rsidRPr="000622D7">
        <w:rPr>
          <w:rFonts w:cs="Arial"/>
          <w:lang w:val="fr-FR" w:eastAsia="ja-JP"/>
        </w:rPr>
        <w:fldChar w:fldCharType="end"/>
      </w:r>
      <w:r w:rsidRPr="000622D7">
        <w:rPr>
          <w:rFonts w:cs="Arial"/>
          <w:lang w:val="fr-FR" w:eastAsia="ja-JP"/>
        </w:rPr>
        <w:tab/>
      </w:r>
      <w:r w:rsidR="00A85F35" w:rsidRPr="000622D7">
        <w:rPr>
          <w:rFonts w:cs="Arial"/>
          <w:lang w:val="fr-FR" w:eastAsia="ja-JP"/>
        </w:rPr>
        <w:t>L</w:t>
      </w:r>
      <w:r w:rsidR="005C211B" w:rsidRPr="000622D7">
        <w:rPr>
          <w:rFonts w:cs="Arial"/>
          <w:lang w:val="fr-FR" w:eastAsia="ja-JP"/>
        </w:rPr>
        <w:t>’</w:t>
      </w:r>
      <w:r w:rsidR="00A85F35" w:rsidRPr="000622D7">
        <w:rPr>
          <w:rFonts w:cs="Arial"/>
          <w:lang w:val="fr-FR" w:eastAsia="ja-JP"/>
        </w:rPr>
        <w:t>atelier organisé conjointement par l</w:t>
      </w:r>
      <w:r w:rsidR="005C211B" w:rsidRPr="000622D7">
        <w:rPr>
          <w:rFonts w:cs="Arial"/>
          <w:lang w:val="fr-FR" w:eastAsia="ja-JP"/>
        </w:rPr>
        <w:t>’</w:t>
      </w:r>
      <w:r w:rsidR="00A85F35" w:rsidRPr="000622D7">
        <w:rPr>
          <w:rFonts w:cs="Arial"/>
          <w:lang w:val="fr-FR" w:eastAsia="ja-JP"/>
        </w:rPr>
        <w:t>OCDE, l</w:t>
      </w:r>
      <w:r w:rsidR="005C211B" w:rsidRPr="000622D7">
        <w:rPr>
          <w:rFonts w:cs="Arial"/>
          <w:lang w:val="fr-FR" w:eastAsia="ja-JP"/>
        </w:rPr>
        <w:t>’</w:t>
      </w:r>
      <w:r w:rsidRPr="000622D7">
        <w:rPr>
          <w:rFonts w:cs="Arial"/>
          <w:lang w:val="fr-FR" w:eastAsia="ja-JP"/>
        </w:rPr>
        <w:t>UPOV</w:t>
      </w:r>
      <w:r w:rsidR="00A85F35" w:rsidRPr="000622D7">
        <w:rPr>
          <w:rFonts w:cs="Arial"/>
          <w:lang w:val="fr-FR" w:eastAsia="ja-JP"/>
        </w:rPr>
        <w:t xml:space="preserve"> et l</w:t>
      </w:r>
      <w:r w:rsidR="005C211B" w:rsidRPr="000622D7">
        <w:rPr>
          <w:rFonts w:cs="Arial"/>
          <w:lang w:val="fr-FR" w:eastAsia="ja-JP"/>
        </w:rPr>
        <w:t>’</w:t>
      </w:r>
      <w:r w:rsidRPr="000622D7">
        <w:rPr>
          <w:rFonts w:cs="Arial"/>
          <w:lang w:val="fr-FR" w:eastAsia="ja-JP"/>
        </w:rPr>
        <w:t xml:space="preserve">ISTA </w:t>
      </w:r>
      <w:r w:rsidR="00A85F35" w:rsidRPr="000622D7">
        <w:rPr>
          <w:rFonts w:cs="Arial"/>
          <w:lang w:val="fr-FR" w:eastAsia="ja-JP"/>
        </w:rPr>
        <w:t>s</w:t>
      </w:r>
      <w:r w:rsidR="005C211B" w:rsidRPr="000622D7">
        <w:rPr>
          <w:rFonts w:cs="Arial"/>
          <w:lang w:val="fr-FR" w:eastAsia="ja-JP"/>
        </w:rPr>
        <w:t>’</w:t>
      </w:r>
      <w:r w:rsidR="00A85F35" w:rsidRPr="000622D7">
        <w:rPr>
          <w:rFonts w:cs="Arial"/>
          <w:lang w:val="fr-FR" w:eastAsia="ja-JP"/>
        </w:rPr>
        <w:t xml:space="preserve">est tenu </w:t>
      </w:r>
      <w:r w:rsidR="00891BBE" w:rsidRPr="000622D7">
        <w:rPr>
          <w:rFonts w:cs="Arial"/>
          <w:lang w:val="fr-FR" w:eastAsia="ja-JP"/>
        </w:rPr>
        <w:t>le 1</w:t>
      </w:r>
      <w:r w:rsidR="005C211B" w:rsidRPr="000622D7">
        <w:rPr>
          <w:rFonts w:cs="Arial"/>
          <w:lang w:val="fr-FR" w:eastAsia="ja-JP"/>
        </w:rPr>
        <w:t>2 novembre 20</w:t>
      </w:r>
      <w:r w:rsidR="00891BBE" w:rsidRPr="000622D7">
        <w:rPr>
          <w:rFonts w:cs="Arial"/>
          <w:lang w:val="fr-FR" w:eastAsia="ja-JP"/>
        </w:rPr>
        <w:t xml:space="preserve">14 </w:t>
      </w:r>
      <w:r w:rsidR="00A85F35" w:rsidRPr="000622D7">
        <w:rPr>
          <w:rFonts w:cs="Arial"/>
          <w:lang w:val="fr-FR" w:eastAsia="ja-JP"/>
        </w:rPr>
        <w:t xml:space="preserve">à </w:t>
      </w:r>
      <w:r w:rsidR="00891BBE" w:rsidRPr="000622D7">
        <w:rPr>
          <w:rFonts w:cs="Arial"/>
          <w:lang w:val="fr-FR" w:eastAsia="ja-JP"/>
        </w:rPr>
        <w:t xml:space="preserve">Séoul (République de Corée), parallèlement à la </w:t>
      </w:r>
      <w:r w:rsidR="00767108" w:rsidRPr="000622D7">
        <w:rPr>
          <w:rFonts w:cs="Arial"/>
          <w:lang w:val="fr-FR" w:eastAsia="ja-JP"/>
        </w:rPr>
        <w:t>quatorzième</w:t>
      </w:r>
      <w:r w:rsidR="0090653E" w:rsidRPr="000622D7">
        <w:rPr>
          <w:rFonts w:cs="Arial"/>
          <w:lang w:val="fr-FR" w:eastAsia="ja-JP"/>
        </w:rPr>
        <w:t> </w:t>
      </w:r>
      <w:r w:rsidR="00891BBE" w:rsidRPr="000622D7">
        <w:rPr>
          <w:rFonts w:cs="Arial"/>
          <w:lang w:val="fr-FR" w:eastAsia="ja-JP"/>
        </w:rPr>
        <w:t>session</w:t>
      </w:r>
      <w:r w:rsidR="005C211B" w:rsidRPr="000622D7">
        <w:rPr>
          <w:rFonts w:cs="Arial"/>
          <w:lang w:val="fr-FR" w:eastAsia="ja-JP"/>
        </w:rPr>
        <w:t xml:space="preserve"> du BMT</w:t>
      </w:r>
      <w:r w:rsidR="00767108" w:rsidRPr="000622D7">
        <w:rPr>
          <w:rFonts w:cs="Arial"/>
          <w:lang w:val="fr-FR" w:eastAsia="ja-JP"/>
        </w:rPr>
        <w:t xml:space="preserve"> qui s</w:t>
      </w:r>
      <w:r w:rsidR="005C211B" w:rsidRPr="000622D7">
        <w:rPr>
          <w:rFonts w:cs="Arial"/>
          <w:lang w:val="fr-FR" w:eastAsia="ja-JP"/>
        </w:rPr>
        <w:t>’</w:t>
      </w:r>
      <w:r w:rsidR="00767108" w:rsidRPr="000622D7">
        <w:rPr>
          <w:rFonts w:cs="Arial"/>
          <w:lang w:val="fr-FR" w:eastAsia="ja-JP"/>
        </w:rPr>
        <w:t>e</w:t>
      </w:r>
      <w:r w:rsidR="002239ED" w:rsidRPr="000622D7">
        <w:rPr>
          <w:rFonts w:cs="Arial"/>
          <w:lang w:val="fr-FR" w:eastAsia="ja-JP"/>
        </w:rPr>
        <w:t>s</w:t>
      </w:r>
      <w:r w:rsidR="00767108" w:rsidRPr="000622D7">
        <w:rPr>
          <w:rFonts w:cs="Arial"/>
          <w:lang w:val="fr-FR" w:eastAsia="ja-JP"/>
        </w:rPr>
        <w:t>t tenue à Séoul (République de Corée)</w:t>
      </w:r>
      <w:r w:rsidR="00891BBE" w:rsidRPr="000622D7">
        <w:rPr>
          <w:rFonts w:cs="Arial"/>
          <w:lang w:val="fr-FR" w:eastAsia="ja-JP"/>
        </w:rPr>
        <w:t xml:space="preserve"> </w:t>
      </w:r>
      <w:r w:rsidR="00767108" w:rsidRPr="000622D7">
        <w:rPr>
          <w:rFonts w:cs="Arial"/>
          <w:lang w:val="fr-FR" w:eastAsia="ja-JP"/>
        </w:rPr>
        <w:t>du 10 au 1</w:t>
      </w:r>
      <w:r w:rsidR="005C211B" w:rsidRPr="000622D7">
        <w:rPr>
          <w:rFonts w:cs="Arial"/>
          <w:lang w:val="fr-FR" w:eastAsia="ja-JP"/>
        </w:rPr>
        <w:t>3 novembre</w:t>
      </w:r>
      <w:r w:rsidR="00767108" w:rsidRPr="000622D7">
        <w:rPr>
          <w:rFonts w:cs="Arial"/>
          <w:lang w:val="fr-FR" w:eastAsia="ja-JP"/>
        </w:rPr>
        <w:t xml:space="preserve"> </w:t>
      </w:r>
      <w:r w:rsidRPr="000622D7">
        <w:rPr>
          <w:lang w:val="fr-FR" w:eastAsia="ja-JP"/>
        </w:rPr>
        <w:t>(</w:t>
      </w:r>
      <w:r w:rsidR="00103141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103141" w:rsidRPr="000622D7">
        <w:rPr>
          <w:lang w:val="fr-FR" w:eastAsia="ja-JP"/>
        </w:rPr>
        <w:t xml:space="preserve">23 du </w:t>
      </w:r>
      <w:r w:rsidR="005C211B" w:rsidRPr="000622D7">
        <w:rPr>
          <w:lang w:val="fr-FR" w:eastAsia="ja-JP"/>
        </w:rPr>
        <w:t>document TC</w:t>
      </w:r>
      <w:r w:rsidR="00967457" w:rsidRPr="000622D7">
        <w:rPr>
          <w:lang w:val="fr-FR" w:eastAsia="ja-JP"/>
        </w:rPr>
        <w:t>/51/11 </w:t>
      </w:r>
      <w:proofErr w:type="spellStart"/>
      <w:r w:rsidR="00103141" w:rsidRPr="000622D7">
        <w:rPr>
          <w:lang w:val="fr-FR" w:eastAsia="ja-JP"/>
        </w:rPr>
        <w:t>Rev</w:t>
      </w:r>
      <w:proofErr w:type="spellEnd"/>
      <w:r w:rsidR="00103141" w:rsidRPr="000622D7">
        <w:rPr>
          <w:lang w:val="fr-FR" w:eastAsia="ja-JP"/>
        </w:rPr>
        <w:t>. “Techniques moléculaires</w:t>
      </w:r>
      <w:r w:rsidRPr="000622D7">
        <w:rPr>
          <w:lang w:val="fr-FR" w:eastAsia="ja-JP"/>
        </w:rPr>
        <w:t>”).</w:t>
      </w:r>
    </w:p>
    <w:p w:rsidR="00A94B4B" w:rsidRPr="000622D7" w:rsidRDefault="00A94B4B" w:rsidP="00F77193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A94B4B" w:rsidRPr="000622D7" w:rsidRDefault="005A5314" w:rsidP="00F77193">
      <w:pPr>
        <w:autoSpaceDE w:val="0"/>
        <w:autoSpaceDN w:val="0"/>
        <w:adjustRightInd w:val="0"/>
        <w:rPr>
          <w:rFonts w:cs="Arial"/>
          <w:lang w:val="fr-FR" w:eastAsia="ja-JP"/>
        </w:rPr>
      </w:pPr>
      <w:r w:rsidRPr="000622D7">
        <w:rPr>
          <w:rFonts w:cs="Arial"/>
          <w:lang w:val="fr-FR" w:eastAsia="ja-JP"/>
        </w:rPr>
        <w:fldChar w:fldCharType="begin"/>
      </w:r>
      <w:r w:rsidRPr="000622D7">
        <w:rPr>
          <w:rFonts w:cs="Arial"/>
          <w:lang w:val="fr-FR" w:eastAsia="ja-JP"/>
        </w:rPr>
        <w:instrText xml:space="preserve"> AUTONUM  </w:instrText>
      </w:r>
      <w:r w:rsidRPr="000622D7">
        <w:rPr>
          <w:rFonts w:cs="Arial"/>
          <w:lang w:val="fr-FR" w:eastAsia="ja-JP"/>
        </w:rPr>
        <w:fldChar w:fldCharType="end"/>
      </w:r>
      <w:r w:rsidRPr="000622D7">
        <w:rPr>
          <w:rFonts w:cs="Arial"/>
          <w:lang w:val="fr-FR" w:eastAsia="ja-JP"/>
        </w:rPr>
        <w:tab/>
      </w:r>
      <w:r w:rsidR="002239ED" w:rsidRPr="000622D7">
        <w:rPr>
          <w:rFonts w:cs="Arial"/>
          <w:lang w:val="fr-FR" w:eastAsia="ja-JP"/>
        </w:rPr>
        <w:t>Les documents présentés au titre des points de l</w:t>
      </w:r>
      <w:r w:rsidR="005C211B" w:rsidRPr="000622D7">
        <w:rPr>
          <w:rFonts w:cs="Arial"/>
          <w:lang w:val="fr-FR" w:eastAsia="ja-JP"/>
        </w:rPr>
        <w:t>’</w:t>
      </w:r>
      <w:r w:rsidR="002239ED" w:rsidRPr="000622D7">
        <w:rPr>
          <w:rFonts w:cs="Arial"/>
          <w:lang w:val="fr-FR" w:eastAsia="ja-JP"/>
        </w:rPr>
        <w:t>ordre du jour de l</w:t>
      </w:r>
      <w:r w:rsidR="005C211B" w:rsidRPr="000622D7">
        <w:rPr>
          <w:rFonts w:cs="Arial"/>
          <w:lang w:val="fr-FR" w:eastAsia="ja-JP"/>
        </w:rPr>
        <w:t>’</w:t>
      </w:r>
      <w:r w:rsidR="002239ED" w:rsidRPr="000622D7">
        <w:rPr>
          <w:rFonts w:cs="Arial"/>
          <w:lang w:val="fr-FR" w:eastAsia="ja-JP"/>
        </w:rPr>
        <w:t>Atelier conjoint de l</w:t>
      </w:r>
      <w:r w:rsidR="005C211B" w:rsidRPr="000622D7">
        <w:rPr>
          <w:rFonts w:cs="Arial"/>
          <w:lang w:val="fr-FR" w:eastAsia="ja-JP"/>
        </w:rPr>
        <w:t>’</w:t>
      </w:r>
      <w:r w:rsidR="002239ED" w:rsidRPr="000622D7">
        <w:rPr>
          <w:rFonts w:cs="Arial"/>
          <w:lang w:val="fr-FR" w:eastAsia="ja-JP"/>
        </w:rPr>
        <w:t>OCDE, de l</w:t>
      </w:r>
      <w:r w:rsidR="005C211B" w:rsidRPr="000622D7">
        <w:rPr>
          <w:rFonts w:cs="Arial"/>
          <w:lang w:val="fr-FR" w:eastAsia="ja-JP"/>
        </w:rPr>
        <w:t>’</w:t>
      </w:r>
      <w:r w:rsidR="002239ED" w:rsidRPr="000622D7">
        <w:rPr>
          <w:rFonts w:cs="Arial"/>
          <w:lang w:val="fr-FR" w:eastAsia="ja-JP"/>
        </w:rPr>
        <w:t>UPOV et de l</w:t>
      </w:r>
      <w:r w:rsidR="005C211B" w:rsidRPr="000622D7">
        <w:rPr>
          <w:rFonts w:cs="Arial"/>
          <w:lang w:val="fr-FR" w:eastAsia="ja-JP"/>
        </w:rPr>
        <w:t>’</w:t>
      </w:r>
      <w:r w:rsidR="002239ED" w:rsidRPr="000622D7">
        <w:rPr>
          <w:rFonts w:cs="Arial"/>
          <w:lang w:val="fr-FR" w:eastAsia="ja-JP"/>
        </w:rPr>
        <w:t>ISTA étaient les suivants</w:t>
      </w:r>
      <w:r w:rsidR="00DE040B" w:rsidRPr="000622D7">
        <w:rPr>
          <w:rFonts w:cs="Arial"/>
          <w:lang w:val="fr-FR" w:eastAsia="ja-JP"/>
        </w:rPr>
        <w:t xml:space="preserve"> </w:t>
      </w:r>
      <w:r w:rsidR="00DE040B" w:rsidRPr="000622D7">
        <w:rPr>
          <w:lang w:val="fr-FR" w:eastAsia="ja-JP"/>
        </w:rPr>
        <w:t>(</w:t>
      </w:r>
      <w:r w:rsidR="00103141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103141" w:rsidRPr="000622D7">
        <w:rPr>
          <w:lang w:val="fr-FR" w:eastAsia="ja-JP"/>
        </w:rPr>
        <w:t xml:space="preserve">24 du </w:t>
      </w:r>
      <w:r w:rsidR="005C211B" w:rsidRPr="000622D7">
        <w:rPr>
          <w:lang w:val="fr-FR" w:eastAsia="ja-JP"/>
        </w:rPr>
        <w:t>document TC</w:t>
      </w:r>
      <w:r w:rsidR="00103141" w:rsidRPr="000622D7">
        <w:rPr>
          <w:lang w:val="fr-FR" w:eastAsia="ja-JP"/>
        </w:rPr>
        <w:t>/51/11 </w:t>
      </w:r>
      <w:proofErr w:type="spellStart"/>
      <w:r w:rsidR="00103141" w:rsidRPr="000622D7">
        <w:rPr>
          <w:lang w:val="fr-FR" w:eastAsia="ja-JP"/>
        </w:rPr>
        <w:t>Rev</w:t>
      </w:r>
      <w:proofErr w:type="spellEnd"/>
      <w:r w:rsidR="00103141" w:rsidRPr="000622D7">
        <w:rPr>
          <w:lang w:val="fr-FR" w:eastAsia="ja-JP"/>
        </w:rPr>
        <w:t>. “Techniques moléculaires”)</w:t>
      </w:r>
      <w:r w:rsidR="00DE040B"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034D19" w:rsidRPr="000622D7" w:rsidRDefault="00A94B4B" w:rsidP="00F77193">
      <w:pPr>
        <w:ind w:left="567"/>
        <w:rPr>
          <w:i/>
          <w:lang w:val="fr-FR"/>
        </w:rPr>
      </w:pPr>
      <w:r w:rsidRPr="000622D7">
        <w:rPr>
          <w:i/>
          <w:lang w:val="fr-FR"/>
        </w:rPr>
        <w:t xml:space="preserve">Introduction to the OECD </w:t>
      </w:r>
      <w:proofErr w:type="spellStart"/>
      <w:r w:rsidRPr="000622D7">
        <w:rPr>
          <w:i/>
          <w:lang w:val="fr-FR"/>
        </w:rPr>
        <w:t>Seed</w:t>
      </w:r>
      <w:proofErr w:type="spellEnd"/>
      <w:r w:rsidRPr="000622D7">
        <w:rPr>
          <w:i/>
          <w:lang w:val="fr-FR"/>
        </w:rPr>
        <w:t xml:space="preserve"> </w:t>
      </w:r>
      <w:proofErr w:type="spellStart"/>
      <w:r w:rsidRPr="000622D7">
        <w:rPr>
          <w:i/>
          <w:lang w:val="fr-FR"/>
        </w:rPr>
        <w:t>Schemes</w:t>
      </w:r>
      <w:proofErr w:type="spellEnd"/>
      <w:r w:rsidRPr="000622D7">
        <w:rPr>
          <w:i/>
          <w:lang w:val="fr-FR"/>
        </w:rPr>
        <w:t xml:space="preserve"> and the Situation </w:t>
      </w:r>
      <w:proofErr w:type="spellStart"/>
      <w:r w:rsidRPr="000622D7">
        <w:rPr>
          <w:i/>
          <w:lang w:val="fr-FR"/>
        </w:rPr>
        <w:t>with</w:t>
      </w:r>
      <w:proofErr w:type="spellEnd"/>
      <w:r w:rsidRPr="000622D7">
        <w:rPr>
          <w:i/>
          <w:lang w:val="fr-FR"/>
        </w:rPr>
        <w:t xml:space="preserve"> Regard to </w:t>
      </w:r>
      <w:proofErr w:type="spellStart"/>
      <w:r w:rsidRPr="000622D7">
        <w:rPr>
          <w:i/>
          <w:lang w:val="fr-FR"/>
        </w:rPr>
        <w:t>Molecular</w:t>
      </w:r>
      <w:proofErr w:type="spellEnd"/>
      <w:r w:rsidRPr="000622D7">
        <w:rPr>
          <w:i/>
          <w:lang w:val="fr-FR"/>
        </w:rPr>
        <w:t xml:space="preserve"> Techniques</w:t>
      </w:r>
    </w:p>
    <w:p w:rsidR="00A94B4B" w:rsidRPr="000622D7" w:rsidRDefault="00A94B4B" w:rsidP="00F77193">
      <w:pPr>
        <w:ind w:left="567"/>
        <w:rPr>
          <w:i/>
          <w:lang w:val="fr-FR"/>
        </w:rPr>
      </w:pPr>
      <w:r w:rsidRPr="000622D7">
        <w:rPr>
          <w:i/>
          <w:lang w:val="fr-FR"/>
        </w:rPr>
        <w:t>(</w:t>
      </w:r>
      <w:proofErr w:type="gramStart"/>
      <w:r w:rsidRPr="000622D7">
        <w:rPr>
          <w:i/>
          <w:lang w:val="fr-FR"/>
        </w:rPr>
        <w:t>document</w:t>
      </w:r>
      <w:proofErr w:type="gramEnd"/>
      <w:r w:rsidRPr="000622D7">
        <w:rPr>
          <w:i/>
          <w:lang w:val="fr-FR"/>
        </w:rPr>
        <w:t xml:space="preserve"> BMT/14/Joint/6)</w:t>
      </w:r>
    </w:p>
    <w:p w:rsidR="00A94B4B" w:rsidRPr="000622D7" w:rsidRDefault="00A94B4B" w:rsidP="00F77193">
      <w:pPr>
        <w:ind w:left="567"/>
        <w:rPr>
          <w:i/>
          <w:lang w:val="fr-FR"/>
        </w:rPr>
      </w:pPr>
    </w:p>
    <w:p w:rsidR="00034D19" w:rsidRPr="000622D7" w:rsidRDefault="00A94B4B" w:rsidP="00F77193">
      <w:pPr>
        <w:ind w:left="567"/>
        <w:rPr>
          <w:i/>
          <w:lang w:val="fr-FR"/>
        </w:rPr>
      </w:pPr>
      <w:r w:rsidRPr="000622D7">
        <w:rPr>
          <w:i/>
          <w:lang w:val="fr-FR"/>
        </w:rPr>
        <w:t xml:space="preserve">Introduction to UPOV and the Situation </w:t>
      </w:r>
      <w:proofErr w:type="spellStart"/>
      <w:r w:rsidRPr="000622D7">
        <w:rPr>
          <w:i/>
          <w:lang w:val="fr-FR"/>
        </w:rPr>
        <w:t>with</w:t>
      </w:r>
      <w:proofErr w:type="spellEnd"/>
      <w:r w:rsidRPr="000622D7">
        <w:rPr>
          <w:i/>
          <w:lang w:val="fr-FR"/>
        </w:rPr>
        <w:t xml:space="preserve"> Regard to </w:t>
      </w:r>
      <w:proofErr w:type="spellStart"/>
      <w:r w:rsidRPr="000622D7">
        <w:rPr>
          <w:i/>
          <w:lang w:val="fr-FR"/>
        </w:rPr>
        <w:t>Molecular</w:t>
      </w:r>
      <w:proofErr w:type="spellEnd"/>
      <w:r w:rsidRPr="000622D7">
        <w:rPr>
          <w:i/>
          <w:lang w:val="fr-FR"/>
        </w:rPr>
        <w:t xml:space="preserve"> Techniques</w:t>
      </w:r>
    </w:p>
    <w:p w:rsidR="00A94B4B" w:rsidRPr="000622D7" w:rsidRDefault="00A94B4B" w:rsidP="00F77193">
      <w:pPr>
        <w:ind w:left="567"/>
        <w:rPr>
          <w:i/>
          <w:lang w:val="fr-FR"/>
        </w:rPr>
      </w:pPr>
      <w:r w:rsidRPr="000622D7">
        <w:rPr>
          <w:i/>
          <w:lang w:val="fr-FR"/>
        </w:rPr>
        <w:t>(</w:t>
      </w:r>
      <w:proofErr w:type="gramStart"/>
      <w:r w:rsidRPr="000622D7">
        <w:rPr>
          <w:i/>
          <w:lang w:val="fr-FR"/>
        </w:rPr>
        <w:t>document</w:t>
      </w:r>
      <w:proofErr w:type="gramEnd"/>
      <w:r w:rsidRPr="000622D7">
        <w:rPr>
          <w:i/>
          <w:lang w:val="fr-FR"/>
        </w:rPr>
        <w:t xml:space="preserve"> BMT/14/Joint/4</w:t>
      </w:r>
      <w:r w:rsidR="00CF2B96" w:rsidRPr="000622D7">
        <w:rPr>
          <w:lang w:val="fr-FR"/>
        </w:rPr>
        <w:t> </w:t>
      </w:r>
      <w:proofErr w:type="spellStart"/>
      <w:r w:rsidRPr="000622D7">
        <w:rPr>
          <w:lang w:val="fr-FR"/>
        </w:rPr>
        <w:t>Rev</w:t>
      </w:r>
      <w:proofErr w:type="spellEnd"/>
      <w:r w:rsidRPr="000622D7">
        <w:rPr>
          <w:lang w:val="fr-FR"/>
        </w:rPr>
        <w:t>.</w:t>
      </w:r>
      <w:r w:rsidRPr="000622D7">
        <w:rPr>
          <w:i/>
          <w:lang w:val="fr-FR"/>
        </w:rPr>
        <w:t>)</w:t>
      </w:r>
    </w:p>
    <w:p w:rsidR="00A94B4B" w:rsidRPr="000622D7" w:rsidRDefault="00A94B4B" w:rsidP="00F77193">
      <w:pPr>
        <w:ind w:left="567"/>
        <w:rPr>
          <w:i/>
          <w:lang w:val="fr-FR"/>
        </w:rPr>
      </w:pPr>
    </w:p>
    <w:p w:rsidR="00034D19" w:rsidRPr="000622D7" w:rsidRDefault="00A94B4B" w:rsidP="00F77193">
      <w:pPr>
        <w:ind w:left="567"/>
        <w:rPr>
          <w:i/>
          <w:lang w:val="fr-FR"/>
        </w:rPr>
      </w:pPr>
      <w:bookmarkStart w:id="10" w:name="_Toc410822417"/>
      <w:bookmarkStart w:id="11" w:name="_Toc410822813"/>
      <w:bookmarkStart w:id="12" w:name="_Toc410823320"/>
      <w:r w:rsidRPr="000622D7">
        <w:rPr>
          <w:i/>
          <w:lang w:val="fr-FR"/>
        </w:rPr>
        <w:t xml:space="preserve">Introduction to ISTA and the Situation </w:t>
      </w:r>
      <w:proofErr w:type="spellStart"/>
      <w:r w:rsidRPr="000622D7">
        <w:rPr>
          <w:i/>
          <w:lang w:val="fr-FR"/>
        </w:rPr>
        <w:t>with</w:t>
      </w:r>
      <w:proofErr w:type="spellEnd"/>
      <w:r w:rsidRPr="000622D7">
        <w:rPr>
          <w:i/>
          <w:lang w:val="fr-FR"/>
        </w:rPr>
        <w:t xml:space="preserve"> Regard to </w:t>
      </w:r>
      <w:proofErr w:type="spellStart"/>
      <w:r w:rsidRPr="000622D7">
        <w:rPr>
          <w:i/>
          <w:lang w:val="fr-FR"/>
        </w:rPr>
        <w:t>Molecular</w:t>
      </w:r>
      <w:proofErr w:type="spellEnd"/>
      <w:r w:rsidRPr="000622D7">
        <w:rPr>
          <w:i/>
          <w:lang w:val="fr-FR"/>
        </w:rPr>
        <w:t xml:space="preserve"> Techniques</w:t>
      </w:r>
    </w:p>
    <w:bookmarkEnd w:id="10"/>
    <w:bookmarkEnd w:id="11"/>
    <w:bookmarkEnd w:id="12"/>
    <w:p w:rsidR="00A94B4B" w:rsidRPr="000622D7" w:rsidRDefault="00A94B4B" w:rsidP="00F77193">
      <w:pPr>
        <w:ind w:left="567"/>
        <w:rPr>
          <w:i/>
          <w:lang w:val="fr-FR"/>
        </w:rPr>
      </w:pPr>
      <w:r w:rsidRPr="000622D7">
        <w:rPr>
          <w:i/>
          <w:lang w:val="fr-FR"/>
        </w:rPr>
        <w:t>(document/BMT/14/Joint/3</w:t>
      </w:r>
      <w:r w:rsidR="00CF2B96" w:rsidRPr="000622D7">
        <w:rPr>
          <w:lang w:val="fr-FR"/>
        </w:rPr>
        <w:t> </w:t>
      </w:r>
      <w:proofErr w:type="spellStart"/>
      <w:r w:rsidRPr="000622D7">
        <w:rPr>
          <w:lang w:val="fr-FR"/>
        </w:rPr>
        <w:t>Rev</w:t>
      </w:r>
      <w:proofErr w:type="spellEnd"/>
      <w:r w:rsidRPr="000622D7">
        <w:rPr>
          <w:lang w:val="fr-FR"/>
        </w:rPr>
        <w:t>.</w:t>
      </w:r>
      <w:r w:rsidRPr="000622D7">
        <w:rPr>
          <w:i/>
          <w:lang w:val="fr-FR"/>
        </w:rPr>
        <w:t>)</w:t>
      </w:r>
    </w:p>
    <w:p w:rsidR="00A94B4B" w:rsidRPr="000622D7" w:rsidRDefault="00A94B4B" w:rsidP="00F77193">
      <w:pPr>
        <w:ind w:left="567"/>
        <w:rPr>
          <w:i/>
          <w:lang w:val="fr-FR"/>
        </w:rPr>
      </w:pPr>
    </w:p>
    <w:p w:rsidR="00A94B4B" w:rsidRPr="000622D7" w:rsidRDefault="00A94B4B" w:rsidP="00F77193">
      <w:pPr>
        <w:ind w:left="567"/>
        <w:rPr>
          <w:i/>
          <w:lang w:val="fr-FR"/>
        </w:rPr>
      </w:pPr>
      <w:r w:rsidRPr="000622D7">
        <w:rPr>
          <w:i/>
          <w:lang w:val="fr-FR"/>
        </w:rPr>
        <w:t xml:space="preserve">Introduction to ISO and the Situation </w:t>
      </w:r>
      <w:proofErr w:type="spellStart"/>
      <w:r w:rsidRPr="000622D7">
        <w:rPr>
          <w:i/>
          <w:lang w:val="fr-FR"/>
        </w:rPr>
        <w:t>with</w:t>
      </w:r>
      <w:proofErr w:type="spellEnd"/>
      <w:r w:rsidRPr="000622D7">
        <w:rPr>
          <w:i/>
          <w:lang w:val="fr-FR"/>
        </w:rPr>
        <w:t xml:space="preserve"> Regard to </w:t>
      </w:r>
      <w:proofErr w:type="spellStart"/>
      <w:r w:rsidRPr="000622D7">
        <w:rPr>
          <w:i/>
          <w:lang w:val="fr-FR"/>
        </w:rPr>
        <w:t>Molecular</w:t>
      </w:r>
      <w:proofErr w:type="spellEnd"/>
      <w:r w:rsidRPr="000622D7">
        <w:rPr>
          <w:i/>
          <w:lang w:val="fr-FR"/>
        </w:rPr>
        <w:t xml:space="preserve"> Techniques (document BMT/14/Joint/2)</w:t>
      </w:r>
    </w:p>
    <w:p w:rsidR="00A94B4B" w:rsidRPr="000622D7" w:rsidRDefault="00A94B4B" w:rsidP="00F77193">
      <w:pPr>
        <w:ind w:left="567"/>
        <w:rPr>
          <w:i/>
          <w:lang w:val="fr-FR"/>
        </w:rPr>
      </w:pPr>
    </w:p>
    <w:p w:rsidR="00A94B4B" w:rsidRPr="000622D7" w:rsidRDefault="00A94B4B" w:rsidP="00F77193">
      <w:pPr>
        <w:ind w:left="567"/>
        <w:rPr>
          <w:i/>
          <w:lang w:val="fr-FR"/>
        </w:rPr>
      </w:pPr>
      <w:proofErr w:type="spellStart"/>
      <w:r w:rsidRPr="000622D7">
        <w:rPr>
          <w:i/>
          <w:lang w:val="fr-FR"/>
        </w:rPr>
        <w:t>Existing</w:t>
      </w:r>
      <w:proofErr w:type="spellEnd"/>
      <w:r w:rsidRPr="000622D7">
        <w:rPr>
          <w:i/>
          <w:lang w:val="fr-FR"/>
        </w:rPr>
        <w:t xml:space="preserve"> Areas of </w:t>
      </w:r>
      <w:proofErr w:type="spellStart"/>
      <w:r w:rsidRPr="000622D7">
        <w:rPr>
          <w:i/>
          <w:lang w:val="fr-FR"/>
        </w:rPr>
        <w:t>Cooperation</w:t>
      </w:r>
      <w:proofErr w:type="spellEnd"/>
      <w:r w:rsidRPr="000622D7">
        <w:rPr>
          <w:i/>
          <w:lang w:val="fr-FR"/>
        </w:rPr>
        <w:t xml:space="preserve"> </w:t>
      </w:r>
      <w:proofErr w:type="spellStart"/>
      <w:r w:rsidRPr="000622D7">
        <w:rPr>
          <w:i/>
          <w:lang w:val="fr-FR"/>
        </w:rPr>
        <w:t>between</w:t>
      </w:r>
      <w:proofErr w:type="spellEnd"/>
      <w:r w:rsidRPr="000622D7">
        <w:rPr>
          <w:i/>
          <w:lang w:val="fr-FR"/>
        </w:rPr>
        <w:t xml:space="preserve"> OECD, UPOV and ISTA (document/BMT/14/Joint/5)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5A5314" w:rsidP="00F77193">
      <w:pPr>
        <w:rPr>
          <w:rFonts w:cs="Arial"/>
          <w:lang w:val="fr-FR" w:eastAsia="ja-JP"/>
        </w:rPr>
      </w:pPr>
      <w:r w:rsidRPr="000622D7">
        <w:rPr>
          <w:rFonts w:cs="Arial"/>
          <w:lang w:val="fr-FR"/>
        </w:rPr>
        <w:fldChar w:fldCharType="begin"/>
      </w:r>
      <w:r w:rsidRPr="000622D7">
        <w:rPr>
          <w:rFonts w:cs="Arial"/>
          <w:lang w:val="fr-FR"/>
        </w:rPr>
        <w:instrText xml:space="preserve"> AUTONUM  </w:instrText>
      </w:r>
      <w:r w:rsidRPr="000622D7">
        <w:rPr>
          <w:rFonts w:cs="Arial"/>
          <w:lang w:val="fr-FR"/>
        </w:rPr>
        <w:fldChar w:fldCharType="end"/>
      </w:r>
      <w:r w:rsidRPr="000622D7">
        <w:rPr>
          <w:rFonts w:cs="Arial"/>
          <w:lang w:val="fr-FR"/>
        </w:rPr>
        <w:tab/>
      </w:r>
      <w:r w:rsidR="00A94B4B" w:rsidRPr="000622D7">
        <w:rPr>
          <w:rFonts w:cs="Arial"/>
          <w:lang w:val="fr-FR"/>
        </w:rPr>
        <w:t xml:space="preserve">Les participants </w:t>
      </w:r>
      <w:r w:rsidR="00F77193" w:rsidRPr="000622D7">
        <w:rPr>
          <w:rFonts w:cs="Arial"/>
          <w:lang w:val="fr-FR"/>
        </w:rPr>
        <w:t>s</w:t>
      </w:r>
      <w:r w:rsidR="00A94B4B" w:rsidRPr="000622D7">
        <w:rPr>
          <w:rFonts w:cs="Arial"/>
          <w:lang w:val="fr-FR"/>
        </w:rPr>
        <w:t>ont convenu qu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il serait utile d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élaborer un document commun présentant les particularités (p.</w:t>
      </w:r>
      <w:r w:rsidR="00CF2B96" w:rsidRPr="000622D7">
        <w:rPr>
          <w:rFonts w:cs="Arial"/>
          <w:lang w:val="fr-FR"/>
        </w:rPr>
        <w:t> </w:t>
      </w:r>
      <w:r w:rsidR="00A94B4B" w:rsidRPr="000622D7">
        <w:rPr>
          <w:rFonts w:cs="Arial"/>
          <w:lang w:val="fr-FR"/>
        </w:rPr>
        <w:t>ex. en matière d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examen</w:t>
      </w:r>
      <w:r w:rsidR="00CF2B96" w:rsidRPr="000622D7">
        <w:rPr>
          <w:rFonts w:cs="Arial"/>
          <w:lang w:val="fr-FR"/>
        </w:rPr>
        <w:t> </w:t>
      </w:r>
      <w:r w:rsidR="00A94B4B" w:rsidRPr="000622D7">
        <w:rPr>
          <w:rFonts w:cs="Arial"/>
          <w:lang w:val="fr-FR"/>
        </w:rPr>
        <w:t>DHS, d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identification des variétés, de pureté des variétés, etc.) de chacun des systèmes de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OCDE, de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UPOV et de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ISTA.</w:t>
      </w:r>
      <w:r w:rsidRPr="000622D7">
        <w:rPr>
          <w:lang w:val="fr-FR"/>
        </w:rPr>
        <w:t xml:space="preserve">  </w:t>
      </w:r>
      <w:r w:rsidR="00DE6177" w:rsidRPr="000622D7">
        <w:rPr>
          <w:rFonts w:cs="Arial"/>
          <w:lang w:val="fr-FR" w:eastAsia="ja-JP"/>
        </w:rPr>
        <w:t>Il a également été convenu qu</w:t>
      </w:r>
      <w:r w:rsidR="005C211B" w:rsidRPr="000622D7">
        <w:rPr>
          <w:rFonts w:cs="Arial"/>
          <w:lang w:val="fr-FR" w:eastAsia="ja-JP"/>
        </w:rPr>
        <w:t>’</w:t>
      </w:r>
      <w:r w:rsidR="00DE6177" w:rsidRPr="000622D7">
        <w:rPr>
          <w:rFonts w:cs="Arial"/>
          <w:lang w:val="fr-FR" w:eastAsia="ja-JP"/>
        </w:rPr>
        <w:t>il serait utile, aux fins d</w:t>
      </w:r>
      <w:r w:rsidR="005C211B" w:rsidRPr="000622D7">
        <w:rPr>
          <w:rFonts w:cs="Arial"/>
          <w:lang w:val="fr-FR" w:eastAsia="ja-JP"/>
        </w:rPr>
        <w:t>’</w:t>
      </w:r>
      <w:r w:rsidR="00DE6177" w:rsidRPr="000622D7">
        <w:rPr>
          <w:rFonts w:cs="Arial"/>
          <w:lang w:val="fr-FR" w:eastAsia="ja-JP"/>
        </w:rPr>
        <w:t>une bonne compréhension mutuelle, d</w:t>
      </w:r>
      <w:r w:rsidR="005C211B" w:rsidRPr="000622D7">
        <w:rPr>
          <w:rFonts w:cs="Arial"/>
          <w:lang w:val="fr-FR" w:eastAsia="ja-JP"/>
        </w:rPr>
        <w:t>’</w:t>
      </w:r>
      <w:r w:rsidR="00DE6177" w:rsidRPr="000622D7">
        <w:rPr>
          <w:rFonts w:cs="Arial"/>
          <w:lang w:val="fr-FR" w:eastAsia="ja-JP"/>
        </w:rPr>
        <w:t>organiser à nouveau cet atelier conjoint dans le cadre des réunions pertinentes de l</w:t>
      </w:r>
      <w:r w:rsidR="005C211B" w:rsidRPr="000622D7">
        <w:rPr>
          <w:rFonts w:cs="Arial"/>
          <w:lang w:val="fr-FR" w:eastAsia="ja-JP"/>
        </w:rPr>
        <w:t>’</w:t>
      </w:r>
      <w:r w:rsidR="00DE6177" w:rsidRPr="000622D7">
        <w:rPr>
          <w:rFonts w:cs="Arial"/>
          <w:lang w:val="fr-FR" w:eastAsia="ja-JP"/>
        </w:rPr>
        <w:t>OCDE et de l</w:t>
      </w:r>
      <w:r w:rsidR="005C211B" w:rsidRPr="000622D7">
        <w:rPr>
          <w:rFonts w:cs="Arial"/>
          <w:lang w:val="fr-FR" w:eastAsia="ja-JP"/>
        </w:rPr>
        <w:t>’</w:t>
      </w:r>
      <w:r w:rsidR="00DE6177" w:rsidRPr="000622D7">
        <w:rPr>
          <w:rFonts w:cs="Arial"/>
          <w:lang w:val="fr-FR" w:eastAsia="ja-JP"/>
        </w:rPr>
        <w:t>ISTA</w:t>
      </w:r>
      <w:r w:rsidR="00DE040B" w:rsidRPr="000622D7">
        <w:rPr>
          <w:rFonts w:cs="Arial"/>
          <w:lang w:val="fr-FR" w:eastAsia="ja-JP"/>
        </w:rPr>
        <w:t xml:space="preserve"> </w:t>
      </w:r>
      <w:r w:rsidR="00DE040B" w:rsidRPr="000622D7">
        <w:rPr>
          <w:lang w:val="fr-FR" w:eastAsia="ja-JP"/>
        </w:rPr>
        <w:t>(</w:t>
      </w:r>
      <w:r w:rsidR="000C0BEC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0C0BEC" w:rsidRPr="000622D7">
        <w:rPr>
          <w:lang w:val="fr-FR" w:eastAsia="ja-JP"/>
        </w:rPr>
        <w:t xml:space="preserve">25 du </w:t>
      </w:r>
      <w:r w:rsidR="005C211B" w:rsidRPr="000622D7">
        <w:rPr>
          <w:lang w:val="fr-FR" w:eastAsia="ja-JP"/>
        </w:rPr>
        <w:t>document TC</w:t>
      </w:r>
      <w:r w:rsidR="000C0BEC" w:rsidRPr="000622D7">
        <w:rPr>
          <w:lang w:val="fr-FR" w:eastAsia="ja-JP"/>
        </w:rPr>
        <w:t>/51/11 </w:t>
      </w:r>
      <w:proofErr w:type="spellStart"/>
      <w:r w:rsidR="000C0BEC" w:rsidRPr="000622D7">
        <w:rPr>
          <w:lang w:val="fr-FR" w:eastAsia="ja-JP"/>
        </w:rPr>
        <w:t>Rev</w:t>
      </w:r>
      <w:proofErr w:type="spellEnd"/>
      <w:r w:rsidR="000C0BEC" w:rsidRPr="000622D7">
        <w:rPr>
          <w:lang w:val="fr-FR" w:eastAsia="ja-JP"/>
        </w:rPr>
        <w:t>. “Techniques moléculaires”)</w:t>
      </w:r>
      <w:r w:rsidR="0035722D"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rFonts w:cs="Arial"/>
          <w:lang w:val="fr-FR" w:eastAsia="ja-JP"/>
        </w:rPr>
      </w:pPr>
    </w:p>
    <w:p w:rsidR="00A94B4B" w:rsidRPr="000622D7" w:rsidRDefault="005A5314" w:rsidP="00F77193">
      <w:pPr>
        <w:rPr>
          <w:rFonts w:cs="Arial"/>
          <w:lang w:val="fr-FR" w:eastAsia="ja-JP"/>
        </w:rPr>
      </w:pPr>
      <w:r w:rsidRPr="000622D7">
        <w:rPr>
          <w:rFonts w:cs="Arial"/>
          <w:lang w:val="fr-FR"/>
        </w:rPr>
        <w:fldChar w:fldCharType="begin"/>
      </w:r>
      <w:r w:rsidRPr="000622D7">
        <w:rPr>
          <w:rFonts w:cs="Arial"/>
          <w:lang w:val="fr-FR"/>
        </w:rPr>
        <w:instrText xml:space="preserve"> AUTONUM  </w:instrText>
      </w:r>
      <w:r w:rsidRPr="000622D7">
        <w:rPr>
          <w:rFonts w:cs="Arial"/>
          <w:lang w:val="fr-FR"/>
        </w:rPr>
        <w:fldChar w:fldCharType="end"/>
      </w:r>
      <w:r w:rsidRPr="000622D7">
        <w:rPr>
          <w:rFonts w:cs="Arial"/>
          <w:lang w:val="fr-FR"/>
        </w:rPr>
        <w:tab/>
      </w:r>
      <w:r w:rsidR="00A94B4B" w:rsidRPr="000622D7">
        <w:rPr>
          <w:rFonts w:cs="Arial"/>
          <w:lang w:val="fr-FR"/>
        </w:rPr>
        <w:t>Les participants sont convenus de proposer que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UPOV,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OCDE et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ISTA dressent un inventaire, par plante, de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utilisation qu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ils font des techniques faisant intervenir des marqueurs moléculaires, en vue de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élaboration d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un document contenant ces informations, dans un format semblable à celui du document UPOV/INF/16 “Logiciels échangeables”.</w:t>
      </w:r>
      <w:r w:rsidRPr="000622D7">
        <w:rPr>
          <w:lang w:val="fr-FR"/>
        </w:rPr>
        <w:t xml:space="preserve">  </w:t>
      </w:r>
      <w:r w:rsidR="00DE6177" w:rsidRPr="000622D7">
        <w:rPr>
          <w:rFonts w:cs="Arial"/>
          <w:lang w:val="fr-FR" w:eastAsia="ja-JP"/>
        </w:rPr>
        <w:t>Il a été relevé que l</w:t>
      </w:r>
      <w:r w:rsidR="005C211B" w:rsidRPr="000622D7">
        <w:rPr>
          <w:rFonts w:cs="Arial"/>
          <w:lang w:val="fr-FR" w:eastAsia="ja-JP"/>
        </w:rPr>
        <w:t>’</w:t>
      </w:r>
      <w:r w:rsidR="00DE6177" w:rsidRPr="000622D7">
        <w:rPr>
          <w:rFonts w:cs="Arial"/>
          <w:lang w:val="fr-FR" w:eastAsia="ja-JP"/>
        </w:rPr>
        <w:t>OCDE avait déjà recueilli des informations sur l</w:t>
      </w:r>
      <w:r w:rsidR="005C211B" w:rsidRPr="000622D7">
        <w:rPr>
          <w:rFonts w:cs="Arial"/>
          <w:lang w:val="fr-FR" w:eastAsia="ja-JP"/>
        </w:rPr>
        <w:t>’</w:t>
      </w:r>
      <w:r w:rsidR="00DE6177" w:rsidRPr="000622D7">
        <w:rPr>
          <w:rFonts w:cs="Arial"/>
          <w:lang w:val="fr-FR" w:eastAsia="ja-JP"/>
        </w:rPr>
        <w:t>utilisation faite par ses autorités désignées des techniques moléculaires</w:t>
      </w:r>
      <w:r w:rsidRPr="000622D7">
        <w:rPr>
          <w:rFonts w:cs="Arial"/>
          <w:lang w:val="fr-FR" w:eastAsia="ja-JP"/>
        </w:rPr>
        <w:t xml:space="preserve"> </w:t>
      </w:r>
      <w:r w:rsidR="00DE040B" w:rsidRPr="000622D7">
        <w:rPr>
          <w:lang w:val="fr-FR" w:eastAsia="ja-JP"/>
        </w:rPr>
        <w:t>(</w:t>
      </w:r>
      <w:r w:rsidR="000C0BEC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0C0BEC" w:rsidRPr="000622D7">
        <w:rPr>
          <w:lang w:val="fr-FR" w:eastAsia="ja-JP"/>
        </w:rPr>
        <w:t xml:space="preserve">26 du </w:t>
      </w:r>
      <w:r w:rsidR="005C211B" w:rsidRPr="000622D7">
        <w:rPr>
          <w:lang w:val="fr-FR" w:eastAsia="ja-JP"/>
        </w:rPr>
        <w:t>document TC</w:t>
      </w:r>
      <w:r w:rsidR="000C0BEC" w:rsidRPr="000622D7">
        <w:rPr>
          <w:lang w:val="fr-FR" w:eastAsia="ja-JP"/>
        </w:rPr>
        <w:t>/51/11 </w:t>
      </w:r>
      <w:proofErr w:type="spellStart"/>
      <w:r w:rsidR="000C0BEC" w:rsidRPr="000622D7">
        <w:rPr>
          <w:lang w:val="fr-FR" w:eastAsia="ja-JP"/>
        </w:rPr>
        <w:t>Rev</w:t>
      </w:r>
      <w:proofErr w:type="spellEnd"/>
      <w:r w:rsidR="000C0BEC" w:rsidRPr="000622D7">
        <w:rPr>
          <w:lang w:val="fr-FR" w:eastAsia="ja-JP"/>
        </w:rPr>
        <w:t>. “Techniques moléculaires”)</w:t>
      </w:r>
      <w:r w:rsidR="00DE040B"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rFonts w:cs="Arial"/>
          <w:lang w:val="fr-FR" w:eastAsia="ja-JP"/>
        </w:rPr>
      </w:pPr>
    </w:p>
    <w:p w:rsidR="00A94B4B" w:rsidRPr="000622D7" w:rsidRDefault="005A5314" w:rsidP="00F77193">
      <w:pPr>
        <w:rPr>
          <w:rFonts w:cs="Arial"/>
          <w:lang w:val="fr-FR" w:eastAsia="ja-JP"/>
        </w:rPr>
      </w:pPr>
      <w:r w:rsidRPr="000622D7">
        <w:rPr>
          <w:rFonts w:cs="Arial"/>
          <w:lang w:val="fr-FR"/>
        </w:rPr>
        <w:fldChar w:fldCharType="begin"/>
      </w:r>
      <w:r w:rsidRPr="000622D7">
        <w:rPr>
          <w:rFonts w:cs="Arial"/>
          <w:lang w:val="fr-FR"/>
        </w:rPr>
        <w:instrText xml:space="preserve"> AUTONUM  </w:instrText>
      </w:r>
      <w:r w:rsidRPr="000622D7">
        <w:rPr>
          <w:rFonts w:cs="Arial"/>
          <w:lang w:val="fr-FR"/>
        </w:rPr>
        <w:fldChar w:fldCharType="end"/>
      </w:r>
      <w:r w:rsidRPr="000622D7">
        <w:rPr>
          <w:rFonts w:cs="Arial"/>
          <w:lang w:val="fr-FR"/>
        </w:rPr>
        <w:tab/>
      </w:r>
      <w:r w:rsidR="00A94B4B" w:rsidRPr="000622D7">
        <w:rPr>
          <w:rFonts w:cs="Arial"/>
          <w:lang w:val="fr-FR"/>
        </w:rPr>
        <w:t>Les participants sont également convenus de proposer d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inviter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UPOV,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OCDE et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ISTA à dresser des listes d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initiatives conjointes possibles dans le domaine des techniques moléculaires.</w:t>
      </w:r>
      <w:r w:rsidRPr="000622D7">
        <w:rPr>
          <w:lang w:val="fr-FR"/>
        </w:rPr>
        <w:t xml:space="preserve">  </w:t>
      </w:r>
      <w:r w:rsidR="0046305C" w:rsidRPr="000622D7">
        <w:rPr>
          <w:rFonts w:cs="Arial"/>
          <w:lang w:val="fr-FR" w:eastAsia="ja-JP"/>
        </w:rPr>
        <w:t>Il a été relevé que, dans le cas de l</w:t>
      </w:r>
      <w:r w:rsidR="005C211B" w:rsidRPr="000622D7">
        <w:rPr>
          <w:rFonts w:cs="Arial"/>
          <w:lang w:val="fr-FR" w:eastAsia="ja-JP"/>
        </w:rPr>
        <w:t>’</w:t>
      </w:r>
      <w:r w:rsidR="0046305C" w:rsidRPr="000622D7">
        <w:rPr>
          <w:rFonts w:cs="Arial"/>
          <w:lang w:val="fr-FR" w:eastAsia="ja-JP"/>
        </w:rPr>
        <w:t>UPOV, la liste pourrait être rédigée par</w:t>
      </w:r>
      <w:r w:rsidR="005C211B" w:rsidRPr="000622D7">
        <w:rPr>
          <w:rFonts w:cs="Arial"/>
          <w:lang w:val="fr-FR" w:eastAsia="ja-JP"/>
        </w:rPr>
        <w:t xml:space="preserve"> le BMT</w:t>
      </w:r>
      <w:r w:rsidR="0046305C" w:rsidRPr="000622D7">
        <w:rPr>
          <w:rFonts w:cs="Arial"/>
          <w:lang w:val="fr-FR" w:eastAsia="ja-JP"/>
        </w:rPr>
        <w:t xml:space="preserve"> à sa quinzième</w:t>
      </w:r>
      <w:r w:rsidR="0090653E" w:rsidRPr="000622D7">
        <w:rPr>
          <w:rFonts w:cs="Arial"/>
          <w:lang w:val="fr-FR" w:eastAsia="ja-JP"/>
        </w:rPr>
        <w:t> </w:t>
      </w:r>
      <w:r w:rsidR="0046305C" w:rsidRPr="000622D7">
        <w:rPr>
          <w:rFonts w:cs="Arial"/>
          <w:lang w:val="fr-FR" w:eastAsia="ja-JP"/>
        </w:rPr>
        <w:t>session, sous réserve de l</w:t>
      </w:r>
      <w:r w:rsidR="005C211B" w:rsidRPr="000622D7">
        <w:rPr>
          <w:rFonts w:cs="Arial"/>
          <w:lang w:val="fr-FR" w:eastAsia="ja-JP"/>
        </w:rPr>
        <w:t>’</w:t>
      </w:r>
      <w:r w:rsidR="0046305C" w:rsidRPr="000622D7">
        <w:rPr>
          <w:rFonts w:cs="Arial"/>
          <w:lang w:val="fr-FR" w:eastAsia="ja-JP"/>
        </w:rPr>
        <w:t xml:space="preserve">approbation du </w:t>
      </w:r>
      <w:r w:rsidR="001A6AFE" w:rsidRPr="000622D7">
        <w:rPr>
          <w:rFonts w:cs="Arial"/>
          <w:lang w:val="fr-FR" w:eastAsia="ja-JP"/>
        </w:rPr>
        <w:t>TC</w:t>
      </w:r>
      <w:r w:rsidRPr="000622D7">
        <w:rPr>
          <w:rFonts w:cs="Arial"/>
          <w:lang w:val="fr-FR" w:eastAsia="ja-JP"/>
        </w:rPr>
        <w:t xml:space="preserve"> </w:t>
      </w:r>
      <w:r w:rsidR="00DE040B" w:rsidRPr="000622D7">
        <w:rPr>
          <w:lang w:val="fr-FR" w:eastAsia="ja-JP"/>
        </w:rPr>
        <w:t>(</w:t>
      </w:r>
      <w:r w:rsidR="000C0BEC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0C0BEC" w:rsidRPr="000622D7">
        <w:rPr>
          <w:lang w:val="fr-FR" w:eastAsia="ja-JP"/>
        </w:rPr>
        <w:t xml:space="preserve">27 du </w:t>
      </w:r>
      <w:r w:rsidR="005C211B" w:rsidRPr="000622D7">
        <w:rPr>
          <w:lang w:val="fr-FR" w:eastAsia="ja-JP"/>
        </w:rPr>
        <w:t>document TC</w:t>
      </w:r>
      <w:r w:rsidR="000C0BEC" w:rsidRPr="000622D7">
        <w:rPr>
          <w:lang w:val="fr-FR" w:eastAsia="ja-JP"/>
        </w:rPr>
        <w:t>/51/11 </w:t>
      </w:r>
      <w:proofErr w:type="spellStart"/>
      <w:r w:rsidR="000C0BEC" w:rsidRPr="000622D7">
        <w:rPr>
          <w:lang w:val="fr-FR" w:eastAsia="ja-JP"/>
        </w:rPr>
        <w:t>Rev</w:t>
      </w:r>
      <w:proofErr w:type="spellEnd"/>
      <w:r w:rsidR="000C0BEC" w:rsidRPr="000622D7">
        <w:rPr>
          <w:lang w:val="fr-FR" w:eastAsia="ja-JP"/>
        </w:rPr>
        <w:t>. “Techniques moléculaires”)</w:t>
      </w:r>
      <w:r w:rsidR="00DE040B"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rFonts w:cs="Arial"/>
          <w:lang w:val="fr-FR" w:eastAsia="ja-JP"/>
        </w:rPr>
      </w:pPr>
    </w:p>
    <w:p w:rsidR="00A94B4B" w:rsidRPr="000622D7" w:rsidRDefault="00AB4D94" w:rsidP="00F77193">
      <w:pPr>
        <w:pStyle w:val="Heading2"/>
        <w:rPr>
          <w:color w:val="auto"/>
        </w:rPr>
      </w:pPr>
      <w:bookmarkStart w:id="13" w:name="_Toc444674446"/>
      <w:r w:rsidRPr="000622D7">
        <w:rPr>
          <w:color w:val="auto"/>
        </w:rPr>
        <w:t>Atelier conjoint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OCDE,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UPOV et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ISTA sur les techniques moléculaires dans le cadre des réunions pertinentes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OCDE et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ISTA</w:t>
      </w:r>
      <w:bookmarkEnd w:id="13"/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472D5B" w:rsidP="00F77193">
      <w:pPr>
        <w:rPr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64085C" w:rsidRPr="000622D7">
        <w:rPr>
          <w:rFonts w:eastAsia="MS Mincho"/>
          <w:snapToGrid w:val="0"/>
          <w:lang w:val="fr-FR" w:eastAsia="ja-JP"/>
        </w:rPr>
        <w:t>À sa cinquante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64085C" w:rsidRPr="000622D7">
        <w:rPr>
          <w:rFonts w:eastAsia="MS Mincho"/>
          <w:snapToGrid w:val="0"/>
          <w:lang w:val="fr-FR" w:eastAsia="ja-JP"/>
        </w:rPr>
        <w:t>et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64085C" w:rsidRPr="000622D7">
        <w:rPr>
          <w:rFonts w:eastAsia="MS Mincho"/>
          <w:snapToGrid w:val="0"/>
          <w:lang w:val="fr-FR" w:eastAsia="ja-JP"/>
        </w:rPr>
        <w:t>unième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64085C" w:rsidRPr="000622D7">
        <w:rPr>
          <w:rFonts w:eastAsia="MS Mincho"/>
          <w:snapToGrid w:val="0"/>
          <w:lang w:val="fr-FR" w:eastAsia="ja-JP"/>
        </w:rPr>
        <w:t>session, le</w:t>
      </w:r>
      <w:r w:rsidR="005C211B" w:rsidRPr="000622D7">
        <w:rPr>
          <w:rFonts w:eastAsia="MS Mincho"/>
          <w:snapToGrid w:val="0"/>
          <w:lang w:val="fr-FR" w:eastAsia="ja-JP"/>
        </w:rPr>
        <w:t> TC</w:t>
      </w:r>
      <w:r w:rsidR="0064085C" w:rsidRPr="000622D7">
        <w:rPr>
          <w:rFonts w:eastAsia="MS Mincho"/>
          <w:snapToGrid w:val="0"/>
          <w:lang w:val="fr-FR" w:eastAsia="ja-JP"/>
        </w:rPr>
        <w:t xml:space="preserve"> a pris note qu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il avait été convenu à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atelier conjoint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OCDE,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UPOV et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ISTA sur les techniques moléculaires qu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il serait utile d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organiser à nouveau cet atelier conjoint dans le cadre des réunions pertinentes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OCDE et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ISTA et que, à cet égard, le Groupe de travail technique était convenu qu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un autre Atelier conjoint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OCDE,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UPOV et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>ISTA sur les techniques moléculaires devrait être organisé soit immédiatement avant ou après la Réunion annuelle des Systèmes de semences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64085C" w:rsidRPr="000622D7">
        <w:rPr>
          <w:rFonts w:eastAsia="MS Mincho"/>
          <w:snapToGrid w:val="0"/>
          <w:lang w:val="fr-FR" w:eastAsia="ja-JP"/>
        </w:rPr>
        <w:t xml:space="preserve">OCDE </w:t>
      </w:r>
      <w:r w:rsidR="00F77193" w:rsidRPr="000622D7">
        <w:rPr>
          <w:rFonts w:eastAsia="MS Mincho"/>
          <w:snapToGrid w:val="0"/>
          <w:lang w:val="fr-FR" w:eastAsia="ja-JP"/>
        </w:rPr>
        <w:t>prévue</w:t>
      </w:r>
      <w:r w:rsidR="0064085C" w:rsidRPr="000622D7">
        <w:rPr>
          <w:rFonts w:eastAsia="MS Mincho"/>
          <w:snapToGrid w:val="0"/>
          <w:lang w:val="fr-FR" w:eastAsia="ja-JP"/>
        </w:rPr>
        <w:t xml:space="preserve"> à Paris en </w:t>
      </w:r>
      <w:r w:rsidR="005C211B" w:rsidRPr="000622D7">
        <w:rPr>
          <w:rFonts w:eastAsia="MS Mincho"/>
          <w:snapToGrid w:val="0"/>
          <w:lang w:val="fr-FR" w:eastAsia="ja-JP"/>
        </w:rPr>
        <w:t>juin 20</w:t>
      </w:r>
      <w:r w:rsidR="0064085C" w:rsidRPr="000622D7">
        <w:rPr>
          <w:rFonts w:eastAsia="MS Mincho"/>
          <w:snapToGrid w:val="0"/>
          <w:lang w:val="fr-FR" w:eastAsia="ja-JP"/>
        </w:rPr>
        <w:t xml:space="preserve">15, soit en même temps que la Réunion du Groupe de travail technique </w:t>
      </w:r>
      <w:r w:rsidR="00F77193" w:rsidRPr="000622D7">
        <w:rPr>
          <w:rFonts w:eastAsia="MS Mincho"/>
          <w:snapToGrid w:val="0"/>
          <w:lang w:val="fr-FR" w:eastAsia="ja-JP"/>
        </w:rPr>
        <w:t>prévue</w:t>
      </w:r>
      <w:r w:rsidR="0064085C" w:rsidRPr="000622D7">
        <w:rPr>
          <w:rFonts w:eastAsia="MS Mincho"/>
          <w:snapToGrid w:val="0"/>
          <w:lang w:val="fr-FR" w:eastAsia="ja-JP"/>
        </w:rPr>
        <w:t xml:space="preserve"> en </w:t>
      </w:r>
      <w:r w:rsidR="005C211B" w:rsidRPr="000622D7">
        <w:rPr>
          <w:rFonts w:eastAsia="MS Mincho"/>
          <w:snapToGrid w:val="0"/>
          <w:lang w:val="fr-FR" w:eastAsia="ja-JP"/>
        </w:rPr>
        <w:t>janvier 20</w:t>
      </w:r>
      <w:r w:rsidR="0064085C" w:rsidRPr="000622D7">
        <w:rPr>
          <w:rFonts w:eastAsia="MS Mincho"/>
          <w:snapToGrid w:val="0"/>
          <w:lang w:val="fr-FR" w:eastAsia="ja-JP"/>
        </w:rPr>
        <w:t>16</w:t>
      </w:r>
      <w:r w:rsidR="00967457" w:rsidRPr="000622D7">
        <w:rPr>
          <w:rFonts w:eastAsia="MS Mincho"/>
          <w:snapToGrid w:val="0"/>
          <w:lang w:val="fr-FR" w:eastAsia="ja-JP"/>
        </w:rPr>
        <w:t xml:space="preserve"> </w:t>
      </w:r>
      <w:r w:rsidRPr="000622D7">
        <w:rPr>
          <w:lang w:val="fr-FR" w:eastAsia="ja-JP"/>
        </w:rPr>
        <w:t>(</w:t>
      </w:r>
      <w:r w:rsidR="000C0BEC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0C0BEC" w:rsidRPr="000622D7">
        <w:rPr>
          <w:lang w:val="fr-FR" w:eastAsia="ja-JP"/>
        </w:rPr>
        <w:t xml:space="preserve">178 du </w:t>
      </w:r>
      <w:r w:rsidR="005C211B" w:rsidRPr="000622D7">
        <w:rPr>
          <w:lang w:val="fr-FR" w:eastAsia="ja-JP"/>
        </w:rPr>
        <w:t>document TC</w:t>
      </w:r>
      <w:r w:rsidRPr="000622D7">
        <w:rPr>
          <w:lang w:val="fr-FR" w:eastAsia="ja-JP"/>
        </w:rPr>
        <w:t>/51/39</w:t>
      </w:r>
      <w:r w:rsidR="000C0BEC" w:rsidRPr="000622D7">
        <w:rPr>
          <w:lang w:val="fr-FR" w:eastAsia="ja-JP"/>
        </w:rPr>
        <w:t xml:space="preserve"> “Compte rendu</w:t>
      </w:r>
      <w:r w:rsidR="00291817" w:rsidRPr="000622D7">
        <w:rPr>
          <w:lang w:val="fr-FR" w:eastAsia="ja-JP"/>
        </w:rPr>
        <w:t>”</w:t>
      </w:r>
      <w:r w:rsidRPr="000622D7">
        <w:rPr>
          <w:lang w:val="fr-FR" w:eastAsia="ja-JP"/>
        </w:rPr>
        <w:t>)</w:t>
      </w:r>
      <w:r w:rsidRPr="000622D7">
        <w:rPr>
          <w:lang w:val="fr-FR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2C2E0E" w:rsidP="00F77193">
      <w:pPr>
        <w:pStyle w:val="Default"/>
        <w:jc w:val="both"/>
        <w:rPr>
          <w:color w:val="auto"/>
          <w:sz w:val="20"/>
          <w:szCs w:val="20"/>
          <w:lang w:val="fr-FR" w:eastAsia="ja-JP"/>
        </w:rPr>
      </w:pPr>
      <w:r w:rsidRPr="000622D7">
        <w:rPr>
          <w:color w:val="auto"/>
          <w:sz w:val="20"/>
          <w:lang w:val="fr-FR"/>
        </w:rPr>
        <w:fldChar w:fldCharType="begin"/>
      </w:r>
      <w:r w:rsidRPr="000622D7">
        <w:rPr>
          <w:color w:val="auto"/>
          <w:sz w:val="20"/>
          <w:lang w:val="fr-FR"/>
        </w:rPr>
        <w:instrText xml:space="preserve"> AUTONUM  </w:instrText>
      </w:r>
      <w:r w:rsidRPr="000622D7">
        <w:rPr>
          <w:color w:val="auto"/>
          <w:sz w:val="20"/>
          <w:lang w:val="fr-FR"/>
        </w:rPr>
        <w:fldChar w:fldCharType="end"/>
      </w:r>
      <w:r w:rsidRPr="000622D7">
        <w:rPr>
          <w:color w:val="auto"/>
          <w:sz w:val="20"/>
          <w:lang w:val="fr-FR"/>
        </w:rPr>
        <w:tab/>
      </w:r>
      <w:r w:rsidR="00025E40" w:rsidRPr="000622D7">
        <w:rPr>
          <w:color w:val="auto"/>
          <w:sz w:val="20"/>
          <w:lang w:val="fr-FR"/>
        </w:rPr>
        <w:t xml:space="preserve">Le </w:t>
      </w:r>
      <w:r w:rsidR="005C211B" w:rsidRPr="000622D7">
        <w:rPr>
          <w:color w:val="auto"/>
          <w:sz w:val="20"/>
          <w:lang w:val="fr-FR"/>
        </w:rPr>
        <w:t>4 janvier 20</w:t>
      </w:r>
      <w:r w:rsidR="00025E40" w:rsidRPr="000622D7">
        <w:rPr>
          <w:color w:val="auto"/>
          <w:sz w:val="20"/>
          <w:lang w:val="fr-FR"/>
        </w:rPr>
        <w:t>16, l</w:t>
      </w:r>
      <w:r w:rsidR="005C211B" w:rsidRPr="000622D7">
        <w:rPr>
          <w:color w:val="auto"/>
          <w:sz w:val="20"/>
          <w:lang w:val="fr-FR"/>
        </w:rPr>
        <w:t>’</w:t>
      </w:r>
      <w:r w:rsidR="00025E40" w:rsidRPr="000622D7">
        <w:rPr>
          <w:color w:val="auto"/>
          <w:sz w:val="20"/>
          <w:lang w:val="fr-FR"/>
        </w:rPr>
        <w:t>OCDE a publié le d</w:t>
      </w:r>
      <w:r w:rsidR="00C57B08" w:rsidRPr="000622D7">
        <w:rPr>
          <w:color w:val="auto"/>
          <w:sz w:val="20"/>
          <w:szCs w:val="20"/>
          <w:lang w:val="fr-FR" w:eastAsia="ja-JP"/>
        </w:rPr>
        <w:t xml:space="preserve">ocument TAD/CA/S/RD(2016)7 </w:t>
      </w:r>
      <w:r w:rsidRPr="000622D7">
        <w:rPr>
          <w:color w:val="auto"/>
          <w:sz w:val="20"/>
          <w:szCs w:val="20"/>
          <w:lang w:val="fr-FR" w:eastAsia="ja-JP"/>
        </w:rPr>
        <w:t>“Pr</w:t>
      </w:r>
      <w:r w:rsidR="00031E84" w:rsidRPr="000622D7">
        <w:rPr>
          <w:color w:val="auto"/>
          <w:sz w:val="20"/>
          <w:szCs w:val="20"/>
          <w:lang w:val="fr-FR" w:eastAsia="ja-JP"/>
        </w:rPr>
        <w:t>ojet de programme préliminaire de l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031E84" w:rsidRPr="000622D7">
        <w:rPr>
          <w:color w:val="auto"/>
          <w:sz w:val="20"/>
          <w:szCs w:val="20"/>
          <w:lang w:val="fr-FR" w:eastAsia="ja-JP"/>
        </w:rPr>
        <w:t>atelier conjoint de l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031E84" w:rsidRPr="000622D7">
        <w:rPr>
          <w:color w:val="auto"/>
          <w:sz w:val="20"/>
          <w:szCs w:val="20"/>
          <w:lang w:val="fr-FR" w:eastAsia="ja-JP"/>
        </w:rPr>
        <w:t>OCDE, de l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031E84" w:rsidRPr="000622D7">
        <w:rPr>
          <w:color w:val="auto"/>
          <w:sz w:val="20"/>
          <w:szCs w:val="20"/>
          <w:lang w:val="fr-FR" w:eastAsia="ja-JP"/>
        </w:rPr>
        <w:t>UPOV et de l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031E84" w:rsidRPr="000622D7">
        <w:rPr>
          <w:color w:val="auto"/>
          <w:sz w:val="20"/>
          <w:szCs w:val="20"/>
          <w:lang w:val="fr-FR" w:eastAsia="ja-JP"/>
        </w:rPr>
        <w:t>ISTA sur les techniques biochimiques et moléculaires</w:t>
      </w:r>
      <w:r w:rsidRPr="000622D7">
        <w:rPr>
          <w:color w:val="auto"/>
          <w:sz w:val="20"/>
          <w:szCs w:val="20"/>
          <w:lang w:val="fr-FR" w:eastAsia="ja-JP"/>
        </w:rPr>
        <w:t xml:space="preserve">” </w:t>
      </w:r>
      <w:r w:rsidR="0044478F" w:rsidRPr="000622D7">
        <w:rPr>
          <w:color w:val="auto"/>
          <w:sz w:val="20"/>
          <w:szCs w:val="20"/>
          <w:lang w:val="fr-FR" w:eastAsia="ja-JP"/>
        </w:rPr>
        <w:t>aux fins d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44478F" w:rsidRPr="000622D7">
        <w:rPr>
          <w:color w:val="auto"/>
          <w:sz w:val="20"/>
          <w:szCs w:val="20"/>
          <w:lang w:val="fr-FR" w:eastAsia="ja-JP"/>
        </w:rPr>
        <w:t>examen par le Groupe de travail technique sur les Systèmes des semences de l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44478F" w:rsidRPr="000622D7">
        <w:rPr>
          <w:color w:val="auto"/>
          <w:sz w:val="20"/>
          <w:szCs w:val="20"/>
          <w:lang w:val="fr-FR" w:eastAsia="ja-JP"/>
        </w:rPr>
        <w:t>OCDE à sa réunion tenue du 26 au 2</w:t>
      </w:r>
      <w:r w:rsidR="005C211B" w:rsidRPr="000622D7">
        <w:rPr>
          <w:color w:val="auto"/>
          <w:sz w:val="20"/>
          <w:szCs w:val="20"/>
          <w:lang w:val="fr-FR" w:eastAsia="ja-JP"/>
        </w:rPr>
        <w:t>9 janvier 20</w:t>
      </w:r>
      <w:r w:rsidR="0044478F" w:rsidRPr="000622D7">
        <w:rPr>
          <w:color w:val="auto"/>
          <w:sz w:val="20"/>
          <w:szCs w:val="20"/>
          <w:lang w:val="fr-FR" w:eastAsia="ja-JP"/>
        </w:rPr>
        <w:t>16 au Cap (Afrique du Sud), et qui indique qu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44478F" w:rsidRPr="000622D7">
        <w:rPr>
          <w:color w:val="auto"/>
          <w:sz w:val="20"/>
          <w:szCs w:val="20"/>
          <w:lang w:val="fr-FR" w:eastAsia="ja-JP"/>
        </w:rPr>
        <w:t xml:space="preserve">un atelier </w:t>
      </w:r>
      <w:r w:rsidR="00D64CDB" w:rsidRPr="000622D7">
        <w:rPr>
          <w:color w:val="auto"/>
          <w:sz w:val="20"/>
          <w:szCs w:val="20"/>
          <w:lang w:val="fr-FR" w:eastAsia="ja-JP"/>
        </w:rPr>
        <w:t>conjoint de l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D64CDB" w:rsidRPr="000622D7">
        <w:rPr>
          <w:color w:val="auto"/>
          <w:sz w:val="20"/>
          <w:szCs w:val="20"/>
          <w:lang w:val="fr-FR" w:eastAsia="ja-JP"/>
        </w:rPr>
        <w:t>OCDE, de l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D64CDB" w:rsidRPr="000622D7">
        <w:rPr>
          <w:color w:val="auto"/>
          <w:sz w:val="20"/>
          <w:szCs w:val="20"/>
          <w:lang w:val="fr-FR" w:eastAsia="ja-JP"/>
        </w:rPr>
        <w:t>UPOV et de l</w:t>
      </w:r>
      <w:r w:rsidR="005C211B" w:rsidRPr="000622D7">
        <w:rPr>
          <w:color w:val="auto"/>
          <w:sz w:val="20"/>
          <w:szCs w:val="20"/>
          <w:lang w:val="fr-FR" w:eastAsia="ja-JP"/>
        </w:rPr>
        <w:t>’</w:t>
      </w:r>
      <w:r w:rsidR="00D64CDB" w:rsidRPr="000622D7">
        <w:rPr>
          <w:color w:val="auto"/>
          <w:sz w:val="20"/>
          <w:szCs w:val="20"/>
          <w:lang w:val="fr-FR" w:eastAsia="ja-JP"/>
        </w:rPr>
        <w:t xml:space="preserve">ISTA sur les techniques biochimiques et moléculaires se tiendrait à </w:t>
      </w:r>
      <w:r w:rsidR="00D615FC" w:rsidRPr="000622D7">
        <w:rPr>
          <w:color w:val="auto"/>
          <w:sz w:val="20"/>
          <w:szCs w:val="20"/>
          <w:lang w:val="fr-FR" w:eastAsia="ja-JP"/>
        </w:rPr>
        <w:t>Paris</w:t>
      </w:r>
      <w:r w:rsidR="00785354" w:rsidRPr="000622D7">
        <w:rPr>
          <w:color w:val="auto"/>
          <w:sz w:val="20"/>
          <w:szCs w:val="20"/>
          <w:lang w:val="fr-FR" w:eastAsia="ja-JP"/>
        </w:rPr>
        <w:t xml:space="preserve"> (France)</w:t>
      </w:r>
      <w:r w:rsidR="00D615FC" w:rsidRPr="000622D7">
        <w:rPr>
          <w:color w:val="auto"/>
          <w:sz w:val="20"/>
          <w:szCs w:val="20"/>
          <w:lang w:val="fr-FR" w:eastAsia="ja-JP"/>
        </w:rPr>
        <w:t xml:space="preserve">, </w:t>
      </w:r>
      <w:r w:rsidR="00785354" w:rsidRPr="000622D7">
        <w:rPr>
          <w:color w:val="auto"/>
          <w:sz w:val="20"/>
          <w:szCs w:val="20"/>
          <w:lang w:val="fr-FR" w:eastAsia="ja-JP"/>
        </w:rPr>
        <w:t xml:space="preserve">le </w:t>
      </w:r>
      <w:r w:rsidR="00670024" w:rsidRPr="000622D7">
        <w:rPr>
          <w:color w:val="auto"/>
          <w:sz w:val="20"/>
          <w:szCs w:val="20"/>
          <w:lang w:val="fr-FR" w:eastAsia="ja-JP"/>
        </w:rPr>
        <w:t>7 o</w:t>
      </w:r>
      <w:r w:rsidR="00785354" w:rsidRPr="000622D7">
        <w:rPr>
          <w:color w:val="auto"/>
          <w:sz w:val="20"/>
          <w:szCs w:val="20"/>
          <w:lang w:val="fr-FR" w:eastAsia="ja-JP"/>
        </w:rPr>
        <w:t>u</w:t>
      </w:r>
      <w:r w:rsidR="00670024" w:rsidRPr="000622D7">
        <w:rPr>
          <w:color w:val="auto"/>
          <w:sz w:val="20"/>
          <w:szCs w:val="20"/>
          <w:lang w:val="fr-FR" w:eastAsia="ja-JP"/>
        </w:rPr>
        <w:t xml:space="preserve"> </w:t>
      </w:r>
      <w:r w:rsidR="00785354" w:rsidRPr="000622D7">
        <w:rPr>
          <w:color w:val="auto"/>
          <w:sz w:val="20"/>
          <w:szCs w:val="20"/>
          <w:lang w:val="fr-FR" w:eastAsia="ja-JP"/>
        </w:rPr>
        <w:t xml:space="preserve">le </w:t>
      </w:r>
      <w:r w:rsidR="005C211B" w:rsidRPr="000622D7">
        <w:rPr>
          <w:color w:val="auto"/>
          <w:sz w:val="20"/>
          <w:szCs w:val="20"/>
          <w:lang w:val="fr-FR" w:eastAsia="ja-JP"/>
        </w:rPr>
        <w:t>8 juin 20</w:t>
      </w:r>
      <w:r w:rsidR="00D615FC" w:rsidRPr="000622D7">
        <w:rPr>
          <w:color w:val="auto"/>
          <w:sz w:val="20"/>
          <w:szCs w:val="20"/>
          <w:lang w:val="fr-FR" w:eastAsia="ja-JP"/>
        </w:rPr>
        <w:t>16.</w:t>
      </w:r>
    </w:p>
    <w:p w:rsidR="00A94B4B" w:rsidRPr="000622D7" w:rsidRDefault="00A94B4B" w:rsidP="00F77193">
      <w:pPr>
        <w:pStyle w:val="Default"/>
        <w:jc w:val="both"/>
        <w:rPr>
          <w:color w:val="auto"/>
          <w:sz w:val="20"/>
          <w:szCs w:val="20"/>
          <w:lang w:val="fr-FR" w:eastAsia="ja-JP"/>
        </w:rPr>
      </w:pPr>
    </w:p>
    <w:p w:rsidR="005C211B" w:rsidRPr="000622D7" w:rsidRDefault="001974FF" w:rsidP="00F77193">
      <w:pPr>
        <w:pStyle w:val="Heading2"/>
        <w:rPr>
          <w:color w:val="auto"/>
        </w:rPr>
      </w:pPr>
      <w:bookmarkStart w:id="14" w:name="_Toc444674447"/>
      <w:r w:rsidRPr="000622D7">
        <w:rPr>
          <w:color w:val="auto"/>
        </w:rPr>
        <w:t>Particularités des systèmes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OCDE,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UPOV et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ISTA</w:t>
      </w:r>
      <w:bookmarkEnd w:id="14"/>
    </w:p>
    <w:p w:rsidR="00A94B4B" w:rsidRPr="000622D7" w:rsidRDefault="00A94B4B" w:rsidP="00F77193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A94B4B" w:rsidRPr="000622D7" w:rsidRDefault="00D615FC" w:rsidP="00F77193">
      <w:pPr>
        <w:rPr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D5540B" w:rsidRPr="000622D7">
        <w:rPr>
          <w:rFonts w:eastAsia="MS Mincho"/>
          <w:snapToGrid w:val="0"/>
          <w:lang w:val="fr-FR" w:eastAsia="ja-JP"/>
        </w:rPr>
        <w:t>À sa cinquante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D5540B" w:rsidRPr="000622D7">
        <w:rPr>
          <w:rFonts w:eastAsia="MS Mincho"/>
          <w:snapToGrid w:val="0"/>
          <w:lang w:val="fr-FR" w:eastAsia="ja-JP"/>
        </w:rPr>
        <w:t>et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D5540B" w:rsidRPr="000622D7">
        <w:rPr>
          <w:rFonts w:eastAsia="MS Mincho"/>
          <w:snapToGrid w:val="0"/>
          <w:lang w:val="fr-FR" w:eastAsia="ja-JP"/>
        </w:rPr>
        <w:t>unième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D5540B" w:rsidRPr="000622D7">
        <w:rPr>
          <w:rFonts w:eastAsia="MS Mincho"/>
          <w:snapToGrid w:val="0"/>
          <w:lang w:val="fr-FR" w:eastAsia="ja-JP"/>
        </w:rPr>
        <w:t>session, le</w:t>
      </w:r>
      <w:r w:rsidR="005C211B" w:rsidRPr="000622D7">
        <w:rPr>
          <w:rFonts w:eastAsia="MS Mincho"/>
          <w:snapToGrid w:val="0"/>
          <w:lang w:val="fr-FR" w:eastAsia="ja-JP"/>
        </w:rPr>
        <w:t> TC</w:t>
      </w:r>
      <w:r w:rsidR="00D5540B" w:rsidRPr="000622D7">
        <w:rPr>
          <w:rFonts w:eastAsia="MS Mincho"/>
          <w:snapToGrid w:val="0"/>
          <w:lang w:val="fr-FR" w:eastAsia="ja-JP"/>
        </w:rPr>
        <w:t xml:space="preserve"> est convenu</w:t>
      </w:r>
      <w:r w:rsidRPr="000622D7">
        <w:rPr>
          <w:rFonts w:eastAsia="MS Mincho"/>
          <w:snapToGrid w:val="0"/>
          <w:lang w:val="fr-FR" w:eastAsia="ja-JP"/>
        </w:rPr>
        <w:t xml:space="preserve"> </w:t>
      </w:r>
      <w:r w:rsidR="00D5540B" w:rsidRPr="000622D7">
        <w:rPr>
          <w:lang w:val="fr-FR"/>
        </w:rPr>
        <w:t>d</w:t>
      </w:r>
      <w:r w:rsidR="005C211B" w:rsidRPr="000622D7">
        <w:rPr>
          <w:lang w:val="fr-FR"/>
        </w:rPr>
        <w:t>’</w:t>
      </w:r>
      <w:r w:rsidR="00D5540B" w:rsidRPr="000622D7">
        <w:rPr>
          <w:lang w:val="fr-FR"/>
        </w:rPr>
        <w:t>élaborer un document commun présentant les particularités des systèmes de l</w:t>
      </w:r>
      <w:r w:rsidR="005C211B" w:rsidRPr="000622D7">
        <w:rPr>
          <w:lang w:val="fr-FR"/>
        </w:rPr>
        <w:t>’</w:t>
      </w:r>
      <w:r w:rsidR="00D5540B" w:rsidRPr="000622D7">
        <w:rPr>
          <w:lang w:val="fr-FR"/>
        </w:rPr>
        <w:t>OCDE, de l</w:t>
      </w:r>
      <w:r w:rsidR="005C211B" w:rsidRPr="000622D7">
        <w:rPr>
          <w:lang w:val="fr-FR"/>
        </w:rPr>
        <w:t>’</w:t>
      </w:r>
      <w:r w:rsidR="00D5540B" w:rsidRPr="000622D7">
        <w:rPr>
          <w:lang w:val="fr-FR"/>
        </w:rPr>
        <w:t>UPOV et de l</w:t>
      </w:r>
      <w:r w:rsidR="005C211B" w:rsidRPr="000622D7">
        <w:rPr>
          <w:lang w:val="fr-FR"/>
        </w:rPr>
        <w:t>’</w:t>
      </w:r>
      <w:r w:rsidR="00D5540B" w:rsidRPr="000622D7">
        <w:rPr>
          <w:lang w:val="fr-FR"/>
        </w:rPr>
        <w:t>ISTA (p.</w:t>
      </w:r>
      <w:r w:rsidR="0090653E" w:rsidRPr="000622D7">
        <w:rPr>
          <w:lang w:val="fr-FR"/>
        </w:rPr>
        <w:t> </w:t>
      </w:r>
      <w:r w:rsidR="00D5540B" w:rsidRPr="000622D7">
        <w:rPr>
          <w:lang w:val="fr-FR"/>
        </w:rPr>
        <w:t>ex. en matière d</w:t>
      </w:r>
      <w:r w:rsidR="005C211B" w:rsidRPr="000622D7">
        <w:rPr>
          <w:lang w:val="fr-FR"/>
        </w:rPr>
        <w:t>’</w:t>
      </w:r>
      <w:r w:rsidR="00D5540B" w:rsidRPr="000622D7">
        <w:rPr>
          <w:lang w:val="fr-FR"/>
        </w:rPr>
        <w:t>examen</w:t>
      </w:r>
      <w:r w:rsidR="0090653E" w:rsidRPr="000622D7">
        <w:rPr>
          <w:lang w:val="fr-FR"/>
        </w:rPr>
        <w:t> </w:t>
      </w:r>
      <w:r w:rsidR="00D5540B" w:rsidRPr="000622D7">
        <w:rPr>
          <w:lang w:val="fr-FR"/>
        </w:rPr>
        <w:t>DHS, d</w:t>
      </w:r>
      <w:r w:rsidR="005C211B" w:rsidRPr="000622D7">
        <w:rPr>
          <w:lang w:val="fr-FR"/>
        </w:rPr>
        <w:t>’</w:t>
      </w:r>
      <w:r w:rsidR="00D5540B" w:rsidRPr="000622D7">
        <w:rPr>
          <w:lang w:val="fr-FR"/>
        </w:rPr>
        <w:t>identification des variétés, de pureté des variétés, etc.), sous réserve de l</w:t>
      </w:r>
      <w:r w:rsidR="005C211B" w:rsidRPr="000622D7">
        <w:rPr>
          <w:lang w:val="fr-FR"/>
        </w:rPr>
        <w:t>’</w:t>
      </w:r>
      <w:r w:rsidR="00D5540B" w:rsidRPr="000622D7">
        <w:rPr>
          <w:lang w:val="fr-FR"/>
        </w:rPr>
        <w:t>approbation du Conseil et en coordination avec l</w:t>
      </w:r>
      <w:r w:rsidR="005C211B" w:rsidRPr="000622D7">
        <w:rPr>
          <w:lang w:val="fr-FR"/>
        </w:rPr>
        <w:t>’</w:t>
      </w:r>
      <w:r w:rsidR="00D5540B" w:rsidRPr="000622D7">
        <w:rPr>
          <w:lang w:val="fr-FR"/>
        </w:rPr>
        <w:t>OCDE et l</w:t>
      </w:r>
      <w:r w:rsidR="005C211B" w:rsidRPr="000622D7">
        <w:rPr>
          <w:lang w:val="fr-FR"/>
        </w:rPr>
        <w:t>’</w:t>
      </w:r>
      <w:r w:rsidR="00D5540B" w:rsidRPr="000622D7">
        <w:rPr>
          <w:lang w:val="fr-FR"/>
        </w:rPr>
        <w:t>ISTA</w:t>
      </w:r>
      <w:r w:rsidRPr="000622D7">
        <w:rPr>
          <w:rFonts w:eastAsia="MS Mincho"/>
          <w:snapToGrid w:val="0"/>
          <w:lang w:val="fr-FR" w:eastAsia="ja-JP"/>
        </w:rPr>
        <w:t xml:space="preserve"> </w:t>
      </w:r>
      <w:r w:rsidRPr="000622D7">
        <w:rPr>
          <w:lang w:val="fr-FR" w:eastAsia="ja-JP"/>
        </w:rPr>
        <w:t>(</w:t>
      </w:r>
      <w:r w:rsidR="000C0BEC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0C0BEC" w:rsidRPr="000622D7">
        <w:rPr>
          <w:lang w:val="fr-FR" w:eastAsia="ja-JP"/>
        </w:rPr>
        <w:t xml:space="preserve">177 du </w:t>
      </w:r>
      <w:r w:rsidR="005C211B" w:rsidRPr="000622D7">
        <w:rPr>
          <w:lang w:val="fr-FR" w:eastAsia="ja-JP"/>
        </w:rPr>
        <w:t>document TC</w:t>
      </w:r>
      <w:r w:rsidR="000C0BEC" w:rsidRPr="000622D7">
        <w:rPr>
          <w:lang w:val="fr-FR" w:eastAsia="ja-JP"/>
        </w:rPr>
        <w:t>/51/39 “Compte rendu”</w:t>
      </w:r>
      <w:r w:rsidRPr="000622D7">
        <w:rPr>
          <w:lang w:val="fr-FR" w:eastAsia="ja-JP"/>
        </w:rPr>
        <w:t>)</w:t>
      </w:r>
      <w:r w:rsidRPr="000622D7">
        <w:rPr>
          <w:lang w:val="fr-FR"/>
        </w:rPr>
        <w:t>.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D615FC" w:rsidP="00F77193">
      <w:pPr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80576A" w:rsidRPr="000622D7">
        <w:rPr>
          <w:lang w:val="fr-FR"/>
        </w:rPr>
        <w:t>Les observations formulées par l</w:t>
      </w:r>
      <w:r w:rsidR="005C211B" w:rsidRPr="000622D7">
        <w:rPr>
          <w:lang w:val="fr-FR"/>
        </w:rPr>
        <w:t>’</w:t>
      </w:r>
      <w:r w:rsidR="0080576A" w:rsidRPr="000622D7">
        <w:rPr>
          <w:lang w:val="fr-FR"/>
        </w:rPr>
        <w:t>OCDE et l</w:t>
      </w:r>
      <w:r w:rsidR="005C211B" w:rsidRPr="000622D7">
        <w:rPr>
          <w:lang w:val="fr-FR"/>
        </w:rPr>
        <w:t>’</w:t>
      </w:r>
      <w:r w:rsidR="00670024" w:rsidRPr="000622D7">
        <w:rPr>
          <w:lang w:val="fr-FR" w:eastAsia="ja-JP"/>
        </w:rPr>
        <w:t xml:space="preserve">ISTA </w:t>
      </w:r>
      <w:r w:rsidR="00F4333E" w:rsidRPr="000622D7">
        <w:rPr>
          <w:lang w:val="fr-FR" w:eastAsia="ja-JP"/>
        </w:rPr>
        <w:t>concernant l</w:t>
      </w:r>
      <w:r w:rsidR="005C211B" w:rsidRPr="000622D7">
        <w:rPr>
          <w:lang w:val="fr-FR" w:eastAsia="ja-JP"/>
        </w:rPr>
        <w:t>’</w:t>
      </w:r>
      <w:r w:rsidR="00F4333E" w:rsidRPr="000622D7">
        <w:rPr>
          <w:lang w:val="fr-FR" w:eastAsia="ja-JP"/>
        </w:rPr>
        <w:t>élaboration éventuelle d</w:t>
      </w:r>
      <w:r w:rsidR="005C211B" w:rsidRPr="000622D7">
        <w:rPr>
          <w:lang w:val="fr-FR" w:eastAsia="ja-JP"/>
        </w:rPr>
        <w:t>’</w:t>
      </w:r>
      <w:r w:rsidR="00F4333E" w:rsidRPr="000622D7">
        <w:rPr>
          <w:lang w:val="fr-FR" w:eastAsia="ja-JP"/>
        </w:rPr>
        <w:t>un document commun présentant les particularités des systèmes de l</w:t>
      </w:r>
      <w:r w:rsidR="005C211B" w:rsidRPr="000622D7">
        <w:rPr>
          <w:lang w:val="fr-FR" w:eastAsia="ja-JP"/>
        </w:rPr>
        <w:t>’</w:t>
      </w:r>
      <w:r w:rsidR="00F4333E" w:rsidRPr="000622D7">
        <w:rPr>
          <w:lang w:val="fr-FR" w:eastAsia="ja-JP"/>
        </w:rPr>
        <w:t>OCDE, de l</w:t>
      </w:r>
      <w:r w:rsidR="005C211B" w:rsidRPr="000622D7">
        <w:rPr>
          <w:lang w:val="fr-FR" w:eastAsia="ja-JP"/>
        </w:rPr>
        <w:t>’</w:t>
      </w:r>
      <w:r w:rsidR="00F4333E" w:rsidRPr="000622D7">
        <w:rPr>
          <w:lang w:val="fr-FR" w:eastAsia="ja-JP"/>
        </w:rPr>
        <w:t>UPOV et de l</w:t>
      </w:r>
      <w:r w:rsidR="005C211B" w:rsidRPr="000622D7">
        <w:rPr>
          <w:lang w:val="fr-FR" w:eastAsia="ja-JP"/>
        </w:rPr>
        <w:t>’</w:t>
      </w:r>
      <w:r w:rsidR="00F4333E" w:rsidRPr="000622D7">
        <w:rPr>
          <w:lang w:val="fr-FR" w:eastAsia="ja-JP"/>
        </w:rPr>
        <w:t>ISTA seront communiquées au</w:t>
      </w:r>
      <w:r w:rsidR="005C211B" w:rsidRPr="000622D7">
        <w:rPr>
          <w:lang w:val="fr-FR" w:eastAsia="ja-JP"/>
        </w:rPr>
        <w:t> TC</w:t>
      </w:r>
      <w:r w:rsidR="00F4333E" w:rsidRPr="000622D7">
        <w:rPr>
          <w:lang w:val="fr-FR" w:eastAsia="ja-JP"/>
        </w:rPr>
        <w:t xml:space="preserve"> à sa cinquante</w:t>
      </w:r>
      <w:r w:rsidR="007F1BBD" w:rsidRPr="000622D7">
        <w:rPr>
          <w:lang w:val="fr-FR" w:eastAsia="ja-JP"/>
        </w:rPr>
        <w:noBreakHyphen/>
      </w:r>
      <w:r w:rsidR="00F4333E" w:rsidRPr="000622D7">
        <w:rPr>
          <w:lang w:val="fr-FR" w:eastAsia="ja-JP"/>
        </w:rPr>
        <w:t>troisième</w:t>
      </w:r>
      <w:r w:rsidR="0090653E" w:rsidRPr="000622D7">
        <w:rPr>
          <w:lang w:val="fr-FR" w:eastAsia="ja-JP"/>
        </w:rPr>
        <w:t> </w:t>
      </w:r>
      <w:r w:rsidR="00F4333E" w:rsidRPr="000622D7">
        <w:rPr>
          <w:lang w:val="fr-FR" w:eastAsia="ja-JP"/>
        </w:rPr>
        <w:t xml:space="preserve">session prévue à </w:t>
      </w:r>
      <w:r w:rsidR="00B61698" w:rsidRPr="000622D7">
        <w:rPr>
          <w:lang w:val="fr-FR" w:eastAsia="ja-JP"/>
        </w:rPr>
        <w:t>Genève</w:t>
      </w:r>
      <w:r w:rsidR="00F4333E" w:rsidRPr="000622D7">
        <w:rPr>
          <w:lang w:val="fr-FR" w:eastAsia="ja-JP"/>
        </w:rPr>
        <w:t xml:space="preserve"> en</w:t>
      </w:r>
      <w:r w:rsidR="0090653E" w:rsidRPr="000622D7">
        <w:rPr>
          <w:lang w:val="fr-FR" w:eastAsia="ja-JP"/>
        </w:rPr>
        <w:t> </w:t>
      </w:r>
      <w:r w:rsidR="00F4333E" w:rsidRPr="000622D7">
        <w:rPr>
          <w:lang w:val="fr-FR" w:eastAsia="ja-JP"/>
        </w:rPr>
        <w:t>2017</w:t>
      </w:r>
      <w:r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333B73" w:rsidP="00F77193">
      <w:pPr>
        <w:pStyle w:val="Heading2"/>
        <w:rPr>
          <w:color w:val="auto"/>
        </w:rPr>
      </w:pPr>
      <w:bookmarkStart w:id="15" w:name="_Toc444674448"/>
      <w:r w:rsidRPr="000622D7">
        <w:rPr>
          <w:color w:val="auto"/>
        </w:rPr>
        <w:t>Inventaire de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utilisation qui est faite des techniques faisant intervenir des marqueurs moléculaires</w:t>
      </w:r>
      <w:bookmarkEnd w:id="15"/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472D5B" w:rsidP="00F77193">
      <w:pPr>
        <w:rPr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F37744" w:rsidRPr="000622D7">
        <w:rPr>
          <w:rFonts w:eastAsia="MS Mincho"/>
          <w:snapToGrid w:val="0"/>
          <w:lang w:val="fr-FR" w:eastAsia="ja-JP"/>
        </w:rPr>
        <w:t>À sa cinquante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F37744" w:rsidRPr="000622D7">
        <w:rPr>
          <w:rFonts w:eastAsia="MS Mincho"/>
          <w:snapToGrid w:val="0"/>
          <w:lang w:val="fr-FR" w:eastAsia="ja-JP"/>
        </w:rPr>
        <w:t>et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F37744" w:rsidRPr="000622D7">
        <w:rPr>
          <w:rFonts w:eastAsia="MS Mincho"/>
          <w:snapToGrid w:val="0"/>
          <w:lang w:val="fr-FR" w:eastAsia="ja-JP"/>
        </w:rPr>
        <w:t>unième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F37744" w:rsidRPr="000622D7">
        <w:rPr>
          <w:rFonts w:eastAsia="MS Mincho"/>
          <w:snapToGrid w:val="0"/>
          <w:lang w:val="fr-FR" w:eastAsia="ja-JP"/>
        </w:rPr>
        <w:t>session, le</w:t>
      </w:r>
      <w:r w:rsidR="005C211B" w:rsidRPr="000622D7">
        <w:rPr>
          <w:rFonts w:eastAsia="MS Mincho"/>
          <w:snapToGrid w:val="0"/>
          <w:lang w:val="fr-FR" w:eastAsia="ja-JP"/>
        </w:rPr>
        <w:t> TC</w:t>
      </w:r>
      <w:r w:rsidR="00F37744" w:rsidRPr="000622D7">
        <w:rPr>
          <w:rFonts w:eastAsia="MS Mincho"/>
          <w:snapToGrid w:val="0"/>
          <w:lang w:val="fr-FR" w:eastAsia="ja-JP"/>
        </w:rPr>
        <w:t xml:space="preserve"> est convenu</w:t>
      </w:r>
      <w:r w:rsidR="000A7A15" w:rsidRPr="000622D7">
        <w:rPr>
          <w:rFonts w:eastAsia="MS Mincho"/>
          <w:snapToGrid w:val="0"/>
          <w:lang w:val="fr-FR" w:eastAsia="ja-JP"/>
        </w:rPr>
        <w:t>,</w:t>
      </w:r>
      <w:r w:rsidR="00291817" w:rsidRPr="000622D7">
        <w:rPr>
          <w:rFonts w:eastAsia="MS Mincho"/>
          <w:snapToGrid w:val="0"/>
          <w:lang w:val="fr-FR" w:eastAsia="ja-JP"/>
        </w:rPr>
        <w:t xml:space="preserve"> </w:t>
      </w:r>
      <w:r w:rsidR="00BF7F1D" w:rsidRPr="000622D7">
        <w:rPr>
          <w:rFonts w:eastAsia="MS Mincho"/>
          <w:snapToGrid w:val="0"/>
          <w:lang w:val="fr-FR" w:eastAsia="ja-JP"/>
        </w:rPr>
        <w:t>de dresser un inventaire, par plante,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utilisation qui est faite des techniques faisant intervenir des marqueurs moléculaires, en vue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élaboration d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un document commun à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OCDE, à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UPOV et à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ISTA contenant ces informations, dans un format semblable à celui du document UPOV/INF/16 “Logiciels échangeables”, comme indiqué au paragraphe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BF7F1D" w:rsidRPr="000622D7">
        <w:rPr>
          <w:rFonts w:eastAsia="MS Mincho"/>
          <w:snapToGrid w:val="0"/>
          <w:lang w:val="fr-FR" w:eastAsia="ja-JP"/>
        </w:rPr>
        <w:t xml:space="preserve">26 du </w:t>
      </w:r>
      <w:r w:rsidR="005C211B" w:rsidRPr="000622D7">
        <w:rPr>
          <w:rFonts w:eastAsia="MS Mincho"/>
          <w:snapToGrid w:val="0"/>
          <w:lang w:val="fr-FR" w:eastAsia="ja-JP"/>
        </w:rPr>
        <w:t>document TC</w:t>
      </w:r>
      <w:r w:rsidR="00BF7F1D" w:rsidRPr="000622D7">
        <w:rPr>
          <w:rFonts w:eastAsia="MS Mincho"/>
          <w:snapToGrid w:val="0"/>
          <w:lang w:val="fr-FR" w:eastAsia="ja-JP"/>
        </w:rPr>
        <w:t>/51/11, sous réserve de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approbation du Conseil et en concertation avec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OCDE et l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ISTA.  Le</w:t>
      </w:r>
      <w:r w:rsidR="005C211B" w:rsidRPr="000622D7">
        <w:rPr>
          <w:rFonts w:eastAsia="MS Mincho"/>
          <w:snapToGrid w:val="0"/>
          <w:lang w:val="fr-FR" w:eastAsia="ja-JP"/>
        </w:rPr>
        <w:t> TC</w:t>
      </w:r>
      <w:r w:rsidR="00BF7F1D" w:rsidRPr="000622D7">
        <w:rPr>
          <w:rFonts w:eastAsia="MS Mincho"/>
          <w:snapToGrid w:val="0"/>
          <w:lang w:val="fr-FR" w:eastAsia="ja-JP"/>
        </w:rPr>
        <w:t xml:space="preserve"> est convenu qu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il sera nécessaire d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>établir des critères et un processus afin d</w:t>
      </w:r>
      <w:r w:rsidR="005C211B" w:rsidRPr="000622D7">
        <w:rPr>
          <w:rFonts w:eastAsia="MS Mincho"/>
          <w:snapToGrid w:val="0"/>
          <w:lang w:val="fr-FR" w:eastAsia="ja-JP"/>
        </w:rPr>
        <w:t>’</w:t>
      </w:r>
      <w:r w:rsidR="00BF7F1D" w:rsidRPr="000622D7">
        <w:rPr>
          <w:rFonts w:eastAsia="MS Mincho"/>
          <w:snapToGrid w:val="0"/>
          <w:lang w:val="fr-FR" w:eastAsia="ja-JP"/>
        </w:rPr>
        <w:t xml:space="preserve">ajouter des informations à ce document </w:t>
      </w:r>
      <w:r w:rsidRPr="000622D7">
        <w:rPr>
          <w:lang w:val="fr-FR" w:eastAsia="ja-JP"/>
        </w:rPr>
        <w:t>(</w:t>
      </w:r>
      <w:r w:rsidR="000C0BEC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0C0BEC" w:rsidRPr="000622D7">
        <w:rPr>
          <w:lang w:val="fr-FR" w:eastAsia="ja-JP"/>
        </w:rPr>
        <w:t xml:space="preserve">179 du </w:t>
      </w:r>
      <w:r w:rsidR="005C211B" w:rsidRPr="000622D7">
        <w:rPr>
          <w:lang w:val="fr-FR" w:eastAsia="ja-JP"/>
        </w:rPr>
        <w:t>document TC</w:t>
      </w:r>
      <w:r w:rsidR="000C0BEC" w:rsidRPr="000622D7">
        <w:rPr>
          <w:lang w:val="fr-FR" w:eastAsia="ja-JP"/>
        </w:rPr>
        <w:t>/51/39 “Compte rendu”</w:t>
      </w:r>
      <w:r w:rsidRPr="000622D7">
        <w:rPr>
          <w:lang w:val="fr-FR" w:eastAsia="ja-JP"/>
        </w:rPr>
        <w:t>)</w:t>
      </w:r>
      <w:r w:rsidRPr="000622D7">
        <w:rPr>
          <w:lang w:val="fr-FR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070463" w:rsidP="00F77193">
      <w:pPr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19015A" w:rsidRPr="000622D7">
        <w:rPr>
          <w:lang w:val="fr-FR" w:eastAsia="ja-JP"/>
        </w:rPr>
        <w:t>Les observations formulées par l</w:t>
      </w:r>
      <w:r w:rsidR="005C211B" w:rsidRPr="000622D7">
        <w:rPr>
          <w:lang w:val="fr-FR" w:eastAsia="ja-JP"/>
        </w:rPr>
        <w:t>’</w:t>
      </w:r>
      <w:r w:rsidR="0019015A" w:rsidRPr="000622D7">
        <w:rPr>
          <w:lang w:val="fr-FR" w:eastAsia="ja-JP"/>
        </w:rPr>
        <w:t>OCDE et l</w:t>
      </w:r>
      <w:r w:rsidR="005C211B" w:rsidRPr="000622D7">
        <w:rPr>
          <w:lang w:val="fr-FR" w:eastAsia="ja-JP"/>
        </w:rPr>
        <w:t>’</w:t>
      </w:r>
      <w:r w:rsidR="0019015A" w:rsidRPr="000622D7">
        <w:rPr>
          <w:lang w:val="fr-FR" w:eastAsia="ja-JP"/>
        </w:rPr>
        <w:t>ISTA concernant l</w:t>
      </w:r>
      <w:r w:rsidR="005C211B" w:rsidRPr="000622D7">
        <w:rPr>
          <w:lang w:val="fr-FR" w:eastAsia="ja-JP"/>
        </w:rPr>
        <w:t>’</w:t>
      </w:r>
      <w:r w:rsidR="0019015A" w:rsidRPr="000622D7">
        <w:rPr>
          <w:lang w:val="fr-FR" w:eastAsia="ja-JP"/>
        </w:rPr>
        <w:t>élaboration éventuelle d</w:t>
      </w:r>
      <w:r w:rsidR="005C211B" w:rsidRPr="000622D7">
        <w:rPr>
          <w:lang w:val="fr-FR" w:eastAsia="ja-JP"/>
        </w:rPr>
        <w:t>’</w:t>
      </w:r>
      <w:r w:rsidR="0019015A" w:rsidRPr="000622D7">
        <w:rPr>
          <w:lang w:val="fr-FR" w:eastAsia="ja-JP"/>
        </w:rPr>
        <w:t>un inventaire, par plante, de l</w:t>
      </w:r>
      <w:r w:rsidR="005C211B" w:rsidRPr="000622D7">
        <w:rPr>
          <w:lang w:val="fr-FR" w:eastAsia="ja-JP"/>
        </w:rPr>
        <w:t>’</w:t>
      </w:r>
      <w:r w:rsidR="0019015A" w:rsidRPr="000622D7">
        <w:rPr>
          <w:lang w:val="fr-FR" w:eastAsia="ja-JP"/>
        </w:rPr>
        <w:t>utilisation qui est faite des techniques faisant intervenir des marqueurs moléculaires seront communiquées au</w:t>
      </w:r>
      <w:r w:rsidR="005C211B" w:rsidRPr="000622D7">
        <w:rPr>
          <w:lang w:val="fr-FR" w:eastAsia="ja-JP"/>
        </w:rPr>
        <w:t> TC</w:t>
      </w:r>
      <w:r w:rsidR="0019015A" w:rsidRPr="000622D7">
        <w:rPr>
          <w:lang w:val="fr-FR" w:eastAsia="ja-JP"/>
        </w:rPr>
        <w:t xml:space="preserve"> à sa cinquante</w:t>
      </w:r>
      <w:r w:rsidR="007F1BBD" w:rsidRPr="000622D7">
        <w:rPr>
          <w:lang w:val="fr-FR" w:eastAsia="ja-JP"/>
        </w:rPr>
        <w:noBreakHyphen/>
      </w:r>
      <w:r w:rsidR="0019015A" w:rsidRPr="000622D7">
        <w:rPr>
          <w:lang w:val="fr-FR" w:eastAsia="ja-JP"/>
        </w:rPr>
        <w:t>troisième</w:t>
      </w:r>
      <w:r w:rsidR="0090653E" w:rsidRPr="000622D7">
        <w:rPr>
          <w:lang w:val="fr-FR" w:eastAsia="ja-JP"/>
        </w:rPr>
        <w:t> </w:t>
      </w:r>
      <w:r w:rsidR="0019015A" w:rsidRPr="000622D7">
        <w:rPr>
          <w:lang w:val="fr-FR" w:eastAsia="ja-JP"/>
        </w:rPr>
        <w:t xml:space="preserve">session prévue à </w:t>
      </w:r>
      <w:r w:rsidR="00B61698" w:rsidRPr="000622D7">
        <w:rPr>
          <w:lang w:val="fr-FR" w:eastAsia="ja-JP"/>
        </w:rPr>
        <w:t>Genève</w:t>
      </w:r>
      <w:r w:rsidR="0019015A" w:rsidRPr="000622D7">
        <w:rPr>
          <w:lang w:val="fr-FR" w:eastAsia="ja-JP"/>
        </w:rPr>
        <w:t xml:space="preserve"> en</w:t>
      </w:r>
      <w:r w:rsidR="0090653E" w:rsidRPr="000622D7">
        <w:rPr>
          <w:lang w:val="fr-FR" w:eastAsia="ja-JP"/>
        </w:rPr>
        <w:t> </w:t>
      </w:r>
      <w:r w:rsidR="0019015A" w:rsidRPr="000622D7">
        <w:rPr>
          <w:lang w:val="fr-FR" w:eastAsia="ja-JP"/>
        </w:rPr>
        <w:t>2017</w:t>
      </w:r>
      <w:r w:rsidR="00670024" w:rsidRPr="000622D7">
        <w:rPr>
          <w:lang w:val="fr-FR" w:eastAsia="ja-JP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E72FD3" w:rsidP="00F77193">
      <w:pPr>
        <w:pStyle w:val="Heading2"/>
        <w:rPr>
          <w:color w:val="auto"/>
        </w:rPr>
      </w:pPr>
      <w:bookmarkStart w:id="16" w:name="_Toc444674449"/>
      <w:r w:rsidRPr="000622D7">
        <w:rPr>
          <w:color w:val="auto"/>
        </w:rPr>
        <w:t>Listes d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initiatives conjointes possibles avec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OCDE et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ISTA</w:t>
      </w:r>
      <w:bookmarkEnd w:id="16"/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107F48" w:rsidP="00F77193">
      <w:pPr>
        <w:rPr>
          <w:rFonts w:cs="Arial"/>
          <w:lang w:val="fr-FR" w:eastAsia="ja-JP"/>
        </w:rPr>
      </w:pPr>
      <w:r w:rsidRPr="000622D7">
        <w:rPr>
          <w:rFonts w:cs="Arial"/>
          <w:lang w:val="fr-FR"/>
        </w:rPr>
        <w:fldChar w:fldCharType="begin"/>
      </w:r>
      <w:r w:rsidRPr="000622D7">
        <w:rPr>
          <w:rFonts w:cs="Arial"/>
          <w:lang w:val="fr-FR"/>
        </w:rPr>
        <w:instrText xml:space="preserve"> AUTONUM  </w:instrText>
      </w:r>
      <w:r w:rsidRPr="000622D7">
        <w:rPr>
          <w:rFonts w:cs="Arial"/>
          <w:lang w:val="fr-FR"/>
        </w:rPr>
        <w:fldChar w:fldCharType="end"/>
      </w:r>
      <w:r w:rsidRPr="000622D7">
        <w:rPr>
          <w:rFonts w:cs="Arial"/>
          <w:lang w:val="fr-FR"/>
        </w:rPr>
        <w:tab/>
      </w:r>
      <w:r w:rsidR="00C2470F" w:rsidRPr="000622D7">
        <w:rPr>
          <w:rFonts w:cs="Arial"/>
          <w:lang w:val="fr-FR"/>
        </w:rPr>
        <w:t>Il a été convenu lors de l</w:t>
      </w:r>
      <w:r w:rsidR="005C211B" w:rsidRPr="000622D7">
        <w:rPr>
          <w:rFonts w:cs="Arial"/>
          <w:lang w:val="fr-FR"/>
        </w:rPr>
        <w:t>’</w:t>
      </w:r>
      <w:r w:rsidR="00C2470F" w:rsidRPr="000622D7">
        <w:rPr>
          <w:rFonts w:cs="Arial"/>
          <w:lang w:val="fr-FR"/>
        </w:rPr>
        <w:t>atelier conjoint de l</w:t>
      </w:r>
      <w:r w:rsidR="005C211B" w:rsidRPr="000622D7">
        <w:rPr>
          <w:rFonts w:cs="Arial"/>
          <w:lang w:val="fr-FR"/>
        </w:rPr>
        <w:t>’</w:t>
      </w:r>
      <w:r w:rsidR="00C2470F" w:rsidRPr="000622D7">
        <w:rPr>
          <w:rFonts w:cs="Arial"/>
          <w:lang w:val="fr-FR"/>
        </w:rPr>
        <w:t>OCDE, de l</w:t>
      </w:r>
      <w:r w:rsidR="005C211B" w:rsidRPr="000622D7">
        <w:rPr>
          <w:rFonts w:cs="Arial"/>
          <w:lang w:val="fr-FR"/>
        </w:rPr>
        <w:t>’</w:t>
      </w:r>
      <w:r w:rsidR="00C2470F" w:rsidRPr="000622D7">
        <w:rPr>
          <w:rFonts w:cs="Arial"/>
          <w:lang w:val="fr-FR"/>
        </w:rPr>
        <w:t>UPOV et de l</w:t>
      </w:r>
      <w:r w:rsidR="005C211B" w:rsidRPr="000622D7">
        <w:rPr>
          <w:rFonts w:cs="Arial"/>
          <w:lang w:val="fr-FR"/>
        </w:rPr>
        <w:t>’</w:t>
      </w:r>
      <w:r w:rsidR="00C2470F" w:rsidRPr="000622D7">
        <w:rPr>
          <w:rFonts w:cs="Arial"/>
          <w:lang w:val="fr-FR"/>
        </w:rPr>
        <w:t>ISTA sur les techniques moléculaires de proposer d</w:t>
      </w:r>
      <w:r w:rsidR="005C211B" w:rsidRPr="000622D7">
        <w:rPr>
          <w:rFonts w:cs="Arial"/>
          <w:lang w:val="fr-FR"/>
        </w:rPr>
        <w:t>’</w:t>
      </w:r>
      <w:r w:rsidR="00C2470F" w:rsidRPr="000622D7">
        <w:rPr>
          <w:rFonts w:cs="Arial"/>
          <w:lang w:val="fr-FR"/>
        </w:rPr>
        <w:t>inviter l</w:t>
      </w:r>
      <w:r w:rsidR="005C211B" w:rsidRPr="000622D7">
        <w:rPr>
          <w:rFonts w:cs="Arial"/>
          <w:lang w:val="fr-FR"/>
        </w:rPr>
        <w:t>’</w:t>
      </w:r>
      <w:r w:rsidR="00C2470F" w:rsidRPr="000622D7">
        <w:rPr>
          <w:rFonts w:cs="Arial"/>
          <w:lang w:val="fr-FR"/>
        </w:rPr>
        <w:t>UPOV, l</w:t>
      </w:r>
      <w:r w:rsidR="005C211B" w:rsidRPr="000622D7">
        <w:rPr>
          <w:rFonts w:cs="Arial"/>
          <w:lang w:val="fr-FR"/>
        </w:rPr>
        <w:t>’</w:t>
      </w:r>
      <w:r w:rsidR="00C2470F" w:rsidRPr="000622D7">
        <w:rPr>
          <w:rFonts w:cs="Arial"/>
          <w:lang w:val="fr-FR"/>
        </w:rPr>
        <w:t>OCDE et l</w:t>
      </w:r>
      <w:r w:rsidR="005C211B" w:rsidRPr="000622D7">
        <w:rPr>
          <w:rFonts w:cs="Arial"/>
          <w:lang w:val="fr-FR"/>
        </w:rPr>
        <w:t>’</w:t>
      </w:r>
      <w:r w:rsidR="00C2470F" w:rsidRPr="000622D7">
        <w:rPr>
          <w:rFonts w:cs="Arial"/>
          <w:lang w:val="fr-FR"/>
        </w:rPr>
        <w:t>ISTA à dresser des listes d</w:t>
      </w:r>
      <w:r w:rsidR="005C211B" w:rsidRPr="000622D7">
        <w:rPr>
          <w:rFonts w:cs="Arial"/>
          <w:lang w:val="fr-FR"/>
        </w:rPr>
        <w:t>’</w:t>
      </w:r>
      <w:r w:rsidR="00C2470F" w:rsidRPr="000622D7">
        <w:rPr>
          <w:rFonts w:cs="Arial"/>
          <w:lang w:val="fr-FR"/>
        </w:rPr>
        <w:t>initiatives conjointes possibles dans le domaine des techniques moléculaires</w:t>
      </w:r>
      <w:r w:rsidRPr="000622D7">
        <w:rPr>
          <w:rFonts w:cs="Arial"/>
          <w:lang w:val="fr-FR" w:eastAsia="ja-JP"/>
        </w:rPr>
        <w:t xml:space="preserve">.  </w:t>
      </w:r>
      <w:r w:rsidR="00C2470F" w:rsidRPr="000622D7">
        <w:rPr>
          <w:rFonts w:cs="Arial"/>
          <w:lang w:val="fr-FR" w:eastAsia="ja-JP"/>
        </w:rPr>
        <w:t>Il a été relevé que, dans le cas de l</w:t>
      </w:r>
      <w:r w:rsidR="005C211B" w:rsidRPr="000622D7">
        <w:rPr>
          <w:rFonts w:cs="Arial"/>
          <w:lang w:val="fr-FR" w:eastAsia="ja-JP"/>
        </w:rPr>
        <w:t>’</w:t>
      </w:r>
      <w:r w:rsidR="00C2470F" w:rsidRPr="000622D7">
        <w:rPr>
          <w:rFonts w:cs="Arial"/>
          <w:lang w:val="fr-FR" w:eastAsia="ja-JP"/>
        </w:rPr>
        <w:t>UPOV, la liste pourrait être rédigée par</w:t>
      </w:r>
      <w:r w:rsidR="005C211B" w:rsidRPr="000622D7">
        <w:rPr>
          <w:rFonts w:cs="Arial"/>
          <w:lang w:val="fr-FR" w:eastAsia="ja-JP"/>
        </w:rPr>
        <w:t xml:space="preserve"> le BMT</w:t>
      </w:r>
      <w:r w:rsidR="00C2470F" w:rsidRPr="000622D7">
        <w:rPr>
          <w:rFonts w:cs="Arial"/>
          <w:lang w:val="fr-FR" w:eastAsia="ja-JP"/>
        </w:rPr>
        <w:t xml:space="preserve"> à sa quinzième</w:t>
      </w:r>
      <w:r w:rsidR="0090653E" w:rsidRPr="000622D7">
        <w:rPr>
          <w:rFonts w:cs="Arial"/>
          <w:lang w:val="fr-FR" w:eastAsia="ja-JP"/>
        </w:rPr>
        <w:t> </w:t>
      </w:r>
      <w:r w:rsidR="00C2470F" w:rsidRPr="000622D7">
        <w:rPr>
          <w:rFonts w:cs="Arial"/>
          <w:lang w:val="fr-FR" w:eastAsia="ja-JP"/>
        </w:rPr>
        <w:t>session, sous réserve de l</w:t>
      </w:r>
      <w:r w:rsidR="005C211B" w:rsidRPr="000622D7">
        <w:rPr>
          <w:rFonts w:cs="Arial"/>
          <w:lang w:val="fr-FR" w:eastAsia="ja-JP"/>
        </w:rPr>
        <w:t>’</w:t>
      </w:r>
      <w:r w:rsidR="00C2470F" w:rsidRPr="000622D7">
        <w:rPr>
          <w:rFonts w:cs="Arial"/>
          <w:lang w:val="fr-FR" w:eastAsia="ja-JP"/>
        </w:rPr>
        <w:t xml:space="preserve">approbation du </w:t>
      </w:r>
      <w:r w:rsidR="001A6AFE" w:rsidRPr="000622D7">
        <w:rPr>
          <w:rFonts w:cs="Arial"/>
          <w:lang w:val="fr-FR" w:eastAsia="ja-JP"/>
        </w:rPr>
        <w:t>TC</w:t>
      </w:r>
      <w:r w:rsidRPr="000622D7">
        <w:rPr>
          <w:rFonts w:cs="Arial"/>
          <w:lang w:val="fr-FR" w:eastAsia="ja-JP"/>
        </w:rPr>
        <w:t xml:space="preserve"> </w:t>
      </w:r>
      <w:r w:rsidR="00C67A88" w:rsidRPr="000622D7">
        <w:rPr>
          <w:rFonts w:cs="Arial"/>
          <w:lang w:val="fr-FR" w:eastAsia="ja-JP"/>
        </w:rPr>
        <w:t>(</w:t>
      </w:r>
      <w:r w:rsidR="00B64BAC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B64BAC" w:rsidRPr="000622D7">
        <w:rPr>
          <w:lang w:val="fr-FR" w:eastAsia="ja-JP"/>
        </w:rPr>
        <w:t xml:space="preserve">27 du </w:t>
      </w:r>
      <w:r w:rsidR="005C211B" w:rsidRPr="000622D7">
        <w:rPr>
          <w:lang w:val="fr-FR" w:eastAsia="ja-JP"/>
        </w:rPr>
        <w:t>document TC</w:t>
      </w:r>
      <w:r w:rsidR="00B64BAC" w:rsidRPr="000622D7">
        <w:rPr>
          <w:lang w:val="fr-FR" w:eastAsia="ja-JP"/>
        </w:rPr>
        <w:t>/51/11 </w:t>
      </w:r>
      <w:proofErr w:type="spellStart"/>
      <w:r w:rsidR="00B64BAC" w:rsidRPr="000622D7">
        <w:rPr>
          <w:lang w:val="fr-FR" w:eastAsia="ja-JP"/>
        </w:rPr>
        <w:t>Rev</w:t>
      </w:r>
      <w:proofErr w:type="spellEnd"/>
      <w:r w:rsidR="00B64BAC" w:rsidRPr="000622D7">
        <w:rPr>
          <w:lang w:val="fr-FR" w:eastAsia="ja-JP"/>
        </w:rPr>
        <w:t>. “Techniques moléculaires”</w:t>
      </w:r>
      <w:r w:rsidR="00C67A88" w:rsidRPr="000622D7">
        <w:rPr>
          <w:rFonts w:cs="Arial"/>
          <w:lang w:val="fr-FR" w:eastAsia="ja-JP"/>
        </w:rPr>
        <w:t>).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472D5B" w:rsidP="00F77193">
      <w:pPr>
        <w:autoSpaceDE w:val="0"/>
        <w:autoSpaceDN w:val="0"/>
        <w:adjustRightInd w:val="0"/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FB4FF7" w:rsidRPr="000622D7">
        <w:rPr>
          <w:rFonts w:eastAsia="MS Mincho"/>
          <w:snapToGrid w:val="0"/>
          <w:lang w:val="fr-FR" w:eastAsia="ja-JP"/>
        </w:rPr>
        <w:t>À sa cinquante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FB4FF7" w:rsidRPr="000622D7">
        <w:rPr>
          <w:rFonts w:eastAsia="MS Mincho"/>
          <w:snapToGrid w:val="0"/>
          <w:lang w:val="fr-FR" w:eastAsia="ja-JP"/>
        </w:rPr>
        <w:t>et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FB4FF7" w:rsidRPr="000622D7">
        <w:rPr>
          <w:rFonts w:eastAsia="MS Mincho"/>
          <w:snapToGrid w:val="0"/>
          <w:lang w:val="fr-FR" w:eastAsia="ja-JP"/>
        </w:rPr>
        <w:t>unième</w:t>
      </w:r>
      <w:r w:rsidR="0090653E" w:rsidRPr="000622D7">
        <w:rPr>
          <w:rFonts w:eastAsia="MS Mincho"/>
          <w:snapToGrid w:val="0"/>
          <w:lang w:val="fr-FR" w:eastAsia="ja-JP"/>
        </w:rPr>
        <w:t> </w:t>
      </w:r>
      <w:r w:rsidR="00FB4FF7" w:rsidRPr="000622D7">
        <w:rPr>
          <w:rFonts w:eastAsia="MS Mincho"/>
          <w:snapToGrid w:val="0"/>
          <w:lang w:val="fr-FR" w:eastAsia="ja-JP"/>
        </w:rPr>
        <w:t>session, le</w:t>
      </w:r>
      <w:r w:rsidR="005C211B" w:rsidRPr="000622D7">
        <w:rPr>
          <w:rFonts w:eastAsia="MS Mincho"/>
          <w:snapToGrid w:val="0"/>
          <w:lang w:val="fr-FR" w:eastAsia="ja-JP"/>
        </w:rPr>
        <w:t> TC</w:t>
      </w:r>
      <w:r w:rsidR="00FB4FF7" w:rsidRPr="000622D7">
        <w:rPr>
          <w:rFonts w:eastAsia="MS Mincho"/>
          <w:snapToGrid w:val="0"/>
          <w:lang w:val="fr-FR" w:eastAsia="ja-JP"/>
        </w:rPr>
        <w:t xml:space="preserve"> a approuvé la proposition selon laquelle</w:t>
      </w:r>
      <w:r w:rsidR="005C211B" w:rsidRPr="000622D7">
        <w:rPr>
          <w:lang w:val="fr-FR" w:eastAsia="ja-JP"/>
        </w:rPr>
        <w:t xml:space="preserve"> le BMT</w:t>
      </w:r>
      <w:r w:rsidR="00FB4FF7" w:rsidRPr="000622D7">
        <w:rPr>
          <w:lang w:val="fr-FR" w:eastAsia="ja-JP"/>
        </w:rPr>
        <w:t>, à sa quinzième</w:t>
      </w:r>
      <w:r w:rsidR="0090653E" w:rsidRPr="000622D7">
        <w:rPr>
          <w:lang w:val="fr-FR" w:eastAsia="ja-JP"/>
        </w:rPr>
        <w:t> </w:t>
      </w:r>
      <w:r w:rsidR="00FB4FF7" w:rsidRPr="000622D7">
        <w:rPr>
          <w:lang w:val="fr-FR" w:eastAsia="ja-JP"/>
        </w:rPr>
        <w:t>session, dresserait des listes d</w:t>
      </w:r>
      <w:r w:rsidR="005C211B" w:rsidRPr="000622D7">
        <w:rPr>
          <w:lang w:val="fr-FR" w:eastAsia="ja-JP"/>
        </w:rPr>
        <w:t>’</w:t>
      </w:r>
      <w:r w:rsidR="00FB4FF7" w:rsidRPr="000622D7">
        <w:rPr>
          <w:lang w:val="fr-FR" w:eastAsia="ja-JP"/>
        </w:rPr>
        <w:t>initiatives conjointes possibles avec l</w:t>
      </w:r>
      <w:r w:rsidR="005C211B" w:rsidRPr="000622D7">
        <w:rPr>
          <w:lang w:val="fr-FR" w:eastAsia="ja-JP"/>
        </w:rPr>
        <w:t>’</w:t>
      </w:r>
      <w:r w:rsidR="00FB4FF7" w:rsidRPr="000622D7">
        <w:rPr>
          <w:lang w:val="fr-FR" w:eastAsia="ja-JP"/>
        </w:rPr>
        <w:t>OCDE et l</w:t>
      </w:r>
      <w:r w:rsidR="005C211B" w:rsidRPr="000622D7">
        <w:rPr>
          <w:lang w:val="fr-FR" w:eastAsia="ja-JP"/>
        </w:rPr>
        <w:t>’</w:t>
      </w:r>
      <w:r w:rsidR="00FB4FF7" w:rsidRPr="000622D7">
        <w:rPr>
          <w:lang w:val="fr-FR" w:eastAsia="ja-JP"/>
        </w:rPr>
        <w:t>ISTA dans le domaine des techniques moléculaires, aux fins d</w:t>
      </w:r>
      <w:r w:rsidR="005C211B" w:rsidRPr="000622D7">
        <w:rPr>
          <w:lang w:val="fr-FR" w:eastAsia="ja-JP"/>
        </w:rPr>
        <w:t>’</w:t>
      </w:r>
      <w:r w:rsidR="00FB4FF7" w:rsidRPr="000622D7">
        <w:rPr>
          <w:lang w:val="fr-FR" w:eastAsia="ja-JP"/>
        </w:rPr>
        <w:t>examen par le</w:t>
      </w:r>
      <w:r w:rsidR="005C211B" w:rsidRPr="000622D7">
        <w:rPr>
          <w:lang w:val="fr-FR" w:eastAsia="ja-JP"/>
        </w:rPr>
        <w:t> TC</w:t>
      </w:r>
      <w:r w:rsidR="00FB4FF7" w:rsidRPr="000622D7">
        <w:rPr>
          <w:lang w:val="fr-FR" w:eastAsia="ja-JP"/>
        </w:rPr>
        <w:t xml:space="preserve"> </w:t>
      </w:r>
      <w:r w:rsidRPr="000622D7">
        <w:rPr>
          <w:lang w:val="fr-FR" w:eastAsia="ja-JP"/>
        </w:rPr>
        <w:t>(</w:t>
      </w:r>
      <w:r w:rsidR="000C0BEC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0C0BEC" w:rsidRPr="000622D7">
        <w:rPr>
          <w:lang w:val="fr-FR" w:eastAsia="ja-JP"/>
        </w:rPr>
        <w:t xml:space="preserve">180 du </w:t>
      </w:r>
      <w:r w:rsidR="005C211B" w:rsidRPr="000622D7">
        <w:rPr>
          <w:lang w:val="fr-FR" w:eastAsia="ja-JP"/>
        </w:rPr>
        <w:t>document TC</w:t>
      </w:r>
      <w:r w:rsidR="000C0BEC" w:rsidRPr="000622D7">
        <w:rPr>
          <w:lang w:val="fr-FR" w:eastAsia="ja-JP"/>
        </w:rPr>
        <w:t>/51/39 “Compte rendu”</w:t>
      </w:r>
      <w:r w:rsidRPr="000622D7">
        <w:rPr>
          <w:lang w:val="fr-FR" w:eastAsia="ja-JP"/>
        </w:rPr>
        <w:t>)</w:t>
      </w:r>
      <w:r w:rsidRPr="000622D7">
        <w:rPr>
          <w:lang w:val="fr-FR"/>
        </w:rPr>
        <w:t>.</w:t>
      </w:r>
    </w:p>
    <w:p w:rsidR="00A94B4B" w:rsidRPr="000622D7" w:rsidRDefault="00A94B4B" w:rsidP="00F77193">
      <w:pPr>
        <w:autoSpaceDE w:val="0"/>
        <w:autoSpaceDN w:val="0"/>
        <w:adjustRightInd w:val="0"/>
        <w:rPr>
          <w:lang w:val="fr-FR" w:eastAsia="ja-JP"/>
        </w:rPr>
      </w:pPr>
    </w:p>
    <w:p w:rsidR="00A94B4B" w:rsidRPr="000622D7" w:rsidRDefault="00DE040B" w:rsidP="00F77193">
      <w:pPr>
        <w:autoSpaceDE w:val="0"/>
        <w:autoSpaceDN w:val="0"/>
        <w:adjustRightInd w:val="0"/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6D3D82" w:rsidRPr="000622D7">
        <w:rPr>
          <w:lang w:val="fr-FR"/>
        </w:rPr>
        <w:t>Le BMT, à sa quinzième</w:t>
      </w:r>
      <w:r w:rsidR="0090653E" w:rsidRPr="000622D7">
        <w:rPr>
          <w:lang w:val="fr-FR"/>
        </w:rPr>
        <w:t> </w:t>
      </w:r>
      <w:r w:rsidR="006D3D82" w:rsidRPr="000622D7">
        <w:rPr>
          <w:lang w:val="fr-FR"/>
        </w:rPr>
        <w:t xml:space="preserve">session, sera invité à dresser une liste </w:t>
      </w:r>
      <w:r w:rsidR="001A0ABB" w:rsidRPr="000622D7">
        <w:rPr>
          <w:lang w:val="fr-FR"/>
        </w:rPr>
        <w:t>d</w:t>
      </w:r>
      <w:r w:rsidR="005C211B" w:rsidRPr="000622D7">
        <w:rPr>
          <w:lang w:val="fr-FR"/>
        </w:rPr>
        <w:t>’</w:t>
      </w:r>
      <w:r w:rsidR="001A0ABB" w:rsidRPr="000622D7">
        <w:rPr>
          <w:lang w:val="fr-FR"/>
        </w:rPr>
        <w:t>initiatives conjointes possibles avec l</w:t>
      </w:r>
      <w:r w:rsidR="005C211B" w:rsidRPr="000622D7">
        <w:rPr>
          <w:lang w:val="fr-FR"/>
        </w:rPr>
        <w:t>’</w:t>
      </w:r>
      <w:r w:rsidR="001A0ABB" w:rsidRPr="000622D7">
        <w:rPr>
          <w:lang w:val="fr-FR"/>
        </w:rPr>
        <w:t>OCDE et l</w:t>
      </w:r>
      <w:r w:rsidR="005C211B" w:rsidRPr="000622D7">
        <w:rPr>
          <w:lang w:val="fr-FR"/>
        </w:rPr>
        <w:t>’</w:t>
      </w:r>
      <w:r w:rsidR="001A0ABB" w:rsidRPr="000622D7">
        <w:rPr>
          <w:lang w:val="fr-FR"/>
        </w:rPr>
        <w:t xml:space="preserve">ISTA. </w:t>
      </w:r>
      <w:r w:rsidR="006D3D82" w:rsidRPr="000622D7">
        <w:rPr>
          <w:lang w:val="fr-FR"/>
        </w:rPr>
        <w:t xml:space="preserve"> </w:t>
      </w:r>
      <w:r w:rsidR="001A0ABB" w:rsidRPr="000622D7">
        <w:rPr>
          <w:lang w:val="fr-FR"/>
        </w:rPr>
        <w:t>La liste d</w:t>
      </w:r>
      <w:r w:rsidR="005C211B" w:rsidRPr="000622D7">
        <w:rPr>
          <w:lang w:val="fr-FR"/>
        </w:rPr>
        <w:t>’</w:t>
      </w:r>
      <w:r w:rsidR="001A0ABB" w:rsidRPr="000622D7">
        <w:rPr>
          <w:lang w:val="fr-FR"/>
        </w:rPr>
        <w:t>initiatives conjointes possibles sera présentée au</w:t>
      </w:r>
      <w:r w:rsidR="005C211B" w:rsidRPr="000622D7">
        <w:rPr>
          <w:lang w:val="fr-FR"/>
        </w:rPr>
        <w:t> TC</w:t>
      </w:r>
      <w:r w:rsidR="006D3D82" w:rsidRPr="000622D7">
        <w:rPr>
          <w:lang w:val="fr-FR" w:eastAsia="ja-JP"/>
        </w:rPr>
        <w:t xml:space="preserve"> à sa cinquante</w:t>
      </w:r>
      <w:r w:rsidR="007F1BBD" w:rsidRPr="000622D7">
        <w:rPr>
          <w:lang w:val="fr-FR" w:eastAsia="ja-JP"/>
        </w:rPr>
        <w:noBreakHyphen/>
      </w:r>
      <w:r w:rsidR="006D3D82" w:rsidRPr="000622D7">
        <w:rPr>
          <w:lang w:val="fr-FR" w:eastAsia="ja-JP"/>
        </w:rPr>
        <w:t>troisième</w:t>
      </w:r>
      <w:r w:rsidR="0090653E" w:rsidRPr="000622D7">
        <w:rPr>
          <w:lang w:val="fr-FR" w:eastAsia="ja-JP"/>
        </w:rPr>
        <w:t> </w:t>
      </w:r>
      <w:r w:rsidR="006D3D82" w:rsidRPr="000622D7">
        <w:rPr>
          <w:lang w:val="fr-FR" w:eastAsia="ja-JP"/>
        </w:rPr>
        <w:t xml:space="preserve">session prévue à </w:t>
      </w:r>
      <w:r w:rsidR="00B61698" w:rsidRPr="000622D7">
        <w:rPr>
          <w:lang w:val="fr-FR" w:eastAsia="ja-JP"/>
        </w:rPr>
        <w:t>Genève</w:t>
      </w:r>
      <w:r w:rsidR="006D3D82" w:rsidRPr="000622D7">
        <w:rPr>
          <w:lang w:val="fr-FR" w:eastAsia="ja-JP"/>
        </w:rPr>
        <w:t xml:space="preserve"> en</w:t>
      </w:r>
      <w:r w:rsidR="0090653E" w:rsidRPr="000622D7">
        <w:rPr>
          <w:lang w:val="fr-FR" w:eastAsia="ja-JP"/>
        </w:rPr>
        <w:t> </w:t>
      </w:r>
      <w:r w:rsidR="006D3D82" w:rsidRPr="000622D7">
        <w:rPr>
          <w:lang w:val="fr-FR" w:eastAsia="ja-JP"/>
        </w:rPr>
        <w:t>2017</w:t>
      </w:r>
      <w:r w:rsidR="00087A62" w:rsidRPr="000622D7">
        <w:rPr>
          <w:lang w:val="fr-FR" w:eastAsia="ja-JP"/>
        </w:rPr>
        <w:t>.</w:t>
      </w:r>
    </w:p>
    <w:p w:rsidR="00A94B4B" w:rsidRPr="000622D7" w:rsidRDefault="00A94B4B" w:rsidP="00F77193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A94B4B" w:rsidRPr="000622D7" w:rsidRDefault="00A94B4B" w:rsidP="00F77193">
      <w:pPr>
        <w:pStyle w:val="Default"/>
        <w:rPr>
          <w:color w:val="auto"/>
          <w:sz w:val="20"/>
          <w:szCs w:val="20"/>
          <w:lang w:val="fr-FR"/>
        </w:rPr>
      </w:pPr>
    </w:p>
    <w:p w:rsidR="00A94B4B" w:rsidRPr="000622D7" w:rsidRDefault="00A94B4B" w:rsidP="00F77193">
      <w:pPr>
        <w:pStyle w:val="Heading1"/>
        <w:rPr>
          <w:color w:val="auto"/>
        </w:rPr>
      </w:pPr>
      <w:bookmarkStart w:id="17" w:name="_Toc444674450"/>
      <w:r w:rsidRPr="000622D7">
        <w:rPr>
          <w:color w:val="auto"/>
        </w:rPr>
        <w:t>diffusion d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informations sur la situation à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UPOV concernant l</w:t>
      </w:r>
      <w:r w:rsidR="005C211B" w:rsidRPr="000622D7">
        <w:rPr>
          <w:color w:val="auto"/>
        </w:rPr>
        <w:t>’</w:t>
      </w:r>
      <w:r w:rsidRPr="000622D7">
        <w:rPr>
          <w:color w:val="auto"/>
        </w:rPr>
        <w:t>utilisation de techniques moléculaires</w:t>
      </w:r>
      <w:bookmarkEnd w:id="17"/>
    </w:p>
    <w:p w:rsidR="00A94B4B" w:rsidRPr="000622D7" w:rsidRDefault="00A94B4B" w:rsidP="00F77193">
      <w:pPr>
        <w:keepNext/>
        <w:rPr>
          <w:lang w:val="fr-FR" w:eastAsia="ja-JP"/>
        </w:rPr>
      </w:pPr>
    </w:p>
    <w:p w:rsidR="00A94B4B" w:rsidRPr="000622D7" w:rsidRDefault="00A94B4B" w:rsidP="00F77193">
      <w:pPr>
        <w:pStyle w:val="Heading2"/>
        <w:rPr>
          <w:color w:val="auto"/>
        </w:rPr>
      </w:pPr>
      <w:bookmarkStart w:id="18" w:name="_Toc444674451"/>
      <w:r w:rsidRPr="000622D7">
        <w:rPr>
          <w:color w:val="auto"/>
        </w:rPr>
        <w:t>Généralités</w:t>
      </w:r>
      <w:bookmarkEnd w:id="18"/>
    </w:p>
    <w:p w:rsidR="00A94B4B" w:rsidRPr="000622D7" w:rsidRDefault="00A94B4B" w:rsidP="00F77193">
      <w:pPr>
        <w:keepNext/>
        <w:rPr>
          <w:lang w:val="fr-FR"/>
        </w:rPr>
      </w:pPr>
    </w:p>
    <w:p w:rsidR="00A94B4B" w:rsidRPr="000622D7" w:rsidRDefault="00291817" w:rsidP="00F77193">
      <w:pPr>
        <w:autoSpaceDE w:val="0"/>
        <w:autoSpaceDN w:val="0"/>
        <w:adjustRightInd w:val="0"/>
        <w:rPr>
          <w:rFonts w:cs="Arial"/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A94B4B" w:rsidRPr="000622D7">
        <w:rPr>
          <w:lang w:val="fr-FR"/>
        </w:rPr>
        <w:t>À sa quarante</w:t>
      </w:r>
      <w:r w:rsidR="007F1BBD" w:rsidRPr="000622D7">
        <w:rPr>
          <w:lang w:val="fr-FR"/>
        </w:rPr>
        <w:noBreakHyphen/>
      </w:r>
      <w:r w:rsidR="00A94B4B" w:rsidRPr="000622D7">
        <w:rPr>
          <w:lang w:val="fr-FR"/>
        </w:rPr>
        <w:t>neuvième</w:t>
      </w:r>
      <w:r w:rsidR="00CF2B96" w:rsidRPr="000622D7">
        <w:rPr>
          <w:lang w:val="fr-FR"/>
        </w:rPr>
        <w:t> </w:t>
      </w:r>
      <w:r w:rsidR="00A94B4B" w:rsidRPr="000622D7">
        <w:rPr>
          <w:lang w:val="fr-FR"/>
        </w:rPr>
        <w:t>session tenue à Genève du 18 au 2</w:t>
      </w:r>
      <w:r w:rsidR="00034D19" w:rsidRPr="000622D7">
        <w:rPr>
          <w:lang w:val="fr-FR"/>
        </w:rPr>
        <w:t>0 mars 20</w:t>
      </w:r>
      <w:r w:rsidR="00A94B4B" w:rsidRPr="000622D7">
        <w:rPr>
          <w:lang w:val="fr-FR"/>
        </w:rPr>
        <w:t>13, le</w:t>
      </w:r>
      <w:r w:rsidR="005C211B" w:rsidRPr="000622D7">
        <w:rPr>
          <w:lang w:val="fr-FR"/>
        </w:rPr>
        <w:t> TC</w:t>
      </w:r>
      <w:r w:rsidR="00A94B4B" w:rsidRPr="000622D7">
        <w:rPr>
          <w:lang w:val="fr-FR"/>
        </w:rPr>
        <w:t xml:space="preserve"> est convenu qu</w:t>
      </w:r>
      <w:r w:rsidR="005C211B" w:rsidRPr="000622D7">
        <w:rPr>
          <w:lang w:val="fr-FR"/>
        </w:rPr>
        <w:t>’</w:t>
      </w:r>
      <w:r w:rsidR="00A94B4B" w:rsidRPr="000622D7">
        <w:rPr>
          <w:lang w:val="fr-FR"/>
        </w:rPr>
        <w:t xml:space="preserve">il était nécessaire de diffuser à un plus large public, </w:t>
      </w:r>
      <w:r w:rsidR="005C211B" w:rsidRPr="000622D7">
        <w:rPr>
          <w:lang w:val="fr-FR"/>
        </w:rPr>
        <w:t>y compris</w:t>
      </w:r>
      <w:r w:rsidR="00A94B4B" w:rsidRPr="000622D7">
        <w:rPr>
          <w:lang w:val="fr-FR"/>
        </w:rPr>
        <w:t xml:space="preserve"> les obtenteurs et le public en général, des informations appropriées sur la situation à l</w:t>
      </w:r>
      <w:r w:rsidR="005C211B" w:rsidRPr="000622D7">
        <w:rPr>
          <w:lang w:val="fr-FR"/>
        </w:rPr>
        <w:t>’</w:t>
      </w:r>
      <w:r w:rsidR="00A94B4B" w:rsidRPr="000622D7">
        <w:rPr>
          <w:lang w:val="fr-FR"/>
        </w:rPr>
        <w:t>UPOV concernant l</w:t>
      </w:r>
      <w:r w:rsidR="005C211B" w:rsidRPr="000622D7">
        <w:rPr>
          <w:lang w:val="fr-FR"/>
        </w:rPr>
        <w:t>’</w:t>
      </w:r>
      <w:r w:rsidR="00A94B4B" w:rsidRPr="000622D7">
        <w:rPr>
          <w:lang w:val="fr-FR"/>
        </w:rPr>
        <w:t>utilisation de techniques moléculaires.</w:t>
      </w:r>
      <w:r w:rsidR="0036170D" w:rsidRPr="000622D7">
        <w:rPr>
          <w:lang w:val="fr-FR"/>
        </w:rPr>
        <w:t xml:space="preserve">  </w:t>
      </w:r>
      <w:r w:rsidR="00A94B4B" w:rsidRPr="000622D7">
        <w:rPr>
          <w:rFonts w:cs="Arial"/>
          <w:lang w:val="fr-FR"/>
        </w:rPr>
        <w:t>Ces informations devraient expliquer les avantages et les inconvénients potentiels de ces techniques ainsi que le lien entre génotype et phénotype, qui sont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assise de la situation à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UPOV (voir le paragraphe</w:t>
      </w:r>
      <w:r w:rsidR="00CF2B96" w:rsidRPr="000622D7">
        <w:rPr>
          <w:rFonts w:cs="Arial"/>
          <w:lang w:val="fr-FR"/>
        </w:rPr>
        <w:t> </w:t>
      </w:r>
      <w:r w:rsidR="00A94B4B" w:rsidRPr="000622D7">
        <w:rPr>
          <w:rFonts w:cs="Arial"/>
          <w:lang w:val="fr-FR"/>
        </w:rPr>
        <w:t xml:space="preserve">136 du </w:t>
      </w:r>
      <w:r w:rsidR="005C211B" w:rsidRPr="000622D7">
        <w:rPr>
          <w:rFonts w:cs="Arial"/>
          <w:lang w:val="fr-FR"/>
        </w:rPr>
        <w:t>document TC</w:t>
      </w:r>
      <w:r w:rsidR="00A94B4B" w:rsidRPr="000622D7">
        <w:rPr>
          <w:rFonts w:cs="Arial"/>
          <w:lang w:val="fr-FR"/>
        </w:rPr>
        <w:t>/49/41 “Compte rendu des conclusions”).</w:t>
      </w:r>
    </w:p>
    <w:p w:rsidR="00A94B4B" w:rsidRPr="000622D7" w:rsidRDefault="00A94B4B" w:rsidP="00F77193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:rsidR="00A94B4B" w:rsidRPr="000622D7" w:rsidRDefault="0036170D" w:rsidP="00F77193">
      <w:pPr>
        <w:autoSpaceDE w:val="0"/>
        <w:autoSpaceDN w:val="0"/>
        <w:adjustRightInd w:val="0"/>
        <w:rPr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A94B4B" w:rsidRPr="000622D7">
        <w:rPr>
          <w:lang w:val="fr-FR"/>
        </w:rPr>
        <w:t>À sa quatre</w:t>
      </w:r>
      <w:r w:rsidR="007F1BBD" w:rsidRPr="000622D7">
        <w:rPr>
          <w:lang w:val="fr-FR"/>
        </w:rPr>
        <w:noBreakHyphen/>
      </w:r>
      <w:r w:rsidR="00A94B4B" w:rsidRPr="000622D7">
        <w:rPr>
          <w:lang w:val="fr-FR"/>
        </w:rPr>
        <w:t>vingt</w:t>
      </w:r>
      <w:r w:rsidR="007F1BBD" w:rsidRPr="000622D7">
        <w:rPr>
          <w:lang w:val="fr-FR"/>
        </w:rPr>
        <w:noBreakHyphen/>
      </w:r>
      <w:r w:rsidR="00A94B4B" w:rsidRPr="000622D7">
        <w:rPr>
          <w:lang w:val="fr-FR"/>
        </w:rPr>
        <w:t>sixième</w:t>
      </w:r>
      <w:r w:rsidR="00CF2B96" w:rsidRPr="000622D7">
        <w:rPr>
          <w:lang w:val="fr-FR"/>
        </w:rPr>
        <w:t> </w:t>
      </w:r>
      <w:r w:rsidR="00A94B4B" w:rsidRPr="000622D7">
        <w:rPr>
          <w:lang w:val="fr-FR"/>
        </w:rPr>
        <w:t>session tenue à Genève les 23 et 2</w:t>
      </w:r>
      <w:r w:rsidR="00034D19" w:rsidRPr="000622D7">
        <w:rPr>
          <w:lang w:val="fr-FR"/>
        </w:rPr>
        <w:t>4 octobre 20</w:t>
      </w:r>
      <w:r w:rsidR="00A94B4B" w:rsidRPr="000622D7">
        <w:rPr>
          <w:lang w:val="fr-FR"/>
        </w:rPr>
        <w:t>13, le Comité consultatif a examiné une série de réponses à des questions fréquemment posées.</w:t>
      </w:r>
      <w:r w:rsidRPr="000622D7">
        <w:rPr>
          <w:lang w:val="fr-FR"/>
        </w:rPr>
        <w:t xml:space="preserve">  </w:t>
      </w:r>
      <w:r w:rsidR="00A94B4B" w:rsidRPr="000622D7">
        <w:rPr>
          <w:rFonts w:cs="Arial"/>
          <w:lang w:val="fr-FR"/>
        </w:rPr>
        <w:t>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une de ces questions était la suivante</w:t>
      </w:r>
      <w:r w:rsidR="00CF2B96" w:rsidRPr="000622D7">
        <w:rPr>
          <w:rFonts w:cs="Arial"/>
          <w:lang w:val="fr-FR"/>
        </w:rPr>
        <w:t> </w:t>
      </w:r>
      <w:r w:rsidR="00A94B4B" w:rsidRPr="000622D7">
        <w:rPr>
          <w:rFonts w:cs="Arial"/>
          <w:lang w:val="fr-FR"/>
        </w:rPr>
        <w:t>: “L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UPOV autorise</w:t>
      </w:r>
      <w:r w:rsidR="007F1BBD" w:rsidRPr="000622D7">
        <w:rPr>
          <w:rFonts w:cs="Arial"/>
          <w:lang w:val="fr-FR"/>
        </w:rPr>
        <w:noBreakHyphen/>
      </w:r>
      <w:r w:rsidR="00A94B4B" w:rsidRPr="000622D7">
        <w:rPr>
          <w:rFonts w:cs="Arial"/>
          <w:lang w:val="fr-FR"/>
        </w:rPr>
        <w:t>t</w:t>
      </w:r>
      <w:r w:rsidR="007F1BBD" w:rsidRPr="000622D7">
        <w:rPr>
          <w:rFonts w:cs="Arial"/>
          <w:lang w:val="fr-FR"/>
        </w:rPr>
        <w:noBreakHyphen/>
      </w:r>
      <w:r w:rsidR="00A94B4B" w:rsidRPr="000622D7">
        <w:rPr>
          <w:rFonts w:cs="Arial"/>
          <w:lang w:val="fr-FR"/>
        </w:rPr>
        <w:t>elle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utilisation de techniques moléculaires (profils d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ADN) dans le cadre de l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examen</w:t>
      </w:r>
      <w:r w:rsidR="00CF2B96" w:rsidRPr="000622D7">
        <w:rPr>
          <w:rFonts w:cs="Arial"/>
          <w:lang w:val="fr-FR"/>
        </w:rPr>
        <w:t> </w:t>
      </w:r>
      <w:r w:rsidR="00A94B4B" w:rsidRPr="000622D7">
        <w:rPr>
          <w:rFonts w:cs="Arial"/>
          <w:lang w:val="fr-FR"/>
        </w:rPr>
        <w:t>DHS?”</w:t>
      </w:r>
      <w:r w:rsidRPr="000622D7">
        <w:rPr>
          <w:rFonts w:cs="Arial"/>
          <w:lang w:val="fr-FR"/>
        </w:rPr>
        <w:t xml:space="preserve"> </w:t>
      </w:r>
      <w:r w:rsidR="00A94B4B" w:rsidRPr="000622D7">
        <w:rPr>
          <w:rFonts w:cs="Arial"/>
          <w:lang w:val="fr-FR"/>
        </w:rPr>
        <w:t xml:space="preserve">À cet égard, le Comité consultatif est convenu que la réponse à cette question serait élaborée par le </w:t>
      </w:r>
      <w:r w:rsidR="001A6AFE" w:rsidRPr="000622D7">
        <w:rPr>
          <w:rFonts w:cs="Arial"/>
          <w:lang w:val="fr-FR"/>
        </w:rPr>
        <w:t>TC</w:t>
      </w:r>
      <w:r w:rsidR="00A94B4B" w:rsidRPr="000622D7">
        <w:rPr>
          <w:rFonts w:cs="Arial"/>
          <w:lang w:val="fr-FR"/>
        </w:rPr>
        <w:t>.</w:t>
      </w:r>
      <w:r w:rsidRPr="000622D7">
        <w:rPr>
          <w:lang w:val="fr-FR"/>
        </w:rPr>
        <w:t xml:space="preserve"> </w:t>
      </w:r>
      <w:r w:rsidR="00291817" w:rsidRPr="000622D7">
        <w:rPr>
          <w:lang w:val="fr-FR"/>
        </w:rPr>
        <w:t xml:space="preserve"> </w:t>
      </w:r>
      <w:r w:rsidR="00A94B4B" w:rsidRPr="000622D7">
        <w:rPr>
          <w:rFonts w:cs="Arial"/>
          <w:lang w:val="fr-FR"/>
        </w:rPr>
        <w:t>Le Comité consultatif est convenu d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examiner les projets de réponses à cette question et d</w:t>
      </w:r>
      <w:r w:rsidR="005C211B" w:rsidRPr="000622D7">
        <w:rPr>
          <w:rFonts w:cs="Arial"/>
          <w:lang w:val="fr-FR"/>
        </w:rPr>
        <w:t>’</w:t>
      </w:r>
      <w:r w:rsidR="00A94B4B" w:rsidRPr="000622D7">
        <w:rPr>
          <w:rFonts w:cs="Arial"/>
          <w:lang w:val="fr-FR"/>
        </w:rPr>
        <w:t>autres questions fréquemment posées lors de sa quatre</w:t>
      </w:r>
      <w:r w:rsidR="007F1BBD" w:rsidRPr="000622D7">
        <w:rPr>
          <w:rFonts w:cs="Arial"/>
          <w:lang w:val="fr-FR"/>
        </w:rPr>
        <w:noBreakHyphen/>
      </w:r>
      <w:r w:rsidR="00A94B4B" w:rsidRPr="000622D7">
        <w:rPr>
          <w:rFonts w:cs="Arial"/>
          <w:lang w:val="fr-FR"/>
        </w:rPr>
        <w:t>vingt</w:t>
      </w:r>
      <w:r w:rsidR="007F1BBD" w:rsidRPr="000622D7">
        <w:rPr>
          <w:rFonts w:cs="Arial"/>
          <w:lang w:val="fr-FR"/>
        </w:rPr>
        <w:noBreakHyphen/>
      </w:r>
      <w:r w:rsidR="00A94B4B" w:rsidRPr="000622D7">
        <w:rPr>
          <w:rFonts w:cs="Arial"/>
          <w:lang w:val="fr-FR"/>
        </w:rPr>
        <w:t>septième</w:t>
      </w:r>
      <w:r w:rsidR="00CF2B96" w:rsidRPr="000622D7">
        <w:rPr>
          <w:rFonts w:cs="Arial"/>
          <w:lang w:val="fr-FR"/>
        </w:rPr>
        <w:t> </w:t>
      </w:r>
      <w:r w:rsidR="00A94B4B" w:rsidRPr="000622D7">
        <w:rPr>
          <w:rFonts w:cs="Arial"/>
          <w:lang w:val="fr-FR"/>
        </w:rPr>
        <w:t>session prévue le 1</w:t>
      </w:r>
      <w:r w:rsidR="00034D19" w:rsidRPr="000622D7">
        <w:rPr>
          <w:rFonts w:cs="Arial"/>
          <w:lang w:val="fr-FR"/>
        </w:rPr>
        <w:t>1 avril 20</w:t>
      </w:r>
      <w:r w:rsidR="00A94B4B" w:rsidRPr="000622D7">
        <w:rPr>
          <w:rFonts w:cs="Arial"/>
          <w:lang w:val="fr-FR"/>
        </w:rPr>
        <w:t>14 à Genève.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3423DF" w:rsidP="00F77193">
      <w:pPr>
        <w:rPr>
          <w:rFonts w:cs="Arial"/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821754" w:rsidRPr="000622D7">
        <w:rPr>
          <w:lang w:val="fr-FR"/>
        </w:rPr>
        <w:t>Le</w:t>
      </w:r>
      <w:r w:rsidR="005C211B" w:rsidRPr="000622D7">
        <w:rPr>
          <w:lang w:val="fr-FR"/>
        </w:rPr>
        <w:t> TC</w:t>
      </w:r>
      <w:r w:rsidR="00821754" w:rsidRPr="000622D7">
        <w:rPr>
          <w:lang w:val="fr-FR"/>
        </w:rPr>
        <w:t>, à sa cinquantième</w:t>
      </w:r>
      <w:r w:rsidR="00CF2B96" w:rsidRPr="000622D7">
        <w:rPr>
          <w:lang w:val="fr-FR"/>
        </w:rPr>
        <w:t> </w:t>
      </w:r>
      <w:r w:rsidR="00821754" w:rsidRPr="000622D7">
        <w:rPr>
          <w:lang w:val="fr-FR"/>
        </w:rPr>
        <w:t xml:space="preserve">session tenue à Genève du 7 au </w:t>
      </w:r>
      <w:r w:rsidR="00034D19" w:rsidRPr="000622D7">
        <w:rPr>
          <w:lang w:val="fr-FR"/>
        </w:rPr>
        <w:t>9 avril 20</w:t>
      </w:r>
      <w:r w:rsidR="00821754" w:rsidRPr="000622D7">
        <w:rPr>
          <w:lang w:val="fr-FR"/>
        </w:rPr>
        <w:t>14 et</w:t>
      </w:r>
      <w:r w:rsidR="00034D19" w:rsidRPr="000622D7">
        <w:rPr>
          <w:lang w:val="fr-FR"/>
        </w:rPr>
        <w:t xml:space="preserve"> le CAJ</w:t>
      </w:r>
      <w:r w:rsidR="00821754" w:rsidRPr="000622D7">
        <w:rPr>
          <w:lang w:val="fr-FR"/>
        </w:rPr>
        <w:t>, à sa soixante</w:t>
      </w:r>
      <w:r w:rsidR="007F1BBD" w:rsidRPr="000622D7">
        <w:rPr>
          <w:lang w:val="fr-FR"/>
        </w:rPr>
        <w:noBreakHyphen/>
      </w:r>
      <w:r w:rsidR="00821754" w:rsidRPr="000622D7">
        <w:rPr>
          <w:lang w:val="fr-FR"/>
        </w:rPr>
        <w:t>neuvième</w:t>
      </w:r>
      <w:r w:rsidR="00CF2B96" w:rsidRPr="000622D7">
        <w:rPr>
          <w:lang w:val="fr-FR"/>
        </w:rPr>
        <w:t> </w:t>
      </w:r>
      <w:r w:rsidR="00821754" w:rsidRPr="000622D7">
        <w:rPr>
          <w:lang w:val="fr-FR"/>
        </w:rPr>
        <w:t>session tenue à Genève le 1</w:t>
      </w:r>
      <w:r w:rsidR="00034D19" w:rsidRPr="000622D7">
        <w:rPr>
          <w:lang w:val="fr-FR"/>
        </w:rPr>
        <w:t>0 avril 20</w:t>
      </w:r>
      <w:r w:rsidR="00821754" w:rsidRPr="000622D7">
        <w:rPr>
          <w:lang w:val="fr-FR"/>
        </w:rPr>
        <w:t>14, ont approuvé l</w:t>
      </w:r>
      <w:r w:rsidR="005C211B" w:rsidRPr="000622D7">
        <w:rPr>
          <w:lang w:val="fr-FR"/>
        </w:rPr>
        <w:t>’</w:t>
      </w:r>
      <w:r w:rsidR="00821754" w:rsidRPr="000622D7">
        <w:rPr>
          <w:lang w:val="fr-FR"/>
        </w:rPr>
        <w:t>explication proposée de la situation à l</w:t>
      </w:r>
      <w:r w:rsidR="005C211B" w:rsidRPr="000622D7">
        <w:rPr>
          <w:lang w:val="fr-FR"/>
        </w:rPr>
        <w:t>’</w:t>
      </w:r>
      <w:r w:rsidR="00821754" w:rsidRPr="000622D7">
        <w:rPr>
          <w:lang w:val="fr-FR"/>
        </w:rPr>
        <w:t>UPOV en ce qui concerne l</w:t>
      </w:r>
      <w:r w:rsidR="005C211B" w:rsidRPr="000622D7">
        <w:rPr>
          <w:lang w:val="fr-FR"/>
        </w:rPr>
        <w:t>’</w:t>
      </w:r>
      <w:r w:rsidR="00821754" w:rsidRPr="000622D7">
        <w:rPr>
          <w:lang w:val="fr-FR"/>
        </w:rPr>
        <w:t>utilisation de techniques moléculaires.</w:t>
      </w:r>
    </w:p>
    <w:p w:rsidR="00A94B4B" w:rsidRPr="000622D7" w:rsidRDefault="00A94B4B" w:rsidP="00F77193">
      <w:pPr>
        <w:rPr>
          <w:sz w:val="18"/>
          <w:szCs w:val="18"/>
          <w:lang w:val="fr-FR"/>
        </w:rPr>
      </w:pPr>
    </w:p>
    <w:p w:rsidR="00A94B4B" w:rsidRPr="000622D7" w:rsidRDefault="003423DF" w:rsidP="00F77193">
      <w:pPr>
        <w:rPr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821754" w:rsidRPr="000622D7">
        <w:rPr>
          <w:lang w:val="fr-FR"/>
        </w:rPr>
        <w:t>En ce qui concerne un plus large public, le</w:t>
      </w:r>
      <w:r w:rsidR="005C211B" w:rsidRPr="000622D7">
        <w:rPr>
          <w:lang w:val="fr-FR"/>
        </w:rPr>
        <w:t> TC</w:t>
      </w:r>
      <w:r w:rsidR="00821754" w:rsidRPr="000622D7">
        <w:rPr>
          <w:lang w:val="fr-FR"/>
        </w:rPr>
        <w:t xml:space="preserve"> est convenu que la question n</w:t>
      </w:r>
      <w:r w:rsidR="005C211B" w:rsidRPr="000622D7">
        <w:rPr>
          <w:lang w:val="fr-FR"/>
        </w:rPr>
        <w:t>’</w:t>
      </w:r>
      <w:r w:rsidR="00821754" w:rsidRPr="000622D7">
        <w:rPr>
          <w:lang w:val="fr-FR"/>
        </w:rPr>
        <w:t>a pas été posée de manière appropriée et qu</w:t>
      </w:r>
      <w:r w:rsidR="005C211B" w:rsidRPr="000622D7">
        <w:rPr>
          <w:lang w:val="fr-FR"/>
        </w:rPr>
        <w:t>’</w:t>
      </w:r>
      <w:r w:rsidR="00821754" w:rsidRPr="000622D7">
        <w:rPr>
          <w:lang w:val="fr-FR"/>
        </w:rPr>
        <w:t>il ne serait donc pas pertinent de chercher à y donner une réponse.</w:t>
      </w:r>
      <w:r w:rsidRPr="000622D7">
        <w:rPr>
          <w:lang w:val="fr-FR"/>
        </w:rPr>
        <w:t xml:space="preserve"> </w:t>
      </w:r>
      <w:r w:rsidR="00291817" w:rsidRPr="000622D7">
        <w:rPr>
          <w:lang w:val="fr-FR"/>
        </w:rPr>
        <w:t xml:space="preserve"> </w:t>
      </w:r>
      <w:r w:rsidR="00821754" w:rsidRPr="000622D7">
        <w:rPr>
          <w:lang w:val="fr-FR"/>
        </w:rPr>
        <w:t>Le</w:t>
      </w:r>
      <w:r w:rsidR="005C211B" w:rsidRPr="000622D7">
        <w:rPr>
          <w:lang w:val="fr-FR"/>
        </w:rPr>
        <w:t> TC</w:t>
      </w:r>
      <w:r w:rsidR="00821754" w:rsidRPr="000622D7">
        <w:rPr>
          <w:lang w:val="fr-FR"/>
        </w:rPr>
        <w:t xml:space="preserve"> est convenu que cette question devrait être remaniée une fois précisées les questions revêtant un intérêt pour un plus large public (voir les paragraphes</w:t>
      </w:r>
      <w:r w:rsidR="00CF2B96" w:rsidRPr="000622D7">
        <w:rPr>
          <w:lang w:val="fr-FR"/>
        </w:rPr>
        <w:t> </w:t>
      </w:r>
      <w:r w:rsidR="00821754" w:rsidRPr="000622D7">
        <w:rPr>
          <w:lang w:val="fr-FR"/>
        </w:rPr>
        <w:t xml:space="preserve">83 à 85 du </w:t>
      </w:r>
      <w:r w:rsidR="005C211B" w:rsidRPr="000622D7">
        <w:rPr>
          <w:lang w:val="fr-FR"/>
        </w:rPr>
        <w:t>document TC</w:t>
      </w:r>
      <w:r w:rsidR="00821754" w:rsidRPr="000622D7">
        <w:rPr>
          <w:lang w:val="fr-FR"/>
        </w:rPr>
        <w:t>/50/36 “Compte rendu des conclusions”).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2D3575" w:rsidP="00F77193">
      <w:pPr>
        <w:rPr>
          <w:snapToGrid w:val="0"/>
          <w:lang w:val="fr-FR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Pr="000622D7">
        <w:rPr>
          <w:snapToGrid w:val="0"/>
          <w:lang w:val="fr-FR"/>
        </w:rPr>
        <w:tab/>
      </w:r>
      <w:r w:rsidR="00821754" w:rsidRPr="000622D7">
        <w:rPr>
          <w:snapToGrid w:val="0"/>
          <w:lang w:val="fr-FR"/>
        </w:rPr>
        <w:t>À sa quatre</w:t>
      </w:r>
      <w:r w:rsidR="007F1BBD" w:rsidRPr="000622D7">
        <w:rPr>
          <w:snapToGrid w:val="0"/>
          <w:lang w:val="fr-FR"/>
        </w:rPr>
        <w:noBreakHyphen/>
      </w:r>
      <w:r w:rsidR="00821754" w:rsidRPr="000622D7">
        <w:rPr>
          <w:snapToGrid w:val="0"/>
          <w:lang w:val="fr-FR"/>
        </w:rPr>
        <w:t>vingt</w:t>
      </w:r>
      <w:r w:rsidR="007F1BBD" w:rsidRPr="000622D7">
        <w:rPr>
          <w:snapToGrid w:val="0"/>
          <w:lang w:val="fr-FR"/>
        </w:rPr>
        <w:noBreakHyphen/>
      </w:r>
      <w:r w:rsidR="00821754" w:rsidRPr="000622D7">
        <w:rPr>
          <w:snapToGrid w:val="0"/>
          <w:lang w:val="fr-FR"/>
        </w:rPr>
        <w:t>huitième</w:t>
      </w:r>
      <w:r w:rsidR="00CF2B96" w:rsidRPr="000622D7">
        <w:rPr>
          <w:snapToGrid w:val="0"/>
          <w:lang w:val="fr-FR"/>
        </w:rPr>
        <w:t> </w:t>
      </w:r>
      <w:r w:rsidR="00821754" w:rsidRPr="000622D7">
        <w:rPr>
          <w:snapToGrid w:val="0"/>
          <w:lang w:val="fr-FR"/>
        </w:rPr>
        <w:t>session tenue à Genève le 1</w:t>
      </w:r>
      <w:r w:rsidR="00034D19" w:rsidRPr="000622D7">
        <w:rPr>
          <w:snapToGrid w:val="0"/>
          <w:lang w:val="fr-FR"/>
        </w:rPr>
        <w:t>5 octobre 20</w:t>
      </w:r>
      <w:r w:rsidR="00821754" w:rsidRPr="000622D7">
        <w:rPr>
          <w:snapToGrid w:val="0"/>
          <w:lang w:val="fr-FR"/>
        </w:rPr>
        <w:t>14, le Comité consultatif est convenu que le projet de questions et réponses concernant la diffusion d</w:t>
      </w:r>
      <w:r w:rsidR="005C211B" w:rsidRPr="000622D7">
        <w:rPr>
          <w:snapToGrid w:val="0"/>
          <w:lang w:val="fr-FR"/>
        </w:rPr>
        <w:t>’</w:t>
      </w:r>
      <w:r w:rsidR="00821754" w:rsidRPr="000622D7">
        <w:rPr>
          <w:snapToGrid w:val="0"/>
          <w:lang w:val="fr-FR"/>
        </w:rPr>
        <w:t xml:space="preserve">informations à un large public, </w:t>
      </w:r>
      <w:r w:rsidR="005C211B" w:rsidRPr="000622D7">
        <w:rPr>
          <w:snapToGrid w:val="0"/>
          <w:lang w:val="fr-FR"/>
        </w:rPr>
        <w:t>y compris</w:t>
      </w:r>
      <w:r w:rsidR="00821754" w:rsidRPr="000622D7">
        <w:rPr>
          <w:snapToGrid w:val="0"/>
          <w:lang w:val="fr-FR"/>
        </w:rPr>
        <w:t xml:space="preserve"> le public en général, sur la situation à l</w:t>
      </w:r>
      <w:r w:rsidR="005C211B" w:rsidRPr="000622D7">
        <w:rPr>
          <w:snapToGrid w:val="0"/>
          <w:lang w:val="fr-FR"/>
        </w:rPr>
        <w:t>’</w:t>
      </w:r>
      <w:r w:rsidR="00821754" w:rsidRPr="000622D7">
        <w:rPr>
          <w:snapToGrid w:val="0"/>
          <w:lang w:val="fr-FR"/>
        </w:rPr>
        <w:t>UPOV concernant l</w:t>
      </w:r>
      <w:r w:rsidR="005C211B" w:rsidRPr="000622D7">
        <w:rPr>
          <w:snapToGrid w:val="0"/>
          <w:lang w:val="fr-FR"/>
        </w:rPr>
        <w:t>’</w:t>
      </w:r>
      <w:r w:rsidR="00821754" w:rsidRPr="000622D7">
        <w:rPr>
          <w:snapToGrid w:val="0"/>
          <w:lang w:val="fr-FR"/>
        </w:rPr>
        <w:t xml:space="preserve">utilisation de techniques moléculaires, devrait être soumis pour examen au </w:t>
      </w:r>
      <w:r w:rsidR="001A6AFE" w:rsidRPr="000622D7">
        <w:rPr>
          <w:snapToGrid w:val="0"/>
          <w:lang w:val="fr-FR"/>
        </w:rPr>
        <w:t>TC</w:t>
      </w:r>
      <w:r w:rsidR="00821754" w:rsidRPr="000622D7">
        <w:rPr>
          <w:snapToGrid w:val="0"/>
          <w:lang w:val="fr-FR"/>
        </w:rPr>
        <w:t xml:space="preserve"> (voir le paragraphe</w:t>
      </w:r>
      <w:r w:rsidR="00CF2B96" w:rsidRPr="000622D7">
        <w:rPr>
          <w:snapToGrid w:val="0"/>
          <w:lang w:val="fr-FR"/>
        </w:rPr>
        <w:t> </w:t>
      </w:r>
      <w:r w:rsidR="00821754" w:rsidRPr="000622D7">
        <w:rPr>
          <w:snapToGrid w:val="0"/>
          <w:lang w:val="fr-FR"/>
        </w:rPr>
        <w:t>48 du document C/48/19 “</w:t>
      </w:r>
      <w:r w:rsidR="00D33D88" w:rsidRPr="000622D7">
        <w:rPr>
          <w:i/>
          <w:snapToGrid w:val="0"/>
          <w:lang w:val="fr-FR"/>
        </w:rPr>
        <w:t>Report</w:t>
      </w:r>
      <w:r w:rsidR="00821754" w:rsidRPr="000622D7">
        <w:rPr>
          <w:i/>
          <w:snapToGrid w:val="0"/>
          <w:lang w:val="fr-FR"/>
        </w:rPr>
        <w:t xml:space="preserve"> by the </w:t>
      </w:r>
      <w:proofErr w:type="spellStart"/>
      <w:r w:rsidR="00821754" w:rsidRPr="000622D7">
        <w:rPr>
          <w:i/>
          <w:snapToGrid w:val="0"/>
          <w:lang w:val="fr-FR"/>
        </w:rPr>
        <w:t>President</w:t>
      </w:r>
      <w:proofErr w:type="spellEnd"/>
      <w:r w:rsidR="00821754" w:rsidRPr="000622D7">
        <w:rPr>
          <w:i/>
          <w:snapToGrid w:val="0"/>
          <w:lang w:val="fr-FR"/>
        </w:rPr>
        <w:t xml:space="preserve"> on the </w:t>
      </w:r>
      <w:proofErr w:type="spellStart"/>
      <w:r w:rsidR="00821754" w:rsidRPr="000622D7">
        <w:rPr>
          <w:i/>
          <w:snapToGrid w:val="0"/>
          <w:lang w:val="fr-FR"/>
        </w:rPr>
        <w:t>work</w:t>
      </w:r>
      <w:proofErr w:type="spellEnd"/>
      <w:r w:rsidR="00821754" w:rsidRPr="000622D7">
        <w:rPr>
          <w:i/>
          <w:snapToGrid w:val="0"/>
          <w:lang w:val="fr-FR"/>
        </w:rPr>
        <w:t xml:space="preserve"> of the </w:t>
      </w:r>
      <w:proofErr w:type="spellStart"/>
      <w:r w:rsidR="00821754" w:rsidRPr="000622D7">
        <w:rPr>
          <w:i/>
          <w:snapToGrid w:val="0"/>
          <w:lang w:val="fr-FR"/>
        </w:rPr>
        <w:t>eighty</w:t>
      </w:r>
      <w:r w:rsidR="007F1BBD" w:rsidRPr="000622D7">
        <w:rPr>
          <w:i/>
          <w:snapToGrid w:val="0"/>
          <w:lang w:val="fr-FR"/>
        </w:rPr>
        <w:noBreakHyphen/>
      </w:r>
      <w:r w:rsidR="00821754" w:rsidRPr="000622D7">
        <w:rPr>
          <w:i/>
          <w:snapToGrid w:val="0"/>
          <w:lang w:val="fr-FR"/>
        </w:rPr>
        <w:t>sixth</w:t>
      </w:r>
      <w:proofErr w:type="spellEnd"/>
      <w:r w:rsidR="00821754" w:rsidRPr="000622D7">
        <w:rPr>
          <w:i/>
          <w:snapToGrid w:val="0"/>
          <w:lang w:val="fr-FR"/>
        </w:rPr>
        <w:t xml:space="preserve"> session of the Consultative </w:t>
      </w:r>
      <w:proofErr w:type="spellStart"/>
      <w:r w:rsidR="00821754" w:rsidRPr="000622D7">
        <w:rPr>
          <w:i/>
          <w:snapToGrid w:val="0"/>
          <w:lang w:val="fr-FR"/>
        </w:rPr>
        <w:t>Committee</w:t>
      </w:r>
      <w:proofErr w:type="spellEnd"/>
      <w:r w:rsidR="00821754" w:rsidRPr="000622D7">
        <w:rPr>
          <w:i/>
          <w:snapToGrid w:val="0"/>
          <w:lang w:val="fr-FR"/>
        </w:rPr>
        <w:t xml:space="preserve">;  adoption of </w:t>
      </w:r>
      <w:proofErr w:type="spellStart"/>
      <w:r w:rsidR="00821754" w:rsidRPr="000622D7">
        <w:rPr>
          <w:i/>
          <w:snapToGrid w:val="0"/>
          <w:lang w:val="fr-FR"/>
        </w:rPr>
        <w:t>recommendations</w:t>
      </w:r>
      <w:proofErr w:type="spellEnd"/>
      <w:r w:rsidR="00821754" w:rsidRPr="000622D7">
        <w:rPr>
          <w:i/>
          <w:snapToGrid w:val="0"/>
          <w:lang w:val="fr-FR"/>
        </w:rPr>
        <w:t xml:space="preserve">, if </w:t>
      </w:r>
      <w:proofErr w:type="spellStart"/>
      <w:r w:rsidR="00821754" w:rsidRPr="000622D7">
        <w:rPr>
          <w:i/>
          <w:snapToGrid w:val="0"/>
          <w:lang w:val="fr-FR"/>
        </w:rPr>
        <w:t>any</w:t>
      </w:r>
      <w:proofErr w:type="spellEnd"/>
      <w:r w:rsidR="00821754" w:rsidRPr="000622D7">
        <w:rPr>
          <w:i/>
          <w:snapToGrid w:val="0"/>
          <w:lang w:val="fr-FR"/>
        </w:rPr>
        <w:t xml:space="preserve">, </w:t>
      </w:r>
      <w:proofErr w:type="spellStart"/>
      <w:r w:rsidR="00821754" w:rsidRPr="000622D7">
        <w:rPr>
          <w:i/>
          <w:snapToGrid w:val="0"/>
          <w:lang w:val="fr-FR"/>
        </w:rPr>
        <w:t>prepared</w:t>
      </w:r>
      <w:proofErr w:type="spellEnd"/>
      <w:r w:rsidR="00821754" w:rsidRPr="000622D7">
        <w:rPr>
          <w:i/>
          <w:snapToGrid w:val="0"/>
          <w:lang w:val="fr-FR"/>
        </w:rPr>
        <w:t xml:space="preserve"> by </w:t>
      </w:r>
      <w:proofErr w:type="spellStart"/>
      <w:r w:rsidR="00821754" w:rsidRPr="000622D7">
        <w:rPr>
          <w:i/>
          <w:snapToGrid w:val="0"/>
          <w:lang w:val="fr-FR"/>
        </w:rPr>
        <w:t>that</w:t>
      </w:r>
      <w:proofErr w:type="spellEnd"/>
      <w:r w:rsidR="00821754" w:rsidRPr="000622D7">
        <w:rPr>
          <w:i/>
          <w:snapToGrid w:val="0"/>
          <w:lang w:val="fr-FR"/>
        </w:rPr>
        <w:t xml:space="preserve"> </w:t>
      </w:r>
      <w:proofErr w:type="spellStart"/>
      <w:r w:rsidR="00821754" w:rsidRPr="000622D7">
        <w:rPr>
          <w:i/>
          <w:snapToGrid w:val="0"/>
          <w:lang w:val="fr-FR"/>
        </w:rPr>
        <w:t>Committee</w:t>
      </w:r>
      <w:proofErr w:type="spellEnd"/>
      <w:r w:rsidR="00821754" w:rsidRPr="000622D7">
        <w:rPr>
          <w:snapToGrid w:val="0"/>
          <w:lang w:val="fr-FR"/>
        </w:rPr>
        <w:t>”).</w:t>
      </w:r>
    </w:p>
    <w:p w:rsidR="00A94B4B" w:rsidRPr="000622D7" w:rsidRDefault="00A94B4B" w:rsidP="00F77193">
      <w:pPr>
        <w:rPr>
          <w:snapToGrid w:val="0"/>
          <w:lang w:val="fr-FR"/>
        </w:rPr>
      </w:pPr>
    </w:p>
    <w:p w:rsidR="00A94B4B" w:rsidRPr="000622D7" w:rsidRDefault="00161F46" w:rsidP="00F77193">
      <w:pPr>
        <w:rPr>
          <w:snapToGrid w:val="0"/>
          <w:lang w:val="fr-FR" w:eastAsia="ja-JP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Pr="000622D7">
        <w:rPr>
          <w:snapToGrid w:val="0"/>
          <w:lang w:val="fr-FR"/>
        </w:rPr>
        <w:tab/>
      </w:r>
      <w:r w:rsidR="008E6AA7" w:rsidRPr="000622D7">
        <w:rPr>
          <w:snapToGrid w:val="0"/>
          <w:lang w:val="fr-FR"/>
        </w:rPr>
        <w:t>À sa cinquante</w:t>
      </w:r>
      <w:r w:rsidR="0090653E" w:rsidRPr="000622D7">
        <w:rPr>
          <w:snapToGrid w:val="0"/>
          <w:lang w:val="fr-FR"/>
        </w:rPr>
        <w:t> </w:t>
      </w:r>
      <w:r w:rsidR="008E6AA7" w:rsidRPr="000622D7">
        <w:rPr>
          <w:snapToGrid w:val="0"/>
          <w:lang w:val="fr-FR"/>
        </w:rPr>
        <w:t>et</w:t>
      </w:r>
      <w:r w:rsidR="0090653E" w:rsidRPr="000622D7">
        <w:rPr>
          <w:snapToGrid w:val="0"/>
          <w:lang w:val="fr-FR"/>
        </w:rPr>
        <w:t> </w:t>
      </w:r>
      <w:r w:rsidR="008E6AA7" w:rsidRPr="000622D7">
        <w:rPr>
          <w:snapToGrid w:val="0"/>
          <w:lang w:val="fr-FR"/>
        </w:rPr>
        <w:t>unième</w:t>
      </w:r>
      <w:r w:rsidR="0090653E" w:rsidRPr="000622D7">
        <w:rPr>
          <w:snapToGrid w:val="0"/>
          <w:lang w:val="fr-FR"/>
        </w:rPr>
        <w:t> </w:t>
      </w:r>
      <w:r w:rsidR="008E6AA7" w:rsidRPr="000622D7">
        <w:rPr>
          <w:snapToGrid w:val="0"/>
          <w:lang w:val="fr-FR"/>
        </w:rPr>
        <w:t>session</w:t>
      </w:r>
      <w:r w:rsidR="00BE71B0" w:rsidRPr="000622D7">
        <w:rPr>
          <w:snapToGrid w:val="0"/>
          <w:lang w:val="fr-FR"/>
        </w:rPr>
        <w:t xml:space="preserve"> tenue </w:t>
      </w:r>
      <w:r w:rsidR="007F1BBD" w:rsidRPr="000622D7">
        <w:rPr>
          <w:snapToGrid w:val="0"/>
          <w:lang w:val="fr-FR"/>
        </w:rPr>
        <w:t xml:space="preserve">à Genève </w:t>
      </w:r>
      <w:r w:rsidR="00BE71B0" w:rsidRPr="000622D7">
        <w:rPr>
          <w:snapToGrid w:val="0"/>
          <w:lang w:val="fr-FR"/>
        </w:rPr>
        <w:t>du 23 au 2</w:t>
      </w:r>
      <w:r w:rsidR="005C211B" w:rsidRPr="000622D7">
        <w:rPr>
          <w:snapToGrid w:val="0"/>
          <w:lang w:val="fr-FR"/>
        </w:rPr>
        <w:t>5 mars 20</w:t>
      </w:r>
      <w:r w:rsidR="00BE71B0" w:rsidRPr="000622D7">
        <w:rPr>
          <w:snapToGrid w:val="0"/>
          <w:lang w:val="fr-FR"/>
        </w:rPr>
        <w:t>15</w:t>
      </w:r>
      <w:r w:rsidR="008E6AA7" w:rsidRPr="000622D7">
        <w:rPr>
          <w:snapToGrid w:val="0"/>
          <w:lang w:val="fr-FR"/>
        </w:rPr>
        <w:t>, le</w:t>
      </w:r>
      <w:r w:rsidR="005C211B" w:rsidRPr="000622D7">
        <w:rPr>
          <w:snapToGrid w:val="0"/>
          <w:lang w:val="fr-FR"/>
        </w:rPr>
        <w:t> TC</w:t>
      </w:r>
      <w:r w:rsidR="008E6AA7" w:rsidRPr="000622D7">
        <w:rPr>
          <w:snapToGrid w:val="0"/>
          <w:lang w:val="fr-FR"/>
        </w:rPr>
        <w:t xml:space="preserve"> a</w:t>
      </w:r>
      <w:r w:rsidRPr="000622D7">
        <w:rPr>
          <w:snapToGrid w:val="0"/>
          <w:lang w:val="fr-FR"/>
        </w:rPr>
        <w:t xml:space="preserve"> </w:t>
      </w:r>
      <w:r w:rsidR="00F268E8" w:rsidRPr="000622D7">
        <w:rPr>
          <w:snapToGrid w:val="0"/>
          <w:lang w:val="fr-FR"/>
        </w:rPr>
        <w:t>examiné un projet de questions et réponses concernant la diffusion d</w:t>
      </w:r>
      <w:r w:rsidR="005C211B" w:rsidRPr="000622D7">
        <w:rPr>
          <w:snapToGrid w:val="0"/>
          <w:lang w:val="fr-FR"/>
        </w:rPr>
        <w:t>’</w:t>
      </w:r>
      <w:r w:rsidR="00F268E8" w:rsidRPr="000622D7">
        <w:rPr>
          <w:snapToGrid w:val="0"/>
          <w:lang w:val="fr-FR"/>
        </w:rPr>
        <w:t xml:space="preserve">informations à un large public, </w:t>
      </w:r>
      <w:r w:rsidR="005C211B" w:rsidRPr="000622D7">
        <w:rPr>
          <w:snapToGrid w:val="0"/>
          <w:lang w:val="fr-FR"/>
        </w:rPr>
        <w:t>y compris</w:t>
      </w:r>
      <w:r w:rsidR="00F268E8" w:rsidRPr="000622D7">
        <w:rPr>
          <w:snapToGrid w:val="0"/>
          <w:lang w:val="fr-FR"/>
        </w:rPr>
        <w:t xml:space="preserve"> le public en général, sur la situation à l</w:t>
      </w:r>
      <w:r w:rsidR="005C211B" w:rsidRPr="000622D7">
        <w:rPr>
          <w:snapToGrid w:val="0"/>
          <w:lang w:val="fr-FR"/>
        </w:rPr>
        <w:t>’</w:t>
      </w:r>
      <w:r w:rsidR="00F268E8" w:rsidRPr="000622D7">
        <w:rPr>
          <w:snapToGrid w:val="0"/>
          <w:lang w:val="fr-FR"/>
        </w:rPr>
        <w:t>UPOV concernant l</w:t>
      </w:r>
      <w:r w:rsidR="005C211B" w:rsidRPr="000622D7">
        <w:rPr>
          <w:snapToGrid w:val="0"/>
          <w:lang w:val="fr-FR"/>
        </w:rPr>
        <w:t>’</w:t>
      </w:r>
      <w:r w:rsidR="00F268E8" w:rsidRPr="000622D7">
        <w:rPr>
          <w:snapToGrid w:val="0"/>
          <w:lang w:val="fr-FR"/>
        </w:rPr>
        <w:t>utilisation de techniques moléculaires</w:t>
      </w:r>
      <w:r w:rsidRPr="000622D7">
        <w:rPr>
          <w:snapToGrid w:val="0"/>
          <w:lang w:val="fr-FR"/>
        </w:rPr>
        <w:t>.</w:t>
      </w:r>
      <w:r w:rsidR="00291817" w:rsidRPr="000622D7">
        <w:rPr>
          <w:snapToGrid w:val="0"/>
          <w:lang w:val="fr-FR"/>
        </w:rPr>
        <w:t xml:space="preserve"> </w:t>
      </w:r>
      <w:r w:rsidRPr="000622D7">
        <w:rPr>
          <w:snapToGrid w:val="0"/>
          <w:lang w:val="fr-FR"/>
        </w:rPr>
        <w:t xml:space="preserve"> </w:t>
      </w:r>
      <w:r w:rsidR="00821754" w:rsidRPr="000622D7">
        <w:rPr>
          <w:snapToGrid w:val="0"/>
          <w:lang w:val="fr-FR"/>
        </w:rPr>
        <w:t>Le</w:t>
      </w:r>
      <w:r w:rsidR="005C211B" w:rsidRPr="000622D7">
        <w:rPr>
          <w:snapToGrid w:val="0"/>
          <w:lang w:val="fr-FR"/>
        </w:rPr>
        <w:t> TC</w:t>
      </w:r>
      <w:r w:rsidR="00821754" w:rsidRPr="000622D7">
        <w:rPr>
          <w:snapToGrid w:val="0"/>
          <w:lang w:val="fr-FR"/>
        </w:rPr>
        <w:t xml:space="preserve"> est convenu de demander aux groupes de travail techniques, à leurs sessions de</w:t>
      </w:r>
      <w:r w:rsidR="00CF2B96" w:rsidRPr="000622D7">
        <w:rPr>
          <w:snapToGrid w:val="0"/>
          <w:lang w:val="fr-FR"/>
        </w:rPr>
        <w:t> </w:t>
      </w:r>
      <w:r w:rsidR="00821754" w:rsidRPr="000622D7">
        <w:rPr>
          <w:snapToGrid w:val="0"/>
          <w:lang w:val="fr-FR"/>
        </w:rPr>
        <w:t>2015, d</w:t>
      </w:r>
      <w:r w:rsidR="005C211B" w:rsidRPr="000622D7">
        <w:rPr>
          <w:snapToGrid w:val="0"/>
          <w:lang w:val="fr-FR"/>
        </w:rPr>
        <w:t>’</w:t>
      </w:r>
      <w:r w:rsidR="00821754" w:rsidRPr="000622D7">
        <w:rPr>
          <w:snapToGrid w:val="0"/>
          <w:lang w:val="fr-FR"/>
        </w:rPr>
        <w:t>examiner le projet initial suivant qui a été discuté à la session du</w:t>
      </w:r>
      <w:r w:rsidR="005C211B" w:rsidRPr="000622D7">
        <w:rPr>
          <w:snapToGrid w:val="0"/>
          <w:lang w:val="fr-FR"/>
        </w:rPr>
        <w:t> TC</w:t>
      </w:r>
      <w:r w:rsidR="00821754" w:rsidRPr="000622D7">
        <w:rPr>
          <w:snapToGrid w:val="0"/>
          <w:lang w:val="fr-FR"/>
        </w:rPr>
        <w:t xml:space="preserve"> (voir le paragraphe</w:t>
      </w:r>
      <w:r w:rsidR="00CF2B96" w:rsidRPr="000622D7">
        <w:rPr>
          <w:snapToGrid w:val="0"/>
          <w:lang w:val="fr-FR"/>
        </w:rPr>
        <w:t> </w:t>
      </w:r>
      <w:r w:rsidR="00821754" w:rsidRPr="000622D7">
        <w:rPr>
          <w:snapToGrid w:val="0"/>
          <w:lang w:val="fr-FR"/>
        </w:rPr>
        <w:t xml:space="preserve">181 du </w:t>
      </w:r>
      <w:r w:rsidR="005C211B" w:rsidRPr="000622D7">
        <w:rPr>
          <w:snapToGrid w:val="0"/>
          <w:lang w:val="fr-FR"/>
        </w:rPr>
        <w:t>document TC</w:t>
      </w:r>
      <w:r w:rsidR="00821754" w:rsidRPr="000622D7">
        <w:rPr>
          <w:snapToGrid w:val="0"/>
          <w:lang w:val="fr-FR"/>
        </w:rPr>
        <w:t>/51/39 “Compte rendu”)</w:t>
      </w:r>
      <w:r w:rsidR="00CF2B96" w:rsidRPr="000622D7">
        <w:rPr>
          <w:snapToGrid w:val="0"/>
          <w:lang w:val="fr-FR"/>
        </w:rPr>
        <w:t> </w:t>
      </w:r>
      <w:r w:rsidR="00821754" w:rsidRPr="000622D7">
        <w:rPr>
          <w:snapToGrid w:val="0"/>
          <w:lang w:val="fr-FR"/>
        </w:rPr>
        <w:t>:</w:t>
      </w:r>
    </w:p>
    <w:p w:rsidR="00A94B4B" w:rsidRPr="000622D7" w:rsidRDefault="00A94B4B" w:rsidP="00F77193">
      <w:pPr>
        <w:rPr>
          <w:snapToGrid w:val="0"/>
          <w:lang w:val="fr-FR" w:eastAsia="ja-JP"/>
        </w:rPr>
      </w:pPr>
    </w:p>
    <w:p w:rsidR="00034D19" w:rsidRPr="000622D7" w:rsidRDefault="00821754" w:rsidP="00F77193">
      <w:pPr>
        <w:pStyle w:val="Default"/>
        <w:keepNext/>
        <w:ind w:left="540" w:right="549"/>
        <w:jc w:val="both"/>
        <w:rPr>
          <w:color w:val="auto"/>
          <w:sz w:val="18"/>
          <w:szCs w:val="18"/>
          <w:lang w:val="fr-FR"/>
        </w:rPr>
      </w:pPr>
      <w:r w:rsidRPr="000622D7">
        <w:rPr>
          <w:color w:val="auto"/>
          <w:sz w:val="18"/>
          <w:szCs w:val="18"/>
          <w:lang w:val="fr-FR"/>
        </w:rPr>
        <w:t>“Est</w:t>
      </w:r>
      <w:r w:rsidR="007F1BBD" w:rsidRPr="000622D7">
        <w:rPr>
          <w:color w:val="auto"/>
          <w:sz w:val="18"/>
          <w:szCs w:val="18"/>
          <w:lang w:val="fr-FR"/>
        </w:rPr>
        <w:noBreakHyphen/>
      </w:r>
      <w:r w:rsidRPr="000622D7">
        <w:rPr>
          <w:color w:val="auto"/>
          <w:sz w:val="18"/>
          <w:szCs w:val="18"/>
          <w:lang w:val="fr-FR"/>
        </w:rPr>
        <w:t>il possible d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obtenir la protection d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une variété sur la base de son profil d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ADN?</w:t>
      </w:r>
    </w:p>
    <w:p w:rsidR="00A94B4B" w:rsidRPr="000622D7" w:rsidRDefault="00A94B4B" w:rsidP="00F77193">
      <w:pPr>
        <w:pStyle w:val="Default"/>
        <w:keepNext/>
        <w:ind w:left="540" w:right="549"/>
        <w:jc w:val="both"/>
        <w:rPr>
          <w:color w:val="auto"/>
          <w:sz w:val="18"/>
          <w:szCs w:val="18"/>
          <w:lang w:val="fr-FR"/>
        </w:rPr>
      </w:pPr>
    </w:p>
    <w:p w:rsidR="00034D19" w:rsidRPr="000622D7" w:rsidRDefault="00821754" w:rsidP="00F77193">
      <w:pPr>
        <w:pStyle w:val="Default"/>
        <w:ind w:left="540" w:right="549"/>
        <w:jc w:val="both"/>
        <w:rPr>
          <w:color w:val="auto"/>
          <w:sz w:val="18"/>
          <w:szCs w:val="18"/>
          <w:lang w:val="fr-FR"/>
        </w:rPr>
      </w:pPr>
      <w:r w:rsidRPr="000622D7">
        <w:rPr>
          <w:color w:val="auto"/>
          <w:sz w:val="18"/>
          <w:szCs w:val="18"/>
          <w:lang w:val="fr-FR"/>
        </w:rPr>
        <w:t>“Pour pouvoir bénéficier d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une protection, une variété doit pouvoir être nettement distinguée de toute autre variété existante par des caractères exprimés physiquement, par exemple, la hauteur de la plante, l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époque de floraison, la couleur des fruits, la résistance aux maladies, etc.</w:t>
      </w:r>
      <w:r w:rsidR="004620C3" w:rsidRPr="000622D7">
        <w:rPr>
          <w:color w:val="auto"/>
          <w:sz w:val="18"/>
          <w:lang w:val="fr-FR"/>
        </w:rPr>
        <w:t xml:space="preserve"> </w:t>
      </w:r>
      <w:r w:rsidR="00CF2B96" w:rsidRPr="000622D7">
        <w:rPr>
          <w:color w:val="auto"/>
          <w:sz w:val="18"/>
          <w:szCs w:val="18"/>
          <w:lang w:val="fr-FR"/>
        </w:rPr>
        <w:t xml:space="preserve"> </w:t>
      </w:r>
      <w:r w:rsidRPr="000622D7">
        <w:rPr>
          <w:color w:val="auto"/>
          <w:sz w:val="18"/>
          <w:szCs w:val="18"/>
          <w:lang w:val="fr-FR"/>
        </w:rPr>
        <w:t>[Les techniques moléculaires (les profils d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ADN) peuvent être utilisées en tant qu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informations complémentaires].</w:t>
      </w:r>
    </w:p>
    <w:p w:rsidR="00A94B4B" w:rsidRPr="000622D7" w:rsidRDefault="00A94B4B" w:rsidP="00F77193">
      <w:pPr>
        <w:pStyle w:val="Default"/>
        <w:ind w:left="540" w:right="549"/>
        <w:jc w:val="both"/>
        <w:rPr>
          <w:color w:val="auto"/>
          <w:sz w:val="18"/>
          <w:szCs w:val="18"/>
          <w:lang w:val="fr-FR"/>
        </w:rPr>
      </w:pPr>
    </w:p>
    <w:p w:rsidR="00034D19" w:rsidRPr="000622D7" w:rsidRDefault="00821754" w:rsidP="00F77193">
      <w:pPr>
        <w:pStyle w:val="Default"/>
        <w:ind w:left="540" w:right="549"/>
        <w:jc w:val="both"/>
        <w:rPr>
          <w:color w:val="auto"/>
          <w:sz w:val="18"/>
          <w:szCs w:val="18"/>
          <w:lang w:val="fr-FR"/>
        </w:rPr>
      </w:pPr>
      <w:r w:rsidRPr="000622D7">
        <w:rPr>
          <w:color w:val="auto"/>
          <w:sz w:val="18"/>
          <w:szCs w:val="18"/>
          <w:lang w:val="fr-FR"/>
        </w:rPr>
        <w:t xml:space="preserve">“Des explications plus détaillées sont fournies dans les réponses aux questions fréquemment posées </w:t>
      </w:r>
      <w:r w:rsidR="005C211B" w:rsidRPr="000622D7">
        <w:rPr>
          <w:color w:val="auto"/>
          <w:sz w:val="18"/>
          <w:szCs w:val="18"/>
          <w:lang w:val="fr-FR"/>
        </w:rPr>
        <w:t>‘</w:t>
      </w:r>
      <w:r w:rsidRPr="000622D7">
        <w:rPr>
          <w:color w:val="auto"/>
          <w:sz w:val="18"/>
          <w:szCs w:val="18"/>
          <w:lang w:val="fr-FR"/>
        </w:rPr>
        <w:t>L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UPOV permet</w:t>
      </w:r>
      <w:r w:rsidR="007F1BBD" w:rsidRPr="000622D7">
        <w:rPr>
          <w:color w:val="auto"/>
          <w:sz w:val="18"/>
          <w:szCs w:val="18"/>
          <w:lang w:val="fr-FR"/>
        </w:rPr>
        <w:noBreakHyphen/>
      </w:r>
      <w:r w:rsidRPr="000622D7">
        <w:rPr>
          <w:color w:val="auto"/>
          <w:sz w:val="18"/>
          <w:szCs w:val="18"/>
          <w:lang w:val="fr-FR"/>
        </w:rPr>
        <w:t>elle de recourir à des techniques moléculaires (profils d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ADN) dans l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examen de la distinction, de l</w:t>
      </w:r>
      <w:r w:rsidR="005C211B" w:rsidRPr="000622D7">
        <w:rPr>
          <w:color w:val="auto"/>
          <w:sz w:val="18"/>
          <w:szCs w:val="18"/>
          <w:lang w:val="fr-FR"/>
        </w:rPr>
        <w:t>’</w:t>
      </w:r>
      <w:r w:rsidRPr="000622D7">
        <w:rPr>
          <w:color w:val="auto"/>
          <w:sz w:val="18"/>
          <w:szCs w:val="18"/>
          <w:lang w:val="fr-FR"/>
        </w:rPr>
        <w:t>homogénéité et de la stabilité (examen</w:t>
      </w:r>
      <w:r w:rsidR="00CF2B96" w:rsidRPr="000622D7">
        <w:rPr>
          <w:color w:val="auto"/>
          <w:sz w:val="18"/>
          <w:szCs w:val="18"/>
          <w:lang w:val="fr-FR"/>
        </w:rPr>
        <w:t> </w:t>
      </w:r>
      <w:r w:rsidRPr="000622D7">
        <w:rPr>
          <w:color w:val="auto"/>
          <w:sz w:val="18"/>
          <w:szCs w:val="18"/>
          <w:lang w:val="fr-FR"/>
        </w:rPr>
        <w:t>DHS)?</w:t>
      </w:r>
      <w:r w:rsidR="005C211B" w:rsidRPr="000622D7">
        <w:rPr>
          <w:color w:val="auto"/>
          <w:sz w:val="18"/>
          <w:szCs w:val="18"/>
          <w:lang w:val="fr-FR"/>
        </w:rPr>
        <w:t>’</w:t>
      </w:r>
    </w:p>
    <w:p w:rsidR="00A94B4B" w:rsidRPr="000622D7" w:rsidRDefault="00A94B4B" w:rsidP="00F77193">
      <w:pPr>
        <w:pStyle w:val="Default"/>
        <w:ind w:left="540" w:right="549"/>
        <w:jc w:val="both"/>
        <w:rPr>
          <w:color w:val="auto"/>
          <w:sz w:val="18"/>
          <w:szCs w:val="18"/>
          <w:lang w:val="fr-FR"/>
        </w:rPr>
      </w:pPr>
    </w:p>
    <w:p w:rsidR="00034D19" w:rsidRPr="000622D7" w:rsidRDefault="004620C3" w:rsidP="00F77193">
      <w:pPr>
        <w:pStyle w:val="Default"/>
        <w:ind w:left="540" w:right="549"/>
        <w:jc w:val="both"/>
        <w:rPr>
          <w:color w:val="auto"/>
          <w:sz w:val="18"/>
          <w:szCs w:val="18"/>
          <w:lang w:val="fr-FR"/>
        </w:rPr>
      </w:pPr>
      <w:r w:rsidRPr="000622D7">
        <w:rPr>
          <w:color w:val="auto"/>
          <w:sz w:val="18"/>
          <w:szCs w:val="18"/>
          <w:lang w:val="fr-FR"/>
        </w:rPr>
        <w:t>“</w:t>
      </w:r>
      <w:proofErr w:type="gramStart"/>
      <w:r w:rsidR="003426F8" w:rsidRPr="000622D7">
        <w:rPr>
          <w:color w:val="auto"/>
          <w:sz w:val="18"/>
          <w:szCs w:val="18"/>
          <w:lang w:val="fr-FR"/>
        </w:rPr>
        <w:t>voir</w:t>
      </w:r>
      <w:proofErr w:type="gramEnd"/>
      <w:r w:rsidR="003426F8" w:rsidRPr="000622D7">
        <w:rPr>
          <w:color w:val="auto"/>
          <w:sz w:val="18"/>
          <w:szCs w:val="18"/>
          <w:lang w:val="fr-FR"/>
        </w:rPr>
        <w:t xml:space="preserve"> également </w:t>
      </w:r>
      <w:r w:rsidRPr="000622D7">
        <w:rPr>
          <w:color w:val="auto"/>
          <w:sz w:val="18"/>
          <w:szCs w:val="18"/>
          <w:lang w:val="fr-FR"/>
        </w:rPr>
        <w:t>:</w:t>
      </w:r>
    </w:p>
    <w:p w:rsidR="00A94B4B" w:rsidRPr="000622D7" w:rsidRDefault="00821754" w:rsidP="00F77193">
      <w:pPr>
        <w:ind w:left="540" w:right="549"/>
        <w:rPr>
          <w:rFonts w:cs="Arial"/>
          <w:snapToGrid w:val="0"/>
          <w:u w:val="single"/>
          <w:lang w:val="fr-FR" w:eastAsia="ja-JP"/>
        </w:rPr>
      </w:pPr>
      <w:r w:rsidRPr="000622D7">
        <w:rPr>
          <w:rFonts w:cs="Arial"/>
          <w:snapToGrid w:val="0"/>
          <w:u w:val="single"/>
          <w:lang w:val="fr-FR" w:eastAsia="ja-JP"/>
        </w:rPr>
        <w:t>Quelles sont les conditions à remplir pour pouvoir protéger une nouvelle variété végétale?</w:t>
      </w:r>
      <w:r w:rsidR="003426F8" w:rsidRPr="000622D7">
        <w:rPr>
          <w:rFonts w:cs="Arial"/>
          <w:snapToGrid w:val="0"/>
          <w:u w:val="single"/>
          <w:lang w:val="fr-FR" w:eastAsia="ja-JP"/>
        </w:rPr>
        <w:t>”</w:t>
      </w:r>
    </w:p>
    <w:p w:rsidR="00A94B4B" w:rsidRPr="000622D7" w:rsidRDefault="00A94B4B" w:rsidP="00F77193">
      <w:pPr>
        <w:jc w:val="left"/>
        <w:rPr>
          <w:rFonts w:cs="Arial"/>
          <w:snapToGrid w:val="0"/>
          <w:u w:val="single"/>
          <w:lang w:val="fr-FR" w:eastAsia="ja-JP"/>
        </w:rPr>
      </w:pPr>
    </w:p>
    <w:p w:rsidR="00A94B4B" w:rsidRPr="000622D7" w:rsidRDefault="00821754" w:rsidP="00F77193">
      <w:pPr>
        <w:pStyle w:val="Heading2"/>
        <w:rPr>
          <w:color w:val="auto"/>
        </w:rPr>
      </w:pPr>
      <w:bookmarkStart w:id="19" w:name="_Toc444674452"/>
      <w:r w:rsidRPr="000622D7">
        <w:rPr>
          <w:color w:val="auto"/>
        </w:rPr>
        <w:t>Observations des groupes de travail techniques en</w:t>
      </w:r>
      <w:r w:rsidR="00CF2B96" w:rsidRPr="000622D7">
        <w:rPr>
          <w:color w:val="auto"/>
        </w:rPr>
        <w:t> </w:t>
      </w:r>
      <w:r w:rsidRPr="000622D7">
        <w:rPr>
          <w:color w:val="auto"/>
        </w:rPr>
        <w:t>2015</w:t>
      </w:r>
      <w:bookmarkEnd w:id="19"/>
    </w:p>
    <w:p w:rsidR="00A94B4B" w:rsidRPr="000622D7" w:rsidRDefault="00A94B4B" w:rsidP="00F77193">
      <w:pPr>
        <w:rPr>
          <w:snapToGrid w:val="0"/>
          <w:lang w:val="fr-FR"/>
        </w:rPr>
      </w:pPr>
    </w:p>
    <w:p w:rsidR="00A94B4B" w:rsidRPr="000622D7" w:rsidRDefault="0083351C" w:rsidP="00F77193">
      <w:pPr>
        <w:rPr>
          <w:lang w:val="fr-FR" w:eastAsia="ja-JP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Pr="000622D7">
        <w:rPr>
          <w:snapToGrid w:val="0"/>
          <w:lang w:val="fr-FR"/>
        </w:rPr>
        <w:tab/>
      </w:r>
      <w:r w:rsidR="008B0EC3" w:rsidRPr="000622D7">
        <w:rPr>
          <w:snapToGrid w:val="0"/>
          <w:lang w:val="fr-FR"/>
        </w:rPr>
        <w:t>Le</w:t>
      </w:r>
      <w:r w:rsidRPr="000622D7">
        <w:rPr>
          <w:snapToGrid w:val="0"/>
          <w:lang w:val="fr-FR"/>
        </w:rPr>
        <w:t xml:space="preserve"> TWV, </w:t>
      </w:r>
      <w:r w:rsidR="008B0EC3" w:rsidRPr="000622D7">
        <w:rPr>
          <w:snapToGrid w:val="0"/>
          <w:lang w:val="fr-FR"/>
        </w:rPr>
        <w:t>à sa quarante neuvième</w:t>
      </w:r>
      <w:r w:rsidR="0090653E" w:rsidRPr="000622D7">
        <w:rPr>
          <w:snapToGrid w:val="0"/>
          <w:lang w:val="fr-FR"/>
        </w:rPr>
        <w:t> </w:t>
      </w:r>
      <w:r w:rsidR="008B0EC3" w:rsidRPr="000622D7">
        <w:rPr>
          <w:snapToGrid w:val="0"/>
          <w:lang w:val="fr-FR"/>
        </w:rPr>
        <w:t xml:space="preserve">session </w:t>
      </w:r>
      <w:r w:rsidR="009C07FF" w:rsidRPr="000622D7">
        <w:rPr>
          <w:snapToGrid w:val="0"/>
          <w:lang w:val="fr-FR"/>
        </w:rPr>
        <w:t xml:space="preserve">tenue </w:t>
      </w:r>
      <w:r w:rsidR="008B0EC3" w:rsidRPr="000622D7">
        <w:rPr>
          <w:snapToGrid w:val="0"/>
          <w:lang w:val="fr-FR"/>
        </w:rPr>
        <w:t>à Angers (France) du 15 au 1</w:t>
      </w:r>
      <w:r w:rsidR="005C211B" w:rsidRPr="000622D7">
        <w:rPr>
          <w:snapToGrid w:val="0"/>
          <w:lang w:val="fr-FR"/>
        </w:rPr>
        <w:t>9 juin 20</w:t>
      </w:r>
      <w:r w:rsidR="008B0EC3" w:rsidRPr="000622D7">
        <w:rPr>
          <w:snapToGrid w:val="0"/>
          <w:lang w:val="fr-FR"/>
        </w:rPr>
        <w:t>15</w:t>
      </w:r>
      <w:r w:rsidRPr="000622D7">
        <w:rPr>
          <w:snapToGrid w:val="0"/>
          <w:lang w:val="fr-FR" w:eastAsia="ja-JP"/>
        </w:rPr>
        <w:t xml:space="preserve">, </w:t>
      </w:r>
      <w:r w:rsidR="008B0EC3" w:rsidRPr="000622D7">
        <w:rPr>
          <w:snapToGrid w:val="0"/>
          <w:lang w:val="fr-FR" w:eastAsia="ja-JP"/>
        </w:rPr>
        <w:t>et</w:t>
      </w:r>
      <w:r w:rsidR="005C211B" w:rsidRPr="000622D7">
        <w:rPr>
          <w:snapToGrid w:val="0"/>
          <w:lang w:val="fr-FR" w:eastAsia="ja-JP"/>
        </w:rPr>
        <w:t xml:space="preserve"> le </w:t>
      </w:r>
      <w:r w:rsidR="005C211B" w:rsidRPr="000622D7">
        <w:rPr>
          <w:snapToGrid w:val="0"/>
          <w:lang w:val="fr-FR"/>
        </w:rPr>
        <w:t>TWC</w:t>
      </w:r>
      <w:r w:rsidRPr="000622D7">
        <w:rPr>
          <w:snapToGrid w:val="0"/>
          <w:lang w:val="fr-FR"/>
        </w:rPr>
        <w:t xml:space="preserve">, </w:t>
      </w:r>
      <w:r w:rsidR="008B0EC3" w:rsidRPr="000622D7">
        <w:rPr>
          <w:snapToGrid w:val="0"/>
          <w:lang w:val="fr-FR"/>
        </w:rPr>
        <w:t>à sa trente troisième</w:t>
      </w:r>
      <w:r w:rsidR="0090653E" w:rsidRPr="000622D7">
        <w:rPr>
          <w:snapToGrid w:val="0"/>
          <w:lang w:val="fr-FR"/>
        </w:rPr>
        <w:t> </w:t>
      </w:r>
      <w:r w:rsidR="008B0EC3" w:rsidRPr="000622D7">
        <w:rPr>
          <w:snapToGrid w:val="0"/>
          <w:lang w:val="fr-FR"/>
        </w:rPr>
        <w:t xml:space="preserve">session </w:t>
      </w:r>
      <w:r w:rsidR="009C07FF" w:rsidRPr="000622D7">
        <w:rPr>
          <w:snapToGrid w:val="0"/>
          <w:lang w:val="fr-FR"/>
        </w:rPr>
        <w:t>qui s</w:t>
      </w:r>
      <w:r w:rsidR="005C211B" w:rsidRPr="000622D7">
        <w:rPr>
          <w:snapToGrid w:val="0"/>
          <w:lang w:val="fr-FR"/>
        </w:rPr>
        <w:t>’</w:t>
      </w:r>
      <w:r w:rsidR="009C07FF" w:rsidRPr="000622D7">
        <w:rPr>
          <w:snapToGrid w:val="0"/>
          <w:lang w:val="fr-FR"/>
        </w:rPr>
        <w:t xml:space="preserve">est tenue </w:t>
      </w:r>
      <w:r w:rsidR="008B0EC3" w:rsidRPr="000622D7">
        <w:rPr>
          <w:snapToGrid w:val="0"/>
          <w:lang w:val="fr-FR"/>
        </w:rPr>
        <w:t>à Natal (Brésil) du 3</w:t>
      </w:r>
      <w:r w:rsidR="005C211B" w:rsidRPr="000622D7">
        <w:rPr>
          <w:snapToGrid w:val="0"/>
          <w:lang w:val="fr-FR"/>
        </w:rPr>
        <w:t>0 juin</w:t>
      </w:r>
      <w:r w:rsidR="008B0EC3" w:rsidRPr="000622D7">
        <w:rPr>
          <w:snapToGrid w:val="0"/>
          <w:lang w:val="fr-FR"/>
        </w:rPr>
        <w:t xml:space="preserve"> au </w:t>
      </w:r>
      <w:r w:rsidR="005C211B" w:rsidRPr="000622D7">
        <w:rPr>
          <w:snapToGrid w:val="0"/>
          <w:lang w:val="fr-FR"/>
        </w:rPr>
        <w:t>3 juillet 20</w:t>
      </w:r>
      <w:r w:rsidR="008B0EC3" w:rsidRPr="000622D7">
        <w:rPr>
          <w:snapToGrid w:val="0"/>
          <w:lang w:val="fr-FR"/>
        </w:rPr>
        <w:t>15, ont approuvé le projet initial de questions et réponses concernant la diffusion d</w:t>
      </w:r>
      <w:r w:rsidR="005C211B" w:rsidRPr="000622D7">
        <w:rPr>
          <w:snapToGrid w:val="0"/>
          <w:lang w:val="fr-FR"/>
        </w:rPr>
        <w:t>’</w:t>
      </w:r>
      <w:r w:rsidR="008B0EC3" w:rsidRPr="000622D7">
        <w:rPr>
          <w:snapToGrid w:val="0"/>
          <w:lang w:val="fr-FR"/>
        </w:rPr>
        <w:t xml:space="preserve">informations à un large public, </w:t>
      </w:r>
      <w:r w:rsidR="005C211B" w:rsidRPr="000622D7">
        <w:rPr>
          <w:snapToGrid w:val="0"/>
          <w:lang w:val="fr-FR"/>
        </w:rPr>
        <w:t>y compris</w:t>
      </w:r>
      <w:r w:rsidR="008B0EC3" w:rsidRPr="000622D7">
        <w:rPr>
          <w:snapToGrid w:val="0"/>
          <w:lang w:val="fr-FR"/>
        </w:rPr>
        <w:t xml:space="preserve"> le public en général, sur la situation à l</w:t>
      </w:r>
      <w:r w:rsidR="005C211B" w:rsidRPr="000622D7">
        <w:rPr>
          <w:snapToGrid w:val="0"/>
          <w:lang w:val="fr-FR"/>
        </w:rPr>
        <w:t>’</w:t>
      </w:r>
      <w:r w:rsidR="008B0EC3" w:rsidRPr="000622D7">
        <w:rPr>
          <w:snapToGrid w:val="0"/>
          <w:lang w:val="fr-FR"/>
        </w:rPr>
        <w:t>UPOV concernant l</w:t>
      </w:r>
      <w:r w:rsidR="005C211B" w:rsidRPr="000622D7">
        <w:rPr>
          <w:snapToGrid w:val="0"/>
          <w:lang w:val="fr-FR"/>
        </w:rPr>
        <w:t>’</w:t>
      </w:r>
      <w:r w:rsidR="008B0EC3" w:rsidRPr="000622D7">
        <w:rPr>
          <w:snapToGrid w:val="0"/>
          <w:lang w:val="fr-FR"/>
        </w:rPr>
        <w:t xml:space="preserve">utilisation de techniques moléculaires </w:t>
      </w:r>
      <w:r w:rsidR="007525A3" w:rsidRPr="000622D7">
        <w:rPr>
          <w:snapToGrid w:val="0"/>
          <w:lang w:val="fr-FR"/>
        </w:rPr>
        <w:t>qui a été examiné par le</w:t>
      </w:r>
      <w:r w:rsidR="005C211B" w:rsidRPr="000622D7">
        <w:rPr>
          <w:snapToGrid w:val="0"/>
          <w:lang w:val="fr-FR"/>
        </w:rPr>
        <w:t> TC</w:t>
      </w:r>
      <w:r w:rsidR="007525A3" w:rsidRPr="000622D7">
        <w:rPr>
          <w:snapToGrid w:val="0"/>
          <w:lang w:val="fr-FR"/>
        </w:rPr>
        <w:t xml:space="preserve"> à sa cinquante</w:t>
      </w:r>
      <w:r w:rsidR="0090653E" w:rsidRPr="000622D7">
        <w:rPr>
          <w:snapToGrid w:val="0"/>
          <w:lang w:val="fr-FR"/>
        </w:rPr>
        <w:t> </w:t>
      </w:r>
      <w:r w:rsidR="007525A3" w:rsidRPr="000622D7">
        <w:rPr>
          <w:snapToGrid w:val="0"/>
          <w:lang w:val="fr-FR"/>
        </w:rPr>
        <w:t>et</w:t>
      </w:r>
      <w:r w:rsidR="0090653E" w:rsidRPr="000622D7">
        <w:rPr>
          <w:snapToGrid w:val="0"/>
          <w:lang w:val="fr-FR"/>
        </w:rPr>
        <w:t> </w:t>
      </w:r>
      <w:r w:rsidR="007525A3" w:rsidRPr="000622D7">
        <w:rPr>
          <w:snapToGrid w:val="0"/>
          <w:lang w:val="fr-FR"/>
        </w:rPr>
        <w:t>unième</w:t>
      </w:r>
      <w:r w:rsidR="0090653E" w:rsidRPr="000622D7">
        <w:rPr>
          <w:snapToGrid w:val="0"/>
          <w:lang w:val="fr-FR"/>
        </w:rPr>
        <w:t> </w:t>
      </w:r>
      <w:r w:rsidR="007525A3" w:rsidRPr="000622D7">
        <w:rPr>
          <w:snapToGrid w:val="0"/>
          <w:lang w:val="fr-FR"/>
        </w:rPr>
        <w:t xml:space="preserve">session </w:t>
      </w:r>
      <w:r w:rsidRPr="000622D7">
        <w:rPr>
          <w:snapToGrid w:val="0"/>
          <w:lang w:val="fr-FR"/>
        </w:rPr>
        <w:t>(</w:t>
      </w:r>
      <w:r w:rsidR="00BE0728" w:rsidRPr="000622D7">
        <w:rPr>
          <w:snapToGrid w:val="0"/>
          <w:lang w:val="fr-FR"/>
        </w:rPr>
        <w:t>voir le paragraphe</w:t>
      </w:r>
      <w:r w:rsidR="00CF2B96" w:rsidRPr="000622D7">
        <w:rPr>
          <w:snapToGrid w:val="0"/>
          <w:lang w:val="fr-FR"/>
        </w:rPr>
        <w:t> </w:t>
      </w:r>
      <w:r w:rsidR="00BE0728" w:rsidRPr="000622D7">
        <w:rPr>
          <w:snapToGrid w:val="0"/>
          <w:lang w:val="fr-FR"/>
        </w:rPr>
        <w:t>15 du document</w:t>
      </w:r>
      <w:r w:rsidRPr="000622D7">
        <w:rPr>
          <w:rFonts w:cs="Arial"/>
          <w:shd w:val="clear" w:color="auto" w:fill="FFFFFF"/>
          <w:lang w:val="fr-FR" w:eastAsia="ja-JP"/>
        </w:rPr>
        <w:t xml:space="preserve"> TWV/49/32</w:t>
      </w:r>
      <w:r w:rsidR="00291817" w:rsidRPr="000622D7">
        <w:rPr>
          <w:rFonts w:cs="Arial"/>
          <w:shd w:val="clear" w:color="auto" w:fill="FFFFFF"/>
          <w:lang w:val="fr-FR" w:eastAsia="ja-JP"/>
        </w:rPr>
        <w:t> </w:t>
      </w:r>
      <w:proofErr w:type="spellStart"/>
      <w:r w:rsidR="00291817" w:rsidRPr="000622D7">
        <w:rPr>
          <w:rFonts w:cs="Arial"/>
          <w:shd w:val="clear" w:color="auto" w:fill="FFFFFF"/>
          <w:lang w:val="fr-FR" w:eastAsia="ja-JP"/>
        </w:rPr>
        <w:t>Rev</w:t>
      </w:r>
      <w:proofErr w:type="spellEnd"/>
      <w:r w:rsidR="00291817" w:rsidRPr="000622D7">
        <w:rPr>
          <w:rFonts w:cs="Arial"/>
          <w:shd w:val="clear" w:color="auto" w:fill="FFFFFF"/>
          <w:lang w:val="fr-FR" w:eastAsia="ja-JP"/>
        </w:rPr>
        <w:t>.</w:t>
      </w:r>
      <w:r w:rsidRPr="000622D7">
        <w:rPr>
          <w:rFonts w:cs="Arial"/>
          <w:shd w:val="clear" w:color="auto" w:fill="FFFFFF"/>
          <w:lang w:val="fr-FR" w:eastAsia="ja-JP"/>
        </w:rPr>
        <w:t xml:space="preserve"> “</w:t>
      </w:r>
      <w:proofErr w:type="spellStart"/>
      <w:r w:rsidR="00291817" w:rsidRPr="000622D7">
        <w:rPr>
          <w:rFonts w:cs="Arial"/>
          <w:i/>
          <w:shd w:val="clear" w:color="auto" w:fill="FFFFFF"/>
          <w:lang w:val="fr-FR" w:eastAsia="ja-JP"/>
        </w:rPr>
        <w:t>Revised</w:t>
      </w:r>
      <w:proofErr w:type="spellEnd"/>
      <w:r w:rsidR="00291817" w:rsidRPr="000622D7">
        <w:rPr>
          <w:rFonts w:cs="Arial"/>
          <w:i/>
          <w:shd w:val="clear" w:color="auto" w:fill="FFFFFF"/>
          <w:lang w:val="fr-FR" w:eastAsia="ja-JP"/>
        </w:rPr>
        <w:t xml:space="preserve"> </w:t>
      </w:r>
      <w:r w:rsidRPr="000622D7">
        <w:rPr>
          <w:rFonts w:cs="Arial"/>
          <w:i/>
          <w:shd w:val="clear" w:color="auto" w:fill="FFFFFF"/>
          <w:lang w:val="fr-FR" w:eastAsia="ja-JP"/>
        </w:rPr>
        <w:t>Report</w:t>
      </w:r>
      <w:r w:rsidRPr="000622D7">
        <w:rPr>
          <w:rFonts w:cs="Arial"/>
          <w:shd w:val="clear" w:color="auto" w:fill="FFFFFF"/>
          <w:lang w:val="fr-FR" w:eastAsia="ja-JP"/>
        </w:rPr>
        <w:t xml:space="preserve">”, </w:t>
      </w:r>
      <w:r w:rsidR="00BE0728" w:rsidRPr="000622D7">
        <w:rPr>
          <w:rFonts w:cs="Arial"/>
          <w:shd w:val="clear" w:color="auto" w:fill="FFFFFF"/>
          <w:lang w:val="fr-FR" w:eastAsia="ja-JP"/>
        </w:rPr>
        <w:t>et le paragraphe</w:t>
      </w:r>
      <w:r w:rsidR="00CF2B96" w:rsidRPr="000622D7">
        <w:rPr>
          <w:rFonts w:cs="Arial"/>
          <w:shd w:val="clear" w:color="auto" w:fill="FFFFFF"/>
          <w:lang w:val="fr-FR" w:eastAsia="ja-JP"/>
        </w:rPr>
        <w:t> </w:t>
      </w:r>
      <w:r w:rsidR="00BE0728" w:rsidRPr="000622D7">
        <w:rPr>
          <w:rFonts w:cs="Arial"/>
          <w:shd w:val="clear" w:color="auto" w:fill="FFFFFF"/>
          <w:lang w:val="fr-FR" w:eastAsia="ja-JP"/>
        </w:rPr>
        <w:t>110 du document</w:t>
      </w:r>
      <w:r w:rsidRPr="000622D7">
        <w:rPr>
          <w:rFonts w:cs="Arial"/>
          <w:shd w:val="clear" w:color="auto" w:fill="FFFFFF"/>
          <w:lang w:val="fr-FR" w:eastAsia="ja-JP"/>
        </w:rPr>
        <w:t xml:space="preserve"> TWC/33/30 “</w:t>
      </w:r>
      <w:r w:rsidRPr="000622D7">
        <w:rPr>
          <w:rFonts w:cs="Arial"/>
          <w:i/>
          <w:shd w:val="clear" w:color="auto" w:fill="FFFFFF"/>
          <w:lang w:val="fr-FR" w:eastAsia="ja-JP"/>
        </w:rPr>
        <w:t>Report</w:t>
      </w:r>
      <w:r w:rsidRPr="000622D7">
        <w:rPr>
          <w:rFonts w:cs="Arial"/>
          <w:shd w:val="clear" w:color="auto" w:fill="FFFFFF"/>
          <w:lang w:val="fr-FR" w:eastAsia="ja-JP"/>
        </w:rPr>
        <w:t>”)</w:t>
      </w:r>
      <w:r w:rsidRPr="000622D7">
        <w:rPr>
          <w:snapToGrid w:val="0"/>
          <w:lang w:val="fr-FR"/>
        </w:rPr>
        <w:t>.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83351C" w:rsidP="00F77193">
      <w:pPr>
        <w:rPr>
          <w:lang w:val="fr-FR" w:eastAsia="ja-JP"/>
        </w:rPr>
      </w:pPr>
      <w:r w:rsidRPr="000622D7">
        <w:rPr>
          <w:snapToGrid w:val="0"/>
          <w:lang w:val="fr-FR"/>
        </w:rPr>
        <w:fldChar w:fldCharType="begin"/>
      </w:r>
      <w:r w:rsidRPr="000622D7">
        <w:rPr>
          <w:snapToGrid w:val="0"/>
          <w:lang w:val="fr-FR"/>
        </w:rPr>
        <w:instrText xml:space="preserve"> AUTONUM  </w:instrText>
      </w:r>
      <w:r w:rsidRPr="000622D7">
        <w:rPr>
          <w:snapToGrid w:val="0"/>
          <w:lang w:val="fr-FR"/>
        </w:rPr>
        <w:fldChar w:fldCharType="end"/>
      </w:r>
      <w:r w:rsidRPr="000622D7">
        <w:rPr>
          <w:snapToGrid w:val="0"/>
          <w:lang w:val="fr-FR"/>
        </w:rPr>
        <w:tab/>
      </w:r>
      <w:r w:rsidR="009C07FF" w:rsidRPr="000622D7">
        <w:rPr>
          <w:snapToGrid w:val="0"/>
          <w:lang w:val="fr-FR"/>
        </w:rPr>
        <w:t>Le</w:t>
      </w:r>
      <w:r w:rsidRPr="000622D7">
        <w:rPr>
          <w:lang w:val="fr-FR" w:eastAsia="ja-JP"/>
        </w:rPr>
        <w:t xml:space="preserve"> TWA, </w:t>
      </w:r>
      <w:r w:rsidR="009C07FF" w:rsidRPr="000622D7">
        <w:rPr>
          <w:lang w:val="fr-FR" w:eastAsia="ja-JP"/>
        </w:rPr>
        <w:t>à sa quarante quatrième</w:t>
      </w:r>
      <w:r w:rsidR="0090653E" w:rsidRPr="000622D7">
        <w:rPr>
          <w:lang w:val="fr-FR" w:eastAsia="ja-JP"/>
        </w:rPr>
        <w:t> </w:t>
      </w:r>
      <w:r w:rsidR="009C07FF" w:rsidRPr="000622D7">
        <w:rPr>
          <w:lang w:val="fr-FR" w:eastAsia="ja-JP"/>
        </w:rPr>
        <w:t xml:space="preserve">session tenue à </w:t>
      </w:r>
      <w:r w:rsidRPr="000622D7">
        <w:rPr>
          <w:lang w:val="fr-FR" w:eastAsia="ja-JP"/>
        </w:rPr>
        <w:t>Obihiro</w:t>
      </w:r>
      <w:r w:rsidR="009C07FF" w:rsidRPr="000622D7">
        <w:rPr>
          <w:lang w:val="fr-FR" w:eastAsia="ja-JP"/>
        </w:rPr>
        <w:t xml:space="preserve"> (Japon) du 6 au 10</w:t>
      </w:r>
      <w:r w:rsidR="007F1BBD" w:rsidRPr="000622D7">
        <w:rPr>
          <w:lang w:val="fr-FR" w:eastAsia="ja-JP"/>
        </w:rPr>
        <w:t> </w:t>
      </w:r>
      <w:r w:rsidR="005C211B" w:rsidRPr="000622D7">
        <w:rPr>
          <w:lang w:val="fr-FR" w:eastAsia="ja-JP"/>
        </w:rPr>
        <w:t>juillet 20</w:t>
      </w:r>
      <w:r w:rsidR="009C07FF" w:rsidRPr="000622D7">
        <w:rPr>
          <w:lang w:val="fr-FR" w:eastAsia="ja-JP"/>
        </w:rPr>
        <w:t>15,</w:t>
      </w:r>
      <w:r w:rsidR="005C211B" w:rsidRPr="000622D7">
        <w:rPr>
          <w:lang w:val="fr-FR" w:eastAsia="ja-JP"/>
        </w:rPr>
        <w:t xml:space="preserve"> le TWF</w:t>
      </w:r>
      <w:r w:rsidRPr="000622D7">
        <w:rPr>
          <w:lang w:val="fr-FR" w:eastAsia="ja-JP"/>
        </w:rPr>
        <w:t xml:space="preserve">, </w:t>
      </w:r>
      <w:r w:rsidR="009C07FF" w:rsidRPr="000622D7">
        <w:rPr>
          <w:lang w:val="fr-FR" w:eastAsia="ja-JP"/>
        </w:rPr>
        <w:t>à sa quarante sixième</w:t>
      </w:r>
      <w:r w:rsidR="0090653E" w:rsidRPr="000622D7">
        <w:rPr>
          <w:lang w:val="fr-FR" w:eastAsia="ja-JP"/>
        </w:rPr>
        <w:t> </w:t>
      </w:r>
      <w:r w:rsidR="009C07FF" w:rsidRPr="000622D7">
        <w:rPr>
          <w:lang w:val="fr-FR" w:eastAsia="ja-JP"/>
        </w:rPr>
        <w:t>session tenue à Mpumalanga (Afrique du Sud) du 24 au 2</w:t>
      </w:r>
      <w:r w:rsidR="005C211B" w:rsidRPr="000622D7">
        <w:rPr>
          <w:lang w:val="fr-FR" w:eastAsia="ja-JP"/>
        </w:rPr>
        <w:t>8 août 20</w:t>
      </w:r>
      <w:r w:rsidR="009C07FF" w:rsidRPr="000622D7">
        <w:rPr>
          <w:lang w:val="fr-FR" w:eastAsia="ja-JP"/>
        </w:rPr>
        <w:t>15 et</w:t>
      </w:r>
      <w:r w:rsidR="005C211B" w:rsidRPr="000622D7">
        <w:rPr>
          <w:lang w:val="fr-FR" w:eastAsia="ja-JP"/>
        </w:rPr>
        <w:t xml:space="preserve"> le TWO</w:t>
      </w:r>
      <w:r w:rsidR="00291817" w:rsidRPr="000622D7">
        <w:rPr>
          <w:lang w:val="fr-FR" w:eastAsia="ja-JP"/>
        </w:rPr>
        <w:t xml:space="preserve">, </w:t>
      </w:r>
      <w:r w:rsidR="009C07FF" w:rsidRPr="000622D7">
        <w:rPr>
          <w:lang w:val="fr-FR" w:eastAsia="ja-JP"/>
        </w:rPr>
        <w:t>à sa quarante huitième</w:t>
      </w:r>
      <w:r w:rsidR="0090653E" w:rsidRPr="000622D7">
        <w:rPr>
          <w:lang w:val="fr-FR" w:eastAsia="ja-JP"/>
        </w:rPr>
        <w:t> </w:t>
      </w:r>
      <w:r w:rsidR="009C07FF" w:rsidRPr="000622D7">
        <w:rPr>
          <w:lang w:val="fr-FR" w:eastAsia="ja-JP"/>
        </w:rPr>
        <w:t>session tenue à Cambridge (Royaume</w:t>
      </w:r>
      <w:r w:rsidR="007F1BBD" w:rsidRPr="000622D7">
        <w:rPr>
          <w:lang w:val="fr-FR" w:eastAsia="ja-JP"/>
        </w:rPr>
        <w:noBreakHyphen/>
      </w:r>
      <w:r w:rsidR="009C07FF" w:rsidRPr="000622D7">
        <w:rPr>
          <w:lang w:val="fr-FR" w:eastAsia="ja-JP"/>
        </w:rPr>
        <w:t>Uni) du 14 au 1</w:t>
      </w:r>
      <w:r w:rsidR="005C211B" w:rsidRPr="000622D7">
        <w:rPr>
          <w:lang w:val="fr-FR" w:eastAsia="ja-JP"/>
        </w:rPr>
        <w:t>8 septembre 20</w:t>
      </w:r>
      <w:r w:rsidR="009C07FF" w:rsidRPr="000622D7">
        <w:rPr>
          <w:lang w:val="fr-FR" w:eastAsia="ja-JP"/>
        </w:rPr>
        <w:t>15</w:t>
      </w:r>
      <w:r w:rsidRPr="000622D7">
        <w:rPr>
          <w:lang w:val="fr-FR" w:eastAsia="ja-JP"/>
        </w:rPr>
        <w:t xml:space="preserve">, </w:t>
      </w:r>
      <w:r w:rsidR="009C07FF" w:rsidRPr="000622D7">
        <w:rPr>
          <w:lang w:val="fr-FR" w:eastAsia="ja-JP"/>
        </w:rPr>
        <w:t>sont convenus de présenter le texte ci</w:t>
      </w:r>
      <w:r w:rsidR="007F1BBD" w:rsidRPr="000622D7">
        <w:rPr>
          <w:lang w:val="fr-FR" w:eastAsia="ja-JP"/>
        </w:rPr>
        <w:noBreakHyphen/>
      </w:r>
      <w:r w:rsidR="009C07FF" w:rsidRPr="000622D7">
        <w:rPr>
          <w:lang w:val="fr-FR" w:eastAsia="ja-JP"/>
        </w:rPr>
        <w:t>après du projet initial de questions et réponses concernant la diffusion d</w:t>
      </w:r>
      <w:r w:rsidR="005C211B" w:rsidRPr="000622D7">
        <w:rPr>
          <w:lang w:val="fr-FR" w:eastAsia="ja-JP"/>
        </w:rPr>
        <w:t>’</w:t>
      </w:r>
      <w:r w:rsidR="009C07FF" w:rsidRPr="000622D7">
        <w:rPr>
          <w:lang w:val="fr-FR" w:eastAsia="ja-JP"/>
        </w:rPr>
        <w:t xml:space="preserve">informations à un large public, </w:t>
      </w:r>
      <w:r w:rsidR="005C211B" w:rsidRPr="000622D7">
        <w:rPr>
          <w:lang w:val="fr-FR" w:eastAsia="ja-JP"/>
        </w:rPr>
        <w:t>y compris</w:t>
      </w:r>
      <w:r w:rsidR="009C07FF" w:rsidRPr="000622D7">
        <w:rPr>
          <w:lang w:val="fr-FR" w:eastAsia="ja-JP"/>
        </w:rPr>
        <w:t xml:space="preserve"> le public en général, sur la situation à l</w:t>
      </w:r>
      <w:r w:rsidR="005C211B" w:rsidRPr="000622D7">
        <w:rPr>
          <w:lang w:val="fr-FR" w:eastAsia="ja-JP"/>
        </w:rPr>
        <w:t>’</w:t>
      </w:r>
      <w:r w:rsidR="009C07FF" w:rsidRPr="000622D7">
        <w:rPr>
          <w:lang w:val="fr-FR" w:eastAsia="ja-JP"/>
        </w:rPr>
        <w:t>UPOV concernant l</w:t>
      </w:r>
      <w:r w:rsidR="005C211B" w:rsidRPr="000622D7">
        <w:rPr>
          <w:lang w:val="fr-FR" w:eastAsia="ja-JP"/>
        </w:rPr>
        <w:t>’</w:t>
      </w:r>
      <w:r w:rsidR="009C07FF" w:rsidRPr="000622D7">
        <w:rPr>
          <w:lang w:val="fr-FR" w:eastAsia="ja-JP"/>
        </w:rPr>
        <w:t>utilisation de techniques moléculaires qui a été examiné par le</w:t>
      </w:r>
      <w:r w:rsidR="005C211B" w:rsidRPr="000622D7">
        <w:rPr>
          <w:lang w:val="fr-FR" w:eastAsia="ja-JP"/>
        </w:rPr>
        <w:t> TC</w:t>
      </w:r>
      <w:r w:rsidR="009C07FF" w:rsidRPr="000622D7">
        <w:rPr>
          <w:lang w:val="fr-FR" w:eastAsia="ja-JP"/>
        </w:rPr>
        <w:t xml:space="preserve"> à sa cinquante</w:t>
      </w:r>
      <w:r w:rsidR="0090653E" w:rsidRPr="000622D7">
        <w:rPr>
          <w:lang w:val="fr-FR" w:eastAsia="ja-JP"/>
        </w:rPr>
        <w:t> </w:t>
      </w:r>
      <w:r w:rsidR="009C07FF" w:rsidRPr="000622D7">
        <w:rPr>
          <w:lang w:val="fr-FR" w:eastAsia="ja-JP"/>
        </w:rPr>
        <w:t>et</w:t>
      </w:r>
      <w:r w:rsidR="0090653E" w:rsidRPr="000622D7">
        <w:rPr>
          <w:lang w:val="fr-FR" w:eastAsia="ja-JP"/>
        </w:rPr>
        <w:t> </w:t>
      </w:r>
      <w:r w:rsidR="009C07FF" w:rsidRPr="000622D7">
        <w:rPr>
          <w:lang w:val="fr-FR" w:eastAsia="ja-JP"/>
        </w:rPr>
        <w:t>unième</w:t>
      </w:r>
      <w:r w:rsidR="0090653E" w:rsidRPr="000622D7">
        <w:rPr>
          <w:lang w:val="fr-FR" w:eastAsia="ja-JP"/>
        </w:rPr>
        <w:t> </w:t>
      </w:r>
      <w:r w:rsidR="009C07FF" w:rsidRPr="000622D7">
        <w:rPr>
          <w:lang w:val="fr-FR" w:eastAsia="ja-JP"/>
        </w:rPr>
        <w:t>session</w:t>
      </w:r>
      <w:r w:rsidR="001D3A76" w:rsidRPr="000622D7">
        <w:rPr>
          <w:lang w:val="fr-FR" w:eastAsia="ja-JP"/>
        </w:rPr>
        <w:t xml:space="preserve"> </w:t>
      </w:r>
      <w:r w:rsidRPr="000622D7">
        <w:rPr>
          <w:lang w:val="fr-FR" w:eastAsia="ja-JP"/>
        </w:rPr>
        <w:t>(</w:t>
      </w:r>
      <w:r w:rsidR="00B64BAC" w:rsidRPr="000622D7">
        <w:rPr>
          <w:lang w:val="fr-FR" w:eastAsia="ja-JP"/>
        </w:rPr>
        <w:t>voir le paragraphe</w:t>
      </w:r>
      <w:r w:rsidR="00CF2B96" w:rsidRPr="000622D7">
        <w:rPr>
          <w:lang w:val="fr-FR" w:eastAsia="ja-JP"/>
        </w:rPr>
        <w:t> </w:t>
      </w:r>
      <w:r w:rsidR="00B64BAC" w:rsidRPr="000622D7">
        <w:rPr>
          <w:lang w:val="fr-FR" w:eastAsia="ja-JP"/>
        </w:rPr>
        <w:t>70 du</w:t>
      </w:r>
      <w:r w:rsidRPr="000622D7">
        <w:rPr>
          <w:lang w:val="fr-FR" w:eastAsia="ja-JP"/>
        </w:rPr>
        <w:t xml:space="preserve"> document </w:t>
      </w:r>
      <w:r w:rsidRPr="000622D7">
        <w:rPr>
          <w:rFonts w:cs="Arial"/>
          <w:shd w:val="clear" w:color="auto" w:fill="FFFFFF"/>
          <w:lang w:val="fr-FR" w:eastAsia="ja-JP"/>
        </w:rPr>
        <w:t>TWA/44/23 “</w:t>
      </w:r>
      <w:r w:rsidRPr="000622D7">
        <w:rPr>
          <w:rFonts w:cs="Arial"/>
          <w:i/>
          <w:shd w:val="clear" w:color="auto" w:fill="FFFFFF"/>
          <w:lang w:val="fr-FR" w:eastAsia="ja-JP"/>
        </w:rPr>
        <w:t>Report</w:t>
      </w:r>
      <w:r w:rsidRPr="000622D7">
        <w:rPr>
          <w:rFonts w:cs="Arial"/>
          <w:shd w:val="clear" w:color="auto" w:fill="FFFFFF"/>
          <w:lang w:val="fr-FR" w:eastAsia="ja-JP"/>
        </w:rPr>
        <w:t xml:space="preserve">”, </w:t>
      </w:r>
      <w:r w:rsidR="00B64BAC" w:rsidRPr="000622D7">
        <w:rPr>
          <w:rFonts w:cs="Arial"/>
          <w:shd w:val="clear" w:color="auto" w:fill="FFFFFF"/>
          <w:lang w:val="fr-FR" w:eastAsia="ja-JP"/>
        </w:rPr>
        <w:t>le paragraphe</w:t>
      </w:r>
      <w:r w:rsidR="00CF2B96" w:rsidRPr="000622D7">
        <w:rPr>
          <w:rFonts w:cs="Arial"/>
          <w:shd w:val="clear" w:color="auto" w:fill="FFFFFF"/>
          <w:lang w:val="fr-FR" w:eastAsia="ja-JP"/>
        </w:rPr>
        <w:t> </w:t>
      </w:r>
      <w:r w:rsidR="00B64BAC" w:rsidRPr="000622D7">
        <w:rPr>
          <w:rFonts w:cs="Arial"/>
          <w:shd w:val="clear" w:color="auto" w:fill="FFFFFF"/>
          <w:lang w:val="fr-FR" w:eastAsia="ja-JP"/>
        </w:rPr>
        <w:t>72 du document</w:t>
      </w:r>
      <w:r w:rsidRPr="000622D7">
        <w:rPr>
          <w:rFonts w:cs="Arial"/>
          <w:shd w:val="clear" w:color="auto" w:fill="FFFFFF"/>
          <w:lang w:val="fr-FR" w:eastAsia="ja-JP"/>
        </w:rPr>
        <w:t xml:space="preserve"> TWF/46/29</w:t>
      </w:r>
      <w:r w:rsidR="00CF2B96" w:rsidRPr="000622D7">
        <w:rPr>
          <w:rFonts w:cs="Arial"/>
          <w:shd w:val="clear" w:color="auto" w:fill="FFFFFF"/>
          <w:lang w:val="fr-FR" w:eastAsia="ja-JP"/>
        </w:rPr>
        <w:t> </w:t>
      </w:r>
      <w:proofErr w:type="spellStart"/>
      <w:r w:rsidR="00291817" w:rsidRPr="000622D7">
        <w:rPr>
          <w:rFonts w:cs="Arial"/>
          <w:shd w:val="clear" w:color="auto" w:fill="FFFFFF"/>
          <w:lang w:val="fr-FR" w:eastAsia="ja-JP"/>
        </w:rPr>
        <w:t>Rev</w:t>
      </w:r>
      <w:proofErr w:type="spellEnd"/>
      <w:r w:rsidR="00291817" w:rsidRPr="000622D7">
        <w:rPr>
          <w:rFonts w:cs="Arial"/>
          <w:shd w:val="clear" w:color="auto" w:fill="FFFFFF"/>
          <w:lang w:val="fr-FR" w:eastAsia="ja-JP"/>
        </w:rPr>
        <w:t>.</w:t>
      </w:r>
      <w:r w:rsidRPr="000622D7">
        <w:rPr>
          <w:rFonts w:cs="Arial"/>
          <w:shd w:val="clear" w:color="auto" w:fill="FFFFFF"/>
          <w:lang w:val="fr-FR" w:eastAsia="ja-JP"/>
        </w:rPr>
        <w:t xml:space="preserve"> “</w:t>
      </w:r>
      <w:proofErr w:type="spellStart"/>
      <w:r w:rsidR="00291817" w:rsidRPr="000622D7">
        <w:rPr>
          <w:rFonts w:cs="Arial"/>
          <w:i/>
          <w:shd w:val="clear" w:color="auto" w:fill="FFFFFF"/>
          <w:lang w:val="fr-FR" w:eastAsia="ja-JP"/>
        </w:rPr>
        <w:t>Revised</w:t>
      </w:r>
      <w:proofErr w:type="spellEnd"/>
      <w:r w:rsidR="00291817" w:rsidRPr="000622D7">
        <w:rPr>
          <w:rFonts w:cs="Arial"/>
          <w:i/>
          <w:shd w:val="clear" w:color="auto" w:fill="FFFFFF"/>
          <w:lang w:val="fr-FR" w:eastAsia="ja-JP"/>
        </w:rPr>
        <w:t xml:space="preserve"> </w:t>
      </w:r>
      <w:r w:rsidRPr="000622D7">
        <w:rPr>
          <w:rFonts w:cs="Arial"/>
          <w:i/>
          <w:shd w:val="clear" w:color="auto" w:fill="FFFFFF"/>
          <w:lang w:val="fr-FR" w:eastAsia="ja-JP"/>
        </w:rPr>
        <w:t>Report</w:t>
      </w:r>
      <w:r w:rsidRPr="000622D7">
        <w:rPr>
          <w:rFonts w:cs="Arial"/>
          <w:shd w:val="clear" w:color="auto" w:fill="FFFFFF"/>
          <w:lang w:val="fr-FR" w:eastAsia="ja-JP"/>
        </w:rPr>
        <w:t xml:space="preserve">”, </w:t>
      </w:r>
      <w:r w:rsidR="00B64BAC" w:rsidRPr="000622D7">
        <w:rPr>
          <w:rFonts w:cs="Arial"/>
          <w:shd w:val="clear" w:color="auto" w:fill="FFFFFF"/>
          <w:lang w:val="fr-FR" w:eastAsia="ja-JP"/>
        </w:rPr>
        <w:t xml:space="preserve">et le </w:t>
      </w:r>
      <w:r w:rsidRPr="000622D7">
        <w:rPr>
          <w:rFonts w:cs="Arial"/>
          <w:shd w:val="clear" w:color="auto" w:fill="FFFFFF"/>
          <w:lang w:val="fr-FR" w:eastAsia="ja-JP"/>
        </w:rPr>
        <w:t>paragraph</w:t>
      </w:r>
      <w:r w:rsidR="00B64BAC" w:rsidRPr="000622D7">
        <w:rPr>
          <w:rFonts w:cs="Arial"/>
          <w:shd w:val="clear" w:color="auto" w:fill="FFFFFF"/>
          <w:lang w:val="fr-FR" w:eastAsia="ja-JP"/>
        </w:rPr>
        <w:t>e</w:t>
      </w:r>
      <w:r w:rsidR="00CF2B96" w:rsidRPr="000622D7">
        <w:rPr>
          <w:rFonts w:cs="Arial"/>
          <w:shd w:val="clear" w:color="auto" w:fill="FFFFFF"/>
          <w:lang w:val="fr-FR" w:eastAsia="ja-JP"/>
        </w:rPr>
        <w:t> </w:t>
      </w:r>
      <w:r w:rsidR="00B64BAC" w:rsidRPr="000622D7">
        <w:rPr>
          <w:rFonts w:cs="Arial"/>
          <w:shd w:val="clear" w:color="auto" w:fill="FFFFFF"/>
          <w:lang w:val="fr-FR" w:eastAsia="ja-JP"/>
        </w:rPr>
        <w:t>80 du document</w:t>
      </w:r>
      <w:r w:rsidRPr="000622D7">
        <w:rPr>
          <w:rFonts w:cs="Arial"/>
          <w:shd w:val="clear" w:color="auto" w:fill="FFFFFF"/>
          <w:lang w:val="fr-FR" w:eastAsia="ja-JP"/>
        </w:rPr>
        <w:t xml:space="preserve"> </w:t>
      </w:r>
      <w:r w:rsidR="00B64BAC" w:rsidRPr="000622D7">
        <w:rPr>
          <w:rFonts w:cs="Arial"/>
          <w:shd w:val="clear" w:color="auto" w:fill="FFFFFF"/>
          <w:lang w:val="fr-FR" w:eastAsia="ja-JP"/>
        </w:rPr>
        <w:t>TWO/48/26 “</w:t>
      </w:r>
      <w:r w:rsidR="00B64BAC" w:rsidRPr="000622D7">
        <w:rPr>
          <w:rFonts w:cs="Arial"/>
          <w:i/>
          <w:shd w:val="clear" w:color="auto" w:fill="FFFFFF"/>
          <w:lang w:val="fr-FR" w:eastAsia="ja-JP"/>
        </w:rPr>
        <w:t>Report</w:t>
      </w:r>
      <w:r w:rsidR="00CF2B96" w:rsidRPr="000622D7">
        <w:rPr>
          <w:rFonts w:cs="Arial"/>
          <w:shd w:val="clear" w:color="auto" w:fill="FFFFFF"/>
          <w:lang w:val="fr-FR" w:eastAsia="ja-JP"/>
        </w:rPr>
        <w:t>”</w:t>
      </w:r>
      <w:r w:rsidRPr="000622D7">
        <w:rPr>
          <w:rFonts w:cs="Arial"/>
          <w:shd w:val="clear" w:color="auto" w:fill="FFFFFF"/>
          <w:lang w:val="fr-FR" w:eastAsia="ja-JP"/>
        </w:rPr>
        <w:t>)</w:t>
      </w:r>
      <w:r w:rsidR="00CF2B96" w:rsidRPr="000622D7">
        <w:rPr>
          <w:lang w:val="fr-FR" w:eastAsia="ja-JP"/>
        </w:rPr>
        <w:t> :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821754" w:rsidP="00F77193">
      <w:pPr>
        <w:ind w:left="567"/>
        <w:rPr>
          <w:rFonts w:eastAsia="Times New Roman" w:cs="Arial"/>
          <w:sz w:val="18"/>
          <w:szCs w:val="24"/>
          <w:lang w:val="fr-FR"/>
        </w:rPr>
      </w:pPr>
      <w:r w:rsidRPr="000622D7">
        <w:rPr>
          <w:rFonts w:eastAsia="Times New Roman" w:cs="Arial"/>
          <w:sz w:val="18"/>
          <w:szCs w:val="24"/>
          <w:lang w:val="fr-FR"/>
        </w:rPr>
        <w:t>“Est</w:t>
      </w:r>
      <w:r w:rsidR="007F1BBD" w:rsidRPr="000622D7">
        <w:rPr>
          <w:rFonts w:eastAsia="Times New Roman" w:cs="Arial"/>
          <w:sz w:val="18"/>
          <w:szCs w:val="24"/>
          <w:lang w:val="fr-FR"/>
        </w:rPr>
        <w:noBreakHyphen/>
      </w:r>
      <w:r w:rsidRPr="000622D7">
        <w:rPr>
          <w:rFonts w:eastAsia="Times New Roman" w:cs="Arial"/>
          <w:sz w:val="18"/>
          <w:szCs w:val="24"/>
          <w:lang w:val="fr-FR"/>
        </w:rPr>
        <w:t>il possible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obtenir la protection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une variété sur la base de son profil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ADN?</w:t>
      </w:r>
    </w:p>
    <w:p w:rsidR="00A94B4B" w:rsidRPr="000622D7" w:rsidRDefault="00A94B4B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</w:p>
    <w:p w:rsidR="00A94B4B" w:rsidRPr="000622D7" w:rsidRDefault="00CC7D88" w:rsidP="00F77193">
      <w:pPr>
        <w:ind w:left="567" w:right="567"/>
        <w:rPr>
          <w:rFonts w:eastAsia="Times New Roman" w:cs="Arial"/>
          <w:strike/>
          <w:sz w:val="18"/>
          <w:szCs w:val="24"/>
          <w:lang w:val="fr-FR"/>
        </w:rPr>
      </w:pPr>
      <w:r w:rsidRPr="000622D7">
        <w:rPr>
          <w:rFonts w:eastAsia="Times New Roman" w:cs="Arial"/>
          <w:sz w:val="18"/>
          <w:szCs w:val="24"/>
          <w:lang w:val="fr-FR"/>
        </w:rPr>
        <w:t>“</w:t>
      </w:r>
      <w:r w:rsidR="0006025A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Une variété ne peut bénéficier d</w:t>
      </w:r>
      <w:r w:rsidR="005C211B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’</w:t>
      </w:r>
      <w:r w:rsidR="0006025A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une protection sur la base de son profil d</w:t>
      </w:r>
      <w:r w:rsidR="005C211B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’</w:t>
      </w:r>
      <w:r w:rsidR="0006025A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ADN</w:t>
      </w:r>
      <w:r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.</w:t>
      </w:r>
      <w:r w:rsidRPr="000622D7">
        <w:rPr>
          <w:sz w:val="18"/>
          <w:highlight w:val="lightGray"/>
          <w:u w:val="single"/>
          <w:lang w:val="fr-FR"/>
        </w:rPr>
        <w:t xml:space="preserve"> </w:t>
      </w:r>
      <w:r w:rsidR="00CF2B96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 xml:space="preserve"> </w:t>
      </w:r>
      <w:r w:rsidR="00821754" w:rsidRPr="000622D7">
        <w:rPr>
          <w:rFonts w:eastAsia="Times New Roman" w:cs="Arial"/>
          <w:sz w:val="18"/>
          <w:szCs w:val="24"/>
          <w:lang w:val="fr-FR"/>
        </w:rPr>
        <w:t>“Pour pouvoir bénéficier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="00821754" w:rsidRPr="000622D7">
        <w:rPr>
          <w:rFonts w:eastAsia="Times New Roman" w:cs="Arial"/>
          <w:sz w:val="18"/>
          <w:szCs w:val="24"/>
          <w:lang w:val="fr-FR"/>
        </w:rPr>
        <w:t>une protection, une variété doit pouvoir être nettement distinguée de toute autre variété existante par des caractères exprimés physiquement, par exemple, la hauteur de la plante, l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="00821754" w:rsidRPr="000622D7">
        <w:rPr>
          <w:rFonts w:eastAsia="Times New Roman" w:cs="Arial"/>
          <w:sz w:val="18"/>
          <w:szCs w:val="24"/>
          <w:lang w:val="fr-FR"/>
        </w:rPr>
        <w:t>époque de floraison, la couleur des fruits, la résistance aux maladies, etc.</w:t>
      </w:r>
      <w:r w:rsidRPr="000622D7">
        <w:rPr>
          <w:sz w:val="18"/>
          <w:lang w:val="fr-FR"/>
        </w:rPr>
        <w:t xml:space="preserve">  </w:t>
      </w:r>
      <w:r w:rsidR="00821754" w:rsidRPr="000622D7">
        <w:rPr>
          <w:rFonts w:eastAsia="Times New Roman" w:cs="Arial"/>
          <w:sz w:val="18"/>
          <w:szCs w:val="24"/>
          <w:lang w:val="fr-FR"/>
        </w:rPr>
        <w:t>[</w:t>
      </w:r>
      <w:r w:rsidR="00821754" w:rsidRPr="000622D7">
        <w:rPr>
          <w:rFonts w:eastAsia="Times New Roman" w:cs="Arial"/>
          <w:strike/>
          <w:sz w:val="18"/>
          <w:szCs w:val="24"/>
          <w:highlight w:val="lightGray"/>
          <w:lang w:val="fr-FR"/>
        </w:rPr>
        <w:t>Les techniques moléculaires (les profils d</w:t>
      </w:r>
      <w:r w:rsidR="005C211B" w:rsidRPr="000622D7">
        <w:rPr>
          <w:rFonts w:eastAsia="Times New Roman" w:cs="Arial"/>
          <w:strike/>
          <w:sz w:val="18"/>
          <w:szCs w:val="24"/>
          <w:highlight w:val="lightGray"/>
          <w:lang w:val="fr-FR"/>
        </w:rPr>
        <w:t>’</w:t>
      </w:r>
      <w:r w:rsidR="00821754" w:rsidRPr="000622D7">
        <w:rPr>
          <w:rFonts w:eastAsia="Times New Roman" w:cs="Arial"/>
          <w:strike/>
          <w:sz w:val="18"/>
          <w:szCs w:val="24"/>
          <w:highlight w:val="lightGray"/>
          <w:lang w:val="fr-FR"/>
        </w:rPr>
        <w:t>ADN) peuvent être utilisées en tant qu</w:t>
      </w:r>
      <w:r w:rsidR="005C211B" w:rsidRPr="000622D7">
        <w:rPr>
          <w:rFonts w:eastAsia="Times New Roman" w:cs="Arial"/>
          <w:strike/>
          <w:sz w:val="18"/>
          <w:szCs w:val="24"/>
          <w:highlight w:val="lightGray"/>
          <w:lang w:val="fr-FR"/>
        </w:rPr>
        <w:t>’</w:t>
      </w:r>
      <w:r w:rsidR="00821754" w:rsidRPr="000622D7">
        <w:rPr>
          <w:rFonts w:eastAsia="Times New Roman" w:cs="Arial"/>
          <w:strike/>
          <w:sz w:val="18"/>
          <w:szCs w:val="24"/>
          <w:highlight w:val="lightGray"/>
          <w:lang w:val="fr-FR"/>
        </w:rPr>
        <w:t>informations complémentaires</w:t>
      </w:r>
      <w:r w:rsidR="00821754" w:rsidRPr="000622D7">
        <w:rPr>
          <w:rFonts w:eastAsia="Times New Roman" w:cs="Arial"/>
          <w:sz w:val="18"/>
          <w:szCs w:val="24"/>
          <w:lang w:val="fr-FR"/>
        </w:rPr>
        <w:t>].</w:t>
      </w:r>
    </w:p>
    <w:p w:rsidR="00A94B4B" w:rsidRPr="000622D7" w:rsidRDefault="00A94B4B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</w:p>
    <w:p w:rsidR="00A94B4B" w:rsidRPr="000622D7" w:rsidRDefault="00821754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  <w:r w:rsidRPr="000622D7">
        <w:rPr>
          <w:rFonts w:eastAsia="Times New Roman" w:cs="Arial"/>
          <w:sz w:val="18"/>
          <w:szCs w:val="24"/>
          <w:lang w:val="fr-FR"/>
        </w:rPr>
        <w:t xml:space="preserve">“Des explications plus détaillées sont fournies dans les réponses aux questions fréquemment posées </w:t>
      </w:r>
      <w:r w:rsidR="005C211B" w:rsidRPr="000622D7">
        <w:rPr>
          <w:rFonts w:eastAsia="Times New Roman" w:cs="Arial"/>
          <w:sz w:val="18"/>
          <w:szCs w:val="24"/>
          <w:lang w:val="fr-FR"/>
        </w:rPr>
        <w:t>‘</w:t>
      </w:r>
      <w:r w:rsidRPr="000622D7">
        <w:rPr>
          <w:rFonts w:eastAsia="Times New Roman" w:cs="Arial"/>
          <w:sz w:val="18"/>
          <w:szCs w:val="24"/>
          <w:lang w:val="fr-FR"/>
        </w:rPr>
        <w:t>L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UPOV permet</w:t>
      </w:r>
      <w:r w:rsidR="007F1BBD" w:rsidRPr="000622D7">
        <w:rPr>
          <w:rFonts w:eastAsia="Times New Roman" w:cs="Arial"/>
          <w:sz w:val="18"/>
          <w:szCs w:val="24"/>
          <w:lang w:val="fr-FR"/>
        </w:rPr>
        <w:noBreakHyphen/>
      </w:r>
      <w:r w:rsidRPr="000622D7">
        <w:rPr>
          <w:rFonts w:eastAsia="Times New Roman" w:cs="Arial"/>
          <w:sz w:val="18"/>
          <w:szCs w:val="24"/>
          <w:lang w:val="fr-FR"/>
        </w:rPr>
        <w:t>elle de recourir à des techniques moléculaires (profils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ADN) dans l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examen de la distinction, de l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homogénéité et de la stabilité (examen</w:t>
      </w:r>
      <w:r w:rsidR="00CF2B96" w:rsidRPr="000622D7">
        <w:rPr>
          <w:rFonts w:eastAsia="Times New Roman" w:cs="Arial"/>
          <w:sz w:val="18"/>
          <w:szCs w:val="24"/>
          <w:lang w:val="fr-FR"/>
        </w:rPr>
        <w:t> </w:t>
      </w:r>
      <w:r w:rsidRPr="000622D7">
        <w:rPr>
          <w:rFonts w:eastAsia="Times New Roman" w:cs="Arial"/>
          <w:sz w:val="18"/>
          <w:szCs w:val="24"/>
          <w:lang w:val="fr-FR"/>
        </w:rPr>
        <w:t>DHS)?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</w:p>
    <w:p w:rsidR="00A94B4B" w:rsidRPr="000622D7" w:rsidRDefault="00A94B4B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</w:p>
    <w:p w:rsidR="00A94B4B" w:rsidRPr="000622D7" w:rsidRDefault="00BE0728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  <w:r w:rsidRPr="000622D7">
        <w:rPr>
          <w:rFonts w:eastAsia="Times New Roman" w:cs="Arial"/>
          <w:sz w:val="18"/>
          <w:szCs w:val="24"/>
          <w:lang w:val="fr-FR"/>
        </w:rPr>
        <w:t>“</w:t>
      </w:r>
      <w:proofErr w:type="gramStart"/>
      <w:r w:rsidRPr="000622D7">
        <w:rPr>
          <w:rFonts w:eastAsia="Times New Roman" w:cs="Arial"/>
          <w:sz w:val="18"/>
          <w:szCs w:val="24"/>
          <w:lang w:val="fr-FR"/>
        </w:rPr>
        <w:t>voir</w:t>
      </w:r>
      <w:proofErr w:type="gramEnd"/>
      <w:r w:rsidRPr="000622D7">
        <w:rPr>
          <w:rFonts w:eastAsia="Times New Roman" w:cs="Arial"/>
          <w:sz w:val="18"/>
          <w:szCs w:val="24"/>
          <w:lang w:val="fr-FR"/>
        </w:rPr>
        <w:t xml:space="preserve"> également :</w:t>
      </w:r>
    </w:p>
    <w:p w:rsidR="00A94B4B" w:rsidRPr="000622D7" w:rsidRDefault="00821754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  <w:r w:rsidRPr="000622D7">
        <w:rPr>
          <w:rFonts w:eastAsia="Times New Roman" w:cs="Arial"/>
          <w:sz w:val="18"/>
          <w:szCs w:val="24"/>
          <w:lang w:val="fr-FR"/>
        </w:rPr>
        <w:t>Quelles sont les conditions à remplir pour pouvoir protéger une nouvelle variété végétale?</w:t>
      </w:r>
      <w:r w:rsidR="00BE0728" w:rsidRPr="000622D7">
        <w:rPr>
          <w:rFonts w:eastAsia="Times New Roman" w:cs="Arial"/>
          <w:sz w:val="18"/>
          <w:szCs w:val="24"/>
          <w:lang w:val="fr-FR"/>
        </w:rPr>
        <w:t>”</w:t>
      </w:r>
    </w:p>
    <w:p w:rsidR="00A94B4B" w:rsidRPr="000622D7" w:rsidRDefault="00A94B4B" w:rsidP="00F77193">
      <w:pPr>
        <w:rPr>
          <w:snapToGrid w:val="0"/>
          <w:lang w:val="fr-FR" w:eastAsia="ja-JP"/>
        </w:rPr>
      </w:pPr>
    </w:p>
    <w:p w:rsidR="00A94B4B" w:rsidRPr="000622D7" w:rsidRDefault="00BE0728" w:rsidP="00F77193">
      <w:pPr>
        <w:pStyle w:val="Heading2"/>
        <w:rPr>
          <w:color w:val="auto"/>
        </w:rPr>
      </w:pPr>
      <w:bookmarkStart w:id="20" w:name="_Toc444674453"/>
      <w:r w:rsidRPr="000622D7">
        <w:rPr>
          <w:color w:val="auto"/>
        </w:rPr>
        <w:t>Observations formulées par le</w:t>
      </w:r>
      <w:r w:rsidR="005C211B" w:rsidRPr="000622D7">
        <w:rPr>
          <w:color w:val="auto"/>
        </w:rPr>
        <w:t> TC</w:t>
      </w:r>
      <w:r w:rsidR="007F1BBD" w:rsidRPr="000622D7">
        <w:rPr>
          <w:color w:val="auto"/>
        </w:rPr>
        <w:noBreakHyphen/>
      </w:r>
      <w:r w:rsidR="005C211B" w:rsidRPr="000622D7">
        <w:rPr>
          <w:color w:val="auto"/>
        </w:rPr>
        <w:t>EDC</w:t>
      </w:r>
      <w:bookmarkEnd w:id="20"/>
    </w:p>
    <w:p w:rsidR="00A94B4B" w:rsidRPr="000622D7" w:rsidRDefault="00A94B4B" w:rsidP="00F77193">
      <w:pPr>
        <w:rPr>
          <w:lang w:val="fr-FR" w:eastAsia="ja-JP"/>
        </w:rPr>
      </w:pPr>
    </w:p>
    <w:p w:rsidR="00034D19" w:rsidRPr="000622D7" w:rsidRDefault="00CE38A5" w:rsidP="00F77193">
      <w:pPr>
        <w:rPr>
          <w:lang w:val="fr-FR" w:eastAsia="ja-JP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0001DD" w:rsidRPr="000622D7">
        <w:rPr>
          <w:lang w:val="fr-FR" w:eastAsia="ja-JP"/>
        </w:rPr>
        <w:t>Le</w:t>
      </w:r>
      <w:r w:rsidR="005C211B" w:rsidRPr="000622D7">
        <w:rPr>
          <w:lang w:val="fr-FR" w:eastAsia="ja-JP"/>
        </w:rPr>
        <w:t> TC</w:t>
      </w:r>
      <w:r w:rsidR="00F77193" w:rsidRPr="000622D7">
        <w:rPr>
          <w:lang w:val="fr-FR" w:eastAsia="ja-JP"/>
        </w:rPr>
        <w:t>-</w:t>
      </w:r>
      <w:r w:rsidR="000001DD" w:rsidRPr="000622D7">
        <w:rPr>
          <w:lang w:val="fr-FR" w:eastAsia="ja-JP"/>
        </w:rPr>
        <w:t xml:space="preserve">EDC, à sa réunion tenue à Genève les 6 et </w:t>
      </w:r>
      <w:r w:rsidR="005C211B" w:rsidRPr="000622D7">
        <w:rPr>
          <w:lang w:val="fr-FR" w:eastAsia="ja-JP"/>
        </w:rPr>
        <w:t>7 janvier 20</w:t>
      </w:r>
      <w:r w:rsidR="000001DD" w:rsidRPr="000622D7">
        <w:rPr>
          <w:lang w:val="fr-FR" w:eastAsia="ja-JP"/>
        </w:rPr>
        <w:t>16, a examiné le projet initial examiné par le</w:t>
      </w:r>
      <w:r w:rsidR="005C211B" w:rsidRPr="000622D7">
        <w:rPr>
          <w:lang w:val="fr-FR" w:eastAsia="ja-JP"/>
        </w:rPr>
        <w:t> TC</w:t>
      </w:r>
      <w:r w:rsidR="008A280F" w:rsidRPr="000622D7">
        <w:rPr>
          <w:lang w:val="fr-FR" w:eastAsia="ja-JP"/>
        </w:rPr>
        <w:t xml:space="preserve"> à sa cinquante</w:t>
      </w:r>
      <w:r w:rsidR="0090653E" w:rsidRPr="000622D7">
        <w:rPr>
          <w:lang w:val="fr-FR" w:eastAsia="ja-JP"/>
        </w:rPr>
        <w:t> </w:t>
      </w:r>
      <w:r w:rsidR="008A280F" w:rsidRPr="000622D7">
        <w:rPr>
          <w:lang w:val="fr-FR" w:eastAsia="ja-JP"/>
        </w:rPr>
        <w:t>et</w:t>
      </w:r>
      <w:r w:rsidR="0090653E" w:rsidRPr="000622D7">
        <w:rPr>
          <w:lang w:val="fr-FR" w:eastAsia="ja-JP"/>
        </w:rPr>
        <w:t> </w:t>
      </w:r>
      <w:r w:rsidR="008A280F" w:rsidRPr="000622D7">
        <w:rPr>
          <w:lang w:val="fr-FR" w:eastAsia="ja-JP"/>
        </w:rPr>
        <w:t>unième</w:t>
      </w:r>
      <w:r w:rsidR="0090653E" w:rsidRPr="000622D7">
        <w:rPr>
          <w:lang w:val="fr-FR" w:eastAsia="ja-JP"/>
        </w:rPr>
        <w:t> </w:t>
      </w:r>
      <w:r w:rsidR="008A280F" w:rsidRPr="000622D7">
        <w:rPr>
          <w:lang w:val="fr-FR" w:eastAsia="ja-JP"/>
        </w:rPr>
        <w:t>session</w:t>
      </w:r>
      <w:r w:rsidR="002F7030" w:rsidRPr="000622D7">
        <w:rPr>
          <w:lang w:val="fr-FR" w:eastAsia="ja-JP"/>
        </w:rPr>
        <w:t>,</w:t>
      </w:r>
      <w:r w:rsidRPr="000622D7">
        <w:rPr>
          <w:lang w:val="fr-FR" w:eastAsia="ja-JP"/>
        </w:rPr>
        <w:t xml:space="preserve"> </w:t>
      </w:r>
      <w:r w:rsidR="008A280F" w:rsidRPr="000622D7">
        <w:rPr>
          <w:lang w:val="fr-FR" w:eastAsia="ja-JP"/>
        </w:rPr>
        <w:t>conjointement aux observations formulées par</w:t>
      </w:r>
      <w:r w:rsidR="005C211B" w:rsidRPr="000622D7">
        <w:rPr>
          <w:lang w:val="fr-FR" w:eastAsia="ja-JP"/>
        </w:rPr>
        <w:t xml:space="preserve"> les TWP</w:t>
      </w:r>
      <w:r w:rsidR="002F7030" w:rsidRPr="000622D7">
        <w:rPr>
          <w:lang w:val="fr-FR" w:eastAsia="ja-JP"/>
        </w:rPr>
        <w:t>,</w:t>
      </w:r>
      <w:r w:rsidR="008A280F" w:rsidRPr="000622D7">
        <w:rPr>
          <w:lang w:val="fr-FR" w:eastAsia="ja-JP"/>
        </w:rPr>
        <w:t xml:space="preserve"> et a proposé de réviser le projet initial comme suit</w:t>
      </w:r>
      <w:r w:rsidR="00CF2B96" w:rsidRPr="000622D7">
        <w:rPr>
          <w:lang w:val="fr-FR" w:eastAsia="ja-JP"/>
        </w:rPr>
        <w:t> </w:t>
      </w:r>
      <w:r w:rsidRPr="000622D7">
        <w:rPr>
          <w:lang w:val="fr-FR" w:eastAsia="ja-JP"/>
        </w:rPr>
        <w:t>:</w:t>
      </w:r>
    </w:p>
    <w:p w:rsidR="00A94B4B" w:rsidRPr="000622D7" w:rsidRDefault="00A94B4B" w:rsidP="00F77193">
      <w:pPr>
        <w:rPr>
          <w:lang w:val="fr-FR" w:eastAsia="ja-JP"/>
        </w:rPr>
      </w:pPr>
    </w:p>
    <w:p w:rsidR="00A94B4B" w:rsidRPr="000622D7" w:rsidRDefault="00821754" w:rsidP="00F77193">
      <w:pPr>
        <w:ind w:left="567"/>
        <w:rPr>
          <w:rFonts w:eastAsia="Times New Roman" w:cs="Arial"/>
          <w:sz w:val="18"/>
          <w:szCs w:val="24"/>
          <w:lang w:val="fr-FR"/>
        </w:rPr>
      </w:pPr>
      <w:r w:rsidRPr="000622D7">
        <w:rPr>
          <w:rFonts w:eastAsia="Times New Roman" w:cs="Arial"/>
          <w:sz w:val="18"/>
          <w:szCs w:val="24"/>
          <w:lang w:val="fr-FR"/>
        </w:rPr>
        <w:t>“Est</w:t>
      </w:r>
      <w:r w:rsidR="007F1BBD" w:rsidRPr="000622D7">
        <w:rPr>
          <w:rFonts w:eastAsia="Times New Roman" w:cs="Arial"/>
          <w:sz w:val="18"/>
          <w:szCs w:val="24"/>
          <w:lang w:val="fr-FR"/>
        </w:rPr>
        <w:noBreakHyphen/>
      </w:r>
      <w:r w:rsidRPr="000622D7">
        <w:rPr>
          <w:rFonts w:eastAsia="Times New Roman" w:cs="Arial"/>
          <w:sz w:val="18"/>
          <w:szCs w:val="24"/>
          <w:lang w:val="fr-FR"/>
        </w:rPr>
        <w:t>il possible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obtenir la protection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une variété sur la base de son profil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ADN?</w:t>
      </w:r>
    </w:p>
    <w:p w:rsidR="00A94B4B" w:rsidRPr="000622D7" w:rsidRDefault="00A94B4B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</w:p>
    <w:p w:rsidR="00A94B4B" w:rsidRPr="000622D7" w:rsidRDefault="00821754" w:rsidP="00F77193">
      <w:pPr>
        <w:ind w:left="567" w:right="567"/>
        <w:rPr>
          <w:rFonts w:eastAsia="Times New Roman" w:cs="Arial"/>
          <w:strike/>
          <w:sz w:val="18"/>
          <w:szCs w:val="24"/>
          <w:lang w:val="fr-FR"/>
        </w:rPr>
      </w:pPr>
      <w:r w:rsidRPr="000622D7">
        <w:rPr>
          <w:rFonts w:eastAsia="Times New Roman" w:cs="Arial"/>
          <w:sz w:val="18"/>
          <w:szCs w:val="24"/>
          <w:lang w:val="fr-FR"/>
        </w:rPr>
        <w:t>“Pour pouvoir bénéficier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une protection, une variété doit pouvoir être nettement distinguée de toute autre variété existante par des caractères exprimés physiquement, par exemple, la hauteur de la plante, l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époque de floraison, la couleur des fruits, la résistance aux maladies, etc.</w:t>
      </w:r>
      <w:r w:rsidR="00CE38A5" w:rsidRPr="000622D7">
        <w:rPr>
          <w:sz w:val="18"/>
          <w:lang w:val="fr-FR"/>
        </w:rPr>
        <w:t xml:space="preserve">  </w:t>
      </w:r>
      <w:r w:rsidR="00A857B1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Une variété ne peut bénéficier d</w:t>
      </w:r>
      <w:r w:rsidR="005C211B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’</w:t>
      </w:r>
      <w:r w:rsidR="00A857B1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une protection sur la base de son profil d</w:t>
      </w:r>
      <w:r w:rsidR="005C211B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’</w:t>
      </w:r>
      <w:r w:rsidR="00A857B1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ADN</w:t>
      </w:r>
      <w:r w:rsidR="00BC6EBC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>,</w:t>
      </w:r>
      <w:r w:rsidR="00CE38A5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 xml:space="preserve"> </w:t>
      </w:r>
      <w:r w:rsidR="00A857B1" w:rsidRPr="000622D7">
        <w:rPr>
          <w:rFonts w:eastAsia="Times New Roman" w:cs="Arial"/>
          <w:sz w:val="18"/>
          <w:szCs w:val="24"/>
          <w:highlight w:val="lightGray"/>
          <w:u w:val="single"/>
          <w:lang w:val="fr-FR"/>
        </w:rPr>
        <w:t xml:space="preserve">bien que ces données puissent être utilisées </w:t>
      </w:r>
      <w:r w:rsidR="00A857B1" w:rsidRPr="000622D7">
        <w:rPr>
          <w:sz w:val="18"/>
          <w:highlight w:val="lightGray"/>
          <w:lang w:val="fr-FR"/>
        </w:rPr>
        <w:t>dans l</w:t>
      </w:r>
      <w:r w:rsidR="005C211B" w:rsidRPr="000622D7">
        <w:rPr>
          <w:sz w:val="18"/>
          <w:highlight w:val="lightGray"/>
          <w:lang w:val="fr-FR"/>
        </w:rPr>
        <w:t>’</w:t>
      </w:r>
      <w:r w:rsidR="00A857B1" w:rsidRPr="000622D7">
        <w:rPr>
          <w:sz w:val="18"/>
          <w:highlight w:val="lightGray"/>
          <w:lang w:val="fr-FR"/>
        </w:rPr>
        <w:t>examen de la distinction, de l</w:t>
      </w:r>
      <w:r w:rsidR="005C211B" w:rsidRPr="000622D7">
        <w:rPr>
          <w:sz w:val="18"/>
          <w:highlight w:val="lightGray"/>
          <w:lang w:val="fr-FR"/>
        </w:rPr>
        <w:t>’</w:t>
      </w:r>
      <w:r w:rsidR="00A857B1" w:rsidRPr="000622D7">
        <w:rPr>
          <w:sz w:val="18"/>
          <w:highlight w:val="lightGray"/>
          <w:lang w:val="fr-FR"/>
        </w:rPr>
        <w:t>homogénéité et de la stabilité (examen</w:t>
      </w:r>
      <w:r w:rsidR="00A857B1" w:rsidRPr="000622D7">
        <w:rPr>
          <w:rFonts w:eastAsia="Times New Roman" w:cs="Arial"/>
          <w:sz w:val="18"/>
          <w:szCs w:val="24"/>
          <w:lang w:val="fr-FR"/>
        </w:rPr>
        <w:t xml:space="preserve"> </w:t>
      </w:r>
      <w:r w:rsidR="00CE38A5" w:rsidRPr="000622D7">
        <w:rPr>
          <w:rFonts w:eastAsia="Times New Roman" w:cs="Arial"/>
          <w:sz w:val="18"/>
          <w:szCs w:val="24"/>
          <w:highlight w:val="lightGray"/>
          <w:lang w:val="fr-FR"/>
        </w:rPr>
        <w:t>“D</w:t>
      </w:r>
      <w:r w:rsidR="00A857B1" w:rsidRPr="000622D7">
        <w:rPr>
          <w:rFonts w:eastAsia="Times New Roman" w:cs="Arial"/>
          <w:sz w:val="18"/>
          <w:szCs w:val="24"/>
          <w:highlight w:val="lightGray"/>
          <w:lang w:val="fr-FR"/>
        </w:rPr>
        <w:t>H</w:t>
      </w:r>
      <w:r w:rsidR="00CE38A5" w:rsidRPr="000622D7">
        <w:rPr>
          <w:rFonts w:eastAsia="Times New Roman" w:cs="Arial"/>
          <w:sz w:val="18"/>
          <w:szCs w:val="24"/>
          <w:highlight w:val="lightGray"/>
          <w:lang w:val="fr-FR"/>
        </w:rPr>
        <w:t>S”).</w:t>
      </w:r>
      <w:r w:rsidR="00CE38A5" w:rsidRPr="000622D7">
        <w:rPr>
          <w:sz w:val="18"/>
          <w:highlight w:val="lightGray"/>
          <w:lang w:val="fr-FR"/>
        </w:rPr>
        <w:t xml:space="preserve">  </w:t>
      </w:r>
      <w:r w:rsidRPr="000622D7">
        <w:rPr>
          <w:rFonts w:eastAsia="Times New Roman" w:cs="Arial"/>
          <w:sz w:val="18"/>
          <w:szCs w:val="24"/>
          <w:lang w:val="fr-FR"/>
        </w:rPr>
        <w:t>[</w:t>
      </w:r>
      <w:r w:rsidRPr="000622D7">
        <w:rPr>
          <w:rFonts w:eastAsia="Times New Roman" w:cs="Arial"/>
          <w:strike/>
          <w:sz w:val="18"/>
          <w:szCs w:val="24"/>
          <w:lang w:val="fr-FR"/>
        </w:rPr>
        <w:t>Les techniques moléculaires (les profils d</w:t>
      </w:r>
      <w:r w:rsidR="005C211B" w:rsidRPr="000622D7">
        <w:rPr>
          <w:rFonts w:eastAsia="Times New Roman" w:cs="Arial"/>
          <w:strike/>
          <w:sz w:val="18"/>
          <w:szCs w:val="24"/>
          <w:lang w:val="fr-FR"/>
        </w:rPr>
        <w:t>’</w:t>
      </w:r>
      <w:r w:rsidRPr="000622D7">
        <w:rPr>
          <w:rFonts w:eastAsia="Times New Roman" w:cs="Arial"/>
          <w:strike/>
          <w:sz w:val="18"/>
          <w:szCs w:val="24"/>
          <w:lang w:val="fr-FR"/>
        </w:rPr>
        <w:t>ADN) peuvent être utilisées en tant qu</w:t>
      </w:r>
      <w:r w:rsidR="005C211B" w:rsidRPr="000622D7">
        <w:rPr>
          <w:rFonts w:eastAsia="Times New Roman" w:cs="Arial"/>
          <w:strike/>
          <w:sz w:val="18"/>
          <w:szCs w:val="24"/>
          <w:lang w:val="fr-FR"/>
        </w:rPr>
        <w:t>’</w:t>
      </w:r>
      <w:r w:rsidRPr="000622D7">
        <w:rPr>
          <w:rFonts w:eastAsia="Times New Roman" w:cs="Arial"/>
          <w:strike/>
          <w:sz w:val="18"/>
          <w:szCs w:val="24"/>
          <w:lang w:val="fr-FR"/>
        </w:rPr>
        <w:t>informations complémentaires</w:t>
      </w:r>
      <w:r w:rsidRPr="000622D7">
        <w:rPr>
          <w:rFonts w:eastAsia="Times New Roman" w:cs="Arial"/>
          <w:sz w:val="18"/>
          <w:szCs w:val="24"/>
          <w:lang w:val="fr-FR"/>
        </w:rPr>
        <w:t>].</w:t>
      </w:r>
    </w:p>
    <w:p w:rsidR="00A94B4B" w:rsidRPr="000622D7" w:rsidRDefault="00A94B4B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</w:p>
    <w:p w:rsidR="00A94B4B" w:rsidRPr="000622D7" w:rsidRDefault="00821754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  <w:r w:rsidRPr="000622D7">
        <w:rPr>
          <w:rFonts w:eastAsia="Times New Roman" w:cs="Arial"/>
          <w:sz w:val="18"/>
          <w:szCs w:val="24"/>
          <w:lang w:val="fr-FR"/>
        </w:rPr>
        <w:t xml:space="preserve">“Des explications plus détaillées sont fournies dans les réponses aux questions fréquemment posées </w:t>
      </w:r>
      <w:r w:rsidR="005C211B" w:rsidRPr="000622D7">
        <w:rPr>
          <w:rFonts w:eastAsia="Times New Roman" w:cs="Arial"/>
          <w:sz w:val="18"/>
          <w:szCs w:val="24"/>
          <w:lang w:val="fr-FR"/>
        </w:rPr>
        <w:t>‘</w:t>
      </w:r>
      <w:r w:rsidRPr="000622D7">
        <w:rPr>
          <w:rFonts w:eastAsia="Times New Roman" w:cs="Arial"/>
          <w:sz w:val="18"/>
          <w:szCs w:val="24"/>
          <w:lang w:val="fr-FR"/>
        </w:rPr>
        <w:t>L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UPOV permet</w:t>
      </w:r>
      <w:r w:rsidR="007F1BBD" w:rsidRPr="000622D7">
        <w:rPr>
          <w:rFonts w:eastAsia="Times New Roman" w:cs="Arial"/>
          <w:sz w:val="18"/>
          <w:szCs w:val="24"/>
          <w:lang w:val="fr-FR"/>
        </w:rPr>
        <w:noBreakHyphen/>
      </w:r>
      <w:r w:rsidRPr="000622D7">
        <w:rPr>
          <w:rFonts w:eastAsia="Times New Roman" w:cs="Arial"/>
          <w:sz w:val="18"/>
          <w:szCs w:val="24"/>
          <w:lang w:val="fr-FR"/>
        </w:rPr>
        <w:t>elle de recourir à des techniques moléculaires (profils d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ADN) dans l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examen de la distinction, de l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  <w:r w:rsidRPr="000622D7">
        <w:rPr>
          <w:rFonts w:eastAsia="Times New Roman" w:cs="Arial"/>
          <w:sz w:val="18"/>
          <w:szCs w:val="24"/>
          <w:lang w:val="fr-FR"/>
        </w:rPr>
        <w:t>homogénéité et de la stabilité (examen</w:t>
      </w:r>
      <w:r w:rsidR="00CF2B96" w:rsidRPr="000622D7">
        <w:rPr>
          <w:rFonts w:eastAsia="Times New Roman" w:cs="Arial"/>
          <w:sz w:val="18"/>
          <w:szCs w:val="24"/>
          <w:lang w:val="fr-FR"/>
        </w:rPr>
        <w:t> </w:t>
      </w:r>
      <w:r w:rsidRPr="000622D7">
        <w:rPr>
          <w:rFonts w:eastAsia="Times New Roman" w:cs="Arial"/>
          <w:sz w:val="18"/>
          <w:szCs w:val="24"/>
          <w:lang w:val="fr-FR"/>
        </w:rPr>
        <w:t>DHS)?</w:t>
      </w:r>
      <w:r w:rsidR="005C211B" w:rsidRPr="000622D7">
        <w:rPr>
          <w:rFonts w:eastAsia="Times New Roman" w:cs="Arial"/>
          <w:sz w:val="18"/>
          <w:szCs w:val="24"/>
          <w:lang w:val="fr-FR"/>
        </w:rPr>
        <w:t>’</w:t>
      </w:r>
    </w:p>
    <w:p w:rsidR="00A94B4B" w:rsidRPr="000622D7" w:rsidRDefault="00A94B4B" w:rsidP="00F77193">
      <w:pPr>
        <w:ind w:left="567" w:right="567"/>
        <w:rPr>
          <w:rFonts w:eastAsia="Times New Roman" w:cs="Arial"/>
          <w:sz w:val="18"/>
          <w:szCs w:val="24"/>
          <w:lang w:val="fr-FR"/>
        </w:rPr>
      </w:pPr>
    </w:p>
    <w:p w:rsidR="00A94B4B" w:rsidRPr="000622D7" w:rsidRDefault="00BE0728" w:rsidP="00F77193">
      <w:pPr>
        <w:keepNext/>
        <w:ind w:left="567" w:right="567"/>
        <w:rPr>
          <w:rFonts w:eastAsia="Times New Roman" w:cs="Arial"/>
          <w:sz w:val="18"/>
          <w:szCs w:val="24"/>
          <w:lang w:val="fr-FR"/>
        </w:rPr>
      </w:pPr>
      <w:r w:rsidRPr="000622D7">
        <w:rPr>
          <w:rFonts w:eastAsia="Times New Roman" w:cs="Arial"/>
          <w:sz w:val="18"/>
          <w:szCs w:val="24"/>
          <w:lang w:val="fr-FR"/>
        </w:rPr>
        <w:t>“</w:t>
      </w:r>
      <w:proofErr w:type="gramStart"/>
      <w:r w:rsidRPr="000622D7">
        <w:rPr>
          <w:rFonts w:eastAsia="Times New Roman" w:cs="Arial"/>
          <w:sz w:val="18"/>
          <w:szCs w:val="24"/>
          <w:lang w:val="fr-FR"/>
        </w:rPr>
        <w:t>voir</w:t>
      </w:r>
      <w:proofErr w:type="gramEnd"/>
      <w:r w:rsidRPr="000622D7">
        <w:rPr>
          <w:rFonts w:eastAsia="Times New Roman" w:cs="Arial"/>
          <w:sz w:val="18"/>
          <w:szCs w:val="24"/>
          <w:lang w:val="fr-FR"/>
        </w:rPr>
        <w:t xml:space="preserve"> également </w:t>
      </w:r>
      <w:r w:rsidR="00CE38A5" w:rsidRPr="000622D7">
        <w:rPr>
          <w:rFonts w:eastAsia="Times New Roman" w:cs="Arial"/>
          <w:sz w:val="18"/>
          <w:szCs w:val="24"/>
          <w:lang w:val="fr-FR"/>
        </w:rPr>
        <w:t>:</w:t>
      </w:r>
    </w:p>
    <w:p w:rsidR="00A94B4B" w:rsidRPr="000622D7" w:rsidRDefault="00821754" w:rsidP="00F77193">
      <w:pPr>
        <w:ind w:left="567" w:right="567"/>
        <w:rPr>
          <w:rFonts w:cs="Arial"/>
          <w:sz w:val="18"/>
          <w:szCs w:val="24"/>
          <w:lang w:val="fr-FR" w:eastAsia="ja-JP"/>
        </w:rPr>
      </w:pPr>
      <w:r w:rsidRPr="000622D7">
        <w:rPr>
          <w:rFonts w:cs="Arial"/>
          <w:sz w:val="18"/>
          <w:szCs w:val="24"/>
          <w:lang w:val="fr-FR" w:eastAsia="ja-JP"/>
        </w:rPr>
        <w:t>Quelles sont les conditions à remplir pour pouvoir protéger une nouvelle variété végétale?</w:t>
      </w:r>
      <w:r w:rsidR="00BE0728" w:rsidRPr="000622D7">
        <w:rPr>
          <w:rFonts w:cs="Arial"/>
          <w:sz w:val="18"/>
          <w:szCs w:val="24"/>
          <w:lang w:val="fr-FR" w:eastAsia="ja-JP"/>
        </w:rPr>
        <w:t>”</w:t>
      </w:r>
    </w:p>
    <w:p w:rsidR="00A94B4B" w:rsidRPr="000622D7" w:rsidRDefault="00A94B4B" w:rsidP="00F77193">
      <w:pPr>
        <w:rPr>
          <w:snapToGrid w:val="0"/>
          <w:lang w:val="fr-FR" w:eastAsia="ja-JP"/>
        </w:rPr>
      </w:pPr>
    </w:p>
    <w:p w:rsidR="00034D19" w:rsidRPr="000622D7" w:rsidRDefault="006C418D" w:rsidP="00F77193">
      <w:pPr>
        <w:pStyle w:val="DecisionParagraphs"/>
        <w:tabs>
          <w:tab w:val="clear" w:pos="5387"/>
          <w:tab w:val="left" w:pos="5103"/>
        </w:tabs>
        <w:ind w:left="4536"/>
        <w:rPr>
          <w:i w:val="0"/>
          <w:lang w:val="fr-FR"/>
        </w:rPr>
      </w:pPr>
      <w:r w:rsidRPr="000622D7">
        <w:rPr>
          <w:lang w:val="fr-FR"/>
        </w:rPr>
        <w:fldChar w:fldCharType="begin"/>
      </w:r>
      <w:r w:rsidRPr="000622D7">
        <w:rPr>
          <w:lang w:val="fr-FR"/>
        </w:rPr>
        <w:instrText xml:space="preserve"> AUTONUM  </w:instrText>
      </w:r>
      <w:r w:rsidRPr="000622D7">
        <w:rPr>
          <w:lang w:val="fr-FR"/>
        </w:rPr>
        <w:fldChar w:fldCharType="end"/>
      </w:r>
      <w:r w:rsidRPr="000622D7">
        <w:rPr>
          <w:lang w:val="fr-FR"/>
        </w:rPr>
        <w:tab/>
      </w:r>
      <w:r w:rsidR="00760E5D" w:rsidRPr="000622D7">
        <w:rPr>
          <w:lang w:val="fr-FR"/>
        </w:rPr>
        <w:t>Le</w:t>
      </w:r>
      <w:r w:rsidR="005C211B" w:rsidRPr="000622D7">
        <w:rPr>
          <w:lang w:val="fr-FR"/>
        </w:rPr>
        <w:t> TC</w:t>
      </w:r>
      <w:r w:rsidR="00821754" w:rsidRPr="000622D7">
        <w:rPr>
          <w:lang w:val="fr-FR"/>
        </w:rPr>
        <w:t xml:space="preserve"> est invité à</w:t>
      </w:r>
      <w:r w:rsidR="000622D7">
        <w:rPr>
          <w:lang w:val="fr-FR"/>
        </w:rPr>
        <w:t> :</w:t>
      </w:r>
    </w:p>
    <w:p w:rsidR="00A94B4B" w:rsidRPr="000622D7" w:rsidRDefault="00A94B4B" w:rsidP="00F77193">
      <w:pPr>
        <w:pStyle w:val="DecisionParagraphs"/>
        <w:ind w:left="4536"/>
        <w:rPr>
          <w:lang w:val="fr-FR"/>
        </w:rPr>
      </w:pPr>
    </w:p>
    <w:p w:rsidR="00A94B4B" w:rsidRPr="000622D7" w:rsidRDefault="00821754" w:rsidP="00F7719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lang w:val="fr-FR" w:eastAsia="ja-JP"/>
        </w:rPr>
      </w:pPr>
      <w:r w:rsidRPr="000622D7">
        <w:rPr>
          <w:lang w:val="fr-FR" w:eastAsia="ja-JP"/>
        </w:rPr>
        <w:t>a)</w:t>
      </w:r>
      <w:r w:rsidRPr="000622D7">
        <w:rPr>
          <w:lang w:val="fr-FR" w:eastAsia="ja-JP"/>
        </w:rPr>
        <w:tab/>
        <w:t>prendre note du rapport sur les faits nouveaux survenus au sein du</w:t>
      </w:r>
      <w:r w:rsidR="005C211B" w:rsidRPr="000622D7">
        <w:rPr>
          <w:lang w:val="fr-FR" w:eastAsia="ja-JP"/>
        </w:rPr>
        <w:t> TC</w:t>
      </w:r>
      <w:r w:rsidRPr="000622D7">
        <w:rPr>
          <w:lang w:val="fr-FR" w:eastAsia="ja-JP"/>
        </w:rPr>
        <w:t>,</w:t>
      </w:r>
      <w:r w:rsidR="00034D19" w:rsidRPr="000622D7">
        <w:rPr>
          <w:lang w:val="fr-FR" w:eastAsia="ja-JP"/>
        </w:rPr>
        <w:t xml:space="preserve"> des TWP</w:t>
      </w:r>
      <w:r w:rsidRPr="000622D7">
        <w:rPr>
          <w:lang w:val="fr-FR" w:eastAsia="ja-JP"/>
        </w:rPr>
        <w:t xml:space="preserve"> et</w:t>
      </w:r>
      <w:r w:rsidR="00034D19" w:rsidRPr="000622D7">
        <w:rPr>
          <w:lang w:val="fr-FR" w:eastAsia="ja-JP"/>
        </w:rPr>
        <w:t xml:space="preserve"> du BMT</w:t>
      </w:r>
      <w:r w:rsidRPr="000622D7">
        <w:rPr>
          <w:lang w:val="fr-FR" w:eastAsia="ja-JP"/>
        </w:rPr>
        <w:t>, présenté aux paragraphes</w:t>
      </w:r>
      <w:r w:rsidR="00CF2B96" w:rsidRPr="000622D7">
        <w:rPr>
          <w:lang w:val="fr-FR" w:eastAsia="ja-JP"/>
        </w:rPr>
        <w:t> </w:t>
      </w:r>
      <w:r w:rsidRPr="000622D7">
        <w:rPr>
          <w:lang w:val="fr-FR" w:eastAsia="ja-JP"/>
        </w:rPr>
        <w:t>5 à 15 du présent document,</w:t>
      </w:r>
    </w:p>
    <w:p w:rsidR="00A94B4B" w:rsidRPr="000622D7" w:rsidRDefault="00A94B4B" w:rsidP="00F7719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lang w:val="fr-FR" w:eastAsia="ja-JP"/>
        </w:rPr>
      </w:pPr>
    </w:p>
    <w:p w:rsidR="00A94B4B" w:rsidRPr="000622D7" w:rsidRDefault="007872EB" w:rsidP="00F7719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lang w:val="fr-FR" w:eastAsia="ja-JP"/>
        </w:rPr>
      </w:pPr>
      <w:r w:rsidRPr="000622D7">
        <w:rPr>
          <w:lang w:val="fr-FR" w:eastAsia="ja-JP"/>
        </w:rPr>
        <w:t>b</w:t>
      </w:r>
      <w:r w:rsidR="00CE38A5" w:rsidRPr="000622D7">
        <w:rPr>
          <w:lang w:val="fr-FR" w:eastAsia="ja-JP"/>
        </w:rPr>
        <w:t>)</w:t>
      </w:r>
      <w:r w:rsidR="00CE38A5" w:rsidRPr="000622D7">
        <w:rPr>
          <w:lang w:val="fr-FR" w:eastAsia="ja-JP"/>
        </w:rPr>
        <w:tab/>
      </w:r>
      <w:r w:rsidR="003156FB" w:rsidRPr="000622D7">
        <w:rPr>
          <w:lang w:val="fr-FR" w:eastAsia="ja-JP"/>
        </w:rPr>
        <w:t>prendre note des projets des Systèmes de semences de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OCDE visant à organiser un atelier conjoint de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OCDE, de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UPOV, de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ISTA et de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 xml:space="preserve">AOSA sur les techniques biochimiques et moléculaires à Paris (France), les 7 et </w:t>
      </w:r>
      <w:r w:rsidR="005C211B" w:rsidRPr="000622D7">
        <w:rPr>
          <w:lang w:val="fr-FR" w:eastAsia="ja-JP"/>
        </w:rPr>
        <w:t>8 juin 20</w:t>
      </w:r>
      <w:r w:rsidR="003156FB" w:rsidRPr="000622D7">
        <w:rPr>
          <w:lang w:val="fr-FR" w:eastAsia="ja-JP"/>
        </w:rPr>
        <w:t>16,</w:t>
      </w:r>
    </w:p>
    <w:p w:rsidR="00A94B4B" w:rsidRPr="000622D7" w:rsidRDefault="00A94B4B" w:rsidP="00F7719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lang w:val="fr-FR" w:eastAsia="ja-JP"/>
        </w:rPr>
      </w:pPr>
    </w:p>
    <w:p w:rsidR="00A94B4B" w:rsidRPr="000622D7" w:rsidRDefault="009E1E09" w:rsidP="00F7719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lang w:val="fr-FR" w:eastAsia="ja-JP"/>
        </w:rPr>
      </w:pPr>
      <w:r w:rsidRPr="000622D7">
        <w:rPr>
          <w:lang w:val="fr-FR" w:eastAsia="ja-JP"/>
        </w:rPr>
        <w:t>c)</w:t>
      </w:r>
      <w:r w:rsidRPr="000622D7">
        <w:rPr>
          <w:lang w:val="fr-FR" w:eastAsia="ja-JP"/>
        </w:rPr>
        <w:tab/>
      </w:r>
      <w:r w:rsidR="003156FB" w:rsidRPr="000622D7">
        <w:rPr>
          <w:lang w:val="fr-FR" w:eastAsia="ja-JP"/>
        </w:rPr>
        <w:t>prendre note du fait que les observations formulées par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OCDE et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ISTA concernant les principaux systèmes de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OCDE, de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UPOV et de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ISTA seront communiquées au</w:t>
      </w:r>
      <w:r w:rsidR="005C211B" w:rsidRPr="000622D7">
        <w:rPr>
          <w:lang w:val="fr-FR" w:eastAsia="ja-JP"/>
        </w:rPr>
        <w:t> TC</w:t>
      </w:r>
      <w:r w:rsidR="003156FB" w:rsidRPr="000622D7">
        <w:rPr>
          <w:lang w:val="fr-FR" w:eastAsia="ja-JP"/>
        </w:rPr>
        <w:t xml:space="preserve"> à sa cinquante</w:t>
      </w:r>
      <w:r w:rsidR="007F1BBD" w:rsidRPr="000622D7">
        <w:rPr>
          <w:lang w:val="fr-FR" w:eastAsia="ja-JP"/>
        </w:rPr>
        <w:noBreakHyphen/>
      </w:r>
      <w:r w:rsidR="003156FB" w:rsidRPr="000622D7">
        <w:rPr>
          <w:lang w:val="fr-FR" w:eastAsia="ja-JP"/>
        </w:rPr>
        <w:t>troisième</w:t>
      </w:r>
      <w:r w:rsidR="0090653E" w:rsidRPr="000622D7">
        <w:rPr>
          <w:lang w:val="fr-FR" w:eastAsia="ja-JP"/>
        </w:rPr>
        <w:t> </w:t>
      </w:r>
      <w:r w:rsidR="003156FB" w:rsidRPr="000622D7">
        <w:rPr>
          <w:lang w:val="fr-FR" w:eastAsia="ja-JP"/>
        </w:rPr>
        <w:t>session,</w:t>
      </w:r>
    </w:p>
    <w:p w:rsidR="00A94B4B" w:rsidRPr="000622D7" w:rsidRDefault="00A94B4B" w:rsidP="00F7719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lang w:val="fr-FR" w:eastAsia="ja-JP"/>
        </w:rPr>
      </w:pPr>
    </w:p>
    <w:p w:rsidR="00A94B4B" w:rsidRPr="000622D7" w:rsidRDefault="009E1E09" w:rsidP="00F7719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lang w:val="fr-FR" w:eastAsia="ja-JP"/>
        </w:rPr>
      </w:pPr>
      <w:r w:rsidRPr="000622D7">
        <w:rPr>
          <w:lang w:val="fr-FR" w:eastAsia="ja-JP"/>
        </w:rPr>
        <w:t>d)</w:t>
      </w:r>
      <w:r w:rsidRPr="000622D7">
        <w:rPr>
          <w:lang w:val="fr-FR" w:eastAsia="ja-JP"/>
        </w:rPr>
        <w:tab/>
      </w:r>
      <w:r w:rsidR="003156FB" w:rsidRPr="000622D7">
        <w:rPr>
          <w:lang w:val="fr-FR" w:eastAsia="ja-JP"/>
        </w:rPr>
        <w:t>prendre note du fait que les observations formulées par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OCDE et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ISTA concernant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utilisation qui est faite des techniques faisant intervenir des marqueurs moléculaires, par plante, seront communiquées au</w:t>
      </w:r>
      <w:r w:rsidR="005C211B" w:rsidRPr="000622D7">
        <w:rPr>
          <w:lang w:val="fr-FR" w:eastAsia="ja-JP"/>
        </w:rPr>
        <w:t> TC</w:t>
      </w:r>
      <w:r w:rsidR="003156FB" w:rsidRPr="000622D7">
        <w:rPr>
          <w:lang w:val="fr-FR" w:eastAsia="ja-JP"/>
        </w:rPr>
        <w:t xml:space="preserve"> à sa cinquante</w:t>
      </w:r>
      <w:r w:rsidR="007F1BBD" w:rsidRPr="000622D7">
        <w:rPr>
          <w:lang w:val="fr-FR" w:eastAsia="ja-JP"/>
        </w:rPr>
        <w:noBreakHyphen/>
      </w:r>
      <w:r w:rsidR="003156FB" w:rsidRPr="000622D7">
        <w:rPr>
          <w:lang w:val="fr-FR" w:eastAsia="ja-JP"/>
        </w:rPr>
        <w:t>troisième</w:t>
      </w:r>
      <w:r w:rsidR="0090653E" w:rsidRPr="000622D7">
        <w:rPr>
          <w:lang w:val="fr-FR" w:eastAsia="ja-JP"/>
        </w:rPr>
        <w:t> </w:t>
      </w:r>
      <w:r w:rsidR="003156FB" w:rsidRPr="000622D7">
        <w:rPr>
          <w:lang w:val="fr-FR" w:eastAsia="ja-JP"/>
        </w:rPr>
        <w:t>session,</w:t>
      </w:r>
    </w:p>
    <w:p w:rsidR="00A94B4B" w:rsidRPr="000622D7" w:rsidRDefault="00A94B4B" w:rsidP="00F7719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lang w:val="fr-FR" w:eastAsia="ja-JP"/>
        </w:rPr>
      </w:pPr>
    </w:p>
    <w:p w:rsidR="00A94B4B" w:rsidRPr="000622D7" w:rsidRDefault="00A20C90" w:rsidP="00F7719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lang w:val="fr-FR" w:eastAsia="ja-JP"/>
        </w:rPr>
      </w:pPr>
      <w:r w:rsidRPr="000622D7">
        <w:rPr>
          <w:lang w:val="fr-FR" w:eastAsia="ja-JP"/>
        </w:rPr>
        <w:t>e)</w:t>
      </w:r>
      <w:r w:rsidRPr="000622D7">
        <w:rPr>
          <w:lang w:val="fr-FR" w:eastAsia="ja-JP"/>
        </w:rPr>
        <w:tab/>
      </w:r>
      <w:r w:rsidR="003156FB" w:rsidRPr="000622D7">
        <w:rPr>
          <w:lang w:val="fr-FR" w:eastAsia="ja-JP"/>
        </w:rPr>
        <w:t>prendre note du fait que les observations formulées par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OCDE et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ISTA concernant l</w:t>
      </w:r>
      <w:r w:rsidR="005C211B" w:rsidRPr="000622D7">
        <w:rPr>
          <w:lang w:val="fr-FR" w:eastAsia="ja-JP"/>
        </w:rPr>
        <w:t>’</w:t>
      </w:r>
      <w:r w:rsidR="003156FB" w:rsidRPr="000622D7">
        <w:rPr>
          <w:lang w:val="fr-FR" w:eastAsia="ja-JP"/>
        </w:rPr>
        <w:t>utilisation qui est faite des techniques faisant intervenir des marqueurs moléculaires, par plante, seront communiquées au</w:t>
      </w:r>
      <w:r w:rsidR="005C211B" w:rsidRPr="000622D7">
        <w:rPr>
          <w:lang w:val="fr-FR" w:eastAsia="ja-JP"/>
        </w:rPr>
        <w:t> TC</w:t>
      </w:r>
      <w:r w:rsidR="003156FB" w:rsidRPr="000622D7">
        <w:rPr>
          <w:lang w:val="fr-FR" w:eastAsia="ja-JP"/>
        </w:rPr>
        <w:t xml:space="preserve"> à sa cinquante</w:t>
      </w:r>
      <w:r w:rsidR="007F1BBD" w:rsidRPr="000622D7">
        <w:rPr>
          <w:lang w:val="fr-FR" w:eastAsia="ja-JP"/>
        </w:rPr>
        <w:noBreakHyphen/>
      </w:r>
      <w:r w:rsidR="003156FB" w:rsidRPr="000622D7">
        <w:rPr>
          <w:lang w:val="fr-FR" w:eastAsia="ja-JP"/>
        </w:rPr>
        <w:t>troisième</w:t>
      </w:r>
      <w:r w:rsidR="0090653E" w:rsidRPr="000622D7">
        <w:rPr>
          <w:lang w:val="fr-FR" w:eastAsia="ja-JP"/>
        </w:rPr>
        <w:t> </w:t>
      </w:r>
      <w:r w:rsidR="003156FB" w:rsidRPr="000622D7">
        <w:rPr>
          <w:lang w:val="fr-FR" w:eastAsia="ja-JP"/>
        </w:rPr>
        <w:t>session,</w:t>
      </w:r>
      <w:r w:rsidRPr="000622D7">
        <w:rPr>
          <w:lang w:val="fr-FR" w:eastAsia="ja-JP"/>
        </w:rPr>
        <w:t xml:space="preserve"> </w:t>
      </w:r>
      <w:r w:rsidR="003156FB" w:rsidRPr="000622D7">
        <w:rPr>
          <w:lang w:val="fr-FR" w:eastAsia="ja-JP"/>
        </w:rPr>
        <w:t>et</w:t>
      </w:r>
    </w:p>
    <w:p w:rsidR="00A94B4B" w:rsidRPr="000622D7" w:rsidRDefault="00A94B4B" w:rsidP="00F77193">
      <w:pPr>
        <w:pStyle w:val="DecisionParagraphs"/>
        <w:tabs>
          <w:tab w:val="clear" w:pos="5387"/>
          <w:tab w:val="left" w:pos="5670"/>
        </w:tabs>
        <w:ind w:left="4536" w:firstLine="567"/>
        <w:rPr>
          <w:lang w:val="fr-FR" w:eastAsia="ja-JP"/>
        </w:rPr>
      </w:pPr>
    </w:p>
    <w:p w:rsidR="00A94B4B" w:rsidRPr="000622D7" w:rsidRDefault="00A20C90" w:rsidP="00F77193">
      <w:pPr>
        <w:pStyle w:val="DecisionParagraphs"/>
        <w:keepLines/>
        <w:tabs>
          <w:tab w:val="clear" w:pos="5387"/>
          <w:tab w:val="left" w:pos="5670"/>
        </w:tabs>
        <w:ind w:left="4536" w:firstLine="567"/>
        <w:rPr>
          <w:rFonts w:cs="Arial"/>
          <w:lang w:val="fr-FR" w:eastAsia="ja-JP"/>
        </w:rPr>
      </w:pPr>
      <w:r w:rsidRPr="000622D7">
        <w:rPr>
          <w:lang w:val="fr-FR" w:eastAsia="ja-JP"/>
        </w:rPr>
        <w:t>f</w:t>
      </w:r>
      <w:r w:rsidR="006C418D" w:rsidRPr="000622D7">
        <w:rPr>
          <w:lang w:val="fr-FR" w:eastAsia="ja-JP"/>
        </w:rPr>
        <w:t>)</w:t>
      </w:r>
      <w:r w:rsidR="006C418D" w:rsidRPr="000622D7">
        <w:rPr>
          <w:lang w:val="fr-FR" w:eastAsia="ja-JP"/>
        </w:rPr>
        <w:tab/>
      </w:r>
      <w:r w:rsidR="005C0F69" w:rsidRPr="000622D7">
        <w:rPr>
          <w:rFonts w:cs="Arial"/>
          <w:lang w:val="fr-FR" w:eastAsia="ja-JP"/>
        </w:rPr>
        <w:t>examiner un projet de questions et réponses concernant la diffusion d</w:t>
      </w:r>
      <w:r w:rsidR="005C211B" w:rsidRPr="000622D7">
        <w:rPr>
          <w:rFonts w:cs="Arial"/>
          <w:lang w:val="fr-FR" w:eastAsia="ja-JP"/>
        </w:rPr>
        <w:t>’</w:t>
      </w:r>
      <w:r w:rsidR="005C0F69" w:rsidRPr="000622D7">
        <w:rPr>
          <w:rFonts w:cs="Arial"/>
          <w:lang w:val="fr-FR" w:eastAsia="ja-JP"/>
        </w:rPr>
        <w:t xml:space="preserve">informations à un large public, </w:t>
      </w:r>
      <w:r w:rsidR="005C211B" w:rsidRPr="000622D7">
        <w:rPr>
          <w:rFonts w:cs="Arial"/>
          <w:lang w:val="fr-FR" w:eastAsia="ja-JP"/>
        </w:rPr>
        <w:t>y compris</w:t>
      </w:r>
      <w:r w:rsidR="005C0F69" w:rsidRPr="000622D7">
        <w:rPr>
          <w:rFonts w:cs="Arial"/>
          <w:lang w:val="fr-FR" w:eastAsia="ja-JP"/>
        </w:rPr>
        <w:t xml:space="preserve"> le public en général, sur la situation à l</w:t>
      </w:r>
      <w:r w:rsidR="005C211B" w:rsidRPr="000622D7">
        <w:rPr>
          <w:rFonts w:cs="Arial"/>
          <w:lang w:val="fr-FR" w:eastAsia="ja-JP"/>
        </w:rPr>
        <w:t>’</w:t>
      </w:r>
      <w:r w:rsidR="005C0F69" w:rsidRPr="000622D7">
        <w:rPr>
          <w:rFonts w:cs="Arial"/>
          <w:lang w:val="fr-FR" w:eastAsia="ja-JP"/>
        </w:rPr>
        <w:t>UPOV au regard de l</w:t>
      </w:r>
      <w:r w:rsidR="005C211B" w:rsidRPr="000622D7">
        <w:rPr>
          <w:rFonts w:cs="Arial"/>
          <w:lang w:val="fr-FR" w:eastAsia="ja-JP"/>
        </w:rPr>
        <w:t>’</w:t>
      </w:r>
      <w:r w:rsidR="005C0F69" w:rsidRPr="000622D7">
        <w:rPr>
          <w:rFonts w:cs="Arial"/>
          <w:lang w:val="fr-FR" w:eastAsia="ja-JP"/>
        </w:rPr>
        <w:t>utilisation de techniques moléculaires, comme indiqué au paragraphe</w:t>
      </w:r>
      <w:r w:rsidR="0090653E" w:rsidRPr="000622D7">
        <w:rPr>
          <w:rFonts w:cs="Arial"/>
          <w:lang w:val="fr-FR" w:eastAsia="ja-JP"/>
        </w:rPr>
        <w:t> </w:t>
      </w:r>
      <w:r w:rsidR="005C0F69" w:rsidRPr="000622D7">
        <w:rPr>
          <w:rFonts w:cs="Arial"/>
          <w:lang w:val="fr-FR" w:eastAsia="ja-JP"/>
        </w:rPr>
        <w:t>38 du présent document</w:t>
      </w:r>
      <w:r w:rsidR="00B354CB" w:rsidRPr="000622D7">
        <w:rPr>
          <w:rFonts w:cs="Arial"/>
          <w:lang w:val="fr-FR" w:eastAsia="ja-JP"/>
        </w:rPr>
        <w:t>.</w:t>
      </w:r>
    </w:p>
    <w:p w:rsidR="00A94B4B" w:rsidRPr="000622D7" w:rsidRDefault="00A94B4B" w:rsidP="00F77193">
      <w:pPr>
        <w:pStyle w:val="DecisionParagraphs"/>
        <w:tabs>
          <w:tab w:val="clear" w:pos="5387"/>
          <w:tab w:val="left" w:pos="5670"/>
        </w:tabs>
        <w:ind w:left="4536" w:firstLine="567"/>
        <w:rPr>
          <w:rFonts w:cs="Arial"/>
          <w:i w:val="0"/>
          <w:lang w:val="fr-FR" w:eastAsia="ja-JP"/>
        </w:rPr>
      </w:pPr>
    </w:p>
    <w:p w:rsidR="00A94B4B" w:rsidRPr="000622D7" w:rsidRDefault="00A94B4B" w:rsidP="00F77193">
      <w:pPr>
        <w:pStyle w:val="DecisionParagraphs"/>
        <w:tabs>
          <w:tab w:val="clear" w:pos="5387"/>
          <w:tab w:val="left" w:pos="5670"/>
        </w:tabs>
        <w:ind w:left="4536" w:firstLine="567"/>
        <w:rPr>
          <w:rFonts w:cs="Arial"/>
          <w:i w:val="0"/>
          <w:lang w:val="fr-FR" w:eastAsia="ja-JP"/>
        </w:rPr>
      </w:pPr>
    </w:p>
    <w:p w:rsidR="00A94B4B" w:rsidRPr="000622D7" w:rsidRDefault="00A94B4B" w:rsidP="00F77193">
      <w:pPr>
        <w:pStyle w:val="DecisionParagraphs"/>
        <w:tabs>
          <w:tab w:val="clear" w:pos="5387"/>
          <w:tab w:val="left" w:pos="5670"/>
        </w:tabs>
        <w:ind w:left="4536" w:firstLine="567"/>
        <w:rPr>
          <w:rFonts w:cs="Arial"/>
          <w:i w:val="0"/>
          <w:lang w:val="fr-FR" w:eastAsia="ja-JP"/>
        </w:rPr>
      </w:pPr>
    </w:p>
    <w:p w:rsidR="00A94B4B" w:rsidRPr="000622D7" w:rsidRDefault="00821754" w:rsidP="00F77193">
      <w:pPr>
        <w:pStyle w:val="DecisionParagraphs"/>
        <w:tabs>
          <w:tab w:val="clear" w:pos="5387"/>
          <w:tab w:val="left" w:pos="5670"/>
        </w:tabs>
        <w:ind w:left="4536" w:firstLine="567"/>
        <w:jc w:val="right"/>
        <w:rPr>
          <w:rFonts w:cs="Arial"/>
          <w:i w:val="0"/>
          <w:lang w:val="fr-FR"/>
        </w:rPr>
      </w:pPr>
      <w:r w:rsidRPr="000622D7">
        <w:rPr>
          <w:rFonts w:cs="Arial"/>
          <w:i w:val="0"/>
          <w:lang w:val="fr-FR"/>
        </w:rPr>
        <w:t>[L</w:t>
      </w:r>
      <w:r w:rsidR="005C211B" w:rsidRPr="000622D7">
        <w:rPr>
          <w:rFonts w:cs="Arial"/>
          <w:i w:val="0"/>
          <w:lang w:val="fr-FR"/>
        </w:rPr>
        <w:t>’</w:t>
      </w:r>
      <w:r w:rsidRPr="000622D7">
        <w:rPr>
          <w:rFonts w:cs="Arial"/>
          <w:i w:val="0"/>
          <w:lang w:val="fr-FR"/>
        </w:rPr>
        <w:t>annexe suit]</w:t>
      </w:r>
    </w:p>
    <w:p w:rsidR="00A94B4B" w:rsidRPr="000622D7" w:rsidRDefault="00A94B4B" w:rsidP="00F77193">
      <w:pPr>
        <w:pStyle w:val="Header"/>
        <w:jc w:val="right"/>
      </w:pPr>
    </w:p>
    <w:p w:rsidR="00182CF6" w:rsidRPr="000622D7" w:rsidRDefault="00182CF6" w:rsidP="00F77193">
      <w:pPr>
        <w:pStyle w:val="Header"/>
        <w:jc w:val="left"/>
        <w:sectPr w:rsidR="00182CF6" w:rsidRPr="000622D7" w:rsidSect="00E71894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94B4B" w:rsidRPr="000622D7" w:rsidRDefault="00A94B4B" w:rsidP="00F77193">
      <w:pPr>
        <w:pStyle w:val="Header"/>
        <w:jc w:val="left"/>
      </w:pPr>
    </w:p>
    <w:p w:rsidR="00A94B4B" w:rsidRPr="000622D7" w:rsidRDefault="00821754" w:rsidP="00F77193">
      <w:pPr>
        <w:spacing w:before="60" w:after="120"/>
        <w:jc w:val="center"/>
        <w:rPr>
          <w:lang w:val="fr-FR"/>
        </w:rPr>
      </w:pPr>
      <w:r w:rsidRPr="000622D7">
        <w:rPr>
          <w:lang w:val="fr-FR"/>
        </w:rPr>
        <w:t>MANDAT DU GROUPE DE TRAVAIL SUR LES TECHNIQUES BIOCHIMIQUES ET MOLÉCULAIRES, NOTAMMENT LES PROFILS D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ADN (BMT)</w:t>
      </w:r>
    </w:p>
    <w:p w:rsidR="00A94B4B" w:rsidRPr="000622D7" w:rsidRDefault="00821754" w:rsidP="00F77193">
      <w:pPr>
        <w:spacing w:before="60" w:after="120"/>
        <w:jc w:val="center"/>
        <w:rPr>
          <w:i/>
          <w:lang w:val="fr-FR"/>
        </w:rPr>
      </w:pPr>
      <w:r w:rsidRPr="000622D7">
        <w:rPr>
          <w:i/>
          <w:lang w:val="fr-FR"/>
        </w:rPr>
        <w:t>(</w:t>
      </w:r>
      <w:proofErr w:type="gramStart"/>
      <w:r w:rsidRPr="000622D7">
        <w:rPr>
          <w:i/>
          <w:lang w:val="fr-FR"/>
        </w:rPr>
        <w:t>tel</w:t>
      </w:r>
      <w:proofErr w:type="gramEnd"/>
      <w:r w:rsidRPr="000622D7">
        <w:rPr>
          <w:i/>
          <w:lang w:val="fr-FR"/>
        </w:rPr>
        <w:t xml:space="preserve"> qu</w:t>
      </w:r>
      <w:r w:rsidR="005C211B" w:rsidRPr="000622D7">
        <w:rPr>
          <w:i/>
          <w:lang w:val="fr-FR"/>
        </w:rPr>
        <w:t>’</w:t>
      </w:r>
      <w:r w:rsidRPr="000622D7">
        <w:rPr>
          <w:i/>
          <w:lang w:val="fr-FR"/>
        </w:rPr>
        <w:t xml:space="preserve">il a été défini par le </w:t>
      </w:r>
      <w:r w:rsidR="001A6AFE" w:rsidRPr="000622D7">
        <w:rPr>
          <w:i/>
          <w:lang w:val="fr-FR"/>
        </w:rPr>
        <w:t>Comité technique</w:t>
      </w:r>
      <w:r w:rsidRPr="000622D7">
        <w:rPr>
          <w:i/>
          <w:lang w:val="fr-FR"/>
        </w:rPr>
        <w:t xml:space="preserve"> à sa trente</w:t>
      </w:r>
      <w:r w:rsidR="007F1BBD" w:rsidRPr="000622D7">
        <w:rPr>
          <w:lang w:val="fr-FR"/>
        </w:rPr>
        <w:noBreakHyphen/>
      </w:r>
      <w:r w:rsidRPr="000622D7">
        <w:rPr>
          <w:i/>
          <w:lang w:val="fr-FR"/>
        </w:rPr>
        <w:t>huitième</w:t>
      </w:r>
      <w:r w:rsidR="00CF2B96" w:rsidRPr="000622D7">
        <w:rPr>
          <w:i/>
          <w:lang w:val="fr-FR"/>
        </w:rPr>
        <w:t> </w:t>
      </w:r>
      <w:r w:rsidRPr="000622D7">
        <w:rPr>
          <w:i/>
          <w:lang w:val="fr-FR"/>
        </w:rPr>
        <w:t>session</w:t>
      </w:r>
      <w:r w:rsidR="00A02F78" w:rsidRPr="000622D7">
        <w:rPr>
          <w:i/>
          <w:lang w:val="fr-FR"/>
        </w:rPr>
        <w:br/>
      </w:r>
      <w:r w:rsidRPr="000622D7">
        <w:rPr>
          <w:i/>
          <w:lang w:val="fr-FR"/>
        </w:rPr>
        <w:t>tenue à Genève du 15 au 1</w:t>
      </w:r>
      <w:r w:rsidR="00034D19" w:rsidRPr="000622D7">
        <w:rPr>
          <w:i/>
          <w:lang w:val="fr-FR"/>
        </w:rPr>
        <w:t>7 avril</w:t>
      </w:r>
      <w:r w:rsidR="00A02F78" w:rsidRPr="000622D7">
        <w:rPr>
          <w:lang w:val="fr-FR"/>
        </w:rPr>
        <w:t> </w:t>
      </w:r>
      <w:r w:rsidRPr="000622D7">
        <w:rPr>
          <w:i/>
          <w:lang w:val="fr-FR"/>
        </w:rPr>
        <w:t>2002 (voir le paragraphe</w:t>
      </w:r>
      <w:r w:rsidR="00CF2B96" w:rsidRPr="000622D7">
        <w:rPr>
          <w:i/>
          <w:lang w:val="fr-FR"/>
        </w:rPr>
        <w:t> </w:t>
      </w:r>
      <w:r w:rsidRPr="000622D7">
        <w:rPr>
          <w:i/>
          <w:lang w:val="fr-FR"/>
        </w:rPr>
        <w:t xml:space="preserve">204 du </w:t>
      </w:r>
      <w:r w:rsidR="005C211B" w:rsidRPr="000622D7">
        <w:rPr>
          <w:i/>
          <w:lang w:val="fr-FR"/>
        </w:rPr>
        <w:t>document TC</w:t>
      </w:r>
      <w:r w:rsidRPr="000622D7">
        <w:rPr>
          <w:i/>
          <w:lang w:val="fr-FR"/>
        </w:rPr>
        <w:t>/38/16))</w:t>
      </w:r>
    </w:p>
    <w:p w:rsidR="00A94B4B" w:rsidRPr="000622D7" w:rsidRDefault="00A94B4B" w:rsidP="00F77193">
      <w:pPr>
        <w:spacing w:before="60" w:after="60"/>
        <w:rPr>
          <w:lang w:val="fr-FR"/>
        </w:rPr>
      </w:pPr>
    </w:p>
    <w:p w:rsidR="00A94B4B" w:rsidRPr="000622D7" w:rsidRDefault="00821754" w:rsidP="00F77193">
      <w:pPr>
        <w:spacing w:before="60" w:after="60"/>
        <w:rPr>
          <w:lang w:val="fr-FR"/>
        </w:rPr>
      </w:pPr>
      <w:r w:rsidRPr="000622D7">
        <w:rPr>
          <w:lang w:val="fr-FR"/>
        </w:rPr>
        <w:t>Le BMT est un groupe ouvert aux experts de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examen</w:t>
      </w:r>
      <w:r w:rsidR="00CF2B96" w:rsidRPr="000622D7">
        <w:rPr>
          <w:lang w:val="fr-FR"/>
        </w:rPr>
        <w:t> </w:t>
      </w:r>
      <w:r w:rsidRPr="000622D7">
        <w:rPr>
          <w:lang w:val="fr-FR"/>
        </w:rPr>
        <w:t>DHS, aux spécialistes en techniques biochimiques et moléculaires et aux obtenteurs, dont le rôle consiste</w:t>
      </w:r>
      <w:r w:rsidR="00CF2B96" w:rsidRPr="000622D7">
        <w:rPr>
          <w:lang w:val="fr-FR"/>
        </w:rPr>
        <w:t> </w:t>
      </w:r>
      <w:r w:rsidRPr="000622D7">
        <w:rPr>
          <w:lang w:val="fr-FR"/>
        </w:rPr>
        <w:t>:</w:t>
      </w:r>
    </w:p>
    <w:p w:rsidR="00A94B4B" w:rsidRPr="000622D7" w:rsidRDefault="00A94B4B" w:rsidP="00F77193">
      <w:pPr>
        <w:spacing w:before="60" w:after="60"/>
        <w:rPr>
          <w:lang w:val="fr-FR"/>
        </w:rPr>
      </w:pPr>
    </w:p>
    <w:p w:rsidR="00A94B4B" w:rsidRPr="000622D7" w:rsidRDefault="00821754" w:rsidP="00F77193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  <w:rPr>
          <w:lang w:val="fr-FR"/>
        </w:rPr>
      </w:pPr>
      <w:r w:rsidRPr="000622D7">
        <w:rPr>
          <w:lang w:val="fr-FR"/>
        </w:rPr>
        <w:t>à suivre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évolution générale des techniques biochimiques et moléculaires;</w:t>
      </w:r>
    </w:p>
    <w:p w:rsidR="00A94B4B" w:rsidRPr="000622D7" w:rsidRDefault="00A94B4B" w:rsidP="00F77193">
      <w:pPr>
        <w:pStyle w:val="ListParagraph"/>
        <w:tabs>
          <w:tab w:val="left" w:pos="1134"/>
        </w:tabs>
        <w:spacing w:before="60" w:after="60"/>
        <w:ind w:left="1134" w:hanging="708"/>
        <w:rPr>
          <w:lang w:val="fr-FR"/>
        </w:rPr>
      </w:pPr>
    </w:p>
    <w:p w:rsidR="00034D19" w:rsidRPr="000622D7" w:rsidRDefault="00821754" w:rsidP="00F77193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  <w:rPr>
          <w:lang w:val="fr-FR"/>
        </w:rPr>
      </w:pPr>
      <w:r w:rsidRPr="000622D7">
        <w:rPr>
          <w:lang w:val="fr-FR"/>
        </w:rPr>
        <w:t>à se tenir au courant des applications des techniques biochimiques et moléculaires à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amélioration des plantes;</w:t>
      </w:r>
    </w:p>
    <w:p w:rsidR="00A94B4B" w:rsidRPr="000622D7" w:rsidRDefault="00A94B4B" w:rsidP="00F77193">
      <w:pPr>
        <w:pStyle w:val="ListParagraph"/>
        <w:tabs>
          <w:tab w:val="left" w:pos="1134"/>
        </w:tabs>
        <w:ind w:left="1134" w:hanging="708"/>
        <w:rPr>
          <w:lang w:val="fr-FR"/>
        </w:rPr>
      </w:pPr>
    </w:p>
    <w:p w:rsidR="00A94B4B" w:rsidRPr="000622D7" w:rsidRDefault="00821754" w:rsidP="00F77193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  <w:rPr>
          <w:lang w:val="fr-FR"/>
        </w:rPr>
      </w:pPr>
      <w:r w:rsidRPr="000622D7">
        <w:rPr>
          <w:lang w:val="fr-FR"/>
        </w:rPr>
        <w:t>à examiner les possibilités d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application des techniques biochimiques et moléculaires à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examen</w:t>
      </w:r>
      <w:r w:rsidR="00CF2B96" w:rsidRPr="000622D7">
        <w:rPr>
          <w:lang w:val="fr-FR"/>
        </w:rPr>
        <w:t> </w:t>
      </w:r>
      <w:r w:rsidRPr="000622D7">
        <w:rPr>
          <w:lang w:val="fr-FR"/>
        </w:rPr>
        <w:t xml:space="preserve">DHS et à rendre compte de ses réflexions au </w:t>
      </w:r>
      <w:r w:rsidR="001A6AFE" w:rsidRPr="000622D7">
        <w:rPr>
          <w:lang w:val="fr-FR"/>
        </w:rPr>
        <w:t>TC</w:t>
      </w:r>
      <w:r w:rsidRPr="000622D7">
        <w:rPr>
          <w:lang w:val="fr-FR"/>
        </w:rPr>
        <w:t>;</w:t>
      </w:r>
    </w:p>
    <w:p w:rsidR="00A94B4B" w:rsidRPr="000622D7" w:rsidRDefault="00A94B4B" w:rsidP="00F77193">
      <w:pPr>
        <w:pStyle w:val="ListParagraph"/>
        <w:tabs>
          <w:tab w:val="left" w:pos="1134"/>
        </w:tabs>
        <w:spacing w:before="60" w:after="60"/>
        <w:ind w:left="1134" w:hanging="708"/>
        <w:rPr>
          <w:lang w:val="fr-FR"/>
        </w:rPr>
      </w:pPr>
    </w:p>
    <w:p w:rsidR="00034D19" w:rsidRPr="000622D7" w:rsidRDefault="00821754" w:rsidP="00F77193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  <w:rPr>
          <w:lang w:val="fr-FR"/>
        </w:rPr>
      </w:pPr>
      <w:r w:rsidRPr="000622D7">
        <w:rPr>
          <w:lang w:val="fr-FR"/>
        </w:rPr>
        <w:t>le cas échéant, à élaborer des directives relatives aux méthodes biochimiques et moléculaires et à leur harmonisation et, en particulier, à contribuer à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élaboration du document TGP/15, intitulé “Nouveaux types de caractères”.</w:t>
      </w:r>
      <w:r w:rsidR="00954973" w:rsidRPr="000622D7">
        <w:rPr>
          <w:lang w:val="fr-FR"/>
        </w:rPr>
        <w:t xml:space="preserve">  </w:t>
      </w:r>
      <w:r w:rsidRPr="000622D7">
        <w:rPr>
          <w:lang w:val="fr-FR"/>
        </w:rPr>
        <w:t>Ces directives doivent être élaborées conjointement avec les groupes de travail techniques;</w:t>
      </w:r>
    </w:p>
    <w:p w:rsidR="00A94B4B" w:rsidRPr="000622D7" w:rsidRDefault="00A94B4B" w:rsidP="00F77193">
      <w:pPr>
        <w:tabs>
          <w:tab w:val="left" w:pos="1134"/>
        </w:tabs>
        <w:spacing w:before="60" w:after="60"/>
        <w:ind w:left="1134" w:hanging="708"/>
        <w:rPr>
          <w:lang w:val="fr-FR"/>
        </w:rPr>
      </w:pPr>
    </w:p>
    <w:p w:rsidR="00A94B4B" w:rsidRPr="000622D7" w:rsidRDefault="00821754" w:rsidP="00F77193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  <w:rPr>
          <w:lang w:val="fr-FR"/>
        </w:rPr>
      </w:pPr>
      <w:r w:rsidRPr="000622D7">
        <w:rPr>
          <w:lang w:val="fr-FR"/>
        </w:rPr>
        <w:t>à examiner les initiatives des groupes de travail techniques en ce qui concerne la création de sous</w:t>
      </w:r>
      <w:r w:rsidR="007F1BBD" w:rsidRPr="000622D7">
        <w:rPr>
          <w:lang w:val="fr-FR"/>
        </w:rPr>
        <w:noBreakHyphen/>
      </w:r>
      <w:r w:rsidRPr="000622D7">
        <w:rPr>
          <w:lang w:val="fr-FR"/>
        </w:rPr>
        <w:t>groupes pour les plantes cultivées, en tenant compte des informations existantes et de la nécessité de disposer de méthodes biochimiques et moléculaires;</w:t>
      </w:r>
    </w:p>
    <w:p w:rsidR="00A94B4B" w:rsidRPr="000622D7" w:rsidRDefault="00A94B4B" w:rsidP="00F77193">
      <w:pPr>
        <w:pStyle w:val="ListParagraph"/>
        <w:tabs>
          <w:tab w:val="left" w:pos="1134"/>
        </w:tabs>
        <w:ind w:left="1134" w:hanging="708"/>
        <w:rPr>
          <w:lang w:val="fr-FR"/>
        </w:rPr>
      </w:pPr>
    </w:p>
    <w:p w:rsidR="00A94B4B" w:rsidRPr="000622D7" w:rsidRDefault="00821754" w:rsidP="00F77193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  <w:rPr>
          <w:lang w:val="fr-FR"/>
        </w:rPr>
      </w:pPr>
      <w:r w:rsidRPr="000622D7">
        <w:rPr>
          <w:lang w:val="fr-FR"/>
        </w:rPr>
        <w:t>à élaborer, conjointement avec</w:t>
      </w:r>
      <w:r w:rsidR="00034D19" w:rsidRPr="000622D7">
        <w:rPr>
          <w:lang w:val="fr-FR"/>
        </w:rPr>
        <w:t xml:space="preserve"> le TWC</w:t>
      </w:r>
      <w:r w:rsidRPr="000622D7">
        <w:rPr>
          <w:lang w:val="fr-FR"/>
        </w:rPr>
        <w:t>, des directives relatives à la gestion et à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harmonisation de bases de données biochimiques et moléculaires;</w:t>
      </w:r>
    </w:p>
    <w:p w:rsidR="00A94B4B" w:rsidRPr="000622D7" w:rsidRDefault="00A94B4B" w:rsidP="00F77193">
      <w:pPr>
        <w:pStyle w:val="ListParagraph"/>
        <w:tabs>
          <w:tab w:val="left" w:pos="1134"/>
        </w:tabs>
        <w:spacing w:before="60" w:after="60"/>
        <w:ind w:left="1134" w:hanging="708"/>
        <w:rPr>
          <w:lang w:val="fr-FR"/>
        </w:rPr>
      </w:pPr>
    </w:p>
    <w:p w:rsidR="00A94B4B" w:rsidRPr="000622D7" w:rsidRDefault="00821754" w:rsidP="00F77193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  <w:rPr>
          <w:lang w:val="fr-FR"/>
        </w:rPr>
      </w:pPr>
      <w:r w:rsidRPr="000622D7">
        <w:rPr>
          <w:lang w:val="fr-FR"/>
        </w:rPr>
        <w:t>à prendre connaissance des rapports des sous</w:t>
      </w:r>
      <w:r w:rsidR="007F1BBD" w:rsidRPr="000622D7">
        <w:rPr>
          <w:lang w:val="fr-FR"/>
        </w:rPr>
        <w:noBreakHyphen/>
      </w:r>
      <w:r w:rsidRPr="000622D7">
        <w:rPr>
          <w:lang w:val="fr-FR"/>
        </w:rPr>
        <w:t>groupes pour les plantes cultivées et du groupe de réflexion sur les travaux</w:t>
      </w:r>
      <w:r w:rsidR="00034D19" w:rsidRPr="000622D7">
        <w:rPr>
          <w:lang w:val="fr-FR"/>
        </w:rPr>
        <w:t xml:space="preserve"> du BMT</w:t>
      </w:r>
      <w:r w:rsidRPr="000622D7">
        <w:rPr>
          <w:lang w:val="fr-FR"/>
        </w:rPr>
        <w:t>;</w:t>
      </w:r>
    </w:p>
    <w:p w:rsidR="00A94B4B" w:rsidRPr="000622D7" w:rsidRDefault="00A94B4B" w:rsidP="00F77193">
      <w:pPr>
        <w:tabs>
          <w:tab w:val="left" w:pos="1134"/>
        </w:tabs>
        <w:spacing w:before="60" w:after="60"/>
        <w:ind w:left="1134" w:hanging="708"/>
        <w:rPr>
          <w:lang w:val="fr-FR"/>
        </w:rPr>
      </w:pPr>
    </w:p>
    <w:p w:rsidR="00A94B4B" w:rsidRPr="000622D7" w:rsidRDefault="00821754" w:rsidP="00F77193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708"/>
        <w:rPr>
          <w:lang w:val="fr-FR"/>
        </w:rPr>
      </w:pPr>
      <w:r w:rsidRPr="000622D7">
        <w:rPr>
          <w:lang w:val="fr-FR"/>
        </w:rPr>
        <w:t>à servir de cadre à des discussions sur l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utilisation des techniques biochimiques et moléculaires en ce qui concerne les notions de variété essentiellement dérivée et d</w:t>
      </w:r>
      <w:r w:rsidR="005C211B" w:rsidRPr="000622D7">
        <w:rPr>
          <w:lang w:val="fr-FR"/>
        </w:rPr>
        <w:t>’</w:t>
      </w:r>
      <w:r w:rsidRPr="000622D7">
        <w:rPr>
          <w:lang w:val="fr-FR"/>
        </w:rPr>
        <w:t>identification des variétés.</w:t>
      </w:r>
    </w:p>
    <w:p w:rsidR="00A94B4B" w:rsidRPr="000622D7" w:rsidRDefault="00A94B4B" w:rsidP="00F77193">
      <w:pPr>
        <w:rPr>
          <w:lang w:val="fr-FR"/>
        </w:rPr>
      </w:pPr>
    </w:p>
    <w:p w:rsidR="00A94B4B" w:rsidRPr="000622D7" w:rsidRDefault="00A94B4B" w:rsidP="00F77193">
      <w:pPr>
        <w:ind w:right="-1"/>
        <w:rPr>
          <w:lang w:val="fr-FR"/>
        </w:rPr>
      </w:pPr>
    </w:p>
    <w:p w:rsidR="00A94B4B" w:rsidRPr="000622D7" w:rsidRDefault="00A94B4B" w:rsidP="00F77193">
      <w:pPr>
        <w:ind w:right="369"/>
        <w:jc w:val="left"/>
        <w:rPr>
          <w:lang w:val="fr-FR"/>
        </w:rPr>
      </w:pPr>
    </w:p>
    <w:p w:rsidR="00A94B4B" w:rsidRPr="000622D7" w:rsidRDefault="00821754" w:rsidP="00F77193">
      <w:pPr>
        <w:jc w:val="right"/>
        <w:rPr>
          <w:bCs/>
          <w:snapToGrid w:val="0"/>
          <w:lang w:val="fr-FR"/>
        </w:rPr>
      </w:pPr>
      <w:r w:rsidRPr="000622D7">
        <w:rPr>
          <w:bCs/>
          <w:snapToGrid w:val="0"/>
          <w:lang w:val="fr-FR"/>
        </w:rPr>
        <w:t>[Fin de l</w:t>
      </w:r>
      <w:r w:rsidR="005C211B" w:rsidRPr="000622D7">
        <w:rPr>
          <w:bCs/>
          <w:snapToGrid w:val="0"/>
          <w:lang w:val="fr-FR"/>
        </w:rPr>
        <w:t>’</w:t>
      </w:r>
      <w:r w:rsidRPr="000622D7">
        <w:rPr>
          <w:bCs/>
          <w:snapToGrid w:val="0"/>
          <w:lang w:val="fr-FR"/>
        </w:rPr>
        <w:t>annexe et du document]</w:t>
      </w:r>
    </w:p>
    <w:p w:rsidR="00A94B4B" w:rsidRPr="000622D7" w:rsidRDefault="00A94B4B" w:rsidP="00F77193">
      <w:pPr>
        <w:jc w:val="right"/>
        <w:rPr>
          <w:lang w:val="fr-FR"/>
        </w:rPr>
      </w:pPr>
    </w:p>
    <w:p w:rsidR="00A94B4B" w:rsidRPr="000622D7" w:rsidRDefault="00A94B4B" w:rsidP="00F77193">
      <w:pPr>
        <w:jc w:val="right"/>
        <w:rPr>
          <w:lang w:val="fr-FR"/>
        </w:rPr>
      </w:pPr>
    </w:p>
    <w:p w:rsidR="00954973" w:rsidRPr="000622D7" w:rsidRDefault="00954973" w:rsidP="00F77193">
      <w:pPr>
        <w:jc w:val="right"/>
        <w:rPr>
          <w:lang w:val="fr-FR"/>
        </w:rPr>
      </w:pPr>
    </w:p>
    <w:sectPr w:rsidR="00954973" w:rsidRPr="000622D7" w:rsidSect="003423DF"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40" w:rsidRDefault="00025E40" w:rsidP="006655D3">
      <w:r>
        <w:separator/>
      </w:r>
    </w:p>
    <w:p w:rsidR="00025E40" w:rsidRDefault="00025E40" w:rsidP="006655D3"/>
    <w:p w:rsidR="00025E40" w:rsidRDefault="00025E40" w:rsidP="006655D3"/>
  </w:endnote>
  <w:endnote w:type="continuationSeparator" w:id="0">
    <w:p w:rsidR="00025E40" w:rsidRDefault="00025E40" w:rsidP="006655D3">
      <w:r>
        <w:separator/>
      </w:r>
    </w:p>
    <w:p w:rsidR="00025E40" w:rsidRPr="00477345" w:rsidRDefault="00025E40" w:rsidP="00A02F78">
      <w:pPr>
        <w:pStyle w:val="Footer"/>
        <w:rPr>
          <w:lang w:val="fr-FR"/>
        </w:rPr>
      </w:pPr>
      <w:r w:rsidRPr="00477345">
        <w:rPr>
          <w:lang w:val="fr-FR"/>
        </w:rPr>
        <w:t>[Suite de la note de la page précédente]</w:t>
      </w:r>
    </w:p>
    <w:p w:rsidR="00025E40" w:rsidRPr="00477345" w:rsidRDefault="00025E40" w:rsidP="006655D3">
      <w:pPr>
        <w:rPr>
          <w:lang w:val="fr-FR"/>
        </w:rPr>
      </w:pPr>
    </w:p>
    <w:p w:rsidR="00025E40" w:rsidRPr="00477345" w:rsidRDefault="00025E40" w:rsidP="006655D3">
      <w:pPr>
        <w:rPr>
          <w:lang w:val="fr-FR"/>
        </w:rPr>
      </w:pPr>
    </w:p>
  </w:endnote>
  <w:endnote w:type="continuationNotice" w:id="1">
    <w:p w:rsidR="00025E40" w:rsidRPr="00477345" w:rsidRDefault="00025E40" w:rsidP="006655D3">
      <w:pPr>
        <w:rPr>
          <w:lang w:val="fr-FR"/>
        </w:rPr>
      </w:pPr>
      <w:r w:rsidRPr="00477345">
        <w:rPr>
          <w:lang w:val="fr-FR"/>
        </w:rPr>
        <w:t>[Suite de la note page suivante]</w:t>
      </w:r>
    </w:p>
    <w:p w:rsidR="00025E40" w:rsidRPr="00477345" w:rsidRDefault="00025E40" w:rsidP="006655D3">
      <w:pPr>
        <w:rPr>
          <w:lang w:val="fr-FR"/>
        </w:rPr>
      </w:pPr>
    </w:p>
    <w:p w:rsidR="00025E40" w:rsidRPr="00477345" w:rsidRDefault="00025E4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40" w:rsidRDefault="00025E40" w:rsidP="00A02F78">
    <w:pPr>
      <w:pStyle w:val="Footer"/>
    </w:pPr>
  </w:p>
  <w:p w:rsidR="00025E40" w:rsidRDefault="00025E40" w:rsidP="00A02F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40" w:rsidRDefault="00025E40" w:rsidP="006655D3">
      <w:r>
        <w:separator/>
      </w:r>
    </w:p>
  </w:footnote>
  <w:footnote w:type="continuationSeparator" w:id="0">
    <w:p w:rsidR="00025E40" w:rsidRDefault="00025E40" w:rsidP="006655D3">
      <w:r>
        <w:separator/>
      </w:r>
    </w:p>
  </w:footnote>
  <w:footnote w:type="continuationNotice" w:id="1">
    <w:p w:rsidR="00025E40" w:rsidRPr="00AB530F" w:rsidRDefault="00025E40" w:rsidP="00A02F7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40" w:rsidRPr="00C5280D" w:rsidRDefault="00025E40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TC/5</w:t>
    </w:r>
    <w:r>
      <w:rPr>
        <w:rStyle w:val="PageNumber"/>
        <w:lang w:val="en-US" w:eastAsia="ja-JP"/>
      </w:rPr>
      <w:t>2</w:t>
    </w:r>
    <w:r>
      <w:rPr>
        <w:rStyle w:val="PageNumber"/>
        <w:lang w:val="en-US"/>
      </w:rPr>
      <w:t>/</w:t>
    </w:r>
    <w:r>
      <w:rPr>
        <w:rStyle w:val="PageNumber"/>
        <w:rFonts w:hint="eastAsia"/>
        <w:lang w:val="en-US" w:eastAsia="ja-JP"/>
      </w:rPr>
      <w:t>11</w:t>
    </w:r>
  </w:p>
  <w:p w:rsidR="00025E40" w:rsidRPr="00C5280D" w:rsidRDefault="00025E40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04743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  <w:bookmarkStart w:id="21" w:name="_Toc410822398"/>
    <w:bookmarkStart w:id="22" w:name="_Toc410822802"/>
  </w:p>
  <w:p w:rsidR="00025E40" w:rsidRPr="00C5280D" w:rsidRDefault="00025E40" w:rsidP="006655D3">
    <w:bookmarkStart w:id="23" w:name="_Toc441145847"/>
    <w:bookmarkStart w:id="24" w:name="_Toc374716168"/>
    <w:bookmarkEnd w:id="21"/>
    <w:bookmarkEnd w:id="22"/>
    <w:bookmarkEnd w:id="23"/>
    <w:bookmarkEnd w:id="2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40" w:rsidRDefault="00025E40">
    <w:pPr>
      <w:pStyle w:val="Header"/>
      <w:rPr>
        <w:lang w:val="en-US" w:eastAsia="ja-JP"/>
      </w:rPr>
    </w:pPr>
    <w:r>
      <w:rPr>
        <w:lang w:val="en-US"/>
      </w:rPr>
      <w:t>TC/5</w:t>
    </w:r>
    <w:r>
      <w:rPr>
        <w:rFonts w:hint="eastAsia"/>
        <w:lang w:val="en-US" w:eastAsia="ja-JP"/>
      </w:rPr>
      <w:t>2</w:t>
    </w:r>
    <w:r>
      <w:rPr>
        <w:lang w:val="en-US"/>
      </w:rPr>
      <w:t>/1</w:t>
    </w:r>
    <w:r>
      <w:rPr>
        <w:rFonts w:hint="eastAsia"/>
        <w:lang w:val="en-US" w:eastAsia="ja-JP"/>
      </w:rPr>
      <w:t>1</w:t>
    </w:r>
  </w:p>
  <w:p w:rsidR="00025E40" w:rsidRDefault="00025E40">
    <w:pPr>
      <w:pStyle w:val="Header"/>
      <w:rPr>
        <w:lang w:val="en-US"/>
      </w:rPr>
    </w:pPr>
  </w:p>
  <w:p w:rsidR="00025E40" w:rsidRPr="00954973" w:rsidRDefault="00025E40">
    <w:pPr>
      <w:pStyle w:val="Header"/>
      <w:rPr>
        <w:lang w:val="en-US" w:eastAsia="ja-JP"/>
      </w:rPr>
    </w:pPr>
    <w:r>
      <w:rPr>
        <w:lang w:val="en-US"/>
      </w:rPr>
      <w:t>ANNEXE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FC9"/>
    <w:multiLevelType w:val="hybridMultilevel"/>
    <w:tmpl w:val="847628F2"/>
    <w:lvl w:ilvl="0" w:tplc="04464F4C">
      <w:start w:val="1"/>
      <w:numFmt w:val="lowerLetter"/>
      <w:lvlText w:val="(%1)"/>
      <w:lvlJc w:val="left"/>
      <w:pPr>
        <w:tabs>
          <w:tab w:val="num" w:pos="4926"/>
        </w:tabs>
        <w:ind w:left="492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  <w:rPr>
        <w:rFonts w:cs="Times New Roman"/>
      </w:rPr>
    </w:lvl>
  </w:abstractNum>
  <w:abstractNum w:abstractNumId="1">
    <w:nsid w:val="2AAC381E"/>
    <w:multiLevelType w:val="hybridMultilevel"/>
    <w:tmpl w:val="0D06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B0472"/>
    <w:multiLevelType w:val="hybridMultilevel"/>
    <w:tmpl w:val="3F2E5AAA"/>
    <w:lvl w:ilvl="0" w:tplc="FBC435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23DA3"/>
    <w:multiLevelType w:val="hybridMultilevel"/>
    <w:tmpl w:val="A49CA148"/>
    <w:lvl w:ilvl="0" w:tplc="50789CB0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01E1F87"/>
    <w:multiLevelType w:val="hybridMultilevel"/>
    <w:tmpl w:val="4786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0BE6"/>
    <w:multiLevelType w:val="hybridMultilevel"/>
    <w:tmpl w:val="CA84BF40"/>
    <w:lvl w:ilvl="0" w:tplc="AC3CF6AC">
      <w:start w:val="1"/>
      <w:numFmt w:val="lowerLetter"/>
      <w:lvlText w:val="%1)"/>
      <w:lvlJc w:val="left"/>
      <w:pPr>
        <w:ind w:left="759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140B4"/>
    <w:multiLevelType w:val="hybridMultilevel"/>
    <w:tmpl w:val="93467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D744B"/>
    <w:multiLevelType w:val="hybridMultilevel"/>
    <w:tmpl w:val="85DCA81E"/>
    <w:lvl w:ilvl="0" w:tplc="3920EB1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6D3DA0"/>
    <w:multiLevelType w:val="hybridMultilevel"/>
    <w:tmpl w:val="21C26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84FA6"/>
    <w:multiLevelType w:val="hybridMultilevel"/>
    <w:tmpl w:val="1A08E8AC"/>
    <w:lvl w:ilvl="0" w:tplc="9CF86C1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E619A"/>
    <w:multiLevelType w:val="hybridMultilevel"/>
    <w:tmpl w:val="75EA1B9A"/>
    <w:lvl w:ilvl="0" w:tplc="AB8217D4">
      <w:start w:val="1"/>
      <w:numFmt w:val="decimal"/>
      <w:lvlText w:val="%1)"/>
      <w:lvlJc w:val="left"/>
      <w:pPr>
        <w:ind w:left="518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66175CB0"/>
    <w:multiLevelType w:val="hybridMultilevel"/>
    <w:tmpl w:val="847628F2"/>
    <w:lvl w:ilvl="0" w:tplc="04464F4C">
      <w:start w:val="1"/>
      <w:numFmt w:val="lowerLetter"/>
      <w:lvlText w:val="(%1)"/>
      <w:lvlJc w:val="left"/>
      <w:pPr>
        <w:tabs>
          <w:tab w:val="num" w:pos="4926"/>
        </w:tabs>
        <w:ind w:left="492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  <w:rPr>
        <w:rFonts w:cs="Times New Roman"/>
      </w:rPr>
    </w:lvl>
  </w:abstractNum>
  <w:abstractNum w:abstractNumId="12">
    <w:nsid w:val="673E0B56"/>
    <w:multiLevelType w:val="hybridMultilevel"/>
    <w:tmpl w:val="91144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67671"/>
    <w:multiLevelType w:val="hybridMultilevel"/>
    <w:tmpl w:val="61E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34A3F"/>
    <w:multiLevelType w:val="hybridMultilevel"/>
    <w:tmpl w:val="407C452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2"/>
  </w:num>
  <w:num w:numId="11">
    <w:abstractNumId w:val="2"/>
  </w:num>
  <w:num w:numId="12">
    <w:abstractNumId w:val="0"/>
  </w:num>
  <w:num w:numId="13">
    <w:abstractNumId w:val="13"/>
  </w:num>
  <w:num w:numId="14">
    <w:abstractNumId w:val="11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IP in General\Meetings|TextBase TMs\WorkspaceFTS\EN-FR\SCT|TextBase TMs\Treaties\WIPO-administered|TextBase TMs\Treaties\Model Laws|TextBase TMs\Patents\Meetings|TextBase TMs\Trademarks\Meetings|TextBase TMs\Budget and Finance\Meetings|TextBase TMs\WorkspaceFTS\EN-FR\Hague|TextBase TMs\WorkspaceFTS\EN-FR\CDIP|TextBase TMs\UPOV\Meetings|TextBase TMs\UPOV\Other|TextBase TMs\UPOV\Publications|TextBase TMs\UPOV\Technical Guidelines|TextBase TMs\WorkspaceFTS\EN-FR\UPOV"/>
    <w:docVar w:name="TextBaseURL" w:val="empty"/>
    <w:docVar w:name="UILng" w:val="en"/>
  </w:docVars>
  <w:rsids>
    <w:rsidRoot w:val="00612C69"/>
    <w:rsid w:val="000001DD"/>
    <w:rsid w:val="00010CF3"/>
    <w:rsid w:val="00011122"/>
    <w:rsid w:val="00011E27"/>
    <w:rsid w:val="000148BC"/>
    <w:rsid w:val="00024AB8"/>
    <w:rsid w:val="00025E40"/>
    <w:rsid w:val="00030854"/>
    <w:rsid w:val="00031E84"/>
    <w:rsid w:val="00033064"/>
    <w:rsid w:val="00034D19"/>
    <w:rsid w:val="00036028"/>
    <w:rsid w:val="00041D2D"/>
    <w:rsid w:val="00044642"/>
    <w:rsid w:val="000446B9"/>
    <w:rsid w:val="00047E21"/>
    <w:rsid w:val="00050E16"/>
    <w:rsid w:val="00055042"/>
    <w:rsid w:val="000552A7"/>
    <w:rsid w:val="0006025A"/>
    <w:rsid w:val="000622D7"/>
    <w:rsid w:val="0006377D"/>
    <w:rsid w:val="00066552"/>
    <w:rsid w:val="00070463"/>
    <w:rsid w:val="00073A23"/>
    <w:rsid w:val="000816AB"/>
    <w:rsid w:val="000825CD"/>
    <w:rsid w:val="00084BA4"/>
    <w:rsid w:val="00085505"/>
    <w:rsid w:val="00087A62"/>
    <w:rsid w:val="0009135B"/>
    <w:rsid w:val="00093F0C"/>
    <w:rsid w:val="000A4E4F"/>
    <w:rsid w:val="000A7A15"/>
    <w:rsid w:val="000B7B9A"/>
    <w:rsid w:val="000C0BEC"/>
    <w:rsid w:val="000C3340"/>
    <w:rsid w:val="000C7021"/>
    <w:rsid w:val="000D123A"/>
    <w:rsid w:val="000D6BBC"/>
    <w:rsid w:val="000D7780"/>
    <w:rsid w:val="000E2E2A"/>
    <w:rsid w:val="000E5EE5"/>
    <w:rsid w:val="000E6025"/>
    <w:rsid w:val="000F1D05"/>
    <w:rsid w:val="000F2F11"/>
    <w:rsid w:val="000F4A6E"/>
    <w:rsid w:val="000F5EFF"/>
    <w:rsid w:val="000F7E6A"/>
    <w:rsid w:val="00103141"/>
    <w:rsid w:val="00105929"/>
    <w:rsid w:val="00105E76"/>
    <w:rsid w:val="00107F48"/>
    <w:rsid w:val="001131D5"/>
    <w:rsid w:val="001175FD"/>
    <w:rsid w:val="00120E97"/>
    <w:rsid w:val="00121AA6"/>
    <w:rsid w:val="00126E53"/>
    <w:rsid w:val="00137D62"/>
    <w:rsid w:val="00141DB8"/>
    <w:rsid w:val="0014592D"/>
    <w:rsid w:val="00152D79"/>
    <w:rsid w:val="001532E8"/>
    <w:rsid w:val="00153421"/>
    <w:rsid w:val="00157DF4"/>
    <w:rsid w:val="00161F46"/>
    <w:rsid w:val="001624EB"/>
    <w:rsid w:val="00164A92"/>
    <w:rsid w:val="0017474A"/>
    <w:rsid w:val="001758C6"/>
    <w:rsid w:val="00176692"/>
    <w:rsid w:val="0018053D"/>
    <w:rsid w:val="00182167"/>
    <w:rsid w:val="00182701"/>
    <w:rsid w:val="00182B99"/>
    <w:rsid w:val="00182CF6"/>
    <w:rsid w:val="00186929"/>
    <w:rsid w:val="001873AF"/>
    <w:rsid w:val="0019015A"/>
    <w:rsid w:val="00195A44"/>
    <w:rsid w:val="001974FF"/>
    <w:rsid w:val="001A0ABB"/>
    <w:rsid w:val="001A6AFE"/>
    <w:rsid w:val="001B036B"/>
    <w:rsid w:val="001B0FF3"/>
    <w:rsid w:val="001D3A76"/>
    <w:rsid w:val="001D3B2E"/>
    <w:rsid w:val="001D5E40"/>
    <w:rsid w:val="001D783C"/>
    <w:rsid w:val="001E32F0"/>
    <w:rsid w:val="001E349E"/>
    <w:rsid w:val="001E6801"/>
    <w:rsid w:val="001F1E4C"/>
    <w:rsid w:val="00204743"/>
    <w:rsid w:val="00204A41"/>
    <w:rsid w:val="0021332C"/>
    <w:rsid w:val="00213982"/>
    <w:rsid w:val="00213DB3"/>
    <w:rsid w:val="002170F6"/>
    <w:rsid w:val="00220FEE"/>
    <w:rsid w:val="002237AC"/>
    <w:rsid w:val="002239ED"/>
    <w:rsid w:val="00226590"/>
    <w:rsid w:val="0022755F"/>
    <w:rsid w:val="002275B8"/>
    <w:rsid w:val="002277CF"/>
    <w:rsid w:val="002308E3"/>
    <w:rsid w:val="00233C64"/>
    <w:rsid w:val="002359DB"/>
    <w:rsid w:val="00237F9B"/>
    <w:rsid w:val="00244049"/>
    <w:rsid w:val="0024416D"/>
    <w:rsid w:val="00255BB6"/>
    <w:rsid w:val="00261E7E"/>
    <w:rsid w:val="00263813"/>
    <w:rsid w:val="00271911"/>
    <w:rsid w:val="0027510D"/>
    <w:rsid w:val="00275B4D"/>
    <w:rsid w:val="002800A0"/>
    <w:rsid w:val="002801B3"/>
    <w:rsid w:val="00281060"/>
    <w:rsid w:val="00290DCA"/>
    <w:rsid w:val="00291817"/>
    <w:rsid w:val="0029409E"/>
    <w:rsid w:val="002940E8"/>
    <w:rsid w:val="002966CC"/>
    <w:rsid w:val="002A3009"/>
    <w:rsid w:val="002A38BA"/>
    <w:rsid w:val="002A6534"/>
    <w:rsid w:val="002A6E50"/>
    <w:rsid w:val="002B3490"/>
    <w:rsid w:val="002C256A"/>
    <w:rsid w:val="002C2E0E"/>
    <w:rsid w:val="002C3CBE"/>
    <w:rsid w:val="002D3575"/>
    <w:rsid w:val="002D547D"/>
    <w:rsid w:val="002D5578"/>
    <w:rsid w:val="002D59C1"/>
    <w:rsid w:val="002D64DE"/>
    <w:rsid w:val="002D74E7"/>
    <w:rsid w:val="002D7F83"/>
    <w:rsid w:val="002E6D56"/>
    <w:rsid w:val="002F16B4"/>
    <w:rsid w:val="002F1823"/>
    <w:rsid w:val="002F5563"/>
    <w:rsid w:val="002F7030"/>
    <w:rsid w:val="002F749F"/>
    <w:rsid w:val="003022E7"/>
    <w:rsid w:val="00305A7F"/>
    <w:rsid w:val="00306FDE"/>
    <w:rsid w:val="00310440"/>
    <w:rsid w:val="0031501C"/>
    <w:rsid w:val="003152FE"/>
    <w:rsid w:val="003156FB"/>
    <w:rsid w:val="00327436"/>
    <w:rsid w:val="00333B73"/>
    <w:rsid w:val="00336CA4"/>
    <w:rsid w:val="00337523"/>
    <w:rsid w:val="00341943"/>
    <w:rsid w:val="003423DF"/>
    <w:rsid w:val="003426F8"/>
    <w:rsid w:val="00344BD6"/>
    <w:rsid w:val="0035528D"/>
    <w:rsid w:val="0035722D"/>
    <w:rsid w:val="0036170D"/>
    <w:rsid w:val="00361821"/>
    <w:rsid w:val="00362207"/>
    <w:rsid w:val="00362C4E"/>
    <w:rsid w:val="0036369B"/>
    <w:rsid w:val="00380CD4"/>
    <w:rsid w:val="003B3347"/>
    <w:rsid w:val="003B6462"/>
    <w:rsid w:val="003B778C"/>
    <w:rsid w:val="003C1427"/>
    <w:rsid w:val="003C7749"/>
    <w:rsid w:val="003D227C"/>
    <w:rsid w:val="003D27DD"/>
    <w:rsid w:val="003D2B4D"/>
    <w:rsid w:val="003D3BC8"/>
    <w:rsid w:val="003D6C70"/>
    <w:rsid w:val="003F4BEF"/>
    <w:rsid w:val="004009A9"/>
    <w:rsid w:val="004033F9"/>
    <w:rsid w:val="0040431D"/>
    <w:rsid w:val="00410071"/>
    <w:rsid w:val="0041245D"/>
    <w:rsid w:val="00416A53"/>
    <w:rsid w:val="00417C69"/>
    <w:rsid w:val="00422088"/>
    <w:rsid w:val="00425FB1"/>
    <w:rsid w:val="00432BA6"/>
    <w:rsid w:val="00432D2B"/>
    <w:rsid w:val="0044478F"/>
    <w:rsid w:val="00444A88"/>
    <w:rsid w:val="004476C5"/>
    <w:rsid w:val="00447DD2"/>
    <w:rsid w:val="004512FF"/>
    <w:rsid w:val="0045470D"/>
    <w:rsid w:val="004620C3"/>
    <w:rsid w:val="0046305C"/>
    <w:rsid w:val="00470244"/>
    <w:rsid w:val="004723C0"/>
    <w:rsid w:val="00472D5B"/>
    <w:rsid w:val="00474386"/>
    <w:rsid w:val="00474DA4"/>
    <w:rsid w:val="00476B4D"/>
    <w:rsid w:val="00477345"/>
    <w:rsid w:val="004805FA"/>
    <w:rsid w:val="00487215"/>
    <w:rsid w:val="004872C6"/>
    <w:rsid w:val="0049615F"/>
    <w:rsid w:val="004977E9"/>
    <w:rsid w:val="004A2095"/>
    <w:rsid w:val="004A4763"/>
    <w:rsid w:val="004B239E"/>
    <w:rsid w:val="004C7C85"/>
    <w:rsid w:val="004D047D"/>
    <w:rsid w:val="004D4C77"/>
    <w:rsid w:val="004F305A"/>
    <w:rsid w:val="005027D4"/>
    <w:rsid w:val="00502EAC"/>
    <w:rsid w:val="00504885"/>
    <w:rsid w:val="00505459"/>
    <w:rsid w:val="00512164"/>
    <w:rsid w:val="0051572D"/>
    <w:rsid w:val="00520297"/>
    <w:rsid w:val="00520565"/>
    <w:rsid w:val="005208A3"/>
    <w:rsid w:val="0052394A"/>
    <w:rsid w:val="005245AD"/>
    <w:rsid w:val="005264DF"/>
    <w:rsid w:val="005338F9"/>
    <w:rsid w:val="00535D58"/>
    <w:rsid w:val="00542291"/>
    <w:rsid w:val="0054281C"/>
    <w:rsid w:val="0054520C"/>
    <w:rsid w:val="0055268D"/>
    <w:rsid w:val="00552A23"/>
    <w:rsid w:val="00554D3E"/>
    <w:rsid w:val="00557BDD"/>
    <w:rsid w:val="00560113"/>
    <w:rsid w:val="00563661"/>
    <w:rsid w:val="00570039"/>
    <w:rsid w:val="00576BE4"/>
    <w:rsid w:val="00582380"/>
    <w:rsid w:val="00582B2D"/>
    <w:rsid w:val="00596251"/>
    <w:rsid w:val="00597583"/>
    <w:rsid w:val="005A400A"/>
    <w:rsid w:val="005A5314"/>
    <w:rsid w:val="005C0F69"/>
    <w:rsid w:val="005C211B"/>
    <w:rsid w:val="005C50EC"/>
    <w:rsid w:val="005C5272"/>
    <w:rsid w:val="005C5B75"/>
    <w:rsid w:val="005D260A"/>
    <w:rsid w:val="005D5881"/>
    <w:rsid w:val="005E590E"/>
    <w:rsid w:val="005F30A7"/>
    <w:rsid w:val="005F39AC"/>
    <w:rsid w:val="005F45B0"/>
    <w:rsid w:val="005F5745"/>
    <w:rsid w:val="005F60E0"/>
    <w:rsid w:val="00604DCD"/>
    <w:rsid w:val="00611565"/>
    <w:rsid w:val="00611C26"/>
    <w:rsid w:val="00612379"/>
    <w:rsid w:val="006124B5"/>
    <w:rsid w:val="00612C69"/>
    <w:rsid w:val="0061555F"/>
    <w:rsid w:val="006205BE"/>
    <w:rsid w:val="00620D81"/>
    <w:rsid w:val="00621527"/>
    <w:rsid w:val="0063139E"/>
    <w:rsid w:val="0063243A"/>
    <w:rsid w:val="00633EA9"/>
    <w:rsid w:val="0063559D"/>
    <w:rsid w:val="00635C1A"/>
    <w:rsid w:val="0064085C"/>
    <w:rsid w:val="00641200"/>
    <w:rsid w:val="00642A4B"/>
    <w:rsid w:val="006445EE"/>
    <w:rsid w:val="00645B1F"/>
    <w:rsid w:val="00656B24"/>
    <w:rsid w:val="006635A8"/>
    <w:rsid w:val="006655D3"/>
    <w:rsid w:val="00667404"/>
    <w:rsid w:val="00670024"/>
    <w:rsid w:val="00676DFD"/>
    <w:rsid w:val="00681967"/>
    <w:rsid w:val="00684ACE"/>
    <w:rsid w:val="006852BC"/>
    <w:rsid w:val="006866C4"/>
    <w:rsid w:val="00687EB4"/>
    <w:rsid w:val="006914F1"/>
    <w:rsid w:val="006918C6"/>
    <w:rsid w:val="00695458"/>
    <w:rsid w:val="006A561F"/>
    <w:rsid w:val="006B0161"/>
    <w:rsid w:val="006B17D2"/>
    <w:rsid w:val="006B3AEF"/>
    <w:rsid w:val="006C19F9"/>
    <w:rsid w:val="006C224E"/>
    <w:rsid w:val="006C418D"/>
    <w:rsid w:val="006D0234"/>
    <w:rsid w:val="006D3D82"/>
    <w:rsid w:val="006D5C91"/>
    <w:rsid w:val="006D780A"/>
    <w:rsid w:val="006E0B74"/>
    <w:rsid w:val="006E6199"/>
    <w:rsid w:val="006E66FA"/>
    <w:rsid w:val="006E737F"/>
    <w:rsid w:val="006F2234"/>
    <w:rsid w:val="006F22E1"/>
    <w:rsid w:val="006F40BE"/>
    <w:rsid w:val="006F459F"/>
    <w:rsid w:val="006F551D"/>
    <w:rsid w:val="007078DB"/>
    <w:rsid w:val="00712AC3"/>
    <w:rsid w:val="0071595A"/>
    <w:rsid w:val="007250E4"/>
    <w:rsid w:val="00732DEC"/>
    <w:rsid w:val="007330DD"/>
    <w:rsid w:val="00735BD5"/>
    <w:rsid w:val="0074136C"/>
    <w:rsid w:val="007473D2"/>
    <w:rsid w:val="007512C7"/>
    <w:rsid w:val="00751D6D"/>
    <w:rsid w:val="007520E2"/>
    <w:rsid w:val="007525A3"/>
    <w:rsid w:val="007556F6"/>
    <w:rsid w:val="00760E5D"/>
    <w:rsid w:val="00760EEF"/>
    <w:rsid w:val="00764CBE"/>
    <w:rsid w:val="00767108"/>
    <w:rsid w:val="00776750"/>
    <w:rsid w:val="00777EE5"/>
    <w:rsid w:val="00784836"/>
    <w:rsid w:val="00785354"/>
    <w:rsid w:val="007872EB"/>
    <w:rsid w:val="00787DEF"/>
    <w:rsid w:val="0079023E"/>
    <w:rsid w:val="0079128B"/>
    <w:rsid w:val="00794DF9"/>
    <w:rsid w:val="00796021"/>
    <w:rsid w:val="00797A97"/>
    <w:rsid w:val="007A17F9"/>
    <w:rsid w:val="007A2854"/>
    <w:rsid w:val="007A6AA3"/>
    <w:rsid w:val="007B7770"/>
    <w:rsid w:val="007C25BD"/>
    <w:rsid w:val="007D0B9D"/>
    <w:rsid w:val="007D19B0"/>
    <w:rsid w:val="007D3B0D"/>
    <w:rsid w:val="007D70EE"/>
    <w:rsid w:val="007F1BBD"/>
    <w:rsid w:val="007F498F"/>
    <w:rsid w:val="007F7C2E"/>
    <w:rsid w:val="008045BA"/>
    <w:rsid w:val="0080482B"/>
    <w:rsid w:val="0080576A"/>
    <w:rsid w:val="0080679D"/>
    <w:rsid w:val="008108B0"/>
    <w:rsid w:val="00810AA9"/>
    <w:rsid w:val="0081106E"/>
    <w:rsid w:val="00811B20"/>
    <w:rsid w:val="00813850"/>
    <w:rsid w:val="008159DE"/>
    <w:rsid w:val="008161A5"/>
    <w:rsid w:val="00816776"/>
    <w:rsid w:val="00817E85"/>
    <w:rsid w:val="00821124"/>
    <w:rsid w:val="00821754"/>
    <w:rsid w:val="0082296E"/>
    <w:rsid w:val="00824099"/>
    <w:rsid w:val="0083351C"/>
    <w:rsid w:val="00834411"/>
    <w:rsid w:val="00834BD1"/>
    <w:rsid w:val="00837FBC"/>
    <w:rsid w:val="00854C32"/>
    <w:rsid w:val="00856ACA"/>
    <w:rsid w:val="00862910"/>
    <w:rsid w:val="00863113"/>
    <w:rsid w:val="00864FB2"/>
    <w:rsid w:val="00867AC1"/>
    <w:rsid w:val="008705F4"/>
    <w:rsid w:val="00873A30"/>
    <w:rsid w:val="00876B8F"/>
    <w:rsid w:val="00881D81"/>
    <w:rsid w:val="0088336D"/>
    <w:rsid w:val="008841D9"/>
    <w:rsid w:val="00891326"/>
    <w:rsid w:val="00891BBE"/>
    <w:rsid w:val="008929D6"/>
    <w:rsid w:val="008931AE"/>
    <w:rsid w:val="00895F99"/>
    <w:rsid w:val="00896336"/>
    <w:rsid w:val="00897616"/>
    <w:rsid w:val="008A280F"/>
    <w:rsid w:val="008A743F"/>
    <w:rsid w:val="008B026A"/>
    <w:rsid w:val="008B0EC3"/>
    <w:rsid w:val="008B3A9D"/>
    <w:rsid w:val="008C0970"/>
    <w:rsid w:val="008C51F9"/>
    <w:rsid w:val="008C7C1A"/>
    <w:rsid w:val="008D1B89"/>
    <w:rsid w:val="008D2CF7"/>
    <w:rsid w:val="008D48CE"/>
    <w:rsid w:val="008D554C"/>
    <w:rsid w:val="008D6750"/>
    <w:rsid w:val="008E5807"/>
    <w:rsid w:val="008E6AA7"/>
    <w:rsid w:val="00900C26"/>
    <w:rsid w:val="0090192F"/>
    <w:rsid w:val="0090197F"/>
    <w:rsid w:val="00903FAE"/>
    <w:rsid w:val="0090550D"/>
    <w:rsid w:val="0090653E"/>
    <w:rsid w:val="00906DDC"/>
    <w:rsid w:val="00911B95"/>
    <w:rsid w:val="00924962"/>
    <w:rsid w:val="00934E09"/>
    <w:rsid w:val="00936253"/>
    <w:rsid w:val="00944D1B"/>
    <w:rsid w:val="00952DD4"/>
    <w:rsid w:val="00953897"/>
    <w:rsid w:val="00954973"/>
    <w:rsid w:val="00967457"/>
    <w:rsid w:val="009676F5"/>
    <w:rsid w:val="00970FED"/>
    <w:rsid w:val="0097762D"/>
    <w:rsid w:val="00977AE7"/>
    <w:rsid w:val="00984A08"/>
    <w:rsid w:val="00986974"/>
    <w:rsid w:val="00992D82"/>
    <w:rsid w:val="00995397"/>
    <w:rsid w:val="009962CE"/>
    <w:rsid w:val="00997029"/>
    <w:rsid w:val="009A1799"/>
    <w:rsid w:val="009A196E"/>
    <w:rsid w:val="009A4635"/>
    <w:rsid w:val="009A4AC6"/>
    <w:rsid w:val="009A5CC2"/>
    <w:rsid w:val="009A6513"/>
    <w:rsid w:val="009B088C"/>
    <w:rsid w:val="009B7288"/>
    <w:rsid w:val="009C07FF"/>
    <w:rsid w:val="009C1286"/>
    <w:rsid w:val="009C51B2"/>
    <w:rsid w:val="009D08D3"/>
    <w:rsid w:val="009D4F14"/>
    <w:rsid w:val="009D690D"/>
    <w:rsid w:val="009D6B7C"/>
    <w:rsid w:val="009E1BD6"/>
    <w:rsid w:val="009E1E09"/>
    <w:rsid w:val="009E5DDD"/>
    <w:rsid w:val="009E65B6"/>
    <w:rsid w:val="009E6F99"/>
    <w:rsid w:val="009F60CA"/>
    <w:rsid w:val="00A02F78"/>
    <w:rsid w:val="00A03296"/>
    <w:rsid w:val="00A03648"/>
    <w:rsid w:val="00A05351"/>
    <w:rsid w:val="00A05D8B"/>
    <w:rsid w:val="00A067FE"/>
    <w:rsid w:val="00A113C5"/>
    <w:rsid w:val="00A12B36"/>
    <w:rsid w:val="00A13F35"/>
    <w:rsid w:val="00A20C90"/>
    <w:rsid w:val="00A20CD7"/>
    <w:rsid w:val="00A229FD"/>
    <w:rsid w:val="00A24C10"/>
    <w:rsid w:val="00A42AC3"/>
    <w:rsid w:val="00A430CF"/>
    <w:rsid w:val="00A45FFC"/>
    <w:rsid w:val="00A50E13"/>
    <w:rsid w:val="00A511AC"/>
    <w:rsid w:val="00A53CDD"/>
    <w:rsid w:val="00A54309"/>
    <w:rsid w:val="00A6084F"/>
    <w:rsid w:val="00A61DC3"/>
    <w:rsid w:val="00A61F47"/>
    <w:rsid w:val="00A63453"/>
    <w:rsid w:val="00A637AE"/>
    <w:rsid w:val="00A64B75"/>
    <w:rsid w:val="00A65E99"/>
    <w:rsid w:val="00A72BBD"/>
    <w:rsid w:val="00A743CD"/>
    <w:rsid w:val="00A8342C"/>
    <w:rsid w:val="00A857B1"/>
    <w:rsid w:val="00A85F35"/>
    <w:rsid w:val="00A920F6"/>
    <w:rsid w:val="00A94B4B"/>
    <w:rsid w:val="00AB2812"/>
    <w:rsid w:val="00AB2B93"/>
    <w:rsid w:val="00AB4D94"/>
    <w:rsid w:val="00AB530F"/>
    <w:rsid w:val="00AB6523"/>
    <w:rsid w:val="00AB6A51"/>
    <w:rsid w:val="00AB7E5B"/>
    <w:rsid w:val="00AC210E"/>
    <w:rsid w:val="00AC57B9"/>
    <w:rsid w:val="00AC582E"/>
    <w:rsid w:val="00AD202E"/>
    <w:rsid w:val="00AD2E9F"/>
    <w:rsid w:val="00AD54CD"/>
    <w:rsid w:val="00AD7537"/>
    <w:rsid w:val="00AE0EF1"/>
    <w:rsid w:val="00AE1CAA"/>
    <w:rsid w:val="00AE2937"/>
    <w:rsid w:val="00AE2EA2"/>
    <w:rsid w:val="00AE48EB"/>
    <w:rsid w:val="00AF2367"/>
    <w:rsid w:val="00B025D6"/>
    <w:rsid w:val="00B07301"/>
    <w:rsid w:val="00B10BB8"/>
    <w:rsid w:val="00B13BEB"/>
    <w:rsid w:val="00B16A87"/>
    <w:rsid w:val="00B20E48"/>
    <w:rsid w:val="00B21DDB"/>
    <w:rsid w:val="00B224DE"/>
    <w:rsid w:val="00B23FB1"/>
    <w:rsid w:val="00B266AC"/>
    <w:rsid w:val="00B271EC"/>
    <w:rsid w:val="00B27435"/>
    <w:rsid w:val="00B354CB"/>
    <w:rsid w:val="00B46575"/>
    <w:rsid w:val="00B526C4"/>
    <w:rsid w:val="00B567D2"/>
    <w:rsid w:val="00B56E60"/>
    <w:rsid w:val="00B61698"/>
    <w:rsid w:val="00B62A42"/>
    <w:rsid w:val="00B64BAC"/>
    <w:rsid w:val="00B84BBD"/>
    <w:rsid w:val="00B87AF3"/>
    <w:rsid w:val="00BA07CF"/>
    <w:rsid w:val="00BA1695"/>
    <w:rsid w:val="00BA19D5"/>
    <w:rsid w:val="00BA43FB"/>
    <w:rsid w:val="00BB63EA"/>
    <w:rsid w:val="00BC127D"/>
    <w:rsid w:val="00BC1FE6"/>
    <w:rsid w:val="00BC6EBC"/>
    <w:rsid w:val="00BD0A8C"/>
    <w:rsid w:val="00BD6F18"/>
    <w:rsid w:val="00BD728F"/>
    <w:rsid w:val="00BE0728"/>
    <w:rsid w:val="00BE4DB8"/>
    <w:rsid w:val="00BE71B0"/>
    <w:rsid w:val="00BF7F1D"/>
    <w:rsid w:val="00C061B6"/>
    <w:rsid w:val="00C22F5D"/>
    <w:rsid w:val="00C2332F"/>
    <w:rsid w:val="00C2446C"/>
    <w:rsid w:val="00C2470F"/>
    <w:rsid w:val="00C33153"/>
    <w:rsid w:val="00C34068"/>
    <w:rsid w:val="00C347F0"/>
    <w:rsid w:val="00C36AE5"/>
    <w:rsid w:val="00C41F17"/>
    <w:rsid w:val="00C45724"/>
    <w:rsid w:val="00C46C3A"/>
    <w:rsid w:val="00C503D6"/>
    <w:rsid w:val="00C50E22"/>
    <w:rsid w:val="00C5280D"/>
    <w:rsid w:val="00C5791C"/>
    <w:rsid w:val="00C57B08"/>
    <w:rsid w:val="00C62645"/>
    <w:rsid w:val="00C63817"/>
    <w:rsid w:val="00C65728"/>
    <w:rsid w:val="00C65937"/>
    <w:rsid w:val="00C66290"/>
    <w:rsid w:val="00C67A88"/>
    <w:rsid w:val="00C7044B"/>
    <w:rsid w:val="00C72B7A"/>
    <w:rsid w:val="00C75835"/>
    <w:rsid w:val="00C903FB"/>
    <w:rsid w:val="00C973F2"/>
    <w:rsid w:val="00CA304C"/>
    <w:rsid w:val="00CA70A3"/>
    <w:rsid w:val="00CA774A"/>
    <w:rsid w:val="00CB7125"/>
    <w:rsid w:val="00CC11B0"/>
    <w:rsid w:val="00CC5C93"/>
    <w:rsid w:val="00CC5C98"/>
    <w:rsid w:val="00CC75D8"/>
    <w:rsid w:val="00CC7D88"/>
    <w:rsid w:val="00CD720B"/>
    <w:rsid w:val="00CE38A5"/>
    <w:rsid w:val="00CE40BF"/>
    <w:rsid w:val="00CE6186"/>
    <w:rsid w:val="00CE652A"/>
    <w:rsid w:val="00CF2B96"/>
    <w:rsid w:val="00CF392A"/>
    <w:rsid w:val="00CF7E36"/>
    <w:rsid w:val="00D02762"/>
    <w:rsid w:val="00D10599"/>
    <w:rsid w:val="00D12B9E"/>
    <w:rsid w:val="00D13B74"/>
    <w:rsid w:val="00D13F23"/>
    <w:rsid w:val="00D1712A"/>
    <w:rsid w:val="00D2579C"/>
    <w:rsid w:val="00D267BC"/>
    <w:rsid w:val="00D33D88"/>
    <w:rsid w:val="00D3633B"/>
    <w:rsid w:val="00D3708D"/>
    <w:rsid w:val="00D37975"/>
    <w:rsid w:val="00D40426"/>
    <w:rsid w:val="00D41FEC"/>
    <w:rsid w:val="00D42BEA"/>
    <w:rsid w:val="00D54D60"/>
    <w:rsid w:val="00D5540B"/>
    <w:rsid w:val="00D57C96"/>
    <w:rsid w:val="00D615FC"/>
    <w:rsid w:val="00D6340A"/>
    <w:rsid w:val="00D64CDB"/>
    <w:rsid w:val="00D67249"/>
    <w:rsid w:val="00D706E1"/>
    <w:rsid w:val="00D731EA"/>
    <w:rsid w:val="00D87251"/>
    <w:rsid w:val="00D91203"/>
    <w:rsid w:val="00D940D7"/>
    <w:rsid w:val="00D94D3A"/>
    <w:rsid w:val="00D95174"/>
    <w:rsid w:val="00DA05B2"/>
    <w:rsid w:val="00DA0734"/>
    <w:rsid w:val="00DA6F36"/>
    <w:rsid w:val="00DB49FA"/>
    <w:rsid w:val="00DB596E"/>
    <w:rsid w:val="00DB71F7"/>
    <w:rsid w:val="00DB7773"/>
    <w:rsid w:val="00DC00EA"/>
    <w:rsid w:val="00DC04F7"/>
    <w:rsid w:val="00DC2279"/>
    <w:rsid w:val="00DC38A1"/>
    <w:rsid w:val="00DC3EEC"/>
    <w:rsid w:val="00DC6260"/>
    <w:rsid w:val="00DC685E"/>
    <w:rsid w:val="00DD6FBE"/>
    <w:rsid w:val="00DD7101"/>
    <w:rsid w:val="00DE040B"/>
    <w:rsid w:val="00DE0B36"/>
    <w:rsid w:val="00DE20AA"/>
    <w:rsid w:val="00DE6177"/>
    <w:rsid w:val="00DF0D29"/>
    <w:rsid w:val="00E0335A"/>
    <w:rsid w:val="00E07EB9"/>
    <w:rsid w:val="00E32F7E"/>
    <w:rsid w:val="00E339A6"/>
    <w:rsid w:val="00E34B8A"/>
    <w:rsid w:val="00E36299"/>
    <w:rsid w:val="00E43AE7"/>
    <w:rsid w:val="00E53CD3"/>
    <w:rsid w:val="00E5782A"/>
    <w:rsid w:val="00E71894"/>
    <w:rsid w:val="00E72D49"/>
    <w:rsid w:val="00E72FD3"/>
    <w:rsid w:val="00E7593C"/>
    <w:rsid w:val="00E7678A"/>
    <w:rsid w:val="00E82F50"/>
    <w:rsid w:val="00E84836"/>
    <w:rsid w:val="00E86614"/>
    <w:rsid w:val="00E86B4F"/>
    <w:rsid w:val="00E86EE4"/>
    <w:rsid w:val="00E935F1"/>
    <w:rsid w:val="00E94A81"/>
    <w:rsid w:val="00EA14BC"/>
    <w:rsid w:val="00EA1FFB"/>
    <w:rsid w:val="00EB048E"/>
    <w:rsid w:val="00EB2A97"/>
    <w:rsid w:val="00EB34D9"/>
    <w:rsid w:val="00EB7BF9"/>
    <w:rsid w:val="00EC1DA3"/>
    <w:rsid w:val="00EC7D5C"/>
    <w:rsid w:val="00ED37DA"/>
    <w:rsid w:val="00EE1D97"/>
    <w:rsid w:val="00EE2724"/>
    <w:rsid w:val="00EE3495"/>
    <w:rsid w:val="00EE34DF"/>
    <w:rsid w:val="00EF2F89"/>
    <w:rsid w:val="00F00F8C"/>
    <w:rsid w:val="00F04044"/>
    <w:rsid w:val="00F042A5"/>
    <w:rsid w:val="00F073B8"/>
    <w:rsid w:val="00F11BFD"/>
    <w:rsid w:val="00F1237A"/>
    <w:rsid w:val="00F20CB2"/>
    <w:rsid w:val="00F220CA"/>
    <w:rsid w:val="00F221FB"/>
    <w:rsid w:val="00F22CBD"/>
    <w:rsid w:val="00F25CDB"/>
    <w:rsid w:val="00F268E8"/>
    <w:rsid w:val="00F36500"/>
    <w:rsid w:val="00F37744"/>
    <w:rsid w:val="00F40673"/>
    <w:rsid w:val="00F41313"/>
    <w:rsid w:val="00F4333E"/>
    <w:rsid w:val="00F449CD"/>
    <w:rsid w:val="00F45372"/>
    <w:rsid w:val="00F52BB5"/>
    <w:rsid w:val="00F5330E"/>
    <w:rsid w:val="00F551DC"/>
    <w:rsid w:val="00F558D3"/>
    <w:rsid w:val="00F560F7"/>
    <w:rsid w:val="00F60336"/>
    <w:rsid w:val="00F617CC"/>
    <w:rsid w:val="00F624C2"/>
    <w:rsid w:val="00F6334D"/>
    <w:rsid w:val="00F700B6"/>
    <w:rsid w:val="00F74FB8"/>
    <w:rsid w:val="00F74FDE"/>
    <w:rsid w:val="00F77193"/>
    <w:rsid w:val="00F9175E"/>
    <w:rsid w:val="00F9538D"/>
    <w:rsid w:val="00FA1C1A"/>
    <w:rsid w:val="00FA49AB"/>
    <w:rsid w:val="00FB1CBA"/>
    <w:rsid w:val="00FB4FF7"/>
    <w:rsid w:val="00FC0DD4"/>
    <w:rsid w:val="00FC12D3"/>
    <w:rsid w:val="00FD3B89"/>
    <w:rsid w:val="00FD7B1A"/>
    <w:rsid w:val="00FE15B9"/>
    <w:rsid w:val="00FE1DDE"/>
    <w:rsid w:val="00FE343F"/>
    <w:rsid w:val="00FE39C7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BB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74136C"/>
    <w:pPr>
      <w:keepNext/>
      <w:jc w:val="both"/>
      <w:outlineLvl w:val="0"/>
    </w:pPr>
    <w:rPr>
      <w:rFonts w:ascii="Arial" w:hAnsi="Arial"/>
      <w:caps/>
      <w:color w:val="008000"/>
      <w:lang w:val="fr-FR" w:eastAsia="ja-JP"/>
    </w:rPr>
  </w:style>
  <w:style w:type="paragraph" w:styleId="Heading2">
    <w:name w:val="heading 2"/>
    <w:next w:val="Normal"/>
    <w:autoRedefine/>
    <w:qFormat/>
    <w:rsid w:val="00BE0728"/>
    <w:pPr>
      <w:keepNext/>
      <w:jc w:val="both"/>
      <w:outlineLvl w:val="1"/>
    </w:pPr>
    <w:rPr>
      <w:rFonts w:ascii="Arial" w:hAnsi="Arial" w:cs="Arial"/>
      <w:snapToGrid w:val="0"/>
      <w:color w:val="008000"/>
      <w:u w:val="single"/>
      <w:lang w:val="fr-FR" w:eastAsia="ja-JP"/>
    </w:rPr>
  </w:style>
  <w:style w:type="paragraph" w:styleId="Heading3">
    <w:name w:val="heading 3"/>
    <w:next w:val="Normal"/>
    <w:autoRedefine/>
    <w:qFormat/>
    <w:rsid w:val="000E2E2A"/>
    <w:pPr>
      <w:keepNext/>
      <w:ind w:left="567"/>
      <w:jc w:val="both"/>
      <w:outlineLvl w:val="2"/>
    </w:pPr>
    <w:rPr>
      <w:rFonts w:ascii="Arial" w:hAnsi="Arial"/>
      <w:i/>
      <w:lang w:eastAsia="ja-JP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A02F78"/>
    <w:pPr>
      <w:tabs>
        <w:tab w:val="right" w:pos="8504"/>
      </w:tabs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qFormat/>
    <w:rsid w:val="00967457"/>
    <w:pPr>
      <w:tabs>
        <w:tab w:val="right" w:leader="dot" w:pos="9639"/>
      </w:tabs>
      <w:spacing w:after="120"/>
      <w:ind w:left="284" w:right="283"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DC6260"/>
    <w:rPr>
      <w:color w:val="0000FF" w:themeColor="hyperlink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F449CD"/>
    <w:pPr>
      <w:tabs>
        <w:tab w:val="right" w:leader="dot" w:pos="9639"/>
      </w:tabs>
      <w:spacing w:before="60" w:after="120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C"/>
    <w:rPr>
      <w:rFonts w:ascii="Arial" w:hAnsi="Arial"/>
      <w:caps/>
      <w:color w:val="008000"/>
      <w:lang w:val="fr-FR" w:eastAsia="ja-JP"/>
    </w:rPr>
  </w:style>
  <w:style w:type="character" w:styleId="Emphasis">
    <w:name w:val="Emphasis"/>
    <w:basedOn w:val="DefaultParagraphFont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4D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4F14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7523"/>
    <w:rPr>
      <w:rFonts w:ascii="Arial" w:hAnsi="Arial"/>
      <w:lang w:val="fr-FR"/>
    </w:rPr>
  </w:style>
  <w:style w:type="paragraph" w:customStyle="1" w:styleId="DecisionInvitingPara">
    <w:name w:val="Decision Inviting Para."/>
    <w:basedOn w:val="Normal"/>
    <w:rsid w:val="00554D3E"/>
    <w:pPr>
      <w:ind w:left="4536"/>
    </w:pPr>
    <w:rPr>
      <w:rFonts w:eastAsia="Times New Roman"/>
      <w:i/>
      <w:lang w:val="es-ES_tradnl"/>
    </w:rPr>
  </w:style>
  <w:style w:type="paragraph" w:customStyle="1" w:styleId="Style1">
    <w:name w:val="Style1"/>
    <w:basedOn w:val="Normal"/>
    <w:rsid w:val="00554D3E"/>
    <w:pPr>
      <w:tabs>
        <w:tab w:val="decimal" w:pos="907"/>
        <w:tab w:val="left" w:pos="1077"/>
      </w:tabs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3D27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paragraph" w:customStyle="1" w:styleId="Default">
    <w:name w:val="Default"/>
    <w:rsid w:val="005700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A02F78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BB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74136C"/>
    <w:pPr>
      <w:keepNext/>
      <w:jc w:val="both"/>
      <w:outlineLvl w:val="0"/>
    </w:pPr>
    <w:rPr>
      <w:rFonts w:ascii="Arial" w:hAnsi="Arial"/>
      <w:caps/>
      <w:color w:val="008000"/>
      <w:lang w:val="fr-FR" w:eastAsia="ja-JP"/>
    </w:rPr>
  </w:style>
  <w:style w:type="paragraph" w:styleId="Heading2">
    <w:name w:val="heading 2"/>
    <w:next w:val="Normal"/>
    <w:autoRedefine/>
    <w:qFormat/>
    <w:rsid w:val="00BE0728"/>
    <w:pPr>
      <w:keepNext/>
      <w:jc w:val="both"/>
      <w:outlineLvl w:val="1"/>
    </w:pPr>
    <w:rPr>
      <w:rFonts w:ascii="Arial" w:hAnsi="Arial" w:cs="Arial"/>
      <w:snapToGrid w:val="0"/>
      <w:color w:val="008000"/>
      <w:u w:val="single"/>
      <w:lang w:val="fr-FR" w:eastAsia="ja-JP"/>
    </w:rPr>
  </w:style>
  <w:style w:type="paragraph" w:styleId="Heading3">
    <w:name w:val="heading 3"/>
    <w:next w:val="Normal"/>
    <w:autoRedefine/>
    <w:qFormat/>
    <w:rsid w:val="000E2E2A"/>
    <w:pPr>
      <w:keepNext/>
      <w:ind w:left="567"/>
      <w:jc w:val="both"/>
      <w:outlineLvl w:val="2"/>
    </w:pPr>
    <w:rPr>
      <w:rFonts w:ascii="Arial" w:hAnsi="Arial"/>
      <w:i/>
      <w:lang w:eastAsia="ja-JP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A02F78"/>
    <w:pPr>
      <w:tabs>
        <w:tab w:val="right" w:pos="8504"/>
      </w:tabs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qFormat/>
    <w:rsid w:val="00967457"/>
    <w:pPr>
      <w:tabs>
        <w:tab w:val="right" w:leader="dot" w:pos="9639"/>
      </w:tabs>
      <w:spacing w:after="120"/>
      <w:ind w:left="284" w:right="283"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DC6260"/>
    <w:rPr>
      <w:color w:val="0000FF" w:themeColor="hyperlink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F449CD"/>
    <w:pPr>
      <w:tabs>
        <w:tab w:val="right" w:leader="dot" w:pos="9639"/>
      </w:tabs>
      <w:spacing w:before="60" w:after="120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4136C"/>
    <w:rPr>
      <w:rFonts w:ascii="Arial" w:hAnsi="Arial"/>
      <w:caps/>
      <w:color w:val="008000"/>
      <w:lang w:val="fr-FR" w:eastAsia="ja-JP"/>
    </w:rPr>
  </w:style>
  <w:style w:type="character" w:styleId="Emphasis">
    <w:name w:val="Emphasis"/>
    <w:basedOn w:val="DefaultParagraphFont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4D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4F14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7523"/>
    <w:rPr>
      <w:rFonts w:ascii="Arial" w:hAnsi="Arial"/>
      <w:lang w:val="fr-FR"/>
    </w:rPr>
  </w:style>
  <w:style w:type="paragraph" w:customStyle="1" w:styleId="DecisionInvitingPara">
    <w:name w:val="Decision Inviting Para."/>
    <w:basedOn w:val="Normal"/>
    <w:rsid w:val="00554D3E"/>
    <w:pPr>
      <w:ind w:left="4536"/>
    </w:pPr>
    <w:rPr>
      <w:rFonts w:eastAsia="Times New Roman"/>
      <w:i/>
      <w:lang w:val="es-ES_tradnl"/>
    </w:rPr>
  </w:style>
  <w:style w:type="paragraph" w:customStyle="1" w:styleId="Style1">
    <w:name w:val="Style1"/>
    <w:basedOn w:val="Normal"/>
    <w:rsid w:val="00554D3E"/>
    <w:pPr>
      <w:tabs>
        <w:tab w:val="decimal" w:pos="907"/>
        <w:tab w:val="left" w:pos="1077"/>
      </w:tabs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3D27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paragraph" w:customStyle="1" w:styleId="Default">
    <w:name w:val="Default"/>
    <w:rsid w:val="005700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A02F78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A112-B637-4CAC-8FCB-0D493B61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9</Pages>
  <Words>4644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31184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MHF/PB/mhf</cp:keywords>
  <cp:lastModifiedBy>SANCHEZ-VIZCAINO GOMEZ Rosa Maria</cp:lastModifiedBy>
  <cp:revision>82</cp:revision>
  <cp:lastPrinted>2016-03-03T09:31:00Z</cp:lastPrinted>
  <dcterms:created xsi:type="dcterms:W3CDTF">2016-03-01T08:31:00Z</dcterms:created>
  <dcterms:modified xsi:type="dcterms:W3CDTF">2016-03-03T09:31:00Z</dcterms:modified>
</cp:coreProperties>
</file>