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A6348" w:rsidRPr="009A6348" w:rsidTr="00753C31">
        <w:trPr>
          <w:trHeight w:val="1760"/>
        </w:trPr>
        <w:tc>
          <w:tcPr>
            <w:tcW w:w="4243" w:type="dxa"/>
          </w:tcPr>
          <w:p w:rsidR="00753C31" w:rsidRPr="009A6348" w:rsidRDefault="00753C31" w:rsidP="00753C31">
            <w:pPr>
              <w:rPr>
                <w:lang w:val="fr-FR"/>
              </w:rPr>
            </w:pPr>
          </w:p>
        </w:tc>
        <w:tc>
          <w:tcPr>
            <w:tcW w:w="1646" w:type="dxa"/>
            <w:vAlign w:val="center"/>
          </w:tcPr>
          <w:p w:rsidR="00753C31" w:rsidRPr="009A6348" w:rsidRDefault="00753C31" w:rsidP="00753C31">
            <w:pPr>
              <w:pStyle w:val="LogoUPOV"/>
              <w:rPr>
                <w:lang w:val="fr-FR"/>
              </w:rPr>
            </w:pPr>
            <w:r w:rsidRPr="009A6348">
              <w:rPr>
                <w:noProof/>
              </w:rPr>
              <w:drawing>
                <wp:inline distT="0" distB="0" distL="0" distR="0" wp14:anchorId="3C07F487" wp14:editId="183CC14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53C31" w:rsidRPr="009A6348" w:rsidRDefault="00753C31" w:rsidP="00753C31">
            <w:pPr>
              <w:pStyle w:val="Lettrine"/>
              <w:rPr>
                <w:lang w:val="fr-FR"/>
              </w:rPr>
            </w:pPr>
            <w:r w:rsidRPr="009A6348">
              <w:rPr>
                <w:lang w:val="fr-FR"/>
              </w:rPr>
              <w:t>F</w:t>
            </w:r>
          </w:p>
          <w:p w:rsidR="00753C31" w:rsidRPr="009A6348" w:rsidRDefault="00753C31" w:rsidP="00753C31">
            <w:pPr>
              <w:pStyle w:val="Docoriginal"/>
              <w:rPr>
                <w:lang w:val="fr-FR"/>
              </w:rPr>
            </w:pPr>
            <w:r w:rsidRPr="009A6348">
              <w:rPr>
                <w:lang w:val="fr-FR"/>
              </w:rPr>
              <w:t>TC/52/</w:t>
            </w:r>
            <w:bookmarkStart w:id="0" w:name="Code"/>
            <w:bookmarkEnd w:id="0"/>
            <w:r w:rsidRPr="009A6348">
              <w:rPr>
                <w:lang w:val="fr-FR"/>
              </w:rPr>
              <w:t>10</w:t>
            </w:r>
          </w:p>
          <w:p w:rsidR="00753C31" w:rsidRPr="009A6348" w:rsidRDefault="00753C31" w:rsidP="00753C31">
            <w:pPr>
              <w:pStyle w:val="Docoriginal"/>
              <w:rPr>
                <w:b w:val="0"/>
                <w:spacing w:val="0"/>
                <w:lang w:val="fr-FR"/>
              </w:rPr>
            </w:pPr>
            <w:r w:rsidRPr="009A6348">
              <w:rPr>
                <w:rStyle w:val="StyleDoclangBold"/>
                <w:b/>
                <w:bCs/>
                <w:spacing w:val="0"/>
                <w:lang w:val="fr-FR"/>
              </w:rPr>
              <w:t>ORIGINAL</w:t>
            </w:r>
            <w:r w:rsidR="007046A2" w:rsidRPr="009A6348">
              <w:rPr>
                <w:rStyle w:val="StyleDoclangBold"/>
                <w:b/>
                <w:bCs/>
                <w:spacing w:val="0"/>
                <w:lang w:val="fr-FR"/>
              </w:rPr>
              <w:t> </w:t>
            </w:r>
            <w:r w:rsidRPr="009A6348">
              <w:rPr>
                <w:rStyle w:val="StyleDoclangBold"/>
                <w:b/>
                <w:bCs/>
                <w:spacing w:val="0"/>
                <w:lang w:val="fr-FR"/>
              </w:rPr>
              <w:t>:</w:t>
            </w:r>
            <w:r w:rsidRPr="009A6348">
              <w:rPr>
                <w:rStyle w:val="StyleDocoriginalNotBold1"/>
                <w:spacing w:val="0"/>
                <w:lang w:val="fr-FR"/>
              </w:rPr>
              <w:t xml:space="preserve"> </w:t>
            </w:r>
            <w:bookmarkStart w:id="1" w:name="Original"/>
            <w:bookmarkEnd w:id="1"/>
            <w:r w:rsidRPr="009A6348">
              <w:rPr>
                <w:b w:val="0"/>
                <w:spacing w:val="0"/>
                <w:lang w:val="fr-FR"/>
              </w:rPr>
              <w:t>anglais</w:t>
            </w:r>
          </w:p>
          <w:p w:rsidR="00753C31" w:rsidRPr="009A6348" w:rsidRDefault="00753C31" w:rsidP="00753C31">
            <w:pPr>
              <w:pStyle w:val="Docoriginal"/>
              <w:rPr>
                <w:lang w:val="fr-FR"/>
              </w:rPr>
            </w:pPr>
            <w:r w:rsidRPr="009A6348">
              <w:rPr>
                <w:spacing w:val="0"/>
                <w:lang w:val="fr-FR"/>
              </w:rPr>
              <w:t>DATE</w:t>
            </w:r>
            <w:r w:rsidR="007046A2" w:rsidRPr="009A6348">
              <w:rPr>
                <w:spacing w:val="0"/>
                <w:lang w:val="fr-FR"/>
              </w:rPr>
              <w:t> </w:t>
            </w:r>
            <w:r w:rsidRPr="009A6348">
              <w:rPr>
                <w:spacing w:val="0"/>
                <w:lang w:val="fr-FR"/>
              </w:rPr>
              <w:t>:</w:t>
            </w:r>
            <w:r w:rsidRPr="009A6348">
              <w:rPr>
                <w:rStyle w:val="StyleDocoriginalNotBold1"/>
                <w:spacing w:val="0"/>
                <w:lang w:val="fr-FR"/>
              </w:rPr>
              <w:t xml:space="preserve"> </w:t>
            </w:r>
            <w:bookmarkStart w:id="2" w:name="Date"/>
            <w:bookmarkEnd w:id="2"/>
            <w:r w:rsidRPr="009A6348">
              <w:rPr>
                <w:rStyle w:val="StyleDocoriginalNotBold1"/>
                <w:spacing w:val="0"/>
                <w:lang w:val="fr-FR"/>
              </w:rPr>
              <w:t>2</w:t>
            </w:r>
            <w:r w:rsidR="009673A3" w:rsidRPr="009A6348">
              <w:rPr>
                <w:rStyle w:val="StyleDocoriginalNotBold1"/>
                <w:spacing w:val="0"/>
                <w:lang w:val="fr-FR"/>
              </w:rPr>
              <w:t>3 février </w:t>
            </w:r>
            <w:r w:rsidR="009673A3" w:rsidRPr="009A6348">
              <w:rPr>
                <w:b w:val="0"/>
                <w:spacing w:val="0"/>
                <w:lang w:val="fr-FR"/>
              </w:rPr>
              <w:t>20</w:t>
            </w:r>
            <w:r w:rsidRPr="009A6348">
              <w:rPr>
                <w:b w:val="0"/>
                <w:spacing w:val="0"/>
                <w:lang w:val="fr-FR"/>
              </w:rPr>
              <w:t>16</w:t>
            </w:r>
          </w:p>
        </w:tc>
      </w:tr>
      <w:tr w:rsidR="009A6348" w:rsidRPr="009A6348" w:rsidTr="00753C31">
        <w:tc>
          <w:tcPr>
            <w:tcW w:w="10131" w:type="dxa"/>
            <w:gridSpan w:val="3"/>
          </w:tcPr>
          <w:p w:rsidR="00753C31" w:rsidRPr="009A6348" w:rsidRDefault="00753C31" w:rsidP="00753C31">
            <w:pPr>
              <w:pStyle w:val="upove"/>
              <w:rPr>
                <w:sz w:val="28"/>
                <w:lang w:val="fr-FR"/>
              </w:rPr>
            </w:pPr>
            <w:r w:rsidRPr="009A6348">
              <w:rPr>
                <w:spacing w:val="6"/>
                <w:lang w:val="fr-FR"/>
              </w:rPr>
              <w:t>UNION INTERNATIONALE POUR LA PROTECTION DES OBTENTIONS VÉGÉTALES</w:t>
            </w:r>
          </w:p>
        </w:tc>
      </w:tr>
      <w:tr w:rsidR="009A6348" w:rsidRPr="009A6348" w:rsidTr="00753C31">
        <w:tc>
          <w:tcPr>
            <w:tcW w:w="10131" w:type="dxa"/>
            <w:gridSpan w:val="3"/>
          </w:tcPr>
          <w:p w:rsidR="00753C31" w:rsidRPr="009A6348" w:rsidRDefault="00753C31" w:rsidP="00753C31">
            <w:pPr>
              <w:pStyle w:val="Country"/>
              <w:rPr>
                <w:lang w:val="fr-FR"/>
              </w:rPr>
            </w:pPr>
            <w:r w:rsidRPr="009A6348">
              <w:rPr>
                <w:lang w:val="fr-FR"/>
              </w:rPr>
              <w:t>Genève</w:t>
            </w:r>
          </w:p>
        </w:tc>
      </w:tr>
    </w:tbl>
    <w:p w:rsidR="00753C31" w:rsidRPr="009A6348" w:rsidRDefault="00753C31" w:rsidP="00753C31">
      <w:pPr>
        <w:pStyle w:val="Sessiontc"/>
        <w:rPr>
          <w:lang w:val="fr-FR"/>
        </w:rPr>
      </w:pPr>
      <w:r w:rsidRPr="009A6348">
        <w:rPr>
          <w:lang w:val="fr-FR"/>
        </w:rPr>
        <w:t>Comité TECHNIQUE</w:t>
      </w:r>
    </w:p>
    <w:p w:rsidR="00753C31" w:rsidRPr="009A6348" w:rsidRDefault="00753C31" w:rsidP="00753C31">
      <w:pPr>
        <w:pStyle w:val="Sessiontcplacedate"/>
        <w:rPr>
          <w:lang w:val="fr-FR"/>
        </w:rPr>
      </w:pPr>
      <w:r w:rsidRPr="009A6348">
        <w:rPr>
          <w:lang w:val="fr-FR"/>
        </w:rPr>
        <w:t>Cinquante</w:t>
      </w:r>
      <w:r w:rsidR="00BA2AFF" w:rsidRPr="009A6348">
        <w:rPr>
          <w:lang w:val="fr-FR"/>
        </w:rPr>
        <w:noBreakHyphen/>
      </w:r>
      <w:r w:rsidRPr="009A6348">
        <w:rPr>
          <w:lang w:val="fr-FR"/>
        </w:rPr>
        <w:t>deuxième</w:t>
      </w:r>
      <w:r w:rsidR="007046A2" w:rsidRPr="009A6348">
        <w:rPr>
          <w:lang w:val="fr-FR"/>
        </w:rPr>
        <w:t> </w:t>
      </w:r>
      <w:r w:rsidRPr="009A6348">
        <w:rPr>
          <w:lang w:val="fr-FR"/>
        </w:rPr>
        <w:t xml:space="preserve">session </w:t>
      </w:r>
      <w:r w:rsidRPr="009A6348">
        <w:rPr>
          <w:lang w:val="fr-FR"/>
        </w:rPr>
        <w:br/>
        <w:t>Genève, 14 – 1</w:t>
      </w:r>
      <w:r w:rsidR="009673A3" w:rsidRPr="009A6348">
        <w:rPr>
          <w:lang w:val="fr-FR"/>
        </w:rPr>
        <w:t>6 mars 20</w:t>
      </w:r>
      <w:r w:rsidRPr="009A6348">
        <w:rPr>
          <w:lang w:val="fr-FR"/>
        </w:rPr>
        <w:t>16</w:t>
      </w:r>
    </w:p>
    <w:p w:rsidR="00677E0A" w:rsidRPr="009A6348" w:rsidRDefault="00677E0A" w:rsidP="00677E0A">
      <w:pPr>
        <w:pStyle w:val="Titleofdoc0"/>
        <w:rPr>
          <w:rFonts w:cs="Arial"/>
          <w:lang w:val="fr-FR"/>
        </w:rPr>
      </w:pPr>
      <w:r w:rsidRPr="009A6348">
        <w:rPr>
          <w:rFonts w:cs="Arial"/>
          <w:lang w:val="fr-FR"/>
        </w:rPr>
        <w:t>Rapport sur les faits nouveaux intervenus au sein de l</w:t>
      </w:r>
      <w:r w:rsidR="00003939" w:rsidRPr="009A6348">
        <w:rPr>
          <w:rFonts w:cs="Arial"/>
          <w:lang w:val="fr-FR"/>
        </w:rPr>
        <w:t>’</w:t>
      </w:r>
      <w:r w:rsidRPr="009A6348">
        <w:rPr>
          <w:rFonts w:cs="Arial"/>
          <w:lang w:val="fr-FR"/>
        </w:rPr>
        <w:t xml:space="preserve">UPOV, </w:t>
      </w:r>
      <w:r w:rsidR="00003939" w:rsidRPr="009A6348">
        <w:rPr>
          <w:rFonts w:cs="Arial"/>
          <w:lang w:val="fr-FR"/>
        </w:rPr>
        <w:t>y compris</w:t>
      </w:r>
      <w:r w:rsidRPr="009A6348">
        <w:rPr>
          <w:rFonts w:cs="Arial"/>
          <w:lang w:val="fr-FR"/>
        </w:rPr>
        <w:t xml:space="preserve"> </w:t>
      </w:r>
      <w:r w:rsidR="00753C31" w:rsidRPr="009A6348">
        <w:rPr>
          <w:rFonts w:cs="Arial"/>
          <w:lang w:val="fr-FR"/>
        </w:rPr>
        <w:br/>
      </w:r>
      <w:r w:rsidRPr="009A6348">
        <w:rPr>
          <w:rFonts w:cs="Arial"/>
          <w:lang w:val="fr-FR"/>
        </w:rPr>
        <w:t xml:space="preserve">certaines questions examinées lors des dernières sessions </w:t>
      </w:r>
      <w:r w:rsidR="00753C31" w:rsidRPr="009A6348">
        <w:rPr>
          <w:rFonts w:cs="Arial"/>
          <w:lang w:val="fr-FR"/>
        </w:rPr>
        <w:br/>
      </w:r>
      <w:r w:rsidRPr="009A6348">
        <w:rPr>
          <w:rFonts w:cs="Arial"/>
          <w:lang w:val="fr-FR"/>
        </w:rPr>
        <w:t>du Comité administratif et juridique, du Comité consultatif et du Conseil</w:t>
      </w:r>
    </w:p>
    <w:p w:rsidR="00677E0A" w:rsidRPr="009A6348" w:rsidRDefault="00753C31" w:rsidP="00050E16">
      <w:pPr>
        <w:pStyle w:val="preparedby1"/>
        <w:rPr>
          <w:rFonts w:cs="Arial"/>
          <w:color w:val="A6A6A6" w:themeColor="background1" w:themeShade="A6"/>
          <w:lang w:val="fr-FR"/>
        </w:rPr>
      </w:pPr>
      <w:bookmarkStart w:id="3" w:name="Prepared"/>
      <w:bookmarkEnd w:id="3"/>
      <w:r w:rsidRPr="009A6348">
        <w:rPr>
          <w:lang w:val="fr-FR"/>
        </w:rPr>
        <w:t>Document établi par le Bureau de l</w:t>
      </w:r>
      <w:r w:rsidR="00003939" w:rsidRPr="009A6348">
        <w:rPr>
          <w:lang w:val="fr-FR"/>
        </w:rPr>
        <w:t>’</w:t>
      </w:r>
      <w:r w:rsidRPr="009A6348">
        <w:rPr>
          <w:lang w:val="fr-FR"/>
        </w:rPr>
        <w:t>Union</w:t>
      </w:r>
      <w:r w:rsidRPr="009A6348">
        <w:rPr>
          <w:lang w:val="fr-FR"/>
        </w:rPr>
        <w:br/>
      </w:r>
      <w:r w:rsidRPr="009A6348">
        <w:rPr>
          <w:lang w:val="fr-FR"/>
        </w:rPr>
        <w:br/>
      </w:r>
      <w:r w:rsidRPr="009A6348">
        <w:rPr>
          <w:color w:val="A6A6A6" w:themeColor="background1" w:themeShade="A6"/>
          <w:lang w:val="fr-FR"/>
        </w:rPr>
        <w:t>Avertissement : le présent document ne représente pas les principes ou les orientations de l</w:t>
      </w:r>
      <w:r w:rsidR="00003939" w:rsidRPr="009A6348">
        <w:rPr>
          <w:color w:val="A6A6A6" w:themeColor="background1" w:themeShade="A6"/>
          <w:lang w:val="fr-FR"/>
        </w:rPr>
        <w:t>’</w:t>
      </w:r>
      <w:r w:rsidRPr="009A6348">
        <w:rPr>
          <w:color w:val="A6A6A6" w:themeColor="background1" w:themeShade="A6"/>
          <w:lang w:val="fr-FR"/>
        </w:rPr>
        <w:t>UPOV</w:t>
      </w:r>
    </w:p>
    <w:p w:rsidR="00677E0A" w:rsidRPr="009A6348" w:rsidRDefault="005411D3" w:rsidP="005411D3">
      <w:pPr>
        <w:rPr>
          <w:rFonts w:cs="Arial"/>
          <w:snapToGrid w:val="0"/>
          <w:lang w:val="fr-FR"/>
        </w:rPr>
      </w:pPr>
      <w:r w:rsidRPr="009A6348">
        <w:rPr>
          <w:rFonts w:cs="Arial"/>
          <w:snapToGrid w:val="0"/>
          <w:lang w:val="fr-FR"/>
        </w:rPr>
        <w:fldChar w:fldCharType="begin"/>
      </w:r>
      <w:r w:rsidRPr="009A6348">
        <w:rPr>
          <w:rFonts w:cs="Arial"/>
          <w:snapToGrid w:val="0"/>
          <w:lang w:val="fr-FR"/>
        </w:rPr>
        <w:instrText xml:space="preserve"> AUTONUM  </w:instrText>
      </w:r>
      <w:r w:rsidRPr="009A6348">
        <w:rPr>
          <w:rFonts w:cs="Arial"/>
          <w:snapToGrid w:val="0"/>
          <w:lang w:val="fr-FR"/>
        </w:rPr>
        <w:fldChar w:fldCharType="end"/>
      </w:r>
      <w:r w:rsidRPr="009A6348">
        <w:rPr>
          <w:rFonts w:cs="Arial"/>
          <w:snapToGrid w:val="0"/>
          <w:lang w:val="fr-FR"/>
        </w:rPr>
        <w:tab/>
      </w:r>
      <w:r w:rsidR="00DD67FD" w:rsidRPr="009A6348">
        <w:rPr>
          <w:rFonts w:cs="Arial"/>
          <w:snapToGrid w:val="0"/>
          <w:lang w:val="fr-FR"/>
        </w:rPr>
        <w:t>L</w:t>
      </w:r>
      <w:r w:rsidR="00003939" w:rsidRPr="009A6348">
        <w:rPr>
          <w:rFonts w:cs="Arial"/>
          <w:snapToGrid w:val="0"/>
          <w:lang w:val="fr-FR"/>
        </w:rPr>
        <w:t>’</w:t>
      </w:r>
      <w:r w:rsidR="00DD67FD" w:rsidRPr="009A6348">
        <w:rPr>
          <w:rFonts w:cs="Arial"/>
          <w:snapToGrid w:val="0"/>
          <w:lang w:val="fr-FR"/>
        </w:rPr>
        <w:t>objet du présent document est de faire rapport sur les faits nouveaux intervenus au sein de l</w:t>
      </w:r>
      <w:r w:rsidR="00003939" w:rsidRPr="009A6348">
        <w:rPr>
          <w:rFonts w:cs="Arial"/>
          <w:snapToGrid w:val="0"/>
          <w:lang w:val="fr-FR"/>
        </w:rPr>
        <w:t>’</w:t>
      </w:r>
      <w:r w:rsidR="00DD67FD" w:rsidRPr="009A6348">
        <w:rPr>
          <w:rFonts w:cs="Arial"/>
          <w:snapToGrid w:val="0"/>
          <w:lang w:val="fr-FR"/>
        </w:rPr>
        <w:t>UPOV depuis la</w:t>
      </w:r>
      <w:r w:rsidRPr="009A6348">
        <w:rPr>
          <w:rFonts w:cs="Arial"/>
          <w:snapToGrid w:val="0"/>
          <w:lang w:val="fr-FR"/>
        </w:rPr>
        <w:t xml:space="preserve"> </w:t>
      </w:r>
      <w:r w:rsidR="00DD67FD" w:rsidRPr="009A6348">
        <w:rPr>
          <w:rFonts w:cs="Arial"/>
          <w:snapToGrid w:val="0"/>
          <w:lang w:val="fr-FR"/>
        </w:rPr>
        <w:t>cinquante</w:t>
      </w:r>
      <w:r w:rsidR="003E77D0" w:rsidRPr="009A6348">
        <w:rPr>
          <w:rFonts w:cs="Arial"/>
          <w:snapToGrid w:val="0"/>
          <w:lang w:val="fr-FR"/>
        </w:rPr>
        <w:t> </w:t>
      </w:r>
      <w:r w:rsidR="00DD67FD" w:rsidRPr="009A6348">
        <w:rPr>
          <w:rFonts w:cs="Arial"/>
          <w:snapToGrid w:val="0"/>
          <w:lang w:val="fr-FR"/>
        </w:rPr>
        <w:t>et</w:t>
      </w:r>
      <w:r w:rsidR="003E77D0" w:rsidRPr="009A6348">
        <w:rPr>
          <w:rFonts w:cs="Arial"/>
          <w:snapToGrid w:val="0"/>
          <w:lang w:val="fr-FR"/>
        </w:rPr>
        <w:t> </w:t>
      </w:r>
      <w:r w:rsidR="00DD67FD" w:rsidRPr="009A6348">
        <w:rPr>
          <w:rFonts w:cs="Arial"/>
          <w:snapToGrid w:val="0"/>
          <w:lang w:val="fr-FR"/>
        </w:rPr>
        <w:t>unième</w:t>
      </w:r>
      <w:r w:rsidR="003E77D0" w:rsidRPr="009A6348">
        <w:rPr>
          <w:rFonts w:cs="Arial"/>
          <w:snapToGrid w:val="0"/>
          <w:lang w:val="fr-FR"/>
        </w:rPr>
        <w:t> </w:t>
      </w:r>
      <w:r w:rsidR="00DD67FD" w:rsidRPr="009A6348">
        <w:rPr>
          <w:rFonts w:cs="Arial"/>
          <w:snapToGrid w:val="0"/>
          <w:lang w:val="fr-FR"/>
        </w:rPr>
        <w:t>session du Comité technique (TC) et qui ne relèvent pas de points précis de l</w:t>
      </w:r>
      <w:r w:rsidR="00003939" w:rsidRPr="009A6348">
        <w:rPr>
          <w:rFonts w:cs="Arial"/>
          <w:snapToGrid w:val="0"/>
          <w:lang w:val="fr-FR"/>
        </w:rPr>
        <w:t>’</w:t>
      </w:r>
      <w:r w:rsidR="00DD67FD" w:rsidRPr="009A6348">
        <w:rPr>
          <w:rFonts w:cs="Arial"/>
          <w:snapToGrid w:val="0"/>
          <w:lang w:val="fr-FR"/>
        </w:rPr>
        <w:t>ordre du jour de la cinquante</w:t>
      </w:r>
      <w:r w:rsidR="00BA2AFF" w:rsidRPr="009A6348">
        <w:rPr>
          <w:rFonts w:cs="Arial"/>
          <w:snapToGrid w:val="0"/>
          <w:lang w:val="fr-FR"/>
        </w:rPr>
        <w:noBreakHyphen/>
      </w:r>
      <w:r w:rsidR="00DD67FD" w:rsidRPr="009A6348">
        <w:rPr>
          <w:rFonts w:cs="Arial"/>
          <w:snapToGrid w:val="0"/>
          <w:lang w:val="fr-FR"/>
        </w:rPr>
        <w:t xml:space="preserve">deuxième session du </w:t>
      </w:r>
      <w:r w:rsidR="009A6348">
        <w:rPr>
          <w:rFonts w:cs="Arial"/>
          <w:snapToGrid w:val="0"/>
          <w:lang w:val="fr-FR"/>
        </w:rPr>
        <w:t>TC</w:t>
      </w:r>
      <w:r w:rsidR="00DD67FD" w:rsidRPr="009A6348">
        <w:rPr>
          <w:rFonts w:cs="Arial"/>
          <w:snapToGrid w:val="0"/>
          <w:lang w:val="fr-FR"/>
        </w:rPr>
        <w:t xml:space="preserve">, </w:t>
      </w:r>
      <w:r w:rsidR="00003939" w:rsidRPr="009A6348">
        <w:rPr>
          <w:rFonts w:cs="Arial"/>
          <w:snapToGrid w:val="0"/>
          <w:lang w:val="fr-FR"/>
        </w:rPr>
        <w:t>y compris</w:t>
      </w:r>
      <w:r w:rsidR="00DD67FD" w:rsidRPr="009A6348">
        <w:rPr>
          <w:rFonts w:cs="Arial"/>
          <w:snapToGrid w:val="0"/>
          <w:lang w:val="fr-FR"/>
        </w:rPr>
        <w:t xml:space="preserve"> certaines questions examinées lors des dernières sessions du Comité administratif et juridique (CAJ), du Comité consultatif et du Conseil</w:t>
      </w:r>
      <w:r w:rsidRPr="009A6348">
        <w:rPr>
          <w:rFonts w:cs="Arial"/>
          <w:snapToGrid w:val="0"/>
          <w:lang w:val="fr-FR"/>
        </w:rPr>
        <w:t>.</w:t>
      </w:r>
    </w:p>
    <w:p w:rsidR="00677E0A" w:rsidRPr="009A6348" w:rsidRDefault="00677E0A" w:rsidP="005411D3">
      <w:pPr>
        <w:rPr>
          <w:rFonts w:cs="Arial"/>
          <w:snapToGrid w:val="0"/>
          <w:lang w:val="fr-FR"/>
        </w:rPr>
      </w:pPr>
    </w:p>
    <w:p w:rsidR="00677E0A" w:rsidRPr="009A6348" w:rsidRDefault="005411D3" w:rsidP="00677E0A">
      <w:pPr>
        <w:rPr>
          <w:rFonts w:cs="Arial"/>
          <w:snapToGrid w:val="0"/>
          <w:lang w:val="fr-FR"/>
        </w:rPr>
      </w:pPr>
      <w:r w:rsidRPr="009A6348">
        <w:rPr>
          <w:rFonts w:cs="Arial"/>
          <w:snapToGrid w:val="0"/>
          <w:lang w:val="fr-FR"/>
        </w:rPr>
        <w:fldChar w:fldCharType="begin"/>
      </w:r>
      <w:r w:rsidRPr="009A6348">
        <w:rPr>
          <w:rFonts w:cs="Arial"/>
          <w:snapToGrid w:val="0"/>
          <w:lang w:val="fr-FR"/>
        </w:rPr>
        <w:instrText xml:space="preserve"> AUTONUM  </w:instrText>
      </w:r>
      <w:r w:rsidRPr="009A6348">
        <w:rPr>
          <w:rFonts w:cs="Arial"/>
          <w:snapToGrid w:val="0"/>
          <w:lang w:val="fr-FR"/>
        </w:rPr>
        <w:fldChar w:fldCharType="end"/>
      </w:r>
      <w:r w:rsidRPr="009A6348">
        <w:rPr>
          <w:rFonts w:cs="Arial"/>
          <w:snapToGrid w:val="0"/>
          <w:lang w:val="fr-FR"/>
        </w:rPr>
        <w:tab/>
      </w:r>
      <w:r w:rsidR="00677E0A" w:rsidRPr="009A6348">
        <w:rPr>
          <w:rFonts w:cs="Arial"/>
          <w:snapToGrid w:val="0"/>
          <w:lang w:val="fr-FR"/>
        </w:rPr>
        <w:t xml:space="preserve">Un exposé résumant les points traités dans le présent document sera présenté au </w:t>
      </w:r>
      <w:r w:rsidR="009A6348">
        <w:rPr>
          <w:rFonts w:cs="Arial"/>
          <w:snapToGrid w:val="0"/>
          <w:lang w:val="fr-FR"/>
        </w:rPr>
        <w:t xml:space="preserve">TC </w:t>
      </w:r>
      <w:r w:rsidR="00753C31" w:rsidRPr="009A6348">
        <w:rPr>
          <w:rFonts w:cs="Arial"/>
          <w:snapToGrid w:val="0"/>
          <w:lang w:val="fr-FR"/>
        </w:rPr>
        <w:t xml:space="preserve">à sa </w:t>
      </w:r>
      <w:r w:rsidR="002440AE" w:rsidRPr="009A6348">
        <w:rPr>
          <w:rFonts w:cs="Arial"/>
          <w:snapToGrid w:val="0"/>
          <w:lang w:val="fr-FR"/>
        </w:rPr>
        <w:t>cinquante</w:t>
      </w:r>
      <w:r w:rsidR="00BA2AFF" w:rsidRPr="009A6348">
        <w:rPr>
          <w:rFonts w:cs="Arial"/>
          <w:snapToGrid w:val="0"/>
          <w:lang w:val="fr-FR"/>
        </w:rPr>
        <w:noBreakHyphen/>
      </w:r>
      <w:r w:rsidR="002440AE" w:rsidRPr="009A6348">
        <w:rPr>
          <w:rFonts w:cs="Arial"/>
          <w:snapToGrid w:val="0"/>
          <w:lang w:val="fr-FR"/>
        </w:rPr>
        <w:t>deuxième</w:t>
      </w:r>
      <w:r w:rsidR="007046A2" w:rsidRPr="009A6348">
        <w:rPr>
          <w:lang w:val="fr-FR"/>
        </w:rPr>
        <w:t> </w:t>
      </w:r>
      <w:r w:rsidR="00677E0A" w:rsidRPr="009A6348">
        <w:rPr>
          <w:lang w:val="fr-FR"/>
        </w:rPr>
        <w:t>session</w:t>
      </w:r>
      <w:r w:rsidR="00677E0A" w:rsidRPr="009A6348">
        <w:rPr>
          <w:rFonts w:cs="Arial"/>
          <w:snapToGrid w:val="0"/>
          <w:lang w:val="fr-FR"/>
        </w:rPr>
        <w:t>.</w:t>
      </w:r>
      <w:r w:rsidR="00753C31" w:rsidRPr="009A6348">
        <w:rPr>
          <w:rFonts w:cs="Arial"/>
          <w:snapToGrid w:val="0"/>
          <w:lang w:val="fr-FR"/>
        </w:rPr>
        <w:t xml:space="preserve">  </w:t>
      </w:r>
      <w:r w:rsidR="00677E0A" w:rsidRPr="009A6348">
        <w:rPr>
          <w:rFonts w:cs="Arial"/>
          <w:snapToGrid w:val="0"/>
          <w:lang w:val="fr-FR"/>
        </w:rPr>
        <w:t>Cet exposé fera l</w:t>
      </w:r>
      <w:r w:rsidR="00003939" w:rsidRPr="009A6348">
        <w:rPr>
          <w:rFonts w:cs="Arial"/>
          <w:snapToGrid w:val="0"/>
          <w:lang w:val="fr-FR"/>
        </w:rPr>
        <w:t>’</w:t>
      </w:r>
      <w:r w:rsidR="00677E0A" w:rsidRPr="009A6348">
        <w:rPr>
          <w:rFonts w:cs="Arial"/>
          <w:snapToGrid w:val="0"/>
          <w:lang w:val="fr-FR"/>
        </w:rPr>
        <w:t>objet d</w:t>
      </w:r>
      <w:r w:rsidR="00003939" w:rsidRPr="009A6348">
        <w:rPr>
          <w:rFonts w:cs="Arial"/>
          <w:snapToGrid w:val="0"/>
          <w:lang w:val="fr-FR"/>
        </w:rPr>
        <w:t>’</w:t>
      </w:r>
      <w:r w:rsidR="00677E0A" w:rsidRPr="009A6348">
        <w:rPr>
          <w:rFonts w:cs="Arial"/>
          <w:snapToGrid w:val="0"/>
          <w:lang w:val="fr-FR"/>
        </w:rPr>
        <w:t>un additif au présent document (en anglais seulement).</w:t>
      </w:r>
    </w:p>
    <w:p w:rsidR="00677E0A" w:rsidRPr="009A6348" w:rsidRDefault="00677E0A" w:rsidP="004B1215">
      <w:pPr>
        <w:rPr>
          <w:rFonts w:cs="Arial"/>
          <w:lang w:val="fr-FR"/>
        </w:rPr>
      </w:pPr>
    </w:p>
    <w:p w:rsidR="00677E0A" w:rsidRPr="009A6348" w:rsidRDefault="00677E0A">
      <w:pPr>
        <w:jc w:val="left"/>
        <w:rPr>
          <w:rFonts w:cs="Arial"/>
          <w:u w:val="single"/>
          <w:lang w:val="fr-FR"/>
        </w:rPr>
      </w:pPr>
    </w:p>
    <w:p w:rsidR="00677E0A" w:rsidRPr="009A6348" w:rsidRDefault="001F1F47">
      <w:pPr>
        <w:jc w:val="left"/>
        <w:rPr>
          <w:rFonts w:cs="Arial"/>
          <w:u w:val="single"/>
          <w:lang w:val="fr-FR"/>
        </w:rPr>
      </w:pPr>
      <w:r w:rsidRPr="009A6348">
        <w:rPr>
          <w:rFonts w:cs="Arial"/>
          <w:u w:val="single"/>
          <w:lang w:val="fr-FR"/>
        </w:rPr>
        <w:br w:type="page"/>
      </w:r>
    </w:p>
    <w:p w:rsidR="00677E0A" w:rsidRPr="009A6348" w:rsidRDefault="00677E0A" w:rsidP="00677E0A">
      <w:pPr>
        <w:rPr>
          <w:rFonts w:cs="Arial"/>
          <w:u w:val="single"/>
          <w:lang w:val="fr-FR"/>
        </w:rPr>
      </w:pPr>
      <w:r w:rsidRPr="009A6348">
        <w:rPr>
          <w:rFonts w:cs="Arial"/>
          <w:b/>
          <w:u w:val="single"/>
          <w:lang w:val="fr-FR"/>
        </w:rPr>
        <w:lastRenderedPageBreak/>
        <w:t>TABLE DES MATIÈRES</w:t>
      </w:r>
    </w:p>
    <w:p w:rsidR="00677E0A" w:rsidRPr="009A6348" w:rsidRDefault="00677E0A" w:rsidP="00B02D38">
      <w:pPr>
        <w:jc w:val="left"/>
        <w:rPr>
          <w:rFonts w:cs="Arial"/>
          <w:lang w:val="fr-FR"/>
        </w:rPr>
      </w:pPr>
    </w:p>
    <w:p w:rsidR="00161CAB" w:rsidRDefault="00B02D38">
      <w:pPr>
        <w:pStyle w:val="TOC1"/>
        <w:rPr>
          <w:rFonts w:asciiTheme="minorHAnsi" w:eastAsiaTheme="minorEastAsia" w:hAnsiTheme="minorHAnsi" w:cstheme="minorBidi"/>
          <w:caps w:val="0"/>
          <w:noProof/>
          <w:sz w:val="22"/>
          <w:szCs w:val="22"/>
        </w:rPr>
      </w:pPr>
      <w:r w:rsidRPr="009A6348">
        <w:rPr>
          <w:rFonts w:cs="Arial"/>
          <w:lang w:val="fr-FR"/>
        </w:rPr>
        <w:fldChar w:fldCharType="begin"/>
      </w:r>
      <w:r w:rsidRPr="009A6348">
        <w:rPr>
          <w:rFonts w:cs="Arial"/>
          <w:lang w:val="fr-FR"/>
        </w:rPr>
        <w:instrText xml:space="preserve"> TOC \o "1-3" \h \z \u </w:instrText>
      </w:r>
      <w:r w:rsidRPr="009A6348">
        <w:rPr>
          <w:rFonts w:cs="Arial"/>
          <w:lang w:val="fr-FR"/>
        </w:rPr>
        <w:fldChar w:fldCharType="separate"/>
      </w:r>
      <w:hyperlink w:anchor="_Toc444761363" w:history="1">
        <w:r w:rsidR="00161CAB" w:rsidRPr="00A62107">
          <w:rPr>
            <w:rStyle w:val="Hyperlink"/>
            <w:noProof/>
          </w:rPr>
          <w:t>Composition</w:t>
        </w:r>
        <w:r w:rsidR="00161CAB">
          <w:rPr>
            <w:noProof/>
            <w:webHidden/>
          </w:rPr>
          <w:tab/>
        </w:r>
        <w:r w:rsidR="00161CAB">
          <w:rPr>
            <w:noProof/>
            <w:webHidden/>
          </w:rPr>
          <w:fldChar w:fldCharType="begin"/>
        </w:r>
        <w:r w:rsidR="00161CAB">
          <w:rPr>
            <w:noProof/>
            <w:webHidden/>
          </w:rPr>
          <w:instrText xml:space="preserve"> PAGEREF _Toc444761363 \h </w:instrText>
        </w:r>
        <w:r w:rsidR="00161CAB">
          <w:rPr>
            <w:noProof/>
            <w:webHidden/>
          </w:rPr>
        </w:r>
        <w:r w:rsidR="00161CAB">
          <w:rPr>
            <w:noProof/>
            <w:webHidden/>
          </w:rPr>
          <w:fldChar w:fldCharType="separate"/>
        </w:r>
        <w:r w:rsidR="00DD2570">
          <w:rPr>
            <w:noProof/>
            <w:webHidden/>
          </w:rPr>
          <w:t>3</w:t>
        </w:r>
        <w:r w:rsidR="00161CAB">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64" w:history="1">
        <w:r w:rsidRPr="00A62107">
          <w:rPr>
            <w:rStyle w:val="Hyperlink"/>
            <w:noProof/>
          </w:rPr>
          <w:t>Membres de l’Union</w:t>
        </w:r>
        <w:r>
          <w:rPr>
            <w:noProof/>
            <w:webHidden/>
          </w:rPr>
          <w:tab/>
        </w:r>
        <w:r>
          <w:rPr>
            <w:noProof/>
            <w:webHidden/>
          </w:rPr>
          <w:fldChar w:fldCharType="begin"/>
        </w:r>
        <w:r>
          <w:rPr>
            <w:noProof/>
            <w:webHidden/>
          </w:rPr>
          <w:instrText xml:space="preserve"> PAGEREF _Toc444761364 \h </w:instrText>
        </w:r>
        <w:r>
          <w:rPr>
            <w:noProof/>
            <w:webHidden/>
          </w:rPr>
        </w:r>
        <w:r>
          <w:rPr>
            <w:noProof/>
            <w:webHidden/>
          </w:rPr>
          <w:fldChar w:fldCharType="separate"/>
        </w:r>
        <w:r w:rsidR="00DD2570">
          <w:rPr>
            <w:noProof/>
            <w:webHidden/>
          </w:rPr>
          <w:t>3</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65" w:history="1">
        <w:r w:rsidRPr="00A62107">
          <w:rPr>
            <w:rStyle w:val="Hyperlink"/>
            <w:noProof/>
          </w:rPr>
          <w:t>Situation par rapport aux divers actes de la Convention</w:t>
        </w:r>
        <w:r>
          <w:rPr>
            <w:noProof/>
            <w:webHidden/>
          </w:rPr>
          <w:tab/>
        </w:r>
        <w:r>
          <w:rPr>
            <w:noProof/>
            <w:webHidden/>
          </w:rPr>
          <w:fldChar w:fldCharType="begin"/>
        </w:r>
        <w:r>
          <w:rPr>
            <w:noProof/>
            <w:webHidden/>
          </w:rPr>
          <w:instrText xml:space="preserve"> PAGEREF _Toc444761365 \h </w:instrText>
        </w:r>
        <w:r>
          <w:rPr>
            <w:noProof/>
            <w:webHidden/>
          </w:rPr>
        </w:r>
        <w:r>
          <w:rPr>
            <w:noProof/>
            <w:webHidden/>
          </w:rPr>
          <w:fldChar w:fldCharType="separate"/>
        </w:r>
        <w:r w:rsidR="00DD2570">
          <w:rPr>
            <w:noProof/>
            <w:webHidden/>
          </w:rPr>
          <w:t>3</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66" w:history="1">
        <w:r w:rsidRPr="00A62107">
          <w:rPr>
            <w:rStyle w:val="Hyperlink"/>
            <w:noProof/>
          </w:rPr>
          <w:t>Examen des lois</w:t>
        </w:r>
        <w:r>
          <w:rPr>
            <w:noProof/>
            <w:webHidden/>
          </w:rPr>
          <w:tab/>
        </w:r>
        <w:r>
          <w:rPr>
            <w:noProof/>
            <w:webHidden/>
          </w:rPr>
          <w:fldChar w:fldCharType="begin"/>
        </w:r>
        <w:r>
          <w:rPr>
            <w:noProof/>
            <w:webHidden/>
          </w:rPr>
          <w:instrText xml:space="preserve"> PAGEREF _Toc444761366 \h </w:instrText>
        </w:r>
        <w:r>
          <w:rPr>
            <w:noProof/>
            <w:webHidden/>
          </w:rPr>
        </w:r>
        <w:r>
          <w:rPr>
            <w:noProof/>
            <w:webHidden/>
          </w:rPr>
          <w:fldChar w:fldCharType="separate"/>
        </w:r>
        <w:r w:rsidR="00DD2570">
          <w:rPr>
            <w:noProof/>
            <w:webHidden/>
          </w:rPr>
          <w:t>3</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67" w:history="1">
        <w:r w:rsidRPr="00A62107">
          <w:rPr>
            <w:rStyle w:val="Hyperlink"/>
            <w:noProof/>
          </w:rPr>
          <w:t>StatistiQUEs sur la Protection des obtentions végétales</w:t>
        </w:r>
        <w:r>
          <w:rPr>
            <w:noProof/>
            <w:webHidden/>
          </w:rPr>
          <w:tab/>
        </w:r>
        <w:r>
          <w:rPr>
            <w:noProof/>
            <w:webHidden/>
          </w:rPr>
          <w:fldChar w:fldCharType="begin"/>
        </w:r>
        <w:r>
          <w:rPr>
            <w:noProof/>
            <w:webHidden/>
          </w:rPr>
          <w:instrText xml:space="preserve"> PAGEREF _Toc444761367 \h </w:instrText>
        </w:r>
        <w:r>
          <w:rPr>
            <w:noProof/>
            <w:webHidden/>
          </w:rPr>
        </w:r>
        <w:r>
          <w:rPr>
            <w:noProof/>
            <w:webHidden/>
          </w:rPr>
          <w:fldChar w:fldCharType="separate"/>
        </w:r>
        <w:r w:rsidR="00DD2570">
          <w:rPr>
            <w:noProof/>
            <w:webHidden/>
          </w:rPr>
          <w:t>3</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68" w:history="1">
        <w:r w:rsidRPr="00A62107">
          <w:rPr>
            <w:rStyle w:val="Hyperlink"/>
            <w:rFonts w:eastAsia="MS Mincho"/>
            <w:noProof/>
            <w:lang w:eastAsia="ja-JP"/>
          </w:rPr>
          <w:t>Liste des taxons protégés par les membres de l’Union</w:t>
        </w:r>
        <w:r>
          <w:rPr>
            <w:noProof/>
            <w:webHidden/>
          </w:rPr>
          <w:tab/>
        </w:r>
        <w:r>
          <w:rPr>
            <w:noProof/>
            <w:webHidden/>
          </w:rPr>
          <w:fldChar w:fldCharType="begin"/>
        </w:r>
        <w:r>
          <w:rPr>
            <w:noProof/>
            <w:webHidden/>
          </w:rPr>
          <w:instrText xml:space="preserve"> PAGEREF _Toc444761368 \h </w:instrText>
        </w:r>
        <w:r>
          <w:rPr>
            <w:noProof/>
            <w:webHidden/>
          </w:rPr>
        </w:r>
        <w:r>
          <w:rPr>
            <w:noProof/>
            <w:webHidden/>
          </w:rPr>
          <w:fldChar w:fldCharType="separate"/>
        </w:r>
        <w:r w:rsidR="00DD2570">
          <w:rPr>
            <w:noProof/>
            <w:webHidden/>
          </w:rPr>
          <w:t>3</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69" w:history="1">
        <w:r w:rsidRPr="00A62107">
          <w:rPr>
            <w:rStyle w:val="Hyperlink"/>
            <w:noProof/>
          </w:rPr>
          <w:t>Statistiques sur la protection des obtentions végétales</w:t>
        </w:r>
        <w:r>
          <w:rPr>
            <w:noProof/>
            <w:webHidden/>
          </w:rPr>
          <w:tab/>
        </w:r>
        <w:r>
          <w:rPr>
            <w:noProof/>
            <w:webHidden/>
          </w:rPr>
          <w:fldChar w:fldCharType="begin"/>
        </w:r>
        <w:r>
          <w:rPr>
            <w:noProof/>
            <w:webHidden/>
          </w:rPr>
          <w:instrText xml:space="preserve"> PAGEREF _Toc444761369 \h </w:instrText>
        </w:r>
        <w:r>
          <w:rPr>
            <w:noProof/>
            <w:webHidden/>
          </w:rPr>
        </w:r>
        <w:r>
          <w:rPr>
            <w:noProof/>
            <w:webHidden/>
          </w:rPr>
          <w:fldChar w:fldCharType="separate"/>
        </w:r>
        <w:r w:rsidR="00DD2570">
          <w:rPr>
            <w:noProof/>
            <w:webHidden/>
          </w:rPr>
          <w:t>4</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70" w:history="1">
        <w:r w:rsidRPr="00A62107">
          <w:rPr>
            <w:rStyle w:val="Hyperlink"/>
            <w:noProof/>
          </w:rPr>
          <w:t>Coopération en matière d’examen des obtentions végétales</w:t>
        </w:r>
        <w:r>
          <w:rPr>
            <w:noProof/>
            <w:webHidden/>
          </w:rPr>
          <w:tab/>
        </w:r>
        <w:r>
          <w:rPr>
            <w:noProof/>
            <w:webHidden/>
          </w:rPr>
          <w:fldChar w:fldCharType="begin"/>
        </w:r>
        <w:r>
          <w:rPr>
            <w:noProof/>
            <w:webHidden/>
          </w:rPr>
          <w:instrText xml:space="preserve"> PAGEREF _Toc444761370 \h </w:instrText>
        </w:r>
        <w:r>
          <w:rPr>
            <w:noProof/>
            <w:webHidden/>
          </w:rPr>
        </w:r>
        <w:r>
          <w:rPr>
            <w:noProof/>
            <w:webHidden/>
          </w:rPr>
          <w:fldChar w:fldCharType="separate"/>
        </w:r>
        <w:r w:rsidR="00DD2570">
          <w:rPr>
            <w:noProof/>
            <w:webHidden/>
          </w:rPr>
          <w:t>4</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71" w:history="1">
        <w:r w:rsidRPr="00A62107">
          <w:rPr>
            <w:rStyle w:val="Hyperlink"/>
            <w:noProof/>
          </w:rPr>
          <w:t>ProgramME ET BUDGET POUR L’EXERCICE BIENNAL 2016</w:t>
        </w:r>
        <w:r w:rsidRPr="00A62107">
          <w:rPr>
            <w:rStyle w:val="Hyperlink"/>
            <w:noProof/>
          </w:rPr>
          <w:noBreakHyphen/>
          <w:t>2017</w:t>
        </w:r>
        <w:r>
          <w:rPr>
            <w:noProof/>
            <w:webHidden/>
          </w:rPr>
          <w:tab/>
        </w:r>
        <w:r>
          <w:rPr>
            <w:noProof/>
            <w:webHidden/>
          </w:rPr>
          <w:fldChar w:fldCharType="begin"/>
        </w:r>
        <w:r>
          <w:rPr>
            <w:noProof/>
            <w:webHidden/>
          </w:rPr>
          <w:instrText xml:space="preserve"> PAGEREF _Toc444761371 \h </w:instrText>
        </w:r>
        <w:r>
          <w:rPr>
            <w:noProof/>
            <w:webHidden/>
          </w:rPr>
        </w:r>
        <w:r>
          <w:rPr>
            <w:noProof/>
            <w:webHidden/>
          </w:rPr>
          <w:fldChar w:fldCharType="separate"/>
        </w:r>
        <w:r w:rsidR="00DD2570">
          <w:rPr>
            <w:noProof/>
            <w:webHidden/>
          </w:rPr>
          <w:t>4</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72" w:history="1">
        <w:r w:rsidRPr="00A62107">
          <w:rPr>
            <w:rStyle w:val="Hyperlink"/>
            <w:noProof/>
          </w:rPr>
          <w:t>Fonds spécial pour des projets (SPF)</w:t>
        </w:r>
        <w:r>
          <w:rPr>
            <w:noProof/>
            <w:webHidden/>
          </w:rPr>
          <w:tab/>
        </w:r>
        <w:r>
          <w:rPr>
            <w:noProof/>
            <w:webHidden/>
          </w:rPr>
          <w:fldChar w:fldCharType="begin"/>
        </w:r>
        <w:r>
          <w:rPr>
            <w:noProof/>
            <w:webHidden/>
          </w:rPr>
          <w:instrText xml:space="preserve"> PAGEREF _Toc444761372 \h </w:instrText>
        </w:r>
        <w:r>
          <w:rPr>
            <w:noProof/>
            <w:webHidden/>
          </w:rPr>
        </w:r>
        <w:r>
          <w:rPr>
            <w:noProof/>
            <w:webHidden/>
          </w:rPr>
          <w:fldChar w:fldCharType="separate"/>
        </w:r>
        <w:r w:rsidR="00DD2570">
          <w:rPr>
            <w:noProof/>
            <w:webHidden/>
          </w:rPr>
          <w:t>4</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73" w:history="1">
        <w:r w:rsidRPr="00A62107">
          <w:rPr>
            <w:rStyle w:val="Hyperlink"/>
            <w:noProof/>
          </w:rPr>
          <w:t>évaluation de l’upov par la Division de la supervision interne de l’OMPI (IOD)</w:t>
        </w:r>
        <w:r>
          <w:rPr>
            <w:noProof/>
            <w:webHidden/>
          </w:rPr>
          <w:tab/>
        </w:r>
        <w:r>
          <w:rPr>
            <w:noProof/>
            <w:webHidden/>
          </w:rPr>
          <w:fldChar w:fldCharType="begin"/>
        </w:r>
        <w:r>
          <w:rPr>
            <w:noProof/>
            <w:webHidden/>
          </w:rPr>
          <w:instrText xml:space="preserve"> PAGEREF _Toc444761373 \h </w:instrText>
        </w:r>
        <w:r>
          <w:rPr>
            <w:noProof/>
            <w:webHidden/>
          </w:rPr>
        </w:r>
        <w:r>
          <w:rPr>
            <w:noProof/>
            <w:webHidden/>
          </w:rPr>
          <w:fldChar w:fldCharType="separate"/>
        </w:r>
        <w:r w:rsidR="00DD2570">
          <w:rPr>
            <w:noProof/>
            <w:webHidden/>
          </w:rPr>
          <w:t>4</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74" w:history="1">
        <w:r w:rsidRPr="00A62107">
          <w:rPr>
            <w:rStyle w:val="Hyperlink"/>
            <w:noProof/>
          </w:rPr>
          <w:t>sessions des organes de l’UPOV</w:t>
        </w:r>
        <w:r>
          <w:rPr>
            <w:noProof/>
            <w:webHidden/>
          </w:rPr>
          <w:tab/>
        </w:r>
        <w:r>
          <w:rPr>
            <w:noProof/>
            <w:webHidden/>
          </w:rPr>
          <w:fldChar w:fldCharType="begin"/>
        </w:r>
        <w:r>
          <w:rPr>
            <w:noProof/>
            <w:webHidden/>
          </w:rPr>
          <w:instrText xml:space="preserve"> PAGEREF _Toc444761374 \h </w:instrText>
        </w:r>
        <w:r>
          <w:rPr>
            <w:noProof/>
            <w:webHidden/>
          </w:rPr>
        </w:r>
        <w:r>
          <w:rPr>
            <w:noProof/>
            <w:webHidden/>
          </w:rPr>
          <w:fldChar w:fldCharType="separate"/>
        </w:r>
        <w:r w:rsidR="00DD2570">
          <w:rPr>
            <w:noProof/>
            <w:webHidden/>
          </w:rPr>
          <w:t>5</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75" w:history="1">
        <w:r w:rsidRPr="00A62107">
          <w:rPr>
            <w:rStyle w:val="Hyperlink"/>
            <w:noProof/>
          </w:rPr>
          <w:t>Président et vice</w:t>
        </w:r>
        <w:r w:rsidRPr="00A62107">
          <w:rPr>
            <w:rStyle w:val="Hyperlink"/>
            <w:noProof/>
          </w:rPr>
          <w:noBreakHyphen/>
          <w:t>président du Conseil de l’UPOV</w:t>
        </w:r>
        <w:r>
          <w:rPr>
            <w:noProof/>
            <w:webHidden/>
          </w:rPr>
          <w:tab/>
        </w:r>
        <w:r>
          <w:rPr>
            <w:noProof/>
            <w:webHidden/>
          </w:rPr>
          <w:fldChar w:fldCharType="begin"/>
        </w:r>
        <w:r>
          <w:rPr>
            <w:noProof/>
            <w:webHidden/>
          </w:rPr>
          <w:instrText xml:space="preserve"> PAGEREF _Toc444761375 \h </w:instrText>
        </w:r>
        <w:r>
          <w:rPr>
            <w:noProof/>
            <w:webHidden/>
          </w:rPr>
        </w:r>
        <w:r>
          <w:rPr>
            <w:noProof/>
            <w:webHidden/>
          </w:rPr>
          <w:fldChar w:fldCharType="separate"/>
        </w:r>
        <w:r w:rsidR="00DD2570">
          <w:rPr>
            <w:noProof/>
            <w:webHidden/>
          </w:rPr>
          <w:t>5</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76" w:history="1">
        <w:r w:rsidRPr="00A62107">
          <w:rPr>
            <w:rStyle w:val="Hyperlink"/>
            <w:noProof/>
          </w:rPr>
          <w:t>Calendrier des réunions</w:t>
        </w:r>
        <w:r>
          <w:rPr>
            <w:noProof/>
            <w:webHidden/>
          </w:rPr>
          <w:tab/>
        </w:r>
        <w:r>
          <w:rPr>
            <w:noProof/>
            <w:webHidden/>
          </w:rPr>
          <w:fldChar w:fldCharType="begin"/>
        </w:r>
        <w:r>
          <w:rPr>
            <w:noProof/>
            <w:webHidden/>
          </w:rPr>
          <w:instrText xml:space="preserve"> PAGEREF _Toc444761376 \h </w:instrText>
        </w:r>
        <w:r>
          <w:rPr>
            <w:noProof/>
            <w:webHidden/>
          </w:rPr>
        </w:r>
        <w:r>
          <w:rPr>
            <w:noProof/>
            <w:webHidden/>
          </w:rPr>
          <w:fldChar w:fldCharType="separate"/>
        </w:r>
        <w:r w:rsidR="00DD2570">
          <w:rPr>
            <w:noProof/>
            <w:webHidden/>
          </w:rPr>
          <w:t>5</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77" w:history="1">
        <w:r w:rsidRPr="00A62107">
          <w:rPr>
            <w:rStyle w:val="Hyperlink"/>
            <w:noProof/>
          </w:rPr>
          <w:t>Documents de l’UPOV et publication de l’information</w:t>
        </w:r>
        <w:r>
          <w:rPr>
            <w:noProof/>
            <w:webHidden/>
          </w:rPr>
          <w:tab/>
        </w:r>
        <w:r>
          <w:rPr>
            <w:noProof/>
            <w:webHidden/>
          </w:rPr>
          <w:fldChar w:fldCharType="begin"/>
        </w:r>
        <w:r>
          <w:rPr>
            <w:noProof/>
            <w:webHidden/>
          </w:rPr>
          <w:instrText xml:space="preserve"> PAGEREF _Toc444761377 \h </w:instrText>
        </w:r>
        <w:r>
          <w:rPr>
            <w:noProof/>
            <w:webHidden/>
          </w:rPr>
        </w:r>
        <w:r>
          <w:rPr>
            <w:noProof/>
            <w:webHidden/>
          </w:rPr>
          <w:fldChar w:fldCharType="separate"/>
        </w:r>
        <w:r w:rsidR="00DD2570">
          <w:rPr>
            <w:noProof/>
            <w:webHidden/>
          </w:rPr>
          <w:t>5</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78" w:history="1">
        <w:r w:rsidRPr="00A62107">
          <w:rPr>
            <w:rStyle w:val="Hyperlink"/>
            <w:noProof/>
          </w:rPr>
          <w:t>Collection UPOV</w:t>
        </w:r>
        <w:r>
          <w:rPr>
            <w:noProof/>
            <w:webHidden/>
          </w:rPr>
          <w:tab/>
        </w:r>
        <w:r>
          <w:rPr>
            <w:noProof/>
            <w:webHidden/>
          </w:rPr>
          <w:fldChar w:fldCharType="begin"/>
        </w:r>
        <w:r>
          <w:rPr>
            <w:noProof/>
            <w:webHidden/>
          </w:rPr>
          <w:instrText xml:space="preserve"> PAGEREF _Toc444761378 \h </w:instrText>
        </w:r>
        <w:r>
          <w:rPr>
            <w:noProof/>
            <w:webHidden/>
          </w:rPr>
        </w:r>
        <w:r>
          <w:rPr>
            <w:noProof/>
            <w:webHidden/>
          </w:rPr>
          <w:fldChar w:fldCharType="separate"/>
        </w:r>
        <w:r w:rsidR="00DD2570">
          <w:rPr>
            <w:noProof/>
            <w:webHidden/>
          </w:rPr>
          <w:t>6</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79" w:history="1">
        <w:r w:rsidRPr="00A62107">
          <w:rPr>
            <w:rStyle w:val="Hyperlink"/>
            <w:noProof/>
          </w:rPr>
          <w:t>Adoption de documents</w:t>
        </w:r>
        <w:r>
          <w:rPr>
            <w:noProof/>
            <w:webHidden/>
          </w:rPr>
          <w:tab/>
        </w:r>
        <w:r>
          <w:rPr>
            <w:noProof/>
            <w:webHidden/>
          </w:rPr>
          <w:fldChar w:fldCharType="begin"/>
        </w:r>
        <w:r>
          <w:rPr>
            <w:noProof/>
            <w:webHidden/>
          </w:rPr>
          <w:instrText xml:space="preserve"> PAGEREF _Toc444761379 \h </w:instrText>
        </w:r>
        <w:r>
          <w:rPr>
            <w:noProof/>
            <w:webHidden/>
          </w:rPr>
        </w:r>
        <w:r>
          <w:rPr>
            <w:noProof/>
            <w:webHidden/>
          </w:rPr>
          <w:fldChar w:fldCharType="separate"/>
        </w:r>
        <w:r w:rsidR="00DD2570">
          <w:rPr>
            <w:noProof/>
            <w:webHidden/>
          </w:rPr>
          <w:t>6</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80" w:history="1">
        <w:r w:rsidRPr="00A62107">
          <w:rPr>
            <w:rStyle w:val="Hyperlink"/>
            <w:noProof/>
          </w:rPr>
          <w:t>Programme d’élaboration de notes explicatives sur la Convention UPOV</w:t>
        </w:r>
        <w:r>
          <w:rPr>
            <w:noProof/>
            <w:webHidden/>
          </w:rPr>
          <w:tab/>
        </w:r>
        <w:r>
          <w:rPr>
            <w:noProof/>
            <w:webHidden/>
          </w:rPr>
          <w:fldChar w:fldCharType="begin"/>
        </w:r>
        <w:r>
          <w:rPr>
            <w:noProof/>
            <w:webHidden/>
          </w:rPr>
          <w:instrText xml:space="preserve"> PAGEREF _Toc444761380 \h </w:instrText>
        </w:r>
        <w:r>
          <w:rPr>
            <w:noProof/>
            <w:webHidden/>
          </w:rPr>
        </w:r>
        <w:r>
          <w:rPr>
            <w:noProof/>
            <w:webHidden/>
          </w:rPr>
          <w:fldChar w:fldCharType="separate"/>
        </w:r>
        <w:r w:rsidR="00DD2570">
          <w:rPr>
            <w:noProof/>
            <w:webHidden/>
          </w:rPr>
          <w:t>7</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81" w:history="1">
        <w:r w:rsidRPr="00A62107">
          <w:rPr>
            <w:rStyle w:val="Hyperlink"/>
            <w:noProof/>
          </w:rPr>
          <w:t>PUBLICATIONS, activitÉs et FORMATION</w:t>
        </w:r>
        <w:r>
          <w:rPr>
            <w:noProof/>
            <w:webHidden/>
          </w:rPr>
          <w:tab/>
        </w:r>
        <w:r>
          <w:rPr>
            <w:noProof/>
            <w:webHidden/>
          </w:rPr>
          <w:fldChar w:fldCharType="begin"/>
        </w:r>
        <w:r>
          <w:rPr>
            <w:noProof/>
            <w:webHidden/>
          </w:rPr>
          <w:instrText xml:space="preserve"> PAGEREF _Toc444761381 \h </w:instrText>
        </w:r>
        <w:r>
          <w:rPr>
            <w:noProof/>
            <w:webHidden/>
          </w:rPr>
        </w:r>
        <w:r>
          <w:rPr>
            <w:noProof/>
            <w:webHidden/>
          </w:rPr>
          <w:fldChar w:fldCharType="separate"/>
        </w:r>
        <w:r w:rsidR="00DD2570">
          <w:rPr>
            <w:noProof/>
            <w:webHidden/>
          </w:rPr>
          <w:t>7</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82" w:history="1">
        <w:r w:rsidRPr="00A62107">
          <w:rPr>
            <w:rStyle w:val="Hyperlink"/>
            <w:noProof/>
          </w:rPr>
          <w:t>Stratégie de communication</w:t>
        </w:r>
        <w:r>
          <w:rPr>
            <w:noProof/>
            <w:webHidden/>
          </w:rPr>
          <w:tab/>
        </w:r>
        <w:r>
          <w:rPr>
            <w:noProof/>
            <w:webHidden/>
          </w:rPr>
          <w:fldChar w:fldCharType="begin"/>
        </w:r>
        <w:r>
          <w:rPr>
            <w:noProof/>
            <w:webHidden/>
          </w:rPr>
          <w:instrText xml:space="preserve"> PAGEREF _Toc444761382 \h </w:instrText>
        </w:r>
        <w:r>
          <w:rPr>
            <w:noProof/>
            <w:webHidden/>
          </w:rPr>
        </w:r>
        <w:r>
          <w:rPr>
            <w:noProof/>
            <w:webHidden/>
          </w:rPr>
          <w:fldChar w:fldCharType="separate"/>
        </w:r>
        <w:r w:rsidR="00DD2570">
          <w:rPr>
            <w:noProof/>
            <w:webHidden/>
          </w:rPr>
          <w:t>7</w:t>
        </w:r>
        <w:r>
          <w:rPr>
            <w:noProof/>
            <w:webHidden/>
          </w:rPr>
          <w:fldChar w:fldCharType="end"/>
        </w:r>
      </w:hyperlink>
    </w:p>
    <w:p w:rsidR="00161CAB" w:rsidRDefault="00161CAB">
      <w:pPr>
        <w:pStyle w:val="TOC2"/>
        <w:rPr>
          <w:rFonts w:asciiTheme="minorHAnsi" w:eastAsiaTheme="minorEastAsia" w:hAnsiTheme="minorHAnsi" w:cstheme="minorBidi"/>
          <w:noProof/>
          <w:sz w:val="22"/>
          <w:szCs w:val="22"/>
        </w:rPr>
      </w:pPr>
      <w:hyperlink w:anchor="_Toc444761383" w:history="1">
        <w:r w:rsidRPr="00A62107">
          <w:rPr>
            <w:rStyle w:val="Hyperlink"/>
            <w:noProof/>
          </w:rPr>
          <w:t>Cours d’enseignement à distance</w:t>
        </w:r>
        <w:r>
          <w:rPr>
            <w:noProof/>
            <w:webHidden/>
          </w:rPr>
          <w:tab/>
        </w:r>
        <w:r>
          <w:rPr>
            <w:noProof/>
            <w:webHidden/>
          </w:rPr>
          <w:fldChar w:fldCharType="begin"/>
        </w:r>
        <w:r>
          <w:rPr>
            <w:noProof/>
            <w:webHidden/>
          </w:rPr>
          <w:instrText xml:space="preserve"> PAGEREF _Toc444761383 \h </w:instrText>
        </w:r>
        <w:r>
          <w:rPr>
            <w:noProof/>
            <w:webHidden/>
          </w:rPr>
        </w:r>
        <w:r>
          <w:rPr>
            <w:noProof/>
            <w:webHidden/>
          </w:rPr>
          <w:fldChar w:fldCharType="separate"/>
        </w:r>
        <w:r w:rsidR="00DD2570">
          <w:rPr>
            <w:noProof/>
            <w:webHidden/>
          </w:rPr>
          <w:t>8</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84" w:history="1">
        <w:r w:rsidRPr="00A62107">
          <w:rPr>
            <w:rStyle w:val="Hyperlink"/>
            <w:noProof/>
          </w:rPr>
          <w:t>SYSTÈME INTERNATIONAL DE COOPÉRATION (ISC)</w:t>
        </w:r>
        <w:r>
          <w:rPr>
            <w:noProof/>
            <w:webHidden/>
          </w:rPr>
          <w:tab/>
        </w:r>
        <w:r>
          <w:rPr>
            <w:noProof/>
            <w:webHidden/>
          </w:rPr>
          <w:fldChar w:fldCharType="begin"/>
        </w:r>
        <w:r>
          <w:rPr>
            <w:noProof/>
            <w:webHidden/>
          </w:rPr>
          <w:instrText xml:space="preserve"> PAGEREF _Toc444761384 \h </w:instrText>
        </w:r>
        <w:r>
          <w:rPr>
            <w:noProof/>
            <w:webHidden/>
          </w:rPr>
        </w:r>
        <w:r>
          <w:rPr>
            <w:noProof/>
            <w:webHidden/>
          </w:rPr>
          <w:fldChar w:fldCharType="separate"/>
        </w:r>
        <w:r w:rsidR="00DD2570">
          <w:rPr>
            <w:noProof/>
            <w:webHidden/>
          </w:rPr>
          <w:t>8</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85" w:history="1">
        <w:r w:rsidRPr="00A62107">
          <w:rPr>
            <w:rStyle w:val="Hyperlink"/>
            <w:noProof/>
          </w:rPr>
          <w:t>RAPPORT AVEC LE TRAITÉ INTERNATIONAL SUR LES RESSOURCES PHYTOGÉNÉTIQUES POUR L’ALIMENTATION ET L’AGRICULTURE (ITPGRFA)</w:t>
        </w:r>
        <w:r>
          <w:rPr>
            <w:noProof/>
            <w:webHidden/>
          </w:rPr>
          <w:tab/>
        </w:r>
        <w:r>
          <w:rPr>
            <w:noProof/>
            <w:webHidden/>
          </w:rPr>
          <w:fldChar w:fldCharType="begin"/>
        </w:r>
        <w:r>
          <w:rPr>
            <w:noProof/>
            <w:webHidden/>
          </w:rPr>
          <w:instrText xml:space="preserve"> PAGEREF _Toc444761385 \h </w:instrText>
        </w:r>
        <w:r>
          <w:rPr>
            <w:noProof/>
            <w:webHidden/>
          </w:rPr>
        </w:r>
        <w:r>
          <w:rPr>
            <w:noProof/>
            <w:webHidden/>
          </w:rPr>
          <w:fldChar w:fldCharType="separate"/>
        </w:r>
        <w:r w:rsidR="00DD2570">
          <w:rPr>
            <w:noProof/>
            <w:webHidden/>
          </w:rPr>
          <w:t>9</w:t>
        </w:r>
        <w:r>
          <w:rPr>
            <w:noProof/>
            <w:webHidden/>
          </w:rPr>
          <w:fldChar w:fldCharType="end"/>
        </w:r>
      </w:hyperlink>
    </w:p>
    <w:p w:rsidR="00161CAB" w:rsidRDefault="00161CAB">
      <w:pPr>
        <w:pStyle w:val="TOC1"/>
        <w:rPr>
          <w:rFonts w:asciiTheme="minorHAnsi" w:eastAsiaTheme="minorEastAsia" w:hAnsiTheme="minorHAnsi" w:cstheme="minorBidi"/>
          <w:caps w:val="0"/>
          <w:noProof/>
          <w:sz w:val="22"/>
          <w:szCs w:val="22"/>
        </w:rPr>
      </w:pPr>
      <w:hyperlink w:anchor="_Toc444761386" w:history="1">
        <w:r w:rsidRPr="00A62107">
          <w:rPr>
            <w:rStyle w:val="Hyperlink"/>
            <w:noProof/>
          </w:rPr>
          <w:t>PROJET MONDIAL SUR LES SEMENCES</w:t>
        </w:r>
        <w:r>
          <w:rPr>
            <w:noProof/>
            <w:webHidden/>
          </w:rPr>
          <w:tab/>
        </w:r>
        <w:r>
          <w:rPr>
            <w:noProof/>
            <w:webHidden/>
          </w:rPr>
          <w:fldChar w:fldCharType="begin"/>
        </w:r>
        <w:r>
          <w:rPr>
            <w:noProof/>
            <w:webHidden/>
          </w:rPr>
          <w:instrText xml:space="preserve"> PAGEREF _Toc444761386 \h </w:instrText>
        </w:r>
        <w:r>
          <w:rPr>
            <w:noProof/>
            <w:webHidden/>
          </w:rPr>
        </w:r>
        <w:r>
          <w:rPr>
            <w:noProof/>
            <w:webHidden/>
          </w:rPr>
          <w:fldChar w:fldCharType="separate"/>
        </w:r>
        <w:r w:rsidR="00DD2570">
          <w:rPr>
            <w:noProof/>
            <w:webHidden/>
          </w:rPr>
          <w:t>9</w:t>
        </w:r>
        <w:r>
          <w:rPr>
            <w:noProof/>
            <w:webHidden/>
          </w:rPr>
          <w:fldChar w:fldCharType="end"/>
        </w:r>
      </w:hyperlink>
    </w:p>
    <w:p w:rsidR="00677E0A" w:rsidRPr="009A6348" w:rsidRDefault="00B02D38" w:rsidP="00B02D38">
      <w:pPr>
        <w:rPr>
          <w:rFonts w:cs="Arial"/>
          <w:lang w:val="fr-FR"/>
        </w:rPr>
      </w:pPr>
      <w:r w:rsidRPr="009A6348">
        <w:rPr>
          <w:rFonts w:cs="Arial"/>
          <w:lang w:val="fr-FR"/>
        </w:rPr>
        <w:fldChar w:fldCharType="end"/>
      </w:r>
    </w:p>
    <w:p w:rsidR="00677E0A" w:rsidRPr="009A6348" w:rsidRDefault="00B02D38" w:rsidP="00B02D38">
      <w:pPr>
        <w:jc w:val="left"/>
        <w:rPr>
          <w:rFonts w:cs="Arial"/>
          <w:caps/>
          <w:lang w:val="fr-FR"/>
        </w:rPr>
      </w:pPr>
      <w:bookmarkStart w:id="4" w:name="_GoBack"/>
      <w:bookmarkEnd w:id="4"/>
      <w:r w:rsidRPr="009A6348">
        <w:rPr>
          <w:rFonts w:cs="Arial"/>
          <w:lang w:val="fr-FR"/>
        </w:rPr>
        <w:br w:type="page"/>
      </w:r>
    </w:p>
    <w:p w:rsidR="00677E0A" w:rsidRPr="009A6348" w:rsidRDefault="00677E0A" w:rsidP="009D2D58">
      <w:pPr>
        <w:pStyle w:val="Heading1"/>
      </w:pPr>
      <w:bookmarkStart w:id="5" w:name="_Toc444761363"/>
      <w:r w:rsidRPr="009A6348">
        <w:lastRenderedPageBreak/>
        <w:t>Composition</w:t>
      </w:r>
      <w:bookmarkEnd w:id="5"/>
    </w:p>
    <w:p w:rsidR="00677E0A" w:rsidRPr="009A6348" w:rsidRDefault="00677E0A" w:rsidP="00B02D38">
      <w:pPr>
        <w:rPr>
          <w:rFonts w:cs="Arial"/>
          <w:lang w:val="fr-FR"/>
        </w:rPr>
      </w:pPr>
    </w:p>
    <w:p w:rsidR="00677E0A" w:rsidRPr="009A6348" w:rsidRDefault="00677E0A" w:rsidP="00677E0A">
      <w:pPr>
        <w:pStyle w:val="Heading2"/>
        <w:rPr>
          <w:color w:val="auto"/>
        </w:rPr>
      </w:pPr>
      <w:bookmarkStart w:id="6" w:name="_Toc444761364"/>
      <w:r w:rsidRPr="009A6348">
        <w:rPr>
          <w:color w:val="auto"/>
        </w:rPr>
        <w:t>Membres de l</w:t>
      </w:r>
      <w:r w:rsidR="00003939" w:rsidRPr="009A6348">
        <w:rPr>
          <w:color w:val="auto"/>
        </w:rPr>
        <w:t>’</w:t>
      </w:r>
      <w:r w:rsidRPr="009A6348">
        <w:rPr>
          <w:color w:val="auto"/>
        </w:rPr>
        <w:t>Union</w:t>
      </w:r>
      <w:bookmarkEnd w:id="6"/>
    </w:p>
    <w:p w:rsidR="00677E0A" w:rsidRPr="009A6348" w:rsidRDefault="00677E0A" w:rsidP="00B02D38">
      <w:pPr>
        <w:rPr>
          <w:rFonts w:cs="Arial"/>
          <w:lang w:val="fr-FR"/>
        </w:rPr>
      </w:pPr>
    </w:p>
    <w:p w:rsidR="00677E0A" w:rsidRPr="009A6348" w:rsidRDefault="00E42331" w:rsidP="00E42331">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9B25DE" w:rsidRPr="009A6348">
        <w:rPr>
          <w:rFonts w:cs="Arial"/>
          <w:lang w:val="fr-FR"/>
        </w:rPr>
        <w:t xml:space="preserve">Le </w:t>
      </w:r>
      <w:r w:rsidRPr="009A6348">
        <w:rPr>
          <w:rFonts w:cs="Arial"/>
          <w:lang w:val="fr-FR"/>
        </w:rPr>
        <w:t>Mont</w:t>
      </w:r>
      <w:r w:rsidR="009B25DE" w:rsidRPr="009A6348">
        <w:rPr>
          <w:rFonts w:cs="Arial"/>
          <w:lang w:val="fr-FR"/>
        </w:rPr>
        <w:t>éné</w:t>
      </w:r>
      <w:r w:rsidRPr="009A6348">
        <w:rPr>
          <w:rFonts w:cs="Arial"/>
          <w:lang w:val="fr-FR"/>
        </w:rPr>
        <w:t xml:space="preserve">gro </w:t>
      </w:r>
      <w:r w:rsidR="009B25DE" w:rsidRPr="009A6348">
        <w:rPr>
          <w:rFonts w:cs="Arial"/>
          <w:lang w:val="fr-FR"/>
        </w:rPr>
        <w:t>a déposé le 2</w:t>
      </w:r>
      <w:r w:rsidR="009673A3" w:rsidRPr="009A6348">
        <w:rPr>
          <w:rFonts w:cs="Arial"/>
          <w:lang w:val="fr-FR"/>
        </w:rPr>
        <w:t>4 août 20</w:t>
      </w:r>
      <w:r w:rsidR="009B25DE" w:rsidRPr="009A6348">
        <w:rPr>
          <w:rFonts w:cs="Arial"/>
          <w:lang w:val="fr-FR"/>
        </w:rPr>
        <w:t>15 son instrument d</w:t>
      </w:r>
      <w:r w:rsidR="00003939" w:rsidRPr="009A6348">
        <w:rPr>
          <w:rFonts w:cs="Arial"/>
          <w:lang w:val="fr-FR"/>
        </w:rPr>
        <w:t>’</w:t>
      </w:r>
      <w:r w:rsidR="009B25DE" w:rsidRPr="009A6348">
        <w:rPr>
          <w:rFonts w:cs="Arial"/>
          <w:lang w:val="fr-FR"/>
        </w:rPr>
        <w:t xml:space="preserve">adhésion à la </w:t>
      </w:r>
      <w:r w:rsidR="00003939" w:rsidRPr="009A6348">
        <w:rPr>
          <w:rFonts w:cs="Arial"/>
          <w:lang w:val="fr-FR"/>
        </w:rPr>
        <w:t>Convention UPOV</w:t>
      </w:r>
      <w:r w:rsidR="009B25DE" w:rsidRPr="009A6348">
        <w:rPr>
          <w:rFonts w:cs="Arial"/>
          <w:lang w:val="fr-FR"/>
        </w:rPr>
        <w:t xml:space="preserve"> et est devenu le soixante</w:t>
      </w:r>
      <w:r w:rsidR="00BA2AFF" w:rsidRPr="009A6348">
        <w:rPr>
          <w:rFonts w:cs="Arial"/>
          <w:lang w:val="fr-FR"/>
        </w:rPr>
        <w:noBreakHyphen/>
      </w:r>
      <w:r w:rsidR="009B25DE" w:rsidRPr="009A6348">
        <w:rPr>
          <w:rFonts w:cs="Arial"/>
          <w:lang w:val="fr-FR"/>
        </w:rPr>
        <w:t>treizième membre de l</w:t>
      </w:r>
      <w:r w:rsidR="00003939" w:rsidRPr="009A6348">
        <w:rPr>
          <w:rFonts w:cs="Arial"/>
          <w:lang w:val="fr-FR"/>
        </w:rPr>
        <w:t>’</w:t>
      </w:r>
      <w:r w:rsidR="009B25DE" w:rsidRPr="009A6348">
        <w:rPr>
          <w:rFonts w:cs="Arial"/>
          <w:lang w:val="fr-FR"/>
        </w:rPr>
        <w:t>Union le 24 septembre 2015.</w:t>
      </w:r>
    </w:p>
    <w:p w:rsidR="00677E0A" w:rsidRPr="009A6348" w:rsidRDefault="00677E0A" w:rsidP="00E42331">
      <w:pPr>
        <w:rPr>
          <w:rFonts w:cs="Arial"/>
          <w:lang w:val="fr-FR"/>
        </w:rPr>
      </w:pPr>
    </w:p>
    <w:p w:rsidR="00677E0A" w:rsidRPr="009A6348" w:rsidRDefault="00E42331" w:rsidP="00E42331">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C952CF" w:rsidRPr="009A6348">
        <w:rPr>
          <w:rFonts w:cs="Arial"/>
          <w:lang w:val="fr-FR"/>
        </w:rPr>
        <w:t>La République</w:t>
      </w:r>
      <w:r w:rsidR="00BA2AFF" w:rsidRPr="009A6348">
        <w:rPr>
          <w:rFonts w:cs="Arial"/>
          <w:lang w:val="fr-FR"/>
        </w:rPr>
        <w:noBreakHyphen/>
      </w:r>
      <w:r w:rsidR="00C952CF" w:rsidRPr="009A6348">
        <w:rPr>
          <w:rFonts w:cs="Arial"/>
          <w:lang w:val="fr-FR"/>
        </w:rPr>
        <w:t>Unie de Tanzanie a déposé le 2</w:t>
      </w:r>
      <w:r w:rsidR="009673A3" w:rsidRPr="009A6348">
        <w:rPr>
          <w:rFonts w:cs="Arial"/>
          <w:lang w:val="fr-FR"/>
        </w:rPr>
        <w:t>2 octobre 20</w:t>
      </w:r>
      <w:r w:rsidR="00C952CF" w:rsidRPr="009A6348">
        <w:rPr>
          <w:rFonts w:cs="Arial"/>
          <w:lang w:val="fr-FR"/>
        </w:rPr>
        <w:t>15 son instrument d</w:t>
      </w:r>
      <w:r w:rsidR="00003939" w:rsidRPr="009A6348">
        <w:rPr>
          <w:rFonts w:cs="Arial"/>
          <w:lang w:val="fr-FR"/>
        </w:rPr>
        <w:t>’</w:t>
      </w:r>
      <w:r w:rsidR="009B25DE" w:rsidRPr="009A6348">
        <w:rPr>
          <w:rFonts w:cs="Arial"/>
          <w:lang w:val="fr-FR"/>
        </w:rPr>
        <w:t xml:space="preserve">adhésion à la </w:t>
      </w:r>
      <w:r w:rsidR="00003939" w:rsidRPr="009A6348">
        <w:rPr>
          <w:rFonts w:cs="Arial"/>
          <w:lang w:val="fr-FR"/>
        </w:rPr>
        <w:t>Convention UPOV</w:t>
      </w:r>
      <w:r w:rsidR="009B25DE" w:rsidRPr="009A6348">
        <w:rPr>
          <w:rFonts w:cs="Arial"/>
          <w:lang w:val="fr-FR"/>
        </w:rPr>
        <w:t xml:space="preserve"> e</w:t>
      </w:r>
      <w:r w:rsidR="00C952CF" w:rsidRPr="009A6348">
        <w:rPr>
          <w:rFonts w:cs="Arial"/>
          <w:lang w:val="fr-FR"/>
        </w:rPr>
        <w:t xml:space="preserve">t est devenue le </w:t>
      </w:r>
      <w:r w:rsidR="009B25DE" w:rsidRPr="009A6348">
        <w:rPr>
          <w:rFonts w:cs="Arial"/>
          <w:lang w:val="fr-FR"/>
        </w:rPr>
        <w:t>soixante</w:t>
      </w:r>
      <w:r w:rsidR="00BA2AFF" w:rsidRPr="009A6348">
        <w:rPr>
          <w:rFonts w:cs="Arial"/>
          <w:lang w:val="fr-FR"/>
        </w:rPr>
        <w:noBreakHyphen/>
      </w:r>
      <w:r w:rsidR="009B25DE" w:rsidRPr="009A6348">
        <w:rPr>
          <w:rFonts w:cs="Arial"/>
          <w:lang w:val="fr-FR"/>
        </w:rPr>
        <w:t>quatorzième membre de l</w:t>
      </w:r>
      <w:r w:rsidR="00003939" w:rsidRPr="009A6348">
        <w:rPr>
          <w:rFonts w:cs="Arial"/>
          <w:lang w:val="fr-FR"/>
        </w:rPr>
        <w:t>’</w:t>
      </w:r>
      <w:r w:rsidR="009B25DE" w:rsidRPr="009A6348">
        <w:rPr>
          <w:rFonts w:cs="Arial"/>
          <w:lang w:val="fr-FR"/>
        </w:rPr>
        <w:t>Union le 22 </w:t>
      </w:r>
      <w:r w:rsidR="00943CF7" w:rsidRPr="009A6348">
        <w:rPr>
          <w:rFonts w:cs="Arial"/>
          <w:lang w:val="fr-FR"/>
        </w:rPr>
        <w:t>novembre</w:t>
      </w:r>
      <w:r w:rsidR="009B25DE" w:rsidRPr="009A6348">
        <w:rPr>
          <w:rFonts w:cs="Arial"/>
          <w:lang w:val="fr-FR"/>
        </w:rPr>
        <w:t> 2015.</w:t>
      </w:r>
    </w:p>
    <w:p w:rsidR="00677E0A" w:rsidRPr="009A6348" w:rsidRDefault="00677E0A" w:rsidP="00E42331">
      <w:pPr>
        <w:rPr>
          <w:rFonts w:cs="Arial"/>
          <w:lang w:val="fr-FR"/>
        </w:rPr>
      </w:pPr>
    </w:p>
    <w:p w:rsidR="00677E0A" w:rsidRPr="009A6348" w:rsidRDefault="00E42331" w:rsidP="00E42331">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t>A</w:t>
      </w:r>
      <w:r w:rsidR="00620C36" w:rsidRPr="009A6348">
        <w:rPr>
          <w:rFonts w:cs="Arial"/>
          <w:lang w:val="fr-FR"/>
        </w:rPr>
        <w:t xml:space="preserve">u </w:t>
      </w:r>
      <w:r w:rsidRPr="009A6348">
        <w:rPr>
          <w:rFonts w:cs="Arial"/>
          <w:lang w:val="fr-FR"/>
        </w:rPr>
        <w:t>1</w:t>
      </w:r>
      <w:r w:rsidR="00620C36" w:rsidRPr="009A6348">
        <w:rPr>
          <w:rFonts w:cs="Arial"/>
          <w:vertAlign w:val="superscript"/>
          <w:lang w:val="fr-FR"/>
        </w:rPr>
        <w:t>er</w:t>
      </w:r>
      <w:r w:rsidR="00620C36" w:rsidRPr="009A6348">
        <w:rPr>
          <w:rFonts w:cs="Arial"/>
          <w:lang w:val="fr-FR"/>
        </w:rPr>
        <w:t> </w:t>
      </w:r>
      <w:r w:rsidR="00003939" w:rsidRPr="009A6348">
        <w:rPr>
          <w:rFonts w:cs="Arial"/>
          <w:lang w:val="fr-FR"/>
        </w:rPr>
        <w:t>mars 20</w:t>
      </w:r>
      <w:r w:rsidRPr="009A6348">
        <w:rPr>
          <w:rFonts w:cs="Arial"/>
          <w:lang w:val="fr-FR"/>
        </w:rPr>
        <w:t xml:space="preserve">16, </w:t>
      </w:r>
      <w:r w:rsidR="00620C36" w:rsidRPr="009A6348">
        <w:rPr>
          <w:rFonts w:cs="Arial"/>
          <w:lang w:val="fr-FR"/>
        </w:rPr>
        <w:t>les membres de l</w:t>
      </w:r>
      <w:r w:rsidR="00003939" w:rsidRPr="009A6348">
        <w:rPr>
          <w:rFonts w:cs="Arial"/>
          <w:lang w:val="fr-FR"/>
        </w:rPr>
        <w:t>’</w:t>
      </w:r>
      <w:r w:rsidRPr="009A6348">
        <w:rPr>
          <w:rFonts w:cs="Arial"/>
          <w:lang w:val="fr-FR"/>
        </w:rPr>
        <w:t xml:space="preserve">UPOV </w:t>
      </w:r>
      <w:r w:rsidR="00620C36" w:rsidRPr="009A6348">
        <w:rPr>
          <w:rFonts w:cs="Arial"/>
          <w:lang w:val="fr-FR"/>
        </w:rPr>
        <w:t>étaient</w:t>
      </w:r>
      <w:r w:rsidR="00F24870" w:rsidRPr="009A6348">
        <w:rPr>
          <w:rFonts w:cs="Arial"/>
          <w:lang w:val="fr-FR"/>
        </w:rPr>
        <w:t xml:space="preserve"> les suivants</w:t>
      </w:r>
      <w:r w:rsidR="00620C36" w:rsidRPr="009A6348">
        <w:rPr>
          <w:rFonts w:cs="Arial"/>
          <w:lang w:val="fr-FR"/>
        </w:rPr>
        <w:t> </w:t>
      </w:r>
      <w:r w:rsidRPr="009A6348">
        <w:rPr>
          <w:rFonts w:cs="Arial"/>
          <w:lang w:val="fr-FR"/>
        </w:rPr>
        <w:t>:</w:t>
      </w:r>
    </w:p>
    <w:p w:rsidR="00677E0A" w:rsidRPr="009A6348" w:rsidRDefault="00677E0A" w:rsidP="00E42331">
      <w:pPr>
        <w:rPr>
          <w:rFonts w:cs="Arial"/>
          <w:lang w:val="fr-FR"/>
        </w:rPr>
      </w:pPr>
    </w:p>
    <w:p w:rsidR="00677E0A" w:rsidRPr="009A6348" w:rsidRDefault="00677E0A" w:rsidP="00677E0A">
      <w:pPr>
        <w:ind w:left="567" w:right="9"/>
        <w:rPr>
          <w:rFonts w:cs="Arial"/>
          <w:lang w:val="fr-FR"/>
        </w:rPr>
      </w:pPr>
      <w:r w:rsidRPr="009A6348">
        <w:rPr>
          <w:rFonts w:cs="Arial"/>
          <w:lang w:val="fr-FR"/>
        </w:rPr>
        <w:t>Albanie, Afrique du Sud, Allemagne, Argentine, Australie, Autriche, Azerbaïdjan, Bélarus, Belgique, Bolivie (État plurinational de), Brésil, Bulgarie, Canada, Chili, Chine, Colombie, Costa Rica, Croatie, Danemark, Équateur, Espagne, Estonie, États</w:t>
      </w:r>
      <w:r w:rsidR="00BA2AFF" w:rsidRPr="009A6348">
        <w:rPr>
          <w:rFonts w:cs="Arial"/>
          <w:lang w:val="fr-FR"/>
        </w:rPr>
        <w:noBreakHyphen/>
      </w:r>
      <w:r w:rsidRPr="009A6348">
        <w:rPr>
          <w:rFonts w:cs="Arial"/>
          <w:lang w:val="fr-FR"/>
        </w:rPr>
        <w:t>Unis d</w:t>
      </w:r>
      <w:r w:rsidR="00003939" w:rsidRPr="009A6348">
        <w:rPr>
          <w:rFonts w:cs="Arial"/>
          <w:lang w:val="fr-FR"/>
        </w:rPr>
        <w:t>’</w:t>
      </w:r>
      <w:r w:rsidRPr="009A6348">
        <w:rPr>
          <w:rFonts w:cs="Arial"/>
          <w:lang w:val="fr-FR"/>
        </w:rPr>
        <w:t>Amérique, ex</w:t>
      </w:r>
      <w:r w:rsidR="00BA2AFF" w:rsidRPr="009A6348">
        <w:rPr>
          <w:rFonts w:cs="Arial"/>
          <w:lang w:val="fr-FR"/>
        </w:rPr>
        <w:noBreakHyphen/>
      </w:r>
      <w:r w:rsidRPr="009A6348">
        <w:rPr>
          <w:rFonts w:cs="Arial"/>
          <w:lang w:val="fr-FR"/>
        </w:rPr>
        <w:t>République yougoslave de Macédoine, Fédération de Russie, Finlande, France, Géorgie, Hongrie, Irlande, Islande, Israël, Italie, Japon, Jordanie, Kenya, Kirghizistan, Lettonie, Lituanie, Maroc, Mexique, Monténégro, Nicaragua, Norvège, Nouvelle</w:t>
      </w:r>
      <w:r w:rsidR="00BA2AFF" w:rsidRPr="009A6348">
        <w:rPr>
          <w:rFonts w:cs="Arial"/>
          <w:lang w:val="fr-FR"/>
        </w:rPr>
        <w:noBreakHyphen/>
      </w:r>
      <w:r w:rsidRPr="009A6348">
        <w:rPr>
          <w:rFonts w:cs="Arial"/>
          <w:lang w:val="fr-FR"/>
        </w:rPr>
        <w:t>Zélande, Oman, Organisation africaine de la propriété intellectuelle, Ouzbékistan, Panama, Paraguay, Pays</w:t>
      </w:r>
      <w:r w:rsidR="00BA2AFF" w:rsidRPr="009A6348">
        <w:rPr>
          <w:rFonts w:cs="Arial"/>
          <w:lang w:val="fr-FR"/>
        </w:rPr>
        <w:noBreakHyphen/>
      </w:r>
      <w:r w:rsidRPr="009A6348">
        <w:rPr>
          <w:rFonts w:cs="Arial"/>
          <w:lang w:val="fr-FR"/>
        </w:rPr>
        <w:t xml:space="preserve">Bas, Pérou, Pologne, Portugal, République de Corée, République de Moldova, République dominicaine, République tchèque, </w:t>
      </w:r>
      <w:r w:rsidR="00FC0DB2" w:rsidRPr="009A6348">
        <w:rPr>
          <w:rFonts w:cs="Arial"/>
          <w:lang w:val="fr-FR"/>
        </w:rPr>
        <w:t>République</w:t>
      </w:r>
      <w:r w:rsidR="00BA2AFF" w:rsidRPr="009A6348">
        <w:rPr>
          <w:rFonts w:cs="Arial"/>
          <w:lang w:val="fr-FR"/>
        </w:rPr>
        <w:noBreakHyphen/>
      </w:r>
      <w:r w:rsidR="00FC0DB2" w:rsidRPr="009A6348">
        <w:rPr>
          <w:rFonts w:cs="Arial"/>
          <w:lang w:val="fr-FR"/>
        </w:rPr>
        <w:t xml:space="preserve">Unie de Tanzanie </w:t>
      </w:r>
      <w:r w:rsidRPr="009A6348">
        <w:rPr>
          <w:rFonts w:cs="Arial"/>
          <w:lang w:val="fr-FR"/>
        </w:rPr>
        <w:t>Roumanie, Royaume</w:t>
      </w:r>
      <w:r w:rsidR="00BA2AFF" w:rsidRPr="009A6348">
        <w:rPr>
          <w:rFonts w:cs="Arial"/>
          <w:lang w:val="fr-FR"/>
        </w:rPr>
        <w:noBreakHyphen/>
      </w:r>
      <w:r w:rsidRPr="009A6348">
        <w:rPr>
          <w:rFonts w:cs="Arial"/>
          <w:lang w:val="fr-FR"/>
        </w:rPr>
        <w:t>Uni, Serbie, Singapour, Slovaquie, Slovénie, Suède, Suisse, Trinité</w:t>
      </w:r>
      <w:r w:rsidR="00BA2AFF" w:rsidRPr="009A6348">
        <w:rPr>
          <w:rFonts w:cs="Arial"/>
          <w:lang w:val="fr-FR"/>
        </w:rPr>
        <w:noBreakHyphen/>
      </w:r>
      <w:r w:rsidRPr="009A6348">
        <w:rPr>
          <w:rFonts w:cs="Arial"/>
          <w:lang w:val="fr-FR"/>
        </w:rPr>
        <w:t>et</w:t>
      </w:r>
      <w:r w:rsidR="00BA2AFF" w:rsidRPr="009A6348">
        <w:rPr>
          <w:rFonts w:cs="Arial"/>
          <w:lang w:val="fr-FR"/>
        </w:rPr>
        <w:noBreakHyphen/>
      </w:r>
      <w:r w:rsidRPr="009A6348">
        <w:rPr>
          <w:rFonts w:cs="Arial"/>
          <w:lang w:val="fr-FR"/>
        </w:rPr>
        <w:t>Tobago, Tunisie, Turquie, Ukraine, Union européenne, Uruguay et Viet</w:t>
      </w:r>
      <w:r w:rsidR="007046A2" w:rsidRPr="009A6348">
        <w:rPr>
          <w:rFonts w:cs="Arial"/>
          <w:lang w:val="fr-FR"/>
        </w:rPr>
        <w:t> </w:t>
      </w:r>
      <w:r w:rsidRPr="009A6348">
        <w:rPr>
          <w:rFonts w:cs="Arial"/>
          <w:lang w:val="fr-FR"/>
        </w:rPr>
        <w:t>Nam</w:t>
      </w:r>
      <w:r w:rsidR="00FC0DB2" w:rsidRPr="009A6348">
        <w:rPr>
          <w:rFonts w:cs="Arial"/>
          <w:lang w:val="fr-FR"/>
        </w:rPr>
        <w:t>.</w:t>
      </w:r>
    </w:p>
    <w:p w:rsidR="00677E0A" w:rsidRPr="009A6348" w:rsidRDefault="00677E0A" w:rsidP="00B02D38">
      <w:pPr>
        <w:rPr>
          <w:rFonts w:cs="Arial"/>
          <w:lang w:val="fr-FR"/>
        </w:rPr>
      </w:pPr>
    </w:p>
    <w:p w:rsidR="00677E0A" w:rsidRPr="009A6348" w:rsidRDefault="00677E0A" w:rsidP="00677E0A">
      <w:pPr>
        <w:pStyle w:val="Heading2"/>
        <w:rPr>
          <w:color w:val="auto"/>
        </w:rPr>
      </w:pPr>
      <w:bookmarkStart w:id="7" w:name="_Toc444761365"/>
      <w:r w:rsidRPr="009A6348">
        <w:rPr>
          <w:color w:val="auto"/>
        </w:rPr>
        <w:t>Situation par rapport aux divers actes de la Convention</w:t>
      </w:r>
      <w:bookmarkEnd w:id="7"/>
    </w:p>
    <w:p w:rsidR="00677E0A" w:rsidRPr="009A6348" w:rsidRDefault="00677E0A" w:rsidP="00B02D38">
      <w:pPr>
        <w:keepNext/>
        <w:rPr>
          <w:rFonts w:cs="Arial"/>
          <w:lang w:val="fr-FR"/>
        </w:rPr>
      </w:pPr>
    </w:p>
    <w:p w:rsidR="00677E0A" w:rsidRPr="009A6348" w:rsidRDefault="00B35469" w:rsidP="00B35469">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DB549D" w:rsidRPr="009A6348">
        <w:rPr>
          <w:rFonts w:cs="Arial"/>
          <w:lang w:val="fr-FR"/>
        </w:rPr>
        <w:t>Le 19 </w:t>
      </w:r>
      <w:r w:rsidR="00003939" w:rsidRPr="009A6348">
        <w:rPr>
          <w:rFonts w:cs="Arial"/>
          <w:lang w:val="fr-FR"/>
        </w:rPr>
        <w:t>juin 20</w:t>
      </w:r>
      <w:r w:rsidR="00DB549D" w:rsidRPr="009A6348">
        <w:rPr>
          <w:rFonts w:cs="Arial"/>
          <w:lang w:val="fr-FR"/>
        </w:rPr>
        <w:t xml:space="preserve">15, le </w:t>
      </w:r>
      <w:r w:rsidRPr="009A6348">
        <w:rPr>
          <w:rFonts w:cs="Arial"/>
          <w:lang w:val="fr-FR"/>
        </w:rPr>
        <w:t xml:space="preserve">Canada, </w:t>
      </w:r>
      <w:r w:rsidR="00DB549D" w:rsidRPr="009A6348">
        <w:rPr>
          <w:rFonts w:cs="Arial"/>
          <w:lang w:val="fr-FR"/>
        </w:rPr>
        <w:t>qui était déjà membre de l</w:t>
      </w:r>
      <w:r w:rsidR="00003939" w:rsidRPr="009A6348">
        <w:rPr>
          <w:rFonts w:cs="Arial"/>
          <w:lang w:val="fr-FR"/>
        </w:rPr>
        <w:t>’</w:t>
      </w:r>
      <w:r w:rsidRPr="009A6348">
        <w:rPr>
          <w:rFonts w:cs="Arial"/>
          <w:lang w:val="fr-FR"/>
        </w:rPr>
        <w:t xml:space="preserve">UPOV, </w:t>
      </w:r>
      <w:r w:rsidR="00DB549D" w:rsidRPr="009A6348">
        <w:rPr>
          <w:rFonts w:cs="Arial"/>
          <w:lang w:val="fr-FR"/>
        </w:rPr>
        <w:t>a déposé son instrument d</w:t>
      </w:r>
      <w:r w:rsidR="00003939" w:rsidRPr="009A6348">
        <w:rPr>
          <w:rFonts w:cs="Arial"/>
          <w:lang w:val="fr-FR"/>
        </w:rPr>
        <w:t>’</w:t>
      </w:r>
      <w:r w:rsidR="00DB549D" w:rsidRPr="009A6348">
        <w:rPr>
          <w:rFonts w:cs="Arial"/>
          <w:lang w:val="fr-FR"/>
        </w:rPr>
        <w:t>accession à l</w:t>
      </w:r>
      <w:r w:rsidR="00003939" w:rsidRPr="009A6348">
        <w:rPr>
          <w:rFonts w:cs="Arial"/>
          <w:lang w:val="fr-FR"/>
        </w:rPr>
        <w:t>’</w:t>
      </w:r>
      <w:r w:rsidR="00DB549D" w:rsidRPr="009A6348">
        <w:rPr>
          <w:rFonts w:cs="Arial"/>
          <w:lang w:val="fr-FR"/>
        </w:rPr>
        <w:t>Acte de</w:t>
      </w:r>
      <w:r w:rsidR="003E77D0" w:rsidRPr="009A6348">
        <w:rPr>
          <w:rFonts w:cs="Arial"/>
          <w:lang w:val="fr-FR"/>
        </w:rPr>
        <w:t> </w:t>
      </w:r>
      <w:r w:rsidR="00DB549D" w:rsidRPr="009A6348">
        <w:rPr>
          <w:rFonts w:cs="Arial"/>
          <w:lang w:val="fr-FR"/>
        </w:rPr>
        <w:t>1991 de la Convention internationale pour la protection des obtentions végétales</w:t>
      </w:r>
      <w:r w:rsidRPr="009A6348">
        <w:rPr>
          <w:rFonts w:cs="Arial"/>
          <w:lang w:val="fr-FR"/>
        </w:rPr>
        <w:t>.</w:t>
      </w:r>
    </w:p>
    <w:p w:rsidR="00677E0A" w:rsidRPr="009A6348" w:rsidRDefault="00677E0A" w:rsidP="00B35469">
      <w:pPr>
        <w:rPr>
          <w:rFonts w:cs="Arial"/>
          <w:lang w:val="fr-FR"/>
        </w:rPr>
      </w:pPr>
    </w:p>
    <w:p w:rsidR="00677E0A" w:rsidRPr="009A6348" w:rsidRDefault="00E42331" w:rsidP="00B02D38">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002A71B1" w:rsidRPr="009A6348">
        <w:rPr>
          <w:rFonts w:cs="Arial"/>
          <w:lang w:val="fr-FR"/>
        </w:rPr>
        <w:tab/>
        <w:t xml:space="preserve">Au </w:t>
      </w:r>
      <w:r w:rsidR="009673A3" w:rsidRPr="009A6348">
        <w:rPr>
          <w:rFonts w:cs="Arial"/>
          <w:lang w:val="fr-FR"/>
        </w:rPr>
        <w:t>1</w:t>
      </w:r>
      <w:r w:rsidR="009673A3" w:rsidRPr="009A6348">
        <w:rPr>
          <w:rFonts w:cs="Arial"/>
          <w:vertAlign w:val="superscript"/>
          <w:lang w:val="fr-FR"/>
        </w:rPr>
        <w:t>er</w:t>
      </w:r>
      <w:r w:rsidR="009673A3" w:rsidRPr="009A6348">
        <w:rPr>
          <w:rFonts w:cs="Arial"/>
          <w:lang w:val="fr-FR"/>
        </w:rPr>
        <w:t> </w:t>
      </w:r>
      <w:r w:rsidR="002A71B1" w:rsidRPr="009A6348">
        <w:rPr>
          <w:rFonts w:cs="Arial"/>
          <w:lang w:val="fr-FR"/>
        </w:rPr>
        <w:t>mars </w:t>
      </w:r>
      <w:r w:rsidRPr="009A6348">
        <w:rPr>
          <w:rFonts w:cs="Arial"/>
          <w:lang w:val="fr-FR"/>
        </w:rPr>
        <w:t>2016</w:t>
      </w:r>
      <w:r w:rsidR="007046A2" w:rsidRPr="009A6348">
        <w:rPr>
          <w:rFonts w:cs="Arial"/>
          <w:lang w:val="fr-FR"/>
        </w:rPr>
        <w:t> </w:t>
      </w:r>
      <w:r w:rsidRPr="009A6348">
        <w:rPr>
          <w:rFonts w:cs="Arial"/>
          <w:lang w:val="fr-FR"/>
        </w:rPr>
        <w:t>:</w:t>
      </w:r>
    </w:p>
    <w:p w:rsidR="00677E0A" w:rsidRPr="009A6348" w:rsidRDefault="00677E0A" w:rsidP="00B02D38">
      <w:pPr>
        <w:rPr>
          <w:rFonts w:cs="Arial"/>
          <w:lang w:val="fr-FR"/>
        </w:rPr>
      </w:pPr>
    </w:p>
    <w:p w:rsidR="00677E0A" w:rsidRPr="009A6348" w:rsidRDefault="00E42331" w:rsidP="0054117A">
      <w:pPr>
        <w:pStyle w:val="ListParagraph"/>
        <w:numPr>
          <w:ilvl w:val="0"/>
          <w:numId w:val="13"/>
        </w:numPr>
        <w:rPr>
          <w:rFonts w:cs="Arial"/>
          <w:lang w:val="fr-FR"/>
        </w:rPr>
      </w:pPr>
      <w:r w:rsidRPr="009A6348">
        <w:rPr>
          <w:rFonts w:cs="Arial"/>
          <w:lang w:val="fr-FR"/>
        </w:rPr>
        <w:t xml:space="preserve">55 </w:t>
      </w:r>
      <w:r w:rsidR="0054117A" w:rsidRPr="009A6348">
        <w:rPr>
          <w:rFonts w:cs="Arial"/>
          <w:lang w:val="fr-FR"/>
        </w:rPr>
        <w:t>membres étaient liés par l</w:t>
      </w:r>
      <w:r w:rsidR="00003939" w:rsidRPr="009A6348">
        <w:rPr>
          <w:rFonts w:cs="Arial"/>
          <w:lang w:val="fr-FR"/>
        </w:rPr>
        <w:t>’</w:t>
      </w:r>
      <w:r w:rsidR="0054117A" w:rsidRPr="009A6348">
        <w:rPr>
          <w:rFonts w:cs="Arial"/>
          <w:lang w:val="fr-FR"/>
        </w:rPr>
        <w:t>Acte de</w:t>
      </w:r>
      <w:r w:rsidR="007046A2" w:rsidRPr="009A6348">
        <w:rPr>
          <w:rFonts w:cs="Arial"/>
          <w:lang w:val="fr-FR"/>
        </w:rPr>
        <w:t> </w:t>
      </w:r>
      <w:r w:rsidR="001D743D" w:rsidRPr="009A6348">
        <w:rPr>
          <w:rFonts w:cs="Arial"/>
          <w:lang w:val="fr-FR"/>
        </w:rPr>
        <w:t>1991</w:t>
      </w:r>
    </w:p>
    <w:p w:rsidR="00682280" w:rsidRPr="009A6348" w:rsidRDefault="00682280" w:rsidP="00682280">
      <w:pPr>
        <w:pStyle w:val="ListParagraph"/>
        <w:numPr>
          <w:ilvl w:val="0"/>
          <w:numId w:val="13"/>
        </w:numPr>
        <w:rPr>
          <w:rFonts w:cs="Arial"/>
          <w:lang w:val="fr-FR"/>
        </w:rPr>
      </w:pPr>
      <w:r w:rsidRPr="009A6348">
        <w:rPr>
          <w:rFonts w:cs="Arial"/>
          <w:lang w:val="fr-FR"/>
        </w:rPr>
        <w:t>18 membres étaient liés par l</w:t>
      </w:r>
      <w:r w:rsidR="00003939" w:rsidRPr="009A6348">
        <w:rPr>
          <w:rFonts w:cs="Arial"/>
          <w:lang w:val="fr-FR"/>
        </w:rPr>
        <w:t>’</w:t>
      </w:r>
      <w:r w:rsidRPr="009A6348">
        <w:rPr>
          <w:rFonts w:cs="Arial"/>
          <w:lang w:val="fr-FR"/>
        </w:rPr>
        <w:t>Acte de</w:t>
      </w:r>
      <w:r w:rsidR="007046A2" w:rsidRPr="009A6348">
        <w:rPr>
          <w:rFonts w:cs="Arial"/>
          <w:lang w:val="fr-FR"/>
        </w:rPr>
        <w:t> </w:t>
      </w:r>
      <w:r w:rsidRPr="009A6348">
        <w:rPr>
          <w:rFonts w:cs="Arial"/>
          <w:lang w:val="fr-FR"/>
        </w:rPr>
        <w:t>1978</w:t>
      </w:r>
    </w:p>
    <w:p w:rsidR="009673A3" w:rsidRPr="009A6348" w:rsidRDefault="00677E0A" w:rsidP="00682280">
      <w:pPr>
        <w:pStyle w:val="ListParagraph"/>
        <w:numPr>
          <w:ilvl w:val="0"/>
          <w:numId w:val="13"/>
        </w:numPr>
        <w:rPr>
          <w:rFonts w:cs="Arial"/>
          <w:lang w:val="fr-FR"/>
        </w:rPr>
      </w:pPr>
      <w:r w:rsidRPr="009A6348">
        <w:rPr>
          <w:rFonts w:cs="Arial"/>
          <w:lang w:val="fr-FR"/>
        </w:rPr>
        <w:t>un membre était lié par la Convention de</w:t>
      </w:r>
      <w:r w:rsidR="007046A2" w:rsidRPr="009A6348">
        <w:rPr>
          <w:rFonts w:cs="Arial"/>
          <w:lang w:val="fr-FR"/>
        </w:rPr>
        <w:t> </w:t>
      </w:r>
      <w:r w:rsidRPr="009A6348">
        <w:rPr>
          <w:rFonts w:cs="Arial"/>
          <w:lang w:val="fr-FR"/>
        </w:rPr>
        <w:t>1961 modifiée par l</w:t>
      </w:r>
      <w:r w:rsidR="00003939" w:rsidRPr="009A6348">
        <w:rPr>
          <w:rFonts w:cs="Arial"/>
          <w:lang w:val="fr-FR"/>
        </w:rPr>
        <w:t>’</w:t>
      </w:r>
      <w:r w:rsidRPr="009A6348">
        <w:rPr>
          <w:rFonts w:cs="Arial"/>
          <w:lang w:val="fr-FR"/>
        </w:rPr>
        <w:t>Acte de</w:t>
      </w:r>
      <w:r w:rsidR="007046A2" w:rsidRPr="009A6348">
        <w:rPr>
          <w:rFonts w:cs="Arial"/>
          <w:lang w:val="fr-FR"/>
        </w:rPr>
        <w:t> </w:t>
      </w:r>
      <w:r w:rsidRPr="009A6348">
        <w:rPr>
          <w:rFonts w:cs="Arial"/>
          <w:lang w:val="fr-FR"/>
        </w:rPr>
        <w:t>1972;</w:t>
      </w:r>
    </w:p>
    <w:p w:rsidR="00677E0A" w:rsidRPr="009A6348" w:rsidRDefault="00677E0A" w:rsidP="00E42331">
      <w:pPr>
        <w:rPr>
          <w:rFonts w:cs="Arial"/>
          <w:lang w:val="fr-FR"/>
        </w:rPr>
      </w:pPr>
    </w:p>
    <w:p w:rsidR="00677E0A" w:rsidRPr="009A6348" w:rsidRDefault="00677E0A" w:rsidP="00677E0A">
      <w:pPr>
        <w:pStyle w:val="Heading2"/>
        <w:rPr>
          <w:color w:val="auto"/>
        </w:rPr>
      </w:pPr>
      <w:bookmarkStart w:id="8" w:name="_Toc444761366"/>
      <w:r w:rsidRPr="009A6348">
        <w:rPr>
          <w:color w:val="auto"/>
        </w:rPr>
        <w:t>Examen des lois</w:t>
      </w:r>
      <w:bookmarkEnd w:id="8"/>
    </w:p>
    <w:p w:rsidR="00677E0A" w:rsidRPr="009A6348" w:rsidRDefault="00677E0A" w:rsidP="00B02D38">
      <w:pPr>
        <w:keepNext/>
        <w:rPr>
          <w:rFonts w:cs="Arial"/>
          <w:lang w:val="fr-FR"/>
        </w:rPr>
      </w:pPr>
    </w:p>
    <w:p w:rsidR="00677E0A" w:rsidRPr="009A6348" w:rsidRDefault="00B35469" w:rsidP="00B35469">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00AB53AE" w:rsidRPr="009A6348">
        <w:rPr>
          <w:rFonts w:cs="Arial"/>
          <w:lang w:val="fr-FR"/>
        </w:rPr>
        <w:tab/>
        <w:t>À sa trente</w:t>
      </w:r>
      <w:r w:rsidR="00BA2AFF" w:rsidRPr="009A6348">
        <w:rPr>
          <w:rFonts w:cs="Arial"/>
          <w:lang w:val="fr-FR"/>
        </w:rPr>
        <w:noBreakHyphen/>
      </w:r>
      <w:r w:rsidR="00AB53AE" w:rsidRPr="009A6348">
        <w:rPr>
          <w:rFonts w:cs="Arial"/>
          <w:lang w:val="fr-FR"/>
        </w:rPr>
        <w:t>deuxième</w:t>
      </w:r>
      <w:r w:rsidR="007046A2" w:rsidRPr="009A6348">
        <w:rPr>
          <w:rFonts w:cs="Arial"/>
          <w:lang w:val="fr-FR"/>
        </w:rPr>
        <w:t> </w:t>
      </w:r>
      <w:r w:rsidR="00AB53AE" w:rsidRPr="009A6348">
        <w:rPr>
          <w:rFonts w:cs="Arial"/>
          <w:lang w:val="fr-FR"/>
        </w:rPr>
        <w:t>session extraordinaire tenue à Genève le 2</w:t>
      </w:r>
      <w:r w:rsidR="009673A3" w:rsidRPr="009A6348">
        <w:rPr>
          <w:rFonts w:cs="Arial"/>
          <w:lang w:val="fr-FR"/>
        </w:rPr>
        <w:t>7 mars 20</w:t>
      </w:r>
      <w:r w:rsidR="00AB53AE" w:rsidRPr="009A6348">
        <w:rPr>
          <w:rFonts w:cs="Arial"/>
          <w:lang w:val="fr-FR"/>
        </w:rPr>
        <w:t>15,</w:t>
      </w:r>
      <w:r w:rsidRPr="009A6348">
        <w:rPr>
          <w:rFonts w:cs="Arial"/>
          <w:snapToGrid w:val="0"/>
          <w:lang w:val="fr-FR"/>
        </w:rPr>
        <w:t xml:space="preserve"> </w:t>
      </w:r>
      <w:r w:rsidR="00AB53AE" w:rsidRPr="009A6348">
        <w:rPr>
          <w:rFonts w:cs="Arial"/>
          <w:snapToGrid w:val="0"/>
          <w:lang w:val="fr-FR"/>
        </w:rPr>
        <w:t>le Conseil a pris une décision positive sur la conformité du</w:t>
      </w:r>
      <w:r w:rsidRPr="009A6348">
        <w:rPr>
          <w:rFonts w:cs="Arial"/>
          <w:lang w:val="fr-FR"/>
        </w:rPr>
        <w:t xml:space="preserve"> “</w:t>
      </w:r>
      <w:r w:rsidR="003B5E4E" w:rsidRPr="009A6348">
        <w:rPr>
          <w:rFonts w:cs="Arial"/>
          <w:lang w:val="fr-FR"/>
        </w:rPr>
        <w:t>Projet de dispositions du titre</w:t>
      </w:r>
      <w:r w:rsidR="007046A2" w:rsidRPr="009A6348">
        <w:rPr>
          <w:rFonts w:cs="Arial"/>
          <w:lang w:val="fr-FR"/>
        </w:rPr>
        <w:t> </w:t>
      </w:r>
      <w:r w:rsidR="003B5E4E" w:rsidRPr="009A6348">
        <w:rPr>
          <w:rFonts w:cs="Arial"/>
          <w:lang w:val="fr-FR"/>
        </w:rPr>
        <w:t xml:space="preserve">IV </w:t>
      </w:r>
      <w:r w:rsidR="00003939" w:rsidRPr="009A6348">
        <w:rPr>
          <w:rFonts w:cs="Arial"/>
          <w:lang w:val="fr-FR"/>
        </w:rPr>
        <w:t>‘</w:t>
      </w:r>
      <w:r w:rsidR="003B5E4E" w:rsidRPr="009A6348">
        <w:rPr>
          <w:rFonts w:cs="Arial"/>
          <w:lang w:val="fr-FR"/>
        </w:rPr>
        <w:t>Obtentions végétales</w:t>
      </w:r>
      <w:r w:rsidR="00003939" w:rsidRPr="009A6348">
        <w:rPr>
          <w:rFonts w:cs="Arial"/>
          <w:lang w:val="fr-FR"/>
        </w:rPr>
        <w:t>’</w:t>
      </w:r>
      <w:r w:rsidR="003B5E4E" w:rsidRPr="009A6348">
        <w:rPr>
          <w:rFonts w:cs="Arial"/>
          <w:lang w:val="fr-FR"/>
        </w:rPr>
        <w:t xml:space="preserve"> de la loi n° 82 de</w:t>
      </w:r>
      <w:r w:rsidR="007046A2" w:rsidRPr="009A6348">
        <w:rPr>
          <w:rFonts w:cs="Arial"/>
          <w:lang w:val="fr-FR"/>
        </w:rPr>
        <w:t> </w:t>
      </w:r>
      <w:r w:rsidR="003B5E4E" w:rsidRPr="009A6348">
        <w:rPr>
          <w:rFonts w:cs="Arial"/>
          <w:lang w:val="fr-FR"/>
        </w:rPr>
        <w:t>2002 relative à la protection des droits de propriété intellectuelle” (projet de loi) de l</w:t>
      </w:r>
      <w:r w:rsidR="00003939" w:rsidRPr="009A6348">
        <w:rPr>
          <w:rFonts w:cs="Arial"/>
          <w:lang w:val="fr-FR"/>
        </w:rPr>
        <w:t>’</w:t>
      </w:r>
      <w:r w:rsidR="003B5E4E" w:rsidRPr="009A6348">
        <w:rPr>
          <w:rFonts w:cs="Arial"/>
          <w:lang w:val="fr-FR"/>
        </w:rPr>
        <w:t>Égypte avec l</w:t>
      </w:r>
      <w:r w:rsidR="00003939" w:rsidRPr="009A6348">
        <w:rPr>
          <w:rFonts w:cs="Arial"/>
          <w:lang w:val="fr-FR"/>
        </w:rPr>
        <w:t>’</w:t>
      </w:r>
      <w:r w:rsidR="003B5E4E" w:rsidRPr="009A6348">
        <w:rPr>
          <w:rFonts w:cs="Arial"/>
          <w:lang w:val="fr-FR"/>
        </w:rPr>
        <w:t>Acte de</w:t>
      </w:r>
      <w:r w:rsidR="007046A2" w:rsidRPr="009A6348">
        <w:rPr>
          <w:rFonts w:cs="Arial"/>
          <w:lang w:val="fr-FR"/>
        </w:rPr>
        <w:t> </w:t>
      </w:r>
      <w:r w:rsidR="003B5E4E" w:rsidRPr="009A6348">
        <w:rPr>
          <w:rFonts w:cs="Arial"/>
          <w:lang w:val="fr-FR"/>
        </w:rPr>
        <w:t>1991 de la Convention internationale pour la protection des obtentions végétales, ce qui permettra à l</w:t>
      </w:r>
      <w:r w:rsidR="00003939" w:rsidRPr="009A6348">
        <w:rPr>
          <w:rFonts w:cs="Arial"/>
          <w:lang w:val="fr-FR"/>
        </w:rPr>
        <w:t>’</w:t>
      </w:r>
      <w:r w:rsidR="003B5E4E" w:rsidRPr="009A6348">
        <w:rPr>
          <w:rFonts w:cs="Arial"/>
          <w:lang w:val="fr-FR"/>
        </w:rPr>
        <w:t>Égypte, une fois que le projet de loi aura été adopté sans changement et que la loi sera entrée en vigueur, de déposer son instrument d</w:t>
      </w:r>
      <w:r w:rsidR="00003939" w:rsidRPr="009A6348">
        <w:rPr>
          <w:rFonts w:cs="Arial"/>
          <w:lang w:val="fr-FR"/>
        </w:rPr>
        <w:t>’</w:t>
      </w:r>
      <w:r w:rsidR="003B5E4E" w:rsidRPr="009A6348">
        <w:rPr>
          <w:rFonts w:cs="Arial"/>
          <w:lang w:val="fr-FR"/>
        </w:rPr>
        <w:t>adhésion à l</w:t>
      </w:r>
      <w:r w:rsidR="00003939" w:rsidRPr="009A6348">
        <w:rPr>
          <w:rFonts w:cs="Arial"/>
          <w:lang w:val="fr-FR"/>
        </w:rPr>
        <w:t>’</w:t>
      </w:r>
      <w:r w:rsidR="003B5E4E" w:rsidRPr="009A6348">
        <w:rPr>
          <w:rFonts w:cs="Arial"/>
          <w:lang w:val="fr-FR"/>
        </w:rPr>
        <w:t>Acte de</w:t>
      </w:r>
      <w:r w:rsidR="003E77D0" w:rsidRPr="009A6348">
        <w:rPr>
          <w:rFonts w:cs="Arial"/>
          <w:lang w:val="fr-FR"/>
        </w:rPr>
        <w:t> </w:t>
      </w:r>
      <w:r w:rsidR="003B5E4E" w:rsidRPr="009A6348">
        <w:rPr>
          <w:rFonts w:cs="Arial"/>
          <w:lang w:val="fr-FR"/>
        </w:rPr>
        <w:t>19</w:t>
      </w:r>
      <w:r w:rsidR="00943CF7" w:rsidRPr="009A6348">
        <w:rPr>
          <w:rFonts w:cs="Arial"/>
          <w:lang w:val="fr-FR"/>
        </w:rPr>
        <w:t>91</w:t>
      </w:r>
      <w:r w:rsidRPr="009A6348">
        <w:rPr>
          <w:rFonts w:cs="Arial"/>
          <w:lang w:val="fr-FR"/>
        </w:rPr>
        <w:t>.</w:t>
      </w:r>
    </w:p>
    <w:p w:rsidR="00677E0A" w:rsidRPr="009A6348" w:rsidRDefault="00677E0A" w:rsidP="00B35469">
      <w:pPr>
        <w:rPr>
          <w:rFonts w:cs="Arial"/>
          <w:lang w:val="fr-FR"/>
        </w:rPr>
      </w:pPr>
    </w:p>
    <w:p w:rsidR="00677E0A" w:rsidRPr="009A6348" w:rsidRDefault="00EA4629" w:rsidP="00677E0A">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3B5E4E" w:rsidRPr="009A6348">
        <w:rPr>
          <w:rFonts w:cs="Arial"/>
          <w:lang w:val="fr-FR"/>
        </w:rPr>
        <w:t>À</w:t>
      </w:r>
      <w:r w:rsidR="0054117A" w:rsidRPr="009A6348">
        <w:rPr>
          <w:rFonts w:cs="Arial"/>
          <w:lang w:val="fr-FR"/>
        </w:rPr>
        <w:t xml:space="preserve"> sa quarante</w:t>
      </w:r>
      <w:r w:rsidR="00BA2AFF" w:rsidRPr="009A6348">
        <w:rPr>
          <w:rFonts w:cs="Arial"/>
          <w:lang w:val="fr-FR"/>
        </w:rPr>
        <w:noBreakHyphen/>
      </w:r>
      <w:r w:rsidR="0054117A" w:rsidRPr="009A6348">
        <w:rPr>
          <w:rFonts w:cs="Arial"/>
          <w:lang w:val="fr-FR"/>
        </w:rPr>
        <w:t>neuv</w:t>
      </w:r>
      <w:r w:rsidR="003B5E4E" w:rsidRPr="009A6348">
        <w:rPr>
          <w:rFonts w:cs="Arial"/>
          <w:lang w:val="fr-FR"/>
        </w:rPr>
        <w:t>ième</w:t>
      </w:r>
      <w:r w:rsidR="007046A2" w:rsidRPr="009A6348">
        <w:rPr>
          <w:rFonts w:cs="Arial"/>
          <w:lang w:val="fr-FR"/>
        </w:rPr>
        <w:t> </w:t>
      </w:r>
      <w:r w:rsidR="003B5E4E" w:rsidRPr="009A6348">
        <w:rPr>
          <w:rFonts w:cs="Arial"/>
          <w:lang w:val="fr-FR"/>
        </w:rPr>
        <w:t>session ordinaire tenue à G</w:t>
      </w:r>
      <w:r w:rsidR="0054117A" w:rsidRPr="009A6348">
        <w:rPr>
          <w:rFonts w:cs="Arial"/>
          <w:lang w:val="fr-FR"/>
        </w:rPr>
        <w:t>enève le 2</w:t>
      </w:r>
      <w:r w:rsidR="009673A3" w:rsidRPr="009A6348">
        <w:rPr>
          <w:rFonts w:cs="Arial"/>
          <w:lang w:val="fr-FR"/>
        </w:rPr>
        <w:t>9 octobre 20</w:t>
      </w:r>
      <w:r w:rsidR="0054117A" w:rsidRPr="009A6348">
        <w:rPr>
          <w:rFonts w:cs="Arial"/>
          <w:lang w:val="fr-FR"/>
        </w:rPr>
        <w:t>15, le Conseil a examiné la conformité</w:t>
      </w:r>
      <w:r w:rsidR="003B5E4E" w:rsidRPr="009A6348">
        <w:rPr>
          <w:rFonts w:cs="Arial"/>
          <w:lang w:val="fr-FR"/>
        </w:rPr>
        <w:t xml:space="preserve"> de la</w:t>
      </w:r>
      <w:r w:rsidRPr="009A6348">
        <w:rPr>
          <w:rFonts w:cs="Arial"/>
          <w:lang w:val="fr-FR"/>
        </w:rPr>
        <w:t xml:space="preserve"> “</w:t>
      </w:r>
      <w:r w:rsidR="0054117A" w:rsidRPr="009A6348">
        <w:rPr>
          <w:rFonts w:cs="Arial"/>
          <w:lang w:val="fr-FR"/>
        </w:rPr>
        <w:t>Loi sur l</w:t>
      </w:r>
      <w:r w:rsidR="00003939" w:rsidRPr="009A6348">
        <w:rPr>
          <w:rFonts w:cs="Arial"/>
          <w:lang w:val="fr-FR"/>
        </w:rPr>
        <w:t>’</w:t>
      </w:r>
      <w:r w:rsidR="0054117A" w:rsidRPr="009A6348">
        <w:rPr>
          <w:rFonts w:cs="Arial"/>
          <w:lang w:val="fr-FR"/>
        </w:rPr>
        <w:t>enregistrement des obtentions végétales et le contrôle et la certification des semences et du matériel végétal de</w:t>
      </w:r>
      <w:r w:rsidR="007046A2" w:rsidRPr="009A6348">
        <w:rPr>
          <w:rFonts w:cs="Arial"/>
          <w:lang w:val="fr-FR"/>
        </w:rPr>
        <w:t> </w:t>
      </w:r>
      <w:r w:rsidR="0054117A" w:rsidRPr="009A6348">
        <w:rPr>
          <w:rFonts w:cs="Arial"/>
          <w:lang w:val="fr-FR"/>
        </w:rPr>
        <w:t>2003</w:t>
      </w:r>
      <w:r w:rsidRPr="009A6348">
        <w:rPr>
          <w:rFonts w:cs="Arial"/>
          <w:lang w:val="fr-FR"/>
        </w:rPr>
        <w:t xml:space="preserve">” </w:t>
      </w:r>
      <w:r w:rsidR="0054117A" w:rsidRPr="009A6348">
        <w:rPr>
          <w:rFonts w:cs="Arial"/>
          <w:lang w:val="fr-FR"/>
        </w:rPr>
        <w:t>de la République islamique d</w:t>
      </w:r>
      <w:r w:rsidR="00003939" w:rsidRPr="009A6348">
        <w:rPr>
          <w:rFonts w:cs="Arial"/>
          <w:lang w:val="fr-FR"/>
        </w:rPr>
        <w:t>’</w:t>
      </w:r>
      <w:r w:rsidR="0054117A" w:rsidRPr="009A6348">
        <w:rPr>
          <w:rFonts w:cs="Arial"/>
          <w:lang w:val="fr-FR"/>
        </w:rPr>
        <w:t>Iran avec l</w:t>
      </w:r>
      <w:r w:rsidR="00003939" w:rsidRPr="009A6348">
        <w:rPr>
          <w:rFonts w:cs="Arial"/>
          <w:lang w:val="fr-FR"/>
        </w:rPr>
        <w:t>’</w:t>
      </w:r>
      <w:r w:rsidR="0054117A" w:rsidRPr="009A6348">
        <w:rPr>
          <w:rFonts w:cs="Arial"/>
          <w:lang w:val="fr-FR"/>
        </w:rPr>
        <w:t>Acte de</w:t>
      </w:r>
      <w:r w:rsidR="007046A2" w:rsidRPr="009A6348">
        <w:rPr>
          <w:rFonts w:cs="Arial"/>
          <w:lang w:val="fr-FR"/>
        </w:rPr>
        <w:t> </w:t>
      </w:r>
      <w:r w:rsidR="0054117A" w:rsidRPr="009A6348">
        <w:rPr>
          <w:rFonts w:cs="Arial"/>
          <w:lang w:val="fr-FR"/>
        </w:rPr>
        <w:t xml:space="preserve">1991 de la </w:t>
      </w:r>
      <w:r w:rsidR="00003939" w:rsidRPr="009A6348">
        <w:rPr>
          <w:rFonts w:cs="Arial"/>
          <w:lang w:val="fr-FR"/>
        </w:rPr>
        <w:t>Convention UPOV</w:t>
      </w:r>
      <w:r w:rsidRPr="009A6348">
        <w:rPr>
          <w:rFonts w:cs="Arial"/>
          <w:lang w:val="fr-FR"/>
        </w:rPr>
        <w:t xml:space="preserve">.  </w:t>
      </w:r>
      <w:r w:rsidR="00677E0A" w:rsidRPr="009A6348">
        <w:rPr>
          <w:rFonts w:cs="Arial"/>
          <w:lang w:val="fr-FR"/>
        </w:rPr>
        <w:t>Le Conseil a recommandé que la République islamique d</w:t>
      </w:r>
      <w:r w:rsidR="00003939" w:rsidRPr="009A6348">
        <w:rPr>
          <w:rFonts w:cs="Arial"/>
          <w:lang w:val="fr-FR"/>
        </w:rPr>
        <w:t>’</w:t>
      </w:r>
      <w:r w:rsidR="00677E0A" w:rsidRPr="009A6348">
        <w:rPr>
          <w:rFonts w:cs="Arial"/>
          <w:lang w:val="fr-FR"/>
        </w:rPr>
        <w:t>Iran incorpore certaines dispositions supplémentaires et modifications dans la “Loi sur l</w:t>
      </w:r>
      <w:r w:rsidR="00003939" w:rsidRPr="009A6348">
        <w:rPr>
          <w:rFonts w:cs="Arial"/>
          <w:lang w:val="fr-FR"/>
        </w:rPr>
        <w:t>’</w:t>
      </w:r>
      <w:r w:rsidR="00677E0A" w:rsidRPr="009A6348">
        <w:rPr>
          <w:rFonts w:cs="Arial"/>
          <w:lang w:val="fr-FR"/>
        </w:rPr>
        <w:t>enregistrement des obtentions végétales et le contrôle et la certification des semences et du matériel végétal de</w:t>
      </w:r>
      <w:r w:rsidR="007046A2" w:rsidRPr="009A6348">
        <w:rPr>
          <w:rFonts w:cs="Arial"/>
          <w:lang w:val="fr-FR"/>
        </w:rPr>
        <w:t> </w:t>
      </w:r>
      <w:r w:rsidR="00677E0A" w:rsidRPr="009A6348">
        <w:rPr>
          <w:rFonts w:cs="Arial"/>
          <w:lang w:val="fr-FR"/>
        </w:rPr>
        <w:t>2003” et a recommandé que, dès que ces dispositions supplémentaires et ces modifications auront été incorporées dans la loi, la loi ainsi modifiée soit soumise au Conseil pour examen, conformément à l</w:t>
      </w:r>
      <w:r w:rsidR="00003939" w:rsidRPr="009A6348">
        <w:rPr>
          <w:rFonts w:cs="Arial"/>
          <w:lang w:val="fr-FR"/>
        </w:rPr>
        <w:t>’</w:t>
      </w:r>
      <w:r w:rsidR="00677E0A" w:rsidRPr="009A6348">
        <w:rPr>
          <w:rFonts w:cs="Arial"/>
          <w:lang w:val="fr-FR"/>
        </w:rPr>
        <w:t>article</w:t>
      </w:r>
      <w:r w:rsidR="007046A2" w:rsidRPr="009A6348">
        <w:rPr>
          <w:rFonts w:cs="Arial"/>
          <w:lang w:val="fr-FR"/>
        </w:rPr>
        <w:t> </w:t>
      </w:r>
      <w:r w:rsidR="00677E0A" w:rsidRPr="009A6348">
        <w:rPr>
          <w:rFonts w:cs="Arial"/>
          <w:lang w:val="fr-FR"/>
        </w:rPr>
        <w:t>34,3) de l</w:t>
      </w:r>
      <w:r w:rsidR="00003939" w:rsidRPr="009A6348">
        <w:rPr>
          <w:rFonts w:cs="Arial"/>
          <w:lang w:val="fr-FR"/>
        </w:rPr>
        <w:t>’</w:t>
      </w:r>
      <w:r w:rsidR="00677E0A" w:rsidRPr="009A6348">
        <w:rPr>
          <w:rFonts w:cs="Arial"/>
          <w:lang w:val="fr-FR"/>
        </w:rPr>
        <w:t>Acte de</w:t>
      </w:r>
      <w:r w:rsidR="007046A2" w:rsidRPr="009A6348">
        <w:rPr>
          <w:rFonts w:cs="Arial"/>
          <w:lang w:val="fr-FR"/>
        </w:rPr>
        <w:t> </w:t>
      </w:r>
      <w:r w:rsidR="00677E0A" w:rsidRPr="009A6348">
        <w:rPr>
          <w:rFonts w:cs="Arial"/>
          <w:lang w:val="fr-FR"/>
        </w:rPr>
        <w:t>1991</w:t>
      </w:r>
      <w:r w:rsidR="00943CF7" w:rsidRPr="009A6348">
        <w:rPr>
          <w:rFonts w:cs="Arial"/>
          <w:lang w:val="fr-FR"/>
        </w:rPr>
        <w:t>.</w:t>
      </w:r>
    </w:p>
    <w:p w:rsidR="00677E0A" w:rsidRPr="009A6348" w:rsidRDefault="00677E0A" w:rsidP="00EA4629">
      <w:pPr>
        <w:rPr>
          <w:rFonts w:cs="Arial"/>
          <w:lang w:val="fr-FR"/>
        </w:rPr>
      </w:pPr>
    </w:p>
    <w:p w:rsidR="00677E0A" w:rsidRPr="009A6348" w:rsidRDefault="00677E0A" w:rsidP="00B02D38">
      <w:pPr>
        <w:rPr>
          <w:rFonts w:cs="Arial"/>
          <w:lang w:val="fr-FR"/>
        </w:rPr>
      </w:pPr>
    </w:p>
    <w:p w:rsidR="00677E0A" w:rsidRPr="009A6348" w:rsidRDefault="00677E0A" w:rsidP="009D2D58">
      <w:pPr>
        <w:pStyle w:val="Heading1"/>
      </w:pPr>
      <w:bookmarkStart w:id="9" w:name="_Toc444761367"/>
      <w:r w:rsidRPr="009A6348">
        <w:t>StatistiQUEs sur la Protection des obtentions végétales</w:t>
      </w:r>
      <w:bookmarkEnd w:id="9"/>
    </w:p>
    <w:p w:rsidR="00677E0A" w:rsidRPr="009A6348" w:rsidRDefault="00677E0A" w:rsidP="00B02D38">
      <w:pPr>
        <w:keepNext/>
        <w:rPr>
          <w:rFonts w:cs="Arial"/>
          <w:lang w:val="fr-FR"/>
        </w:rPr>
      </w:pPr>
    </w:p>
    <w:p w:rsidR="00677E0A" w:rsidRPr="009A6348" w:rsidRDefault="00677E0A" w:rsidP="00677E0A">
      <w:pPr>
        <w:pStyle w:val="Heading2"/>
        <w:rPr>
          <w:rFonts w:eastAsia="MS Mincho"/>
          <w:color w:val="auto"/>
          <w:lang w:eastAsia="ja-JP"/>
        </w:rPr>
      </w:pPr>
      <w:bookmarkStart w:id="10" w:name="_Toc381174858"/>
      <w:bookmarkStart w:id="11" w:name="_Toc444761368"/>
      <w:r w:rsidRPr="009A6348">
        <w:rPr>
          <w:rFonts w:eastAsia="MS Mincho"/>
          <w:color w:val="auto"/>
          <w:lang w:eastAsia="ja-JP"/>
        </w:rPr>
        <w:t>Liste des taxons protégés par les membres de l</w:t>
      </w:r>
      <w:r w:rsidR="00003939" w:rsidRPr="009A6348">
        <w:rPr>
          <w:rFonts w:eastAsia="MS Mincho"/>
          <w:color w:val="auto"/>
          <w:lang w:eastAsia="ja-JP"/>
        </w:rPr>
        <w:t>’</w:t>
      </w:r>
      <w:r w:rsidRPr="009A6348">
        <w:rPr>
          <w:rFonts w:eastAsia="MS Mincho"/>
          <w:color w:val="auto"/>
          <w:lang w:eastAsia="ja-JP"/>
        </w:rPr>
        <w:t>Union</w:t>
      </w:r>
      <w:bookmarkEnd w:id="11"/>
    </w:p>
    <w:p w:rsidR="00677E0A" w:rsidRPr="009A6348" w:rsidRDefault="00677E0A" w:rsidP="00677E0A">
      <w:pPr>
        <w:keepNext/>
        <w:autoSpaceDE w:val="0"/>
        <w:autoSpaceDN w:val="0"/>
        <w:adjustRightInd w:val="0"/>
        <w:rPr>
          <w:rFonts w:eastAsia="MS Mincho" w:cs="Arial"/>
          <w:lang w:val="fr-FR" w:eastAsia="ja-JP"/>
        </w:rPr>
      </w:pPr>
      <w:r w:rsidRPr="009A6348">
        <w:rPr>
          <w:rFonts w:eastAsia="MS Mincho" w:cs="Arial"/>
          <w:lang w:val="fr-FR" w:eastAsia="ja-JP"/>
        </w:rPr>
        <w:t>(</w:t>
      </w:r>
      <w:proofErr w:type="gramStart"/>
      <w:r w:rsidRPr="009A6348">
        <w:rPr>
          <w:rFonts w:eastAsia="MS Mincho" w:cs="Arial"/>
          <w:lang w:val="fr-FR" w:eastAsia="ja-JP"/>
        </w:rPr>
        <w:t>voir</w:t>
      </w:r>
      <w:proofErr w:type="gramEnd"/>
      <w:r w:rsidRPr="009A6348">
        <w:rPr>
          <w:rFonts w:eastAsia="MS Mincho" w:cs="Arial"/>
          <w:lang w:val="fr-FR" w:eastAsia="ja-JP"/>
        </w:rPr>
        <w:t xml:space="preserve"> le document C/49/6 “Liste des taxons protégés par les membres de l</w:t>
      </w:r>
      <w:r w:rsidR="00003939" w:rsidRPr="009A6348">
        <w:rPr>
          <w:rFonts w:eastAsia="MS Mincho" w:cs="Arial"/>
          <w:lang w:val="fr-FR" w:eastAsia="ja-JP"/>
        </w:rPr>
        <w:t>’</w:t>
      </w:r>
      <w:r w:rsidRPr="009A6348">
        <w:rPr>
          <w:rFonts w:eastAsia="MS Mincho" w:cs="Arial"/>
          <w:lang w:val="fr-FR" w:eastAsia="ja-JP"/>
        </w:rPr>
        <w:t>Union”)</w:t>
      </w:r>
    </w:p>
    <w:p w:rsidR="00677E0A" w:rsidRPr="009A6348" w:rsidRDefault="00677E0A" w:rsidP="00EA4629">
      <w:pPr>
        <w:keepNext/>
        <w:autoSpaceDE w:val="0"/>
        <w:autoSpaceDN w:val="0"/>
        <w:adjustRightInd w:val="0"/>
        <w:rPr>
          <w:rFonts w:eastAsia="MS Mincho" w:cs="Arial"/>
          <w:lang w:val="fr-FR" w:eastAsia="ja-JP"/>
        </w:rPr>
      </w:pPr>
    </w:p>
    <w:p w:rsidR="00677E0A" w:rsidRPr="009A6348" w:rsidRDefault="00EA4629" w:rsidP="00677E0A">
      <w:pPr>
        <w:autoSpaceDE w:val="0"/>
        <w:autoSpaceDN w:val="0"/>
        <w:adjustRightInd w:val="0"/>
        <w:rPr>
          <w:rFonts w:cs="Arial"/>
          <w:lang w:val="fr-FR"/>
        </w:rPr>
      </w:pPr>
      <w:r w:rsidRPr="009A6348">
        <w:rPr>
          <w:rFonts w:eastAsia="MS Mincho" w:cs="Arial"/>
          <w:lang w:val="fr-FR" w:eastAsia="ja-JP"/>
        </w:rPr>
        <w:fldChar w:fldCharType="begin"/>
      </w:r>
      <w:r w:rsidRPr="009A6348">
        <w:rPr>
          <w:rFonts w:eastAsia="MS Mincho" w:cs="Arial"/>
          <w:lang w:val="fr-FR" w:eastAsia="ja-JP"/>
        </w:rPr>
        <w:instrText xml:space="preserve"> AUTONUM  </w:instrText>
      </w:r>
      <w:r w:rsidRPr="009A6348">
        <w:rPr>
          <w:rFonts w:eastAsia="MS Mincho" w:cs="Arial"/>
          <w:lang w:val="fr-FR" w:eastAsia="ja-JP"/>
        </w:rPr>
        <w:fldChar w:fldCharType="end"/>
      </w:r>
      <w:r w:rsidRPr="009A6348">
        <w:rPr>
          <w:rFonts w:eastAsia="MS Mincho" w:cs="Arial"/>
          <w:lang w:val="fr-FR" w:eastAsia="ja-JP"/>
        </w:rPr>
        <w:tab/>
      </w:r>
      <w:r w:rsidR="00677E0A" w:rsidRPr="009A6348">
        <w:rPr>
          <w:rFonts w:eastAsia="MS Mincho" w:cs="Arial"/>
          <w:lang w:val="fr-FR" w:eastAsia="ja-JP"/>
        </w:rPr>
        <w:t>Au total, 59 membres de l</w:t>
      </w:r>
      <w:r w:rsidR="00003939" w:rsidRPr="009A6348">
        <w:rPr>
          <w:rFonts w:eastAsia="MS Mincho" w:cs="Arial"/>
          <w:lang w:val="fr-FR" w:eastAsia="ja-JP"/>
        </w:rPr>
        <w:t>’</w:t>
      </w:r>
      <w:r w:rsidR="00677E0A" w:rsidRPr="009A6348">
        <w:rPr>
          <w:rFonts w:eastAsia="MS Mincho" w:cs="Arial"/>
          <w:lang w:val="fr-FR" w:eastAsia="ja-JP"/>
        </w:rPr>
        <w:t>Union assurent désormais la protection de tous les g</w:t>
      </w:r>
      <w:r w:rsidR="0084644D" w:rsidRPr="009A6348">
        <w:rPr>
          <w:rFonts w:eastAsia="MS Mincho" w:cs="Arial"/>
          <w:lang w:val="fr-FR" w:eastAsia="ja-JP"/>
        </w:rPr>
        <w:t xml:space="preserve">enres et espèces végétaux (58 </w:t>
      </w:r>
      <w:r w:rsidR="00677E0A" w:rsidRPr="009A6348">
        <w:rPr>
          <w:rFonts w:eastAsia="MS Mincho" w:cs="Arial"/>
          <w:lang w:val="fr-FR" w:eastAsia="ja-JP"/>
        </w:rPr>
        <w:t>membres</w:t>
      </w:r>
      <w:r w:rsidR="001D743D" w:rsidRPr="009A6348">
        <w:rPr>
          <w:rFonts w:eastAsia="MS Mincho" w:cs="Arial"/>
          <w:lang w:val="fr-FR" w:eastAsia="ja-JP"/>
        </w:rPr>
        <w:t xml:space="preserve"> en 2014) parmi lesquels 14 membres</w:t>
      </w:r>
      <w:r w:rsidR="00677E0A" w:rsidRPr="009A6348">
        <w:rPr>
          <w:rFonts w:eastAsia="MS Mincho" w:cs="Arial"/>
          <w:lang w:val="fr-FR" w:eastAsia="ja-JP"/>
        </w:rPr>
        <w:t xml:space="preserve"> de l</w:t>
      </w:r>
      <w:r w:rsidR="00003939" w:rsidRPr="009A6348">
        <w:rPr>
          <w:rFonts w:eastAsia="MS Mincho" w:cs="Arial"/>
          <w:lang w:val="fr-FR" w:eastAsia="ja-JP"/>
        </w:rPr>
        <w:t>’</w:t>
      </w:r>
      <w:r w:rsidR="00677E0A" w:rsidRPr="009A6348">
        <w:rPr>
          <w:rFonts w:eastAsia="MS Mincho" w:cs="Arial"/>
          <w:lang w:val="fr-FR" w:eastAsia="ja-JP"/>
        </w:rPr>
        <w:t>Union assurent la protection d</w:t>
      </w:r>
      <w:r w:rsidR="00003939" w:rsidRPr="009A6348">
        <w:rPr>
          <w:rFonts w:eastAsia="MS Mincho" w:cs="Arial"/>
          <w:lang w:val="fr-FR" w:eastAsia="ja-JP"/>
        </w:rPr>
        <w:t>’</w:t>
      </w:r>
      <w:r w:rsidR="00677E0A" w:rsidRPr="009A6348">
        <w:rPr>
          <w:rFonts w:eastAsia="MS Mincho" w:cs="Arial"/>
          <w:lang w:val="fr-FR" w:eastAsia="ja-JP"/>
        </w:rPr>
        <w:t>un nombre limité de genres et d</w:t>
      </w:r>
      <w:r w:rsidR="00003939" w:rsidRPr="009A6348">
        <w:rPr>
          <w:rFonts w:eastAsia="MS Mincho" w:cs="Arial"/>
          <w:lang w:val="fr-FR" w:eastAsia="ja-JP"/>
        </w:rPr>
        <w:t>’</w:t>
      </w:r>
      <w:r w:rsidR="00677E0A" w:rsidRPr="009A6348">
        <w:rPr>
          <w:rFonts w:eastAsia="MS Mincho" w:cs="Arial"/>
          <w:lang w:val="fr-FR" w:eastAsia="ja-JP"/>
        </w:rPr>
        <w:t>espèces végétaux.</w:t>
      </w:r>
      <w:r w:rsidRPr="009A6348">
        <w:rPr>
          <w:lang w:val="fr-FR"/>
        </w:rPr>
        <w:t xml:space="preserve"> </w:t>
      </w:r>
      <w:r w:rsidR="00D821B9" w:rsidRPr="009A6348">
        <w:rPr>
          <w:lang w:val="fr-FR"/>
        </w:rPr>
        <w:t xml:space="preserve"> </w:t>
      </w:r>
      <w:r w:rsidR="00677E0A" w:rsidRPr="009A6348">
        <w:rPr>
          <w:rFonts w:cs="Arial"/>
          <w:lang w:val="fr-FR"/>
        </w:rPr>
        <w:t>De ces 14, deux</w:t>
      </w:r>
      <w:r w:rsidR="007046A2" w:rsidRPr="009A6348">
        <w:rPr>
          <w:rFonts w:cs="Arial"/>
          <w:lang w:val="fr-FR"/>
        </w:rPr>
        <w:t> </w:t>
      </w:r>
      <w:r w:rsidR="00677E0A" w:rsidRPr="009A6348">
        <w:rPr>
          <w:rFonts w:cs="Arial"/>
          <w:lang w:val="fr-FR"/>
        </w:rPr>
        <w:t>membres (Brésil et Maroc) ont conféré en</w:t>
      </w:r>
      <w:r w:rsidR="007046A2" w:rsidRPr="009A6348">
        <w:rPr>
          <w:rFonts w:cs="Arial"/>
          <w:lang w:val="fr-FR"/>
        </w:rPr>
        <w:t> </w:t>
      </w:r>
      <w:r w:rsidR="00677E0A" w:rsidRPr="009A6348">
        <w:rPr>
          <w:rFonts w:cs="Arial"/>
          <w:lang w:val="fr-FR"/>
        </w:rPr>
        <w:t>2015 une protection à des genres et espèces végétaux additionnels.</w:t>
      </w:r>
    </w:p>
    <w:p w:rsidR="009673A3" w:rsidRPr="009A6348" w:rsidRDefault="00677E0A" w:rsidP="00677E0A">
      <w:pPr>
        <w:pStyle w:val="Heading2"/>
        <w:rPr>
          <w:color w:val="auto"/>
        </w:rPr>
      </w:pPr>
      <w:bookmarkStart w:id="12" w:name="_Toc444761369"/>
      <w:r w:rsidRPr="009A6348">
        <w:rPr>
          <w:color w:val="auto"/>
        </w:rPr>
        <w:t>Statistiques sur la protection des obtentions végétales</w:t>
      </w:r>
      <w:bookmarkEnd w:id="12"/>
    </w:p>
    <w:p w:rsidR="00677E0A" w:rsidRPr="009A6348" w:rsidRDefault="00677E0A" w:rsidP="00677E0A">
      <w:pPr>
        <w:keepNext/>
        <w:autoSpaceDE w:val="0"/>
        <w:autoSpaceDN w:val="0"/>
        <w:adjustRightInd w:val="0"/>
        <w:rPr>
          <w:rFonts w:eastAsia="MS Mincho" w:cs="Arial"/>
          <w:lang w:val="fr-FR" w:eastAsia="ja-JP"/>
        </w:rPr>
      </w:pPr>
      <w:r w:rsidRPr="009A6348">
        <w:rPr>
          <w:rFonts w:eastAsia="MS Mincho" w:cs="Arial"/>
          <w:lang w:val="fr-FR" w:eastAsia="ja-JP"/>
        </w:rPr>
        <w:t>(</w:t>
      </w:r>
      <w:proofErr w:type="gramStart"/>
      <w:r w:rsidRPr="009A6348">
        <w:rPr>
          <w:rFonts w:eastAsia="MS Mincho" w:cs="Arial"/>
          <w:lang w:val="fr-FR" w:eastAsia="ja-JP"/>
        </w:rPr>
        <w:t>voir</w:t>
      </w:r>
      <w:proofErr w:type="gramEnd"/>
      <w:r w:rsidRPr="009A6348">
        <w:rPr>
          <w:rFonts w:eastAsia="MS Mincho" w:cs="Arial"/>
          <w:lang w:val="fr-FR" w:eastAsia="ja-JP"/>
        </w:rPr>
        <w:t xml:space="preserve"> le document C/49/7 “Statistiques sur la protection des obtentions végétales pour la période</w:t>
      </w:r>
      <w:r w:rsidR="007046A2" w:rsidRPr="009A6348">
        <w:rPr>
          <w:rFonts w:eastAsia="MS Mincho" w:cs="Arial"/>
          <w:lang w:val="fr-FR" w:eastAsia="ja-JP"/>
        </w:rPr>
        <w:t> </w:t>
      </w:r>
      <w:r w:rsidRPr="009A6348">
        <w:rPr>
          <w:rFonts w:eastAsia="MS Mincho" w:cs="Arial"/>
          <w:lang w:val="fr-FR" w:eastAsia="ja-JP"/>
        </w:rPr>
        <w:t>2010</w:t>
      </w:r>
      <w:r w:rsidR="00BA2AFF" w:rsidRPr="009A6348">
        <w:rPr>
          <w:rFonts w:eastAsia="MS Mincho" w:cs="Arial"/>
          <w:lang w:val="fr-FR" w:eastAsia="ja-JP"/>
        </w:rPr>
        <w:noBreakHyphen/>
      </w:r>
      <w:r w:rsidRPr="009A6348">
        <w:rPr>
          <w:rFonts w:eastAsia="MS Mincho" w:cs="Arial"/>
          <w:lang w:val="fr-FR" w:eastAsia="ja-JP"/>
        </w:rPr>
        <w:t>2014”)</w:t>
      </w:r>
    </w:p>
    <w:p w:rsidR="00677E0A" w:rsidRPr="009A6348" w:rsidRDefault="00677E0A" w:rsidP="00EA4629">
      <w:pPr>
        <w:autoSpaceDE w:val="0"/>
        <w:autoSpaceDN w:val="0"/>
        <w:adjustRightInd w:val="0"/>
        <w:rPr>
          <w:rFonts w:cs="Arial"/>
          <w:lang w:val="fr-FR"/>
        </w:rPr>
      </w:pPr>
    </w:p>
    <w:p w:rsidR="00677E0A" w:rsidRPr="009A6348" w:rsidRDefault="00EA4629" w:rsidP="00677E0A">
      <w:pPr>
        <w:autoSpaceDE w:val="0"/>
        <w:autoSpaceDN w:val="0"/>
        <w:adjustRightInd w:val="0"/>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00AB53AE" w:rsidRPr="009A6348">
        <w:rPr>
          <w:rFonts w:cs="Arial"/>
          <w:lang w:val="fr-FR"/>
        </w:rPr>
        <w:tab/>
        <w:t>E</w:t>
      </w:r>
      <w:r w:rsidRPr="009A6348">
        <w:rPr>
          <w:rFonts w:cs="Arial"/>
          <w:lang w:val="fr-FR"/>
        </w:rPr>
        <w:t>n</w:t>
      </w:r>
      <w:r w:rsidR="007046A2" w:rsidRPr="009A6348">
        <w:rPr>
          <w:rFonts w:cs="Arial"/>
          <w:lang w:val="fr-FR"/>
        </w:rPr>
        <w:t> </w:t>
      </w:r>
      <w:r w:rsidRPr="009A6348">
        <w:rPr>
          <w:rFonts w:cs="Arial"/>
          <w:lang w:val="fr-FR"/>
        </w:rPr>
        <w:t xml:space="preserve">2014, </w:t>
      </w:r>
      <w:r w:rsidR="00AB53AE" w:rsidRPr="009A6348">
        <w:rPr>
          <w:rFonts w:cs="Arial"/>
          <w:lang w:val="fr-FR"/>
        </w:rPr>
        <w:t>le nombre de demandes déposées sur le territoire des membres de l</w:t>
      </w:r>
      <w:r w:rsidR="00003939" w:rsidRPr="009A6348">
        <w:rPr>
          <w:rFonts w:cs="Arial"/>
          <w:lang w:val="fr-FR"/>
        </w:rPr>
        <w:t>’</w:t>
      </w:r>
      <w:r w:rsidR="00AB53AE" w:rsidRPr="009A6348">
        <w:rPr>
          <w:rFonts w:cs="Arial"/>
          <w:lang w:val="fr-FR"/>
        </w:rPr>
        <w:t xml:space="preserve">UPOV </w:t>
      </w:r>
      <w:r w:rsidR="001D743D" w:rsidRPr="009A6348">
        <w:rPr>
          <w:rFonts w:cs="Arial"/>
          <w:lang w:val="fr-FR"/>
        </w:rPr>
        <w:t xml:space="preserve">a </w:t>
      </w:r>
      <w:r w:rsidR="00AB53AE" w:rsidRPr="009A6348">
        <w:rPr>
          <w:rFonts w:cs="Arial"/>
          <w:lang w:val="fr-FR"/>
        </w:rPr>
        <w:t>dépass</w:t>
      </w:r>
      <w:r w:rsidR="001D743D" w:rsidRPr="009A6348">
        <w:rPr>
          <w:rFonts w:cs="Arial"/>
          <w:lang w:val="fr-FR"/>
        </w:rPr>
        <w:t>é</w:t>
      </w:r>
      <w:r w:rsidR="00AB53AE" w:rsidRPr="009A6348">
        <w:rPr>
          <w:rFonts w:cs="Arial"/>
          <w:lang w:val="fr-FR"/>
        </w:rPr>
        <w:t xml:space="preserve"> 15 000 pour la première fois</w:t>
      </w:r>
      <w:r w:rsidRPr="009A6348">
        <w:rPr>
          <w:rFonts w:cs="Arial"/>
          <w:lang w:val="fr-FR"/>
        </w:rPr>
        <w:t xml:space="preserve">. </w:t>
      </w:r>
      <w:r w:rsidR="00D821B9" w:rsidRPr="009A6348">
        <w:rPr>
          <w:rFonts w:cs="Arial"/>
          <w:lang w:val="fr-FR"/>
        </w:rPr>
        <w:t xml:space="preserve"> </w:t>
      </w:r>
      <w:r w:rsidR="00677E0A" w:rsidRPr="009A6348">
        <w:rPr>
          <w:rFonts w:cs="Arial"/>
          <w:lang w:val="fr-FR"/>
        </w:rPr>
        <w:t>Le nombre de demandes de protection d</w:t>
      </w:r>
      <w:r w:rsidR="00003939" w:rsidRPr="009A6348">
        <w:rPr>
          <w:rFonts w:cs="Arial"/>
          <w:lang w:val="fr-FR"/>
        </w:rPr>
        <w:t>’</w:t>
      </w:r>
      <w:r w:rsidR="00677E0A" w:rsidRPr="009A6348">
        <w:rPr>
          <w:rFonts w:cs="Arial"/>
          <w:lang w:val="fr-FR"/>
        </w:rPr>
        <w:t>obtentions végétales a augmenté de 4,8% (15</w:t>
      </w:r>
      <w:r w:rsidR="007046A2" w:rsidRPr="009A6348">
        <w:rPr>
          <w:rFonts w:cs="Arial"/>
          <w:lang w:val="fr-FR"/>
        </w:rPr>
        <w:t> </w:t>
      </w:r>
      <w:r w:rsidR="00677E0A" w:rsidRPr="009A6348">
        <w:rPr>
          <w:rFonts w:cs="Arial"/>
          <w:lang w:val="fr-FR"/>
        </w:rPr>
        <w:t>499 en</w:t>
      </w:r>
      <w:r w:rsidR="007046A2" w:rsidRPr="009A6348">
        <w:rPr>
          <w:rFonts w:cs="Arial"/>
          <w:lang w:val="fr-FR"/>
        </w:rPr>
        <w:t> </w:t>
      </w:r>
      <w:r w:rsidR="00677E0A" w:rsidRPr="009A6348">
        <w:rPr>
          <w:rFonts w:cs="Arial"/>
          <w:lang w:val="fr-FR"/>
        </w:rPr>
        <w:t>2014;  14</w:t>
      </w:r>
      <w:r w:rsidR="007046A2" w:rsidRPr="009A6348">
        <w:rPr>
          <w:rFonts w:cs="Arial"/>
          <w:lang w:val="fr-FR"/>
        </w:rPr>
        <w:t> </w:t>
      </w:r>
      <w:r w:rsidR="00677E0A" w:rsidRPr="009A6348">
        <w:rPr>
          <w:rFonts w:cs="Arial"/>
          <w:lang w:val="fr-FR"/>
        </w:rPr>
        <w:t>788 en</w:t>
      </w:r>
      <w:r w:rsidR="007046A2" w:rsidRPr="009A6348">
        <w:rPr>
          <w:rFonts w:cs="Arial"/>
          <w:lang w:val="fr-FR"/>
        </w:rPr>
        <w:t> </w:t>
      </w:r>
      <w:r w:rsidR="00677E0A" w:rsidRPr="009A6348">
        <w:rPr>
          <w:rFonts w:cs="Arial"/>
          <w:lang w:val="fr-FR"/>
        </w:rPr>
        <w:t>2013), ce qui représente une augmentation de 2,8% du nombre de demandes déposées par des résidents (9770 en</w:t>
      </w:r>
      <w:r w:rsidR="007046A2" w:rsidRPr="009A6348">
        <w:rPr>
          <w:rFonts w:cs="Arial"/>
          <w:lang w:val="fr-FR"/>
        </w:rPr>
        <w:t> </w:t>
      </w:r>
      <w:r w:rsidR="00677E0A" w:rsidRPr="009A6348">
        <w:rPr>
          <w:rFonts w:cs="Arial"/>
          <w:lang w:val="fr-FR"/>
        </w:rPr>
        <w:t>2014;  9502 en</w:t>
      </w:r>
      <w:r w:rsidR="007046A2" w:rsidRPr="009A6348">
        <w:rPr>
          <w:rFonts w:cs="Arial"/>
          <w:lang w:val="fr-FR"/>
        </w:rPr>
        <w:t> </w:t>
      </w:r>
      <w:r w:rsidR="00677E0A" w:rsidRPr="009A6348">
        <w:rPr>
          <w:rFonts w:cs="Arial"/>
          <w:lang w:val="fr-FR"/>
        </w:rPr>
        <w:t>2013) et une augmentation de 8,4% du nombre de demandes déposées par des non</w:t>
      </w:r>
      <w:r w:rsidR="00BA2AFF" w:rsidRPr="009A6348">
        <w:rPr>
          <w:rFonts w:cs="Arial"/>
          <w:lang w:val="fr-FR"/>
        </w:rPr>
        <w:noBreakHyphen/>
      </w:r>
      <w:r w:rsidR="00677E0A" w:rsidRPr="009A6348">
        <w:rPr>
          <w:rFonts w:cs="Arial"/>
          <w:lang w:val="fr-FR"/>
        </w:rPr>
        <w:t>résidents (5729 en</w:t>
      </w:r>
      <w:r w:rsidR="007046A2" w:rsidRPr="009A6348">
        <w:rPr>
          <w:rFonts w:cs="Arial"/>
          <w:lang w:val="fr-FR"/>
        </w:rPr>
        <w:t> </w:t>
      </w:r>
      <w:r w:rsidR="00677E0A" w:rsidRPr="009A6348">
        <w:rPr>
          <w:rFonts w:cs="Arial"/>
          <w:lang w:val="fr-FR"/>
        </w:rPr>
        <w:t>2014;  5286 en</w:t>
      </w:r>
      <w:r w:rsidR="007046A2" w:rsidRPr="009A6348">
        <w:rPr>
          <w:rFonts w:cs="Arial"/>
          <w:lang w:val="fr-FR"/>
        </w:rPr>
        <w:t> </w:t>
      </w:r>
      <w:r w:rsidR="00677E0A" w:rsidRPr="009A6348">
        <w:rPr>
          <w:rFonts w:cs="Arial"/>
          <w:lang w:val="fr-FR"/>
        </w:rPr>
        <w:t>2013).</w:t>
      </w:r>
      <w:r w:rsidRPr="009A6348">
        <w:rPr>
          <w:lang w:val="fr-FR"/>
        </w:rPr>
        <w:t xml:space="preserve"> </w:t>
      </w:r>
      <w:r w:rsidR="007046A2" w:rsidRPr="009A6348">
        <w:rPr>
          <w:rFonts w:cs="Arial"/>
          <w:lang w:val="fr-FR"/>
        </w:rPr>
        <w:t xml:space="preserve"> </w:t>
      </w:r>
      <w:r w:rsidR="00677E0A" w:rsidRPr="009A6348">
        <w:rPr>
          <w:rFonts w:cs="Arial"/>
          <w:lang w:val="fr-FR"/>
        </w:rPr>
        <w:t>Le nombre de titres délivrés a augmenté, passant de 10</w:t>
      </w:r>
      <w:r w:rsidR="007046A2" w:rsidRPr="009A6348">
        <w:rPr>
          <w:rFonts w:cs="Arial"/>
          <w:lang w:val="fr-FR"/>
        </w:rPr>
        <w:t> </w:t>
      </w:r>
      <w:r w:rsidR="00677E0A" w:rsidRPr="009A6348">
        <w:rPr>
          <w:rFonts w:cs="Arial"/>
          <w:lang w:val="fr-FR"/>
        </w:rPr>
        <w:t>052 en</w:t>
      </w:r>
      <w:r w:rsidR="007046A2" w:rsidRPr="009A6348">
        <w:rPr>
          <w:rFonts w:cs="Arial"/>
          <w:lang w:val="fr-FR"/>
        </w:rPr>
        <w:t> </w:t>
      </w:r>
      <w:r w:rsidR="00677E0A" w:rsidRPr="009A6348">
        <w:rPr>
          <w:rFonts w:cs="Arial"/>
          <w:lang w:val="fr-FR"/>
        </w:rPr>
        <w:t>2013 à 11</w:t>
      </w:r>
      <w:r w:rsidR="007046A2" w:rsidRPr="009A6348">
        <w:rPr>
          <w:rFonts w:cs="Arial"/>
          <w:lang w:val="fr-FR"/>
        </w:rPr>
        <w:t> </w:t>
      </w:r>
      <w:r w:rsidR="00677E0A" w:rsidRPr="009A6348">
        <w:rPr>
          <w:rFonts w:cs="Arial"/>
          <w:lang w:val="fr-FR"/>
        </w:rPr>
        <w:t>569 en</w:t>
      </w:r>
      <w:r w:rsidR="007046A2" w:rsidRPr="009A6348">
        <w:rPr>
          <w:rFonts w:cs="Arial"/>
          <w:lang w:val="fr-FR"/>
        </w:rPr>
        <w:t> </w:t>
      </w:r>
      <w:r w:rsidR="00677E0A" w:rsidRPr="009A6348">
        <w:rPr>
          <w:rFonts w:cs="Arial"/>
          <w:lang w:val="fr-FR"/>
        </w:rPr>
        <w:t>2014 (soit une augmentation de 15,1%).</w:t>
      </w:r>
    </w:p>
    <w:p w:rsidR="00677E0A" w:rsidRPr="009A6348" w:rsidRDefault="00677E0A" w:rsidP="00EA4629">
      <w:pPr>
        <w:autoSpaceDE w:val="0"/>
        <w:autoSpaceDN w:val="0"/>
        <w:adjustRightInd w:val="0"/>
        <w:rPr>
          <w:rFonts w:cs="Arial"/>
          <w:lang w:val="fr-FR"/>
        </w:rPr>
      </w:pPr>
    </w:p>
    <w:p w:rsidR="00677E0A" w:rsidRPr="009A6348" w:rsidRDefault="00EA4629" w:rsidP="00677E0A">
      <w:pPr>
        <w:autoSpaceDE w:val="0"/>
        <w:autoSpaceDN w:val="0"/>
        <w:adjustRightInd w:val="0"/>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677E0A" w:rsidRPr="009A6348">
        <w:rPr>
          <w:rFonts w:cs="Arial"/>
          <w:lang w:val="fr-FR"/>
        </w:rPr>
        <w:t>Le total de 106</w:t>
      </w:r>
      <w:r w:rsidR="007046A2" w:rsidRPr="009A6348">
        <w:rPr>
          <w:rFonts w:cs="Arial"/>
          <w:lang w:val="fr-FR"/>
        </w:rPr>
        <w:t> </w:t>
      </w:r>
      <w:r w:rsidR="00677E0A" w:rsidRPr="009A6348">
        <w:rPr>
          <w:rFonts w:cs="Arial"/>
          <w:lang w:val="fr-FR"/>
        </w:rPr>
        <w:t>081 titres en vigueur en</w:t>
      </w:r>
      <w:r w:rsidR="007046A2" w:rsidRPr="009A6348">
        <w:rPr>
          <w:rFonts w:cs="Arial"/>
          <w:lang w:val="fr-FR"/>
        </w:rPr>
        <w:t> </w:t>
      </w:r>
      <w:r w:rsidR="00677E0A" w:rsidRPr="009A6348">
        <w:rPr>
          <w:rFonts w:cs="Arial"/>
          <w:lang w:val="fr-FR"/>
        </w:rPr>
        <w:t>2014 représente une augmentation de 2,7% par rapport aux chiffres de</w:t>
      </w:r>
      <w:r w:rsidR="007046A2" w:rsidRPr="009A6348">
        <w:rPr>
          <w:rFonts w:cs="Arial"/>
          <w:lang w:val="fr-FR"/>
        </w:rPr>
        <w:t> </w:t>
      </w:r>
      <w:r w:rsidR="00677E0A" w:rsidRPr="009A6348">
        <w:rPr>
          <w:rFonts w:cs="Arial"/>
          <w:lang w:val="fr-FR"/>
        </w:rPr>
        <w:t>2013 (103</w:t>
      </w:r>
      <w:r w:rsidR="007046A2" w:rsidRPr="009A6348">
        <w:rPr>
          <w:rFonts w:cs="Arial"/>
          <w:lang w:val="fr-FR"/>
        </w:rPr>
        <w:t> </w:t>
      </w:r>
      <w:r w:rsidR="00677E0A" w:rsidRPr="009A6348">
        <w:rPr>
          <w:rFonts w:cs="Arial"/>
          <w:lang w:val="fr-FR"/>
        </w:rPr>
        <w:t>261).</w:t>
      </w:r>
    </w:p>
    <w:p w:rsidR="00677E0A" w:rsidRPr="009A6348" w:rsidRDefault="00677E0A" w:rsidP="00EA4629">
      <w:pPr>
        <w:autoSpaceDE w:val="0"/>
        <w:autoSpaceDN w:val="0"/>
        <w:adjustRightInd w:val="0"/>
        <w:rPr>
          <w:rFonts w:cs="Arial"/>
          <w:lang w:val="fr-FR"/>
        </w:rPr>
      </w:pPr>
    </w:p>
    <w:p w:rsidR="009673A3" w:rsidRPr="009A6348" w:rsidRDefault="00677E0A" w:rsidP="00677E0A">
      <w:pPr>
        <w:pStyle w:val="Heading2"/>
        <w:rPr>
          <w:color w:val="auto"/>
        </w:rPr>
      </w:pPr>
      <w:bookmarkStart w:id="13" w:name="_Toc444761370"/>
      <w:r w:rsidRPr="009A6348">
        <w:rPr>
          <w:color w:val="auto"/>
        </w:rPr>
        <w:t>Coopération en matière d</w:t>
      </w:r>
      <w:r w:rsidR="00003939" w:rsidRPr="009A6348">
        <w:rPr>
          <w:color w:val="auto"/>
        </w:rPr>
        <w:t>’</w:t>
      </w:r>
      <w:r w:rsidRPr="009A6348">
        <w:rPr>
          <w:color w:val="auto"/>
        </w:rPr>
        <w:t>examen des obtentions végétales</w:t>
      </w:r>
      <w:bookmarkEnd w:id="13"/>
    </w:p>
    <w:p w:rsidR="00677E0A" w:rsidRPr="009A6348" w:rsidRDefault="00677E0A" w:rsidP="00EA4629">
      <w:pPr>
        <w:autoSpaceDE w:val="0"/>
        <w:autoSpaceDN w:val="0"/>
        <w:adjustRightInd w:val="0"/>
        <w:rPr>
          <w:rFonts w:cs="Arial"/>
          <w:lang w:val="fr-FR"/>
        </w:rPr>
      </w:pPr>
    </w:p>
    <w:p w:rsidR="00677E0A" w:rsidRPr="009A6348" w:rsidRDefault="00EA4629" w:rsidP="00677E0A">
      <w:pPr>
        <w:autoSpaceDE w:val="0"/>
        <w:autoSpaceDN w:val="0"/>
        <w:adjustRightInd w:val="0"/>
        <w:rPr>
          <w:rFonts w:eastAsia="MS Mincho" w:cs="Arial"/>
          <w:highlight w:val="cyan"/>
          <w:lang w:val="fr-FR" w:eastAsia="ja-JP"/>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677E0A" w:rsidRPr="009A6348">
        <w:rPr>
          <w:rFonts w:cs="Arial"/>
          <w:lang w:val="fr-FR"/>
        </w:rPr>
        <w:t>En</w:t>
      </w:r>
      <w:r w:rsidR="007046A2" w:rsidRPr="009A6348">
        <w:rPr>
          <w:rFonts w:cs="Arial"/>
          <w:lang w:val="fr-FR"/>
        </w:rPr>
        <w:t> </w:t>
      </w:r>
      <w:r w:rsidR="00677E0A" w:rsidRPr="009A6348">
        <w:rPr>
          <w:rFonts w:cs="Arial"/>
          <w:lang w:val="fr-FR"/>
        </w:rPr>
        <w:t>2015, le nombre de genres et espèces végétaux faisant l</w:t>
      </w:r>
      <w:r w:rsidR="00003939" w:rsidRPr="009A6348">
        <w:rPr>
          <w:rFonts w:cs="Arial"/>
          <w:lang w:val="fr-FR"/>
        </w:rPr>
        <w:t>’</w:t>
      </w:r>
      <w:r w:rsidR="00677E0A" w:rsidRPr="009A6348">
        <w:rPr>
          <w:rFonts w:cs="Arial"/>
          <w:lang w:val="fr-FR"/>
        </w:rPr>
        <w:t>objet d</w:t>
      </w:r>
      <w:r w:rsidR="00003939" w:rsidRPr="009A6348">
        <w:rPr>
          <w:rFonts w:cs="Arial"/>
          <w:lang w:val="fr-FR"/>
        </w:rPr>
        <w:t>’</w:t>
      </w:r>
      <w:r w:rsidR="00677E0A" w:rsidRPr="009A6348">
        <w:rPr>
          <w:rFonts w:cs="Arial"/>
          <w:lang w:val="fr-FR"/>
        </w:rPr>
        <w:t>accords entre membres de l</w:t>
      </w:r>
      <w:r w:rsidR="00003939" w:rsidRPr="009A6348">
        <w:rPr>
          <w:rFonts w:cs="Arial"/>
          <w:lang w:val="fr-FR"/>
        </w:rPr>
        <w:t>’</w:t>
      </w:r>
      <w:r w:rsidR="00677E0A" w:rsidRPr="009A6348">
        <w:rPr>
          <w:rFonts w:cs="Arial"/>
          <w:lang w:val="fr-FR"/>
        </w:rPr>
        <w:t>Union à des fins de coopération en matière d</w:t>
      </w:r>
      <w:r w:rsidR="00003939" w:rsidRPr="009A6348">
        <w:rPr>
          <w:rFonts w:cs="Arial"/>
          <w:lang w:val="fr-FR"/>
        </w:rPr>
        <w:t>’</w:t>
      </w:r>
      <w:r w:rsidR="00677E0A" w:rsidRPr="009A6348">
        <w:rPr>
          <w:rFonts w:cs="Arial"/>
          <w:lang w:val="fr-FR"/>
        </w:rPr>
        <w:t>examen de la distinction, de l</w:t>
      </w:r>
      <w:r w:rsidR="00003939" w:rsidRPr="009A6348">
        <w:rPr>
          <w:rFonts w:cs="Arial"/>
          <w:lang w:val="fr-FR"/>
        </w:rPr>
        <w:t>’</w:t>
      </w:r>
      <w:r w:rsidR="00677E0A" w:rsidRPr="009A6348">
        <w:rPr>
          <w:rFonts w:cs="Arial"/>
          <w:lang w:val="fr-FR"/>
        </w:rPr>
        <w:t>homogénéité et de la stabilité s</w:t>
      </w:r>
      <w:r w:rsidR="00003939" w:rsidRPr="009A6348">
        <w:rPr>
          <w:rFonts w:cs="Arial"/>
          <w:lang w:val="fr-FR"/>
        </w:rPr>
        <w:t>’</w:t>
      </w:r>
      <w:r w:rsidR="00677E0A" w:rsidRPr="009A6348">
        <w:rPr>
          <w:rFonts w:cs="Arial"/>
          <w:lang w:val="fr-FR"/>
        </w:rPr>
        <w:t>est élevé au total à 2002, contre 2005 en</w:t>
      </w:r>
      <w:r w:rsidR="007046A2" w:rsidRPr="009A6348">
        <w:rPr>
          <w:rFonts w:cs="Arial"/>
          <w:lang w:val="fr-FR"/>
        </w:rPr>
        <w:t> </w:t>
      </w:r>
      <w:r w:rsidR="00677E0A" w:rsidRPr="009A6348">
        <w:rPr>
          <w:rFonts w:cs="Arial"/>
          <w:lang w:val="fr-FR"/>
        </w:rPr>
        <w:t>2014.</w:t>
      </w:r>
    </w:p>
    <w:p w:rsidR="00677E0A" w:rsidRPr="009A6348" w:rsidRDefault="00677E0A" w:rsidP="00EA4629">
      <w:pPr>
        <w:pStyle w:val="Heading2"/>
        <w:rPr>
          <w:rFonts w:eastAsia="MS Mincho"/>
          <w:color w:val="auto"/>
          <w:highlight w:val="cyan"/>
          <w:lang w:eastAsia="ja-JP"/>
        </w:rPr>
      </w:pPr>
    </w:p>
    <w:bookmarkEnd w:id="10"/>
    <w:p w:rsidR="00677E0A" w:rsidRPr="009A6348" w:rsidRDefault="00677E0A" w:rsidP="00B02D38">
      <w:pPr>
        <w:rPr>
          <w:rFonts w:cs="Arial"/>
          <w:lang w:val="fr-FR"/>
        </w:rPr>
      </w:pPr>
    </w:p>
    <w:p w:rsidR="00677E0A" w:rsidRPr="009A6348" w:rsidRDefault="00C3013D" w:rsidP="009D2D58">
      <w:pPr>
        <w:pStyle w:val="Heading1"/>
      </w:pPr>
      <w:bookmarkStart w:id="14" w:name="_Toc444761371"/>
      <w:r w:rsidRPr="009A6348">
        <w:t>Program</w:t>
      </w:r>
      <w:r w:rsidR="009D65B3" w:rsidRPr="009A6348">
        <w:t>ME ET BUDGET POUR L</w:t>
      </w:r>
      <w:r w:rsidR="00003939" w:rsidRPr="009A6348">
        <w:t>’</w:t>
      </w:r>
      <w:r w:rsidR="009D65B3" w:rsidRPr="009A6348">
        <w:t>EXERCICE BIENNAL</w:t>
      </w:r>
      <w:r w:rsidRPr="009A6348">
        <w:t xml:space="preserve"> 2016</w:t>
      </w:r>
      <w:r w:rsidR="00BA2AFF" w:rsidRPr="009A6348">
        <w:noBreakHyphen/>
      </w:r>
      <w:r w:rsidRPr="009A6348">
        <w:t>2017</w:t>
      </w:r>
      <w:bookmarkEnd w:id="14"/>
    </w:p>
    <w:p w:rsidR="00677E0A" w:rsidRPr="009A6348" w:rsidRDefault="00677E0A" w:rsidP="00EA4629">
      <w:pPr>
        <w:rPr>
          <w:rFonts w:cs="Arial"/>
          <w:lang w:val="fr-FR"/>
        </w:rPr>
      </w:pPr>
    </w:p>
    <w:p w:rsidR="00677E0A" w:rsidRPr="009A6348" w:rsidRDefault="00EA4629" w:rsidP="00EA4629">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9D65B3" w:rsidRPr="009A6348">
        <w:rPr>
          <w:rFonts w:cs="Arial"/>
          <w:lang w:val="fr-FR"/>
        </w:rPr>
        <w:t>À sa quarante</w:t>
      </w:r>
      <w:r w:rsidR="00BA2AFF" w:rsidRPr="009A6348">
        <w:rPr>
          <w:rFonts w:cs="Arial"/>
          <w:lang w:val="fr-FR"/>
        </w:rPr>
        <w:noBreakHyphen/>
      </w:r>
      <w:r w:rsidR="009D65B3" w:rsidRPr="009A6348">
        <w:rPr>
          <w:rFonts w:cs="Arial"/>
          <w:lang w:val="fr-FR"/>
        </w:rPr>
        <w:t>neuvième</w:t>
      </w:r>
      <w:r w:rsidR="007046A2" w:rsidRPr="009A6348">
        <w:rPr>
          <w:rFonts w:cs="Arial"/>
          <w:lang w:val="fr-FR"/>
        </w:rPr>
        <w:t> </w:t>
      </w:r>
      <w:r w:rsidR="009D65B3" w:rsidRPr="009A6348">
        <w:rPr>
          <w:rFonts w:cs="Arial"/>
          <w:lang w:val="fr-FR"/>
        </w:rPr>
        <w:t>session ordinaire tenue à Genève le 2</w:t>
      </w:r>
      <w:r w:rsidR="009673A3" w:rsidRPr="009A6348">
        <w:rPr>
          <w:rFonts w:cs="Arial"/>
          <w:lang w:val="fr-FR"/>
        </w:rPr>
        <w:t>9 octobre 20</w:t>
      </w:r>
      <w:r w:rsidR="009D65B3" w:rsidRPr="009A6348">
        <w:rPr>
          <w:rFonts w:cs="Arial"/>
          <w:lang w:val="fr-FR"/>
        </w:rPr>
        <w:t>15,</w:t>
      </w:r>
      <w:r w:rsidRPr="009A6348">
        <w:rPr>
          <w:rFonts w:cs="Arial"/>
          <w:lang w:val="fr-FR"/>
        </w:rPr>
        <w:t xml:space="preserve"> </w:t>
      </w:r>
      <w:r w:rsidR="009D65B3" w:rsidRPr="009A6348">
        <w:rPr>
          <w:rFonts w:cs="Arial"/>
          <w:lang w:val="fr-FR"/>
        </w:rPr>
        <w:t>le Conseil a approuvé le programme et budget pour l</w:t>
      </w:r>
      <w:r w:rsidR="00003939" w:rsidRPr="009A6348">
        <w:rPr>
          <w:rFonts w:cs="Arial"/>
          <w:lang w:val="fr-FR"/>
        </w:rPr>
        <w:t>’</w:t>
      </w:r>
      <w:r w:rsidR="009D65B3" w:rsidRPr="009A6348">
        <w:rPr>
          <w:rFonts w:cs="Arial"/>
          <w:lang w:val="fr-FR"/>
        </w:rPr>
        <w:t>exercice biennal</w:t>
      </w:r>
      <w:r w:rsidR="007046A2" w:rsidRPr="009A6348">
        <w:rPr>
          <w:rFonts w:cs="Arial"/>
          <w:lang w:val="fr-FR"/>
        </w:rPr>
        <w:t> </w:t>
      </w:r>
      <w:r w:rsidR="009D65B3" w:rsidRPr="009A6348">
        <w:rPr>
          <w:rFonts w:cs="Arial"/>
          <w:lang w:val="fr-FR"/>
        </w:rPr>
        <w:t>2016</w:t>
      </w:r>
      <w:r w:rsidR="00BA2AFF" w:rsidRPr="009A6348">
        <w:rPr>
          <w:rFonts w:cs="Arial"/>
          <w:lang w:val="fr-FR"/>
        </w:rPr>
        <w:noBreakHyphen/>
      </w:r>
      <w:r w:rsidR="009D65B3" w:rsidRPr="009A6348">
        <w:rPr>
          <w:rFonts w:cs="Arial"/>
          <w:lang w:val="fr-FR"/>
        </w:rPr>
        <w:t>2017</w:t>
      </w:r>
      <w:r w:rsidRPr="009A6348">
        <w:rPr>
          <w:rFonts w:cs="Arial"/>
          <w:lang w:val="fr-FR"/>
        </w:rPr>
        <w:t xml:space="preserve">, </w:t>
      </w:r>
      <w:r w:rsidR="009D65B3" w:rsidRPr="009A6348">
        <w:rPr>
          <w:rFonts w:cs="Arial"/>
          <w:lang w:val="fr-FR"/>
        </w:rPr>
        <w:t>s</w:t>
      </w:r>
      <w:r w:rsidR="00003939" w:rsidRPr="009A6348">
        <w:rPr>
          <w:rFonts w:cs="Arial"/>
          <w:lang w:val="fr-FR"/>
        </w:rPr>
        <w:t>’</w:t>
      </w:r>
      <w:r w:rsidR="009D65B3" w:rsidRPr="009A6348">
        <w:rPr>
          <w:rFonts w:cs="Arial"/>
          <w:lang w:val="fr-FR"/>
        </w:rPr>
        <w:t>élevant à</w:t>
      </w:r>
      <w:r w:rsidRPr="009A6348">
        <w:rPr>
          <w:rFonts w:cs="Arial"/>
          <w:lang w:val="fr-FR"/>
        </w:rPr>
        <w:t xml:space="preserve"> 6</w:t>
      </w:r>
      <w:r w:rsidR="009D65B3" w:rsidRPr="009A6348">
        <w:rPr>
          <w:rFonts w:cs="Arial"/>
          <w:lang w:val="fr-FR"/>
        </w:rPr>
        <w:t> </w:t>
      </w:r>
      <w:r w:rsidRPr="009A6348">
        <w:rPr>
          <w:rFonts w:cs="Arial"/>
          <w:lang w:val="fr-FR"/>
        </w:rPr>
        <w:t>823</w:t>
      </w:r>
      <w:r w:rsidR="009D65B3" w:rsidRPr="009A6348">
        <w:rPr>
          <w:rFonts w:cs="Arial"/>
          <w:lang w:val="fr-FR"/>
        </w:rPr>
        <w:t> </w:t>
      </w:r>
      <w:r w:rsidRPr="009A6348">
        <w:rPr>
          <w:rFonts w:cs="Arial"/>
          <w:lang w:val="fr-FR"/>
        </w:rPr>
        <w:t>000</w:t>
      </w:r>
      <w:r w:rsidR="007046A2" w:rsidRPr="009A6348">
        <w:rPr>
          <w:rFonts w:cs="Arial"/>
          <w:lang w:val="fr-FR"/>
        </w:rPr>
        <w:t> </w:t>
      </w:r>
      <w:r w:rsidR="009D65B3" w:rsidRPr="009A6348">
        <w:rPr>
          <w:rFonts w:cs="Arial"/>
          <w:lang w:val="fr-FR"/>
        </w:rPr>
        <w:t xml:space="preserve">francs </w:t>
      </w:r>
      <w:r w:rsidR="001D743D" w:rsidRPr="009A6348">
        <w:rPr>
          <w:rFonts w:cs="Arial"/>
          <w:lang w:val="fr-FR"/>
        </w:rPr>
        <w:t>suisses (</w:t>
      </w:r>
      <w:r w:rsidR="008157FE" w:rsidRPr="009A6348">
        <w:rPr>
          <w:rFonts w:cs="Arial"/>
          <w:lang w:val="fr-FR"/>
        </w:rPr>
        <w:t>en augmentation de 0,4% par rapport à l</w:t>
      </w:r>
      <w:r w:rsidR="00003939" w:rsidRPr="009A6348">
        <w:rPr>
          <w:rFonts w:cs="Arial"/>
          <w:lang w:val="fr-FR"/>
        </w:rPr>
        <w:t>’</w:t>
      </w:r>
      <w:r w:rsidR="008157FE" w:rsidRPr="009A6348">
        <w:rPr>
          <w:rFonts w:cs="Arial"/>
          <w:lang w:val="fr-FR"/>
        </w:rPr>
        <w:t>exercice biennal 2014</w:t>
      </w:r>
      <w:r w:rsidR="00BA2AFF" w:rsidRPr="009A6348">
        <w:rPr>
          <w:rFonts w:cs="Arial"/>
          <w:lang w:val="fr-FR"/>
        </w:rPr>
        <w:noBreakHyphen/>
      </w:r>
      <w:r w:rsidR="008157FE" w:rsidRPr="009A6348">
        <w:rPr>
          <w:rFonts w:cs="Arial"/>
          <w:lang w:val="fr-FR"/>
        </w:rPr>
        <w:t>2015, dont le montant était de 6 794 000 francs suisses</w:t>
      </w:r>
      <w:r w:rsidRPr="009A6348">
        <w:rPr>
          <w:rFonts w:cs="Arial"/>
          <w:lang w:val="fr-FR"/>
        </w:rPr>
        <w:t xml:space="preserve">). </w:t>
      </w:r>
      <w:r w:rsidR="00807573" w:rsidRPr="009A6348">
        <w:rPr>
          <w:rFonts w:cs="Arial"/>
          <w:lang w:val="fr-FR"/>
        </w:rPr>
        <w:t xml:space="preserve"> </w:t>
      </w:r>
      <w:r w:rsidR="009D65B3" w:rsidRPr="009A6348">
        <w:rPr>
          <w:rFonts w:cs="Arial"/>
          <w:lang w:val="fr-FR"/>
        </w:rPr>
        <w:t>Aucune modification de la valeur de l</w:t>
      </w:r>
      <w:r w:rsidR="00003939" w:rsidRPr="009A6348">
        <w:rPr>
          <w:rFonts w:cs="Arial"/>
          <w:lang w:val="fr-FR"/>
        </w:rPr>
        <w:t>’</w:t>
      </w:r>
      <w:r w:rsidR="009D65B3" w:rsidRPr="009A6348">
        <w:rPr>
          <w:rFonts w:cs="Arial"/>
          <w:lang w:val="fr-FR"/>
        </w:rPr>
        <w:t>unité de contribution pour les membres de l</w:t>
      </w:r>
      <w:r w:rsidR="00003939" w:rsidRPr="009A6348">
        <w:rPr>
          <w:rFonts w:cs="Arial"/>
          <w:lang w:val="fr-FR"/>
        </w:rPr>
        <w:t>’</w:t>
      </w:r>
      <w:r w:rsidR="009D65B3" w:rsidRPr="009A6348">
        <w:rPr>
          <w:rFonts w:cs="Arial"/>
          <w:lang w:val="fr-FR"/>
        </w:rPr>
        <w:t>Union, ni du nombre total de postes au Bureau de l</w:t>
      </w:r>
      <w:r w:rsidR="00003939" w:rsidRPr="009A6348">
        <w:rPr>
          <w:rFonts w:cs="Arial"/>
          <w:lang w:val="fr-FR"/>
        </w:rPr>
        <w:t>’</w:t>
      </w:r>
      <w:r w:rsidR="009D65B3" w:rsidRPr="009A6348">
        <w:rPr>
          <w:rFonts w:cs="Arial"/>
          <w:lang w:val="fr-FR"/>
        </w:rPr>
        <w:t>Union n</w:t>
      </w:r>
      <w:r w:rsidR="00003939" w:rsidRPr="009A6348">
        <w:rPr>
          <w:rFonts w:cs="Arial"/>
          <w:lang w:val="fr-FR"/>
        </w:rPr>
        <w:t>’</w:t>
      </w:r>
      <w:r w:rsidR="009D65B3" w:rsidRPr="009A6348">
        <w:rPr>
          <w:rFonts w:cs="Arial"/>
          <w:lang w:val="fr-FR"/>
        </w:rPr>
        <w:t>est prévue dans le budget (voir le</w:t>
      </w:r>
      <w:r w:rsidR="00464127" w:rsidRPr="009A6348">
        <w:rPr>
          <w:rFonts w:cs="Arial"/>
          <w:lang w:val="fr-FR"/>
        </w:rPr>
        <w:t xml:space="preserve"> document C/49/4</w:t>
      </w:r>
      <w:r w:rsidR="007046A2" w:rsidRPr="009A6348">
        <w:rPr>
          <w:rFonts w:cs="Arial"/>
          <w:lang w:val="fr-FR"/>
        </w:rPr>
        <w:t> </w:t>
      </w:r>
      <w:proofErr w:type="spellStart"/>
      <w:r w:rsidR="00464127" w:rsidRPr="009A6348">
        <w:rPr>
          <w:rFonts w:cs="Arial"/>
          <w:lang w:val="fr-FR"/>
        </w:rPr>
        <w:t>Rev</w:t>
      </w:r>
      <w:proofErr w:type="spellEnd"/>
      <w:r w:rsidR="00464127" w:rsidRPr="009A6348">
        <w:rPr>
          <w:rFonts w:cs="Arial"/>
          <w:lang w:val="fr-FR"/>
        </w:rPr>
        <w:t>.)</w:t>
      </w:r>
      <w:r w:rsidRPr="009A6348">
        <w:rPr>
          <w:rFonts w:cs="Arial"/>
          <w:lang w:val="fr-FR"/>
        </w:rPr>
        <w:t>.</w:t>
      </w:r>
    </w:p>
    <w:p w:rsidR="00677E0A" w:rsidRPr="009A6348" w:rsidRDefault="00677E0A" w:rsidP="00EA4629">
      <w:pPr>
        <w:rPr>
          <w:rFonts w:cs="Arial"/>
          <w:lang w:val="fr-FR"/>
        </w:rPr>
      </w:pPr>
    </w:p>
    <w:p w:rsidR="00677E0A" w:rsidRPr="009A6348" w:rsidRDefault="00164441" w:rsidP="00EA4629">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BC6769" w:rsidRPr="009A6348">
        <w:rPr>
          <w:rFonts w:cs="Arial"/>
          <w:lang w:val="fr-FR"/>
        </w:rPr>
        <w:t>L</w:t>
      </w:r>
      <w:r w:rsidR="00003939" w:rsidRPr="009A6348">
        <w:rPr>
          <w:rFonts w:cs="Arial"/>
          <w:lang w:val="fr-FR"/>
        </w:rPr>
        <w:t>’</w:t>
      </w:r>
      <w:r w:rsidR="00BC6769" w:rsidRPr="009A6348">
        <w:rPr>
          <w:rFonts w:cs="Arial"/>
          <w:lang w:val="fr-FR"/>
        </w:rPr>
        <w:t>exposé résumant les points traités dans le présent document</w:t>
      </w:r>
      <w:r w:rsidR="00F8498A" w:rsidRPr="009A6348">
        <w:rPr>
          <w:rFonts w:cs="Arial"/>
          <w:lang w:val="fr-FR"/>
        </w:rPr>
        <w:t>,</w:t>
      </w:r>
      <w:r w:rsidR="00BC6769" w:rsidRPr="009A6348">
        <w:rPr>
          <w:rFonts w:cs="Arial"/>
          <w:lang w:val="fr-FR"/>
        </w:rPr>
        <w:t xml:space="preserve"> et </w:t>
      </w:r>
      <w:r w:rsidR="00F8498A" w:rsidRPr="009A6348">
        <w:rPr>
          <w:rFonts w:cs="Arial"/>
          <w:lang w:val="fr-FR"/>
        </w:rPr>
        <w:t xml:space="preserve">qui doit </w:t>
      </w:r>
      <w:r w:rsidR="0078780C" w:rsidRPr="009A6348">
        <w:rPr>
          <w:rFonts w:cs="Arial"/>
          <w:lang w:val="fr-FR"/>
        </w:rPr>
        <w:t xml:space="preserve">être présenté </w:t>
      </w:r>
      <w:r w:rsidR="009633D2" w:rsidRPr="009A6348">
        <w:rPr>
          <w:rFonts w:cs="Arial"/>
          <w:lang w:val="fr-FR"/>
        </w:rPr>
        <w:t>par le Bureau de l</w:t>
      </w:r>
      <w:r w:rsidR="00003939" w:rsidRPr="009A6348">
        <w:rPr>
          <w:rFonts w:cs="Arial"/>
          <w:lang w:val="fr-FR"/>
        </w:rPr>
        <w:t>’</w:t>
      </w:r>
      <w:r w:rsidRPr="009A6348">
        <w:rPr>
          <w:rFonts w:cs="Arial"/>
          <w:lang w:val="fr-FR"/>
        </w:rPr>
        <w:t xml:space="preserve">Union </w:t>
      </w:r>
      <w:r w:rsidR="009633D2" w:rsidRPr="009A6348">
        <w:rPr>
          <w:rFonts w:cs="Arial"/>
          <w:lang w:val="fr-FR"/>
        </w:rPr>
        <w:t xml:space="preserve">à la </w:t>
      </w:r>
      <w:r w:rsidR="00172C5F" w:rsidRPr="009A6348">
        <w:rPr>
          <w:rFonts w:cs="Arial"/>
          <w:lang w:val="fr-FR"/>
        </w:rPr>
        <w:t>cinquante</w:t>
      </w:r>
      <w:r w:rsidR="00BA2AFF" w:rsidRPr="009A6348">
        <w:rPr>
          <w:rFonts w:cs="Arial"/>
          <w:lang w:val="fr-FR"/>
        </w:rPr>
        <w:noBreakHyphen/>
      </w:r>
      <w:r w:rsidR="00172C5F" w:rsidRPr="009A6348">
        <w:rPr>
          <w:rFonts w:cs="Arial"/>
          <w:lang w:val="fr-FR"/>
        </w:rPr>
        <w:t>deuxième session du Comité technique</w:t>
      </w:r>
      <w:r w:rsidR="00F8498A" w:rsidRPr="009A6348">
        <w:rPr>
          <w:rFonts w:cs="Arial"/>
          <w:lang w:val="fr-FR"/>
        </w:rPr>
        <w:t xml:space="preserve">, comprendra un résumé des principaux éléments du </w:t>
      </w:r>
      <w:r w:rsidR="00124832" w:rsidRPr="009A6348">
        <w:rPr>
          <w:rFonts w:cs="Arial"/>
          <w:lang w:val="fr-FR"/>
        </w:rPr>
        <w:t>programme et budget pour l</w:t>
      </w:r>
      <w:r w:rsidR="00003939" w:rsidRPr="009A6348">
        <w:rPr>
          <w:rFonts w:cs="Arial"/>
          <w:lang w:val="fr-FR"/>
        </w:rPr>
        <w:t>’</w:t>
      </w:r>
      <w:r w:rsidR="00124832" w:rsidRPr="009A6348">
        <w:rPr>
          <w:rFonts w:cs="Arial"/>
          <w:lang w:val="fr-FR"/>
        </w:rPr>
        <w:t>exercice biennal</w:t>
      </w:r>
      <w:r w:rsidR="003E77D0" w:rsidRPr="009A6348">
        <w:rPr>
          <w:rFonts w:cs="Arial"/>
          <w:lang w:val="fr-FR"/>
        </w:rPr>
        <w:t> </w:t>
      </w:r>
      <w:r w:rsidR="00124832" w:rsidRPr="009A6348">
        <w:rPr>
          <w:rFonts w:cs="Arial"/>
          <w:lang w:val="fr-FR"/>
        </w:rPr>
        <w:t>2016</w:t>
      </w:r>
      <w:r w:rsidR="00BA2AFF" w:rsidRPr="009A6348">
        <w:rPr>
          <w:rFonts w:cs="Arial"/>
          <w:lang w:val="fr-FR"/>
        </w:rPr>
        <w:noBreakHyphen/>
      </w:r>
      <w:r w:rsidR="00124832" w:rsidRPr="009A6348">
        <w:rPr>
          <w:rFonts w:cs="Arial"/>
          <w:lang w:val="fr-FR"/>
        </w:rPr>
        <w:t>2017</w:t>
      </w:r>
      <w:r w:rsidRPr="009A6348">
        <w:rPr>
          <w:rFonts w:cs="Arial"/>
          <w:lang w:val="fr-FR"/>
        </w:rPr>
        <w:t>.</w:t>
      </w:r>
    </w:p>
    <w:p w:rsidR="00677E0A" w:rsidRPr="009A6348" w:rsidRDefault="00677E0A" w:rsidP="00EA4629">
      <w:pPr>
        <w:rPr>
          <w:rFonts w:cs="Arial"/>
          <w:lang w:val="fr-FR"/>
        </w:rPr>
      </w:pPr>
    </w:p>
    <w:p w:rsidR="00677E0A" w:rsidRPr="009A6348" w:rsidRDefault="00677E0A" w:rsidP="00B02D38">
      <w:pPr>
        <w:rPr>
          <w:rFonts w:cs="Arial"/>
          <w:lang w:val="fr-FR"/>
        </w:rPr>
      </w:pPr>
    </w:p>
    <w:p w:rsidR="00677E0A" w:rsidRPr="009A6348" w:rsidRDefault="001D3859" w:rsidP="009D2D58">
      <w:pPr>
        <w:pStyle w:val="Heading1"/>
      </w:pPr>
      <w:bookmarkStart w:id="15" w:name="_Toc444761372"/>
      <w:r w:rsidRPr="009A6348">
        <w:t>Fonds spécial pour des projets</w:t>
      </w:r>
      <w:r w:rsidR="00766DD9" w:rsidRPr="009A6348">
        <w:t xml:space="preserve"> </w:t>
      </w:r>
      <w:r w:rsidR="00C3013D" w:rsidRPr="009A6348">
        <w:t>(SPF)</w:t>
      </w:r>
      <w:bookmarkEnd w:id="15"/>
    </w:p>
    <w:p w:rsidR="00677E0A" w:rsidRPr="009A6348" w:rsidRDefault="00677E0A" w:rsidP="00B02D38">
      <w:pPr>
        <w:rPr>
          <w:rFonts w:cs="Arial"/>
          <w:lang w:val="fr-FR"/>
        </w:rPr>
      </w:pPr>
    </w:p>
    <w:p w:rsidR="00677E0A" w:rsidRPr="009A6348" w:rsidRDefault="00C3013D" w:rsidP="00C3013D">
      <w:pPr>
        <w:rPr>
          <w:snapToGrid w:val="0"/>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1D3859" w:rsidRPr="009A6348">
        <w:rPr>
          <w:lang w:val="fr-FR"/>
        </w:rPr>
        <w:t>Le solde du Fonds spécial pour des projets à la fin de</w:t>
      </w:r>
      <w:r w:rsidR="003E77D0" w:rsidRPr="009A6348">
        <w:rPr>
          <w:lang w:val="fr-FR"/>
        </w:rPr>
        <w:t> </w:t>
      </w:r>
      <w:r w:rsidR="001D3859" w:rsidRPr="009A6348">
        <w:rPr>
          <w:lang w:val="fr-FR"/>
        </w:rPr>
        <w:t>2015 sera utilisé en</w:t>
      </w:r>
      <w:r w:rsidR="003E77D0" w:rsidRPr="009A6348">
        <w:rPr>
          <w:lang w:val="fr-FR"/>
        </w:rPr>
        <w:t> </w:t>
      </w:r>
      <w:r w:rsidR="001D3859" w:rsidRPr="009A6348">
        <w:rPr>
          <w:lang w:val="fr-FR"/>
        </w:rPr>
        <w:t>2016 pour des activités menées dans le cadre de la stratégie de l</w:t>
      </w:r>
      <w:r w:rsidR="00003939" w:rsidRPr="009A6348">
        <w:rPr>
          <w:lang w:val="fr-FR"/>
        </w:rPr>
        <w:t>’</w:t>
      </w:r>
      <w:r w:rsidR="001D3859" w:rsidRPr="009A6348">
        <w:rPr>
          <w:lang w:val="fr-FR"/>
        </w:rPr>
        <w:t>UPOV en matière de formation et d</w:t>
      </w:r>
      <w:r w:rsidR="00003939" w:rsidRPr="009A6348">
        <w:rPr>
          <w:lang w:val="fr-FR"/>
        </w:rPr>
        <w:t>’</w:t>
      </w:r>
      <w:r w:rsidR="001D3859" w:rsidRPr="009A6348">
        <w:rPr>
          <w:lang w:val="fr-FR"/>
        </w:rPr>
        <w:t>assistance, en fonction des objectifs et de l</w:t>
      </w:r>
      <w:r w:rsidR="00003939" w:rsidRPr="009A6348">
        <w:rPr>
          <w:lang w:val="fr-FR"/>
        </w:rPr>
        <w:t>’</w:t>
      </w:r>
      <w:r w:rsidR="001D3859" w:rsidRPr="009A6348">
        <w:rPr>
          <w:lang w:val="fr-FR"/>
        </w:rPr>
        <w:t xml:space="preserve">ordre de priorité </w:t>
      </w:r>
      <w:r w:rsidR="0063237C" w:rsidRPr="009A6348">
        <w:rPr>
          <w:lang w:val="fr-FR"/>
        </w:rPr>
        <w:t>ci</w:t>
      </w:r>
      <w:r w:rsidR="00BA2AFF" w:rsidRPr="009A6348">
        <w:rPr>
          <w:lang w:val="fr-FR"/>
        </w:rPr>
        <w:noBreakHyphen/>
      </w:r>
      <w:r w:rsidR="0063237C" w:rsidRPr="009A6348">
        <w:rPr>
          <w:lang w:val="fr-FR"/>
        </w:rPr>
        <w:t>après</w:t>
      </w:r>
      <w:r w:rsidR="001D3859" w:rsidRPr="009A6348">
        <w:rPr>
          <w:lang w:val="fr-FR"/>
        </w:rPr>
        <w:t>, sous réserve de disponibilité d</w:t>
      </w:r>
      <w:r w:rsidR="00003939" w:rsidRPr="009A6348">
        <w:rPr>
          <w:lang w:val="fr-FR"/>
        </w:rPr>
        <w:t>’</w:t>
      </w:r>
      <w:r w:rsidR="001D3859" w:rsidRPr="009A6348">
        <w:rPr>
          <w:lang w:val="fr-FR"/>
        </w:rPr>
        <w:t>un financement provenant d</w:t>
      </w:r>
      <w:r w:rsidR="00003939" w:rsidRPr="009A6348">
        <w:rPr>
          <w:lang w:val="fr-FR"/>
        </w:rPr>
        <w:t>’</w:t>
      </w:r>
      <w:r w:rsidR="001D3859" w:rsidRPr="009A6348">
        <w:rPr>
          <w:lang w:val="fr-FR"/>
        </w:rPr>
        <w:t>autres sources</w:t>
      </w:r>
      <w:r w:rsidR="007046A2" w:rsidRPr="009A6348">
        <w:rPr>
          <w:snapToGrid w:val="0"/>
          <w:lang w:val="fr-FR"/>
        </w:rPr>
        <w:t> </w:t>
      </w:r>
      <w:r w:rsidRPr="009A6348">
        <w:rPr>
          <w:snapToGrid w:val="0"/>
          <w:lang w:val="fr-FR"/>
        </w:rPr>
        <w:t>:</w:t>
      </w:r>
    </w:p>
    <w:p w:rsidR="00677E0A" w:rsidRPr="009A6348" w:rsidRDefault="00677E0A" w:rsidP="00C3013D">
      <w:pPr>
        <w:rPr>
          <w:snapToGrid w:val="0"/>
          <w:lang w:val="fr-FR"/>
        </w:rPr>
      </w:pPr>
    </w:p>
    <w:p w:rsidR="00677E0A" w:rsidRPr="009A6348" w:rsidRDefault="006B1682" w:rsidP="00677E0A">
      <w:pPr>
        <w:pStyle w:val="ListParagraph"/>
        <w:numPr>
          <w:ilvl w:val="0"/>
          <w:numId w:val="17"/>
        </w:numPr>
        <w:rPr>
          <w:snapToGrid w:val="0"/>
          <w:lang w:val="fr-FR"/>
        </w:rPr>
      </w:pPr>
      <w:r w:rsidRPr="009A6348">
        <w:rPr>
          <w:snapToGrid w:val="0"/>
          <w:lang w:val="fr-FR"/>
        </w:rPr>
        <w:t>a</w:t>
      </w:r>
      <w:r w:rsidR="00677E0A" w:rsidRPr="009A6348">
        <w:rPr>
          <w:snapToGrid w:val="0"/>
          <w:lang w:val="fr-FR"/>
        </w:rPr>
        <w:t xml:space="preserve">ctivités types de formation organisées ou </w:t>
      </w:r>
      <w:proofErr w:type="spellStart"/>
      <w:r w:rsidR="00677E0A" w:rsidRPr="009A6348">
        <w:rPr>
          <w:snapToGrid w:val="0"/>
          <w:lang w:val="fr-FR"/>
        </w:rPr>
        <w:t>coorganisées</w:t>
      </w:r>
      <w:proofErr w:type="spellEnd"/>
      <w:r w:rsidR="00677E0A" w:rsidRPr="009A6348">
        <w:rPr>
          <w:snapToGrid w:val="0"/>
          <w:lang w:val="fr-FR"/>
        </w:rPr>
        <w:t xml:space="preserve"> par l</w:t>
      </w:r>
      <w:r w:rsidR="00003939" w:rsidRPr="009A6348">
        <w:rPr>
          <w:snapToGrid w:val="0"/>
          <w:lang w:val="fr-FR"/>
        </w:rPr>
        <w:t>’</w:t>
      </w:r>
      <w:r w:rsidR="00677E0A" w:rsidRPr="009A6348">
        <w:rPr>
          <w:snapToGrid w:val="0"/>
          <w:lang w:val="fr-FR"/>
        </w:rPr>
        <w:t>UPOV</w:t>
      </w:r>
    </w:p>
    <w:p w:rsidR="009673A3" w:rsidRPr="009A6348" w:rsidRDefault="006B1682" w:rsidP="00677E0A">
      <w:pPr>
        <w:pStyle w:val="ListParagraph"/>
        <w:numPr>
          <w:ilvl w:val="1"/>
          <w:numId w:val="17"/>
        </w:numPr>
        <w:rPr>
          <w:snapToGrid w:val="0"/>
          <w:lang w:val="fr-FR"/>
        </w:rPr>
      </w:pPr>
      <w:r w:rsidRPr="009A6348">
        <w:rPr>
          <w:snapToGrid w:val="0"/>
          <w:lang w:val="fr-FR"/>
        </w:rPr>
        <w:t>c</w:t>
      </w:r>
      <w:r w:rsidR="00677E0A" w:rsidRPr="009A6348">
        <w:rPr>
          <w:snapToGrid w:val="0"/>
          <w:lang w:val="fr-FR"/>
        </w:rPr>
        <w:t>ontribution à la base de données PLUTO</w:t>
      </w:r>
    </w:p>
    <w:p w:rsidR="00677E0A" w:rsidRPr="009A6348" w:rsidRDefault="006B1682" w:rsidP="00677E0A">
      <w:pPr>
        <w:pStyle w:val="ListParagraph"/>
        <w:numPr>
          <w:ilvl w:val="1"/>
          <w:numId w:val="17"/>
        </w:numPr>
        <w:rPr>
          <w:snapToGrid w:val="0"/>
          <w:lang w:val="fr-FR"/>
        </w:rPr>
      </w:pPr>
      <w:r w:rsidRPr="009A6348">
        <w:rPr>
          <w:snapToGrid w:val="0"/>
          <w:lang w:val="fr-FR"/>
        </w:rPr>
        <w:t>c</w:t>
      </w:r>
      <w:r w:rsidR="00677E0A" w:rsidRPr="009A6348">
        <w:rPr>
          <w:snapToGrid w:val="0"/>
          <w:lang w:val="fr-FR"/>
        </w:rPr>
        <w:t>ours de formation pour formateurs</w:t>
      </w:r>
    </w:p>
    <w:p w:rsidR="00677E0A" w:rsidRPr="009A6348" w:rsidRDefault="006B1682" w:rsidP="00677E0A">
      <w:pPr>
        <w:pStyle w:val="ListParagraph"/>
        <w:numPr>
          <w:ilvl w:val="1"/>
          <w:numId w:val="17"/>
        </w:numPr>
        <w:rPr>
          <w:snapToGrid w:val="0"/>
          <w:lang w:val="fr-FR"/>
        </w:rPr>
      </w:pPr>
      <w:r w:rsidRPr="009A6348">
        <w:rPr>
          <w:snapToGrid w:val="0"/>
          <w:lang w:val="fr-FR"/>
        </w:rPr>
        <w:t>f</w:t>
      </w:r>
      <w:r w:rsidR="00677E0A" w:rsidRPr="009A6348">
        <w:rPr>
          <w:snapToGrid w:val="0"/>
          <w:lang w:val="fr-FR"/>
        </w:rPr>
        <w:t>ormation des tuteurs dans le cadre des cours d</w:t>
      </w:r>
      <w:r w:rsidR="00003939" w:rsidRPr="009A6348">
        <w:rPr>
          <w:snapToGrid w:val="0"/>
          <w:lang w:val="fr-FR"/>
        </w:rPr>
        <w:t>’</w:t>
      </w:r>
      <w:r w:rsidR="00677E0A" w:rsidRPr="009A6348">
        <w:rPr>
          <w:snapToGrid w:val="0"/>
          <w:lang w:val="fr-FR"/>
        </w:rPr>
        <w:t>enseignement à distance de l</w:t>
      </w:r>
      <w:r w:rsidR="00003939" w:rsidRPr="009A6348">
        <w:rPr>
          <w:snapToGrid w:val="0"/>
          <w:lang w:val="fr-FR"/>
        </w:rPr>
        <w:t>’</w:t>
      </w:r>
      <w:r w:rsidR="00677E0A" w:rsidRPr="009A6348">
        <w:rPr>
          <w:snapToGrid w:val="0"/>
          <w:lang w:val="fr-FR"/>
        </w:rPr>
        <w:t>UPOV</w:t>
      </w:r>
      <w:r w:rsidR="00943CF7" w:rsidRPr="009A6348">
        <w:rPr>
          <w:snapToGrid w:val="0"/>
          <w:lang w:val="fr-FR"/>
        </w:rPr>
        <w:t>;</w:t>
      </w:r>
    </w:p>
    <w:p w:rsidR="00677E0A" w:rsidRPr="009A6348" w:rsidRDefault="00677E0A" w:rsidP="00C3013D">
      <w:pPr>
        <w:rPr>
          <w:snapToGrid w:val="0"/>
          <w:lang w:val="fr-FR"/>
        </w:rPr>
      </w:pPr>
    </w:p>
    <w:p w:rsidR="00677E0A" w:rsidRPr="009A6348" w:rsidRDefault="006B1682" w:rsidP="00677E0A">
      <w:pPr>
        <w:pStyle w:val="ListParagraph"/>
        <w:numPr>
          <w:ilvl w:val="0"/>
          <w:numId w:val="17"/>
        </w:numPr>
        <w:rPr>
          <w:snapToGrid w:val="0"/>
          <w:lang w:val="fr-FR"/>
        </w:rPr>
      </w:pPr>
      <w:r w:rsidRPr="009A6348">
        <w:rPr>
          <w:snapToGrid w:val="0"/>
          <w:lang w:val="fr-FR"/>
        </w:rPr>
        <w:t>r</w:t>
      </w:r>
      <w:r w:rsidR="00677E0A" w:rsidRPr="009A6348">
        <w:rPr>
          <w:snapToGrid w:val="0"/>
          <w:lang w:val="fr-FR"/>
        </w:rPr>
        <w:t>essources en matière de formation et d</w:t>
      </w:r>
      <w:r w:rsidR="00003939" w:rsidRPr="009A6348">
        <w:rPr>
          <w:snapToGrid w:val="0"/>
          <w:lang w:val="fr-FR"/>
        </w:rPr>
        <w:t>’</w:t>
      </w:r>
      <w:r w:rsidR="00677E0A" w:rsidRPr="009A6348">
        <w:rPr>
          <w:snapToGrid w:val="0"/>
          <w:lang w:val="fr-FR"/>
        </w:rPr>
        <w:t>assistance</w:t>
      </w:r>
      <w:r w:rsidR="00943CF7" w:rsidRPr="009A6348">
        <w:rPr>
          <w:snapToGrid w:val="0"/>
          <w:lang w:val="fr-FR"/>
        </w:rPr>
        <w:t>;</w:t>
      </w:r>
    </w:p>
    <w:p w:rsidR="00677E0A" w:rsidRPr="009A6348" w:rsidRDefault="00677E0A" w:rsidP="00C3013D">
      <w:pPr>
        <w:rPr>
          <w:snapToGrid w:val="0"/>
          <w:lang w:val="fr-FR"/>
        </w:rPr>
      </w:pPr>
    </w:p>
    <w:p w:rsidR="00677E0A" w:rsidRPr="009A6348" w:rsidRDefault="006B1682" w:rsidP="00C3013D">
      <w:pPr>
        <w:pStyle w:val="ListParagraph"/>
        <w:numPr>
          <w:ilvl w:val="0"/>
          <w:numId w:val="17"/>
        </w:numPr>
        <w:rPr>
          <w:snapToGrid w:val="0"/>
          <w:lang w:val="fr-FR"/>
        </w:rPr>
      </w:pPr>
      <w:r w:rsidRPr="009A6348">
        <w:rPr>
          <w:snapToGrid w:val="0"/>
          <w:lang w:val="fr-FR"/>
        </w:rPr>
        <w:t>a</w:t>
      </w:r>
      <w:r w:rsidR="00677E0A" w:rsidRPr="009A6348">
        <w:rPr>
          <w:snapToGrid w:val="0"/>
          <w:lang w:val="fr-FR"/>
        </w:rPr>
        <w:t>ctivités de formation mises au point avec le concours de l</w:t>
      </w:r>
      <w:r w:rsidR="00003939" w:rsidRPr="009A6348">
        <w:rPr>
          <w:snapToGrid w:val="0"/>
          <w:lang w:val="fr-FR"/>
        </w:rPr>
        <w:t>’</w:t>
      </w:r>
      <w:r w:rsidR="00677E0A" w:rsidRPr="009A6348">
        <w:rPr>
          <w:snapToGrid w:val="0"/>
          <w:lang w:val="fr-FR"/>
        </w:rPr>
        <w:t>UPOV</w:t>
      </w:r>
      <w:r w:rsidR="00943CF7" w:rsidRPr="009A6348">
        <w:rPr>
          <w:snapToGrid w:val="0"/>
          <w:lang w:val="fr-FR"/>
        </w:rPr>
        <w:t>;</w:t>
      </w:r>
    </w:p>
    <w:p w:rsidR="00943CF7" w:rsidRPr="009A6348" w:rsidRDefault="00943CF7" w:rsidP="00943CF7">
      <w:pPr>
        <w:rPr>
          <w:snapToGrid w:val="0"/>
          <w:lang w:val="fr-FR"/>
        </w:rPr>
      </w:pPr>
    </w:p>
    <w:p w:rsidR="00677E0A" w:rsidRPr="009A6348" w:rsidRDefault="006B1682" w:rsidP="00677E0A">
      <w:pPr>
        <w:pStyle w:val="ListParagraph"/>
        <w:numPr>
          <w:ilvl w:val="0"/>
          <w:numId w:val="17"/>
        </w:numPr>
        <w:rPr>
          <w:snapToGrid w:val="0"/>
          <w:lang w:val="fr-FR"/>
        </w:rPr>
      </w:pPr>
      <w:r w:rsidRPr="009A6348">
        <w:rPr>
          <w:snapToGrid w:val="0"/>
          <w:lang w:val="fr-FR"/>
        </w:rPr>
        <w:t>a</w:t>
      </w:r>
      <w:r w:rsidR="00677E0A" w:rsidRPr="009A6348">
        <w:rPr>
          <w:snapToGrid w:val="0"/>
          <w:lang w:val="fr-FR"/>
        </w:rPr>
        <w:t xml:space="preserve">ctivités </w:t>
      </w:r>
      <w:r w:rsidR="00677E0A" w:rsidRPr="009A6348">
        <w:rPr>
          <w:i/>
          <w:snapToGrid w:val="0"/>
          <w:lang w:val="fr-FR"/>
        </w:rPr>
        <w:t>in situ</w:t>
      </w:r>
      <w:r w:rsidR="00677E0A" w:rsidRPr="009A6348">
        <w:rPr>
          <w:snapToGrid w:val="0"/>
          <w:lang w:val="fr-FR"/>
        </w:rPr>
        <w:t xml:space="preserve"> organisées par l</w:t>
      </w:r>
      <w:r w:rsidR="00003939" w:rsidRPr="009A6348">
        <w:rPr>
          <w:snapToGrid w:val="0"/>
          <w:lang w:val="fr-FR"/>
        </w:rPr>
        <w:t>’</w:t>
      </w:r>
      <w:r w:rsidR="00677E0A" w:rsidRPr="009A6348">
        <w:rPr>
          <w:snapToGrid w:val="0"/>
          <w:lang w:val="fr-FR"/>
        </w:rPr>
        <w:t>UPOV</w:t>
      </w:r>
      <w:r w:rsidR="00943CF7" w:rsidRPr="009A6348">
        <w:rPr>
          <w:snapToGrid w:val="0"/>
          <w:lang w:val="fr-FR"/>
        </w:rPr>
        <w:t>.</w:t>
      </w:r>
    </w:p>
    <w:p w:rsidR="00677E0A" w:rsidRPr="009A6348" w:rsidRDefault="00677E0A" w:rsidP="00B02D38">
      <w:pPr>
        <w:rPr>
          <w:rFonts w:cs="Arial"/>
          <w:lang w:val="fr-FR"/>
        </w:rPr>
      </w:pPr>
    </w:p>
    <w:p w:rsidR="00677E0A" w:rsidRPr="009A6348" w:rsidRDefault="00677E0A" w:rsidP="00B02D38">
      <w:pPr>
        <w:rPr>
          <w:rFonts w:cs="Arial"/>
          <w:lang w:val="fr-FR"/>
        </w:rPr>
      </w:pPr>
    </w:p>
    <w:p w:rsidR="00003939" w:rsidRPr="009A6348" w:rsidRDefault="00A331A1" w:rsidP="009D2D58">
      <w:pPr>
        <w:pStyle w:val="Heading1"/>
      </w:pPr>
      <w:bookmarkStart w:id="16" w:name="_Toc444761373"/>
      <w:r w:rsidRPr="009A6348">
        <w:rPr>
          <w:lang w:val="en-US"/>
        </w:rPr>
        <w:t>évaluation de l</w:t>
      </w:r>
      <w:r w:rsidR="00003939" w:rsidRPr="009A6348">
        <w:rPr>
          <w:lang w:val="en-US"/>
        </w:rPr>
        <w:t>’</w:t>
      </w:r>
      <w:r w:rsidRPr="009A6348">
        <w:rPr>
          <w:lang w:val="en-US"/>
        </w:rPr>
        <w:t xml:space="preserve">upov par la </w:t>
      </w:r>
      <w:r w:rsidR="00943CF7" w:rsidRPr="009A6348">
        <w:t>Division de la supervision interne de l</w:t>
      </w:r>
      <w:r w:rsidR="00003939" w:rsidRPr="009A6348">
        <w:t>’</w:t>
      </w:r>
      <w:r w:rsidR="00943CF7" w:rsidRPr="009A6348">
        <w:t xml:space="preserve">OMPI </w:t>
      </w:r>
      <w:r w:rsidR="00206067" w:rsidRPr="009A6348">
        <w:t>(IOD)</w:t>
      </w:r>
      <w:bookmarkEnd w:id="16"/>
    </w:p>
    <w:p w:rsidR="00677E0A" w:rsidRPr="009A6348" w:rsidRDefault="00677E0A" w:rsidP="00C3013D">
      <w:pPr>
        <w:rPr>
          <w:lang w:val="fr-FR"/>
        </w:rPr>
      </w:pPr>
    </w:p>
    <w:p w:rsidR="00677E0A" w:rsidRPr="009A6348" w:rsidRDefault="00C3013D" w:rsidP="00C3013D">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9E2E0B" w:rsidRPr="009A6348">
        <w:rPr>
          <w:lang w:val="fr-FR"/>
        </w:rPr>
        <w:t>Le Comité consultatif est convenu de demander à la Division de la supervision interne de l</w:t>
      </w:r>
      <w:r w:rsidR="00003939" w:rsidRPr="009A6348">
        <w:rPr>
          <w:lang w:val="fr-FR"/>
        </w:rPr>
        <w:t>’</w:t>
      </w:r>
      <w:r w:rsidR="009E2E0B" w:rsidRPr="009A6348">
        <w:rPr>
          <w:lang w:val="fr-FR"/>
        </w:rPr>
        <w:t>OMPI de procéder à une évaluation en</w:t>
      </w:r>
      <w:r w:rsidR="003E77D0" w:rsidRPr="009A6348">
        <w:rPr>
          <w:lang w:val="fr-FR"/>
        </w:rPr>
        <w:t> </w:t>
      </w:r>
      <w:r w:rsidR="009E2E0B" w:rsidRPr="009A6348">
        <w:rPr>
          <w:lang w:val="fr-FR"/>
        </w:rPr>
        <w:t>2016</w:t>
      </w:r>
      <w:r w:rsidR="00BA2AFF" w:rsidRPr="009A6348">
        <w:rPr>
          <w:lang w:val="fr-FR"/>
        </w:rPr>
        <w:noBreakHyphen/>
      </w:r>
      <w:r w:rsidR="009E2E0B" w:rsidRPr="009A6348">
        <w:rPr>
          <w:lang w:val="fr-FR"/>
        </w:rPr>
        <w:t>2017 du programme des activités de l</w:t>
      </w:r>
      <w:r w:rsidR="00003939" w:rsidRPr="009A6348">
        <w:rPr>
          <w:lang w:val="fr-FR"/>
        </w:rPr>
        <w:t>’</w:t>
      </w:r>
      <w:r w:rsidR="009E2E0B" w:rsidRPr="009A6348">
        <w:rPr>
          <w:lang w:val="fr-FR"/>
        </w:rPr>
        <w:t>UPOV.</w:t>
      </w:r>
    </w:p>
    <w:p w:rsidR="00677E0A" w:rsidRPr="009A6348" w:rsidRDefault="00677E0A" w:rsidP="00B02D38">
      <w:pPr>
        <w:rPr>
          <w:rFonts w:cs="Arial"/>
          <w:lang w:val="fr-FR"/>
        </w:rPr>
      </w:pPr>
    </w:p>
    <w:p w:rsidR="00677E0A" w:rsidRPr="009A6348" w:rsidRDefault="00677E0A" w:rsidP="00B02D38">
      <w:pPr>
        <w:rPr>
          <w:rFonts w:cs="Arial"/>
          <w:spacing w:val="-2"/>
          <w:lang w:val="fr-FR"/>
        </w:rPr>
      </w:pPr>
    </w:p>
    <w:p w:rsidR="00677E0A" w:rsidRPr="009A6348" w:rsidRDefault="009D28D6" w:rsidP="009D2D58">
      <w:pPr>
        <w:pStyle w:val="Heading1"/>
      </w:pPr>
      <w:bookmarkStart w:id="17" w:name="_Toc444761374"/>
      <w:r w:rsidRPr="009A6348">
        <w:t xml:space="preserve">sessions </w:t>
      </w:r>
      <w:r w:rsidR="00E13AC1" w:rsidRPr="009A6348">
        <w:t xml:space="preserve">des organes </w:t>
      </w:r>
      <w:r w:rsidRPr="009A6348">
        <w:t>de l</w:t>
      </w:r>
      <w:r w:rsidR="00003939" w:rsidRPr="009A6348">
        <w:t>’</w:t>
      </w:r>
      <w:r w:rsidR="00014AE7" w:rsidRPr="009A6348">
        <w:t>UPOV</w:t>
      </w:r>
      <w:bookmarkEnd w:id="17"/>
    </w:p>
    <w:p w:rsidR="00677E0A" w:rsidRPr="009A6348" w:rsidRDefault="00677E0A" w:rsidP="009D2D58">
      <w:pPr>
        <w:pStyle w:val="Heading1"/>
      </w:pPr>
    </w:p>
    <w:p w:rsidR="00677E0A" w:rsidRPr="009A6348" w:rsidRDefault="00864654" w:rsidP="009E606C">
      <w:pPr>
        <w:pStyle w:val="Heading2"/>
        <w:rPr>
          <w:color w:val="auto"/>
        </w:rPr>
      </w:pPr>
      <w:bookmarkStart w:id="18" w:name="_Toc444761375"/>
      <w:r w:rsidRPr="009A6348">
        <w:rPr>
          <w:color w:val="auto"/>
        </w:rPr>
        <w:t>Président et vice</w:t>
      </w:r>
      <w:r w:rsidR="00BA2AFF" w:rsidRPr="009A6348">
        <w:rPr>
          <w:color w:val="auto"/>
        </w:rPr>
        <w:noBreakHyphen/>
      </w:r>
      <w:r w:rsidRPr="009A6348">
        <w:rPr>
          <w:color w:val="auto"/>
        </w:rPr>
        <w:t>président du Conseil de l</w:t>
      </w:r>
      <w:r w:rsidR="00003939" w:rsidRPr="009A6348">
        <w:rPr>
          <w:color w:val="auto"/>
        </w:rPr>
        <w:t>’</w:t>
      </w:r>
      <w:r w:rsidRPr="009A6348">
        <w:rPr>
          <w:color w:val="auto"/>
        </w:rPr>
        <w:t>UPOV</w:t>
      </w:r>
      <w:bookmarkEnd w:id="18"/>
    </w:p>
    <w:p w:rsidR="00864654" w:rsidRPr="009A6348" w:rsidRDefault="00864654" w:rsidP="00D821B9">
      <w:pPr>
        <w:keepNext/>
        <w:autoSpaceDE w:val="0"/>
        <w:autoSpaceDN w:val="0"/>
        <w:adjustRightInd w:val="0"/>
        <w:jc w:val="left"/>
        <w:rPr>
          <w:rFonts w:cs="Arial"/>
          <w:lang w:val="fr-FR"/>
        </w:rPr>
      </w:pPr>
    </w:p>
    <w:p w:rsidR="00677E0A" w:rsidRPr="009A6348" w:rsidRDefault="00857963" w:rsidP="00677E0A">
      <w:pPr>
        <w:autoSpaceDE w:val="0"/>
        <w:autoSpaceDN w:val="0"/>
        <w:adjustRightInd w:val="0"/>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677E0A" w:rsidRPr="009A6348">
        <w:rPr>
          <w:rFonts w:cs="Arial"/>
          <w:lang w:val="fr-FR"/>
        </w:rPr>
        <w:t>À sa quarante</w:t>
      </w:r>
      <w:r w:rsidR="00BA2AFF" w:rsidRPr="009A6348">
        <w:rPr>
          <w:rFonts w:cs="Arial"/>
          <w:lang w:val="fr-FR"/>
        </w:rPr>
        <w:noBreakHyphen/>
      </w:r>
      <w:r w:rsidR="00677E0A" w:rsidRPr="009A6348">
        <w:rPr>
          <w:rFonts w:cs="Arial"/>
          <w:lang w:val="fr-FR"/>
        </w:rPr>
        <w:t>neuvième</w:t>
      </w:r>
      <w:r w:rsidR="007046A2" w:rsidRPr="009A6348">
        <w:rPr>
          <w:rFonts w:cs="Arial"/>
          <w:lang w:val="fr-FR"/>
        </w:rPr>
        <w:t> </w:t>
      </w:r>
      <w:r w:rsidR="00677E0A" w:rsidRPr="009A6348">
        <w:rPr>
          <w:rFonts w:cs="Arial"/>
          <w:lang w:val="fr-FR"/>
        </w:rPr>
        <w:t>session ordinaire, le Conseil a élu, dans chaque cas pour un mandat de trois</w:t>
      </w:r>
      <w:r w:rsidR="007046A2" w:rsidRPr="009A6348">
        <w:rPr>
          <w:rFonts w:cs="Arial"/>
          <w:lang w:val="fr-FR"/>
        </w:rPr>
        <w:t> </w:t>
      </w:r>
      <w:r w:rsidR="00677E0A" w:rsidRPr="009A6348">
        <w:rPr>
          <w:rFonts w:cs="Arial"/>
          <w:lang w:val="fr-FR"/>
        </w:rPr>
        <w:t>an</w:t>
      </w:r>
      <w:r w:rsidR="00864654" w:rsidRPr="009A6348">
        <w:rPr>
          <w:rFonts w:cs="Arial"/>
          <w:lang w:val="fr-FR"/>
        </w:rPr>
        <w:t>s prenant fin avec la cinquante</w:t>
      </w:r>
      <w:r w:rsidR="00BA2AFF" w:rsidRPr="009A6348">
        <w:rPr>
          <w:rFonts w:cs="Arial"/>
          <w:lang w:val="fr-FR"/>
        </w:rPr>
        <w:noBreakHyphen/>
      </w:r>
      <w:r w:rsidR="00677E0A" w:rsidRPr="009A6348">
        <w:rPr>
          <w:rFonts w:cs="Arial"/>
          <w:lang w:val="fr-FR"/>
        </w:rPr>
        <w:t>deuxième</w:t>
      </w:r>
      <w:r w:rsidR="007046A2" w:rsidRPr="009A6348">
        <w:rPr>
          <w:rFonts w:cs="Arial"/>
          <w:lang w:val="fr-FR"/>
        </w:rPr>
        <w:t> </w:t>
      </w:r>
      <w:r w:rsidR="00677E0A" w:rsidRPr="009A6348">
        <w:rPr>
          <w:rFonts w:cs="Arial"/>
          <w:lang w:val="fr-FR"/>
        </w:rPr>
        <w:t>session ordinaire du Conseil, en</w:t>
      </w:r>
      <w:r w:rsidR="007046A2" w:rsidRPr="009A6348">
        <w:rPr>
          <w:rFonts w:cs="Arial"/>
          <w:lang w:val="fr-FR"/>
        </w:rPr>
        <w:t> </w:t>
      </w:r>
      <w:r w:rsidR="00677E0A" w:rsidRPr="009A6348">
        <w:rPr>
          <w:rFonts w:cs="Arial"/>
          <w:lang w:val="fr-FR"/>
        </w:rPr>
        <w:t>2018</w:t>
      </w:r>
      <w:r w:rsidR="007046A2" w:rsidRPr="009A6348">
        <w:rPr>
          <w:rFonts w:cs="Arial"/>
          <w:lang w:val="fr-FR"/>
        </w:rPr>
        <w:t> </w:t>
      </w:r>
      <w:r w:rsidR="00677E0A" w:rsidRPr="009A6348">
        <w:rPr>
          <w:rFonts w:cs="Arial"/>
          <w:lang w:val="fr-FR"/>
        </w:rPr>
        <w:t>:</w:t>
      </w:r>
    </w:p>
    <w:p w:rsidR="00677E0A" w:rsidRPr="009A6348" w:rsidRDefault="00677E0A" w:rsidP="00857963">
      <w:pPr>
        <w:autoSpaceDE w:val="0"/>
        <w:autoSpaceDN w:val="0"/>
        <w:adjustRightInd w:val="0"/>
        <w:jc w:val="left"/>
        <w:rPr>
          <w:rFonts w:cs="Arial"/>
          <w:lang w:val="fr-FR"/>
        </w:rPr>
      </w:pPr>
    </w:p>
    <w:p w:rsidR="00677E0A" w:rsidRPr="009A6348" w:rsidRDefault="00807573" w:rsidP="00857963">
      <w:pPr>
        <w:autoSpaceDE w:val="0"/>
        <w:autoSpaceDN w:val="0"/>
        <w:adjustRightInd w:val="0"/>
        <w:ind w:left="567"/>
        <w:jc w:val="left"/>
        <w:rPr>
          <w:rFonts w:cs="Arial"/>
          <w:lang w:val="fr-FR"/>
        </w:rPr>
      </w:pPr>
      <w:r w:rsidRPr="009A6348">
        <w:rPr>
          <w:rFonts w:cs="Arial"/>
          <w:lang w:val="fr-FR"/>
        </w:rPr>
        <w:t>a)</w:t>
      </w:r>
      <w:r w:rsidRPr="009A6348">
        <w:rPr>
          <w:rFonts w:cs="Arial"/>
          <w:lang w:val="fr-FR"/>
        </w:rPr>
        <w:tab/>
      </w:r>
      <w:r w:rsidR="00864654" w:rsidRPr="009A6348">
        <w:rPr>
          <w:rFonts w:cs="Arial"/>
          <w:lang w:val="fr-FR"/>
        </w:rPr>
        <w:t>M. </w:t>
      </w:r>
      <w:r w:rsidR="00857963" w:rsidRPr="009A6348">
        <w:rPr>
          <w:rFonts w:cs="Arial"/>
          <w:lang w:val="fr-FR"/>
        </w:rPr>
        <w:t>Luis</w:t>
      </w:r>
      <w:r w:rsidR="00864654" w:rsidRPr="009A6348">
        <w:rPr>
          <w:rFonts w:cs="Arial"/>
          <w:lang w:val="fr-FR"/>
        </w:rPr>
        <w:t> </w:t>
      </w:r>
      <w:r w:rsidR="00857963" w:rsidRPr="009A6348">
        <w:rPr>
          <w:rFonts w:cs="Arial"/>
          <w:lang w:val="fr-FR"/>
        </w:rPr>
        <w:t xml:space="preserve">Salaices </w:t>
      </w:r>
      <w:proofErr w:type="spellStart"/>
      <w:r w:rsidR="00857963" w:rsidRPr="009A6348">
        <w:rPr>
          <w:rFonts w:cs="Arial"/>
          <w:lang w:val="fr-FR"/>
        </w:rPr>
        <w:t>Sánchez</w:t>
      </w:r>
      <w:proofErr w:type="spellEnd"/>
      <w:r w:rsidR="00857963" w:rsidRPr="009A6348">
        <w:rPr>
          <w:rFonts w:cs="Arial"/>
          <w:lang w:val="fr-FR"/>
        </w:rPr>
        <w:t xml:space="preserve"> (</w:t>
      </w:r>
      <w:r w:rsidR="00864654" w:rsidRPr="009A6348">
        <w:rPr>
          <w:rFonts w:cs="Arial"/>
          <w:lang w:val="fr-FR"/>
        </w:rPr>
        <w:t>Espagne</w:t>
      </w:r>
      <w:r w:rsidR="00857963" w:rsidRPr="009A6348">
        <w:rPr>
          <w:rFonts w:cs="Arial"/>
          <w:lang w:val="fr-FR"/>
        </w:rPr>
        <w:t xml:space="preserve">), </w:t>
      </w:r>
      <w:r w:rsidR="00864654" w:rsidRPr="009A6348">
        <w:rPr>
          <w:rFonts w:cs="Arial"/>
          <w:lang w:val="fr-FR"/>
        </w:rPr>
        <w:t>p</w:t>
      </w:r>
      <w:r w:rsidR="00857963" w:rsidRPr="009A6348">
        <w:rPr>
          <w:rFonts w:cs="Arial"/>
          <w:lang w:val="fr-FR"/>
        </w:rPr>
        <w:t>r</w:t>
      </w:r>
      <w:r w:rsidR="00864654" w:rsidRPr="009A6348">
        <w:rPr>
          <w:rFonts w:cs="Arial"/>
          <w:lang w:val="fr-FR"/>
        </w:rPr>
        <w:t>ésident du Conseil</w:t>
      </w:r>
      <w:r w:rsidR="00857963" w:rsidRPr="009A6348">
        <w:rPr>
          <w:rFonts w:cs="Arial"/>
          <w:lang w:val="fr-FR"/>
        </w:rPr>
        <w:t>;</w:t>
      </w:r>
    </w:p>
    <w:p w:rsidR="00677E0A" w:rsidRPr="009A6348" w:rsidRDefault="00807573" w:rsidP="00857963">
      <w:pPr>
        <w:autoSpaceDE w:val="0"/>
        <w:autoSpaceDN w:val="0"/>
        <w:adjustRightInd w:val="0"/>
        <w:ind w:left="567"/>
        <w:jc w:val="left"/>
        <w:rPr>
          <w:rFonts w:cs="Arial"/>
          <w:lang w:val="fr-FR"/>
        </w:rPr>
      </w:pPr>
      <w:r w:rsidRPr="009A6348">
        <w:rPr>
          <w:rFonts w:cs="Arial"/>
          <w:lang w:val="fr-FR"/>
        </w:rPr>
        <w:t>b)</w:t>
      </w:r>
      <w:r w:rsidRPr="009A6348">
        <w:rPr>
          <w:rFonts w:cs="Arial"/>
          <w:lang w:val="fr-FR"/>
        </w:rPr>
        <w:tab/>
      </w:r>
      <w:r w:rsidR="00857963" w:rsidRPr="009A6348">
        <w:rPr>
          <w:rFonts w:cs="Arial"/>
          <w:lang w:val="fr-FR"/>
        </w:rPr>
        <w:t>M</w:t>
      </w:r>
      <w:r w:rsidR="00864654" w:rsidRPr="009A6348">
        <w:rPr>
          <w:rFonts w:cs="Arial"/>
          <w:lang w:val="fr-FR"/>
        </w:rPr>
        <w:t>. </w:t>
      </w:r>
      <w:proofErr w:type="spellStart"/>
      <w:r w:rsidR="00857963" w:rsidRPr="009A6348">
        <w:rPr>
          <w:rFonts w:cs="Arial"/>
          <w:lang w:val="fr-FR"/>
        </w:rPr>
        <w:t>Raimundo</w:t>
      </w:r>
      <w:proofErr w:type="spellEnd"/>
      <w:r w:rsidR="00864654" w:rsidRPr="009A6348">
        <w:rPr>
          <w:rFonts w:cs="Arial"/>
          <w:lang w:val="fr-FR"/>
        </w:rPr>
        <w:t> </w:t>
      </w:r>
      <w:proofErr w:type="spellStart"/>
      <w:r w:rsidR="00857963" w:rsidRPr="009A6348">
        <w:rPr>
          <w:rFonts w:cs="Arial"/>
          <w:lang w:val="fr-FR"/>
        </w:rPr>
        <w:t>Lavignolle</w:t>
      </w:r>
      <w:proofErr w:type="spellEnd"/>
      <w:r w:rsidR="00857963" w:rsidRPr="009A6348">
        <w:rPr>
          <w:rFonts w:cs="Arial"/>
          <w:lang w:val="fr-FR"/>
        </w:rPr>
        <w:t xml:space="preserve"> (Argentin</w:t>
      </w:r>
      <w:r w:rsidR="00864654" w:rsidRPr="009A6348">
        <w:rPr>
          <w:rFonts w:cs="Arial"/>
          <w:lang w:val="fr-FR"/>
        </w:rPr>
        <w:t>e), v</w:t>
      </w:r>
      <w:r w:rsidR="00857963" w:rsidRPr="009A6348">
        <w:rPr>
          <w:rFonts w:cs="Arial"/>
          <w:lang w:val="fr-FR"/>
        </w:rPr>
        <w:t>ice</w:t>
      </w:r>
      <w:r w:rsidR="00BA2AFF" w:rsidRPr="009A6348">
        <w:rPr>
          <w:rFonts w:cs="Arial"/>
          <w:lang w:val="fr-FR"/>
        </w:rPr>
        <w:noBreakHyphen/>
      </w:r>
      <w:r w:rsidR="00864654" w:rsidRPr="009A6348">
        <w:rPr>
          <w:rFonts w:cs="Arial"/>
          <w:lang w:val="fr-FR"/>
        </w:rPr>
        <w:t>président du Conseil</w:t>
      </w:r>
      <w:r w:rsidR="00857963" w:rsidRPr="009A6348">
        <w:rPr>
          <w:rFonts w:cs="Arial"/>
          <w:lang w:val="fr-FR"/>
        </w:rPr>
        <w:t>.</w:t>
      </w:r>
    </w:p>
    <w:p w:rsidR="00677E0A" w:rsidRPr="009A6348" w:rsidRDefault="00677E0A" w:rsidP="00857963">
      <w:pPr>
        <w:autoSpaceDE w:val="0"/>
        <w:autoSpaceDN w:val="0"/>
        <w:adjustRightInd w:val="0"/>
        <w:jc w:val="left"/>
        <w:rPr>
          <w:rFonts w:cs="Arial"/>
          <w:lang w:val="fr-FR"/>
        </w:rPr>
      </w:pPr>
    </w:p>
    <w:p w:rsidR="00677E0A" w:rsidRPr="009A6348" w:rsidRDefault="00857963" w:rsidP="00677E0A">
      <w:pPr>
        <w:autoSpaceDE w:val="0"/>
        <w:autoSpaceDN w:val="0"/>
        <w:adjustRightInd w:val="0"/>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677E0A" w:rsidRPr="009A6348">
        <w:rPr>
          <w:rFonts w:cs="Arial"/>
          <w:lang w:val="fr-FR"/>
        </w:rPr>
        <w:t>Le Secrétaire général de l</w:t>
      </w:r>
      <w:r w:rsidR="00003939" w:rsidRPr="009A6348">
        <w:rPr>
          <w:rFonts w:cs="Arial"/>
          <w:lang w:val="fr-FR"/>
        </w:rPr>
        <w:t>’</w:t>
      </w:r>
      <w:r w:rsidR="00677E0A" w:rsidRPr="009A6348">
        <w:rPr>
          <w:rFonts w:cs="Arial"/>
          <w:lang w:val="fr-FR"/>
        </w:rPr>
        <w:t>UPOV, M.</w:t>
      </w:r>
      <w:r w:rsidR="007046A2" w:rsidRPr="009A6348">
        <w:rPr>
          <w:rFonts w:cs="Arial"/>
          <w:lang w:val="fr-FR"/>
        </w:rPr>
        <w:t> </w:t>
      </w:r>
      <w:r w:rsidR="00677E0A" w:rsidRPr="009A6348">
        <w:rPr>
          <w:rFonts w:cs="Arial"/>
          <w:lang w:val="fr-FR"/>
        </w:rPr>
        <w:t>Francis Gurry, a décerné à Mme</w:t>
      </w:r>
      <w:r w:rsidR="007046A2" w:rsidRPr="009A6348">
        <w:rPr>
          <w:rFonts w:cs="Arial"/>
          <w:lang w:val="fr-FR"/>
        </w:rPr>
        <w:t> </w:t>
      </w:r>
      <w:r w:rsidR="0084644D" w:rsidRPr="009A6348">
        <w:rPr>
          <w:rFonts w:cs="Arial"/>
          <w:lang w:val="fr-FR"/>
        </w:rPr>
        <w:t>Kitisri </w:t>
      </w:r>
      <w:r w:rsidR="00677E0A" w:rsidRPr="009A6348">
        <w:rPr>
          <w:rFonts w:cs="Arial"/>
          <w:lang w:val="fr-FR"/>
        </w:rPr>
        <w:t>Sukhapinda (États</w:t>
      </w:r>
      <w:r w:rsidR="00BA2AFF" w:rsidRPr="009A6348">
        <w:rPr>
          <w:rFonts w:cs="Arial"/>
          <w:lang w:val="fr-FR"/>
        </w:rPr>
        <w:noBreakHyphen/>
      </w:r>
      <w:r w:rsidR="00677E0A" w:rsidRPr="009A6348">
        <w:rPr>
          <w:rFonts w:cs="Arial"/>
          <w:lang w:val="fr-FR"/>
        </w:rPr>
        <w:t>Unis d</w:t>
      </w:r>
      <w:r w:rsidR="00003939" w:rsidRPr="009A6348">
        <w:rPr>
          <w:rFonts w:cs="Arial"/>
          <w:lang w:val="fr-FR"/>
        </w:rPr>
        <w:t>’</w:t>
      </w:r>
      <w:r w:rsidR="00677E0A" w:rsidRPr="009A6348">
        <w:rPr>
          <w:rFonts w:cs="Arial"/>
          <w:lang w:val="fr-FR"/>
        </w:rPr>
        <w:t>Amérique) une médaille d</w:t>
      </w:r>
      <w:r w:rsidR="00003939" w:rsidRPr="009A6348">
        <w:rPr>
          <w:rFonts w:cs="Arial"/>
          <w:lang w:val="fr-FR"/>
        </w:rPr>
        <w:t>’</w:t>
      </w:r>
      <w:r w:rsidR="00677E0A" w:rsidRPr="009A6348">
        <w:rPr>
          <w:rFonts w:cs="Arial"/>
          <w:lang w:val="fr-FR"/>
        </w:rPr>
        <w:t>or de l</w:t>
      </w:r>
      <w:r w:rsidR="00003939" w:rsidRPr="009A6348">
        <w:rPr>
          <w:rFonts w:cs="Arial"/>
          <w:lang w:val="fr-FR"/>
        </w:rPr>
        <w:t>’</w:t>
      </w:r>
      <w:r w:rsidR="00677E0A" w:rsidRPr="009A6348">
        <w:rPr>
          <w:rFonts w:cs="Arial"/>
          <w:lang w:val="fr-FR"/>
        </w:rPr>
        <w:t>UPOV en reconnaissance de sa contribution apportée durant son mandat de présidente du Conseil de l</w:t>
      </w:r>
      <w:r w:rsidR="00003939" w:rsidRPr="009A6348">
        <w:rPr>
          <w:rFonts w:cs="Arial"/>
          <w:lang w:val="fr-FR"/>
        </w:rPr>
        <w:t>’</w:t>
      </w:r>
      <w:r w:rsidR="00677E0A" w:rsidRPr="009A6348">
        <w:rPr>
          <w:rFonts w:cs="Arial"/>
          <w:lang w:val="fr-FR"/>
        </w:rPr>
        <w:t xml:space="preserve">UPOV du </w:t>
      </w:r>
      <w:r w:rsidR="009673A3" w:rsidRPr="009A6348">
        <w:rPr>
          <w:rFonts w:cs="Arial"/>
          <w:lang w:val="fr-FR"/>
        </w:rPr>
        <w:t>2 novembre 20</w:t>
      </w:r>
      <w:r w:rsidR="00677E0A" w:rsidRPr="009A6348">
        <w:rPr>
          <w:rFonts w:cs="Arial"/>
          <w:lang w:val="fr-FR"/>
        </w:rPr>
        <w:t>12 au 2</w:t>
      </w:r>
      <w:r w:rsidR="009673A3" w:rsidRPr="009A6348">
        <w:rPr>
          <w:rFonts w:cs="Arial"/>
          <w:lang w:val="fr-FR"/>
        </w:rPr>
        <w:t>9 octobre 20</w:t>
      </w:r>
      <w:r w:rsidR="00677E0A" w:rsidRPr="009A6348">
        <w:rPr>
          <w:rFonts w:cs="Arial"/>
          <w:lang w:val="fr-FR"/>
        </w:rPr>
        <w:t>15.</w:t>
      </w:r>
    </w:p>
    <w:p w:rsidR="00677E0A" w:rsidRPr="009A6348" w:rsidRDefault="00677E0A" w:rsidP="00B02D38">
      <w:pPr>
        <w:rPr>
          <w:rFonts w:cs="Arial"/>
          <w:lang w:val="fr-FR"/>
        </w:rPr>
      </w:pPr>
    </w:p>
    <w:p w:rsidR="009673A3" w:rsidRPr="009A6348" w:rsidRDefault="00D35138" w:rsidP="00014AE7">
      <w:pPr>
        <w:pStyle w:val="Heading2"/>
        <w:rPr>
          <w:color w:val="auto"/>
        </w:rPr>
      </w:pPr>
      <w:bookmarkStart w:id="19" w:name="_Toc444761376"/>
      <w:r w:rsidRPr="009A6348">
        <w:rPr>
          <w:color w:val="auto"/>
        </w:rPr>
        <w:t>Calend</w:t>
      </w:r>
      <w:r w:rsidR="00864654" w:rsidRPr="009A6348">
        <w:rPr>
          <w:color w:val="auto"/>
        </w:rPr>
        <w:t>rier des réunions</w:t>
      </w:r>
      <w:bookmarkEnd w:id="19"/>
    </w:p>
    <w:p w:rsidR="00677E0A" w:rsidRPr="009A6348" w:rsidRDefault="00677E0A" w:rsidP="00B02D38">
      <w:pPr>
        <w:rPr>
          <w:rFonts w:cs="Arial"/>
          <w:lang w:val="fr-FR"/>
        </w:rPr>
      </w:pPr>
    </w:p>
    <w:p w:rsidR="00677E0A" w:rsidRPr="009A6348" w:rsidRDefault="00014AE7" w:rsidP="00014AE7">
      <w:pPr>
        <w:rPr>
          <w:snapToGrid w:val="0"/>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BC7B3C" w:rsidRPr="009A6348">
        <w:rPr>
          <w:lang w:val="fr-FR"/>
        </w:rPr>
        <w:t>Le Comité administratif et juridique (CAJ)</w:t>
      </w:r>
      <w:r w:rsidR="009A6348">
        <w:rPr>
          <w:lang w:val="fr-FR"/>
        </w:rPr>
        <w:t>,</w:t>
      </w:r>
      <w:r w:rsidR="00BC7B3C" w:rsidRPr="009A6348">
        <w:rPr>
          <w:lang w:val="fr-FR"/>
        </w:rPr>
        <w:t xml:space="preserve"> à sa soixante</w:t>
      </w:r>
      <w:r w:rsidR="00BA2AFF" w:rsidRPr="009A6348">
        <w:rPr>
          <w:lang w:val="fr-FR"/>
        </w:rPr>
        <w:noBreakHyphen/>
      </w:r>
      <w:r w:rsidR="00BC7B3C" w:rsidRPr="009A6348">
        <w:rPr>
          <w:lang w:val="fr-FR"/>
        </w:rPr>
        <w:t>douzième</w:t>
      </w:r>
      <w:r w:rsidR="007046A2" w:rsidRPr="009A6348">
        <w:rPr>
          <w:lang w:val="fr-FR"/>
        </w:rPr>
        <w:t> </w:t>
      </w:r>
      <w:r w:rsidR="00BC7B3C" w:rsidRPr="009A6348">
        <w:rPr>
          <w:lang w:val="fr-FR"/>
        </w:rPr>
        <w:t>session tenue à Genève les 26 et 2</w:t>
      </w:r>
      <w:r w:rsidR="009673A3" w:rsidRPr="009A6348">
        <w:rPr>
          <w:lang w:val="fr-FR"/>
        </w:rPr>
        <w:t>7 octobre 20</w:t>
      </w:r>
      <w:r w:rsidR="00BC7B3C" w:rsidRPr="009A6348">
        <w:rPr>
          <w:lang w:val="fr-FR"/>
        </w:rPr>
        <w:t>15</w:t>
      </w:r>
      <w:r w:rsidR="007046A2" w:rsidRPr="009A6348">
        <w:rPr>
          <w:lang w:val="fr-FR"/>
        </w:rPr>
        <w:t> </w:t>
      </w:r>
      <w:r w:rsidRPr="009A6348">
        <w:rPr>
          <w:snapToGrid w:val="0"/>
          <w:lang w:val="fr-FR"/>
        </w:rPr>
        <w:t>:</w:t>
      </w:r>
    </w:p>
    <w:p w:rsidR="00677E0A" w:rsidRPr="009A6348" w:rsidRDefault="00677E0A" w:rsidP="00014AE7">
      <w:pPr>
        <w:rPr>
          <w:snapToGrid w:val="0"/>
          <w:lang w:val="fr-FR"/>
        </w:rPr>
      </w:pPr>
    </w:p>
    <w:p w:rsidR="00677E0A" w:rsidRPr="009A6348" w:rsidRDefault="00014AE7" w:rsidP="00807573">
      <w:pPr>
        <w:ind w:firstLine="567"/>
        <w:rPr>
          <w:snapToGrid w:val="0"/>
          <w:lang w:val="fr-FR"/>
        </w:rPr>
      </w:pPr>
      <w:r w:rsidRPr="009A6348">
        <w:rPr>
          <w:snapToGrid w:val="0"/>
          <w:lang w:val="fr-FR"/>
        </w:rPr>
        <w:t xml:space="preserve">a) </w:t>
      </w:r>
      <w:r w:rsidRPr="009A6348">
        <w:rPr>
          <w:snapToGrid w:val="0"/>
          <w:lang w:val="fr-FR"/>
        </w:rPr>
        <w:tab/>
      </w:r>
      <w:r w:rsidR="00D61A5D" w:rsidRPr="009A6348">
        <w:rPr>
          <w:snapToGrid w:val="0"/>
          <w:lang w:val="fr-FR"/>
        </w:rPr>
        <w:t xml:space="preserve">a proposé de ne pas tenir de session en </w:t>
      </w:r>
      <w:r w:rsidR="00003939" w:rsidRPr="009A6348">
        <w:rPr>
          <w:snapToGrid w:val="0"/>
          <w:lang w:val="fr-FR"/>
        </w:rPr>
        <w:t>mars 20</w:t>
      </w:r>
      <w:r w:rsidR="00D61A5D" w:rsidRPr="009A6348">
        <w:rPr>
          <w:snapToGrid w:val="0"/>
          <w:lang w:val="fr-FR"/>
        </w:rPr>
        <w:t>16 et de tenir une session de deux</w:t>
      </w:r>
      <w:r w:rsidR="003E77D0" w:rsidRPr="009A6348">
        <w:rPr>
          <w:snapToGrid w:val="0"/>
          <w:lang w:val="fr-FR"/>
        </w:rPr>
        <w:t> </w:t>
      </w:r>
      <w:r w:rsidR="00D61A5D" w:rsidRPr="009A6348">
        <w:rPr>
          <w:snapToGrid w:val="0"/>
          <w:lang w:val="fr-FR"/>
        </w:rPr>
        <w:t xml:space="preserve">jours en </w:t>
      </w:r>
      <w:r w:rsidR="00003939" w:rsidRPr="009A6348">
        <w:rPr>
          <w:snapToGrid w:val="0"/>
          <w:lang w:val="fr-FR"/>
        </w:rPr>
        <w:t>octobre 20</w:t>
      </w:r>
      <w:r w:rsidR="00D61A5D" w:rsidRPr="009A6348">
        <w:rPr>
          <w:snapToGrid w:val="0"/>
          <w:lang w:val="fr-FR"/>
        </w:rPr>
        <w:t>16</w:t>
      </w:r>
      <w:r w:rsidR="008C7DEC" w:rsidRPr="009A6348">
        <w:rPr>
          <w:snapToGrid w:val="0"/>
          <w:lang w:val="fr-FR"/>
        </w:rPr>
        <w:t>;</w:t>
      </w:r>
    </w:p>
    <w:p w:rsidR="00677E0A" w:rsidRPr="009A6348" w:rsidRDefault="00677E0A" w:rsidP="00807573">
      <w:pPr>
        <w:ind w:firstLine="567"/>
        <w:rPr>
          <w:snapToGrid w:val="0"/>
          <w:lang w:val="fr-FR"/>
        </w:rPr>
      </w:pPr>
    </w:p>
    <w:p w:rsidR="00677E0A" w:rsidRPr="009A6348" w:rsidRDefault="00014AE7" w:rsidP="00807573">
      <w:pPr>
        <w:ind w:firstLine="567"/>
        <w:rPr>
          <w:rFonts w:cs="Arial"/>
          <w:snapToGrid w:val="0"/>
          <w:lang w:val="fr-FR" w:eastAsia="ja-JP"/>
        </w:rPr>
      </w:pPr>
      <w:r w:rsidRPr="009A6348">
        <w:rPr>
          <w:snapToGrid w:val="0"/>
          <w:lang w:val="fr-FR"/>
        </w:rPr>
        <w:t>b)</w:t>
      </w:r>
      <w:r w:rsidRPr="009A6348">
        <w:rPr>
          <w:snapToGrid w:val="0"/>
          <w:lang w:val="fr-FR"/>
        </w:rPr>
        <w:tab/>
      </w:r>
      <w:r w:rsidR="008C7DEC" w:rsidRPr="009A6348">
        <w:rPr>
          <w:snapToGrid w:val="0"/>
          <w:lang w:val="fr-FR"/>
        </w:rPr>
        <w:t>est convenu d</w:t>
      </w:r>
      <w:r w:rsidR="00003939" w:rsidRPr="009A6348">
        <w:rPr>
          <w:snapToGrid w:val="0"/>
          <w:lang w:val="fr-FR"/>
        </w:rPr>
        <w:t>’</w:t>
      </w:r>
      <w:r w:rsidR="008C7DEC" w:rsidRPr="009A6348">
        <w:rPr>
          <w:snapToGrid w:val="0"/>
          <w:lang w:val="fr-FR"/>
        </w:rPr>
        <w:t>élargir le mandat et la composition du Groupe de travail sur l</w:t>
      </w:r>
      <w:r w:rsidR="00003939" w:rsidRPr="009A6348">
        <w:rPr>
          <w:snapToGrid w:val="0"/>
          <w:lang w:val="fr-FR"/>
        </w:rPr>
        <w:t>’</w:t>
      </w:r>
      <w:r w:rsidR="008C7DEC" w:rsidRPr="009A6348">
        <w:rPr>
          <w:snapToGrid w:val="0"/>
          <w:lang w:val="fr-FR"/>
        </w:rPr>
        <w:t>élaboration d</w:t>
      </w:r>
      <w:r w:rsidR="00003939" w:rsidRPr="009A6348">
        <w:rPr>
          <w:snapToGrid w:val="0"/>
          <w:lang w:val="fr-FR"/>
        </w:rPr>
        <w:t>’</w:t>
      </w:r>
      <w:r w:rsidR="008C7DEC" w:rsidRPr="009A6348">
        <w:rPr>
          <w:snapToGrid w:val="0"/>
          <w:lang w:val="fr-FR"/>
        </w:rPr>
        <w:t>un moteur de recherche de similitudes de l</w:t>
      </w:r>
      <w:r w:rsidR="00003939" w:rsidRPr="009A6348">
        <w:rPr>
          <w:snapToGrid w:val="0"/>
          <w:lang w:val="fr-FR"/>
        </w:rPr>
        <w:t>’</w:t>
      </w:r>
      <w:r w:rsidR="008C7DEC" w:rsidRPr="009A6348">
        <w:rPr>
          <w:snapToGrid w:val="0"/>
          <w:lang w:val="fr-FR"/>
        </w:rPr>
        <w:t>UPOV aux fins de la dénomination variétale afin de formuler des recommandations pour</w:t>
      </w:r>
      <w:r w:rsidR="00003939" w:rsidRPr="009A6348">
        <w:rPr>
          <w:snapToGrid w:val="0"/>
          <w:lang w:val="fr-FR"/>
        </w:rPr>
        <w:t xml:space="preserve"> le CAJ</w:t>
      </w:r>
      <w:r w:rsidR="008C7DEC" w:rsidRPr="009A6348">
        <w:rPr>
          <w:snapToGrid w:val="0"/>
          <w:lang w:val="fr-FR"/>
        </w:rPr>
        <w:t xml:space="preserve"> au sujet de la révision du document UPOV/INF/12 “Notes explicatives sur les dénominations variétales selon la </w:t>
      </w:r>
      <w:r w:rsidR="00003939" w:rsidRPr="009A6348">
        <w:rPr>
          <w:snapToGrid w:val="0"/>
          <w:lang w:val="fr-FR"/>
        </w:rPr>
        <w:t>Convention UPOV</w:t>
      </w:r>
      <w:r w:rsidR="008C7DEC" w:rsidRPr="009A6348">
        <w:rPr>
          <w:snapToGrid w:val="0"/>
          <w:lang w:val="fr-FR"/>
        </w:rPr>
        <w:t>” (qui deviendra le Groupe de travail sur les dénominations variétales (WG</w:t>
      </w:r>
      <w:r w:rsidR="00BA2AFF" w:rsidRPr="009A6348">
        <w:rPr>
          <w:snapToGrid w:val="0"/>
          <w:lang w:val="fr-FR"/>
        </w:rPr>
        <w:noBreakHyphen/>
        <w:t>DEN</w:t>
      </w:r>
      <w:r w:rsidR="008C7DEC" w:rsidRPr="009A6348">
        <w:rPr>
          <w:snapToGrid w:val="0"/>
          <w:lang w:val="fr-FR"/>
        </w:rPr>
        <w:t>) et propose que le WG</w:t>
      </w:r>
      <w:r w:rsidR="00BA2AFF" w:rsidRPr="009A6348">
        <w:rPr>
          <w:snapToGrid w:val="0"/>
          <w:lang w:val="fr-FR"/>
        </w:rPr>
        <w:noBreakHyphen/>
      </w:r>
      <w:r w:rsidR="008C7DEC" w:rsidRPr="009A6348">
        <w:rPr>
          <w:snapToGrid w:val="0"/>
          <w:lang w:val="fr-FR"/>
        </w:rPr>
        <w:t xml:space="preserve">DEN se réunisse en </w:t>
      </w:r>
      <w:r w:rsidR="00003939" w:rsidRPr="009A6348">
        <w:rPr>
          <w:snapToGrid w:val="0"/>
          <w:lang w:val="fr-FR"/>
        </w:rPr>
        <w:t>mars 20</w:t>
      </w:r>
      <w:r w:rsidR="008C7DEC" w:rsidRPr="009A6348">
        <w:rPr>
          <w:snapToGrid w:val="0"/>
          <w:lang w:val="fr-FR"/>
        </w:rPr>
        <w:t>16, la semaine où auront lieu les sessions de l</w:t>
      </w:r>
      <w:r w:rsidR="00003939" w:rsidRPr="009A6348">
        <w:rPr>
          <w:snapToGrid w:val="0"/>
          <w:lang w:val="fr-FR"/>
        </w:rPr>
        <w:t>’</w:t>
      </w:r>
      <w:r w:rsidR="008C7DEC" w:rsidRPr="009A6348">
        <w:rPr>
          <w:snapToGrid w:val="0"/>
          <w:lang w:val="fr-FR"/>
        </w:rPr>
        <w:t>UPOV</w:t>
      </w:r>
      <w:r w:rsidRPr="009A6348">
        <w:rPr>
          <w:rFonts w:cs="Arial"/>
          <w:snapToGrid w:val="0"/>
          <w:lang w:val="fr-FR" w:eastAsia="ja-JP"/>
        </w:rPr>
        <w:t>;</w:t>
      </w:r>
    </w:p>
    <w:p w:rsidR="00677E0A" w:rsidRPr="009A6348" w:rsidRDefault="00677E0A" w:rsidP="00807573">
      <w:pPr>
        <w:ind w:firstLine="567"/>
        <w:rPr>
          <w:rFonts w:cs="Arial"/>
          <w:snapToGrid w:val="0"/>
          <w:lang w:val="fr-FR" w:eastAsia="ja-JP"/>
        </w:rPr>
      </w:pPr>
    </w:p>
    <w:p w:rsidR="00677E0A" w:rsidRPr="009A6348" w:rsidRDefault="00014AE7" w:rsidP="00807573">
      <w:pPr>
        <w:ind w:firstLine="567"/>
        <w:rPr>
          <w:rFonts w:cs="Arial"/>
          <w:snapToGrid w:val="0"/>
          <w:lang w:val="fr-FR" w:eastAsia="ja-JP"/>
        </w:rPr>
      </w:pPr>
      <w:r w:rsidRPr="009A6348">
        <w:rPr>
          <w:rFonts w:cs="Arial"/>
          <w:snapToGrid w:val="0"/>
          <w:lang w:val="fr-FR" w:eastAsia="ja-JP"/>
        </w:rPr>
        <w:t>c)</w:t>
      </w:r>
      <w:r w:rsidRPr="009A6348">
        <w:rPr>
          <w:rFonts w:cs="Arial"/>
          <w:snapToGrid w:val="0"/>
          <w:lang w:val="fr-FR" w:eastAsia="ja-JP"/>
        </w:rPr>
        <w:tab/>
      </w:r>
      <w:r w:rsidR="00380E04" w:rsidRPr="009A6348">
        <w:rPr>
          <w:rFonts w:cs="Arial"/>
          <w:snapToGrid w:val="0"/>
          <w:lang w:val="fr-FR" w:eastAsia="ja-JP"/>
        </w:rPr>
        <w:t>est convenu de proposer au Conseil d</w:t>
      </w:r>
      <w:r w:rsidR="00003939" w:rsidRPr="009A6348">
        <w:rPr>
          <w:rFonts w:cs="Arial"/>
          <w:snapToGrid w:val="0"/>
          <w:lang w:val="fr-FR" w:eastAsia="ja-JP"/>
        </w:rPr>
        <w:t>’</w:t>
      </w:r>
      <w:r w:rsidR="00380E04" w:rsidRPr="009A6348">
        <w:rPr>
          <w:rFonts w:cs="Arial"/>
          <w:snapToGrid w:val="0"/>
          <w:lang w:val="fr-FR" w:eastAsia="ja-JP"/>
        </w:rPr>
        <w:t>organiser un séminaire d</w:t>
      </w:r>
      <w:r w:rsidR="00003939" w:rsidRPr="009A6348">
        <w:rPr>
          <w:rFonts w:cs="Arial"/>
          <w:snapToGrid w:val="0"/>
          <w:lang w:val="fr-FR" w:eastAsia="ja-JP"/>
        </w:rPr>
        <w:t>’</w:t>
      </w:r>
      <w:r w:rsidR="00380E04" w:rsidRPr="009A6348">
        <w:rPr>
          <w:rFonts w:cs="Arial"/>
          <w:snapToGrid w:val="0"/>
          <w:lang w:val="fr-FR" w:eastAsia="ja-JP"/>
        </w:rPr>
        <w:t>un jour sur le matériel de reproduction ou de multiplication végétative et le produit de la récolte, qui se tiendra conjointement avec les sessions de l</w:t>
      </w:r>
      <w:r w:rsidR="00003939" w:rsidRPr="009A6348">
        <w:rPr>
          <w:rFonts w:cs="Arial"/>
          <w:snapToGrid w:val="0"/>
          <w:lang w:val="fr-FR" w:eastAsia="ja-JP"/>
        </w:rPr>
        <w:t>’</w:t>
      </w:r>
      <w:r w:rsidR="00380E04" w:rsidRPr="009A6348">
        <w:rPr>
          <w:rFonts w:cs="Arial"/>
          <w:snapToGrid w:val="0"/>
          <w:lang w:val="fr-FR" w:eastAsia="ja-JP"/>
        </w:rPr>
        <w:t xml:space="preserve">UPOV en </w:t>
      </w:r>
      <w:r w:rsidR="00003939" w:rsidRPr="009A6348">
        <w:rPr>
          <w:rFonts w:cs="Arial"/>
          <w:snapToGrid w:val="0"/>
          <w:lang w:val="fr-FR" w:eastAsia="ja-JP"/>
        </w:rPr>
        <w:t>octobre 20</w:t>
      </w:r>
      <w:r w:rsidR="00380E04" w:rsidRPr="009A6348">
        <w:rPr>
          <w:rFonts w:cs="Arial"/>
          <w:snapToGrid w:val="0"/>
          <w:lang w:val="fr-FR" w:eastAsia="ja-JP"/>
        </w:rPr>
        <w:t>16</w:t>
      </w:r>
      <w:r w:rsidRPr="009A6348">
        <w:rPr>
          <w:rFonts w:cs="Arial"/>
          <w:snapToGrid w:val="0"/>
          <w:lang w:val="fr-FR" w:eastAsia="ja-JP"/>
        </w:rPr>
        <w:t xml:space="preserve">.  </w:t>
      </w:r>
      <w:r w:rsidR="003D2557" w:rsidRPr="009A6348">
        <w:rPr>
          <w:rFonts w:cs="Arial"/>
          <w:snapToGrid w:val="0"/>
          <w:lang w:val="fr-FR" w:eastAsia="ja-JP"/>
        </w:rPr>
        <w:t>Ce séminaire devra inclure des conférenciers qui feront rapport sur des cas où les notions de produit de la récolte ou de matériel de reproduction ou de multiplication végétative ont été examinées et des conférenciers issus d</w:t>
      </w:r>
      <w:r w:rsidR="00003939" w:rsidRPr="009A6348">
        <w:rPr>
          <w:rFonts w:cs="Arial"/>
          <w:snapToGrid w:val="0"/>
          <w:lang w:val="fr-FR" w:eastAsia="ja-JP"/>
        </w:rPr>
        <w:t>’</w:t>
      </w:r>
      <w:r w:rsidR="003D2557" w:rsidRPr="009A6348">
        <w:rPr>
          <w:rFonts w:cs="Arial"/>
          <w:snapToGrid w:val="0"/>
          <w:lang w:val="fr-FR" w:eastAsia="ja-JP"/>
        </w:rPr>
        <w:t>institutions universitaires et d</w:t>
      </w:r>
      <w:r w:rsidR="00003939" w:rsidRPr="009A6348">
        <w:rPr>
          <w:rFonts w:cs="Arial"/>
          <w:snapToGrid w:val="0"/>
          <w:lang w:val="fr-FR" w:eastAsia="ja-JP"/>
        </w:rPr>
        <w:t>’</w:t>
      </w:r>
      <w:r w:rsidR="003D2557" w:rsidRPr="009A6348">
        <w:rPr>
          <w:rFonts w:cs="Arial"/>
          <w:snapToGrid w:val="0"/>
          <w:lang w:val="fr-FR" w:eastAsia="ja-JP"/>
        </w:rPr>
        <w:t>autorités judiciaires compétentes qui s</w:t>
      </w:r>
      <w:r w:rsidR="00003939" w:rsidRPr="009A6348">
        <w:rPr>
          <w:rFonts w:cs="Arial"/>
          <w:snapToGrid w:val="0"/>
          <w:lang w:val="fr-FR" w:eastAsia="ja-JP"/>
        </w:rPr>
        <w:t>’</w:t>
      </w:r>
      <w:r w:rsidR="003D2557" w:rsidRPr="009A6348">
        <w:rPr>
          <w:rFonts w:cs="Arial"/>
          <w:snapToGrid w:val="0"/>
          <w:lang w:val="fr-FR" w:eastAsia="ja-JP"/>
        </w:rPr>
        <w:t>exprimeront sur le sujet</w:t>
      </w:r>
      <w:r w:rsidRPr="009A6348">
        <w:rPr>
          <w:rFonts w:cs="Arial"/>
          <w:snapToGrid w:val="0"/>
          <w:lang w:val="fr-FR" w:eastAsia="ja-JP"/>
        </w:rPr>
        <w:t xml:space="preserve">.  </w:t>
      </w:r>
      <w:r w:rsidR="003D2557" w:rsidRPr="009A6348">
        <w:rPr>
          <w:rFonts w:cs="Arial"/>
          <w:snapToGrid w:val="0"/>
          <w:lang w:val="fr-FR" w:eastAsia="ja-JP"/>
        </w:rPr>
        <w:t>Les membres et les observateurs</w:t>
      </w:r>
      <w:r w:rsidR="00003939" w:rsidRPr="009A6348">
        <w:rPr>
          <w:rFonts w:cs="Arial"/>
          <w:snapToGrid w:val="0"/>
          <w:lang w:val="fr-FR" w:eastAsia="ja-JP"/>
        </w:rPr>
        <w:t xml:space="preserve"> du CAJ</w:t>
      </w:r>
      <w:r w:rsidR="003D2557" w:rsidRPr="009A6348">
        <w:rPr>
          <w:rFonts w:cs="Arial"/>
          <w:snapToGrid w:val="0"/>
          <w:lang w:val="fr-FR" w:eastAsia="ja-JP"/>
        </w:rPr>
        <w:t xml:space="preserve"> seront invités à proposer des conférenciers</w:t>
      </w:r>
      <w:r w:rsidRPr="009A6348">
        <w:rPr>
          <w:rFonts w:cs="Arial"/>
          <w:snapToGrid w:val="0"/>
          <w:lang w:val="fr-FR" w:eastAsia="ja-JP"/>
        </w:rPr>
        <w:t xml:space="preserve">.  </w:t>
      </w:r>
      <w:r w:rsidR="003D2557" w:rsidRPr="009A6348">
        <w:rPr>
          <w:rFonts w:cs="Arial"/>
          <w:snapToGrid w:val="0"/>
          <w:lang w:val="fr-FR" w:eastAsia="ja-JP"/>
        </w:rPr>
        <w:t>Le Bureau de l</w:t>
      </w:r>
      <w:r w:rsidR="00003939" w:rsidRPr="009A6348">
        <w:rPr>
          <w:rFonts w:cs="Arial"/>
          <w:snapToGrid w:val="0"/>
          <w:lang w:val="fr-FR" w:eastAsia="ja-JP"/>
        </w:rPr>
        <w:t>’</w:t>
      </w:r>
      <w:r w:rsidR="003D2557" w:rsidRPr="009A6348">
        <w:rPr>
          <w:rFonts w:cs="Arial"/>
          <w:snapToGrid w:val="0"/>
          <w:lang w:val="fr-FR" w:eastAsia="ja-JP"/>
        </w:rPr>
        <w:t>Union, le président</w:t>
      </w:r>
      <w:r w:rsidR="00003939" w:rsidRPr="009A6348">
        <w:rPr>
          <w:rFonts w:cs="Arial"/>
          <w:snapToGrid w:val="0"/>
          <w:lang w:val="fr-FR" w:eastAsia="ja-JP"/>
        </w:rPr>
        <w:t xml:space="preserve"> du CAJ</w:t>
      </w:r>
      <w:r w:rsidR="003D2557" w:rsidRPr="009A6348">
        <w:rPr>
          <w:rFonts w:cs="Arial"/>
          <w:snapToGrid w:val="0"/>
          <w:lang w:val="fr-FR" w:eastAsia="ja-JP"/>
        </w:rPr>
        <w:t xml:space="preserve"> et le président du Conseil élaboreront un projet de programme pour examen par le Comité consultatif et pour approbation par le Conseil en </w:t>
      </w:r>
      <w:r w:rsidR="00003939" w:rsidRPr="009A6348">
        <w:rPr>
          <w:rFonts w:cs="Arial"/>
          <w:snapToGrid w:val="0"/>
          <w:lang w:val="fr-FR" w:eastAsia="ja-JP"/>
        </w:rPr>
        <w:t>mars 20</w:t>
      </w:r>
      <w:r w:rsidR="003D2557" w:rsidRPr="009A6348">
        <w:rPr>
          <w:rFonts w:cs="Arial"/>
          <w:snapToGrid w:val="0"/>
          <w:lang w:val="fr-FR" w:eastAsia="ja-JP"/>
        </w:rPr>
        <w:t>16.</w:t>
      </w:r>
    </w:p>
    <w:p w:rsidR="00677E0A" w:rsidRPr="009A6348" w:rsidRDefault="00677E0A" w:rsidP="00014AE7">
      <w:pPr>
        <w:ind w:firstLine="567"/>
        <w:rPr>
          <w:rFonts w:cs="Arial"/>
          <w:snapToGrid w:val="0"/>
          <w:lang w:val="fr-FR" w:eastAsia="ja-JP"/>
        </w:rPr>
      </w:pPr>
    </w:p>
    <w:p w:rsidR="00677E0A" w:rsidRPr="009A6348" w:rsidRDefault="00014AE7" w:rsidP="00014AE7">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7F0F4C" w:rsidRPr="009A6348">
        <w:rPr>
          <w:lang w:val="fr-FR"/>
        </w:rPr>
        <w:t>Le Conseil a approuvé l</w:t>
      </w:r>
      <w:r w:rsidR="00003939" w:rsidRPr="009A6348">
        <w:rPr>
          <w:lang w:val="fr-FR"/>
        </w:rPr>
        <w:t>’</w:t>
      </w:r>
      <w:r w:rsidR="007F0F4C" w:rsidRPr="009A6348">
        <w:rPr>
          <w:lang w:val="fr-FR"/>
        </w:rPr>
        <w:t xml:space="preserve">organisation du “Séminaire sur le matériel de reproduction ou de multiplication végétative et le produit de la récolte dans le contexte de la </w:t>
      </w:r>
      <w:r w:rsidR="00003939" w:rsidRPr="009A6348">
        <w:rPr>
          <w:lang w:val="fr-FR"/>
        </w:rPr>
        <w:t>Convention UPOV</w:t>
      </w:r>
      <w:r w:rsidR="007F0F4C" w:rsidRPr="009A6348">
        <w:rPr>
          <w:lang w:val="fr-FR"/>
        </w:rPr>
        <w:t>”, qui se tiendra à Genève le 2</w:t>
      </w:r>
      <w:r w:rsidR="00003939" w:rsidRPr="009A6348">
        <w:rPr>
          <w:lang w:val="fr-FR"/>
        </w:rPr>
        <w:t>4 octobre 20</w:t>
      </w:r>
      <w:r w:rsidR="00E354D9" w:rsidRPr="009A6348">
        <w:rPr>
          <w:lang w:val="fr-FR"/>
        </w:rPr>
        <w:t>16.</w:t>
      </w:r>
    </w:p>
    <w:p w:rsidR="00677E0A" w:rsidRPr="009A6348" w:rsidRDefault="00677E0A" w:rsidP="00014AE7">
      <w:pPr>
        <w:rPr>
          <w:lang w:val="fr-FR"/>
        </w:rPr>
      </w:pPr>
    </w:p>
    <w:p w:rsidR="00677E0A" w:rsidRPr="009A6348" w:rsidRDefault="00014AE7" w:rsidP="00014AE7">
      <w:pPr>
        <w:rPr>
          <w:rFonts w:cs="Arial"/>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E54779" w:rsidRPr="009A6348">
        <w:rPr>
          <w:lang w:val="fr-FR"/>
        </w:rPr>
        <w:t xml:space="preserve">À sa </w:t>
      </w:r>
      <w:r w:rsidR="0063237C" w:rsidRPr="009A6348">
        <w:rPr>
          <w:lang w:val="fr-FR"/>
        </w:rPr>
        <w:t>quatre</w:t>
      </w:r>
      <w:r w:rsidR="00BA2AFF" w:rsidRPr="009A6348">
        <w:rPr>
          <w:lang w:val="fr-FR"/>
        </w:rPr>
        <w:noBreakHyphen/>
      </w:r>
      <w:r w:rsidR="0063237C" w:rsidRPr="009A6348">
        <w:rPr>
          <w:lang w:val="fr-FR"/>
        </w:rPr>
        <w:t>vingt</w:t>
      </w:r>
      <w:r w:rsidR="00BA2AFF" w:rsidRPr="009A6348">
        <w:rPr>
          <w:lang w:val="fr-FR"/>
        </w:rPr>
        <w:noBreakHyphen/>
      </w:r>
      <w:r w:rsidR="0063237C" w:rsidRPr="009A6348">
        <w:rPr>
          <w:lang w:val="fr-FR"/>
        </w:rPr>
        <w:t>dixième</w:t>
      </w:r>
      <w:r w:rsidR="003E77D0" w:rsidRPr="009A6348">
        <w:rPr>
          <w:lang w:val="fr-FR"/>
        </w:rPr>
        <w:t> </w:t>
      </w:r>
      <w:r w:rsidR="00E54779" w:rsidRPr="009A6348">
        <w:rPr>
          <w:lang w:val="fr-FR"/>
        </w:rPr>
        <w:t>session tenue à Genève les 28 et 2</w:t>
      </w:r>
      <w:r w:rsidR="00003939" w:rsidRPr="009A6348">
        <w:rPr>
          <w:lang w:val="fr-FR"/>
        </w:rPr>
        <w:t>9 octobre 20</w:t>
      </w:r>
      <w:r w:rsidR="00E54779" w:rsidRPr="009A6348">
        <w:rPr>
          <w:lang w:val="fr-FR"/>
        </w:rPr>
        <w:t>15, le Comité consultatif a demandé</w:t>
      </w:r>
      <w:r w:rsidRPr="009A6348">
        <w:rPr>
          <w:lang w:val="fr-FR"/>
        </w:rPr>
        <w:t xml:space="preserve"> </w:t>
      </w:r>
      <w:r w:rsidR="00E13AC1" w:rsidRPr="009A6348">
        <w:rPr>
          <w:lang w:val="fr-FR"/>
        </w:rPr>
        <w:t>au Bureau de l</w:t>
      </w:r>
      <w:r w:rsidR="00003939" w:rsidRPr="009A6348">
        <w:rPr>
          <w:lang w:val="fr-FR"/>
        </w:rPr>
        <w:t>’</w:t>
      </w:r>
      <w:r w:rsidR="00E13AC1" w:rsidRPr="009A6348">
        <w:rPr>
          <w:lang w:val="fr-FR"/>
        </w:rPr>
        <w:t>Union d</w:t>
      </w:r>
      <w:r w:rsidR="00003939" w:rsidRPr="009A6348">
        <w:rPr>
          <w:lang w:val="fr-FR"/>
        </w:rPr>
        <w:t>’</w:t>
      </w:r>
      <w:r w:rsidR="00E13AC1" w:rsidRPr="009A6348">
        <w:rPr>
          <w:lang w:val="fr-FR"/>
        </w:rPr>
        <w:t xml:space="preserve">élaborer un document contenant des options et les conséquences que </w:t>
      </w:r>
      <w:r w:rsidR="0063237C" w:rsidRPr="009A6348">
        <w:rPr>
          <w:lang w:val="fr-FR"/>
        </w:rPr>
        <w:t>pourrait</w:t>
      </w:r>
      <w:r w:rsidR="00E13AC1" w:rsidRPr="009A6348">
        <w:rPr>
          <w:lang w:val="fr-FR"/>
        </w:rPr>
        <w:t xml:space="preserve"> avoir la tenue, une seule fois par an, des sessions des organes se réunissant à Genève successivement</w:t>
      </w:r>
      <w:r w:rsidRPr="009A6348">
        <w:rPr>
          <w:lang w:val="fr-FR"/>
        </w:rPr>
        <w:t>.</w:t>
      </w:r>
    </w:p>
    <w:p w:rsidR="00677E0A" w:rsidRPr="009A6348" w:rsidRDefault="00677E0A" w:rsidP="00B02D38">
      <w:pPr>
        <w:rPr>
          <w:rFonts w:cs="Arial"/>
          <w:lang w:val="fr-FR"/>
        </w:rPr>
      </w:pPr>
    </w:p>
    <w:p w:rsidR="00677E0A" w:rsidRPr="009A6348" w:rsidRDefault="00677E0A" w:rsidP="00677E0A">
      <w:pPr>
        <w:pStyle w:val="Heading2"/>
        <w:rPr>
          <w:color w:val="auto"/>
        </w:rPr>
      </w:pPr>
      <w:bookmarkStart w:id="20" w:name="_Toc444761377"/>
      <w:r w:rsidRPr="009A6348">
        <w:rPr>
          <w:color w:val="auto"/>
        </w:rPr>
        <w:t>Documents de l</w:t>
      </w:r>
      <w:r w:rsidR="00003939" w:rsidRPr="009A6348">
        <w:rPr>
          <w:color w:val="auto"/>
        </w:rPr>
        <w:t>’</w:t>
      </w:r>
      <w:r w:rsidRPr="009A6348">
        <w:rPr>
          <w:color w:val="auto"/>
        </w:rPr>
        <w:t>UPOV et publication de l</w:t>
      </w:r>
      <w:r w:rsidR="00003939" w:rsidRPr="009A6348">
        <w:rPr>
          <w:color w:val="auto"/>
        </w:rPr>
        <w:t>’</w:t>
      </w:r>
      <w:r w:rsidRPr="009A6348">
        <w:rPr>
          <w:color w:val="auto"/>
        </w:rPr>
        <w:t>information</w:t>
      </w:r>
      <w:bookmarkEnd w:id="20"/>
    </w:p>
    <w:p w:rsidR="00677E0A" w:rsidRPr="009A6348" w:rsidRDefault="00677E0A" w:rsidP="007F6BFC">
      <w:pPr>
        <w:keepNext/>
        <w:rPr>
          <w:lang w:val="fr-FR"/>
        </w:rPr>
      </w:pPr>
    </w:p>
    <w:p w:rsidR="00677E0A" w:rsidRPr="009A6348" w:rsidRDefault="007F6BFC" w:rsidP="007F6BFC">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5E71A0" w:rsidRPr="009A6348">
        <w:rPr>
          <w:lang w:val="fr-FR"/>
        </w:rPr>
        <w:t>À</w:t>
      </w:r>
      <w:r w:rsidR="00BC7B3C" w:rsidRPr="009A6348">
        <w:rPr>
          <w:lang w:val="fr-FR"/>
        </w:rPr>
        <w:t xml:space="preserve"> sa quatre</w:t>
      </w:r>
      <w:r w:rsidR="00BA2AFF" w:rsidRPr="009A6348">
        <w:rPr>
          <w:lang w:val="fr-FR"/>
        </w:rPr>
        <w:noBreakHyphen/>
      </w:r>
      <w:r w:rsidR="00BC7B3C" w:rsidRPr="009A6348">
        <w:rPr>
          <w:lang w:val="fr-FR"/>
        </w:rPr>
        <w:t>vingt</w:t>
      </w:r>
      <w:r w:rsidR="00BA2AFF" w:rsidRPr="009A6348">
        <w:rPr>
          <w:lang w:val="fr-FR"/>
        </w:rPr>
        <w:noBreakHyphen/>
      </w:r>
      <w:r w:rsidR="00BC7B3C" w:rsidRPr="009A6348">
        <w:rPr>
          <w:lang w:val="fr-FR"/>
        </w:rPr>
        <w:t>dixième</w:t>
      </w:r>
      <w:r w:rsidR="007046A2" w:rsidRPr="009A6348">
        <w:rPr>
          <w:lang w:val="fr-FR"/>
        </w:rPr>
        <w:t> </w:t>
      </w:r>
      <w:r w:rsidR="00BC7B3C" w:rsidRPr="009A6348">
        <w:rPr>
          <w:lang w:val="fr-FR"/>
        </w:rPr>
        <w:t>session tenue à Genève les 28 et 2</w:t>
      </w:r>
      <w:r w:rsidR="009673A3" w:rsidRPr="009A6348">
        <w:rPr>
          <w:lang w:val="fr-FR"/>
        </w:rPr>
        <w:t>9 octobre 20</w:t>
      </w:r>
      <w:r w:rsidR="00BC7B3C" w:rsidRPr="009A6348">
        <w:rPr>
          <w:lang w:val="fr-FR"/>
        </w:rPr>
        <w:t xml:space="preserve">15, le </w:t>
      </w:r>
      <w:r w:rsidR="005E71A0" w:rsidRPr="009A6348">
        <w:rPr>
          <w:lang w:val="fr-FR"/>
        </w:rPr>
        <w:t>Comité consultatif</w:t>
      </w:r>
      <w:r w:rsidR="00BC7B3C" w:rsidRPr="009A6348">
        <w:rPr>
          <w:lang w:val="fr-FR"/>
        </w:rPr>
        <w:t xml:space="preserve"> </w:t>
      </w:r>
      <w:r w:rsidR="004F6997" w:rsidRPr="009A6348">
        <w:rPr>
          <w:lang w:val="fr-FR"/>
        </w:rPr>
        <w:t xml:space="preserve">est convenu </w:t>
      </w:r>
      <w:r w:rsidR="00BC7B3C" w:rsidRPr="009A6348">
        <w:rPr>
          <w:lang w:val="fr-FR"/>
        </w:rPr>
        <w:t>qu</w:t>
      </w:r>
      <w:r w:rsidR="00003939" w:rsidRPr="009A6348">
        <w:rPr>
          <w:lang w:val="fr-FR"/>
        </w:rPr>
        <w:t>’</w:t>
      </w:r>
      <w:r w:rsidR="00BC7B3C" w:rsidRPr="009A6348">
        <w:rPr>
          <w:lang w:val="fr-FR"/>
        </w:rPr>
        <w:t>aucune modification ne devra être apportée à la traduction</w:t>
      </w:r>
      <w:r w:rsidR="005E71A0" w:rsidRPr="009A6348">
        <w:rPr>
          <w:lang w:val="fr-FR"/>
        </w:rPr>
        <w:t xml:space="preserve"> des catégories de documents ci</w:t>
      </w:r>
      <w:r w:rsidR="00BA2AFF" w:rsidRPr="009A6348">
        <w:rPr>
          <w:lang w:val="fr-FR"/>
        </w:rPr>
        <w:noBreakHyphen/>
      </w:r>
      <w:r w:rsidR="00BC7B3C" w:rsidRPr="009A6348">
        <w:rPr>
          <w:lang w:val="fr-FR"/>
        </w:rPr>
        <w:t>après</w:t>
      </w:r>
      <w:r w:rsidR="007046A2" w:rsidRPr="009A6348">
        <w:rPr>
          <w:lang w:val="fr-FR"/>
        </w:rPr>
        <w:t> </w:t>
      </w:r>
      <w:r w:rsidRPr="009A6348">
        <w:rPr>
          <w:lang w:val="fr-FR"/>
        </w:rPr>
        <w:t>:</w:t>
      </w:r>
    </w:p>
    <w:p w:rsidR="00677E0A" w:rsidRPr="009A6348" w:rsidRDefault="00677E0A" w:rsidP="007F6BFC">
      <w:pPr>
        <w:rPr>
          <w:lang w:val="fr-FR"/>
        </w:rPr>
      </w:pPr>
    </w:p>
    <w:p w:rsidR="00677E0A" w:rsidRPr="009A6348" w:rsidRDefault="005E71A0" w:rsidP="007F6BFC">
      <w:pPr>
        <w:spacing w:after="120"/>
        <w:ind w:left="1168" w:hanging="601"/>
        <w:rPr>
          <w:lang w:val="fr-FR"/>
        </w:rPr>
      </w:pPr>
      <w:r w:rsidRPr="009A6348">
        <w:rPr>
          <w:lang w:val="fr-FR"/>
        </w:rPr>
        <w:t>a)</w:t>
      </w:r>
      <w:r w:rsidRPr="009A6348">
        <w:rPr>
          <w:lang w:val="fr-FR"/>
        </w:rPr>
        <w:tab/>
      </w:r>
      <w:r w:rsidR="007F6BFC" w:rsidRPr="009A6348">
        <w:rPr>
          <w:lang w:val="fr-FR"/>
        </w:rPr>
        <w:t>documents</w:t>
      </w:r>
      <w:r w:rsidRPr="009A6348">
        <w:rPr>
          <w:lang w:val="fr-FR"/>
        </w:rPr>
        <w:t xml:space="preserve"> adoptés</w:t>
      </w:r>
      <w:r w:rsidR="007F6BFC" w:rsidRPr="009A6348">
        <w:rPr>
          <w:lang w:val="fr-FR"/>
        </w:rPr>
        <w:t>;</w:t>
      </w:r>
    </w:p>
    <w:p w:rsidR="009673A3" w:rsidRPr="009A6348" w:rsidRDefault="00DB3029" w:rsidP="00AC27EA">
      <w:pPr>
        <w:spacing w:after="120"/>
        <w:ind w:left="1168" w:hanging="601"/>
        <w:rPr>
          <w:spacing w:val="-2"/>
          <w:lang w:val="fr-FR"/>
        </w:rPr>
      </w:pPr>
      <w:r w:rsidRPr="009A6348">
        <w:rPr>
          <w:spacing w:val="-2"/>
          <w:lang w:val="fr-FR"/>
        </w:rPr>
        <w:t>b)</w:t>
      </w:r>
      <w:r w:rsidRPr="009A6348">
        <w:rPr>
          <w:spacing w:val="-2"/>
          <w:lang w:val="fr-FR"/>
        </w:rPr>
        <w:tab/>
      </w:r>
      <w:r w:rsidR="00AC27EA" w:rsidRPr="009A6348">
        <w:rPr>
          <w:spacing w:val="-2"/>
          <w:lang w:val="fr-FR"/>
        </w:rPr>
        <w:t>documents contenant des projets de notes explicatives, de documents d</w:t>
      </w:r>
      <w:r w:rsidR="00003939" w:rsidRPr="009A6348">
        <w:rPr>
          <w:spacing w:val="-2"/>
          <w:lang w:val="fr-FR"/>
        </w:rPr>
        <w:t>’</w:t>
      </w:r>
      <w:r w:rsidR="00AC27EA" w:rsidRPr="009A6348">
        <w:rPr>
          <w:spacing w:val="-2"/>
          <w:lang w:val="fr-FR"/>
        </w:rPr>
        <w:t>information et de documents TGP, et tous autres projets de documents destinés à être examinés par le Conseil, le Comité consultatif, le Comité administratif et juridique ou le Comité technique;</w:t>
      </w:r>
    </w:p>
    <w:p w:rsidR="009673A3" w:rsidRPr="009A6348" w:rsidRDefault="00DB3029" w:rsidP="00AC27EA">
      <w:pPr>
        <w:spacing w:after="120"/>
        <w:ind w:left="1168" w:hanging="601"/>
        <w:rPr>
          <w:lang w:val="fr-FR"/>
        </w:rPr>
      </w:pPr>
      <w:r w:rsidRPr="009A6348">
        <w:rPr>
          <w:lang w:val="fr-FR"/>
        </w:rPr>
        <w:t>c)</w:t>
      </w:r>
      <w:r w:rsidRPr="009A6348">
        <w:rPr>
          <w:lang w:val="fr-FR"/>
        </w:rPr>
        <w:tab/>
      </w:r>
      <w:r w:rsidR="00AC27EA" w:rsidRPr="009A6348">
        <w:rPr>
          <w:lang w:val="fr-FR"/>
        </w:rPr>
        <w:t xml:space="preserve">rapports, </w:t>
      </w:r>
      <w:r w:rsidR="00003939" w:rsidRPr="009A6348">
        <w:rPr>
          <w:lang w:val="fr-FR"/>
        </w:rPr>
        <w:t>y compris</w:t>
      </w:r>
      <w:r w:rsidR="00AC27EA" w:rsidRPr="009A6348">
        <w:rPr>
          <w:lang w:val="fr-FR"/>
        </w:rPr>
        <w:t xml:space="preserve"> les comptes rendus des décisions ou des conclusions, du Conseil, du Comité consultatif, du Comité administratif et juridique ou du Comité technique;  et</w:t>
      </w:r>
    </w:p>
    <w:p w:rsidR="00677E0A" w:rsidRPr="009A6348" w:rsidRDefault="007F6BFC" w:rsidP="007F6BFC">
      <w:pPr>
        <w:spacing w:after="120"/>
        <w:ind w:left="1168" w:hanging="601"/>
        <w:rPr>
          <w:lang w:val="fr-FR"/>
        </w:rPr>
      </w:pPr>
      <w:r w:rsidRPr="009A6348">
        <w:rPr>
          <w:lang w:val="fr-FR"/>
        </w:rPr>
        <w:t>d)</w:t>
      </w:r>
      <w:r w:rsidRPr="009A6348">
        <w:rPr>
          <w:lang w:val="fr-FR"/>
        </w:rPr>
        <w:tab/>
      </w:r>
      <w:r w:rsidR="005E71A0" w:rsidRPr="009A6348">
        <w:rPr>
          <w:lang w:val="fr-FR"/>
        </w:rPr>
        <w:t>rapports UPOV soumis au Conseil pour examen</w:t>
      </w:r>
      <w:r w:rsidRPr="009A6348">
        <w:rPr>
          <w:lang w:val="fr-FR"/>
        </w:rPr>
        <w:t>;</w:t>
      </w:r>
    </w:p>
    <w:p w:rsidR="00677E0A" w:rsidRPr="009A6348" w:rsidRDefault="00DB3029" w:rsidP="00AC27EA">
      <w:pPr>
        <w:spacing w:after="120"/>
        <w:ind w:left="1168" w:hanging="601"/>
        <w:rPr>
          <w:lang w:val="fr-FR"/>
        </w:rPr>
      </w:pPr>
      <w:r w:rsidRPr="009A6348">
        <w:rPr>
          <w:lang w:val="fr-FR"/>
        </w:rPr>
        <w:t>e)</w:t>
      </w:r>
      <w:r w:rsidRPr="009A6348">
        <w:rPr>
          <w:lang w:val="fr-FR"/>
        </w:rPr>
        <w:tab/>
        <w:t>rapports des représentants des membres et des observateurs sur la situation dans les domaines législatif, administratif et technique</w:t>
      </w:r>
    </w:p>
    <w:p w:rsidR="00677E0A" w:rsidRPr="009A6348" w:rsidRDefault="007F6BFC" w:rsidP="007F6BFC">
      <w:pPr>
        <w:spacing w:after="120"/>
        <w:ind w:left="1168" w:hanging="601"/>
        <w:rPr>
          <w:lang w:val="fr-FR"/>
        </w:rPr>
      </w:pPr>
      <w:r w:rsidRPr="009A6348">
        <w:rPr>
          <w:lang w:val="fr-FR"/>
        </w:rPr>
        <w:t>f)</w:t>
      </w:r>
      <w:r w:rsidRPr="009A6348">
        <w:rPr>
          <w:lang w:val="fr-FR"/>
        </w:rPr>
        <w:tab/>
      </w:r>
      <w:r w:rsidR="005E71A0" w:rsidRPr="009A6348">
        <w:rPr>
          <w:lang w:val="fr-FR"/>
        </w:rPr>
        <w:t>stratégie de communication</w:t>
      </w:r>
      <w:r w:rsidRPr="009A6348">
        <w:rPr>
          <w:lang w:val="fr-FR"/>
        </w:rPr>
        <w:t xml:space="preserve">;  </w:t>
      </w:r>
      <w:r w:rsidR="005E71A0" w:rsidRPr="009A6348">
        <w:rPr>
          <w:lang w:val="fr-FR"/>
        </w:rPr>
        <w:t>et</w:t>
      </w:r>
    </w:p>
    <w:p w:rsidR="00677E0A" w:rsidRPr="009A6348" w:rsidRDefault="007F6BFC" w:rsidP="007F6BFC">
      <w:pPr>
        <w:ind w:left="1168" w:hanging="601"/>
        <w:rPr>
          <w:lang w:val="fr-FR"/>
        </w:rPr>
      </w:pPr>
      <w:r w:rsidRPr="009A6348">
        <w:rPr>
          <w:lang w:val="fr-FR"/>
        </w:rPr>
        <w:t>g)</w:t>
      </w:r>
      <w:r w:rsidRPr="009A6348">
        <w:rPr>
          <w:lang w:val="fr-FR"/>
        </w:rPr>
        <w:tab/>
      </w:r>
      <w:r w:rsidR="005E71A0" w:rsidRPr="009A6348">
        <w:rPr>
          <w:lang w:val="fr-FR"/>
        </w:rPr>
        <w:t>système international de coopération</w:t>
      </w:r>
      <w:r w:rsidRPr="009A6348">
        <w:rPr>
          <w:lang w:val="fr-FR"/>
        </w:rPr>
        <w:t>.</w:t>
      </w:r>
    </w:p>
    <w:p w:rsidR="005E71A0" w:rsidRPr="009A6348" w:rsidRDefault="005E71A0" w:rsidP="007F6BFC">
      <w:pPr>
        <w:ind w:left="1168" w:hanging="601"/>
        <w:rPr>
          <w:lang w:val="fr-FR"/>
        </w:rPr>
      </w:pPr>
    </w:p>
    <w:p w:rsidR="00677E0A" w:rsidRPr="009A6348" w:rsidRDefault="007F6BFC" w:rsidP="007F6BFC">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5E71A0" w:rsidRPr="009A6348">
        <w:rPr>
          <w:rFonts w:cs="Arial"/>
          <w:lang w:val="fr-FR"/>
        </w:rPr>
        <w:t>S</w:t>
      </w:r>
      <w:r w:rsidR="00003939" w:rsidRPr="009A6348">
        <w:rPr>
          <w:rFonts w:cs="Arial"/>
          <w:lang w:val="fr-FR"/>
        </w:rPr>
        <w:t>’</w:t>
      </w:r>
      <w:r w:rsidR="005E71A0" w:rsidRPr="009A6348">
        <w:rPr>
          <w:rFonts w:cs="Arial"/>
          <w:lang w:val="fr-FR"/>
        </w:rPr>
        <w:t xml:space="preserve">agissant des autres documents, le Comité consultatif </w:t>
      </w:r>
      <w:r w:rsidR="00B37083" w:rsidRPr="009A6348">
        <w:rPr>
          <w:rFonts w:cs="Arial"/>
          <w:lang w:val="fr-FR"/>
        </w:rPr>
        <w:t>est convenu</w:t>
      </w:r>
      <w:r w:rsidR="005E71A0" w:rsidRPr="009A6348">
        <w:rPr>
          <w:rFonts w:cs="Arial"/>
          <w:lang w:val="fr-FR"/>
        </w:rPr>
        <w:t xml:space="preserve"> de proposer que le comité concerné soit invité à examiner si la traduction de ces documents dans leur intégralité est indispensable</w:t>
      </w:r>
      <w:r w:rsidRPr="009A6348">
        <w:rPr>
          <w:rFonts w:cs="Arial"/>
          <w:lang w:val="fr-FR"/>
        </w:rPr>
        <w:t>.</w:t>
      </w:r>
    </w:p>
    <w:p w:rsidR="00677E0A" w:rsidRPr="009A6348" w:rsidRDefault="00677E0A" w:rsidP="007F6BFC">
      <w:pPr>
        <w:rPr>
          <w:snapToGrid w:val="0"/>
          <w:lang w:val="fr-FR"/>
        </w:rPr>
      </w:pPr>
    </w:p>
    <w:p w:rsidR="00677E0A" w:rsidRPr="009A6348" w:rsidRDefault="007F6BFC" w:rsidP="007F6BFC">
      <w:pPr>
        <w:keepNext/>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5E71A0" w:rsidRPr="009A6348">
        <w:rPr>
          <w:lang w:val="fr-FR"/>
        </w:rPr>
        <w:t xml:space="preserve">Le Comité consultatif </w:t>
      </w:r>
      <w:r w:rsidR="00B37083" w:rsidRPr="009A6348">
        <w:rPr>
          <w:lang w:val="fr-FR"/>
        </w:rPr>
        <w:t xml:space="preserve">a </w:t>
      </w:r>
      <w:r w:rsidR="005E71A0" w:rsidRPr="009A6348">
        <w:rPr>
          <w:lang w:val="fr-FR"/>
        </w:rPr>
        <w:t>souscrit à la proposition de faire un résumé des rapports annuels et des rapports sur les neuf</w:t>
      </w:r>
      <w:r w:rsidR="007046A2" w:rsidRPr="009A6348">
        <w:rPr>
          <w:lang w:val="fr-FR"/>
        </w:rPr>
        <w:t> </w:t>
      </w:r>
      <w:r w:rsidR="005E71A0" w:rsidRPr="009A6348">
        <w:rPr>
          <w:lang w:val="fr-FR"/>
        </w:rPr>
        <w:t>premiers mois et d</w:t>
      </w:r>
      <w:r w:rsidR="00003939" w:rsidRPr="009A6348">
        <w:rPr>
          <w:lang w:val="fr-FR"/>
        </w:rPr>
        <w:t>’</w:t>
      </w:r>
      <w:r w:rsidR="005E71A0" w:rsidRPr="009A6348">
        <w:rPr>
          <w:lang w:val="fr-FR"/>
        </w:rPr>
        <w:t>incorporer dans le rapport annuel un renvoi au rapport sur les neuf</w:t>
      </w:r>
      <w:r w:rsidR="007046A2" w:rsidRPr="009A6348">
        <w:rPr>
          <w:lang w:val="fr-FR"/>
        </w:rPr>
        <w:t> </w:t>
      </w:r>
      <w:r w:rsidR="005E71A0" w:rsidRPr="009A6348">
        <w:rPr>
          <w:lang w:val="fr-FR"/>
        </w:rPr>
        <w:t>premiers mois afin de réduire la longueur des documents</w:t>
      </w:r>
      <w:r w:rsidRPr="009A6348">
        <w:rPr>
          <w:lang w:val="fr-FR"/>
        </w:rPr>
        <w:t>.</w:t>
      </w:r>
    </w:p>
    <w:p w:rsidR="00677E0A" w:rsidRPr="009A6348" w:rsidRDefault="00677E0A" w:rsidP="007F6BFC">
      <w:pPr>
        <w:keepNext/>
        <w:rPr>
          <w:lang w:val="fr-FR"/>
        </w:rPr>
      </w:pPr>
    </w:p>
    <w:p w:rsidR="00677E0A" w:rsidRPr="009A6348" w:rsidRDefault="007F6BFC" w:rsidP="007F6BFC">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5E71A0" w:rsidRPr="009A6348">
        <w:rPr>
          <w:lang w:val="fr-FR"/>
        </w:rPr>
        <w:t xml:space="preserve">Le Comité consultatif </w:t>
      </w:r>
      <w:r w:rsidR="00B37083" w:rsidRPr="009A6348">
        <w:rPr>
          <w:lang w:val="fr-FR"/>
        </w:rPr>
        <w:t xml:space="preserve">a </w:t>
      </w:r>
      <w:r w:rsidR="005E71A0" w:rsidRPr="009A6348">
        <w:rPr>
          <w:lang w:val="fr-FR"/>
        </w:rPr>
        <w:t>app</w:t>
      </w:r>
      <w:r w:rsidR="00B37083" w:rsidRPr="009A6348">
        <w:rPr>
          <w:lang w:val="fr-FR"/>
        </w:rPr>
        <w:t>rouvé</w:t>
      </w:r>
      <w:r w:rsidR="005E71A0" w:rsidRPr="009A6348">
        <w:rPr>
          <w:lang w:val="fr-FR"/>
        </w:rPr>
        <w:t xml:space="preserve"> la pratique courante selon laquelle les déclarations faites par les membres ou les observateurs aux sessions des organes de l</w:t>
      </w:r>
      <w:r w:rsidR="00003939" w:rsidRPr="009A6348">
        <w:rPr>
          <w:lang w:val="fr-FR"/>
        </w:rPr>
        <w:t>’</w:t>
      </w:r>
      <w:r w:rsidR="005E71A0" w:rsidRPr="009A6348">
        <w:rPr>
          <w:lang w:val="fr-FR"/>
        </w:rPr>
        <w:t>UPOV ne sont pas reproduites dans les comptes rendus des décisions, les comptes rendus des conclusions ou les comptes rendus des sessions des organes de l</w:t>
      </w:r>
      <w:r w:rsidR="00003939" w:rsidRPr="009A6348">
        <w:rPr>
          <w:lang w:val="fr-FR"/>
        </w:rPr>
        <w:t>’</w:t>
      </w:r>
      <w:r w:rsidR="005E71A0" w:rsidRPr="009A6348">
        <w:rPr>
          <w:lang w:val="fr-FR"/>
        </w:rPr>
        <w:t>UPOV, sauf si l</w:t>
      </w:r>
      <w:r w:rsidR="00003939" w:rsidRPr="009A6348">
        <w:rPr>
          <w:lang w:val="fr-FR"/>
        </w:rPr>
        <w:t>’</w:t>
      </w:r>
      <w:r w:rsidR="005E71A0" w:rsidRPr="009A6348">
        <w:rPr>
          <w:lang w:val="fr-FR"/>
        </w:rPr>
        <w:t>organe de l</w:t>
      </w:r>
      <w:r w:rsidR="00003939" w:rsidRPr="009A6348">
        <w:rPr>
          <w:lang w:val="fr-FR"/>
        </w:rPr>
        <w:t>’</w:t>
      </w:r>
      <w:r w:rsidR="005E71A0" w:rsidRPr="009A6348">
        <w:rPr>
          <w:lang w:val="fr-FR"/>
        </w:rPr>
        <w:t>UPOV concerné en décide autrement, si un membre de l</w:t>
      </w:r>
      <w:r w:rsidR="00003939" w:rsidRPr="009A6348">
        <w:rPr>
          <w:lang w:val="fr-FR"/>
        </w:rPr>
        <w:t>’</w:t>
      </w:r>
      <w:r w:rsidR="005E71A0" w:rsidRPr="009A6348">
        <w:rPr>
          <w:lang w:val="fr-FR"/>
        </w:rPr>
        <w:t>Union demande que sa déclaration soit incluse dans le rapport et lorsque les déclarations des États et des organisations sont présentées en lien avec l</w:t>
      </w:r>
      <w:r w:rsidR="00003939" w:rsidRPr="009A6348">
        <w:rPr>
          <w:lang w:val="fr-FR"/>
        </w:rPr>
        <w:t>’</w:t>
      </w:r>
      <w:r w:rsidR="005E71A0" w:rsidRPr="009A6348">
        <w:rPr>
          <w:lang w:val="fr-FR"/>
        </w:rPr>
        <w:t>examen des lois et la procédure d</w:t>
      </w:r>
      <w:r w:rsidR="00003939" w:rsidRPr="009A6348">
        <w:rPr>
          <w:lang w:val="fr-FR"/>
        </w:rPr>
        <w:t>’</w:t>
      </w:r>
      <w:r w:rsidR="005E71A0" w:rsidRPr="009A6348">
        <w:rPr>
          <w:lang w:val="fr-FR"/>
        </w:rPr>
        <w:t>adhésion à l</w:t>
      </w:r>
      <w:r w:rsidR="00003939" w:rsidRPr="009A6348">
        <w:rPr>
          <w:lang w:val="fr-FR"/>
        </w:rPr>
        <w:t>’</w:t>
      </w:r>
      <w:r w:rsidR="005E71A0" w:rsidRPr="009A6348">
        <w:rPr>
          <w:lang w:val="fr-FR"/>
        </w:rPr>
        <w:t>UPOV</w:t>
      </w:r>
      <w:r w:rsidRPr="009A6348">
        <w:rPr>
          <w:lang w:val="fr-FR"/>
        </w:rPr>
        <w:t>.</w:t>
      </w:r>
    </w:p>
    <w:p w:rsidR="00677E0A" w:rsidRPr="009A6348" w:rsidRDefault="00677E0A" w:rsidP="007F6BFC">
      <w:pPr>
        <w:rPr>
          <w:lang w:val="fr-FR"/>
        </w:rPr>
      </w:pPr>
    </w:p>
    <w:p w:rsidR="00677E0A" w:rsidRPr="009A6348" w:rsidRDefault="007F6BFC" w:rsidP="005E71A0">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5E71A0" w:rsidRPr="009A6348">
        <w:rPr>
          <w:lang w:val="fr-FR"/>
        </w:rPr>
        <w:t xml:space="preserve">Le Comité consultatif </w:t>
      </w:r>
      <w:r w:rsidR="002F3709" w:rsidRPr="009A6348">
        <w:rPr>
          <w:lang w:val="fr-FR"/>
        </w:rPr>
        <w:t xml:space="preserve">est convenu </w:t>
      </w:r>
      <w:r w:rsidR="005E71A0" w:rsidRPr="009A6348">
        <w:rPr>
          <w:lang w:val="fr-FR"/>
        </w:rPr>
        <w:t>que, en règle générale, dans les cas où le Bureau de l</w:t>
      </w:r>
      <w:r w:rsidR="00003939" w:rsidRPr="009A6348">
        <w:rPr>
          <w:lang w:val="fr-FR"/>
        </w:rPr>
        <w:t>’</w:t>
      </w:r>
      <w:r w:rsidR="005E71A0" w:rsidRPr="009A6348">
        <w:rPr>
          <w:lang w:val="fr-FR"/>
        </w:rPr>
        <w:t>Union reçoit des observations écrites concernant une question qui doit être examinée par un organe de l</w:t>
      </w:r>
      <w:r w:rsidR="00003939" w:rsidRPr="009A6348">
        <w:rPr>
          <w:lang w:val="fr-FR"/>
        </w:rPr>
        <w:t>’</w:t>
      </w:r>
      <w:r w:rsidR="005E71A0" w:rsidRPr="009A6348">
        <w:rPr>
          <w:lang w:val="fr-FR"/>
        </w:rPr>
        <w:t>UPOV, ces observations sont transmises, si la demande en est faite, à l</w:t>
      </w:r>
      <w:r w:rsidR="00003939" w:rsidRPr="009A6348">
        <w:rPr>
          <w:lang w:val="fr-FR"/>
        </w:rPr>
        <w:t>’</w:t>
      </w:r>
      <w:r w:rsidR="005E71A0" w:rsidRPr="009A6348">
        <w:rPr>
          <w:lang w:val="fr-FR"/>
        </w:rPr>
        <w:t>organe de l</w:t>
      </w:r>
      <w:r w:rsidR="00003939" w:rsidRPr="009A6348">
        <w:rPr>
          <w:lang w:val="fr-FR"/>
        </w:rPr>
        <w:t>’</w:t>
      </w:r>
      <w:r w:rsidR="005E71A0" w:rsidRPr="009A6348">
        <w:rPr>
          <w:lang w:val="fr-FR"/>
        </w:rPr>
        <w:t>UPOV concerné.  Cependant, par exemple lorsque les documents doivent faire l</w:t>
      </w:r>
      <w:r w:rsidR="00003939" w:rsidRPr="009A6348">
        <w:rPr>
          <w:lang w:val="fr-FR"/>
        </w:rPr>
        <w:t>’</w:t>
      </w:r>
      <w:r w:rsidR="005E71A0" w:rsidRPr="009A6348">
        <w:rPr>
          <w:lang w:val="fr-FR"/>
        </w:rPr>
        <w:t>objet d</w:t>
      </w:r>
      <w:r w:rsidR="00003939" w:rsidRPr="009A6348">
        <w:rPr>
          <w:lang w:val="fr-FR"/>
        </w:rPr>
        <w:t>’</w:t>
      </w:r>
      <w:r w:rsidR="005E71A0" w:rsidRPr="009A6348">
        <w:rPr>
          <w:lang w:val="fr-FR"/>
        </w:rPr>
        <w:t>un examen par correspondance, le Comité consultatif convient que l</w:t>
      </w:r>
      <w:r w:rsidR="00003939" w:rsidRPr="009A6348">
        <w:rPr>
          <w:lang w:val="fr-FR"/>
        </w:rPr>
        <w:t>’</w:t>
      </w:r>
      <w:r w:rsidR="005E71A0" w:rsidRPr="009A6348">
        <w:rPr>
          <w:lang w:val="fr-FR"/>
        </w:rPr>
        <w:t>organe de l</w:t>
      </w:r>
      <w:r w:rsidR="00003939" w:rsidRPr="009A6348">
        <w:rPr>
          <w:lang w:val="fr-FR"/>
        </w:rPr>
        <w:t>’</w:t>
      </w:r>
      <w:r w:rsidR="005E71A0" w:rsidRPr="009A6348">
        <w:rPr>
          <w:lang w:val="fr-FR"/>
        </w:rPr>
        <w:t>UPOV concerné peut, sur une base ad</w:t>
      </w:r>
      <w:r w:rsidR="007046A2" w:rsidRPr="009A6348">
        <w:rPr>
          <w:lang w:val="fr-FR"/>
        </w:rPr>
        <w:t> </w:t>
      </w:r>
      <w:r w:rsidR="005E71A0" w:rsidRPr="009A6348">
        <w:rPr>
          <w:lang w:val="fr-FR"/>
        </w:rPr>
        <w:t>hoc, convenir de publier les observations écrites sur la page</w:t>
      </w:r>
      <w:r w:rsidR="007046A2" w:rsidRPr="009A6348">
        <w:rPr>
          <w:lang w:val="fr-FR"/>
        </w:rPr>
        <w:t> </w:t>
      </w:r>
      <w:r w:rsidR="005E71A0" w:rsidRPr="009A6348">
        <w:rPr>
          <w:lang w:val="fr-FR"/>
        </w:rPr>
        <w:t>Web de l</w:t>
      </w:r>
      <w:r w:rsidR="00003939" w:rsidRPr="009A6348">
        <w:rPr>
          <w:lang w:val="fr-FR"/>
        </w:rPr>
        <w:t>’</w:t>
      </w:r>
      <w:r w:rsidR="005E71A0" w:rsidRPr="009A6348">
        <w:rPr>
          <w:lang w:val="fr-FR"/>
        </w:rPr>
        <w:t>organe de l</w:t>
      </w:r>
      <w:r w:rsidR="00003939" w:rsidRPr="009A6348">
        <w:rPr>
          <w:lang w:val="fr-FR"/>
        </w:rPr>
        <w:t>’</w:t>
      </w:r>
      <w:r w:rsidR="005E71A0" w:rsidRPr="009A6348">
        <w:rPr>
          <w:lang w:val="fr-FR"/>
        </w:rPr>
        <w:t>UPOV concerné</w:t>
      </w:r>
      <w:r w:rsidRPr="009A6348">
        <w:rPr>
          <w:lang w:val="fr-FR"/>
        </w:rPr>
        <w:t>.</w:t>
      </w:r>
    </w:p>
    <w:p w:rsidR="00677E0A" w:rsidRPr="009A6348" w:rsidRDefault="00677E0A" w:rsidP="00B02D38">
      <w:pPr>
        <w:rPr>
          <w:rFonts w:cs="Arial"/>
          <w:lang w:val="fr-FR"/>
        </w:rPr>
      </w:pPr>
    </w:p>
    <w:p w:rsidR="00677E0A" w:rsidRPr="009A6348" w:rsidRDefault="00677E0A" w:rsidP="00B02D38">
      <w:pPr>
        <w:rPr>
          <w:rFonts w:cs="Arial"/>
          <w:lang w:val="fr-FR"/>
        </w:rPr>
      </w:pPr>
    </w:p>
    <w:p w:rsidR="00677E0A" w:rsidRPr="009A6348" w:rsidRDefault="00AC27EA" w:rsidP="009D2D58">
      <w:pPr>
        <w:pStyle w:val="Heading1"/>
      </w:pPr>
      <w:bookmarkStart w:id="21" w:name="_Toc444761378"/>
      <w:r w:rsidRPr="009A6348">
        <w:t>Collection UPOV</w:t>
      </w:r>
      <w:bookmarkEnd w:id="21"/>
    </w:p>
    <w:p w:rsidR="00677E0A" w:rsidRPr="009A6348" w:rsidRDefault="00AC27EA" w:rsidP="00AC27EA">
      <w:pPr>
        <w:rPr>
          <w:rFonts w:cs="Arial"/>
          <w:lang w:val="fr-FR"/>
        </w:rPr>
      </w:pPr>
      <w:r w:rsidRPr="009A6348">
        <w:rPr>
          <w:rFonts w:cs="Arial"/>
          <w:lang w:val="fr-FR"/>
        </w:rPr>
        <w:t>(</w:t>
      </w:r>
      <w:proofErr w:type="gramStart"/>
      <w:r w:rsidRPr="009A6348">
        <w:rPr>
          <w:rFonts w:cs="Arial"/>
          <w:lang w:val="fr-FR"/>
        </w:rPr>
        <w:t>voir</w:t>
      </w:r>
      <w:proofErr w:type="gramEnd"/>
      <w:r w:rsidRPr="009A6348">
        <w:rPr>
          <w:rFonts w:cs="Arial"/>
          <w:lang w:val="fr-FR"/>
        </w:rPr>
        <w:t xml:space="preserve"> </w:t>
      </w:r>
      <w:hyperlink r:id="rId9" w:history="1">
        <w:r w:rsidR="00BA2696" w:rsidRPr="009A6348">
          <w:rPr>
            <w:rStyle w:val="Hyperlink"/>
          </w:rPr>
          <w:t>http://www.upov.int/upov_collection/fr/</w:t>
        </w:r>
      </w:hyperlink>
      <w:r w:rsidRPr="009A6348">
        <w:rPr>
          <w:rFonts w:cs="Arial"/>
          <w:lang w:val="fr-FR"/>
        </w:rPr>
        <w:t>)</w:t>
      </w:r>
    </w:p>
    <w:p w:rsidR="00677E0A" w:rsidRPr="009A6348" w:rsidRDefault="00677E0A" w:rsidP="00B02D38">
      <w:pPr>
        <w:rPr>
          <w:rFonts w:cs="Arial"/>
          <w:lang w:val="fr-FR"/>
        </w:rPr>
      </w:pPr>
    </w:p>
    <w:p w:rsidR="00677E0A" w:rsidRPr="009A6348" w:rsidRDefault="00AC27EA" w:rsidP="00AC27EA">
      <w:pPr>
        <w:pStyle w:val="Heading2"/>
        <w:rPr>
          <w:color w:val="auto"/>
        </w:rPr>
      </w:pPr>
      <w:bookmarkStart w:id="22" w:name="_Toc444761379"/>
      <w:r w:rsidRPr="009A6348">
        <w:rPr>
          <w:color w:val="auto"/>
        </w:rPr>
        <w:t>Adoption de documents</w:t>
      </w:r>
      <w:bookmarkEnd w:id="22"/>
    </w:p>
    <w:p w:rsidR="00677E0A" w:rsidRPr="009A6348" w:rsidRDefault="00677E0A" w:rsidP="00B02D38">
      <w:pPr>
        <w:rPr>
          <w:rFonts w:cs="Arial"/>
          <w:lang w:val="fr-FR"/>
        </w:rPr>
      </w:pPr>
    </w:p>
    <w:p w:rsidR="00677E0A" w:rsidRPr="009A6348" w:rsidRDefault="00B02D38" w:rsidP="00B02D38">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8240CE" w:rsidRPr="009A6348">
        <w:rPr>
          <w:rFonts w:cs="Arial"/>
          <w:lang w:val="fr-FR"/>
        </w:rPr>
        <w:t>À sa trente</w:t>
      </w:r>
      <w:r w:rsidR="00BA2AFF" w:rsidRPr="009A6348">
        <w:rPr>
          <w:rFonts w:cs="Arial"/>
          <w:lang w:val="fr-FR"/>
        </w:rPr>
        <w:noBreakHyphen/>
      </w:r>
      <w:r w:rsidR="008240CE" w:rsidRPr="009A6348">
        <w:rPr>
          <w:rFonts w:cs="Arial"/>
          <w:lang w:val="fr-FR"/>
        </w:rPr>
        <w:t>deuxième</w:t>
      </w:r>
      <w:r w:rsidR="007046A2" w:rsidRPr="009A6348">
        <w:rPr>
          <w:rFonts w:cs="Arial"/>
          <w:lang w:val="fr-FR"/>
        </w:rPr>
        <w:t> </w:t>
      </w:r>
      <w:r w:rsidR="008240CE" w:rsidRPr="009A6348">
        <w:rPr>
          <w:rFonts w:cs="Arial"/>
          <w:lang w:val="fr-FR"/>
        </w:rPr>
        <w:t xml:space="preserve">session </w:t>
      </w:r>
      <w:r w:rsidR="0063237C" w:rsidRPr="009A6348">
        <w:rPr>
          <w:rFonts w:cs="Arial"/>
          <w:lang w:val="fr-FR"/>
        </w:rPr>
        <w:t>extraordinaire,</w:t>
      </w:r>
      <w:r w:rsidR="008240CE" w:rsidRPr="009A6348">
        <w:rPr>
          <w:rFonts w:cs="Arial"/>
          <w:lang w:val="fr-FR"/>
        </w:rPr>
        <w:t xml:space="preserve"> le Conseil a adopté la révision des documents d</w:t>
      </w:r>
      <w:r w:rsidR="00003939" w:rsidRPr="009A6348">
        <w:rPr>
          <w:rFonts w:cs="Arial"/>
          <w:lang w:val="fr-FR"/>
        </w:rPr>
        <w:t>’</w:t>
      </w:r>
      <w:r w:rsidR="008240CE" w:rsidRPr="009A6348">
        <w:rPr>
          <w:rFonts w:cs="Arial"/>
          <w:lang w:val="fr-FR"/>
        </w:rPr>
        <w:t>information suivants </w:t>
      </w:r>
      <w:r w:rsidR="008240CE" w:rsidRPr="009A6348">
        <w:rPr>
          <w:lang w:val="fr-FR"/>
        </w:rPr>
        <w:t>:</w:t>
      </w:r>
    </w:p>
    <w:p w:rsidR="00677E0A" w:rsidRPr="009A6348" w:rsidRDefault="00677E0A" w:rsidP="00B02D38">
      <w:pPr>
        <w:jc w:val="left"/>
        <w:rPr>
          <w:rFonts w:cs="Arial"/>
          <w:lang w:val="fr-FR"/>
        </w:rPr>
      </w:pPr>
    </w:p>
    <w:p w:rsidR="009673A3" w:rsidRPr="009A6348" w:rsidRDefault="00AC27EA" w:rsidP="009A6348">
      <w:pPr>
        <w:pStyle w:val="Default"/>
        <w:numPr>
          <w:ilvl w:val="0"/>
          <w:numId w:val="12"/>
        </w:numPr>
        <w:tabs>
          <w:tab w:val="left" w:pos="709"/>
        </w:tabs>
        <w:spacing w:after="60"/>
        <w:ind w:left="2268" w:hanging="1911"/>
        <w:rPr>
          <w:color w:val="auto"/>
          <w:sz w:val="20"/>
          <w:szCs w:val="20"/>
          <w:lang w:val="fr-FR"/>
        </w:rPr>
      </w:pPr>
      <w:r w:rsidRPr="009A6348">
        <w:rPr>
          <w:color w:val="auto"/>
          <w:sz w:val="20"/>
          <w:szCs w:val="20"/>
          <w:lang w:val="fr-FR"/>
        </w:rPr>
        <w:t>UPOV/INF/4/4</w:t>
      </w:r>
      <w:r w:rsidRPr="009A6348">
        <w:rPr>
          <w:color w:val="auto"/>
          <w:sz w:val="20"/>
          <w:szCs w:val="20"/>
          <w:lang w:val="fr-FR"/>
        </w:rPr>
        <w:tab/>
        <w:t>Règlement financier et règlement d</w:t>
      </w:r>
      <w:r w:rsidR="00003939" w:rsidRPr="009A6348">
        <w:rPr>
          <w:color w:val="auto"/>
          <w:sz w:val="20"/>
          <w:szCs w:val="20"/>
          <w:lang w:val="fr-FR"/>
        </w:rPr>
        <w:t>’</w:t>
      </w:r>
      <w:r w:rsidRPr="009A6348">
        <w:rPr>
          <w:color w:val="auto"/>
          <w:sz w:val="20"/>
          <w:szCs w:val="20"/>
          <w:lang w:val="fr-FR"/>
        </w:rPr>
        <w:t>exécution du Règlement financier de l</w:t>
      </w:r>
      <w:r w:rsidR="00003939" w:rsidRPr="009A6348">
        <w:rPr>
          <w:color w:val="auto"/>
          <w:sz w:val="20"/>
          <w:szCs w:val="20"/>
          <w:lang w:val="fr-FR"/>
        </w:rPr>
        <w:t>’</w:t>
      </w:r>
      <w:r w:rsidRPr="009A6348">
        <w:rPr>
          <w:color w:val="auto"/>
          <w:sz w:val="20"/>
          <w:szCs w:val="20"/>
          <w:lang w:val="fr-FR"/>
        </w:rPr>
        <w:t>UPOV (révision)</w:t>
      </w:r>
    </w:p>
    <w:p w:rsidR="009673A3" w:rsidRPr="009A6348" w:rsidRDefault="00AC27EA" w:rsidP="009A6348">
      <w:pPr>
        <w:pStyle w:val="Default"/>
        <w:numPr>
          <w:ilvl w:val="0"/>
          <w:numId w:val="12"/>
        </w:numPr>
        <w:tabs>
          <w:tab w:val="left" w:pos="709"/>
        </w:tabs>
        <w:spacing w:after="60"/>
        <w:ind w:left="2268" w:hanging="1911"/>
        <w:rPr>
          <w:color w:val="auto"/>
          <w:sz w:val="20"/>
          <w:szCs w:val="20"/>
          <w:lang w:val="fr-FR"/>
        </w:rPr>
      </w:pPr>
      <w:r w:rsidRPr="009A6348">
        <w:rPr>
          <w:color w:val="auto"/>
          <w:sz w:val="20"/>
          <w:szCs w:val="20"/>
          <w:lang w:val="fr-FR"/>
        </w:rPr>
        <w:t>UPOV/INF/15/3</w:t>
      </w:r>
      <w:r w:rsidRPr="009A6348">
        <w:rPr>
          <w:color w:val="auto"/>
          <w:sz w:val="20"/>
          <w:szCs w:val="20"/>
          <w:lang w:val="fr-FR"/>
        </w:rPr>
        <w:tab/>
        <w:t>Document d</w:t>
      </w:r>
      <w:r w:rsidR="00003939" w:rsidRPr="009A6348">
        <w:rPr>
          <w:color w:val="auto"/>
          <w:sz w:val="20"/>
          <w:szCs w:val="20"/>
          <w:lang w:val="fr-FR"/>
        </w:rPr>
        <w:t>’</w:t>
      </w:r>
      <w:r w:rsidRPr="009A6348">
        <w:rPr>
          <w:color w:val="auto"/>
          <w:sz w:val="20"/>
          <w:szCs w:val="20"/>
          <w:lang w:val="fr-FR"/>
        </w:rPr>
        <w:t>orientation destiné aux membres de l</w:t>
      </w:r>
      <w:r w:rsidR="00003939" w:rsidRPr="009A6348">
        <w:rPr>
          <w:color w:val="auto"/>
          <w:sz w:val="20"/>
          <w:szCs w:val="20"/>
          <w:lang w:val="fr-FR"/>
        </w:rPr>
        <w:t>’</w:t>
      </w:r>
      <w:r w:rsidRPr="009A6348">
        <w:rPr>
          <w:color w:val="auto"/>
          <w:sz w:val="20"/>
          <w:szCs w:val="20"/>
          <w:lang w:val="fr-FR"/>
        </w:rPr>
        <w:t>UPOV (révision)</w:t>
      </w:r>
    </w:p>
    <w:p w:rsidR="00677E0A" w:rsidRPr="009A6348" w:rsidRDefault="00677E0A" w:rsidP="00B35469">
      <w:pPr>
        <w:pStyle w:val="Default"/>
        <w:rPr>
          <w:color w:val="auto"/>
          <w:sz w:val="20"/>
          <w:szCs w:val="20"/>
          <w:lang w:val="fr-FR"/>
        </w:rPr>
      </w:pPr>
    </w:p>
    <w:p w:rsidR="00677E0A" w:rsidRPr="009A6348" w:rsidRDefault="00EA4629" w:rsidP="00EA4629">
      <w:pPr>
        <w:autoSpaceDE w:val="0"/>
        <w:autoSpaceDN w:val="0"/>
        <w:adjustRightInd w:val="0"/>
        <w:jc w:val="left"/>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DC1A45" w:rsidRPr="009A6348">
        <w:rPr>
          <w:rFonts w:cs="Arial"/>
          <w:lang w:val="fr-FR"/>
        </w:rPr>
        <w:t>À sa quarante</w:t>
      </w:r>
      <w:r w:rsidR="00BA2AFF" w:rsidRPr="009A6348">
        <w:rPr>
          <w:rFonts w:cs="Arial"/>
          <w:lang w:val="fr-FR"/>
        </w:rPr>
        <w:noBreakHyphen/>
      </w:r>
      <w:r w:rsidR="00DC1A45" w:rsidRPr="009A6348">
        <w:rPr>
          <w:rFonts w:cs="Arial"/>
          <w:lang w:val="fr-FR"/>
        </w:rPr>
        <w:t>neuvième</w:t>
      </w:r>
      <w:r w:rsidR="007046A2" w:rsidRPr="009A6348">
        <w:rPr>
          <w:rFonts w:cs="Arial"/>
          <w:lang w:val="fr-FR"/>
        </w:rPr>
        <w:t> </w:t>
      </w:r>
      <w:r w:rsidR="00DC1A45" w:rsidRPr="009A6348">
        <w:rPr>
          <w:rFonts w:cs="Arial"/>
          <w:lang w:val="fr-FR"/>
        </w:rPr>
        <w:t xml:space="preserve">session </w:t>
      </w:r>
      <w:r w:rsidR="0063237C" w:rsidRPr="009A6348">
        <w:rPr>
          <w:rFonts w:cs="Arial"/>
          <w:lang w:val="fr-FR"/>
        </w:rPr>
        <w:t>ordinaire,</w:t>
      </w:r>
      <w:r w:rsidR="00DC1A45" w:rsidRPr="009A6348">
        <w:rPr>
          <w:rFonts w:cs="Arial"/>
          <w:lang w:val="fr-FR"/>
        </w:rPr>
        <w:t xml:space="preserve"> le Conseil a adopté la révision des documents suivants :</w:t>
      </w:r>
    </w:p>
    <w:p w:rsidR="00677E0A" w:rsidRPr="009A6348" w:rsidRDefault="00677E0A" w:rsidP="00EA4629">
      <w:pPr>
        <w:autoSpaceDE w:val="0"/>
        <w:autoSpaceDN w:val="0"/>
        <w:adjustRightInd w:val="0"/>
        <w:jc w:val="left"/>
        <w:rPr>
          <w:rFonts w:cs="Arial"/>
          <w:lang w:val="fr-FR"/>
        </w:rPr>
      </w:pPr>
    </w:p>
    <w:p w:rsidR="00677E0A" w:rsidRPr="009A6348" w:rsidRDefault="00AC27EA" w:rsidP="00AC27EA">
      <w:pPr>
        <w:pStyle w:val="ListParagraph"/>
        <w:numPr>
          <w:ilvl w:val="0"/>
          <w:numId w:val="15"/>
        </w:numPr>
        <w:autoSpaceDE w:val="0"/>
        <w:autoSpaceDN w:val="0"/>
        <w:adjustRightInd w:val="0"/>
        <w:spacing w:after="60"/>
        <w:ind w:left="714" w:hanging="357"/>
        <w:contextualSpacing w:val="0"/>
        <w:jc w:val="left"/>
        <w:rPr>
          <w:rFonts w:cs="Arial"/>
          <w:lang w:val="fr-FR"/>
        </w:rPr>
      </w:pPr>
      <w:r w:rsidRPr="009A6348">
        <w:rPr>
          <w:rFonts w:cs="Arial"/>
          <w:lang w:val="fr-FR"/>
        </w:rPr>
        <w:t>TGP/5</w:t>
      </w:r>
      <w:r w:rsidR="007046A2" w:rsidRPr="009A6348">
        <w:rPr>
          <w:rFonts w:cs="Arial"/>
          <w:lang w:val="fr-FR"/>
        </w:rPr>
        <w:t> </w:t>
      </w:r>
      <w:r w:rsidRPr="009A6348">
        <w:rPr>
          <w:rFonts w:cs="Arial"/>
          <w:lang w:val="fr-FR"/>
        </w:rPr>
        <w:t>: Expérience et coopération en matière d</w:t>
      </w:r>
      <w:r w:rsidR="00003939" w:rsidRPr="009A6348">
        <w:rPr>
          <w:rFonts w:cs="Arial"/>
          <w:lang w:val="fr-FR"/>
        </w:rPr>
        <w:t>’</w:t>
      </w:r>
      <w:r w:rsidRPr="009A6348">
        <w:rPr>
          <w:rFonts w:cs="Arial"/>
          <w:lang w:val="fr-FR"/>
        </w:rPr>
        <w:t>examen</w:t>
      </w:r>
      <w:r w:rsidR="007046A2" w:rsidRPr="009A6348">
        <w:rPr>
          <w:rFonts w:cs="Arial"/>
          <w:lang w:val="fr-FR"/>
        </w:rPr>
        <w:t> </w:t>
      </w:r>
      <w:r w:rsidRPr="009A6348">
        <w:rPr>
          <w:rFonts w:cs="Arial"/>
          <w:lang w:val="fr-FR"/>
        </w:rPr>
        <w:t>DHS</w:t>
      </w:r>
    </w:p>
    <w:p w:rsidR="00677E0A" w:rsidRPr="009A6348" w:rsidRDefault="00AC27EA" w:rsidP="00AC27EA">
      <w:pPr>
        <w:pStyle w:val="ListParagraph"/>
        <w:numPr>
          <w:ilvl w:val="1"/>
          <w:numId w:val="15"/>
        </w:numPr>
        <w:autoSpaceDE w:val="0"/>
        <w:autoSpaceDN w:val="0"/>
        <w:adjustRightInd w:val="0"/>
        <w:jc w:val="left"/>
        <w:rPr>
          <w:rFonts w:cs="Arial"/>
          <w:lang w:val="fr-FR"/>
        </w:rPr>
      </w:pPr>
      <w:r w:rsidRPr="009A6348">
        <w:rPr>
          <w:rFonts w:cs="Arial"/>
          <w:lang w:val="fr-FR"/>
        </w:rPr>
        <w:t>Section</w:t>
      </w:r>
      <w:r w:rsidR="007046A2" w:rsidRPr="009A6348">
        <w:rPr>
          <w:rFonts w:cs="Arial"/>
          <w:lang w:val="fr-FR"/>
        </w:rPr>
        <w:t> </w:t>
      </w:r>
      <w:r w:rsidRPr="009A6348">
        <w:rPr>
          <w:rFonts w:cs="Arial"/>
          <w:lang w:val="fr-FR"/>
        </w:rPr>
        <w:t>3/2</w:t>
      </w:r>
      <w:r w:rsidR="007046A2" w:rsidRPr="009A6348">
        <w:rPr>
          <w:rFonts w:cs="Arial"/>
          <w:lang w:val="fr-FR"/>
        </w:rPr>
        <w:t> </w:t>
      </w:r>
      <w:r w:rsidRPr="009A6348">
        <w:rPr>
          <w:rFonts w:cs="Arial"/>
          <w:lang w:val="fr-FR"/>
        </w:rPr>
        <w:t>: Questionnaire technique à remplir en relation avec une demande de certificat d</w:t>
      </w:r>
      <w:r w:rsidR="00003939" w:rsidRPr="009A6348">
        <w:rPr>
          <w:rFonts w:cs="Arial"/>
          <w:lang w:val="fr-FR"/>
        </w:rPr>
        <w:t>’</w:t>
      </w:r>
      <w:r w:rsidRPr="009A6348">
        <w:rPr>
          <w:rFonts w:cs="Arial"/>
          <w:lang w:val="fr-FR"/>
        </w:rPr>
        <w:t>obtention végétale</w:t>
      </w:r>
    </w:p>
    <w:p w:rsidR="00677E0A" w:rsidRPr="009A6348" w:rsidRDefault="00AC27EA" w:rsidP="00AC27EA">
      <w:pPr>
        <w:pStyle w:val="ListParagraph"/>
        <w:numPr>
          <w:ilvl w:val="1"/>
          <w:numId w:val="15"/>
        </w:numPr>
        <w:autoSpaceDE w:val="0"/>
        <w:autoSpaceDN w:val="0"/>
        <w:adjustRightInd w:val="0"/>
        <w:jc w:val="left"/>
        <w:rPr>
          <w:rFonts w:cs="Arial"/>
          <w:lang w:val="fr-FR"/>
        </w:rPr>
      </w:pPr>
      <w:r w:rsidRPr="009A6348">
        <w:rPr>
          <w:rFonts w:cs="Arial"/>
          <w:lang w:val="fr-FR"/>
        </w:rPr>
        <w:t>Section</w:t>
      </w:r>
      <w:r w:rsidR="007046A2" w:rsidRPr="009A6348">
        <w:rPr>
          <w:rFonts w:cs="Arial"/>
          <w:lang w:val="fr-FR"/>
        </w:rPr>
        <w:t> </w:t>
      </w:r>
      <w:r w:rsidRPr="009A6348">
        <w:rPr>
          <w:rFonts w:cs="Arial"/>
          <w:lang w:val="fr-FR"/>
        </w:rPr>
        <w:t>8/2</w:t>
      </w:r>
      <w:r w:rsidR="007046A2" w:rsidRPr="009A6348">
        <w:rPr>
          <w:rFonts w:cs="Arial"/>
          <w:lang w:val="fr-FR"/>
        </w:rPr>
        <w:t> </w:t>
      </w:r>
      <w:r w:rsidRPr="009A6348">
        <w:rPr>
          <w:rFonts w:cs="Arial"/>
          <w:lang w:val="fr-FR"/>
        </w:rPr>
        <w:t>: Coopération en matière d</w:t>
      </w:r>
      <w:r w:rsidR="00003939" w:rsidRPr="009A6348">
        <w:rPr>
          <w:rFonts w:cs="Arial"/>
          <w:lang w:val="fr-FR"/>
        </w:rPr>
        <w:t>’</w:t>
      </w:r>
      <w:r w:rsidRPr="009A6348">
        <w:rPr>
          <w:rFonts w:cs="Arial"/>
          <w:lang w:val="fr-FR"/>
        </w:rPr>
        <w:t>examen</w:t>
      </w:r>
    </w:p>
    <w:p w:rsidR="00677E0A" w:rsidRPr="009A6348" w:rsidRDefault="00AC27EA" w:rsidP="00AC27EA">
      <w:pPr>
        <w:pStyle w:val="ListParagraph"/>
        <w:numPr>
          <w:ilvl w:val="1"/>
          <w:numId w:val="15"/>
        </w:numPr>
        <w:autoSpaceDE w:val="0"/>
        <w:autoSpaceDN w:val="0"/>
        <w:adjustRightInd w:val="0"/>
        <w:spacing w:after="60"/>
        <w:ind w:left="1434" w:hanging="357"/>
        <w:contextualSpacing w:val="0"/>
        <w:jc w:val="left"/>
        <w:rPr>
          <w:rFonts w:cs="Arial"/>
          <w:lang w:val="fr-FR"/>
        </w:rPr>
      </w:pPr>
      <w:r w:rsidRPr="009A6348">
        <w:rPr>
          <w:rFonts w:cs="Arial"/>
          <w:lang w:val="fr-FR"/>
        </w:rPr>
        <w:t>Section</w:t>
      </w:r>
      <w:r w:rsidR="007046A2" w:rsidRPr="009A6348">
        <w:rPr>
          <w:rFonts w:cs="Arial"/>
          <w:lang w:val="fr-FR"/>
        </w:rPr>
        <w:t> </w:t>
      </w:r>
      <w:r w:rsidRPr="009A6348">
        <w:rPr>
          <w:rFonts w:cs="Arial"/>
          <w:lang w:val="fr-FR"/>
        </w:rPr>
        <w:t>9/2</w:t>
      </w:r>
      <w:r w:rsidR="007046A2" w:rsidRPr="009A6348">
        <w:rPr>
          <w:rFonts w:cs="Arial"/>
          <w:lang w:val="fr-FR"/>
        </w:rPr>
        <w:t> </w:t>
      </w:r>
      <w:r w:rsidRPr="009A6348">
        <w:rPr>
          <w:rFonts w:cs="Arial"/>
          <w:lang w:val="fr-FR"/>
        </w:rPr>
        <w:t>: Liste des espèces sur lesquelles des connaissances pratiques ont été acquises ou pour lesquelles des principes directeurs d</w:t>
      </w:r>
      <w:r w:rsidR="00003939" w:rsidRPr="009A6348">
        <w:rPr>
          <w:rFonts w:cs="Arial"/>
          <w:lang w:val="fr-FR"/>
        </w:rPr>
        <w:t>’</w:t>
      </w:r>
      <w:r w:rsidRPr="009A6348">
        <w:rPr>
          <w:rFonts w:cs="Arial"/>
          <w:lang w:val="fr-FR"/>
        </w:rPr>
        <w:t>examen nationaux ont été établis</w:t>
      </w:r>
    </w:p>
    <w:p w:rsidR="00677E0A" w:rsidRPr="009A6348" w:rsidRDefault="00950B80" w:rsidP="003D0676">
      <w:pPr>
        <w:pStyle w:val="ListParagraph"/>
        <w:numPr>
          <w:ilvl w:val="0"/>
          <w:numId w:val="15"/>
        </w:numPr>
        <w:autoSpaceDE w:val="0"/>
        <w:autoSpaceDN w:val="0"/>
        <w:adjustRightInd w:val="0"/>
        <w:spacing w:after="60"/>
        <w:ind w:left="714" w:hanging="357"/>
        <w:contextualSpacing w:val="0"/>
        <w:jc w:val="left"/>
        <w:rPr>
          <w:rFonts w:cs="Arial"/>
          <w:lang w:val="fr-FR"/>
        </w:rPr>
      </w:pPr>
      <w:r w:rsidRPr="009A6348">
        <w:rPr>
          <w:rFonts w:cs="Arial"/>
          <w:lang w:val="fr-FR"/>
        </w:rPr>
        <w:t>TGP/9/2 Exam</w:t>
      </w:r>
      <w:r w:rsidR="00DC1A45" w:rsidRPr="009A6348">
        <w:rPr>
          <w:rFonts w:cs="Arial"/>
          <w:lang w:val="fr-FR"/>
        </w:rPr>
        <w:t>en de la distinction</w:t>
      </w:r>
    </w:p>
    <w:p w:rsidR="00677E0A" w:rsidRPr="009A6348" w:rsidRDefault="009A6348" w:rsidP="00AC27EA">
      <w:pPr>
        <w:pStyle w:val="ListParagraph"/>
        <w:numPr>
          <w:ilvl w:val="0"/>
          <w:numId w:val="15"/>
        </w:numPr>
        <w:autoSpaceDE w:val="0"/>
        <w:autoSpaceDN w:val="0"/>
        <w:adjustRightInd w:val="0"/>
        <w:spacing w:after="60"/>
        <w:ind w:left="714" w:hanging="357"/>
        <w:contextualSpacing w:val="0"/>
        <w:jc w:val="left"/>
        <w:rPr>
          <w:rFonts w:cs="Arial"/>
          <w:lang w:val="fr-FR"/>
        </w:rPr>
      </w:pPr>
      <w:r>
        <w:rPr>
          <w:rFonts w:cs="Arial"/>
          <w:lang w:val="fr-FR"/>
        </w:rPr>
        <w:t xml:space="preserve">TGP/14/3 </w:t>
      </w:r>
      <w:r w:rsidR="00AC27EA" w:rsidRPr="009A6348">
        <w:rPr>
          <w:rFonts w:cs="Arial"/>
          <w:lang w:val="fr-FR"/>
        </w:rPr>
        <w:t>Glossaire de termes utilisés dans les documents de l</w:t>
      </w:r>
      <w:r w:rsidR="00003939" w:rsidRPr="009A6348">
        <w:rPr>
          <w:rFonts w:cs="Arial"/>
          <w:lang w:val="fr-FR"/>
        </w:rPr>
        <w:t>’</w:t>
      </w:r>
      <w:r w:rsidR="00AC27EA" w:rsidRPr="009A6348">
        <w:rPr>
          <w:rFonts w:cs="Arial"/>
          <w:lang w:val="fr-FR"/>
        </w:rPr>
        <w:t>UPOV (révision)</w:t>
      </w:r>
    </w:p>
    <w:p w:rsidR="00677E0A" w:rsidRPr="009A6348" w:rsidRDefault="009A6348" w:rsidP="00AC27EA">
      <w:pPr>
        <w:pStyle w:val="ListParagraph"/>
        <w:numPr>
          <w:ilvl w:val="0"/>
          <w:numId w:val="15"/>
        </w:numPr>
        <w:autoSpaceDE w:val="0"/>
        <w:autoSpaceDN w:val="0"/>
        <w:adjustRightInd w:val="0"/>
        <w:spacing w:after="60"/>
        <w:ind w:left="714" w:hanging="357"/>
        <w:contextualSpacing w:val="0"/>
        <w:jc w:val="left"/>
        <w:rPr>
          <w:rFonts w:cs="Arial"/>
          <w:lang w:val="fr-FR"/>
        </w:rPr>
      </w:pPr>
      <w:r>
        <w:rPr>
          <w:rFonts w:cs="Arial"/>
          <w:lang w:val="fr-FR"/>
        </w:rPr>
        <w:t xml:space="preserve">UPOV/EXN/CAN </w:t>
      </w:r>
      <w:r w:rsidR="00AC27EA" w:rsidRPr="009A6348">
        <w:rPr>
          <w:rFonts w:cs="Arial"/>
          <w:lang w:val="fr-FR"/>
        </w:rPr>
        <w:t>Notes explicatives sur la déchéance de l</w:t>
      </w:r>
      <w:r w:rsidR="00003939" w:rsidRPr="009A6348">
        <w:rPr>
          <w:rFonts w:cs="Arial"/>
          <w:lang w:val="fr-FR"/>
        </w:rPr>
        <w:t>’</w:t>
      </w:r>
      <w:r w:rsidR="00AC27EA" w:rsidRPr="009A6348">
        <w:rPr>
          <w:rFonts w:cs="Arial"/>
          <w:lang w:val="fr-FR"/>
        </w:rPr>
        <w:t xml:space="preserve">obtenteur selon la </w:t>
      </w:r>
      <w:r w:rsidR="00003939" w:rsidRPr="009A6348">
        <w:rPr>
          <w:rFonts w:cs="Arial"/>
          <w:lang w:val="fr-FR"/>
        </w:rPr>
        <w:t>Convention UPOV</w:t>
      </w:r>
    </w:p>
    <w:p w:rsidR="009673A3" w:rsidRPr="009A6348" w:rsidRDefault="00950B80" w:rsidP="00DC1A45">
      <w:pPr>
        <w:pStyle w:val="ListParagraph"/>
        <w:numPr>
          <w:ilvl w:val="0"/>
          <w:numId w:val="15"/>
        </w:numPr>
        <w:autoSpaceDE w:val="0"/>
        <w:autoSpaceDN w:val="0"/>
        <w:adjustRightInd w:val="0"/>
        <w:spacing w:after="60"/>
        <w:contextualSpacing w:val="0"/>
        <w:jc w:val="left"/>
        <w:rPr>
          <w:rFonts w:cs="Arial"/>
          <w:lang w:val="fr-FR"/>
        </w:rPr>
      </w:pPr>
      <w:r w:rsidRPr="009A6348">
        <w:rPr>
          <w:rFonts w:cs="Arial"/>
          <w:lang w:val="fr-FR"/>
        </w:rPr>
        <w:t xml:space="preserve">UPOV/EXN/NUL/2 </w:t>
      </w:r>
      <w:r w:rsidR="00DC1A45" w:rsidRPr="009A6348">
        <w:rPr>
          <w:rFonts w:cs="Arial"/>
          <w:lang w:val="fr-FR"/>
        </w:rPr>
        <w:t>Notes explicatives sur la nullité du droit d</w:t>
      </w:r>
      <w:r w:rsidR="00003939" w:rsidRPr="009A6348">
        <w:rPr>
          <w:rFonts w:cs="Arial"/>
          <w:lang w:val="fr-FR"/>
        </w:rPr>
        <w:t>’</w:t>
      </w:r>
      <w:r w:rsidR="00DC1A45" w:rsidRPr="009A6348">
        <w:rPr>
          <w:rFonts w:cs="Arial"/>
          <w:lang w:val="fr-FR"/>
        </w:rPr>
        <w:t xml:space="preserve">obtenteur selon la </w:t>
      </w:r>
      <w:r w:rsidR="00003939" w:rsidRPr="009A6348">
        <w:rPr>
          <w:rFonts w:cs="Arial"/>
          <w:lang w:val="fr-FR"/>
        </w:rPr>
        <w:t>Convention UPOV</w:t>
      </w:r>
      <w:r w:rsidR="00DC1A45" w:rsidRPr="009A6348">
        <w:rPr>
          <w:rFonts w:cs="Arial"/>
          <w:lang w:val="fr-FR"/>
        </w:rPr>
        <w:t xml:space="preserve"> (ré</w:t>
      </w:r>
      <w:r w:rsidRPr="009A6348">
        <w:rPr>
          <w:rFonts w:cs="Arial"/>
          <w:lang w:val="fr-FR"/>
        </w:rPr>
        <w:t>vision)</w:t>
      </w:r>
    </w:p>
    <w:p w:rsidR="00677E0A" w:rsidRPr="009A6348" w:rsidRDefault="00AC27EA" w:rsidP="00AC27EA">
      <w:pPr>
        <w:pStyle w:val="ListParagraph"/>
        <w:numPr>
          <w:ilvl w:val="0"/>
          <w:numId w:val="15"/>
        </w:numPr>
        <w:autoSpaceDE w:val="0"/>
        <w:autoSpaceDN w:val="0"/>
        <w:adjustRightInd w:val="0"/>
        <w:spacing w:after="60"/>
        <w:ind w:left="714" w:hanging="357"/>
        <w:contextualSpacing w:val="0"/>
        <w:jc w:val="left"/>
        <w:rPr>
          <w:rFonts w:cs="Arial"/>
          <w:lang w:val="fr-FR"/>
        </w:rPr>
      </w:pPr>
      <w:r w:rsidRPr="009A6348">
        <w:rPr>
          <w:rFonts w:cs="Arial"/>
          <w:lang w:val="fr-FR"/>
        </w:rPr>
        <w:t>UPOV/EXN/PRP/2</w:t>
      </w:r>
      <w:r w:rsidR="009A6348">
        <w:rPr>
          <w:rFonts w:cs="Arial"/>
          <w:lang w:val="fr-FR"/>
        </w:rPr>
        <w:t xml:space="preserve"> </w:t>
      </w:r>
      <w:r w:rsidRPr="009A6348">
        <w:rPr>
          <w:rFonts w:cs="Arial"/>
          <w:lang w:val="fr-FR"/>
        </w:rPr>
        <w:t xml:space="preserve">Notes explicatives sur la protection provisoire selon la </w:t>
      </w:r>
      <w:r w:rsidR="00003939" w:rsidRPr="009A6348">
        <w:rPr>
          <w:rFonts w:cs="Arial"/>
          <w:lang w:val="fr-FR"/>
        </w:rPr>
        <w:t>Convention UPOV</w:t>
      </w:r>
    </w:p>
    <w:p w:rsidR="009673A3" w:rsidRPr="009A6348" w:rsidRDefault="00AC27EA" w:rsidP="00AC27EA">
      <w:pPr>
        <w:pStyle w:val="ListParagraph"/>
        <w:numPr>
          <w:ilvl w:val="0"/>
          <w:numId w:val="15"/>
        </w:numPr>
        <w:autoSpaceDE w:val="0"/>
        <w:autoSpaceDN w:val="0"/>
        <w:adjustRightInd w:val="0"/>
        <w:spacing w:after="60"/>
        <w:ind w:left="714" w:hanging="357"/>
        <w:contextualSpacing w:val="0"/>
        <w:jc w:val="left"/>
        <w:rPr>
          <w:rFonts w:cs="Arial"/>
          <w:lang w:val="fr-FR"/>
        </w:rPr>
      </w:pPr>
      <w:r w:rsidRPr="009A6348">
        <w:rPr>
          <w:rFonts w:cs="Arial"/>
          <w:lang w:val="fr-FR"/>
        </w:rPr>
        <w:t>UPOV/INF/</w:t>
      </w:r>
      <w:r w:rsidR="009A6348">
        <w:rPr>
          <w:rFonts w:cs="Arial"/>
          <w:lang w:val="fr-FR"/>
        </w:rPr>
        <w:t xml:space="preserve">6/4 </w:t>
      </w:r>
      <w:r w:rsidRPr="009A6348">
        <w:rPr>
          <w:rFonts w:cs="Arial"/>
          <w:lang w:val="fr-FR"/>
        </w:rPr>
        <w:t>Orientations en vue de la rédaction de lois fondées sur l</w:t>
      </w:r>
      <w:r w:rsidR="00003939" w:rsidRPr="009A6348">
        <w:rPr>
          <w:rFonts w:cs="Arial"/>
          <w:lang w:val="fr-FR"/>
        </w:rPr>
        <w:t>’</w:t>
      </w:r>
      <w:r w:rsidRPr="009A6348">
        <w:rPr>
          <w:rFonts w:cs="Arial"/>
          <w:lang w:val="fr-FR"/>
        </w:rPr>
        <w:t>Acte de</w:t>
      </w:r>
      <w:r w:rsidR="007046A2" w:rsidRPr="009A6348">
        <w:rPr>
          <w:rFonts w:cs="Arial"/>
          <w:lang w:val="fr-FR"/>
        </w:rPr>
        <w:t> </w:t>
      </w:r>
      <w:r w:rsidRPr="009A6348">
        <w:rPr>
          <w:rFonts w:cs="Arial"/>
          <w:lang w:val="fr-FR"/>
        </w:rPr>
        <w:t xml:space="preserve">1991 de la </w:t>
      </w:r>
      <w:r w:rsidR="00003939" w:rsidRPr="009A6348">
        <w:rPr>
          <w:rFonts w:cs="Arial"/>
          <w:lang w:val="fr-FR"/>
        </w:rPr>
        <w:t>Convention UPOV</w:t>
      </w:r>
    </w:p>
    <w:p w:rsidR="009673A3" w:rsidRPr="009A6348" w:rsidRDefault="009A6348" w:rsidP="00AC27EA">
      <w:pPr>
        <w:pStyle w:val="ListParagraph"/>
        <w:numPr>
          <w:ilvl w:val="0"/>
          <w:numId w:val="15"/>
        </w:numPr>
        <w:autoSpaceDE w:val="0"/>
        <w:autoSpaceDN w:val="0"/>
        <w:adjustRightInd w:val="0"/>
        <w:spacing w:after="60"/>
        <w:ind w:left="714" w:hanging="357"/>
        <w:contextualSpacing w:val="0"/>
        <w:jc w:val="left"/>
        <w:rPr>
          <w:rFonts w:cs="Arial"/>
          <w:lang w:val="fr-FR"/>
        </w:rPr>
      </w:pPr>
      <w:r>
        <w:rPr>
          <w:rFonts w:cs="Arial"/>
          <w:lang w:val="fr-FR"/>
        </w:rPr>
        <w:t xml:space="preserve">UPOV/INF/12/5 </w:t>
      </w:r>
      <w:r w:rsidR="00AC27EA" w:rsidRPr="009A6348">
        <w:rPr>
          <w:rFonts w:cs="Arial"/>
          <w:lang w:val="fr-FR"/>
        </w:rPr>
        <w:t xml:space="preserve">Notes explicatives concernant les dénominations variétales selon la </w:t>
      </w:r>
      <w:r w:rsidR="00003939" w:rsidRPr="009A6348">
        <w:rPr>
          <w:rFonts w:cs="Arial"/>
          <w:lang w:val="fr-FR"/>
        </w:rPr>
        <w:t>Convention UPOV</w:t>
      </w:r>
    </w:p>
    <w:p w:rsidR="00677E0A" w:rsidRPr="009A6348" w:rsidRDefault="00950B80" w:rsidP="009A6348">
      <w:pPr>
        <w:pStyle w:val="ListParagraph"/>
        <w:keepNext/>
        <w:numPr>
          <w:ilvl w:val="0"/>
          <w:numId w:val="15"/>
        </w:numPr>
        <w:autoSpaceDE w:val="0"/>
        <w:autoSpaceDN w:val="0"/>
        <w:adjustRightInd w:val="0"/>
        <w:spacing w:after="60"/>
        <w:ind w:left="714" w:hanging="357"/>
        <w:contextualSpacing w:val="0"/>
        <w:jc w:val="left"/>
        <w:rPr>
          <w:rFonts w:cs="Arial"/>
          <w:lang w:val="fr-FR"/>
        </w:rPr>
      </w:pPr>
      <w:r w:rsidRPr="009A6348">
        <w:rPr>
          <w:rFonts w:cs="Arial"/>
          <w:lang w:val="fr-FR"/>
        </w:rPr>
        <w:t xml:space="preserve">UPOV/INF/16/5 </w:t>
      </w:r>
      <w:r w:rsidR="00DC1A45" w:rsidRPr="009A6348">
        <w:rPr>
          <w:rFonts w:cs="Arial"/>
          <w:lang w:val="fr-FR"/>
        </w:rPr>
        <w:t>Logiciels échangeables</w:t>
      </w:r>
    </w:p>
    <w:p w:rsidR="009673A3" w:rsidRPr="009A6348" w:rsidRDefault="009A6348" w:rsidP="00AC27EA">
      <w:pPr>
        <w:pStyle w:val="ListParagraph"/>
        <w:numPr>
          <w:ilvl w:val="0"/>
          <w:numId w:val="15"/>
        </w:numPr>
        <w:autoSpaceDE w:val="0"/>
        <w:autoSpaceDN w:val="0"/>
        <w:adjustRightInd w:val="0"/>
        <w:jc w:val="left"/>
        <w:rPr>
          <w:rFonts w:cs="Arial"/>
          <w:lang w:val="fr-FR"/>
        </w:rPr>
      </w:pPr>
      <w:r>
        <w:rPr>
          <w:rFonts w:cs="Arial"/>
          <w:lang w:val="fr-FR"/>
        </w:rPr>
        <w:t xml:space="preserve">UPOV/INF/22/2 </w:t>
      </w:r>
      <w:r w:rsidR="00AC27EA" w:rsidRPr="009A6348">
        <w:rPr>
          <w:rFonts w:cs="Arial"/>
          <w:lang w:val="fr-FR"/>
        </w:rPr>
        <w:t>Logiciels et équipements utilisés par les membres de l</w:t>
      </w:r>
      <w:r w:rsidR="00003939" w:rsidRPr="009A6348">
        <w:rPr>
          <w:rFonts w:cs="Arial"/>
          <w:lang w:val="fr-FR"/>
        </w:rPr>
        <w:t>’</w:t>
      </w:r>
      <w:r w:rsidR="00AC27EA" w:rsidRPr="009A6348">
        <w:rPr>
          <w:rFonts w:cs="Arial"/>
          <w:lang w:val="fr-FR"/>
        </w:rPr>
        <w:t>Union</w:t>
      </w:r>
    </w:p>
    <w:p w:rsidR="00677E0A" w:rsidRPr="009A6348" w:rsidRDefault="00677E0A" w:rsidP="00B35469">
      <w:pPr>
        <w:pStyle w:val="Default"/>
        <w:rPr>
          <w:color w:val="auto"/>
          <w:sz w:val="20"/>
          <w:szCs w:val="20"/>
          <w:lang w:val="fr-FR"/>
        </w:rPr>
      </w:pPr>
    </w:p>
    <w:p w:rsidR="009673A3" w:rsidRPr="009A6348" w:rsidRDefault="00B02D38" w:rsidP="00AC27EA">
      <w:pPr>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AC27EA" w:rsidRPr="009A6348">
        <w:rPr>
          <w:rFonts w:cs="Arial"/>
          <w:lang w:val="fr-FR"/>
        </w:rPr>
        <w:t>Tous les documents adoptés ont été ajoutés à la Collection UPOV.</w:t>
      </w:r>
    </w:p>
    <w:p w:rsidR="00677E0A" w:rsidRPr="009A6348" w:rsidRDefault="00677E0A" w:rsidP="00B02D38">
      <w:pPr>
        <w:rPr>
          <w:rFonts w:cs="Arial"/>
          <w:lang w:val="fr-FR"/>
        </w:rPr>
      </w:pPr>
    </w:p>
    <w:p w:rsidR="00677E0A" w:rsidRPr="009A6348" w:rsidRDefault="00AC27EA" w:rsidP="00AC27EA">
      <w:pPr>
        <w:pStyle w:val="Heading2"/>
        <w:rPr>
          <w:color w:val="auto"/>
        </w:rPr>
      </w:pPr>
      <w:bookmarkStart w:id="23" w:name="_Toc444761380"/>
      <w:r w:rsidRPr="009A6348">
        <w:rPr>
          <w:color w:val="auto"/>
        </w:rPr>
        <w:t>Programme d</w:t>
      </w:r>
      <w:r w:rsidR="00003939" w:rsidRPr="009A6348">
        <w:rPr>
          <w:color w:val="auto"/>
        </w:rPr>
        <w:t>’</w:t>
      </w:r>
      <w:r w:rsidRPr="009A6348">
        <w:rPr>
          <w:color w:val="auto"/>
        </w:rPr>
        <w:t xml:space="preserve">élaboration de notes explicatives sur la </w:t>
      </w:r>
      <w:r w:rsidR="00003939" w:rsidRPr="009A6348">
        <w:rPr>
          <w:color w:val="auto"/>
        </w:rPr>
        <w:t>Convention UPOV</w:t>
      </w:r>
      <w:bookmarkEnd w:id="23"/>
    </w:p>
    <w:p w:rsidR="00677E0A" w:rsidRPr="009A6348" w:rsidRDefault="00677E0A" w:rsidP="00B02D38">
      <w:pPr>
        <w:pStyle w:val="Heading2"/>
        <w:rPr>
          <w:color w:val="auto"/>
        </w:rPr>
      </w:pPr>
    </w:p>
    <w:p w:rsidR="00677E0A" w:rsidRPr="009A6348" w:rsidRDefault="00B02D38" w:rsidP="009D37E6">
      <w:pPr>
        <w:keepNext/>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5366CA" w:rsidRPr="009A6348">
        <w:rPr>
          <w:rFonts w:cs="Arial"/>
          <w:lang w:val="fr-FR"/>
        </w:rPr>
        <w:t>Le programme d</w:t>
      </w:r>
      <w:r w:rsidR="00003939" w:rsidRPr="009A6348">
        <w:rPr>
          <w:rFonts w:cs="Arial"/>
          <w:lang w:val="fr-FR"/>
        </w:rPr>
        <w:t>’</w:t>
      </w:r>
      <w:r w:rsidR="005366CA" w:rsidRPr="009A6348">
        <w:rPr>
          <w:rFonts w:cs="Arial"/>
          <w:lang w:val="fr-FR"/>
        </w:rPr>
        <w:t>élaboration de matériels d</w:t>
      </w:r>
      <w:r w:rsidR="00003939" w:rsidRPr="009A6348">
        <w:rPr>
          <w:rFonts w:cs="Arial"/>
          <w:lang w:val="fr-FR"/>
        </w:rPr>
        <w:t>’</w:t>
      </w:r>
      <w:r w:rsidR="005366CA" w:rsidRPr="009A6348">
        <w:rPr>
          <w:rFonts w:cs="Arial"/>
          <w:lang w:val="fr-FR"/>
        </w:rPr>
        <w:t>information est résumé ci</w:t>
      </w:r>
      <w:r w:rsidR="00BA2AFF" w:rsidRPr="009A6348">
        <w:rPr>
          <w:rFonts w:cs="Arial"/>
          <w:lang w:val="fr-FR"/>
        </w:rPr>
        <w:noBreakHyphen/>
      </w:r>
      <w:r w:rsidR="005366CA" w:rsidRPr="009A6348">
        <w:rPr>
          <w:rFonts w:cs="Arial"/>
          <w:lang w:val="fr-FR"/>
        </w:rPr>
        <w:t>dessous :</w:t>
      </w:r>
    </w:p>
    <w:p w:rsidR="00677E0A" w:rsidRPr="009A6348" w:rsidRDefault="00677E0A" w:rsidP="00D821B9">
      <w:pPr>
        <w:keepNext/>
        <w:rPr>
          <w:rFonts w:cs="Arial"/>
          <w:lang w:val="fr-FR"/>
        </w:rPr>
      </w:pPr>
    </w:p>
    <w:p w:rsidR="00677E0A" w:rsidRPr="009A6348" w:rsidRDefault="00AC27EA" w:rsidP="00AC27EA">
      <w:pPr>
        <w:keepNext/>
        <w:jc w:val="left"/>
        <w:rPr>
          <w:rFonts w:cs="Arial"/>
          <w:i/>
          <w:lang w:val="fr-FR"/>
        </w:rPr>
      </w:pPr>
      <w:r w:rsidRPr="009A6348">
        <w:rPr>
          <w:rFonts w:cs="Arial"/>
          <w:i/>
          <w:lang w:val="fr-FR"/>
        </w:rPr>
        <w:t>Notes explicatives</w:t>
      </w:r>
    </w:p>
    <w:p w:rsidR="00B02D38" w:rsidRPr="009A6348" w:rsidRDefault="00B02D38" w:rsidP="00D821B9">
      <w:pPr>
        <w:keepNext/>
        <w:jc w:val="left"/>
        <w:rPr>
          <w:rFonts w:cs="Arial"/>
          <w:lang w:val="fr-FR"/>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862"/>
        <w:gridCol w:w="3767"/>
      </w:tblGrid>
      <w:tr w:rsidR="009A6348" w:rsidRPr="009A6348" w:rsidTr="009D37E6">
        <w:trPr>
          <w:cantSplit/>
          <w:jc w:val="center"/>
        </w:trPr>
        <w:tc>
          <w:tcPr>
            <w:tcW w:w="1741" w:type="dxa"/>
            <w:shd w:val="clear" w:color="auto" w:fill="D9D9D9"/>
          </w:tcPr>
          <w:p w:rsidR="00B02D38" w:rsidRPr="009A6348" w:rsidRDefault="00AC27EA" w:rsidP="00AC27EA">
            <w:pPr>
              <w:jc w:val="left"/>
              <w:rPr>
                <w:rFonts w:cs="Arial"/>
                <w:lang w:val="fr-FR"/>
              </w:rPr>
            </w:pPr>
            <w:r w:rsidRPr="009A6348">
              <w:rPr>
                <w:rFonts w:cs="Arial"/>
                <w:lang w:val="fr-FR"/>
              </w:rPr>
              <w:t>Référence</w:t>
            </w:r>
            <w:r w:rsidR="007046A2" w:rsidRPr="009A6348">
              <w:rPr>
                <w:rFonts w:cs="Arial"/>
                <w:lang w:val="fr-FR"/>
              </w:rPr>
              <w:t> </w:t>
            </w:r>
            <w:r w:rsidRPr="009A6348">
              <w:rPr>
                <w:rFonts w:cs="Arial"/>
                <w:lang w:val="fr-FR"/>
              </w:rPr>
              <w:t>:</w:t>
            </w:r>
          </w:p>
        </w:tc>
        <w:tc>
          <w:tcPr>
            <w:tcW w:w="4862" w:type="dxa"/>
            <w:shd w:val="clear" w:color="auto" w:fill="D9D9D9"/>
          </w:tcPr>
          <w:p w:rsidR="00B02D38" w:rsidRPr="009A6348" w:rsidRDefault="00AC27EA" w:rsidP="00AC27EA">
            <w:pPr>
              <w:jc w:val="left"/>
              <w:rPr>
                <w:rFonts w:cs="Arial"/>
                <w:lang w:val="fr-FR"/>
              </w:rPr>
            </w:pPr>
            <w:r w:rsidRPr="009A6348">
              <w:rPr>
                <w:rFonts w:cs="Arial"/>
                <w:lang w:val="fr-FR"/>
              </w:rPr>
              <w:t>Notes explicatives sur</w:t>
            </w:r>
            <w:r w:rsidR="007046A2" w:rsidRPr="009A6348">
              <w:rPr>
                <w:rFonts w:cs="Arial"/>
                <w:lang w:val="fr-FR"/>
              </w:rPr>
              <w:t> </w:t>
            </w:r>
            <w:r w:rsidRPr="009A6348">
              <w:rPr>
                <w:rFonts w:cs="Arial"/>
                <w:lang w:val="fr-FR"/>
              </w:rPr>
              <w:t>:</w:t>
            </w:r>
          </w:p>
        </w:tc>
        <w:tc>
          <w:tcPr>
            <w:tcW w:w="3767" w:type="dxa"/>
            <w:shd w:val="clear" w:color="auto" w:fill="D9D9D9"/>
          </w:tcPr>
          <w:p w:rsidR="00B02D38" w:rsidRPr="009A6348" w:rsidRDefault="00AC27EA" w:rsidP="00AC27EA">
            <w:pPr>
              <w:jc w:val="left"/>
              <w:rPr>
                <w:rFonts w:cs="Arial"/>
                <w:lang w:val="fr-FR"/>
              </w:rPr>
            </w:pPr>
            <w:r w:rsidRPr="009A6348">
              <w:rPr>
                <w:rFonts w:cs="Arial"/>
                <w:lang w:val="fr-FR"/>
              </w:rPr>
              <w:t>ÉTAT D</w:t>
            </w:r>
            <w:r w:rsidR="00003939" w:rsidRPr="009A6348">
              <w:rPr>
                <w:rFonts w:cs="Arial"/>
                <w:lang w:val="fr-FR"/>
              </w:rPr>
              <w:t>’</w:t>
            </w:r>
            <w:r w:rsidRPr="009A6348">
              <w:rPr>
                <w:rFonts w:cs="Arial"/>
                <w:lang w:val="fr-FR"/>
              </w:rPr>
              <w:t>AVANCEMENT</w:t>
            </w:r>
          </w:p>
        </w:tc>
      </w:tr>
      <w:tr w:rsidR="009A6348" w:rsidRPr="009A6348" w:rsidTr="009D37E6">
        <w:trPr>
          <w:cantSplit/>
          <w:jc w:val="center"/>
        </w:trPr>
        <w:tc>
          <w:tcPr>
            <w:tcW w:w="1741" w:type="dxa"/>
          </w:tcPr>
          <w:p w:rsidR="00B02D38" w:rsidRPr="009A6348" w:rsidRDefault="00AC27EA" w:rsidP="00AC27EA">
            <w:pPr>
              <w:jc w:val="left"/>
              <w:rPr>
                <w:rFonts w:cs="Arial"/>
                <w:lang w:val="fr-FR"/>
              </w:rPr>
            </w:pPr>
            <w:r w:rsidRPr="009A6348">
              <w:rPr>
                <w:rFonts w:cs="Arial"/>
                <w:lang w:val="fr-FR"/>
              </w:rPr>
              <w:t>UPOV/EXN/EDV</w:t>
            </w:r>
          </w:p>
        </w:tc>
        <w:tc>
          <w:tcPr>
            <w:tcW w:w="4862" w:type="dxa"/>
          </w:tcPr>
          <w:p w:rsidR="00B02D38" w:rsidRPr="009A6348" w:rsidRDefault="00AC27EA" w:rsidP="00AC27EA">
            <w:pPr>
              <w:jc w:val="left"/>
              <w:rPr>
                <w:rFonts w:cs="Arial"/>
                <w:lang w:val="fr-FR"/>
              </w:rPr>
            </w:pPr>
            <w:r w:rsidRPr="009A6348">
              <w:rPr>
                <w:rFonts w:cs="Arial"/>
                <w:lang w:val="fr-FR"/>
              </w:rPr>
              <w:t>Les variétés essentiellement dérivées selon l</w:t>
            </w:r>
            <w:r w:rsidR="00003939" w:rsidRPr="009A6348">
              <w:rPr>
                <w:rFonts w:cs="Arial"/>
                <w:lang w:val="fr-FR"/>
              </w:rPr>
              <w:t>’</w:t>
            </w:r>
            <w:r w:rsidRPr="009A6348">
              <w:rPr>
                <w:rFonts w:cs="Arial"/>
                <w:lang w:val="fr-FR"/>
              </w:rPr>
              <w:t>Acte de</w:t>
            </w:r>
            <w:r w:rsidR="007046A2" w:rsidRPr="009A6348">
              <w:rPr>
                <w:rFonts w:cs="Arial"/>
                <w:lang w:val="fr-FR"/>
              </w:rPr>
              <w:t> </w:t>
            </w:r>
            <w:r w:rsidRPr="009A6348">
              <w:rPr>
                <w:rFonts w:cs="Arial"/>
                <w:lang w:val="fr-FR"/>
              </w:rPr>
              <w:t xml:space="preserve">1991 de la </w:t>
            </w:r>
            <w:r w:rsidR="00003939" w:rsidRPr="009A6348">
              <w:rPr>
                <w:rFonts w:cs="Arial"/>
                <w:lang w:val="fr-FR"/>
              </w:rPr>
              <w:t>Convention UPOV</w:t>
            </w:r>
          </w:p>
        </w:tc>
        <w:tc>
          <w:tcPr>
            <w:tcW w:w="3767" w:type="dxa"/>
          </w:tcPr>
          <w:p w:rsidR="00B02D38" w:rsidRPr="009A6348" w:rsidRDefault="00AC27EA" w:rsidP="00AC27EA">
            <w:pPr>
              <w:jc w:val="left"/>
              <w:rPr>
                <w:rFonts w:cs="Arial"/>
                <w:lang w:val="fr-FR"/>
              </w:rPr>
            </w:pPr>
            <w:r w:rsidRPr="009A6348">
              <w:rPr>
                <w:rFonts w:cs="Arial"/>
                <w:lang w:val="fr-FR"/>
              </w:rPr>
              <w:t xml:space="preserve">UPOV/EXN/EDV/2 </w:t>
            </w:r>
            <w:proofErr w:type="spellStart"/>
            <w:r w:rsidRPr="009A6348">
              <w:rPr>
                <w:rFonts w:cs="Arial"/>
                <w:lang w:val="fr-FR"/>
              </w:rPr>
              <w:t>Draft</w:t>
            </w:r>
            <w:proofErr w:type="spellEnd"/>
            <w:r w:rsidRPr="009A6348">
              <w:rPr>
                <w:rFonts w:cs="Arial"/>
                <w:lang w:val="fr-FR"/>
              </w:rPr>
              <w:t xml:space="preserve"> 7 devant être examiné par</w:t>
            </w:r>
            <w:r w:rsidR="009673A3" w:rsidRPr="009A6348">
              <w:rPr>
                <w:rFonts w:cs="Arial"/>
                <w:lang w:val="fr-FR"/>
              </w:rPr>
              <w:t xml:space="preserve"> le CAJ</w:t>
            </w:r>
            <w:r w:rsidRPr="009A6348">
              <w:rPr>
                <w:rFonts w:cs="Arial"/>
                <w:lang w:val="fr-FR"/>
              </w:rPr>
              <w:t xml:space="preserve"> en </w:t>
            </w:r>
            <w:r w:rsidR="009673A3" w:rsidRPr="009A6348">
              <w:rPr>
                <w:rFonts w:cs="Arial"/>
                <w:lang w:val="fr-FR"/>
              </w:rPr>
              <w:t>octobre 20</w:t>
            </w:r>
            <w:r w:rsidRPr="009A6348">
              <w:rPr>
                <w:rFonts w:cs="Arial"/>
                <w:lang w:val="fr-FR"/>
              </w:rPr>
              <w:t>16</w:t>
            </w:r>
          </w:p>
        </w:tc>
      </w:tr>
      <w:tr w:rsidR="00B02D38" w:rsidRPr="009A6348" w:rsidTr="009D37E6">
        <w:trPr>
          <w:cantSplit/>
          <w:jc w:val="center"/>
        </w:trPr>
        <w:tc>
          <w:tcPr>
            <w:tcW w:w="1741" w:type="dxa"/>
            <w:tcBorders>
              <w:bottom w:val="single" w:sz="2" w:space="0" w:color="auto"/>
            </w:tcBorders>
          </w:tcPr>
          <w:p w:rsidR="00B02D38" w:rsidRPr="009A6348" w:rsidRDefault="00AC27EA" w:rsidP="00AC27EA">
            <w:pPr>
              <w:jc w:val="left"/>
              <w:rPr>
                <w:rFonts w:cs="Arial"/>
                <w:lang w:val="fr-FR"/>
              </w:rPr>
            </w:pPr>
            <w:r w:rsidRPr="009A6348">
              <w:rPr>
                <w:rFonts w:cs="Arial"/>
                <w:lang w:val="fr-FR"/>
              </w:rPr>
              <w:t>UPOV/EXN/CAL</w:t>
            </w:r>
          </w:p>
        </w:tc>
        <w:tc>
          <w:tcPr>
            <w:tcW w:w="4862" w:type="dxa"/>
            <w:tcBorders>
              <w:bottom w:val="single" w:sz="2" w:space="0" w:color="auto"/>
            </w:tcBorders>
          </w:tcPr>
          <w:p w:rsidR="00B02D38" w:rsidRPr="009A6348" w:rsidRDefault="00D72E95" w:rsidP="007F6BFC">
            <w:pPr>
              <w:jc w:val="left"/>
              <w:rPr>
                <w:rFonts w:cs="Arial"/>
                <w:lang w:val="fr-FR"/>
              </w:rPr>
            </w:pPr>
            <w:r w:rsidRPr="009A6348">
              <w:rPr>
                <w:rFonts w:cs="Arial"/>
                <w:lang w:val="fr-FR"/>
              </w:rPr>
              <w:t>Notes explicatives sur les conditions et limitations relatives à l</w:t>
            </w:r>
            <w:r w:rsidR="00003939" w:rsidRPr="009A6348">
              <w:rPr>
                <w:rFonts w:cs="Arial"/>
                <w:lang w:val="fr-FR"/>
              </w:rPr>
              <w:t>’</w:t>
            </w:r>
            <w:r w:rsidRPr="009A6348">
              <w:rPr>
                <w:rFonts w:cs="Arial"/>
                <w:lang w:val="fr-FR"/>
              </w:rPr>
              <w:t>autorisation de l</w:t>
            </w:r>
            <w:r w:rsidR="00003939" w:rsidRPr="009A6348">
              <w:rPr>
                <w:rFonts w:cs="Arial"/>
                <w:lang w:val="fr-FR"/>
              </w:rPr>
              <w:t>’</w:t>
            </w:r>
            <w:r w:rsidRPr="009A6348">
              <w:rPr>
                <w:rFonts w:cs="Arial"/>
                <w:lang w:val="fr-FR"/>
              </w:rPr>
              <w:t xml:space="preserve">obtenteur </w:t>
            </w:r>
            <w:r w:rsidR="00003939" w:rsidRPr="009A6348">
              <w:rPr>
                <w:rFonts w:cs="Arial"/>
                <w:lang w:val="fr-FR"/>
              </w:rPr>
              <w:t>à l’égard</w:t>
            </w:r>
            <w:r w:rsidRPr="009A6348">
              <w:rPr>
                <w:rFonts w:cs="Arial"/>
                <w:lang w:val="fr-FR"/>
              </w:rPr>
              <w:t xml:space="preserve"> du matériel de reproduction ou de multiplication selon la </w:t>
            </w:r>
            <w:r w:rsidR="00003939" w:rsidRPr="009A6348">
              <w:rPr>
                <w:rFonts w:cs="Arial"/>
                <w:lang w:val="fr-FR"/>
              </w:rPr>
              <w:t>Convention UPOV</w:t>
            </w:r>
          </w:p>
        </w:tc>
        <w:tc>
          <w:tcPr>
            <w:tcW w:w="3767" w:type="dxa"/>
            <w:tcBorders>
              <w:bottom w:val="single" w:sz="2" w:space="0" w:color="auto"/>
            </w:tcBorders>
          </w:tcPr>
          <w:p w:rsidR="00B02D38" w:rsidRPr="009A6348" w:rsidRDefault="005366CA" w:rsidP="005366CA">
            <w:pPr>
              <w:jc w:val="left"/>
              <w:rPr>
                <w:rFonts w:cs="Arial"/>
                <w:spacing w:val="-2"/>
                <w:lang w:val="fr-FR"/>
              </w:rPr>
            </w:pPr>
            <w:r w:rsidRPr="009A6348">
              <w:rPr>
                <w:rFonts w:cs="Arial"/>
                <w:lang w:val="fr-FR"/>
              </w:rPr>
              <w:t>Révision éventuelle à envisager par</w:t>
            </w:r>
            <w:r w:rsidR="009673A3" w:rsidRPr="009A6348">
              <w:rPr>
                <w:rFonts w:cs="Arial"/>
                <w:lang w:val="fr-FR"/>
              </w:rPr>
              <w:t xml:space="preserve"> le CAJ</w:t>
            </w:r>
            <w:r w:rsidRPr="009A6348">
              <w:rPr>
                <w:rFonts w:cs="Arial"/>
                <w:lang w:val="fr-FR"/>
              </w:rPr>
              <w:t xml:space="preserve"> </w:t>
            </w:r>
            <w:r w:rsidRPr="009A6348">
              <w:rPr>
                <w:rFonts w:cs="Arial"/>
                <w:spacing w:val="-2"/>
                <w:lang w:val="fr-FR"/>
              </w:rPr>
              <w:t>en octobre </w:t>
            </w:r>
            <w:r w:rsidR="007F6BFC" w:rsidRPr="009A6348">
              <w:rPr>
                <w:rFonts w:cs="Arial"/>
                <w:spacing w:val="-2"/>
                <w:lang w:val="fr-FR"/>
              </w:rPr>
              <w:t>2016</w:t>
            </w:r>
          </w:p>
        </w:tc>
      </w:tr>
    </w:tbl>
    <w:p w:rsidR="00677E0A" w:rsidRPr="009A6348" w:rsidRDefault="00677E0A" w:rsidP="00B02D38">
      <w:pPr>
        <w:rPr>
          <w:rFonts w:cs="Arial"/>
          <w:lang w:val="fr-FR"/>
        </w:rPr>
      </w:pPr>
    </w:p>
    <w:p w:rsidR="00677E0A" w:rsidRPr="009A6348" w:rsidRDefault="00AC27EA" w:rsidP="00AC27EA">
      <w:pPr>
        <w:rPr>
          <w:rFonts w:cs="Arial"/>
          <w:i/>
          <w:lang w:val="fr-FR"/>
        </w:rPr>
      </w:pPr>
      <w:r w:rsidRPr="009A6348">
        <w:rPr>
          <w:rFonts w:cs="Arial"/>
          <w:i/>
          <w:lang w:val="fr-FR"/>
        </w:rPr>
        <w:t>Documents d</w:t>
      </w:r>
      <w:r w:rsidR="00003939" w:rsidRPr="009A6348">
        <w:rPr>
          <w:rFonts w:cs="Arial"/>
          <w:i/>
          <w:lang w:val="fr-FR"/>
        </w:rPr>
        <w:t>’</w:t>
      </w:r>
      <w:r w:rsidRPr="009A6348">
        <w:rPr>
          <w:rFonts w:cs="Arial"/>
          <w:i/>
          <w:lang w:val="fr-FR"/>
        </w:rPr>
        <w:t>information</w:t>
      </w:r>
      <w:r w:rsidR="007046A2" w:rsidRPr="009A6348">
        <w:rPr>
          <w:rFonts w:cs="Arial"/>
          <w:lang w:val="fr-FR"/>
        </w:rPr>
        <w:t> </w:t>
      </w:r>
      <w:r w:rsidRPr="009A6348">
        <w:rPr>
          <w:lang w:val="fr-FR"/>
        </w:rPr>
        <w:t>:</w:t>
      </w:r>
    </w:p>
    <w:p w:rsidR="00B02D38" w:rsidRPr="009A6348" w:rsidRDefault="00B02D38" w:rsidP="00B02D38">
      <w:pPr>
        <w:rPr>
          <w:rFonts w:cs="Arial"/>
          <w:lang w:val="fr-FR"/>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902"/>
        <w:gridCol w:w="3825"/>
      </w:tblGrid>
      <w:tr w:rsidR="009A6348" w:rsidRPr="009A6348" w:rsidTr="009D37E6">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B02D38" w:rsidRPr="009A6348" w:rsidRDefault="00AC27EA" w:rsidP="00AC27EA">
            <w:pPr>
              <w:jc w:val="left"/>
              <w:rPr>
                <w:rFonts w:cs="Arial"/>
                <w:lang w:val="fr-FR"/>
              </w:rPr>
            </w:pPr>
            <w:r w:rsidRPr="009A6348">
              <w:rPr>
                <w:rFonts w:cs="Arial"/>
                <w:lang w:val="fr-FR"/>
              </w:rPr>
              <w:t>Dernière référence</w:t>
            </w:r>
          </w:p>
        </w:tc>
        <w:tc>
          <w:tcPr>
            <w:tcW w:w="4902" w:type="dxa"/>
            <w:tcBorders>
              <w:top w:val="single" w:sz="4" w:space="0" w:color="auto"/>
              <w:left w:val="single" w:sz="2" w:space="0" w:color="auto"/>
              <w:bottom w:val="single" w:sz="2" w:space="0" w:color="auto"/>
              <w:right w:val="single" w:sz="2" w:space="0" w:color="auto"/>
            </w:tcBorders>
            <w:shd w:val="clear" w:color="auto" w:fill="D9D9D9"/>
          </w:tcPr>
          <w:p w:rsidR="00B02D38" w:rsidRPr="009A6348" w:rsidRDefault="00AC27EA" w:rsidP="00AC27EA">
            <w:pPr>
              <w:jc w:val="center"/>
              <w:rPr>
                <w:rFonts w:cs="Arial"/>
                <w:lang w:val="fr-FR"/>
              </w:rPr>
            </w:pPr>
            <w:r w:rsidRPr="009A6348">
              <w:rPr>
                <w:rFonts w:cs="Arial"/>
                <w:lang w:val="fr-FR"/>
              </w:rPr>
              <w:t>Documents INF</w:t>
            </w:r>
          </w:p>
        </w:tc>
        <w:tc>
          <w:tcPr>
            <w:tcW w:w="3825" w:type="dxa"/>
            <w:tcBorders>
              <w:top w:val="single" w:sz="4" w:space="0" w:color="auto"/>
              <w:left w:val="single" w:sz="2" w:space="0" w:color="auto"/>
              <w:bottom w:val="single" w:sz="2" w:space="0" w:color="auto"/>
              <w:right w:val="single" w:sz="2" w:space="0" w:color="auto"/>
            </w:tcBorders>
            <w:shd w:val="clear" w:color="auto" w:fill="D9D9D9"/>
          </w:tcPr>
          <w:p w:rsidR="00B02D38" w:rsidRPr="009A6348" w:rsidRDefault="00AC27EA" w:rsidP="00AC27EA">
            <w:pPr>
              <w:jc w:val="left"/>
              <w:rPr>
                <w:rFonts w:cs="Arial"/>
                <w:lang w:val="fr-FR"/>
              </w:rPr>
            </w:pPr>
            <w:r w:rsidRPr="009A6348">
              <w:rPr>
                <w:rFonts w:cs="Arial"/>
                <w:lang w:val="fr-FR"/>
              </w:rPr>
              <w:t>ÉTAT D</w:t>
            </w:r>
            <w:r w:rsidR="00003939" w:rsidRPr="009A6348">
              <w:rPr>
                <w:rFonts w:cs="Arial"/>
                <w:lang w:val="fr-FR"/>
              </w:rPr>
              <w:t>’</w:t>
            </w:r>
            <w:r w:rsidRPr="009A6348">
              <w:rPr>
                <w:rFonts w:cs="Arial"/>
                <w:lang w:val="fr-FR"/>
              </w:rPr>
              <w:t>AVANCEMENT</w:t>
            </w:r>
          </w:p>
        </w:tc>
      </w:tr>
      <w:tr w:rsidR="009A6348" w:rsidRPr="009A6348" w:rsidTr="009D37E6">
        <w:trPr>
          <w:cantSplit/>
          <w:jc w:val="center"/>
        </w:trPr>
        <w:tc>
          <w:tcPr>
            <w:tcW w:w="1758" w:type="dxa"/>
          </w:tcPr>
          <w:p w:rsidR="00B02D38" w:rsidRPr="009A6348" w:rsidRDefault="00AC27EA" w:rsidP="00AC27EA">
            <w:pPr>
              <w:jc w:val="left"/>
              <w:rPr>
                <w:rFonts w:cs="Arial"/>
                <w:lang w:val="fr-FR"/>
              </w:rPr>
            </w:pPr>
            <w:r w:rsidRPr="009A6348">
              <w:rPr>
                <w:rFonts w:cs="Arial"/>
                <w:lang w:val="fr-FR"/>
              </w:rPr>
              <w:t>UPOV/INF/12</w:t>
            </w:r>
          </w:p>
        </w:tc>
        <w:tc>
          <w:tcPr>
            <w:tcW w:w="4902" w:type="dxa"/>
          </w:tcPr>
          <w:p w:rsidR="00B02D38" w:rsidRPr="009A6348" w:rsidRDefault="00AC27EA" w:rsidP="00AC27EA">
            <w:pPr>
              <w:jc w:val="left"/>
              <w:rPr>
                <w:rFonts w:cs="Arial"/>
                <w:lang w:val="fr-FR"/>
              </w:rPr>
            </w:pPr>
            <w:r w:rsidRPr="009A6348">
              <w:rPr>
                <w:rFonts w:cs="Arial"/>
                <w:lang w:val="fr-FR"/>
              </w:rPr>
              <w:t xml:space="preserve">Notes explicatives concernant les dénominations variétales en vertu de la </w:t>
            </w:r>
            <w:r w:rsidR="00003939" w:rsidRPr="009A6348">
              <w:rPr>
                <w:rFonts w:cs="Arial"/>
                <w:lang w:val="fr-FR"/>
              </w:rPr>
              <w:t>Convention UPOV</w:t>
            </w:r>
          </w:p>
        </w:tc>
        <w:tc>
          <w:tcPr>
            <w:tcW w:w="3825" w:type="dxa"/>
          </w:tcPr>
          <w:p w:rsidR="00B02D38" w:rsidRPr="009A6348" w:rsidRDefault="005366CA" w:rsidP="005366CA">
            <w:pPr>
              <w:jc w:val="left"/>
              <w:rPr>
                <w:rFonts w:cs="Arial"/>
                <w:lang w:val="fr-FR"/>
              </w:rPr>
            </w:pPr>
            <w:r w:rsidRPr="009A6348">
              <w:rPr>
                <w:rFonts w:cs="Arial"/>
                <w:lang w:val="fr-FR"/>
              </w:rPr>
              <w:t xml:space="preserve">Révision éventuelle à envisager par le </w:t>
            </w:r>
            <w:r w:rsidR="007F6BFC" w:rsidRPr="009A6348">
              <w:rPr>
                <w:rFonts w:cs="Arial"/>
                <w:spacing w:val="-2"/>
                <w:lang w:val="fr-FR"/>
              </w:rPr>
              <w:t>WG</w:t>
            </w:r>
            <w:r w:rsidR="00BA2AFF" w:rsidRPr="009A6348">
              <w:rPr>
                <w:rFonts w:cs="Arial"/>
                <w:spacing w:val="-2"/>
                <w:lang w:val="fr-FR"/>
              </w:rPr>
              <w:noBreakHyphen/>
            </w:r>
            <w:r w:rsidR="007F6BFC" w:rsidRPr="009A6348">
              <w:rPr>
                <w:rFonts w:cs="Arial"/>
                <w:spacing w:val="-2"/>
                <w:lang w:val="fr-FR"/>
              </w:rPr>
              <w:t xml:space="preserve">DEN </w:t>
            </w:r>
            <w:r w:rsidRPr="009A6348">
              <w:rPr>
                <w:rFonts w:cs="Arial"/>
                <w:spacing w:val="-2"/>
                <w:lang w:val="fr-FR"/>
              </w:rPr>
              <w:t>en mars </w:t>
            </w:r>
            <w:r w:rsidR="007F6BFC" w:rsidRPr="009A6348">
              <w:rPr>
                <w:rFonts w:cs="Arial"/>
                <w:spacing w:val="-2"/>
                <w:lang w:val="fr-FR"/>
              </w:rPr>
              <w:t>2016</w:t>
            </w:r>
          </w:p>
        </w:tc>
      </w:tr>
      <w:tr w:rsidR="009A6348" w:rsidRPr="009A6348" w:rsidTr="009D37E6">
        <w:trPr>
          <w:cantSplit/>
          <w:jc w:val="center"/>
        </w:trPr>
        <w:tc>
          <w:tcPr>
            <w:tcW w:w="1758" w:type="dxa"/>
          </w:tcPr>
          <w:p w:rsidR="00B02D38" w:rsidRPr="009A6348" w:rsidRDefault="00AC27EA" w:rsidP="00AC27EA">
            <w:pPr>
              <w:jc w:val="left"/>
              <w:rPr>
                <w:rFonts w:cs="Arial"/>
                <w:lang w:val="fr-FR"/>
              </w:rPr>
            </w:pPr>
            <w:r w:rsidRPr="009A6348">
              <w:rPr>
                <w:rFonts w:cs="Arial"/>
                <w:lang w:val="fr-FR"/>
              </w:rPr>
              <w:t>UPOV/INF/16</w:t>
            </w:r>
          </w:p>
        </w:tc>
        <w:tc>
          <w:tcPr>
            <w:tcW w:w="4902" w:type="dxa"/>
          </w:tcPr>
          <w:p w:rsidR="00B02D38" w:rsidRPr="009A6348" w:rsidRDefault="00EE0405" w:rsidP="00AC27EA">
            <w:pPr>
              <w:jc w:val="left"/>
              <w:rPr>
                <w:rFonts w:cs="Arial"/>
                <w:lang w:val="fr-FR"/>
              </w:rPr>
            </w:pPr>
            <w:r w:rsidRPr="009A6348">
              <w:rPr>
                <w:rFonts w:cs="Arial"/>
                <w:lang w:val="fr-FR"/>
              </w:rPr>
              <w:t>L</w:t>
            </w:r>
            <w:r w:rsidR="00AC27EA" w:rsidRPr="009A6348">
              <w:rPr>
                <w:rFonts w:cs="Arial"/>
                <w:lang w:val="fr-FR"/>
              </w:rPr>
              <w:t>ogiciels échangeables</w:t>
            </w:r>
          </w:p>
        </w:tc>
        <w:tc>
          <w:tcPr>
            <w:tcW w:w="3825" w:type="dxa"/>
          </w:tcPr>
          <w:p w:rsidR="00B02D38" w:rsidRPr="009A6348" w:rsidRDefault="00AC27EA" w:rsidP="00AC27EA">
            <w:pPr>
              <w:jc w:val="left"/>
              <w:rPr>
                <w:rFonts w:cs="Arial"/>
                <w:lang w:val="fr-FR"/>
              </w:rPr>
            </w:pPr>
            <w:r w:rsidRPr="009A6348">
              <w:rPr>
                <w:rFonts w:cs="Arial"/>
                <w:lang w:val="fr-FR"/>
              </w:rPr>
              <w:t xml:space="preserve">UPOV/INF/16/6 sera examiné par le Conseil en </w:t>
            </w:r>
            <w:r w:rsidR="009673A3" w:rsidRPr="009A6348">
              <w:rPr>
                <w:rFonts w:cs="Arial"/>
                <w:lang w:val="fr-FR"/>
              </w:rPr>
              <w:t>octobre 20</w:t>
            </w:r>
            <w:r w:rsidRPr="009A6348">
              <w:rPr>
                <w:rFonts w:cs="Arial"/>
                <w:lang w:val="fr-FR"/>
              </w:rPr>
              <w:t>16</w:t>
            </w:r>
          </w:p>
        </w:tc>
      </w:tr>
      <w:tr w:rsidR="00B02D38" w:rsidRPr="009A6348" w:rsidTr="009D37E6">
        <w:trPr>
          <w:cantSplit/>
          <w:jc w:val="center"/>
        </w:trPr>
        <w:tc>
          <w:tcPr>
            <w:tcW w:w="1758" w:type="dxa"/>
          </w:tcPr>
          <w:p w:rsidR="00B02D38" w:rsidRPr="009A6348" w:rsidRDefault="00AC27EA" w:rsidP="00AC27EA">
            <w:pPr>
              <w:rPr>
                <w:rFonts w:cs="Arial"/>
                <w:lang w:val="fr-FR"/>
              </w:rPr>
            </w:pPr>
            <w:r w:rsidRPr="009A6348">
              <w:rPr>
                <w:rFonts w:cs="Arial"/>
                <w:lang w:val="fr-FR"/>
              </w:rPr>
              <w:t>UPOV/INF/22</w:t>
            </w:r>
          </w:p>
        </w:tc>
        <w:tc>
          <w:tcPr>
            <w:tcW w:w="4902" w:type="dxa"/>
          </w:tcPr>
          <w:p w:rsidR="00B02D38" w:rsidRPr="009A6348" w:rsidRDefault="00AC27EA" w:rsidP="00AC27EA">
            <w:pPr>
              <w:rPr>
                <w:rFonts w:cs="Arial"/>
                <w:lang w:val="fr-FR"/>
              </w:rPr>
            </w:pPr>
            <w:r w:rsidRPr="009A6348">
              <w:rPr>
                <w:rFonts w:cs="Arial"/>
                <w:lang w:val="fr-FR"/>
              </w:rPr>
              <w:t>Logiciels et équipements utilisés par les membres de l</w:t>
            </w:r>
            <w:r w:rsidR="00003939" w:rsidRPr="009A6348">
              <w:rPr>
                <w:rFonts w:cs="Arial"/>
                <w:lang w:val="fr-FR"/>
              </w:rPr>
              <w:t>’</w:t>
            </w:r>
            <w:r w:rsidRPr="009A6348">
              <w:rPr>
                <w:rFonts w:cs="Arial"/>
                <w:lang w:val="fr-FR"/>
              </w:rPr>
              <w:t>Union</w:t>
            </w:r>
            <w:r w:rsidR="00B02D38" w:rsidRPr="009A6348">
              <w:rPr>
                <w:rFonts w:cs="Arial"/>
                <w:lang w:val="fr-FR"/>
              </w:rPr>
              <w:t xml:space="preserve"> </w:t>
            </w:r>
          </w:p>
        </w:tc>
        <w:tc>
          <w:tcPr>
            <w:tcW w:w="3825" w:type="dxa"/>
          </w:tcPr>
          <w:p w:rsidR="00B02D38" w:rsidRPr="009A6348" w:rsidRDefault="00AC27EA" w:rsidP="00AC27EA">
            <w:pPr>
              <w:jc w:val="left"/>
              <w:rPr>
                <w:rFonts w:cs="Arial"/>
                <w:lang w:val="fr-FR"/>
              </w:rPr>
            </w:pPr>
            <w:r w:rsidRPr="009A6348">
              <w:rPr>
                <w:rFonts w:cs="Arial"/>
                <w:lang w:val="fr-FR"/>
              </w:rPr>
              <w:t xml:space="preserve">UPOV/INF/22/3 sera examiné par le Conseil en </w:t>
            </w:r>
            <w:r w:rsidR="009673A3" w:rsidRPr="009A6348">
              <w:rPr>
                <w:rFonts w:cs="Arial"/>
                <w:lang w:val="fr-FR"/>
              </w:rPr>
              <w:t>octobre 20</w:t>
            </w:r>
            <w:r w:rsidRPr="009A6348">
              <w:rPr>
                <w:rFonts w:cs="Arial"/>
                <w:lang w:val="fr-FR"/>
              </w:rPr>
              <w:t>16</w:t>
            </w:r>
          </w:p>
        </w:tc>
      </w:tr>
    </w:tbl>
    <w:p w:rsidR="00677E0A" w:rsidRPr="009A6348" w:rsidRDefault="00677E0A" w:rsidP="00B02D38">
      <w:pPr>
        <w:rPr>
          <w:rFonts w:cs="Arial"/>
          <w:lang w:val="fr-FR"/>
        </w:rPr>
      </w:pPr>
    </w:p>
    <w:p w:rsidR="00677E0A" w:rsidRPr="009A6348" w:rsidRDefault="00677E0A" w:rsidP="00B02D38">
      <w:pPr>
        <w:rPr>
          <w:rFonts w:cs="Arial"/>
          <w:lang w:val="fr-FR"/>
        </w:rPr>
      </w:pPr>
    </w:p>
    <w:p w:rsidR="00677E0A" w:rsidRPr="009A6348" w:rsidRDefault="00AC27EA" w:rsidP="009D2D58">
      <w:pPr>
        <w:pStyle w:val="Heading1"/>
      </w:pPr>
      <w:bookmarkStart w:id="24" w:name="_Toc444761381"/>
      <w:r w:rsidRPr="009A6348">
        <w:t>PUBLICATIONS, activitÉs et FORMATION</w:t>
      </w:r>
      <w:bookmarkEnd w:id="24"/>
    </w:p>
    <w:p w:rsidR="00677E0A" w:rsidRPr="009A6348" w:rsidRDefault="00677E0A" w:rsidP="00B02D38">
      <w:pPr>
        <w:rPr>
          <w:rFonts w:cs="Arial"/>
          <w:lang w:val="fr-FR"/>
        </w:rPr>
      </w:pPr>
    </w:p>
    <w:p w:rsidR="00677E0A" w:rsidRPr="009A6348" w:rsidRDefault="00AC27EA" w:rsidP="009E606C">
      <w:pPr>
        <w:pStyle w:val="Heading2"/>
        <w:rPr>
          <w:color w:val="auto"/>
        </w:rPr>
      </w:pPr>
      <w:bookmarkStart w:id="25" w:name="_Toc444761382"/>
      <w:r w:rsidRPr="009A6348">
        <w:rPr>
          <w:color w:val="auto"/>
        </w:rPr>
        <w:t>Stratégie de communication</w:t>
      </w:r>
      <w:bookmarkEnd w:id="25"/>
    </w:p>
    <w:p w:rsidR="00677E0A" w:rsidRPr="009A6348" w:rsidRDefault="00677E0A" w:rsidP="00B02D38">
      <w:pPr>
        <w:rPr>
          <w:rFonts w:cs="Arial"/>
          <w:lang w:val="fr-FR"/>
        </w:rPr>
      </w:pPr>
    </w:p>
    <w:p w:rsidR="00677E0A" w:rsidRPr="009A6348" w:rsidRDefault="00CA7C5C" w:rsidP="00857963">
      <w:pPr>
        <w:keepNext/>
        <w:rPr>
          <w:snapToGrid w:val="0"/>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097D76" w:rsidRPr="009A6348">
        <w:rPr>
          <w:lang w:val="fr-FR"/>
        </w:rPr>
        <w:t xml:space="preserve">Dans le cadre de la </w:t>
      </w:r>
      <w:r w:rsidR="0063237C" w:rsidRPr="009A6348">
        <w:rPr>
          <w:lang w:val="fr-FR"/>
        </w:rPr>
        <w:t>stratégie</w:t>
      </w:r>
      <w:r w:rsidR="00097D76" w:rsidRPr="009A6348">
        <w:rPr>
          <w:lang w:val="fr-FR"/>
        </w:rPr>
        <w:t xml:space="preserve"> de communication, i</w:t>
      </w:r>
      <w:r w:rsidR="00DA47BF" w:rsidRPr="009A6348">
        <w:rPr>
          <w:lang w:val="fr-FR"/>
        </w:rPr>
        <w:t xml:space="preserve">l </w:t>
      </w:r>
      <w:r w:rsidR="007323DC" w:rsidRPr="009A6348">
        <w:rPr>
          <w:lang w:val="fr-FR"/>
        </w:rPr>
        <w:t>a été prévu</w:t>
      </w:r>
      <w:r w:rsidR="007046A2" w:rsidRPr="009A6348">
        <w:rPr>
          <w:snapToGrid w:val="0"/>
          <w:lang w:val="fr-FR"/>
        </w:rPr>
        <w:t> </w:t>
      </w:r>
      <w:r w:rsidR="00857963" w:rsidRPr="009A6348">
        <w:rPr>
          <w:snapToGrid w:val="0"/>
          <w:lang w:val="fr-FR"/>
        </w:rPr>
        <w:t>:</w:t>
      </w:r>
    </w:p>
    <w:p w:rsidR="00677E0A" w:rsidRPr="009A6348" w:rsidRDefault="00677E0A" w:rsidP="00857963">
      <w:pPr>
        <w:keepNext/>
        <w:rPr>
          <w:snapToGrid w:val="0"/>
          <w:lang w:val="fr-FR"/>
        </w:rPr>
      </w:pPr>
    </w:p>
    <w:p w:rsidR="00677E0A" w:rsidRPr="009A6348" w:rsidRDefault="00857963" w:rsidP="00857963">
      <w:pPr>
        <w:ind w:firstLine="567"/>
        <w:rPr>
          <w:lang w:val="fr-FR"/>
        </w:rPr>
      </w:pPr>
      <w:r w:rsidRPr="009A6348">
        <w:rPr>
          <w:snapToGrid w:val="0"/>
          <w:lang w:val="fr-FR"/>
        </w:rPr>
        <w:t>i)</w:t>
      </w:r>
      <w:r w:rsidRPr="009A6348">
        <w:rPr>
          <w:lang w:val="fr-FR"/>
        </w:rPr>
        <w:tab/>
      </w:r>
      <w:r w:rsidR="007323DC" w:rsidRPr="009A6348">
        <w:rPr>
          <w:lang w:val="fr-FR"/>
        </w:rPr>
        <w:t xml:space="preserve">que </w:t>
      </w:r>
      <w:r w:rsidR="004644CD" w:rsidRPr="009A6348">
        <w:rPr>
          <w:lang w:val="fr-FR"/>
        </w:rPr>
        <w:t>des rubriques à l</w:t>
      </w:r>
      <w:r w:rsidR="00003939" w:rsidRPr="009A6348">
        <w:rPr>
          <w:lang w:val="fr-FR"/>
        </w:rPr>
        <w:t>’</w:t>
      </w:r>
      <w:r w:rsidR="004644CD" w:rsidRPr="009A6348">
        <w:rPr>
          <w:lang w:val="fr-FR"/>
        </w:rPr>
        <w:t>intention des parties prenantes seront ajoutées au site</w:t>
      </w:r>
      <w:r w:rsidR="003E77D0" w:rsidRPr="009A6348">
        <w:rPr>
          <w:lang w:val="fr-FR"/>
        </w:rPr>
        <w:t> </w:t>
      </w:r>
      <w:r w:rsidR="004644CD" w:rsidRPr="009A6348">
        <w:rPr>
          <w:lang w:val="fr-FR"/>
        </w:rPr>
        <w:t>Web de l</w:t>
      </w:r>
      <w:r w:rsidR="00003939" w:rsidRPr="009A6348">
        <w:rPr>
          <w:lang w:val="fr-FR"/>
        </w:rPr>
        <w:t>’</w:t>
      </w:r>
      <w:r w:rsidR="004644CD" w:rsidRPr="009A6348">
        <w:rPr>
          <w:lang w:val="fr-FR"/>
        </w:rPr>
        <w:t>UPOV dans le cadre de la cinquantième</w:t>
      </w:r>
      <w:r w:rsidR="003E77D0" w:rsidRPr="009A6348">
        <w:rPr>
          <w:lang w:val="fr-FR"/>
        </w:rPr>
        <w:t> </w:t>
      </w:r>
      <w:r w:rsidR="004644CD" w:rsidRPr="009A6348">
        <w:rPr>
          <w:lang w:val="fr-FR"/>
        </w:rPr>
        <w:t>session ordinaire du Conseil</w:t>
      </w:r>
      <w:r w:rsidR="00911D0B" w:rsidRPr="009A6348">
        <w:rPr>
          <w:lang w:val="fr-FR"/>
        </w:rPr>
        <w:t>;</w:t>
      </w:r>
    </w:p>
    <w:p w:rsidR="00677E0A" w:rsidRPr="009A6348" w:rsidRDefault="00677E0A" w:rsidP="00857963">
      <w:pPr>
        <w:ind w:firstLine="567"/>
        <w:rPr>
          <w:lang w:val="fr-FR"/>
        </w:rPr>
      </w:pPr>
    </w:p>
    <w:p w:rsidR="00677E0A" w:rsidRPr="009A6348" w:rsidRDefault="00AC27EA" w:rsidP="00AC27EA">
      <w:pPr>
        <w:ind w:firstLine="567"/>
        <w:rPr>
          <w:lang w:val="fr-FR"/>
        </w:rPr>
      </w:pPr>
      <w:r w:rsidRPr="009A6348">
        <w:rPr>
          <w:lang w:val="fr-FR"/>
        </w:rPr>
        <w:t>ii)</w:t>
      </w:r>
      <w:r w:rsidRPr="009A6348">
        <w:rPr>
          <w:lang w:val="fr-FR"/>
        </w:rPr>
        <w:tab/>
        <w:t>que les conclusions du Comité technique sur le projet de questions et réponses concernant la diffusion d</w:t>
      </w:r>
      <w:r w:rsidR="00003939" w:rsidRPr="009A6348">
        <w:rPr>
          <w:lang w:val="fr-FR"/>
        </w:rPr>
        <w:t>’</w:t>
      </w:r>
      <w:r w:rsidRPr="009A6348">
        <w:rPr>
          <w:lang w:val="fr-FR"/>
        </w:rPr>
        <w:t xml:space="preserve">informations à un large public, </w:t>
      </w:r>
      <w:r w:rsidR="00003939" w:rsidRPr="009A6348">
        <w:rPr>
          <w:lang w:val="fr-FR"/>
        </w:rPr>
        <w:t>y compris</w:t>
      </w:r>
      <w:r w:rsidRPr="009A6348">
        <w:rPr>
          <w:lang w:val="fr-FR"/>
        </w:rPr>
        <w:t xml:space="preserve"> le public en général, sur la situation à l</w:t>
      </w:r>
      <w:r w:rsidR="00003939" w:rsidRPr="009A6348">
        <w:rPr>
          <w:lang w:val="fr-FR"/>
        </w:rPr>
        <w:t>’</w:t>
      </w:r>
      <w:r w:rsidRPr="009A6348">
        <w:rPr>
          <w:lang w:val="fr-FR"/>
        </w:rPr>
        <w:t>UPOV concernant l</w:t>
      </w:r>
      <w:r w:rsidR="00003939" w:rsidRPr="009A6348">
        <w:rPr>
          <w:lang w:val="fr-FR"/>
        </w:rPr>
        <w:t>’</w:t>
      </w:r>
      <w:r w:rsidRPr="009A6348">
        <w:rPr>
          <w:lang w:val="fr-FR"/>
        </w:rPr>
        <w:t>utilisation de techniques moléculaires, seront présentées au Comité consultatif pour examen à sa quatre</w:t>
      </w:r>
      <w:r w:rsidR="00BA2AFF" w:rsidRPr="009A6348">
        <w:rPr>
          <w:lang w:val="fr-FR"/>
        </w:rPr>
        <w:noBreakHyphen/>
      </w:r>
      <w:r w:rsidRPr="009A6348">
        <w:rPr>
          <w:lang w:val="fr-FR"/>
        </w:rPr>
        <w:t>vingt</w:t>
      </w:r>
      <w:r w:rsidR="00BA2AFF" w:rsidRPr="009A6348">
        <w:rPr>
          <w:lang w:val="fr-FR"/>
        </w:rPr>
        <w:noBreakHyphen/>
      </w:r>
      <w:r w:rsidRPr="009A6348">
        <w:rPr>
          <w:lang w:val="fr-FR"/>
        </w:rPr>
        <w:t>onzième</w:t>
      </w:r>
      <w:r w:rsidR="007046A2" w:rsidRPr="009A6348">
        <w:rPr>
          <w:lang w:val="fr-FR"/>
        </w:rPr>
        <w:t> </w:t>
      </w:r>
      <w:r w:rsidRPr="009A6348">
        <w:rPr>
          <w:lang w:val="fr-FR"/>
        </w:rPr>
        <w:t xml:space="preserve">session, qui se tiendra en </w:t>
      </w:r>
      <w:r w:rsidR="009673A3" w:rsidRPr="009A6348">
        <w:rPr>
          <w:lang w:val="fr-FR"/>
        </w:rPr>
        <w:t>mars 20</w:t>
      </w:r>
      <w:r w:rsidRPr="009A6348">
        <w:rPr>
          <w:lang w:val="fr-FR"/>
        </w:rPr>
        <w:t>16;</w:t>
      </w:r>
    </w:p>
    <w:p w:rsidR="00677E0A" w:rsidRPr="009A6348" w:rsidRDefault="00677E0A" w:rsidP="00857963">
      <w:pPr>
        <w:ind w:firstLine="567"/>
        <w:rPr>
          <w:lang w:val="fr-FR"/>
        </w:rPr>
      </w:pPr>
    </w:p>
    <w:p w:rsidR="00677E0A" w:rsidRPr="009A6348" w:rsidRDefault="00AC27EA" w:rsidP="00AC27EA">
      <w:pPr>
        <w:ind w:firstLine="567"/>
        <w:rPr>
          <w:lang w:val="fr-FR"/>
        </w:rPr>
      </w:pPr>
      <w:r w:rsidRPr="009A6348">
        <w:rPr>
          <w:lang w:val="fr-FR"/>
        </w:rPr>
        <w:t>iii)</w:t>
      </w:r>
      <w:r w:rsidRPr="009A6348">
        <w:rPr>
          <w:lang w:val="fr-FR"/>
        </w:rPr>
        <w:tab/>
        <w:t>que le Bureau de l</w:t>
      </w:r>
      <w:r w:rsidR="00003939" w:rsidRPr="009A6348">
        <w:rPr>
          <w:lang w:val="fr-FR"/>
        </w:rPr>
        <w:t>’</w:t>
      </w:r>
      <w:r w:rsidRPr="009A6348">
        <w:rPr>
          <w:lang w:val="fr-FR"/>
        </w:rPr>
        <w:t>Union s</w:t>
      </w:r>
      <w:r w:rsidR="00003939" w:rsidRPr="009A6348">
        <w:rPr>
          <w:lang w:val="fr-FR"/>
        </w:rPr>
        <w:t>’</w:t>
      </w:r>
      <w:r w:rsidRPr="009A6348">
        <w:rPr>
          <w:lang w:val="fr-FR"/>
        </w:rPr>
        <w:t>efforcera d</w:t>
      </w:r>
      <w:r w:rsidR="00003939" w:rsidRPr="009A6348">
        <w:rPr>
          <w:lang w:val="fr-FR"/>
        </w:rPr>
        <w:t>’</w:t>
      </w:r>
      <w:r w:rsidRPr="009A6348">
        <w:rPr>
          <w:lang w:val="fr-FR"/>
        </w:rPr>
        <w:t>élaborer une explication brève, à titre d</w:t>
      </w:r>
      <w:r w:rsidR="00003939" w:rsidRPr="009A6348">
        <w:rPr>
          <w:lang w:val="fr-FR"/>
        </w:rPr>
        <w:t>’</w:t>
      </w:r>
      <w:r w:rsidRPr="009A6348">
        <w:rPr>
          <w:lang w:val="fr-FR"/>
        </w:rPr>
        <w:t>illustration, des avantages du système de l</w:t>
      </w:r>
      <w:r w:rsidR="00003939" w:rsidRPr="009A6348">
        <w:rPr>
          <w:lang w:val="fr-FR"/>
        </w:rPr>
        <w:t>’</w:t>
      </w:r>
      <w:r w:rsidRPr="009A6348">
        <w:rPr>
          <w:lang w:val="fr-FR"/>
        </w:rPr>
        <w:t>UPOV, à l</w:t>
      </w:r>
      <w:r w:rsidR="00003939" w:rsidRPr="009A6348">
        <w:rPr>
          <w:lang w:val="fr-FR"/>
        </w:rPr>
        <w:t>’</w:t>
      </w:r>
      <w:r w:rsidRPr="009A6348">
        <w:rPr>
          <w:lang w:val="fr-FR"/>
        </w:rPr>
        <w:t>intention d</w:t>
      </w:r>
      <w:r w:rsidR="00003939" w:rsidRPr="009A6348">
        <w:rPr>
          <w:lang w:val="fr-FR"/>
        </w:rPr>
        <w:t>’</w:t>
      </w:r>
      <w:r w:rsidRPr="009A6348">
        <w:rPr>
          <w:lang w:val="fr-FR"/>
        </w:rPr>
        <w:t>un public dépourvu de connaissances préalables sur la sélection végétale et la protection des obtentions végétales, ou des exemples des avantages de la protection des obtentions végétales, en ou en</w:t>
      </w:r>
      <w:r w:rsidR="007046A2" w:rsidRPr="009A6348">
        <w:rPr>
          <w:lang w:val="fr-FR"/>
        </w:rPr>
        <w:t> </w:t>
      </w:r>
      <w:r w:rsidRPr="009A6348">
        <w:rPr>
          <w:lang w:val="fr-FR"/>
        </w:rPr>
        <w:t>2016;</w:t>
      </w:r>
    </w:p>
    <w:p w:rsidR="00677E0A" w:rsidRPr="009A6348" w:rsidRDefault="00677E0A" w:rsidP="00857963">
      <w:pPr>
        <w:ind w:firstLine="567"/>
        <w:rPr>
          <w:lang w:val="fr-FR"/>
        </w:rPr>
      </w:pPr>
    </w:p>
    <w:p w:rsidR="00677E0A" w:rsidRPr="009A6348" w:rsidRDefault="00AC27EA" w:rsidP="00AC27EA">
      <w:pPr>
        <w:ind w:firstLine="567"/>
        <w:rPr>
          <w:lang w:val="fr-FR"/>
        </w:rPr>
      </w:pPr>
      <w:r w:rsidRPr="009A6348">
        <w:rPr>
          <w:lang w:val="fr-FR"/>
        </w:rPr>
        <w:t>iv)</w:t>
      </w:r>
      <w:r w:rsidRPr="009A6348">
        <w:rPr>
          <w:lang w:val="fr-FR"/>
        </w:rPr>
        <w:tab/>
        <w:t>qu</w:t>
      </w:r>
      <w:r w:rsidR="00003939" w:rsidRPr="009A6348">
        <w:rPr>
          <w:lang w:val="fr-FR"/>
        </w:rPr>
        <w:t>’</w:t>
      </w:r>
      <w:r w:rsidRPr="009A6348">
        <w:rPr>
          <w:lang w:val="fr-FR"/>
        </w:rPr>
        <w:t>un rapport sur l</w:t>
      </w:r>
      <w:r w:rsidR="00003939" w:rsidRPr="009A6348">
        <w:rPr>
          <w:lang w:val="fr-FR"/>
        </w:rPr>
        <w:t>’</w:t>
      </w:r>
      <w:r w:rsidRPr="009A6348">
        <w:rPr>
          <w:lang w:val="fr-FR"/>
        </w:rPr>
        <w:t>utilisation des ateliers électroniques sera présenté au Comité consultatif à sa quatre</w:t>
      </w:r>
      <w:r w:rsidR="00BA2AFF" w:rsidRPr="009A6348">
        <w:rPr>
          <w:lang w:val="fr-FR"/>
        </w:rPr>
        <w:noBreakHyphen/>
      </w:r>
      <w:r w:rsidRPr="009A6348">
        <w:rPr>
          <w:lang w:val="fr-FR"/>
        </w:rPr>
        <w:t>vingt</w:t>
      </w:r>
      <w:r w:rsidR="00BA2AFF" w:rsidRPr="009A6348">
        <w:rPr>
          <w:lang w:val="fr-FR"/>
        </w:rPr>
        <w:noBreakHyphen/>
      </w:r>
      <w:r w:rsidRPr="009A6348">
        <w:rPr>
          <w:lang w:val="fr-FR"/>
        </w:rPr>
        <w:t>dixième</w:t>
      </w:r>
      <w:r w:rsidR="007046A2" w:rsidRPr="009A6348">
        <w:rPr>
          <w:lang w:val="fr-FR"/>
        </w:rPr>
        <w:t> </w:t>
      </w:r>
      <w:r w:rsidRPr="009A6348">
        <w:rPr>
          <w:lang w:val="fr-FR"/>
        </w:rPr>
        <w:t>session et au Conseil à sa quarante</w:t>
      </w:r>
      <w:r w:rsidR="00BA2AFF" w:rsidRPr="009A6348">
        <w:rPr>
          <w:lang w:val="fr-FR"/>
        </w:rPr>
        <w:noBreakHyphen/>
      </w:r>
      <w:r w:rsidRPr="009A6348">
        <w:rPr>
          <w:lang w:val="fr-FR"/>
        </w:rPr>
        <w:t>neuvième</w:t>
      </w:r>
      <w:r w:rsidR="007046A2" w:rsidRPr="009A6348">
        <w:rPr>
          <w:lang w:val="fr-FR"/>
        </w:rPr>
        <w:t> </w:t>
      </w:r>
      <w:r w:rsidR="002667F6" w:rsidRPr="009A6348">
        <w:rPr>
          <w:lang w:val="fr-FR"/>
        </w:rPr>
        <w:t>session ordinaire;</w:t>
      </w:r>
    </w:p>
    <w:p w:rsidR="00677E0A" w:rsidRPr="009A6348" w:rsidRDefault="00677E0A" w:rsidP="00857963">
      <w:pPr>
        <w:ind w:firstLine="567"/>
        <w:rPr>
          <w:lang w:val="fr-FR"/>
        </w:rPr>
      </w:pPr>
    </w:p>
    <w:p w:rsidR="00677E0A" w:rsidRPr="009A6348" w:rsidRDefault="00AC27EA" w:rsidP="00AC27EA">
      <w:pPr>
        <w:ind w:firstLine="567"/>
        <w:rPr>
          <w:lang w:val="fr-FR"/>
        </w:rPr>
      </w:pPr>
      <w:r w:rsidRPr="009A6348">
        <w:rPr>
          <w:lang w:val="fr-FR"/>
        </w:rPr>
        <w:t>v)</w:t>
      </w:r>
      <w:r w:rsidRPr="009A6348">
        <w:rPr>
          <w:lang w:val="fr-FR"/>
        </w:rPr>
        <w:tab/>
        <w:t>que les dispositions relatives à l</w:t>
      </w:r>
      <w:r w:rsidR="00003939" w:rsidRPr="009A6348">
        <w:rPr>
          <w:lang w:val="fr-FR"/>
        </w:rPr>
        <w:t>’</w:t>
      </w:r>
      <w:r w:rsidRPr="009A6348">
        <w:rPr>
          <w:lang w:val="fr-FR"/>
        </w:rPr>
        <w:t>introduction d</w:t>
      </w:r>
      <w:r w:rsidR="00003939" w:rsidRPr="009A6348">
        <w:rPr>
          <w:lang w:val="fr-FR"/>
        </w:rPr>
        <w:t>’</w:t>
      </w:r>
      <w:r w:rsidRPr="009A6348">
        <w:rPr>
          <w:lang w:val="fr-FR"/>
        </w:rPr>
        <w:t>une chaîne de l</w:t>
      </w:r>
      <w:r w:rsidR="00003939" w:rsidRPr="009A6348">
        <w:rPr>
          <w:lang w:val="fr-FR"/>
        </w:rPr>
        <w:t>’</w:t>
      </w:r>
      <w:r w:rsidRPr="009A6348">
        <w:rPr>
          <w:lang w:val="fr-FR"/>
        </w:rPr>
        <w:t>UPOV sur YouTube seront prises après l</w:t>
      </w:r>
      <w:r w:rsidR="00003939" w:rsidRPr="009A6348">
        <w:rPr>
          <w:lang w:val="fr-FR"/>
        </w:rPr>
        <w:t>’</w:t>
      </w:r>
      <w:r w:rsidRPr="009A6348">
        <w:rPr>
          <w:lang w:val="fr-FR"/>
        </w:rPr>
        <w:t>adoption d</w:t>
      </w:r>
      <w:r w:rsidR="00003939" w:rsidRPr="009A6348">
        <w:rPr>
          <w:lang w:val="fr-FR"/>
        </w:rPr>
        <w:t>’</w:t>
      </w:r>
      <w:r w:rsidRPr="009A6348">
        <w:rPr>
          <w:lang w:val="fr-FR"/>
        </w:rPr>
        <w:t>un nouveau logo de l</w:t>
      </w:r>
      <w:r w:rsidR="00003939" w:rsidRPr="009A6348">
        <w:rPr>
          <w:lang w:val="fr-FR"/>
        </w:rPr>
        <w:t>’</w:t>
      </w:r>
      <w:r w:rsidRPr="009A6348">
        <w:rPr>
          <w:lang w:val="fr-FR"/>
        </w:rPr>
        <w:t>UPOV;</w:t>
      </w:r>
    </w:p>
    <w:p w:rsidR="00677E0A" w:rsidRPr="009A6348" w:rsidRDefault="00677E0A" w:rsidP="00857963">
      <w:pPr>
        <w:ind w:firstLine="567"/>
        <w:rPr>
          <w:lang w:val="fr-FR"/>
        </w:rPr>
      </w:pPr>
    </w:p>
    <w:p w:rsidR="009673A3" w:rsidRPr="009A6348" w:rsidRDefault="00AC27EA" w:rsidP="00AC27EA">
      <w:pPr>
        <w:ind w:firstLine="567"/>
        <w:rPr>
          <w:lang w:val="fr-FR"/>
        </w:rPr>
      </w:pPr>
      <w:r w:rsidRPr="009A6348">
        <w:rPr>
          <w:lang w:val="fr-FR"/>
        </w:rPr>
        <w:t>vi)</w:t>
      </w:r>
      <w:r w:rsidRPr="009A6348">
        <w:rPr>
          <w:lang w:val="fr-FR"/>
        </w:rPr>
        <w:tab/>
        <w:t>que les résultats de la stratégie de communication seront communiqués dans le rapport annuel du Secrétaire général et le rapport sur l</w:t>
      </w:r>
      <w:r w:rsidR="00003939" w:rsidRPr="009A6348">
        <w:rPr>
          <w:lang w:val="fr-FR"/>
        </w:rPr>
        <w:t>’</w:t>
      </w:r>
      <w:r w:rsidRPr="009A6348">
        <w:rPr>
          <w:lang w:val="fr-FR"/>
        </w:rPr>
        <w:t>exécution du programme pour l</w:t>
      </w:r>
      <w:r w:rsidR="00003939" w:rsidRPr="009A6348">
        <w:rPr>
          <w:lang w:val="fr-FR"/>
        </w:rPr>
        <w:t>’</w:t>
      </w:r>
      <w:r w:rsidRPr="009A6348">
        <w:rPr>
          <w:lang w:val="fr-FR"/>
        </w:rPr>
        <w:t>exercice biennal;</w:t>
      </w:r>
    </w:p>
    <w:p w:rsidR="00677E0A" w:rsidRPr="009A6348" w:rsidRDefault="00677E0A" w:rsidP="00857963">
      <w:pPr>
        <w:rPr>
          <w:snapToGrid w:val="0"/>
          <w:lang w:val="fr-FR"/>
        </w:rPr>
      </w:pPr>
    </w:p>
    <w:p w:rsidR="00677E0A" w:rsidRPr="009A6348" w:rsidRDefault="00911D0B" w:rsidP="00911D0B">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EB00F8" w:rsidRPr="009A6348">
        <w:rPr>
          <w:lang w:val="fr-FR"/>
        </w:rPr>
        <w:t>Le Comité consultatif</w:t>
      </w:r>
      <w:r w:rsidRPr="009A6348">
        <w:rPr>
          <w:lang w:val="fr-FR"/>
        </w:rPr>
        <w:t xml:space="preserve"> </w:t>
      </w:r>
      <w:r w:rsidR="00EB00F8" w:rsidRPr="009A6348">
        <w:rPr>
          <w:lang w:val="fr-FR"/>
        </w:rPr>
        <w:t>est convenu que le nouveau logo de l</w:t>
      </w:r>
      <w:r w:rsidR="00003939" w:rsidRPr="009A6348">
        <w:rPr>
          <w:lang w:val="fr-FR"/>
        </w:rPr>
        <w:t>’</w:t>
      </w:r>
      <w:r w:rsidR="00EB00F8" w:rsidRPr="009A6348">
        <w:rPr>
          <w:lang w:val="fr-FR"/>
        </w:rPr>
        <w:t>UPOV devra être présenté au Conseil de l</w:t>
      </w:r>
      <w:r w:rsidR="00003939" w:rsidRPr="009A6348">
        <w:rPr>
          <w:lang w:val="fr-FR"/>
        </w:rPr>
        <w:t>’</w:t>
      </w:r>
      <w:r w:rsidR="00EB00F8" w:rsidRPr="009A6348">
        <w:rPr>
          <w:lang w:val="fr-FR"/>
        </w:rPr>
        <w:t>UPOV à sa cinquantième</w:t>
      </w:r>
      <w:r w:rsidR="003E77D0" w:rsidRPr="009A6348">
        <w:rPr>
          <w:lang w:val="fr-FR"/>
        </w:rPr>
        <w:t> </w:t>
      </w:r>
      <w:r w:rsidR="00EB00F8" w:rsidRPr="009A6348">
        <w:rPr>
          <w:lang w:val="fr-FR"/>
        </w:rPr>
        <w:t>session ordinaire</w:t>
      </w:r>
      <w:r w:rsidRPr="009A6348">
        <w:rPr>
          <w:lang w:val="fr-FR"/>
        </w:rPr>
        <w:t xml:space="preserve">.  </w:t>
      </w:r>
      <w:r w:rsidR="003C2317" w:rsidRPr="009A6348">
        <w:rPr>
          <w:lang w:val="fr-FR"/>
        </w:rPr>
        <w:t>Le Comité consultatif est convenu que le nouveau logo de l</w:t>
      </w:r>
      <w:r w:rsidR="00003939" w:rsidRPr="009A6348">
        <w:rPr>
          <w:lang w:val="fr-FR"/>
        </w:rPr>
        <w:t>’</w:t>
      </w:r>
      <w:r w:rsidR="003C2317" w:rsidRPr="009A6348">
        <w:rPr>
          <w:lang w:val="fr-FR"/>
        </w:rPr>
        <w:t>UPOV devra être publié sur le site</w:t>
      </w:r>
      <w:r w:rsidR="003E77D0" w:rsidRPr="009A6348">
        <w:rPr>
          <w:lang w:val="fr-FR"/>
        </w:rPr>
        <w:t> </w:t>
      </w:r>
      <w:r w:rsidR="003C2317" w:rsidRPr="009A6348">
        <w:rPr>
          <w:lang w:val="fr-FR"/>
        </w:rPr>
        <w:t>Web de l</w:t>
      </w:r>
      <w:r w:rsidR="00003939" w:rsidRPr="009A6348">
        <w:rPr>
          <w:lang w:val="fr-FR"/>
        </w:rPr>
        <w:t>’</w:t>
      </w:r>
      <w:r w:rsidR="003C2317" w:rsidRPr="009A6348">
        <w:rPr>
          <w:lang w:val="fr-FR"/>
        </w:rPr>
        <w:t>UPOV parallèlement à la cinquantième</w:t>
      </w:r>
      <w:r w:rsidR="003E77D0" w:rsidRPr="009A6348">
        <w:rPr>
          <w:lang w:val="fr-FR"/>
        </w:rPr>
        <w:t> </w:t>
      </w:r>
      <w:r w:rsidR="003C2317" w:rsidRPr="009A6348">
        <w:rPr>
          <w:lang w:val="fr-FR"/>
        </w:rPr>
        <w:t>session ordinaire du Conseil, de même que l</w:t>
      </w:r>
      <w:r w:rsidR="00003939" w:rsidRPr="009A6348">
        <w:rPr>
          <w:lang w:val="fr-FR"/>
        </w:rPr>
        <w:t>’</w:t>
      </w:r>
      <w:r w:rsidR="003C2317" w:rsidRPr="009A6348">
        <w:rPr>
          <w:lang w:val="fr-FR"/>
        </w:rPr>
        <w:t>adoption des rubriques du site</w:t>
      </w:r>
      <w:r w:rsidR="003E77D0" w:rsidRPr="009A6348">
        <w:rPr>
          <w:lang w:val="fr-FR"/>
        </w:rPr>
        <w:t> </w:t>
      </w:r>
      <w:r w:rsidR="003C2317" w:rsidRPr="009A6348">
        <w:rPr>
          <w:lang w:val="fr-FR"/>
        </w:rPr>
        <w:t>Web de l</w:t>
      </w:r>
      <w:r w:rsidR="00003939" w:rsidRPr="009A6348">
        <w:rPr>
          <w:lang w:val="fr-FR"/>
        </w:rPr>
        <w:t>’</w:t>
      </w:r>
      <w:r w:rsidR="003C2317" w:rsidRPr="009A6348">
        <w:rPr>
          <w:lang w:val="fr-FR"/>
        </w:rPr>
        <w:t>UPOV à l</w:t>
      </w:r>
      <w:r w:rsidR="00003939" w:rsidRPr="009A6348">
        <w:rPr>
          <w:lang w:val="fr-FR"/>
        </w:rPr>
        <w:t>’</w:t>
      </w:r>
      <w:r w:rsidR="003C2317" w:rsidRPr="009A6348">
        <w:rPr>
          <w:lang w:val="fr-FR"/>
        </w:rPr>
        <w:t>intention des parties prenantes et que, à ce moment, un communiqué de presse sera publié pour informer le public</w:t>
      </w:r>
      <w:r w:rsidRPr="009A6348">
        <w:rPr>
          <w:lang w:val="fr-FR"/>
        </w:rPr>
        <w:t>.</w:t>
      </w:r>
    </w:p>
    <w:p w:rsidR="00677E0A" w:rsidRPr="009A6348" w:rsidRDefault="00677E0A" w:rsidP="00911D0B">
      <w:pPr>
        <w:rPr>
          <w:lang w:val="fr-FR"/>
        </w:rPr>
      </w:pPr>
    </w:p>
    <w:p w:rsidR="009673A3" w:rsidRPr="009A6348" w:rsidRDefault="00911D0B" w:rsidP="00911D0B">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D14950" w:rsidRPr="009A6348">
        <w:rPr>
          <w:lang w:val="fr-FR"/>
        </w:rPr>
        <w:t xml:space="preserve">Le Comité consultatif </w:t>
      </w:r>
      <w:r w:rsidR="00234034" w:rsidRPr="009A6348">
        <w:rPr>
          <w:lang w:val="fr-FR"/>
        </w:rPr>
        <w:t xml:space="preserve">a demandé </w:t>
      </w:r>
      <w:r w:rsidR="00D14950" w:rsidRPr="009A6348">
        <w:rPr>
          <w:lang w:val="fr-FR"/>
        </w:rPr>
        <w:t>au Bureau de l</w:t>
      </w:r>
      <w:r w:rsidR="00003939" w:rsidRPr="009A6348">
        <w:rPr>
          <w:lang w:val="fr-FR"/>
        </w:rPr>
        <w:t>’</w:t>
      </w:r>
      <w:r w:rsidR="00D14950" w:rsidRPr="009A6348">
        <w:rPr>
          <w:lang w:val="fr-FR"/>
        </w:rPr>
        <w:t>Union de présenter une proposition visant à l</w:t>
      </w:r>
      <w:r w:rsidR="00003939" w:rsidRPr="009A6348">
        <w:rPr>
          <w:lang w:val="fr-FR"/>
        </w:rPr>
        <w:t>’</w:t>
      </w:r>
      <w:r w:rsidR="00D14950" w:rsidRPr="009A6348">
        <w:rPr>
          <w:lang w:val="fr-FR"/>
        </w:rPr>
        <w:t>élaboration d</w:t>
      </w:r>
      <w:r w:rsidR="00003939" w:rsidRPr="009A6348">
        <w:rPr>
          <w:lang w:val="fr-FR"/>
        </w:rPr>
        <w:t>’</w:t>
      </w:r>
      <w:r w:rsidR="00D14950" w:rsidRPr="009A6348">
        <w:rPr>
          <w:lang w:val="fr-FR"/>
        </w:rPr>
        <w:t>une version actualisée de l</w:t>
      </w:r>
      <w:r w:rsidR="00003939" w:rsidRPr="009A6348">
        <w:rPr>
          <w:lang w:val="fr-FR"/>
        </w:rPr>
        <w:t>’</w:t>
      </w:r>
      <w:r w:rsidR="00D14950" w:rsidRPr="009A6348">
        <w:rPr>
          <w:lang w:val="fr-FR"/>
        </w:rPr>
        <w:t>étude d</w:t>
      </w:r>
      <w:r w:rsidR="00003939" w:rsidRPr="009A6348">
        <w:rPr>
          <w:lang w:val="fr-FR"/>
        </w:rPr>
        <w:t>’</w:t>
      </w:r>
      <w:r w:rsidR="00D14950" w:rsidRPr="009A6348">
        <w:rPr>
          <w:lang w:val="fr-FR"/>
        </w:rPr>
        <w:t>impact pour examen à sa quatre</w:t>
      </w:r>
      <w:r w:rsidR="00BA2AFF" w:rsidRPr="009A6348">
        <w:rPr>
          <w:lang w:val="fr-FR"/>
        </w:rPr>
        <w:noBreakHyphen/>
      </w:r>
      <w:r w:rsidR="00D14950" w:rsidRPr="009A6348">
        <w:rPr>
          <w:lang w:val="fr-FR"/>
        </w:rPr>
        <w:t>vingt</w:t>
      </w:r>
      <w:r w:rsidR="00BA2AFF" w:rsidRPr="009A6348">
        <w:rPr>
          <w:lang w:val="fr-FR"/>
        </w:rPr>
        <w:noBreakHyphen/>
      </w:r>
      <w:r w:rsidR="00D14950" w:rsidRPr="009A6348">
        <w:rPr>
          <w:lang w:val="fr-FR"/>
        </w:rPr>
        <w:t>douzième</w:t>
      </w:r>
      <w:r w:rsidR="00142302" w:rsidRPr="009A6348">
        <w:rPr>
          <w:lang w:val="fr-FR"/>
        </w:rPr>
        <w:t> </w:t>
      </w:r>
      <w:r w:rsidR="00D14950" w:rsidRPr="009A6348">
        <w:rPr>
          <w:lang w:val="fr-FR"/>
        </w:rPr>
        <w:t>session</w:t>
      </w:r>
      <w:r w:rsidRPr="009A6348">
        <w:rPr>
          <w:lang w:val="fr-FR"/>
        </w:rPr>
        <w:t>.</w:t>
      </w:r>
    </w:p>
    <w:p w:rsidR="00EE0405" w:rsidRPr="009A6348" w:rsidRDefault="00EE0405" w:rsidP="00911D0B">
      <w:pPr>
        <w:rPr>
          <w:lang w:val="fr-FR"/>
        </w:rPr>
      </w:pPr>
    </w:p>
    <w:p w:rsidR="00677E0A" w:rsidRPr="009A6348" w:rsidRDefault="00911D0B" w:rsidP="00911D0B">
      <w:pPr>
        <w:rPr>
          <w:snapToGrid w:val="0"/>
          <w:lang w:val="fr-FR"/>
        </w:rPr>
      </w:pPr>
      <w:r w:rsidRPr="009A6348">
        <w:rPr>
          <w:snapToGrid w:val="0"/>
          <w:lang w:val="fr-FR"/>
        </w:rPr>
        <w:fldChar w:fldCharType="begin"/>
      </w:r>
      <w:r w:rsidRPr="009A6348">
        <w:rPr>
          <w:snapToGrid w:val="0"/>
          <w:lang w:val="fr-FR"/>
        </w:rPr>
        <w:instrText xml:space="preserve"> AUTONUM  </w:instrText>
      </w:r>
      <w:r w:rsidRPr="009A6348">
        <w:rPr>
          <w:snapToGrid w:val="0"/>
          <w:lang w:val="fr-FR"/>
        </w:rPr>
        <w:fldChar w:fldCharType="end"/>
      </w:r>
      <w:r w:rsidRPr="009A6348">
        <w:rPr>
          <w:snapToGrid w:val="0"/>
          <w:lang w:val="fr-FR"/>
        </w:rPr>
        <w:tab/>
      </w:r>
      <w:r w:rsidR="00234034" w:rsidRPr="009A6348">
        <w:rPr>
          <w:snapToGrid w:val="0"/>
          <w:lang w:val="fr-FR"/>
        </w:rPr>
        <w:t xml:space="preserve">Le Conseil a révisé la réponse à </w:t>
      </w:r>
      <w:r w:rsidR="0063237C" w:rsidRPr="009A6348">
        <w:rPr>
          <w:snapToGrid w:val="0"/>
          <w:lang w:val="fr-FR"/>
        </w:rPr>
        <w:t>la</w:t>
      </w:r>
      <w:r w:rsidR="00234034" w:rsidRPr="009A6348">
        <w:rPr>
          <w:snapToGrid w:val="0"/>
          <w:lang w:val="fr-FR"/>
        </w:rPr>
        <w:t xml:space="preserve"> question fréquemment posée “Puis</w:t>
      </w:r>
      <w:r w:rsidR="00BA2AFF" w:rsidRPr="009A6348">
        <w:rPr>
          <w:snapToGrid w:val="0"/>
          <w:lang w:val="fr-FR"/>
        </w:rPr>
        <w:noBreakHyphen/>
      </w:r>
      <w:r w:rsidR="00234034" w:rsidRPr="009A6348">
        <w:rPr>
          <w:snapToGrid w:val="0"/>
          <w:lang w:val="fr-FR"/>
        </w:rPr>
        <w:t>je obtenir une protection dans plusieurs pays à la fois en ne déposant qu</w:t>
      </w:r>
      <w:r w:rsidR="00003939" w:rsidRPr="009A6348">
        <w:rPr>
          <w:snapToGrid w:val="0"/>
          <w:lang w:val="fr-FR"/>
        </w:rPr>
        <w:t>’</w:t>
      </w:r>
      <w:r w:rsidR="00234034" w:rsidRPr="009A6348">
        <w:rPr>
          <w:snapToGrid w:val="0"/>
          <w:lang w:val="fr-FR"/>
        </w:rPr>
        <w:t>une seule demande?” comme suit</w:t>
      </w:r>
      <w:r w:rsidR="007046A2" w:rsidRPr="009A6348">
        <w:rPr>
          <w:snapToGrid w:val="0"/>
          <w:lang w:val="fr-FR"/>
        </w:rPr>
        <w:t> </w:t>
      </w:r>
      <w:r w:rsidRPr="009A6348">
        <w:rPr>
          <w:snapToGrid w:val="0"/>
          <w:lang w:val="fr-FR"/>
        </w:rPr>
        <w:t>:</w:t>
      </w:r>
    </w:p>
    <w:p w:rsidR="00677E0A" w:rsidRPr="009A6348" w:rsidRDefault="00677E0A" w:rsidP="00911D0B">
      <w:pPr>
        <w:rPr>
          <w:rFonts w:cs="Arial"/>
          <w:lang w:val="fr-FR"/>
        </w:rPr>
      </w:pPr>
    </w:p>
    <w:p w:rsidR="00677E0A" w:rsidRPr="009A6348" w:rsidRDefault="00EE0405" w:rsidP="00AC27EA">
      <w:pPr>
        <w:ind w:left="567" w:right="729"/>
        <w:rPr>
          <w:rFonts w:cs="Arial"/>
          <w:lang w:val="fr-FR"/>
        </w:rPr>
      </w:pPr>
      <w:r w:rsidRPr="009A6348">
        <w:rPr>
          <w:rFonts w:cs="Arial"/>
          <w:sz w:val="18"/>
          <w:lang w:val="fr-FR"/>
        </w:rPr>
        <w:t>“</w:t>
      </w:r>
      <w:r w:rsidR="00AC27EA" w:rsidRPr="009A6348">
        <w:rPr>
          <w:rFonts w:cs="Arial"/>
          <w:sz w:val="18"/>
          <w:lang w:val="fr-FR"/>
        </w:rPr>
        <w:t>Pour obtenir la protection de variétés, l</w:t>
      </w:r>
      <w:r w:rsidR="00003939" w:rsidRPr="009A6348">
        <w:rPr>
          <w:rFonts w:cs="Arial"/>
          <w:sz w:val="18"/>
          <w:lang w:val="fr-FR"/>
        </w:rPr>
        <w:t>’</w:t>
      </w:r>
      <w:r w:rsidR="00AC27EA" w:rsidRPr="009A6348">
        <w:rPr>
          <w:rFonts w:cs="Arial"/>
          <w:sz w:val="18"/>
          <w:lang w:val="fr-FR"/>
        </w:rPr>
        <w:t>obtenteur doit déposer une demande pour chacune d</w:t>
      </w:r>
      <w:r w:rsidR="00003939" w:rsidRPr="009A6348">
        <w:rPr>
          <w:rFonts w:cs="Arial"/>
          <w:sz w:val="18"/>
          <w:lang w:val="fr-FR"/>
        </w:rPr>
        <w:t>’</w:t>
      </w:r>
      <w:r w:rsidR="00AC27EA" w:rsidRPr="009A6348">
        <w:rPr>
          <w:rFonts w:cs="Arial"/>
          <w:sz w:val="18"/>
          <w:lang w:val="fr-FR"/>
        </w:rPr>
        <w:t>elles auprès des services de chaque membre de l</w:t>
      </w:r>
      <w:r w:rsidR="00003939" w:rsidRPr="009A6348">
        <w:rPr>
          <w:rFonts w:cs="Arial"/>
          <w:sz w:val="18"/>
          <w:lang w:val="fr-FR"/>
        </w:rPr>
        <w:t>’</w:t>
      </w:r>
      <w:r w:rsidR="00AC27EA" w:rsidRPr="009A6348">
        <w:rPr>
          <w:rFonts w:cs="Arial"/>
          <w:sz w:val="18"/>
          <w:lang w:val="fr-FR"/>
        </w:rPr>
        <w:t>UPOV dans lequel cette protection est sollicitée.</w:t>
      </w:r>
      <w:r w:rsidR="00911D0B" w:rsidRPr="009A6348">
        <w:rPr>
          <w:sz w:val="18"/>
          <w:lang w:val="fr-FR"/>
        </w:rPr>
        <w:t xml:space="preserve">  </w:t>
      </w:r>
      <w:r w:rsidR="00AC27EA" w:rsidRPr="009A6348">
        <w:rPr>
          <w:rFonts w:cs="Arial"/>
          <w:sz w:val="18"/>
          <w:lang w:val="fr-FR"/>
        </w:rPr>
        <w:t>L</w:t>
      </w:r>
      <w:r w:rsidR="00003939" w:rsidRPr="009A6348">
        <w:rPr>
          <w:rFonts w:cs="Arial"/>
          <w:sz w:val="18"/>
          <w:lang w:val="fr-FR"/>
        </w:rPr>
        <w:t>’</w:t>
      </w:r>
      <w:r w:rsidR="00AC27EA" w:rsidRPr="009A6348">
        <w:rPr>
          <w:rFonts w:cs="Arial"/>
          <w:sz w:val="18"/>
          <w:lang w:val="fr-FR"/>
        </w:rPr>
        <w:t xml:space="preserve">Union européenne a adopté un système </w:t>
      </w:r>
      <w:r w:rsidR="00AC27EA" w:rsidRPr="009A6348">
        <w:rPr>
          <w:rFonts w:cs="Arial"/>
          <w:strike/>
          <w:sz w:val="18"/>
          <w:lang w:val="fr-FR"/>
        </w:rPr>
        <w:t>communautaire (supranational)</w:t>
      </w:r>
      <w:r w:rsidR="00AC27EA" w:rsidRPr="009A6348">
        <w:rPr>
          <w:rFonts w:cs="Arial"/>
          <w:sz w:val="18"/>
          <w:lang w:val="fr-FR"/>
        </w:rPr>
        <w:t xml:space="preserve"> de protection des obtentions </w:t>
      </w:r>
      <w:r w:rsidR="00AC27EA" w:rsidRPr="009A6348">
        <w:rPr>
          <w:rFonts w:cs="Arial"/>
          <w:strike/>
          <w:sz w:val="18"/>
          <w:lang w:val="fr-FR"/>
        </w:rPr>
        <w:t>végétales</w:t>
      </w:r>
      <w:r w:rsidR="00AC27EA" w:rsidRPr="009A6348">
        <w:rPr>
          <w:rFonts w:cs="Arial"/>
          <w:sz w:val="18"/>
          <w:lang w:val="fr-FR"/>
        </w:rPr>
        <w:t xml:space="preserve"> d</w:t>
      </w:r>
      <w:r w:rsidR="00003939" w:rsidRPr="009A6348">
        <w:rPr>
          <w:rFonts w:cs="Arial"/>
          <w:sz w:val="18"/>
          <w:lang w:val="fr-FR"/>
        </w:rPr>
        <w:t>’</w:t>
      </w:r>
      <w:r w:rsidR="00AC27EA" w:rsidRPr="009A6348">
        <w:rPr>
          <w:rFonts w:cs="Arial"/>
          <w:sz w:val="18"/>
          <w:lang w:val="fr-FR"/>
        </w:rPr>
        <w:t xml:space="preserve">octroi de droits </w:t>
      </w:r>
      <w:r w:rsidR="00AC27EA" w:rsidRPr="009A6348">
        <w:rPr>
          <w:rFonts w:cs="Arial"/>
          <w:sz w:val="18"/>
          <w:u w:val="single"/>
          <w:lang w:val="fr-FR"/>
        </w:rPr>
        <w:t>d</w:t>
      </w:r>
      <w:r w:rsidR="00003939" w:rsidRPr="009A6348">
        <w:rPr>
          <w:rFonts w:cs="Arial"/>
          <w:sz w:val="18"/>
          <w:u w:val="single"/>
          <w:lang w:val="fr-FR"/>
        </w:rPr>
        <w:t>’</w:t>
      </w:r>
      <w:r w:rsidR="00AC27EA" w:rsidRPr="009A6348">
        <w:rPr>
          <w:rFonts w:cs="Arial"/>
          <w:sz w:val="18"/>
          <w:u w:val="single"/>
          <w:lang w:val="fr-FR"/>
        </w:rPr>
        <w:t>obtenteur</w:t>
      </w:r>
      <w:r w:rsidR="00AC27EA" w:rsidRPr="009A6348">
        <w:rPr>
          <w:rFonts w:cs="Arial"/>
          <w:sz w:val="18"/>
          <w:lang w:val="fr-FR"/>
        </w:rPr>
        <w:t xml:space="preserve"> qui couvre le territoire de ses 28 États membres.</w:t>
      </w:r>
      <w:r w:rsidR="00911D0B" w:rsidRPr="009A6348">
        <w:rPr>
          <w:sz w:val="18"/>
          <w:lang w:val="fr-FR"/>
        </w:rPr>
        <w:t xml:space="preserve">  </w:t>
      </w:r>
      <w:r w:rsidR="00AC27EA" w:rsidRPr="009A6348">
        <w:rPr>
          <w:rFonts w:cs="Arial"/>
          <w:sz w:val="18"/>
          <w:u w:val="single"/>
          <w:lang w:val="fr-FR"/>
        </w:rPr>
        <w:t>L</w:t>
      </w:r>
      <w:r w:rsidR="00003939" w:rsidRPr="009A6348">
        <w:rPr>
          <w:rFonts w:cs="Arial"/>
          <w:sz w:val="18"/>
          <w:u w:val="single"/>
          <w:lang w:val="fr-FR"/>
        </w:rPr>
        <w:t>’</w:t>
      </w:r>
      <w:r w:rsidR="00AC27EA" w:rsidRPr="009A6348">
        <w:rPr>
          <w:rFonts w:cs="Arial"/>
          <w:sz w:val="18"/>
          <w:u w:val="single"/>
          <w:lang w:val="fr-FR"/>
        </w:rPr>
        <w:t>Organisation africaine de la propriété intellectuelle a adopté un système d</w:t>
      </w:r>
      <w:r w:rsidR="00003939" w:rsidRPr="009A6348">
        <w:rPr>
          <w:rFonts w:cs="Arial"/>
          <w:sz w:val="18"/>
          <w:u w:val="single"/>
          <w:lang w:val="fr-FR"/>
        </w:rPr>
        <w:t>’</w:t>
      </w:r>
      <w:r w:rsidR="00AC27EA" w:rsidRPr="009A6348">
        <w:rPr>
          <w:rFonts w:cs="Arial"/>
          <w:sz w:val="18"/>
          <w:u w:val="single"/>
          <w:lang w:val="fr-FR"/>
        </w:rPr>
        <w:t>octroi de droits d</w:t>
      </w:r>
      <w:r w:rsidR="00003939" w:rsidRPr="009A6348">
        <w:rPr>
          <w:rFonts w:cs="Arial"/>
          <w:sz w:val="18"/>
          <w:u w:val="single"/>
          <w:lang w:val="fr-FR"/>
        </w:rPr>
        <w:t>’</w:t>
      </w:r>
      <w:r w:rsidR="00AC27EA" w:rsidRPr="009A6348">
        <w:rPr>
          <w:rFonts w:cs="Arial"/>
          <w:sz w:val="18"/>
          <w:u w:val="single"/>
          <w:lang w:val="fr-FR"/>
        </w:rPr>
        <w:t>obtenteur qui couvre le territoire de ses 17 États membres</w:t>
      </w:r>
      <w:r w:rsidR="00AC27EA" w:rsidRPr="009A6348">
        <w:rPr>
          <w:rFonts w:cs="Arial"/>
          <w:sz w:val="18"/>
          <w:lang w:val="fr-FR"/>
        </w:rPr>
        <w:t>.</w:t>
      </w:r>
      <w:r w:rsidR="00911D0B" w:rsidRPr="009A6348">
        <w:rPr>
          <w:sz w:val="18"/>
          <w:lang w:val="fr-FR"/>
        </w:rPr>
        <w:t xml:space="preserve">  </w:t>
      </w:r>
      <w:r w:rsidR="00AC27EA" w:rsidRPr="009A6348">
        <w:rPr>
          <w:rFonts w:cs="Arial"/>
          <w:sz w:val="18"/>
          <w:lang w:val="fr-FR"/>
        </w:rPr>
        <w:t>Les coordonnées des services chargés d</w:t>
      </w:r>
      <w:r w:rsidR="00003939" w:rsidRPr="009A6348">
        <w:rPr>
          <w:rFonts w:cs="Arial"/>
          <w:sz w:val="18"/>
          <w:lang w:val="fr-FR"/>
        </w:rPr>
        <w:t>’</w:t>
      </w:r>
      <w:r w:rsidR="00AC27EA" w:rsidRPr="009A6348">
        <w:rPr>
          <w:rFonts w:cs="Arial"/>
          <w:sz w:val="18"/>
          <w:lang w:val="fr-FR"/>
        </w:rPr>
        <w:t>octroyer les droits d</w:t>
      </w:r>
      <w:r w:rsidR="00003939" w:rsidRPr="009A6348">
        <w:rPr>
          <w:rFonts w:cs="Arial"/>
          <w:sz w:val="18"/>
          <w:lang w:val="fr-FR"/>
        </w:rPr>
        <w:t>’</w:t>
      </w:r>
      <w:r w:rsidR="00AC27EA" w:rsidRPr="009A6348">
        <w:rPr>
          <w:rFonts w:cs="Arial"/>
          <w:sz w:val="18"/>
          <w:lang w:val="fr-FR"/>
        </w:rPr>
        <w:t>obtenteur dans chaque pays sont</w:t>
      </w:r>
      <w:r w:rsidRPr="009A6348">
        <w:rPr>
          <w:rFonts w:cs="Arial"/>
          <w:sz w:val="18"/>
          <w:lang w:val="fr-FR"/>
        </w:rPr>
        <w:t xml:space="preserve"> indiquées à l</w:t>
      </w:r>
      <w:r w:rsidR="00003939" w:rsidRPr="009A6348">
        <w:rPr>
          <w:rFonts w:cs="Arial"/>
          <w:sz w:val="18"/>
          <w:lang w:val="fr-FR"/>
        </w:rPr>
        <w:t>’</w:t>
      </w:r>
      <w:r w:rsidRPr="009A6348">
        <w:rPr>
          <w:rFonts w:cs="Arial"/>
          <w:sz w:val="18"/>
          <w:lang w:val="fr-FR"/>
        </w:rPr>
        <w:t>adresse suivante</w:t>
      </w:r>
      <w:r w:rsidR="007046A2" w:rsidRPr="009A6348">
        <w:rPr>
          <w:rFonts w:cs="Arial"/>
          <w:sz w:val="18"/>
          <w:lang w:val="fr-FR"/>
        </w:rPr>
        <w:t> </w:t>
      </w:r>
      <w:r w:rsidRPr="009A6348">
        <w:rPr>
          <w:rFonts w:cs="Arial"/>
          <w:sz w:val="18"/>
          <w:lang w:val="fr-FR"/>
        </w:rPr>
        <w:t xml:space="preserve">: </w:t>
      </w:r>
      <w:hyperlink r:id="rId10" w:history="1">
        <w:r w:rsidR="00AC27EA" w:rsidRPr="003B0B7B">
          <w:rPr>
            <w:rStyle w:val="Hyperlink"/>
            <w:rFonts w:cs="Arial"/>
            <w:sz w:val="18"/>
            <w:lang w:val="fr-FR"/>
          </w:rPr>
          <w:t>http://www.upov.int/members/fr/pvp_offices.html</w:t>
        </w:r>
      </w:hyperlink>
      <w:r w:rsidR="00AC27EA" w:rsidRPr="009A6348">
        <w:rPr>
          <w:rFonts w:cs="Arial"/>
          <w:sz w:val="18"/>
          <w:lang w:val="fr-FR"/>
        </w:rPr>
        <w:t>.</w:t>
      </w:r>
      <w:r w:rsidRPr="009A6348">
        <w:rPr>
          <w:rFonts w:cs="Arial"/>
          <w:sz w:val="18"/>
          <w:lang w:val="fr-FR"/>
        </w:rPr>
        <w:t>”</w:t>
      </w:r>
    </w:p>
    <w:p w:rsidR="00677E0A" w:rsidRPr="009A6348" w:rsidRDefault="00677E0A" w:rsidP="00B02D38">
      <w:pPr>
        <w:rPr>
          <w:rFonts w:cs="Arial"/>
          <w:lang w:val="fr-FR"/>
        </w:rPr>
      </w:pPr>
    </w:p>
    <w:p w:rsidR="00677E0A" w:rsidRPr="009A6348" w:rsidRDefault="00AC27EA" w:rsidP="00AC27EA">
      <w:pPr>
        <w:pStyle w:val="Heading2"/>
        <w:rPr>
          <w:color w:val="auto"/>
        </w:rPr>
      </w:pPr>
      <w:bookmarkStart w:id="26" w:name="_Toc444761383"/>
      <w:r w:rsidRPr="009A6348">
        <w:rPr>
          <w:color w:val="auto"/>
        </w:rPr>
        <w:t>Cours d</w:t>
      </w:r>
      <w:r w:rsidR="00003939" w:rsidRPr="009A6348">
        <w:rPr>
          <w:color w:val="auto"/>
        </w:rPr>
        <w:t>’</w:t>
      </w:r>
      <w:r w:rsidRPr="009A6348">
        <w:rPr>
          <w:color w:val="auto"/>
        </w:rPr>
        <w:t>enseignement à distance</w:t>
      </w:r>
      <w:bookmarkEnd w:id="26"/>
    </w:p>
    <w:p w:rsidR="00677E0A" w:rsidRPr="009A6348" w:rsidRDefault="00677E0A" w:rsidP="00B02D38">
      <w:pPr>
        <w:keepNext/>
        <w:rPr>
          <w:rFonts w:cs="Arial"/>
          <w:lang w:val="fr-FR"/>
        </w:rPr>
      </w:pPr>
    </w:p>
    <w:p w:rsidR="00677E0A" w:rsidRPr="009A6348" w:rsidRDefault="00857963" w:rsidP="00857963">
      <w:pPr>
        <w:autoSpaceDE w:val="0"/>
        <w:autoSpaceDN w:val="0"/>
        <w:adjustRightInd w:val="0"/>
        <w:jc w:val="left"/>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723683" w:rsidRPr="009A6348">
        <w:rPr>
          <w:rFonts w:cs="Arial"/>
          <w:lang w:val="fr-FR"/>
        </w:rPr>
        <w:t>Deux sessions de chacun des cours d</w:t>
      </w:r>
      <w:r w:rsidR="00003939" w:rsidRPr="009A6348">
        <w:rPr>
          <w:rFonts w:cs="Arial"/>
          <w:lang w:val="fr-FR"/>
        </w:rPr>
        <w:t>’</w:t>
      </w:r>
      <w:r w:rsidR="00723683" w:rsidRPr="009A6348">
        <w:rPr>
          <w:rFonts w:cs="Arial"/>
          <w:lang w:val="fr-FR"/>
        </w:rPr>
        <w:t>enseignement à distance suivants seront organisées en français, allemand, anglais et espagnol en</w:t>
      </w:r>
      <w:r w:rsidR="007046A2" w:rsidRPr="009A6348">
        <w:rPr>
          <w:rFonts w:cs="Arial"/>
          <w:lang w:val="fr-FR"/>
        </w:rPr>
        <w:t> </w:t>
      </w:r>
      <w:r w:rsidR="00723683" w:rsidRPr="009A6348">
        <w:rPr>
          <w:rFonts w:cs="Arial"/>
          <w:lang w:val="fr-FR"/>
        </w:rPr>
        <w:t>2016 </w:t>
      </w:r>
      <w:r w:rsidRPr="009A6348">
        <w:rPr>
          <w:rFonts w:cs="Arial"/>
          <w:lang w:val="fr-FR"/>
        </w:rPr>
        <w:t>:</w:t>
      </w:r>
    </w:p>
    <w:p w:rsidR="00677E0A" w:rsidRPr="009A6348" w:rsidRDefault="00677E0A" w:rsidP="00857963">
      <w:pPr>
        <w:autoSpaceDE w:val="0"/>
        <w:autoSpaceDN w:val="0"/>
        <w:adjustRightInd w:val="0"/>
        <w:jc w:val="left"/>
        <w:rPr>
          <w:rFonts w:cs="Arial"/>
          <w:lang w:val="fr-FR"/>
        </w:rPr>
      </w:pPr>
    </w:p>
    <w:p w:rsidR="00677E0A" w:rsidRPr="009A6348" w:rsidRDefault="00AC27EA" w:rsidP="00AC27EA">
      <w:pPr>
        <w:pStyle w:val="ListParagraph"/>
        <w:numPr>
          <w:ilvl w:val="0"/>
          <w:numId w:val="16"/>
        </w:numPr>
        <w:autoSpaceDE w:val="0"/>
        <w:autoSpaceDN w:val="0"/>
        <w:adjustRightInd w:val="0"/>
        <w:jc w:val="left"/>
        <w:rPr>
          <w:rFonts w:cs="Arial"/>
          <w:lang w:val="fr-FR"/>
        </w:rPr>
      </w:pPr>
      <w:r w:rsidRPr="009A6348">
        <w:rPr>
          <w:rFonts w:cs="Arial"/>
          <w:lang w:val="fr-FR"/>
        </w:rPr>
        <w:t xml:space="preserve">DL </w:t>
      </w:r>
      <w:r w:rsidR="00BA2AFF" w:rsidRPr="009A6348">
        <w:rPr>
          <w:rFonts w:cs="Arial"/>
          <w:lang w:val="fr-FR"/>
        </w:rPr>
        <w:noBreakHyphen/>
      </w:r>
      <w:r w:rsidRPr="009A6348">
        <w:rPr>
          <w:rFonts w:cs="Arial"/>
          <w:lang w:val="fr-FR"/>
        </w:rPr>
        <w:t xml:space="preserve">205 “Introduction au système UPOV de protection des obtentions végétales selon la </w:t>
      </w:r>
      <w:r w:rsidR="00003939" w:rsidRPr="009A6348">
        <w:rPr>
          <w:rFonts w:cs="Arial"/>
          <w:lang w:val="fr-FR"/>
        </w:rPr>
        <w:t>Convention UPOV</w:t>
      </w:r>
      <w:r w:rsidRPr="009A6348">
        <w:rPr>
          <w:rFonts w:cs="Arial"/>
          <w:lang w:val="fr-FR"/>
        </w:rPr>
        <w:t>”</w:t>
      </w:r>
    </w:p>
    <w:p w:rsidR="00677E0A" w:rsidRPr="009A6348" w:rsidRDefault="00AC27EA" w:rsidP="00AC27EA">
      <w:pPr>
        <w:pStyle w:val="ListParagraph"/>
        <w:numPr>
          <w:ilvl w:val="0"/>
          <w:numId w:val="16"/>
        </w:numPr>
        <w:autoSpaceDE w:val="0"/>
        <w:autoSpaceDN w:val="0"/>
        <w:adjustRightInd w:val="0"/>
        <w:jc w:val="left"/>
        <w:rPr>
          <w:rFonts w:cs="Arial"/>
          <w:lang w:val="fr-FR"/>
        </w:rPr>
      </w:pPr>
      <w:r w:rsidRPr="009A6348">
        <w:rPr>
          <w:rFonts w:cs="Arial"/>
          <w:lang w:val="fr-FR"/>
        </w:rPr>
        <w:t>DL</w:t>
      </w:r>
      <w:r w:rsidR="00BA2AFF" w:rsidRPr="009A6348">
        <w:rPr>
          <w:rFonts w:cs="Arial"/>
          <w:lang w:val="fr-FR"/>
        </w:rPr>
        <w:noBreakHyphen/>
      </w:r>
      <w:r w:rsidRPr="009A6348">
        <w:rPr>
          <w:rFonts w:cs="Arial"/>
          <w:lang w:val="fr-FR"/>
        </w:rPr>
        <w:t>305 “Examen des demandes de droits d</w:t>
      </w:r>
      <w:r w:rsidR="00003939" w:rsidRPr="009A6348">
        <w:rPr>
          <w:rFonts w:cs="Arial"/>
          <w:lang w:val="fr-FR"/>
        </w:rPr>
        <w:t>’</w:t>
      </w:r>
      <w:r w:rsidRPr="009A6348">
        <w:rPr>
          <w:rFonts w:cs="Arial"/>
          <w:lang w:val="fr-FR"/>
        </w:rPr>
        <w:t>obtenteur”</w:t>
      </w:r>
    </w:p>
    <w:p w:rsidR="00677E0A" w:rsidRPr="009A6348" w:rsidRDefault="00AC27EA" w:rsidP="00AC27EA">
      <w:pPr>
        <w:pStyle w:val="ListParagraph"/>
        <w:numPr>
          <w:ilvl w:val="0"/>
          <w:numId w:val="16"/>
        </w:numPr>
        <w:autoSpaceDE w:val="0"/>
        <w:autoSpaceDN w:val="0"/>
        <w:adjustRightInd w:val="0"/>
        <w:jc w:val="left"/>
        <w:rPr>
          <w:rFonts w:cs="Arial"/>
          <w:lang w:val="fr-FR"/>
        </w:rPr>
      </w:pPr>
      <w:r w:rsidRPr="009A6348">
        <w:rPr>
          <w:rFonts w:cs="Arial"/>
          <w:lang w:val="fr-FR"/>
        </w:rPr>
        <w:t>DL</w:t>
      </w:r>
      <w:r w:rsidR="00BA2AFF" w:rsidRPr="009A6348">
        <w:rPr>
          <w:rFonts w:cs="Arial"/>
          <w:lang w:val="fr-FR"/>
        </w:rPr>
        <w:noBreakHyphen/>
      </w:r>
      <w:r w:rsidRPr="009A6348">
        <w:rPr>
          <w:rFonts w:cs="Arial"/>
          <w:lang w:val="fr-FR"/>
        </w:rPr>
        <w:t>305A “Administration des droits d</w:t>
      </w:r>
      <w:r w:rsidR="00003939" w:rsidRPr="009A6348">
        <w:rPr>
          <w:rFonts w:cs="Arial"/>
          <w:lang w:val="fr-FR"/>
        </w:rPr>
        <w:t>’</w:t>
      </w:r>
      <w:r w:rsidRPr="009A6348">
        <w:rPr>
          <w:rFonts w:cs="Arial"/>
          <w:lang w:val="fr-FR"/>
        </w:rPr>
        <w:t>obtenteur” (Partie A du cours DL</w:t>
      </w:r>
      <w:r w:rsidR="00BA2AFF" w:rsidRPr="009A6348">
        <w:rPr>
          <w:rFonts w:cs="Arial"/>
          <w:lang w:val="fr-FR"/>
        </w:rPr>
        <w:noBreakHyphen/>
      </w:r>
      <w:r w:rsidRPr="009A6348">
        <w:rPr>
          <w:rFonts w:cs="Arial"/>
          <w:lang w:val="fr-FR"/>
        </w:rPr>
        <w:t>305)</w:t>
      </w:r>
    </w:p>
    <w:p w:rsidR="00677E0A" w:rsidRPr="009A6348" w:rsidRDefault="00AC27EA" w:rsidP="00AC27EA">
      <w:pPr>
        <w:pStyle w:val="ListParagraph"/>
        <w:numPr>
          <w:ilvl w:val="0"/>
          <w:numId w:val="16"/>
        </w:numPr>
        <w:autoSpaceDE w:val="0"/>
        <w:autoSpaceDN w:val="0"/>
        <w:adjustRightInd w:val="0"/>
        <w:jc w:val="left"/>
        <w:rPr>
          <w:rFonts w:cs="Arial"/>
          <w:lang w:val="fr-FR"/>
        </w:rPr>
      </w:pPr>
      <w:r w:rsidRPr="009A6348">
        <w:rPr>
          <w:rFonts w:cs="Arial"/>
          <w:lang w:val="fr-FR"/>
        </w:rPr>
        <w:t>DL</w:t>
      </w:r>
      <w:r w:rsidR="00BA2AFF" w:rsidRPr="009A6348">
        <w:rPr>
          <w:rFonts w:cs="Arial"/>
          <w:lang w:val="fr-FR"/>
        </w:rPr>
        <w:noBreakHyphen/>
      </w:r>
      <w:r w:rsidRPr="009A6348">
        <w:rPr>
          <w:rFonts w:cs="Arial"/>
          <w:lang w:val="fr-FR"/>
        </w:rPr>
        <w:t>305B “Examen DHS” (Partie B du cours DL</w:t>
      </w:r>
      <w:r w:rsidR="00BA2AFF" w:rsidRPr="009A6348">
        <w:rPr>
          <w:rFonts w:cs="Arial"/>
          <w:lang w:val="fr-FR"/>
        </w:rPr>
        <w:noBreakHyphen/>
      </w:r>
      <w:r w:rsidRPr="009A6348">
        <w:rPr>
          <w:rFonts w:cs="Arial"/>
          <w:lang w:val="fr-FR"/>
        </w:rPr>
        <w:t>305)</w:t>
      </w:r>
    </w:p>
    <w:p w:rsidR="00677E0A" w:rsidRPr="009A6348" w:rsidRDefault="00677E0A" w:rsidP="00857963">
      <w:pPr>
        <w:autoSpaceDE w:val="0"/>
        <w:autoSpaceDN w:val="0"/>
        <w:adjustRightInd w:val="0"/>
        <w:jc w:val="left"/>
        <w:rPr>
          <w:rFonts w:cs="Arial"/>
          <w:lang w:val="fr-FR"/>
        </w:rPr>
      </w:pPr>
    </w:p>
    <w:p w:rsidR="00677E0A" w:rsidRPr="009A6348" w:rsidRDefault="00857963" w:rsidP="00AC27EA">
      <w:pPr>
        <w:autoSpaceDE w:val="0"/>
        <w:autoSpaceDN w:val="0"/>
        <w:adjustRightInd w:val="0"/>
        <w:jc w:val="left"/>
        <w:rPr>
          <w:rFonts w:cs="Arial"/>
          <w:lang w:val="fr-FR"/>
        </w:rPr>
      </w:pPr>
      <w:r w:rsidRPr="009A6348">
        <w:rPr>
          <w:rFonts w:cs="Arial"/>
          <w:lang w:val="fr-FR"/>
        </w:rPr>
        <w:fldChar w:fldCharType="begin"/>
      </w:r>
      <w:r w:rsidRPr="009A6348">
        <w:rPr>
          <w:rFonts w:cs="Arial"/>
          <w:lang w:val="fr-FR"/>
        </w:rPr>
        <w:instrText xml:space="preserve"> AUTONUM  </w:instrText>
      </w:r>
      <w:r w:rsidRPr="009A6348">
        <w:rPr>
          <w:rFonts w:cs="Arial"/>
          <w:lang w:val="fr-FR"/>
        </w:rPr>
        <w:fldChar w:fldCharType="end"/>
      </w:r>
      <w:r w:rsidRPr="009A6348">
        <w:rPr>
          <w:rFonts w:cs="Arial"/>
          <w:lang w:val="fr-FR"/>
        </w:rPr>
        <w:tab/>
      </w:r>
      <w:r w:rsidR="00AC27EA" w:rsidRPr="009A6348">
        <w:rPr>
          <w:rFonts w:cs="Arial"/>
          <w:lang w:val="fr-FR"/>
        </w:rPr>
        <w:t>Le calendrier de tous les cours est le suivant</w:t>
      </w:r>
      <w:r w:rsidR="007046A2" w:rsidRPr="009A6348">
        <w:rPr>
          <w:rFonts w:cs="Arial"/>
          <w:lang w:val="fr-FR"/>
        </w:rPr>
        <w:t> </w:t>
      </w:r>
      <w:r w:rsidR="00AC27EA" w:rsidRPr="009A6348">
        <w:rPr>
          <w:rFonts w:cs="Arial"/>
          <w:lang w:val="fr-FR"/>
        </w:rPr>
        <w:t>:</w:t>
      </w:r>
    </w:p>
    <w:p w:rsidR="00677E0A" w:rsidRPr="009A6348" w:rsidRDefault="00677E0A" w:rsidP="00857963">
      <w:pPr>
        <w:autoSpaceDE w:val="0"/>
        <w:autoSpaceDN w:val="0"/>
        <w:adjustRightInd w:val="0"/>
        <w:jc w:val="left"/>
        <w:rPr>
          <w:rFonts w:cs="Arial"/>
          <w:lang w:val="fr-FR"/>
        </w:rPr>
      </w:pPr>
    </w:p>
    <w:p w:rsidR="00677E0A" w:rsidRPr="009A6348" w:rsidRDefault="00AC27EA" w:rsidP="00AC27EA">
      <w:pPr>
        <w:autoSpaceDE w:val="0"/>
        <w:autoSpaceDN w:val="0"/>
        <w:adjustRightInd w:val="0"/>
        <w:ind w:left="567"/>
        <w:jc w:val="left"/>
        <w:rPr>
          <w:rFonts w:cs="Arial"/>
          <w:i/>
          <w:lang w:val="fr-FR"/>
        </w:rPr>
      </w:pPr>
      <w:r w:rsidRPr="009A6348">
        <w:rPr>
          <w:rFonts w:cs="Arial"/>
          <w:i/>
          <w:lang w:val="fr-FR"/>
        </w:rPr>
        <w:t>Session I – 2016</w:t>
      </w:r>
    </w:p>
    <w:p w:rsidR="00677E0A" w:rsidRPr="009A6348" w:rsidRDefault="00677E0A" w:rsidP="00857963">
      <w:pPr>
        <w:autoSpaceDE w:val="0"/>
        <w:autoSpaceDN w:val="0"/>
        <w:adjustRightInd w:val="0"/>
        <w:ind w:left="567"/>
        <w:jc w:val="left"/>
        <w:rPr>
          <w:rFonts w:cs="Arial"/>
          <w:lang w:val="fr-FR"/>
        </w:rPr>
      </w:pPr>
    </w:p>
    <w:p w:rsidR="00677E0A" w:rsidRPr="009A6348" w:rsidRDefault="00AC27EA" w:rsidP="00AC27EA">
      <w:pPr>
        <w:autoSpaceDE w:val="0"/>
        <w:autoSpaceDN w:val="0"/>
        <w:adjustRightInd w:val="0"/>
        <w:ind w:left="567"/>
        <w:jc w:val="left"/>
        <w:rPr>
          <w:rFonts w:cs="Arial"/>
          <w:lang w:val="fr-FR"/>
        </w:rPr>
      </w:pPr>
      <w:r w:rsidRPr="009A6348">
        <w:rPr>
          <w:rFonts w:cs="Arial"/>
          <w:lang w:val="fr-FR"/>
        </w:rPr>
        <w:t>Inscription</w:t>
      </w:r>
      <w:r w:rsidR="007046A2" w:rsidRPr="009A6348">
        <w:rPr>
          <w:rFonts w:cs="Arial"/>
          <w:lang w:val="fr-FR"/>
        </w:rPr>
        <w:t> </w:t>
      </w:r>
      <w:r w:rsidRPr="009A6348">
        <w:rPr>
          <w:rFonts w:cs="Arial"/>
          <w:lang w:val="fr-FR"/>
        </w:rPr>
        <w:t xml:space="preserve">: </w:t>
      </w:r>
      <w:r w:rsidR="009673A3" w:rsidRPr="009A6348">
        <w:rPr>
          <w:rFonts w:cs="Arial"/>
          <w:lang w:val="fr-FR"/>
        </w:rPr>
        <w:t>1</w:t>
      </w:r>
      <w:r w:rsidR="009673A3" w:rsidRPr="009A6348">
        <w:rPr>
          <w:rFonts w:cs="Arial"/>
          <w:vertAlign w:val="superscript"/>
          <w:lang w:val="fr-FR"/>
        </w:rPr>
        <w:t>er</w:t>
      </w:r>
      <w:r w:rsidR="009673A3" w:rsidRPr="009A6348">
        <w:rPr>
          <w:rFonts w:cs="Arial"/>
          <w:lang w:val="fr-FR"/>
        </w:rPr>
        <w:t> </w:t>
      </w:r>
      <w:r w:rsidRPr="009A6348">
        <w:rPr>
          <w:rFonts w:cs="Arial"/>
          <w:lang w:val="fr-FR"/>
        </w:rPr>
        <w:t xml:space="preserve">janvier – </w:t>
      </w:r>
      <w:r w:rsidR="009673A3" w:rsidRPr="009A6348">
        <w:rPr>
          <w:rFonts w:cs="Arial"/>
          <w:lang w:val="fr-FR"/>
        </w:rPr>
        <w:t>7 février</w:t>
      </w:r>
    </w:p>
    <w:p w:rsidR="00677E0A" w:rsidRPr="009A6348" w:rsidRDefault="00E63264" w:rsidP="00E63264">
      <w:pPr>
        <w:autoSpaceDE w:val="0"/>
        <w:autoSpaceDN w:val="0"/>
        <w:adjustRightInd w:val="0"/>
        <w:ind w:left="567"/>
        <w:jc w:val="left"/>
        <w:rPr>
          <w:rFonts w:cs="Arial"/>
          <w:lang w:val="fr-FR"/>
        </w:rPr>
      </w:pPr>
      <w:r w:rsidRPr="009A6348">
        <w:rPr>
          <w:rFonts w:cs="Arial"/>
          <w:lang w:val="fr-FR"/>
        </w:rPr>
        <w:t>Période d</w:t>
      </w:r>
      <w:r w:rsidR="00003939" w:rsidRPr="009A6348">
        <w:rPr>
          <w:rFonts w:cs="Arial"/>
          <w:lang w:val="fr-FR"/>
        </w:rPr>
        <w:t>’</w:t>
      </w:r>
      <w:r w:rsidRPr="009A6348">
        <w:rPr>
          <w:rFonts w:cs="Arial"/>
          <w:lang w:val="fr-FR"/>
        </w:rPr>
        <w:t>étude</w:t>
      </w:r>
      <w:r w:rsidR="007046A2" w:rsidRPr="009A6348">
        <w:rPr>
          <w:rFonts w:cs="Arial"/>
          <w:lang w:val="fr-FR"/>
        </w:rPr>
        <w:t> </w:t>
      </w:r>
      <w:r w:rsidRPr="009A6348">
        <w:rPr>
          <w:rFonts w:cs="Arial"/>
          <w:lang w:val="fr-FR"/>
        </w:rPr>
        <w:t>: 1</w:t>
      </w:r>
      <w:r w:rsidR="009673A3" w:rsidRPr="009A6348">
        <w:rPr>
          <w:rFonts w:cs="Arial"/>
          <w:lang w:val="fr-FR"/>
        </w:rPr>
        <w:t>5 février</w:t>
      </w:r>
      <w:r w:rsidRPr="009A6348">
        <w:rPr>
          <w:rFonts w:cs="Arial"/>
          <w:lang w:val="fr-FR"/>
        </w:rPr>
        <w:t xml:space="preserve"> – 2</w:t>
      </w:r>
      <w:r w:rsidR="009673A3" w:rsidRPr="009A6348">
        <w:rPr>
          <w:rFonts w:cs="Arial"/>
          <w:lang w:val="fr-FR"/>
        </w:rPr>
        <w:t>0 mars</w:t>
      </w:r>
    </w:p>
    <w:p w:rsidR="00677E0A" w:rsidRPr="009A6348" w:rsidRDefault="00E63264" w:rsidP="00E63264">
      <w:pPr>
        <w:autoSpaceDE w:val="0"/>
        <w:autoSpaceDN w:val="0"/>
        <w:adjustRightInd w:val="0"/>
        <w:ind w:left="567"/>
        <w:jc w:val="left"/>
        <w:rPr>
          <w:rFonts w:cs="Arial"/>
          <w:lang w:val="fr-FR"/>
        </w:rPr>
      </w:pPr>
      <w:r w:rsidRPr="009A6348">
        <w:rPr>
          <w:rFonts w:cs="Arial"/>
          <w:lang w:val="fr-FR"/>
        </w:rPr>
        <w:t>Examen final</w:t>
      </w:r>
      <w:r w:rsidR="007046A2" w:rsidRPr="009A6348">
        <w:rPr>
          <w:rFonts w:cs="Arial"/>
          <w:lang w:val="fr-FR"/>
        </w:rPr>
        <w:t> </w:t>
      </w:r>
      <w:r w:rsidRPr="009A6348">
        <w:rPr>
          <w:rFonts w:cs="Arial"/>
          <w:lang w:val="fr-FR"/>
        </w:rPr>
        <w:t>: 14 – 2</w:t>
      </w:r>
      <w:r w:rsidR="009673A3" w:rsidRPr="009A6348">
        <w:rPr>
          <w:rFonts w:cs="Arial"/>
          <w:lang w:val="fr-FR"/>
        </w:rPr>
        <w:t>0 mars</w:t>
      </w:r>
    </w:p>
    <w:p w:rsidR="00677E0A" w:rsidRPr="009A6348" w:rsidRDefault="00677E0A" w:rsidP="00857963">
      <w:pPr>
        <w:autoSpaceDE w:val="0"/>
        <w:autoSpaceDN w:val="0"/>
        <w:adjustRightInd w:val="0"/>
        <w:ind w:left="567"/>
        <w:jc w:val="left"/>
        <w:rPr>
          <w:rFonts w:cs="Arial"/>
          <w:lang w:val="fr-FR"/>
        </w:rPr>
      </w:pPr>
    </w:p>
    <w:p w:rsidR="00677E0A" w:rsidRPr="009A6348" w:rsidRDefault="00E63264" w:rsidP="00E63264">
      <w:pPr>
        <w:autoSpaceDE w:val="0"/>
        <w:autoSpaceDN w:val="0"/>
        <w:adjustRightInd w:val="0"/>
        <w:ind w:left="567"/>
        <w:jc w:val="left"/>
        <w:rPr>
          <w:rFonts w:cs="Arial"/>
          <w:i/>
          <w:lang w:val="fr-FR"/>
        </w:rPr>
      </w:pPr>
      <w:r w:rsidRPr="009A6348">
        <w:rPr>
          <w:rFonts w:cs="Arial"/>
          <w:i/>
          <w:lang w:val="fr-FR"/>
        </w:rPr>
        <w:t>Session II – 2016</w:t>
      </w:r>
    </w:p>
    <w:p w:rsidR="00677E0A" w:rsidRPr="009A6348" w:rsidRDefault="00677E0A" w:rsidP="00857963">
      <w:pPr>
        <w:autoSpaceDE w:val="0"/>
        <w:autoSpaceDN w:val="0"/>
        <w:adjustRightInd w:val="0"/>
        <w:ind w:left="567"/>
        <w:jc w:val="left"/>
        <w:rPr>
          <w:rFonts w:cs="Arial"/>
          <w:lang w:val="fr-FR"/>
        </w:rPr>
      </w:pPr>
    </w:p>
    <w:p w:rsidR="00677E0A" w:rsidRPr="009A6348" w:rsidRDefault="00E63264" w:rsidP="00E63264">
      <w:pPr>
        <w:autoSpaceDE w:val="0"/>
        <w:autoSpaceDN w:val="0"/>
        <w:adjustRightInd w:val="0"/>
        <w:ind w:left="567"/>
        <w:jc w:val="left"/>
        <w:rPr>
          <w:rFonts w:cs="Arial"/>
          <w:lang w:val="fr-FR"/>
        </w:rPr>
      </w:pPr>
      <w:r w:rsidRPr="009A6348">
        <w:rPr>
          <w:rFonts w:cs="Arial"/>
          <w:lang w:val="fr-FR"/>
        </w:rPr>
        <w:t>Inscription</w:t>
      </w:r>
      <w:r w:rsidR="007046A2" w:rsidRPr="009A6348">
        <w:rPr>
          <w:rFonts w:cs="Arial"/>
          <w:lang w:val="fr-FR"/>
        </w:rPr>
        <w:t> </w:t>
      </w:r>
      <w:r w:rsidRPr="009A6348">
        <w:rPr>
          <w:rFonts w:cs="Arial"/>
          <w:lang w:val="fr-FR"/>
        </w:rPr>
        <w:t>: 1</w:t>
      </w:r>
      <w:r w:rsidR="009673A3" w:rsidRPr="009A6348">
        <w:rPr>
          <w:rFonts w:cs="Arial"/>
          <w:lang w:val="fr-FR"/>
        </w:rPr>
        <w:t>5 août</w:t>
      </w:r>
      <w:r w:rsidRPr="009A6348">
        <w:rPr>
          <w:rFonts w:cs="Arial"/>
          <w:lang w:val="fr-FR"/>
        </w:rPr>
        <w:t xml:space="preserve"> – 1</w:t>
      </w:r>
      <w:r w:rsidR="009673A3" w:rsidRPr="009A6348">
        <w:rPr>
          <w:rFonts w:cs="Arial"/>
          <w:lang w:val="fr-FR"/>
        </w:rPr>
        <w:t>8 septembre</w:t>
      </w:r>
    </w:p>
    <w:p w:rsidR="00677E0A" w:rsidRPr="009A6348" w:rsidRDefault="00E63264" w:rsidP="00E63264">
      <w:pPr>
        <w:autoSpaceDE w:val="0"/>
        <w:autoSpaceDN w:val="0"/>
        <w:adjustRightInd w:val="0"/>
        <w:ind w:left="567"/>
        <w:jc w:val="left"/>
        <w:rPr>
          <w:rFonts w:cs="Arial"/>
          <w:lang w:val="fr-FR"/>
        </w:rPr>
      </w:pPr>
      <w:r w:rsidRPr="009A6348">
        <w:rPr>
          <w:rFonts w:cs="Arial"/>
          <w:lang w:val="fr-FR"/>
        </w:rPr>
        <w:t>Période d</w:t>
      </w:r>
      <w:r w:rsidR="00003939" w:rsidRPr="009A6348">
        <w:rPr>
          <w:rFonts w:cs="Arial"/>
          <w:lang w:val="fr-FR"/>
        </w:rPr>
        <w:t>’</w:t>
      </w:r>
      <w:r w:rsidRPr="009A6348">
        <w:rPr>
          <w:rFonts w:cs="Arial"/>
          <w:lang w:val="fr-FR"/>
        </w:rPr>
        <w:t>étude</w:t>
      </w:r>
      <w:r w:rsidR="007046A2" w:rsidRPr="009A6348">
        <w:rPr>
          <w:rFonts w:cs="Arial"/>
          <w:lang w:val="fr-FR"/>
        </w:rPr>
        <w:t> </w:t>
      </w:r>
      <w:r w:rsidRPr="009A6348">
        <w:rPr>
          <w:rFonts w:cs="Arial"/>
          <w:lang w:val="fr-FR"/>
        </w:rPr>
        <w:t>: 2</w:t>
      </w:r>
      <w:r w:rsidR="009673A3" w:rsidRPr="009A6348">
        <w:rPr>
          <w:rFonts w:cs="Arial"/>
          <w:lang w:val="fr-FR"/>
        </w:rPr>
        <w:t>5 septembre</w:t>
      </w:r>
      <w:r w:rsidRPr="009A6348">
        <w:rPr>
          <w:rFonts w:cs="Arial"/>
          <w:lang w:val="fr-FR"/>
        </w:rPr>
        <w:t xml:space="preserve"> – 3</w:t>
      </w:r>
      <w:r w:rsidR="009673A3" w:rsidRPr="009A6348">
        <w:rPr>
          <w:rFonts w:cs="Arial"/>
          <w:lang w:val="fr-FR"/>
        </w:rPr>
        <w:t>0 octobre</w:t>
      </w:r>
    </w:p>
    <w:p w:rsidR="00677E0A" w:rsidRPr="009A6348" w:rsidRDefault="00E63264" w:rsidP="00E63264">
      <w:pPr>
        <w:ind w:left="567"/>
        <w:rPr>
          <w:rFonts w:cs="Arial"/>
          <w:lang w:val="fr-FR"/>
        </w:rPr>
      </w:pPr>
      <w:r w:rsidRPr="009A6348">
        <w:rPr>
          <w:rFonts w:cs="Arial"/>
          <w:lang w:val="fr-FR"/>
        </w:rPr>
        <w:t>Examen final</w:t>
      </w:r>
      <w:r w:rsidR="007046A2" w:rsidRPr="009A6348">
        <w:rPr>
          <w:rFonts w:cs="Arial"/>
          <w:lang w:val="fr-FR"/>
        </w:rPr>
        <w:t> </w:t>
      </w:r>
      <w:r w:rsidRPr="009A6348">
        <w:rPr>
          <w:rFonts w:cs="Arial"/>
          <w:lang w:val="fr-FR"/>
        </w:rPr>
        <w:t>: 24 – 3</w:t>
      </w:r>
      <w:r w:rsidR="009673A3" w:rsidRPr="009A6348">
        <w:rPr>
          <w:rFonts w:cs="Arial"/>
          <w:lang w:val="fr-FR"/>
        </w:rPr>
        <w:t>0 octobre</w:t>
      </w:r>
    </w:p>
    <w:p w:rsidR="00677E0A" w:rsidRPr="009A6348" w:rsidRDefault="00677E0A" w:rsidP="00B02D38">
      <w:pPr>
        <w:rPr>
          <w:rFonts w:cs="Arial"/>
          <w:highlight w:val="cyan"/>
          <w:lang w:val="fr-FR"/>
        </w:rPr>
      </w:pPr>
    </w:p>
    <w:p w:rsidR="00677E0A" w:rsidRPr="009A6348" w:rsidRDefault="00E63264" w:rsidP="00E63264">
      <w:pPr>
        <w:rPr>
          <w:rFonts w:cs="Arial"/>
          <w:lang w:val="fr-FR"/>
        </w:rPr>
      </w:pPr>
      <w:r w:rsidRPr="009A6348">
        <w:rPr>
          <w:rFonts w:cs="Arial"/>
          <w:lang w:val="fr-FR"/>
        </w:rPr>
        <w:t>(</w:t>
      </w:r>
      <w:proofErr w:type="gramStart"/>
      <w:r w:rsidRPr="009A6348">
        <w:rPr>
          <w:rFonts w:cs="Arial"/>
          <w:lang w:val="fr-FR"/>
        </w:rPr>
        <w:t>voir</w:t>
      </w:r>
      <w:proofErr w:type="gramEnd"/>
      <w:r w:rsidRPr="009A6348">
        <w:rPr>
          <w:rFonts w:cs="Arial"/>
          <w:lang w:val="fr-FR"/>
        </w:rPr>
        <w:t xml:space="preserve"> </w:t>
      </w:r>
      <w:hyperlink r:id="rId11" w:history="1">
        <w:r w:rsidRPr="003B0B7B">
          <w:rPr>
            <w:rStyle w:val="Hyperlink"/>
          </w:rPr>
          <w:t>http://www.upov.int/resource/fr/training.html</w:t>
        </w:r>
      </w:hyperlink>
      <w:r w:rsidRPr="009A6348">
        <w:rPr>
          <w:rFonts w:cs="Arial"/>
          <w:lang w:val="fr-FR"/>
        </w:rPr>
        <w:t>)</w:t>
      </w:r>
    </w:p>
    <w:p w:rsidR="00677E0A" w:rsidRPr="009A6348" w:rsidRDefault="00677E0A" w:rsidP="00B02D38">
      <w:pPr>
        <w:keepNext/>
        <w:rPr>
          <w:rFonts w:cs="Arial"/>
          <w:lang w:val="fr-FR"/>
        </w:rPr>
      </w:pPr>
    </w:p>
    <w:p w:rsidR="00677E0A" w:rsidRPr="009A6348" w:rsidRDefault="00677E0A" w:rsidP="00B02D38">
      <w:pPr>
        <w:rPr>
          <w:rFonts w:cs="Arial"/>
          <w:snapToGrid w:val="0"/>
          <w:lang w:val="fr-FR"/>
        </w:rPr>
      </w:pPr>
    </w:p>
    <w:p w:rsidR="00677E0A" w:rsidRPr="009A6348" w:rsidRDefault="0004386B" w:rsidP="009E606C">
      <w:pPr>
        <w:pStyle w:val="Heading1"/>
      </w:pPr>
      <w:bookmarkStart w:id="27" w:name="_Toc381174877"/>
      <w:bookmarkStart w:id="28" w:name="_Toc444761384"/>
      <w:r w:rsidRPr="009A6348">
        <w:t>SYSTÈME INTERNATIONAL DE COOPÉRATION (</w:t>
      </w:r>
      <w:r w:rsidR="00161CAB">
        <w:t>ISC</w:t>
      </w:r>
      <w:r w:rsidRPr="009A6348">
        <w:t>)</w:t>
      </w:r>
      <w:bookmarkEnd w:id="28"/>
    </w:p>
    <w:p w:rsidR="00677E0A" w:rsidRPr="009A6348" w:rsidRDefault="00677E0A" w:rsidP="00B02D38">
      <w:pPr>
        <w:rPr>
          <w:rFonts w:cs="Arial"/>
          <w:lang w:val="fr-FR"/>
        </w:rPr>
      </w:pPr>
    </w:p>
    <w:p w:rsidR="00677E0A" w:rsidRPr="009A6348" w:rsidRDefault="00164441" w:rsidP="00101300">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FD762D" w:rsidRPr="009A6348">
        <w:rPr>
          <w:lang w:val="fr-FR"/>
        </w:rPr>
        <w:t>À sa quatre</w:t>
      </w:r>
      <w:r w:rsidR="00BA2AFF" w:rsidRPr="009A6348">
        <w:rPr>
          <w:lang w:val="fr-FR"/>
        </w:rPr>
        <w:noBreakHyphen/>
      </w:r>
      <w:r w:rsidR="00FD762D" w:rsidRPr="009A6348">
        <w:rPr>
          <w:lang w:val="fr-FR"/>
        </w:rPr>
        <w:t>vingt</w:t>
      </w:r>
      <w:r w:rsidR="00BA2AFF" w:rsidRPr="009A6348">
        <w:rPr>
          <w:lang w:val="fr-FR"/>
        </w:rPr>
        <w:noBreakHyphen/>
      </w:r>
      <w:r w:rsidR="00FD762D" w:rsidRPr="009A6348">
        <w:rPr>
          <w:lang w:val="fr-FR"/>
        </w:rPr>
        <w:t>dixième</w:t>
      </w:r>
      <w:r w:rsidR="003E77D0" w:rsidRPr="009A6348">
        <w:rPr>
          <w:lang w:val="fr-FR"/>
        </w:rPr>
        <w:t> </w:t>
      </w:r>
      <w:r w:rsidR="00FD762D" w:rsidRPr="009A6348">
        <w:rPr>
          <w:lang w:val="fr-FR"/>
        </w:rPr>
        <w:t>session, le Comité consultatif est convenu que davantage d</w:t>
      </w:r>
      <w:r w:rsidR="00003939" w:rsidRPr="009A6348">
        <w:rPr>
          <w:lang w:val="fr-FR"/>
        </w:rPr>
        <w:t>’</w:t>
      </w:r>
      <w:r w:rsidR="00FD762D" w:rsidRPr="009A6348">
        <w:rPr>
          <w:lang w:val="fr-FR"/>
        </w:rPr>
        <w:t>informations, en particulier des données statistiques, ainsi qu</w:t>
      </w:r>
      <w:r w:rsidR="00003939" w:rsidRPr="009A6348">
        <w:rPr>
          <w:lang w:val="fr-FR"/>
        </w:rPr>
        <w:t>’</w:t>
      </w:r>
      <w:r w:rsidR="00FD762D" w:rsidRPr="009A6348">
        <w:rPr>
          <w:lang w:val="fr-FR"/>
        </w:rPr>
        <w:t xml:space="preserve">une analyse juridique </w:t>
      </w:r>
      <w:r w:rsidR="00B7706E" w:rsidRPr="009A6348">
        <w:rPr>
          <w:lang w:val="fr-FR"/>
        </w:rPr>
        <w:t xml:space="preserve">étaient </w:t>
      </w:r>
      <w:r w:rsidR="00FD762D" w:rsidRPr="009A6348">
        <w:rPr>
          <w:lang w:val="fr-FR"/>
        </w:rPr>
        <w:t xml:space="preserve">nécessaires en ce qui concerne un éventuel système international de coopération, et il </w:t>
      </w:r>
      <w:r w:rsidR="00B7706E" w:rsidRPr="009A6348">
        <w:rPr>
          <w:lang w:val="fr-FR"/>
        </w:rPr>
        <w:t>a été</w:t>
      </w:r>
      <w:r w:rsidR="00FD762D" w:rsidRPr="009A6348">
        <w:rPr>
          <w:lang w:val="fr-FR"/>
        </w:rPr>
        <w:t xml:space="preserve"> convenu de demander au Bureau de l</w:t>
      </w:r>
      <w:r w:rsidR="00003939" w:rsidRPr="009A6348">
        <w:rPr>
          <w:lang w:val="fr-FR"/>
        </w:rPr>
        <w:t>’</w:t>
      </w:r>
      <w:r w:rsidR="00FD762D" w:rsidRPr="009A6348">
        <w:rPr>
          <w:lang w:val="fr-FR"/>
        </w:rPr>
        <w:t>Union d</w:t>
      </w:r>
      <w:r w:rsidR="00003939" w:rsidRPr="009A6348">
        <w:rPr>
          <w:lang w:val="fr-FR"/>
        </w:rPr>
        <w:t>’</w:t>
      </w:r>
      <w:r w:rsidR="00FD762D" w:rsidRPr="009A6348">
        <w:rPr>
          <w:lang w:val="fr-FR"/>
        </w:rPr>
        <w:t>élaborer un document contenant un projet de mandat et d</w:t>
      </w:r>
      <w:r w:rsidR="00003939" w:rsidRPr="009A6348">
        <w:rPr>
          <w:lang w:val="fr-FR"/>
        </w:rPr>
        <w:t>’</w:t>
      </w:r>
      <w:r w:rsidR="00FD762D" w:rsidRPr="009A6348">
        <w:rPr>
          <w:lang w:val="fr-FR"/>
        </w:rPr>
        <w:t>attributions concernant un groupe de travail (ISC</w:t>
      </w:r>
      <w:r w:rsidR="00BA2AFF" w:rsidRPr="009A6348">
        <w:rPr>
          <w:lang w:val="fr-FR"/>
        </w:rPr>
        <w:noBreakHyphen/>
      </w:r>
      <w:r w:rsidR="00FD762D" w:rsidRPr="009A6348">
        <w:rPr>
          <w:lang w:val="fr-FR"/>
        </w:rPr>
        <w:t>WG) qui serait chargé d</w:t>
      </w:r>
      <w:r w:rsidR="00003939" w:rsidRPr="009A6348">
        <w:rPr>
          <w:lang w:val="fr-FR"/>
        </w:rPr>
        <w:t>’</w:t>
      </w:r>
      <w:r w:rsidR="00FD762D" w:rsidRPr="009A6348">
        <w:rPr>
          <w:lang w:val="fr-FR"/>
        </w:rPr>
        <w:t>examiner les questions relatives à un éventuel système international de coopération, tel que présenté</w:t>
      </w:r>
      <w:r w:rsidR="004771D3" w:rsidRPr="009A6348">
        <w:rPr>
          <w:lang w:val="fr-FR"/>
        </w:rPr>
        <w:t>es</w:t>
      </w:r>
      <w:r w:rsidR="00FD762D" w:rsidRPr="009A6348">
        <w:rPr>
          <w:lang w:val="fr-FR"/>
        </w:rPr>
        <w:t xml:space="preserve"> dans le document </w:t>
      </w:r>
      <w:r w:rsidR="009A36C1" w:rsidRPr="009A6348">
        <w:rPr>
          <w:lang w:val="fr-FR"/>
        </w:rPr>
        <w:t>de la quatre</w:t>
      </w:r>
      <w:r w:rsidR="00BA2AFF" w:rsidRPr="009A6348">
        <w:rPr>
          <w:lang w:val="fr-FR"/>
        </w:rPr>
        <w:noBreakHyphen/>
      </w:r>
      <w:r w:rsidR="009A36C1" w:rsidRPr="009A6348">
        <w:rPr>
          <w:lang w:val="fr-FR"/>
        </w:rPr>
        <w:t>vingt</w:t>
      </w:r>
      <w:r w:rsidR="00BA2AFF" w:rsidRPr="009A6348">
        <w:rPr>
          <w:lang w:val="fr-FR"/>
        </w:rPr>
        <w:noBreakHyphen/>
      </w:r>
      <w:r w:rsidR="009A36C1" w:rsidRPr="009A6348">
        <w:rPr>
          <w:lang w:val="fr-FR"/>
        </w:rPr>
        <w:t>neuvième</w:t>
      </w:r>
      <w:r w:rsidR="003E77D0" w:rsidRPr="009A6348">
        <w:rPr>
          <w:lang w:val="fr-FR"/>
        </w:rPr>
        <w:t> </w:t>
      </w:r>
      <w:r w:rsidR="009A36C1" w:rsidRPr="009A6348">
        <w:rPr>
          <w:lang w:val="fr-FR"/>
        </w:rPr>
        <w:t>session du Comité consultatif</w:t>
      </w:r>
      <w:r w:rsidR="00FD762D" w:rsidRPr="009A6348">
        <w:rPr>
          <w:lang w:val="fr-FR"/>
        </w:rPr>
        <w:t>, et les questions supplémentaires soulevées par des membres de l</w:t>
      </w:r>
      <w:r w:rsidR="00003939" w:rsidRPr="009A6348">
        <w:rPr>
          <w:lang w:val="fr-FR"/>
        </w:rPr>
        <w:t>’</w:t>
      </w:r>
      <w:r w:rsidR="00FD762D" w:rsidRPr="009A6348">
        <w:rPr>
          <w:lang w:val="fr-FR"/>
        </w:rPr>
        <w:t xml:space="preserve">Union, pour examen par le Comité consultatif à sa </w:t>
      </w:r>
      <w:r w:rsidR="0063237C" w:rsidRPr="009A6348">
        <w:rPr>
          <w:lang w:val="fr-FR"/>
        </w:rPr>
        <w:t>quatre</w:t>
      </w:r>
      <w:r w:rsidR="00BA2AFF" w:rsidRPr="009A6348">
        <w:rPr>
          <w:lang w:val="fr-FR"/>
        </w:rPr>
        <w:noBreakHyphen/>
      </w:r>
      <w:r w:rsidR="0063237C" w:rsidRPr="009A6348">
        <w:rPr>
          <w:lang w:val="fr-FR"/>
        </w:rPr>
        <w:t>vingt</w:t>
      </w:r>
      <w:r w:rsidR="00BA2AFF" w:rsidRPr="009A6348">
        <w:rPr>
          <w:lang w:val="fr-FR"/>
        </w:rPr>
        <w:noBreakHyphen/>
      </w:r>
      <w:r w:rsidR="0063237C" w:rsidRPr="009A6348">
        <w:rPr>
          <w:lang w:val="fr-FR"/>
        </w:rPr>
        <w:t>onzième</w:t>
      </w:r>
      <w:r w:rsidR="003E77D0" w:rsidRPr="009A6348">
        <w:rPr>
          <w:lang w:val="fr-FR"/>
        </w:rPr>
        <w:t> </w:t>
      </w:r>
      <w:r w:rsidR="00FD762D" w:rsidRPr="009A6348">
        <w:rPr>
          <w:lang w:val="fr-FR"/>
        </w:rPr>
        <w:t xml:space="preserve">session, laquelle se tiendra à Genève en </w:t>
      </w:r>
      <w:r w:rsidR="00003939" w:rsidRPr="009A6348">
        <w:rPr>
          <w:lang w:val="fr-FR"/>
        </w:rPr>
        <w:t>mars 20</w:t>
      </w:r>
      <w:r w:rsidR="00FD762D" w:rsidRPr="009A6348">
        <w:rPr>
          <w:lang w:val="fr-FR"/>
        </w:rPr>
        <w:t>16</w:t>
      </w:r>
      <w:r w:rsidR="00782276" w:rsidRPr="009A6348">
        <w:rPr>
          <w:lang w:val="fr-FR"/>
        </w:rPr>
        <w:t>.</w:t>
      </w:r>
      <w:r w:rsidR="00FD762D" w:rsidRPr="009A6348">
        <w:rPr>
          <w:lang w:val="fr-FR"/>
        </w:rPr>
        <w:t xml:space="preserve"> </w:t>
      </w:r>
      <w:r w:rsidRPr="009A6348">
        <w:rPr>
          <w:lang w:val="fr-FR"/>
        </w:rPr>
        <w:t xml:space="preserve"> </w:t>
      </w:r>
      <w:r w:rsidR="00F826A4" w:rsidRPr="009A6348">
        <w:rPr>
          <w:lang w:val="fr-FR"/>
        </w:rPr>
        <w:t>Ce document présenterait également les questions supplémentaires soumises par écrit par les membres de l</w:t>
      </w:r>
      <w:r w:rsidR="00003939" w:rsidRPr="009A6348">
        <w:rPr>
          <w:lang w:val="fr-FR"/>
        </w:rPr>
        <w:t>’</w:t>
      </w:r>
      <w:r w:rsidR="00F826A4" w:rsidRPr="009A6348">
        <w:rPr>
          <w:lang w:val="fr-FR"/>
        </w:rPr>
        <w:t>Union</w:t>
      </w:r>
      <w:r w:rsidRPr="009A6348">
        <w:rPr>
          <w:lang w:val="fr-FR"/>
        </w:rPr>
        <w:t>.</w:t>
      </w:r>
    </w:p>
    <w:p w:rsidR="00677E0A" w:rsidRPr="009A6348" w:rsidRDefault="00677E0A" w:rsidP="009D2D58">
      <w:pPr>
        <w:pStyle w:val="Heading1"/>
        <w:rPr>
          <w:snapToGrid w:val="0"/>
        </w:rPr>
      </w:pPr>
    </w:p>
    <w:p w:rsidR="00677E0A" w:rsidRPr="009A6348" w:rsidRDefault="00677E0A" w:rsidP="00164441">
      <w:pPr>
        <w:rPr>
          <w:lang w:val="fr-FR"/>
        </w:rPr>
      </w:pPr>
    </w:p>
    <w:p w:rsidR="00677E0A" w:rsidRPr="009A6348" w:rsidRDefault="00582807" w:rsidP="009E606C">
      <w:pPr>
        <w:pStyle w:val="Heading1"/>
      </w:pPr>
      <w:bookmarkStart w:id="29" w:name="_Toc444761385"/>
      <w:bookmarkEnd w:id="27"/>
      <w:r w:rsidRPr="009A6348">
        <w:t>RAPPORT AVEC LE TRAITÉ INTERNATIONAL SUR LES RESSOURCES PHYTOGÉNÉTIQUES POUR L</w:t>
      </w:r>
      <w:r w:rsidR="00003939" w:rsidRPr="009A6348">
        <w:t>’</w:t>
      </w:r>
      <w:r w:rsidRPr="009A6348">
        <w:t>ALIMENTATION ET L</w:t>
      </w:r>
      <w:r w:rsidR="00003939" w:rsidRPr="009A6348">
        <w:t>’</w:t>
      </w:r>
      <w:r w:rsidRPr="009A6348">
        <w:t>AGRICULTURE (</w:t>
      </w:r>
      <w:r w:rsidR="00161CAB">
        <w:t>ITPGRFA</w:t>
      </w:r>
      <w:r w:rsidRPr="009A6348">
        <w:t>)</w:t>
      </w:r>
      <w:bookmarkEnd w:id="29"/>
    </w:p>
    <w:p w:rsidR="00677E0A" w:rsidRPr="009A6348" w:rsidRDefault="00677E0A" w:rsidP="00164441">
      <w:pPr>
        <w:rPr>
          <w:lang w:val="fr-FR"/>
        </w:rPr>
      </w:pPr>
    </w:p>
    <w:p w:rsidR="009673A3" w:rsidRPr="009A6348" w:rsidRDefault="00164441" w:rsidP="00164441">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723683" w:rsidRPr="009A6348">
        <w:rPr>
          <w:lang w:val="fr-FR"/>
        </w:rPr>
        <w:t>À sa quatre</w:t>
      </w:r>
      <w:r w:rsidR="00BA2AFF" w:rsidRPr="009A6348">
        <w:rPr>
          <w:lang w:val="fr-FR"/>
        </w:rPr>
        <w:noBreakHyphen/>
      </w:r>
      <w:r w:rsidR="00723683" w:rsidRPr="009A6348">
        <w:rPr>
          <w:lang w:val="fr-FR"/>
        </w:rPr>
        <w:t>vingt</w:t>
      </w:r>
      <w:r w:rsidR="00BA2AFF" w:rsidRPr="009A6348">
        <w:rPr>
          <w:lang w:val="fr-FR"/>
        </w:rPr>
        <w:noBreakHyphen/>
      </w:r>
      <w:r w:rsidR="00723683" w:rsidRPr="009A6348">
        <w:rPr>
          <w:lang w:val="fr-FR"/>
        </w:rPr>
        <w:t>dixième</w:t>
      </w:r>
      <w:r w:rsidR="007046A2" w:rsidRPr="009A6348">
        <w:rPr>
          <w:lang w:val="fr-FR"/>
        </w:rPr>
        <w:t> </w:t>
      </w:r>
      <w:r w:rsidR="00723683" w:rsidRPr="009A6348">
        <w:rPr>
          <w:lang w:val="fr-FR"/>
        </w:rPr>
        <w:t xml:space="preserve">session, le Comité consultatif </w:t>
      </w:r>
      <w:r w:rsidR="000C53B5" w:rsidRPr="009A6348">
        <w:rPr>
          <w:lang w:val="fr-FR"/>
        </w:rPr>
        <w:t xml:space="preserve">a pris note </w:t>
      </w:r>
      <w:r w:rsidR="00723683" w:rsidRPr="009A6348">
        <w:rPr>
          <w:lang w:val="fr-FR"/>
        </w:rPr>
        <w:t>des éléments nouveaux concernant les éventuels domaines d</w:t>
      </w:r>
      <w:r w:rsidR="00003939" w:rsidRPr="009A6348">
        <w:rPr>
          <w:lang w:val="fr-FR"/>
        </w:rPr>
        <w:t>’</w:t>
      </w:r>
      <w:r w:rsidR="00723683" w:rsidRPr="009A6348">
        <w:rPr>
          <w:lang w:val="fr-FR"/>
        </w:rPr>
        <w:t xml:space="preserve">interaction entre les instruments internationaux respectifs </w:t>
      </w:r>
      <w:r w:rsidR="000C53B5" w:rsidRPr="009A6348">
        <w:rPr>
          <w:lang w:val="fr-FR"/>
        </w:rPr>
        <w:t>du</w:t>
      </w:r>
      <w:r w:rsidR="00723683" w:rsidRPr="009A6348">
        <w:rPr>
          <w:lang w:val="fr-FR"/>
        </w:rPr>
        <w:t xml:space="preserve"> Traité international sur les ressources </w:t>
      </w:r>
      <w:proofErr w:type="spellStart"/>
      <w:r w:rsidR="00723683" w:rsidRPr="009A6348">
        <w:rPr>
          <w:lang w:val="fr-FR"/>
        </w:rPr>
        <w:t>phytogénétiques</w:t>
      </w:r>
      <w:proofErr w:type="spellEnd"/>
      <w:r w:rsidR="00723683" w:rsidRPr="009A6348">
        <w:rPr>
          <w:lang w:val="fr-FR"/>
        </w:rPr>
        <w:t xml:space="preserve"> pour l</w:t>
      </w:r>
      <w:r w:rsidR="00003939" w:rsidRPr="009A6348">
        <w:rPr>
          <w:lang w:val="fr-FR"/>
        </w:rPr>
        <w:t>’</w:t>
      </w:r>
      <w:r w:rsidR="00723683" w:rsidRPr="009A6348">
        <w:rPr>
          <w:lang w:val="fr-FR"/>
        </w:rPr>
        <w:t>alimentation et l</w:t>
      </w:r>
      <w:r w:rsidR="00003939" w:rsidRPr="009A6348">
        <w:rPr>
          <w:lang w:val="fr-FR"/>
        </w:rPr>
        <w:t>’</w:t>
      </w:r>
      <w:r w:rsidR="00723683" w:rsidRPr="009A6348">
        <w:rPr>
          <w:lang w:val="fr-FR"/>
        </w:rPr>
        <w:t>agriculture (</w:t>
      </w:r>
      <w:r w:rsidR="00161CAB">
        <w:rPr>
          <w:lang w:val="fr-FR"/>
        </w:rPr>
        <w:t>ITPGRFA</w:t>
      </w:r>
      <w:r w:rsidR="00723683" w:rsidRPr="009A6348">
        <w:rPr>
          <w:lang w:val="fr-FR"/>
        </w:rPr>
        <w:t>), l</w:t>
      </w:r>
      <w:r w:rsidR="00003939" w:rsidRPr="009A6348">
        <w:rPr>
          <w:lang w:val="fr-FR"/>
        </w:rPr>
        <w:t>’</w:t>
      </w:r>
      <w:r w:rsidR="00723683" w:rsidRPr="009A6348">
        <w:rPr>
          <w:lang w:val="fr-FR"/>
        </w:rPr>
        <w:t>Organisation Mondiale de la Propriété Intellectuelle (OMPI) et l</w:t>
      </w:r>
      <w:r w:rsidR="00003939" w:rsidRPr="009A6348">
        <w:rPr>
          <w:lang w:val="fr-FR"/>
        </w:rPr>
        <w:t>’</w:t>
      </w:r>
      <w:r w:rsidR="000C53B5" w:rsidRPr="009A6348">
        <w:rPr>
          <w:lang w:val="fr-FR"/>
        </w:rPr>
        <w:t>UPOV.</w:t>
      </w:r>
    </w:p>
    <w:p w:rsidR="00677E0A" w:rsidRPr="009A6348" w:rsidRDefault="00677E0A" w:rsidP="00164441">
      <w:pPr>
        <w:rPr>
          <w:lang w:val="fr-FR"/>
        </w:rPr>
      </w:pPr>
    </w:p>
    <w:p w:rsidR="00677E0A" w:rsidRPr="009A6348" w:rsidRDefault="00164441" w:rsidP="00E63264">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E63264" w:rsidRPr="009A6348">
        <w:rPr>
          <w:lang w:val="fr-FR"/>
        </w:rPr>
        <w:t>Dans un premier temps, le Comité consultatif est convenu d</w:t>
      </w:r>
      <w:r w:rsidR="00003939" w:rsidRPr="009A6348">
        <w:rPr>
          <w:lang w:val="fr-FR"/>
        </w:rPr>
        <w:t>’</w:t>
      </w:r>
      <w:r w:rsidR="00E63264" w:rsidRPr="009A6348">
        <w:rPr>
          <w:lang w:val="fr-FR"/>
        </w:rPr>
        <w:t>inviter le secrétaire</w:t>
      </w:r>
      <w:r w:rsidR="009673A3" w:rsidRPr="009A6348">
        <w:rPr>
          <w:lang w:val="fr-FR"/>
        </w:rPr>
        <w:t xml:space="preserve"> du </w:t>
      </w:r>
      <w:r w:rsidR="00161CAB">
        <w:rPr>
          <w:lang w:val="fr-FR"/>
        </w:rPr>
        <w:t>ITPGRFA</w:t>
      </w:r>
      <w:r w:rsidR="00E63264" w:rsidRPr="009A6348">
        <w:rPr>
          <w:lang w:val="fr-FR"/>
        </w:rPr>
        <w:t xml:space="preserve"> à faire une présentation à sa quatre</w:t>
      </w:r>
      <w:r w:rsidR="00BA2AFF" w:rsidRPr="009A6348">
        <w:rPr>
          <w:lang w:val="fr-FR"/>
        </w:rPr>
        <w:noBreakHyphen/>
      </w:r>
      <w:r w:rsidR="00E63264" w:rsidRPr="009A6348">
        <w:rPr>
          <w:lang w:val="fr-FR"/>
        </w:rPr>
        <w:t>vingt</w:t>
      </w:r>
      <w:r w:rsidR="00BA2AFF" w:rsidRPr="009A6348">
        <w:rPr>
          <w:lang w:val="fr-FR"/>
        </w:rPr>
        <w:noBreakHyphen/>
      </w:r>
      <w:r w:rsidR="00E63264" w:rsidRPr="009A6348">
        <w:rPr>
          <w:lang w:val="fr-FR"/>
        </w:rPr>
        <w:t>onzième</w:t>
      </w:r>
      <w:r w:rsidR="007046A2" w:rsidRPr="009A6348">
        <w:rPr>
          <w:lang w:val="fr-FR"/>
        </w:rPr>
        <w:t> </w:t>
      </w:r>
      <w:r w:rsidR="00E63264" w:rsidRPr="009A6348">
        <w:rPr>
          <w:lang w:val="fr-FR"/>
        </w:rPr>
        <w:t>session sur les éventuels domaines d</w:t>
      </w:r>
      <w:r w:rsidR="00003939" w:rsidRPr="009A6348">
        <w:rPr>
          <w:lang w:val="fr-FR"/>
        </w:rPr>
        <w:t>’</w:t>
      </w:r>
      <w:r w:rsidR="00E63264" w:rsidRPr="009A6348">
        <w:rPr>
          <w:lang w:val="fr-FR"/>
        </w:rPr>
        <w:t>interaction entre</w:t>
      </w:r>
      <w:r w:rsidR="009673A3" w:rsidRPr="009A6348">
        <w:rPr>
          <w:lang w:val="fr-FR"/>
        </w:rPr>
        <w:t xml:space="preserve"> </w:t>
      </w:r>
      <w:proofErr w:type="gramStart"/>
      <w:r w:rsidR="009673A3" w:rsidRPr="009A6348">
        <w:rPr>
          <w:lang w:val="fr-FR"/>
        </w:rPr>
        <w:t>le </w:t>
      </w:r>
      <w:r w:rsidR="00161CAB">
        <w:rPr>
          <w:lang w:val="fr-FR"/>
        </w:rPr>
        <w:t>ITPGRFA</w:t>
      </w:r>
      <w:proofErr w:type="gramEnd"/>
      <w:r w:rsidR="00E63264" w:rsidRPr="009A6348">
        <w:rPr>
          <w:lang w:val="fr-FR"/>
        </w:rPr>
        <w:t xml:space="preserve"> et la convention de l</w:t>
      </w:r>
      <w:r w:rsidR="00003939" w:rsidRPr="009A6348">
        <w:rPr>
          <w:lang w:val="fr-FR"/>
        </w:rPr>
        <w:t>’</w:t>
      </w:r>
      <w:r w:rsidR="00E63264" w:rsidRPr="009A6348">
        <w:rPr>
          <w:lang w:val="fr-FR"/>
        </w:rPr>
        <w:t>UPOV.</w:t>
      </w:r>
      <w:r w:rsidRPr="009A6348">
        <w:rPr>
          <w:lang w:val="fr-FR"/>
        </w:rPr>
        <w:t xml:space="preserve">  </w:t>
      </w:r>
      <w:r w:rsidR="00D24989" w:rsidRPr="009A6348">
        <w:rPr>
          <w:lang w:val="fr-FR"/>
        </w:rPr>
        <w:t>Le Comité consultatif est également convenu que les membres de l</w:t>
      </w:r>
      <w:r w:rsidR="00003939" w:rsidRPr="009A6348">
        <w:rPr>
          <w:lang w:val="fr-FR"/>
        </w:rPr>
        <w:t>’</w:t>
      </w:r>
      <w:r w:rsidR="00D24989" w:rsidRPr="009A6348">
        <w:rPr>
          <w:lang w:val="fr-FR"/>
        </w:rPr>
        <w:t>Union seraient invités à faire part de leurs observations sur les domaines d</w:t>
      </w:r>
      <w:r w:rsidR="00003939" w:rsidRPr="009A6348">
        <w:rPr>
          <w:lang w:val="fr-FR"/>
        </w:rPr>
        <w:t>’</w:t>
      </w:r>
      <w:r w:rsidR="00D24989" w:rsidRPr="009A6348">
        <w:rPr>
          <w:lang w:val="fr-FR"/>
        </w:rPr>
        <w:t>interaction recensés par le secrétaire du Traité international</w:t>
      </w:r>
      <w:r w:rsidR="00D24989" w:rsidRPr="009A6348">
        <w:t xml:space="preserve"> </w:t>
      </w:r>
      <w:r w:rsidR="00D24989" w:rsidRPr="009A6348">
        <w:rPr>
          <w:lang w:val="fr-FR"/>
        </w:rPr>
        <w:t>et à proposer d</w:t>
      </w:r>
      <w:r w:rsidR="00003939" w:rsidRPr="009A6348">
        <w:rPr>
          <w:lang w:val="fr-FR"/>
        </w:rPr>
        <w:t>’</w:t>
      </w:r>
      <w:r w:rsidR="00D24989" w:rsidRPr="009A6348">
        <w:rPr>
          <w:lang w:val="fr-FR"/>
        </w:rPr>
        <w:t>autres domaines d</w:t>
      </w:r>
      <w:r w:rsidR="00003939" w:rsidRPr="009A6348">
        <w:rPr>
          <w:lang w:val="fr-FR"/>
        </w:rPr>
        <w:t>’</w:t>
      </w:r>
      <w:r w:rsidR="00D24989" w:rsidRPr="009A6348">
        <w:rPr>
          <w:lang w:val="fr-FR"/>
        </w:rPr>
        <w:t>interaction</w:t>
      </w:r>
      <w:r w:rsidR="000C368E" w:rsidRPr="009A6348">
        <w:rPr>
          <w:lang w:val="fr-FR"/>
        </w:rPr>
        <w:t xml:space="preserve">.  </w:t>
      </w:r>
      <w:r w:rsidR="00CA2037" w:rsidRPr="009A6348">
        <w:rPr>
          <w:lang w:val="fr-FR"/>
        </w:rPr>
        <w:t>Le Comité consultatif est convenu également que les informations seraient rassemblées par le Bureau de l</w:t>
      </w:r>
      <w:r w:rsidR="00003939" w:rsidRPr="009A6348">
        <w:rPr>
          <w:lang w:val="fr-FR"/>
        </w:rPr>
        <w:t>’</w:t>
      </w:r>
      <w:r w:rsidR="00CA2037" w:rsidRPr="009A6348">
        <w:rPr>
          <w:lang w:val="fr-FR"/>
        </w:rPr>
        <w:t xml:space="preserve">Union </w:t>
      </w:r>
      <w:r w:rsidR="00D24989" w:rsidRPr="009A6348">
        <w:rPr>
          <w:lang w:val="fr-FR"/>
        </w:rPr>
        <w:t xml:space="preserve">pour examen à </w:t>
      </w:r>
      <w:r w:rsidR="00CA2037" w:rsidRPr="009A6348">
        <w:rPr>
          <w:lang w:val="fr-FR"/>
        </w:rPr>
        <w:t>la quatre</w:t>
      </w:r>
      <w:r w:rsidR="00BA2AFF" w:rsidRPr="009A6348">
        <w:rPr>
          <w:lang w:val="fr-FR"/>
        </w:rPr>
        <w:noBreakHyphen/>
      </w:r>
      <w:r w:rsidR="00CA2037" w:rsidRPr="009A6348">
        <w:rPr>
          <w:lang w:val="fr-FR"/>
        </w:rPr>
        <w:t>vingt</w:t>
      </w:r>
      <w:r w:rsidR="00BA2AFF" w:rsidRPr="009A6348">
        <w:rPr>
          <w:lang w:val="fr-FR"/>
        </w:rPr>
        <w:noBreakHyphen/>
      </w:r>
      <w:r w:rsidR="00CA2037" w:rsidRPr="009A6348">
        <w:rPr>
          <w:lang w:val="fr-FR"/>
        </w:rPr>
        <w:t>onzième</w:t>
      </w:r>
      <w:r w:rsidR="00142302" w:rsidRPr="009A6348">
        <w:rPr>
          <w:lang w:val="fr-FR"/>
        </w:rPr>
        <w:t> </w:t>
      </w:r>
      <w:r w:rsidR="00CA2037" w:rsidRPr="009A6348">
        <w:rPr>
          <w:lang w:val="fr-FR"/>
        </w:rPr>
        <w:t>session conjointement avec l</w:t>
      </w:r>
      <w:r w:rsidR="00003939" w:rsidRPr="009A6348">
        <w:rPr>
          <w:lang w:val="fr-FR"/>
        </w:rPr>
        <w:t>’</w:t>
      </w:r>
      <w:r w:rsidR="00CA2037" w:rsidRPr="009A6348">
        <w:rPr>
          <w:lang w:val="fr-FR"/>
        </w:rPr>
        <w:t>exposé présenté par le secrétaire du Traité international.</w:t>
      </w:r>
      <w:r w:rsidRPr="009A6348">
        <w:rPr>
          <w:lang w:val="fr-FR"/>
        </w:rPr>
        <w:t xml:space="preserve">  </w:t>
      </w:r>
      <w:r w:rsidR="00CC738F" w:rsidRPr="009A6348">
        <w:rPr>
          <w:lang w:val="fr-FR"/>
        </w:rPr>
        <w:t>Le Comité consultatif a débattu également de l</w:t>
      </w:r>
      <w:r w:rsidR="00003939" w:rsidRPr="009A6348">
        <w:rPr>
          <w:lang w:val="fr-FR"/>
        </w:rPr>
        <w:t>’</w:t>
      </w:r>
      <w:r w:rsidR="00CC738F" w:rsidRPr="009A6348">
        <w:rPr>
          <w:lang w:val="fr-FR"/>
        </w:rPr>
        <w:t>idée d</w:t>
      </w:r>
      <w:r w:rsidR="00003939" w:rsidRPr="009A6348">
        <w:rPr>
          <w:lang w:val="fr-FR"/>
        </w:rPr>
        <w:t>’</w:t>
      </w:r>
      <w:r w:rsidR="00CC738F" w:rsidRPr="009A6348">
        <w:rPr>
          <w:lang w:val="fr-FR"/>
        </w:rPr>
        <w:t>un colloque au cours duquel les parties contractantes présenteraient des informations sur leurs données d</w:t>
      </w:r>
      <w:r w:rsidR="00003939" w:rsidRPr="009A6348">
        <w:rPr>
          <w:lang w:val="fr-FR"/>
        </w:rPr>
        <w:t>’</w:t>
      </w:r>
      <w:r w:rsidR="00CC738F" w:rsidRPr="009A6348">
        <w:rPr>
          <w:lang w:val="fr-FR"/>
        </w:rPr>
        <w:t xml:space="preserve">expérience en matière de mise en œuvre de la </w:t>
      </w:r>
      <w:r w:rsidR="00003939" w:rsidRPr="009A6348">
        <w:rPr>
          <w:lang w:val="fr-FR"/>
        </w:rPr>
        <w:t>Convention UPOV</w:t>
      </w:r>
      <w:r w:rsidR="00CC738F" w:rsidRPr="009A6348">
        <w:rPr>
          <w:lang w:val="fr-FR"/>
        </w:rPr>
        <w:t xml:space="preserve"> et du Traité international</w:t>
      </w:r>
      <w:r w:rsidRPr="009A6348">
        <w:rPr>
          <w:lang w:val="fr-FR"/>
        </w:rPr>
        <w:t>.</w:t>
      </w:r>
    </w:p>
    <w:p w:rsidR="00677E0A" w:rsidRPr="009A6348" w:rsidRDefault="00677E0A" w:rsidP="00D821B9">
      <w:pPr>
        <w:rPr>
          <w:rFonts w:cs="Arial"/>
          <w:snapToGrid w:val="0"/>
          <w:lang w:val="fr-FR"/>
        </w:rPr>
      </w:pPr>
    </w:p>
    <w:p w:rsidR="00677E0A" w:rsidRPr="009A6348" w:rsidRDefault="00677E0A" w:rsidP="00D821B9">
      <w:pPr>
        <w:rPr>
          <w:rFonts w:cs="Arial"/>
          <w:snapToGrid w:val="0"/>
          <w:lang w:val="fr-FR"/>
        </w:rPr>
      </w:pPr>
    </w:p>
    <w:p w:rsidR="00677E0A" w:rsidRPr="009A6348" w:rsidRDefault="00305D32" w:rsidP="009E606C">
      <w:pPr>
        <w:pStyle w:val="Heading1"/>
      </w:pPr>
      <w:bookmarkStart w:id="30" w:name="_Toc444761386"/>
      <w:r w:rsidRPr="009A6348">
        <w:t>PROJET MONDIAL SUR LES SEMENCES</w:t>
      </w:r>
      <w:bookmarkEnd w:id="30"/>
    </w:p>
    <w:p w:rsidR="00677E0A" w:rsidRPr="009A6348" w:rsidRDefault="00677E0A" w:rsidP="00B02D38">
      <w:pPr>
        <w:rPr>
          <w:rFonts w:cs="Arial"/>
          <w:lang w:val="fr-FR"/>
        </w:rPr>
      </w:pPr>
    </w:p>
    <w:p w:rsidR="00677E0A" w:rsidRPr="009A6348" w:rsidRDefault="00481F95" w:rsidP="00481F95">
      <w:pPr>
        <w:rPr>
          <w:lang w:val="fr-FR"/>
        </w:rPr>
      </w:pPr>
      <w:r w:rsidRPr="009A6348">
        <w:rPr>
          <w:lang w:val="fr-FR"/>
        </w:rPr>
        <w:fldChar w:fldCharType="begin"/>
      </w:r>
      <w:r w:rsidRPr="009A6348">
        <w:rPr>
          <w:lang w:val="fr-FR"/>
        </w:rPr>
        <w:instrText xml:space="preserve"> AUTONUM  </w:instrText>
      </w:r>
      <w:r w:rsidRPr="009A6348">
        <w:rPr>
          <w:lang w:val="fr-FR"/>
        </w:rPr>
        <w:fldChar w:fldCharType="end"/>
      </w:r>
      <w:r w:rsidRPr="009A6348">
        <w:rPr>
          <w:lang w:val="fr-FR"/>
        </w:rPr>
        <w:tab/>
      </w:r>
      <w:r w:rsidR="00A128FD" w:rsidRPr="009A6348">
        <w:rPr>
          <w:lang w:val="fr-FR"/>
        </w:rPr>
        <w:t>À sa quatre</w:t>
      </w:r>
      <w:r w:rsidR="00BA2AFF" w:rsidRPr="009A6348">
        <w:rPr>
          <w:lang w:val="fr-FR"/>
        </w:rPr>
        <w:noBreakHyphen/>
      </w:r>
      <w:r w:rsidR="00A128FD" w:rsidRPr="009A6348">
        <w:rPr>
          <w:lang w:val="fr-FR"/>
        </w:rPr>
        <w:t>vingt</w:t>
      </w:r>
      <w:r w:rsidR="00BA2AFF" w:rsidRPr="009A6348">
        <w:rPr>
          <w:lang w:val="fr-FR"/>
        </w:rPr>
        <w:noBreakHyphen/>
      </w:r>
      <w:r w:rsidR="00A128FD" w:rsidRPr="009A6348">
        <w:rPr>
          <w:lang w:val="fr-FR"/>
        </w:rPr>
        <w:t>dixième</w:t>
      </w:r>
      <w:r w:rsidR="003E77D0" w:rsidRPr="009A6348">
        <w:rPr>
          <w:lang w:val="fr-FR"/>
        </w:rPr>
        <w:t> </w:t>
      </w:r>
      <w:r w:rsidR="00A128FD" w:rsidRPr="009A6348">
        <w:rPr>
          <w:lang w:val="fr-FR"/>
        </w:rPr>
        <w:t xml:space="preserve">session, le Comité consultatif a approuvé les nouveaux éléments concernant le Projet mondial sur les semences </w:t>
      </w:r>
      <w:r w:rsidRPr="009A6348">
        <w:rPr>
          <w:lang w:val="fr-FR"/>
        </w:rPr>
        <w:t xml:space="preserve">(WSP) </w:t>
      </w:r>
      <w:r w:rsidR="00A128FD" w:rsidRPr="009A6348">
        <w:rPr>
          <w:lang w:val="fr-FR"/>
        </w:rPr>
        <w:t>visant à</w:t>
      </w:r>
      <w:r w:rsidR="007046A2" w:rsidRPr="009A6348">
        <w:rPr>
          <w:lang w:val="fr-FR"/>
        </w:rPr>
        <w:t> </w:t>
      </w:r>
      <w:r w:rsidRPr="009A6348">
        <w:rPr>
          <w:lang w:val="fr-FR"/>
        </w:rPr>
        <w:t>:</w:t>
      </w:r>
    </w:p>
    <w:p w:rsidR="00677E0A" w:rsidRPr="009A6348" w:rsidRDefault="00677E0A" w:rsidP="00481F95">
      <w:pPr>
        <w:rPr>
          <w:lang w:val="fr-FR"/>
        </w:rPr>
      </w:pPr>
    </w:p>
    <w:p w:rsidR="009673A3" w:rsidRPr="009A6348" w:rsidRDefault="00EE0405" w:rsidP="00E63264">
      <w:pPr>
        <w:ind w:firstLine="567"/>
        <w:rPr>
          <w:lang w:val="fr-FR"/>
        </w:rPr>
      </w:pPr>
      <w:r w:rsidRPr="009A6348">
        <w:rPr>
          <w:lang w:val="fr-FR"/>
        </w:rPr>
        <w:t>a)</w:t>
      </w:r>
      <w:r w:rsidRPr="009A6348">
        <w:rPr>
          <w:lang w:val="fr-FR"/>
        </w:rPr>
        <w:tab/>
      </w:r>
      <w:r w:rsidR="00E63264" w:rsidRPr="009A6348">
        <w:rPr>
          <w:lang w:val="fr-FR"/>
        </w:rPr>
        <w:t>affirmer que son objectif particulier consistait dans l</w:t>
      </w:r>
      <w:r w:rsidR="00003939" w:rsidRPr="009A6348">
        <w:rPr>
          <w:lang w:val="fr-FR"/>
        </w:rPr>
        <w:t>’</w:t>
      </w:r>
      <w:r w:rsidR="00E63264" w:rsidRPr="009A6348">
        <w:rPr>
          <w:lang w:val="fr-FR"/>
        </w:rPr>
        <w:t>élaboration d</w:t>
      </w:r>
      <w:r w:rsidR="00003939" w:rsidRPr="009A6348">
        <w:rPr>
          <w:lang w:val="fr-FR"/>
        </w:rPr>
        <w:t>’</w:t>
      </w:r>
      <w:r w:rsidR="00E63264" w:rsidRPr="009A6348">
        <w:rPr>
          <w:lang w:val="fr-FR"/>
        </w:rPr>
        <w:t>un cadre réglementaire efficace pour le secteur semencier;</w:t>
      </w:r>
    </w:p>
    <w:p w:rsidR="00677E0A" w:rsidRPr="009A6348" w:rsidRDefault="00677E0A" w:rsidP="00481F95">
      <w:pPr>
        <w:ind w:firstLine="567"/>
        <w:rPr>
          <w:lang w:val="fr-FR"/>
        </w:rPr>
      </w:pPr>
    </w:p>
    <w:p w:rsidR="00677E0A" w:rsidRPr="009A6348" w:rsidRDefault="00EE0405" w:rsidP="00E63264">
      <w:pPr>
        <w:ind w:firstLine="567"/>
        <w:rPr>
          <w:lang w:val="fr-FR"/>
        </w:rPr>
      </w:pPr>
      <w:r w:rsidRPr="009A6348">
        <w:rPr>
          <w:lang w:val="fr-FR"/>
        </w:rPr>
        <w:t>b)</w:t>
      </w:r>
      <w:r w:rsidRPr="009A6348">
        <w:rPr>
          <w:lang w:val="fr-FR"/>
        </w:rPr>
        <w:tab/>
      </w:r>
      <w:r w:rsidR="00E63264" w:rsidRPr="009A6348">
        <w:rPr>
          <w:lang w:val="fr-FR"/>
        </w:rPr>
        <w:t>fournir une source d</w:t>
      </w:r>
      <w:r w:rsidR="00003939" w:rsidRPr="009A6348">
        <w:rPr>
          <w:lang w:val="fr-FR"/>
        </w:rPr>
        <w:t>’</w:t>
      </w:r>
      <w:r w:rsidR="00E63264" w:rsidRPr="009A6348">
        <w:rPr>
          <w:lang w:val="fr-FR"/>
        </w:rPr>
        <w:t>information cohérente (“guichet unique”) sur les différents systèmes, à laquelle les organismes participant au développement du secteur semencier pourraient se référer;</w:t>
      </w:r>
    </w:p>
    <w:p w:rsidR="00677E0A" w:rsidRPr="009A6348" w:rsidRDefault="00677E0A" w:rsidP="00481F95">
      <w:pPr>
        <w:ind w:firstLine="567"/>
        <w:rPr>
          <w:lang w:val="fr-FR"/>
        </w:rPr>
      </w:pPr>
    </w:p>
    <w:p w:rsidR="00677E0A" w:rsidRPr="009A6348" w:rsidRDefault="00EE0405" w:rsidP="00E63264">
      <w:pPr>
        <w:ind w:firstLine="567"/>
        <w:rPr>
          <w:lang w:val="fr-FR"/>
        </w:rPr>
      </w:pPr>
      <w:r w:rsidRPr="009A6348">
        <w:rPr>
          <w:lang w:val="fr-FR"/>
        </w:rPr>
        <w:t>c)</w:t>
      </w:r>
      <w:r w:rsidRPr="009A6348">
        <w:rPr>
          <w:lang w:val="fr-FR"/>
        </w:rPr>
        <w:tab/>
      </w:r>
      <w:r w:rsidR="00E63264" w:rsidRPr="009A6348">
        <w:rPr>
          <w:lang w:val="fr-FR"/>
        </w:rPr>
        <w:t>créer un site</w:t>
      </w:r>
      <w:r w:rsidR="007046A2" w:rsidRPr="009A6348">
        <w:rPr>
          <w:lang w:val="fr-FR"/>
        </w:rPr>
        <w:t> </w:t>
      </w:r>
      <w:r w:rsidR="00E63264" w:rsidRPr="009A6348">
        <w:rPr>
          <w:lang w:val="fr-FR"/>
        </w:rPr>
        <w:t>Web où seraient données des informations essentielles sur chaque organisation et sur les activités proposées individuellement ou collectivement (par exemple des cours de formation, des séminaires, des ateliers, etc.);</w:t>
      </w:r>
    </w:p>
    <w:p w:rsidR="00677E0A" w:rsidRPr="009A6348" w:rsidRDefault="00677E0A" w:rsidP="00481F95">
      <w:pPr>
        <w:ind w:firstLine="567"/>
        <w:rPr>
          <w:lang w:val="fr-FR"/>
        </w:rPr>
      </w:pPr>
    </w:p>
    <w:p w:rsidR="009673A3" w:rsidRPr="009A6348" w:rsidRDefault="00481F95" w:rsidP="00481F95">
      <w:pPr>
        <w:ind w:firstLine="567"/>
        <w:rPr>
          <w:lang w:val="fr-FR"/>
        </w:rPr>
      </w:pPr>
      <w:r w:rsidRPr="009A6348">
        <w:rPr>
          <w:lang w:val="fr-FR"/>
        </w:rPr>
        <w:t>d)</w:t>
      </w:r>
      <w:r w:rsidRPr="009A6348">
        <w:rPr>
          <w:lang w:val="fr-FR"/>
        </w:rPr>
        <w:tab/>
      </w:r>
      <w:r w:rsidR="00EE0405" w:rsidRPr="009A6348">
        <w:rPr>
          <w:lang w:val="fr-FR"/>
        </w:rPr>
        <w:t>rédiger un énoncé de mission</w:t>
      </w:r>
      <w:r w:rsidRPr="009A6348">
        <w:rPr>
          <w:lang w:val="fr-FR"/>
        </w:rPr>
        <w:t>;</w:t>
      </w:r>
    </w:p>
    <w:p w:rsidR="00677E0A" w:rsidRPr="009A6348" w:rsidRDefault="00677E0A" w:rsidP="00481F95">
      <w:pPr>
        <w:ind w:firstLine="567"/>
        <w:rPr>
          <w:lang w:val="fr-FR"/>
        </w:rPr>
      </w:pPr>
    </w:p>
    <w:p w:rsidR="009673A3" w:rsidRPr="009A6348" w:rsidRDefault="00EE0405" w:rsidP="00E63264">
      <w:pPr>
        <w:ind w:firstLine="567"/>
        <w:rPr>
          <w:lang w:val="fr-FR"/>
        </w:rPr>
      </w:pPr>
      <w:r w:rsidRPr="009A6348">
        <w:rPr>
          <w:lang w:val="fr-FR"/>
        </w:rPr>
        <w:t>e)</w:t>
      </w:r>
      <w:r w:rsidRPr="009A6348">
        <w:rPr>
          <w:lang w:val="fr-FR"/>
        </w:rPr>
        <w:tab/>
      </w:r>
      <w:r w:rsidR="00E63264" w:rsidRPr="009A6348">
        <w:rPr>
          <w:lang w:val="fr-FR"/>
        </w:rPr>
        <w:t>mettre au point un ensemble d</w:t>
      </w:r>
      <w:r w:rsidR="00003939" w:rsidRPr="009A6348">
        <w:rPr>
          <w:lang w:val="fr-FR"/>
        </w:rPr>
        <w:t>’</w:t>
      </w:r>
      <w:r w:rsidR="00E63264" w:rsidRPr="009A6348">
        <w:rPr>
          <w:lang w:val="fr-FR"/>
        </w:rPr>
        <w:t>ateliers pour présenter les différents systèmes;</w:t>
      </w:r>
    </w:p>
    <w:p w:rsidR="00677E0A" w:rsidRPr="009A6348" w:rsidRDefault="00677E0A" w:rsidP="00481F95">
      <w:pPr>
        <w:ind w:firstLine="567"/>
        <w:rPr>
          <w:lang w:val="fr-FR"/>
        </w:rPr>
      </w:pPr>
    </w:p>
    <w:p w:rsidR="00677E0A" w:rsidRPr="009A6348" w:rsidRDefault="00EE0405" w:rsidP="00E63264">
      <w:pPr>
        <w:ind w:firstLine="567"/>
        <w:rPr>
          <w:lang w:val="fr-FR"/>
        </w:rPr>
      </w:pPr>
      <w:r w:rsidRPr="009A6348">
        <w:rPr>
          <w:lang w:val="fr-FR"/>
        </w:rPr>
        <w:t>f)</w:t>
      </w:r>
      <w:r w:rsidRPr="009A6348">
        <w:rPr>
          <w:lang w:val="fr-FR"/>
        </w:rPr>
        <w:tab/>
      </w:r>
      <w:r w:rsidR="00E63264" w:rsidRPr="009A6348">
        <w:rPr>
          <w:lang w:val="fr-FR"/>
        </w:rPr>
        <w:t>encourager les organisations participant au projet à mieux faire connaître à leurs membres le rôle des autres organisations dans la mise en place d</w:t>
      </w:r>
      <w:r w:rsidR="00003939" w:rsidRPr="009A6348">
        <w:rPr>
          <w:lang w:val="fr-FR"/>
        </w:rPr>
        <w:t>’</w:t>
      </w:r>
      <w:r w:rsidR="00E63264" w:rsidRPr="009A6348">
        <w:rPr>
          <w:lang w:val="fr-FR"/>
        </w:rPr>
        <w:t xml:space="preserve">un cadre réglementaire efficace dans le secteur semencier; </w:t>
      </w:r>
      <w:r w:rsidR="007046A2" w:rsidRPr="009A6348">
        <w:rPr>
          <w:lang w:val="fr-FR"/>
        </w:rPr>
        <w:t xml:space="preserve"> </w:t>
      </w:r>
      <w:r w:rsidR="00E63264" w:rsidRPr="009A6348">
        <w:rPr>
          <w:lang w:val="fr-FR"/>
        </w:rPr>
        <w:t>et</w:t>
      </w:r>
    </w:p>
    <w:p w:rsidR="00677E0A" w:rsidRPr="009A6348" w:rsidRDefault="00677E0A" w:rsidP="00481F95">
      <w:pPr>
        <w:ind w:firstLine="567"/>
        <w:rPr>
          <w:lang w:val="fr-FR"/>
        </w:rPr>
      </w:pPr>
    </w:p>
    <w:p w:rsidR="00677E0A" w:rsidRPr="009A6348" w:rsidRDefault="00EE0405" w:rsidP="00E63264">
      <w:pPr>
        <w:ind w:firstLine="567"/>
        <w:rPr>
          <w:lang w:val="fr-FR"/>
        </w:rPr>
      </w:pPr>
      <w:r w:rsidRPr="009A6348">
        <w:rPr>
          <w:lang w:val="fr-FR"/>
        </w:rPr>
        <w:t>g)</w:t>
      </w:r>
      <w:r w:rsidRPr="009A6348">
        <w:rPr>
          <w:lang w:val="fr-FR"/>
        </w:rPr>
        <w:tab/>
      </w:r>
      <w:r w:rsidR="00E63264" w:rsidRPr="009A6348">
        <w:rPr>
          <w:lang w:val="fr-FR"/>
        </w:rPr>
        <w:t>rebaptiser le “Projet mondial sur les semences” de manière à supprimer la référence au terme “projet”.</w:t>
      </w:r>
    </w:p>
    <w:p w:rsidR="00677E0A" w:rsidRPr="009A6348" w:rsidRDefault="00677E0A" w:rsidP="00B02D38">
      <w:pPr>
        <w:rPr>
          <w:rFonts w:cs="Arial"/>
          <w:lang w:val="fr-FR"/>
        </w:rPr>
      </w:pPr>
    </w:p>
    <w:p w:rsidR="00677E0A" w:rsidRPr="009A6348" w:rsidRDefault="00B02D38" w:rsidP="00E63264">
      <w:pPr>
        <w:pStyle w:val="DecisionParagraphs"/>
        <w:rPr>
          <w:rFonts w:cs="Arial"/>
          <w:snapToGrid w:val="0"/>
          <w:lang w:val="fr-FR"/>
        </w:rPr>
      </w:pPr>
      <w:r w:rsidRPr="009A6348">
        <w:rPr>
          <w:rFonts w:cs="Arial"/>
          <w:snapToGrid w:val="0"/>
          <w:lang w:val="fr-FR"/>
        </w:rPr>
        <w:fldChar w:fldCharType="begin"/>
      </w:r>
      <w:r w:rsidRPr="009A6348">
        <w:rPr>
          <w:rFonts w:cs="Arial"/>
          <w:snapToGrid w:val="0"/>
          <w:lang w:val="fr-FR"/>
        </w:rPr>
        <w:instrText xml:space="preserve"> AUTONUM  </w:instrText>
      </w:r>
      <w:r w:rsidRPr="009A6348">
        <w:rPr>
          <w:rFonts w:cs="Arial"/>
          <w:snapToGrid w:val="0"/>
          <w:lang w:val="fr-FR"/>
        </w:rPr>
        <w:fldChar w:fldCharType="end"/>
      </w:r>
      <w:r w:rsidRPr="009A6348">
        <w:rPr>
          <w:rFonts w:cs="Arial"/>
          <w:snapToGrid w:val="0"/>
          <w:lang w:val="fr-FR"/>
        </w:rPr>
        <w:tab/>
      </w:r>
      <w:r w:rsidR="00E63264" w:rsidRPr="009A6348">
        <w:rPr>
          <w:rFonts w:cs="Arial"/>
          <w:snapToGrid w:val="0"/>
          <w:lang w:val="fr-FR"/>
        </w:rPr>
        <w:t>Le</w:t>
      </w:r>
      <w:r w:rsidR="00003939" w:rsidRPr="009A6348">
        <w:rPr>
          <w:rFonts w:cs="Arial"/>
          <w:snapToGrid w:val="0"/>
          <w:lang w:val="fr-FR"/>
        </w:rPr>
        <w:t> TC</w:t>
      </w:r>
      <w:r w:rsidR="00E63264" w:rsidRPr="009A6348">
        <w:rPr>
          <w:rFonts w:cs="Arial"/>
          <w:snapToGrid w:val="0"/>
          <w:lang w:val="fr-FR"/>
        </w:rPr>
        <w:t xml:space="preserve"> est invité à prendre note des faits nouveaux intervenus au sein de l</w:t>
      </w:r>
      <w:r w:rsidR="00003939" w:rsidRPr="009A6348">
        <w:rPr>
          <w:rFonts w:cs="Arial"/>
          <w:snapToGrid w:val="0"/>
          <w:lang w:val="fr-FR"/>
        </w:rPr>
        <w:t>’</w:t>
      </w:r>
      <w:r w:rsidR="00E63264" w:rsidRPr="009A6348">
        <w:rPr>
          <w:rFonts w:cs="Arial"/>
          <w:snapToGrid w:val="0"/>
          <w:lang w:val="fr-FR"/>
        </w:rPr>
        <w:t>UPOV et des questions examinées lors des dernières sessions du Comité administratif et juridique, du Comité consultatif et du Conseil, dont il est fait rapport aux paragraphes</w:t>
      </w:r>
      <w:r w:rsidR="007046A2" w:rsidRPr="009A6348">
        <w:rPr>
          <w:rFonts w:cs="Arial"/>
          <w:snapToGrid w:val="0"/>
          <w:lang w:val="fr-FR"/>
        </w:rPr>
        <w:t> </w:t>
      </w:r>
      <w:r w:rsidR="00E63264" w:rsidRPr="009A6348">
        <w:rPr>
          <w:rFonts w:cs="Arial"/>
          <w:snapToGrid w:val="0"/>
          <w:lang w:val="fr-FR"/>
        </w:rPr>
        <w:t>3 à 41 du présent document.</w:t>
      </w:r>
    </w:p>
    <w:p w:rsidR="00677E0A" w:rsidRPr="009A6348" w:rsidRDefault="00677E0A" w:rsidP="00B02D38">
      <w:pPr>
        <w:rPr>
          <w:rFonts w:cs="Arial"/>
          <w:lang w:val="fr-FR"/>
        </w:rPr>
      </w:pPr>
    </w:p>
    <w:p w:rsidR="00677E0A" w:rsidRPr="009A6348" w:rsidRDefault="00677E0A" w:rsidP="00B02D38">
      <w:pPr>
        <w:rPr>
          <w:rFonts w:cs="Arial"/>
          <w:lang w:val="fr-FR"/>
        </w:rPr>
      </w:pPr>
    </w:p>
    <w:p w:rsidR="00677E0A" w:rsidRPr="009A6348" w:rsidRDefault="00677E0A" w:rsidP="00B02D38">
      <w:pPr>
        <w:rPr>
          <w:rFonts w:cs="Arial"/>
          <w:lang w:val="fr-FR"/>
        </w:rPr>
      </w:pPr>
    </w:p>
    <w:p w:rsidR="00677E0A" w:rsidRPr="009A6348" w:rsidRDefault="00050E16" w:rsidP="00050E16">
      <w:pPr>
        <w:jc w:val="right"/>
        <w:rPr>
          <w:rFonts w:cs="Arial"/>
          <w:lang w:val="fr-FR"/>
        </w:rPr>
      </w:pPr>
      <w:r w:rsidRPr="009A6348">
        <w:rPr>
          <w:rFonts w:cs="Arial"/>
          <w:lang w:val="fr-FR"/>
        </w:rPr>
        <w:t>[</w:t>
      </w:r>
      <w:r w:rsidR="00E63264" w:rsidRPr="009A6348">
        <w:rPr>
          <w:rFonts w:cs="Arial"/>
          <w:lang w:val="fr-FR"/>
        </w:rPr>
        <w:t>Fin du</w:t>
      </w:r>
      <w:r w:rsidRPr="009A6348">
        <w:rPr>
          <w:rFonts w:cs="Arial"/>
          <w:lang w:val="fr-FR"/>
        </w:rPr>
        <w:t xml:space="preserve"> document]</w:t>
      </w:r>
    </w:p>
    <w:p w:rsidR="00677E0A" w:rsidRPr="009A6348" w:rsidRDefault="00677E0A" w:rsidP="009B440E">
      <w:pPr>
        <w:jc w:val="left"/>
        <w:rPr>
          <w:rFonts w:cs="Arial"/>
          <w:lang w:val="fr-FR"/>
        </w:rPr>
      </w:pPr>
    </w:p>
    <w:p w:rsidR="00050E16" w:rsidRPr="009A6348" w:rsidRDefault="00050E16" w:rsidP="009B440E">
      <w:pPr>
        <w:jc w:val="left"/>
        <w:rPr>
          <w:rFonts w:cs="Arial"/>
          <w:lang w:val="fr-FR"/>
        </w:rPr>
      </w:pPr>
    </w:p>
    <w:sectPr w:rsidR="00050E16" w:rsidRPr="009A6348" w:rsidSect="009E606C">
      <w:headerReference w:type="default" r:id="rId12"/>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348" w:rsidRDefault="009A6348" w:rsidP="006655D3">
      <w:r>
        <w:separator/>
      </w:r>
    </w:p>
    <w:p w:rsidR="009A6348" w:rsidRDefault="009A6348" w:rsidP="006655D3"/>
    <w:p w:rsidR="009A6348" w:rsidRDefault="009A6348" w:rsidP="006655D3"/>
  </w:endnote>
  <w:endnote w:type="continuationSeparator" w:id="0">
    <w:p w:rsidR="009A6348" w:rsidRDefault="009A6348" w:rsidP="006655D3">
      <w:r>
        <w:separator/>
      </w:r>
    </w:p>
    <w:p w:rsidR="009A6348" w:rsidRPr="005411D3" w:rsidRDefault="009A6348">
      <w:pPr>
        <w:pStyle w:val="Footer"/>
        <w:spacing w:after="60"/>
        <w:rPr>
          <w:sz w:val="18"/>
          <w:lang w:val="fr-FR"/>
        </w:rPr>
      </w:pPr>
      <w:r w:rsidRPr="005411D3">
        <w:rPr>
          <w:sz w:val="18"/>
          <w:lang w:val="fr-FR"/>
        </w:rPr>
        <w:t>[Suite de la note de la page précédente]</w:t>
      </w:r>
    </w:p>
    <w:p w:rsidR="009A6348" w:rsidRPr="005411D3" w:rsidRDefault="009A6348" w:rsidP="006655D3">
      <w:pPr>
        <w:rPr>
          <w:lang w:val="fr-FR"/>
        </w:rPr>
      </w:pPr>
    </w:p>
    <w:p w:rsidR="009A6348" w:rsidRPr="005411D3" w:rsidRDefault="009A6348" w:rsidP="006655D3">
      <w:pPr>
        <w:rPr>
          <w:lang w:val="fr-FR"/>
        </w:rPr>
      </w:pPr>
    </w:p>
  </w:endnote>
  <w:endnote w:type="continuationNotice" w:id="1">
    <w:p w:rsidR="009A6348" w:rsidRPr="005411D3" w:rsidRDefault="009A6348" w:rsidP="006655D3">
      <w:pPr>
        <w:rPr>
          <w:lang w:val="fr-FR"/>
        </w:rPr>
      </w:pPr>
      <w:r w:rsidRPr="005411D3">
        <w:rPr>
          <w:lang w:val="fr-FR"/>
        </w:rPr>
        <w:t>[Suite de la note page suivante]</w:t>
      </w:r>
    </w:p>
    <w:p w:rsidR="009A6348" w:rsidRPr="005411D3" w:rsidRDefault="009A6348" w:rsidP="006655D3">
      <w:pPr>
        <w:rPr>
          <w:lang w:val="fr-FR"/>
        </w:rPr>
      </w:pPr>
    </w:p>
    <w:p w:rsidR="009A6348" w:rsidRPr="005411D3" w:rsidRDefault="009A63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348" w:rsidRDefault="009A6348" w:rsidP="006655D3">
      <w:r>
        <w:separator/>
      </w:r>
    </w:p>
  </w:footnote>
  <w:footnote w:type="continuationSeparator" w:id="0">
    <w:p w:rsidR="009A6348" w:rsidRDefault="009A6348" w:rsidP="006655D3">
      <w:r>
        <w:separator/>
      </w:r>
    </w:p>
  </w:footnote>
  <w:footnote w:type="continuationNotice" w:id="1">
    <w:p w:rsidR="009A6348" w:rsidRPr="00AB530F" w:rsidRDefault="009A634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48" w:rsidRPr="00C5280D" w:rsidRDefault="009A6348" w:rsidP="00EB048E">
    <w:pPr>
      <w:pStyle w:val="Header"/>
      <w:rPr>
        <w:rStyle w:val="PageNumber"/>
        <w:lang w:val="en-US"/>
      </w:rPr>
    </w:pPr>
    <w:r>
      <w:rPr>
        <w:rStyle w:val="PageNumber"/>
        <w:lang w:val="en-US"/>
      </w:rPr>
      <w:t>TC/52/10</w:t>
    </w:r>
  </w:p>
  <w:p w:rsidR="009A6348" w:rsidRPr="00C5280D" w:rsidRDefault="009A634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2570">
      <w:rPr>
        <w:rStyle w:val="PageNumber"/>
        <w:noProof/>
        <w:lang w:val="en-US"/>
      </w:rPr>
      <w:t>2</w:t>
    </w:r>
    <w:r w:rsidRPr="00C5280D">
      <w:rPr>
        <w:rStyle w:val="PageNumber"/>
        <w:lang w:val="en-US"/>
      </w:rPr>
      <w:fldChar w:fldCharType="end"/>
    </w:r>
  </w:p>
  <w:p w:rsidR="009A6348" w:rsidRPr="00C5280D" w:rsidRDefault="009A6348"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B45EB9"/>
    <w:multiLevelType w:val="hybridMultilevel"/>
    <w:tmpl w:val="56F0B7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170E0"/>
    <w:multiLevelType w:val="hybridMultilevel"/>
    <w:tmpl w:val="DEB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13"/>
  </w:num>
  <w:num w:numId="3">
    <w:abstractNumId w:val="11"/>
  </w:num>
  <w:num w:numId="4">
    <w:abstractNumId w:val="3"/>
  </w:num>
  <w:num w:numId="5">
    <w:abstractNumId w:val="12"/>
  </w:num>
  <w:num w:numId="6">
    <w:abstractNumId w:val="0"/>
  </w:num>
  <w:num w:numId="7">
    <w:abstractNumId w:val="6"/>
  </w:num>
  <w:num w:numId="8">
    <w:abstractNumId w:val="16"/>
  </w:num>
  <w:num w:numId="9">
    <w:abstractNumId w:val="1"/>
  </w:num>
  <w:num w:numId="10">
    <w:abstractNumId w:val="10"/>
  </w:num>
  <w:num w:numId="11">
    <w:abstractNumId w:val="14"/>
  </w:num>
  <w:num w:numId="12">
    <w:abstractNumId w:val="9"/>
  </w:num>
  <w:num w:numId="13">
    <w:abstractNumId w:val="7"/>
  </w:num>
  <w:num w:numId="14">
    <w:abstractNumId w:val="5"/>
  </w:num>
  <w:num w:numId="15">
    <w:abstractNumId w:val="4"/>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IP in General\Meetings|TextBase TMs\WorkspaceFTS\EN-FR\SCT|TextBase TMs\Treaties\WIPO-administered|TextBase TMs\WorkspaceFTS\EN-FR\UPOV|TextBase TMs\Treaties\Model Laws|TextBase TMs\Patents\Meetings|TextBase TMs\Trademarks\Meetings|TextBase TMs\Budget and Finance\Meetings|TextBase TMs\WorkspaceFTS\EN-FR\Hague|TextBase TMs\UPOV\Meetings|TextBase TMs\UPOV\Other|TextBase TMs\UPOV\Publications|TextBase TMs\UPOV\Technical Guidelines"/>
    <w:docVar w:name="TextBaseURL" w:val="empty"/>
    <w:docVar w:name="UILng" w:val="en"/>
  </w:docVars>
  <w:rsids>
    <w:rsidRoot w:val="00575EB2"/>
    <w:rsid w:val="00003939"/>
    <w:rsid w:val="00004A4A"/>
    <w:rsid w:val="00010CF3"/>
    <w:rsid w:val="00011E27"/>
    <w:rsid w:val="000148BC"/>
    <w:rsid w:val="00014AE7"/>
    <w:rsid w:val="00024AB8"/>
    <w:rsid w:val="00030854"/>
    <w:rsid w:val="00036028"/>
    <w:rsid w:val="0004386B"/>
    <w:rsid w:val="00044642"/>
    <w:rsid w:val="000446B9"/>
    <w:rsid w:val="00047E21"/>
    <w:rsid w:val="00050E16"/>
    <w:rsid w:val="00085505"/>
    <w:rsid w:val="00097D76"/>
    <w:rsid w:val="000C368E"/>
    <w:rsid w:val="000C4532"/>
    <w:rsid w:val="000C53B5"/>
    <w:rsid w:val="000C7021"/>
    <w:rsid w:val="000D6BBC"/>
    <w:rsid w:val="000D7780"/>
    <w:rsid w:val="000E49BA"/>
    <w:rsid w:val="000F2F11"/>
    <w:rsid w:val="00101300"/>
    <w:rsid w:val="00105929"/>
    <w:rsid w:val="0010682C"/>
    <w:rsid w:val="00110C36"/>
    <w:rsid w:val="001131D5"/>
    <w:rsid w:val="00124832"/>
    <w:rsid w:val="00132B28"/>
    <w:rsid w:val="00141DB8"/>
    <w:rsid w:val="00142302"/>
    <w:rsid w:val="00161CAB"/>
    <w:rsid w:val="00164441"/>
    <w:rsid w:val="00166062"/>
    <w:rsid w:val="00172C5F"/>
    <w:rsid w:val="0017474A"/>
    <w:rsid w:val="001758C6"/>
    <w:rsid w:val="00182125"/>
    <w:rsid w:val="00182B99"/>
    <w:rsid w:val="001D3859"/>
    <w:rsid w:val="001D6B9F"/>
    <w:rsid w:val="001D743D"/>
    <w:rsid w:val="001F1F47"/>
    <w:rsid w:val="00206067"/>
    <w:rsid w:val="0021332C"/>
    <w:rsid w:val="00213982"/>
    <w:rsid w:val="00234034"/>
    <w:rsid w:val="002440AE"/>
    <w:rsid w:val="0024416D"/>
    <w:rsid w:val="002667F6"/>
    <w:rsid w:val="00271911"/>
    <w:rsid w:val="002800A0"/>
    <w:rsid w:val="002801B3"/>
    <w:rsid w:val="00281060"/>
    <w:rsid w:val="002940E8"/>
    <w:rsid w:val="0029792C"/>
    <w:rsid w:val="002A6E50"/>
    <w:rsid w:val="002A71B1"/>
    <w:rsid w:val="002B3501"/>
    <w:rsid w:val="002C256A"/>
    <w:rsid w:val="002D5B15"/>
    <w:rsid w:val="002F3709"/>
    <w:rsid w:val="00305A7F"/>
    <w:rsid w:val="00305D32"/>
    <w:rsid w:val="003152FE"/>
    <w:rsid w:val="00327436"/>
    <w:rsid w:val="00333690"/>
    <w:rsid w:val="00344BD6"/>
    <w:rsid w:val="0035528D"/>
    <w:rsid w:val="00361821"/>
    <w:rsid w:val="0037646D"/>
    <w:rsid w:val="00380E04"/>
    <w:rsid w:val="003B0B7B"/>
    <w:rsid w:val="003B5E4E"/>
    <w:rsid w:val="003C2317"/>
    <w:rsid w:val="003D0676"/>
    <w:rsid w:val="003D227C"/>
    <w:rsid w:val="003D2557"/>
    <w:rsid w:val="003D2B4D"/>
    <w:rsid w:val="003E77D0"/>
    <w:rsid w:val="0044009E"/>
    <w:rsid w:val="00444A88"/>
    <w:rsid w:val="00464127"/>
    <w:rsid w:val="004644CD"/>
    <w:rsid w:val="00474DA4"/>
    <w:rsid w:val="00476B4D"/>
    <w:rsid w:val="004771D3"/>
    <w:rsid w:val="004805FA"/>
    <w:rsid w:val="00481F95"/>
    <w:rsid w:val="004935D2"/>
    <w:rsid w:val="004A0210"/>
    <w:rsid w:val="004A701D"/>
    <w:rsid w:val="004B1215"/>
    <w:rsid w:val="004D047D"/>
    <w:rsid w:val="004E4914"/>
    <w:rsid w:val="004F305A"/>
    <w:rsid w:val="004F6997"/>
    <w:rsid w:val="00510FD3"/>
    <w:rsid w:val="00512164"/>
    <w:rsid w:val="00520297"/>
    <w:rsid w:val="005338F9"/>
    <w:rsid w:val="00534F20"/>
    <w:rsid w:val="005366CA"/>
    <w:rsid w:val="0054117A"/>
    <w:rsid w:val="005411D3"/>
    <w:rsid w:val="0054281C"/>
    <w:rsid w:val="00544581"/>
    <w:rsid w:val="0055268D"/>
    <w:rsid w:val="00575EB2"/>
    <w:rsid w:val="00576BE4"/>
    <w:rsid w:val="00582807"/>
    <w:rsid w:val="0059753C"/>
    <w:rsid w:val="005A064E"/>
    <w:rsid w:val="005A400A"/>
    <w:rsid w:val="005C59AF"/>
    <w:rsid w:val="005E71A0"/>
    <w:rsid w:val="005F76DA"/>
    <w:rsid w:val="005F7DA1"/>
    <w:rsid w:val="00606D9F"/>
    <w:rsid w:val="00612379"/>
    <w:rsid w:val="0061555F"/>
    <w:rsid w:val="00620C36"/>
    <w:rsid w:val="00622165"/>
    <w:rsid w:val="0063052B"/>
    <w:rsid w:val="0063237C"/>
    <w:rsid w:val="00641200"/>
    <w:rsid w:val="00647E69"/>
    <w:rsid w:val="00664B6F"/>
    <w:rsid w:val="006655D3"/>
    <w:rsid w:val="00667404"/>
    <w:rsid w:val="00677E0A"/>
    <w:rsid w:val="00682280"/>
    <w:rsid w:val="00687EB4"/>
    <w:rsid w:val="006B1682"/>
    <w:rsid w:val="006B17D2"/>
    <w:rsid w:val="006C224E"/>
    <w:rsid w:val="006D780A"/>
    <w:rsid w:val="006E18BE"/>
    <w:rsid w:val="00703A82"/>
    <w:rsid w:val="007046A2"/>
    <w:rsid w:val="00717B4C"/>
    <w:rsid w:val="00723683"/>
    <w:rsid w:val="007323DC"/>
    <w:rsid w:val="00732DEC"/>
    <w:rsid w:val="00735BD5"/>
    <w:rsid w:val="00753C31"/>
    <w:rsid w:val="007556F6"/>
    <w:rsid w:val="00760EEF"/>
    <w:rsid w:val="00766DD9"/>
    <w:rsid w:val="00777EE5"/>
    <w:rsid w:val="00782276"/>
    <w:rsid w:val="00784836"/>
    <w:rsid w:val="0078780C"/>
    <w:rsid w:val="0079023E"/>
    <w:rsid w:val="00791117"/>
    <w:rsid w:val="007A2854"/>
    <w:rsid w:val="007A2B8D"/>
    <w:rsid w:val="007D0B9D"/>
    <w:rsid w:val="007D19B0"/>
    <w:rsid w:val="007F0F4C"/>
    <w:rsid w:val="007F498F"/>
    <w:rsid w:val="007F6BFC"/>
    <w:rsid w:val="0080679D"/>
    <w:rsid w:val="00807573"/>
    <w:rsid w:val="008108B0"/>
    <w:rsid w:val="00811B20"/>
    <w:rsid w:val="008157FE"/>
    <w:rsid w:val="0082296E"/>
    <w:rsid w:val="00824099"/>
    <w:rsid w:val="008240CE"/>
    <w:rsid w:val="0084644D"/>
    <w:rsid w:val="00846D7C"/>
    <w:rsid w:val="00857963"/>
    <w:rsid w:val="00864654"/>
    <w:rsid w:val="00867AC1"/>
    <w:rsid w:val="008A743F"/>
    <w:rsid w:val="008C0970"/>
    <w:rsid w:val="008C7DEC"/>
    <w:rsid w:val="008D0BC5"/>
    <w:rsid w:val="008D2CF7"/>
    <w:rsid w:val="008D6C06"/>
    <w:rsid w:val="00900C26"/>
    <w:rsid w:val="0090197F"/>
    <w:rsid w:val="00906DDC"/>
    <w:rsid w:val="00911D0B"/>
    <w:rsid w:val="00934E09"/>
    <w:rsid w:val="00936253"/>
    <w:rsid w:val="00943CF7"/>
    <w:rsid w:val="00950B80"/>
    <w:rsid w:val="00952DD4"/>
    <w:rsid w:val="009633D2"/>
    <w:rsid w:val="009673A3"/>
    <w:rsid w:val="00970FED"/>
    <w:rsid w:val="00992D82"/>
    <w:rsid w:val="00997029"/>
    <w:rsid w:val="009A36C1"/>
    <w:rsid w:val="009A6348"/>
    <w:rsid w:val="009B25DE"/>
    <w:rsid w:val="009B40EE"/>
    <w:rsid w:val="009B440E"/>
    <w:rsid w:val="009D28D6"/>
    <w:rsid w:val="009D2D58"/>
    <w:rsid w:val="009D37E6"/>
    <w:rsid w:val="009D65B3"/>
    <w:rsid w:val="009D690D"/>
    <w:rsid w:val="009E2E0B"/>
    <w:rsid w:val="009E606C"/>
    <w:rsid w:val="009E65B6"/>
    <w:rsid w:val="00A128FD"/>
    <w:rsid w:val="00A24C10"/>
    <w:rsid w:val="00A312B4"/>
    <w:rsid w:val="00A331A1"/>
    <w:rsid w:val="00A42AC3"/>
    <w:rsid w:val="00A430CF"/>
    <w:rsid w:val="00A44B9D"/>
    <w:rsid w:val="00A54309"/>
    <w:rsid w:val="00A82BBD"/>
    <w:rsid w:val="00AB2B93"/>
    <w:rsid w:val="00AB530F"/>
    <w:rsid w:val="00AB53AE"/>
    <w:rsid w:val="00AB7E5B"/>
    <w:rsid w:val="00AC27EA"/>
    <w:rsid w:val="00AE0EF1"/>
    <w:rsid w:val="00AE2937"/>
    <w:rsid w:val="00B02D38"/>
    <w:rsid w:val="00B07301"/>
    <w:rsid w:val="00B224DE"/>
    <w:rsid w:val="00B324D4"/>
    <w:rsid w:val="00B34845"/>
    <w:rsid w:val="00B35469"/>
    <w:rsid w:val="00B37083"/>
    <w:rsid w:val="00B46575"/>
    <w:rsid w:val="00B7487F"/>
    <w:rsid w:val="00B7706E"/>
    <w:rsid w:val="00B84BBD"/>
    <w:rsid w:val="00BA2696"/>
    <w:rsid w:val="00BA2AFF"/>
    <w:rsid w:val="00BA43FB"/>
    <w:rsid w:val="00BC0863"/>
    <w:rsid w:val="00BC127D"/>
    <w:rsid w:val="00BC1FE6"/>
    <w:rsid w:val="00BC6769"/>
    <w:rsid w:val="00BC7B3C"/>
    <w:rsid w:val="00BD3E4B"/>
    <w:rsid w:val="00BE5DC4"/>
    <w:rsid w:val="00C061B6"/>
    <w:rsid w:val="00C128B8"/>
    <w:rsid w:val="00C137CE"/>
    <w:rsid w:val="00C2446C"/>
    <w:rsid w:val="00C3013D"/>
    <w:rsid w:val="00C36AE5"/>
    <w:rsid w:val="00C41F17"/>
    <w:rsid w:val="00C43402"/>
    <w:rsid w:val="00C5280D"/>
    <w:rsid w:val="00C5791C"/>
    <w:rsid w:val="00C66290"/>
    <w:rsid w:val="00C72B7A"/>
    <w:rsid w:val="00C952CF"/>
    <w:rsid w:val="00C973F2"/>
    <w:rsid w:val="00CA2037"/>
    <w:rsid w:val="00CA304C"/>
    <w:rsid w:val="00CA3B17"/>
    <w:rsid w:val="00CA774A"/>
    <w:rsid w:val="00CA7C5C"/>
    <w:rsid w:val="00CC11B0"/>
    <w:rsid w:val="00CC738F"/>
    <w:rsid w:val="00CE253C"/>
    <w:rsid w:val="00CF7E36"/>
    <w:rsid w:val="00D14950"/>
    <w:rsid w:val="00D24989"/>
    <w:rsid w:val="00D30CCD"/>
    <w:rsid w:val="00D338BD"/>
    <w:rsid w:val="00D35138"/>
    <w:rsid w:val="00D3708D"/>
    <w:rsid w:val="00D40426"/>
    <w:rsid w:val="00D57C96"/>
    <w:rsid w:val="00D6019C"/>
    <w:rsid w:val="00D61A5D"/>
    <w:rsid w:val="00D72E95"/>
    <w:rsid w:val="00D821B9"/>
    <w:rsid w:val="00D91203"/>
    <w:rsid w:val="00D95174"/>
    <w:rsid w:val="00DA47BF"/>
    <w:rsid w:val="00DA6F36"/>
    <w:rsid w:val="00DB3029"/>
    <w:rsid w:val="00DB549D"/>
    <w:rsid w:val="00DB596E"/>
    <w:rsid w:val="00DB7773"/>
    <w:rsid w:val="00DC00EA"/>
    <w:rsid w:val="00DC1A45"/>
    <w:rsid w:val="00DD2570"/>
    <w:rsid w:val="00DD67FD"/>
    <w:rsid w:val="00E13AC1"/>
    <w:rsid w:val="00E32F7E"/>
    <w:rsid w:val="00E354D9"/>
    <w:rsid w:val="00E42331"/>
    <w:rsid w:val="00E54779"/>
    <w:rsid w:val="00E63264"/>
    <w:rsid w:val="00E65F16"/>
    <w:rsid w:val="00E72D49"/>
    <w:rsid w:val="00E7593C"/>
    <w:rsid w:val="00E7678A"/>
    <w:rsid w:val="00E935F1"/>
    <w:rsid w:val="00E94A81"/>
    <w:rsid w:val="00EA1FFB"/>
    <w:rsid w:val="00EA4629"/>
    <w:rsid w:val="00EB00F8"/>
    <w:rsid w:val="00EB048E"/>
    <w:rsid w:val="00ED48B7"/>
    <w:rsid w:val="00EE0405"/>
    <w:rsid w:val="00EE34DF"/>
    <w:rsid w:val="00EF2F89"/>
    <w:rsid w:val="00F1237A"/>
    <w:rsid w:val="00F22CBD"/>
    <w:rsid w:val="00F24870"/>
    <w:rsid w:val="00F26A4D"/>
    <w:rsid w:val="00F30A31"/>
    <w:rsid w:val="00F45372"/>
    <w:rsid w:val="00F560F7"/>
    <w:rsid w:val="00F6334D"/>
    <w:rsid w:val="00F67054"/>
    <w:rsid w:val="00F826A4"/>
    <w:rsid w:val="00F8498A"/>
    <w:rsid w:val="00FA49AB"/>
    <w:rsid w:val="00FC0DB2"/>
    <w:rsid w:val="00FD762D"/>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D2D58"/>
    <w:pPr>
      <w:keepNext/>
      <w:jc w:val="both"/>
      <w:outlineLvl w:val="0"/>
    </w:pPr>
    <w:rPr>
      <w:rFonts w:ascii="Arial" w:hAnsi="Arial"/>
      <w:caps/>
      <w:lang w:val="fr-FR"/>
    </w:rPr>
  </w:style>
  <w:style w:type="paragraph" w:styleId="Heading2">
    <w:name w:val="heading 2"/>
    <w:next w:val="Normal"/>
    <w:link w:val="Heading2Char"/>
    <w:autoRedefine/>
    <w:qFormat/>
    <w:rsid w:val="009E606C"/>
    <w:pPr>
      <w:keepNext/>
      <w:jc w:val="both"/>
      <w:outlineLvl w:val="1"/>
    </w:pPr>
    <w:rPr>
      <w:rFonts w:ascii="Arial" w:hAnsi="Arial" w:cs="Arial"/>
      <w:color w:val="008000"/>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B0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C59AF"/>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C59AF"/>
    <w:pPr>
      <w:tabs>
        <w:tab w:val="right" w:leader="dot" w:pos="9639"/>
      </w:tabs>
      <w:spacing w:after="120"/>
      <w:ind w:right="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B02D38"/>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B02D38"/>
    <w:rPr>
      <w:rFonts w:ascii="Arial" w:hAnsi="Arial"/>
      <w:sz w:val="16"/>
    </w:rPr>
  </w:style>
  <w:style w:type="paragraph" w:styleId="CommentText">
    <w:name w:val="annotation text"/>
    <w:basedOn w:val="Normal"/>
    <w:link w:val="CommentTextChar"/>
    <w:unhideWhenUsed/>
    <w:rsid w:val="00B02D38"/>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B02D38"/>
    <w:rPr>
      <w:sz w:val="22"/>
      <w:szCs w:val="22"/>
      <w:lang w:eastAsia="ja-JP"/>
    </w:rPr>
  </w:style>
  <w:style w:type="character" w:customStyle="1" w:styleId="DecisionParagraphsChar">
    <w:name w:val="DecisionParagraphs Char"/>
    <w:basedOn w:val="DefaultParagraphFont"/>
    <w:link w:val="DecisionParagraphs"/>
    <w:rsid w:val="00B02D38"/>
    <w:rPr>
      <w:rFonts w:ascii="Arial" w:hAnsi="Arial"/>
      <w:i/>
    </w:rPr>
  </w:style>
  <w:style w:type="paragraph" w:styleId="ListParagraph">
    <w:name w:val="List Paragraph"/>
    <w:basedOn w:val="Normal"/>
    <w:uiPriority w:val="34"/>
    <w:qFormat/>
    <w:rsid w:val="00B02D38"/>
    <w:pPr>
      <w:ind w:left="720"/>
      <w:contextualSpacing/>
    </w:pPr>
  </w:style>
  <w:style w:type="paragraph" w:styleId="TOCHeading">
    <w:name w:val="TOC Heading"/>
    <w:basedOn w:val="Heading1"/>
    <w:next w:val="Normal"/>
    <w:uiPriority w:val="39"/>
    <w:unhideWhenUsed/>
    <w:qFormat/>
    <w:rsid w:val="00B02D3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9E606C"/>
    <w:rPr>
      <w:rFonts w:ascii="Arial" w:hAnsi="Arial" w:cs="Arial"/>
      <w:color w:val="008000"/>
      <w:u w:val="single"/>
      <w:lang w:val="fr-FR"/>
    </w:rPr>
  </w:style>
  <w:style w:type="table" w:styleId="TableGrid">
    <w:name w:val="Table Grid"/>
    <w:basedOn w:val="TableNormal"/>
    <w:rsid w:val="00B0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02D38"/>
    <w:rPr>
      <w:b w:val="0"/>
      <w:bCs/>
      <w:smallCaps/>
      <w:spacing w:val="5"/>
    </w:rPr>
  </w:style>
  <w:style w:type="paragraph" w:styleId="NormalWeb">
    <w:name w:val="Normal (Web)"/>
    <w:basedOn w:val="Normal"/>
    <w:uiPriority w:val="99"/>
    <w:unhideWhenUsed/>
    <w:rsid w:val="00B02D38"/>
    <w:pPr>
      <w:spacing w:before="100" w:beforeAutospacing="1" w:after="100" w:afterAutospacing="1"/>
      <w:jc w:val="left"/>
    </w:pPr>
    <w:rPr>
      <w:rFonts w:ascii="Times New Roman" w:hAnsi="Times New Roman"/>
      <w:sz w:val="24"/>
      <w:szCs w:val="24"/>
    </w:rPr>
  </w:style>
  <w:style w:type="paragraph" w:customStyle="1" w:styleId="Default">
    <w:name w:val="Default"/>
    <w:rsid w:val="00B35469"/>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D2D58"/>
    <w:pPr>
      <w:keepNext/>
      <w:jc w:val="both"/>
      <w:outlineLvl w:val="0"/>
    </w:pPr>
    <w:rPr>
      <w:rFonts w:ascii="Arial" w:hAnsi="Arial"/>
      <w:caps/>
      <w:lang w:val="fr-FR"/>
    </w:rPr>
  </w:style>
  <w:style w:type="paragraph" w:styleId="Heading2">
    <w:name w:val="heading 2"/>
    <w:next w:val="Normal"/>
    <w:link w:val="Heading2Char"/>
    <w:autoRedefine/>
    <w:qFormat/>
    <w:rsid w:val="009E606C"/>
    <w:pPr>
      <w:keepNext/>
      <w:jc w:val="both"/>
      <w:outlineLvl w:val="1"/>
    </w:pPr>
    <w:rPr>
      <w:rFonts w:ascii="Arial" w:hAnsi="Arial" w:cs="Arial"/>
      <w:color w:val="008000"/>
      <w:u w:val="single"/>
      <w:lang w:val="fr-FR"/>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B02D38"/>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5C59AF"/>
    <w:pPr>
      <w:tabs>
        <w:tab w:val="right" w:leader="dot" w:pos="9639"/>
      </w:tabs>
      <w:spacing w:before="120" w:after="120"/>
      <w:ind w:left="454" w:right="851" w:hanging="284"/>
      <w:contextualSpacing/>
    </w:pPr>
    <w:rPr>
      <w:rFonts w:ascii="Arial" w:hAnsi="Arial"/>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C59AF"/>
    <w:pPr>
      <w:tabs>
        <w:tab w:val="right" w:leader="dot" w:pos="9639"/>
      </w:tabs>
      <w:spacing w:after="120"/>
      <w:ind w:right="284"/>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7Char">
    <w:name w:val="Heading 7 Char"/>
    <w:basedOn w:val="DefaultParagraphFont"/>
    <w:link w:val="Heading7"/>
    <w:semiHidden/>
    <w:rsid w:val="00B02D38"/>
    <w:rPr>
      <w:rFonts w:asciiTheme="majorHAnsi" w:eastAsiaTheme="majorEastAsia" w:hAnsiTheme="majorHAnsi" w:cstheme="majorBidi"/>
      <w:i/>
      <w:iCs/>
      <w:color w:val="404040" w:themeColor="text1" w:themeTint="BF"/>
    </w:rPr>
  </w:style>
  <w:style w:type="character" w:customStyle="1" w:styleId="FootnoteTextChar">
    <w:name w:val="Footnote Text Char"/>
    <w:link w:val="FootnoteText"/>
    <w:rsid w:val="00B02D38"/>
    <w:rPr>
      <w:rFonts w:ascii="Arial" w:hAnsi="Arial"/>
      <w:sz w:val="16"/>
    </w:rPr>
  </w:style>
  <w:style w:type="paragraph" w:styleId="CommentText">
    <w:name w:val="annotation text"/>
    <w:basedOn w:val="Normal"/>
    <w:link w:val="CommentTextChar"/>
    <w:unhideWhenUsed/>
    <w:rsid w:val="00B02D38"/>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B02D38"/>
    <w:rPr>
      <w:sz w:val="22"/>
      <w:szCs w:val="22"/>
      <w:lang w:eastAsia="ja-JP"/>
    </w:rPr>
  </w:style>
  <w:style w:type="character" w:customStyle="1" w:styleId="DecisionParagraphsChar">
    <w:name w:val="DecisionParagraphs Char"/>
    <w:basedOn w:val="DefaultParagraphFont"/>
    <w:link w:val="DecisionParagraphs"/>
    <w:rsid w:val="00B02D38"/>
    <w:rPr>
      <w:rFonts w:ascii="Arial" w:hAnsi="Arial"/>
      <w:i/>
    </w:rPr>
  </w:style>
  <w:style w:type="paragraph" w:styleId="ListParagraph">
    <w:name w:val="List Paragraph"/>
    <w:basedOn w:val="Normal"/>
    <w:uiPriority w:val="34"/>
    <w:qFormat/>
    <w:rsid w:val="00B02D38"/>
    <w:pPr>
      <w:ind w:left="720"/>
      <w:contextualSpacing/>
    </w:pPr>
  </w:style>
  <w:style w:type="paragraph" w:styleId="TOCHeading">
    <w:name w:val="TOC Heading"/>
    <w:basedOn w:val="Heading1"/>
    <w:next w:val="Normal"/>
    <w:uiPriority w:val="39"/>
    <w:unhideWhenUsed/>
    <w:qFormat/>
    <w:rsid w:val="00B02D38"/>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9E606C"/>
    <w:rPr>
      <w:rFonts w:ascii="Arial" w:hAnsi="Arial" w:cs="Arial"/>
      <w:color w:val="008000"/>
      <w:u w:val="single"/>
      <w:lang w:val="fr-FR"/>
    </w:rPr>
  </w:style>
  <w:style w:type="table" w:styleId="TableGrid">
    <w:name w:val="Table Grid"/>
    <w:basedOn w:val="TableNormal"/>
    <w:rsid w:val="00B02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B02D38"/>
    <w:rPr>
      <w:b w:val="0"/>
      <w:bCs/>
      <w:smallCaps/>
      <w:spacing w:val="5"/>
    </w:rPr>
  </w:style>
  <w:style w:type="paragraph" w:styleId="NormalWeb">
    <w:name w:val="Normal (Web)"/>
    <w:basedOn w:val="Normal"/>
    <w:uiPriority w:val="99"/>
    <w:unhideWhenUsed/>
    <w:rsid w:val="00B02D38"/>
    <w:pPr>
      <w:spacing w:before="100" w:beforeAutospacing="1" w:after="100" w:afterAutospacing="1"/>
      <w:jc w:val="left"/>
    </w:pPr>
    <w:rPr>
      <w:rFonts w:ascii="Times New Roman" w:hAnsi="Times New Roman"/>
      <w:sz w:val="24"/>
      <w:szCs w:val="24"/>
    </w:rPr>
  </w:style>
  <w:style w:type="paragraph" w:customStyle="1" w:styleId="Default">
    <w:name w:val="Default"/>
    <w:rsid w:val="00B3546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resource/fr/training.html" TargetMode="External"/><Relationship Id="rId5" Type="http://schemas.openxmlformats.org/officeDocument/2006/relationships/webSettings" Target="webSettings.xml"/><Relationship Id="rId10" Type="http://schemas.openxmlformats.org/officeDocument/2006/relationships/hyperlink" Target="http://www.upov.int/members/fr/pvp_offices.html" TargetMode="External"/><Relationship Id="rId4" Type="http://schemas.openxmlformats.org/officeDocument/2006/relationships/settings" Target="settings.xml"/><Relationship Id="rId9" Type="http://schemas.openxmlformats.org/officeDocument/2006/relationships/hyperlink" Target="http://www.upov.int/upov_collection/f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9</Pages>
  <Words>3831</Words>
  <Characters>23690</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27467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keywords>MHF/PB/mhf</cp:keywords>
  <cp:lastModifiedBy>SANCHEZ-VIZCAINO GOMEZ Rosa Maria</cp:lastModifiedBy>
  <cp:revision>27</cp:revision>
  <cp:lastPrinted>2016-03-03T08:41:00Z</cp:lastPrinted>
  <dcterms:created xsi:type="dcterms:W3CDTF">2016-02-25T18:37:00Z</dcterms:created>
  <dcterms:modified xsi:type="dcterms:W3CDTF">2016-03-03T08:43:00Z</dcterms:modified>
</cp:coreProperties>
</file>