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A14C49" w:rsidRPr="001C6250" w:rsidTr="00385A09">
        <w:trPr>
          <w:trHeight w:val="1760"/>
        </w:trPr>
        <w:tc>
          <w:tcPr>
            <w:tcW w:w="4242" w:type="dxa"/>
          </w:tcPr>
          <w:p w:rsidR="00BA5719" w:rsidRPr="00A14C49" w:rsidRDefault="00BA5719" w:rsidP="00A14C49">
            <w:pPr>
              <w:rPr>
                <w:lang w:val="fr-FR"/>
              </w:rPr>
            </w:pPr>
            <w:bookmarkStart w:id="0" w:name="_GoBack"/>
            <w:bookmarkEnd w:id="0"/>
          </w:p>
        </w:tc>
        <w:tc>
          <w:tcPr>
            <w:tcW w:w="1646" w:type="dxa"/>
            <w:vAlign w:val="center"/>
          </w:tcPr>
          <w:p w:rsidR="00BA5719" w:rsidRPr="00A14C49" w:rsidRDefault="00BA5719" w:rsidP="00A14C49">
            <w:pPr>
              <w:pStyle w:val="LogoUPOV"/>
              <w:rPr>
                <w:lang w:val="fr-FR"/>
              </w:rPr>
            </w:pPr>
            <w:r w:rsidRPr="00A14C49">
              <w:rPr>
                <w:noProof/>
              </w:rPr>
              <w:drawing>
                <wp:inline distT="0" distB="0" distL="0" distR="0" wp14:anchorId="09F625E2" wp14:editId="431810D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124277" w:rsidRPr="00A14C49" w:rsidRDefault="00BA5719" w:rsidP="00A14C49">
            <w:pPr>
              <w:pStyle w:val="Lettrine"/>
              <w:spacing w:line="240" w:lineRule="auto"/>
              <w:rPr>
                <w:lang w:val="fr-FR"/>
              </w:rPr>
            </w:pPr>
            <w:r w:rsidRPr="00A14C49">
              <w:rPr>
                <w:lang w:val="fr-FR"/>
              </w:rPr>
              <w:t>F</w:t>
            </w:r>
          </w:p>
          <w:p w:rsidR="00124277" w:rsidRPr="001C6250" w:rsidRDefault="00BA5719" w:rsidP="001C6250">
            <w:pPr>
              <w:pStyle w:val="Docoriginal"/>
              <w:rPr>
                <w:lang w:val="fr-CH"/>
              </w:rPr>
            </w:pPr>
            <w:r w:rsidRPr="001C6250">
              <w:rPr>
                <w:lang w:val="fr-CH"/>
              </w:rPr>
              <w:t>TC/51/</w:t>
            </w:r>
            <w:bookmarkStart w:id="1" w:name="Code"/>
            <w:bookmarkEnd w:id="1"/>
            <w:r w:rsidRPr="001C6250">
              <w:rPr>
                <w:lang w:val="fr-CH"/>
              </w:rPr>
              <w:t>9</w:t>
            </w:r>
          </w:p>
          <w:p w:rsidR="00124277" w:rsidRPr="001C6250" w:rsidRDefault="00BA5719" w:rsidP="001C6250">
            <w:pPr>
              <w:pStyle w:val="Docoriginal"/>
              <w:rPr>
                <w:lang w:val="fr-CH"/>
              </w:rPr>
            </w:pPr>
            <w:r w:rsidRPr="001C6250">
              <w:rPr>
                <w:rStyle w:val="StyleDoclangBold"/>
                <w:b/>
                <w:spacing w:val="0"/>
                <w:lang w:val="de-DE"/>
              </w:rPr>
              <w:t>ORIGINAL</w:t>
            </w:r>
            <w:r w:rsidRPr="001C6250">
              <w:rPr>
                <w:lang w:val="fr-CH"/>
              </w:rPr>
              <w:t>:</w:t>
            </w:r>
            <w:r w:rsidRPr="001C6250">
              <w:rPr>
                <w:b w:val="0"/>
                <w:bCs w:val="0"/>
                <w:lang w:val="fr-CH"/>
              </w:rPr>
              <w:t xml:space="preserve"> </w:t>
            </w:r>
            <w:bookmarkStart w:id="2" w:name="Original"/>
            <w:bookmarkEnd w:id="2"/>
            <w:r w:rsidRPr="001C6250">
              <w:rPr>
                <w:b w:val="0"/>
                <w:spacing w:val="0"/>
                <w:lang w:val="de-DE"/>
              </w:rPr>
              <w:t>anglais</w:t>
            </w:r>
          </w:p>
          <w:p w:rsidR="00BA5719" w:rsidRPr="00A14C49" w:rsidRDefault="00BA5719" w:rsidP="001C6250">
            <w:pPr>
              <w:pStyle w:val="Docoriginal"/>
              <w:rPr>
                <w:lang w:val="fr-FR"/>
              </w:rPr>
            </w:pPr>
            <w:r w:rsidRPr="001C6250">
              <w:rPr>
                <w:rStyle w:val="StyleDoclangBold"/>
                <w:b/>
                <w:spacing w:val="0"/>
                <w:lang w:val="de-DE"/>
              </w:rPr>
              <w:t>DATE</w:t>
            </w:r>
            <w:r w:rsidRPr="001C6250">
              <w:rPr>
                <w:lang w:val="fr-CH"/>
              </w:rPr>
              <w:t>:</w:t>
            </w:r>
            <w:r w:rsidRPr="001C6250">
              <w:rPr>
                <w:b w:val="0"/>
                <w:bCs w:val="0"/>
                <w:lang w:val="fr-CH"/>
              </w:rPr>
              <w:t xml:space="preserve"> </w:t>
            </w:r>
            <w:bookmarkStart w:id="3" w:name="Date"/>
            <w:bookmarkEnd w:id="3"/>
            <w:r w:rsidR="001C6250" w:rsidRPr="001C6250">
              <w:rPr>
                <w:b w:val="0"/>
                <w:spacing w:val="0"/>
                <w:lang w:val="de-DE"/>
              </w:rPr>
              <w:t>24 février 2015</w:t>
            </w:r>
          </w:p>
        </w:tc>
      </w:tr>
      <w:tr w:rsidR="00A14C49" w:rsidRPr="001C6250" w:rsidTr="00385A09">
        <w:tc>
          <w:tcPr>
            <w:tcW w:w="10130" w:type="dxa"/>
            <w:gridSpan w:val="3"/>
          </w:tcPr>
          <w:p w:rsidR="00BA5719" w:rsidRPr="00A14C49" w:rsidRDefault="00BA5719" w:rsidP="00A14C49">
            <w:pPr>
              <w:pStyle w:val="upove"/>
              <w:rPr>
                <w:sz w:val="28"/>
                <w:lang w:val="fr-FR"/>
              </w:rPr>
            </w:pPr>
            <w:r w:rsidRPr="00A14C49">
              <w:rPr>
                <w:spacing w:val="6"/>
                <w:lang w:val="fr-FR"/>
              </w:rPr>
              <w:t>UNION INTERNATIONALE POUR LA PROTECTION DES OBTENTIONS VÉGÉTALES</w:t>
            </w:r>
          </w:p>
        </w:tc>
      </w:tr>
      <w:tr w:rsidR="00A14C49" w:rsidRPr="00A14C49" w:rsidTr="00385A09">
        <w:tc>
          <w:tcPr>
            <w:tcW w:w="10130" w:type="dxa"/>
            <w:gridSpan w:val="3"/>
          </w:tcPr>
          <w:p w:rsidR="00BA5719" w:rsidRPr="00A14C49" w:rsidRDefault="00BA5719" w:rsidP="00A14C49">
            <w:pPr>
              <w:pStyle w:val="Country"/>
              <w:rPr>
                <w:lang w:val="fr-FR"/>
              </w:rPr>
            </w:pPr>
            <w:r w:rsidRPr="00A14C49">
              <w:rPr>
                <w:lang w:val="fr-FR"/>
              </w:rPr>
              <w:t>Genève</w:t>
            </w:r>
          </w:p>
        </w:tc>
      </w:tr>
    </w:tbl>
    <w:p w:rsidR="00124277" w:rsidRPr="00A14C49" w:rsidRDefault="00BA5719" w:rsidP="00A14C49">
      <w:pPr>
        <w:pStyle w:val="Sessiontc"/>
        <w:rPr>
          <w:lang w:val="fr-FR"/>
        </w:rPr>
      </w:pPr>
      <w:r w:rsidRPr="00A14C49">
        <w:rPr>
          <w:lang w:val="fr-FR"/>
        </w:rPr>
        <w:t>Comité TECHNIQUE</w:t>
      </w:r>
    </w:p>
    <w:p w:rsidR="00124277" w:rsidRPr="00A14C49" w:rsidRDefault="00BA5719" w:rsidP="00A14C49">
      <w:pPr>
        <w:pStyle w:val="Sessiontcplacedate"/>
        <w:rPr>
          <w:lang w:val="fr-FR"/>
        </w:rPr>
      </w:pPr>
      <w:r w:rsidRPr="00A14C49">
        <w:rPr>
          <w:lang w:val="fr-FR"/>
        </w:rPr>
        <w:t>Cinquante</w:t>
      </w:r>
      <w:r w:rsidR="004612B0" w:rsidRPr="00A14C49">
        <w:rPr>
          <w:lang w:val="fr-FR"/>
        </w:rPr>
        <w:t> </w:t>
      </w:r>
      <w:r w:rsidRPr="00A14C49">
        <w:rPr>
          <w:lang w:val="fr-FR"/>
        </w:rPr>
        <w:t>et</w:t>
      </w:r>
      <w:r w:rsidR="004612B0" w:rsidRPr="00A14C49">
        <w:rPr>
          <w:lang w:val="fr-FR"/>
        </w:rPr>
        <w:t> </w:t>
      </w:r>
      <w:r w:rsidRPr="00A14C49">
        <w:rPr>
          <w:lang w:val="fr-FR"/>
        </w:rPr>
        <w:t>unième</w:t>
      </w:r>
      <w:r w:rsidR="004612B0" w:rsidRPr="00A14C49">
        <w:rPr>
          <w:lang w:val="fr-FR"/>
        </w:rPr>
        <w:t> </w:t>
      </w:r>
      <w:r w:rsidRPr="00A14C49">
        <w:rPr>
          <w:lang w:val="fr-FR"/>
        </w:rPr>
        <w:t xml:space="preserve">session </w:t>
      </w:r>
      <w:r w:rsidRPr="00A14C49">
        <w:rPr>
          <w:lang w:val="fr-FR"/>
        </w:rPr>
        <w:br/>
        <w:t>Genève, 23</w:t>
      </w:r>
      <w:r w:rsidR="0028209C">
        <w:rPr>
          <w:lang w:val="fr-FR"/>
        </w:rPr>
        <w:t>–</w:t>
      </w:r>
      <w:r w:rsidRPr="00A14C49">
        <w:rPr>
          <w:lang w:val="fr-FR"/>
        </w:rPr>
        <w:t>2</w:t>
      </w:r>
      <w:r w:rsidR="00050DB5" w:rsidRPr="00A14C49">
        <w:rPr>
          <w:lang w:val="fr-FR"/>
        </w:rPr>
        <w:t>5 mars 20</w:t>
      </w:r>
      <w:r w:rsidRPr="00A14C49">
        <w:rPr>
          <w:lang w:val="fr-FR"/>
        </w:rPr>
        <w:t>15</w:t>
      </w:r>
    </w:p>
    <w:p w:rsidR="00124277" w:rsidRPr="00A14C49" w:rsidRDefault="00480EF2" w:rsidP="00A14C49">
      <w:pPr>
        <w:pStyle w:val="Titleofdoc0"/>
        <w:rPr>
          <w:lang w:val="fr-FR"/>
        </w:rPr>
      </w:pPr>
      <w:bookmarkStart w:id="4" w:name="TitleOfDoc"/>
      <w:bookmarkEnd w:id="4"/>
      <w:r w:rsidRPr="00A14C49">
        <w:rPr>
          <w:lang w:val="fr-FR"/>
        </w:rPr>
        <w:t xml:space="preserve">Bases de données </w:t>
      </w:r>
      <w:r w:rsidR="004926BA" w:rsidRPr="00A14C49">
        <w:rPr>
          <w:lang w:val="fr-FR"/>
        </w:rPr>
        <w:t>sur les</w:t>
      </w:r>
      <w:r w:rsidRPr="00A14C49">
        <w:rPr>
          <w:lang w:val="fr-FR"/>
        </w:rPr>
        <w:t xml:space="preserve"> descriptions variétales</w:t>
      </w:r>
    </w:p>
    <w:p w:rsidR="00124277" w:rsidRPr="00542386" w:rsidRDefault="00BA5719" w:rsidP="00A14C49">
      <w:pPr>
        <w:pStyle w:val="preparedby1"/>
        <w:rPr>
          <w:color w:val="A6A6A6" w:themeColor="background1" w:themeShade="A6"/>
          <w:lang w:val="fr-FR"/>
        </w:rPr>
      </w:pPr>
      <w:bookmarkStart w:id="5" w:name="Prepared"/>
      <w:bookmarkEnd w:id="5"/>
      <w:r w:rsidRPr="00A14C49">
        <w:rPr>
          <w:lang w:val="fr-FR"/>
        </w:rPr>
        <w:t>Document établi par le Bureau de l</w:t>
      </w:r>
      <w:r w:rsidR="00050DB5" w:rsidRPr="00A14C49">
        <w:rPr>
          <w:lang w:val="fr-FR"/>
        </w:rPr>
        <w:t>’</w:t>
      </w:r>
      <w:r w:rsidRPr="00A14C49">
        <w:rPr>
          <w:lang w:val="fr-FR"/>
        </w:rPr>
        <w:t>Union</w:t>
      </w:r>
      <w:r w:rsidRPr="00A14C49">
        <w:rPr>
          <w:lang w:val="fr-FR"/>
        </w:rPr>
        <w:br/>
      </w:r>
      <w:r w:rsidRPr="00542386">
        <w:rPr>
          <w:lang w:val="fr-FR"/>
        </w:rPr>
        <w:br/>
      </w:r>
      <w:r w:rsidRPr="00542386">
        <w:rPr>
          <w:color w:val="A6A6A6" w:themeColor="background1" w:themeShade="A6"/>
          <w:lang w:val="fr-FR"/>
        </w:rPr>
        <w:t>Avertissement : le présent document ne représente pas les principes ou les orientations de l</w:t>
      </w:r>
      <w:r w:rsidR="00050DB5" w:rsidRPr="00542386">
        <w:rPr>
          <w:color w:val="A6A6A6" w:themeColor="background1" w:themeShade="A6"/>
          <w:lang w:val="fr-FR"/>
        </w:rPr>
        <w:t>’</w:t>
      </w:r>
      <w:r w:rsidRPr="00542386">
        <w:rPr>
          <w:color w:val="A6A6A6" w:themeColor="background1" w:themeShade="A6"/>
          <w:lang w:val="fr-FR"/>
        </w:rPr>
        <w:t>UPOV</w:t>
      </w:r>
    </w:p>
    <w:p w:rsidR="00124277" w:rsidRPr="00A14C49" w:rsidRDefault="008F0675" w:rsidP="00A14C49">
      <w:pPr>
        <w:rPr>
          <w:rFonts w:cs="Arial"/>
          <w:lang w:val="fr-FR"/>
        </w:rPr>
      </w:pPr>
      <w:r w:rsidRPr="00542386">
        <w:rPr>
          <w:rFonts w:cs="Arial"/>
          <w:lang w:val="fr-FR"/>
        </w:rPr>
        <w:fldChar w:fldCharType="begin"/>
      </w:r>
      <w:r w:rsidRPr="00542386">
        <w:rPr>
          <w:rFonts w:cs="Arial"/>
          <w:lang w:val="fr-FR"/>
        </w:rPr>
        <w:instrText xml:space="preserve"> AUTONUM  </w:instrText>
      </w:r>
      <w:r w:rsidRPr="00542386">
        <w:rPr>
          <w:rFonts w:cs="Arial"/>
          <w:lang w:val="fr-FR"/>
        </w:rPr>
        <w:fldChar w:fldCharType="end"/>
      </w:r>
      <w:r w:rsidRPr="00542386">
        <w:rPr>
          <w:rFonts w:cs="Arial"/>
          <w:lang w:val="fr-FR"/>
        </w:rPr>
        <w:tab/>
      </w:r>
      <w:r w:rsidR="004926BA" w:rsidRPr="00A14C49">
        <w:rPr>
          <w:rFonts w:cs="Arial"/>
          <w:lang w:val="fr-FR"/>
        </w:rPr>
        <w:t>L</w:t>
      </w:r>
      <w:r w:rsidR="00050DB5" w:rsidRPr="00A14C49">
        <w:rPr>
          <w:rFonts w:cs="Arial"/>
          <w:lang w:val="fr-FR"/>
        </w:rPr>
        <w:t>’</w:t>
      </w:r>
      <w:r w:rsidR="004926BA" w:rsidRPr="00A14C49">
        <w:rPr>
          <w:rFonts w:cs="Arial"/>
          <w:lang w:val="fr-FR"/>
        </w:rPr>
        <w:t>objet du présent document est de faire rapport sur les faits nouveaux survenus depuis la cinquantième</w:t>
      </w:r>
      <w:r w:rsidR="008A5357" w:rsidRPr="00A14C49">
        <w:rPr>
          <w:rFonts w:cs="Arial"/>
          <w:lang w:val="fr-FR"/>
        </w:rPr>
        <w:t> </w:t>
      </w:r>
      <w:r w:rsidR="004926BA" w:rsidRPr="00A14C49">
        <w:rPr>
          <w:rFonts w:cs="Arial"/>
          <w:lang w:val="fr-FR"/>
        </w:rPr>
        <w:t>session du Comité technique (TC), concernant les bases de données sur les descriptions variétales</w:t>
      </w:r>
      <w:r w:rsidRPr="00A14C49">
        <w:rPr>
          <w:rFonts w:cs="Arial"/>
          <w:snapToGrid w:val="0"/>
          <w:szCs w:val="24"/>
          <w:lang w:val="fr-FR"/>
        </w:rPr>
        <w:t>.</w:t>
      </w:r>
    </w:p>
    <w:p w:rsidR="00124277" w:rsidRPr="00A14C49" w:rsidRDefault="00124277" w:rsidP="00A14C49">
      <w:pPr>
        <w:rPr>
          <w:rFonts w:cs="Arial"/>
          <w:lang w:val="fr-FR"/>
        </w:rPr>
      </w:pPr>
    </w:p>
    <w:p w:rsidR="00124277" w:rsidRPr="00A14C49" w:rsidRDefault="00AE69FD" w:rsidP="00A14C49">
      <w:pPr>
        <w:rPr>
          <w:rFonts w:cs="Arial"/>
          <w:lang w:val="fr-FR"/>
        </w:rPr>
      </w:pPr>
      <w:r w:rsidRPr="00A14C49">
        <w:rPr>
          <w:rFonts w:cs="Arial"/>
          <w:lang w:val="fr-FR"/>
        </w:rPr>
        <w:fldChar w:fldCharType="begin"/>
      </w:r>
      <w:r w:rsidRPr="00A14C49">
        <w:rPr>
          <w:rFonts w:cs="Arial"/>
          <w:lang w:val="fr-FR"/>
        </w:rPr>
        <w:instrText xml:space="preserve"> AUTONUM  </w:instrText>
      </w:r>
      <w:r w:rsidRPr="00A14C49">
        <w:rPr>
          <w:rFonts w:cs="Arial"/>
          <w:lang w:val="fr-FR"/>
        </w:rPr>
        <w:fldChar w:fldCharType="end"/>
      </w:r>
      <w:r w:rsidRPr="00A14C49">
        <w:rPr>
          <w:rFonts w:cs="Arial"/>
          <w:lang w:val="fr-FR"/>
        </w:rPr>
        <w:tab/>
      </w:r>
      <w:r w:rsidR="00A20155" w:rsidRPr="00A14C49">
        <w:rPr>
          <w:rFonts w:cs="Arial"/>
          <w:lang w:val="fr-FR"/>
        </w:rPr>
        <w:t>Les abréviations ci</w:t>
      </w:r>
      <w:r w:rsidR="00542386" w:rsidRPr="00A14C49">
        <w:rPr>
          <w:rFonts w:cs="Arial"/>
          <w:lang w:val="fr-FR"/>
        </w:rPr>
        <w:noBreakHyphen/>
      </w:r>
      <w:r w:rsidR="00A20155" w:rsidRPr="00A14C49">
        <w:rPr>
          <w:rFonts w:cs="Arial"/>
          <w:lang w:val="fr-FR"/>
        </w:rPr>
        <w:t>après sont utilisées dans le présent document :</w:t>
      </w:r>
    </w:p>
    <w:p w:rsidR="00124277" w:rsidRPr="00A14C49" w:rsidRDefault="00124277" w:rsidP="00A14C49">
      <w:pPr>
        <w:rPr>
          <w:rFonts w:cs="Arial"/>
          <w:lang w:val="fr-FR"/>
        </w:rPr>
      </w:pPr>
    </w:p>
    <w:p w:rsidR="00124277" w:rsidRPr="00A14C49" w:rsidRDefault="00AE69FD" w:rsidP="00A14C49">
      <w:pPr>
        <w:rPr>
          <w:rFonts w:cs="Arial"/>
          <w:lang w:val="fr-FR"/>
        </w:rPr>
      </w:pPr>
      <w:r w:rsidRPr="00A14C49">
        <w:rPr>
          <w:rFonts w:cs="Arial"/>
          <w:lang w:val="fr-FR"/>
        </w:rPr>
        <w:tab/>
      </w:r>
      <w:r w:rsidR="00A20155" w:rsidRPr="00A14C49">
        <w:rPr>
          <w:rFonts w:cs="Arial"/>
          <w:lang w:val="fr-FR"/>
        </w:rPr>
        <w:t>TC</w:t>
      </w:r>
      <w:r w:rsidR="008A5357" w:rsidRPr="00A14C49">
        <w:rPr>
          <w:rFonts w:cs="Arial"/>
          <w:lang w:val="fr-FR"/>
        </w:rPr>
        <w:t> :</w:t>
      </w:r>
      <w:r w:rsidR="00A20155" w:rsidRPr="00A14C49">
        <w:rPr>
          <w:rFonts w:cs="Arial"/>
          <w:lang w:val="fr-FR"/>
        </w:rPr>
        <w:t xml:space="preserve"> </w:t>
      </w:r>
      <w:r w:rsidR="004612B0" w:rsidRPr="00A14C49">
        <w:rPr>
          <w:rFonts w:cs="Arial"/>
          <w:lang w:val="fr-FR"/>
        </w:rPr>
        <w:tab/>
      </w:r>
      <w:r w:rsidR="004612B0" w:rsidRPr="00A14C49">
        <w:rPr>
          <w:rFonts w:cs="Arial"/>
          <w:lang w:val="fr-FR"/>
        </w:rPr>
        <w:tab/>
      </w:r>
      <w:r w:rsidR="00A20155" w:rsidRPr="00A14C49">
        <w:rPr>
          <w:rFonts w:cs="Arial"/>
          <w:lang w:val="fr-FR"/>
        </w:rPr>
        <w:t>Comité technique</w:t>
      </w:r>
    </w:p>
    <w:p w:rsidR="00124277" w:rsidRPr="00A14C49" w:rsidRDefault="00AE69FD" w:rsidP="00A14C49">
      <w:pPr>
        <w:rPr>
          <w:rFonts w:eastAsia="PMingLiU" w:cs="Arial"/>
          <w:lang w:val="fr-FR"/>
        </w:rPr>
      </w:pPr>
      <w:r w:rsidRPr="00A14C49">
        <w:rPr>
          <w:rFonts w:eastAsia="PMingLiU" w:cs="Arial"/>
          <w:lang w:val="fr-FR"/>
        </w:rPr>
        <w:tab/>
      </w:r>
      <w:r w:rsidR="00A20155" w:rsidRPr="00A14C49">
        <w:rPr>
          <w:rFonts w:eastAsia="PMingLiU" w:cs="Arial"/>
          <w:lang w:val="fr-FR"/>
        </w:rPr>
        <w:t>TC</w:t>
      </w:r>
      <w:r w:rsidR="00542386" w:rsidRPr="00A14C49">
        <w:rPr>
          <w:rFonts w:eastAsia="PMingLiU" w:cs="Arial"/>
          <w:lang w:val="fr-FR"/>
        </w:rPr>
        <w:noBreakHyphen/>
      </w:r>
      <w:r w:rsidR="00A20155" w:rsidRPr="00A14C49">
        <w:rPr>
          <w:rFonts w:eastAsia="PMingLiU" w:cs="Arial"/>
          <w:lang w:val="fr-FR"/>
        </w:rPr>
        <w:t>EDC</w:t>
      </w:r>
      <w:r w:rsidR="008A5357" w:rsidRPr="00A14C49">
        <w:rPr>
          <w:rFonts w:eastAsia="PMingLiU" w:cs="Arial"/>
          <w:lang w:val="fr-FR"/>
        </w:rPr>
        <w:t xml:space="preserve"> : </w:t>
      </w:r>
      <w:r w:rsidR="004612B0" w:rsidRPr="00A14C49">
        <w:rPr>
          <w:rFonts w:eastAsia="PMingLiU" w:cs="Arial"/>
          <w:lang w:val="fr-FR"/>
        </w:rPr>
        <w:tab/>
      </w:r>
      <w:r w:rsidR="00A20155" w:rsidRPr="00A14C49">
        <w:rPr>
          <w:rFonts w:eastAsia="PMingLiU" w:cs="Arial"/>
          <w:lang w:val="fr-FR"/>
        </w:rPr>
        <w:t>Comité de rédaction élargi</w:t>
      </w:r>
    </w:p>
    <w:p w:rsidR="00124277" w:rsidRPr="00A14C49" w:rsidRDefault="00AE69FD" w:rsidP="00A14C49">
      <w:pPr>
        <w:rPr>
          <w:rFonts w:eastAsia="PMingLiU" w:cs="Arial"/>
          <w:lang w:val="fr-FR"/>
        </w:rPr>
      </w:pPr>
      <w:r w:rsidRPr="00A14C49">
        <w:rPr>
          <w:rFonts w:eastAsia="PMingLiU" w:cs="Arial"/>
          <w:lang w:val="fr-FR"/>
        </w:rPr>
        <w:tab/>
      </w:r>
      <w:r w:rsidR="00A20155" w:rsidRPr="00A14C49">
        <w:rPr>
          <w:rFonts w:eastAsia="PMingLiU" w:cs="Arial"/>
          <w:lang w:val="fr-FR"/>
        </w:rPr>
        <w:t>TWA</w:t>
      </w:r>
      <w:r w:rsidR="008A5357" w:rsidRPr="00A14C49">
        <w:rPr>
          <w:rFonts w:eastAsia="PMingLiU" w:cs="Arial"/>
          <w:lang w:val="fr-FR"/>
        </w:rPr>
        <w:t> :</w:t>
      </w:r>
      <w:r w:rsidR="00A20155" w:rsidRPr="00A14C49">
        <w:rPr>
          <w:rFonts w:eastAsia="PMingLiU" w:cs="Arial"/>
          <w:lang w:val="fr-FR"/>
        </w:rPr>
        <w:t xml:space="preserve"> </w:t>
      </w:r>
      <w:r w:rsidR="004612B0" w:rsidRPr="00A14C49">
        <w:rPr>
          <w:rFonts w:eastAsia="PMingLiU" w:cs="Arial"/>
          <w:lang w:val="fr-FR"/>
        </w:rPr>
        <w:tab/>
      </w:r>
      <w:r w:rsidR="00A20155" w:rsidRPr="00A14C49">
        <w:rPr>
          <w:rFonts w:eastAsia="PMingLiU" w:cs="Arial"/>
          <w:lang w:val="fr-FR"/>
        </w:rPr>
        <w:t>Groupe de travail technique sur les plantes agricoles</w:t>
      </w:r>
    </w:p>
    <w:p w:rsidR="00124277" w:rsidRPr="00A14C49" w:rsidRDefault="00A20155" w:rsidP="00A14C49">
      <w:pPr>
        <w:ind w:left="1695" w:hanging="1128"/>
        <w:rPr>
          <w:rFonts w:eastAsia="PMingLiU" w:cs="Arial"/>
          <w:lang w:val="fr-FR"/>
        </w:rPr>
      </w:pPr>
      <w:r w:rsidRPr="00A14C49">
        <w:rPr>
          <w:rFonts w:eastAsia="PMingLiU" w:cs="Arial"/>
          <w:lang w:val="fr-FR"/>
        </w:rPr>
        <w:t>TWC</w:t>
      </w:r>
      <w:r w:rsidR="008A5357" w:rsidRPr="00A14C49">
        <w:rPr>
          <w:rFonts w:eastAsia="PMingLiU" w:cs="Arial"/>
          <w:lang w:val="fr-FR"/>
        </w:rPr>
        <w:t> :</w:t>
      </w:r>
      <w:r w:rsidRPr="00A14C49">
        <w:rPr>
          <w:rFonts w:eastAsia="PMingLiU" w:cs="Arial"/>
          <w:lang w:val="fr-FR"/>
        </w:rPr>
        <w:t xml:space="preserve"> </w:t>
      </w:r>
      <w:r w:rsidR="004612B0" w:rsidRPr="00A14C49">
        <w:rPr>
          <w:rFonts w:eastAsia="PMingLiU" w:cs="Arial"/>
          <w:lang w:val="fr-FR"/>
        </w:rPr>
        <w:tab/>
      </w:r>
      <w:r w:rsidRPr="00A14C49">
        <w:rPr>
          <w:rFonts w:eastAsia="PMingLiU" w:cs="Arial"/>
          <w:lang w:val="fr-FR"/>
        </w:rPr>
        <w:t>Groupe de travail technique sur les systèmes d</w:t>
      </w:r>
      <w:r w:rsidR="00050DB5" w:rsidRPr="00A14C49">
        <w:rPr>
          <w:rFonts w:eastAsia="PMingLiU" w:cs="Arial"/>
          <w:lang w:val="fr-FR"/>
        </w:rPr>
        <w:t>’</w:t>
      </w:r>
      <w:r w:rsidRPr="00A14C49">
        <w:rPr>
          <w:rFonts w:eastAsia="PMingLiU" w:cs="Arial"/>
          <w:lang w:val="fr-FR"/>
        </w:rPr>
        <w:t>automatisation et les programmes d</w:t>
      </w:r>
      <w:r w:rsidR="00050DB5" w:rsidRPr="00A14C49">
        <w:rPr>
          <w:rFonts w:eastAsia="PMingLiU" w:cs="Arial"/>
          <w:lang w:val="fr-FR"/>
        </w:rPr>
        <w:t>’</w:t>
      </w:r>
      <w:r w:rsidRPr="00A14C49">
        <w:rPr>
          <w:rFonts w:eastAsia="PMingLiU" w:cs="Arial"/>
          <w:lang w:val="fr-FR"/>
        </w:rPr>
        <w:t>ordinateur</w:t>
      </w:r>
    </w:p>
    <w:p w:rsidR="00124277" w:rsidRPr="00A14C49" w:rsidRDefault="00AE69FD" w:rsidP="00A14C49">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lang w:val="fr-FR"/>
        </w:rPr>
      </w:pPr>
      <w:r w:rsidRPr="00A14C49">
        <w:rPr>
          <w:rFonts w:eastAsia="PMingLiU" w:cs="Arial"/>
          <w:lang w:val="fr-FR"/>
        </w:rPr>
        <w:tab/>
      </w:r>
      <w:r w:rsidR="00A20155" w:rsidRPr="00A14C49">
        <w:rPr>
          <w:rFonts w:eastAsia="PMingLiU" w:cs="Arial"/>
          <w:lang w:val="fr-FR"/>
        </w:rPr>
        <w:t>TWF</w:t>
      </w:r>
      <w:r w:rsidR="008A5357" w:rsidRPr="00A14C49">
        <w:rPr>
          <w:rFonts w:eastAsia="PMingLiU" w:cs="Arial"/>
          <w:lang w:val="fr-FR"/>
        </w:rPr>
        <w:t> </w:t>
      </w:r>
      <w:r w:rsidR="00A20155" w:rsidRPr="00A14C49">
        <w:rPr>
          <w:rFonts w:eastAsia="PMingLiU" w:cs="Arial"/>
          <w:lang w:val="fr-FR"/>
        </w:rPr>
        <w:t xml:space="preserve">: </w:t>
      </w:r>
      <w:r w:rsidR="004612B0" w:rsidRPr="00A14C49">
        <w:rPr>
          <w:rFonts w:eastAsia="PMingLiU" w:cs="Arial"/>
          <w:lang w:val="fr-FR"/>
        </w:rPr>
        <w:tab/>
      </w:r>
      <w:r w:rsidR="00A20155" w:rsidRPr="00A14C49">
        <w:rPr>
          <w:rFonts w:eastAsia="PMingLiU" w:cs="Arial"/>
          <w:lang w:val="fr-FR"/>
        </w:rPr>
        <w:t>Groupe de travail technique sur les plantes fruitières</w:t>
      </w:r>
      <w:r w:rsidRPr="00A14C49">
        <w:rPr>
          <w:rFonts w:eastAsia="PMingLiU" w:cs="Arial"/>
          <w:lang w:val="fr-FR"/>
        </w:rPr>
        <w:tab/>
      </w:r>
    </w:p>
    <w:p w:rsidR="00124277" w:rsidRPr="00A14C49" w:rsidRDefault="00AE69FD" w:rsidP="00A14C49">
      <w:pPr>
        <w:rPr>
          <w:rFonts w:eastAsia="PMingLiU" w:cs="Arial"/>
          <w:lang w:val="fr-FR"/>
        </w:rPr>
      </w:pPr>
      <w:r w:rsidRPr="00A14C49">
        <w:rPr>
          <w:rFonts w:eastAsia="PMingLiU" w:cs="Arial"/>
          <w:lang w:val="fr-FR"/>
        </w:rPr>
        <w:tab/>
      </w:r>
      <w:r w:rsidR="00A20155" w:rsidRPr="00A14C49">
        <w:rPr>
          <w:rFonts w:eastAsia="PMingLiU" w:cs="Arial"/>
          <w:lang w:val="fr-FR"/>
        </w:rPr>
        <w:t>TWO</w:t>
      </w:r>
      <w:r w:rsidR="008A5357" w:rsidRPr="00A14C49">
        <w:rPr>
          <w:rFonts w:eastAsia="PMingLiU" w:cs="Arial"/>
          <w:lang w:val="fr-FR"/>
        </w:rPr>
        <w:t xml:space="preserve"> : </w:t>
      </w:r>
      <w:r w:rsidR="004612B0" w:rsidRPr="00A14C49">
        <w:rPr>
          <w:rFonts w:eastAsia="PMingLiU" w:cs="Arial"/>
          <w:lang w:val="fr-FR"/>
        </w:rPr>
        <w:tab/>
      </w:r>
      <w:r w:rsidR="00A20155" w:rsidRPr="00A14C49">
        <w:rPr>
          <w:rFonts w:eastAsia="PMingLiU" w:cs="Arial"/>
          <w:lang w:val="fr-FR"/>
        </w:rPr>
        <w:t>Groupe de travail technique sur les plantes ornementales et les arbres forestiers</w:t>
      </w:r>
    </w:p>
    <w:p w:rsidR="00124277" w:rsidRPr="00A14C49" w:rsidRDefault="00AE69FD" w:rsidP="00A14C49">
      <w:pPr>
        <w:rPr>
          <w:rFonts w:eastAsia="PMingLiU" w:cs="Arial"/>
          <w:lang w:val="fr-FR"/>
        </w:rPr>
      </w:pPr>
      <w:r w:rsidRPr="00A14C49">
        <w:rPr>
          <w:rFonts w:eastAsia="PMingLiU" w:cs="Arial"/>
          <w:lang w:val="fr-FR"/>
        </w:rPr>
        <w:tab/>
      </w:r>
      <w:r w:rsidR="00A20155" w:rsidRPr="00A14C49">
        <w:rPr>
          <w:rFonts w:eastAsia="PMingLiU" w:cs="Arial"/>
          <w:lang w:val="fr-FR"/>
        </w:rPr>
        <w:t>TWP</w:t>
      </w:r>
      <w:r w:rsidR="008A5357" w:rsidRPr="00A14C49">
        <w:rPr>
          <w:rFonts w:eastAsia="PMingLiU" w:cs="Arial"/>
          <w:lang w:val="fr-FR"/>
        </w:rPr>
        <w:t> </w:t>
      </w:r>
      <w:r w:rsidR="00A20155" w:rsidRPr="00A14C49">
        <w:rPr>
          <w:rFonts w:eastAsia="PMingLiU" w:cs="Arial"/>
          <w:lang w:val="fr-FR"/>
        </w:rPr>
        <w:t xml:space="preserve">: </w:t>
      </w:r>
      <w:r w:rsidR="004612B0" w:rsidRPr="00A14C49">
        <w:rPr>
          <w:rFonts w:eastAsia="PMingLiU" w:cs="Arial"/>
          <w:lang w:val="fr-FR"/>
        </w:rPr>
        <w:tab/>
      </w:r>
      <w:r w:rsidR="00A20155" w:rsidRPr="00A14C49">
        <w:rPr>
          <w:rFonts w:eastAsia="PMingLiU" w:cs="Arial"/>
          <w:lang w:val="fr-FR"/>
        </w:rPr>
        <w:t>Groupes de travail techniques</w:t>
      </w:r>
    </w:p>
    <w:p w:rsidR="00124277" w:rsidRPr="00A14C49" w:rsidRDefault="00AE69FD" w:rsidP="00A14C49">
      <w:pPr>
        <w:rPr>
          <w:rFonts w:eastAsia="PMingLiU" w:cs="Arial"/>
          <w:lang w:val="fr-FR"/>
        </w:rPr>
      </w:pPr>
      <w:r w:rsidRPr="00A14C49">
        <w:rPr>
          <w:rFonts w:eastAsia="PMingLiU" w:cs="Arial"/>
          <w:lang w:val="fr-FR"/>
        </w:rPr>
        <w:tab/>
      </w:r>
      <w:r w:rsidR="00A20155" w:rsidRPr="00A14C49">
        <w:rPr>
          <w:rFonts w:eastAsia="PMingLiU" w:cs="Arial"/>
          <w:lang w:val="fr-FR"/>
        </w:rPr>
        <w:t>TWV</w:t>
      </w:r>
      <w:r w:rsidR="008A5357" w:rsidRPr="00A14C49">
        <w:rPr>
          <w:rFonts w:eastAsia="PMingLiU" w:cs="Arial"/>
          <w:lang w:val="fr-FR"/>
        </w:rPr>
        <w:t> :</w:t>
      </w:r>
      <w:r w:rsidR="00A20155" w:rsidRPr="00A14C49">
        <w:rPr>
          <w:rFonts w:eastAsia="PMingLiU" w:cs="Arial"/>
          <w:lang w:val="fr-FR"/>
        </w:rPr>
        <w:t xml:space="preserve"> </w:t>
      </w:r>
      <w:r w:rsidR="004612B0" w:rsidRPr="00A14C49">
        <w:rPr>
          <w:rFonts w:eastAsia="PMingLiU" w:cs="Arial"/>
          <w:lang w:val="fr-FR"/>
        </w:rPr>
        <w:tab/>
      </w:r>
      <w:r w:rsidR="00A20155" w:rsidRPr="00A14C49">
        <w:rPr>
          <w:rFonts w:eastAsia="PMingLiU" w:cs="Arial"/>
          <w:lang w:val="fr-FR"/>
        </w:rPr>
        <w:t>Groupe de travail technique sur les plantes potagères</w:t>
      </w:r>
    </w:p>
    <w:p w:rsidR="00124277" w:rsidRPr="00A14C49" w:rsidRDefault="00124277" w:rsidP="00A14C49">
      <w:pPr>
        <w:rPr>
          <w:snapToGrid w:val="0"/>
          <w:lang w:val="fr-FR"/>
        </w:rPr>
      </w:pPr>
    </w:p>
    <w:p w:rsidR="00124277" w:rsidRPr="00A14C49" w:rsidRDefault="00AE69FD" w:rsidP="00A14C49">
      <w:pPr>
        <w:rPr>
          <w:lang w:val="fr-FR" w:eastAsia="ja-JP"/>
        </w:rPr>
      </w:pPr>
      <w:r w:rsidRPr="00A14C49">
        <w:rPr>
          <w:lang w:val="fr-FR"/>
        </w:rPr>
        <w:fldChar w:fldCharType="begin"/>
      </w:r>
      <w:r w:rsidRPr="00A14C49">
        <w:rPr>
          <w:lang w:val="fr-FR"/>
        </w:rPr>
        <w:instrText xml:space="preserve"> AUTONUM  </w:instrText>
      </w:r>
      <w:r w:rsidRPr="00A14C49">
        <w:rPr>
          <w:lang w:val="fr-FR"/>
        </w:rPr>
        <w:fldChar w:fldCharType="end"/>
      </w:r>
      <w:r w:rsidRPr="00A14C49">
        <w:rPr>
          <w:lang w:val="fr-FR"/>
        </w:rPr>
        <w:tab/>
      </w:r>
      <w:r w:rsidR="004926BA" w:rsidRPr="00A14C49">
        <w:rPr>
          <w:lang w:val="fr-FR"/>
        </w:rPr>
        <w:t>La structure du présent document est la suivante</w:t>
      </w:r>
      <w:r w:rsidR="00A20155" w:rsidRPr="00A14C49">
        <w:rPr>
          <w:lang w:val="fr-FR"/>
        </w:rPr>
        <w:t> :</w:t>
      </w:r>
    </w:p>
    <w:p w:rsidR="00124277" w:rsidRPr="00A14C49" w:rsidRDefault="00124277" w:rsidP="00A14C49">
      <w:pPr>
        <w:rPr>
          <w:rFonts w:cs="Arial"/>
          <w:lang w:val="fr-FR"/>
        </w:rPr>
      </w:pPr>
    </w:p>
    <w:p w:rsidR="00A90E4D" w:rsidRPr="0028209C" w:rsidRDefault="00C40551">
      <w:pPr>
        <w:pStyle w:val="TOC1"/>
        <w:rPr>
          <w:rFonts w:asciiTheme="minorHAnsi" w:eastAsiaTheme="minorEastAsia" w:hAnsiTheme="minorHAnsi" w:cstheme="minorBidi"/>
          <w:b w:val="0"/>
          <w:bCs w:val="0"/>
          <w:caps w:val="0"/>
          <w:noProof/>
          <w:sz w:val="22"/>
          <w:szCs w:val="22"/>
          <w:lang w:val="fr-FR" w:eastAsia="fr-FR"/>
        </w:rPr>
      </w:pPr>
      <w:r w:rsidRPr="00A14C49">
        <w:rPr>
          <w:b w:val="0"/>
          <w:lang w:val="fr-FR"/>
        </w:rPr>
        <w:fldChar w:fldCharType="begin"/>
      </w:r>
      <w:r w:rsidRPr="00A14C49">
        <w:rPr>
          <w:b w:val="0"/>
          <w:lang w:val="fr-FR"/>
        </w:rPr>
        <w:instrText xml:space="preserve"> TOC \o "1-3" \h \z \u </w:instrText>
      </w:r>
      <w:r w:rsidRPr="00A14C49">
        <w:rPr>
          <w:b w:val="0"/>
          <w:lang w:val="fr-FR"/>
        </w:rPr>
        <w:fldChar w:fldCharType="separate"/>
      </w:r>
      <w:hyperlink w:anchor="_Toc413399262" w:history="1">
        <w:r w:rsidR="00A90E4D" w:rsidRPr="0028209C">
          <w:rPr>
            <w:rStyle w:val="Hyperlink"/>
            <w:b w:val="0"/>
            <w:noProof/>
            <w:lang w:val="fr-FR"/>
          </w:rPr>
          <w:t>Informations générales</w:t>
        </w:r>
        <w:r w:rsidR="00A90E4D" w:rsidRPr="0028209C">
          <w:rPr>
            <w:b w:val="0"/>
            <w:noProof/>
            <w:webHidden/>
          </w:rPr>
          <w:tab/>
        </w:r>
        <w:r w:rsidR="00A90E4D" w:rsidRPr="0028209C">
          <w:rPr>
            <w:b w:val="0"/>
            <w:noProof/>
            <w:webHidden/>
          </w:rPr>
          <w:fldChar w:fldCharType="begin"/>
        </w:r>
        <w:r w:rsidR="00A90E4D" w:rsidRPr="0028209C">
          <w:rPr>
            <w:b w:val="0"/>
            <w:noProof/>
            <w:webHidden/>
          </w:rPr>
          <w:instrText xml:space="preserve"> PAGEREF _Toc413399262 \h </w:instrText>
        </w:r>
        <w:r w:rsidR="00A90E4D" w:rsidRPr="0028209C">
          <w:rPr>
            <w:b w:val="0"/>
            <w:noProof/>
            <w:webHidden/>
          </w:rPr>
        </w:r>
        <w:r w:rsidR="00A90E4D" w:rsidRPr="0028209C">
          <w:rPr>
            <w:b w:val="0"/>
            <w:noProof/>
            <w:webHidden/>
          </w:rPr>
          <w:fldChar w:fldCharType="separate"/>
        </w:r>
        <w:r w:rsidR="00EF1DDD">
          <w:rPr>
            <w:b w:val="0"/>
            <w:noProof/>
            <w:webHidden/>
          </w:rPr>
          <w:t>1</w:t>
        </w:r>
        <w:r w:rsidR="00A90E4D" w:rsidRPr="0028209C">
          <w:rPr>
            <w:b w:val="0"/>
            <w:noProof/>
            <w:webHidden/>
          </w:rPr>
          <w:fldChar w:fldCharType="end"/>
        </w:r>
      </w:hyperlink>
    </w:p>
    <w:p w:rsidR="00A90E4D" w:rsidRDefault="00EF1DDD">
      <w:pPr>
        <w:pStyle w:val="TOC1"/>
        <w:rPr>
          <w:rFonts w:asciiTheme="minorHAnsi" w:eastAsiaTheme="minorEastAsia" w:hAnsiTheme="minorHAnsi" w:cstheme="minorBidi"/>
          <w:b w:val="0"/>
          <w:bCs w:val="0"/>
          <w:caps w:val="0"/>
          <w:noProof/>
          <w:sz w:val="22"/>
          <w:szCs w:val="22"/>
          <w:lang w:val="fr-FR" w:eastAsia="fr-FR"/>
        </w:rPr>
      </w:pPr>
      <w:hyperlink w:anchor="_Toc413399263" w:history="1">
        <w:r w:rsidR="00A90E4D" w:rsidRPr="0028209C">
          <w:rPr>
            <w:rStyle w:val="Hyperlink"/>
            <w:b w:val="0"/>
            <w:noProof/>
            <w:snapToGrid w:val="0"/>
            <w:lang w:val="fr-FR"/>
          </w:rPr>
          <w:t>Faits nouveaux en 2014</w:t>
        </w:r>
        <w:r w:rsidR="00A90E4D" w:rsidRPr="0028209C">
          <w:rPr>
            <w:b w:val="0"/>
            <w:noProof/>
            <w:webHidden/>
          </w:rPr>
          <w:tab/>
        </w:r>
        <w:r w:rsidR="00A90E4D" w:rsidRPr="0028209C">
          <w:rPr>
            <w:b w:val="0"/>
            <w:noProof/>
            <w:webHidden/>
          </w:rPr>
          <w:fldChar w:fldCharType="begin"/>
        </w:r>
        <w:r w:rsidR="00A90E4D" w:rsidRPr="0028209C">
          <w:rPr>
            <w:b w:val="0"/>
            <w:noProof/>
            <w:webHidden/>
          </w:rPr>
          <w:instrText xml:space="preserve"> PAGEREF _Toc413399263 \h </w:instrText>
        </w:r>
        <w:r w:rsidR="00A90E4D" w:rsidRPr="0028209C">
          <w:rPr>
            <w:b w:val="0"/>
            <w:noProof/>
            <w:webHidden/>
          </w:rPr>
        </w:r>
        <w:r w:rsidR="00A90E4D" w:rsidRPr="0028209C">
          <w:rPr>
            <w:b w:val="0"/>
            <w:noProof/>
            <w:webHidden/>
          </w:rPr>
          <w:fldChar w:fldCharType="separate"/>
        </w:r>
        <w:r>
          <w:rPr>
            <w:b w:val="0"/>
            <w:noProof/>
            <w:webHidden/>
          </w:rPr>
          <w:t>2</w:t>
        </w:r>
        <w:r w:rsidR="00A90E4D" w:rsidRPr="0028209C">
          <w:rPr>
            <w:b w:val="0"/>
            <w:noProof/>
            <w:webHidden/>
          </w:rPr>
          <w:fldChar w:fldCharType="end"/>
        </w:r>
      </w:hyperlink>
    </w:p>
    <w:p w:rsidR="00A90E4D" w:rsidRDefault="00EF1DDD">
      <w:pPr>
        <w:pStyle w:val="TOC3"/>
        <w:tabs>
          <w:tab w:val="right" w:leader="dot" w:pos="9628"/>
        </w:tabs>
        <w:rPr>
          <w:rFonts w:asciiTheme="minorHAnsi" w:eastAsiaTheme="minorEastAsia" w:hAnsiTheme="minorHAnsi" w:cstheme="minorBidi"/>
          <w:i w:val="0"/>
          <w:iCs w:val="0"/>
          <w:noProof/>
          <w:sz w:val="22"/>
          <w:szCs w:val="22"/>
          <w:lang w:val="fr-FR" w:eastAsia="fr-FR"/>
        </w:rPr>
      </w:pPr>
      <w:hyperlink w:anchor="_Toc413399264" w:history="1">
        <w:r w:rsidR="00A90E4D" w:rsidRPr="009C1585">
          <w:rPr>
            <w:rStyle w:val="Hyperlink"/>
            <w:noProof/>
          </w:rPr>
          <w:t>Comité technique</w:t>
        </w:r>
        <w:r w:rsidR="00A90E4D">
          <w:rPr>
            <w:noProof/>
            <w:webHidden/>
          </w:rPr>
          <w:tab/>
        </w:r>
        <w:r w:rsidR="00A90E4D">
          <w:rPr>
            <w:noProof/>
            <w:webHidden/>
          </w:rPr>
          <w:fldChar w:fldCharType="begin"/>
        </w:r>
        <w:r w:rsidR="00A90E4D">
          <w:rPr>
            <w:noProof/>
            <w:webHidden/>
          </w:rPr>
          <w:instrText xml:space="preserve"> PAGEREF _Toc413399264 \h </w:instrText>
        </w:r>
        <w:r w:rsidR="00A90E4D">
          <w:rPr>
            <w:noProof/>
            <w:webHidden/>
          </w:rPr>
        </w:r>
        <w:r w:rsidR="00A90E4D">
          <w:rPr>
            <w:noProof/>
            <w:webHidden/>
          </w:rPr>
          <w:fldChar w:fldCharType="separate"/>
        </w:r>
        <w:r>
          <w:rPr>
            <w:noProof/>
            <w:webHidden/>
          </w:rPr>
          <w:t>2</w:t>
        </w:r>
        <w:r w:rsidR="00A90E4D">
          <w:rPr>
            <w:noProof/>
            <w:webHidden/>
          </w:rPr>
          <w:fldChar w:fldCharType="end"/>
        </w:r>
      </w:hyperlink>
    </w:p>
    <w:p w:rsidR="00A90E4D" w:rsidRDefault="00EF1DDD">
      <w:pPr>
        <w:pStyle w:val="TOC3"/>
        <w:tabs>
          <w:tab w:val="right" w:leader="dot" w:pos="9628"/>
        </w:tabs>
        <w:rPr>
          <w:rFonts w:asciiTheme="minorHAnsi" w:eastAsiaTheme="minorEastAsia" w:hAnsiTheme="minorHAnsi" w:cstheme="minorBidi"/>
          <w:i w:val="0"/>
          <w:iCs w:val="0"/>
          <w:noProof/>
          <w:sz w:val="22"/>
          <w:szCs w:val="22"/>
          <w:lang w:val="fr-FR" w:eastAsia="fr-FR"/>
        </w:rPr>
      </w:pPr>
      <w:hyperlink w:anchor="_Toc413399265" w:history="1">
        <w:r w:rsidR="00A90E4D" w:rsidRPr="009C1585">
          <w:rPr>
            <w:rStyle w:val="Hyperlink"/>
            <w:noProof/>
          </w:rPr>
          <w:t>Questions soulevées par l’International Seed Federation (ISF)</w:t>
        </w:r>
        <w:r w:rsidR="00A90E4D">
          <w:rPr>
            <w:noProof/>
            <w:webHidden/>
          </w:rPr>
          <w:tab/>
        </w:r>
        <w:r w:rsidR="00A90E4D">
          <w:rPr>
            <w:noProof/>
            <w:webHidden/>
          </w:rPr>
          <w:fldChar w:fldCharType="begin"/>
        </w:r>
        <w:r w:rsidR="00A90E4D">
          <w:rPr>
            <w:noProof/>
            <w:webHidden/>
          </w:rPr>
          <w:instrText xml:space="preserve"> PAGEREF _Toc413399265 \h </w:instrText>
        </w:r>
        <w:r w:rsidR="00A90E4D">
          <w:rPr>
            <w:noProof/>
            <w:webHidden/>
          </w:rPr>
        </w:r>
        <w:r w:rsidR="00A90E4D">
          <w:rPr>
            <w:noProof/>
            <w:webHidden/>
          </w:rPr>
          <w:fldChar w:fldCharType="separate"/>
        </w:r>
        <w:r>
          <w:rPr>
            <w:noProof/>
            <w:webHidden/>
          </w:rPr>
          <w:t>2</w:t>
        </w:r>
        <w:r w:rsidR="00A90E4D">
          <w:rPr>
            <w:noProof/>
            <w:webHidden/>
          </w:rPr>
          <w:fldChar w:fldCharType="end"/>
        </w:r>
      </w:hyperlink>
    </w:p>
    <w:p w:rsidR="00A90E4D" w:rsidRDefault="00EF1DDD">
      <w:pPr>
        <w:pStyle w:val="TOC3"/>
        <w:tabs>
          <w:tab w:val="right" w:leader="dot" w:pos="9628"/>
        </w:tabs>
        <w:rPr>
          <w:rFonts w:asciiTheme="minorHAnsi" w:eastAsiaTheme="minorEastAsia" w:hAnsiTheme="minorHAnsi" w:cstheme="minorBidi"/>
          <w:i w:val="0"/>
          <w:iCs w:val="0"/>
          <w:noProof/>
          <w:sz w:val="22"/>
          <w:szCs w:val="22"/>
          <w:lang w:val="fr-FR" w:eastAsia="fr-FR"/>
        </w:rPr>
      </w:pPr>
      <w:hyperlink w:anchor="_Toc413399266" w:history="1">
        <w:r w:rsidR="00A90E4D" w:rsidRPr="009C1585">
          <w:rPr>
            <w:rStyle w:val="Hyperlink"/>
            <w:noProof/>
          </w:rPr>
          <w:t>Comité administratif et juridique</w:t>
        </w:r>
        <w:r w:rsidR="00A90E4D">
          <w:rPr>
            <w:noProof/>
            <w:webHidden/>
          </w:rPr>
          <w:tab/>
        </w:r>
        <w:r w:rsidR="00A90E4D">
          <w:rPr>
            <w:noProof/>
            <w:webHidden/>
          </w:rPr>
          <w:fldChar w:fldCharType="begin"/>
        </w:r>
        <w:r w:rsidR="00A90E4D">
          <w:rPr>
            <w:noProof/>
            <w:webHidden/>
          </w:rPr>
          <w:instrText xml:space="preserve"> PAGEREF _Toc413399266 \h </w:instrText>
        </w:r>
        <w:r w:rsidR="00A90E4D">
          <w:rPr>
            <w:noProof/>
            <w:webHidden/>
          </w:rPr>
        </w:r>
        <w:r w:rsidR="00A90E4D">
          <w:rPr>
            <w:noProof/>
            <w:webHidden/>
          </w:rPr>
          <w:fldChar w:fldCharType="separate"/>
        </w:r>
        <w:r>
          <w:rPr>
            <w:noProof/>
            <w:webHidden/>
          </w:rPr>
          <w:t>4</w:t>
        </w:r>
        <w:r w:rsidR="00A90E4D">
          <w:rPr>
            <w:noProof/>
            <w:webHidden/>
          </w:rPr>
          <w:fldChar w:fldCharType="end"/>
        </w:r>
      </w:hyperlink>
    </w:p>
    <w:p w:rsidR="00A90E4D" w:rsidRDefault="00EF1DDD">
      <w:pPr>
        <w:pStyle w:val="TOC3"/>
        <w:tabs>
          <w:tab w:val="right" w:leader="dot" w:pos="9628"/>
        </w:tabs>
        <w:rPr>
          <w:rFonts w:asciiTheme="minorHAnsi" w:eastAsiaTheme="minorEastAsia" w:hAnsiTheme="minorHAnsi" w:cstheme="minorBidi"/>
          <w:i w:val="0"/>
          <w:iCs w:val="0"/>
          <w:noProof/>
          <w:sz w:val="22"/>
          <w:szCs w:val="22"/>
          <w:lang w:val="fr-FR" w:eastAsia="fr-FR"/>
        </w:rPr>
      </w:pPr>
      <w:hyperlink w:anchor="_Toc413399267" w:history="1">
        <w:r w:rsidR="00A90E4D" w:rsidRPr="009C1585">
          <w:rPr>
            <w:rStyle w:val="Hyperlink"/>
            <w:noProof/>
          </w:rPr>
          <w:t>Groupes de travail techniques</w:t>
        </w:r>
        <w:r w:rsidR="00A90E4D">
          <w:rPr>
            <w:noProof/>
            <w:webHidden/>
          </w:rPr>
          <w:tab/>
        </w:r>
        <w:r w:rsidR="00A90E4D">
          <w:rPr>
            <w:noProof/>
            <w:webHidden/>
          </w:rPr>
          <w:fldChar w:fldCharType="begin"/>
        </w:r>
        <w:r w:rsidR="00A90E4D">
          <w:rPr>
            <w:noProof/>
            <w:webHidden/>
          </w:rPr>
          <w:instrText xml:space="preserve"> PAGEREF _Toc413399267 \h </w:instrText>
        </w:r>
        <w:r w:rsidR="00A90E4D">
          <w:rPr>
            <w:noProof/>
            <w:webHidden/>
          </w:rPr>
        </w:r>
        <w:r w:rsidR="00A90E4D">
          <w:rPr>
            <w:noProof/>
            <w:webHidden/>
          </w:rPr>
          <w:fldChar w:fldCharType="separate"/>
        </w:r>
        <w:r>
          <w:rPr>
            <w:noProof/>
            <w:webHidden/>
          </w:rPr>
          <w:t>5</w:t>
        </w:r>
        <w:r w:rsidR="00A90E4D">
          <w:rPr>
            <w:noProof/>
            <w:webHidden/>
          </w:rPr>
          <w:fldChar w:fldCharType="end"/>
        </w:r>
      </w:hyperlink>
    </w:p>
    <w:p w:rsidR="00124277" w:rsidRPr="00A90E4D" w:rsidRDefault="00C40551" w:rsidP="00A90E4D">
      <w:r w:rsidRPr="00A14C49">
        <w:rPr>
          <w:lang w:val="fr-FR"/>
        </w:rPr>
        <w:fldChar w:fldCharType="end"/>
      </w:r>
    </w:p>
    <w:p w:rsidR="00A90E4D" w:rsidRPr="00A90E4D" w:rsidRDefault="00A90E4D" w:rsidP="00A90E4D"/>
    <w:p w:rsidR="00124277" w:rsidRPr="00A14C49" w:rsidRDefault="004926BA" w:rsidP="00A14C49">
      <w:pPr>
        <w:pStyle w:val="Heading1"/>
        <w:rPr>
          <w:lang w:val="fr-FR"/>
        </w:rPr>
      </w:pPr>
      <w:bookmarkStart w:id="6" w:name="_Toc413399262"/>
      <w:r w:rsidRPr="00A14C49">
        <w:rPr>
          <w:lang w:val="fr-FR"/>
        </w:rPr>
        <w:t>I</w:t>
      </w:r>
      <w:r w:rsidR="00542386" w:rsidRPr="00A14C49">
        <w:rPr>
          <w:lang w:val="fr-FR"/>
        </w:rPr>
        <w:t>nformations générales</w:t>
      </w:r>
      <w:bookmarkEnd w:id="6"/>
    </w:p>
    <w:p w:rsidR="00124277" w:rsidRPr="00A14C49" w:rsidRDefault="00124277" w:rsidP="00A14C49">
      <w:pPr>
        <w:rPr>
          <w:rFonts w:cs="Arial"/>
          <w:lang w:val="fr-FR"/>
        </w:rPr>
      </w:pPr>
    </w:p>
    <w:p w:rsidR="00124277" w:rsidRPr="00A14C49" w:rsidRDefault="008F0675" w:rsidP="00A14C49">
      <w:pPr>
        <w:rPr>
          <w:rFonts w:cs="Arial"/>
          <w:lang w:val="fr-FR"/>
        </w:rPr>
      </w:pPr>
      <w:r w:rsidRPr="00A14C49">
        <w:rPr>
          <w:rFonts w:cs="Arial"/>
          <w:lang w:val="fr-FR"/>
        </w:rPr>
        <w:fldChar w:fldCharType="begin"/>
      </w:r>
      <w:r w:rsidRPr="00A14C49">
        <w:rPr>
          <w:rFonts w:cs="Arial"/>
          <w:lang w:val="fr-FR"/>
        </w:rPr>
        <w:instrText xml:space="preserve"> AUTONUM  </w:instrText>
      </w:r>
      <w:r w:rsidRPr="00A14C49">
        <w:rPr>
          <w:rFonts w:cs="Arial"/>
          <w:lang w:val="fr-FR"/>
        </w:rPr>
        <w:fldChar w:fldCharType="end"/>
      </w:r>
      <w:r w:rsidRPr="00A14C49">
        <w:rPr>
          <w:rFonts w:cs="Arial"/>
          <w:lang w:val="fr-FR"/>
        </w:rPr>
        <w:tab/>
      </w:r>
      <w:r w:rsidR="00A20155" w:rsidRPr="00A14C49">
        <w:rPr>
          <w:rFonts w:cs="Arial"/>
          <w:lang w:val="fr-FR"/>
        </w:rPr>
        <w:t>À sa quarante</w:t>
      </w:r>
      <w:r w:rsidR="00542386" w:rsidRPr="00A14C49">
        <w:rPr>
          <w:rFonts w:cs="Arial"/>
          <w:lang w:val="fr-FR"/>
        </w:rPr>
        <w:noBreakHyphen/>
      </w:r>
      <w:r w:rsidR="00A20155" w:rsidRPr="00A14C49">
        <w:rPr>
          <w:rFonts w:cs="Arial"/>
          <w:lang w:val="fr-FR"/>
        </w:rPr>
        <w:t>cinquième session, tenue à Genève du 30 mars au 1</w:t>
      </w:r>
      <w:r w:rsidR="00A20155" w:rsidRPr="00A14C49">
        <w:rPr>
          <w:rFonts w:cs="Arial"/>
          <w:vertAlign w:val="superscript"/>
          <w:lang w:val="fr-FR"/>
        </w:rPr>
        <w:t>er</w:t>
      </w:r>
      <w:r w:rsidR="00A20155" w:rsidRPr="00A14C49">
        <w:rPr>
          <w:rFonts w:cs="Arial"/>
          <w:lang w:val="fr-FR"/>
        </w:rPr>
        <w:t xml:space="preserve"> avril 2009, le Comité technique (TC) a noté </w:t>
      </w:r>
      <w:r w:rsidR="004926BA" w:rsidRPr="00A14C49">
        <w:rPr>
          <w:rFonts w:cs="Arial"/>
          <w:lang w:val="fr-FR"/>
        </w:rPr>
        <w:t>qu</w:t>
      </w:r>
      <w:r w:rsidR="00050DB5" w:rsidRPr="00A14C49">
        <w:rPr>
          <w:rFonts w:cs="Arial"/>
          <w:lang w:val="fr-FR"/>
        </w:rPr>
        <w:t>’</w:t>
      </w:r>
      <w:r w:rsidR="004926BA" w:rsidRPr="00A14C49">
        <w:rPr>
          <w:rFonts w:cs="Arial"/>
          <w:lang w:val="fr-FR"/>
        </w:rPr>
        <w:t>il ressortait des</w:t>
      </w:r>
      <w:r w:rsidR="00A20155" w:rsidRPr="00A14C49">
        <w:rPr>
          <w:rFonts w:cs="Arial"/>
          <w:lang w:val="fr-FR"/>
        </w:rPr>
        <w:t xml:space="preserve"> faits nouveaux </w:t>
      </w:r>
      <w:r w:rsidR="004926BA" w:rsidRPr="00A14C49">
        <w:rPr>
          <w:rFonts w:cs="Arial"/>
          <w:lang w:val="fr-FR"/>
        </w:rPr>
        <w:t>consignés</w:t>
      </w:r>
      <w:r w:rsidR="00A20155" w:rsidRPr="00A14C49">
        <w:rPr>
          <w:rFonts w:cs="Arial"/>
          <w:lang w:val="fr-FR"/>
        </w:rPr>
        <w:t xml:space="preserve"> dans le </w:t>
      </w:r>
      <w:r w:rsidR="00050DB5" w:rsidRPr="00A14C49">
        <w:rPr>
          <w:rFonts w:cs="Arial"/>
          <w:lang w:val="fr-FR"/>
        </w:rPr>
        <w:t>document TC</w:t>
      </w:r>
      <w:r w:rsidR="00A20155" w:rsidRPr="00A14C49">
        <w:rPr>
          <w:rFonts w:cs="Arial"/>
          <w:lang w:val="fr-FR"/>
        </w:rPr>
        <w:t>/45/9 “Publication des descriptions variétales” que les membres de l</w:t>
      </w:r>
      <w:r w:rsidR="00050DB5" w:rsidRPr="00A14C49">
        <w:rPr>
          <w:rFonts w:cs="Arial"/>
          <w:lang w:val="fr-FR"/>
        </w:rPr>
        <w:t>’</w:t>
      </w:r>
      <w:r w:rsidR="00A20155" w:rsidRPr="00A14C49">
        <w:rPr>
          <w:rFonts w:cs="Arial"/>
          <w:lang w:val="fr-FR"/>
        </w:rPr>
        <w:t>Union mettaient actuellement au point des bases de données contenant des données morphologiques ou moléculaires et, le cas échéant, qu</w:t>
      </w:r>
      <w:r w:rsidR="00050DB5" w:rsidRPr="00A14C49">
        <w:rPr>
          <w:rFonts w:cs="Arial"/>
          <w:lang w:val="fr-FR"/>
        </w:rPr>
        <w:t>’</w:t>
      </w:r>
      <w:r w:rsidR="00A20155" w:rsidRPr="00A14C49">
        <w:rPr>
          <w:rFonts w:cs="Arial"/>
          <w:lang w:val="fr-FR"/>
        </w:rPr>
        <w:t>ils collaboraient à la mise au point de bases de données destinées à la gestion des collections de variétés, notamment à l</w:t>
      </w:r>
      <w:r w:rsidR="00050DB5" w:rsidRPr="00A14C49">
        <w:rPr>
          <w:rFonts w:cs="Arial"/>
          <w:lang w:val="fr-FR"/>
        </w:rPr>
        <w:t>’</w:t>
      </w:r>
      <w:r w:rsidR="00A20155" w:rsidRPr="00A14C49">
        <w:rPr>
          <w:rFonts w:cs="Arial"/>
          <w:lang w:val="fr-FR"/>
        </w:rPr>
        <w:t>échelle régionale.</w:t>
      </w:r>
      <w:r w:rsidRPr="00A14C49">
        <w:rPr>
          <w:lang w:val="fr-FR"/>
        </w:rPr>
        <w:t xml:space="preserve">  </w:t>
      </w:r>
      <w:r w:rsidR="00A20155" w:rsidRPr="00A14C49">
        <w:rPr>
          <w:rFonts w:cs="Arial"/>
          <w:snapToGrid w:val="0"/>
          <w:szCs w:val="24"/>
          <w:lang w:val="fr-FR"/>
        </w:rPr>
        <w:t>Il est convenu qu</w:t>
      </w:r>
      <w:r w:rsidR="00050DB5" w:rsidRPr="00A14C49">
        <w:rPr>
          <w:rFonts w:cs="Arial"/>
          <w:snapToGrid w:val="0"/>
          <w:szCs w:val="24"/>
          <w:lang w:val="fr-FR"/>
        </w:rPr>
        <w:t>’</w:t>
      </w:r>
      <w:r w:rsidR="00A20155" w:rsidRPr="00A14C49">
        <w:rPr>
          <w:rFonts w:cs="Arial"/>
          <w:snapToGrid w:val="0"/>
          <w:szCs w:val="24"/>
          <w:lang w:val="fr-FR"/>
        </w:rPr>
        <w:t>il pourrait être utile d</w:t>
      </w:r>
      <w:r w:rsidR="00050DB5" w:rsidRPr="00A14C49">
        <w:rPr>
          <w:rFonts w:cs="Arial"/>
          <w:snapToGrid w:val="0"/>
          <w:szCs w:val="24"/>
          <w:lang w:val="fr-FR"/>
        </w:rPr>
        <w:t>’</w:t>
      </w:r>
      <w:r w:rsidR="00A20155" w:rsidRPr="00A14C49">
        <w:rPr>
          <w:rFonts w:cs="Arial"/>
          <w:snapToGrid w:val="0"/>
          <w:szCs w:val="24"/>
          <w:lang w:val="fr-FR"/>
        </w:rPr>
        <w:t>offrir aux membres de l</w:t>
      </w:r>
      <w:r w:rsidR="00050DB5" w:rsidRPr="00A14C49">
        <w:rPr>
          <w:rFonts w:cs="Arial"/>
          <w:snapToGrid w:val="0"/>
          <w:szCs w:val="24"/>
          <w:lang w:val="fr-FR"/>
        </w:rPr>
        <w:t>’</w:t>
      </w:r>
      <w:r w:rsidR="00A20155" w:rsidRPr="00A14C49">
        <w:rPr>
          <w:rFonts w:cs="Arial"/>
          <w:snapToGrid w:val="0"/>
          <w:szCs w:val="24"/>
          <w:lang w:val="fr-FR"/>
        </w:rPr>
        <w:t>Union la possibilité de rendre compte de ces travaux de manière cohérente au</w:t>
      </w:r>
      <w:r w:rsidR="00050DB5" w:rsidRPr="00A14C49">
        <w:rPr>
          <w:rFonts w:cs="Arial"/>
          <w:snapToGrid w:val="0"/>
          <w:szCs w:val="24"/>
          <w:lang w:val="fr-FR"/>
        </w:rPr>
        <w:t> TC</w:t>
      </w:r>
      <w:r w:rsidR="00A20155" w:rsidRPr="00A14C49">
        <w:rPr>
          <w:rFonts w:cs="Arial"/>
          <w:snapToGrid w:val="0"/>
          <w:szCs w:val="24"/>
          <w:lang w:val="fr-FR"/>
        </w:rPr>
        <w:t xml:space="preserve">, aux Groupes de travail techniques (TWP) et au Groupe </w:t>
      </w:r>
      <w:r w:rsidR="00A20155" w:rsidRPr="00A14C49">
        <w:rPr>
          <w:rFonts w:cs="Arial"/>
          <w:snapToGrid w:val="0"/>
          <w:szCs w:val="24"/>
          <w:lang w:val="fr-FR"/>
        </w:rPr>
        <w:lastRenderedPageBreak/>
        <w:t>de travail sur les techniques biochimiques et moléculaires, notamment les profils d</w:t>
      </w:r>
      <w:r w:rsidR="00050DB5" w:rsidRPr="00A14C49">
        <w:rPr>
          <w:rFonts w:cs="Arial"/>
          <w:snapToGrid w:val="0"/>
          <w:szCs w:val="24"/>
          <w:lang w:val="fr-FR"/>
        </w:rPr>
        <w:t>’</w:t>
      </w:r>
      <w:r w:rsidR="00A20155" w:rsidRPr="00A14C49">
        <w:rPr>
          <w:rFonts w:cs="Arial"/>
          <w:snapToGrid w:val="0"/>
          <w:szCs w:val="24"/>
          <w:lang w:val="fr-FR"/>
        </w:rPr>
        <w:t>ADN (BMT).</w:t>
      </w:r>
      <w:r w:rsidRPr="00A14C49">
        <w:rPr>
          <w:lang w:val="fr-FR"/>
        </w:rPr>
        <w:t xml:space="preserve">  </w:t>
      </w:r>
      <w:r w:rsidR="004612B0" w:rsidRPr="00A14C49">
        <w:rPr>
          <w:rFonts w:cs="Arial"/>
          <w:snapToGrid w:val="0"/>
          <w:szCs w:val="24"/>
          <w:lang w:val="fr-FR"/>
        </w:rPr>
        <w:t>Sur cette base, le</w:t>
      </w:r>
      <w:r w:rsidR="00050DB5" w:rsidRPr="00A14C49">
        <w:rPr>
          <w:rFonts w:cs="Arial"/>
          <w:snapToGrid w:val="0"/>
          <w:szCs w:val="24"/>
          <w:lang w:val="fr-FR"/>
        </w:rPr>
        <w:t> TC</w:t>
      </w:r>
      <w:r w:rsidR="004612B0" w:rsidRPr="00A14C49">
        <w:rPr>
          <w:rFonts w:cs="Arial"/>
          <w:snapToGrid w:val="0"/>
          <w:szCs w:val="24"/>
          <w:lang w:val="fr-FR"/>
        </w:rPr>
        <w:t xml:space="preserve"> est convenu de remplacer le point de l</w:t>
      </w:r>
      <w:r w:rsidR="00050DB5" w:rsidRPr="00A14C49">
        <w:rPr>
          <w:rFonts w:cs="Arial"/>
          <w:snapToGrid w:val="0"/>
          <w:szCs w:val="24"/>
          <w:lang w:val="fr-FR"/>
        </w:rPr>
        <w:t>’</w:t>
      </w:r>
      <w:r w:rsidR="004612B0" w:rsidRPr="00A14C49">
        <w:rPr>
          <w:rFonts w:cs="Arial"/>
          <w:snapToGrid w:val="0"/>
          <w:szCs w:val="24"/>
          <w:lang w:val="fr-FR"/>
        </w:rPr>
        <w:t>ordre du jour “Publication des descriptions variétales” par le point “Bases de données sur les descriptions variétales” aux ordres du jour des prochaines sessions du</w:t>
      </w:r>
      <w:r w:rsidR="00050DB5" w:rsidRPr="00A14C49">
        <w:rPr>
          <w:rFonts w:cs="Arial"/>
          <w:snapToGrid w:val="0"/>
          <w:szCs w:val="24"/>
          <w:lang w:val="fr-FR"/>
        </w:rPr>
        <w:t> TC</w:t>
      </w:r>
      <w:r w:rsidR="004612B0" w:rsidRPr="00A14C49">
        <w:rPr>
          <w:rFonts w:cs="Arial"/>
          <w:snapToGrid w:val="0"/>
          <w:szCs w:val="24"/>
          <w:lang w:val="fr-FR"/>
        </w:rPr>
        <w:t>,</w:t>
      </w:r>
      <w:r w:rsidR="00050DB5" w:rsidRPr="00A14C49">
        <w:rPr>
          <w:rFonts w:cs="Arial"/>
          <w:snapToGrid w:val="0"/>
          <w:szCs w:val="24"/>
          <w:lang w:val="fr-FR"/>
        </w:rPr>
        <w:t xml:space="preserve"> des TWP</w:t>
      </w:r>
      <w:r w:rsidR="004612B0" w:rsidRPr="00A14C49">
        <w:rPr>
          <w:rFonts w:cs="Arial"/>
          <w:snapToGrid w:val="0"/>
          <w:szCs w:val="24"/>
          <w:lang w:val="fr-FR"/>
        </w:rPr>
        <w:t xml:space="preserve"> et</w:t>
      </w:r>
      <w:r w:rsidR="00050DB5" w:rsidRPr="00A14C49">
        <w:rPr>
          <w:rFonts w:cs="Arial"/>
          <w:snapToGrid w:val="0"/>
          <w:szCs w:val="24"/>
          <w:lang w:val="fr-FR"/>
        </w:rPr>
        <w:t xml:space="preserve"> du BMT</w:t>
      </w:r>
      <w:r w:rsidRPr="00A14C49">
        <w:rPr>
          <w:rFonts w:cs="Arial"/>
          <w:snapToGrid w:val="0"/>
          <w:szCs w:val="24"/>
          <w:lang w:val="fr-FR"/>
        </w:rPr>
        <w:t>.</w:t>
      </w:r>
      <w:r w:rsidRPr="00A14C49">
        <w:rPr>
          <w:lang w:val="fr-FR"/>
        </w:rPr>
        <w:t xml:space="preserve">  </w:t>
      </w:r>
      <w:r w:rsidR="004612B0" w:rsidRPr="00A14C49">
        <w:rPr>
          <w:rFonts w:cs="Arial"/>
          <w:snapToGrid w:val="0"/>
          <w:szCs w:val="24"/>
          <w:lang w:val="fr-FR"/>
        </w:rPr>
        <w:t>À cet égard, il a rappelé l</w:t>
      </w:r>
      <w:r w:rsidR="00050DB5" w:rsidRPr="00A14C49">
        <w:rPr>
          <w:rFonts w:cs="Arial"/>
          <w:snapToGrid w:val="0"/>
          <w:szCs w:val="24"/>
          <w:lang w:val="fr-FR"/>
        </w:rPr>
        <w:t>’</w:t>
      </w:r>
      <w:r w:rsidR="004612B0" w:rsidRPr="00A14C49">
        <w:rPr>
          <w:rFonts w:cs="Arial"/>
          <w:snapToGrid w:val="0"/>
          <w:szCs w:val="24"/>
          <w:lang w:val="fr-FR"/>
        </w:rPr>
        <w:t>importance de la liste de critères à prendre en considération pour l</w:t>
      </w:r>
      <w:r w:rsidR="00050DB5" w:rsidRPr="00A14C49">
        <w:rPr>
          <w:rFonts w:cs="Arial"/>
          <w:snapToGrid w:val="0"/>
          <w:szCs w:val="24"/>
          <w:lang w:val="fr-FR"/>
        </w:rPr>
        <w:t>’</w:t>
      </w:r>
      <w:r w:rsidR="004612B0" w:rsidRPr="00A14C49">
        <w:rPr>
          <w:rFonts w:cs="Arial"/>
          <w:snapToGrid w:val="0"/>
          <w:szCs w:val="24"/>
          <w:lang w:val="fr-FR"/>
        </w:rPr>
        <w:t>utilisation des descriptions provenant de différents endroits et de différentes sources, telle qu</w:t>
      </w:r>
      <w:r w:rsidR="00050DB5" w:rsidRPr="00A14C49">
        <w:rPr>
          <w:rFonts w:cs="Arial"/>
          <w:snapToGrid w:val="0"/>
          <w:szCs w:val="24"/>
          <w:lang w:val="fr-FR"/>
        </w:rPr>
        <w:t>’</w:t>
      </w:r>
      <w:r w:rsidR="004612B0" w:rsidRPr="00A14C49">
        <w:rPr>
          <w:rFonts w:cs="Arial"/>
          <w:snapToGrid w:val="0"/>
          <w:szCs w:val="24"/>
          <w:lang w:val="fr-FR"/>
        </w:rPr>
        <w:t>elle est établie au paragraphe</w:t>
      </w:r>
      <w:r w:rsidR="008A5357" w:rsidRPr="00A14C49">
        <w:rPr>
          <w:rFonts w:cs="Arial"/>
          <w:snapToGrid w:val="0"/>
          <w:szCs w:val="24"/>
          <w:lang w:val="fr-FR"/>
        </w:rPr>
        <w:t> </w:t>
      </w:r>
      <w:r w:rsidR="004612B0" w:rsidRPr="00A14C49">
        <w:rPr>
          <w:rFonts w:cs="Arial"/>
          <w:snapToGrid w:val="0"/>
          <w:szCs w:val="24"/>
          <w:lang w:val="fr-FR"/>
        </w:rPr>
        <w:t xml:space="preserve">3 du </w:t>
      </w:r>
      <w:r w:rsidR="00050DB5" w:rsidRPr="00A14C49">
        <w:rPr>
          <w:rFonts w:cs="Arial"/>
          <w:snapToGrid w:val="0"/>
          <w:szCs w:val="24"/>
          <w:lang w:val="fr-FR"/>
        </w:rPr>
        <w:t>document TC</w:t>
      </w:r>
      <w:r w:rsidR="004612B0" w:rsidRPr="00A14C49">
        <w:rPr>
          <w:rFonts w:cs="Arial"/>
          <w:snapToGrid w:val="0"/>
          <w:szCs w:val="24"/>
          <w:lang w:val="fr-FR"/>
        </w:rPr>
        <w:t>/45/9</w:t>
      </w:r>
      <w:r w:rsidRPr="00A14C49">
        <w:rPr>
          <w:rFonts w:cs="Arial"/>
          <w:lang w:val="fr-FR"/>
        </w:rPr>
        <w:t xml:space="preserve">.  </w:t>
      </w:r>
      <w:r w:rsidR="004612B0" w:rsidRPr="00A14C49">
        <w:rPr>
          <w:rFonts w:cs="Arial"/>
          <w:lang w:val="fr-FR"/>
        </w:rPr>
        <w:t>Le</w:t>
      </w:r>
      <w:r w:rsidR="00050DB5" w:rsidRPr="00A14C49">
        <w:rPr>
          <w:rFonts w:cs="Arial"/>
          <w:lang w:val="fr-FR"/>
        </w:rPr>
        <w:t> TC</w:t>
      </w:r>
      <w:r w:rsidR="004612B0" w:rsidRPr="00A14C49">
        <w:rPr>
          <w:rFonts w:cs="Arial"/>
          <w:lang w:val="fr-FR"/>
        </w:rPr>
        <w:t xml:space="preserve"> est également convenu qu</w:t>
      </w:r>
      <w:r w:rsidR="00050DB5" w:rsidRPr="00A14C49">
        <w:rPr>
          <w:rFonts w:cs="Arial"/>
          <w:lang w:val="fr-FR"/>
        </w:rPr>
        <w:t>’</w:t>
      </w:r>
      <w:r w:rsidR="004612B0" w:rsidRPr="00A14C49">
        <w:rPr>
          <w:rFonts w:cs="Arial"/>
          <w:lang w:val="fr-FR"/>
        </w:rPr>
        <w:t>il ne serait pas nécessaire que l</w:t>
      </w:r>
      <w:r w:rsidR="00050DB5" w:rsidRPr="00A14C49">
        <w:rPr>
          <w:rFonts w:cs="Arial"/>
          <w:lang w:val="fr-FR"/>
        </w:rPr>
        <w:t>’</w:t>
      </w:r>
      <w:r w:rsidR="004612B0" w:rsidRPr="00A14C49">
        <w:rPr>
          <w:rFonts w:cs="Arial"/>
          <w:lang w:val="fr-FR"/>
        </w:rPr>
        <w:t>information présentée soit liée à la publication de descriptions (voir le paragraphe</w:t>
      </w:r>
      <w:r w:rsidR="008A5357" w:rsidRPr="00A14C49">
        <w:rPr>
          <w:rFonts w:cs="Arial"/>
          <w:lang w:val="fr-FR"/>
        </w:rPr>
        <w:t> </w:t>
      </w:r>
      <w:r w:rsidR="004612B0" w:rsidRPr="00A14C49">
        <w:rPr>
          <w:rFonts w:cs="Arial"/>
          <w:lang w:val="fr-FR"/>
        </w:rPr>
        <w:t xml:space="preserve">173 du </w:t>
      </w:r>
      <w:r w:rsidR="00050DB5" w:rsidRPr="00A14C49">
        <w:rPr>
          <w:rFonts w:cs="Arial"/>
          <w:lang w:val="fr-FR"/>
        </w:rPr>
        <w:t>document TC</w:t>
      </w:r>
      <w:r w:rsidR="004612B0" w:rsidRPr="00A14C49">
        <w:rPr>
          <w:rFonts w:cs="Arial"/>
          <w:lang w:val="fr-FR"/>
        </w:rPr>
        <w:t>/45/16 “Compte rendu”).</w:t>
      </w:r>
    </w:p>
    <w:p w:rsidR="00124277" w:rsidRPr="00A14C49" w:rsidRDefault="00124277" w:rsidP="00A14C49">
      <w:pPr>
        <w:rPr>
          <w:rFonts w:cs="Arial"/>
          <w:lang w:val="fr-FR"/>
        </w:rPr>
      </w:pPr>
    </w:p>
    <w:p w:rsidR="00050DB5" w:rsidRPr="00A14C49" w:rsidRDefault="00E148A2" w:rsidP="00A14C49">
      <w:pPr>
        <w:rPr>
          <w:rFonts w:cs="Arial"/>
          <w:lang w:val="fr-FR"/>
        </w:rPr>
      </w:pPr>
      <w:r w:rsidRPr="00A14C49">
        <w:rPr>
          <w:rFonts w:cs="Arial"/>
          <w:lang w:val="fr-FR"/>
        </w:rPr>
        <w:fldChar w:fldCharType="begin"/>
      </w:r>
      <w:r w:rsidRPr="00A14C49">
        <w:rPr>
          <w:rFonts w:cs="Arial"/>
          <w:lang w:val="fr-FR"/>
        </w:rPr>
        <w:instrText xml:space="preserve"> AUTONUM  </w:instrText>
      </w:r>
      <w:r w:rsidRPr="00A14C49">
        <w:rPr>
          <w:rFonts w:cs="Arial"/>
          <w:lang w:val="fr-FR"/>
        </w:rPr>
        <w:fldChar w:fldCharType="end"/>
      </w:r>
      <w:r w:rsidRPr="00A14C49">
        <w:rPr>
          <w:rFonts w:cs="Arial"/>
          <w:lang w:val="fr-FR"/>
        </w:rPr>
        <w:tab/>
      </w:r>
      <w:r w:rsidR="003205C8" w:rsidRPr="00A14C49">
        <w:rPr>
          <w:rFonts w:cs="Arial"/>
          <w:lang w:val="fr-FR"/>
        </w:rPr>
        <w:t>Les faits nouveaux survenus avant 2014 sont présentés dans le</w:t>
      </w:r>
      <w:r w:rsidRPr="00A14C49">
        <w:rPr>
          <w:rFonts w:cs="Arial"/>
          <w:lang w:val="fr-FR"/>
        </w:rPr>
        <w:t xml:space="preserve"> </w:t>
      </w:r>
      <w:r w:rsidR="00050DB5" w:rsidRPr="00A14C49">
        <w:rPr>
          <w:lang w:val="fr-FR"/>
        </w:rPr>
        <w:t>document TC</w:t>
      </w:r>
      <w:r w:rsidR="003E3E8D" w:rsidRPr="00A14C49">
        <w:rPr>
          <w:lang w:val="fr-FR"/>
        </w:rPr>
        <w:t>/50/7 “</w:t>
      </w:r>
      <w:r w:rsidR="003205C8" w:rsidRPr="00A14C49">
        <w:rPr>
          <w:lang w:val="fr-FR"/>
        </w:rPr>
        <w:t>Bases de données sur les descriptions variétales</w:t>
      </w:r>
      <w:r w:rsidR="003E3E8D" w:rsidRPr="00A14C49">
        <w:rPr>
          <w:lang w:val="fr-FR"/>
        </w:rPr>
        <w:t>”</w:t>
      </w:r>
      <w:r w:rsidRPr="00A14C49">
        <w:rPr>
          <w:rFonts w:cs="Arial"/>
          <w:lang w:val="fr-FR"/>
        </w:rPr>
        <w:t>.</w:t>
      </w:r>
    </w:p>
    <w:p w:rsidR="00124277" w:rsidRDefault="00124277" w:rsidP="00A14C49">
      <w:pPr>
        <w:rPr>
          <w:lang w:val="fr-FR"/>
        </w:rPr>
      </w:pPr>
    </w:p>
    <w:p w:rsidR="00A90E4D" w:rsidRPr="0028209C" w:rsidRDefault="00A90E4D" w:rsidP="00A90E4D">
      <w:pPr>
        <w:rPr>
          <w:lang w:val="fr-CH"/>
        </w:rPr>
      </w:pPr>
      <w:bookmarkStart w:id="7" w:name="_Toc413399263"/>
    </w:p>
    <w:p w:rsidR="00124277" w:rsidRPr="00A14C49" w:rsidRDefault="00542386" w:rsidP="00A14C49">
      <w:pPr>
        <w:pStyle w:val="Heading1"/>
        <w:rPr>
          <w:snapToGrid w:val="0"/>
          <w:lang w:val="fr-FR"/>
        </w:rPr>
      </w:pPr>
      <w:r w:rsidRPr="00A14C49">
        <w:rPr>
          <w:snapToGrid w:val="0"/>
          <w:lang w:val="fr-FR"/>
        </w:rPr>
        <w:t>F</w:t>
      </w:r>
      <w:r w:rsidR="00A20155" w:rsidRPr="00A14C49">
        <w:rPr>
          <w:snapToGrid w:val="0"/>
          <w:lang w:val="fr-FR"/>
        </w:rPr>
        <w:t>aits nouveaux en 2014</w:t>
      </w:r>
      <w:bookmarkEnd w:id="7"/>
    </w:p>
    <w:p w:rsidR="00124277" w:rsidRPr="00A14C49" w:rsidRDefault="00124277" w:rsidP="00A14C49">
      <w:pPr>
        <w:rPr>
          <w:lang w:val="fr-FR"/>
        </w:rPr>
      </w:pPr>
    </w:p>
    <w:p w:rsidR="00124277" w:rsidRPr="00A14C49" w:rsidRDefault="00A20155" w:rsidP="00A14C49">
      <w:pPr>
        <w:pStyle w:val="Heading3"/>
        <w:rPr>
          <w:color w:val="auto"/>
        </w:rPr>
      </w:pPr>
      <w:bookmarkStart w:id="8" w:name="_Toc413399264"/>
      <w:r w:rsidRPr="00A14C49">
        <w:rPr>
          <w:color w:val="auto"/>
        </w:rPr>
        <w:t>Comité technique</w:t>
      </w:r>
      <w:bookmarkEnd w:id="8"/>
    </w:p>
    <w:p w:rsidR="00124277" w:rsidRPr="00A14C49" w:rsidRDefault="00124277" w:rsidP="00A14C49">
      <w:pPr>
        <w:rPr>
          <w:lang w:val="fr-FR"/>
        </w:rPr>
      </w:pPr>
    </w:p>
    <w:p w:rsidR="00124277" w:rsidRPr="00A14C49" w:rsidRDefault="00C11F61" w:rsidP="00A14C49">
      <w:pPr>
        <w:rPr>
          <w:snapToGrid w:val="0"/>
          <w:lang w:val="fr-FR"/>
        </w:rPr>
      </w:pPr>
      <w:r w:rsidRPr="00A14C49">
        <w:rPr>
          <w:lang w:val="fr-FR"/>
        </w:rPr>
        <w:fldChar w:fldCharType="begin"/>
      </w:r>
      <w:r w:rsidRPr="00A14C49">
        <w:rPr>
          <w:lang w:val="fr-FR"/>
        </w:rPr>
        <w:instrText xml:space="preserve"> AUTONUM  </w:instrText>
      </w:r>
      <w:r w:rsidRPr="00A14C49">
        <w:rPr>
          <w:lang w:val="fr-FR"/>
        </w:rPr>
        <w:fldChar w:fldCharType="end"/>
      </w:r>
      <w:r w:rsidRPr="00A14C49">
        <w:rPr>
          <w:lang w:val="fr-FR"/>
        </w:rPr>
        <w:tab/>
      </w:r>
      <w:r w:rsidR="003205C8" w:rsidRPr="00A14C49">
        <w:rPr>
          <w:lang w:val="fr-FR"/>
        </w:rPr>
        <w:t>À sa cinquantième</w:t>
      </w:r>
      <w:r w:rsidR="008A5357" w:rsidRPr="00A14C49">
        <w:rPr>
          <w:lang w:val="fr-FR"/>
        </w:rPr>
        <w:t> </w:t>
      </w:r>
      <w:r w:rsidR="003205C8" w:rsidRPr="00A14C49">
        <w:rPr>
          <w:lang w:val="fr-FR"/>
        </w:rPr>
        <w:t xml:space="preserve">session tenue à Genève du 7 au </w:t>
      </w:r>
      <w:r w:rsidR="00050DB5" w:rsidRPr="00A14C49">
        <w:rPr>
          <w:lang w:val="fr-FR"/>
        </w:rPr>
        <w:t>9 avril 20</w:t>
      </w:r>
      <w:r w:rsidR="003205C8" w:rsidRPr="00A14C49">
        <w:rPr>
          <w:lang w:val="fr-FR"/>
        </w:rPr>
        <w:t>14, le</w:t>
      </w:r>
      <w:r w:rsidR="00050DB5" w:rsidRPr="00A14C49">
        <w:rPr>
          <w:lang w:val="fr-FR"/>
        </w:rPr>
        <w:t> TC</w:t>
      </w:r>
      <w:r w:rsidR="003205C8" w:rsidRPr="00A14C49">
        <w:rPr>
          <w:lang w:val="fr-FR"/>
        </w:rPr>
        <w:t xml:space="preserve"> a examiné le </w:t>
      </w:r>
      <w:r w:rsidR="00050DB5" w:rsidRPr="00A14C49">
        <w:rPr>
          <w:lang w:val="fr-FR"/>
        </w:rPr>
        <w:t>document TC</w:t>
      </w:r>
      <w:r w:rsidRPr="00A14C49">
        <w:rPr>
          <w:lang w:val="fr-FR"/>
        </w:rPr>
        <w:t>/50/7 “</w:t>
      </w:r>
      <w:r w:rsidR="003205C8" w:rsidRPr="00A14C49">
        <w:rPr>
          <w:lang w:val="fr-FR"/>
        </w:rPr>
        <w:t>Bases de données sur les descriptions variétales</w:t>
      </w:r>
      <w:r w:rsidRPr="00A14C49">
        <w:rPr>
          <w:lang w:val="fr-FR"/>
        </w:rPr>
        <w:t xml:space="preserve">” </w:t>
      </w:r>
      <w:r w:rsidR="003205C8" w:rsidRPr="00A14C49">
        <w:rPr>
          <w:lang w:val="fr-FR"/>
        </w:rPr>
        <w:t xml:space="preserve">et a pris note des faits nouveaux concernant </w:t>
      </w:r>
      <w:r w:rsidR="00452675" w:rsidRPr="00A14C49">
        <w:rPr>
          <w:lang w:val="fr-FR"/>
        </w:rPr>
        <w:t>ces</w:t>
      </w:r>
      <w:r w:rsidR="003205C8" w:rsidRPr="00A14C49">
        <w:rPr>
          <w:lang w:val="fr-FR"/>
        </w:rPr>
        <w:t xml:space="preserve"> bases de données </w:t>
      </w:r>
      <w:r w:rsidRPr="00A14C49">
        <w:rPr>
          <w:snapToGrid w:val="0"/>
          <w:lang w:val="fr-FR"/>
        </w:rPr>
        <w:t>(</w:t>
      </w:r>
      <w:r w:rsidR="003205C8" w:rsidRPr="00A14C49">
        <w:rPr>
          <w:snapToGrid w:val="0"/>
          <w:lang w:val="fr-FR"/>
        </w:rPr>
        <w:t>voir les paragraphes</w:t>
      </w:r>
      <w:r w:rsidR="008A5357" w:rsidRPr="00A14C49">
        <w:rPr>
          <w:snapToGrid w:val="0"/>
          <w:lang w:val="fr-FR"/>
        </w:rPr>
        <w:t> </w:t>
      </w:r>
      <w:r w:rsidR="003205C8" w:rsidRPr="00A14C49">
        <w:rPr>
          <w:snapToGrid w:val="0"/>
          <w:lang w:val="fr-FR"/>
        </w:rPr>
        <w:t>102 et 103 du</w:t>
      </w:r>
      <w:r w:rsidRPr="00A14C49">
        <w:rPr>
          <w:snapToGrid w:val="0"/>
          <w:lang w:val="fr-FR"/>
        </w:rPr>
        <w:t xml:space="preserve"> </w:t>
      </w:r>
      <w:r w:rsidR="00050DB5" w:rsidRPr="00A14C49">
        <w:rPr>
          <w:snapToGrid w:val="0"/>
          <w:lang w:val="fr-FR"/>
        </w:rPr>
        <w:t>document TC</w:t>
      </w:r>
      <w:r w:rsidRPr="00A14C49">
        <w:rPr>
          <w:snapToGrid w:val="0"/>
          <w:lang w:val="fr-FR"/>
        </w:rPr>
        <w:t>/50/36 “</w:t>
      </w:r>
      <w:r w:rsidR="003205C8" w:rsidRPr="00A14C49">
        <w:rPr>
          <w:snapToGrid w:val="0"/>
          <w:lang w:val="fr-FR"/>
        </w:rPr>
        <w:t>Compte rendu des conclusions</w:t>
      </w:r>
      <w:r w:rsidRPr="00A14C49">
        <w:rPr>
          <w:snapToGrid w:val="0"/>
          <w:lang w:val="fr-FR"/>
        </w:rPr>
        <w:t>”).</w:t>
      </w:r>
    </w:p>
    <w:p w:rsidR="00124277" w:rsidRPr="00A14C49" w:rsidRDefault="00124277" w:rsidP="00A14C49">
      <w:pPr>
        <w:rPr>
          <w:snapToGrid w:val="0"/>
          <w:lang w:val="fr-FR"/>
        </w:rPr>
      </w:pPr>
    </w:p>
    <w:p w:rsidR="00124277" w:rsidRPr="00A14C49" w:rsidRDefault="00C11F61" w:rsidP="00A14C49">
      <w:pPr>
        <w:rPr>
          <w:snapToGrid w:val="0"/>
          <w:lang w:val="fr-FR"/>
        </w:rPr>
      </w:pPr>
      <w:r w:rsidRPr="00A14C49">
        <w:rPr>
          <w:snapToGrid w:val="0"/>
          <w:lang w:val="fr-FR"/>
        </w:rPr>
        <w:fldChar w:fldCharType="begin"/>
      </w:r>
      <w:r w:rsidRPr="00A14C49">
        <w:rPr>
          <w:snapToGrid w:val="0"/>
          <w:lang w:val="fr-FR"/>
        </w:rPr>
        <w:instrText xml:space="preserve"> AUTONUM  </w:instrText>
      </w:r>
      <w:r w:rsidRPr="00A14C49">
        <w:rPr>
          <w:snapToGrid w:val="0"/>
          <w:lang w:val="fr-FR"/>
        </w:rPr>
        <w:fldChar w:fldCharType="end"/>
      </w:r>
      <w:r w:rsidRPr="00A14C49">
        <w:rPr>
          <w:snapToGrid w:val="0"/>
          <w:lang w:val="fr-FR"/>
        </w:rPr>
        <w:tab/>
      </w:r>
      <w:r w:rsidR="003205C8" w:rsidRPr="00A14C49">
        <w:rPr>
          <w:snapToGrid w:val="0"/>
          <w:lang w:val="fr-FR"/>
        </w:rPr>
        <w:t>Le</w:t>
      </w:r>
      <w:r w:rsidR="00050DB5" w:rsidRPr="00A14C49">
        <w:rPr>
          <w:snapToGrid w:val="0"/>
          <w:lang w:val="fr-FR"/>
        </w:rPr>
        <w:t> TC</w:t>
      </w:r>
      <w:r w:rsidR="003205C8" w:rsidRPr="00A14C49">
        <w:rPr>
          <w:snapToGrid w:val="0"/>
          <w:lang w:val="fr-FR"/>
        </w:rPr>
        <w:t xml:space="preserve"> a pris note que</w:t>
      </w:r>
    </w:p>
    <w:p w:rsidR="00124277" w:rsidRPr="00A14C49" w:rsidRDefault="00124277" w:rsidP="00A14C49">
      <w:pPr>
        <w:rPr>
          <w:snapToGrid w:val="0"/>
          <w:lang w:val="fr-FR"/>
        </w:rPr>
      </w:pPr>
    </w:p>
    <w:p w:rsidR="00124277" w:rsidRPr="00A14C49" w:rsidRDefault="00A20155" w:rsidP="00A14C49">
      <w:pPr>
        <w:pStyle w:val="ListParagraph"/>
        <w:numPr>
          <w:ilvl w:val="0"/>
          <w:numId w:val="7"/>
        </w:numPr>
        <w:spacing w:before="0" w:beforeAutospacing="0" w:after="120" w:afterAutospacing="0"/>
        <w:ind w:left="1134" w:hanging="567"/>
        <w:rPr>
          <w:rFonts w:ascii="Arial" w:hAnsi="Arial"/>
          <w:snapToGrid w:val="0"/>
          <w:sz w:val="20"/>
          <w:szCs w:val="20"/>
          <w:lang w:eastAsia="en-US"/>
        </w:rPr>
      </w:pPr>
      <w:r w:rsidRPr="00A14C49">
        <w:rPr>
          <w:rFonts w:ascii="Arial" w:hAnsi="Arial"/>
          <w:snapToGrid w:val="0"/>
          <w:sz w:val="20"/>
          <w:szCs w:val="20"/>
          <w:lang w:eastAsia="en-US"/>
        </w:rPr>
        <w:t>le TWV a</w:t>
      </w:r>
      <w:r w:rsidR="003205C8" w:rsidRPr="00A14C49">
        <w:rPr>
          <w:rFonts w:ascii="Arial" w:hAnsi="Arial"/>
          <w:snapToGrid w:val="0"/>
          <w:sz w:val="20"/>
          <w:szCs w:val="20"/>
          <w:lang w:eastAsia="en-US"/>
        </w:rPr>
        <w:t>vait</w:t>
      </w:r>
      <w:r w:rsidRPr="00A14C49">
        <w:rPr>
          <w:rFonts w:ascii="Arial" w:hAnsi="Arial"/>
          <w:snapToGrid w:val="0"/>
          <w:sz w:val="20"/>
          <w:szCs w:val="20"/>
          <w:lang w:eastAsia="en-US"/>
        </w:rPr>
        <w:t xml:space="preserve"> demandé à </w:t>
      </w:r>
      <w:r w:rsidR="003205C8" w:rsidRPr="00A14C49">
        <w:rPr>
          <w:rFonts w:ascii="Arial" w:hAnsi="Arial"/>
          <w:snapToGrid w:val="0"/>
          <w:sz w:val="20"/>
          <w:szCs w:val="20"/>
          <w:lang w:eastAsia="en-US"/>
        </w:rPr>
        <w:t xml:space="preserve">un </w:t>
      </w:r>
      <w:r w:rsidRPr="00A14C49">
        <w:rPr>
          <w:rFonts w:ascii="Arial" w:hAnsi="Arial"/>
          <w:snapToGrid w:val="0"/>
          <w:sz w:val="20"/>
          <w:szCs w:val="20"/>
          <w:lang w:eastAsia="en-US"/>
        </w:rPr>
        <w:t>expert de la France de faire, à sa quarante</w:t>
      </w:r>
      <w:r w:rsidR="00542386" w:rsidRPr="00A14C49">
        <w:rPr>
          <w:rFonts w:ascii="Arial" w:hAnsi="Arial"/>
          <w:snapToGrid w:val="0"/>
          <w:sz w:val="20"/>
          <w:szCs w:val="20"/>
          <w:lang w:eastAsia="en-US"/>
        </w:rPr>
        <w:noBreakHyphen/>
      </w:r>
      <w:r w:rsidRPr="00A14C49">
        <w:rPr>
          <w:rFonts w:ascii="Arial" w:hAnsi="Arial"/>
          <w:snapToGrid w:val="0"/>
          <w:sz w:val="20"/>
          <w:szCs w:val="20"/>
          <w:lang w:eastAsia="en-US"/>
        </w:rPr>
        <w:t>huitième session, un exposé sur le logiciel gemma utilisé par le Groupe d</w:t>
      </w:r>
      <w:r w:rsidR="00050DB5" w:rsidRPr="00A14C49">
        <w:rPr>
          <w:rFonts w:ascii="Arial" w:hAnsi="Arial"/>
          <w:snapToGrid w:val="0"/>
          <w:sz w:val="20"/>
          <w:szCs w:val="20"/>
          <w:lang w:eastAsia="en-US"/>
        </w:rPr>
        <w:t>’</w:t>
      </w:r>
      <w:r w:rsidRPr="00A14C49">
        <w:rPr>
          <w:rFonts w:ascii="Arial" w:hAnsi="Arial"/>
          <w:snapToGrid w:val="0"/>
          <w:sz w:val="20"/>
          <w:szCs w:val="20"/>
          <w:lang w:eastAsia="en-US"/>
        </w:rPr>
        <w:t>étude et de contrôle des variétés et des semences (GEVES) dans le cadre d</w:t>
      </w:r>
      <w:r w:rsidR="00050DB5" w:rsidRPr="00A14C49">
        <w:rPr>
          <w:rFonts w:ascii="Arial" w:hAnsi="Arial"/>
          <w:snapToGrid w:val="0"/>
          <w:sz w:val="20"/>
          <w:szCs w:val="20"/>
          <w:lang w:eastAsia="en-US"/>
        </w:rPr>
        <w:t>’</w:t>
      </w:r>
      <w:r w:rsidRPr="00A14C49">
        <w:rPr>
          <w:rFonts w:ascii="Arial" w:hAnsi="Arial"/>
          <w:snapToGrid w:val="0"/>
          <w:sz w:val="20"/>
          <w:szCs w:val="20"/>
          <w:lang w:eastAsia="en-US"/>
        </w:rPr>
        <w:t>un projet de recherche</w:t>
      </w:r>
      <w:r w:rsidR="00542386" w:rsidRPr="00A14C49">
        <w:rPr>
          <w:rFonts w:ascii="Arial" w:hAnsi="Arial"/>
          <w:snapToGrid w:val="0"/>
          <w:sz w:val="20"/>
          <w:szCs w:val="20"/>
          <w:lang w:eastAsia="en-US"/>
        </w:rPr>
        <w:noBreakHyphen/>
      </w:r>
      <w:r w:rsidRPr="00A14C49">
        <w:rPr>
          <w:rFonts w:ascii="Arial" w:hAnsi="Arial"/>
          <w:snapToGrid w:val="0"/>
          <w:sz w:val="20"/>
          <w:szCs w:val="20"/>
          <w:lang w:eastAsia="en-US"/>
        </w:rPr>
        <w:t>développement de l</w:t>
      </w:r>
      <w:r w:rsidR="00050DB5" w:rsidRPr="00A14C49">
        <w:rPr>
          <w:rFonts w:ascii="Arial" w:hAnsi="Arial"/>
          <w:snapToGrid w:val="0"/>
          <w:sz w:val="20"/>
          <w:szCs w:val="20"/>
          <w:lang w:eastAsia="en-US"/>
        </w:rPr>
        <w:t>’</w:t>
      </w:r>
      <w:r w:rsidRPr="00A14C49">
        <w:rPr>
          <w:rFonts w:ascii="Arial" w:hAnsi="Arial"/>
          <w:snapToGrid w:val="0"/>
          <w:sz w:val="20"/>
          <w:szCs w:val="20"/>
          <w:lang w:eastAsia="en-US"/>
        </w:rPr>
        <w:t>Office communautaire des variétés végétales (OCVV) de l</w:t>
      </w:r>
      <w:r w:rsidR="00050DB5" w:rsidRPr="00A14C49">
        <w:rPr>
          <w:rFonts w:ascii="Arial" w:hAnsi="Arial"/>
          <w:snapToGrid w:val="0"/>
          <w:sz w:val="20"/>
          <w:szCs w:val="20"/>
          <w:lang w:eastAsia="en-US"/>
        </w:rPr>
        <w:t>’</w:t>
      </w:r>
      <w:r w:rsidRPr="00A14C49">
        <w:rPr>
          <w:rFonts w:ascii="Arial" w:hAnsi="Arial"/>
          <w:snapToGrid w:val="0"/>
          <w:sz w:val="20"/>
          <w:szCs w:val="20"/>
          <w:lang w:eastAsia="en-US"/>
        </w:rPr>
        <w:t>Union européenne</w:t>
      </w:r>
      <w:r w:rsidR="003205C8" w:rsidRPr="00A14C49">
        <w:rPr>
          <w:rFonts w:ascii="Arial" w:hAnsi="Arial"/>
          <w:snapToGrid w:val="0"/>
          <w:sz w:val="20"/>
          <w:szCs w:val="20"/>
          <w:lang w:eastAsia="en-US"/>
        </w:rPr>
        <w:t>.  À cet égard, le</w:t>
      </w:r>
      <w:r w:rsidR="00050DB5" w:rsidRPr="00A14C49">
        <w:rPr>
          <w:rFonts w:ascii="Arial" w:hAnsi="Arial"/>
          <w:snapToGrid w:val="0"/>
          <w:sz w:val="20"/>
          <w:szCs w:val="20"/>
          <w:lang w:eastAsia="en-US"/>
        </w:rPr>
        <w:t> TC</w:t>
      </w:r>
      <w:r w:rsidR="003205C8" w:rsidRPr="00A14C49">
        <w:rPr>
          <w:rFonts w:ascii="Arial" w:hAnsi="Arial"/>
          <w:snapToGrid w:val="0"/>
          <w:sz w:val="20"/>
          <w:szCs w:val="20"/>
          <w:lang w:eastAsia="en-US"/>
        </w:rPr>
        <w:t xml:space="preserve"> a pris note du rapport de la France que cet exposé ne pourrait pas avoir lieu en</w:t>
      </w:r>
      <w:r w:rsidR="008A5357" w:rsidRPr="00A14C49">
        <w:rPr>
          <w:rFonts w:ascii="Arial" w:hAnsi="Arial"/>
          <w:snapToGrid w:val="0"/>
          <w:sz w:val="20"/>
          <w:szCs w:val="20"/>
          <w:lang w:eastAsia="en-US"/>
        </w:rPr>
        <w:t> </w:t>
      </w:r>
      <w:r w:rsidR="003205C8" w:rsidRPr="00A14C49">
        <w:rPr>
          <w:rFonts w:ascii="Arial" w:hAnsi="Arial"/>
          <w:snapToGrid w:val="0"/>
          <w:sz w:val="20"/>
          <w:szCs w:val="20"/>
          <w:lang w:eastAsia="en-US"/>
        </w:rPr>
        <w:t>2014</w:t>
      </w:r>
      <w:r w:rsidR="00C11F61" w:rsidRPr="00A14C49">
        <w:rPr>
          <w:rFonts w:ascii="Arial" w:hAnsi="Arial"/>
          <w:snapToGrid w:val="0"/>
          <w:sz w:val="20"/>
          <w:szCs w:val="20"/>
          <w:lang w:eastAsia="en-US"/>
        </w:rPr>
        <w:t xml:space="preserve"> (</w:t>
      </w:r>
      <w:r w:rsidR="003205C8" w:rsidRPr="00A14C49">
        <w:rPr>
          <w:rFonts w:ascii="Arial" w:hAnsi="Arial"/>
          <w:snapToGrid w:val="0"/>
          <w:sz w:val="20"/>
          <w:szCs w:val="20"/>
          <w:lang w:eastAsia="en-US"/>
        </w:rPr>
        <w:t>voir le paragraphe</w:t>
      </w:r>
      <w:r w:rsidR="008A5357" w:rsidRPr="00A14C49">
        <w:rPr>
          <w:rFonts w:ascii="Arial" w:hAnsi="Arial"/>
          <w:snapToGrid w:val="0"/>
          <w:sz w:val="20"/>
          <w:szCs w:val="20"/>
          <w:lang w:eastAsia="en-US"/>
        </w:rPr>
        <w:t> </w:t>
      </w:r>
      <w:r w:rsidR="003205C8" w:rsidRPr="00A14C49">
        <w:rPr>
          <w:rFonts w:ascii="Arial" w:hAnsi="Arial"/>
          <w:snapToGrid w:val="0"/>
          <w:sz w:val="20"/>
          <w:szCs w:val="20"/>
          <w:lang w:eastAsia="en-US"/>
        </w:rPr>
        <w:t xml:space="preserve">104 du </w:t>
      </w:r>
      <w:r w:rsidR="00050DB5" w:rsidRPr="00A14C49">
        <w:rPr>
          <w:rFonts w:ascii="Arial" w:hAnsi="Arial"/>
          <w:snapToGrid w:val="0"/>
          <w:sz w:val="20"/>
          <w:szCs w:val="20"/>
          <w:lang w:eastAsia="en-US"/>
        </w:rPr>
        <w:t>document TC</w:t>
      </w:r>
      <w:r w:rsidR="00C11F61" w:rsidRPr="00A14C49">
        <w:rPr>
          <w:rFonts w:ascii="Arial" w:hAnsi="Arial"/>
          <w:snapToGrid w:val="0"/>
          <w:sz w:val="20"/>
          <w:szCs w:val="20"/>
          <w:lang w:eastAsia="en-US"/>
        </w:rPr>
        <w:t>/50/36 “</w:t>
      </w:r>
      <w:r w:rsidR="003205C8" w:rsidRPr="00A14C49">
        <w:rPr>
          <w:rFonts w:ascii="Arial" w:hAnsi="Arial"/>
          <w:snapToGrid w:val="0"/>
          <w:sz w:val="20"/>
          <w:szCs w:val="20"/>
          <w:lang w:eastAsia="en-US"/>
        </w:rPr>
        <w:t>Compte rendu des conclusions</w:t>
      </w:r>
      <w:r w:rsidR="00C11F61" w:rsidRPr="00A14C49">
        <w:rPr>
          <w:rFonts w:ascii="Arial" w:hAnsi="Arial"/>
          <w:snapToGrid w:val="0"/>
          <w:sz w:val="20"/>
          <w:szCs w:val="20"/>
          <w:lang w:eastAsia="en-US"/>
        </w:rPr>
        <w:t>”</w:t>
      </w:r>
      <w:r w:rsidR="003205C8" w:rsidRPr="00A14C49">
        <w:rPr>
          <w:rFonts w:ascii="Arial" w:hAnsi="Arial"/>
          <w:snapToGrid w:val="0"/>
          <w:sz w:val="20"/>
          <w:szCs w:val="20"/>
          <w:lang w:eastAsia="en-US"/>
        </w:rPr>
        <w:t>);</w:t>
      </w:r>
    </w:p>
    <w:p w:rsidR="00124277" w:rsidRPr="00A14C49" w:rsidRDefault="00A20155" w:rsidP="00A14C49">
      <w:pPr>
        <w:pStyle w:val="ListParagraph"/>
        <w:numPr>
          <w:ilvl w:val="0"/>
          <w:numId w:val="7"/>
        </w:numPr>
        <w:spacing w:before="0" w:beforeAutospacing="0" w:after="120" w:afterAutospacing="0"/>
        <w:ind w:left="1134" w:hanging="567"/>
        <w:rPr>
          <w:rFonts w:ascii="Arial" w:hAnsi="Arial"/>
          <w:snapToGrid w:val="0"/>
          <w:sz w:val="20"/>
          <w:szCs w:val="20"/>
          <w:lang w:eastAsia="en-US"/>
        </w:rPr>
      </w:pPr>
      <w:r w:rsidRPr="00A14C49">
        <w:rPr>
          <w:rFonts w:ascii="Arial" w:hAnsi="Arial"/>
          <w:snapToGrid w:val="0"/>
          <w:sz w:val="20"/>
          <w:szCs w:val="20"/>
          <w:lang w:eastAsia="en-US"/>
        </w:rPr>
        <w:t>le TWC a</w:t>
      </w:r>
      <w:r w:rsidR="007855A6" w:rsidRPr="00A14C49">
        <w:rPr>
          <w:rFonts w:ascii="Arial" w:hAnsi="Arial"/>
          <w:snapToGrid w:val="0"/>
          <w:sz w:val="20"/>
          <w:szCs w:val="20"/>
          <w:lang w:eastAsia="en-US"/>
        </w:rPr>
        <w:t>vait</w:t>
      </w:r>
      <w:r w:rsidRPr="00A14C49">
        <w:rPr>
          <w:rFonts w:ascii="Arial" w:hAnsi="Arial"/>
          <w:snapToGrid w:val="0"/>
          <w:sz w:val="20"/>
          <w:szCs w:val="20"/>
          <w:lang w:eastAsia="en-US"/>
        </w:rPr>
        <w:t xml:space="preserve"> invité un expert de la Chine à faire, à sa trente</w:t>
      </w:r>
      <w:r w:rsidR="00542386" w:rsidRPr="00A14C49">
        <w:rPr>
          <w:rFonts w:ascii="Arial" w:hAnsi="Arial"/>
          <w:snapToGrid w:val="0"/>
          <w:sz w:val="20"/>
          <w:szCs w:val="20"/>
          <w:lang w:eastAsia="en-US"/>
        </w:rPr>
        <w:noBreakHyphen/>
      </w:r>
      <w:r w:rsidRPr="00A14C49">
        <w:rPr>
          <w:rFonts w:ascii="Arial" w:hAnsi="Arial"/>
          <w:snapToGrid w:val="0"/>
          <w:sz w:val="20"/>
          <w:szCs w:val="20"/>
          <w:lang w:eastAsia="en-US"/>
        </w:rPr>
        <w:t>deuxième session, un exposé sur la variation des descriptions variétales au fil des ans en différents endroits</w:t>
      </w:r>
      <w:r w:rsidR="007855A6" w:rsidRPr="00A14C49">
        <w:rPr>
          <w:rFonts w:ascii="Arial" w:hAnsi="Arial"/>
          <w:snapToGrid w:val="0"/>
          <w:sz w:val="20"/>
          <w:szCs w:val="20"/>
          <w:lang w:eastAsia="en-US"/>
        </w:rPr>
        <w:t>.  Le</w:t>
      </w:r>
      <w:r w:rsidR="00050DB5" w:rsidRPr="00A14C49">
        <w:rPr>
          <w:rFonts w:ascii="Arial" w:hAnsi="Arial"/>
          <w:snapToGrid w:val="0"/>
          <w:sz w:val="20"/>
          <w:szCs w:val="20"/>
          <w:lang w:eastAsia="en-US"/>
        </w:rPr>
        <w:t> TC</w:t>
      </w:r>
      <w:r w:rsidR="007855A6" w:rsidRPr="00A14C49">
        <w:rPr>
          <w:rFonts w:ascii="Arial" w:hAnsi="Arial"/>
          <w:snapToGrid w:val="0"/>
          <w:sz w:val="20"/>
          <w:szCs w:val="20"/>
          <w:lang w:eastAsia="en-US"/>
        </w:rPr>
        <w:t xml:space="preserve"> est convenu qu</w:t>
      </w:r>
      <w:r w:rsidR="00050DB5" w:rsidRPr="00A14C49">
        <w:rPr>
          <w:rFonts w:ascii="Arial" w:hAnsi="Arial"/>
          <w:snapToGrid w:val="0"/>
          <w:sz w:val="20"/>
          <w:szCs w:val="20"/>
          <w:lang w:eastAsia="en-US"/>
        </w:rPr>
        <w:t>’</w:t>
      </w:r>
      <w:r w:rsidR="007855A6" w:rsidRPr="00A14C49">
        <w:rPr>
          <w:rFonts w:ascii="Arial" w:hAnsi="Arial"/>
          <w:snapToGrid w:val="0"/>
          <w:sz w:val="20"/>
          <w:szCs w:val="20"/>
          <w:lang w:eastAsia="en-US"/>
        </w:rPr>
        <w:t>il serait avantageux de faire un exposé</w:t>
      </w:r>
      <w:r w:rsidR="00050DB5" w:rsidRPr="00A14C49">
        <w:rPr>
          <w:rFonts w:ascii="Arial" w:hAnsi="Arial"/>
          <w:snapToGrid w:val="0"/>
          <w:sz w:val="20"/>
          <w:szCs w:val="20"/>
          <w:lang w:eastAsia="en-US"/>
        </w:rPr>
        <w:t xml:space="preserve"> au TWA</w:t>
      </w:r>
      <w:r w:rsidR="00C11F61" w:rsidRPr="00A14C49">
        <w:rPr>
          <w:rFonts w:ascii="Arial" w:hAnsi="Arial"/>
          <w:snapToGrid w:val="0"/>
          <w:sz w:val="20"/>
          <w:szCs w:val="20"/>
          <w:lang w:eastAsia="en-US"/>
        </w:rPr>
        <w:t xml:space="preserve"> (</w:t>
      </w:r>
      <w:r w:rsidR="007855A6" w:rsidRPr="00A14C49">
        <w:rPr>
          <w:rFonts w:ascii="Arial" w:hAnsi="Arial"/>
          <w:snapToGrid w:val="0"/>
          <w:sz w:val="20"/>
          <w:szCs w:val="20"/>
          <w:lang w:eastAsia="en-US"/>
        </w:rPr>
        <w:t>voir le paragraphe</w:t>
      </w:r>
      <w:r w:rsidR="008A5357" w:rsidRPr="00A14C49">
        <w:rPr>
          <w:rFonts w:ascii="Arial" w:hAnsi="Arial"/>
          <w:snapToGrid w:val="0"/>
          <w:sz w:val="20"/>
          <w:szCs w:val="20"/>
          <w:lang w:eastAsia="en-US"/>
        </w:rPr>
        <w:t> </w:t>
      </w:r>
      <w:r w:rsidR="007855A6" w:rsidRPr="00A14C49">
        <w:rPr>
          <w:rFonts w:ascii="Arial" w:hAnsi="Arial"/>
          <w:snapToGrid w:val="0"/>
          <w:sz w:val="20"/>
          <w:szCs w:val="20"/>
          <w:lang w:eastAsia="en-US"/>
        </w:rPr>
        <w:t>105 du</w:t>
      </w:r>
      <w:r w:rsidR="00C11F61" w:rsidRPr="00A14C49">
        <w:rPr>
          <w:rFonts w:ascii="Arial" w:hAnsi="Arial"/>
          <w:snapToGrid w:val="0"/>
          <w:sz w:val="20"/>
          <w:szCs w:val="20"/>
          <w:lang w:eastAsia="en-US"/>
        </w:rPr>
        <w:t xml:space="preserve"> </w:t>
      </w:r>
      <w:r w:rsidR="00050DB5" w:rsidRPr="00A14C49">
        <w:rPr>
          <w:rFonts w:ascii="Arial" w:hAnsi="Arial"/>
          <w:snapToGrid w:val="0"/>
          <w:sz w:val="20"/>
          <w:szCs w:val="20"/>
          <w:lang w:eastAsia="en-US"/>
        </w:rPr>
        <w:t>document TC</w:t>
      </w:r>
      <w:r w:rsidR="00C11F61" w:rsidRPr="00A14C49">
        <w:rPr>
          <w:rFonts w:ascii="Arial" w:hAnsi="Arial"/>
          <w:snapToGrid w:val="0"/>
          <w:sz w:val="20"/>
          <w:szCs w:val="20"/>
          <w:lang w:eastAsia="en-US"/>
        </w:rPr>
        <w:t>/50/36 “</w:t>
      </w:r>
      <w:r w:rsidR="007855A6" w:rsidRPr="00A14C49">
        <w:rPr>
          <w:rFonts w:ascii="Arial" w:hAnsi="Arial"/>
          <w:snapToGrid w:val="0"/>
          <w:sz w:val="20"/>
          <w:szCs w:val="20"/>
          <w:lang w:eastAsia="en-US"/>
        </w:rPr>
        <w:t>Compte rendu des conclusions</w:t>
      </w:r>
      <w:r w:rsidR="00C11F61" w:rsidRPr="00A14C49">
        <w:rPr>
          <w:rFonts w:ascii="Arial" w:hAnsi="Arial"/>
          <w:snapToGrid w:val="0"/>
          <w:sz w:val="20"/>
          <w:szCs w:val="20"/>
          <w:lang w:eastAsia="en-US"/>
        </w:rPr>
        <w:t>”)</w:t>
      </w:r>
      <w:r w:rsidR="007855A6" w:rsidRPr="00A14C49">
        <w:rPr>
          <w:rFonts w:ascii="Arial" w:hAnsi="Arial"/>
          <w:snapToGrid w:val="0"/>
          <w:sz w:val="20"/>
          <w:szCs w:val="20"/>
          <w:lang w:eastAsia="en-US"/>
        </w:rPr>
        <w:t>;</w:t>
      </w:r>
    </w:p>
    <w:p w:rsidR="00124277" w:rsidRPr="00A14C49" w:rsidRDefault="007855A6" w:rsidP="00A14C49">
      <w:pPr>
        <w:pStyle w:val="ListParagraph"/>
        <w:numPr>
          <w:ilvl w:val="0"/>
          <w:numId w:val="7"/>
        </w:numPr>
        <w:spacing w:before="0" w:beforeAutospacing="0" w:after="120" w:afterAutospacing="0"/>
        <w:ind w:left="1134" w:hanging="567"/>
        <w:rPr>
          <w:rFonts w:ascii="Arial" w:hAnsi="Arial"/>
          <w:snapToGrid w:val="0"/>
          <w:sz w:val="20"/>
          <w:szCs w:val="20"/>
          <w:lang w:eastAsia="en-US"/>
        </w:rPr>
      </w:pPr>
      <w:r w:rsidRPr="00A14C49">
        <w:rPr>
          <w:rFonts w:ascii="Arial" w:hAnsi="Arial"/>
          <w:snapToGrid w:val="0"/>
          <w:sz w:val="20"/>
          <w:szCs w:val="20"/>
          <w:lang w:eastAsia="en-US"/>
        </w:rPr>
        <w:t>le TWC avait suggéré que l</w:t>
      </w:r>
      <w:r w:rsidR="00050DB5" w:rsidRPr="00A14C49">
        <w:rPr>
          <w:rFonts w:ascii="Arial" w:hAnsi="Arial"/>
          <w:snapToGrid w:val="0"/>
          <w:sz w:val="20"/>
          <w:szCs w:val="20"/>
          <w:lang w:eastAsia="en-US"/>
        </w:rPr>
        <w:t>’</w:t>
      </w:r>
      <w:r w:rsidRPr="00A14C49">
        <w:rPr>
          <w:rFonts w:ascii="Arial" w:hAnsi="Arial"/>
          <w:snapToGrid w:val="0"/>
          <w:sz w:val="20"/>
          <w:szCs w:val="20"/>
          <w:lang w:eastAsia="en-US"/>
        </w:rPr>
        <w:t>information présentée à sa t</w:t>
      </w:r>
      <w:r w:rsidR="00542386" w:rsidRPr="00A14C49">
        <w:rPr>
          <w:rFonts w:ascii="Arial" w:hAnsi="Arial"/>
          <w:snapToGrid w:val="0"/>
          <w:sz w:val="20"/>
          <w:szCs w:val="20"/>
          <w:lang w:eastAsia="en-US"/>
        </w:rPr>
        <w:t>r</w:t>
      </w:r>
      <w:r w:rsidRPr="00A14C49">
        <w:rPr>
          <w:rFonts w:ascii="Arial" w:hAnsi="Arial"/>
          <w:snapToGrid w:val="0"/>
          <w:sz w:val="20"/>
          <w:szCs w:val="20"/>
          <w:lang w:eastAsia="en-US"/>
        </w:rPr>
        <w:t>ente</w:t>
      </w:r>
      <w:r w:rsidR="00542386" w:rsidRPr="00A14C49">
        <w:rPr>
          <w:rFonts w:ascii="Arial" w:hAnsi="Arial"/>
          <w:snapToGrid w:val="0"/>
          <w:sz w:val="20"/>
          <w:szCs w:val="20"/>
          <w:lang w:eastAsia="en-US"/>
        </w:rPr>
        <w:t> et </w:t>
      </w:r>
      <w:r w:rsidRPr="00A14C49">
        <w:rPr>
          <w:rFonts w:ascii="Arial" w:hAnsi="Arial"/>
          <w:snapToGrid w:val="0"/>
          <w:sz w:val="20"/>
          <w:szCs w:val="20"/>
          <w:lang w:eastAsia="en-US"/>
        </w:rPr>
        <w:t>unième</w:t>
      </w:r>
      <w:r w:rsidR="008A5357" w:rsidRPr="00A14C49">
        <w:rPr>
          <w:rFonts w:ascii="Arial" w:hAnsi="Arial"/>
          <w:snapToGrid w:val="0"/>
          <w:sz w:val="20"/>
          <w:szCs w:val="20"/>
          <w:lang w:eastAsia="en-US"/>
        </w:rPr>
        <w:t> </w:t>
      </w:r>
      <w:r w:rsidRPr="00A14C49">
        <w:rPr>
          <w:rFonts w:ascii="Arial" w:hAnsi="Arial"/>
          <w:snapToGrid w:val="0"/>
          <w:sz w:val="20"/>
          <w:szCs w:val="20"/>
          <w:lang w:eastAsia="en-US"/>
        </w:rPr>
        <w:t>session par des experts de la Chine sur les recherches consacrées à la construction d</w:t>
      </w:r>
      <w:r w:rsidR="00050DB5" w:rsidRPr="00A14C49">
        <w:rPr>
          <w:rFonts w:ascii="Arial" w:hAnsi="Arial"/>
          <w:snapToGrid w:val="0"/>
          <w:sz w:val="20"/>
          <w:szCs w:val="20"/>
          <w:lang w:eastAsia="en-US"/>
        </w:rPr>
        <w:t>’</w:t>
      </w:r>
      <w:r w:rsidRPr="00A14C49">
        <w:rPr>
          <w:rFonts w:ascii="Arial" w:hAnsi="Arial"/>
          <w:snapToGrid w:val="0"/>
          <w:sz w:val="20"/>
          <w:szCs w:val="20"/>
          <w:lang w:eastAsia="en-US"/>
        </w:rPr>
        <w:t>une base de données sur les empreintes d</w:t>
      </w:r>
      <w:r w:rsidR="00050DB5" w:rsidRPr="00A14C49">
        <w:rPr>
          <w:rFonts w:ascii="Arial" w:hAnsi="Arial"/>
          <w:snapToGrid w:val="0"/>
          <w:sz w:val="20"/>
          <w:szCs w:val="20"/>
          <w:lang w:eastAsia="en-US"/>
        </w:rPr>
        <w:t>’</w:t>
      </w:r>
      <w:r w:rsidRPr="00A14C49">
        <w:rPr>
          <w:rFonts w:ascii="Arial" w:hAnsi="Arial"/>
          <w:snapToGrid w:val="0"/>
          <w:sz w:val="20"/>
          <w:szCs w:val="20"/>
          <w:lang w:eastAsia="en-US"/>
        </w:rPr>
        <w:t>ADN du maïs soit mise à la disposition</w:t>
      </w:r>
      <w:r w:rsidR="00050DB5" w:rsidRPr="00A14C49">
        <w:rPr>
          <w:rFonts w:ascii="Arial" w:hAnsi="Arial"/>
          <w:snapToGrid w:val="0"/>
          <w:sz w:val="20"/>
          <w:szCs w:val="20"/>
          <w:lang w:eastAsia="en-US"/>
        </w:rPr>
        <w:t xml:space="preserve"> du BMT</w:t>
      </w:r>
      <w:r w:rsidR="00C11F61" w:rsidRPr="00A14C49">
        <w:rPr>
          <w:rFonts w:ascii="Arial" w:hAnsi="Arial"/>
          <w:snapToGrid w:val="0"/>
          <w:sz w:val="20"/>
          <w:szCs w:val="20"/>
          <w:lang w:eastAsia="en-US"/>
        </w:rPr>
        <w:t xml:space="preserve"> (</w:t>
      </w:r>
      <w:r w:rsidRPr="00A14C49">
        <w:rPr>
          <w:rFonts w:ascii="Arial" w:hAnsi="Arial"/>
          <w:snapToGrid w:val="0"/>
          <w:sz w:val="20"/>
          <w:szCs w:val="20"/>
          <w:lang w:eastAsia="en-US"/>
        </w:rPr>
        <w:t>voir le paragraphe</w:t>
      </w:r>
      <w:r w:rsidR="008A5357" w:rsidRPr="00A14C49">
        <w:rPr>
          <w:rFonts w:ascii="Arial" w:hAnsi="Arial"/>
          <w:snapToGrid w:val="0"/>
          <w:sz w:val="20"/>
          <w:szCs w:val="20"/>
          <w:lang w:eastAsia="en-US"/>
        </w:rPr>
        <w:t> </w:t>
      </w:r>
      <w:r w:rsidRPr="00A14C49">
        <w:rPr>
          <w:rFonts w:ascii="Arial" w:hAnsi="Arial"/>
          <w:snapToGrid w:val="0"/>
          <w:sz w:val="20"/>
          <w:szCs w:val="20"/>
          <w:lang w:eastAsia="en-US"/>
        </w:rPr>
        <w:t>106 du</w:t>
      </w:r>
      <w:r w:rsidR="00C11F61" w:rsidRPr="00A14C49">
        <w:rPr>
          <w:rFonts w:ascii="Arial" w:hAnsi="Arial"/>
          <w:snapToGrid w:val="0"/>
          <w:sz w:val="20"/>
          <w:szCs w:val="20"/>
          <w:lang w:eastAsia="en-US"/>
        </w:rPr>
        <w:t xml:space="preserve"> </w:t>
      </w:r>
      <w:r w:rsidR="00050DB5" w:rsidRPr="00A14C49">
        <w:rPr>
          <w:rFonts w:ascii="Arial" w:hAnsi="Arial"/>
          <w:snapToGrid w:val="0"/>
          <w:sz w:val="20"/>
          <w:szCs w:val="20"/>
          <w:lang w:eastAsia="en-US"/>
        </w:rPr>
        <w:t>document TC</w:t>
      </w:r>
      <w:r w:rsidR="00C11F61" w:rsidRPr="00A14C49">
        <w:rPr>
          <w:rFonts w:ascii="Arial" w:hAnsi="Arial"/>
          <w:snapToGrid w:val="0"/>
          <w:sz w:val="20"/>
          <w:szCs w:val="20"/>
          <w:lang w:eastAsia="en-US"/>
        </w:rPr>
        <w:t>/50/36 “</w:t>
      </w:r>
      <w:r w:rsidRPr="00A14C49">
        <w:rPr>
          <w:rFonts w:ascii="Arial" w:hAnsi="Arial"/>
          <w:snapToGrid w:val="0"/>
          <w:sz w:val="20"/>
          <w:szCs w:val="20"/>
          <w:lang w:eastAsia="en-US"/>
        </w:rPr>
        <w:t xml:space="preserve">Compte rendu des </w:t>
      </w:r>
      <w:r w:rsidR="00C11F61" w:rsidRPr="00A14C49">
        <w:rPr>
          <w:rFonts w:ascii="Arial" w:hAnsi="Arial"/>
          <w:snapToGrid w:val="0"/>
          <w:sz w:val="20"/>
          <w:szCs w:val="20"/>
          <w:lang w:eastAsia="en-US"/>
        </w:rPr>
        <w:t>conclusions”</w:t>
      </w:r>
      <w:r w:rsidRPr="00A14C49">
        <w:rPr>
          <w:rFonts w:ascii="Arial" w:hAnsi="Arial"/>
          <w:snapToGrid w:val="0"/>
          <w:sz w:val="20"/>
          <w:szCs w:val="20"/>
          <w:lang w:eastAsia="en-US"/>
        </w:rPr>
        <w:t>);</w:t>
      </w:r>
    </w:p>
    <w:p w:rsidR="00124277" w:rsidRPr="00A14C49" w:rsidRDefault="007855A6" w:rsidP="00A14C49">
      <w:pPr>
        <w:pStyle w:val="ListParagraph"/>
        <w:numPr>
          <w:ilvl w:val="0"/>
          <w:numId w:val="7"/>
        </w:numPr>
        <w:spacing w:before="0" w:beforeAutospacing="0" w:after="120" w:afterAutospacing="0"/>
        <w:ind w:left="1134" w:hanging="567"/>
        <w:rPr>
          <w:rFonts w:ascii="Arial" w:hAnsi="Arial"/>
          <w:snapToGrid w:val="0"/>
          <w:sz w:val="20"/>
          <w:szCs w:val="20"/>
          <w:lang w:eastAsia="en-US"/>
        </w:rPr>
      </w:pPr>
      <w:r w:rsidRPr="00A14C49">
        <w:rPr>
          <w:rFonts w:ascii="Arial" w:hAnsi="Arial"/>
          <w:snapToGrid w:val="0"/>
          <w:sz w:val="20"/>
          <w:szCs w:val="20"/>
          <w:lang w:eastAsia="en-US"/>
        </w:rPr>
        <w:t>le TWF avait invité un expert de l</w:t>
      </w:r>
      <w:r w:rsidR="00050DB5" w:rsidRPr="00A14C49">
        <w:rPr>
          <w:rFonts w:ascii="Arial" w:hAnsi="Arial"/>
          <w:snapToGrid w:val="0"/>
          <w:sz w:val="20"/>
          <w:szCs w:val="20"/>
          <w:lang w:eastAsia="en-US"/>
        </w:rPr>
        <w:t>’</w:t>
      </w:r>
      <w:r w:rsidRPr="00A14C49">
        <w:rPr>
          <w:rFonts w:ascii="Arial" w:hAnsi="Arial"/>
          <w:snapToGrid w:val="0"/>
          <w:sz w:val="20"/>
          <w:szCs w:val="20"/>
          <w:lang w:eastAsia="en-US"/>
        </w:rPr>
        <w:t>Union européenne à présenter à sa quarante</w:t>
      </w:r>
      <w:r w:rsidR="00542386" w:rsidRPr="00A14C49">
        <w:rPr>
          <w:rFonts w:ascii="Arial" w:hAnsi="Arial"/>
          <w:snapToGrid w:val="0"/>
          <w:sz w:val="20"/>
          <w:szCs w:val="20"/>
          <w:lang w:eastAsia="en-US"/>
        </w:rPr>
        <w:noBreakHyphen/>
      </w:r>
      <w:r w:rsidRPr="00A14C49">
        <w:rPr>
          <w:rFonts w:ascii="Arial" w:hAnsi="Arial"/>
          <w:snapToGrid w:val="0"/>
          <w:sz w:val="20"/>
          <w:szCs w:val="20"/>
          <w:lang w:eastAsia="en-US"/>
        </w:rPr>
        <w:t>cinquième</w:t>
      </w:r>
      <w:r w:rsidR="008A5357" w:rsidRPr="00A14C49">
        <w:rPr>
          <w:rFonts w:ascii="Arial" w:hAnsi="Arial"/>
          <w:snapToGrid w:val="0"/>
          <w:sz w:val="20"/>
          <w:szCs w:val="20"/>
          <w:lang w:eastAsia="en-US"/>
        </w:rPr>
        <w:t> </w:t>
      </w:r>
      <w:r w:rsidRPr="00A14C49">
        <w:rPr>
          <w:rFonts w:ascii="Arial" w:hAnsi="Arial"/>
          <w:snapToGrid w:val="0"/>
          <w:sz w:val="20"/>
          <w:szCs w:val="20"/>
          <w:lang w:eastAsia="en-US"/>
        </w:rPr>
        <w:t>session l</w:t>
      </w:r>
      <w:r w:rsidR="00050DB5" w:rsidRPr="00A14C49">
        <w:rPr>
          <w:rFonts w:ascii="Arial" w:hAnsi="Arial"/>
          <w:snapToGrid w:val="0"/>
          <w:sz w:val="20"/>
          <w:szCs w:val="20"/>
          <w:lang w:eastAsia="en-US"/>
        </w:rPr>
        <w:t>’</w:t>
      </w:r>
      <w:r w:rsidRPr="00A14C49">
        <w:rPr>
          <w:rFonts w:ascii="Arial" w:hAnsi="Arial"/>
          <w:snapToGrid w:val="0"/>
          <w:sz w:val="20"/>
          <w:szCs w:val="20"/>
          <w:lang w:eastAsia="en-US"/>
        </w:rPr>
        <w:t>élaboration d</w:t>
      </w:r>
      <w:r w:rsidR="00050DB5" w:rsidRPr="00A14C49">
        <w:rPr>
          <w:rFonts w:ascii="Arial" w:hAnsi="Arial"/>
          <w:snapToGrid w:val="0"/>
          <w:sz w:val="20"/>
          <w:szCs w:val="20"/>
          <w:lang w:eastAsia="en-US"/>
        </w:rPr>
        <w:t>’</w:t>
      </w:r>
      <w:r w:rsidRPr="00A14C49">
        <w:rPr>
          <w:rFonts w:ascii="Arial" w:hAnsi="Arial"/>
          <w:snapToGrid w:val="0"/>
          <w:sz w:val="20"/>
          <w:szCs w:val="20"/>
          <w:lang w:eastAsia="en-US"/>
        </w:rPr>
        <w:t>une base de données pour le pêcher et que son exposé aurait maintenant lieu en</w:t>
      </w:r>
      <w:r w:rsidR="008A5357" w:rsidRPr="00A14C49">
        <w:rPr>
          <w:rFonts w:ascii="Arial" w:hAnsi="Arial"/>
          <w:snapToGrid w:val="0"/>
          <w:sz w:val="20"/>
          <w:szCs w:val="20"/>
          <w:lang w:eastAsia="en-US"/>
        </w:rPr>
        <w:t> </w:t>
      </w:r>
      <w:r w:rsidRPr="00A14C49">
        <w:rPr>
          <w:rFonts w:ascii="Arial" w:hAnsi="Arial"/>
          <w:snapToGrid w:val="0"/>
          <w:sz w:val="20"/>
          <w:szCs w:val="20"/>
          <w:lang w:eastAsia="en-US"/>
        </w:rPr>
        <w:t>2015</w:t>
      </w:r>
      <w:r w:rsidR="00C11F61" w:rsidRPr="00A14C49">
        <w:rPr>
          <w:rFonts w:ascii="Arial" w:hAnsi="Arial"/>
          <w:snapToGrid w:val="0"/>
          <w:sz w:val="20"/>
          <w:szCs w:val="20"/>
          <w:lang w:eastAsia="en-US"/>
        </w:rPr>
        <w:t xml:space="preserve"> (</w:t>
      </w:r>
      <w:r w:rsidRPr="00A14C49">
        <w:rPr>
          <w:rFonts w:ascii="Arial" w:hAnsi="Arial"/>
          <w:snapToGrid w:val="0"/>
          <w:sz w:val="20"/>
          <w:szCs w:val="20"/>
          <w:lang w:eastAsia="en-US"/>
        </w:rPr>
        <w:t>voir le paragraphe</w:t>
      </w:r>
      <w:r w:rsidR="008A5357" w:rsidRPr="00A14C49">
        <w:rPr>
          <w:rFonts w:ascii="Arial" w:hAnsi="Arial"/>
          <w:snapToGrid w:val="0"/>
          <w:sz w:val="20"/>
          <w:szCs w:val="20"/>
          <w:lang w:eastAsia="en-US"/>
        </w:rPr>
        <w:t> </w:t>
      </w:r>
      <w:r w:rsidRPr="00A14C49">
        <w:rPr>
          <w:rFonts w:ascii="Arial" w:hAnsi="Arial"/>
          <w:snapToGrid w:val="0"/>
          <w:sz w:val="20"/>
          <w:szCs w:val="20"/>
          <w:lang w:eastAsia="en-US"/>
        </w:rPr>
        <w:t xml:space="preserve">107 du </w:t>
      </w:r>
      <w:r w:rsidR="00050DB5" w:rsidRPr="00A14C49">
        <w:rPr>
          <w:rFonts w:ascii="Arial" w:hAnsi="Arial"/>
          <w:snapToGrid w:val="0"/>
          <w:sz w:val="20"/>
          <w:szCs w:val="20"/>
          <w:lang w:eastAsia="en-US"/>
        </w:rPr>
        <w:t>document TC</w:t>
      </w:r>
      <w:r w:rsidR="00C11F61" w:rsidRPr="00A14C49">
        <w:rPr>
          <w:rFonts w:ascii="Arial" w:hAnsi="Arial"/>
          <w:snapToGrid w:val="0"/>
          <w:sz w:val="20"/>
          <w:szCs w:val="20"/>
          <w:lang w:eastAsia="en-US"/>
        </w:rPr>
        <w:t>/50/36 “</w:t>
      </w:r>
      <w:r w:rsidRPr="00A14C49">
        <w:rPr>
          <w:rFonts w:ascii="Arial" w:hAnsi="Arial"/>
          <w:snapToGrid w:val="0"/>
          <w:sz w:val="20"/>
          <w:szCs w:val="20"/>
          <w:lang w:eastAsia="en-US"/>
        </w:rPr>
        <w:t>Compte rendu des</w:t>
      </w:r>
      <w:r w:rsidR="00C11F61" w:rsidRPr="00A14C49">
        <w:rPr>
          <w:rFonts w:ascii="Arial" w:hAnsi="Arial"/>
          <w:snapToGrid w:val="0"/>
          <w:sz w:val="20"/>
          <w:szCs w:val="20"/>
          <w:lang w:eastAsia="en-US"/>
        </w:rPr>
        <w:t xml:space="preserve"> conclusions”</w:t>
      </w:r>
      <w:r w:rsidRPr="00A14C49">
        <w:rPr>
          <w:rFonts w:ascii="Arial" w:hAnsi="Arial"/>
          <w:snapToGrid w:val="0"/>
          <w:sz w:val="20"/>
          <w:szCs w:val="20"/>
          <w:lang w:eastAsia="en-US"/>
        </w:rPr>
        <w:t>);  et que</w:t>
      </w:r>
    </w:p>
    <w:p w:rsidR="00124277" w:rsidRPr="00A14C49" w:rsidRDefault="007855A6" w:rsidP="00A14C49">
      <w:pPr>
        <w:pStyle w:val="ListParagraph"/>
        <w:numPr>
          <w:ilvl w:val="0"/>
          <w:numId w:val="7"/>
        </w:numPr>
        <w:spacing w:before="0" w:beforeAutospacing="0" w:after="120" w:afterAutospacing="0"/>
        <w:ind w:left="1134" w:hanging="567"/>
        <w:rPr>
          <w:rFonts w:ascii="Arial" w:hAnsi="Arial"/>
          <w:snapToGrid w:val="0"/>
          <w:sz w:val="20"/>
          <w:szCs w:val="20"/>
          <w:lang w:eastAsia="en-US"/>
        </w:rPr>
      </w:pPr>
      <w:r w:rsidRPr="00A14C49">
        <w:rPr>
          <w:rFonts w:ascii="Arial" w:hAnsi="Arial"/>
          <w:snapToGrid w:val="0"/>
          <w:sz w:val="20"/>
          <w:szCs w:val="20"/>
          <w:lang w:eastAsia="en-US"/>
        </w:rPr>
        <w:t>le TWO avait demandé à un expert de l</w:t>
      </w:r>
      <w:r w:rsidR="00050DB5" w:rsidRPr="00A14C49">
        <w:rPr>
          <w:rFonts w:ascii="Arial" w:hAnsi="Arial"/>
          <w:snapToGrid w:val="0"/>
          <w:sz w:val="20"/>
          <w:szCs w:val="20"/>
          <w:lang w:eastAsia="en-US"/>
        </w:rPr>
        <w:t>’</w:t>
      </w:r>
      <w:r w:rsidRPr="00A14C49">
        <w:rPr>
          <w:rFonts w:ascii="Arial" w:hAnsi="Arial"/>
          <w:snapToGrid w:val="0"/>
          <w:sz w:val="20"/>
          <w:szCs w:val="20"/>
          <w:lang w:eastAsia="en-US"/>
        </w:rPr>
        <w:t>Australie de diriger une étude initiale sur la viabilité de l</w:t>
      </w:r>
      <w:r w:rsidR="00050DB5" w:rsidRPr="00A14C49">
        <w:rPr>
          <w:rFonts w:ascii="Arial" w:hAnsi="Arial"/>
          <w:snapToGrid w:val="0"/>
          <w:sz w:val="20"/>
          <w:szCs w:val="20"/>
          <w:lang w:eastAsia="en-US"/>
        </w:rPr>
        <w:t>’</w:t>
      </w:r>
      <w:r w:rsidRPr="00A14C49">
        <w:rPr>
          <w:rFonts w:ascii="Arial" w:hAnsi="Arial"/>
          <w:snapToGrid w:val="0"/>
          <w:sz w:val="20"/>
          <w:szCs w:val="20"/>
          <w:lang w:eastAsia="en-US"/>
        </w:rPr>
        <w:t>élaboration d</w:t>
      </w:r>
      <w:r w:rsidR="00050DB5" w:rsidRPr="00A14C49">
        <w:rPr>
          <w:rFonts w:ascii="Arial" w:hAnsi="Arial"/>
          <w:snapToGrid w:val="0"/>
          <w:sz w:val="20"/>
          <w:szCs w:val="20"/>
          <w:lang w:eastAsia="en-US"/>
        </w:rPr>
        <w:t>’</w:t>
      </w:r>
      <w:r w:rsidRPr="00A14C49">
        <w:rPr>
          <w:rFonts w:ascii="Arial" w:hAnsi="Arial"/>
          <w:snapToGrid w:val="0"/>
          <w:sz w:val="20"/>
          <w:szCs w:val="20"/>
          <w:lang w:eastAsia="en-US"/>
        </w:rPr>
        <w:t>une base de données, semblable à la base de données en cours d</w:t>
      </w:r>
      <w:r w:rsidR="00050DB5" w:rsidRPr="00A14C49">
        <w:rPr>
          <w:rFonts w:ascii="Arial" w:hAnsi="Arial"/>
          <w:snapToGrid w:val="0"/>
          <w:sz w:val="20"/>
          <w:szCs w:val="20"/>
          <w:lang w:eastAsia="en-US"/>
        </w:rPr>
        <w:t>’</w:t>
      </w:r>
      <w:r w:rsidRPr="00A14C49">
        <w:rPr>
          <w:rFonts w:ascii="Arial" w:hAnsi="Arial"/>
          <w:snapToGrid w:val="0"/>
          <w:sz w:val="20"/>
          <w:szCs w:val="20"/>
          <w:lang w:eastAsia="en-US"/>
        </w:rPr>
        <w:t>élaboration pour le pois, étude qui serait présentée à sa quarante</w:t>
      </w:r>
      <w:r w:rsidR="00542386" w:rsidRPr="00A14C49">
        <w:rPr>
          <w:rFonts w:ascii="Arial" w:hAnsi="Arial"/>
          <w:snapToGrid w:val="0"/>
          <w:sz w:val="20"/>
          <w:szCs w:val="20"/>
          <w:lang w:eastAsia="en-US"/>
        </w:rPr>
        <w:noBreakHyphen/>
      </w:r>
      <w:r w:rsidRPr="00A14C49">
        <w:rPr>
          <w:rFonts w:ascii="Arial" w:hAnsi="Arial"/>
          <w:snapToGrid w:val="0"/>
          <w:sz w:val="20"/>
          <w:szCs w:val="20"/>
          <w:lang w:eastAsia="en-US"/>
        </w:rPr>
        <w:t>septième</w:t>
      </w:r>
      <w:r w:rsidR="008A5357" w:rsidRPr="00A14C49">
        <w:rPr>
          <w:rFonts w:ascii="Arial" w:hAnsi="Arial"/>
          <w:snapToGrid w:val="0"/>
          <w:sz w:val="20"/>
          <w:szCs w:val="20"/>
          <w:lang w:eastAsia="en-US"/>
        </w:rPr>
        <w:t> </w:t>
      </w:r>
      <w:r w:rsidRPr="00A14C49">
        <w:rPr>
          <w:rFonts w:ascii="Arial" w:hAnsi="Arial"/>
          <w:snapToGrid w:val="0"/>
          <w:sz w:val="20"/>
          <w:szCs w:val="20"/>
          <w:lang w:eastAsia="en-US"/>
        </w:rPr>
        <w:t>session</w:t>
      </w:r>
      <w:r w:rsidR="00C11F61" w:rsidRPr="00A14C49">
        <w:rPr>
          <w:rFonts w:ascii="Arial" w:hAnsi="Arial"/>
          <w:snapToGrid w:val="0"/>
          <w:sz w:val="20"/>
          <w:szCs w:val="20"/>
          <w:lang w:eastAsia="en-US"/>
        </w:rPr>
        <w:t xml:space="preserve"> (</w:t>
      </w:r>
      <w:r w:rsidRPr="00A14C49">
        <w:rPr>
          <w:rFonts w:ascii="Arial" w:hAnsi="Arial"/>
          <w:snapToGrid w:val="0"/>
          <w:sz w:val="20"/>
          <w:szCs w:val="20"/>
          <w:lang w:eastAsia="en-US"/>
        </w:rPr>
        <w:t>voir le paragraphe</w:t>
      </w:r>
      <w:r w:rsidR="008A5357" w:rsidRPr="00A14C49">
        <w:rPr>
          <w:rFonts w:ascii="Arial" w:hAnsi="Arial"/>
          <w:snapToGrid w:val="0"/>
          <w:sz w:val="20"/>
          <w:szCs w:val="20"/>
          <w:lang w:eastAsia="en-US"/>
        </w:rPr>
        <w:t> </w:t>
      </w:r>
      <w:r w:rsidRPr="00A14C49">
        <w:rPr>
          <w:rFonts w:ascii="Arial" w:hAnsi="Arial"/>
          <w:snapToGrid w:val="0"/>
          <w:sz w:val="20"/>
          <w:szCs w:val="20"/>
          <w:lang w:eastAsia="en-US"/>
        </w:rPr>
        <w:t xml:space="preserve">108 du </w:t>
      </w:r>
      <w:r w:rsidR="00050DB5" w:rsidRPr="00A14C49">
        <w:rPr>
          <w:rFonts w:ascii="Arial" w:hAnsi="Arial"/>
          <w:snapToGrid w:val="0"/>
          <w:sz w:val="20"/>
          <w:szCs w:val="20"/>
          <w:lang w:eastAsia="en-US"/>
        </w:rPr>
        <w:t>document TC</w:t>
      </w:r>
      <w:r w:rsidR="00C11F61" w:rsidRPr="00A14C49">
        <w:rPr>
          <w:rFonts w:ascii="Arial" w:hAnsi="Arial"/>
          <w:snapToGrid w:val="0"/>
          <w:sz w:val="20"/>
          <w:szCs w:val="20"/>
          <w:lang w:eastAsia="en-US"/>
        </w:rPr>
        <w:t>/50/36 “</w:t>
      </w:r>
      <w:r w:rsidRPr="00A14C49">
        <w:rPr>
          <w:rFonts w:ascii="Arial" w:hAnsi="Arial"/>
          <w:snapToGrid w:val="0"/>
          <w:sz w:val="20"/>
          <w:szCs w:val="20"/>
          <w:lang w:eastAsia="en-US"/>
        </w:rPr>
        <w:t>Compte rendu des conclusions</w:t>
      </w:r>
      <w:r w:rsidR="00C11F61" w:rsidRPr="00A14C49">
        <w:rPr>
          <w:rFonts w:ascii="Arial" w:hAnsi="Arial"/>
          <w:snapToGrid w:val="0"/>
          <w:sz w:val="20"/>
          <w:szCs w:val="20"/>
          <w:lang w:eastAsia="en-US"/>
        </w:rPr>
        <w:t>”).</w:t>
      </w:r>
    </w:p>
    <w:p w:rsidR="00124277" w:rsidRPr="00A14C49" w:rsidRDefault="00124277" w:rsidP="00A14C49">
      <w:pPr>
        <w:rPr>
          <w:lang w:val="fr-FR"/>
        </w:rPr>
      </w:pPr>
    </w:p>
    <w:p w:rsidR="00124277" w:rsidRPr="00A14C49" w:rsidRDefault="00A9630A" w:rsidP="00A14C49">
      <w:pPr>
        <w:rPr>
          <w:lang w:val="fr-FR"/>
        </w:rPr>
      </w:pPr>
      <w:r w:rsidRPr="00A14C49">
        <w:rPr>
          <w:snapToGrid w:val="0"/>
          <w:lang w:val="fr-FR"/>
        </w:rPr>
        <w:fldChar w:fldCharType="begin"/>
      </w:r>
      <w:r w:rsidRPr="00A14C49">
        <w:rPr>
          <w:snapToGrid w:val="0"/>
          <w:lang w:val="fr-FR"/>
        </w:rPr>
        <w:instrText xml:space="preserve"> AUTONUM  </w:instrText>
      </w:r>
      <w:r w:rsidRPr="00A14C49">
        <w:rPr>
          <w:snapToGrid w:val="0"/>
          <w:lang w:val="fr-FR"/>
        </w:rPr>
        <w:fldChar w:fldCharType="end"/>
      </w:r>
      <w:r w:rsidRPr="00A14C49">
        <w:rPr>
          <w:snapToGrid w:val="0"/>
          <w:lang w:val="fr-FR"/>
        </w:rPr>
        <w:tab/>
      </w:r>
      <w:r w:rsidR="007855A6" w:rsidRPr="00A14C49">
        <w:rPr>
          <w:snapToGrid w:val="0"/>
          <w:lang w:val="fr-FR"/>
        </w:rPr>
        <w:t>En ce qui concerne le paragraphe</w:t>
      </w:r>
      <w:r w:rsidR="008A5357" w:rsidRPr="00A14C49">
        <w:rPr>
          <w:snapToGrid w:val="0"/>
          <w:lang w:val="fr-FR"/>
        </w:rPr>
        <w:t> </w:t>
      </w:r>
      <w:proofErr w:type="spellStart"/>
      <w:r w:rsidR="007855A6" w:rsidRPr="00A14C49">
        <w:rPr>
          <w:snapToGrid w:val="0"/>
          <w:lang w:val="fr-FR"/>
        </w:rPr>
        <w:t>7.e</w:t>
      </w:r>
      <w:proofErr w:type="spellEnd"/>
      <w:r w:rsidR="007855A6" w:rsidRPr="00A14C49">
        <w:rPr>
          <w:snapToGrid w:val="0"/>
          <w:lang w:val="fr-FR"/>
        </w:rPr>
        <w:t>) ci</w:t>
      </w:r>
      <w:r w:rsidR="00542386" w:rsidRPr="00A14C49">
        <w:rPr>
          <w:snapToGrid w:val="0"/>
          <w:lang w:val="fr-FR"/>
        </w:rPr>
        <w:noBreakHyphen/>
      </w:r>
      <w:r w:rsidR="007855A6" w:rsidRPr="00A14C49">
        <w:rPr>
          <w:snapToGrid w:val="0"/>
          <w:lang w:val="fr-FR"/>
        </w:rPr>
        <w:t>dessus, l</w:t>
      </w:r>
      <w:r w:rsidR="00050DB5" w:rsidRPr="00A14C49">
        <w:rPr>
          <w:snapToGrid w:val="0"/>
          <w:lang w:val="fr-FR"/>
        </w:rPr>
        <w:t>’</w:t>
      </w:r>
      <w:r w:rsidR="007855A6" w:rsidRPr="00A14C49">
        <w:rPr>
          <w:snapToGrid w:val="0"/>
          <w:lang w:val="fr-FR"/>
        </w:rPr>
        <w:t>expert de l</w:t>
      </w:r>
      <w:r w:rsidR="00050DB5" w:rsidRPr="00A14C49">
        <w:rPr>
          <w:snapToGrid w:val="0"/>
          <w:lang w:val="fr-FR"/>
        </w:rPr>
        <w:t>’</w:t>
      </w:r>
      <w:r w:rsidR="007855A6" w:rsidRPr="00A14C49">
        <w:rPr>
          <w:snapToGrid w:val="0"/>
          <w:lang w:val="fr-FR"/>
        </w:rPr>
        <w:t>Australie a informé le Bureau que l</w:t>
      </w:r>
      <w:r w:rsidR="00050DB5" w:rsidRPr="00A14C49">
        <w:rPr>
          <w:snapToGrid w:val="0"/>
          <w:lang w:val="fr-FR"/>
        </w:rPr>
        <w:t>’</w:t>
      </w:r>
      <w:r w:rsidR="007855A6" w:rsidRPr="00A14C49">
        <w:rPr>
          <w:snapToGrid w:val="0"/>
          <w:lang w:val="fr-FR"/>
        </w:rPr>
        <w:t>élaboration d</w:t>
      </w:r>
      <w:r w:rsidR="00050DB5" w:rsidRPr="00A14C49">
        <w:rPr>
          <w:snapToGrid w:val="0"/>
          <w:lang w:val="fr-FR"/>
        </w:rPr>
        <w:t>’</w:t>
      </w:r>
      <w:r w:rsidR="007855A6" w:rsidRPr="00A14C49">
        <w:rPr>
          <w:snapToGrid w:val="0"/>
          <w:lang w:val="fr-FR"/>
        </w:rPr>
        <w:t>une base de données ne semblait pas pertinente pour</w:t>
      </w:r>
      <w:r w:rsidR="00050DB5" w:rsidRPr="00A14C49">
        <w:rPr>
          <w:snapToGrid w:val="0"/>
          <w:lang w:val="fr-FR"/>
        </w:rPr>
        <w:t xml:space="preserve"> le TWO</w:t>
      </w:r>
      <w:r w:rsidRPr="00A14C49">
        <w:rPr>
          <w:lang w:val="fr-FR"/>
        </w:rPr>
        <w:t>.</w:t>
      </w:r>
    </w:p>
    <w:p w:rsidR="00124277" w:rsidRPr="00A14C49" w:rsidRDefault="00124277" w:rsidP="00A14C49">
      <w:pPr>
        <w:rPr>
          <w:lang w:val="fr-FR"/>
        </w:rPr>
      </w:pPr>
    </w:p>
    <w:p w:rsidR="00124277" w:rsidRPr="00A14C49" w:rsidRDefault="00480EF2" w:rsidP="00A90E4D">
      <w:pPr>
        <w:pStyle w:val="Heading3"/>
        <w:keepNext w:val="0"/>
        <w:rPr>
          <w:color w:val="auto"/>
        </w:rPr>
      </w:pPr>
      <w:bookmarkStart w:id="9" w:name="_Toc413399265"/>
      <w:r w:rsidRPr="00A14C49">
        <w:rPr>
          <w:color w:val="auto"/>
        </w:rPr>
        <w:t>Q</w:t>
      </w:r>
      <w:r w:rsidR="00A20155" w:rsidRPr="00A14C49">
        <w:rPr>
          <w:color w:val="auto"/>
        </w:rPr>
        <w:t>uestions soulevées par l</w:t>
      </w:r>
      <w:r w:rsidR="00050DB5" w:rsidRPr="00A14C49">
        <w:rPr>
          <w:color w:val="auto"/>
        </w:rPr>
        <w:t>’</w:t>
      </w:r>
      <w:r w:rsidR="00A20155" w:rsidRPr="00A14C49">
        <w:rPr>
          <w:color w:val="auto"/>
        </w:rPr>
        <w:t xml:space="preserve">International </w:t>
      </w:r>
      <w:proofErr w:type="spellStart"/>
      <w:r w:rsidR="00A20155" w:rsidRPr="00A14C49">
        <w:rPr>
          <w:color w:val="auto"/>
        </w:rPr>
        <w:t>Seed</w:t>
      </w:r>
      <w:proofErr w:type="spellEnd"/>
      <w:r w:rsidR="00A20155" w:rsidRPr="00A14C49">
        <w:rPr>
          <w:color w:val="auto"/>
        </w:rPr>
        <w:t xml:space="preserve"> </w:t>
      </w:r>
      <w:proofErr w:type="spellStart"/>
      <w:r w:rsidR="00A20155" w:rsidRPr="00A14C49">
        <w:rPr>
          <w:color w:val="auto"/>
        </w:rPr>
        <w:t>Federation</w:t>
      </w:r>
      <w:proofErr w:type="spellEnd"/>
      <w:r w:rsidR="00A20155" w:rsidRPr="00A14C49">
        <w:rPr>
          <w:color w:val="auto"/>
        </w:rPr>
        <w:t xml:space="preserve"> (ISF)</w:t>
      </w:r>
      <w:bookmarkEnd w:id="9"/>
    </w:p>
    <w:p w:rsidR="00124277" w:rsidRPr="00A14C49" w:rsidRDefault="00124277" w:rsidP="00A90E4D">
      <w:pPr>
        <w:rPr>
          <w:lang w:val="fr-FR"/>
        </w:rPr>
      </w:pPr>
    </w:p>
    <w:p w:rsidR="00124277" w:rsidRPr="00A14C49" w:rsidRDefault="00A9630A" w:rsidP="00A90E4D">
      <w:pPr>
        <w:rPr>
          <w:snapToGrid w:val="0"/>
          <w:lang w:val="fr-FR"/>
        </w:rPr>
      </w:pPr>
      <w:r w:rsidRPr="00A14C49">
        <w:rPr>
          <w:lang w:val="fr-FR"/>
        </w:rPr>
        <w:fldChar w:fldCharType="begin"/>
      </w:r>
      <w:r w:rsidRPr="00A14C49">
        <w:rPr>
          <w:lang w:val="fr-FR"/>
        </w:rPr>
        <w:instrText xml:space="preserve"> AUTONUM  </w:instrText>
      </w:r>
      <w:r w:rsidRPr="00A14C49">
        <w:rPr>
          <w:lang w:val="fr-FR"/>
        </w:rPr>
        <w:fldChar w:fldCharType="end"/>
      </w:r>
      <w:r w:rsidRPr="00A14C49">
        <w:rPr>
          <w:lang w:val="fr-FR"/>
        </w:rPr>
        <w:tab/>
      </w:r>
      <w:r w:rsidR="007855A6" w:rsidRPr="00A14C49">
        <w:rPr>
          <w:lang w:val="fr-FR"/>
        </w:rPr>
        <w:t>À sa quatre</w:t>
      </w:r>
      <w:r w:rsidR="00542386" w:rsidRPr="00A14C49">
        <w:rPr>
          <w:lang w:val="fr-FR"/>
        </w:rPr>
        <w:noBreakHyphen/>
      </w:r>
      <w:r w:rsidR="007855A6" w:rsidRPr="00A14C49">
        <w:rPr>
          <w:lang w:val="fr-FR"/>
        </w:rPr>
        <w:t>vingt</w:t>
      </w:r>
      <w:r w:rsidR="00542386" w:rsidRPr="00A14C49">
        <w:rPr>
          <w:lang w:val="fr-FR"/>
        </w:rPr>
        <w:noBreakHyphen/>
      </w:r>
      <w:r w:rsidR="00820F32" w:rsidRPr="00A14C49">
        <w:rPr>
          <w:lang w:val="fr-FR"/>
        </w:rPr>
        <w:t>sixième</w:t>
      </w:r>
      <w:r w:rsidR="008A5357" w:rsidRPr="00A14C49">
        <w:rPr>
          <w:lang w:val="fr-FR"/>
        </w:rPr>
        <w:t> </w:t>
      </w:r>
      <w:r w:rsidR="00820F32" w:rsidRPr="00A14C49">
        <w:rPr>
          <w:lang w:val="fr-FR"/>
        </w:rPr>
        <w:t>session tenue à Genève les 23 et 2</w:t>
      </w:r>
      <w:r w:rsidR="00050DB5" w:rsidRPr="00A14C49">
        <w:rPr>
          <w:lang w:val="fr-FR"/>
        </w:rPr>
        <w:t>4 octobre 20</w:t>
      </w:r>
      <w:r w:rsidR="00820F32" w:rsidRPr="00A14C49">
        <w:rPr>
          <w:lang w:val="fr-FR"/>
        </w:rPr>
        <w:t>13, le Comité consultatif a examiné la lettre de l</w:t>
      </w:r>
      <w:r w:rsidR="00050DB5" w:rsidRPr="00A14C49">
        <w:rPr>
          <w:lang w:val="fr-FR"/>
        </w:rPr>
        <w:t>’</w:t>
      </w:r>
      <w:r w:rsidR="00820F32" w:rsidRPr="00A14C49">
        <w:rPr>
          <w:i/>
          <w:lang w:val="fr-FR"/>
        </w:rPr>
        <w:t xml:space="preserve">International </w:t>
      </w:r>
      <w:proofErr w:type="spellStart"/>
      <w:r w:rsidR="00820F32" w:rsidRPr="00A14C49">
        <w:rPr>
          <w:i/>
          <w:lang w:val="fr-FR"/>
        </w:rPr>
        <w:t>Seed</w:t>
      </w:r>
      <w:proofErr w:type="spellEnd"/>
      <w:r w:rsidR="00820F32" w:rsidRPr="00A14C49">
        <w:rPr>
          <w:i/>
          <w:lang w:val="fr-FR"/>
        </w:rPr>
        <w:t xml:space="preserve"> </w:t>
      </w:r>
      <w:proofErr w:type="spellStart"/>
      <w:r w:rsidR="00820F32" w:rsidRPr="00A14C49">
        <w:rPr>
          <w:i/>
          <w:lang w:val="fr-FR"/>
        </w:rPr>
        <w:t>Federation</w:t>
      </w:r>
      <w:proofErr w:type="spellEnd"/>
      <w:r w:rsidR="00820F32" w:rsidRPr="00A14C49">
        <w:rPr>
          <w:i/>
          <w:lang w:val="fr-FR"/>
        </w:rPr>
        <w:t xml:space="preserve"> </w:t>
      </w:r>
      <w:r w:rsidR="00820F32" w:rsidRPr="00A14C49">
        <w:rPr>
          <w:lang w:val="fr-FR"/>
        </w:rPr>
        <w:t>(ISF) datée du 2</w:t>
      </w:r>
      <w:r w:rsidR="00050DB5" w:rsidRPr="00A14C49">
        <w:rPr>
          <w:lang w:val="fr-FR"/>
        </w:rPr>
        <w:t>1 janvier 20</w:t>
      </w:r>
      <w:r w:rsidR="00820F32" w:rsidRPr="00A14C49">
        <w:rPr>
          <w:lang w:val="fr-FR"/>
        </w:rPr>
        <w:t xml:space="preserve">13, portant sur </w:t>
      </w:r>
      <w:r w:rsidRPr="00A14C49">
        <w:rPr>
          <w:lang w:val="fr-FR"/>
        </w:rPr>
        <w:t>“</w:t>
      </w:r>
      <w:r w:rsidR="00820F32" w:rsidRPr="00A14C49">
        <w:rPr>
          <w:lang w:val="fr-FR"/>
        </w:rPr>
        <w:t>Les demandes de droits d</w:t>
      </w:r>
      <w:r w:rsidR="00050DB5" w:rsidRPr="00A14C49">
        <w:rPr>
          <w:lang w:val="fr-FR"/>
        </w:rPr>
        <w:t>’</w:t>
      </w:r>
      <w:r w:rsidR="00820F32" w:rsidRPr="00A14C49">
        <w:rPr>
          <w:lang w:val="fr-FR"/>
        </w:rPr>
        <w:t>obtenteur du point de vue de la demande, de l</w:t>
      </w:r>
      <w:r w:rsidR="00050DB5" w:rsidRPr="00A14C49">
        <w:rPr>
          <w:lang w:val="fr-FR"/>
        </w:rPr>
        <w:t>’</w:t>
      </w:r>
      <w:r w:rsidR="00820F32" w:rsidRPr="00A14C49">
        <w:rPr>
          <w:lang w:val="fr-FR"/>
        </w:rPr>
        <w:t>examen de la demande et de la délivrance du titre</w:t>
      </w:r>
      <w:r w:rsidRPr="00A14C49">
        <w:rPr>
          <w:lang w:val="fr-FR"/>
        </w:rPr>
        <w:t xml:space="preserve">” </w:t>
      </w:r>
      <w:r w:rsidR="00820F32" w:rsidRPr="00A14C49">
        <w:rPr>
          <w:lang w:val="fr-FR"/>
        </w:rPr>
        <w:t>et a invité l</w:t>
      </w:r>
      <w:r w:rsidR="00050DB5" w:rsidRPr="00A14C49">
        <w:rPr>
          <w:lang w:val="fr-FR"/>
        </w:rPr>
        <w:t>’</w:t>
      </w:r>
      <w:r w:rsidR="00820F32" w:rsidRPr="00A14C49">
        <w:rPr>
          <w:lang w:val="fr-FR"/>
        </w:rPr>
        <w:t>ISF à présenter son point de vue lors de l</w:t>
      </w:r>
      <w:r w:rsidR="00050DB5" w:rsidRPr="00A14C49">
        <w:rPr>
          <w:lang w:val="fr-FR"/>
        </w:rPr>
        <w:t>’</w:t>
      </w:r>
      <w:r w:rsidR="00820F32" w:rsidRPr="00A14C49">
        <w:rPr>
          <w:lang w:val="fr-FR"/>
        </w:rPr>
        <w:t>examen de la partie pertinente de ce point</w:t>
      </w:r>
      <w:r w:rsidRPr="00A14C49">
        <w:rPr>
          <w:lang w:val="fr-FR"/>
        </w:rPr>
        <w:t xml:space="preserve"> </w:t>
      </w:r>
      <w:r w:rsidRPr="00A14C49">
        <w:rPr>
          <w:snapToGrid w:val="0"/>
          <w:lang w:val="fr-FR"/>
        </w:rPr>
        <w:t>(</w:t>
      </w:r>
      <w:r w:rsidR="00820F32" w:rsidRPr="00A14C49">
        <w:rPr>
          <w:snapToGrid w:val="0"/>
          <w:lang w:val="fr-FR"/>
        </w:rPr>
        <w:t>voir les paragraphes</w:t>
      </w:r>
      <w:r w:rsidR="008A5357" w:rsidRPr="00A14C49">
        <w:rPr>
          <w:snapToGrid w:val="0"/>
          <w:lang w:val="fr-FR"/>
        </w:rPr>
        <w:t> </w:t>
      </w:r>
      <w:r w:rsidR="00542386" w:rsidRPr="00A14C49">
        <w:rPr>
          <w:snapToGrid w:val="0"/>
          <w:lang w:val="fr-FR"/>
        </w:rPr>
        <w:t>62 à </w:t>
      </w:r>
      <w:r w:rsidR="00820F32" w:rsidRPr="00A14C49">
        <w:rPr>
          <w:snapToGrid w:val="0"/>
          <w:lang w:val="fr-FR"/>
        </w:rPr>
        <w:t>66 du</w:t>
      </w:r>
      <w:r w:rsidRPr="00A14C49">
        <w:rPr>
          <w:lang w:val="fr-FR"/>
        </w:rPr>
        <w:t xml:space="preserve"> document C/47/15</w:t>
      </w:r>
      <w:r w:rsidR="008A5357" w:rsidRPr="00A14C49">
        <w:rPr>
          <w:lang w:val="fr-FR"/>
        </w:rPr>
        <w:t> </w:t>
      </w:r>
      <w:proofErr w:type="spellStart"/>
      <w:r w:rsidRPr="00A14C49">
        <w:rPr>
          <w:lang w:val="fr-FR"/>
        </w:rPr>
        <w:t>Rev</w:t>
      </w:r>
      <w:proofErr w:type="spellEnd"/>
      <w:r w:rsidRPr="00A14C49">
        <w:rPr>
          <w:lang w:val="fr-FR"/>
        </w:rPr>
        <w:t xml:space="preserve">. “Report by the </w:t>
      </w:r>
      <w:proofErr w:type="spellStart"/>
      <w:r w:rsidRPr="00A14C49">
        <w:rPr>
          <w:lang w:val="fr-FR"/>
        </w:rPr>
        <w:t>President</w:t>
      </w:r>
      <w:proofErr w:type="spellEnd"/>
      <w:r w:rsidRPr="00A14C49">
        <w:rPr>
          <w:lang w:val="fr-FR"/>
        </w:rPr>
        <w:t xml:space="preserve"> on the </w:t>
      </w:r>
      <w:proofErr w:type="spellStart"/>
      <w:r w:rsidRPr="00A14C49">
        <w:rPr>
          <w:lang w:val="fr-FR"/>
        </w:rPr>
        <w:t>work</w:t>
      </w:r>
      <w:proofErr w:type="spellEnd"/>
      <w:r w:rsidRPr="00A14C49">
        <w:rPr>
          <w:lang w:val="fr-FR"/>
        </w:rPr>
        <w:t xml:space="preserve"> of the </w:t>
      </w:r>
      <w:proofErr w:type="spellStart"/>
      <w:r w:rsidRPr="00A14C49">
        <w:rPr>
          <w:lang w:val="fr-FR"/>
        </w:rPr>
        <w:t>eighty</w:t>
      </w:r>
      <w:r w:rsidR="00542386" w:rsidRPr="00A14C49">
        <w:rPr>
          <w:lang w:val="fr-FR"/>
        </w:rPr>
        <w:noBreakHyphen/>
      </w:r>
      <w:r w:rsidRPr="00A14C49">
        <w:rPr>
          <w:lang w:val="fr-FR"/>
        </w:rPr>
        <w:t>sixth</w:t>
      </w:r>
      <w:proofErr w:type="spellEnd"/>
      <w:r w:rsidRPr="00A14C49">
        <w:rPr>
          <w:lang w:val="fr-FR"/>
        </w:rPr>
        <w:t xml:space="preserve"> session of the Consultative </w:t>
      </w:r>
      <w:proofErr w:type="spellStart"/>
      <w:r w:rsidRPr="00A14C49">
        <w:rPr>
          <w:lang w:val="fr-FR"/>
        </w:rPr>
        <w:t>Committee</w:t>
      </w:r>
      <w:proofErr w:type="spellEnd"/>
      <w:r w:rsidRPr="00A14C49">
        <w:rPr>
          <w:lang w:val="fr-FR"/>
        </w:rPr>
        <w:t xml:space="preserve">; adoption of </w:t>
      </w:r>
      <w:proofErr w:type="spellStart"/>
      <w:r w:rsidRPr="00A14C49">
        <w:rPr>
          <w:lang w:val="fr-FR"/>
        </w:rPr>
        <w:t>recommendations</w:t>
      </w:r>
      <w:proofErr w:type="spellEnd"/>
      <w:r w:rsidRPr="00A14C49">
        <w:rPr>
          <w:lang w:val="fr-FR"/>
        </w:rPr>
        <w:t xml:space="preserve">, if </w:t>
      </w:r>
      <w:proofErr w:type="spellStart"/>
      <w:r w:rsidRPr="00A14C49">
        <w:rPr>
          <w:lang w:val="fr-FR"/>
        </w:rPr>
        <w:t>a</w:t>
      </w:r>
      <w:r w:rsidR="00820F32" w:rsidRPr="00A14C49">
        <w:rPr>
          <w:lang w:val="fr-FR"/>
        </w:rPr>
        <w:t>ny</w:t>
      </w:r>
      <w:proofErr w:type="spellEnd"/>
      <w:r w:rsidR="00820F32" w:rsidRPr="00A14C49">
        <w:rPr>
          <w:lang w:val="fr-FR"/>
        </w:rPr>
        <w:t xml:space="preserve">, </w:t>
      </w:r>
      <w:proofErr w:type="spellStart"/>
      <w:r w:rsidR="00820F32" w:rsidRPr="00A14C49">
        <w:rPr>
          <w:lang w:val="fr-FR"/>
        </w:rPr>
        <w:t>prepared</w:t>
      </w:r>
      <w:proofErr w:type="spellEnd"/>
      <w:r w:rsidR="00820F32" w:rsidRPr="00A14C49">
        <w:rPr>
          <w:lang w:val="fr-FR"/>
        </w:rPr>
        <w:t xml:space="preserve"> by </w:t>
      </w:r>
      <w:proofErr w:type="spellStart"/>
      <w:r w:rsidR="00820F32" w:rsidRPr="00A14C49">
        <w:rPr>
          <w:lang w:val="fr-FR"/>
        </w:rPr>
        <w:t>that</w:t>
      </w:r>
      <w:proofErr w:type="spellEnd"/>
      <w:r w:rsidR="00820F32" w:rsidRPr="00A14C49">
        <w:rPr>
          <w:lang w:val="fr-FR"/>
        </w:rPr>
        <w:t xml:space="preserve"> </w:t>
      </w:r>
      <w:proofErr w:type="spellStart"/>
      <w:r w:rsidR="00820F32" w:rsidRPr="00A14C49">
        <w:rPr>
          <w:lang w:val="fr-FR"/>
        </w:rPr>
        <w:t>Committee</w:t>
      </w:r>
      <w:proofErr w:type="spellEnd"/>
      <w:r w:rsidR="00820F32" w:rsidRPr="00A14C49">
        <w:rPr>
          <w:lang w:val="fr-FR"/>
        </w:rPr>
        <w:t>” (Rapport du président sur les travaux de la quatre</w:t>
      </w:r>
      <w:r w:rsidR="00542386" w:rsidRPr="00A14C49">
        <w:rPr>
          <w:lang w:val="fr-FR"/>
        </w:rPr>
        <w:noBreakHyphen/>
      </w:r>
      <w:r w:rsidR="00820F32" w:rsidRPr="00A14C49">
        <w:rPr>
          <w:lang w:val="fr-FR"/>
        </w:rPr>
        <w:t>vingt</w:t>
      </w:r>
      <w:r w:rsidR="00542386" w:rsidRPr="00A14C49">
        <w:rPr>
          <w:lang w:val="fr-FR"/>
        </w:rPr>
        <w:noBreakHyphen/>
      </w:r>
      <w:r w:rsidR="00820F32" w:rsidRPr="00A14C49">
        <w:rPr>
          <w:lang w:val="fr-FR"/>
        </w:rPr>
        <w:t>sixième</w:t>
      </w:r>
      <w:r w:rsidR="008A5357" w:rsidRPr="00A14C49">
        <w:rPr>
          <w:lang w:val="fr-FR"/>
        </w:rPr>
        <w:t> </w:t>
      </w:r>
      <w:r w:rsidR="00820F32" w:rsidRPr="00A14C49">
        <w:rPr>
          <w:lang w:val="fr-FR"/>
        </w:rPr>
        <w:t>session du Comité consultatif;</w:t>
      </w:r>
      <w:r w:rsidR="008A5357" w:rsidRPr="00A14C49">
        <w:rPr>
          <w:lang w:val="fr-FR"/>
        </w:rPr>
        <w:t xml:space="preserve"> </w:t>
      </w:r>
      <w:r w:rsidR="00820F32" w:rsidRPr="00A14C49">
        <w:rPr>
          <w:lang w:val="fr-FR"/>
        </w:rPr>
        <w:t>adoption, le cas échéant, des recommandations élaborées par ce comité)</w:t>
      </w:r>
      <w:r w:rsidRPr="00A14C49">
        <w:rPr>
          <w:snapToGrid w:val="0"/>
          <w:lang w:val="fr-FR"/>
        </w:rPr>
        <w:t>).</w:t>
      </w:r>
    </w:p>
    <w:p w:rsidR="00124277" w:rsidRPr="00A90E4D" w:rsidRDefault="00124277" w:rsidP="00A14C49">
      <w:pPr>
        <w:rPr>
          <w:snapToGrid w:val="0"/>
          <w:lang w:val="fr-FR"/>
        </w:rPr>
      </w:pPr>
    </w:p>
    <w:p w:rsidR="00124277" w:rsidRPr="00A14C49" w:rsidRDefault="00A9630A" w:rsidP="00A14C49">
      <w:pPr>
        <w:tabs>
          <w:tab w:val="left" w:pos="567"/>
        </w:tabs>
        <w:rPr>
          <w:lang w:val="fr-FR"/>
        </w:rPr>
      </w:pPr>
      <w:r w:rsidRPr="00A14C49">
        <w:rPr>
          <w:lang w:val="fr-FR"/>
        </w:rPr>
        <w:fldChar w:fldCharType="begin"/>
      </w:r>
      <w:r w:rsidRPr="00A14C49">
        <w:rPr>
          <w:lang w:val="fr-FR"/>
        </w:rPr>
        <w:instrText xml:space="preserve"> AUTONUM  </w:instrText>
      </w:r>
      <w:r w:rsidRPr="00A14C49">
        <w:rPr>
          <w:lang w:val="fr-FR"/>
        </w:rPr>
        <w:fldChar w:fldCharType="end"/>
      </w:r>
      <w:r w:rsidRPr="00A14C49">
        <w:rPr>
          <w:lang w:val="fr-FR"/>
        </w:rPr>
        <w:tab/>
      </w:r>
      <w:r w:rsidR="00820F32" w:rsidRPr="00A14C49">
        <w:rPr>
          <w:lang w:val="fr-FR"/>
        </w:rPr>
        <w:t>Le</w:t>
      </w:r>
      <w:r w:rsidR="00050DB5" w:rsidRPr="00A14C49">
        <w:rPr>
          <w:lang w:val="fr-FR"/>
        </w:rPr>
        <w:t> TC</w:t>
      </w:r>
      <w:r w:rsidR="00820F32" w:rsidRPr="00A14C49">
        <w:rPr>
          <w:lang w:val="fr-FR"/>
        </w:rPr>
        <w:t xml:space="preserve"> a invité l</w:t>
      </w:r>
      <w:r w:rsidR="00050DB5" w:rsidRPr="00A14C49">
        <w:rPr>
          <w:lang w:val="fr-FR"/>
        </w:rPr>
        <w:t>’</w:t>
      </w:r>
      <w:r w:rsidR="00820F32" w:rsidRPr="00A14C49">
        <w:rPr>
          <w:lang w:val="fr-FR"/>
        </w:rPr>
        <w:t xml:space="preserve">ISF à examiner les </w:t>
      </w:r>
      <w:r w:rsidR="00775830" w:rsidRPr="00A14C49">
        <w:rPr>
          <w:lang w:val="fr-FR"/>
        </w:rPr>
        <w:t>matériels</w:t>
      </w:r>
      <w:r w:rsidR="00820F32" w:rsidRPr="00A14C49">
        <w:rPr>
          <w:lang w:val="fr-FR"/>
        </w:rPr>
        <w:t xml:space="preserve"> pertinents de l</w:t>
      </w:r>
      <w:r w:rsidR="00050DB5" w:rsidRPr="00A14C49">
        <w:rPr>
          <w:lang w:val="fr-FR"/>
        </w:rPr>
        <w:t>’</w:t>
      </w:r>
      <w:r w:rsidR="00820F32" w:rsidRPr="00A14C49">
        <w:rPr>
          <w:lang w:val="fr-FR"/>
        </w:rPr>
        <w:t>UPOV et à expliquer où elle était d</w:t>
      </w:r>
      <w:r w:rsidR="00050DB5" w:rsidRPr="00A14C49">
        <w:rPr>
          <w:lang w:val="fr-FR"/>
        </w:rPr>
        <w:t>’</w:t>
      </w:r>
      <w:r w:rsidR="00820F32" w:rsidRPr="00A14C49">
        <w:rPr>
          <w:lang w:val="fr-FR"/>
        </w:rPr>
        <w:t>avis que des orientations additionnelles pourraient être élaborées pour ce qui est des questions suivantes (voir</w:t>
      </w:r>
      <w:r w:rsidR="00C54121">
        <w:rPr>
          <w:lang w:val="fr-FR"/>
        </w:rPr>
        <w:t> </w:t>
      </w:r>
      <w:r w:rsidR="00820F32" w:rsidRPr="00A14C49">
        <w:rPr>
          <w:lang w:val="fr-FR"/>
        </w:rPr>
        <w:t>le</w:t>
      </w:r>
      <w:r w:rsidR="00C54121">
        <w:rPr>
          <w:lang w:val="fr-FR"/>
        </w:rPr>
        <w:t> </w:t>
      </w:r>
      <w:r w:rsidR="00820F32" w:rsidRPr="00A14C49">
        <w:rPr>
          <w:lang w:val="fr-FR"/>
        </w:rPr>
        <w:t>paragraphe</w:t>
      </w:r>
      <w:r w:rsidR="008A5357" w:rsidRPr="00A14C49">
        <w:rPr>
          <w:lang w:val="fr-FR"/>
        </w:rPr>
        <w:t> </w:t>
      </w:r>
      <w:r w:rsidR="00820F32" w:rsidRPr="00A14C49">
        <w:rPr>
          <w:lang w:val="fr-FR"/>
        </w:rPr>
        <w:t xml:space="preserve">46 du </w:t>
      </w:r>
      <w:r w:rsidR="00050DB5" w:rsidRPr="00A14C49">
        <w:rPr>
          <w:lang w:val="fr-FR"/>
        </w:rPr>
        <w:t>document TC</w:t>
      </w:r>
      <w:r w:rsidRPr="00A14C49">
        <w:rPr>
          <w:lang w:val="fr-FR"/>
        </w:rPr>
        <w:t>/50/10</w:t>
      </w:r>
      <w:r w:rsidR="00820F32" w:rsidRPr="00A14C49">
        <w:rPr>
          <w:lang w:val="fr-FR"/>
        </w:rPr>
        <w:t>)</w:t>
      </w:r>
      <w:r w:rsidRPr="00A14C49">
        <w:rPr>
          <w:lang w:val="fr-FR"/>
        </w:rPr>
        <w:t xml:space="preserve"> (</w:t>
      </w:r>
      <w:r w:rsidR="00820F32" w:rsidRPr="00A14C49">
        <w:rPr>
          <w:lang w:val="fr-FR"/>
        </w:rPr>
        <w:t>voir le paragraphe</w:t>
      </w:r>
      <w:r w:rsidR="008A5357" w:rsidRPr="00A14C49">
        <w:rPr>
          <w:lang w:val="fr-FR"/>
        </w:rPr>
        <w:t> </w:t>
      </w:r>
      <w:r w:rsidR="00820F32" w:rsidRPr="00A14C49">
        <w:rPr>
          <w:lang w:val="fr-FR"/>
        </w:rPr>
        <w:t>12 du</w:t>
      </w:r>
      <w:r w:rsidRPr="00A14C49">
        <w:rPr>
          <w:lang w:val="fr-FR"/>
        </w:rPr>
        <w:t xml:space="preserve"> </w:t>
      </w:r>
      <w:r w:rsidR="00050DB5" w:rsidRPr="00A14C49">
        <w:rPr>
          <w:lang w:val="fr-FR"/>
        </w:rPr>
        <w:t>document TC</w:t>
      </w:r>
      <w:r w:rsidRPr="00A14C49">
        <w:rPr>
          <w:lang w:val="fr-FR"/>
        </w:rPr>
        <w:t>/50/36 “</w:t>
      </w:r>
      <w:r w:rsidR="00820F32" w:rsidRPr="00A14C49">
        <w:rPr>
          <w:lang w:val="fr-FR"/>
        </w:rPr>
        <w:t>Comte rendu des conclusions</w:t>
      </w:r>
      <w:r w:rsidRPr="00A14C49">
        <w:rPr>
          <w:lang w:val="fr-FR"/>
        </w:rPr>
        <w:t>”)</w:t>
      </w:r>
      <w:r w:rsidR="00820F32" w:rsidRPr="00A14C49">
        <w:rPr>
          <w:lang w:val="fr-FR"/>
        </w:rPr>
        <w:t> :</w:t>
      </w:r>
    </w:p>
    <w:p w:rsidR="00124277" w:rsidRPr="00A14C49" w:rsidRDefault="00124277" w:rsidP="00A14C49">
      <w:pPr>
        <w:tabs>
          <w:tab w:val="left" w:pos="567"/>
        </w:tabs>
        <w:rPr>
          <w:lang w:val="fr-FR"/>
        </w:rPr>
      </w:pPr>
    </w:p>
    <w:p w:rsidR="00124277" w:rsidRPr="00A14C49" w:rsidRDefault="00A9630A" w:rsidP="00A14C49">
      <w:pPr>
        <w:ind w:left="1134" w:hanging="567"/>
        <w:rPr>
          <w:lang w:val="fr-FR"/>
        </w:rPr>
      </w:pPr>
      <w:r w:rsidRPr="00A14C49">
        <w:rPr>
          <w:lang w:val="fr-FR"/>
        </w:rPr>
        <w:t>a)</w:t>
      </w:r>
      <w:r w:rsidRPr="00A14C49">
        <w:rPr>
          <w:lang w:val="fr-FR"/>
        </w:rPr>
        <w:tab/>
        <w:t>Photograph</w:t>
      </w:r>
      <w:r w:rsidR="00306895" w:rsidRPr="00A14C49">
        <w:rPr>
          <w:lang w:val="fr-FR"/>
        </w:rPr>
        <w:t>ie</w:t>
      </w:r>
      <w:r w:rsidRPr="00A14C49">
        <w:rPr>
          <w:lang w:val="fr-FR"/>
        </w:rPr>
        <w:t>s</w:t>
      </w:r>
    </w:p>
    <w:p w:rsidR="00306895" w:rsidRPr="00A14C49" w:rsidRDefault="00A9630A" w:rsidP="00A14C49">
      <w:pPr>
        <w:ind w:left="1134" w:hanging="567"/>
        <w:rPr>
          <w:lang w:val="fr-FR"/>
        </w:rPr>
      </w:pPr>
      <w:r w:rsidRPr="00A14C49">
        <w:rPr>
          <w:lang w:val="fr-FR"/>
        </w:rPr>
        <w:t>b)</w:t>
      </w:r>
      <w:r w:rsidRPr="00A14C49">
        <w:rPr>
          <w:lang w:val="fr-FR"/>
        </w:rPr>
        <w:tab/>
      </w:r>
      <w:r w:rsidR="00306895" w:rsidRPr="00A14C49">
        <w:rPr>
          <w:lang w:val="fr-FR"/>
        </w:rPr>
        <w:t>Taille minimale de l</w:t>
      </w:r>
      <w:r w:rsidR="00050DB5" w:rsidRPr="00A14C49">
        <w:rPr>
          <w:lang w:val="fr-FR"/>
        </w:rPr>
        <w:t>’</w:t>
      </w:r>
      <w:r w:rsidR="00306895" w:rsidRPr="00A14C49">
        <w:rPr>
          <w:lang w:val="fr-FR"/>
        </w:rPr>
        <w:t>échantillon</w:t>
      </w:r>
      <w:r w:rsidRPr="00A14C49">
        <w:rPr>
          <w:lang w:val="fr-FR"/>
        </w:rPr>
        <w:tab/>
      </w:r>
    </w:p>
    <w:p w:rsidR="00124277" w:rsidRPr="00A14C49" w:rsidRDefault="00306895" w:rsidP="00A14C49">
      <w:pPr>
        <w:ind w:left="1134" w:hanging="567"/>
        <w:rPr>
          <w:lang w:val="fr-FR"/>
        </w:rPr>
      </w:pPr>
      <w:r w:rsidRPr="00A14C49">
        <w:rPr>
          <w:lang w:val="fr-FR"/>
        </w:rPr>
        <w:t>c)</w:t>
      </w:r>
      <w:r w:rsidRPr="00A14C49">
        <w:rPr>
          <w:lang w:val="fr-FR"/>
        </w:rPr>
        <w:tab/>
        <w:t>Collections de référence</w:t>
      </w:r>
    </w:p>
    <w:p w:rsidR="00124277" w:rsidRPr="00A14C49" w:rsidRDefault="00A9630A" w:rsidP="00A14C49">
      <w:pPr>
        <w:ind w:left="1134" w:hanging="567"/>
        <w:rPr>
          <w:lang w:val="fr-FR"/>
        </w:rPr>
      </w:pPr>
      <w:r w:rsidRPr="00A14C49">
        <w:rPr>
          <w:lang w:val="fr-FR"/>
        </w:rPr>
        <w:t>d)</w:t>
      </w:r>
      <w:r w:rsidRPr="00A14C49">
        <w:rPr>
          <w:lang w:val="fr-FR"/>
        </w:rPr>
        <w:tab/>
      </w:r>
      <w:r w:rsidR="00306895" w:rsidRPr="00A14C49">
        <w:rPr>
          <w:lang w:val="fr-FR"/>
        </w:rPr>
        <w:t>Durée de l</w:t>
      </w:r>
      <w:r w:rsidR="00050DB5" w:rsidRPr="00A14C49">
        <w:rPr>
          <w:lang w:val="fr-FR"/>
        </w:rPr>
        <w:t>’</w:t>
      </w:r>
      <w:r w:rsidR="00306895" w:rsidRPr="00A14C49">
        <w:rPr>
          <w:lang w:val="fr-FR"/>
        </w:rPr>
        <w:t>examen</w:t>
      </w:r>
    </w:p>
    <w:p w:rsidR="00124277" w:rsidRPr="00A14C49" w:rsidRDefault="00A9630A" w:rsidP="00A14C49">
      <w:pPr>
        <w:ind w:left="1134" w:hanging="567"/>
        <w:rPr>
          <w:lang w:val="fr-FR"/>
        </w:rPr>
      </w:pPr>
      <w:bookmarkStart w:id="10" w:name="_Toc381174890"/>
      <w:r w:rsidRPr="00A14C49">
        <w:rPr>
          <w:lang w:val="fr-FR"/>
        </w:rPr>
        <w:t>e)</w:t>
      </w:r>
      <w:r w:rsidRPr="00A14C49">
        <w:rPr>
          <w:lang w:val="fr-FR"/>
        </w:rPr>
        <w:tab/>
      </w:r>
      <w:bookmarkEnd w:id="10"/>
      <w:r w:rsidR="00475CC4" w:rsidRPr="00A14C49">
        <w:rPr>
          <w:lang w:val="fr-FR"/>
        </w:rPr>
        <w:t>Description de la variété la plus proche</w:t>
      </w:r>
    </w:p>
    <w:p w:rsidR="00124277" w:rsidRPr="00A14C49" w:rsidRDefault="00124277" w:rsidP="00A14C49">
      <w:pPr>
        <w:rPr>
          <w:lang w:val="fr-FR"/>
        </w:rPr>
      </w:pPr>
    </w:p>
    <w:p w:rsidR="00DE01E5" w:rsidRPr="00A14C49" w:rsidRDefault="00DE01E5" w:rsidP="00A14C49">
      <w:pPr>
        <w:rPr>
          <w:lang w:val="fr-FR"/>
        </w:rPr>
      </w:pPr>
    </w:p>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A14C49" w:rsidRPr="001C6250" w:rsidTr="00667F80">
        <w:tc>
          <w:tcPr>
            <w:tcW w:w="8646" w:type="dxa"/>
            <w:shd w:val="clear" w:color="auto" w:fill="auto"/>
          </w:tcPr>
          <w:p w:rsidR="00124277" w:rsidRPr="00A14C49" w:rsidRDefault="00A20155" w:rsidP="00A14C49">
            <w:pPr>
              <w:rPr>
                <w:rFonts w:eastAsia="MS Mincho"/>
                <w:sz w:val="18"/>
                <w:szCs w:val="18"/>
                <w:lang w:val="fr-FR"/>
              </w:rPr>
            </w:pPr>
            <w:r w:rsidRPr="00A14C49">
              <w:rPr>
                <w:rFonts w:eastAsia="MS Mincho"/>
                <w:sz w:val="18"/>
                <w:szCs w:val="18"/>
                <w:lang w:val="fr-FR"/>
              </w:rPr>
              <w:t>[Extrait de la lettre de l</w:t>
            </w:r>
            <w:r w:rsidR="00050DB5" w:rsidRPr="00A14C49">
              <w:rPr>
                <w:rFonts w:eastAsia="MS Mincho"/>
                <w:sz w:val="18"/>
                <w:szCs w:val="18"/>
                <w:lang w:val="fr-FR"/>
              </w:rPr>
              <w:t>’</w:t>
            </w:r>
            <w:r w:rsidRPr="00A14C49">
              <w:rPr>
                <w:rFonts w:eastAsia="MS Mincho"/>
                <w:sz w:val="18"/>
                <w:szCs w:val="18"/>
                <w:lang w:val="fr-FR"/>
              </w:rPr>
              <w:t>ISF]</w:t>
            </w:r>
          </w:p>
          <w:p w:rsidR="00124277" w:rsidRPr="00A14C49" w:rsidRDefault="00A20155" w:rsidP="00A14C49">
            <w:pPr>
              <w:rPr>
                <w:rFonts w:eastAsia="MS Mincho"/>
                <w:sz w:val="18"/>
                <w:szCs w:val="18"/>
                <w:lang w:val="fr-FR"/>
              </w:rPr>
            </w:pPr>
            <w:r w:rsidRPr="00A14C49">
              <w:rPr>
                <w:rFonts w:eastAsia="MS Mincho"/>
                <w:sz w:val="18"/>
                <w:szCs w:val="18"/>
                <w:lang w:val="fr-FR"/>
              </w:rPr>
              <w:t>“</w:t>
            </w:r>
            <w:r w:rsidRPr="00A14C49">
              <w:rPr>
                <w:rFonts w:eastAsia="MS Mincho"/>
                <w:sz w:val="18"/>
                <w:szCs w:val="18"/>
                <w:u w:val="single"/>
                <w:lang w:val="fr-FR"/>
              </w:rPr>
              <w:t>Description de la variété la plus proche</w:t>
            </w:r>
            <w:r w:rsidRPr="00A14C49">
              <w:rPr>
                <w:rFonts w:eastAsia="MS Mincho"/>
                <w:sz w:val="18"/>
                <w:szCs w:val="18"/>
                <w:lang w:val="fr-FR"/>
              </w:rPr>
              <w:t xml:space="preserve"> : </w:t>
            </w:r>
            <w:r w:rsidR="00775830" w:rsidRPr="00A14C49">
              <w:rPr>
                <w:rFonts w:eastAsia="MS Mincho"/>
                <w:sz w:val="18"/>
                <w:szCs w:val="18"/>
                <w:lang w:val="fr-FR"/>
              </w:rPr>
              <w:t>dans certains pays, le demandeur est tenu de fournir la description variétale complète de la ou des variétés les plus proches alors que, dans l</w:t>
            </w:r>
            <w:r w:rsidR="00050DB5" w:rsidRPr="00A14C49">
              <w:rPr>
                <w:rFonts w:eastAsia="MS Mincho"/>
                <w:sz w:val="18"/>
                <w:szCs w:val="18"/>
                <w:lang w:val="fr-FR"/>
              </w:rPr>
              <w:t>’</w:t>
            </w:r>
            <w:r w:rsidR="00775830" w:rsidRPr="00A14C49">
              <w:rPr>
                <w:rFonts w:eastAsia="MS Mincho"/>
                <w:sz w:val="18"/>
                <w:szCs w:val="18"/>
                <w:lang w:val="fr-FR"/>
              </w:rPr>
              <w:t xml:space="preserve">esprit de la </w:t>
            </w:r>
            <w:r w:rsidR="00050DB5" w:rsidRPr="00A14C49">
              <w:rPr>
                <w:rFonts w:eastAsia="MS Mincho"/>
                <w:sz w:val="18"/>
                <w:szCs w:val="18"/>
                <w:lang w:val="fr-FR"/>
              </w:rPr>
              <w:t>Convention UPOV</w:t>
            </w:r>
            <w:r w:rsidR="00775830" w:rsidRPr="00A14C49">
              <w:rPr>
                <w:rFonts w:eastAsia="MS Mincho"/>
                <w:sz w:val="18"/>
                <w:szCs w:val="18"/>
                <w:lang w:val="fr-FR"/>
              </w:rPr>
              <w:t>, seules les différences entre la variété candidate et la variété la plus proche doivent être indiquées.  Les membres de l</w:t>
            </w:r>
            <w:r w:rsidR="00050DB5" w:rsidRPr="00A14C49">
              <w:rPr>
                <w:rFonts w:eastAsia="MS Mincho"/>
                <w:sz w:val="18"/>
                <w:szCs w:val="18"/>
                <w:lang w:val="fr-FR"/>
              </w:rPr>
              <w:t>’</w:t>
            </w:r>
            <w:r w:rsidR="00775830" w:rsidRPr="00A14C49">
              <w:rPr>
                <w:rFonts w:eastAsia="MS Mincho"/>
                <w:sz w:val="18"/>
                <w:szCs w:val="18"/>
                <w:lang w:val="fr-FR"/>
              </w:rPr>
              <w:t>ISF considèrent d</w:t>
            </w:r>
            <w:r w:rsidR="00050DB5" w:rsidRPr="00A14C49">
              <w:rPr>
                <w:rFonts w:eastAsia="MS Mincho"/>
                <w:sz w:val="18"/>
                <w:szCs w:val="18"/>
                <w:lang w:val="fr-FR"/>
              </w:rPr>
              <w:t>’</w:t>
            </w:r>
            <w:r w:rsidR="00775830" w:rsidRPr="00A14C49">
              <w:rPr>
                <w:rFonts w:eastAsia="MS Mincho"/>
                <w:sz w:val="18"/>
                <w:szCs w:val="18"/>
                <w:lang w:val="fr-FR"/>
              </w:rPr>
              <w:t>une manière générale que la fourniture d</w:t>
            </w:r>
            <w:r w:rsidR="00050DB5" w:rsidRPr="00A14C49">
              <w:rPr>
                <w:rFonts w:eastAsia="MS Mincho"/>
                <w:sz w:val="18"/>
                <w:szCs w:val="18"/>
                <w:lang w:val="fr-FR"/>
              </w:rPr>
              <w:t>’</w:t>
            </w:r>
            <w:r w:rsidR="00775830" w:rsidRPr="00A14C49">
              <w:rPr>
                <w:rFonts w:eastAsia="MS Mincho"/>
                <w:sz w:val="18"/>
                <w:szCs w:val="18"/>
                <w:lang w:val="fr-FR"/>
              </w:rPr>
              <w:t xml:space="preserve">une description complète de la variété candidate et des variétés de comparaison </w:t>
            </w:r>
            <w:proofErr w:type="gramStart"/>
            <w:r w:rsidR="00775830" w:rsidRPr="00A14C49">
              <w:rPr>
                <w:rFonts w:eastAsia="MS Mincho"/>
                <w:sz w:val="18"/>
                <w:szCs w:val="18"/>
                <w:lang w:val="fr-FR"/>
              </w:rPr>
              <w:t>représente</w:t>
            </w:r>
            <w:proofErr w:type="gramEnd"/>
            <w:r w:rsidR="00775830" w:rsidRPr="00A14C49">
              <w:rPr>
                <w:rFonts w:eastAsia="MS Mincho"/>
                <w:sz w:val="18"/>
                <w:szCs w:val="18"/>
                <w:lang w:val="fr-FR"/>
              </w:rPr>
              <w:t xml:space="preserve"> une charge de travail excessive pour le demandeur.  L</w:t>
            </w:r>
            <w:r w:rsidR="00050DB5" w:rsidRPr="00A14C49">
              <w:rPr>
                <w:rFonts w:eastAsia="MS Mincho"/>
                <w:sz w:val="18"/>
                <w:szCs w:val="18"/>
                <w:lang w:val="fr-FR"/>
              </w:rPr>
              <w:t>’</w:t>
            </w:r>
            <w:r w:rsidR="00775830" w:rsidRPr="00A14C49">
              <w:rPr>
                <w:rFonts w:eastAsia="MS Mincho"/>
                <w:sz w:val="18"/>
                <w:szCs w:val="18"/>
                <w:lang w:val="fr-FR"/>
              </w:rPr>
              <w:t>observation de cette exigence prend du temps et retarde l</w:t>
            </w:r>
            <w:r w:rsidR="00050DB5" w:rsidRPr="00A14C49">
              <w:rPr>
                <w:rFonts w:eastAsia="MS Mincho"/>
                <w:sz w:val="18"/>
                <w:szCs w:val="18"/>
                <w:lang w:val="fr-FR"/>
              </w:rPr>
              <w:t>’</w:t>
            </w:r>
            <w:r w:rsidR="00775830" w:rsidRPr="00A14C49">
              <w:rPr>
                <w:rFonts w:eastAsia="MS Mincho"/>
                <w:sz w:val="18"/>
                <w:szCs w:val="18"/>
                <w:lang w:val="fr-FR"/>
              </w:rPr>
              <w:t>instruction de la demande.  Dans la plupart des cas, un essai d</w:t>
            </w:r>
            <w:r w:rsidR="00050DB5" w:rsidRPr="00A14C49">
              <w:rPr>
                <w:rFonts w:eastAsia="MS Mincho"/>
                <w:sz w:val="18"/>
                <w:szCs w:val="18"/>
                <w:lang w:val="fr-FR"/>
              </w:rPr>
              <w:t>’</w:t>
            </w:r>
            <w:r w:rsidR="00775830" w:rsidRPr="00A14C49">
              <w:rPr>
                <w:rFonts w:eastAsia="MS Mincho"/>
                <w:sz w:val="18"/>
                <w:szCs w:val="18"/>
                <w:lang w:val="fr-FR"/>
              </w:rPr>
              <w:t>observation spécial doit être organisé pour établir ces descriptions variétales.  En cas de revendication de priorité, cela peut constituer un gros inconvénient pour le demandeur.  La remise d</w:t>
            </w:r>
            <w:r w:rsidR="00050DB5" w:rsidRPr="00A14C49">
              <w:rPr>
                <w:rFonts w:eastAsia="MS Mincho"/>
                <w:sz w:val="18"/>
                <w:szCs w:val="18"/>
                <w:lang w:val="fr-FR"/>
              </w:rPr>
              <w:t>’</w:t>
            </w:r>
            <w:r w:rsidR="00775830" w:rsidRPr="00A14C49">
              <w:rPr>
                <w:rFonts w:eastAsia="MS Mincho"/>
                <w:sz w:val="18"/>
                <w:szCs w:val="18"/>
                <w:lang w:val="fr-FR"/>
              </w:rPr>
              <w:t>une description complète des variétés les plus proches pose encore un problème plus important s</w:t>
            </w:r>
            <w:r w:rsidR="00050DB5" w:rsidRPr="00A14C49">
              <w:rPr>
                <w:rFonts w:eastAsia="MS Mincho"/>
                <w:sz w:val="18"/>
                <w:szCs w:val="18"/>
                <w:lang w:val="fr-FR"/>
              </w:rPr>
              <w:t>’</w:t>
            </w:r>
            <w:r w:rsidR="00775830" w:rsidRPr="00A14C49">
              <w:rPr>
                <w:rFonts w:eastAsia="MS Mincho"/>
                <w:sz w:val="18"/>
                <w:szCs w:val="18"/>
                <w:lang w:val="fr-FR"/>
              </w:rPr>
              <w:t>il s</w:t>
            </w:r>
            <w:r w:rsidR="00050DB5" w:rsidRPr="00A14C49">
              <w:rPr>
                <w:rFonts w:eastAsia="MS Mincho"/>
                <w:sz w:val="18"/>
                <w:szCs w:val="18"/>
                <w:lang w:val="fr-FR"/>
              </w:rPr>
              <w:t>’</w:t>
            </w:r>
            <w:r w:rsidR="00775830" w:rsidRPr="00A14C49">
              <w:rPr>
                <w:rFonts w:eastAsia="MS Mincho"/>
                <w:sz w:val="18"/>
                <w:szCs w:val="18"/>
                <w:lang w:val="fr-FR"/>
              </w:rPr>
              <w:t>agit de variétés concurrentes.</w:t>
            </w:r>
          </w:p>
          <w:p w:rsidR="00124277" w:rsidRPr="00A14C49" w:rsidRDefault="00124277" w:rsidP="00A14C49">
            <w:pPr>
              <w:rPr>
                <w:rFonts w:eastAsia="MS Mincho"/>
                <w:sz w:val="18"/>
                <w:szCs w:val="18"/>
                <w:lang w:val="fr-FR"/>
              </w:rPr>
            </w:pPr>
          </w:p>
          <w:p w:rsidR="00124277" w:rsidRPr="00A14C49" w:rsidRDefault="00A20155" w:rsidP="00A14C49">
            <w:pPr>
              <w:rPr>
                <w:rFonts w:eastAsia="MS Mincho"/>
                <w:sz w:val="18"/>
                <w:szCs w:val="18"/>
                <w:lang w:val="fr-FR"/>
              </w:rPr>
            </w:pPr>
            <w:r w:rsidRPr="00A14C49">
              <w:rPr>
                <w:rFonts w:eastAsia="MS Mincho"/>
                <w:sz w:val="18"/>
                <w:szCs w:val="18"/>
                <w:lang w:val="fr-FR"/>
              </w:rPr>
              <w:t>“</w:t>
            </w:r>
            <w:r w:rsidR="00775830" w:rsidRPr="00A14C49">
              <w:rPr>
                <w:rFonts w:eastAsia="MS Mincho"/>
                <w:sz w:val="18"/>
                <w:szCs w:val="18"/>
                <w:lang w:val="fr-FR"/>
              </w:rPr>
              <w:t>Le demandeur devrait être tenu d</w:t>
            </w:r>
            <w:r w:rsidR="00050DB5" w:rsidRPr="00A14C49">
              <w:rPr>
                <w:rFonts w:eastAsia="MS Mincho"/>
                <w:sz w:val="18"/>
                <w:szCs w:val="18"/>
                <w:lang w:val="fr-FR"/>
              </w:rPr>
              <w:t>’</w:t>
            </w:r>
            <w:r w:rsidR="00775830" w:rsidRPr="00A14C49">
              <w:rPr>
                <w:rFonts w:eastAsia="MS Mincho"/>
                <w:sz w:val="18"/>
                <w:szCs w:val="18"/>
                <w:lang w:val="fr-FR"/>
              </w:rPr>
              <w:t>indiquer uniquement les différences entre la variété candidate et les variétés les plus proches.  En d</w:t>
            </w:r>
            <w:r w:rsidR="00050DB5" w:rsidRPr="00A14C49">
              <w:rPr>
                <w:rFonts w:eastAsia="MS Mincho"/>
                <w:sz w:val="18"/>
                <w:szCs w:val="18"/>
                <w:lang w:val="fr-FR"/>
              </w:rPr>
              <w:t>’</w:t>
            </w:r>
            <w:r w:rsidR="00775830" w:rsidRPr="00A14C49">
              <w:rPr>
                <w:rFonts w:eastAsia="MS Mincho"/>
                <w:sz w:val="18"/>
                <w:szCs w:val="18"/>
                <w:lang w:val="fr-FR"/>
              </w:rPr>
              <w:t>autres termes, seuls les renseignements figurant dans le questionnaire technique de l</w:t>
            </w:r>
            <w:r w:rsidR="00050DB5" w:rsidRPr="00A14C49">
              <w:rPr>
                <w:rFonts w:eastAsia="MS Mincho"/>
                <w:sz w:val="18"/>
                <w:szCs w:val="18"/>
                <w:lang w:val="fr-FR"/>
              </w:rPr>
              <w:t>’</w:t>
            </w:r>
            <w:r w:rsidR="00775830" w:rsidRPr="00A14C49">
              <w:rPr>
                <w:rFonts w:eastAsia="MS Mincho"/>
                <w:sz w:val="18"/>
                <w:szCs w:val="18"/>
                <w:lang w:val="fr-FR"/>
              </w:rPr>
              <w:t>UPOV devraient être exigés.</w:t>
            </w:r>
          </w:p>
          <w:p w:rsidR="00124277" w:rsidRPr="00A14C49" w:rsidRDefault="00124277" w:rsidP="00A14C49">
            <w:pPr>
              <w:rPr>
                <w:rFonts w:eastAsia="MS Mincho"/>
                <w:sz w:val="18"/>
                <w:szCs w:val="18"/>
                <w:lang w:val="fr-FR"/>
              </w:rPr>
            </w:pPr>
          </w:p>
          <w:p w:rsidR="00124277" w:rsidRPr="00A14C49" w:rsidRDefault="00A20155" w:rsidP="00A14C49">
            <w:pPr>
              <w:rPr>
                <w:rFonts w:eastAsia="MS Mincho"/>
                <w:sz w:val="18"/>
                <w:szCs w:val="18"/>
                <w:lang w:val="fr-FR"/>
              </w:rPr>
            </w:pPr>
            <w:r w:rsidRPr="00A14C49">
              <w:rPr>
                <w:rFonts w:eastAsia="MS Mincho"/>
                <w:sz w:val="18"/>
                <w:szCs w:val="18"/>
                <w:lang w:val="fr-FR"/>
              </w:rPr>
              <w:t>“</w:t>
            </w:r>
            <w:r w:rsidR="00775830" w:rsidRPr="00A14C49">
              <w:rPr>
                <w:rFonts w:eastAsia="MS Mincho"/>
                <w:sz w:val="18"/>
                <w:szCs w:val="18"/>
                <w:lang w:val="fr-FR"/>
              </w:rPr>
              <w:t xml:space="preserve">Les techniques de sélection évoluent rapidement, tout comme les variétés. </w:t>
            </w:r>
            <w:r w:rsidR="00F55E08" w:rsidRPr="00A14C49">
              <w:rPr>
                <w:rFonts w:eastAsia="MS Mincho"/>
                <w:sz w:val="18"/>
                <w:szCs w:val="18"/>
                <w:lang w:val="fr-FR"/>
              </w:rPr>
              <w:t xml:space="preserve"> </w:t>
            </w:r>
            <w:r w:rsidR="00775830" w:rsidRPr="00A14C49">
              <w:rPr>
                <w:rFonts w:eastAsia="MS Mincho"/>
                <w:sz w:val="18"/>
                <w:szCs w:val="18"/>
                <w:lang w:val="fr-FR"/>
              </w:rPr>
              <w:t>De nouveaux caractères sont ajoutés en permanence.</w:t>
            </w:r>
            <w:r w:rsidR="00F55E08" w:rsidRPr="00A14C49">
              <w:rPr>
                <w:rFonts w:eastAsia="MS Mincho"/>
                <w:sz w:val="18"/>
                <w:szCs w:val="18"/>
                <w:lang w:val="fr-FR"/>
              </w:rPr>
              <w:t xml:space="preserve"> </w:t>
            </w:r>
            <w:r w:rsidR="00775830" w:rsidRPr="00A14C49">
              <w:rPr>
                <w:rFonts w:eastAsia="MS Mincho"/>
                <w:sz w:val="18"/>
                <w:szCs w:val="18"/>
                <w:lang w:val="fr-FR"/>
              </w:rPr>
              <w:t xml:space="preserve"> Il convient donc d</w:t>
            </w:r>
            <w:r w:rsidR="00050DB5" w:rsidRPr="00A14C49">
              <w:rPr>
                <w:rFonts w:eastAsia="MS Mincho"/>
                <w:sz w:val="18"/>
                <w:szCs w:val="18"/>
                <w:lang w:val="fr-FR"/>
              </w:rPr>
              <w:t>’</w:t>
            </w:r>
            <w:r w:rsidR="00775830" w:rsidRPr="00A14C49">
              <w:rPr>
                <w:rFonts w:eastAsia="MS Mincho"/>
                <w:sz w:val="18"/>
                <w:szCs w:val="18"/>
                <w:lang w:val="fr-FR"/>
              </w:rPr>
              <w:t>introduire sans tarder ces nouveaux caractères dans le questionnaire technique et les descriptions variétales afin d</w:t>
            </w:r>
            <w:r w:rsidR="00050DB5" w:rsidRPr="00A14C49">
              <w:rPr>
                <w:rFonts w:eastAsia="MS Mincho"/>
                <w:sz w:val="18"/>
                <w:szCs w:val="18"/>
                <w:lang w:val="fr-FR"/>
              </w:rPr>
              <w:t>’</w:t>
            </w:r>
            <w:r w:rsidR="00775830" w:rsidRPr="00A14C49">
              <w:rPr>
                <w:rFonts w:eastAsia="MS Mincho"/>
                <w:sz w:val="18"/>
                <w:szCs w:val="18"/>
                <w:lang w:val="fr-FR"/>
              </w:rPr>
              <w:t>assurer un pouvoir discriminant suffisant entre les variétés.</w:t>
            </w:r>
            <w:r w:rsidRPr="00A14C49">
              <w:rPr>
                <w:rFonts w:eastAsia="MS Mincho"/>
                <w:sz w:val="18"/>
                <w:szCs w:val="18"/>
                <w:lang w:val="fr-FR"/>
              </w:rPr>
              <w:t>”</w:t>
            </w:r>
          </w:p>
          <w:p w:rsidR="00A9630A" w:rsidRPr="00A14C49" w:rsidRDefault="00A9630A" w:rsidP="00A14C49">
            <w:pPr>
              <w:rPr>
                <w:rFonts w:eastAsia="MS Mincho"/>
                <w:sz w:val="18"/>
                <w:szCs w:val="18"/>
                <w:lang w:val="fr-FR"/>
              </w:rPr>
            </w:pPr>
          </w:p>
        </w:tc>
      </w:tr>
      <w:tr w:rsidR="00A14C49" w:rsidRPr="001C6250" w:rsidTr="00667F80">
        <w:tc>
          <w:tcPr>
            <w:tcW w:w="8646" w:type="dxa"/>
            <w:shd w:val="clear" w:color="auto" w:fill="auto"/>
          </w:tcPr>
          <w:p w:rsidR="00124277" w:rsidRPr="00A14C49" w:rsidRDefault="00A20155" w:rsidP="00A14C49">
            <w:pPr>
              <w:rPr>
                <w:rFonts w:eastAsia="MS Mincho" w:cs="Arial"/>
                <w:i/>
                <w:sz w:val="18"/>
                <w:szCs w:val="18"/>
                <w:lang w:val="fr-FR"/>
              </w:rPr>
            </w:pPr>
            <w:r w:rsidRPr="00A14C49">
              <w:rPr>
                <w:rFonts w:eastAsia="MS Mincho" w:cs="Arial"/>
                <w:i/>
                <w:sz w:val="18"/>
                <w:szCs w:val="18"/>
                <w:lang w:val="fr-FR"/>
              </w:rPr>
              <w:t>Documents UPOV pertinents :</w:t>
            </w:r>
          </w:p>
          <w:p w:rsidR="00124277" w:rsidRPr="00A14C49" w:rsidRDefault="00124277" w:rsidP="00A14C49">
            <w:pPr>
              <w:rPr>
                <w:rFonts w:eastAsia="MS Mincho" w:cs="Arial"/>
                <w:i/>
                <w:sz w:val="18"/>
                <w:szCs w:val="18"/>
                <w:lang w:val="fr-FR"/>
              </w:rPr>
            </w:pPr>
          </w:p>
          <w:p w:rsidR="00124277" w:rsidRPr="00A14C49" w:rsidRDefault="00A20155" w:rsidP="00A14C49">
            <w:pPr>
              <w:pStyle w:val="ListParagraph"/>
              <w:numPr>
                <w:ilvl w:val="0"/>
                <w:numId w:val="8"/>
              </w:numPr>
              <w:tabs>
                <w:tab w:val="left" w:pos="290"/>
                <w:tab w:val="left" w:pos="574"/>
              </w:tabs>
              <w:spacing w:before="0" w:beforeAutospacing="0" w:after="0" w:afterAutospacing="0"/>
              <w:ind w:left="574" w:hanging="284"/>
              <w:contextualSpacing/>
              <w:jc w:val="both"/>
              <w:rPr>
                <w:rFonts w:ascii="Arial" w:eastAsia="MS Mincho" w:hAnsi="Arial" w:cs="Arial"/>
                <w:i/>
                <w:snapToGrid w:val="0"/>
                <w:sz w:val="18"/>
                <w:szCs w:val="18"/>
              </w:rPr>
            </w:pPr>
            <w:r w:rsidRPr="00A14C49">
              <w:rPr>
                <w:rFonts w:ascii="Arial" w:eastAsia="MS Mincho" w:hAnsi="Arial" w:cs="Arial"/>
                <w:i/>
                <w:snapToGrid w:val="0"/>
                <w:sz w:val="18"/>
                <w:szCs w:val="18"/>
              </w:rPr>
              <w:t>TGP/7, Section 4 “Élaboration de principes directeurs d</w:t>
            </w:r>
            <w:r w:rsidR="00050DB5" w:rsidRPr="00A14C49">
              <w:rPr>
                <w:rFonts w:ascii="Arial" w:eastAsia="MS Mincho" w:hAnsi="Arial" w:cs="Arial"/>
                <w:i/>
                <w:snapToGrid w:val="0"/>
                <w:sz w:val="18"/>
                <w:szCs w:val="18"/>
              </w:rPr>
              <w:t>’</w:t>
            </w:r>
            <w:r w:rsidRPr="00A14C49">
              <w:rPr>
                <w:rFonts w:ascii="Arial" w:eastAsia="MS Mincho" w:hAnsi="Arial" w:cs="Arial"/>
                <w:i/>
                <w:snapToGrid w:val="0"/>
                <w:sz w:val="18"/>
                <w:szCs w:val="18"/>
              </w:rPr>
              <w:t>examen propres aux différents services”</w:t>
            </w:r>
          </w:p>
          <w:p w:rsidR="00A9630A" w:rsidRPr="00A14C49" w:rsidRDefault="00A20155" w:rsidP="00A14C49">
            <w:pPr>
              <w:pStyle w:val="ListParagraph"/>
              <w:numPr>
                <w:ilvl w:val="0"/>
                <w:numId w:val="8"/>
              </w:numPr>
              <w:tabs>
                <w:tab w:val="left" w:pos="290"/>
                <w:tab w:val="left" w:pos="574"/>
              </w:tabs>
              <w:spacing w:before="0" w:beforeAutospacing="0" w:after="0" w:afterAutospacing="0"/>
              <w:ind w:left="574" w:hanging="284"/>
              <w:contextualSpacing/>
              <w:jc w:val="both"/>
              <w:rPr>
                <w:rFonts w:ascii="Arial" w:eastAsia="MS Mincho" w:hAnsi="Arial" w:cs="Arial"/>
                <w:i/>
                <w:sz w:val="18"/>
                <w:szCs w:val="18"/>
              </w:rPr>
            </w:pPr>
            <w:r w:rsidRPr="00A14C49">
              <w:rPr>
                <w:rFonts w:ascii="Arial" w:eastAsia="MS Mincho" w:hAnsi="Arial" w:cs="Arial"/>
                <w:i/>
                <w:sz w:val="18"/>
                <w:szCs w:val="18"/>
              </w:rPr>
              <w:t>TGP/7 “Élaboration des principes directeurs d</w:t>
            </w:r>
            <w:r w:rsidR="00050DB5" w:rsidRPr="00A14C49">
              <w:rPr>
                <w:rFonts w:ascii="Arial" w:eastAsia="MS Mincho" w:hAnsi="Arial" w:cs="Arial"/>
                <w:i/>
                <w:sz w:val="18"/>
                <w:szCs w:val="18"/>
              </w:rPr>
              <w:t>’</w:t>
            </w:r>
            <w:r w:rsidRPr="00A14C49">
              <w:rPr>
                <w:rFonts w:ascii="Arial" w:eastAsia="MS Mincho" w:hAnsi="Arial" w:cs="Arial"/>
                <w:i/>
                <w:sz w:val="18"/>
                <w:szCs w:val="18"/>
              </w:rPr>
              <w:t>examen”, section 2 “Procédure applicable à l</w:t>
            </w:r>
            <w:r w:rsidR="00050DB5" w:rsidRPr="00A14C49">
              <w:rPr>
                <w:rFonts w:ascii="Arial" w:eastAsia="MS Mincho" w:hAnsi="Arial" w:cs="Arial"/>
                <w:i/>
                <w:sz w:val="18"/>
                <w:szCs w:val="18"/>
              </w:rPr>
              <w:t>’</w:t>
            </w:r>
            <w:r w:rsidRPr="00A14C49">
              <w:rPr>
                <w:rFonts w:ascii="Arial" w:eastAsia="MS Mincho" w:hAnsi="Arial" w:cs="Arial"/>
                <w:i/>
                <w:sz w:val="18"/>
                <w:szCs w:val="18"/>
              </w:rPr>
              <w:t>adoption et à la révision des principes directeurs d</w:t>
            </w:r>
            <w:r w:rsidR="00050DB5" w:rsidRPr="00A14C49">
              <w:rPr>
                <w:rFonts w:ascii="Arial" w:eastAsia="MS Mincho" w:hAnsi="Arial" w:cs="Arial"/>
                <w:i/>
                <w:sz w:val="18"/>
                <w:szCs w:val="18"/>
              </w:rPr>
              <w:t>’</w:t>
            </w:r>
            <w:r w:rsidRPr="00A14C49">
              <w:rPr>
                <w:rFonts w:ascii="Arial" w:eastAsia="MS Mincho" w:hAnsi="Arial" w:cs="Arial"/>
                <w:i/>
                <w:sz w:val="18"/>
                <w:szCs w:val="18"/>
              </w:rPr>
              <w:t>examen de l</w:t>
            </w:r>
            <w:r w:rsidR="00050DB5" w:rsidRPr="00A14C49">
              <w:rPr>
                <w:rFonts w:ascii="Arial" w:eastAsia="MS Mincho" w:hAnsi="Arial" w:cs="Arial"/>
                <w:i/>
                <w:sz w:val="18"/>
                <w:szCs w:val="18"/>
              </w:rPr>
              <w:t>’</w:t>
            </w:r>
            <w:r w:rsidRPr="00A14C49">
              <w:rPr>
                <w:rFonts w:ascii="Arial" w:eastAsia="MS Mincho" w:hAnsi="Arial" w:cs="Arial"/>
                <w:i/>
                <w:sz w:val="18"/>
                <w:szCs w:val="18"/>
              </w:rPr>
              <w:t>UPOV”</w:t>
            </w:r>
          </w:p>
        </w:tc>
      </w:tr>
    </w:tbl>
    <w:p w:rsidR="00124277" w:rsidRPr="00A14C49" w:rsidRDefault="00124277" w:rsidP="00A14C49">
      <w:pPr>
        <w:tabs>
          <w:tab w:val="left" w:pos="993"/>
        </w:tabs>
        <w:rPr>
          <w:lang w:val="fr-FR"/>
        </w:rPr>
      </w:pPr>
    </w:p>
    <w:p w:rsidR="00124277" w:rsidRPr="00A14C49" w:rsidRDefault="00A9630A" w:rsidP="00A90E4D">
      <w:pPr>
        <w:keepNext/>
        <w:keepLines/>
        <w:tabs>
          <w:tab w:val="left" w:pos="1134"/>
        </w:tabs>
        <w:ind w:left="567"/>
        <w:rPr>
          <w:lang w:val="fr-FR"/>
        </w:rPr>
      </w:pPr>
      <w:bookmarkStart w:id="11" w:name="_Toc381174891"/>
      <w:r w:rsidRPr="00A14C49">
        <w:rPr>
          <w:lang w:val="fr-FR"/>
        </w:rPr>
        <w:t>f)</w:t>
      </w:r>
      <w:bookmarkEnd w:id="11"/>
      <w:r w:rsidR="00306895" w:rsidRPr="00A14C49">
        <w:rPr>
          <w:lang w:val="fr-FR"/>
        </w:rPr>
        <w:tab/>
        <w:t>Description variétale établie par le demandeur</w:t>
      </w:r>
    </w:p>
    <w:p w:rsidR="00A9630A" w:rsidRPr="00A14C49" w:rsidRDefault="00A9630A" w:rsidP="00A14C49">
      <w:pPr>
        <w:keepNext/>
        <w:keepLines/>
        <w:rPr>
          <w:lang w:val="fr-FR"/>
        </w:rPr>
      </w:pPr>
    </w:p>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A14C49" w:rsidRPr="001C6250" w:rsidTr="00667F80">
        <w:trPr>
          <w:cantSplit/>
        </w:trPr>
        <w:tc>
          <w:tcPr>
            <w:tcW w:w="8646" w:type="dxa"/>
            <w:shd w:val="clear" w:color="auto" w:fill="auto"/>
          </w:tcPr>
          <w:p w:rsidR="00124277" w:rsidRPr="00A14C49" w:rsidRDefault="00A20155" w:rsidP="00A14C49">
            <w:pPr>
              <w:keepNext/>
              <w:keepLines/>
              <w:rPr>
                <w:rFonts w:eastAsia="MS Mincho"/>
                <w:sz w:val="18"/>
                <w:szCs w:val="18"/>
                <w:lang w:val="fr-FR"/>
              </w:rPr>
            </w:pPr>
            <w:r w:rsidRPr="00A14C49">
              <w:rPr>
                <w:rFonts w:eastAsia="MS Mincho"/>
                <w:sz w:val="18"/>
                <w:szCs w:val="18"/>
                <w:lang w:val="fr-FR"/>
              </w:rPr>
              <w:t>[Extrait de la lettre de l</w:t>
            </w:r>
            <w:r w:rsidR="00050DB5" w:rsidRPr="00A14C49">
              <w:rPr>
                <w:rFonts w:eastAsia="MS Mincho"/>
                <w:sz w:val="18"/>
                <w:szCs w:val="18"/>
                <w:lang w:val="fr-FR"/>
              </w:rPr>
              <w:t>’</w:t>
            </w:r>
            <w:r w:rsidRPr="00A14C49">
              <w:rPr>
                <w:rFonts w:eastAsia="MS Mincho"/>
                <w:sz w:val="18"/>
                <w:szCs w:val="18"/>
                <w:lang w:val="fr-FR"/>
              </w:rPr>
              <w:t>ISF]</w:t>
            </w:r>
          </w:p>
          <w:p w:rsidR="00124277" w:rsidRPr="00A14C49" w:rsidRDefault="00A20155" w:rsidP="00A14C49">
            <w:pPr>
              <w:keepNext/>
              <w:keepLines/>
              <w:rPr>
                <w:rFonts w:eastAsia="MS Mincho"/>
                <w:sz w:val="18"/>
                <w:szCs w:val="18"/>
                <w:lang w:val="fr-FR"/>
              </w:rPr>
            </w:pPr>
            <w:r w:rsidRPr="00A14C49">
              <w:rPr>
                <w:rFonts w:eastAsia="MS Mincho"/>
                <w:sz w:val="18"/>
                <w:szCs w:val="18"/>
                <w:lang w:val="fr-FR"/>
              </w:rPr>
              <w:t>“</w:t>
            </w:r>
            <w:r w:rsidRPr="00A14C49">
              <w:rPr>
                <w:rFonts w:eastAsia="MS Mincho"/>
                <w:sz w:val="18"/>
                <w:szCs w:val="18"/>
                <w:u w:val="single"/>
                <w:lang w:val="fr-FR"/>
              </w:rPr>
              <w:t>Description variétale établie par le demandeur</w:t>
            </w:r>
            <w:r w:rsidRPr="00A14C49">
              <w:rPr>
                <w:rFonts w:eastAsia="MS Mincho"/>
                <w:sz w:val="18"/>
                <w:szCs w:val="18"/>
                <w:lang w:val="fr-FR"/>
              </w:rPr>
              <w:t xml:space="preserve"> : </w:t>
            </w:r>
            <w:r w:rsidR="00775830" w:rsidRPr="00A14C49">
              <w:rPr>
                <w:rFonts w:eastAsia="MS Mincho"/>
                <w:sz w:val="18"/>
                <w:szCs w:val="18"/>
                <w:lang w:val="fr-FR"/>
              </w:rPr>
              <w:t>dans certains pays, la description variétale est intégralement établie par le demandeur.  Cela signifie que la même variété, soumise à des facteurs déterminants différents (période d</w:t>
            </w:r>
            <w:r w:rsidR="00050DB5" w:rsidRPr="00A14C49">
              <w:rPr>
                <w:rFonts w:eastAsia="MS Mincho"/>
                <w:sz w:val="18"/>
                <w:szCs w:val="18"/>
                <w:lang w:val="fr-FR"/>
              </w:rPr>
              <w:t>’</w:t>
            </w:r>
            <w:r w:rsidR="00775830" w:rsidRPr="00A14C49">
              <w:rPr>
                <w:rFonts w:eastAsia="MS Mincho"/>
                <w:sz w:val="18"/>
                <w:szCs w:val="18"/>
                <w:lang w:val="fr-FR"/>
              </w:rPr>
              <w:t>ensemencement, milieu de croissance et demandeur</w:t>
            </w:r>
            <w:r w:rsidR="00542386" w:rsidRPr="00A14C49">
              <w:rPr>
                <w:rFonts w:eastAsia="MS Mincho"/>
                <w:sz w:val="18"/>
                <w:szCs w:val="18"/>
                <w:lang w:val="fr-FR"/>
              </w:rPr>
              <w:noBreakHyphen/>
            </w:r>
            <w:r w:rsidR="00775830" w:rsidRPr="00A14C49">
              <w:rPr>
                <w:rFonts w:eastAsia="MS Mincho"/>
                <w:sz w:val="18"/>
                <w:szCs w:val="18"/>
                <w:lang w:val="fr-FR"/>
              </w:rPr>
              <w:t>examinateur), peut donner lieu à des descript</w:t>
            </w:r>
            <w:r w:rsidR="00C54121">
              <w:rPr>
                <w:rFonts w:eastAsia="MS Mincho"/>
                <w:sz w:val="18"/>
                <w:szCs w:val="18"/>
                <w:lang w:val="fr-FR"/>
              </w:rPr>
              <w:t xml:space="preserve">ions complètement différentes. </w:t>
            </w:r>
            <w:r w:rsidR="00775830" w:rsidRPr="00A14C49">
              <w:rPr>
                <w:rFonts w:eastAsia="MS Mincho"/>
                <w:sz w:val="18"/>
                <w:szCs w:val="18"/>
                <w:lang w:val="fr-FR"/>
              </w:rPr>
              <w:t>Lorsque la description variétale est établie par le demandeur, l</w:t>
            </w:r>
            <w:r w:rsidR="00050DB5" w:rsidRPr="00A14C49">
              <w:rPr>
                <w:rFonts w:eastAsia="MS Mincho"/>
                <w:sz w:val="18"/>
                <w:szCs w:val="18"/>
                <w:lang w:val="fr-FR"/>
              </w:rPr>
              <w:t>’</w:t>
            </w:r>
            <w:r w:rsidR="00775830" w:rsidRPr="00A14C49">
              <w:rPr>
                <w:rFonts w:eastAsia="MS Mincho"/>
                <w:sz w:val="18"/>
                <w:szCs w:val="18"/>
                <w:lang w:val="fr-FR"/>
              </w:rPr>
              <w:t>harmonisation des règles et le contrôle des services chargés d</w:t>
            </w:r>
            <w:r w:rsidR="00050DB5" w:rsidRPr="00A14C49">
              <w:rPr>
                <w:rFonts w:eastAsia="MS Mincho"/>
                <w:sz w:val="18"/>
                <w:szCs w:val="18"/>
                <w:lang w:val="fr-FR"/>
              </w:rPr>
              <w:t>’</w:t>
            </w:r>
            <w:r w:rsidR="00775830" w:rsidRPr="00A14C49">
              <w:rPr>
                <w:rFonts w:eastAsia="MS Mincho"/>
                <w:sz w:val="18"/>
                <w:szCs w:val="18"/>
                <w:lang w:val="fr-FR"/>
              </w:rPr>
              <w:t>octroyer les droits d</w:t>
            </w:r>
            <w:r w:rsidR="00050DB5" w:rsidRPr="00A14C49">
              <w:rPr>
                <w:rFonts w:eastAsia="MS Mincho"/>
                <w:sz w:val="18"/>
                <w:szCs w:val="18"/>
                <w:lang w:val="fr-FR"/>
              </w:rPr>
              <w:t>’</w:t>
            </w:r>
            <w:r w:rsidR="00775830" w:rsidRPr="00A14C49">
              <w:rPr>
                <w:rFonts w:eastAsia="MS Mincho"/>
                <w:sz w:val="18"/>
                <w:szCs w:val="18"/>
                <w:lang w:val="fr-FR"/>
              </w:rPr>
              <w:t>obtenteur doivent être renforcés.  Un étalonnage approprié selon les normes de l</w:t>
            </w:r>
            <w:r w:rsidR="00050DB5" w:rsidRPr="00A14C49">
              <w:rPr>
                <w:rFonts w:eastAsia="MS Mincho"/>
                <w:sz w:val="18"/>
                <w:szCs w:val="18"/>
                <w:lang w:val="fr-FR"/>
              </w:rPr>
              <w:t>’</w:t>
            </w:r>
            <w:r w:rsidR="00775830" w:rsidRPr="00A14C49">
              <w:rPr>
                <w:rFonts w:eastAsia="MS Mincho"/>
                <w:sz w:val="18"/>
                <w:szCs w:val="18"/>
                <w:lang w:val="fr-FR"/>
              </w:rPr>
              <w:t>UPOV permet de surmonter les difficultés.  D</w:t>
            </w:r>
            <w:r w:rsidR="00050DB5" w:rsidRPr="00A14C49">
              <w:rPr>
                <w:rFonts w:eastAsia="MS Mincho"/>
                <w:sz w:val="18"/>
                <w:szCs w:val="18"/>
                <w:lang w:val="fr-FR"/>
              </w:rPr>
              <w:t>’</w:t>
            </w:r>
            <w:r w:rsidR="00775830" w:rsidRPr="00A14C49">
              <w:rPr>
                <w:rFonts w:eastAsia="MS Mincho"/>
                <w:sz w:val="18"/>
                <w:szCs w:val="18"/>
                <w:lang w:val="fr-FR"/>
              </w:rPr>
              <w:t>une manière générale, l</w:t>
            </w:r>
            <w:r w:rsidR="00050DB5" w:rsidRPr="00A14C49">
              <w:rPr>
                <w:rFonts w:eastAsia="MS Mincho"/>
                <w:sz w:val="18"/>
                <w:szCs w:val="18"/>
                <w:lang w:val="fr-FR"/>
              </w:rPr>
              <w:t>’</w:t>
            </w:r>
            <w:r w:rsidR="00775830" w:rsidRPr="00A14C49">
              <w:rPr>
                <w:rFonts w:eastAsia="MS Mincho"/>
                <w:sz w:val="18"/>
                <w:szCs w:val="18"/>
                <w:lang w:val="fr-FR"/>
              </w:rPr>
              <w:t>existence d</w:t>
            </w:r>
            <w:r w:rsidR="00050DB5" w:rsidRPr="00A14C49">
              <w:rPr>
                <w:rFonts w:eastAsia="MS Mincho"/>
                <w:sz w:val="18"/>
                <w:szCs w:val="18"/>
                <w:lang w:val="fr-FR"/>
              </w:rPr>
              <w:t>’</w:t>
            </w:r>
            <w:r w:rsidR="00775830" w:rsidRPr="00A14C49">
              <w:rPr>
                <w:rFonts w:eastAsia="MS Mincho"/>
                <w:sz w:val="18"/>
                <w:szCs w:val="18"/>
                <w:lang w:val="fr-FR"/>
              </w:rPr>
              <w:t>un service d</w:t>
            </w:r>
            <w:r w:rsidR="00050DB5" w:rsidRPr="00A14C49">
              <w:rPr>
                <w:rFonts w:eastAsia="MS Mincho"/>
                <w:sz w:val="18"/>
                <w:szCs w:val="18"/>
                <w:lang w:val="fr-FR"/>
              </w:rPr>
              <w:t>’</w:t>
            </w:r>
            <w:r w:rsidR="00775830" w:rsidRPr="00A14C49">
              <w:rPr>
                <w:rFonts w:eastAsia="MS Mincho"/>
                <w:sz w:val="18"/>
                <w:szCs w:val="18"/>
                <w:lang w:val="fr-FR"/>
              </w:rPr>
              <w:t>essai centralisé permet d</w:t>
            </w:r>
            <w:r w:rsidR="00050DB5" w:rsidRPr="00A14C49">
              <w:rPr>
                <w:rFonts w:eastAsia="MS Mincho"/>
                <w:sz w:val="18"/>
                <w:szCs w:val="18"/>
                <w:lang w:val="fr-FR"/>
              </w:rPr>
              <w:t>’</w:t>
            </w:r>
            <w:r w:rsidR="00775830" w:rsidRPr="00A14C49">
              <w:rPr>
                <w:rFonts w:eastAsia="MS Mincho"/>
                <w:sz w:val="18"/>
                <w:szCs w:val="18"/>
                <w:lang w:val="fr-FR"/>
              </w:rPr>
              <w:t>établir une collection de référence plus complète et de meilleure qualité et d</w:t>
            </w:r>
            <w:r w:rsidR="00050DB5" w:rsidRPr="00A14C49">
              <w:rPr>
                <w:rFonts w:eastAsia="MS Mincho"/>
                <w:sz w:val="18"/>
                <w:szCs w:val="18"/>
                <w:lang w:val="fr-FR"/>
              </w:rPr>
              <w:t>’</w:t>
            </w:r>
            <w:r w:rsidR="00775830" w:rsidRPr="00A14C49">
              <w:rPr>
                <w:rFonts w:eastAsia="MS Mincho"/>
                <w:sz w:val="18"/>
                <w:szCs w:val="18"/>
                <w:lang w:val="fr-FR"/>
              </w:rPr>
              <w:t>assurer un meilleur examen des variétés candidates.</w:t>
            </w:r>
          </w:p>
          <w:p w:rsidR="00124277" w:rsidRPr="00A14C49" w:rsidRDefault="00124277" w:rsidP="00A14C49">
            <w:pPr>
              <w:keepNext/>
              <w:keepLines/>
              <w:rPr>
                <w:rFonts w:eastAsia="MS Mincho"/>
                <w:sz w:val="18"/>
                <w:szCs w:val="18"/>
                <w:lang w:val="fr-FR"/>
              </w:rPr>
            </w:pPr>
          </w:p>
          <w:p w:rsidR="00124277" w:rsidRPr="00A14C49" w:rsidRDefault="00A20155" w:rsidP="00A14C49">
            <w:pPr>
              <w:keepNext/>
              <w:keepLines/>
              <w:rPr>
                <w:rFonts w:eastAsia="MS Mincho"/>
                <w:sz w:val="18"/>
                <w:szCs w:val="18"/>
                <w:lang w:val="fr-FR"/>
              </w:rPr>
            </w:pPr>
            <w:r w:rsidRPr="00A14C49">
              <w:rPr>
                <w:rFonts w:eastAsia="MS Mincho"/>
                <w:sz w:val="18"/>
                <w:szCs w:val="18"/>
                <w:lang w:val="fr-FR"/>
              </w:rPr>
              <w:t>“</w:t>
            </w:r>
            <w:r w:rsidR="00775830" w:rsidRPr="00A14C49">
              <w:rPr>
                <w:rFonts w:eastAsia="MS Mincho"/>
                <w:sz w:val="18"/>
                <w:szCs w:val="18"/>
                <w:lang w:val="fr-FR"/>
              </w:rPr>
              <w:t>L</w:t>
            </w:r>
            <w:r w:rsidR="00050DB5" w:rsidRPr="00A14C49">
              <w:rPr>
                <w:rFonts w:eastAsia="MS Mincho"/>
                <w:sz w:val="18"/>
                <w:szCs w:val="18"/>
                <w:lang w:val="fr-FR"/>
              </w:rPr>
              <w:t>’</w:t>
            </w:r>
            <w:r w:rsidR="00775830" w:rsidRPr="00A14C49">
              <w:rPr>
                <w:rFonts w:eastAsia="MS Mincho"/>
                <w:sz w:val="18"/>
                <w:szCs w:val="18"/>
                <w:lang w:val="fr-FR"/>
              </w:rPr>
              <w:t>établissement d</w:t>
            </w:r>
            <w:r w:rsidR="00050DB5" w:rsidRPr="00A14C49">
              <w:rPr>
                <w:rFonts w:eastAsia="MS Mincho"/>
                <w:sz w:val="18"/>
                <w:szCs w:val="18"/>
                <w:lang w:val="fr-FR"/>
              </w:rPr>
              <w:t>’</w:t>
            </w:r>
            <w:r w:rsidR="00775830" w:rsidRPr="00A14C49">
              <w:rPr>
                <w:rFonts w:eastAsia="MS Mincho"/>
                <w:sz w:val="18"/>
                <w:szCs w:val="18"/>
                <w:lang w:val="fr-FR"/>
              </w:rPr>
              <w:t>une description variétale comprenant des données statistiques représente une lourde charge de travail pour le demandeur, raison pour laquelle les entreprises semencières ne présentent pas de demandes dans ces pays.  Par exemple, les mêmes variétés de maïs ont été décrites de manières tellement différentes qu</w:t>
            </w:r>
            <w:r w:rsidR="00050DB5" w:rsidRPr="00A14C49">
              <w:rPr>
                <w:rFonts w:eastAsia="MS Mincho"/>
                <w:sz w:val="18"/>
                <w:szCs w:val="18"/>
                <w:lang w:val="fr-FR"/>
              </w:rPr>
              <w:t>’</w:t>
            </w:r>
            <w:r w:rsidR="00775830" w:rsidRPr="00A14C49">
              <w:rPr>
                <w:rFonts w:eastAsia="MS Mincho"/>
                <w:sz w:val="18"/>
                <w:szCs w:val="18"/>
                <w:lang w:val="fr-FR"/>
              </w:rPr>
              <w:t>un certain nombre de caractères ne peuvent plus être utilisés aux fins de la distinction.</w:t>
            </w:r>
            <w:r w:rsidRPr="00A14C49">
              <w:rPr>
                <w:rFonts w:eastAsia="MS Mincho"/>
                <w:sz w:val="18"/>
                <w:szCs w:val="18"/>
                <w:lang w:val="fr-FR"/>
              </w:rPr>
              <w:t>”</w:t>
            </w:r>
          </w:p>
          <w:p w:rsidR="00A9630A" w:rsidRPr="00A14C49" w:rsidRDefault="00A9630A" w:rsidP="00A14C49">
            <w:pPr>
              <w:keepNext/>
              <w:keepLines/>
              <w:rPr>
                <w:rFonts w:eastAsia="MS Mincho"/>
                <w:sz w:val="18"/>
                <w:szCs w:val="18"/>
                <w:lang w:val="fr-FR"/>
              </w:rPr>
            </w:pPr>
          </w:p>
        </w:tc>
      </w:tr>
      <w:tr w:rsidR="00A14C49" w:rsidRPr="001C6250" w:rsidTr="00667F80">
        <w:tc>
          <w:tcPr>
            <w:tcW w:w="8646" w:type="dxa"/>
            <w:shd w:val="clear" w:color="auto" w:fill="auto"/>
          </w:tcPr>
          <w:p w:rsidR="00124277" w:rsidRPr="00A14C49" w:rsidRDefault="00A20155" w:rsidP="00A14C49">
            <w:pPr>
              <w:rPr>
                <w:rFonts w:eastAsia="MS Mincho" w:cs="Arial"/>
                <w:i/>
                <w:sz w:val="18"/>
                <w:lang w:val="fr-FR"/>
              </w:rPr>
            </w:pPr>
            <w:r w:rsidRPr="00A14C49">
              <w:rPr>
                <w:rFonts w:eastAsia="MS Mincho" w:cs="Arial"/>
                <w:i/>
                <w:sz w:val="18"/>
                <w:lang w:val="fr-FR"/>
              </w:rPr>
              <w:t>Documents UPOV pertinents :</w:t>
            </w:r>
          </w:p>
          <w:p w:rsidR="00124277" w:rsidRPr="00A14C49" w:rsidRDefault="00124277" w:rsidP="00A14C49">
            <w:pPr>
              <w:rPr>
                <w:rFonts w:eastAsia="MS Mincho" w:cs="Arial"/>
                <w:i/>
                <w:sz w:val="18"/>
                <w:lang w:val="fr-FR"/>
              </w:rPr>
            </w:pPr>
          </w:p>
          <w:p w:rsidR="00A9630A" w:rsidRPr="00A14C49" w:rsidRDefault="00A20155" w:rsidP="00A14C49">
            <w:pPr>
              <w:pStyle w:val="ListParagraph"/>
              <w:numPr>
                <w:ilvl w:val="0"/>
                <w:numId w:val="8"/>
              </w:numPr>
              <w:tabs>
                <w:tab w:val="left" w:pos="290"/>
                <w:tab w:val="left" w:pos="574"/>
              </w:tabs>
              <w:spacing w:before="0" w:beforeAutospacing="0" w:after="0" w:afterAutospacing="0"/>
              <w:ind w:left="574" w:hanging="284"/>
              <w:contextualSpacing/>
              <w:jc w:val="both"/>
              <w:rPr>
                <w:rFonts w:ascii="Arial" w:eastAsia="MS Mincho" w:hAnsi="Arial" w:cs="Arial"/>
                <w:i/>
                <w:sz w:val="18"/>
                <w:szCs w:val="20"/>
              </w:rPr>
            </w:pPr>
            <w:r w:rsidRPr="00A14C49">
              <w:rPr>
                <w:rFonts w:ascii="Arial" w:eastAsia="MS Mincho" w:hAnsi="Arial" w:cs="Arial"/>
                <w:i/>
                <w:sz w:val="18"/>
                <w:szCs w:val="20"/>
              </w:rPr>
              <w:t>TGP/6 “Arrangements en vue de l</w:t>
            </w:r>
            <w:r w:rsidR="00050DB5" w:rsidRPr="00A14C49">
              <w:rPr>
                <w:rFonts w:ascii="Arial" w:eastAsia="MS Mincho" w:hAnsi="Arial" w:cs="Arial"/>
                <w:i/>
                <w:sz w:val="18"/>
                <w:szCs w:val="20"/>
              </w:rPr>
              <w:t>’</w:t>
            </w:r>
            <w:r w:rsidRPr="00A14C49">
              <w:rPr>
                <w:rFonts w:ascii="Arial" w:eastAsia="MS Mincho" w:hAnsi="Arial" w:cs="Arial"/>
                <w:i/>
                <w:sz w:val="18"/>
                <w:szCs w:val="20"/>
              </w:rPr>
              <w:t>examen DHS”, section 3 “Déclaration relative aux conditions de l</w:t>
            </w:r>
            <w:r w:rsidR="00050DB5" w:rsidRPr="00A14C49">
              <w:rPr>
                <w:rFonts w:ascii="Arial" w:eastAsia="MS Mincho" w:hAnsi="Arial" w:cs="Arial"/>
                <w:i/>
                <w:sz w:val="18"/>
                <w:szCs w:val="20"/>
              </w:rPr>
              <w:t>’</w:t>
            </w:r>
            <w:r w:rsidRPr="00A14C49">
              <w:rPr>
                <w:rFonts w:ascii="Arial" w:eastAsia="MS Mincho" w:hAnsi="Arial" w:cs="Arial"/>
                <w:i/>
                <w:sz w:val="18"/>
                <w:szCs w:val="20"/>
              </w:rPr>
              <w:t>examen d</w:t>
            </w:r>
            <w:r w:rsidR="00050DB5" w:rsidRPr="00A14C49">
              <w:rPr>
                <w:rFonts w:ascii="Arial" w:eastAsia="MS Mincho" w:hAnsi="Arial" w:cs="Arial"/>
                <w:i/>
                <w:sz w:val="18"/>
                <w:szCs w:val="20"/>
              </w:rPr>
              <w:t>’</w:t>
            </w:r>
            <w:r w:rsidRPr="00A14C49">
              <w:rPr>
                <w:rFonts w:ascii="Arial" w:eastAsia="MS Mincho" w:hAnsi="Arial" w:cs="Arial"/>
                <w:i/>
                <w:sz w:val="18"/>
                <w:szCs w:val="20"/>
              </w:rPr>
              <w:t>une variété fondée sur des essais effectués par l</w:t>
            </w:r>
            <w:r w:rsidR="00050DB5" w:rsidRPr="00A14C49">
              <w:rPr>
                <w:rFonts w:ascii="Arial" w:eastAsia="MS Mincho" w:hAnsi="Arial" w:cs="Arial"/>
                <w:i/>
                <w:sz w:val="18"/>
                <w:szCs w:val="20"/>
              </w:rPr>
              <w:t>’</w:t>
            </w:r>
            <w:r w:rsidRPr="00A14C49">
              <w:rPr>
                <w:rFonts w:ascii="Arial" w:eastAsia="MS Mincho" w:hAnsi="Arial" w:cs="Arial"/>
                <w:i/>
                <w:sz w:val="18"/>
                <w:szCs w:val="20"/>
              </w:rPr>
              <w:t>obtenteur ou pour son compte”</w:t>
            </w:r>
          </w:p>
        </w:tc>
      </w:tr>
    </w:tbl>
    <w:p w:rsidR="00124277" w:rsidRPr="00A14C49" w:rsidRDefault="00124277" w:rsidP="00A14C49">
      <w:pPr>
        <w:rPr>
          <w:lang w:val="fr-FR"/>
        </w:rPr>
      </w:pPr>
    </w:p>
    <w:p w:rsidR="00124277" w:rsidRPr="00A14C49" w:rsidRDefault="00A9630A" w:rsidP="00A90E4D">
      <w:pPr>
        <w:keepNext/>
        <w:keepLines/>
        <w:tabs>
          <w:tab w:val="left" w:pos="993"/>
        </w:tabs>
        <w:ind w:left="709" w:hanging="142"/>
        <w:rPr>
          <w:lang w:val="fr-FR"/>
        </w:rPr>
      </w:pPr>
      <w:bookmarkStart w:id="12" w:name="_Toc381174892"/>
      <w:r w:rsidRPr="00A14C49">
        <w:rPr>
          <w:lang w:val="fr-FR"/>
        </w:rPr>
        <w:lastRenderedPageBreak/>
        <w:t>g)</w:t>
      </w:r>
      <w:r w:rsidRPr="00A14C49">
        <w:rPr>
          <w:lang w:val="fr-FR"/>
        </w:rPr>
        <w:tab/>
      </w:r>
      <w:bookmarkEnd w:id="12"/>
      <w:r w:rsidR="00306895" w:rsidRPr="00A14C49">
        <w:rPr>
          <w:lang w:val="fr-FR"/>
        </w:rPr>
        <w:t xml:space="preserve">Bases de données </w:t>
      </w:r>
      <w:r w:rsidR="00775830" w:rsidRPr="00A14C49">
        <w:rPr>
          <w:lang w:val="fr-FR"/>
        </w:rPr>
        <w:t>sur les</w:t>
      </w:r>
      <w:r w:rsidR="00306895" w:rsidRPr="00A14C49">
        <w:rPr>
          <w:lang w:val="fr-FR"/>
        </w:rPr>
        <w:t xml:space="preserve"> descriptions variétales</w:t>
      </w:r>
    </w:p>
    <w:p w:rsidR="00A9630A" w:rsidRPr="00A14C49" w:rsidRDefault="00A9630A" w:rsidP="00A90E4D">
      <w:pPr>
        <w:keepNext/>
        <w:keepLines/>
        <w:rPr>
          <w:lang w:val="fr-FR"/>
        </w:rPr>
      </w:pPr>
    </w:p>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A14C49" w:rsidRPr="001C6250" w:rsidTr="00667F80">
        <w:tc>
          <w:tcPr>
            <w:tcW w:w="8646" w:type="dxa"/>
            <w:shd w:val="clear" w:color="auto" w:fill="auto"/>
          </w:tcPr>
          <w:p w:rsidR="00124277" w:rsidRPr="00A14C49" w:rsidRDefault="00A20155" w:rsidP="00A90E4D">
            <w:pPr>
              <w:keepNext/>
              <w:keepLines/>
              <w:rPr>
                <w:rFonts w:eastAsia="MS Mincho"/>
                <w:sz w:val="18"/>
                <w:szCs w:val="18"/>
                <w:lang w:val="fr-FR"/>
              </w:rPr>
            </w:pPr>
            <w:r w:rsidRPr="00A14C49">
              <w:rPr>
                <w:rFonts w:eastAsia="MS Mincho"/>
                <w:sz w:val="18"/>
                <w:szCs w:val="18"/>
                <w:lang w:val="fr-FR"/>
              </w:rPr>
              <w:t>[Extrait de la lettre de l</w:t>
            </w:r>
            <w:r w:rsidR="00050DB5" w:rsidRPr="00A14C49">
              <w:rPr>
                <w:rFonts w:eastAsia="MS Mincho"/>
                <w:sz w:val="18"/>
                <w:szCs w:val="18"/>
                <w:lang w:val="fr-FR"/>
              </w:rPr>
              <w:t>’</w:t>
            </w:r>
            <w:r w:rsidRPr="00A14C49">
              <w:rPr>
                <w:rFonts w:eastAsia="MS Mincho"/>
                <w:sz w:val="18"/>
                <w:szCs w:val="18"/>
                <w:lang w:val="fr-FR"/>
              </w:rPr>
              <w:t>ISF]</w:t>
            </w:r>
          </w:p>
          <w:p w:rsidR="00A9630A" w:rsidRPr="00A14C49" w:rsidRDefault="00A20155" w:rsidP="00A90E4D">
            <w:pPr>
              <w:keepNext/>
              <w:keepLines/>
              <w:rPr>
                <w:rFonts w:eastAsia="MS Mincho"/>
                <w:sz w:val="18"/>
                <w:szCs w:val="18"/>
                <w:lang w:val="fr-FR"/>
              </w:rPr>
            </w:pPr>
            <w:r w:rsidRPr="00A14C49">
              <w:rPr>
                <w:rFonts w:eastAsia="MS Mincho"/>
                <w:sz w:val="18"/>
                <w:szCs w:val="18"/>
                <w:lang w:val="fr-FR"/>
              </w:rPr>
              <w:t>“</w:t>
            </w:r>
            <w:r w:rsidRPr="00A14C49">
              <w:rPr>
                <w:rFonts w:eastAsia="MS Mincho"/>
                <w:sz w:val="18"/>
                <w:szCs w:val="18"/>
                <w:u w:val="single"/>
                <w:lang w:val="fr-FR"/>
              </w:rPr>
              <w:t>Base de données sur les descriptions variétales</w:t>
            </w:r>
            <w:r w:rsidRPr="00A14C49">
              <w:rPr>
                <w:rFonts w:eastAsia="MS Mincho"/>
                <w:sz w:val="18"/>
                <w:szCs w:val="18"/>
                <w:lang w:val="fr-FR"/>
              </w:rPr>
              <w:t xml:space="preserve"> : </w:t>
            </w:r>
            <w:r w:rsidR="00775830" w:rsidRPr="00A14C49">
              <w:rPr>
                <w:rFonts w:eastAsia="MS Mincho"/>
                <w:sz w:val="18"/>
                <w:szCs w:val="18"/>
                <w:lang w:val="fr-FR"/>
              </w:rPr>
              <w:t>une base de données des descriptions variétales comportant les renseignements figurant dans le questionnaire technique devrait être mise à la disposition de toutes les parties intéressées.  Cela améliorerait la gestion des collections de référence et fournirait une meilleure base pour la sélection des variétés de comparaison.</w:t>
            </w:r>
            <w:r w:rsidR="00241AB1" w:rsidRPr="00A14C49">
              <w:rPr>
                <w:rFonts w:eastAsia="MS Mincho"/>
                <w:sz w:val="18"/>
                <w:szCs w:val="18"/>
                <w:lang w:val="fr-FR"/>
              </w:rPr>
              <w:t>”</w:t>
            </w:r>
          </w:p>
        </w:tc>
      </w:tr>
    </w:tbl>
    <w:p w:rsidR="00124277" w:rsidRPr="00A14C49" w:rsidRDefault="00124277" w:rsidP="00A14C49">
      <w:pPr>
        <w:rPr>
          <w:lang w:val="fr-FR"/>
        </w:rPr>
      </w:pPr>
    </w:p>
    <w:p w:rsidR="00124277" w:rsidRPr="00A14C49" w:rsidRDefault="00A9630A" w:rsidP="00A14C49">
      <w:pPr>
        <w:tabs>
          <w:tab w:val="left" w:pos="567"/>
        </w:tabs>
        <w:rPr>
          <w:lang w:val="fr-FR"/>
        </w:rPr>
      </w:pPr>
      <w:r w:rsidRPr="00A14C49">
        <w:rPr>
          <w:lang w:val="fr-FR"/>
        </w:rPr>
        <w:fldChar w:fldCharType="begin"/>
      </w:r>
      <w:r w:rsidRPr="00A14C49">
        <w:rPr>
          <w:lang w:val="fr-FR"/>
        </w:rPr>
        <w:instrText xml:space="preserve"> AUTONUM  </w:instrText>
      </w:r>
      <w:r w:rsidRPr="00A14C49">
        <w:rPr>
          <w:lang w:val="fr-FR"/>
        </w:rPr>
        <w:fldChar w:fldCharType="end"/>
      </w:r>
      <w:r w:rsidRPr="00A14C49">
        <w:rPr>
          <w:lang w:val="fr-FR"/>
        </w:rPr>
        <w:tab/>
      </w:r>
      <w:r w:rsidR="00775830" w:rsidRPr="00A14C49">
        <w:rPr>
          <w:lang w:val="fr-FR"/>
        </w:rPr>
        <w:t>Le</w:t>
      </w:r>
      <w:r w:rsidR="00050DB5" w:rsidRPr="00A14C49">
        <w:rPr>
          <w:lang w:val="fr-FR"/>
        </w:rPr>
        <w:t> TC</w:t>
      </w:r>
      <w:r w:rsidR="00775830" w:rsidRPr="00A14C49">
        <w:rPr>
          <w:lang w:val="fr-FR"/>
        </w:rPr>
        <w:t xml:space="preserve"> a noté que l</w:t>
      </w:r>
      <w:r w:rsidR="00050DB5" w:rsidRPr="00A14C49">
        <w:rPr>
          <w:lang w:val="fr-FR"/>
        </w:rPr>
        <w:t>’</w:t>
      </w:r>
      <w:r w:rsidR="00775830" w:rsidRPr="00A14C49">
        <w:rPr>
          <w:lang w:val="fr-FR"/>
        </w:rPr>
        <w:t xml:space="preserve">ISF avait été </w:t>
      </w:r>
      <w:proofErr w:type="gramStart"/>
      <w:r w:rsidR="00775830" w:rsidRPr="00A14C49">
        <w:rPr>
          <w:lang w:val="fr-FR"/>
        </w:rPr>
        <w:t>invitée</w:t>
      </w:r>
      <w:proofErr w:type="gramEnd"/>
      <w:r w:rsidR="00775830" w:rsidRPr="00A14C49">
        <w:rPr>
          <w:lang w:val="fr-FR"/>
        </w:rPr>
        <w:t xml:space="preserve"> à faire part au</w:t>
      </w:r>
      <w:r w:rsidR="00050DB5" w:rsidRPr="00A14C49">
        <w:rPr>
          <w:lang w:val="fr-FR"/>
        </w:rPr>
        <w:t> TC</w:t>
      </w:r>
      <w:r w:rsidR="00775830" w:rsidRPr="00A14C49">
        <w:rPr>
          <w:lang w:val="fr-FR"/>
        </w:rPr>
        <w:t xml:space="preserve"> de ses </w:t>
      </w:r>
      <w:r w:rsidR="00542386" w:rsidRPr="00A14C49">
        <w:rPr>
          <w:lang w:val="fr-FR"/>
        </w:rPr>
        <w:t>points de vue</w:t>
      </w:r>
      <w:r w:rsidR="00775830" w:rsidRPr="00A14C49">
        <w:rPr>
          <w:lang w:val="fr-FR"/>
        </w:rPr>
        <w:t xml:space="preserve"> concernant les bases de données sur les descriptions variétales et les critères recensés par le</w:t>
      </w:r>
      <w:r w:rsidR="00050DB5" w:rsidRPr="00A14C49">
        <w:rPr>
          <w:lang w:val="fr-FR"/>
        </w:rPr>
        <w:t> TC</w:t>
      </w:r>
      <w:r w:rsidR="00775830" w:rsidRPr="00A14C49">
        <w:rPr>
          <w:lang w:val="fr-FR"/>
        </w:rPr>
        <w:t xml:space="preserve"> pour la publication de descriptions variétales, énoncés dans le </w:t>
      </w:r>
      <w:r w:rsidR="00050DB5" w:rsidRPr="00A14C49">
        <w:rPr>
          <w:lang w:val="fr-FR"/>
        </w:rPr>
        <w:t>document TC</w:t>
      </w:r>
      <w:r w:rsidR="00775830" w:rsidRPr="00A14C49">
        <w:rPr>
          <w:lang w:val="fr-FR"/>
        </w:rPr>
        <w:t>/45/9 “Publication des descriptions variétales</w:t>
      </w:r>
      <w:r w:rsidRPr="00A14C49">
        <w:rPr>
          <w:lang w:val="fr-FR"/>
        </w:rPr>
        <w:t>” (</w:t>
      </w:r>
      <w:r w:rsidR="00775830" w:rsidRPr="00A14C49">
        <w:rPr>
          <w:lang w:val="fr-FR"/>
        </w:rPr>
        <w:t>voir le paragraphe</w:t>
      </w:r>
      <w:r w:rsidR="008A5357" w:rsidRPr="00A14C49">
        <w:rPr>
          <w:lang w:val="fr-FR"/>
        </w:rPr>
        <w:t> </w:t>
      </w:r>
      <w:r w:rsidR="00775830" w:rsidRPr="00A14C49">
        <w:rPr>
          <w:lang w:val="fr-FR"/>
        </w:rPr>
        <w:t>13 du</w:t>
      </w:r>
      <w:r w:rsidRPr="00A14C49">
        <w:rPr>
          <w:lang w:val="fr-FR"/>
        </w:rPr>
        <w:t xml:space="preserve"> </w:t>
      </w:r>
      <w:r w:rsidR="00050DB5" w:rsidRPr="00A14C49">
        <w:rPr>
          <w:lang w:val="fr-FR"/>
        </w:rPr>
        <w:t>document TC</w:t>
      </w:r>
      <w:r w:rsidRPr="00A14C49">
        <w:rPr>
          <w:lang w:val="fr-FR"/>
        </w:rPr>
        <w:t>/50/36 “</w:t>
      </w:r>
      <w:r w:rsidR="00775830" w:rsidRPr="00A14C49">
        <w:rPr>
          <w:lang w:val="fr-FR"/>
        </w:rPr>
        <w:t>Compte rendu des conclusions</w:t>
      </w:r>
      <w:r w:rsidRPr="00A14C49">
        <w:rPr>
          <w:lang w:val="fr-FR"/>
        </w:rPr>
        <w:t>”).</w:t>
      </w:r>
    </w:p>
    <w:p w:rsidR="00124277" w:rsidRPr="00A14C49" w:rsidRDefault="00124277" w:rsidP="00A14C49">
      <w:pPr>
        <w:rPr>
          <w:lang w:val="fr-FR"/>
        </w:rPr>
      </w:pPr>
    </w:p>
    <w:p w:rsidR="00124277" w:rsidRPr="00A14C49" w:rsidRDefault="00A20155" w:rsidP="00A14C49">
      <w:pPr>
        <w:pStyle w:val="Heading3"/>
        <w:rPr>
          <w:color w:val="auto"/>
        </w:rPr>
      </w:pPr>
      <w:bookmarkStart w:id="13" w:name="_Toc413399266"/>
      <w:r w:rsidRPr="00A14C49">
        <w:rPr>
          <w:color w:val="auto"/>
        </w:rPr>
        <w:t>Comité administratif et juridique</w:t>
      </w:r>
      <w:bookmarkEnd w:id="13"/>
    </w:p>
    <w:p w:rsidR="00124277" w:rsidRPr="00A14C49" w:rsidRDefault="00124277" w:rsidP="00A14C49">
      <w:pPr>
        <w:rPr>
          <w:lang w:val="fr-FR"/>
        </w:rPr>
      </w:pPr>
    </w:p>
    <w:p w:rsidR="00124277" w:rsidRPr="00A14C49" w:rsidRDefault="00A9630A" w:rsidP="00A14C49">
      <w:pPr>
        <w:rPr>
          <w:lang w:val="fr-FR"/>
        </w:rPr>
      </w:pPr>
      <w:r w:rsidRPr="00A14C49">
        <w:rPr>
          <w:lang w:val="fr-FR"/>
        </w:rPr>
        <w:fldChar w:fldCharType="begin"/>
      </w:r>
      <w:r w:rsidRPr="00A14C49">
        <w:rPr>
          <w:lang w:val="fr-FR"/>
        </w:rPr>
        <w:instrText xml:space="preserve"> AUTONUM  </w:instrText>
      </w:r>
      <w:r w:rsidRPr="00A14C49">
        <w:rPr>
          <w:lang w:val="fr-FR"/>
        </w:rPr>
        <w:fldChar w:fldCharType="end"/>
      </w:r>
      <w:r w:rsidRPr="00A14C49">
        <w:rPr>
          <w:lang w:val="fr-FR"/>
        </w:rPr>
        <w:tab/>
      </w:r>
      <w:r w:rsidR="00255C98" w:rsidRPr="00A14C49">
        <w:rPr>
          <w:lang w:val="fr-FR"/>
        </w:rPr>
        <w:t>À sa soixante</w:t>
      </w:r>
      <w:r w:rsidR="00542386" w:rsidRPr="00A14C49">
        <w:rPr>
          <w:lang w:val="fr-FR"/>
        </w:rPr>
        <w:noBreakHyphen/>
      </w:r>
      <w:r w:rsidR="00255C98" w:rsidRPr="00A14C49">
        <w:rPr>
          <w:lang w:val="fr-FR"/>
        </w:rPr>
        <w:t>neuvième</w:t>
      </w:r>
      <w:r w:rsidR="008A5357" w:rsidRPr="00A14C49">
        <w:rPr>
          <w:lang w:val="fr-FR"/>
        </w:rPr>
        <w:t> </w:t>
      </w:r>
      <w:r w:rsidR="00255C98" w:rsidRPr="00A14C49">
        <w:rPr>
          <w:lang w:val="fr-FR"/>
        </w:rPr>
        <w:t>session tenue à Genève le 1</w:t>
      </w:r>
      <w:r w:rsidR="00050DB5" w:rsidRPr="00A14C49">
        <w:rPr>
          <w:lang w:val="fr-FR"/>
        </w:rPr>
        <w:t>0 avril 20</w:t>
      </w:r>
      <w:r w:rsidR="00255C98" w:rsidRPr="00A14C49">
        <w:rPr>
          <w:lang w:val="fr-FR"/>
        </w:rPr>
        <w:t>14, conformément à la proposition faite par</w:t>
      </w:r>
      <w:r w:rsidR="00050DB5" w:rsidRPr="00A14C49">
        <w:rPr>
          <w:lang w:val="fr-FR"/>
        </w:rPr>
        <w:t xml:space="preserve"> le CAJ</w:t>
      </w:r>
      <w:r w:rsidR="00542386" w:rsidRPr="00A14C49">
        <w:rPr>
          <w:lang w:val="fr-FR"/>
        </w:rPr>
        <w:noBreakHyphen/>
      </w:r>
      <w:r w:rsidR="00255C98" w:rsidRPr="00A14C49">
        <w:rPr>
          <w:lang w:val="fr-FR"/>
        </w:rPr>
        <w:t>AG,</w:t>
      </w:r>
      <w:r w:rsidR="00050DB5" w:rsidRPr="00A14C49">
        <w:rPr>
          <w:lang w:val="fr-FR"/>
        </w:rPr>
        <w:t xml:space="preserve"> le CAJ</w:t>
      </w:r>
      <w:r w:rsidR="00255C98" w:rsidRPr="00A14C49">
        <w:rPr>
          <w:lang w:val="fr-FR"/>
        </w:rPr>
        <w:t xml:space="preserve"> est convenu d</w:t>
      </w:r>
      <w:r w:rsidR="00050DB5" w:rsidRPr="00A14C49">
        <w:rPr>
          <w:lang w:val="fr-FR"/>
        </w:rPr>
        <w:t>’</w:t>
      </w:r>
      <w:r w:rsidR="00255C98" w:rsidRPr="00A14C49">
        <w:rPr>
          <w:lang w:val="fr-FR"/>
        </w:rPr>
        <w:t>inviter le</w:t>
      </w:r>
      <w:r w:rsidR="00050DB5" w:rsidRPr="00A14C49">
        <w:rPr>
          <w:lang w:val="fr-FR"/>
        </w:rPr>
        <w:t> TC</w:t>
      </w:r>
      <w:r w:rsidR="00255C98" w:rsidRPr="00A14C49">
        <w:rPr>
          <w:lang w:val="fr-FR"/>
        </w:rPr>
        <w:t xml:space="preserve"> à </w:t>
      </w:r>
      <w:r w:rsidRPr="00A14C49">
        <w:rPr>
          <w:lang w:val="fr-FR"/>
        </w:rPr>
        <w:t>(</w:t>
      </w:r>
      <w:r w:rsidR="00255C98" w:rsidRPr="00A14C49">
        <w:rPr>
          <w:lang w:val="fr-FR"/>
        </w:rPr>
        <w:t>voir le paragraphe</w:t>
      </w:r>
      <w:r w:rsidR="008A5357" w:rsidRPr="00A14C49">
        <w:rPr>
          <w:lang w:val="fr-FR"/>
        </w:rPr>
        <w:t> </w:t>
      </w:r>
      <w:r w:rsidR="00255C98" w:rsidRPr="00A14C49">
        <w:rPr>
          <w:lang w:val="fr-FR"/>
        </w:rPr>
        <w:t xml:space="preserve">17 du </w:t>
      </w:r>
      <w:r w:rsidRPr="00A14C49">
        <w:rPr>
          <w:lang w:val="fr-FR"/>
        </w:rPr>
        <w:t>document CAJ/69/12 “</w:t>
      </w:r>
      <w:r w:rsidR="00255C98" w:rsidRPr="00A14C49">
        <w:rPr>
          <w:lang w:val="fr-FR"/>
        </w:rPr>
        <w:t>Compte rendu des conclusions</w:t>
      </w:r>
      <w:r w:rsidRPr="00A14C49">
        <w:rPr>
          <w:lang w:val="fr-FR"/>
        </w:rPr>
        <w:t>”)</w:t>
      </w:r>
    </w:p>
    <w:p w:rsidR="00124277" w:rsidRPr="00A14C49" w:rsidRDefault="00124277" w:rsidP="00A14C49">
      <w:pPr>
        <w:rPr>
          <w:lang w:val="fr-FR"/>
        </w:rPr>
      </w:pPr>
    </w:p>
    <w:p w:rsidR="00124277" w:rsidRPr="00A14C49" w:rsidRDefault="00255C98" w:rsidP="00A14C49">
      <w:pPr>
        <w:numPr>
          <w:ilvl w:val="0"/>
          <w:numId w:val="5"/>
        </w:numPr>
        <w:rPr>
          <w:lang w:val="fr-FR"/>
        </w:rPr>
      </w:pPr>
      <w:r w:rsidRPr="00A14C49">
        <w:rPr>
          <w:lang w:val="fr-FR"/>
        </w:rPr>
        <w:t>examiner l</w:t>
      </w:r>
      <w:r w:rsidR="00050DB5" w:rsidRPr="00A14C49">
        <w:rPr>
          <w:lang w:val="fr-FR"/>
        </w:rPr>
        <w:t>’</w:t>
      </w:r>
      <w:r w:rsidRPr="00A14C49">
        <w:rPr>
          <w:lang w:val="fr-FR"/>
        </w:rPr>
        <w:t>élaboration d</w:t>
      </w:r>
      <w:r w:rsidR="00050DB5" w:rsidRPr="00A14C49">
        <w:rPr>
          <w:lang w:val="fr-FR"/>
        </w:rPr>
        <w:t>’</w:t>
      </w:r>
      <w:r w:rsidRPr="00A14C49">
        <w:rPr>
          <w:lang w:val="fr-FR"/>
        </w:rPr>
        <w:t>orientations sur certaines questions concernant les descriptions variétales, ainsi qu</w:t>
      </w:r>
      <w:r w:rsidR="00050DB5" w:rsidRPr="00A14C49">
        <w:rPr>
          <w:lang w:val="fr-FR"/>
        </w:rPr>
        <w:t>’</w:t>
      </w:r>
      <w:r w:rsidRPr="00A14C49">
        <w:rPr>
          <w:lang w:val="fr-FR"/>
        </w:rPr>
        <w:t>indiqué dans les paragraphes ci</w:t>
      </w:r>
      <w:r w:rsidR="00542386" w:rsidRPr="00A14C49">
        <w:rPr>
          <w:lang w:val="fr-FR"/>
        </w:rPr>
        <w:noBreakHyphen/>
      </w:r>
      <w:r w:rsidRPr="00A14C49">
        <w:rPr>
          <w:lang w:val="fr-FR"/>
        </w:rPr>
        <w:t>après :</w:t>
      </w:r>
    </w:p>
    <w:p w:rsidR="00124277" w:rsidRPr="00A14C49" w:rsidRDefault="00A9630A" w:rsidP="00A14C49">
      <w:pPr>
        <w:rPr>
          <w:rFonts w:cs="Arial"/>
          <w:lang w:val="fr-FR"/>
        </w:rPr>
      </w:pPr>
      <w:r w:rsidRPr="00A14C49">
        <w:rPr>
          <w:rFonts w:cs="Arial"/>
          <w:lang w:val="fr-FR"/>
        </w:rPr>
        <w:tab/>
      </w:r>
    </w:p>
    <w:p w:rsidR="00124277" w:rsidRPr="00A14C49" w:rsidRDefault="00255C98" w:rsidP="00A14C49">
      <w:pPr>
        <w:numPr>
          <w:ilvl w:val="0"/>
          <w:numId w:val="6"/>
        </w:numPr>
        <w:rPr>
          <w:rFonts w:cs="Arial"/>
          <w:lang w:val="fr-FR"/>
        </w:rPr>
      </w:pPr>
      <w:r w:rsidRPr="00A14C49">
        <w:rPr>
          <w:rFonts w:cs="Arial"/>
          <w:lang w:val="fr-FR"/>
        </w:rPr>
        <w:t>l</w:t>
      </w:r>
      <w:r w:rsidR="00050DB5" w:rsidRPr="00A14C49">
        <w:rPr>
          <w:rFonts w:cs="Arial"/>
          <w:lang w:val="fr-FR"/>
        </w:rPr>
        <w:t>’</w:t>
      </w:r>
      <w:r w:rsidRPr="00A14C49">
        <w:rPr>
          <w:rFonts w:cs="Arial"/>
          <w:lang w:val="fr-FR"/>
        </w:rPr>
        <w:t>utilisation des informations, des documents ou du matériel fournis par l</w:t>
      </w:r>
      <w:r w:rsidR="00050DB5" w:rsidRPr="00A14C49">
        <w:rPr>
          <w:rFonts w:cs="Arial"/>
          <w:lang w:val="fr-FR"/>
        </w:rPr>
        <w:t>’</w:t>
      </w:r>
      <w:r w:rsidRPr="00A14C49">
        <w:rPr>
          <w:rFonts w:cs="Arial"/>
          <w:lang w:val="fr-FR"/>
        </w:rPr>
        <w:t>obtenteur aux fins du contrôle du maintien de la variété, comme énoncé au paragraphe</w:t>
      </w:r>
      <w:r w:rsidR="008A5357" w:rsidRPr="00A14C49">
        <w:rPr>
          <w:rFonts w:cs="Arial"/>
          <w:lang w:val="fr-FR"/>
        </w:rPr>
        <w:t> </w:t>
      </w:r>
      <w:r w:rsidRPr="00A14C49">
        <w:rPr>
          <w:rFonts w:cs="Arial"/>
          <w:lang w:val="fr-FR"/>
        </w:rPr>
        <w:t>15 du document CAJ</w:t>
      </w:r>
      <w:r w:rsidR="00542386" w:rsidRPr="00A14C49">
        <w:rPr>
          <w:rFonts w:cs="Arial"/>
          <w:lang w:val="fr-FR"/>
        </w:rPr>
        <w:noBreakHyphen/>
      </w:r>
      <w:r w:rsidRPr="00A14C49">
        <w:rPr>
          <w:rFonts w:cs="Arial"/>
          <w:lang w:val="fr-FR"/>
        </w:rPr>
        <w:t>AG/13/8/4 “</w:t>
      </w:r>
      <w:proofErr w:type="spellStart"/>
      <w:r w:rsidRPr="00A14C49">
        <w:rPr>
          <w:rFonts w:cs="Arial"/>
          <w:i/>
          <w:iCs/>
          <w:lang w:val="fr-FR"/>
        </w:rPr>
        <w:t>Matters</w:t>
      </w:r>
      <w:proofErr w:type="spellEnd"/>
      <w:r w:rsidRPr="00A14C49">
        <w:rPr>
          <w:rFonts w:cs="Arial"/>
          <w:i/>
          <w:iCs/>
          <w:lang w:val="fr-FR"/>
        </w:rPr>
        <w:t xml:space="preserve"> </w:t>
      </w:r>
      <w:proofErr w:type="spellStart"/>
      <w:r w:rsidRPr="00A14C49">
        <w:rPr>
          <w:rFonts w:cs="Arial"/>
          <w:i/>
          <w:iCs/>
          <w:lang w:val="fr-FR"/>
        </w:rPr>
        <w:t>concerning</w:t>
      </w:r>
      <w:proofErr w:type="spellEnd"/>
      <w:r w:rsidRPr="00A14C49">
        <w:rPr>
          <w:rFonts w:cs="Arial"/>
          <w:i/>
          <w:iCs/>
          <w:lang w:val="fr-FR"/>
        </w:rPr>
        <w:t xml:space="preserve"> </w:t>
      </w:r>
      <w:proofErr w:type="spellStart"/>
      <w:r w:rsidRPr="00A14C49">
        <w:rPr>
          <w:rFonts w:cs="Arial"/>
          <w:i/>
          <w:iCs/>
          <w:lang w:val="fr-FR"/>
        </w:rPr>
        <w:t>cancellation</w:t>
      </w:r>
      <w:proofErr w:type="spellEnd"/>
      <w:r w:rsidRPr="00A14C49">
        <w:rPr>
          <w:rFonts w:cs="Arial"/>
          <w:i/>
          <w:iCs/>
          <w:lang w:val="fr-FR"/>
        </w:rPr>
        <w:t xml:space="preserve"> of the </w:t>
      </w:r>
      <w:proofErr w:type="spellStart"/>
      <w:r w:rsidRPr="00A14C49">
        <w:rPr>
          <w:rFonts w:cs="Arial"/>
          <w:i/>
          <w:iCs/>
          <w:lang w:val="fr-FR"/>
        </w:rPr>
        <w:t>breeder</w:t>
      </w:r>
      <w:r w:rsidR="00050DB5" w:rsidRPr="00A14C49">
        <w:rPr>
          <w:rFonts w:cs="Arial"/>
          <w:i/>
          <w:iCs/>
          <w:lang w:val="fr-FR"/>
        </w:rPr>
        <w:t>’</w:t>
      </w:r>
      <w:r w:rsidRPr="00A14C49">
        <w:rPr>
          <w:rFonts w:cs="Arial"/>
          <w:i/>
          <w:iCs/>
          <w:lang w:val="fr-FR"/>
        </w:rPr>
        <w:t>s</w:t>
      </w:r>
      <w:proofErr w:type="spellEnd"/>
      <w:r w:rsidRPr="00A14C49">
        <w:rPr>
          <w:rFonts w:cs="Arial"/>
          <w:i/>
          <w:iCs/>
          <w:lang w:val="fr-FR"/>
        </w:rPr>
        <w:t xml:space="preserve"> right</w:t>
      </w:r>
      <w:r w:rsidRPr="00A14C49">
        <w:rPr>
          <w:rFonts w:cs="Arial"/>
          <w:lang w:val="fr-FR"/>
        </w:rPr>
        <w:t xml:space="preserve">”, en précisant que les informations, les documents ou le matériel </w:t>
      </w:r>
      <w:r w:rsidR="00AE7411" w:rsidRPr="00A14C49">
        <w:rPr>
          <w:rFonts w:cs="Arial"/>
          <w:lang w:val="fr-FR"/>
        </w:rPr>
        <w:t>peuvent</w:t>
      </w:r>
      <w:r w:rsidRPr="00A14C49">
        <w:rPr>
          <w:rFonts w:cs="Arial"/>
          <w:lang w:val="fr-FR"/>
        </w:rPr>
        <w:t xml:space="preserve"> être conservés dans un autre pays;  et</w:t>
      </w:r>
    </w:p>
    <w:p w:rsidR="00124277" w:rsidRPr="00A14C49" w:rsidRDefault="00124277" w:rsidP="00A14C49">
      <w:pPr>
        <w:tabs>
          <w:tab w:val="left" w:pos="7500"/>
        </w:tabs>
        <w:ind w:left="1418" w:hanging="709"/>
        <w:rPr>
          <w:rFonts w:cs="Arial"/>
          <w:lang w:val="fr-FR"/>
        </w:rPr>
      </w:pPr>
    </w:p>
    <w:p w:rsidR="00124277" w:rsidRPr="00A14C49" w:rsidRDefault="005936A0" w:rsidP="00A14C49">
      <w:pPr>
        <w:numPr>
          <w:ilvl w:val="0"/>
          <w:numId w:val="6"/>
        </w:numPr>
        <w:rPr>
          <w:rFonts w:cs="Arial"/>
          <w:lang w:val="fr-FR"/>
        </w:rPr>
      </w:pPr>
      <w:r w:rsidRPr="00A14C49">
        <w:rPr>
          <w:rFonts w:cs="Arial"/>
          <w:lang w:val="fr-FR"/>
        </w:rPr>
        <w:t>l</w:t>
      </w:r>
      <w:r w:rsidR="00050DB5" w:rsidRPr="00A14C49">
        <w:rPr>
          <w:rFonts w:cs="Arial"/>
          <w:lang w:val="fr-FR"/>
        </w:rPr>
        <w:t>’</w:t>
      </w:r>
      <w:r w:rsidRPr="00A14C49">
        <w:rPr>
          <w:rFonts w:cs="Arial"/>
          <w:lang w:val="fr-FR"/>
        </w:rPr>
        <w:t>utilisation de principes directeurs d</w:t>
      </w:r>
      <w:r w:rsidR="00050DB5" w:rsidRPr="00A14C49">
        <w:rPr>
          <w:rFonts w:cs="Arial"/>
          <w:lang w:val="fr-FR"/>
        </w:rPr>
        <w:t>’</w:t>
      </w:r>
      <w:r w:rsidRPr="00A14C49">
        <w:rPr>
          <w:rFonts w:cs="Arial"/>
          <w:lang w:val="fr-FR"/>
        </w:rPr>
        <w:t>examen aux fins du contrôle du maintien de la variété qui se distinguent des principes directeurs utilisés pour l</w:t>
      </w:r>
      <w:r w:rsidR="00050DB5" w:rsidRPr="00A14C49">
        <w:rPr>
          <w:rFonts w:cs="Arial"/>
          <w:lang w:val="fr-FR"/>
        </w:rPr>
        <w:t>’</w:t>
      </w:r>
      <w:r w:rsidRPr="00A14C49">
        <w:rPr>
          <w:rFonts w:cs="Arial"/>
          <w:lang w:val="fr-FR"/>
        </w:rPr>
        <w:t>examen de la distinction, de l</w:t>
      </w:r>
      <w:r w:rsidR="00050DB5" w:rsidRPr="00A14C49">
        <w:rPr>
          <w:rFonts w:cs="Arial"/>
          <w:lang w:val="fr-FR"/>
        </w:rPr>
        <w:t>’</w:t>
      </w:r>
      <w:r w:rsidRPr="00A14C49">
        <w:rPr>
          <w:rFonts w:cs="Arial"/>
          <w:lang w:val="fr-FR"/>
        </w:rPr>
        <w:t>homogénéité et</w:t>
      </w:r>
      <w:r w:rsidR="00255C98" w:rsidRPr="00A14C49">
        <w:rPr>
          <w:rFonts w:cs="Arial"/>
          <w:lang w:val="fr-FR"/>
        </w:rPr>
        <w:t xml:space="preserve"> de la stabilité (examen “DHS”)</w:t>
      </w:r>
      <w:r w:rsidR="009A6FB9" w:rsidRPr="00A14C49">
        <w:rPr>
          <w:rFonts w:cs="Arial"/>
          <w:lang w:val="fr-FR"/>
        </w:rPr>
        <w:t>;</w:t>
      </w:r>
    </w:p>
    <w:p w:rsidR="00124277" w:rsidRPr="00A14C49" w:rsidRDefault="00124277" w:rsidP="00A14C49">
      <w:pPr>
        <w:rPr>
          <w:lang w:val="fr-FR"/>
        </w:rPr>
      </w:pPr>
    </w:p>
    <w:p w:rsidR="00124277" w:rsidRPr="00A14C49" w:rsidRDefault="00AE7411" w:rsidP="00A14C49">
      <w:pPr>
        <w:numPr>
          <w:ilvl w:val="0"/>
          <w:numId w:val="5"/>
        </w:numPr>
        <w:rPr>
          <w:lang w:val="fr-FR"/>
        </w:rPr>
      </w:pPr>
      <w:r w:rsidRPr="00A14C49">
        <w:rPr>
          <w:lang w:val="fr-FR"/>
        </w:rPr>
        <w:t>examiner les questions ci</w:t>
      </w:r>
      <w:r w:rsidR="00542386" w:rsidRPr="00A14C49">
        <w:rPr>
          <w:lang w:val="fr-FR"/>
        </w:rPr>
        <w:noBreakHyphen/>
      </w:r>
      <w:r w:rsidRPr="00A14C49">
        <w:rPr>
          <w:lang w:val="fr-FR"/>
        </w:rPr>
        <w:t>après figurant au paragraphe</w:t>
      </w:r>
      <w:r w:rsidR="008A5357" w:rsidRPr="00A14C49">
        <w:rPr>
          <w:lang w:val="fr-FR"/>
        </w:rPr>
        <w:t> </w:t>
      </w:r>
      <w:r w:rsidRPr="00A14C49">
        <w:rPr>
          <w:lang w:val="fr-FR"/>
        </w:rPr>
        <w:t>4 du</w:t>
      </w:r>
      <w:r w:rsidR="00A9630A" w:rsidRPr="00A14C49">
        <w:rPr>
          <w:rFonts w:cs="Arial"/>
          <w:lang w:val="fr-FR"/>
        </w:rPr>
        <w:t xml:space="preserve"> document CAJ</w:t>
      </w:r>
      <w:r w:rsidR="00542386" w:rsidRPr="00A14C49">
        <w:rPr>
          <w:rFonts w:cs="Arial"/>
          <w:lang w:val="fr-FR"/>
        </w:rPr>
        <w:noBreakHyphen/>
      </w:r>
      <w:r w:rsidR="00A9630A" w:rsidRPr="00A14C49">
        <w:rPr>
          <w:rFonts w:cs="Arial"/>
          <w:lang w:val="fr-FR"/>
        </w:rPr>
        <w:t>AG/13/8/7</w:t>
      </w:r>
      <w:r w:rsidRPr="00A14C49">
        <w:rPr>
          <w:rFonts w:cs="Arial"/>
          <w:lang w:val="fr-FR"/>
        </w:rPr>
        <w:t> :</w:t>
      </w:r>
    </w:p>
    <w:p w:rsidR="00124277" w:rsidRPr="00A14C49" w:rsidRDefault="00124277" w:rsidP="00A14C49">
      <w:pPr>
        <w:rPr>
          <w:lang w:val="fr-FR"/>
        </w:rPr>
      </w:pPr>
    </w:p>
    <w:p w:rsidR="00124277" w:rsidRPr="00A14C49" w:rsidRDefault="00A9630A" w:rsidP="00A14C49">
      <w:pPr>
        <w:ind w:left="1701" w:hanging="567"/>
        <w:rPr>
          <w:lang w:val="fr-FR"/>
        </w:rPr>
      </w:pPr>
      <w:r w:rsidRPr="00A14C49">
        <w:rPr>
          <w:lang w:val="fr-FR"/>
        </w:rPr>
        <w:t>“[…]</w:t>
      </w:r>
    </w:p>
    <w:p w:rsidR="00124277" w:rsidRPr="00A14C49" w:rsidRDefault="00124277" w:rsidP="00A14C49">
      <w:pPr>
        <w:ind w:left="1701" w:hanging="567"/>
        <w:rPr>
          <w:lang w:val="fr-FR"/>
        </w:rPr>
      </w:pPr>
    </w:p>
    <w:p w:rsidR="00124277" w:rsidRPr="00A14C49" w:rsidRDefault="009A6FB9" w:rsidP="00A14C49">
      <w:pPr>
        <w:ind w:left="1701" w:hanging="567"/>
        <w:rPr>
          <w:lang w:val="fr-FR"/>
        </w:rPr>
      </w:pPr>
      <w:r w:rsidRPr="00A14C49">
        <w:rPr>
          <w:lang w:val="fr-FR"/>
        </w:rPr>
        <w:t>“</w:t>
      </w:r>
      <w:proofErr w:type="gramStart"/>
      <w:r w:rsidRPr="00A14C49">
        <w:rPr>
          <w:lang w:val="fr-FR"/>
        </w:rPr>
        <w:t>b</w:t>
      </w:r>
      <w:proofErr w:type="gramEnd"/>
      <w:r w:rsidRPr="00A14C49">
        <w:rPr>
          <w:lang w:val="fr-FR"/>
        </w:rPr>
        <w:t>)</w:t>
      </w:r>
      <w:r w:rsidR="00241AB1" w:rsidRPr="00A14C49">
        <w:rPr>
          <w:lang w:val="fr-FR"/>
        </w:rPr>
        <w:tab/>
      </w:r>
      <w:r w:rsidR="005936A0" w:rsidRPr="00A14C49">
        <w:rPr>
          <w:lang w:val="fr-FR"/>
        </w:rPr>
        <w:t>le statut de la description variétale initiale, au regard de la vérification de la conformité du matériel végétal à une variété protégée aux fins de :</w:t>
      </w:r>
    </w:p>
    <w:p w:rsidR="00124277" w:rsidRPr="00A14C49" w:rsidRDefault="00124277" w:rsidP="00A14C49">
      <w:pPr>
        <w:ind w:left="1701" w:hanging="567"/>
        <w:rPr>
          <w:lang w:val="fr-FR"/>
        </w:rPr>
      </w:pPr>
    </w:p>
    <w:p w:rsidR="00124277" w:rsidRDefault="009A6FB9" w:rsidP="00A14C49">
      <w:pPr>
        <w:ind w:left="2268" w:hanging="567"/>
        <w:rPr>
          <w:lang w:val="fr-FR"/>
        </w:rPr>
      </w:pPr>
      <w:r w:rsidRPr="00A14C49">
        <w:rPr>
          <w:lang w:val="fr-FR"/>
        </w:rPr>
        <w:t>“i)</w:t>
      </w:r>
      <w:r w:rsidR="00241AB1" w:rsidRPr="00A14C49">
        <w:rPr>
          <w:lang w:val="fr-FR"/>
        </w:rPr>
        <w:tab/>
      </w:r>
      <w:r w:rsidR="00AE7411" w:rsidRPr="00A14C49">
        <w:rPr>
          <w:lang w:val="fr-FR"/>
        </w:rPr>
        <w:t>contrôle du</w:t>
      </w:r>
      <w:r w:rsidR="005936A0" w:rsidRPr="00A14C49">
        <w:rPr>
          <w:lang w:val="fr-FR"/>
        </w:rPr>
        <w:t xml:space="preserve"> maintien de la variété (article 22 de l</w:t>
      </w:r>
      <w:r w:rsidR="00050DB5" w:rsidRPr="00A14C49">
        <w:rPr>
          <w:lang w:val="fr-FR"/>
        </w:rPr>
        <w:t>’</w:t>
      </w:r>
      <w:r w:rsidR="005936A0" w:rsidRPr="00A14C49">
        <w:rPr>
          <w:lang w:val="fr-FR"/>
        </w:rPr>
        <w:t>Acte de 1991, article 10 de l</w:t>
      </w:r>
      <w:r w:rsidR="00050DB5" w:rsidRPr="00A14C49">
        <w:rPr>
          <w:lang w:val="fr-FR"/>
        </w:rPr>
        <w:t>’</w:t>
      </w:r>
      <w:r w:rsidR="005936A0" w:rsidRPr="00A14C49">
        <w:rPr>
          <w:lang w:val="fr-FR"/>
        </w:rPr>
        <w:t>Acte de 1978);</w:t>
      </w:r>
    </w:p>
    <w:p w:rsidR="00124277" w:rsidRPr="00A14C49" w:rsidRDefault="009A6FB9" w:rsidP="00A14C49">
      <w:pPr>
        <w:ind w:left="2268" w:hanging="567"/>
        <w:rPr>
          <w:lang w:val="fr-FR"/>
        </w:rPr>
      </w:pPr>
      <w:r w:rsidRPr="00A14C49">
        <w:rPr>
          <w:lang w:val="fr-FR"/>
        </w:rPr>
        <w:t>“ii)</w:t>
      </w:r>
      <w:r w:rsidR="00241AB1" w:rsidRPr="00A14C49">
        <w:rPr>
          <w:lang w:val="fr-FR"/>
        </w:rPr>
        <w:tab/>
      </w:r>
      <w:r w:rsidR="005936A0" w:rsidRPr="00A14C49">
        <w:rPr>
          <w:lang w:val="fr-FR"/>
        </w:rPr>
        <w:t>l</w:t>
      </w:r>
      <w:r w:rsidR="00050DB5" w:rsidRPr="00A14C49">
        <w:rPr>
          <w:lang w:val="fr-FR"/>
        </w:rPr>
        <w:t>’</w:t>
      </w:r>
      <w:r w:rsidR="005936A0" w:rsidRPr="00A14C49">
        <w:rPr>
          <w:lang w:val="fr-FR"/>
        </w:rPr>
        <w:t>examen de la distinction, de l</w:t>
      </w:r>
      <w:r w:rsidR="00050DB5" w:rsidRPr="00A14C49">
        <w:rPr>
          <w:lang w:val="fr-FR"/>
        </w:rPr>
        <w:t>’</w:t>
      </w:r>
      <w:r w:rsidR="005936A0" w:rsidRPr="00A14C49">
        <w:rPr>
          <w:lang w:val="fr-FR"/>
        </w:rPr>
        <w:t>homogénéité et de la stabilité (“DHS”) des variétés candidates;  et</w:t>
      </w:r>
    </w:p>
    <w:p w:rsidR="00124277" w:rsidRPr="00A14C49" w:rsidRDefault="00124277" w:rsidP="00A14C49">
      <w:pPr>
        <w:ind w:left="1701" w:hanging="567"/>
        <w:rPr>
          <w:lang w:val="fr-FR"/>
        </w:rPr>
      </w:pPr>
    </w:p>
    <w:p w:rsidR="00124277" w:rsidRPr="00A14C49" w:rsidRDefault="00A9630A" w:rsidP="00A14C49">
      <w:pPr>
        <w:ind w:left="1701" w:hanging="567"/>
        <w:rPr>
          <w:lang w:val="fr-FR"/>
        </w:rPr>
      </w:pPr>
      <w:r w:rsidRPr="00A14C49">
        <w:rPr>
          <w:lang w:val="fr-FR"/>
        </w:rPr>
        <w:t>“[…]</w:t>
      </w:r>
    </w:p>
    <w:p w:rsidR="00AE7411" w:rsidRPr="00A14C49" w:rsidRDefault="00AE7411" w:rsidP="00A14C49">
      <w:pPr>
        <w:ind w:left="1701" w:hanging="567"/>
        <w:rPr>
          <w:lang w:val="fr-FR"/>
        </w:rPr>
      </w:pPr>
    </w:p>
    <w:p w:rsidR="00124277" w:rsidRPr="00A14C49" w:rsidRDefault="009A6FB9" w:rsidP="00A14C49">
      <w:pPr>
        <w:ind w:left="1701" w:hanging="567"/>
        <w:rPr>
          <w:lang w:val="fr-FR"/>
        </w:rPr>
      </w:pPr>
      <w:r w:rsidRPr="00A14C49">
        <w:rPr>
          <w:lang w:val="fr-FR"/>
        </w:rPr>
        <w:t>“</w:t>
      </w:r>
      <w:proofErr w:type="gramStart"/>
      <w:r w:rsidRPr="00A14C49">
        <w:rPr>
          <w:lang w:val="fr-FR"/>
        </w:rPr>
        <w:t>c</w:t>
      </w:r>
      <w:proofErr w:type="gramEnd"/>
      <w:r w:rsidRPr="00A14C49">
        <w:rPr>
          <w:lang w:val="fr-FR"/>
        </w:rPr>
        <w:t>)</w:t>
      </w:r>
      <w:r w:rsidR="00241AB1" w:rsidRPr="00A14C49">
        <w:rPr>
          <w:lang w:val="fr-FR"/>
        </w:rPr>
        <w:tab/>
      </w:r>
      <w:r w:rsidR="005936A0" w:rsidRPr="00A14C49">
        <w:rPr>
          <w:lang w:val="fr-FR"/>
        </w:rPr>
        <w:t>le statut d</w:t>
      </w:r>
      <w:r w:rsidR="00050DB5" w:rsidRPr="00A14C49">
        <w:rPr>
          <w:lang w:val="fr-FR"/>
        </w:rPr>
        <w:t>’</w:t>
      </w:r>
      <w:r w:rsidR="005936A0" w:rsidRPr="00A14C49">
        <w:rPr>
          <w:lang w:val="fr-FR"/>
        </w:rPr>
        <w:t>une description variétale modifiée par rapport aux points a) et b)</w:t>
      </w:r>
      <w:r w:rsidR="008A5357" w:rsidRPr="00A14C49">
        <w:rPr>
          <w:lang w:val="fr-FR"/>
        </w:rPr>
        <w:t> </w:t>
      </w:r>
      <w:r w:rsidR="005936A0" w:rsidRPr="00A14C49">
        <w:rPr>
          <w:lang w:val="fr-FR"/>
        </w:rPr>
        <w:t>précités, fournie, par exemple, à la suite :</w:t>
      </w:r>
    </w:p>
    <w:p w:rsidR="00124277" w:rsidRPr="00A14C49" w:rsidRDefault="00124277" w:rsidP="00A14C49">
      <w:pPr>
        <w:ind w:left="1701" w:hanging="567"/>
        <w:rPr>
          <w:lang w:val="fr-FR"/>
        </w:rPr>
      </w:pPr>
    </w:p>
    <w:p w:rsidR="00050DB5" w:rsidRDefault="009A6FB9" w:rsidP="00A14C49">
      <w:pPr>
        <w:ind w:left="2268" w:hanging="567"/>
        <w:rPr>
          <w:lang w:val="fr-FR"/>
        </w:rPr>
      </w:pPr>
      <w:r w:rsidRPr="00A14C49">
        <w:rPr>
          <w:lang w:val="fr-FR"/>
        </w:rPr>
        <w:t>“i)</w:t>
      </w:r>
      <w:r w:rsidR="00241AB1" w:rsidRPr="00A14C49">
        <w:rPr>
          <w:lang w:val="fr-FR"/>
        </w:rPr>
        <w:tab/>
      </w:r>
      <w:r w:rsidR="005936A0" w:rsidRPr="00A14C49">
        <w:rPr>
          <w:lang w:val="fr-FR"/>
        </w:rPr>
        <w:t>d</w:t>
      </w:r>
      <w:r w:rsidR="00050DB5" w:rsidRPr="00A14C49">
        <w:rPr>
          <w:lang w:val="fr-FR"/>
        </w:rPr>
        <w:t>’</w:t>
      </w:r>
      <w:r w:rsidR="005936A0" w:rsidRPr="00A14C49">
        <w:rPr>
          <w:lang w:val="fr-FR"/>
        </w:rPr>
        <w:t>un réétalonnage de l</w:t>
      </w:r>
      <w:r w:rsidR="00050DB5" w:rsidRPr="00A14C49">
        <w:rPr>
          <w:lang w:val="fr-FR"/>
        </w:rPr>
        <w:t>’</w:t>
      </w:r>
      <w:r w:rsidR="005936A0" w:rsidRPr="00A14C49">
        <w:rPr>
          <w:lang w:val="fr-FR"/>
        </w:rPr>
        <w:t>échelle des principes directeurs d</w:t>
      </w:r>
      <w:r w:rsidR="00050DB5" w:rsidRPr="00A14C49">
        <w:rPr>
          <w:lang w:val="fr-FR"/>
        </w:rPr>
        <w:t>’</w:t>
      </w:r>
      <w:r w:rsidR="005936A0" w:rsidRPr="00A14C49">
        <w:rPr>
          <w:lang w:val="fr-FR"/>
        </w:rPr>
        <w:t>examen (en particulier pour les caractères non signalés par un astérisque);</w:t>
      </w:r>
    </w:p>
    <w:p w:rsidR="00124277" w:rsidRDefault="009A6FB9" w:rsidP="00A14C49">
      <w:pPr>
        <w:ind w:left="2268" w:hanging="567"/>
        <w:rPr>
          <w:lang w:val="fr-FR"/>
        </w:rPr>
      </w:pPr>
      <w:r w:rsidRPr="00A14C49">
        <w:rPr>
          <w:lang w:val="fr-FR"/>
        </w:rPr>
        <w:t>“ii)</w:t>
      </w:r>
      <w:r w:rsidR="00241AB1" w:rsidRPr="00A14C49">
        <w:rPr>
          <w:lang w:val="fr-FR"/>
        </w:rPr>
        <w:tab/>
      </w:r>
      <w:r w:rsidR="005936A0" w:rsidRPr="00A14C49">
        <w:rPr>
          <w:lang w:val="fr-FR"/>
        </w:rPr>
        <w:t>d</w:t>
      </w:r>
      <w:r w:rsidR="00050DB5" w:rsidRPr="00A14C49">
        <w:rPr>
          <w:lang w:val="fr-FR"/>
        </w:rPr>
        <w:t>’</w:t>
      </w:r>
      <w:r w:rsidR="005936A0" w:rsidRPr="00A14C49">
        <w:rPr>
          <w:lang w:val="fr-FR"/>
        </w:rPr>
        <w:t>une variation due aux conditions environnementales des années d</w:t>
      </w:r>
      <w:r w:rsidR="00050DB5" w:rsidRPr="00A14C49">
        <w:rPr>
          <w:lang w:val="fr-FR"/>
        </w:rPr>
        <w:t>’</w:t>
      </w:r>
      <w:r w:rsidR="005936A0" w:rsidRPr="00A14C49">
        <w:rPr>
          <w:lang w:val="fr-FR"/>
        </w:rPr>
        <w:t>essai pour les caractères influencés par le milieu;</w:t>
      </w:r>
    </w:p>
    <w:p w:rsidR="00124277" w:rsidRDefault="009A6FB9" w:rsidP="00A14C49">
      <w:pPr>
        <w:ind w:left="2268" w:hanging="567"/>
        <w:rPr>
          <w:lang w:val="fr-FR"/>
        </w:rPr>
      </w:pPr>
      <w:r w:rsidRPr="00A14C49">
        <w:rPr>
          <w:lang w:val="fr-FR"/>
        </w:rPr>
        <w:t>“iii)</w:t>
      </w:r>
      <w:r w:rsidR="00241AB1" w:rsidRPr="00A14C49">
        <w:rPr>
          <w:lang w:val="fr-FR"/>
        </w:rPr>
        <w:tab/>
      </w:r>
      <w:r w:rsidR="005936A0" w:rsidRPr="00A14C49">
        <w:rPr>
          <w:lang w:val="fr-FR"/>
        </w:rPr>
        <w:t>d</w:t>
      </w:r>
      <w:r w:rsidR="00050DB5" w:rsidRPr="00A14C49">
        <w:rPr>
          <w:lang w:val="fr-FR"/>
        </w:rPr>
        <w:t>’</w:t>
      </w:r>
      <w:r w:rsidR="005936A0" w:rsidRPr="00A14C49">
        <w:rPr>
          <w:lang w:val="fr-FR"/>
        </w:rPr>
        <w:t>une variation due à l</w:t>
      </w:r>
      <w:r w:rsidR="00050DB5" w:rsidRPr="00A14C49">
        <w:rPr>
          <w:lang w:val="fr-FR"/>
        </w:rPr>
        <w:t>’</w:t>
      </w:r>
      <w:r w:rsidR="005936A0" w:rsidRPr="00A14C49">
        <w:rPr>
          <w:lang w:val="fr-FR"/>
        </w:rPr>
        <w:t>observation effectuée par différents experts;  ou</w:t>
      </w:r>
    </w:p>
    <w:p w:rsidR="00124277" w:rsidRPr="00A14C49" w:rsidRDefault="00241AB1" w:rsidP="00A14C49">
      <w:pPr>
        <w:ind w:left="2268" w:hanging="567"/>
        <w:rPr>
          <w:lang w:val="fr-FR"/>
        </w:rPr>
      </w:pPr>
      <w:r w:rsidRPr="00A14C49">
        <w:rPr>
          <w:lang w:val="fr-FR"/>
        </w:rPr>
        <w:t>“iv)</w:t>
      </w:r>
      <w:r w:rsidRPr="00A14C49">
        <w:rPr>
          <w:lang w:val="fr-FR"/>
        </w:rPr>
        <w:tab/>
      </w:r>
      <w:r w:rsidR="005936A0" w:rsidRPr="00A14C49">
        <w:rPr>
          <w:lang w:val="fr-FR"/>
        </w:rPr>
        <w:t>de l</w:t>
      </w:r>
      <w:r w:rsidR="00050DB5" w:rsidRPr="00A14C49">
        <w:rPr>
          <w:lang w:val="fr-FR"/>
        </w:rPr>
        <w:t>’</w:t>
      </w:r>
      <w:r w:rsidR="005936A0" w:rsidRPr="00A14C49">
        <w:rPr>
          <w:lang w:val="fr-FR"/>
        </w:rPr>
        <w:t>utilisation de différentes versions d</w:t>
      </w:r>
      <w:r w:rsidR="00050DB5" w:rsidRPr="00A14C49">
        <w:rPr>
          <w:lang w:val="fr-FR"/>
        </w:rPr>
        <w:t>’</w:t>
      </w:r>
      <w:r w:rsidR="005936A0" w:rsidRPr="00A14C49">
        <w:rPr>
          <w:lang w:val="fr-FR"/>
        </w:rPr>
        <w:t>échelles (par exemple, différentes versions du code de couleurs </w:t>
      </w:r>
      <w:r w:rsidR="00542386" w:rsidRPr="00A14C49">
        <w:rPr>
          <w:lang w:val="fr-FR"/>
        </w:rPr>
        <w:t>R</w:t>
      </w:r>
      <w:r w:rsidR="009A6FB9" w:rsidRPr="00A14C49">
        <w:rPr>
          <w:lang w:val="fr-FR"/>
        </w:rPr>
        <w:t>HS);</w:t>
      </w:r>
    </w:p>
    <w:p w:rsidR="00124277" w:rsidRPr="00A14C49" w:rsidRDefault="00124277" w:rsidP="00A14C49">
      <w:pPr>
        <w:ind w:left="1701" w:hanging="567"/>
        <w:rPr>
          <w:lang w:val="fr-FR"/>
        </w:rPr>
      </w:pPr>
    </w:p>
    <w:p w:rsidR="00124277" w:rsidRPr="00A14C49" w:rsidRDefault="009A6FB9" w:rsidP="00A14C49">
      <w:pPr>
        <w:ind w:left="1701" w:hanging="567"/>
        <w:rPr>
          <w:lang w:val="fr-FR"/>
        </w:rPr>
      </w:pPr>
      <w:r w:rsidRPr="00A14C49">
        <w:rPr>
          <w:lang w:val="fr-FR"/>
        </w:rPr>
        <w:t>“</w:t>
      </w:r>
      <w:proofErr w:type="gramStart"/>
      <w:r w:rsidRPr="00A14C49">
        <w:rPr>
          <w:lang w:val="fr-FR"/>
        </w:rPr>
        <w:t>d</w:t>
      </w:r>
      <w:proofErr w:type="gramEnd"/>
      <w:r w:rsidRPr="00A14C49">
        <w:rPr>
          <w:lang w:val="fr-FR"/>
        </w:rPr>
        <w:t>)</w:t>
      </w:r>
      <w:r w:rsidR="00D911DB" w:rsidRPr="00A14C49">
        <w:rPr>
          <w:lang w:val="fr-FR"/>
        </w:rPr>
        <w:tab/>
      </w:r>
      <w:r w:rsidR="005936A0" w:rsidRPr="00A14C49">
        <w:rPr>
          <w:lang w:val="fr-FR"/>
        </w:rPr>
        <w:t>lorsqu</w:t>
      </w:r>
      <w:r w:rsidR="00050DB5" w:rsidRPr="00A14C49">
        <w:rPr>
          <w:lang w:val="fr-FR"/>
        </w:rPr>
        <w:t>’</w:t>
      </w:r>
      <w:r w:rsidR="005936A0" w:rsidRPr="00A14C49">
        <w:rPr>
          <w:lang w:val="fr-FR"/>
        </w:rPr>
        <w:t>une erreur est décelée par la suite dans la description variétale initiale”</w:t>
      </w:r>
      <w:r w:rsidRPr="00A14C49">
        <w:rPr>
          <w:lang w:val="fr-FR"/>
        </w:rPr>
        <w:t>.</w:t>
      </w:r>
    </w:p>
    <w:p w:rsidR="00124277" w:rsidRPr="00A14C49" w:rsidRDefault="00124277" w:rsidP="00A14C49">
      <w:pPr>
        <w:rPr>
          <w:lang w:val="fr-FR"/>
        </w:rPr>
      </w:pPr>
    </w:p>
    <w:p w:rsidR="00124277" w:rsidRPr="00A14C49" w:rsidRDefault="003E3E8D" w:rsidP="00A14C49">
      <w:pPr>
        <w:rPr>
          <w:lang w:val="fr-FR"/>
        </w:rPr>
      </w:pPr>
      <w:r w:rsidRPr="00A14C49">
        <w:rPr>
          <w:snapToGrid w:val="0"/>
          <w:lang w:val="fr-FR"/>
        </w:rPr>
        <w:fldChar w:fldCharType="begin"/>
      </w:r>
      <w:r w:rsidRPr="00A14C49">
        <w:rPr>
          <w:snapToGrid w:val="0"/>
          <w:lang w:val="fr-FR"/>
        </w:rPr>
        <w:instrText xml:space="preserve"> AUTONUM  </w:instrText>
      </w:r>
      <w:r w:rsidRPr="00A14C49">
        <w:rPr>
          <w:snapToGrid w:val="0"/>
          <w:lang w:val="fr-FR"/>
        </w:rPr>
        <w:fldChar w:fldCharType="end"/>
      </w:r>
      <w:r w:rsidRPr="00A14C49">
        <w:rPr>
          <w:snapToGrid w:val="0"/>
          <w:lang w:val="fr-FR"/>
        </w:rPr>
        <w:tab/>
      </w:r>
      <w:r w:rsidR="00AE7411" w:rsidRPr="00A14C49">
        <w:rPr>
          <w:snapToGrid w:val="0"/>
          <w:lang w:val="fr-FR"/>
        </w:rPr>
        <w:t>Le</w:t>
      </w:r>
      <w:r w:rsidR="00050DB5" w:rsidRPr="00A14C49">
        <w:rPr>
          <w:snapToGrid w:val="0"/>
          <w:lang w:val="fr-FR"/>
        </w:rPr>
        <w:t> TC</w:t>
      </w:r>
      <w:r w:rsidR="00AE7411" w:rsidRPr="00A14C49">
        <w:rPr>
          <w:snapToGrid w:val="0"/>
          <w:lang w:val="fr-FR"/>
        </w:rPr>
        <w:t xml:space="preserve"> traitera les questions susmentionnées à sa cinquante</w:t>
      </w:r>
      <w:r w:rsidR="00542386" w:rsidRPr="00A14C49">
        <w:rPr>
          <w:snapToGrid w:val="0"/>
          <w:lang w:val="fr-FR"/>
        </w:rPr>
        <w:t> </w:t>
      </w:r>
      <w:r w:rsidR="00AE7411" w:rsidRPr="00A14C49">
        <w:rPr>
          <w:snapToGrid w:val="0"/>
          <w:lang w:val="fr-FR"/>
        </w:rPr>
        <w:t>et</w:t>
      </w:r>
      <w:r w:rsidR="00542386" w:rsidRPr="00A14C49">
        <w:rPr>
          <w:snapToGrid w:val="0"/>
          <w:lang w:val="fr-FR"/>
        </w:rPr>
        <w:t> </w:t>
      </w:r>
      <w:r w:rsidR="00AE7411" w:rsidRPr="00A14C49">
        <w:rPr>
          <w:snapToGrid w:val="0"/>
          <w:lang w:val="fr-FR"/>
        </w:rPr>
        <w:t>unième</w:t>
      </w:r>
      <w:r w:rsidR="008A5357" w:rsidRPr="00A14C49">
        <w:rPr>
          <w:snapToGrid w:val="0"/>
          <w:lang w:val="fr-FR"/>
        </w:rPr>
        <w:t> </w:t>
      </w:r>
      <w:r w:rsidR="00AE7411" w:rsidRPr="00A14C49">
        <w:rPr>
          <w:snapToGrid w:val="0"/>
          <w:lang w:val="fr-FR"/>
        </w:rPr>
        <w:t>session au titre du point</w:t>
      </w:r>
      <w:r w:rsidR="008A5357" w:rsidRPr="00A14C49">
        <w:rPr>
          <w:snapToGrid w:val="0"/>
          <w:lang w:val="fr-FR"/>
        </w:rPr>
        <w:t> </w:t>
      </w:r>
      <w:r w:rsidR="00AE7411" w:rsidRPr="00A14C49">
        <w:rPr>
          <w:snapToGrid w:val="0"/>
          <w:lang w:val="fr-FR"/>
        </w:rPr>
        <w:t>12 de l</w:t>
      </w:r>
      <w:r w:rsidR="00050DB5" w:rsidRPr="00A14C49">
        <w:rPr>
          <w:snapToGrid w:val="0"/>
          <w:lang w:val="fr-FR"/>
        </w:rPr>
        <w:t>’</w:t>
      </w:r>
      <w:r w:rsidR="00AE7411" w:rsidRPr="00A14C49">
        <w:rPr>
          <w:snapToGrid w:val="0"/>
          <w:lang w:val="fr-FR"/>
        </w:rPr>
        <w:t xml:space="preserve">ordre du jour, intitulé </w:t>
      </w:r>
      <w:r w:rsidRPr="00A14C49">
        <w:rPr>
          <w:snapToGrid w:val="0"/>
          <w:lang w:val="fr-FR"/>
        </w:rPr>
        <w:t>“</w:t>
      </w:r>
      <w:r w:rsidR="00AE7411" w:rsidRPr="00A14C49">
        <w:rPr>
          <w:lang w:val="fr-FR"/>
        </w:rPr>
        <w:t>Questions concernant les descriptions variétales</w:t>
      </w:r>
      <w:r w:rsidRPr="00A14C49">
        <w:rPr>
          <w:lang w:val="fr-FR"/>
        </w:rPr>
        <w:t xml:space="preserve"> (</w:t>
      </w:r>
      <w:r w:rsidR="00050DB5" w:rsidRPr="00A14C49">
        <w:rPr>
          <w:lang w:val="fr-FR"/>
        </w:rPr>
        <w:t>document TC</w:t>
      </w:r>
      <w:r w:rsidRPr="00A14C49">
        <w:rPr>
          <w:lang w:val="fr-FR"/>
        </w:rPr>
        <w:t>/51/38)”.</w:t>
      </w:r>
    </w:p>
    <w:p w:rsidR="00124277" w:rsidRPr="00A14C49" w:rsidRDefault="00124277" w:rsidP="00A14C49">
      <w:pPr>
        <w:rPr>
          <w:lang w:val="fr-FR"/>
        </w:rPr>
      </w:pPr>
    </w:p>
    <w:p w:rsidR="00124277" w:rsidRPr="00A14C49" w:rsidRDefault="005936A0" w:rsidP="00A14C49">
      <w:pPr>
        <w:pStyle w:val="Heading3"/>
        <w:rPr>
          <w:color w:val="auto"/>
        </w:rPr>
      </w:pPr>
      <w:bookmarkStart w:id="14" w:name="_Toc413399267"/>
      <w:r w:rsidRPr="00A14C49">
        <w:rPr>
          <w:color w:val="auto"/>
        </w:rPr>
        <w:lastRenderedPageBreak/>
        <w:t>Groupes de travail techniques</w:t>
      </w:r>
      <w:bookmarkEnd w:id="14"/>
    </w:p>
    <w:p w:rsidR="00124277" w:rsidRPr="00A14C49" w:rsidRDefault="00124277" w:rsidP="00A14C49">
      <w:pPr>
        <w:rPr>
          <w:rFonts w:eastAsia="MS Mincho"/>
          <w:lang w:val="fr-FR" w:eastAsia="ja-JP"/>
        </w:rPr>
      </w:pPr>
    </w:p>
    <w:p w:rsidR="00124277" w:rsidRPr="00A14C49" w:rsidRDefault="00C11F61" w:rsidP="00A14C49">
      <w:pPr>
        <w:rPr>
          <w:snapToGrid w:val="0"/>
          <w:lang w:val="fr-FR"/>
        </w:rPr>
      </w:pPr>
      <w:r w:rsidRPr="00A14C49">
        <w:rPr>
          <w:snapToGrid w:val="0"/>
          <w:lang w:val="fr-FR"/>
        </w:rPr>
        <w:fldChar w:fldCharType="begin"/>
      </w:r>
      <w:r w:rsidRPr="00A14C49">
        <w:rPr>
          <w:snapToGrid w:val="0"/>
          <w:lang w:val="fr-FR"/>
        </w:rPr>
        <w:instrText xml:space="preserve"> AUTONUM  </w:instrText>
      </w:r>
      <w:r w:rsidRPr="00A14C49">
        <w:rPr>
          <w:snapToGrid w:val="0"/>
          <w:lang w:val="fr-FR"/>
        </w:rPr>
        <w:fldChar w:fldCharType="end"/>
      </w:r>
      <w:r w:rsidRPr="00A14C49">
        <w:rPr>
          <w:snapToGrid w:val="0"/>
          <w:lang w:val="fr-FR"/>
        </w:rPr>
        <w:tab/>
      </w:r>
      <w:r w:rsidR="00452675" w:rsidRPr="00A14C49">
        <w:rPr>
          <w:lang w:val="fr-FR"/>
        </w:rPr>
        <w:t>Le T</w:t>
      </w:r>
      <w:r w:rsidRPr="00A14C49">
        <w:rPr>
          <w:lang w:val="fr-FR"/>
        </w:rPr>
        <w:t>WO,</w:t>
      </w:r>
      <w:r w:rsidR="00050DB5" w:rsidRPr="00A14C49">
        <w:rPr>
          <w:lang w:val="fr-FR"/>
        </w:rPr>
        <w:t xml:space="preserve"> le TWF</w:t>
      </w:r>
      <w:r w:rsidRPr="00A14C49">
        <w:rPr>
          <w:lang w:val="fr-FR"/>
        </w:rPr>
        <w:t>,</w:t>
      </w:r>
      <w:r w:rsidR="00050DB5" w:rsidRPr="00A14C49">
        <w:rPr>
          <w:lang w:val="fr-FR"/>
        </w:rPr>
        <w:t xml:space="preserve"> le TWC</w:t>
      </w:r>
      <w:r w:rsidRPr="00A14C49">
        <w:rPr>
          <w:lang w:val="fr-FR"/>
        </w:rPr>
        <w:t>,</w:t>
      </w:r>
      <w:r w:rsidR="00050DB5" w:rsidRPr="00A14C49">
        <w:rPr>
          <w:lang w:val="fr-FR"/>
        </w:rPr>
        <w:t xml:space="preserve"> le TWV</w:t>
      </w:r>
      <w:r w:rsidRPr="00A14C49">
        <w:rPr>
          <w:lang w:val="fr-FR"/>
        </w:rPr>
        <w:t xml:space="preserve"> </w:t>
      </w:r>
      <w:r w:rsidR="00452675" w:rsidRPr="00A14C49">
        <w:rPr>
          <w:lang w:val="fr-FR"/>
        </w:rPr>
        <w:t>et</w:t>
      </w:r>
      <w:r w:rsidR="00050DB5" w:rsidRPr="00A14C49">
        <w:rPr>
          <w:lang w:val="fr-FR"/>
        </w:rPr>
        <w:t xml:space="preserve"> le TWA</w:t>
      </w:r>
      <w:r w:rsidR="00452675" w:rsidRPr="00A14C49">
        <w:rPr>
          <w:lang w:val="fr-FR"/>
        </w:rPr>
        <w:t xml:space="preserve"> ont examiné les documents</w:t>
      </w:r>
      <w:r w:rsidRPr="00A14C49">
        <w:rPr>
          <w:snapToGrid w:val="0"/>
          <w:lang w:val="fr-FR"/>
        </w:rPr>
        <w:t xml:space="preserve"> TWO/47/</w:t>
      </w:r>
      <w:r w:rsidR="00B677E0" w:rsidRPr="00A14C49">
        <w:rPr>
          <w:snapToGrid w:val="0"/>
          <w:lang w:val="fr-FR"/>
        </w:rPr>
        <w:t>6</w:t>
      </w:r>
      <w:r w:rsidRPr="00A14C49">
        <w:rPr>
          <w:snapToGrid w:val="0"/>
          <w:lang w:val="fr-FR"/>
        </w:rPr>
        <w:t>,</w:t>
      </w:r>
      <w:r w:rsidRPr="00A14C49">
        <w:rPr>
          <w:lang w:val="fr-FR"/>
        </w:rPr>
        <w:t xml:space="preserve"> TWF/45/</w:t>
      </w:r>
      <w:r w:rsidR="00B677E0" w:rsidRPr="00A14C49">
        <w:rPr>
          <w:lang w:val="fr-FR"/>
        </w:rPr>
        <w:t>6</w:t>
      </w:r>
      <w:r w:rsidRPr="00A14C49">
        <w:rPr>
          <w:lang w:val="fr-FR"/>
        </w:rPr>
        <w:t>,</w:t>
      </w:r>
      <w:r w:rsidRPr="00A14C49">
        <w:rPr>
          <w:snapToGrid w:val="0"/>
          <w:lang w:val="fr-FR"/>
        </w:rPr>
        <w:t xml:space="preserve"> TWC/32/</w:t>
      </w:r>
      <w:r w:rsidR="00221110" w:rsidRPr="00A14C49">
        <w:rPr>
          <w:snapToGrid w:val="0"/>
          <w:lang w:val="fr-FR"/>
        </w:rPr>
        <w:t>6</w:t>
      </w:r>
      <w:r w:rsidRPr="00A14C49">
        <w:rPr>
          <w:snapToGrid w:val="0"/>
          <w:lang w:val="fr-FR"/>
        </w:rPr>
        <w:t>,</w:t>
      </w:r>
      <w:r w:rsidR="00452675" w:rsidRPr="00A14C49">
        <w:rPr>
          <w:snapToGrid w:val="0"/>
          <w:lang w:val="fr-FR"/>
        </w:rPr>
        <w:t xml:space="preserve"> </w:t>
      </w:r>
      <w:r w:rsidRPr="00A14C49">
        <w:rPr>
          <w:lang w:val="fr-FR"/>
        </w:rPr>
        <w:t>TWV/48/</w:t>
      </w:r>
      <w:r w:rsidR="002070BE" w:rsidRPr="00A14C49">
        <w:rPr>
          <w:lang w:val="fr-FR"/>
        </w:rPr>
        <w:t>6</w:t>
      </w:r>
      <w:r w:rsidRPr="00A14C49">
        <w:rPr>
          <w:lang w:val="fr-FR"/>
        </w:rPr>
        <w:t xml:space="preserve"> </w:t>
      </w:r>
      <w:r w:rsidR="00452675" w:rsidRPr="00A14C49">
        <w:rPr>
          <w:lang w:val="fr-FR"/>
        </w:rPr>
        <w:t>et</w:t>
      </w:r>
      <w:r w:rsidRPr="00A14C49">
        <w:rPr>
          <w:lang w:val="fr-FR"/>
        </w:rPr>
        <w:t xml:space="preserve"> TWA/43/</w:t>
      </w:r>
      <w:r w:rsidR="007804D5" w:rsidRPr="00A14C49">
        <w:rPr>
          <w:lang w:val="fr-FR"/>
        </w:rPr>
        <w:t>6</w:t>
      </w:r>
      <w:r w:rsidRPr="00A14C49">
        <w:rPr>
          <w:lang w:val="fr-FR"/>
        </w:rPr>
        <w:t xml:space="preserve"> “</w:t>
      </w:r>
      <w:r w:rsidR="00452675" w:rsidRPr="00A14C49">
        <w:rPr>
          <w:lang w:val="fr-FR"/>
        </w:rPr>
        <w:t>Bases de données sur les descriptions variétales</w:t>
      </w:r>
      <w:r w:rsidRPr="00A14C49">
        <w:rPr>
          <w:lang w:val="fr-FR"/>
        </w:rPr>
        <w:t xml:space="preserve">”, </w:t>
      </w:r>
      <w:r w:rsidR="00452675" w:rsidRPr="00A14C49">
        <w:rPr>
          <w:lang w:val="fr-FR"/>
        </w:rPr>
        <w:t xml:space="preserve">respectivement, et ont pris note des faits nouveaux concernant ces bases de données </w:t>
      </w:r>
      <w:r w:rsidRPr="00A14C49">
        <w:rPr>
          <w:lang w:val="fr-FR"/>
        </w:rPr>
        <w:t>(</w:t>
      </w:r>
      <w:r w:rsidR="00452675" w:rsidRPr="00A14C49">
        <w:rPr>
          <w:lang w:val="fr-FR"/>
        </w:rPr>
        <w:t>voir les paragraphes</w:t>
      </w:r>
      <w:r w:rsidR="008A5357" w:rsidRPr="00A14C49">
        <w:rPr>
          <w:lang w:val="fr-FR"/>
        </w:rPr>
        <w:t> </w:t>
      </w:r>
      <w:r w:rsidR="00452675" w:rsidRPr="00A14C49">
        <w:rPr>
          <w:lang w:val="fr-FR"/>
        </w:rPr>
        <w:t>96 et 97 du</w:t>
      </w:r>
      <w:r w:rsidRPr="00A14C49">
        <w:rPr>
          <w:lang w:val="fr-FR"/>
        </w:rPr>
        <w:t xml:space="preserve"> document TWO/47/28 “Report”, </w:t>
      </w:r>
      <w:r w:rsidR="00452675" w:rsidRPr="00A14C49">
        <w:rPr>
          <w:lang w:val="fr-FR"/>
        </w:rPr>
        <w:t>les paragraphes</w:t>
      </w:r>
      <w:r w:rsidR="008A5357" w:rsidRPr="00A14C49">
        <w:rPr>
          <w:lang w:val="fr-FR"/>
        </w:rPr>
        <w:t> </w:t>
      </w:r>
      <w:r w:rsidR="00452675" w:rsidRPr="00A14C49">
        <w:rPr>
          <w:lang w:val="fr-FR"/>
        </w:rPr>
        <w:t>109 à 113 du</w:t>
      </w:r>
      <w:r w:rsidRPr="00A14C49">
        <w:rPr>
          <w:lang w:val="fr-FR"/>
        </w:rPr>
        <w:t xml:space="preserve"> </w:t>
      </w:r>
      <w:r w:rsidR="00050DB5" w:rsidRPr="00A14C49">
        <w:rPr>
          <w:lang w:val="fr-FR"/>
        </w:rPr>
        <w:t>document TW</w:t>
      </w:r>
      <w:r w:rsidR="00452675" w:rsidRPr="00A14C49">
        <w:rPr>
          <w:lang w:val="fr-FR"/>
        </w:rPr>
        <w:t>F/45/32 “Report”</w:t>
      </w:r>
      <w:r w:rsidRPr="00A14C49">
        <w:rPr>
          <w:lang w:val="fr-FR"/>
        </w:rPr>
        <w:t xml:space="preserve">, </w:t>
      </w:r>
      <w:r w:rsidR="00452675" w:rsidRPr="00A14C49">
        <w:rPr>
          <w:lang w:val="fr-FR"/>
        </w:rPr>
        <w:t>les paragraphes</w:t>
      </w:r>
      <w:r w:rsidR="008A5357" w:rsidRPr="00A14C49">
        <w:rPr>
          <w:lang w:val="fr-FR"/>
        </w:rPr>
        <w:t> </w:t>
      </w:r>
      <w:r w:rsidR="00452675" w:rsidRPr="00A14C49">
        <w:rPr>
          <w:lang w:val="fr-FR"/>
        </w:rPr>
        <w:t xml:space="preserve">75 à 82 du </w:t>
      </w:r>
      <w:r w:rsidRPr="00A14C49">
        <w:rPr>
          <w:lang w:val="fr-FR"/>
        </w:rPr>
        <w:t xml:space="preserve">document TWC/32/28 “Report”, </w:t>
      </w:r>
      <w:r w:rsidR="00452675" w:rsidRPr="00A14C49">
        <w:rPr>
          <w:lang w:val="fr-FR"/>
        </w:rPr>
        <w:t>les paragraphes</w:t>
      </w:r>
      <w:r w:rsidR="008A5357" w:rsidRPr="00A14C49">
        <w:rPr>
          <w:lang w:val="fr-FR"/>
        </w:rPr>
        <w:t> </w:t>
      </w:r>
      <w:r w:rsidR="00452675" w:rsidRPr="00A14C49">
        <w:rPr>
          <w:lang w:val="fr-FR"/>
        </w:rPr>
        <w:t xml:space="preserve">121 à 126 du </w:t>
      </w:r>
      <w:r w:rsidRPr="00A14C49">
        <w:rPr>
          <w:lang w:val="fr-FR"/>
        </w:rPr>
        <w:t>document TWV/48/43 “Report”</w:t>
      </w:r>
      <w:r w:rsidR="00452675" w:rsidRPr="00A14C49">
        <w:rPr>
          <w:lang w:val="fr-FR"/>
        </w:rPr>
        <w:t xml:space="preserve"> et les paragraphes</w:t>
      </w:r>
      <w:r w:rsidR="008A5357" w:rsidRPr="00A14C49">
        <w:rPr>
          <w:lang w:val="fr-FR"/>
        </w:rPr>
        <w:t> </w:t>
      </w:r>
      <w:r w:rsidR="00452675" w:rsidRPr="00A14C49">
        <w:rPr>
          <w:lang w:val="fr-FR"/>
        </w:rPr>
        <w:t>94 à 97 du</w:t>
      </w:r>
      <w:r w:rsidRPr="00A14C49">
        <w:rPr>
          <w:lang w:val="fr-FR"/>
        </w:rPr>
        <w:t xml:space="preserve"> </w:t>
      </w:r>
      <w:r w:rsidR="00050DB5" w:rsidRPr="00A14C49">
        <w:rPr>
          <w:lang w:val="fr-FR"/>
        </w:rPr>
        <w:t>document TW</w:t>
      </w:r>
      <w:r w:rsidRPr="00A14C49">
        <w:rPr>
          <w:lang w:val="fr-FR"/>
        </w:rPr>
        <w:t>A/43/27 “Report”)</w:t>
      </w:r>
      <w:r w:rsidRPr="00A14C49">
        <w:rPr>
          <w:snapToGrid w:val="0"/>
          <w:lang w:val="fr-FR"/>
        </w:rPr>
        <w:t>.</w:t>
      </w:r>
    </w:p>
    <w:p w:rsidR="00124277" w:rsidRPr="00A14C49" w:rsidRDefault="00124277" w:rsidP="00A14C49">
      <w:pPr>
        <w:rPr>
          <w:i/>
          <w:lang w:val="fr-FR"/>
        </w:rPr>
      </w:pPr>
    </w:p>
    <w:p w:rsidR="00124277" w:rsidRPr="00A14C49" w:rsidRDefault="00B677E0" w:rsidP="00A14C49">
      <w:pPr>
        <w:autoSpaceDE w:val="0"/>
        <w:autoSpaceDN w:val="0"/>
        <w:adjustRightInd w:val="0"/>
        <w:rPr>
          <w:rFonts w:cs="Arial"/>
          <w:lang w:val="fr-FR"/>
        </w:rPr>
      </w:pPr>
      <w:r w:rsidRPr="00A14C49">
        <w:rPr>
          <w:snapToGrid w:val="0"/>
          <w:lang w:val="fr-FR"/>
        </w:rPr>
        <w:fldChar w:fldCharType="begin"/>
      </w:r>
      <w:r w:rsidRPr="00A14C49">
        <w:rPr>
          <w:snapToGrid w:val="0"/>
          <w:lang w:val="fr-FR"/>
        </w:rPr>
        <w:instrText xml:space="preserve"> AUTONUM  </w:instrText>
      </w:r>
      <w:r w:rsidRPr="00A14C49">
        <w:rPr>
          <w:snapToGrid w:val="0"/>
          <w:lang w:val="fr-FR"/>
        </w:rPr>
        <w:fldChar w:fldCharType="end"/>
      </w:r>
      <w:r w:rsidRPr="00A14C49">
        <w:rPr>
          <w:snapToGrid w:val="0"/>
          <w:lang w:val="fr-FR"/>
        </w:rPr>
        <w:tab/>
      </w:r>
      <w:r w:rsidR="0050255F" w:rsidRPr="00A14C49">
        <w:rPr>
          <w:snapToGrid w:val="0"/>
          <w:lang w:val="fr-FR"/>
        </w:rPr>
        <w:t xml:space="preserve">Le </w:t>
      </w:r>
      <w:r w:rsidR="0050255F" w:rsidRPr="00A14C49">
        <w:rPr>
          <w:rFonts w:cs="Arial"/>
          <w:lang w:val="fr-FR"/>
        </w:rPr>
        <w:t>TWO est convenu de la pertinence de la base de données sur les variétés de pois, et qu</w:t>
      </w:r>
      <w:r w:rsidR="00050DB5" w:rsidRPr="00A14C49">
        <w:rPr>
          <w:rFonts w:cs="Arial"/>
          <w:lang w:val="fr-FR"/>
        </w:rPr>
        <w:t>’</w:t>
      </w:r>
      <w:r w:rsidR="0050255F" w:rsidRPr="00A14C49">
        <w:rPr>
          <w:rFonts w:cs="Arial"/>
          <w:lang w:val="fr-FR"/>
        </w:rPr>
        <w:t>il ne serait pas approprié pour l</w:t>
      </w:r>
      <w:r w:rsidR="00050DB5" w:rsidRPr="00A14C49">
        <w:rPr>
          <w:rFonts w:cs="Arial"/>
          <w:lang w:val="fr-FR"/>
        </w:rPr>
        <w:t>’</w:t>
      </w:r>
      <w:r w:rsidR="0050255F" w:rsidRPr="00A14C49">
        <w:rPr>
          <w:rFonts w:cs="Arial"/>
          <w:lang w:val="fr-FR"/>
        </w:rPr>
        <w:t>heure d</w:t>
      </w:r>
      <w:r w:rsidR="00050DB5" w:rsidRPr="00A14C49">
        <w:rPr>
          <w:rFonts w:cs="Arial"/>
          <w:lang w:val="fr-FR"/>
        </w:rPr>
        <w:t>’</w:t>
      </w:r>
      <w:r w:rsidR="0050255F" w:rsidRPr="00A14C49">
        <w:rPr>
          <w:rFonts w:cs="Arial"/>
          <w:lang w:val="fr-FR"/>
        </w:rPr>
        <w:t xml:space="preserve">élaborer une base de données pour une espèce ornementale </w:t>
      </w:r>
      <w:r w:rsidRPr="00A14C49">
        <w:rPr>
          <w:rFonts w:cs="Arial"/>
          <w:lang w:val="fr-FR"/>
        </w:rPr>
        <w:t>(</w:t>
      </w:r>
      <w:r w:rsidR="0050255F" w:rsidRPr="00A14C49">
        <w:rPr>
          <w:lang w:val="fr-FR"/>
        </w:rPr>
        <w:t>voir le paragraphe</w:t>
      </w:r>
      <w:r w:rsidR="008A5357" w:rsidRPr="00A14C49">
        <w:rPr>
          <w:lang w:val="fr-FR"/>
        </w:rPr>
        <w:t> </w:t>
      </w:r>
      <w:r w:rsidR="0050255F" w:rsidRPr="00A14C49">
        <w:rPr>
          <w:lang w:val="fr-FR"/>
        </w:rPr>
        <w:t>97 du document TWO/47/28 “Report”</w:t>
      </w:r>
      <w:r w:rsidRPr="00A14C49">
        <w:rPr>
          <w:lang w:val="fr-FR"/>
        </w:rPr>
        <w:t>)</w:t>
      </w:r>
      <w:r w:rsidRPr="00A14C49">
        <w:rPr>
          <w:rFonts w:cs="Arial"/>
          <w:lang w:val="fr-FR"/>
        </w:rPr>
        <w:t>.</w:t>
      </w:r>
    </w:p>
    <w:p w:rsidR="00124277" w:rsidRPr="00A14C49" w:rsidRDefault="00124277" w:rsidP="00A14C49">
      <w:pPr>
        <w:rPr>
          <w:rFonts w:cs="Arial"/>
          <w:lang w:val="fr-FR"/>
        </w:rPr>
      </w:pPr>
    </w:p>
    <w:p w:rsidR="00124277" w:rsidRPr="00A14C49" w:rsidRDefault="00A70006" w:rsidP="00A14C49">
      <w:pPr>
        <w:autoSpaceDE w:val="0"/>
        <w:autoSpaceDN w:val="0"/>
        <w:adjustRightInd w:val="0"/>
        <w:rPr>
          <w:rFonts w:cs="Arial"/>
          <w:lang w:val="fr-FR"/>
        </w:rPr>
      </w:pPr>
      <w:r w:rsidRPr="00A14C49">
        <w:rPr>
          <w:snapToGrid w:val="0"/>
          <w:lang w:val="fr-FR"/>
        </w:rPr>
        <w:fldChar w:fldCharType="begin"/>
      </w:r>
      <w:r w:rsidRPr="00A14C49">
        <w:rPr>
          <w:snapToGrid w:val="0"/>
          <w:lang w:val="fr-FR"/>
        </w:rPr>
        <w:instrText xml:space="preserve"> AUTONUM  </w:instrText>
      </w:r>
      <w:r w:rsidRPr="00A14C49">
        <w:rPr>
          <w:snapToGrid w:val="0"/>
          <w:lang w:val="fr-FR"/>
        </w:rPr>
        <w:fldChar w:fldCharType="end"/>
      </w:r>
      <w:r w:rsidRPr="00A14C49">
        <w:rPr>
          <w:snapToGrid w:val="0"/>
          <w:lang w:val="fr-FR"/>
        </w:rPr>
        <w:tab/>
      </w:r>
      <w:r w:rsidR="0050255F" w:rsidRPr="00A14C49">
        <w:rPr>
          <w:snapToGrid w:val="0"/>
          <w:lang w:val="fr-FR"/>
        </w:rPr>
        <w:t>Le TWF et</w:t>
      </w:r>
      <w:r w:rsidR="00050DB5" w:rsidRPr="00A14C49">
        <w:rPr>
          <w:snapToGrid w:val="0"/>
          <w:lang w:val="fr-FR"/>
        </w:rPr>
        <w:t xml:space="preserve"> le TWA</w:t>
      </w:r>
      <w:r w:rsidR="0050255F" w:rsidRPr="00A14C49">
        <w:rPr>
          <w:snapToGrid w:val="0"/>
          <w:lang w:val="fr-FR"/>
        </w:rPr>
        <w:t xml:space="preserve"> ont examiné la proposition de l</w:t>
      </w:r>
      <w:r w:rsidR="00050DB5" w:rsidRPr="00A14C49">
        <w:rPr>
          <w:snapToGrid w:val="0"/>
          <w:lang w:val="fr-FR"/>
        </w:rPr>
        <w:t>’</w:t>
      </w:r>
      <w:r w:rsidR="0050255F" w:rsidRPr="00A14C49">
        <w:rPr>
          <w:snapToGrid w:val="0"/>
          <w:lang w:val="fr-FR"/>
        </w:rPr>
        <w:t>expert de l</w:t>
      </w:r>
      <w:r w:rsidR="00050DB5" w:rsidRPr="00A14C49">
        <w:rPr>
          <w:snapToGrid w:val="0"/>
          <w:lang w:val="fr-FR"/>
        </w:rPr>
        <w:t>’</w:t>
      </w:r>
      <w:r w:rsidR="0050255F" w:rsidRPr="00A14C49">
        <w:rPr>
          <w:snapToGrid w:val="0"/>
          <w:lang w:val="fr-FR"/>
        </w:rPr>
        <w:t>Australie, tendant à ne pas élaborer pour l</w:t>
      </w:r>
      <w:r w:rsidR="00050DB5" w:rsidRPr="00A14C49">
        <w:rPr>
          <w:snapToGrid w:val="0"/>
          <w:lang w:val="fr-FR"/>
        </w:rPr>
        <w:t>’</w:t>
      </w:r>
      <w:r w:rsidR="0050255F" w:rsidRPr="00A14C49">
        <w:rPr>
          <w:snapToGrid w:val="0"/>
          <w:lang w:val="fr-FR"/>
        </w:rPr>
        <w:t>heure de base de données</w:t>
      </w:r>
      <w:r w:rsidRPr="00A14C49">
        <w:rPr>
          <w:rFonts w:cs="Arial"/>
          <w:lang w:val="fr-FR"/>
        </w:rPr>
        <w:t xml:space="preserve"> (</w:t>
      </w:r>
      <w:r w:rsidR="0050255F" w:rsidRPr="00A14C49">
        <w:rPr>
          <w:rFonts w:cs="Arial"/>
          <w:lang w:val="fr-FR"/>
        </w:rPr>
        <w:t>voir le paragraphe</w:t>
      </w:r>
      <w:r w:rsidR="008A5357" w:rsidRPr="00A14C49">
        <w:rPr>
          <w:rFonts w:cs="Arial"/>
          <w:lang w:val="fr-FR"/>
        </w:rPr>
        <w:t> </w:t>
      </w:r>
      <w:r w:rsidR="0050255F" w:rsidRPr="00A14C49">
        <w:rPr>
          <w:rFonts w:cs="Arial"/>
          <w:lang w:val="fr-FR"/>
        </w:rPr>
        <w:t>111 du</w:t>
      </w:r>
      <w:r w:rsidRPr="00A14C49">
        <w:rPr>
          <w:rFonts w:cs="Arial"/>
          <w:lang w:val="fr-FR"/>
        </w:rPr>
        <w:t xml:space="preserve"> </w:t>
      </w:r>
      <w:r w:rsidRPr="00A14C49">
        <w:rPr>
          <w:lang w:val="fr-FR"/>
        </w:rPr>
        <w:t>document TWF/45/32 “Report”</w:t>
      </w:r>
      <w:r w:rsidR="0050255F" w:rsidRPr="00A14C49">
        <w:rPr>
          <w:lang w:val="fr-FR"/>
        </w:rPr>
        <w:t xml:space="preserve"> et le paragraphe</w:t>
      </w:r>
      <w:r w:rsidR="008A5357" w:rsidRPr="00A14C49">
        <w:rPr>
          <w:lang w:val="fr-FR"/>
        </w:rPr>
        <w:t> </w:t>
      </w:r>
      <w:r w:rsidR="0050255F" w:rsidRPr="00A14C49">
        <w:rPr>
          <w:lang w:val="fr-FR"/>
        </w:rPr>
        <w:t>95 du document</w:t>
      </w:r>
      <w:r w:rsidR="007804D5" w:rsidRPr="00A14C49">
        <w:rPr>
          <w:lang w:val="fr-FR"/>
        </w:rPr>
        <w:t xml:space="preserve"> TWA/43/27 “Report”</w:t>
      </w:r>
      <w:r w:rsidRPr="00A14C49">
        <w:rPr>
          <w:lang w:val="fr-FR"/>
        </w:rPr>
        <w:t>)</w:t>
      </w:r>
      <w:r w:rsidRPr="00A14C49">
        <w:rPr>
          <w:rFonts w:cs="Arial"/>
          <w:lang w:val="fr-FR"/>
        </w:rPr>
        <w:t>.</w:t>
      </w:r>
    </w:p>
    <w:p w:rsidR="00124277" w:rsidRPr="00A14C49" w:rsidRDefault="00124277" w:rsidP="00A14C49">
      <w:pPr>
        <w:autoSpaceDE w:val="0"/>
        <w:autoSpaceDN w:val="0"/>
        <w:adjustRightInd w:val="0"/>
        <w:rPr>
          <w:rFonts w:cs="Arial"/>
          <w:lang w:val="fr-FR"/>
        </w:rPr>
      </w:pPr>
    </w:p>
    <w:p w:rsidR="00124277" w:rsidRPr="00A14C49" w:rsidRDefault="00A70006" w:rsidP="00A14C49">
      <w:pPr>
        <w:autoSpaceDE w:val="0"/>
        <w:autoSpaceDN w:val="0"/>
        <w:adjustRightInd w:val="0"/>
        <w:rPr>
          <w:rFonts w:cs="Arial"/>
          <w:lang w:val="fr-FR"/>
        </w:rPr>
      </w:pPr>
      <w:r w:rsidRPr="00A14C49">
        <w:rPr>
          <w:snapToGrid w:val="0"/>
          <w:lang w:val="fr-FR"/>
        </w:rPr>
        <w:fldChar w:fldCharType="begin"/>
      </w:r>
      <w:r w:rsidRPr="00A14C49">
        <w:rPr>
          <w:snapToGrid w:val="0"/>
          <w:lang w:val="fr-FR"/>
        </w:rPr>
        <w:instrText xml:space="preserve"> AUTONUM  </w:instrText>
      </w:r>
      <w:r w:rsidRPr="00A14C49">
        <w:rPr>
          <w:snapToGrid w:val="0"/>
          <w:lang w:val="fr-FR"/>
        </w:rPr>
        <w:fldChar w:fldCharType="end"/>
      </w:r>
      <w:r w:rsidRPr="00A14C49">
        <w:rPr>
          <w:snapToGrid w:val="0"/>
          <w:lang w:val="fr-FR"/>
        </w:rPr>
        <w:tab/>
      </w:r>
      <w:r w:rsidR="0050255F" w:rsidRPr="00A14C49">
        <w:rPr>
          <w:rFonts w:cs="Arial"/>
          <w:lang w:val="fr-FR"/>
        </w:rPr>
        <w:t>Le</w:t>
      </w:r>
      <w:r w:rsidRPr="00A14C49">
        <w:rPr>
          <w:rFonts w:cs="Arial"/>
          <w:lang w:val="fr-FR"/>
        </w:rPr>
        <w:t xml:space="preserve"> TWF</w:t>
      </w:r>
      <w:r w:rsidR="002070BE" w:rsidRPr="00A14C49">
        <w:rPr>
          <w:rFonts w:cs="Arial"/>
          <w:lang w:val="fr-FR"/>
        </w:rPr>
        <w:t>,</w:t>
      </w:r>
      <w:r w:rsidR="00050DB5" w:rsidRPr="00A14C49">
        <w:rPr>
          <w:rFonts w:cs="Arial"/>
          <w:lang w:val="fr-FR"/>
        </w:rPr>
        <w:t xml:space="preserve"> le TWC</w:t>
      </w:r>
      <w:r w:rsidR="007804D5" w:rsidRPr="00A14C49">
        <w:rPr>
          <w:rFonts w:cs="Arial"/>
          <w:lang w:val="fr-FR"/>
        </w:rPr>
        <w:t>,</w:t>
      </w:r>
      <w:r w:rsidR="00050DB5" w:rsidRPr="00A14C49">
        <w:rPr>
          <w:rFonts w:cs="Arial"/>
          <w:lang w:val="fr-FR"/>
        </w:rPr>
        <w:t xml:space="preserve"> le TWV</w:t>
      </w:r>
      <w:r w:rsidRPr="00A14C49">
        <w:rPr>
          <w:rFonts w:cs="Arial"/>
          <w:lang w:val="fr-FR"/>
        </w:rPr>
        <w:t xml:space="preserve"> </w:t>
      </w:r>
      <w:r w:rsidR="0050255F" w:rsidRPr="00A14C49">
        <w:rPr>
          <w:rFonts w:cs="Arial"/>
          <w:lang w:val="fr-FR"/>
        </w:rPr>
        <w:t>et</w:t>
      </w:r>
      <w:r w:rsidR="00050DB5" w:rsidRPr="00A14C49">
        <w:rPr>
          <w:rFonts w:cs="Arial"/>
          <w:lang w:val="fr-FR"/>
        </w:rPr>
        <w:t xml:space="preserve"> le TWA</w:t>
      </w:r>
      <w:r w:rsidR="007804D5" w:rsidRPr="00A14C49">
        <w:rPr>
          <w:rFonts w:cs="Arial"/>
          <w:lang w:val="fr-FR"/>
        </w:rPr>
        <w:t xml:space="preserve"> </w:t>
      </w:r>
      <w:r w:rsidR="0050255F" w:rsidRPr="00A14C49">
        <w:rPr>
          <w:rFonts w:cs="Arial"/>
          <w:lang w:val="fr-FR"/>
        </w:rPr>
        <w:t>ont pris note des questions soulevées par l</w:t>
      </w:r>
      <w:r w:rsidR="00050DB5" w:rsidRPr="00A14C49">
        <w:rPr>
          <w:rFonts w:cs="Arial"/>
          <w:lang w:val="fr-FR"/>
        </w:rPr>
        <w:t>’</w:t>
      </w:r>
      <w:r w:rsidR="0050255F" w:rsidRPr="00A14C49">
        <w:rPr>
          <w:rFonts w:cs="Arial"/>
          <w:lang w:val="fr-FR"/>
        </w:rPr>
        <w:t>ISF concernant les descriptions variétales</w:t>
      </w:r>
      <w:r w:rsidRPr="00A14C49">
        <w:rPr>
          <w:rFonts w:cs="Arial"/>
          <w:lang w:val="fr-FR"/>
        </w:rPr>
        <w:t xml:space="preserve"> (</w:t>
      </w:r>
      <w:r w:rsidR="0050255F" w:rsidRPr="00A14C49">
        <w:rPr>
          <w:rFonts w:cs="Arial"/>
          <w:lang w:val="fr-FR"/>
        </w:rPr>
        <w:t>voir le paragraphe</w:t>
      </w:r>
      <w:r w:rsidR="008A5357" w:rsidRPr="00A14C49">
        <w:rPr>
          <w:rFonts w:cs="Arial"/>
          <w:lang w:val="fr-FR"/>
        </w:rPr>
        <w:t> </w:t>
      </w:r>
      <w:r w:rsidR="0050255F" w:rsidRPr="00A14C49">
        <w:rPr>
          <w:rFonts w:cs="Arial"/>
          <w:lang w:val="fr-FR"/>
        </w:rPr>
        <w:t>112 du</w:t>
      </w:r>
      <w:r w:rsidRPr="00A14C49">
        <w:rPr>
          <w:rFonts w:cs="Arial"/>
          <w:lang w:val="fr-FR"/>
        </w:rPr>
        <w:t xml:space="preserve"> </w:t>
      </w:r>
      <w:r w:rsidRPr="00A14C49">
        <w:rPr>
          <w:lang w:val="fr-FR"/>
        </w:rPr>
        <w:t>document</w:t>
      </w:r>
      <w:r w:rsidR="0050255F" w:rsidRPr="00A14C49">
        <w:rPr>
          <w:lang w:val="fr-FR"/>
        </w:rPr>
        <w:t xml:space="preserve"> TWF/45/32 “Report”, le paragraphe</w:t>
      </w:r>
      <w:r w:rsidR="008A5357" w:rsidRPr="00A14C49">
        <w:rPr>
          <w:lang w:val="fr-FR"/>
        </w:rPr>
        <w:t> </w:t>
      </w:r>
      <w:r w:rsidR="0050255F" w:rsidRPr="00A14C49">
        <w:rPr>
          <w:lang w:val="fr-FR"/>
        </w:rPr>
        <w:t>77 du</w:t>
      </w:r>
      <w:r w:rsidR="002070BE" w:rsidRPr="00A14C49">
        <w:rPr>
          <w:lang w:val="fr-FR"/>
        </w:rPr>
        <w:t xml:space="preserve"> </w:t>
      </w:r>
      <w:r w:rsidR="0050255F" w:rsidRPr="00A14C49">
        <w:rPr>
          <w:lang w:val="fr-FR"/>
        </w:rPr>
        <w:t xml:space="preserve">document </w:t>
      </w:r>
      <w:r w:rsidR="002070BE" w:rsidRPr="00A14C49">
        <w:rPr>
          <w:lang w:val="fr-FR"/>
        </w:rPr>
        <w:t>TWC/32/28 “Report”,</w:t>
      </w:r>
      <w:r w:rsidR="0050255F" w:rsidRPr="00A14C49">
        <w:rPr>
          <w:lang w:val="fr-FR"/>
        </w:rPr>
        <w:t xml:space="preserve"> le paragraphe</w:t>
      </w:r>
      <w:r w:rsidR="008A5357" w:rsidRPr="00A14C49">
        <w:rPr>
          <w:lang w:val="fr-FR"/>
        </w:rPr>
        <w:t> </w:t>
      </w:r>
      <w:r w:rsidR="0050255F" w:rsidRPr="00A14C49">
        <w:rPr>
          <w:lang w:val="fr-FR"/>
        </w:rPr>
        <w:t>124 du document TWV/48/43 “Report” et le paragraphe</w:t>
      </w:r>
      <w:r w:rsidR="008A5357" w:rsidRPr="00A14C49">
        <w:rPr>
          <w:lang w:val="fr-FR"/>
        </w:rPr>
        <w:t> </w:t>
      </w:r>
      <w:r w:rsidR="0050255F" w:rsidRPr="00A14C49">
        <w:rPr>
          <w:lang w:val="fr-FR"/>
        </w:rPr>
        <w:t>96 du document</w:t>
      </w:r>
      <w:r w:rsidR="007804D5" w:rsidRPr="00A14C49">
        <w:rPr>
          <w:lang w:val="fr-FR"/>
        </w:rPr>
        <w:t xml:space="preserve"> TWA/43/27 “Report”</w:t>
      </w:r>
      <w:r w:rsidRPr="00A14C49">
        <w:rPr>
          <w:lang w:val="fr-FR"/>
        </w:rPr>
        <w:t>)</w:t>
      </w:r>
      <w:r w:rsidRPr="00A14C49">
        <w:rPr>
          <w:rFonts w:cs="Arial"/>
          <w:lang w:val="fr-FR"/>
        </w:rPr>
        <w:t>.</w:t>
      </w:r>
    </w:p>
    <w:p w:rsidR="00124277" w:rsidRPr="00A14C49" w:rsidRDefault="00124277" w:rsidP="00A14C49">
      <w:pPr>
        <w:autoSpaceDE w:val="0"/>
        <w:autoSpaceDN w:val="0"/>
        <w:adjustRightInd w:val="0"/>
        <w:rPr>
          <w:rFonts w:cs="Arial"/>
          <w:lang w:val="fr-FR"/>
        </w:rPr>
      </w:pPr>
    </w:p>
    <w:p w:rsidR="00124277" w:rsidRPr="00A14C49" w:rsidRDefault="00A70006" w:rsidP="00A14C49">
      <w:pPr>
        <w:autoSpaceDE w:val="0"/>
        <w:autoSpaceDN w:val="0"/>
        <w:adjustRightInd w:val="0"/>
        <w:rPr>
          <w:lang w:val="fr-FR"/>
        </w:rPr>
      </w:pPr>
      <w:r w:rsidRPr="00A14C49">
        <w:rPr>
          <w:snapToGrid w:val="0"/>
          <w:lang w:val="fr-FR"/>
        </w:rPr>
        <w:fldChar w:fldCharType="begin"/>
      </w:r>
      <w:r w:rsidRPr="00A14C49">
        <w:rPr>
          <w:snapToGrid w:val="0"/>
          <w:lang w:val="fr-FR"/>
        </w:rPr>
        <w:instrText xml:space="preserve"> AUTONUM  </w:instrText>
      </w:r>
      <w:r w:rsidRPr="00A14C49">
        <w:rPr>
          <w:snapToGrid w:val="0"/>
          <w:lang w:val="fr-FR"/>
        </w:rPr>
        <w:fldChar w:fldCharType="end"/>
      </w:r>
      <w:r w:rsidRPr="00A14C49">
        <w:rPr>
          <w:snapToGrid w:val="0"/>
          <w:lang w:val="fr-FR"/>
        </w:rPr>
        <w:tab/>
      </w:r>
      <w:r w:rsidR="009D10A8" w:rsidRPr="00A14C49">
        <w:rPr>
          <w:snapToGrid w:val="0"/>
          <w:lang w:val="fr-FR"/>
        </w:rPr>
        <w:t>Le TWF,</w:t>
      </w:r>
      <w:r w:rsidR="00050DB5" w:rsidRPr="00A14C49">
        <w:rPr>
          <w:snapToGrid w:val="0"/>
          <w:lang w:val="fr-FR"/>
        </w:rPr>
        <w:t xml:space="preserve"> le </w:t>
      </w:r>
      <w:r w:rsidR="00050DB5" w:rsidRPr="00A14C49">
        <w:rPr>
          <w:rFonts w:cs="Arial"/>
          <w:lang w:val="fr-FR"/>
        </w:rPr>
        <w:t>TWC</w:t>
      </w:r>
      <w:r w:rsidR="007804D5" w:rsidRPr="00A14C49">
        <w:rPr>
          <w:rFonts w:cs="Arial"/>
          <w:lang w:val="fr-FR"/>
        </w:rPr>
        <w:t>,</w:t>
      </w:r>
      <w:r w:rsidR="00050DB5" w:rsidRPr="00A14C49">
        <w:rPr>
          <w:rFonts w:cs="Arial"/>
          <w:lang w:val="fr-FR"/>
        </w:rPr>
        <w:t xml:space="preserve"> le TWV</w:t>
      </w:r>
      <w:r w:rsidR="007804D5" w:rsidRPr="00A14C49">
        <w:rPr>
          <w:rFonts w:cs="Arial"/>
          <w:lang w:val="fr-FR"/>
        </w:rPr>
        <w:t xml:space="preserve"> </w:t>
      </w:r>
      <w:r w:rsidR="009D10A8" w:rsidRPr="00A14C49">
        <w:rPr>
          <w:rFonts w:cs="Arial"/>
          <w:lang w:val="fr-FR"/>
        </w:rPr>
        <w:t>et</w:t>
      </w:r>
      <w:r w:rsidR="00050DB5" w:rsidRPr="00A14C49">
        <w:rPr>
          <w:rFonts w:cs="Arial"/>
          <w:lang w:val="fr-FR"/>
        </w:rPr>
        <w:t xml:space="preserve"> le TWA</w:t>
      </w:r>
      <w:r w:rsidR="002070BE" w:rsidRPr="00A14C49">
        <w:rPr>
          <w:rFonts w:cs="Arial"/>
          <w:lang w:val="fr-FR"/>
        </w:rPr>
        <w:t xml:space="preserve"> </w:t>
      </w:r>
      <w:r w:rsidR="009D10A8" w:rsidRPr="00A14C49">
        <w:rPr>
          <w:rFonts w:cs="Arial"/>
          <w:lang w:val="fr-FR"/>
        </w:rPr>
        <w:t>ont pris note des observations formulées par</w:t>
      </w:r>
      <w:r w:rsidR="00050DB5" w:rsidRPr="00A14C49">
        <w:rPr>
          <w:rFonts w:cs="Arial"/>
          <w:lang w:val="fr-FR"/>
        </w:rPr>
        <w:t xml:space="preserve"> le CAJ</w:t>
      </w:r>
      <w:r w:rsidR="009D10A8" w:rsidRPr="00A14C49">
        <w:rPr>
          <w:rFonts w:cs="Arial"/>
          <w:lang w:val="fr-FR"/>
        </w:rPr>
        <w:t xml:space="preserve"> sur les questions concernant les descriptions variétales, </w:t>
      </w:r>
      <w:r w:rsidR="00A906F6" w:rsidRPr="00A14C49">
        <w:rPr>
          <w:rFonts w:cs="Arial"/>
          <w:lang w:val="fr-FR"/>
        </w:rPr>
        <w:t>qui figurent au paragraphe</w:t>
      </w:r>
      <w:r w:rsidR="008A5357" w:rsidRPr="00A14C49">
        <w:rPr>
          <w:rFonts w:cs="Arial"/>
          <w:lang w:val="fr-FR"/>
        </w:rPr>
        <w:t> </w:t>
      </w:r>
      <w:r w:rsidR="00A906F6" w:rsidRPr="00A14C49">
        <w:rPr>
          <w:rFonts w:cs="Arial"/>
          <w:lang w:val="fr-FR"/>
        </w:rPr>
        <w:t>12 du présent document</w:t>
      </w:r>
      <w:r w:rsidRPr="00A14C49">
        <w:rPr>
          <w:rFonts w:cs="Arial"/>
          <w:lang w:val="fr-FR"/>
        </w:rPr>
        <w:t xml:space="preserve"> (</w:t>
      </w:r>
      <w:r w:rsidR="00A906F6" w:rsidRPr="00A14C49">
        <w:rPr>
          <w:rFonts w:cs="Arial"/>
          <w:lang w:val="fr-FR"/>
        </w:rPr>
        <w:t>voir le paragraphe</w:t>
      </w:r>
      <w:r w:rsidR="008A5357" w:rsidRPr="00A14C49">
        <w:rPr>
          <w:rFonts w:cs="Arial"/>
          <w:lang w:val="fr-FR"/>
        </w:rPr>
        <w:t> </w:t>
      </w:r>
      <w:r w:rsidR="00A906F6" w:rsidRPr="00A14C49">
        <w:rPr>
          <w:rFonts w:cs="Arial"/>
          <w:lang w:val="fr-FR"/>
        </w:rPr>
        <w:t>110 du</w:t>
      </w:r>
      <w:r w:rsidRPr="00A14C49">
        <w:rPr>
          <w:rFonts w:cs="Arial"/>
          <w:lang w:val="fr-FR"/>
        </w:rPr>
        <w:t xml:space="preserve"> </w:t>
      </w:r>
      <w:r w:rsidRPr="00A14C49">
        <w:rPr>
          <w:lang w:val="fr-FR"/>
        </w:rPr>
        <w:t xml:space="preserve">document TWF/45/32 “Report”, </w:t>
      </w:r>
      <w:r w:rsidR="00A906F6" w:rsidRPr="00A14C49">
        <w:rPr>
          <w:lang w:val="fr-FR"/>
        </w:rPr>
        <w:t>le paragraphe</w:t>
      </w:r>
      <w:r w:rsidR="008A5357" w:rsidRPr="00A14C49">
        <w:rPr>
          <w:lang w:val="fr-FR"/>
        </w:rPr>
        <w:t> </w:t>
      </w:r>
      <w:r w:rsidR="00A906F6" w:rsidRPr="00A14C49">
        <w:rPr>
          <w:lang w:val="fr-FR"/>
        </w:rPr>
        <w:t>78 du document</w:t>
      </w:r>
      <w:r w:rsidR="002070BE" w:rsidRPr="00A14C49">
        <w:rPr>
          <w:lang w:val="fr-FR"/>
        </w:rPr>
        <w:t xml:space="preserve"> TWC/32/28 “Report”, </w:t>
      </w:r>
      <w:r w:rsidR="00A906F6" w:rsidRPr="00A14C49">
        <w:rPr>
          <w:lang w:val="fr-FR"/>
        </w:rPr>
        <w:t>le paragraphe</w:t>
      </w:r>
      <w:r w:rsidR="008A5357" w:rsidRPr="00A14C49">
        <w:rPr>
          <w:lang w:val="fr-FR"/>
        </w:rPr>
        <w:t> </w:t>
      </w:r>
      <w:r w:rsidR="00A906F6" w:rsidRPr="00A14C49">
        <w:rPr>
          <w:lang w:val="fr-FR"/>
        </w:rPr>
        <w:t>125 du document</w:t>
      </w:r>
      <w:r w:rsidR="003C2607" w:rsidRPr="00A14C49">
        <w:rPr>
          <w:lang w:val="fr-FR"/>
        </w:rPr>
        <w:t xml:space="preserve"> </w:t>
      </w:r>
      <w:r w:rsidR="00A906F6" w:rsidRPr="00A14C49">
        <w:rPr>
          <w:lang w:val="fr-FR"/>
        </w:rPr>
        <w:t>TWV/48/43 “Report” et le paragraphe</w:t>
      </w:r>
      <w:r w:rsidR="008A5357" w:rsidRPr="00A14C49">
        <w:rPr>
          <w:lang w:val="fr-FR"/>
        </w:rPr>
        <w:t> </w:t>
      </w:r>
      <w:r w:rsidR="00A906F6" w:rsidRPr="00A14C49">
        <w:rPr>
          <w:lang w:val="fr-FR"/>
        </w:rPr>
        <w:t>97 du document TWA/43/27 “Report”</w:t>
      </w:r>
      <w:r w:rsidRPr="00A14C49">
        <w:rPr>
          <w:lang w:val="fr-FR"/>
        </w:rPr>
        <w:t>)</w:t>
      </w:r>
      <w:r w:rsidR="00A9630A" w:rsidRPr="00A14C49">
        <w:rPr>
          <w:lang w:val="fr-FR"/>
        </w:rPr>
        <w:t>.</w:t>
      </w:r>
    </w:p>
    <w:p w:rsidR="00124277" w:rsidRPr="00A14C49" w:rsidRDefault="00124277" w:rsidP="00A14C49">
      <w:pPr>
        <w:pStyle w:val="Default"/>
        <w:jc w:val="both"/>
        <w:rPr>
          <w:color w:val="auto"/>
          <w:sz w:val="20"/>
          <w:szCs w:val="20"/>
          <w:lang w:val="fr-FR"/>
        </w:rPr>
      </w:pPr>
    </w:p>
    <w:p w:rsidR="00050DB5" w:rsidRPr="00A14C49" w:rsidRDefault="00A72B49" w:rsidP="00A14C49">
      <w:pPr>
        <w:pStyle w:val="Default"/>
        <w:jc w:val="both"/>
        <w:rPr>
          <w:color w:val="auto"/>
          <w:sz w:val="20"/>
          <w:szCs w:val="20"/>
          <w:lang w:val="fr-FR"/>
        </w:rPr>
      </w:pPr>
      <w:r w:rsidRPr="00A14C49">
        <w:rPr>
          <w:snapToGrid w:val="0"/>
          <w:color w:val="auto"/>
          <w:sz w:val="20"/>
          <w:szCs w:val="20"/>
          <w:lang w:val="fr-FR"/>
        </w:rPr>
        <w:fldChar w:fldCharType="begin"/>
      </w:r>
      <w:r w:rsidRPr="00A14C49">
        <w:rPr>
          <w:snapToGrid w:val="0"/>
          <w:color w:val="auto"/>
          <w:sz w:val="20"/>
          <w:szCs w:val="20"/>
          <w:lang w:val="fr-FR"/>
        </w:rPr>
        <w:instrText xml:space="preserve"> AUTONUM  </w:instrText>
      </w:r>
      <w:r w:rsidRPr="00A14C49">
        <w:rPr>
          <w:snapToGrid w:val="0"/>
          <w:color w:val="auto"/>
          <w:sz w:val="20"/>
          <w:szCs w:val="20"/>
          <w:lang w:val="fr-FR"/>
        </w:rPr>
        <w:fldChar w:fldCharType="end"/>
      </w:r>
      <w:r w:rsidRPr="00A14C49">
        <w:rPr>
          <w:snapToGrid w:val="0"/>
          <w:color w:val="auto"/>
          <w:sz w:val="20"/>
          <w:szCs w:val="20"/>
          <w:lang w:val="fr-FR"/>
        </w:rPr>
        <w:tab/>
      </w:r>
      <w:r w:rsidR="00D201A7" w:rsidRPr="00A14C49">
        <w:rPr>
          <w:snapToGrid w:val="0"/>
          <w:color w:val="auto"/>
          <w:sz w:val="20"/>
          <w:szCs w:val="20"/>
          <w:lang w:val="fr-FR"/>
        </w:rPr>
        <w:t xml:space="preserve">Le </w:t>
      </w:r>
      <w:r w:rsidRPr="00A14C49">
        <w:rPr>
          <w:color w:val="auto"/>
          <w:sz w:val="20"/>
          <w:szCs w:val="20"/>
          <w:lang w:val="fr-FR"/>
        </w:rPr>
        <w:t xml:space="preserve">TWC </w:t>
      </w:r>
      <w:r w:rsidR="00D201A7" w:rsidRPr="00A14C49">
        <w:rPr>
          <w:color w:val="auto"/>
          <w:sz w:val="20"/>
          <w:szCs w:val="20"/>
          <w:lang w:val="fr-FR"/>
        </w:rPr>
        <w:t>et</w:t>
      </w:r>
      <w:r w:rsidR="00050DB5" w:rsidRPr="00A14C49">
        <w:rPr>
          <w:color w:val="auto"/>
          <w:sz w:val="20"/>
          <w:szCs w:val="20"/>
          <w:lang w:val="fr-FR"/>
        </w:rPr>
        <w:t xml:space="preserve"> le TWV</w:t>
      </w:r>
      <w:r w:rsidR="002070BE" w:rsidRPr="00A14C49">
        <w:rPr>
          <w:color w:val="auto"/>
          <w:sz w:val="20"/>
          <w:szCs w:val="20"/>
          <w:lang w:val="fr-FR"/>
        </w:rPr>
        <w:t xml:space="preserve"> </w:t>
      </w:r>
      <w:r w:rsidR="00D201A7" w:rsidRPr="00A14C49">
        <w:rPr>
          <w:color w:val="auto"/>
          <w:sz w:val="20"/>
          <w:szCs w:val="20"/>
          <w:lang w:val="fr-FR"/>
        </w:rPr>
        <w:t>ont pris note de la proposition de l</w:t>
      </w:r>
      <w:r w:rsidR="00050DB5" w:rsidRPr="00A14C49">
        <w:rPr>
          <w:color w:val="auto"/>
          <w:sz w:val="20"/>
          <w:szCs w:val="20"/>
          <w:lang w:val="fr-FR"/>
        </w:rPr>
        <w:t>’</w:t>
      </w:r>
      <w:r w:rsidR="00D201A7" w:rsidRPr="00A14C49">
        <w:rPr>
          <w:color w:val="auto"/>
          <w:sz w:val="20"/>
          <w:szCs w:val="20"/>
          <w:lang w:val="fr-FR"/>
        </w:rPr>
        <w:t>expert de l</w:t>
      </w:r>
      <w:r w:rsidR="00050DB5" w:rsidRPr="00A14C49">
        <w:rPr>
          <w:color w:val="auto"/>
          <w:sz w:val="20"/>
          <w:szCs w:val="20"/>
          <w:lang w:val="fr-FR"/>
        </w:rPr>
        <w:t>’</w:t>
      </w:r>
      <w:r w:rsidR="00D201A7" w:rsidRPr="00A14C49">
        <w:rPr>
          <w:color w:val="auto"/>
          <w:sz w:val="20"/>
          <w:szCs w:val="20"/>
          <w:lang w:val="fr-FR"/>
        </w:rPr>
        <w:t>Australie, tendant à ne pas élaborer de base de données pour</w:t>
      </w:r>
      <w:r w:rsidR="00050DB5" w:rsidRPr="00A14C49">
        <w:rPr>
          <w:color w:val="auto"/>
          <w:sz w:val="20"/>
          <w:szCs w:val="20"/>
          <w:lang w:val="fr-FR"/>
        </w:rPr>
        <w:t xml:space="preserve"> le TWO</w:t>
      </w:r>
      <w:r w:rsidR="002070BE" w:rsidRPr="00A14C49">
        <w:rPr>
          <w:color w:val="auto"/>
          <w:sz w:val="20"/>
          <w:szCs w:val="20"/>
          <w:lang w:val="fr-FR"/>
        </w:rPr>
        <w:t xml:space="preserve"> (</w:t>
      </w:r>
      <w:r w:rsidR="00D201A7" w:rsidRPr="00A14C49">
        <w:rPr>
          <w:color w:val="auto"/>
          <w:sz w:val="20"/>
          <w:szCs w:val="20"/>
          <w:lang w:val="fr-FR"/>
        </w:rPr>
        <w:t>voir le paragraphe</w:t>
      </w:r>
      <w:r w:rsidR="008A5357" w:rsidRPr="00A14C49">
        <w:rPr>
          <w:color w:val="auto"/>
          <w:sz w:val="20"/>
          <w:szCs w:val="20"/>
          <w:lang w:val="fr-FR"/>
        </w:rPr>
        <w:t> </w:t>
      </w:r>
      <w:r w:rsidR="00D201A7" w:rsidRPr="00A14C49">
        <w:rPr>
          <w:color w:val="auto"/>
          <w:sz w:val="20"/>
          <w:szCs w:val="20"/>
          <w:lang w:val="fr-FR"/>
        </w:rPr>
        <w:t>79 du</w:t>
      </w:r>
      <w:r w:rsidR="002070BE" w:rsidRPr="00A14C49">
        <w:rPr>
          <w:color w:val="auto"/>
          <w:sz w:val="20"/>
          <w:szCs w:val="20"/>
          <w:lang w:val="fr-FR"/>
        </w:rPr>
        <w:t xml:space="preserve"> document TWC/32/28 “Report”</w:t>
      </w:r>
      <w:r w:rsidR="00D201A7" w:rsidRPr="00A14C49">
        <w:rPr>
          <w:color w:val="auto"/>
          <w:sz w:val="20"/>
          <w:szCs w:val="20"/>
          <w:lang w:val="fr-FR"/>
        </w:rPr>
        <w:t xml:space="preserve"> et le paragraphe</w:t>
      </w:r>
      <w:r w:rsidR="008A5357" w:rsidRPr="00A14C49">
        <w:rPr>
          <w:color w:val="auto"/>
          <w:sz w:val="20"/>
          <w:szCs w:val="20"/>
          <w:lang w:val="fr-FR"/>
        </w:rPr>
        <w:t> </w:t>
      </w:r>
      <w:r w:rsidR="00D201A7" w:rsidRPr="00A14C49">
        <w:rPr>
          <w:color w:val="auto"/>
          <w:sz w:val="20"/>
          <w:szCs w:val="20"/>
          <w:lang w:val="fr-FR"/>
        </w:rPr>
        <w:t>123 du document</w:t>
      </w:r>
      <w:r w:rsidR="002070BE" w:rsidRPr="00A14C49">
        <w:rPr>
          <w:color w:val="auto"/>
          <w:sz w:val="20"/>
          <w:szCs w:val="20"/>
          <w:lang w:val="fr-FR"/>
        </w:rPr>
        <w:t xml:space="preserve"> TWV/48/43 “Report”)</w:t>
      </w:r>
      <w:r w:rsidRPr="00A14C49">
        <w:rPr>
          <w:color w:val="auto"/>
          <w:sz w:val="20"/>
          <w:szCs w:val="20"/>
          <w:lang w:val="fr-FR"/>
        </w:rPr>
        <w:t>.</w:t>
      </w:r>
    </w:p>
    <w:p w:rsidR="00124277" w:rsidRPr="00A14C49" w:rsidRDefault="00124277" w:rsidP="00A14C49">
      <w:pPr>
        <w:pStyle w:val="Default"/>
        <w:jc w:val="both"/>
        <w:rPr>
          <w:color w:val="auto"/>
          <w:sz w:val="20"/>
          <w:szCs w:val="20"/>
          <w:lang w:val="fr-FR"/>
        </w:rPr>
      </w:pPr>
    </w:p>
    <w:p w:rsidR="00050DB5" w:rsidRPr="00A14C49" w:rsidRDefault="00A72B49" w:rsidP="00A14C49">
      <w:pPr>
        <w:pStyle w:val="Default"/>
        <w:jc w:val="both"/>
        <w:rPr>
          <w:color w:val="auto"/>
          <w:sz w:val="20"/>
          <w:szCs w:val="20"/>
          <w:lang w:val="fr-FR"/>
        </w:rPr>
      </w:pPr>
      <w:r w:rsidRPr="00A14C49">
        <w:rPr>
          <w:snapToGrid w:val="0"/>
          <w:color w:val="auto"/>
          <w:sz w:val="20"/>
          <w:szCs w:val="20"/>
          <w:lang w:val="fr-FR"/>
        </w:rPr>
        <w:fldChar w:fldCharType="begin"/>
      </w:r>
      <w:r w:rsidRPr="00A14C49">
        <w:rPr>
          <w:snapToGrid w:val="0"/>
          <w:color w:val="auto"/>
          <w:sz w:val="20"/>
          <w:szCs w:val="20"/>
          <w:lang w:val="fr-FR"/>
        </w:rPr>
        <w:instrText xml:space="preserve"> AUTONUM  </w:instrText>
      </w:r>
      <w:r w:rsidRPr="00A14C49">
        <w:rPr>
          <w:snapToGrid w:val="0"/>
          <w:color w:val="auto"/>
          <w:sz w:val="20"/>
          <w:szCs w:val="20"/>
          <w:lang w:val="fr-FR"/>
        </w:rPr>
        <w:fldChar w:fldCharType="end"/>
      </w:r>
      <w:r w:rsidRPr="00A14C49">
        <w:rPr>
          <w:snapToGrid w:val="0"/>
          <w:color w:val="auto"/>
          <w:sz w:val="20"/>
          <w:szCs w:val="20"/>
          <w:lang w:val="fr-FR"/>
        </w:rPr>
        <w:tab/>
      </w:r>
      <w:r w:rsidR="00B253D5" w:rsidRPr="00A14C49">
        <w:rPr>
          <w:snapToGrid w:val="0"/>
          <w:color w:val="auto"/>
          <w:sz w:val="20"/>
          <w:szCs w:val="20"/>
          <w:lang w:val="fr-FR"/>
        </w:rPr>
        <w:t xml:space="preserve">Le TWC a suivi un exposé présenté par un expert de la Chine </w:t>
      </w:r>
      <w:r w:rsidR="00576DAC" w:rsidRPr="00A14C49">
        <w:rPr>
          <w:snapToGrid w:val="0"/>
          <w:color w:val="auto"/>
          <w:sz w:val="20"/>
          <w:szCs w:val="20"/>
          <w:lang w:val="fr-FR"/>
        </w:rPr>
        <w:t>sur le thème de la</w:t>
      </w:r>
      <w:r w:rsidR="00B253D5" w:rsidRPr="00A14C49">
        <w:rPr>
          <w:snapToGrid w:val="0"/>
          <w:color w:val="auto"/>
          <w:sz w:val="20"/>
          <w:szCs w:val="20"/>
          <w:lang w:val="fr-FR"/>
        </w:rPr>
        <w:t xml:space="preserve"> </w:t>
      </w:r>
      <w:r w:rsidRPr="00A14C49">
        <w:rPr>
          <w:color w:val="auto"/>
          <w:sz w:val="20"/>
          <w:szCs w:val="20"/>
          <w:lang w:val="fr-FR"/>
        </w:rPr>
        <w:t>“</w:t>
      </w:r>
      <w:r w:rsidR="00B253D5" w:rsidRPr="00A14C49">
        <w:rPr>
          <w:snapToGrid w:val="0"/>
          <w:color w:val="auto"/>
          <w:sz w:val="20"/>
          <w:szCs w:val="20"/>
          <w:lang w:val="fr-FR"/>
        </w:rPr>
        <w:t>Variation des descriptions variétales au fil des ans en différents endroits</w:t>
      </w:r>
      <w:r w:rsidRPr="00A14C49">
        <w:rPr>
          <w:color w:val="auto"/>
          <w:sz w:val="20"/>
          <w:szCs w:val="20"/>
          <w:lang w:val="fr-FR"/>
        </w:rPr>
        <w:t xml:space="preserve">”, </w:t>
      </w:r>
      <w:r w:rsidR="00B253D5" w:rsidRPr="00A14C49">
        <w:rPr>
          <w:color w:val="auto"/>
          <w:sz w:val="20"/>
          <w:szCs w:val="20"/>
          <w:lang w:val="fr-FR"/>
        </w:rPr>
        <w:t>qui figure à l</w:t>
      </w:r>
      <w:r w:rsidR="00050DB5" w:rsidRPr="00A14C49">
        <w:rPr>
          <w:color w:val="auto"/>
          <w:sz w:val="20"/>
          <w:szCs w:val="20"/>
          <w:lang w:val="fr-FR"/>
        </w:rPr>
        <w:t>’</w:t>
      </w:r>
      <w:r w:rsidR="00B253D5" w:rsidRPr="00A14C49">
        <w:rPr>
          <w:color w:val="auto"/>
          <w:sz w:val="20"/>
          <w:szCs w:val="20"/>
          <w:lang w:val="fr-FR"/>
        </w:rPr>
        <w:t>annexe</w:t>
      </w:r>
      <w:r w:rsidR="008A5357" w:rsidRPr="00A14C49">
        <w:rPr>
          <w:color w:val="auto"/>
          <w:sz w:val="20"/>
          <w:szCs w:val="20"/>
          <w:lang w:val="fr-FR"/>
        </w:rPr>
        <w:t> </w:t>
      </w:r>
      <w:r w:rsidR="00B253D5" w:rsidRPr="00A14C49">
        <w:rPr>
          <w:color w:val="auto"/>
          <w:sz w:val="20"/>
          <w:szCs w:val="20"/>
          <w:lang w:val="fr-FR"/>
        </w:rPr>
        <w:t>I du d</w:t>
      </w:r>
      <w:r w:rsidRPr="00A14C49">
        <w:rPr>
          <w:color w:val="auto"/>
          <w:sz w:val="20"/>
          <w:szCs w:val="20"/>
          <w:lang w:val="fr-FR"/>
        </w:rPr>
        <w:t xml:space="preserve">ocument TWC/32/6. </w:t>
      </w:r>
      <w:r w:rsidR="00050DB5" w:rsidRPr="00A14C49">
        <w:rPr>
          <w:color w:val="auto"/>
          <w:sz w:val="20"/>
          <w:szCs w:val="20"/>
          <w:lang w:val="fr-FR"/>
        </w:rPr>
        <w:t xml:space="preserve"> Le TWC</w:t>
      </w:r>
      <w:r w:rsidR="00B253D5" w:rsidRPr="00A14C49">
        <w:rPr>
          <w:color w:val="auto"/>
          <w:sz w:val="20"/>
          <w:szCs w:val="20"/>
          <w:lang w:val="fr-FR"/>
        </w:rPr>
        <w:t xml:space="preserve"> est convenu que les informations fournies étaient utiles pour démontrer la robustesse de certains caractères et pour définir les caractères de groupement.</w:t>
      </w:r>
      <w:r w:rsidRPr="00A14C49">
        <w:rPr>
          <w:color w:val="auto"/>
          <w:sz w:val="20"/>
          <w:szCs w:val="20"/>
          <w:lang w:val="fr-FR"/>
        </w:rPr>
        <w:t xml:space="preserve"> </w:t>
      </w:r>
      <w:r w:rsidR="00050DB5" w:rsidRPr="00A14C49">
        <w:rPr>
          <w:color w:val="auto"/>
          <w:sz w:val="20"/>
          <w:szCs w:val="20"/>
          <w:lang w:val="fr-FR"/>
        </w:rPr>
        <w:t xml:space="preserve"> Le TWC</w:t>
      </w:r>
      <w:r w:rsidR="00B253D5" w:rsidRPr="00A14C49">
        <w:rPr>
          <w:color w:val="auto"/>
          <w:sz w:val="20"/>
          <w:szCs w:val="20"/>
          <w:lang w:val="fr-FR"/>
        </w:rPr>
        <w:t xml:space="preserve"> est convenu que cet exposé devrait être mis à la disposition</w:t>
      </w:r>
      <w:r w:rsidR="00050DB5" w:rsidRPr="00A14C49">
        <w:rPr>
          <w:color w:val="auto"/>
          <w:sz w:val="20"/>
          <w:szCs w:val="20"/>
          <w:lang w:val="fr-FR"/>
        </w:rPr>
        <w:t xml:space="preserve"> du TWA</w:t>
      </w:r>
      <w:r w:rsidR="00B253D5" w:rsidRPr="00A14C49">
        <w:rPr>
          <w:color w:val="auto"/>
          <w:sz w:val="20"/>
          <w:szCs w:val="20"/>
          <w:lang w:val="fr-FR"/>
        </w:rPr>
        <w:t xml:space="preserve"> (voir le paragraphe</w:t>
      </w:r>
      <w:r w:rsidR="008A5357" w:rsidRPr="00A14C49">
        <w:rPr>
          <w:color w:val="auto"/>
          <w:sz w:val="20"/>
          <w:szCs w:val="20"/>
          <w:lang w:val="fr-FR"/>
        </w:rPr>
        <w:t> </w:t>
      </w:r>
      <w:r w:rsidR="00B253D5" w:rsidRPr="00A14C49">
        <w:rPr>
          <w:color w:val="auto"/>
          <w:sz w:val="20"/>
          <w:szCs w:val="20"/>
          <w:lang w:val="fr-FR"/>
        </w:rPr>
        <w:t xml:space="preserve">80 du </w:t>
      </w:r>
      <w:r w:rsidR="002070BE" w:rsidRPr="00A14C49">
        <w:rPr>
          <w:color w:val="auto"/>
          <w:sz w:val="20"/>
          <w:szCs w:val="20"/>
          <w:lang w:val="fr-FR"/>
        </w:rPr>
        <w:t>document TWC/32/28 “Report”)</w:t>
      </w:r>
      <w:r w:rsidRPr="00A14C49">
        <w:rPr>
          <w:color w:val="auto"/>
          <w:sz w:val="20"/>
          <w:szCs w:val="20"/>
          <w:lang w:val="fr-FR"/>
        </w:rPr>
        <w:t>.</w:t>
      </w:r>
    </w:p>
    <w:p w:rsidR="00124277" w:rsidRPr="00A14C49" w:rsidRDefault="00124277" w:rsidP="00A14C49">
      <w:pPr>
        <w:pStyle w:val="Default"/>
        <w:jc w:val="both"/>
        <w:rPr>
          <w:color w:val="auto"/>
          <w:sz w:val="20"/>
          <w:szCs w:val="20"/>
          <w:lang w:val="fr-FR"/>
        </w:rPr>
      </w:pPr>
    </w:p>
    <w:p w:rsidR="00050DB5" w:rsidRPr="00A14C49" w:rsidRDefault="00A72B49" w:rsidP="00A14C49">
      <w:pPr>
        <w:pStyle w:val="Default"/>
        <w:jc w:val="both"/>
        <w:rPr>
          <w:color w:val="auto"/>
          <w:sz w:val="20"/>
          <w:szCs w:val="20"/>
          <w:lang w:val="fr-FR"/>
        </w:rPr>
      </w:pPr>
      <w:r w:rsidRPr="00A14C49">
        <w:rPr>
          <w:snapToGrid w:val="0"/>
          <w:color w:val="auto"/>
          <w:sz w:val="20"/>
          <w:szCs w:val="20"/>
          <w:lang w:val="fr-FR"/>
        </w:rPr>
        <w:fldChar w:fldCharType="begin"/>
      </w:r>
      <w:r w:rsidRPr="00A14C49">
        <w:rPr>
          <w:snapToGrid w:val="0"/>
          <w:color w:val="auto"/>
          <w:sz w:val="20"/>
          <w:szCs w:val="20"/>
          <w:lang w:val="fr-FR"/>
        </w:rPr>
        <w:instrText xml:space="preserve"> AUTONUM  </w:instrText>
      </w:r>
      <w:r w:rsidRPr="00A14C49">
        <w:rPr>
          <w:snapToGrid w:val="0"/>
          <w:color w:val="auto"/>
          <w:sz w:val="20"/>
          <w:szCs w:val="20"/>
          <w:lang w:val="fr-FR"/>
        </w:rPr>
        <w:fldChar w:fldCharType="end"/>
      </w:r>
      <w:r w:rsidRPr="00A14C49">
        <w:rPr>
          <w:snapToGrid w:val="0"/>
          <w:color w:val="auto"/>
          <w:sz w:val="20"/>
          <w:szCs w:val="20"/>
          <w:lang w:val="fr-FR"/>
        </w:rPr>
        <w:tab/>
      </w:r>
      <w:r w:rsidR="00B253D5" w:rsidRPr="00A14C49">
        <w:rPr>
          <w:snapToGrid w:val="0"/>
          <w:color w:val="auto"/>
          <w:sz w:val="20"/>
          <w:szCs w:val="20"/>
          <w:lang w:val="fr-FR"/>
        </w:rPr>
        <w:t>Le</w:t>
      </w:r>
      <w:r w:rsidRPr="00A14C49">
        <w:rPr>
          <w:color w:val="auto"/>
          <w:sz w:val="20"/>
          <w:szCs w:val="20"/>
          <w:lang w:val="fr-FR"/>
        </w:rPr>
        <w:t xml:space="preserve"> TWC </w:t>
      </w:r>
      <w:r w:rsidR="00B253D5" w:rsidRPr="00A14C49">
        <w:rPr>
          <w:color w:val="auto"/>
          <w:sz w:val="20"/>
          <w:szCs w:val="20"/>
          <w:lang w:val="fr-FR"/>
        </w:rPr>
        <w:t>est convenu de demander aux experts de la Chine de présenter</w:t>
      </w:r>
      <w:r w:rsidR="00322768" w:rsidRPr="00A14C49">
        <w:rPr>
          <w:color w:val="auto"/>
          <w:sz w:val="20"/>
          <w:szCs w:val="20"/>
          <w:lang w:val="fr-FR"/>
        </w:rPr>
        <w:t>, à la trente</w:t>
      </w:r>
      <w:r w:rsidR="00542386" w:rsidRPr="00A14C49">
        <w:rPr>
          <w:color w:val="auto"/>
          <w:sz w:val="20"/>
          <w:szCs w:val="20"/>
          <w:lang w:val="fr-FR"/>
        </w:rPr>
        <w:noBreakHyphen/>
      </w:r>
      <w:r w:rsidR="00322768" w:rsidRPr="00A14C49">
        <w:rPr>
          <w:color w:val="auto"/>
          <w:sz w:val="20"/>
          <w:szCs w:val="20"/>
          <w:lang w:val="fr-FR"/>
        </w:rPr>
        <w:t>troisième</w:t>
      </w:r>
      <w:r w:rsidR="008A5357" w:rsidRPr="00A14C49">
        <w:rPr>
          <w:color w:val="auto"/>
          <w:sz w:val="20"/>
          <w:szCs w:val="20"/>
          <w:lang w:val="fr-FR"/>
        </w:rPr>
        <w:t> </w:t>
      </w:r>
      <w:r w:rsidR="00322768" w:rsidRPr="00A14C49">
        <w:rPr>
          <w:color w:val="auto"/>
          <w:sz w:val="20"/>
          <w:szCs w:val="20"/>
          <w:lang w:val="fr-FR"/>
        </w:rPr>
        <w:t>session</w:t>
      </w:r>
      <w:r w:rsidR="00050DB5" w:rsidRPr="00A14C49">
        <w:rPr>
          <w:color w:val="auto"/>
          <w:sz w:val="20"/>
          <w:szCs w:val="20"/>
          <w:lang w:val="fr-FR"/>
        </w:rPr>
        <w:t xml:space="preserve"> du TWC</w:t>
      </w:r>
      <w:r w:rsidR="00322768" w:rsidRPr="00A14C49">
        <w:rPr>
          <w:color w:val="auto"/>
          <w:sz w:val="20"/>
          <w:szCs w:val="20"/>
          <w:lang w:val="fr-FR"/>
        </w:rPr>
        <w:t>,</w:t>
      </w:r>
      <w:r w:rsidR="00B253D5" w:rsidRPr="00A14C49">
        <w:rPr>
          <w:color w:val="auto"/>
          <w:sz w:val="20"/>
          <w:szCs w:val="20"/>
          <w:lang w:val="fr-FR"/>
        </w:rPr>
        <w:t xml:space="preserve"> </w:t>
      </w:r>
      <w:r w:rsidR="00322768" w:rsidRPr="00A14C49">
        <w:rPr>
          <w:color w:val="auto"/>
          <w:sz w:val="20"/>
          <w:szCs w:val="20"/>
          <w:lang w:val="fr-FR"/>
        </w:rPr>
        <w:t xml:space="preserve">un exposé sur </w:t>
      </w:r>
      <w:r w:rsidR="00576DAC" w:rsidRPr="00A14C49">
        <w:rPr>
          <w:color w:val="auto"/>
          <w:sz w:val="20"/>
          <w:szCs w:val="20"/>
          <w:lang w:val="fr-FR"/>
        </w:rPr>
        <w:t>l</w:t>
      </w:r>
      <w:r w:rsidR="00050DB5" w:rsidRPr="00A14C49">
        <w:rPr>
          <w:color w:val="auto"/>
          <w:sz w:val="20"/>
          <w:szCs w:val="20"/>
          <w:lang w:val="fr-FR"/>
        </w:rPr>
        <w:t>’</w:t>
      </w:r>
      <w:r w:rsidR="00576DAC" w:rsidRPr="00A14C49">
        <w:rPr>
          <w:color w:val="auto"/>
          <w:sz w:val="20"/>
          <w:szCs w:val="20"/>
          <w:lang w:val="fr-FR"/>
        </w:rPr>
        <w:t>analyse de la variance due à l</w:t>
      </w:r>
      <w:r w:rsidR="00050DB5" w:rsidRPr="00A14C49">
        <w:rPr>
          <w:color w:val="auto"/>
          <w:sz w:val="20"/>
          <w:szCs w:val="20"/>
          <w:lang w:val="fr-FR"/>
        </w:rPr>
        <w:t>’</w:t>
      </w:r>
      <w:r w:rsidR="00576DAC" w:rsidRPr="00A14C49">
        <w:rPr>
          <w:color w:val="auto"/>
          <w:sz w:val="20"/>
          <w:szCs w:val="20"/>
          <w:lang w:val="fr-FR"/>
        </w:rPr>
        <w:t>interaction</w:t>
      </w:r>
      <w:r w:rsidRPr="00A14C49">
        <w:rPr>
          <w:color w:val="auto"/>
          <w:sz w:val="20"/>
          <w:szCs w:val="20"/>
          <w:lang w:val="fr-FR"/>
        </w:rPr>
        <w:t xml:space="preserve"> “</w:t>
      </w:r>
      <w:r w:rsidR="00576DAC" w:rsidRPr="00A14C49">
        <w:rPr>
          <w:color w:val="auto"/>
          <w:sz w:val="20"/>
          <w:szCs w:val="20"/>
          <w:lang w:val="fr-FR"/>
        </w:rPr>
        <w:t>variété</w:t>
      </w:r>
      <w:r w:rsidRPr="00A14C49">
        <w:rPr>
          <w:color w:val="auto"/>
          <w:sz w:val="20"/>
          <w:szCs w:val="20"/>
          <w:lang w:val="fr-FR"/>
        </w:rPr>
        <w:t xml:space="preserve"> x </w:t>
      </w:r>
      <w:r w:rsidR="00576DAC" w:rsidRPr="00A14C49">
        <w:rPr>
          <w:color w:val="auto"/>
          <w:sz w:val="20"/>
          <w:szCs w:val="20"/>
          <w:lang w:val="fr-FR"/>
        </w:rPr>
        <w:t>site</w:t>
      </w:r>
      <w:r w:rsidRPr="00A14C49">
        <w:rPr>
          <w:color w:val="auto"/>
          <w:sz w:val="20"/>
          <w:szCs w:val="20"/>
          <w:lang w:val="fr-FR"/>
        </w:rPr>
        <w:t>” (environ</w:t>
      </w:r>
      <w:r w:rsidR="00576DAC" w:rsidRPr="00A14C49">
        <w:rPr>
          <w:color w:val="auto"/>
          <w:sz w:val="20"/>
          <w:szCs w:val="20"/>
          <w:lang w:val="fr-FR"/>
        </w:rPr>
        <w:t>ne</w:t>
      </w:r>
      <w:r w:rsidRPr="00A14C49">
        <w:rPr>
          <w:color w:val="auto"/>
          <w:sz w:val="20"/>
          <w:szCs w:val="20"/>
          <w:lang w:val="fr-FR"/>
        </w:rPr>
        <w:t xml:space="preserve">ment) </w:t>
      </w:r>
      <w:r w:rsidR="00576DAC" w:rsidRPr="00A14C49">
        <w:rPr>
          <w:color w:val="auto"/>
          <w:sz w:val="20"/>
          <w:szCs w:val="20"/>
          <w:lang w:val="fr-FR"/>
        </w:rPr>
        <w:t>des caractères QN</w:t>
      </w:r>
      <w:r w:rsidR="00322768" w:rsidRPr="00A14C49">
        <w:rPr>
          <w:color w:val="auto"/>
          <w:sz w:val="20"/>
          <w:szCs w:val="20"/>
          <w:lang w:val="fr-FR"/>
        </w:rPr>
        <w:t>,</w:t>
      </w:r>
      <w:r w:rsidR="00576DAC" w:rsidRPr="00A14C49">
        <w:rPr>
          <w:color w:val="auto"/>
          <w:sz w:val="20"/>
          <w:szCs w:val="20"/>
          <w:lang w:val="fr-FR"/>
        </w:rPr>
        <w:t xml:space="preserve"> </w:t>
      </w:r>
      <w:r w:rsidR="00C81285" w:rsidRPr="00A14C49">
        <w:rPr>
          <w:color w:val="auto"/>
          <w:sz w:val="20"/>
          <w:szCs w:val="20"/>
          <w:lang w:val="fr-FR"/>
        </w:rPr>
        <w:t>dont il est question</w:t>
      </w:r>
      <w:r w:rsidR="00576DAC" w:rsidRPr="00A14C49">
        <w:rPr>
          <w:color w:val="auto"/>
          <w:sz w:val="20"/>
          <w:szCs w:val="20"/>
          <w:lang w:val="fr-FR"/>
        </w:rPr>
        <w:t xml:space="preserve"> dans l</w:t>
      </w:r>
      <w:r w:rsidR="00050DB5" w:rsidRPr="00A14C49">
        <w:rPr>
          <w:color w:val="auto"/>
          <w:sz w:val="20"/>
          <w:szCs w:val="20"/>
          <w:lang w:val="fr-FR"/>
        </w:rPr>
        <w:t>’</w:t>
      </w:r>
      <w:r w:rsidR="00576DAC" w:rsidRPr="00A14C49">
        <w:rPr>
          <w:color w:val="auto"/>
          <w:sz w:val="20"/>
          <w:szCs w:val="20"/>
          <w:lang w:val="fr-FR"/>
        </w:rPr>
        <w:t>étude</w:t>
      </w:r>
      <w:r w:rsidR="00322768" w:rsidRPr="00A14C49">
        <w:rPr>
          <w:color w:val="auto"/>
          <w:sz w:val="20"/>
          <w:szCs w:val="20"/>
          <w:lang w:val="fr-FR"/>
        </w:rPr>
        <w:t>,</w:t>
      </w:r>
      <w:r w:rsidR="00576DAC" w:rsidRPr="00A14C49">
        <w:rPr>
          <w:color w:val="auto"/>
          <w:sz w:val="20"/>
          <w:szCs w:val="20"/>
          <w:lang w:val="fr-FR"/>
        </w:rPr>
        <w:t xml:space="preserve"> au moyen du module statistique du nouveau logiciel </w:t>
      </w:r>
      <w:r w:rsidRPr="00A14C49">
        <w:rPr>
          <w:color w:val="auto"/>
          <w:sz w:val="20"/>
          <w:szCs w:val="20"/>
          <w:lang w:val="fr-FR"/>
        </w:rPr>
        <w:t xml:space="preserve">“DUSTC” </w:t>
      </w:r>
      <w:r w:rsidR="00C81285" w:rsidRPr="00A14C49">
        <w:rPr>
          <w:color w:val="auto"/>
          <w:sz w:val="20"/>
          <w:szCs w:val="20"/>
          <w:lang w:val="fr-FR"/>
        </w:rPr>
        <w:t>développé</w:t>
      </w:r>
      <w:r w:rsidR="00576DAC" w:rsidRPr="00A14C49">
        <w:rPr>
          <w:color w:val="auto"/>
          <w:sz w:val="20"/>
          <w:szCs w:val="20"/>
          <w:lang w:val="fr-FR"/>
        </w:rPr>
        <w:t xml:space="preserve"> par la Chine</w:t>
      </w:r>
      <w:r w:rsidR="00C81285" w:rsidRPr="00A14C49">
        <w:rPr>
          <w:color w:val="auto"/>
          <w:sz w:val="20"/>
          <w:szCs w:val="20"/>
          <w:lang w:val="fr-FR"/>
        </w:rPr>
        <w:t xml:space="preserve"> </w:t>
      </w:r>
      <w:r w:rsidR="002070BE" w:rsidRPr="00A14C49">
        <w:rPr>
          <w:color w:val="auto"/>
          <w:sz w:val="20"/>
          <w:szCs w:val="20"/>
          <w:lang w:val="fr-FR"/>
        </w:rPr>
        <w:t>(</w:t>
      </w:r>
      <w:r w:rsidR="00576DAC" w:rsidRPr="00A14C49">
        <w:rPr>
          <w:color w:val="auto"/>
          <w:sz w:val="20"/>
          <w:szCs w:val="20"/>
          <w:lang w:val="fr-FR"/>
        </w:rPr>
        <w:t>voir le paragraphe</w:t>
      </w:r>
      <w:r w:rsidR="008A5357" w:rsidRPr="00A14C49">
        <w:rPr>
          <w:color w:val="auto"/>
          <w:sz w:val="20"/>
          <w:szCs w:val="20"/>
          <w:lang w:val="fr-FR"/>
        </w:rPr>
        <w:t> </w:t>
      </w:r>
      <w:r w:rsidR="00576DAC" w:rsidRPr="00A14C49">
        <w:rPr>
          <w:color w:val="auto"/>
          <w:sz w:val="20"/>
          <w:szCs w:val="20"/>
          <w:lang w:val="fr-FR"/>
        </w:rPr>
        <w:t>81 du document TWC/32/28 “Report”</w:t>
      </w:r>
      <w:r w:rsidR="002070BE" w:rsidRPr="00A14C49">
        <w:rPr>
          <w:color w:val="auto"/>
          <w:sz w:val="20"/>
          <w:szCs w:val="20"/>
          <w:lang w:val="fr-FR"/>
        </w:rPr>
        <w:t>)</w:t>
      </w:r>
      <w:r w:rsidRPr="00A14C49">
        <w:rPr>
          <w:color w:val="auto"/>
          <w:sz w:val="20"/>
          <w:szCs w:val="20"/>
          <w:lang w:val="fr-FR"/>
        </w:rPr>
        <w:t>.</w:t>
      </w:r>
    </w:p>
    <w:p w:rsidR="00124277" w:rsidRPr="00A14C49" w:rsidRDefault="00124277" w:rsidP="00A14C49">
      <w:pPr>
        <w:pStyle w:val="Default"/>
        <w:jc w:val="both"/>
        <w:rPr>
          <w:color w:val="auto"/>
          <w:sz w:val="20"/>
          <w:szCs w:val="20"/>
          <w:lang w:val="fr-FR"/>
        </w:rPr>
      </w:pPr>
    </w:p>
    <w:p w:rsidR="00124277" w:rsidRPr="00A14C49" w:rsidRDefault="00A72B49" w:rsidP="00A14C49">
      <w:pPr>
        <w:pStyle w:val="Default"/>
        <w:jc w:val="both"/>
        <w:rPr>
          <w:color w:val="auto"/>
          <w:sz w:val="20"/>
          <w:szCs w:val="20"/>
          <w:lang w:val="fr-FR"/>
        </w:rPr>
      </w:pPr>
      <w:r w:rsidRPr="00A14C49">
        <w:rPr>
          <w:snapToGrid w:val="0"/>
          <w:color w:val="auto"/>
          <w:sz w:val="20"/>
          <w:szCs w:val="20"/>
          <w:lang w:val="fr-FR"/>
        </w:rPr>
        <w:fldChar w:fldCharType="begin"/>
      </w:r>
      <w:r w:rsidRPr="00A14C49">
        <w:rPr>
          <w:snapToGrid w:val="0"/>
          <w:color w:val="auto"/>
          <w:sz w:val="20"/>
          <w:szCs w:val="20"/>
          <w:lang w:val="fr-FR"/>
        </w:rPr>
        <w:instrText xml:space="preserve"> AUTONUM  </w:instrText>
      </w:r>
      <w:r w:rsidRPr="00A14C49">
        <w:rPr>
          <w:snapToGrid w:val="0"/>
          <w:color w:val="auto"/>
          <w:sz w:val="20"/>
          <w:szCs w:val="20"/>
          <w:lang w:val="fr-FR"/>
        </w:rPr>
        <w:fldChar w:fldCharType="end"/>
      </w:r>
      <w:r w:rsidRPr="00A14C49">
        <w:rPr>
          <w:snapToGrid w:val="0"/>
          <w:color w:val="auto"/>
          <w:sz w:val="20"/>
          <w:szCs w:val="20"/>
          <w:lang w:val="fr-FR"/>
        </w:rPr>
        <w:tab/>
      </w:r>
      <w:r w:rsidR="00576DAC" w:rsidRPr="00A14C49">
        <w:rPr>
          <w:snapToGrid w:val="0"/>
          <w:color w:val="auto"/>
          <w:sz w:val="20"/>
          <w:szCs w:val="20"/>
          <w:lang w:val="fr-FR"/>
        </w:rPr>
        <w:t>Le</w:t>
      </w:r>
      <w:r w:rsidRPr="00A14C49">
        <w:rPr>
          <w:color w:val="auto"/>
          <w:sz w:val="20"/>
          <w:szCs w:val="20"/>
          <w:lang w:val="fr-FR"/>
        </w:rPr>
        <w:t xml:space="preserve"> TWC </w:t>
      </w:r>
      <w:r w:rsidR="00576DAC" w:rsidRPr="00A14C49">
        <w:rPr>
          <w:color w:val="auto"/>
          <w:sz w:val="20"/>
          <w:szCs w:val="20"/>
          <w:lang w:val="fr-FR"/>
        </w:rPr>
        <w:t xml:space="preserve">a suivi un exposé présenté par la Chine sur le thème des </w:t>
      </w:r>
      <w:r w:rsidRPr="00A14C49">
        <w:rPr>
          <w:color w:val="auto"/>
          <w:sz w:val="20"/>
          <w:szCs w:val="20"/>
          <w:lang w:val="fr-FR"/>
        </w:rPr>
        <w:t>“</w:t>
      </w:r>
      <w:r w:rsidR="00576DAC" w:rsidRPr="00A14C49">
        <w:rPr>
          <w:color w:val="auto"/>
          <w:sz w:val="20"/>
          <w:szCs w:val="20"/>
          <w:lang w:val="fr-FR"/>
        </w:rPr>
        <w:t>Bases de données sur la protection des obtentions végétales en Chine</w:t>
      </w:r>
      <w:r w:rsidR="00542386" w:rsidRPr="00A14C49">
        <w:rPr>
          <w:color w:val="auto"/>
          <w:sz w:val="20"/>
          <w:szCs w:val="20"/>
          <w:lang w:val="fr-FR"/>
        </w:rPr>
        <w:t>”</w:t>
      </w:r>
      <w:r w:rsidRPr="00A14C49">
        <w:rPr>
          <w:color w:val="auto"/>
          <w:sz w:val="20"/>
          <w:szCs w:val="20"/>
          <w:lang w:val="fr-FR"/>
        </w:rPr>
        <w:t xml:space="preserve">, </w:t>
      </w:r>
      <w:r w:rsidR="00576DAC" w:rsidRPr="00A14C49">
        <w:rPr>
          <w:color w:val="auto"/>
          <w:sz w:val="20"/>
          <w:szCs w:val="20"/>
          <w:lang w:val="fr-FR"/>
        </w:rPr>
        <w:t>qui figure à l</w:t>
      </w:r>
      <w:r w:rsidR="00050DB5" w:rsidRPr="00A14C49">
        <w:rPr>
          <w:color w:val="auto"/>
          <w:sz w:val="20"/>
          <w:szCs w:val="20"/>
          <w:lang w:val="fr-FR"/>
        </w:rPr>
        <w:t>’</w:t>
      </w:r>
      <w:r w:rsidR="00576DAC" w:rsidRPr="00A14C49">
        <w:rPr>
          <w:color w:val="auto"/>
          <w:sz w:val="20"/>
          <w:szCs w:val="20"/>
          <w:lang w:val="fr-FR"/>
        </w:rPr>
        <w:t>annexe</w:t>
      </w:r>
      <w:r w:rsidR="008A5357" w:rsidRPr="00A14C49">
        <w:rPr>
          <w:color w:val="auto"/>
          <w:sz w:val="20"/>
          <w:szCs w:val="20"/>
          <w:lang w:val="fr-FR"/>
        </w:rPr>
        <w:t> </w:t>
      </w:r>
      <w:r w:rsidR="00576DAC" w:rsidRPr="00A14C49">
        <w:rPr>
          <w:color w:val="auto"/>
          <w:sz w:val="20"/>
          <w:szCs w:val="20"/>
          <w:lang w:val="fr-FR"/>
        </w:rPr>
        <w:t xml:space="preserve">II du </w:t>
      </w:r>
      <w:r w:rsidRPr="00A14C49">
        <w:rPr>
          <w:color w:val="auto"/>
          <w:sz w:val="20"/>
          <w:szCs w:val="20"/>
          <w:lang w:val="fr-FR"/>
        </w:rPr>
        <w:t xml:space="preserve">document TWC/32/6. </w:t>
      </w:r>
      <w:r w:rsidR="00050DB5" w:rsidRPr="00A14C49">
        <w:rPr>
          <w:color w:val="auto"/>
          <w:sz w:val="20"/>
          <w:szCs w:val="20"/>
          <w:lang w:val="fr-FR"/>
        </w:rPr>
        <w:t xml:space="preserve"> Le TWC</w:t>
      </w:r>
      <w:r w:rsidRPr="00A14C49">
        <w:rPr>
          <w:color w:val="auto"/>
          <w:sz w:val="20"/>
          <w:szCs w:val="20"/>
          <w:lang w:val="fr-FR"/>
        </w:rPr>
        <w:t xml:space="preserve"> </w:t>
      </w:r>
      <w:r w:rsidR="00576DAC" w:rsidRPr="00A14C49">
        <w:rPr>
          <w:color w:val="auto"/>
          <w:sz w:val="20"/>
          <w:szCs w:val="20"/>
          <w:lang w:val="fr-FR"/>
        </w:rPr>
        <w:t>a noté que le nouveau logiciel comprenait des modules pour la gestion des demandes, les bases de données sur les descriptions variétales, l</w:t>
      </w:r>
      <w:r w:rsidR="00050DB5" w:rsidRPr="00A14C49">
        <w:rPr>
          <w:color w:val="auto"/>
          <w:sz w:val="20"/>
          <w:szCs w:val="20"/>
          <w:lang w:val="fr-FR"/>
        </w:rPr>
        <w:t>’</w:t>
      </w:r>
      <w:r w:rsidR="00576DAC" w:rsidRPr="00A14C49">
        <w:rPr>
          <w:color w:val="auto"/>
          <w:sz w:val="20"/>
          <w:szCs w:val="20"/>
          <w:lang w:val="fr-FR"/>
        </w:rPr>
        <w:t>analyse des données et l</w:t>
      </w:r>
      <w:r w:rsidR="00050DB5" w:rsidRPr="00A14C49">
        <w:rPr>
          <w:color w:val="auto"/>
          <w:sz w:val="20"/>
          <w:szCs w:val="20"/>
          <w:lang w:val="fr-FR"/>
        </w:rPr>
        <w:t>’</w:t>
      </w:r>
      <w:r w:rsidR="00576DAC" w:rsidRPr="00A14C49">
        <w:rPr>
          <w:color w:val="auto"/>
          <w:sz w:val="20"/>
          <w:szCs w:val="20"/>
          <w:lang w:val="fr-FR"/>
        </w:rPr>
        <w:t>analyse d</w:t>
      </w:r>
      <w:r w:rsidR="00050DB5" w:rsidRPr="00A14C49">
        <w:rPr>
          <w:color w:val="auto"/>
          <w:sz w:val="20"/>
          <w:szCs w:val="20"/>
          <w:lang w:val="fr-FR"/>
        </w:rPr>
        <w:t>’</w:t>
      </w:r>
      <w:r w:rsidR="00576DAC" w:rsidRPr="00A14C49">
        <w:rPr>
          <w:color w:val="auto"/>
          <w:sz w:val="20"/>
          <w:szCs w:val="20"/>
          <w:lang w:val="fr-FR"/>
        </w:rPr>
        <w:t>images</w:t>
      </w:r>
      <w:r w:rsidRPr="00A14C49">
        <w:rPr>
          <w:color w:val="auto"/>
          <w:sz w:val="20"/>
          <w:szCs w:val="20"/>
          <w:lang w:val="fr-FR"/>
        </w:rPr>
        <w:t xml:space="preserve">. </w:t>
      </w:r>
      <w:r w:rsidR="00050DB5" w:rsidRPr="00A14C49">
        <w:rPr>
          <w:color w:val="auto"/>
          <w:sz w:val="20"/>
          <w:szCs w:val="20"/>
          <w:lang w:val="fr-FR"/>
        </w:rPr>
        <w:t xml:space="preserve"> Le TWC</w:t>
      </w:r>
      <w:r w:rsidR="00576DAC" w:rsidRPr="00A14C49">
        <w:rPr>
          <w:color w:val="auto"/>
          <w:sz w:val="20"/>
          <w:szCs w:val="20"/>
          <w:lang w:val="fr-FR"/>
        </w:rPr>
        <w:t xml:space="preserve"> est convenu de demander aux experts de la Chine de présenter un exposé sur les caractéristiques de ce logiciel, notamment en ce qui concerne l</w:t>
      </w:r>
      <w:r w:rsidR="00050DB5" w:rsidRPr="00A14C49">
        <w:rPr>
          <w:color w:val="auto"/>
          <w:sz w:val="20"/>
          <w:szCs w:val="20"/>
          <w:lang w:val="fr-FR"/>
        </w:rPr>
        <w:t>’</w:t>
      </w:r>
      <w:r w:rsidR="00576DAC" w:rsidRPr="00A14C49">
        <w:rPr>
          <w:color w:val="auto"/>
          <w:sz w:val="20"/>
          <w:szCs w:val="20"/>
          <w:lang w:val="fr-FR"/>
        </w:rPr>
        <w:t>analyse d</w:t>
      </w:r>
      <w:r w:rsidR="00050DB5" w:rsidRPr="00A14C49">
        <w:rPr>
          <w:color w:val="auto"/>
          <w:sz w:val="20"/>
          <w:szCs w:val="20"/>
          <w:lang w:val="fr-FR"/>
        </w:rPr>
        <w:t>’</w:t>
      </w:r>
      <w:r w:rsidR="00576DAC" w:rsidRPr="00A14C49">
        <w:rPr>
          <w:color w:val="auto"/>
          <w:sz w:val="20"/>
          <w:szCs w:val="20"/>
          <w:lang w:val="fr-FR"/>
        </w:rPr>
        <w:t>images</w:t>
      </w:r>
      <w:r w:rsidRPr="00A14C49">
        <w:rPr>
          <w:color w:val="auto"/>
          <w:sz w:val="20"/>
          <w:szCs w:val="20"/>
          <w:lang w:val="fr-FR"/>
        </w:rPr>
        <w:t xml:space="preserve">, </w:t>
      </w:r>
      <w:r w:rsidR="002F2DAE" w:rsidRPr="00A14C49">
        <w:rPr>
          <w:color w:val="auto"/>
          <w:sz w:val="20"/>
          <w:szCs w:val="20"/>
          <w:lang w:val="fr-FR"/>
        </w:rPr>
        <w:t>à la trente</w:t>
      </w:r>
      <w:r w:rsidR="00542386" w:rsidRPr="00A14C49">
        <w:rPr>
          <w:color w:val="auto"/>
          <w:sz w:val="20"/>
          <w:szCs w:val="20"/>
          <w:lang w:val="fr-FR"/>
        </w:rPr>
        <w:noBreakHyphen/>
      </w:r>
      <w:r w:rsidR="002F2DAE" w:rsidRPr="00A14C49">
        <w:rPr>
          <w:color w:val="auto"/>
          <w:sz w:val="20"/>
          <w:szCs w:val="20"/>
          <w:lang w:val="fr-FR"/>
        </w:rPr>
        <w:t>troisième</w:t>
      </w:r>
      <w:r w:rsidR="008A5357" w:rsidRPr="00A14C49">
        <w:rPr>
          <w:color w:val="auto"/>
          <w:sz w:val="20"/>
          <w:szCs w:val="20"/>
          <w:lang w:val="fr-FR"/>
        </w:rPr>
        <w:t> </w:t>
      </w:r>
      <w:r w:rsidR="002F2DAE" w:rsidRPr="00A14C49">
        <w:rPr>
          <w:color w:val="auto"/>
          <w:sz w:val="20"/>
          <w:szCs w:val="20"/>
          <w:lang w:val="fr-FR"/>
        </w:rPr>
        <w:t>session</w:t>
      </w:r>
      <w:r w:rsidR="00050DB5" w:rsidRPr="00A14C49">
        <w:rPr>
          <w:color w:val="auto"/>
          <w:sz w:val="20"/>
          <w:szCs w:val="20"/>
          <w:lang w:val="fr-FR"/>
        </w:rPr>
        <w:t xml:space="preserve"> du TWC</w:t>
      </w:r>
      <w:r w:rsidR="002070BE" w:rsidRPr="00A14C49">
        <w:rPr>
          <w:color w:val="auto"/>
          <w:sz w:val="20"/>
          <w:szCs w:val="20"/>
          <w:lang w:val="fr-FR"/>
        </w:rPr>
        <w:t xml:space="preserve"> (</w:t>
      </w:r>
      <w:r w:rsidR="002F2DAE" w:rsidRPr="00A14C49">
        <w:rPr>
          <w:color w:val="auto"/>
          <w:sz w:val="20"/>
          <w:szCs w:val="20"/>
          <w:lang w:val="fr-FR"/>
        </w:rPr>
        <w:t>voir le paragraphe</w:t>
      </w:r>
      <w:r w:rsidR="008A5357" w:rsidRPr="00A14C49">
        <w:rPr>
          <w:color w:val="auto"/>
          <w:sz w:val="20"/>
          <w:szCs w:val="20"/>
          <w:lang w:val="fr-FR"/>
        </w:rPr>
        <w:t> </w:t>
      </w:r>
      <w:r w:rsidR="002F2DAE" w:rsidRPr="00A14C49">
        <w:rPr>
          <w:color w:val="auto"/>
          <w:sz w:val="20"/>
          <w:szCs w:val="20"/>
          <w:lang w:val="fr-FR"/>
        </w:rPr>
        <w:t>82 du</w:t>
      </w:r>
      <w:r w:rsidR="002070BE" w:rsidRPr="00A14C49">
        <w:rPr>
          <w:color w:val="auto"/>
          <w:sz w:val="20"/>
          <w:szCs w:val="20"/>
          <w:lang w:val="fr-FR"/>
        </w:rPr>
        <w:t xml:space="preserve"> document TWC/32/28 “Report”)</w:t>
      </w:r>
      <w:r w:rsidRPr="00A14C49">
        <w:rPr>
          <w:color w:val="auto"/>
          <w:sz w:val="20"/>
          <w:szCs w:val="20"/>
          <w:lang w:val="fr-FR"/>
        </w:rPr>
        <w:t>.</w:t>
      </w:r>
    </w:p>
    <w:p w:rsidR="00124277" w:rsidRPr="00A14C49" w:rsidRDefault="00124277" w:rsidP="00A14C49">
      <w:pPr>
        <w:pStyle w:val="Default"/>
        <w:jc w:val="both"/>
        <w:rPr>
          <w:color w:val="auto"/>
          <w:sz w:val="20"/>
          <w:szCs w:val="20"/>
          <w:lang w:val="fr-FR"/>
        </w:rPr>
      </w:pPr>
    </w:p>
    <w:p w:rsidR="00C54121" w:rsidRDefault="002070BE" w:rsidP="00A14C49">
      <w:pPr>
        <w:autoSpaceDE w:val="0"/>
        <w:autoSpaceDN w:val="0"/>
        <w:adjustRightInd w:val="0"/>
        <w:rPr>
          <w:rFonts w:cs="Arial"/>
          <w:lang w:val="fr-FR"/>
        </w:rPr>
      </w:pPr>
      <w:r w:rsidRPr="00A14C49">
        <w:rPr>
          <w:snapToGrid w:val="0"/>
          <w:lang w:val="fr-FR"/>
        </w:rPr>
        <w:fldChar w:fldCharType="begin"/>
      </w:r>
      <w:r w:rsidRPr="00A14C49">
        <w:rPr>
          <w:snapToGrid w:val="0"/>
          <w:lang w:val="fr-FR"/>
        </w:rPr>
        <w:instrText xml:space="preserve"> AUTONUM  </w:instrText>
      </w:r>
      <w:r w:rsidRPr="00A14C49">
        <w:rPr>
          <w:snapToGrid w:val="0"/>
          <w:lang w:val="fr-FR"/>
        </w:rPr>
        <w:fldChar w:fldCharType="end"/>
      </w:r>
      <w:r w:rsidRPr="00A14C49">
        <w:rPr>
          <w:snapToGrid w:val="0"/>
          <w:lang w:val="fr-FR"/>
        </w:rPr>
        <w:tab/>
      </w:r>
      <w:r w:rsidR="002F2DAE" w:rsidRPr="00A14C49">
        <w:rPr>
          <w:snapToGrid w:val="0"/>
          <w:lang w:val="fr-FR"/>
        </w:rPr>
        <w:t>Le</w:t>
      </w:r>
      <w:r w:rsidRPr="00A14C49">
        <w:rPr>
          <w:rFonts w:cs="Arial"/>
          <w:lang w:val="fr-FR"/>
        </w:rPr>
        <w:t xml:space="preserve"> TWV </w:t>
      </w:r>
      <w:r w:rsidR="002F2DAE" w:rsidRPr="00A14C49">
        <w:rPr>
          <w:rFonts w:cs="Arial"/>
          <w:lang w:val="fr-FR"/>
        </w:rPr>
        <w:t>a pris note des observations formulées par les experts de l</w:t>
      </w:r>
      <w:r w:rsidR="00050DB5" w:rsidRPr="00A14C49">
        <w:rPr>
          <w:rFonts w:cs="Arial"/>
          <w:lang w:val="fr-FR"/>
        </w:rPr>
        <w:t>’</w:t>
      </w:r>
      <w:r w:rsidR="002F2DAE" w:rsidRPr="00A14C49">
        <w:rPr>
          <w:rFonts w:cs="Arial"/>
          <w:lang w:val="fr-FR"/>
        </w:rPr>
        <w:t xml:space="preserve">ISF et de la </w:t>
      </w:r>
      <w:proofErr w:type="spellStart"/>
      <w:r w:rsidR="002F2DAE" w:rsidRPr="00A14C49">
        <w:rPr>
          <w:rFonts w:cs="Arial"/>
          <w:lang w:val="fr-FR"/>
        </w:rPr>
        <w:t>European</w:t>
      </w:r>
      <w:proofErr w:type="spellEnd"/>
      <w:r w:rsidR="002F2DAE" w:rsidRPr="00A14C49">
        <w:rPr>
          <w:rFonts w:cs="Arial"/>
          <w:lang w:val="fr-FR"/>
        </w:rPr>
        <w:t xml:space="preserve"> </w:t>
      </w:r>
      <w:proofErr w:type="spellStart"/>
      <w:r w:rsidR="002F2DAE" w:rsidRPr="00A14C49">
        <w:rPr>
          <w:rFonts w:cs="Arial"/>
          <w:lang w:val="fr-FR"/>
        </w:rPr>
        <w:t>Seed</w:t>
      </w:r>
      <w:proofErr w:type="spellEnd"/>
      <w:r w:rsidR="002F2DAE" w:rsidRPr="00A14C49">
        <w:rPr>
          <w:rFonts w:cs="Arial"/>
          <w:lang w:val="fr-FR"/>
        </w:rPr>
        <w:t xml:space="preserve"> Association (ESA) selon lesquelles les descriptions variétales devraient être mises à disposition uniquement lorsqu</w:t>
      </w:r>
      <w:r w:rsidR="00050DB5" w:rsidRPr="00A14C49">
        <w:rPr>
          <w:rFonts w:cs="Arial"/>
          <w:lang w:val="fr-FR"/>
        </w:rPr>
        <w:t>’</w:t>
      </w:r>
      <w:r w:rsidR="002F2DAE" w:rsidRPr="00A14C49">
        <w:rPr>
          <w:rFonts w:cs="Arial"/>
          <w:lang w:val="fr-FR"/>
        </w:rPr>
        <w:t xml:space="preserve">il est question de variétés protégées et </w:t>
      </w:r>
      <w:r w:rsidR="00365FD1" w:rsidRPr="00A14C49">
        <w:rPr>
          <w:rFonts w:cs="Arial"/>
          <w:lang w:val="fr-FR"/>
        </w:rPr>
        <w:t xml:space="preserve">les </w:t>
      </w:r>
      <w:r w:rsidR="002F2DAE" w:rsidRPr="00A14C49">
        <w:rPr>
          <w:rFonts w:cs="Arial"/>
          <w:lang w:val="fr-FR"/>
        </w:rPr>
        <w:t>infor</w:t>
      </w:r>
      <w:r w:rsidR="00365FD1" w:rsidRPr="00A14C49">
        <w:rPr>
          <w:rFonts w:cs="Arial"/>
          <w:lang w:val="fr-FR"/>
        </w:rPr>
        <w:t>mations relatives aux lignées endogames ou parentales ne devraient pas être accessibles au public</w:t>
      </w:r>
      <w:r w:rsidRPr="00A14C49">
        <w:rPr>
          <w:lang w:val="fr-FR"/>
        </w:rPr>
        <w:t xml:space="preserve"> (</w:t>
      </w:r>
      <w:r w:rsidR="00365FD1" w:rsidRPr="00A14C49">
        <w:rPr>
          <w:lang w:val="fr-FR"/>
        </w:rPr>
        <w:t>voir le paragraphe</w:t>
      </w:r>
      <w:r w:rsidR="008A5357" w:rsidRPr="00A14C49">
        <w:rPr>
          <w:lang w:val="fr-FR"/>
        </w:rPr>
        <w:t> </w:t>
      </w:r>
      <w:r w:rsidR="00365FD1" w:rsidRPr="00A14C49">
        <w:rPr>
          <w:lang w:val="fr-FR"/>
        </w:rPr>
        <w:t>126 du</w:t>
      </w:r>
      <w:r w:rsidRPr="00A14C49">
        <w:rPr>
          <w:lang w:val="fr-FR"/>
        </w:rPr>
        <w:t xml:space="preserve"> document TWV/48/43 “Report”)</w:t>
      </w:r>
      <w:r w:rsidRPr="00A14C49">
        <w:rPr>
          <w:rFonts w:cs="Arial"/>
          <w:lang w:val="fr-FR"/>
        </w:rPr>
        <w:t>.</w:t>
      </w:r>
    </w:p>
    <w:p w:rsidR="00C54121" w:rsidRDefault="00C54121">
      <w:pPr>
        <w:jc w:val="left"/>
        <w:rPr>
          <w:rFonts w:cs="Arial"/>
          <w:lang w:val="fr-FR"/>
        </w:rPr>
      </w:pPr>
      <w:r>
        <w:rPr>
          <w:rFonts w:cs="Arial"/>
          <w:lang w:val="fr-FR"/>
        </w:rPr>
        <w:br w:type="page"/>
      </w:r>
    </w:p>
    <w:p w:rsidR="00124277" w:rsidRPr="00A14C49" w:rsidRDefault="00124277" w:rsidP="00A14C49">
      <w:pPr>
        <w:autoSpaceDE w:val="0"/>
        <w:autoSpaceDN w:val="0"/>
        <w:adjustRightInd w:val="0"/>
        <w:rPr>
          <w:lang w:val="fr-FR"/>
        </w:rPr>
      </w:pPr>
    </w:p>
    <w:p w:rsidR="00A90E4D" w:rsidRPr="00A90E4D" w:rsidRDefault="00A90E4D" w:rsidP="00A14C49">
      <w:pPr>
        <w:pStyle w:val="Default"/>
        <w:jc w:val="both"/>
        <w:rPr>
          <w:color w:val="auto"/>
          <w:sz w:val="20"/>
          <w:szCs w:val="20"/>
          <w:lang w:val="fr-FR"/>
        </w:rPr>
      </w:pPr>
    </w:p>
    <w:p w:rsidR="00124277" w:rsidRPr="00A14C49" w:rsidRDefault="00463504" w:rsidP="00A90E4D">
      <w:pPr>
        <w:pStyle w:val="DecisionParagraphs"/>
        <w:keepNext/>
        <w:keepLines/>
        <w:rPr>
          <w:rFonts w:cs="Arial"/>
          <w:lang w:val="fr-FR"/>
        </w:rPr>
      </w:pPr>
      <w:r w:rsidRPr="00A14C49">
        <w:rPr>
          <w:lang w:val="fr-FR"/>
        </w:rPr>
        <w:fldChar w:fldCharType="begin"/>
      </w:r>
      <w:r w:rsidRPr="00A14C49">
        <w:rPr>
          <w:lang w:val="fr-FR"/>
        </w:rPr>
        <w:instrText xml:space="preserve"> AUTONUM  </w:instrText>
      </w:r>
      <w:r w:rsidRPr="00A14C49">
        <w:rPr>
          <w:lang w:val="fr-FR"/>
        </w:rPr>
        <w:fldChar w:fldCharType="end"/>
      </w:r>
      <w:r w:rsidRPr="00A14C49">
        <w:rPr>
          <w:lang w:val="fr-FR"/>
        </w:rPr>
        <w:tab/>
      </w:r>
      <w:r w:rsidR="006F6F26" w:rsidRPr="00A14C49">
        <w:rPr>
          <w:rFonts w:cs="Arial"/>
          <w:lang w:val="fr-FR"/>
        </w:rPr>
        <w:t>Le</w:t>
      </w:r>
      <w:r w:rsidR="00050DB5" w:rsidRPr="00A14C49">
        <w:rPr>
          <w:rFonts w:cs="Arial"/>
          <w:lang w:val="fr-FR"/>
        </w:rPr>
        <w:t> TC</w:t>
      </w:r>
      <w:r w:rsidR="0080160A" w:rsidRPr="00A14C49">
        <w:rPr>
          <w:rFonts w:cs="Arial"/>
          <w:lang w:val="fr-FR"/>
        </w:rPr>
        <w:t xml:space="preserve"> </w:t>
      </w:r>
      <w:r w:rsidR="006F6F26" w:rsidRPr="00A14C49">
        <w:rPr>
          <w:rFonts w:cs="Arial"/>
          <w:lang w:val="fr-FR"/>
        </w:rPr>
        <w:t>est invité à prendre note des faits nouveaux concernant les bases de données sur les descriptions variétales, présentés dans le présent document, et en particulier, que</w:t>
      </w:r>
      <w:r w:rsidR="008A5357" w:rsidRPr="00A14C49">
        <w:rPr>
          <w:rFonts w:cs="Arial"/>
          <w:lang w:val="fr-FR"/>
        </w:rPr>
        <w:t> </w:t>
      </w:r>
      <w:r w:rsidR="006F6F26" w:rsidRPr="00A14C49">
        <w:rPr>
          <w:rFonts w:cs="Arial"/>
          <w:lang w:val="fr-FR"/>
        </w:rPr>
        <w:t>:</w:t>
      </w:r>
    </w:p>
    <w:p w:rsidR="00124277" w:rsidRPr="00A14C49" w:rsidRDefault="00124277" w:rsidP="00A90E4D">
      <w:pPr>
        <w:pStyle w:val="DecisionParagraphs"/>
        <w:keepNext/>
        <w:keepLines/>
        <w:tabs>
          <w:tab w:val="left" w:pos="6000"/>
        </w:tabs>
        <w:ind w:firstLine="567"/>
        <w:rPr>
          <w:rFonts w:cs="Arial"/>
          <w:snapToGrid w:val="0"/>
          <w:lang w:val="fr-FR"/>
        </w:rPr>
      </w:pPr>
    </w:p>
    <w:p w:rsidR="00124277" w:rsidRPr="00A14C49" w:rsidRDefault="006F6F26" w:rsidP="00A90E4D">
      <w:pPr>
        <w:pStyle w:val="DecisionParagraphs"/>
        <w:keepNext/>
        <w:keepLines/>
        <w:numPr>
          <w:ilvl w:val="0"/>
          <w:numId w:val="4"/>
        </w:numPr>
        <w:tabs>
          <w:tab w:val="left" w:pos="5954"/>
        </w:tabs>
        <w:ind w:left="4820" w:firstLine="567"/>
        <w:rPr>
          <w:rFonts w:cs="Arial"/>
          <w:lang w:val="fr-FR"/>
        </w:rPr>
      </w:pPr>
      <w:r w:rsidRPr="00A14C49">
        <w:rPr>
          <w:rFonts w:cs="Arial"/>
          <w:lang w:val="fr-FR"/>
        </w:rPr>
        <w:t xml:space="preserve">le </w:t>
      </w:r>
      <w:r w:rsidR="00CB1E90" w:rsidRPr="00A14C49">
        <w:rPr>
          <w:rFonts w:cs="Arial"/>
          <w:lang w:val="fr-FR"/>
        </w:rPr>
        <w:t xml:space="preserve">TWO </w:t>
      </w:r>
      <w:r w:rsidRPr="00A14C49">
        <w:rPr>
          <w:rFonts w:cs="Arial"/>
          <w:lang w:val="fr-FR"/>
        </w:rPr>
        <w:t>est convenu qu</w:t>
      </w:r>
      <w:r w:rsidR="00050DB5" w:rsidRPr="00A14C49">
        <w:rPr>
          <w:rFonts w:cs="Arial"/>
          <w:lang w:val="fr-FR"/>
        </w:rPr>
        <w:t>’</w:t>
      </w:r>
      <w:r w:rsidRPr="00A14C49">
        <w:rPr>
          <w:rFonts w:cs="Arial"/>
          <w:lang w:val="fr-FR"/>
        </w:rPr>
        <w:t>il ne serait pas approprié pour l</w:t>
      </w:r>
      <w:r w:rsidR="00050DB5" w:rsidRPr="00A14C49">
        <w:rPr>
          <w:rFonts w:cs="Arial"/>
          <w:lang w:val="fr-FR"/>
        </w:rPr>
        <w:t>’</w:t>
      </w:r>
      <w:r w:rsidRPr="00A14C49">
        <w:rPr>
          <w:rFonts w:cs="Arial"/>
          <w:lang w:val="fr-FR"/>
        </w:rPr>
        <w:t>heure d</w:t>
      </w:r>
      <w:r w:rsidR="00050DB5" w:rsidRPr="00A14C49">
        <w:rPr>
          <w:rFonts w:cs="Arial"/>
          <w:lang w:val="fr-FR"/>
        </w:rPr>
        <w:t>’</w:t>
      </w:r>
      <w:r w:rsidRPr="00A14C49">
        <w:rPr>
          <w:rFonts w:cs="Arial"/>
          <w:lang w:val="fr-FR"/>
        </w:rPr>
        <w:t>élaborer une base de données pour une espèce ornementale</w:t>
      </w:r>
      <w:r w:rsidR="00A90A95" w:rsidRPr="00A14C49">
        <w:rPr>
          <w:rFonts w:cs="Arial"/>
          <w:lang w:val="fr-FR"/>
        </w:rPr>
        <w:t>;</w:t>
      </w:r>
      <w:r w:rsidR="00DE01E5" w:rsidRPr="00A14C49">
        <w:rPr>
          <w:rFonts w:cs="Arial"/>
          <w:lang w:val="fr-FR"/>
        </w:rPr>
        <w:t xml:space="preserve"> </w:t>
      </w:r>
      <w:r w:rsidRPr="00A14C49">
        <w:rPr>
          <w:rFonts w:cs="Arial"/>
          <w:lang w:val="fr-FR"/>
        </w:rPr>
        <w:t>et</w:t>
      </w:r>
      <w:r w:rsidR="00A14C49" w:rsidRPr="00A14C49">
        <w:rPr>
          <w:rFonts w:cs="Arial"/>
          <w:lang w:val="fr-FR"/>
        </w:rPr>
        <w:t xml:space="preserve"> que</w:t>
      </w:r>
    </w:p>
    <w:p w:rsidR="00124277" w:rsidRPr="00A14C49" w:rsidRDefault="00124277" w:rsidP="00A14C49">
      <w:pPr>
        <w:pStyle w:val="DecisionParagraphs"/>
        <w:tabs>
          <w:tab w:val="left" w:pos="5954"/>
        </w:tabs>
        <w:ind w:firstLine="567"/>
        <w:rPr>
          <w:lang w:val="fr-FR"/>
        </w:rPr>
      </w:pPr>
    </w:p>
    <w:p w:rsidR="00124277" w:rsidRPr="00A14C49" w:rsidRDefault="006F6F26" w:rsidP="00A14C49">
      <w:pPr>
        <w:pStyle w:val="DecisionParagraphs"/>
        <w:numPr>
          <w:ilvl w:val="0"/>
          <w:numId w:val="4"/>
        </w:numPr>
        <w:tabs>
          <w:tab w:val="left" w:pos="5954"/>
        </w:tabs>
        <w:ind w:left="4820" w:firstLine="567"/>
        <w:rPr>
          <w:rFonts w:cs="Arial"/>
          <w:lang w:val="fr-FR"/>
        </w:rPr>
      </w:pPr>
      <w:r w:rsidRPr="00A14C49">
        <w:rPr>
          <w:lang w:val="fr-FR"/>
        </w:rPr>
        <w:t>le TWC a invité un expert de la Chine à présenter</w:t>
      </w:r>
      <w:r w:rsidR="00322768" w:rsidRPr="00A14C49">
        <w:rPr>
          <w:lang w:val="fr-FR"/>
        </w:rPr>
        <w:t>, à la trente</w:t>
      </w:r>
      <w:r w:rsidR="00542386" w:rsidRPr="00A14C49">
        <w:rPr>
          <w:lang w:val="fr-FR"/>
        </w:rPr>
        <w:noBreakHyphen/>
      </w:r>
      <w:r w:rsidR="00322768" w:rsidRPr="00A14C49">
        <w:rPr>
          <w:lang w:val="fr-FR"/>
        </w:rPr>
        <w:t>troisième</w:t>
      </w:r>
      <w:r w:rsidR="008A5357" w:rsidRPr="00A14C49">
        <w:rPr>
          <w:lang w:val="fr-FR"/>
        </w:rPr>
        <w:t> </w:t>
      </w:r>
      <w:r w:rsidR="00322768" w:rsidRPr="00A14C49">
        <w:rPr>
          <w:lang w:val="fr-FR"/>
        </w:rPr>
        <w:t>session</w:t>
      </w:r>
      <w:r w:rsidR="00050DB5" w:rsidRPr="00A14C49">
        <w:rPr>
          <w:lang w:val="fr-FR"/>
        </w:rPr>
        <w:t xml:space="preserve"> du TWC</w:t>
      </w:r>
      <w:r w:rsidR="00322768" w:rsidRPr="00A14C49">
        <w:rPr>
          <w:lang w:val="fr-FR"/>
        </w:rPr>
        <w:t>, un exposé sur</w:t>
      </w:r>
      <w:r w:rsidRPr="00A14C49">
        <w:rPr>
          <w:lang w:val="fr-FR"/>
        </w:rPr>
        <w:t xml:space="preserve"> l</w:t>
      </w:r>
      <w:r w:rsidR="00050DB5" w:rsidRPr="00A14C49">
        <w:rPr>
          <w:lang w:val="fr-FR"/>
        </w:rPr>
        <w:t>’</w:t>
      </w:r>
      <w:r w:rsidRPr="00A14C49">
        <w:rPr>
          <w:lang w:val="fr-FR"/>
        </w:rPr>
        <w:t xml:space="preserve">analyse de la variance </w:t>
      </w:r>
      <w:r w:rsidR="00C81285" w:rsidRPr="00A14C49">
        <w:rPr>
          <w:lang w:val="fr-FR"/>
        </w:rPr>
        <w:t>pour l</w:t>
      </w:r>
      <w:r w:rsidR="00050DB5" w:rsidRPr="00A14C49">
        <w:rPr>
          <w:lang w:val="fr-FR"/>
        </w:rPr>
        <w:t>’</w:t>
      </w:r>
      <w:r w:rsidRPr="00A14C49">
        <w:rPr>
          <w:lang w:val="fr-FR"/>
        </w:rPr>
        <w:t xml:space="preserve">interaction </w:t>
      </w:r>
      <w:r w:rsidR="00297D4D" w:rsidRPr="00A14C49">
        <w:rPr>
          <w:lang w:val="fr-FR"/>
        </w:rPr>
        <w:t>“</w:t>
      </w:r>
      <w:r w:rsidRPr="00A14C49">
        <w:rPr>
          <w:lang w:val="fr-FR"/>
        </w:rPr>
        <w:t>variété x site</w:t>
      </w:r>
      <w:r w:rsidR="00297D4D" w:rsidRPr="00A14C49">
        <w:rPr>
          <w:lang w:val="fr-FR"/>
        </w:rPr>
        <w:t>” (environ</w:t>
      </w:r>
      <w:r w:rsidRPr="00A14C49">
        <w:rPr>
          <w:lang w:val="fr-FR"/>
        </w:rPr>
        <w:t xml:space="preserve">nement) des caractères </w:t>
      </w:r>
      <w:r w:rsidR="00322768" w:rsidRPr="00A14C49">
        <w:rPr>
          <w:lang w:val="fr-FR"/>
        </w:rPr>
        <w:t xml:space="preserve">QN, </w:t>
      </w:r>
      <w:r w:rsidR="00C81285" w:rsidRPr="00A14C49">
        <w:rPr>
          <w:lang w:val="fr-FR"/>
        </w:rPr>
        <w:t>dont il est question dans</w:t>
      </w:r>
      <w:r w:rsidRPr="00A14C49">
        <w:rPr>
          <w:lang w:val="fr-FR"/>
        </w:rPr>
        <w:t xml:space="preserve"> l</w:t>
      </w:r>
      <w:r w:rsidR="00050DB5" w:rsidRPr="00A14C49">
        <w:rPr>
          <w:lang w:val="fr-FR"/>
        </w:rPr>
        <w:t>’</w:t>
      </w:r>
      <w:r w:rsidRPr="00A14C49">
        <w:rPr>
          <w:lang w:val="fr-FR"/>
        </w:rPr>
        <w:t>étude</w:t>
      </w:r>
      <w:r w:rsidR="00322768" w:rsidRPr="00A14C49">
        <w:rPr>
          <w:lang w:val="fr-FR"/>
        </w:rPr>
        <w:t>,</w:t>
      </w:r>
      <w:r w:rsidRPr="00A14C49">
        <w:rPr>
          <w:lang w:val="fr-FR"/>
        </w:rPr>
        <w:t xml:space="preserve"> au moyen du module statistique du nouveau logiciel</w:t>
      </w:r>
      <w:r w:rsidR="00297D4D" w:rsidRPr="00A14C49">
        <w:rPr>
          <w:lang w:val="fr-FR"/>
        </w:rPr>
        <w:t xml:space="preserve"> “DUSTC”</w:t>
      </w:r>
      <w:r w:rsidRPr="00A14C49">
        <w:rPr>
          <w:lang w:val="fr-FR"/>
        </w:rPr>
        <w:t xml:space="preserve"> </w:t>
      </w:r>
      <w:r w:rsidR="00C81285" w:rsidRPr="00A14C49">
        <w:rPr>
          <w:lang w:val="fr-FR"/>
        </w:rPr>
        <w:t xml:space="preserve">développé </w:t>
      </w:r>
      <w:r w:rsidRPr="00A14C49">
        <w:rPr>
          <w:lang w:val="fr-FR"/>
        </w:rPr>
        <w:t>par la Chine</w:t>
      </w:r>
      <w:r w:rsidR="00297D4D" w:rsidRPr="00A14C49">
        <w:rPr>
          <w:rFonts w:cs="Arial"/>
          <w:lang w:val="fr-FR"/>
        </w:rPr>
        <w:t>.</w:t>
      </w:r>
    </w:p>
    <w:p w:rsidR="00124277" w:rsidRPr="00A14C49" w:rsidRDefault="00124277" w:rsidP="00A14C49">
      <w:pPr>
        <w:jc w:val="right"/>
        <w:rPr>
          <w:rFonts w:cs="Arial"/>
          <w:snapToGrid w:val="0"/>
          <w:lang w:val="fr-FR"/>
        </w:rPr>
      </w:pPr>
    </w:p>
    <w:p w:rsidR="00124277" w:rsidRPr="00A14C49" w:rsidRDefault="00124277" w:rsidP="00A14C49">
      <w:pPr>
        <w:jc w:val="right"/>
        <w:rPr>
          <w:rFonts w:cs="Arial"/>
          <w:snapToGrid w:val="0"/>
          <w:lang w:val="fr-FR"/>
        </w:rPr>
      </w:pPr>
    </w:p>
    <w:p w:rsidR="00124277" w:rsidRPr="00A14C49" w:rsidRDefault="005936A0" w:rsidP="00A14C49">
      <w:pPr>
        <w:jc w:val="right"/>
        <w:rPr>
          <w:rFonts w:cs="Arial"/>
          <w:snapToGrid w:val="0"/>
          <w:lang w:val="fr-FR"/>
        </w:rPr>
      </w:pPr>
      <w:r w:rsidRPr="00A14C49">
        <w:rPr>
          <w:rFonts w:cs="Arial"/>
          <w:snapToGrid w:val="0"/>
          <w:lang w:val="fr-FR"/>
        </w:rPr>
        <w:t>[Fin du document]</w:t>
      </w:r>
    </w:p>
    <w:p w:rsidR="00124277" w:rsidRPr="00A14C49" w:rsidRDefault="00124277" w:rsidP="00A14C49">
      <w:pPr>
        <w:jc w:val="right"/>
        <w:rPr>
          <w:rFonts w:cs="Arial"/>
          <w:snapToGrid w:val="0"/>
          <w:lang w:val="fr-FR"/>
        </w:rPr>
      </w:pPr>
    </w:p>
    <w:p w:rsidR="00BE3B00" w:rsidRPr="00A14C49" w:rsidRDefault="00BE3B00" w:rsidP="00A14C49">
      <w:pPr>
        <w:jc w:val="right"/>
        <w:rPr>
          <w:rFonts w:cs="Arial"/>
          <w:snapToGrid w:val="0"/>
          <w:lang w:val="fr-FR"/>
        </w:rPr>
      </w:pPr>
    </w:p>
    <w:sectPr w:rsidR="00BE3B00" w:rsidRPr="00A14C49" w:rsidSect="00050DB5">
      <w:headerReference w:type="default" r:id="rId11"/>
      <w:pgSz w:w="11906" w:h="16838" w:code="9"/>
      <w:pgMar w:top="510" w:right="1134" w:bottom="1134" w:left="1134" w:header="51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F61" w:rsidRDefault="00C11F61" w:rsidP="006655D3">
      <w:r>
        <w:separator/>
      </w:r>
    </w:p>
    <w:p w:rsidR="00C11F61" w:rsidRDefault="00C11F61" w:rsidP="006655D3"/>
    <w:p w:rsidR="00C11F61" w:rsidRDefault="00C11F61" w:rsidP="006655D3"/>
  </w:endnote>
  <w:endnote w:type="continuationSeparator" w:id="0">
    <w:p w:rsidR="00C11F61" w:rsidRDefault="00C11F61" w:rsidP="006655D3">
      <w:r>
        <w:separator/>
      </w:r>
    </w:p>
    <w:p w:rsidR="00C11F61" w:rsidRPr="00C11F61" w:rsidRDefault="00C11F61">
      <w:pPr>
        <w:pStyle w:val="Footer"/>
        <w:spacing w:after="60"/>
        <w:rPr>
          <w:sz w:val="18"/>
          <w:lang w:val="fr-FR"/>
        </w:rPr>
      </w:pPr>
      <w:r w:rsidRPr="00C11F61">
        <w:rPr>
          <w:sz w:val="18"/>
          <w:lang w:val="fr-FR"/>
        </w:rPr>
        <w:t>[Suite de la note de la page précédente]</w:t>
      </w:r>
    </w:p>
    <w:p w:rsidR="00C11F61" w:rsidRPr="00C11F61" w:rsidRDefault="00C11F61" w:rsidP="006655D3">
      <w:pPr>
        <w:rPr>
          <w:lang w:val="fr-FR"/>
        </w:rPr>
      </w:pPr>
    </w:p>
    <w:p w:rsidR="00C11F61" w:rsidRPr="00C11F61" w:rsidRDefault="00C11F61" w:rsidP="006655D3">
      <w:pPr>
        <w:rPr>
          <w:lang w:val="fr-FR"/>
        </w:rPr>
      </w:pPr>
    </w:p>
  </w:endnote>
  <w:endnote w:type="continuationNotice" w:id="1">
    <w:p w:rsidR="00C11F61" w:rsidRPr="00C11F61" w:rsidRDefault="00C11F61" w:rsidP="006655D3">
      <w:pPr>
        <w:rPr>
          <w:lang w:val="fr-FR"/>
        </w:rPr>
      </w:pPr>
      <w:r w:rsidRPr="00C11F61">
        <w:rPr>
          <w:lang w:val="fr-FR"/>
        </w:rPr>
        <w:t>[Suite de la note page suivante]</w:t>
      </w:r>
    </w:p>
    <w:p w:rsidR="00C11F61" w:rsidRPr="00C11F61" w:rsidRDefault="00C11F61" w:rsidP="006655D3">
      <w:pPr>
        <w:rPr>
          <w:lang w:val="fr-FR"/>
        </w:rPr>
      </w:pPr>
    </w:p>
    <w:p w:rsidR="00C11F61" w:rsidRPr="00C11F61" w:rsidRDefault="00C11F6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F61" w:rsidRDefault="00C11F61" w:rsidP="006655D3">
      <w:r>
        <w:separator/>
      </w:r>
    </w:p>
  </w:footnote>
  <w:footnote w:type="continuationSeparator" w:id="0">
    <w:p w:rsidR="00C11F61" w:rsidRDefault="00C11F61" w:rsidP="006655D3">
      <w:r>
        <w:separator/>
      </w:r>
    </w:p>
  </w:footnote>
  <w:footnote w:type="continuationNotice" w:id="1">
    <w:p w:rsidR="00C11F61" w:rsidRPr="00AB530F" w:rsidRDefault="00C11F6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C49" w:rsidRPr="00024627" w:rsidRDefault="00F86C49" w:rsidP="00F86C49">
    <w:pPr>
      <w:pStyle w:val="Header"/>
      <w:rPr>
        <w:rStyle w:val="PageNumber"/>
      </w:rPr>
    </w:pPr>
    <w:r>
      <w:rPr>
        <w:rStyle w:val="PageNumber"/>
      </w:rPr>
      <w:t>TC/51/9</w:t>
    </w:r>
  </w:p>
  <w:p w:rsidR="00F86C49" w:rsidRPr="00024627" w:rsidRDefault="00F86C49" w:rsidP="00F86C49">
    <w:pPr>
      <w:pStyle w:val="Header"/>
    </w:pPr>
    <w:proofErr w:type="gramStart"/>
    <w:r w:rsidRPr="00024627">
      <w:t>page</w:t>
    </w:r>
    <w:proofErr w:type="gramEnd"/>
    <w:r w:rsidRPr="00024627">
      <w:t xml:space="preserve"> </w:t>
    </w:r>
    <w:r w:rsidRPr="00C5280D">
      <w:rPr>
        <w:rStyle w:val="PageNumber"/>
        <w:lang w:val="en-US"/>
      </w:rPr>
      <w:fldChar w:fldCharType="begin"/>
    </w:r>
    <w:r w:rsidRPr="00024627">
      <w:rPr>
        <w:rStyle w:val="PageNumber"/>
      </w:rPr>
      <w:instrText xml:space="preserve"> PAGE </w:instrText>
    </w:r>
    <w:r w:rsidRPr="00C5280D">
      <w:rPr>
        <w:rStyle w:val="PageNumber"/>
        <w:lang w:val="en-US"/>
      </w:rPr>
      <w:fldChar w:fldCharType="separate"/>
    </w:r>
    <w:r w:rsidR="00EF1DDD">
      <w:rPr>
        <w:rStyle w:val="PageNumber"/>
        <w:noProof/>
      </w:rPr>
      <w:t>6</w:t>
    </w:r>
    <w:r w:rsidRPr="00C5280D">
      <w:rPr>
        <w:rStyle w:val="PageNumber"/>
        <w:lang w:val="en-US"/>
      </w:rPr>
      <w:fldChar w:fldCharType="end"/>
    </w:r>
  </w:p>
  <w:p w:rsidR="00C11F61" w:rsidRPr="00C5280D" w:rsidRDefault="00C11F61" w:rsidP="00582A0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252E"/>
    <w:multiLevelType w:val="hybridMultilevel"/>
    <w:tmpl w:val="EE001B46"/>
    <w:lvl w:ilvl="0" w:tplc="BB2631FC">
      <w:start w:val="1"/>
      <w:numFmt w:val="lowerRoman"/>
      <w:lvlText w:val="%1."/>
      <w:lvlJc w:val="left"/>
      <w:pPr>
        <w:tabs>
          <w:tab w:val="num" w:pos="1701"/>
        </w:tabs>
        <w:ind w:left="1701"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57424"/>
    <w:multiLevelType w:val="hybridMultilevel"/>
    <w:tmpl w:val="ED383E26"/>
    <w:lvl w:ilvl="0" w:tplc="A798DE4E">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4B4723"/>
    <w:multiLevelType w:val="hybridMultilevel"/>
    <w:tmpl w:val="B6B01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E311773"/>
    <w:multiLevelType w:val="hybridMultilevel"/>
    <w:tmpl w:val="EB442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311C9B"/>
    <w:multiLevelType w:val="hybridMultilevel"/>
    <w:tmpl w:val="3FA61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73E97FF8"/>
    <w:multiLevelType w:val="hybridMultilevel"/>
    <w:tmpl w:val="36467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PreTradBeta|WIPONew|AT.WIPO"/>
    <w:docVar w:name="TermBaseURL" w:val="empty"/>
    <w:docVar w:name="TextBases" w:val="WorkspaceFTS\EN-FR\UPOV|UPOV\Meetings|UPOV\Other|UPOV\Publications|UPOV\Technical Guidelines|WorkspaceFTS\EN-FR\PCT|IP in General\Meetings|IP in General\Other"/>
    <w:docVar w:name="TextBaseURL" w:val="empty"/>
    <w:docVar w:name="UILng" w:val="en"/>
  </w:docVars>
  <w:rsids>
    <w:rsidRoot w:val="000B25B6"/>
    <w:rsid w:val="00010CF3"/>
    <w:rsid w:val="000112BF"/>
    <w:rsid w:val="00011E27"/>
    <w:rsid w:val="000148BC"/>
    <w:rsid w:val="00021DFC"/>
    <w:rsid w:val="000248EC"/>
    <w:rsid w:val="00024AB8"/>
    <w:rsid w:val="0002721C"/>
    <w:rsid w:val="000306DE"/>
    <w:rsid w:val="00030854"/>
    <w:rsid w:val="00033B49"/>
    <w:rsid w:val="00034088"/>
    <w:rsid w:val="00036028"/>
    <w:rsid w:val="000401FA"/>
    <w:rsid w:val="00044642"/>
    <w:rsid w:val="000446B9"/>
    <w:rsid w:val="00047E21"/>
    <w:rsid w:val="00050DB5"/>
    <w:rsid w:val="000708AB"/>
    <w:rsid w:val="000742C7"/>
    <w:rsid w:val="00074801"/>
    <w:rsid w:val="0008344F"/>
    <w:rsid w:val="00085505"/>
    <w:rsid w:val="00086B87"/>
    <w:rsid w:val="00091A2F"/>
    <w:rsid w:val="000951CA"/>
    <w:rsid w:val="000B25B6"/>
    <w:rsid w:val="000C7021"/>
    <w:rsid w:val="000D5A9E"/>
    <w:rsid w:val="000D6BBC"/>
    <w:rsid w:val="000D7780"/>
    <w:rsid w:val="000E18CC"/>
    <w:rsid w:val="000E1B9F"/>
    <w:rsid w:val="00105929"/>
    <w:rsid w:val="001131D5"/>
    <w:rsid w:val="001178AF"/>
    <w:rsid w:val="00120EC9"/>
    <w:rsid w:val="0012178B"/>
    <w:rsid w:val="00121794"/>
    <w:rsid w:val="00124277"/>
    <w:rsid w:val="00125B91"/>
    <w:rsid w:val="0012642F"/>
    <w:rsid w:val="0012731F"/>
    <w:rsid w:val="00136ED1"/>
    <w:rsid w:val="00140FA0"/>
    <w:rsid w:val="00141DB8"/>
    <w:rsid w:val="00142A8C"/>
    <w:rsid w:val="0017474A"/>
    <w:rsid w:val="001758C6"/>
    <w:rsid w:val="0018012E"/>
    <w:rsid w:val="001817FF"/>
    <w:rsid w:val="00182B99"/>
    <w:rsid w:val="00183C45"/>
    <w:rsid w:val="001855D0"/>
    <w:rsid w:val="001A5331"/>
    <w:rsid w:val="001A5F9C"/>
    <w:rsid w:val="001C1997"/>
    <w:rsid w:val="001C6250"/>
    <w:rsid w:val="001E3ECA"/>
    <w:rsid w:val="001F1526"/>
    <w:rsid w:val="001F1780"/>
    <w:rsid w:val="002070BE"/>
    <w:rsid w:val="0021332C"/>
    <w:rsid w:val="00213982"/>
    <w:rsid w:val="00221110"/>
    <w:rsid w:val="0022184C"/>
    <w:rsid w:val="00231751"/>
    <w:rsid w:val="002322FD"/>
    <w:rsid w:val="0023632D"/>
    <w:rsid w:val="00241AB1"/>
    <w:rsid w:val="0024416D"/>
    <w:rsid w:val="002514A9"/>
    <w:rsid w:val="00251D75"/>
    <w:rsid w:val="00255C98"/>
    <w:rsid w:val="00263C14"/>
    <w:rsid w:val="002800A0"/>
    <w:rsid w:val="002801B3"/>
    <w:rsid w:val="00281060"/>
    <w:rsid w:val="0028209C"/>
    <w:rsid w:val="002940E8"/>
    <w:rsid w:val="0029606D"/>
    <w:rsid w:val="00296C8F"/>
    <w:rsid w:val="00297D4D"/>
    <w:rsid w:val="002A6E50"/>
    <w:rsid w:val="002C22D1"/>
    <w:rsid w:val="002C256A"/>
    <w:rsid w:val="002E7D89"/>
    <w:rsid w:val="002E7F26"/>
    <w:rsid w:val="002F2DAE"/>
    <w:rsid w:val="00304A2E"/>
    <w:rsid w:val="00305A7F"/>
    <w:rsid w:val="00306895"/>
    <w:rsid w:val="003121C1"/>
    <w:rsid w:val="00314C69"/>
    <w:rsid w:val="003152FE"/>
    <w:rsid w:val="003205C8"/>
    <w:rsid w:val="00322768"/>
    <w:rsid w:val="00327436"/>
    <w:rsid w:val="00331E1A"/>
    <w:rsid w:val="0033402D"/>
    <w:rsid w:val="00335D88"/>
    <w:rsid w:val="003376E2"/>
    <w:rsid w:val="00342E69"/>
    <w:rsid w:val="00344BD6"/>
    <w:rsid w:val="003507AD"/>
    <w:rsid w:val="0035528D"/>
    <w:rsid w:val="00361821"/>
    <w:rsid w:val="00365FD1"/>
    <w:rsid w:val="003701EC"/>
    <w:rsid w:val="00370957"/>
    <w:rsid w:val="003753C2"/>
    <w:rsid w:val="00382590"/>
    <w:rsid w:val="00385A09"/>
    <w:rsid w:val="003960FF"/>
    <w:rsid w:val="003A26E6"/>
    <w:rsid w:val="003B241E"/>
    <w:rsid w:val="003C091E"/>
    <w:rsid w:val="003C2607"/>
    <w:rsid w:val="003C5AB1"/>
    <w:rsid w:val="003D227C"/>
    <w:rsid w:val="003D2B4D"/>
    <w:rsid w:val="003E3E8D"/>
    <w:rsid w:val="003E5755"/>
    <w:rsid w:val="003F16C6"/>
    <w:rsid w:val="00412122"/>
    <w:rsid w:val="00421219"/>
    <w:rsid w:val="004411AB"/>
    <w:rsid w:val="004415F8"/>
    <w:rsid w:val="00444A88"/>
    <w:rsid w:val="0045026F"/>
    <w:rsid w:val="00452675"/>
    <w:rsid w:val="004577CD"/>
    <w:rsid w:val="004612B0"/>
    <w:rsid w:val="00463504"/>
    <w:rsid w:val="00474DA4"/>
    <w:rsid w:val="00475CC4"/>
    <w:rsid w:val="00476B4D"/>
    <w:rsid w:val="004805FA"/>
    <w:rsid w:val="00480EF2"/>
    <w:rsid w:val="004926BA"/>
    <w:rsid w:val="004A5264"/>
    <w:rsid w:val="004A6605"/>
    <w:rsid w:val="004A6AB6"/>
    <w:rsid w:val="004B44C9"/>
    <w:rsid w:val="004C2EB5"/>
    <w:rsid w:val="004C77FC"/>
    <w:rsid w:val="004D047D"/>
    <w:rsid w:val="004D7EA4"/>
    <w:rsid w:val="004F305A"/>
    <w:rsid w:val="0050255F"/>
    <w:rsid w:val="00507C36"/>
    <w:rsid w:val="00510E3B"/>
    <w:rsid w:val="00512164"/>
    <w:rsid w:val="00520297"/>
    <w:rsid w:val="0052122D"/>
    <w:rsid w:val="005338F9"/>
    <w:rsid w:val="00536BB1"/>
    <w:rsid w:val="00542386"/>
    <w:rsid w:val="0054281C"/>
    <w:rsid w:val="00544BE7"/>
    <w:rsid w:val="0055268D"/>
    <w:rsid w:val="0056029A"/>
    <w:rsid w:val="0056074B"/>
    <w:rsid w:val="00576BE4"/>
    <w:rsid w:val="00576D2E"/>
    <w:rsid w:val="00576DAC"/>
    <w:rsid w:val="0057728F"/>
    <w:rsid w:val="00582A0F"/>
    <w:rsid w:val="005936A0"/>
    <w:rsid w:val="005A400A"/>
    <w:rsid w:val="005A4563"/>
    <w:rsid w:val="005C223C"/>
    <w:rsid w:val="005C5AD1"/>
    <w:rsid w:val="005D4363"/>
    <w:rsid w:val="005D713E"/>
    <w:rsid w:val="005F4828"/>
    <w:rsid w:val="00612379"/>
    <w:rsid w:val="0061555F"/>
    <w:rsid w:val="006354A8"/>
    <w:rsid w:val="00641200"/>
    <w:rsid w:val="006451EB"/>
    <w:rsid w:val="00647439"/>
    <w:rsid w:val="006560E9"/>
    <w:rsid w:val="006655D3"/>
    <w:rsid w:val="00667404"/>
    <w:rsid w:val="006778C2"/>
    <w:rsid w:val="00687EB4"/>
    <w:rsid w:val="00694231"/>
    <w:rsid w:val="006B17D2"/>
    <w:rsid w:val="006B6546"/>
    <w:rsid w:val="006C224E"/>
    <w:rsid w:val="006D1F36"/>
    <w:rsid w:val="006D780A"/>
    <w:rsid w:val="006F6F26"/>
    <w:rsid w:val="006F6FE8"/>
    <w:rsid w:val="00705103"/>
    <w:rsid w:val="00732DEC"/>
    <w:rsid w:val="00735BD5"/>
    <w:rsid w:val="0074096B"/>
    <w:rsid w:val="007425CE"/>
    <w:rsid w:val="00750A98"/>
    <w:rsid w:val="00751B7E"/>
    <w:rsid w:val="007556F6"/>
    <w:rsid w:val="007561A4"/>
    <w:rsid w:val="00760EEF"/>
    <w:rsid w:val="007642BE"/>
    <w:rsid w:val="00775830"/>
    <w:rsid w:val="00775CBB"/>
    <w:rsid w:val="00777EE5"/>
    <w:rsid w:val="007804D5"/>
    <w:rsid w:val="00784836"/>
    <w:rsid w:val="007855A6"/>
    <w:rsid w:val="0079023E"/>
    <w:rsid w:val="00797015"/>
    <w:rsid w:val="00797D46"/>
    <w:rsid w:val="007A2854"/>
    <w:rsid w:val="007A2D78"/>
    <w:rsid w:val="007B4152"/>
    <w:rsid w:val="007B7D0F"/>
    <w:rsid w:val="007C530E"/>
    <w:rsid w:val="007D0B9D"/>
    <w:rsid w:val="007D19B0"/>
    <w:rsid w:val="007E7EA0"/>
    <w:rsid w:val="007F3F35"/>
    <w:rsid w:val="007F443F"/>
    <w:rsid w:val="007F498F"/>
    <w:rsid w:val="008000FF"/>
    <w:rsid w:val="0080160A"/>
    <w:rsid w:val="008049B4"/>
    <w:rsid w:val="0080679D"/>
    <w:rsid w:val="008108B0"/>
    <w:rsid w:val="0081093E"/>
    <w:rsid w:val="00811B20"/>
    <w:rsid w:val="00813956"/>
    <w:rsid w:val="00820244"/>
    <w:rsid w:val="00820F32"/>
    <w:rsid w:val="0082296E"/>
    <w:rsid w:val="00824099"/>
    <w:rsid w:val="0082601A"/>
    <w:rsid w:val="0083157A"/>
    <w:rsid w:val="00844833"/>
    <w:rsid w:val="00860CA3"/>
    <w:rsid w:val="00867AC1"/>
    <w:rsid w:val="00874785"/>
    <w:rsid w:val="0088262A"/>
    <w:rsid w:val="0088642C"/>
    <w:rsid w:val="008A2E8F"/>
    <w:rsid w:val="008A5357"/>
    <w:rsid w:val="008A743F"/>
    <w:rsid w:val="008B36E0"/>
    <w:rsid w:val="008C0970"/>
    <w:rsid w:val="008C3DB2"/>
    <w:rsid w:val="008D159D"/>
    <w:rsid w:val="008D2CF7"/>
    <w:rsid w:val="008D2FC5"/>
    <w:rsid w:val="008E0366"/>
    <w:rsid w:val="008F0675"/>
    <w:rsid w:val="008F32A7"/>
    <w:rsid w:val="00900C26"/>
    <w:rsid w:val="0090113E"/>
    <w:rsid w:val="0090197F"/>
    <w:rsid w:val="0090418D"/>
    <w:rsid w:val="00906DDC"/>
    <w:rsid w:val="00912A17"/>
    <w:rsid w:val="009265D8"/>
    <w:rsid w:val="00934E09"/>
    <w:rsid w:val="00936253"/>
    <w:rsid w:val="00940911"/>
    <w:rsid w:val="00944EB7"/>
    <w:rsid w:val="00950B3F"/>
    <w:rsid w:val="00952BE0"/>
    <w:rsid w:val="00952DD4"/>
    <w:rsid w:val="0095428F"/>
    <w:rsid w:val="00970FED"/>
    <w:rsid w:val="00982FFC"/>
    <w:rsid w:val="00993C2A"/>
    <w:rsid w:val="0099501B"/>
    <w:rsid w:val="00995392"/>
    <w:rsid w:val="00997029"/>
    <w:rsid w:val="009A201F"/>
    <w:rsid w:val="009A4ADB"/>
    <w:rsid w:val="009A6FB9"/>
    <w:rsid w:val="009B0C01"/>
    <w:rsid w:val="009C0BBD"/>
    <w:rsid w:val="009D10A8"/>
    <w:rsid w:val="009D690D"/>
    <w:rsid w:val="009E3341"/>
    <w:rsid w:val="009E5B2E"/>
    <w:rsid w:val="009E65B6"/>
    <w:rsid w:val="009F6328"/>
    <w:rsid w:val="00A120B8"/>
    <w:rsid w:val="00A12806"/>
    <w:rsid w:val="00A13473"/>
    <w:rsid w:val="00A14C49"/>
    <w:rsid w:val="00A20155"/>
    <w:rsid w:val="00A241BD"/>
    <w:rsid w:val="00A24C10"/>
    <w:rsid w:val="00A24F70"/>
    <w:rsid w:val="00A344A7"/>
    <w:rsid w:val="00A34918"/>
    <w:rsid w:val="00A42AC3"/>
    <w:rsid w:val="00A430CF"/>
    <w:rsid w:val="00A51325"/>
    <w:rsid w:val="00A54309"/>
    <w:rsid w:val="00A6039C"/>
    <w:rsid w:val="00A6374D"/>
    <w:rsid w:val="00A70006"/>
    <w:rsid w:val="00A72B49"/>
    <w:rsid w:val="00A80F7D"/>
    <w:rsid w:val="00A906E5"/>
    <w:rsid w:val="00A906F6"/>
    <w:rsid w:val="00A90A95"/>
    <w:rsid w:val="00A90E4D"/>
    <w:rsid w:val="00A931CB"/>
    <w:rsid w:val="00A93F83"/>
    <w:rsid w:val="00A9630A"/>
    <w:rsid w:val="00AA0CA4"/>
    <w:rsid w:val="00AA1145"/>
    <w:rsid w:val="00AA1580"/>
    <w:rsid w:val="00AB2B93"/>
    <w:rsid w:val="00AB530F"/>
    <w:rsid w:val="00AB72A8"/>
    <w:rsid w:val="00AB7E5B"/>
    <w:rsid w:val="00AC655F"/>
    <w:rsid w:val="00AE0EF1"/>
    <w:rsid w:val="00AE0F41"/>
    <w:rsid w:val="00AE2937"/>
    <w:rsid w:val="00AE69FD"/>
    <w:rsid w:val="00AE7411"/>
    <w:rsid w:val="00AF0F4C"/>
    <w:rsid w:val="00AF7D9C"/>
    <w:rsid w:val="00B07301"/>
    <w:rsid w:val="00B1253C"/>
    <w:rsid w:val="00B13B31"/>
    <w:rsid w:val="00B224DE"/>
    <w:rsid w:val="00B253D5"/>
    <w:rsid w:val="00B41996"/>
    <w:rsid w:val="00B4225A"/>
    <w:rsid w:val="00B46575"/>
    <w:rsid w:val="00B531F1"/>
    <w:rsid w:val="00B56743"/>
    <w:rsid w:val="00B6608B"/>
    <w:rsid w:val="00B66389"/>
    <w:rsid w:val="00B677E0"/>
    <w:rsid w:val="00B84BBD"/>
    <w:rsid w:val="00B869A4"/>
    <w:rsid w:val="00B86D49"/>
    <w:rsid w:val="00B873C2"/>
    <w:rsid w:val="00BA2B95"/>
    <w:rsid w:val="00BA43FB"/>
    <w:rsid w:val="00BA5719"/>
    <w:rsid w:val="00BB5492"/>
    <w:rsid w:val="00BC127D"/>
    <w:rsid w:val="00BC1A13"/>
    <w:rsid w:val="00BC1FE6"/>
    <w:rsid w:val="00BD47B5"/>
    <w:rsid w:val="00BD5316"/>
    <w:rsid w:val="00BD5D5B"/>
    <w:rsid w:val="00BE3B00"/>
    <w:rsid w:val="00C00367"/>
    <w:rsid w:val="00C01BD2"/>
    <w:rsid w:val="00C04B01"/>
    <w:rsid w:val="00C050A1"/>
    <w:rsid w:val="00C061B6"/>
    <w:rsid w:val="00C11F61"/>
    <w:rsid w:val="00C176C5"/>
    <w:rsid w:val="00C2161B"/>
    <w:rsid w:val="00C24411"/>
    <w:rsid w:val="00C2446C"/>
    <w:rsid w:val="00C24F44"/>
    <w:rsid w:val="00C36AE5"/>
    <w:rsid w:val="00C3751B"/>
    <w:rsid w:val="00C40551"/>
    <w:rsid w:val="00C41F17"/>
    <w:rsid w:val="00C5280D"/>
    <w:rsid w:val="00C54121"/>
    <w:rsid w:val="00C5791C"/>
    <w:rsid w:val="00C6172F"/>
    <w:rsid w:val="00C66290"/>
    <w:rsid w:val="00C72B7A"/>
    <w:rsid w:val="00C73A18"/>
    <w:rsid w:val="00C81285"/>
    <w:rsid w:val="00C8222D"/>
    <w:rsid w:val="00C911F7"/>
    <w:rsid w:val="00C9275D"/>
    <w:rsid w:val="00C973F2"/>
    <w:rsid w:val="00C9785A"/>
    <w:rsid w:val="00CA304C"/>
    <w:rsid w:val="00CA774A"/>
    <w:rsid w:val="00CB1E90"/>
    <w:rsid w:val="00CC11B0"/>
    <w:rsid w:val="00CC1436"/>
    <w:rsid w:val="00CC239E"/>
    <w:rsid w:val="00CE45E1"/>
    <w:rsid w:val="00CF76EC"/>
    <w:rsid w:val="00CF7E36"/>
    <w:rsid w:val="00CF7EAD"/>
    <w:rsid w:val="00D14424"/>
    <w:rsid w:val="00D201A7"/>
    <w:rsid w:val="00D3708D"/>
    <w:rsid w:val="00D40426"/>
    <w:rsid w:val="00D57C96"/>
    <w:rsid w:val="00D73867"/>
    <w:rsid w:val="00D75034"/>
    <w:rsid w:val="00D7697D"/>
    <w:rsid w:val="00D801EF"/>
    <w:rsid w:val="00D8341E"/>
    <w:rsid w:val="00D911DB"/>
    <w:rsid w:val="00D91203"/>
    <w:rsid w:val="00D9277B"/>
    <w:rsid w:val="00D95174"/>
    <w:rsid w:val="00DA4F81"/>
    <w:rsid w:val="00DA6F36"/>
    <w:rsid w:val="00DB06AC"/>
    <w:rsid w:val="00DB596E"/>
    <w:rsid w:val="00DB7773"/>
    <w:rsid w:val="00DC00EA"/>
    <w:rsid w:val="00DD67C0"/>
    <w:rsid w:val="00DD75B6"/>
    <w:rsid w:val="00DE01E5"/>
    <w:rsid w:val="00DE6A93"/>
    <w:rsid w:val="00DF726B"/>
    <w:rsid w:val="00E058CB"/>
    <w:rsid w:val="00E06C56"/>
    <w:rsid w:val="00E148A2"/>
    <w:rsid w:val="00E21D4A"/>
    <w:rsid w:val="00E32518"/>
    <w:rsid w:val="00E32F7E"/>
    <w:rsid w:val="00E40026"/>
    <w:rsid w:val="00E5544F"/>
    <w:rsid w:val="00E72D49"/>
    <w:rsid w:val="00E7593C"/>
    <w:rsid w:val="00E7678A"/>
    <w:rsid w:val="00E8284E"/>
    <w:rsid w:val="00E935F1"/>
    <w:rsid w:val="00E94A81"/>
    <w:rsid w:val="00E97BA4"/>
    <w:rsid w:val="00EA1FFB"/>
    <w:rsid w:val="00EB048E"/>
    <w:rsid w:val="00EB61D4"/>
    <w:rsid w:val="00EC1C09"/>
    <w:rsid w:val="00EC34F3"/>
    <w:rsid w:val="00ED1CDC"/>
    <w:rsid w:val="00ED4C12"/>
    <w:rsid w:val="00ED72B8"/>
    <w:rsid w:val="00EE1B6B"/>
    <w:rsid w:val="00EE34DF"/>
    <w:rsid w:val="00EF1DDD"/>
    <w:rsid w:val="00EF2F89"/>
    <w:rsid w:val="00EF42BE"/>
    <w:rsid w:val="00F1237A"/>
    <w:rsid w:val="00F201B5"/>
    <w:rsid w:val="00F22CBD"/>
    <w:rsid w:val="00F275C2"/>
    <w:rsid w:val="00F308EF"/>
    <w:rsid w:val="00F3196F"/>
    <w:rsid w:val="00F341DB"/>
    <w:rsid w:val="00F41FD2"/>
    <w:rsid w:val="00F45372"/>
    <w:rsid w:val="00F517C5"/>
    <w:rsid w:val="00F55E08"/>
    <w:rsid w:val="00F560F7"/>
    <w:rsid w:val="00F601E6"/>
    <w:rsid w:val="00F6334D"/>
    <w:rsid w:val="00F66B92"/>
    <w:rsid w:val="00F83292"/>
    <w:rsid w:val="00F86C49"/>
    <w:rsid w:val="00F876BE"/>
    <w:rsid w:val="00F97EA3"/>
    <w:rsid w:val="00FA49AB"/>
    <w:rsid w:val="00FB19B3"/>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7855A6"/>
    <w:pPr>
      <w:keepNext/>
      <w:jc w:val="both"/>
      <w:outlineLvl w:val="2"/>
    </w:pPr>
    <w:rPr>
      <w:rFonts w:ascii="Arial" w:hAnsi="Arial"/>
      <w:i/>
      <w:color w:val="008000"/>
      <w:lang w:val="fr-FR"/>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1"/>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900C26"/>
    <w:pPr>
      <w:ind w:left="200"/>
    </w:pPr>
    <w:rPr>
      <w:rFonts w:ascii="Calibri" w:hAnsi="Calibri"/>
      <w:smallCaps/>
    </w:rPr>
  </w:style>
  <w:style w:type="paragraph" w:styleId="TOC3">
    <w:name w:val="toc 3"/>
    <w:next w:val="Normal"/>
    <w:autoRedefine/>
    <w:uiPriority w:val="39"/>
    <w:rsid w:val="00900C26"/>
    <w:pPr>
      <w:ind w:left="400"/>
    </w:pPr>
    <w:rPr>
      <w:rFonts w:ascii="Calibri" w:hAnsi="Calibri"/>
      <w:i/>
      <w:iCs/>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900C26"/>
    <w:pPr>
      <w:ind w:left="600"/>
    </w:pPr>
    <w:rPr>
      <w:rFonts w:ascii="Calibri" w:hAnsi="Calibri"/>
      <w:sz w:val="18"/>
      <w:szCs w:val="18"/>
    </w:rPr>
  </w:style>
  <w:style w:type="paragraph" w:styleId="TOC1">
    <w:name w:val="toc 1"/>
    <w:next w:val="Normal"/>
    <w:autoRedefine/>
    <w:uiPriority w:val="39"/>
    <w:rsid w:val="00382590"/>
    <w:pPr>
      <w:tabs>
        <w:tab w:val="right" w:leader="dot" w:pos="9628"/>
      </w:tabs>
      <w:spacing w:before="120" w:after="120"/>
      <w:ind w:left="567"/>
    </w:pPr>
    <w:rPr>
      <w:rFonts w:ascii="Calibri" w:hAnsi="Calibri"/>
      <w:b/>
      <w:bCs/>
      <w:caps/>
    </w:rPr>
  </w:style>
  <w:style w:type="paragraph" w:styleId="TOC5">
    <w:name w:val="toc 5"/>
    <w:next w:val="Normal"/>
    <w:autoRedefine/>
    <w:semiHidden/>
    <w:rsid w:val="00C72B7A"/>
    <w:pPr>
      <w:ind w:left="800"/>
    </w:pPr>
    <w:rPr>
      <w:rFonts w:ascii="Calibri" w:hAnsi="Calibri"/>
      <w:sz w:val="18"/>
      <w:szCs w:val="18"/>
    </w:rPr>
  </w:style>
  <w:style w:type="paragraph" w:styleId="BodyTextIndent2">
    <w:name w:val="Body Text Indent 2"/>
    <w:basedOn w:val="Normal"/>
    <w:rsid w:val="008F0675"/>
    <w:pPr>
      <w:tabs>
        <w:tab w:val="left" w:pos="1985"/>
      </w:tabs>
      <w:spacing w:before="60" w:after="60"/>
      <w:ind w:left="567"/>
      <w:jc w:val="left"/>
    </w:pPr>
    <w:rPr>
      <w:rFonts w:ascii="Times New Roman" w:hAnsi="Times New Roman"/>
      <w:snapToGrid w:val="0"/>
      <w:color w:val="000000"/>
      <w:sz w:val="24"/>
      <w:szCs w:val="24"/>
    </w:rPr>
  </w:style>
  <w:style w:type="paragraph" w:customStyle="1" w:styleId="Style1">
    <w:name w:val="Style1"/>
    <w:basedOn w:val="Normal"/>
    <w:rsid w:val="008F0675"/>
    <w:pPr>
      <w:tabs>
        <w:tab w:val="decimal" w:pos="907"/>
        <w:tab w:val="left" w:pos="1077"/>
      </w:tabs>
    </w:pPr>
    <w:rPr>
      <w:rFonts w:ascii="Times New Roman" w:eastAsia="MS Mincho" w:hAnsi="Times New Roman"/>
      <w:sz w:val="24"/>
    </w:rPr>
  </w:style>
  <w:style w:type="paragraph" w:customStyle="1" w:styleId="Normaltg">
    <w:name w:val="Normaltg"/>
    <w:basedOn w:val="Normal"/>
    <w:rsid w:val="008F0675"/>
    <w:pPr>
      <w:tabs>
        <w:tab w:val="left" w:pos="709"/>
        <w:tab w:val="left" w:pos="1418"/>
      </w:tabs>
    </w:pPr>
    <w:rPr>
      <w:rFonts w:ascii="Times New Roman" w:eastAsia="MS Mincho" w:hAnsi="Times New Roman"/>
      <w:sz w:val="24"/>
      <w:szCs w:val="24"/>
    </w:rPr>
  </w:style>
  <w:style w:type="paragraph" w:styleId="BodyTextIndent">
    <w:name w:val="Body Text Indent"/>
    <w:basedOn w:val="Normal"/>
    <w:rsid w:val="008F0675"/>
    <w:pPr>
      <w:spacing w:after="120"/>
      <w:ind w:left="283"/>
    </w:pPr>
  </w:style>
  <w:style w:type="paragraph" w:customStyle="1" w:styleId="style10">
    <w:name w:val="style1"/>
    <w:basedOn w:val="Normal"/>
    <w:rsid w:val="007642BE"/>
    <w:pPr>
      <w:jc w:val="left"/>
    </w:pPr>
    <w:rPr>
      <w:rFonts w:ascii="Times New Roman" w:hAnsi="Times New Roman"/>
      <w:sz w:val="24"/>
      <w:szCs w:val="24"/>
    </w:rPr>
  </w:style>
  <w:style w:type="paragraph" w:customStyle="1" w:styleId="normaltg0">
    <w:name w:val="normaltg"/>
    <w:basedOn w:val="Normal"/>
    <w:rsid w:val="00582A0F"/>
    <w:pPr>
      <w:spacing w:before="100" w:beforeAutospacing="1" w:after="100" w:afterAutospacing="1"/>
      <w:jc w:val="left"/>
    </w:pPr>
    <w:rPr>
      <w:rFonts w:ascii="Times New Roman" w:eastAsia="Calibri" w:hAnsi="Times New Roman"/>
      <w:sz w:val="24"/>
      <w:szCs w:val="24"/>
      <w:lang w:val="fr-FR" w:eastAsia="fr-FR"/>
    </w:rPr>
  </w:style>
  <w:style w:type="paragraph" w:customStyle="1" w:styleId="Paragraphedeliste">
    <w:name w:val="Paragraphe de liste"/>
    <w:basedOn w:val="Normal"/>
    <w:qFormat/>
    <w:rsid w:val="00582A0F"/>
    <w:pPr>
      <w:spacing w:before="100" w:beforeAutospacing="1" w:after="100" w:afterAutospacing="1"/>
      <w:jc w:val="left"/>
    </w:pPr>
    <w:rPr>
      <w:rFonts w:ascii="Times New Roman" w:eastAsia="Calibri" w:hAnsi="Times New Roman"/>
      <w:sz w:val="24"/>
      <w:szCs w:val="24"/>
      <w:lang w:val="fr-FR" w:eastAsia="fr-FR"/>
    </w:rPr>
  </w:style>
  <w:style w:type="character" w:customStyle="1" w:styleId="FooterChar1">
    <w:name w:val="Footer Char1"/>
    <w:aliases w:val="doc_path_name Char1"/>
    <w:link w:val="Footer"/>
    <w:rsid w:val="00582A0F"/>
    <w:rPr>
      <w:rFonts w:ascii="Arial" w:hAnsi="Arial"/>
      <w:sz w:val="14"/>
      <w:lang w:val="en-US" w:eastAsia="en-US" w:bidi="ar-SA"/>
    </w:rPr>
  </w:style>
  <w:style w:type="table" w:styleId="TableGrid">
    <w:name w:val="Table Grid"/>
    <w:basedOn w:val="TableNormal"/>
    <w:rsid w:val="00AC655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6C56"/>
    <w:pPr>
      <w:spacing w:before="100" w:beforeAutospacing="1" w:after="100" w:afterAutospacing="1"/>
      <w:jc w:val="left"/>
    </w:pPr>
    <w:rPr>
      <w:rFonts w:ascii="Times New Roman" w:hAnsi="Times New Roman"/>
      <w:sz w:val="24"/>
      <w:szCs w:val="24"/>
      <w:lang w:val="fr-FR" w:eastAsia="fr-FR"/>
    </w:rPr>
  </w:style>
  <w:style w:type="character" w:customStyle="1" w:styleId="FooterChar">
    <w:name w:val="Footer Char"/>
    <w:aliases w:val="doc_path_name Char"/>
    <w:locked/>
    <w:rsid w:val="00E06C56"/>
    <w:rPr>
      <w:rFonts w:ascii="Arial" w:hAnsi="Arial" w:cs="Times New Roman"/>
      <w:sz w:val="14"/>
      <w:lang w:val="en-US" w:eastAsia="en-US" w:bidi="ar-SA"/>
    </w:rPr>
  </w:style>
  <w:style w:type="paragraph" w:styleId="TOC6">
    <w:name w:val="toc 6"/>
    <w:basedOn w:val="Normal"/>
    <w:next w:val="Normal"/>
    <w:autoRedefine/>
    <w:rsid w:val="00AE69FD"/>
    <w:pPr>
      <w:ind w:left="1000"/>
      <w:jc w:val="left"/>
    </w:pPr>
    <w:rPr>
      <w:rFonts w:ascii="Calibri" w:hAnsi="Calibri"/>
      <w:sz w:val="18"/>
      <w:szCs w:val="18"/>
    </w:rPr>
  </w:style>
  <w:style w:type="paragraph" w:styleId="TOC7">
    <w:name w:val="toc 7"/>
    <w:basedOn w:val="Normal"/>
    <w:next w:val="Normal"/>
    <w:autoRedefine/>
    <w:rsid w:val="00AE69FD"/>
    <w:pPr>
      <w:ind w:left="1200"/>
      <w:jc w:val="left"/>
    </w:pPr>
    <w:rPr>
      <w:rFonts w:ascii="Calibri" w:hAnsi="Calibri"/>
      <w:sz w:val="18"/>
      <w:szCs w:val="18"/>
    </w:rPr>
  </w:style>
  <w:style w:type="paragraph" w:styleId="TOC8">
    <w:name w:val="toc 8"/>
    <w:basedOn w:val="Normal"/>
    <w:next w:val="Normal"/>
    <w:autoRedefine/>
    <w:rsid w:val="00AE69FD"/>
    <w:pPr>
      <w:ind w:left="1400"/>
      <w:jc w:val="left"/>
    </w:pPr>
    <w:rPr>
      <w:rFonts w:ascii="Calibri" w:hAnsi="Calibri"/>
      <w:sz w:val="18"/>
      <w:szCs w:val="18"/>
    </w:rPr>
  </w:style>
  <w:style w:type="paragraph" w:styleId="TOC9">
    <w:name w:val="toc 9"/>
    <w:basedOn w:val="Normal"/>
    <w:next w:val="Normal"/>
    <w:autoRedefine/>
    <w:rsid w:val="00AE69FD"/>
    <w:pPr>
      <w:ind w:left="1600"/>
      <w:jc w:val="left"/>
    </w:pPr>
    <w:rPr>
      <w:rFonts w:ascii="Calibri" w:hAnsi="Calibri"/>
      <w:sz w:val="18"/>
      <w:szCs w:val="18"/>
    </w:rPr>
  </w:style>
  <w:style w:type="paragraph" w:styleId="BalloonText">
    <w:name w:val="Balloon Text"/>
    <w:basedOn w:val="Normal"/>
    <w:link w:val="BalloonTextChar"/>
    <w:rsid w:val="00331E1A"/>
    <w:rPr>
      <w:rFonts w:ascii="Tahoma" w:hAnsi="Tahoma" w:cs="Tahoma"/>
      <w:sz w:val="16"/>
      <w:szCs w:val="16"/>
    </w:rPr>
  </w:style>
  <w:style w:type="character" w:customStyle="1" w:styleId="BalloonTextChar">
    <w:name w:val="Balloon Text Char"/>
    <w:link w:val="BalloonText"/>
    <w:rsid w:val="00331E1A"/>
    <w:rPr>
      <w:rFonts w:ascii="Tahoma" w:hAnsi="Tahoma" w:cs="Tahoma"/>
      <w:sz w:val="16"/>
      <w:szCs w:val="16"/>
    </w:rPr>
  </w:style>
  <w:style w:type="paragraph" w:customStyle="1" w:styleId="Default">
    <w:name w:val="Default"/>
    <w:rsid w:val="00A72B49"/>
    <w:pPr>
      <w:autoSpaceDE w:val="0"/>
      <w:autoSpaceDN w:val="0"/>
      <w:adjustRightInd w:val="0"/>
    </w:pPr>
    <w:rPr>
      <w:rFonts w:ascii="Arial" w:hAnsi="Arial" w:cs="Arial"/>
      <w:color w:val="000000"/>
      <w:sz w:val="24"/>
      <w:szCs w:val="24"/>
    </w:rPr>
  </w:style>
  <w:style w:type="character" w:customStyle="1" w:styleId="DecisionParagraphsChar">
    <w:name w:val="DecisionParagraphs Char"/>
    <w:link w:val="DecisionParagraphs"/>
    <w:rsid w:val="00A9630A"/>
    <w:rPr>
      <w:rFonts w:ascii="Arial" w:hAnsi="Arial"/>
      <w:i/>
    </w:rPr>
  </w:style>
  <w:style w:type="character" w:customStyle="1" w:styleId="HeaderChar">
    <w:name w:val="Header Char"/>
    <w:basedOn w:val="DefaultParagraphFont"/>
    <w:link w:val="Header"/>
    <w:uiPriority w:val="99"/>
    <w:rsid w:val="00F86C49"/>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7855A6"/>
    <w:pPr>
      <w:keepNext/>
      <w:jc w:val="both"/>
      <w:outlineLvl w:val="2"/>
    </w:pPr>
    <w:rPr>
      <w:rFonts w:ascii="Arial" w:hAnsi="Arial"/>
      <w:i/>
      <w:color w:val="008000"/>
      <w:lang w:val="fr-FR"/>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1"/>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900C26"/>
    <w:pPr>
      <w:ind w:left="200"/>
    </w:pPr>
    <w:rPr>
      <w:rFonts w:ascii="Calibri" w:hAnsi="Calibri"/>
      <w:smallCaps/>
    </w:rPr>
  </w:style>
  <w:style w:type="paragraph" w:styleId="TOC3">
    <w:name w:val="toc 3"/>
    <w:next w:val="Normal"/>
    <w:autoRedefine/>
    <w:uiPriority w:val="39"/>
    <w:rsid w:val="00900C26"/>
    <w:pPr>
      <w:ind w:left="400"/>
    </w:pPr>
    <w:rPr>
      <w:rFonts w:ascii="Calibri" w:hAnsi="Calibri"/>
      <w:i/>
      <w:iCs/>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900C26"/>
    <w:pPr>
      <w:ind w:left="600"/>
    </w:pPr>
    <w:rPr>
      <w:rFonts w:ascii="Calibri" w:hAnsi="Calibri"/>
      <w:sz w:val="18"/>
      <w:szCs w:val="18"/>
    </w:rPr>
  </w:style>
  <w:style w:type="paragraph" w:styleId="TOC1">
    <w:name w:val="toc 1"/>
    <w:next w:val="Normal"/>
    <w:autoRedefine/>
    <w:uiPriority w:val="39"/>
    <w:rsid w:val="00382590"/>
    <w:pPr>
      <w:tabs>
        <w:tab w:val="right" w:leader="dot" w:pos="9628"/>
      </w:tabs>
      <w:spacing w:before="120" w:after="120"/>
      <w:ind w:left="567"/>
    </w:pPr>
    <w:rPr>
      <w:rFonts w:ascii="Calibri" w:hAnsi="Calibri"/>
      <w:b/>
      <w:bCs/>
      <w:caps/>
    </w:rPr>
  </w:style>
  <w:style w:type="paragraph" w:styleId="TOC5">
    <w:name w:val="toc 5"/>
    <w:next w:val="Normal"/>
    <w:autoRedefine/>
    <w:semiHidden/>
    <w:rsid w:val="00C72B7A"/>
    <w:pPr>
      <w:ind w:left="800"/>
    </w:pPr>
    <w:rPr>
      <w:rFonts w:ascii="Calibri" w:hAnsi="Calibri"/>
      <w:sz w:val="18"/>
      <w:szCs w:val="18"/>
    </w:rPr>
  </w:style>
  <w:style w:type="paragraph" w:styleId="BodyTextIndent2">
    <w:name w:val="Body Text Indent 2"/>
    <w:basedOn w:val="Normal"/>
    <w:rsid w:val="008F0675"/>
    <w:pPr>
      <w:tabs>
        <w:tab w:val="left" w:pos="1985"/>
      </w:tabs>
      <w:spacing w:before="60" w:after="60"/>
      <w:ind w:left="567"/>
      <w:jc w:val="left"/>
    </w:pPr>
    <w:rPr>
      <w:rFonts w:ascii="Times New Roman" w:hAnsi="Times New Roman"/>
      <w:snapToGrid w:val="0"/>
      <w:color w:val="000000"/>
      <w:sz w:val="24"/>
      <w:szCs w:val="24"/>
    </w:rPr>
  </w:style>
  <w:style w:type="paragraph" w:customStyle="1" w:styleId="Style1">
    <w:name w:val="Style1"/>
    <w:basedOn w:val="Normal"/>
    <w:rsid w:val="008F0675"/>
    <w:pPr>
      <w:tabs>
        <w:tab w:val="decimal" w:pos="907"/>
        <w:tab w:val="left" w:pos="1077"/>
      </w:tabs>
    </w:pPr>
    <w:rPr>
      <w:rFonts w:ascii="Times New Roman" w:eastAsia="MS Mincho" w:hAnsi="Times New Roman"/>
      <w:sz w:val="24"/>
    </w:rPr>
  </w:style>
  <w:style w:type="paragraph" w:customStyle="1" w:styleId="Normaltg">
    <w:name w:val="Normaltg"/>
    <w:basedOn w:val="Normal"/>
    <w:rsid w:val="008F0675"/>
    <w:pPr>
      <w:tabs>
        <w:tab w:val="left" w:pos="709"/>
        <w:tab w:val="left" w:pos="1418"/>
      </w:tabs>
    </w:pPr>
    <w:rPr>
      <w:rFonts w:ascii="Times New Roman" w:eastAsia="MS Mincho" w:hAnsi="Times New Roman"/>
      <w:sz w:val="24"/>
      <w:szCs w:val="24"/>
    </w:rPr>
  </w:style>
  <w:style w:type="paragraph" w:styleId="BodyTextIndent">
    <w:name w:val="Body Text Indent"/>
    <w:basedOn w:val="Normal"/>
    <w:rsid w:val="008F0675"/>
    <w:pPr>
      <w:spacing w:after="120"/>
      <w:ind w:left="283"/>
    </w:pPr>
  </w:style>
  <w:style w:type="paragraph" w:customStyle="1" w:styleId="style10">
    <w:name w:val="style1"/>
    <w:basedOn w:val="Normal"/>
    <w:rsid w:val="007642BE"/>
    <w:pPr>
      <w:jc w:val="left"/>
    </w:pPr>
    <w:rPr>
      <w:rFonts w:ascii="Times New Roman" w:hAnsi="Times New Roman"/>
      <w:sz w:val="24"/>
      <w:szCs w:val="24"/>
    </w:rPr>
  </w:style>
  <w:style w:type="paragraph" w:customStyle="1" w:styleId="normaltg0">
    <w:name w:val="normaltg"/>
    <w:basedOn w:val="Normal"/>
    <w:rsid w:val="00582A0F"/>
    <w:pPr>
      <w:spacing w:before="100" w:beforeAutospacing="1" w:after="100" w:afterAutospacing="1"/>
      <w:jc w:val="left"/>
    </w:pPr>
    <w:rPr>
      <w:rFonts w:ascii="Times New Roman" w:eastAsia="Calibri" w:hAnsi="Times New Roman"/>
      <w:sz w:val="24"/>
      <w:szCs w:val="24"/>
      <w:lang w:val="fr-FR" w:eastAsia="fr-FR"/>
    </w:rPr>
  </w:style>
  <w:style w:type="paragraph" w:customStyle="1" w:styleId="Paragraphedeliste">
    <w:name w:val="Paragraphe de liste"/>
    <w:basedOn w:val="Normal"/>
    <w:qFormat/>
    <w:rsid w:val="00582A0F"/>
    <w:pPr>
      <w:spacing w:before="100" w:beforeAutospacing="1" w:after="100" w:afterAutospacing="1"/>
      <w:jc w:val="left"/>
    </w:pPr>
    <w:rPr>
      <w:rFonts w:ascii="Times New Roman" w:eastAsia="Calibri" w:hAnsi="Times New Roman"/>
      <w:sz w:val="24"/>
      <w:szCs w:val="24"/>
      <w:lang w:val="fr-FR" w:eastAsia="fr-FR"/>
    </w:rPr>
  </w:style>
  <w:style w:type="character" w:customStyle="1" w:styleId="FooterChar1">
    <w:name w:val="Footer Char1"/>
    <w:aliases w:val="doc_path_name Char1"/>
    <w:link w:val="Footer"/>
    <w:rsid w:val="00582A0F"/>
    <w:rPr>
      <w:rFonts w:ascii="Arial" w:hAnsi="Arial"/>
      <w:sz w:val="14"/>
      <w:lang w:val="en-US" w:eastAsia="en-US" w:bidi="ar-SA"/>
    </w:rPr>
  </w:style>
  <w:style w:type="table" w:styleId="TableGrid">
    <w:name w:val="Table Grid"/>
    <w:basedOn w:val="TableNormal"/>
    <w:rsid w:val="00AC655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6C56"/>
    <w:pPr>
      <w:spacing w:before="100" w:beforeAutospacing="1" w:after="100" w:afterAutospacing="1"/>
      <w:jc w:val="left"/>
    </w:pPr>
    <w:rPr>
      <w:rFonts w:ascii="Times New Roman" w:hAnsi="Times New Roman"/>
      <w:sz w:val="24"/>
      <w:szCs w:val="24"/>
      <w:lang w:val="fr-FR" w:eastAsia="fr-FR"/>
    </w:rPr>
  </w:style>
  <w:style w:type="character" w:customStyle="1" w:styleId="FooterChar">
    <w:name w:val="Footer Char"/>
    <w:aliases w:val="doc_path_name Char"/>
    <w:locked/>
    <w:rsid w:val="00E06C56"/>
    <w:rPr>
      <w:rFonts w:ascii="Arial" w:hAnsi="Arial" w:cs="Times New Roman"/>
      <w:sz w:val="14"/>
      <w:lang w:val="en-US" w:eastAsia="en-US" w:bidi="ar-SA"/>
    </w:rPr>
  </w:style>
  <w:style w:type="paragraph" w:styleId="TOC6">
    <w:name w:val="toc 6"/>
    <w:basedOn w:val="Normal"/>
    <w:next w:val="Normal"/>
    <w:autoRedefine/>
    <w:rsid w:val="00AE69FD"/>
    <w:pPr>
      <w:ind w:left="1000"/>
      <w:jc w:val="left"/>
    </w:pPr>
    <w:rPr>
      <w:rFonts w:ascii="Calibri" w:hAnsi="Calibri"/>
      <w:sz w:val="18"/>
      <w:szCs w:val="18"/>
    </w:rPr>
  </w:style>
  <w:style w:type="paragraph" w:styleId="TOC7">
    <w:name w:val="toc 7"/>
    <w:basedOn w:val="Normal"/>
    <w:next w:val="Normal"/>
    <w:autoRedefine/>
    <w:rsid w:val="00AE69FD"/>
    <w:pPr>
      <w:ind w:left="1200"/>
      <w:jc w:val="left"/>
    </w:pPr>
    <w:rPr>
      <w:rFonts w:ascii="Calibri" w:hAnsi="Calibri"/>
      <w:sz w:val="18"/>
      <w:szCs w:val="18"/>
    </w:rPr>
  </w:style>
  <w:style w:type="paragraph" w:styleId="TOC8">
    <w:name w:val="toc 8"/>
    <w:basedOn w:val="Normal"/>
    <w:next w:val="Normal"/>
    <w:autoRedefine/>
    <w:rsid w:val="00AE69FD"/>
    <w:pPr>
      <w:ind w:left="1400"/>
      <w:jc w:val="left"/>
    </w:pPr>
    <w:rPr>
      <w:rFonts w:ascii="Calibri" w:hAnsi="Calibri"/>
      <w:sz w:val="18"/>
      <w:szCs w:val="18"/>
    </w:rPr>
  </w:style>
  <w:style w:type="paragraph" w:styleId="TOC9">
    <w:name w:val="toc 9"/>
    <w:basedOn w:val="Normal"/>
    <w:next w:val="Normal"/>
    <w:autoRedefine/>
    <w:rsid w:val="00AE69FD"/>
    <w:pPr>
      <w:ind w:left="1600"/>
      <w:jc w:val="left"/>
    </w:pPr>
    <w:rPr>
      <w:rFonts w:ascii="Calibri" w:hAnsi="Calibri"/>
      <w:sz w:val="18"/>
      <w:szCs w:val="18"/>
    </w:rPr>
  </w:style>
  <w:style w:type="paragraph" w:styleId="BalloonText">
    <w:name w:val="Balloon Text"/>
    <w:basedOn w:val="Normal"/>
    <w:link w:val="BalloonTextChar"/>
    <w:rsid w:val="00331E1A"/>
    <w:rPr>
      <w:rFonts w:ascii="Tahoma" w:hAnsi="Tahoma" w:cs="Tahoma"/>
      <w:sz w:val="16"/>
      <w:szCs w:val="16"/>
    </w:rPr>
  </w:style>
  <w:style w:type="character" w:customStyle="1" w:styleId="BalloonTextChar">
    <w:name w:val="Balloon Text Char"/>
    <w:link w:val="BalloonText"/>
    <w:rsid w:val="00331E1A"/>
    <w:rPr>
      <w:rFonts w:ascii="Tahoma" w:hAnsi="Tahoma" w:cs="Tahoma"/>
      <w:sz w:val="16"/>
      <w:szCs w:val="16"/>
    </w:rPr>
  </w:style>
  <w:style w:type="paragraph" w:customStyle="1" w:styleId="Default">
    <w:name w:val="Default"/>
    <w:rsid w:val="00A72B49"/>
    <w:pPr>
      <w:autoSpaceDE w:val="0"/>
      <w:autoSpaceDN w:val="0"/>
      <w:adjustRightInd w:val="0"/>
    </w:pPr>
    <w:rPr>
      <w:rFonts w:ascii="Arial" w:hAnsi="Arial" w:cs="Arial"/>
      <w:color w:val="000000"/>
      <w:sz w:val="24"/>
      <w:szCs w:val="24"/>
    </w:rPr>
  </w:style>
  <w:style w:type="character" w:customStyle="1" w:styleId="DecisionParagraphsChar">
    <w:name w:val="DecisionParagraphs Char"/>
    <w:link w:val="DecisionParagraphs"/>
    <w:rsid w:val="00A9630A"/>
    <w:rPr>
      <w:rFonts w:ascii="Arial" w:hAnsi="Arial"/>
      <w:i/>
    </w:rPr>
  </w:style>
  <w:style w:type="character" w:customStyle="1" w:styleId="HeaderChar">
    <w:name w:val="Header Char"/>
    <w:basedOn w:val="DefaultParagraphFont"/>
    <w:link w:val="Header"/>
    <w:uiPriority w:val="99"/>
    <w:rsid w:val="00F86C49"/>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6B7BB-2E24-4248-A0F0-646DFC00B792}">
  <ds:schemaRefs>
    <ds:schemaRef ds:uri="http://schemas.openxmlformats.org/officeDocument/2006/bibliography"/>
  </ds:schemaRefs>
</ds:datastoreItem>
</file>

<file path=customXml/itemProps2.xml><?xml version="1.0" encoding="utf-8"?>
<ds:datastoreItem xmlns:ds="http://schemas.openxmlformats.org/officeDocument/2006/customXml" ds:itemID="{641A5697-8AEE-4377-9520-2C7F9BEC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2820</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template TC/49</vt:lpstr>
    </vt:vector>
  </TitlesOfParts>
  <Company>UPOV</Company>
  <LinksUpToDate>false</LinksUpToDate>
  <CharactersWithSpaces>18703</CharactersWithSpaces>
  <SharedDoc>false</SharedDoc>
  <HLinks>
    <vt:vector size="30" baseType="variant">
      <vt:variant>
        <vt:i4>65639</vt:i4>
      </vt:variant>
      <vt:variant>
        <vt:i4>65</vt:i4>
      </vt:variant>
      <vt:variant>
        <vt:i4>0</vt:i4>
      </vt:variant>
      <vt:variant>
        <vt:i4>5</vt:i4>
      </vt:variant>
      <vt:variant>
        <vt:lpwstr>mailto:upov.mail@upov.int</vt:lpwstr>
      </vt:variant>
      <vt:variant>
        <vt:lpwstr/>
      </vt:variant>
      <vt:variant>
        <vt:i4>7733270</vt:i4>
      </vt:variant>
      <vt:variant>
        <vt:i4>62</vt:i4>
      </vt:variant>
      <vt:variant>
        <vt:i4>0</vt:i4>
      </vt:variant>
      <vt:variant>
        <vt:i4>5</vt:i4>
      </vt:variant>
      <vt:variant>
        <vt:lpwstr>mailto:stephanie.christien@geves.fr</vt:lpwstr>
      </vt:variant>
      <vt:variant>
        <vt:lpwstr/>
      </vt:variant>
      <vt:variant>
        <vt:i4>5308448</vt:i4>
      </vt:variant>
      <vt:variant>
        <vt:i4>59</vt:i4>
      </vt:variant>
      <vt:variant>
        <vt:i4>0</vt:i4>
      </vt:variant>
      <vt:variant>
        <vt:i4>5</vt:i4>
      </vt:variant>
      <vt:variant>
        <vt:lpwstr>mailto:francois.boulineau@geves.fr</vt:lpwstr>
      </vt:variant>
      <vt:variant>
        <vt:lpwstr/>
      </vt:variant>
      <vt:variant>
        <vt:i4>1048637</vt:i4>
      </vt:variant>
      <vt:variant>
        <vt:i4>14</vt:i4>
      </vt:variant>
      <vt:variant>
        <vt:i4>0</vt:i4>
      </vt:variant>
      <vt:variant>
        <vt:i4>5</vt:i4>
      </vt:variant>
      <vt:variant>
        <vt:lpwstr/>
      </vt:variant>
      <vt:variant>
        <vt:lpwstr>_Toc378230527</vt:lpwstr>
      </vt:variant>
      <vt:variant>
        <vt:i4>1048637</vt:i4>
      </vt:variant>
      <vt:variant>
        <vt:i4>8</vt:i4>
      </vt:variant>
      <vt:variant>
        <vt:i4>0</vt:i4>
      </vt:variant>
      <vt:variant>
        <vt:i4>5</vt:i4>
      </vt:variant>
      <vt:variant>
        <vt:lpwstr/>
      </vt:variant>
      <vt:variant>
        <vt:lpwstr>_Toc378230526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TC/49</dc:title>
  <dc:creator>FavaA</dc:creator>
  <cp:keywords>MHF/MP/ko</cp:keywords>
  <cp:lastModifiedBy>LONG Victoria</cp:lastModifiedBy>
  <cp:revision>11</cp:revision>
  <cp:lastPrinted>2015-03-10T14:57:00Z</cp:lastPrinted>
  <dcterms:created xsi:type="dcterms:W3CDTF">2015-03-05T14:28:00Z</dcterms:created>
  <dcterms:modified xsi:type="dcterms:W3CDTF">2015-03-10T14:57:00Z</dcterms:modified>
</cp:coreProperties>
</file>