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3B75" w:rsidRPr="00293B75" w:rsidTr="00916A77">
        <w:trPr>
          <w:trHeight w:val="1760"/>
        </w:trPr>
        <w:tc>
          <w:tcPr>
            <w:tcW w:w="4243" w:type="dxa"/>
          </w:tcPr>
          <w:p w:rsidR="00916A77" w:rsidRPr="00293B75" w:rsidRDefault="00916A77" w:rsidP="007005BA">
            <w:pPr>
              <w:rPr>
                <w:lang w:val="fr-FR"/>
              </w:rPr>
            </w:pPr>
          </w:p>
        </w:tc>
        <w:tc>
          <w:tcPr>
            <w:tcW w:w="1646" w:type="dxa"/>
            <w:vAlign w:val="center"/>
          </w:tcPr>
          <w:p w:rsidR="00916A77" w:rsidRPr="00293B75" w:rsidRDefault="00916A77" w:rsidP="007005BA">
            <w:pPr>
              <w:pStyle w:val="LogoUPOV"/>
              <w:rPr>
                <w:lang w:val="fr-FR"/>
              </w:rPr>
            </w:pPr>
            <w:r w:rsidRPr="00293B75">
              <w:rPr>
                <w:noProof/>
              </w:rPr>
              <w:drawing>
                <wp:inline distT="0" distB="0" distL="0" distR="0" wp14:anchorId="734D47DB" wp14:editId="76CAA27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D5031" w:rsidRPr="00293B75" w:rsidRDefault="00916A77" w:rsidP="007005BA">
            <w:pPr>
              <w:pStyle w:val="Lettrine"/>
              <w:spacing w:line="240" w:lineRule="auto"/>
              <w:rPr>
                <w:lang w:val="fr-FR"/>
              </w:rPr>
            </w:pPr>
            <w:r w:rsidRPr="00293B75">
              <w:rPr>
                <w:lang w:val="fr-FR"/>
              </w:rPr>
              <w:t>F</w:t>
            </w:r>
          </w:p>
          <w:p w:rsidR="00AD5031" w:rsidRPr="00293B75" w:rsidRDefault="00916A77" w:rsidP="000762AF">
            <w:pPr>
              <w:pStyle w:val="Docoriginal"/>
              <w:rPr>
                <w:lang w:val="fr-FR"/>
              </w:rPr>
            </w:pPr>
            <w:r w:rsidRPr="00293B75">
              <w:rPr>
                <w:lang w:val="fr-FR"/>
              </w:rPr>
              <w:t>TC/51/</w:t>
            </w:r>
            <w:bookmarkStart w:id="0" w:name="Code"/>
            <w:bookmarkEnd w:id="0"/>
            <w:r w:rsidRPr="00293B75">
              <w:rPr>
                <w:lang w:val="fr-FR"/>
              </w:rPr>
              <w:t>39</w:t>
            </w:r>
          </w:p>
          <w:p w:rsidR="00AD5031" w:rsidRPr="00293B75" w:rsidRDefault="00916A77" w:rsidP="000762AF">
            <w:pPr>
              <w:pStyle w:val="Docoriginal"/>
              <w:rPr>
                <w:b w:val="0"/>
                <w:spacing w:val="0"/>
                <w:lang w:val="fr-FR"/>
              </w:rPr>
            </w:pPr>
            <w:r w:rsidRPr="00293B75">
              <w:rPr>
                <w:rStyle w:val="StyleDoclangBold"/>
                <w:b/>
                <w:bCs/>
                <w:spacing w:val="0"/>
                <w:lang w:val="fr-FR"/>
              </w:rPr>
              <w:t>ORIGINAL</w:t>
            </w:r>
            <w:r w:rsidR="00004203" w:rsidRPr="00293B75">
              <w:rPr>
                <w:rStyle w:val="StyleDoclangBold"/>
                <w:b/>
                <w:bCs/>
                <w:spacing w:val="0"/>
                <w:lang w:val="fr-FR"/>
              </w:rPr>
              <w:t> </w:t>
            </w:r>
            <w:r w:rsidRPr="00293B75">
              <w:rPr>
                <w:rStyle w:val="StyleDoclangBold"/>
                <w:b/>
                <w:bCs/>
                <w:spacing w:val="0"/>
                <w:lang w:val="fr-FR"/>
              </w:rPr>
              <w:t>:</w:t>
            </w:r>
            <w:r w:rsidRPr="00293B75">
              <w:rPr>
                <w:rStyle w:val="StyleDocoriginalNotBold1"/>
                <w:spacing w:val="0"/>
                <w:lang w:val="fr-FR"/>
              </w:rPr>
              <w:t xml:space="preserve"> </w:t>
            </w:r>
            <w:bookmarkStart w:id="1" w:name="Original"/>
            <w:bookmarkEnd w:id="1"/>
            <w:r w:rsidRPr="00293B75">
              <w:rPr>
                <w:b w:val="0"/>
                <w:spacing w:val="0"/>
                <w:lang w:val="fr-FR"/>
              </w:rPr>
              <w:t>anglais</w:t>
            </w:r>
          </w:p>
          <w:p w:rsidR="00916A77" w:rsidRPr="00293B75" w:rsidRDefault="00916A77" w:rsidP="000762AF">
            <w:pPr>
              <w:pStyle w:val="Docoriginal"/>
              <w:rPr>
                <w:lang w:val="fr-FR"/>
              </w:rPr>
            </w:pPr>
            <w:r w:rsidRPr="00293B75">
              <w:rPr>
                <w:spacing w:val="0"/>
                <w:lang w:val="fr-FR"/>
              </w:rPr>
              <w:t>DATE</w:t>
            </w:r>
            <w:r w:rsidR="00004203" w:rsidRPr="00293B75">
              <w:rPr>
                <w:spacing w:val="0"/>
                <w:lang w:val="fr-FR"/>
              </w:rPr>
              <w:t> </w:t>
            </w:r>
            <w:r w:rsidRPr="00293B75">
              <w:rPr>
                <w:spacing w:val="0"/>
                <w:lang w:val="fr-FR"/>
              </w:rPr>
              <w:t>:</w:t>
            </w:r>
            <w:r w:rsidRPr="00293B75">
              <w:rPr>
                <w:rStyle w:val="StyleDocoriginalNotBold1"/>
                <w:spacing w:val="0"/>
                <w:lang w:val="fr-FR"/>
              </w:rPr>
              <w:t xml:space="preserve"> </w:t>
            </w:r>
            <w:bookmarkStart w:id="2" w:name="Date"/>
            <w:bookmarkEnd w:id="2"/>
            <w:r w:rsidRPr="00293B75">
              <w:rPr>
                <w:b w:val="0"/>
                <w:spacing w:val="0"/>
                <w:lang w:val="fr-FR"/>
              </w:rPr>
              <w:t>2</w:t>
            </w:r>
            <w:r w:rsidR="00FE442F" w:rsidRPr="00293B75">
              <w:rPr>
                <w:b w:val="0"/>
                <w:spacing w:val="0"/>
                <w:lang w:val="fr-FR"/>
              </w:rPr>
              <w:t>5 mars 20</w:t>
            </w:r>
            <w:r w:rsidRPr="00293B75">
              <w:rPr>
                <w:b w:val="0"/>
                <w:spacing w:val="0"/>
                <w:lang w:val="fr-FR"/>
              </w:rPr>
              <w:t>15</w:t>
            </w:r>
            <w:bookmarkStart w:id="3" w:name="_GoBack"/>
            <w:bookmarkEnd w:id="3"/>
          </w:p>
        </w:tc>
      </w:tr>
      <w:tr w:rsidR="00293B75" w:rsidRPr="00293B75" w:rsidTr="00916A77">
        <w:tc>
          <w:tcPr>
            <w:tcW w:w="10131" w:type="dxa"/>
            <w:gridSpan w:val="3"/>
          </w:tcPr>
          <w:p w:rsidR="00916A77" w:rsidRPr="00293B75" w:rsidRDefault="00916A77" w:rsidP="007005BA">
            <w:pPr>
              <w:pStyle w:val="upove"/>
              <w:rPr>
                <w:sz w:val="28"/>
                <w:lang w:val="fr-FR"/>
              </w:rPr>
            </w:pPr>
            <w:r w:rsidRPr="00293B75">
              <w:rPr>
                <w:spacing w:val="6"/>
                <w:lang w:val="fr-FR"/>
              </w:rPr>
              <w:t>UNION INTERNATIONALE POUR LA PROTECTION DES OBTENTIONS VÉGÉTALES</w:t>
            </w:r>
          </w:p>
        </w:tc>
      </w:tr>
      <w:tr w:rsidR="00293B75" w:rsidRPr="00293B75" w:rsidTr="00916A77">
        <w:tc>
          <w:tcPr>
            <w:tcW w:w="10131" w:type="dxa"/>
            <w:gridSpan w:val="3"/>
          </w:tcPr>
          <w:p w:rsidR="00916A77" w:rsidRPr="00293B75" w:rsidRDefault="00916A77" w:rsidP="007005BA">
            <w:pPr>
              <w:pStyle w:val="Country"/>
              <w:rPr>
                <w:lang w:val="fr-FR"/>
              </w:rPr>
            </w:pPr>
            <w:r w:rsidRPr="00293B75">
              <w:rPr>
                <w:lang w:val="fr-FR"/>
              </w:rPr>
              <w:t>Genève</w:t>
            </w:r>
          </w:p>
        </w:tc>
      </w:tr>
    </w:tbl>
    <w:p w:rsidR="00AD5031" w:rsidRPr="00293B75" w:rsidRDefault="00916A77" w:rsidP="007005BA">
      <w:pPr>
        <w:pStyle w:val="Sessiontc"/>
        <w:rPr>
          <w:lang w:val="fr-FR"/>
        </w:rPr>
      </w:pPr>
      <w:r w:rsidRPr="00293B75">
        <w:rPr>
          <w:lang w:val="fr-FR"/>
        </w:rPr>
        <w:t>Comité TECHNIQUE</w:t>
      </w:r>
    </w:p>
    <w:p w:rsidR="00AD5031" w:rsidRPr="00293B75" w:rsidRDefault="00916A77" w:rsidP="007005BA">
      <w:pPr>
        <w:pStyle w:val="Sessiontcplacedate"/>
        <w:rPr>
          <w:lang w:val="fr-FR"/>
        </w:rPr>
      </w:pPr>
      <w:r w:rsidRPr="00293B75">
        <w:rPr>
          <w:lang w:val="fr-FR"/>
        </w:rPr>
        <w:t>Cinquante</w:t>
      </w:r>
      <w:r w:rsidR="00004203" w:rsidRPr="00293B75">
        <w:rPr>
          <w:lang w:val="fr-FR"/>
        </w:rPr>
        <w:t> </w:t>
      </w:r>
      <w:r w:rsidRPr="00293B75">
        <w:rPr>
          <w:lang w:val="fr-FR"/>
        </w:rPr>
        <w:t>et</w:t>
      </w:r>
      <w:r w:rsidR="00004203" w:rsidRPr="00293B75">
        <w:rPr>
          <w:lang w:val="fr-FR"/>
        </w:rPr>
        <w:t> </w:t>
      </w:r>
      <w:r w:rsidRPr="00293B75">
        <w:rPr>
          <w:lang w:val="fr-FR"/>
        </w:rPr>
        <w:t>unième</w:t>
      </w:r>
      <w:r w:rsidR="00004203" w:rsidRPr="00293B75">
        <w:rPr>
          <w:lang w:val="fr-FR"/>
        </w:rPr>
        <w:t> </w:t>
      </w:r>
      <w:r w:rsidRPr="00293B75">
        <w:rPr>
          <w:lang w:val="fr-FR"/>
        </w:rPr>
        <w:t xml:space="preserve">session </w:t>
      </w:r>
      <w:r w:rsidRPr="00293B75">
        <w:rPr>
          <w:lang w:val="fr-FR"/>
        </w:rPr>
        <w:br/>
        <w:t>Genève, 23</w:t>
      </w:r>
      <w:r w:rsidR="00666915" w:rsidRPr="00293B75">
        <w:rPr>
          <w:lang w:val="fr-FR"/>
        </w:rPr>
        <w:t xml:space="preserve"> – </w:t>
      </w:r>
      <w:r w:rsidRPr="00293B75">
        <w:rPr>
          <w:lang w:val="fr-FR"/>
        </w:rPr>
        <w:t>2</w:t>
      </w:r>
      <w:r w:rsidR="00FE442F" w:rsidRPr="00293B75">
        <w:rPr>
          <w:lang w:val="fr-FR"/>
        </w:rPr>
        <w:t>5 mars 20</w:t>
      </w:r>
      <w:r w:rsidRPr="00293B75">
        <w:rPr>
          <w:lang w:val="fr-FR"/>
        </w:rPr>
        <w:t>15</w:t>
      </w:r>
    </w:p>
    <w:p w:rsidR="00AD5031" w:rsidRPr="00293B75" w:rsidRDefault="00916A77" w:rsidP="007005BA">
      <w:pPr>
        <w:pStyle w:val="Titleofdoc0"/>
        <w:rPr>
          <w:lang w:val="fr-FR"/>
        </w:rPr>
      </w:pPr>
      <w:bookmarkStart w:id="4" w:name="TitleOfDoc"/>
      <w:bookmarkEnd w:id="4"/>
      <w:r w:rsidRPr="00293B75">
        <w:rPr>
          <w:lang w:val="fr-FR"/>
        </w:rPr>
        <w:t>Compte rendu</w:t>
      </w:r>
    </w:p>
    <w:p w:rsidR="00AD5031" w:rsidRPr="00982FD6" w:rsidRDefault="00916A77" w:rsidP="007005BA">
      <w:pPr>
        <w:pStyle w:val="preparedby1"/>
        <w:rPr>
          <w:color w:val="A6A6A6" w:themeColor="background1" w:themeShade="A6"/>
          <w:lang w:val="fr-FR"/>
        </w:rPr>
      </w:pPr>
      <w:bookmarkStart w:id="5" w:name="Prepared"/>
      <w:bookmarkEnd w:id="5"/>
      <w:proofErr w:type="gramStart"/>
      <w:r w:rsidRPr="00293B75">
        <w:rPr>
          <w:lang w:val="fr-FR"/>
        </w:rPr>
        <w:t>adopté</w:t>
      </w:r>
      <w:proofErr w:type="gramEnd"/>
      <w:r w:rsidRPr="00293B75">
        <w:rPr>
          <w:lang w:val="fr-FR"/>
        </w:rPr>
        <w:t xml:space="preserve"> par le Comité technique</w:t>
      </w:r>
      <w:r w:rsidRPr="00293B75">
        <w:rPr>
          <w:lang w:val="fr-FR"/>
        </w:rPr>
        <w:br/>
      </w:r>
      <w:r w:rsidRPr="00293B75">
        <w:rPr>
          <w:lang w:val="fr-FR"/>
        </w:rPr>
        <w:br/>
      </w:r>
      <w:r w:rsidRPr="00982FD6">
        <w:rPr>
          <w:color w:val="A6A6A6" w:themeColor="background1" w:themeShade="A6"/>
          <w:lang w:val="fr-FR"/>
        </w:rPr>
        <w:t>Avertissement : le présent document ne représente pas les principes ou les orientations de l</w:t>
      </w:r>
      <w:r w:rsidR="00FE442F" w:rsidRPr="00982FD6">
        <w:rPr>
          <w:color w:val="A6A6A6" w:themeColor="background1" w:themeShade="A6"/>
          <w:lang w:val="fr-FR"/>
        </w:rPr>
        <w:t>’</w:t>
      </w:r>
      <w:r w:rsidRPr="00982FD6">
        <w:rPr>
          <w:color w:val="A6A6A6" w:themeColor="background1" w:themeShade="A6"/>
          <w:lang w:val="fr-FR"/>
        </w:rPr>
        <w:t>UPOV</w:t>
      </w:r>
    </w:p>
    <w:p w:rsidR="00AD5031" w:rsidRPr="00293B75" w:rsidRDefault="00916A77" w:rsidP="007005BA">
      <w:pPr>
        <w:rPr>
          <w:snapToGrid w:val="0"/>
          <w:u w:val="single"/>
          <w:lang w:val="fr-FR"/>
        </w:rPr>
      </w:pPr>
      <w:r w:rsidRPr="00293B75">
        <w:rPr>
          <w:snapToGrid w:val="0"/>
          <w:u w:val="single"/>
          <w:lang w:val="fr-FR"/>
        </w:rPr>
        <w:t>Ouverture de la session</w:t>
      </w:r>
    </w:p>
    <w:p w:rsidR="00AD5031" w:rsidRPr="00293B75" w:rsidRDefault="00AD5031" w:rsidP="007005BA">
      <w:pPr>
        <w:rPr>
          <w:snapToGrid w:val="0"/>
          <w:u w:val="single"/>
          <w:lang w:val="fr-FR"/>
        </w:rPr>
      </w:pPr>
    </w:p>
    <w:p w:rsidR="00AD5031" w:rsidRPr="00293B75" w:rsidRDefault="008D7F10" w:rsidP="007005BA">
      <w:pPr>
        <w:rPr>
          <w:lang w:val="fr-FR"/>
        </w:rPr>
      </w:pPr>
      <w:r w:rsidRPr="00293B75">
        <w:rPr>
          <w:lang w:val="fr-FR"/>
        </w:rPr>
        <w:fldChar w:fldCharType="begin"/>
      </w:r>
      <w:r w:rsidRPr="00293B75">
        <w:rPr>
          <w:lang w:val="fr-FR"/>
        </w:rPr>
        <w:instrText xml:space="preserve"> AUTONUM  \* Arabic </w:instrText>
      </w:r>
      <w:r w:rsidRPr="00293B75">
        <w:rPr>
          <w:lang w:val="fr-FR"/>
        </w:rPr>
        <w:fldChar w:fldCharType="end"/>
      </w:r>
      <w:r w:rsidRPr="00293B75">
        <w:rPr>
          <w:lang w:val="fr-FR"/>
        </w:rPr>
        <w:tab/>
      </w:r>
      <w:r w:rsidR="00916A77" w:rsidRPr="00293B75">
        <w:rPr>
          <w:lang w:val="fr-FR"/>
        </w:rPr>
        <w:t xml:space="preserve">Le Comité technique </w:t>
      </w:r>
      <w:r w:rsidRPr="00293B75">
        <w:rPr>
          <w:lang w:val="fr-FR"/>
        </w:rPr>
        <w:t xml:space="preserve">(TC) </w:t>
      </w:r>
      <w:r w:rsidR="00916A77" w:rsidRPr="00293B75">
        <w:rPr>
          <w:lang w:val="fr-FR"/>
        </w:rPr>
        <w:t xml:space="preserve">a tenu sa cinquante et unième session à Genève du </w:t>
      </w:r>
      <w:r w:rsidR="007A0026" w:rsidRPr="00293B75">
        <w:rPr>
          <w:lang w:val="fr-FR"/>
        </w:rPr>
        <w:t>23</w:t>
      </w:r>
      <w:r w:rsidRPr="00293B75">
        <w:rPr>
          <w:lang w:val="fr-FR"/>
        </w:rPr>
        <w:t> </w:t>
      </w:r>
      <w:r w:rsidR="00916A77" w:rsidRPr="00293B75">
        <w:rPr>
          <w:lang w:val="fr-FR"/>
        </w:rPr>
        <w:t>au</w:t>
      </w:r>
      <w:r w:rsidRPr="00293B75">
        <w:rPr>
          <w:lang w:val="fr-FR"/>
        </w:rPr>
        <w:t> </w:t>
      </w:r>
      <w:r w:rsidR="007A0026" w:rsidRPr="00293B75">
        <w:rPr>
          <w:lang w:val="fr-FR"/>
        </w:rPr>
        <w:t>25</w:t>
      </w:r>
      <w:r w:rsidR="00916A77" w:rsidRPr="00293B75">
        <w:rPr>
          <w:lang w:val="fr-FR"/>
        </w:rPr>
        <w:t> mars </w:t>
      </w:r>
      <w:r w:rsidRPr="00293B75">
        <w:rPr>
          <w:lang w:val="fr-FR"/>
        </w:rPr>
        <w:t>201</w:t>
      </w:r>
      <w:r w:rsidR="007A0026" w:rsidRPr="00293B75">
        <w:rPr>
          <w:lang w:val="fr-FR"/>
        </w:rPr>
        <w:t>5</w:t>
      </w:r>
      <w:r w:rsidRPr="00293B75">
        <w:rPr>
          <w:lang w:val="fr-FR"/>
        </w:rPr>
        <w:t xml:space="preserve">.  </w:t>
      </w:r>
      <w:r w:rsidR="00916A77" w:rsidRPr="00293B75">
        <w:rPr>
          <w:lang w:val="fr-FR"/>
        </w:rPr>
        <w:t>La liste des participants fait l</w:t>
      </w:r>
      <w:r w:rsidR="00FE442F" w:rsidRPr="00293B75">
        <w:rPr>
          <w:lang w:val="fr-FR"/>
        </w:rPr>
        <w:t>’</w:t>
      </w:r>
      <w:r w:rsidR="00916A77" w:rsidRPr="00293B75">
        <w:rPr>
          <w:lang w:val="fr-FR"/>
        </w:rPr>
        <w:t>objet de l</w:t>
      </w:r>
      <w:r w:rsidR="00FE442F" w:rsidRPr="00293B75">
        <w:rPr>
          <w:lang w:val="fr-FR"/>
        </w:rPr>
        <w:t>’</w:t>
      </w:r>
      <w:r w:rsidR="00916A77" w:rsidRPr="00293B75">
        <w:rPr>
          <w:lang w:val="fr-FR"/>
        </w:rPr>
        <w:t>annexe I du présent compte rendu.</w:t>
      </w:r>
    </w:p>
    <w:p w:rsidR="00AD5031" w:rsidRPr="00293B75" w:rsidRDefault="00AD5031" w:rsidP="007005BA">
      <w:pPr>
        <w:rPr>
          <w:snapToGrid w:val="0"/>
          <w:lang w:val="fr-FR"/>
        </w:rPr>
      </w:pPr>
    </w:p>
    <w:p w:rsidR="00AD5031" w:rsidRPr="00293B75" w:rsidRDefault="008D7F10" w:rsidP="007005BA">
      <w:pPr>
        <w:rPr>
          <w:lang w:val="fr-FR"/>
        </w:rPr>
      </w:pPr>
      <w:r w:rsidRPr="00293B75">
        <w:rPr>
          <w:lang w:val="fr-FR"/>
        </w:rPr>
        <w:fldChar w:fldCharType="begin"/>
      </w:r>
      <w:r w:rsidRPr="00293B75">
        <w:rPr>
          <w:lang w:val="fr-FR"/>
        </w:rPr>
        <w:instrText xml:space="preserve"> AUTONUM  \* Arabic </w:instrText>
      </w:r>
      <w:r w:rsidRPr="00293B75">
        <w:rPr>
          <w:lang w:val="fr-FR"/>
        </w:rPr>
        <w:fldChar w:fldCharType="end"/>
      </w:r>
      <w:r w:rsidRPr="00293B75">
        <w:rPr>
          <w:lang w:val="fr-FR"/>
        </w:rPr>
        <w:tab/>
      </w:r>
      <w:r w:rsidR="00666915" w:rsidRPr="00293B75">
        <w:rPr>
          <w:lang w:val="fr-FR"/>
        </w:rPr>
        <w:t>M.</w:t>
      </w:r>
      <w:r w:rsidR="00004203" w:rsidRPr="00293B75">
        <w:rPr>
          <w:lang w:val="fr-FR"/>
        </w:rPr>
        <w:t> </w:t>
      </w:r>
      <w:r w:rsidR="00666915" w:rsidRPr="00293B75">
        <w:rPr>
          <w:lang w:val="fr-FR"/>
        </w:rPr>
        <w:t>Alejandro Barrientos Priego (Mexique), président du</w:t>
      </w:r>
      <w:r w:rsidR="00FE442F" w:rsidRPr="00293B75">
        <w:rPr>
          <w:lang w:val="fr-FR"/>
        </w:rPr>
        <w:t> TC</w:t>
      </w:r>
      <w:r w:rsidR="00666915" w:rsidRPr="00293B75">
        <w:rPr>
          <w:lang w:val="fr-FR"/>
        </w:rPr>
        <w:t>, ouvre la session en souhaitant la bienvenue aux participants.</w:t>
      </w:r>
    </w:p>
    <w:p w:rsidR="00AD5031" w:rsidRPr="00293B75" w:rsidRDefault="00AD5031" w:rsidP="007005BA">
      <w:pPr>
        <w:rPr>
          <w:snapToGrid w:val="0"/>
          <w:lang w:val="fr-FR"/>
        </w:rPr>
      </w:pPr>
    </w:p>
    <w:p w:rsidR="00FE442F" w:rsidRPr="00293B75" w:rsidRDefault="000726E6" w:rsidP="007005BA">
      <w:pPr>
        <w:rPr>
          <w:snapToGrid w:val="0"/>
          <w:lang w:val="fr-FR"/>
        </w:rPr>
      </w:pPr>
      <w:r w:rsidRPr="00293B75">
        <w:rPr>
          <w:snapToGrid w:val="0"/>
          <w:lang w:val="fr-FR"/>
        </w:rPr>
        <w:fldChar w:fldCharType="begin"/>
      </w:r>
      <w:r w:rsidRPr="00293B75">
        <w:rPr>
          <w:snapToGrid w:val="0"/>
          <w:lang w:val="fr-FR"/>
        </w:rPr>
        <w:instrText xml:space="preserve"> AUTONUM  </w:instrText>
      </w:r>
      <w:r w:rsidRPr="00293B75">
        <w:rPr>
          <w:snapToGrid w:val="0"/>
          <w:lang w:val="fr-FR"/>
        </w:rPr>
        <w:fldChar w:fldCharType="end"/>
      </w:r>
      <w:r w:rsidRPr="00293B75">
        <w:rPr>
          <w:snapToGrid w:val="0"/>
          <w:lang w:val="fr-FR"/>
        </w:rPr>
        <w:tab/>
      </w:r>
      <w:r w:rsidR="006F1931" w:rsidRPr="00293B75">
        <w:rPr>
          <w:snapToGrid w:val="0"/>
          <w:lang w:val="fr-FR"/>
        </w:rPr>
        <w:t xml:space="preserve">Le </w:t>
      </w:r>
      <w:r w:rsidR="00BA51CF" w:rsidRPr="00293B75">
        <w:rPr>
          <w:snapToGrid w:val="0"/>
          <w:lang w:val="fr-FR"/>
        </w:rPr>
        <w:t>président</w:t>
      </w:r>
      <w:r w:rsidR="006F1931" w:rsidRPr="00293B75">
        <w:rPr>
          <w:snapToGrid w:val="0"/>
          <w:lang w:val="fr-FR"/>
        </w:rPr>
        <w:t xml:space="preserve"> indique que l</w:t>
      </w:r>
      <w:r w:rsidR="00FE442F" w:rsidRPr="00293B75">
        <w:rPr>
          <w:snapToGrid w:val="0"/>
          <w:lang w:val="fr-FR"/>
        </w:rPr>
        <w:t>’</w:t>
      </w:r>
      <w:r w:rsidR="006F1931" w:rsidRPr="00293B75">
        <w:rPr>
          <w:snapToGrid w:val="0"/>
          <w:lang w:val="fr-FR"/>
        </w:rPr>
        <w:t>Organisation africaine de la propriété intellectuelle (OAPI) a déposé son instrument d</w:t>
      </w:r>
      <w:r w:rsidR="00FE442F" w:rsidRPr="00293B75">
        <w:rPr>
          <w:snapToGrid w:val="0"/>
          <w:lang w:val="fr-FR"/>
        </w:rPr>
        <w:t>’</w:t>
      </w:r>
      <w:r w:rsidR="006F1931" w:rsidRPr="00293B75">
        <w:rPr>
          <w:snapToGrid w:val="0"/>
          <w:lang w:val="fr-FR"/>
        </w:rPr>
        <w:t>adhésion à l</w:t>
      </w:r>
      <w:r w:rsidR="00FE442F" w:rsidRPr="00293B75">
        <w:rPr>
          <w:snapToGrid w:val="0"/>
          <w:lang w:val="fr-FR"/>
        </w:rPr>
        <w:t>’</w:t>
      </w:r>
      <w:r w:rsidR="006F1931" w:rsidRPr="00293B75">
        <w:rPr>
          <w:snapToGrid w:val="0"/>
          <w:lang w:val="fr-FR"/>
        </w:rPr>
        <w:t>Acte de</w:t>
      </w:r>
      <w:r w:rsidR="00004203" w:rsidRPr="00293B75">
        <w:rPr>
          <w:snapToGrid w:val="0"/>
          <w:lang w:val="fr-FR"/>
        </w:rPr>
        <w:t> </w:t>
      </w:r>
      <w:r w:rsidR="006F1931" w:rsidRPr="00293B75">
        <w:rPr>
          <w:snapToGrid w:val="0"/>
          <w:lang w:val="fr-FR"/>
        </w:rPr>
        <w:t xml:space="preserve">1991 de la </w:t>
      </w:r>
      <w:r w:rsidR="00FE442F" w:rsidRPr="00293B75">
        <w:rPr>
          <w:snapToGrid w:val="0"/>
          <w:lang w:val="fr-FR"/>
        </w:rPr>
        <w:t>Convention UPOV</w:t>
      </w:r>
      <w:r w:rsidR="006F1931" w:rsidRPr="00293B75">
        <w:rPr>
          <w:snapToGrid w:val="0"/>
          <w:lang w:val="fr-FR"/>
        </w:rPr>
        <w:t xml:space="preserve"> le 1</w:t>
      </w:r>
      <w:r w:rsidR="00FE442F" w:rsidRPr="00293B75">
        <w:rPr>
          <w:snapToGrid w:val="0"/>
          <w:lang w:val="fr-FR"/>
        </w:rPr>
        <w:t>0 juin 20</w:t>
      </w:r>
      <w:r w:rsidR="006F1931" w:rsidRPr="00293B75">
        <w:rPr>
          <w:snapToGrid w:val="0"/>
          <w:lang w:val="fr-FR"/>
        </w:rPr>
        <w:t>14 et est le soixante</w:t>
      </w:r>
      <w:r w:rsidR="005535E5" w:rsidRPr="00293B75">
        <w:rPr>
          <w:snapToGrid w:val="0"/>
          <w:lang w:val="fr-FR"/>
        </w:rPr>
        <w:noBreakHyphen/>
      </w:r>
      <w:r w:rsidR="006F1931" w:rsidRPr="00293B75">
        <w:rPr>
          <w:snapToGrid w:val="0"/>
          <w:lang w:val="fr-FR"/>
        </w:rPr>
        <w:t>douzième membre de l</w:t>
      </w:r>
      <w:r w:rsidR="00FE442F" w:rsidRPr="00293B75">
        <w:rPr>
          <w:snapToGrid w:val="0"/>
          <w:lang w:val="fr-FR"/>
        </w:rPr>
        <w:t>’</w:t>
      </w:r>
      <w:r w:rsidR="006F1931" w:rsidRPr="00293B75">
        <w:rPr>
          <w:snapToGrid w:val="0"/>
          <w:lang w:val="fr-FR"/>
        </w:rPr>
        <w:t>UPOV le 1</w:t>
      </w:r>
      <w:r w:rsidR="00FE442F" w:rsidRPr="00293B75">
        <w:rPr>
          <w:snapToGrid w:val="0"/>
          <w:lang w:val="fr-FR"/>
        </w:rPr>
        <w:t>0 juillet 20</w:t>
      </w:r>
      <w:r w:rsidR="006F1931" w:rsidRPr="00293B75">
        <w:rPr>
          <w:snapToGrid w:val="0"/>
          <w:lang w:val="fr-FR"/>
        </w:rPr>
        <w:t>14.</w:t>
      </w:r>
    </w:p>
    <w:p w:rsidR="00AD5031" w:rsidRPr="00293B75" w:rsidRDefault="00AD5031" w:rsidP="007005BA">
      <w:pPr>
        <w:rPr>
          <w:snapToGrid w:val="0"/>
          <w:lang w:val="fr-FR"/>
        </w:rPr>
      </w:pPr>
    </w:p>
    <w:p w:rsidR="00B6238F" w:rsidRPr="00293B75" w:rsidRDefault="008D7F10" w:rsidP="007005BA">
      <w:pPr>
        <w:rPr>
          <w:lang w:val="fr-FR"/>
        </w:rPr>
      </w:pPr>
      <w:r w:rsidRPr="00293B75">
        <w:rPr>
          <w:lang w:val="fr-FR"/>
        </w:rPr>
        <w:fldChar w:fldCharType="begin"/>
      </w:r>
      <w:r w:rsidRPr="00293B75">
        <w:rPr>
          <w:lang w:val="fr-FR"/>
        </w:rPr>
        <w:instrText xml:space="preserve"> AUTONUM  \* Arabic </w:instrText>
      </w:r>
      <w:r w:rsidRPr="00293B75">
        <w:rPr>
          <w:lang w:val="fr-FR"/>
        </w:rPr>
        <w:fldChar w:fldCharType="end"/>
      </w:r>
      <w:r w:rsidRPr="00293B75">
        <w:rPr>
          <w:lang w:val="fr-FR"/>
        </w:rPr>
        <w:tab/>
      </w:r>
      <w:r w:rsidR="00B6238F" w:rsidRPr="00293B75">
        <w:rPr>
          <w:lang w:val="fr-FR"/>
        </w:rPr>
        <w:t xml:space="preserve">Le </w:t>
      </w:r>
      <w:r w:rsidR="00BA51CF" w:rsidRPr="00293B75">
        <w:rPr>
          <w:lang w:val="fr-FR"/>
        </w:rPr>
        <w:t>président</w:t>
      </w:r>
      <w:r w:rsidR="00B6238F" w:rsidRPr="00293B75">
        <w:rPr>
          <w:lang w:val="fr-FR"/>
        </w:rPr>
        <w:t xml:space="preserve"> annonce que le statut d</w:t>
      </w:r>
      <w:r w:rsidR="00FE442F" w:rsidRPr="00293B75">
        <w:rPr>
          <w:lang w:val="fr-FR"/>
        </w:rPr>
        <w:t>’</w:t>
      </w:r>
      <w:r w:rsidR="00BA51CF" w:rsidRPr="00293B75">
        <w:rPr>
          <w:lang w:val="fr-FR"/>
        </w:rPr>
        <w:t>observateur</w:t>
      </w:r>
      <w:r w:rsidR="00B6238F" w:rsidRPr="00293B75">
        <w:rPr>
          <w:lang w:val="fr-FR"/>
        </w:rPr>
        <w:t xml:space="preserve"> a été accordé au Centre Sud, auprès du Conseil et du Comité administratif et juridique (CAJ), et à l</w:t>
      </w:r>
      <w:r w:rsidR="00FE442F" w:rsidRPr="00293B75">
        <w:rPr>
          <w:lang w:val="fr-FR"/>
        </w:rPr>
        <w:t>’</w:t>
      </w:r>
      <w:r w:rsidR="00B6238F" w:rsidRPr="00293B75">
        <w:rPr>
          <w:lang w:val="fr-FR"/>
        </w:rPr>
        <w:t>Organisation mondiale des agriculteurs (OMA), auprès du Conseil,</w:t>
      </w:r>
      <w:r w:rsidR="00FE442F" w:rsidRPr="00293B75">
        <w:rPr>
          <w:lang w:val="fr-FR"/>
        </w:rPr>
        <w:t xml:space="preserve"> du CAJ</w:t>
      </w:r>
      <w:r w:rsidR="00B6238F" w:rsidRPr="00293B75">
        <w:rPr>
          <w:lang w:val="fr-FR"/>
        </w:rPr>
        <w:t xml:space="preserve"> et du Comité technique (TC).</w:t>
      </w:r>
    </w:p>
    <w:p w:rsidR="00AD5031" w:rsidRPr="00293B75" w:rsidRDefault="00AD5031" w:rsidP="007005BA">
      <w:pPr>
        <w:tabs>
          <w:tab w:val="left" w:pos="1070"/>
        </w:tabs>
        <w:rPr>
          <w:snapToGrid w:val="0"/>
          <w:lang w:val="fr-FR"/>
        </w:rPr>
      </w:pPr>
    </w:p>
    <w:p w:rsidR="00FE442F" w:rsidRPr="00293B75" w:rsidRDefault="008D7F10"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r>
      <w:r w:rsidR="00221A25" w:rsidRPr="00293B75">
        <w:rPr>
          <w:lang w:val="fr-FR"/>
        </w:rPr>
        <w:t xml:space="preserve">Le </w:t>
      </w:r>
      <w:r w:rsidR="00BA51CF" w:rsidRPr="00293B75">
        <w:rPr>
          <w:lang w:val="fr-FR"/>
        </w:rPr>
        <w:t>président</w:t>
      </w:r>
      <w:r w:rsidR="00221A25" w:rsidRPr="00293B75">
        <w:rPr>
          <w:lang w:val="fr-FR"/>
        </w:rPr>
        <w:t xml:space="preserve"> confirme </w:t>
      </w:r>
      <w:r w:rsidR="00E42DFA" w:rsidRPr="00293B75">
        <w:rPr>
          <w:lang w:val="fr-FR"/>
        </w:rPr>
        <w:t>que le compte rendu de la cinquantième</w:t>
      </w:r>
      <w:r w:rsidR="00004203" w:rsidRPr="00293B75">
        <w:rPr>
          <w:lang w:val="fr-FR"/>
        </w:rPr>
        <w:t> </w:t>
      </w:r>
      <w:r w:rsidR="00E42DFA" w:rsidRPr="00293B75">
        <w:rPr>
          <w:lang w:val="fr-FR"/>
        </w:rPr>
        <w:t xml:space="preserve">session du </w:t>
      </w:r>
      <w:r w:rsidR="008C0C92" w:rsidRPr="00293B75">
        <w:rPr>
          <w:lang w:val="fr-FR"/>
        </w:rPr>
        <w:t>TC</w:t>
      </w:r>
      <w:r w:rsidR="00E42DFA" w:rsidRPr="00293B75">
        <w:rPr>
          <w:lang w:val="fr-FR"/>
        </w:rPr>
        <w:t xml:space="preserve">, tenue à Genève </w:t>
      </w:r>
      <w:r w:rsidR="00096CD1">
        <w:rPr>
          <w:lang w:val="fr-FR"/>
        </w:rPr>
        <w:br/>
      </w:r>
      <w:r w:rsidR="00E42DFA" w:rsidRPr="00293B75">
        <w:rPr>
          <w:lang w:val="fr-FR"/>
        </w:rPr>
        <w:t xml:space="preserve">du 7 au </w:t>
      </w:r>
      <w:r w:rsidR="00FE442F" w:rsidRPr="00293B75">
        <w:rPr>
          <w:lang w:val="fr-FR"/>
        </w:rPr>
        <w:t>9 avril 20</w:t>
      </w:r>
      <w:r w:rsidR="00E42DFA" w:rsidRPr="00293B75">
        <w:rPr>
          <w:lang w:val="fr-FR"/>
        </w:rPr>
        <w:t>14 (</w:t>
      </w:r>
      <w:r w:rsidR="00FE442F" w:rsidRPr="00293B75">
        <w:rPr>
          <w:lang w:val="fr-FR"/>
        </w:rPr>
        <w:t>document TC</w:t>
      </w:r>
      <w:r w:rsidR="00E42DFA" w:rsidRPr="00293B75">
        <w:rPr>
          <w:lang w:val="fr-FR"/>
        </w:rPr>
        <w:t>/50/37), a été approuvé par correspondance et qu</w:t>
      </w:r>
      <w:r w:rsidR="00FE442F" w:rsidRPr="00293B75">
        <w:rPr>
          <w:lang w:val="fr-FR"/>
        </w:rPr>
        <w:t>’</w:t>
      </w:r>
      <w:r w:rsidR="00E42DFA" w:rsidRPr="00293B75">
        <w:rPr>
          <w:lang w:val="fr-FR"/>
        </w:rPr>
        <w:t>il est disponible sur le site</w:t>
      </w:r>
      <w:r w:rsidR="00004203" w:rsidRPr="00293B75">
        <w:rPr>
          <w:lang w:val="fr-FR"/>
        </w:rPr>
        <w:t> </w:t>
      </w:r>
      <w:r w:rsidR="00E42DFA" w:rsidRPr="00293B75">
        <w:rPr>
          <w:lang w:val="fr-FR"/>
        </w:rPr>
        <w:t>Web de l</w:t>
      </w:r>
      <w:r w:rsidR="00FE442F" w:rsidRPr="00293B75">
        <w:rPr>
          <w:lang w:val="fr-FR"/>
        </w:rPr>
        <w:t>’</w:t>
      </w:r>
      <w:r w:rsidR="00E42DFA" w:rsidRPr="00293B75">
        <w:rPr>
          <w:lang w:val="fr-FR"/>
        </w:rPr>
        <w:t>UPOV.</w:t>
      </w:r>
    </w:p>
    <w:p w:rsidR="00AD5031" w:rsidRPr="00293B75" w:rsidRDefault="00AD5031" w:rsidP="007005BA">
      <w:pPr>
        <w:rPr>
          <w:lang w:val="fr-FR"/>
        </w:rPr>
      </w:pPr>
    </w:p>
    <w:p w:rsidR="00AD5031" w:rsidRPr="00293B75" w:rsidRDefault="00D00E3D"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r>
      <w:r w:rsidR="008C0C92" w:rsidRPr="00293B75">
        <w:rPr>
          <w:lang w:val="fr-FR"/>
        </w:rPr>
        <w:t>L</w:t>
      </w:r>
      <w:r w:rsidRPr="00293B75">
        <w:rPr>
          <w:lang w:val="fr-FR"/>
        </w:rPr>
        <w:t>e</w:t>
      </w:r>
      <w:r w:rsidR="00FE442F" w:rsidRPr="00293B75">
        <w:rPr>
          <w:lang w:val="fr-FR"/>
        </w:rPr>
        <w:t> TC</w:t>
      </w:r>
      <w:r w:rsidRPr="00293B75">
        <w:rPr>
          <w:lang w:val="fr-FR"/>
        </w:rPr>
        <w:t xml:space="preserve"> note</w:t>
      </w:r>
      <w:r w:rsidR="008C0C92" w:rsidRPr="00293B75">
        <w:rPr>
          <w:lang w:val="fr-FR"/>
        </w:rPr>
        <w:t xml:space="preserve"> que les copies papier des documents devant être examinés </w:t>
      </w:r>
      <w:r w:rsidR="00F87FFA" w:rsidRPr="00293B75">
        <w:rPr>
          <w:lang w:val="fr-FR"/>
        </w:rPr>
        <w:t>durant la session</w:t>
      </w:r>
      <w:r w:rsidR="008C0C92" w:rsidRPr="00293B75">
        <w:rPr>
          <w:lang w:val="fr-FR"/>
        </w:rPr>
        <w:t xml:space="preserve"> ne seront pas imprimées et que les participants sont priés d’amener leurs propres copies papier s’ils en ont besoi</w:t>
      </w:r>
      <w:r w:rsidR="00096CD1">
        <w:rPr>
          <w:lang w:val="fr-FR"/>
        </w:rPr>
        <w:t>n.  Le </w:t>
      </w:r>
      <w:r w:rsidR="008C0C92" w:rsidRPr="00293B75">
        <w:rPr>
          <w:lang w:val="fr-FR"/>
        </w:rPr>
        <w:t>TC note également que la liste des participants sera simplifiée</w:t>
      </w:r>
      <w:r w:rsidRPr="00293B75">
        <w:rPr>
          <w:lang w:val="fr-FR"/>
        </w:rPr>
        <w:t xml:space="preserve"> </w:t>
      </w:r>
      <w:r w:rsidR="008C0C92" w:rsidRPr="00293B75">
        <w:rPr>
          <w:lang w:val="fr-FR"/>
        </w:rPr>
        <w:t>et ne contiendra pas de photos des participants</w:t>
      </w:r>
      <w:r w:rsidRPr="00293B75">
        <w:rPr>
          <w:lang w:val="fr-FR"/>
        </w:rPr>
        <w:t>.</w:t>
      </w:r>
    </w:p>
    <w:p w:rsidR="00AD5031" w:rsidRPr="00293B75" w:rsidRDefault="00AD5031" w:rsidP="007005BA">
      <w:pPr>
        <w:jc w:val="left"/>
        <w:rPr>
          <w:lang w:val="fr-FR"/>
        </w:rPr>
      </w:pPr>
    </w:p>
    <w:p w:rsidR="00AD5031" w:rsidRPr="00293B75" w:rsidRDefault="00AD5031" w:rsidP="007005BA">
      <w:pPr>
        <w:jc w:val="left"/>
        <w:rPr>
          <w:lang w:val="fr-FR"/>
        </w:rPr>
      </w:pPr>
    </w:p>
    <w:p w:rsidR="00AD5031" w:rsidRPr="00293B75" w:rsidRDefault="00666915" w:rsidP="007005BA">
      <w:pPr>
        <w:rPr>
          <w:u w:val="single"/>
          <w:lang w:val="fr-FR"/>
        </w:rPr>
      </w:pPr>
      <w:r w:rsidRPr="00293B75">
        <w:rPr>
          <w:u w:val="single"/>
          <w:lang w:val="fr-FR"/>
        </w:rPr>
        <w:t>Adoption de l</w:t>
      </w:r>
      <w:r w:rsidR="00FE442F" w:rsidRPr="00293B75">
        <w:rPr>
          <w:u w:val="single"/>
          <w:lang w:val="fr-FR"/>
        </w:rPr>
        <w:t>’</w:t>
      </w:r>
      <w:r w:rsidRPr="00293B75">
        <w:rPr>
          <w:u w:val="single"/>
          <w:lang w:val="fr-FR"/>
        </w:rPr>
        <w:t>ordre du jour</w:t>
      </w:r>
    </w:p>
    <w:p w:rsidR="00AD5031" w:rsidRPr="00293B75" w:rsidRDefault="00AD5031" w:rsidP="007005BA">
      <w:pPr>
        <w:rPr>
          <w:lang w:val="fr-FR"/>
        </w:rPr>
      </w:pPr>
    </w:p>
    <w:p w:rsidR="00AD5031" w:rsidRPr="00293B75" w:rsidRDefault="008D7F10" w:rsidP="007005BA">
      <w:pPr>
        <w:rPr>
          <w:lang w:val="fr-FR"/>
        </w:rPr>
      </w:pPr>
      <w:r w:rsidRPr="00293B75">
        <w:rPr>
          <w:lang w:val="fr-FR"/>
        </w:rPr>
        <w:fldChar w:fldCharType="begin"/>
      </w:r>
      <w:r w:rsidRPr="00293B75">
        <w:rPr>
          <w:lang w:val="fr-FR"/>
        </w:rPr>
        <w:instrText xml:space="preserve"> AUTONUM  \* Arabic </w:instrText>
      </w:r>
      <w:r w:rsidRPr="00293B75">
        <w:rPr>
          <w:lang w:val="fr-FR"/>
        </w:rPr>
        <w:fldChar w:fldCharType="end"/>
      </w:r>
      <w:r w:rsidRPr="00293B75">
        <w:rPr>
          <w:lang w:val="fr-FR"/>
        </w:rPr>
        <w:tab/>
      </w:r>
      <w:r w:rsidR="00666915" w:rsidRPr="00293B75">
        <w:rPr>
          <w:lang w:val="fr-FR"/>
        </w:rPr>
        <w:t>Le comité adopte l</w:t>
      </w:r>
      <w:r w:rsidR="00FE442F" w:rsidRPr="00293B75">
        <w:rPr>
          <w:lang w:val="fr-FR"/>
        </w:rPr>
        <w:t>’</w:t>
      </w:r>
      <w:r w:rsidR="00666915" w:rsidRPr="00293B75">
        <w:rPr>
          <w:lang w:val="fr-FR"/>
        </w:rPr>
        <w:t>ordre du jour tel qu</w:t>
      </w:r>
      <w:r w:rsidR="00FE442F" w:rsidRPr="00293B75">
        <w:rPr>
          <w:lang w:val="fr-FR"/>
        </w:rPr>
        <w:t>’</w:t>
      </w:r>
      <w:r w:rsidR="00666915" w:rsidRPr="00293B75">
        <w:rPr>
          <w:lang w:val="fr-FR"/>
        </w:rPr>
        <w:t xml:space="preserve">il figure dans le </w:t>
      </w:r>
      <w:r w:rsidR="00FE442F" w:rsidRPr="00293B75">
        <w:rPr>
          <w:lang w:val="fr-FR"/>
        </w:rPr>
        <w:t>document TC</w:t>
      </w:r>
      <w:r w:rsidR="00666915" w:rsidRPr="00293B75">
        <w:rPr>
          <w:lang w:val="fr-FR"/>
        </w:rPr>
        <w:t>/51/1</w:t>
      </w:r>
      <w:r w:rsidR="00004203" w:rsidRPr="00293B75">
        <w:rPr>
          <w:lang w:val="fr-FR"/>
        </w:rPr>
        <w:t> </w:t>
      </w:r>
      <w:r w:rsidR="00666915" w:rsidRPr="00293B75">
        <w:rPr>
          <w:lang w:val="fr-FR"/>
        </w:rPr>
        <w:t>Rev.</w:t>
      </w:r>
    </w:p>
    <w:p w:rsidR="00AD5031" w:rsidRPr="00293B75" w:rsidRDefault="00AD5031" w:rsidP="007005BA">
      <w:pPr>
        <w:rPr>
          <w:snapToGrid w:val="0"/>
          <w:lang w:val="fr-FR"/>
        </w:rPr>
      </w:pPr>
    </w:p>
    <w:p w:rsidR="00541EC1" w:rsidRPr="00293B75" w:rsidRDefault="00541EC1" w:rsidP="007005BA">
      <w:pPr>
        <w:pStyle w:val="Heading2"/>
        <w:rPr>
          <w:lang w:val="fr-FR"/>
        </w:rPr>
      </w:pPr>
    </w:p>
    <w:p w:rsidR="00AD5031" w:rsidRPr="00293B75" w:rsidRDefault="00666915" w:rsidP="007005BA">
      <w:pPr>
        <w:pStyle w:val="Heading2"/>
        <w:rPr>
          <w:lang w:val="fr-FR"/>
        </w:rPr>
      </w:pPr>
      <w:r w:rsidRPr="00293B75">
        <w:rPr>
          <w:lang w:val="fr-FR"/>
        </w:rPr>
        <w:t>Rapport sur les faits nouveaux survenus au sein de l</w:t>
      </w:r>
      <w:r w:rsidR="00FE442F" w:rsidRPr="00293B75">
        <w:rPr>
          <w:lang w:val="fr-FR"/>
        </w:rPr>
        <w:t>’</w:t>
      </w:r>
      <w:r w:rsidRPr="00293B75">
        <w:rPr>
          <w:lang w:val="fr-FR"/>
        </w:rPr>
        <w:t xml:space="preserve">UPOV, </w:t>
      </w:r>
      <w:r w:rsidR="00FE442F" w:rsidRPr="00293B75">
        <w:rPr>
          <w:lang w:val="fr-FR"/>
        </w:rPr>
        <w:t>y compris</w:t>
      </w:r>
      <w:r w:rsidRPr="00293B75">
        <w:rPr>
          <w:lang w:val="fr-FR"/>
        </w:rPr>
        <w:t xml:space="preserve"> certaines questions examinées lors des dernières sessions du Comité administratif et juridique, du Comité consultatif et du Conseil (rapport verbal du secrétaire général adjoint)</w:t>
      </w:r>
    </w:p>
    <w:p w:rsidR="00AD5031" w:rsidRPr="00293B75" w:rsidRDefault="00AD5031" w:rsidP="007005BA">
      <w:pPr>
        <w:keepNext/>
        <w:rPr>
          <w:snapToGrid w:val="0"/>
          <w:lang w:val="fr-FR"/>
        </w:rPr>
      </w:pPr>
    </w:p>
    <w:p w:rsidR="00FE442F" w:rsidRPr="00293B75" w:rsidRDefault="008D7F10" w:rsidP="007005BA">
      <w:pPr>
        <w:keepNext/>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r>
      <w:r w:rsidR="00806489" w:rsidRPr="00293B75">
        <w:rPr>
          <w:lang w:val="fr-FR"/>
        </w:rPr>
        <w:t>Le</w:t>
      </w:r>
      <w:r w:rsidR="00FE442F" w:rsidRPr="00293B75">
        <w:rPr>
          <w:lang w:val="fr-FR"/>
        </w:rPr>
        <w:t> TC</w:t>
      </w:r>
      <w:r w:rsidR="00806489" w:rsidRPr="00293B75">
        <w:rPr>
          <w:lang w:val="fr-FR"/>
        </w:rPr>
        <w:t xml:space="preserve"> examine le </w:t>
      </w:r>
      <w:r w:rsidR="00FE442F" w:rsidRPr="00293B75">
        <w:rPr>
          <w:lang w:val="fr-FR"/>
        </w:rPr>
        <w:t>document TC</w:t>
      </w:r>
      <w:r w:rsidR="000D14A8" w:rsidRPr="00293B75">
        <w:rPr>
          <w:lang w:val="fr-FR"/>
        </w:rPr>
        <w:t>/51/10</w:t>
      </w:r>
      <w:r w:rsidR="00806489" w:rsidRPr="00293B75">
        <w:rPr>
          <w:lang w:val="fr-FR"/>
        </w:rPr>
        <w:t xml:space="preserve"> et entend un rapport verbal du secrétaire général adjoint.</w:t>
      </w:r>
    </w:p>
    <w:p w:rsidR="00AD5031" w:rsidRPr="00293B75" w:rsidRDefault="00AD5031" w:rsidP="007005BA">
      <w:pPr>
        <w:rPr>
          <w:lang w:val="fr-FR"/>
        </w:rPr>
      </w:pPr>
    </w:p>
    <w:p w:rsidR="00230037" w:rsidRPr="00293B75" w:rsidRDefault="000D14A8" w:rsidP="007005BA">
      <w:pPr>
        <w:rPr>
          <w:lang w:val="fr-FR"/>
        </w:rPr>
      </w:pPr>
      <w:r w:rsidRPr="00293B75">
        <w:rPr>
          <w:lang w:val="fr-FR"/>
        </w:rPr>
        <w:lastRenderedPageBreak/>
        <w:fldChar w:fldCharType="begin"/>
      </w:r>
      <w:r w:rsidRPr="00293B75">
        <w:rPr>
          <w:lang w:val="fr-FR"/>
        </w:rPr>
        <w:instrText xml:space="preserve"> AUTONUM  </w:instrText>
      </w:r>
      <w:r w:rsidRPr="00293B75">
        <w:rPr>
          <w:lang w:val="fr-FR"/>
        </w:rPr>
        <w:fldChar w:fldCharType="end"/>
      </w:r>
      <w:r w:rsidRPr="00293B75">
        <w:rPr>
          <w:lang w:val="fr-FR"/>
        </w:rPr>
        <w:tab/>
      </w:r>
      <w:r w:rsidR="00482CD4" w:rsidRPr="00293B75">
        <w:rPr>
          <w:lang w:val="fr-FR"/>
        </w:rPr>
        <w:t>Le</w:t>
      </w:r>
      <w:r w:rsidR="00FE442F" w:rsidRPr="00293B75">
        <w:rPr>
          <w:lang w:val="fr-FR"/>
        </w:rPr>
        <w:t> TC</w:t>
      </w:r>
      <w:r w:rsidR="00482CD4" w:rsidRPr="00293B75">
        <w:rPr>
          <w:lang w:val="fr-FR"/>
        </w:rPr>
        <w:t xml:space="preserve"> prend note des faits nouveaux intervenus au sein de l</w:t>
      </w:r>
      <w:r w:rsidR="00FE442F" w:rsidRPr="00293B75">
        <w:rPr>
          <w:lang w:val="fr-FR"/>
        </w:rPr>
        <w:t>’</w:t>
      </w:r>
      <w:r w:rsidR="00482CD4" w:rsidRPr="00293B75">
        <w:rPr>
          <w:lang w:val="fr-FR"/>
        </w:rPr>
        <w:t>UPOV et des questions examinées lors des dernières sessions du Comité administratif et juridique, du Comité consultatif et du Conseil, dont il est fait rapport aux paragraphes</w:t>
      </w:r>
      <w:r w:rsidR="00004203" w:rsidRPr="00293B75">
        <w:rPr>
          <w:lang w:val="fr-FR"/>
        </w:rPr>
        <w:t> </w:t>
      </w:r>
      <w:r w:rsidR="00482CD4" w:rsidRPr="00293B75">
        <w:rPr>
          <w:lang w:val="fr-FR"/>
        </w:rPr>
        <w:t xml:space="preserve">3 à 35 du </w:t>
      </w:r>
      <w:r w:rsidR="00FE442F" w:rsidRPr="00293B75">
        <w:rPr>
          <w:lang w:val="fr-FR"/>
        </w:rPr>
        <w:t>document TC</w:t>
      </w:r>
      <w:r w:rsidR="00482CD4" w:rsidRPr="00293B75">
        <w:rPr>
          <w:snapToGrid w:val="0"/>
          <w:lang w:val="fr-FR"/>
        </w:rPr>
        <w:t>/51/10</w:t>
      </w:r>
      <w:r w:rsidR="00C64CE0" w:rsidRPr="00293B75">
        <w:rPr>
          <w:lang w:val="fr-FR"/>
        </w:rPr>
        <w:t>.</w:t>
      </w:r>
    </w:p>
    <w:p w:rsidR="00482CD4" w:rsidRPr="00293B75" w:rsidRDefault="00482CD4" w:rsidP="007005BA">
      <w:pPr>
        <w:rPr>
          <w:lang w:val="fr-FR"/>
        </w:rPr>
      </w:pPr>
    </w:p>
    <w:p w:rsidR="00AD5031" w:rsidRPr="00293B75" w:rsidRDefault="00D00E3D" w:rsidP="007005BA">
      <w:pPr>
        <w:keepNext/>
      </w:pPr>
      <w:r w:rsidRPr="00293B75">
        <w:rPr>
          <w:snapToGrid w:val="0"/>
          <w:lang w:val="fr-FR"/>
        </w:rPr>
        <w:fldChar w:fldCharType="begin"/>
      </w:r>
      <w:r w:rsidRPr="00293B75">
        <w:rPr>
          <w:snapToGrid w:val="0"/>
          <w:lang w:val="fr-FR"/>
        </w:rPr>
        <w:instrText xml:space="preserve"> AUTONUM  </w:instrText>
      </w:r>
      <w:r w:rsidRPr="00293B75">
        <w:rPr>
          <w:snapToGrid w:val="0"/>
          <w:lang w:val="fr-FR"/>
        </w:rPr>
        <w:fldChar w:fldCharType="end"/>
      </w:r>
      <w:r w:rsidRPr="00293B75">
        <w:rPr>
          <w:snapToGrid w:val="0"/>
          <w:lang w:val="fr-FR"/>
        </w:rPr>
        <w:tab/>
      </w:r>
      <w:r w:rsidR="00C64CE0" w:rsidRPr="00293B75">
        <w:rPr>
          <w:lang w:val="fr-FR"/>
        </w:rPr>
        <w:t>La délégation de l</w:t>
      </w:r>
      <w:r w:rsidR="00FE442F" w:rsidRPr="00293B75">
        <w:rPr>
          <w:lang w:val="fr-FR"/>
        </w:rPr>
        <w:t>’</w:t>
      </w:r>
      <w:r w:rsidR="00C64CE0" w:rsidRPr="00293B75">
        <w:rPr>
          <w:lang w:val="fr-FR"/>
        </w:rPr>
        <w:t>Espagne fait savoir qu</w:t>
      </w:r>
      <w:r w:rsidR="00FE442F" w:rsidRPr="00293B75">
        <w:rPr>
          <w:lang w:val="fr-FR"/>
        </w:rPr>
        <w:t>’</w:t>
      </w:r>
      <w:r w:rsidR="00C64CE0" w:rsidRPr="00293B75">
        <w:rPr>
          <w:lang w:val="fr-FR"/>
        </w:rPr>
        <w:t>en Espagne, les cours d</w:t>
      </w:r>
      <w:r w:rsidR="00FE442F" w:rsidRPr="00293B75">
        <w:rPr>
          <w:lang w:val="fr-FR"/>
        </w:rPr>
        <w:t>’</w:t>
      </w:r>
      <w:r w:rsidR="00C64CE0" w:rsidRPr="00293B75">
        <w:rPr>
          <w:lang w:val="fr-FR"/>
        </w:rPr>
        <w:t>enseignement à distance de l</w:t>
      </w:r>
      <w:r w:rsidR="00FE442F" w:rsidRPr="00293B75">
        <w:rPr>
          <w:lang w:val="fr-FR"/>
        </w:rPr>
        <w:t>’</w:t>
      </w:r>
      <w:r w:rsidR="00C64CE0" w:rsidRPr="00293B75">
        <w:rPr>
          <w:lang w:val="fr-FR"/>
        </w:rPr>
        <w:t xml:space="preserve">UPOV </w:t>
      </w:r>
      <w:r w:rsidR="00C64CE0" w:rsidRPr="00293B75">
        <w:t xml:space="preserve">servent à former les </w:t>
      </w:r>
      <w:r w:rsidR="008C0C92" w:rsidRPr="00293B75">
        <w:t xml:space="preserve">fonctionnaires </w:t>
      </w:r>
      <w:r w:rsidR="00C64CE0" w:rsidRPr="00293B75">
        <w:t>qui ne f</w:t>
      </w:r>
      <w:r w:rsidR="008C0C92" w:rsidRPr="00293B75">
        <w:t>o</w:t>
      </w:r>
      <w:r w:rsidR="00C64CE0" w:rsidRPr="00293B75">
        <w:t>nt pas partie de l</w:t>
      </w:r>
      <w:r w:rsidR="00FE442F" w:rsidRPr="00293B75">
        <w:t>’</w:t>
      </w:r>
      <w:r w:rsidR="00C64CE0" w:rsidRPr="00293B75">
        <w:t>office de la protection des obtentions végétales, par exemple des policiers et des agents du contrôle des frontières.  Le secrétaire général adjoint accueille avec satisfaction les informations fournies par l</w:t>
      </w:r>
      <w:r w:rsidR="00FE442F" w:rsidRPr="00293B75">
        <w:t>’</w:t>
      </w:r>
      <w:r w:rsidR="00C64CE0" w:rsidRPr="00293B75">
        <w:t>Espagne et rappelle que les cours d</w:t>
      </w:r>
      <w:r w:rsidR="00FE442F" w:rsidRPr="00293B75">
        <w:t>’</w:t>
      </w:r>
      <w:r w:rsidR="00C64CE0" w:rsidRPr="00293B75">
        <w:t>enseignement à distance de l</w:t>
      </w:r>
      <w:r w:rsidR="00FE442F" w:rsidRPr="00293B75">
        <w:t>’</w:t>
      </w:r>
      <w:r w:rsidR="00C64CE0" w:rsidRPr="00293B75">
        <w:t xml:space="preserve">UPOV sont gratuits pour les </w:t>
      </w:r>
      <w:r w:rsidR="008C0C92" w:rsidRPr="00293B75">
        <w:t xml:space="preserve">fonctionnaires </w:t>
      </w:r>
      <w:r w:rsidR="00C64CE0" w:rsidRPr="00293B75">
        <w:t>de</w:t>
      </w:r>
      <w:r w:rsidR="008C0C92" w:rsidRPr="00293B75">
        <w:t>s</w:t>
      </w:r>
      <w:r w:rsidR="00C64CE0" w:rsidRPr="00293B75">
        <w:t xml:space="preserve"> membres de l</w:t>
      </w:r>
      <w:r w:rsidR="00FE442F" w:rsidRPr="00293B75">
        <w:t>’</w:t>
      </w:r>
      <w:r w:rsidR="00C64CE0" w:rsidRPr="00293B75">
        <w:t>Union désignés par le représentant auprès du Conseil de l</w:t>
      </w:r>
      <w:r w:rsidR="00FE442F" w:rsidRPr="00293B75">
        <w:t>’</w:t>
      </w:r>
      <w:r w:rsidR="00C64CE0" w:rsidRPr="00293B75">
        <w:t xml:space="preserve">UPOV.  </w:t>
      </w:r>
      <w:proofErr w:type="gramStart"/>
      <w:r w:rsidR="00C64CE0" w:rsidRPr="00293B75">
        <w:t>Il</w:t>
      </w:r>
      <w:proofErr w:type="gramEnd"/>
      <w:r w:rsidR="00C64CE0" w:rsidRPr="00293B75">
        <w:t xml:space="preserve"> a également remercié les experts des membres de l</w:t>
      </w:r>
      <w:r w:rsidR="00FE442F" w:rsidRPr="00293B75">
        <w:t>’</w:t>
      </w:r>
      <w:r w:rsidR="00C64CE0" w:rsidRPr="00293B75">
        <w:t>Union qui ont volontairement joué le rôle de tuteur dans le cadre des cours d</w:t>
      </w:r>
      <w:r w:rsidR="00FE442F" w:rsidRPr="00293B75">
        <w:t>’</w:t>
      </w:r>
      <w:r w:rsidR="00C64CE0" w:rsidRPr="00293B75">
        <w:t>enseignement à distance de l</w:t>
      </w:r>
      <w:r w:rsidR="00FE442F" w:rsidRPr="00293B75">
        <w:t>’</w:t>
      </w:r>
      <w:r w:rsidR="00C64CE0" w:rsidRPr="00293B75">
        <w:t>UPOV et sans lesquels il serait impossible de dispenser ces cours de la même manière.</w:t>
      </w:r>
    </w:p>
    <w:p w:rsidR="00AD5031" w:rsidRPr="00293B75" w:rsidRDefault="00AD5031" w:rsidP="007005BA">
      <w:pPr>
        <w:rPr>
          <w:lang w:val="fr-FR"/>
        </w:rPr>
      </w:pPr>
    </w:p>
    <w:p w:rsidR="00AD5031" w:rsidRPr="00293B75" w:rsidRDefault="00AD5031" w:rsidP="007005BA">
      <w:pPr>
        <w:rPr>
          <w:lang w:val="fr-FR"/>
        </w:rPr>
      </w:pPr>
    </w:p>
    <w:p w:rsidR="00AD5031" w:rsidRPr="00293B75" w:rsidRDefault="00666915" w:rsidP="007005BA">
      <w:pPr>
        <w:pStyle w:val="Heading2"/>
        <w:rPr>
          <w:lang w:val="fr-FR"/>
        </w:rPr>
      </w:pPr>
      <w:r w:rsidRPr="00293B75">
        <w:rPr>
          <w:lang w:val="fr-FR"/>
        </w:rPr>
        <w:t>Rapports sur l</w:t>
      </w:r>
      <w:r w:rsidR="00FE442F" w:rsidRPr="00293B75">
        <w:rPr>
          <w:lang w:val="fr-FR"/>
        </w:rPr>
        <w:t>’</w:t>
      </w:r>
      <w:r w:rsidRPr="00293B75">
        <w:rPr>
          <w:lang w:val="fr-FR"/>
        </w:rPr>
        <w:t>état d</w:t>
      </w:r>
      <w:r w:rsidR="00FE442F" w:rsidRPr="00293B75">
        <w:rPr>
          <w:lang w:val="fr-FR"/>
        </w:rPr>
        <w:t>’</w:t>
      </w:r>
      <w:r w:rsidRPr="00293B75">
        <w:rPr>
          <w:lang w:val="fr-FR"/>
        </w:rPr>
        <w:t xml:space="preserve">avancement des travaux des groupes de travail techniques, </w:t>
      </w:r>
      <w:r w:rsidR="00FE442F" w:rsidRPr="00293B75">
        <w:rPr>
          <w:lang w:val="fr-FR"/>
        </w:rPr>
        <w:t>y compris</w:t>
      </w:r>
      <w:r w:rsidRPr="00293B75">
        <w:rPr>
          <w:lang w:val="fr-FR"/>
        </w:rPr>
        <w:t xml:space="preserve"> le Groupe de travail sur les techniques biochimiques et moléculaires, notamment les profils d</w:t>
      </w:r>
      <w:r w:rsidR="00FE442F" w:rsidRPr="00293B75">
        <w:rPr>
          <w:lang w:val="fr-FR"/>
        </w:rPr>
        <w:t>’</w:t>
      </w:r>
      <w:r w:rsidRPr="00293B75">
        <w:rPr>
          <w:lang w:val="fr-FR"/>
        </w:rPr>
        <w:t>ADN (BMT) et les sous</w:t>
      </w:r>
      <w:r w:rsidR="005535E5" w:rsidRPr="00293B75">
        <w:rPr>
          <w:lang w:val="fr-FR"/>
        </w:rPr>
        <w:noBreakHyphen/>
      </w:r>
      <w:r w:rsidRPr="00293B75">
        <w:rPr>
          <w:lang w:val="fr-FR"/>
        </w:rPr>
        <w:t>groupes ad hoc sur l</w:t>
      </w:r>
      <w:r w:rsidR="00FE442F" w:rsidRPr="00293B75">
        <w:rPr>
          <w:lang w:val="fr-FR"/>
        </w:rPr>
        <w:t>’</w:t>
      </w:r>
      <w:r w:rsidRPr="00293B75">
        <w:rPr>
          <w:lang w:val="fr-FR"/>
        </w:rPr>
        <w:t>application des techniques moléculaires aux plantes cultivées</w:t>
      </w:r>
    </w:p>
    <w:p w:rsidR="00AD5031" w:rsidRPr="00293B75" w:rsidRDefault="00AD5031" w:rsidP="007005BA">
      <w:pPr>
        <w:keepNext/>
        <w:rPr>
          <w:u w:val="single"/>
          <w:lang w:val="fr-FR"/>
        </w:rPr>
      </w:pPr>
    </w:p>
    <w:p w:rsidR="00FE442F" w:rsidRPr="00293B75" w:rsidRDefault="008D7F10" w:rsidP="007005BA">
      <w:pPr>
        <w:autoSpaceDE w:val="0"/>
        <w:autoSpaceDN w:val="0"/>
        <w:adjustRightInd w:val="0"/>
        <w:rPr>
          <w:lang w:val="fr-FR"/>
        </w:rPr>
      </w:pPr>
      <w:r w:rsidRPr="00293B75">
        <w:rPr>
          <w:lang w:val="fr-FR"/>
        </w:rPr>
        <w:fldChar w:fldCharType="begin"/>
      </w:r>
      <w:r w:rsidRPr="00293B75">
        <w:rPr>
          <w:lang w:val="fr-FR"/>
        </w:rPr>
        <w:instrText xml:space="preserve"> AUTONUM  \* Arabic </w:instrText>
      </w:r>
      <w:r w:rsidRPr="00293B75">
        <w:rPr>
          <w:lang w:val="fr-FR"/>
        </w:rPr>
        <w:fldChar w:fldCharType="end"/>
      </w:r>
      <w:r w:rsidRPr="00293B75">
        <w:rPr>
          <w:lang w:val="fr-FR"/>
        </w:rPr>
        <w:tab/>
      </w:r>
      <w:r w:rsidR="00C473D2" w:rsidRPr="00293B75">
        <w:rPr>
          <w:lang w:val="fr-FR"/>
        </w:rPr>
        <w:t>Le</w:t>
      </w:r>
      <w:r w:rsidR="00FE442F" w:rsidRPr="00293B75">
        <w:rPr>
          <w:lang w:val="fr-FR"/>
        </w:rPr>
        <w:t> TC</w:t>
      </w:r>
      <w:r w:rsidR="00C473D2" w:rsidRPr="00293B75">
        <w:rPr>
          <w:lang w:val="fr-FR"/>
        </w:rPr>
        <w:t xml:space="preserve"> entend, de la part des présidents des groupes concernés, les rapports oraux sur les travaux du Groupe de travail technique sur les plantes agricoles (TWA), du Groupe de travail technique sur les systèmes d</w:t>
      </w:r>
      <w:r w:rsidR="00FE442F" w:rsidRPr="00293B75">
        <w:rPr>
          <w:lang w:val="fr-FR"/>
        </w:rPr>
        <w:t>’</w:t>
      </w:r>
      <w:r w:rsidR="00C473D2" w:rsidRPr="00293B75">
        <w:rPr>
          <w:lang w:val="fr-FR"/>
        </w:rPr>
        <w:t>automatisation et les programmes d</w:t>
      </w:r>
      <w:r w:rsidR="00FE442F" w:rsidRPr="00293B75">
        <w:rPr>
          <w:lang w:val="fr-FR"/>
        </w:rPr>
        <w:t>’</w:t>
      </w:r>
      <w:r w:rsidR="00C473D2" w:rsidRPr="00293B75">
        <w:rPr>
          <w:lang w:val="fr-FR"/>
        </w:rPr>
        <w:t>ordinateur (TWC), du Groupe de travail technique sur les plantes fruitières (TWF), du Groupe de travail technique sur les plantes ornementales et les arbres forestiers (TWO), du Groupe de travail technique sur les plantes potagères (TWV) et du Groupe de travail sur les techniques biochimiques et moléculaires, notamment les profils d</w:t>
      </w:r>
      <w:r w:rsidR="00FE442F" w:rsidRPr="00293B75">
        <w:rPr>
          <w:lang w:val="fr-FR"/>
        </w:rPr>
        <w:t>’</w:t>
      </w:r>
      <w:r w:rsidR="00C473D2" w:rsidRPr="00293B75">
        <w:rPr>
          <w:lang w:val="fr-FR"/>
        </w:rPr>
        <w:t>ADN (BMT).</w:t>
      </w:r>
      <w:r w:rsidRPr="00293B75">
        <w:rPr>
          <w:lang w:val="fr-FR"/>
        </w:rPr>
        <w:t xml:space="preserve">  </w:t>
      </w:r>
      <w:r w:rsidR="00C0641F" w:rsidRPr="00293B75">
        <w:rPr>
          <w:lang w:val="fr-FR"/>
        </w:rPr>
        <w:t>On trouvera ci</w:t>
      </w:r>
      <w:r w:rsidR="005535E5" w:rsidRPr="00293B75">
        <w:rPr>
          <w:lang w:val="fr-FR"/>
        </w:rPr>
        <w:noBreakHyphen/>
      </w:r>
      <w:r w:rsidR="00C0641F" w:rsidRPr="00293B75">
        <w:rPr>
          <w:lang w:val="fr-FR"/>
        </w:rPr>
        <w:t>après un résumé des travaux des groupes de travail techniques.</w:t>
      </w:r>
    </w:p>
    <w:p w:rsidR="00AD5031" w:rsidRPr="00293B75" w:rsidRDefault="00AD5031" w:rsidP="007005BA">
      <w:pPr>
        <w:autoSpaceDE w:val="0"/>
        <w:autoSpaceDN w:val="0"/>
        <w:adjustRightInd w:val="0"/>
        <w:rPr>
          <w:lang w:val="fr-FR"/>
        </w:rPr>
      </w:pPr>
      <w:bookmarkStart w:id="6" w:name="_Toc393187185"/>
    </w:p>
    <w:p w:rsidR="00AD5031" w:rsidRPr="00293B75" w:rsidRDefault="00AD5031" w:rsidP="007005BA">
      <w:pPr>
        <w:autoSpaceDE w:val="0"/>
        <w:autoSpaceDN w:val="0"/>
        <w:adjustRightInd w:val="0"/>
        <w:rPr>
          <w:lang w:val="fr-FR"/>
        </w:rPr>
      </w:pPr>
    </w:p>
    <w:p w:rsidR="00FE442F" w:rsidRPr="00293B75" w:rsidRDefault="00C473D2" w:rsidP="007005BA">
      <w:pPr>
        <w:pStyle w:val="Heading3"/>
        <w:rPr>
          <w:color w:val="auto"/>
        </w:rPr>
      </w:pPr>
      <w:r w:rsidRPr="00293B75">
        <w:rPr>
          <w:color w:val="auto"/>
        </w:rPr>
        <w:t>Groupe de travail technique sur les plantes agricoles</w:t>
      </w:r>
      <w:bookmarkEnd w:id="6"/>
    </w:p>
    <w:p w:rsidR="00AD5031" w:rsidRPr="00293B75" w:rsidRDefault="00AD5031" w:rsidP="007005BA">
      <w:pPr>
        <w:pStyle w:val="Heading2"/>
        <w:rPr>
          <w:lang w:val="fr-FR"/>
        </w:rPr>
      </w:pPr>
    </w:p>
    <w:p w:rsidR="00AD5031"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516C3F" w:rsidRPr="00293B75">
        <w:rPr>
          <w:rFonts w:cs="Arial"/>
          <w:lang w:val="fr-FR"/>
        </w:rPr>
        <w:t>Le</w:t>
      </w:r>
      <w:r w:rsidRPr="00293B75">
        <w:rPr>
          <w:rFonts w:cs="Arial"/>
          <w:lang w:val="fr-FR"/>
        </w:rPr>
        <w:t xml:space="preserve"> TWA </w:t>
      </w:r>
      <w:r w:rsidR="00516C3F" w:rsidRPr="00293B75">
        <w:rPr>
          <w:rFonts w:cs="Arial"/>
          <w:lang w:val="fr-FR"/>
        </w:rPr>
        <w:t>a tenu sa quarante</w:t>
      </w:r>
      <w:r w:rsidR="005535E5" w:rsidRPr="00293B75">
        <w:rPr>
          <w:rFonts w:cs="Arial"/>
          <w:lang w:val="fr-FR"/>
        </w:rPr>
        <w:noBreakHyphen/>
      </w:r>
      <w:r w:rsidR="00516C3F" w:rsidRPr="00293B75">
        <w:rPr>
          <w:rFonts w:cs="Arial"/>
          <w:lang w:val="fr-FR"/>
        </w:rPr>
        <w:t>troisième </w:t>
      </w:r>
      <w:r w:rsidRPr="00293B75">
        <w:rPr>
          <w:rFonts w:cs="Arial"/>
          <w:lang w:val="fr-FR"/>
        </w:rPr>
        <w:t xml:space="preserve">session </w:t>
      </w:r>
      <w:r w:rsidR="00516C3F" w:rsidRPr="00293B75">
        <w:rPr>
          <w:rFonts w:cs="Arial"/>
          <w:lang w:val="fr-FR"/>
        </w:rPr>
        <w:t xml:space="preserve">à </w:t>
      </w:r>
      <w:r w:rsidRPr="00293B75">
        <w:rPr>
          <w:rFonts w:cs="Arial"/>
          <w:lang w:val="fr-FR"/>
        </w:rPr>
        <w:t>Mar del Plata</w:t>
      </w:r>
      <w:r w:rsidR="00516C3F" w:rsidRPr="00293B75">
        <w:rPr>
          <w:rFonts w:cs="Arial"/>
          <w:lang w:val="fr-FR"/>
        </w:rPr>
        <w:t xml:space="preserve"> (Argentine)</w:t>
      </w:r>
      <w:r w:rsidRPr="00293B75">
        <w:rPr>
          <w:rFonts w:cs="Arial"/>
          <w:lang w:val="fr-FR"/>
        </w:rPr>
        <w:t xml:space="preserve">, </w:t>
      </w:r>
      <w:r w:rsidR="00096CD1">
        <w:rPr>
          <w:rFonts w:cs="Arial"/>
          <w:lang w:val="fr-FR"/>
        </w:rPr>
        <w:t xml:space="preserve">du 17 au 21 novembre </w:t>
      </w:r>
      <w:r w:rsidR="00516C3F" w:rsidRPr="00293B75">
        <w:rPr>
          <w:rFonts w:cs="Arial"/>
          <w:lang w:val="fr-FR"/>
        </w:rPr>
        <w:t>2014, sous la présidence de Mme </w:t>
      </w:r>
      <w:r w:rsidRPr="00293B75">
        <w:rPr>
          <w:rFonts w:cs="Arial"/>
          <w:lang w:val="fr-FR"/>
        </w:rPr>
        <w:t>Robyn</w:t>
      </w:r>
      <w:r w:rsidR="00516C3F" w:rsidRPr="00293B75">
        <w:rPr>
          <w:rFonts w:cs="Arial"/>
          <w:lang w:val="fr-FR"/>
        </w:rPr>
        <w:t> </w:t>
      </w:r>
      <w:r w:rsidRPr="00293B75">
        <w:rPr>
          <w:rFonts w:cs="Arial"/>
          <w:lang w:val="fr-FR"/>
        </w:rPr>
        <w:t>Hierse (</w:t>
      </w:r>
      <w:r w:rsidR="00516C3F" w:rsidRPr="00293B75">
        <w:rPr>
          <w:rFonts w:cs="Arial"/>
          <w:lang w:val="fr-FR"/>
        </w:rPr>
        <w:t>Afrique du Sud</w:t>
      </w:r>
      <w:r w:rsidRPr="00293B75">
        <w:rPr>
          <w:rFonts w:cs="Arial"/>
          <w:lang w:val="fr-FR"/>
        </w:rPr>
        <w:t xml:space="preserve">). </w:t>
      </w:r>
      <w:r w:rsidR="00516C3F" w:rsidRPr="00293B75">
        <w:rPr>
          <w:rFonts w:cs="Arial"/>
          <w:lang w:val="fr-FR"/>
        </w:rPr>
        <w:t xml:space="preserve"> Le compte rendu détaillé de la session fait l</w:t>
      </w:r>
      <w:r w:rsidR="00FE442F" w:rsidRPr="00293B75">
        <w:rPr>
          <w:rFonts w:cs="Arial"/>
          <w:lang w:val="fr-FR"/>
        </w:rPr>
        <w:t>’</w:t>
      </w:r>
      <w:r w:rsidR="00516C3F" w:rsidRPr="00293B75">
        <w:rPr>
          <w:rFonts w:cs="Arial"/>
          <w:lang w:val="fr-FR"/>
        </w:rPr>
        <w:t xml:space="preserve">objet du </w:t>
      </w:r>
      <w:r w:rsidRPr="00293B75">
        <w:rPr>
          <w:rFonts w:cs="Arial"/>
          <w:lang w:val="fr-FR"/>
        </w:rPr>
        <w:t>document TWA/43/27 “</w:t>
      </w:r>
      <w:r w:rsidR="00516C3F" w:rsidRPr="00293B75">
        <w:rPr>
          <w:rFonts w:cs="Arial"/>
          <w:lang w:val="fr-FR"/>
        </w:rPr>
        <w:t>Report</w:t>
      </w:r>
      <w:r w:rsidRPr="00293B75">
        <w:rPr>
          <w:rFonts w:cs="Arial"/>
          <w:lang w:val="fr-FR"/>
        </w:rPr>
        <w:t>”.</w:t>
      </w:r>
    </w:p>
    <w:p w:rsidR="00AD5031" w:rsidRPr="00293B75" w:rsidRDefault="00AD5031" w:rsidP="007005BA">
      <w:pPr>
        <w:contextualSpacing/>
        <w:rPr>
          <w:rFonts w:cs="Arial"/>
          <w:lang w:val="fr-FR"/>
        </w:rPr>
      </w:pPr>
    </w:p>
    <w:p w:rsidR="00AD5031"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516C3F" w:rsidRPr="00293B75">
        <w:rPr>
          <w:rFonts w:cs="Arial"/>
          <w:lang w:val="fr-FR"/>
        </w:rPr>
        <w:t>La session</w:t>
      </w:r>
      <w:r w:rsidR="00FE442F" w:rsidRPr="00293B75">
        <w:rPr>
          <w:rFonts w:cs="Arial"/>
          <w:lang w:val="fr-FR"/>
        </w:rPr>
        <w:t xml:space="preserve"> du TWA</w:t>
      </w:r>
      <w:r w:rsidR="00516C3F" w:rsidRPr="00293B75">
        <w:rPr>
          <w:rFonts w:cs="Arial"/>
          <w:lang w:val="fr-FR"/>
        </w:rPr>
        <w:t xml:space="preserve"> a réuni</w:t>
      </w:r>
      <w:r w:rsidRPr="00293B75">
        <w:rPr>
          <w:rFonts w:cs="Arial"/>
          <w:lang w:val="fr-FR"/>
        </w:rPr>
        <w:t xml:space="preserve"> </w:t>
      </w:r>
      <w:r w:rsidR="005476EB" w:rsidRPr="00293B75">
        <w:rPr>
          <w:rFonts w:cs="Arial"/>
          <w:lang w:val="fr-FR"/>
        </w:rPr>
        <w:t>45 </w:t>
      </w:r>
      <w:r w:rsidRPr="00293B75">
        <w:rPr>
          <w:rFonts w:cs="Arial"/>
          <w:lang w:val="fr-FR"/>
        </w:rPr>
        <w:t xml:space="preserve">participants </w:t>
      </w:r>
      <w:r w:rsidR="00516C3F" w:rsidRPr="00293B75">
        <w:rPr>
          <w:rFonts w:cs="Arial"/>
          <w:lang w:val="fr-FR"/>
        </w:rPr>
        <w:t>représentant 23 membres de l</w:t>
      </w:r>
      <w:r w:rsidR="00FE442F" w:rsidRPr="00293B75">
        <w:rPr>
          <w:rFonts w:cs="Arial"/>
          <w:lang w:val="fr-FR"/>
        </w:rPr>
        <w:t>’</w:t>
      </w:r>
      <w:r w:rsidR="00516C3F" w:rsidRPr="00293B75">
        <w:rPr>
          <w:rFonts w:cs="Arial"/>
          <w:lang w:val="fr-FR"/>
        </w:rPr>
        <w:t>Union</w:t>
      </w:r>
      <w:r w:rsidRPr="00293B75">
        <w:rPr>
          <w:rFonts w:cs="Arial"/>
          <w:lang w:val="fr-FR"/>
        </w:rPr>
        <w:t xml:space="preserve">, </w:t>
      </w:r>
      <w:r w:rsidR="005476EB" w:rsidRPr="00293B75">
        <w:rPr>
          <w:rFonts w:cs="Arial"/>
          <w:lang w:val="fr-FR"/>
        </w:rPr>
        <w:t>6 </w:t>
      </w:r>
      <w:r w:rsidR="00516C3F" w:rsidRPr="00293B75">
        <w:rPr>
          <w:rFonts w:cs="Arial"/>
          <w:lang w:val="fr-FR"/>
        </w:rPr>
        <w:t>États ayant le statut d</w:t>
      </w:r>
      <w:r w:rsidR="00FE442F" w:rsidRPr="00293B75">
        <w:rPr>
          <w:rFonts w:cs="Arial"/>
          <w:lang w:val="fr-FR"/>
        </w:rPr>
        <w:t>’</w:t>
      </w:r>
      <w:r w:rsidR="00516C3F" w:rsidRPr="00293B75">
        <w:rPr>
          <w:rFonts w:cs="Arial"/>
          <w:lang w:val="fr-FR"/>
        </w:rPr>
        <w:t xml:space="preserve">observateur et </w:t>
      </w:r>
      <w:r w:rsidR="005476EB" w:rsidRPr="00293B75">
        <w:rPr>
          <w:rFonts w:cs="Arial"/>
          <w:lang w:val="fr-FR"/>
        </w:rPr>
        <w:t>3 </w:t>
      </w:r>
      <w:r w:rsidR="00516C3F" w:rsidRPr="00293B75">
        <w:rPr>
          <w:rFonts w:cs="Arial"/>
          <w:lang w:val="fr-FR"/>
        </w:rPr>
        <w:t>organisations ayant le statut d</w:t>
      </w:r>
      <w:r w:rsidR="00FE442F" w:rsidRPr="00293B75">
        <w:rPr>
          <w:rFonts w:cs="Arial"/>
          <w:lang w:val="fr-FR"/>
        </w:rPr>
        <w:t>’</w:t>
      </w:r>
      <w:r w:rsidR="00516C3F" w:rsidRPr="00293B75">
        <w:rPr>
          <w:rFonts w:cs="Arial"/>
          <w:lang w:val="fr-FR"/>
        </w:rPr>
        <w:t>observateur</w:t>
      </w:r>
      <w:r w:rsidRPr="00293B75">
        <w:rPr>
          <w:rFonts w:cs="Arial"/>
          <w:lang w:val="fr-FR"/>
        </w:rPr>
        <w:t>.</w:t>
      </w:r>
      <w:r w:rsidR="00516C3F" w:rsidRPr="00293B75">
        <w:rPr>
          <w:rFonts w:cs="Arial"/>
          <w:lang w:val="fr-FR"/>
        </w:rPr>
        <w:t xml:space="preserve"> </w:t>
      </w:r>
      <w:r w:rsidRPr="00293B75">
        <w:rPr>
          <w:rFonts w:cs="Arial"/>
          <w:lang w:val="fr-FR"/>
        </w:rPr>
        <w:t xml:space="preserve"> </w:t>
      </w:r>
      <w:r w:rsidR="00C473D2" w:rsidRPr="00293B75">
        <w:rPr>
          <w:rFonts w:cs="Arial"/>
          <w:lang w:val="fr-FR"/>
        </w:rPr>
        <w:t>L</w:t>
      </w:r>
      <w:r w:rsidR="00FE442F" w:rsidRPr="00293B75">
        <w:rPr>
          <w:rFonts w:cs="Arial"/>
          <w:lang w:val="fr-FR"/>
        </w:rPr>
        <w:t>’</w:t>
      </w:r>
      <w:r w:rsidR="00C473D2" w:rsidRPr="00293B75">
        <w:rPr>
          <w:rFonts w:cs="Arial"/>
          <w:lang w:val="fr-FR"/>
        </w:rPr>
        <w:t>atelier préparatoire a eu lieu durant l</w:t>
      </w:r>
      <w:r w:rsidR="00FE442F" w:rsidRPr="00293B75">
        <w:rPr>
          <w:rFonts w:cs="Arial"/>
          <w:lang w:val="fr-FR"/>
        </w:rPr>
        <w:t>’</w:t>
      </w:r>
      <w:r w:rsidR="00C473D2" w:rsidRPr="00293B75">
        <w:rPr>
          <w:rFonts w:cs="Arial"/>
          <w:lang w:val="fr-FR"/>
        </w:rPr>
        <w:t>après</w:t>
      </w:r>
      <w:r w:rsidR="005535E5" w:rsidRPr="00293B75">
        <w:rPr>
          <w:rFonts w:cs="Arial"/>
          <w:lang w:val="fr-FR"/>
        </w:rPr>
        <w:noBreakHyphen/>
      </w:r>
      <w:r w:rsidR="00C473D2" w:rsidRPr="00293B75">
        <w:rPr>
          <w:rFonts w:cs="Arial"/>
          <w:lang w:val="fr-FR"/>
        </w:rPr>
        <w:t>midi du 1</w:t>
      </w:r>
      <w:r w:rsidR="00FE442F" w:rsidRPr="00293B75">
        <w:rPr>
          <w:rFonts w:cs="Arial"/>
          <w:lang w:val="fr-FR"/>
        </w:rPr>
        <w:t>6 juin</w:t>
      </w:r>
      <w:r w:rsidR="00C473D2" w:rsidRPr="00293B75">
        <w:rPr>
          <w:rFonts w:cs="Arial"/>
          <w:lang w:val="fr-FR"/>
        </w:rPr>
        <w:t xml:space="preserve"> et a réuni </w:t>
      </w:r>
      <w:r w:rsidR="005476EB" w:rsidRPr="00293B75">
        <w:rPr>
          <w:rFonts w:cs="Arial"/>
          <w:lang w:val="fr-FR"/>
        </w:rPr>
        <w:t>24 </w:t>
      </w:r>
      <w:r w:rsidR="00C473D2" w:rsidRPr="00293B75">
        <w:rPr>
          <w:rFonts w:cs="Arial"/>
          <w:lang w:val="fr-FR"/>
        </w:rPr>
        <w:t xml:space="preserve">participants représentant </w:t>
      </w:r>
      <w:r w:rsidR="005476EB" w:rsidRPr="00293B75">
        <w:rPr>
          <w:rFonts w:cs="Arial"/>
          <w:lang w:val="fr-FR"/>
        </w:rPr>
        <w:t>13 </w:t>
      </w:r>
      <w:r w:rsidR="00C473D2" w:rsidRPr="00293B75">
        <w:rPr>
          <w:rFonts w:cs="Arial"/>
          <w:lang w:val="fr-FR"/>
        </w:rPr>
        <w:t>membres de l</w:t>
      </w:r>
      <w:r w:rsidR="00FE442F" w:rsidRPr="00293B75">
        <w:rPr>
          <w:rFonts w:cs="Arial"/>
          <w:lang w:val="fr-FR"/>
        </w:rPr>
        <w:t>’</w:t>
      </w:r>
      <w:r w:rsidR="00C473D2" w:rsidRPr="00293B75">
        <w:rPr>
          <w:rFonts w:cs="Arial"/>
          <w:lang w:val="fr-FR"/>
        </w:rPr>
        <w:t xml:space="preserve">Union et </w:t>
      </w:r>
      <w:r w:rsidR="00516C3F" w:rsidRPr="00293B75">
        <w:rPr>
          <w:rFonts w:cs="Arial"/>
          <w:lang w:val="fr-FR"/>
        </w:rPr>
        <w:t>5</w:t>
      </w:r>
      <w:r w:rsidR="00C473D2" w:rsidRPr="00293B75">
        <w:rPr>
          <w:rFonts w:cs="Arial"/>
          <w:lang w:val="fr-FR"/>
        </w:rPr>
        <w:t> États ayant le statut d</w:t>
      </w:r>
      <w:r w:rsidR="00FE442F" w:rsidRPr="00293B75">
        <w:rPr>
          <w:rFonts w:cs="Arial"/>
          <w:lang w:val="fr-FR"/>
        </w:rPr>
        <w:t>’</w:t>
      </w:r>
      <w:r w:rsidR="00C473D2" w:rsidRPr="00293B75">
        <w:rPr>
          <w:rFonts w:cs="Arial"/>
          <w:lang w:val="fr-FR"/>
        </w:rPr>
        <w:t>observateur.</w:t>
      </w:r>
    </w:p>
    <w:p w:rsidR="00AD5031" w:rsidRPr="00293B75" w:rsidRDefault="00AD5031" w:rsidP="007005BA">
      <w:pPr>
        <w:rPr>
          <w:rFonts w:cs="Arial"/>
          <w:lang w:val="fr-FR"/>
        </w:rPr>
      </w:pPr>
    </w:p>
    <w:p w:rsidR="00B17FC6"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B17FC6" w:rsidRPr="00293B75">
        <w:rPr>
          <w:rFonts w:cs="Arial"/>
          <w:lang w:val="fr-FR"/>
        </w:rPr>
        <w:t>M.</w:t>
      </w:r>
      <w:r w:rsidR="00004203" w:rsidRPr="00293B75">
        <w:rPr>
          <w:rFonts w:cs="Arial"/>
          <w:lang w:val="fr-FR"/>
        </w:rPr>
        <w:t> </w:t>
      </w:r>
      <w:r w:rsidR="00B17FC6" w:rsidRPr="00293B75">
        <w:rPr>
          <w:rFonts w:cs="Arial"/>
          <w:lang w:val="fr-FR"/>
        </w:rPr>
        <w:t>Raimund</w:t>
      </w:r>
      <w:r w:rsidR="00B17FC6" w:rsidRPr="00293B75">
        <w:t>o Lavignolle, président de l</w:t>
      </w:r>
      <w:r w:rsidR="00FE442F" w:rsidRPr="00293B75">
        <w:t>’</w:t>
      </w:r>
      <w:r w:rsidR="00B17FC6" w:rsidRPr="00293B75">
        <w:t>Institut national des semences (INASE</w:t>
      </w:r>
      <w:r w:rsidR="00B17FC6" w:rsidRPr="00293B75">
        <w:rPr>
          <w:rFonts w:cs="Arial"/>
          <w:lang w:val="fr-FR"/>
        </w:rPr>
        <w:t xml:space="preserve">), a souhaité la bienvenue aux participants de la session. </w:t>
      </w:r>
      <w:r w:rsidR="00FE442F" w:rsidRPr="00293B75">
        <w:rPr>
          <w:rFonts w:cs="Arial"/>
          <w:lang w:val="fr-FR"/>
        </w:rPr>
        <w:t xml:space="preserve"> Le TWA</w:t>
      </w:r>
      <w:r w:rsidR="00931DDA" w:rsidRPr="00293B75">
        <w:rPr>
          <w:rFonts w:cs="Arial"/>
          <w:lang w:val="fr-FR"/>
        </w:rPr>
        <w:t xml:space="preserve"> </w:t>
      </w:r>
      <w:r w:rsidR="006E3E1A" w:rsidRPr="00293B75">
        <w:rPr>
          <w:rFonts w:cs="Arial"/>
          <w:lang w:val="fr-FR"/>
        </w:rPr>
        <w:t xml:space="preserve">a </w:t>
      </w:r>
      <w:r w:rsidR="00931DDA" w:rsidRPr="00293B75">
        <w:rPr>
          <w:rFonts w:cs="Arial"/>
          <w:lang w:val="fr-FR"/>
        </w:rPr>
        <w:t>assist</w:t>
      </w:r>
      <w:r w:rsidR="006E3E1A" w:rsidRPr="00293B75">
        <w:rPr>
          <w:rFonts w:cs="Arial"/>
          <w:lang w:val="fr-FR"/>
        </w:rPr>
        <w:t>é</w:t>
      </w:r>
      <w:r w:rsidR="00B17FC6" w:rsidRPr="00293B75">
        <w:rPr>
          <w:rFonts w:cs="Arial"/>
          <w:lang w:val="fr-FR"/>
        </w:rPr>
        <w:t xml:space="preserve"> à un exposé sur la protection des obtentions végétales en Argentine, présenté par M.</w:t>
      </w:r>
      <w:r w:rsidR="00004203" w:rsidRPr="00293B75">
        <w:rPr>
          <w:rFonts w:cs="Arial"/>
          <w:lang w:val="fr-FR"/>
        </w:rPr>
        <w:t> </w:t>
      </w:r>
      <w:r w:rsidR="005476EB" w:rsidRPr="00293B75">
        <w:rPr>
          <w:rFonts w:cs="Arial"/>
          <w:lang w:val="fr-FR"/>
        </w:rPr>
        <w:t>Alberto </w:t>
      </w:r>
      <w:r w:rsidR="00B17FC6" w:rsidRPr="00293B75">
        <w:rPr>
          <w:rFonts w:cs="Arial"/>
          <w:lang w:val="fr-FR"/>
        </w:rPr>
        <w:t>Ballesteros</w:t>
      </w:r>
      <w:r w:rsidR="00931DDA" w:rsidRPr="00293B75">
        <w:rPr>
          <w:rFonts w:cs="Arial"/>
          <w:lang w:val="fr-FR"/>
        </w:rPr>
        <w:t>, examinateur pour les céréales, le coton, le riz et les cultures fourragères.</w:t>
      </w:r>
    </w:p>
    <w:p w:rsidR="00AD5031" w:rsidRPr="00293B75" w:rsidRDefault="00AD5031" w:rsidP="007005BA">
      <w:pPr>
        <w:contextualSpacing/>
        <w:rPr>
          <w:rFonts w:cs="Arial"/>
          <w:lang w:val="fr-FR"/>
        </w:rPr>
      </w:pPr>
    </w:p>
    <w:p w:rsidR="00AD5031"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931DDA" w:rsidRPr="00293B75">
        <w:rPr>
          <w:rFonts w:cs="Arial"/>
          <w:lang w:val="fr-FR"/>
        </w:rPr>
        <w:t xml:space="preserve">Le </w:t>
      </w:r>
      <w:r w:rsidRPr="00293B75">
        <w:rPr>
          <w:rFonts w:cs="Arial"/>
          <w:lang w:val="fr-FR"/>
        </w:rPr>
        <w:t>TWA</w:t>
      </w:r>
      <w:r w:rsidR="006E3E1A" w:rsidRPr="00293B75">
        <w:rPr>
          <w:rFonts w:cs="Arial"/>
          <w:lang w:val="fr-FR"/>
        </w:rPr>
        <w:t xml:space="preserve"> a</w:t>
      </w:r>
      <w:r w:rsidRPr="00293B75">
        <w:rPr>
          <w:rFonts w:cs="Arial"/>
          <w:lang w:val="fr-FR"/>
        </w:rPr>
        <w:t xml:space="preserve"> </w:t>
      </w:r>
      <w:r w:rsidR="006E3E1A" w:rsidRPr="00293B75">
        <w:rPr>
          <w:rFonts w:cs="Arial"/>
          <w:lang w:val="fr-FR"/>
        </w:rPr>
        <w:t>adopté</w:t>
      </w:r>
      <w:r w:rsidR="00931DDA" w:rsidRPr="00293B75">
        <w:rPr>
          <w:rFonts w:cs="Arial"/>
          <w:lang w:val="fr-FR"/>
        </w:rPr>
        <w:t xml:space="preserve"> l</w:t>
      </w:r>
      <w:r w:rsidR="00FE442F" w:rsidRPr="00293B75">
        <w:rPr>
          <w:rFonts w:cs="Arial"/>
          <w:lang w:val="fr-FR"/>
        </w:rPr>
        <w:t>’</w:t>
      </w:r>
      <w:r w:rsidR="00931DDA" w:rsidRPr="00293B75">
        <w:rPr>
          <w:rFonts w:cs="Arial"/>
          <w:lang w:val="fr-FR"/>
        </w:rPr>
        <w:t>ordre du jour tel qu</w:t>
      </w:r>
      <w:r w:rsidR="00FE442F" w:rsidRPr="00293B75">
        <w:rPr>
          <w:rFonts w:cs="Arial"/>
          <w:lang w:val="fr-FR"/>
        </w:rPr>
        <w:t>’</w:t>
      </w:r>
      <w:r w:rsidR="00931DDA" w:rsidRPr="00293B75">
        <w:rPr>
          <w:rFonts w:cs="Arial"/>
          <w:lang w:val="fr-FR"/>
        </w:rPr>
        <w:t xml:space="preserve">il figure dans le document </w:t>
      </w:r>
      <w:r w:rsidRPr="00293B75">
        <w:rPr>
          <w:rFonts w:cs="Arial"/>
          <w:lang w:val="fr-FR"/>
        </w:rPr>
        <w:t>TWA/43/1</w:t>
      </w:r>
      <w:r w:rsidR="00004203" w:rsidRPr="00293B75">
        <w:rPr>
          <w:rFonts w:cs="Arial"/>
          <w:lang w:val="fr-FR"/>
        </w:rPr>
        <w:t> </w:t>
      </w:r>
      <w:r w:rsidRPr="00293B75">
        <w:rPr>
          <w:rFonts w:cs="Arial"/>
          <w:lang w:val="fr-FR"/>
        </w:rPr>
        <w:t>Rev.</w:t>
      </w:r>
    </w:p>
    <w:p w:rsidR="00AD5031" w:rsidRPr="00293B75" w:rsidRDefault="00AD5031" w:rsidP="007005BA">
      <w:pPr>
        <w:contextualSpacing/>
        <w:rPr>
          <w:rFonts w:cs="Arial"/>
          <w:lang w:val="fr-FR"/>
        </w:rPr>
      </w:pPr>
    </w:p>
    <w:p w:rsidR="00FE442F"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6E3E1A" w:rsidRPr="00293B75">
        <w:rPr>
          <w:rFonts w:cs="Arial"/>
          <w:lang w:val="fr-FR"/>
        </w:rPr>
        <w:t>Le</w:t>
      </w:r>
      <w:r w:rsidRPr="00293B75">
        <w:rPr>
          <w:rFonts w:cs="Arial"/>
          <w:lang w:val="fr-FR"/>
        </w:rPr>
        <w:t xml:space="preserve"> TWA </w:t>
      </w:r>
      <w:r w:rsidR="006E3E1A" w:rsidRPr="00293B75">
        <w:rPr>
          <w:rFonts w:cs="Arial"/>
          <w:lang w:val="fr-FR"/>
        </w:rPr>
        <w:t>a pris note des informations sur les faits nouveaux en matière de protection des variétés végétales présentées par des membres ou des observateurs dans le document TWA/43/25, puis le Bureau de l</w:t>
      </w:r>
      <w:r w:rsidR="00FE442F" w:rsidRPr="00293B75">
        <w:rPr>
          <w:rFonts w:cs="Arial"/>
          <w:lang w:val="fr-FR"/>
        </w:rPr>
        <w:t>’</w:t>
      </w:r>
      <w:r w:rsidR="006E3E1A" w:rsidRPr="00293B75">
        <w:rPr>
          <w:rFonts w:cs="Arial"/>
          <w:lang w:val="fr-FR"/>
        </w:rPr>
        <w:t>Union a présenté un exposé sur les faits nouveaux intervenus à l</w:t>
      </w:r>
      <w:r w:rsidR="00FE442F" w:rsidRPr="00293B75">
        <w:rPr>
          <w:rFonts w:cs="Arial"/>
          <w:lang w:val="fr-FR"/>
        </w:rPr>
        <w:t>’</w:t>
      </w:r>
      <w:r w:rsidR="006E3E1A" w:rsidRPr="00293B75">
        <w:rPr>
          <w:rFonts w:cs="Arial"/>
          <w:lang w:val="fr-FR"/>
        </w:rPr>
        <w:t xml:space="preserve">UPOV </w:t>
      </w:r>
      <w:r w:rsidR="00B50157" w:rsidRPr="00293B75">
        <w:rPr>
          <w:rFonts w:cs="Arial"/>
          <w:lang w:val="fr-FR"/>
        </w:rPr>
        <w:t>(</w:t>
      </w:r>
      <w:r w:rsidRPr="00293B75">
        <w:rPr>
          <w:rFonts w:cs="Arial"/>
          <w:lang w:val="fr-FR"/>
        </w:rPr>
        <w:t>document TWA/43/24</w:t>
      </w:r>
      <w:r w:rsidR="00B50157" w:rsidRPr="00293B75">
        <w:rPr>
          <w:rFonts w:cs="Arial"/>
          <w:lang w:val="fr-FR"/>
        </w:rPr>
        <w:t>)</w:t>
      </w:r>
      <w:r w:rsidRPr="00293B75">
        <w:rPr>
          <w:rFonts w:cs="Arial"/>
          <w:lang w:val="fr-FR"/>
        </w:rPr>
        <w:t>.</w:t>
      </w:r>
    </w:p>
    <w:p w:rsidR="00AD5031" w:rsidRPr="00293B75" w:rsidRDefault="00AD5031" w:rsidP="007005BA">
      <w:pPr>
        <w:contextualSpacing/>
        <w:rPr>
          <w:rFonts w:cs="Arial"/>
          <w:lang w:val="fr-FR"/>
        </w:rPr>
      </w:pPr>
    </w:p>
    <w:p w:rsidR="00FE442F"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995AEA" w:rsidRPr="00293B75">
        <w:rPr>
          <w:rFonts w:cs="Arial"/>
          <w:lang w:val="fr-FR"/>
        </w:rPr>
        <w:t>Le</w:t>
      </w:r>
      <w:r w:rsidRPr="00293B75">
        <w:rPr>
          <w:rFonts w:cs="Arial"/>
          <w:lang w:val="fr-FR"/>
        </w:rPr>
        <w:t xml:space="preserve"> TWA </w:t>
      </w:r>
      <w:r w:rsidR="00995AEA" w:rsidRPr="00293B75">
        <w:rPr>
          <w:rFonts w:cs="Arial"/>
          <w:lang w:val="fr-FR"/>
        </w:rPr>
        <w:t>a examiné le</w:t>
      </w:r>
      <w:r w:rsidRPr="00293B75">
        <w:rPr>
          <w:rFonts w:cs="Arial"/>
          <w:lang w:val="fr-FR"/>
        </w:rPr>
        <w:t xml:space="preserve"> document TWA/43/11,</w:t>
      </w:r>
      <w:r w:rsidR="00995AEA" w:rsidRPr="00293B75">
        <w:rPr>
          <w:rFonts w:cs="Arial"/>
          <w:lang w:val="fr-FR"/>
        </w:rPr>
        <w:t xml:space="preserve"> qui évaluait l</w:t>
      </w:r>
      <w:r w:rsidR="00FE442F" w:rsidRPr="00293B75">
        <w:rPr>
          <w:rFonts w:cs="Arial"/>
          <w:lang w:val="fr-FR"/>
        </w:rPr>
        <w:t>’</w:t>
      </w:r>
      <w:r w:rsidR="00995AEA" w:rsidRPr="00293B75">
        <w:rPr>
          <w:rFonts w:cs="Arial"/>
          <w:lang w:val="fr-FR"/>
        </w:rPr>
        <w:t xml:space="preserve">efficacité </w:t>
      </w:r>
      <w:r w:rsidR="007F0281" w:rsidRPr="00293B75">
        <w:rPr>
          <w:rFonts w:cs="Arial"/>
          <w:lang w:val="fr-FR"/>
        </w:rPr>
        <w:t xml:space="preserve">du Comité technique, des groupes de travail techniques et des ateliers préparatoires. </w:t>
      </w:r>
      <w:r w:rsidR="00FE442F" w:rsidRPr="00293B75">
        <w:rPr>
          <w:rFonts w:cs="Arial"/>
          <w:lang w:val="fr-FR"/>
        </w:rPr>
        <w:t xml:space="preserve"> Le TWA</w:t>
      </w:r>
      <w:r w:rsidR="007F0281" w:rsidRPr="00293B75">
        <w:rPr>
          <w:rFonts w:cs="Arial"/>
          <w:lang w:val="fr-FR"/>
        </w:rPr>
        <w:t xml:space="preserve"> a examiné </w:t>
      </w:r>
      <w:r w:rsidR="00E266CC" w:rsidRPr="00293B75">
        <w:rPr>
          <w:rFonts w:cs="Arial"/>
          <w:lang w:val="fr-FR"/>
        </w:rPr>
        <w:t>les propositions relatives aux moyens possibles d</w:t>
      </w:r>
      <w:r w:rsidR="00FE442F" w:rsidRPr="00293B75">
        <w:rPr>
          <w:rFonts w:cs="Arial"/>
          <w:lang w:val="fr-FR"/>
        </w:rPr>
        <w:t>’</w:t>
      </w:r>
      <w:r w:rsidR="00E266CC" w:rsidRPr="00293B75">
        <w:rPr>
          <w:rFonts w:cs="Arial"/>
          <w:lang w:val="fr-FR"/>
        </w:rPr>
        <w:t>améliorer l</w:t>
      </w:r>
      <w:r w:rsidR="00FE442F" w:rsidRPr="00293B75">
        <w:rPr>
          <w:rFonts w:cs="Arial"/>
          <w:lang w:val="fr-FR"/>
        </w:rPr>
        <w:t>’</w:t>
      </w:r>
      <w:r w:rsidR="00E266CC" w:rsidRPr="00293B75">
        <w:rPr>
          <w:rFonts w:cs="Arial"/>
          <w:lang w:val="fr-FR"/>
        </w:rPr>
        <w:t>efficacité</w:t>
      </w:r>
      <w:r w:rsidR="007F0281" w:rsidRPr="00293B75">
        <w:rPr>
          <w:rFonts w:cs="Arial"/>
          <w:lang w:val="fr-FR"/>
        </w:rPr>
        <w:t xml:space="preserve"> </w:t>
      </w:r>
      <w:r w:rsidR="00E266CC" w:rsidRPr="00293B75">
        <w:rPr>
          <w:rFonts w:cs="Arial"/>
          <w:lang w:val="fr-FR"/>
        </w:rPr>
        <w:t>de ces organismes</w:t>
      </w:r>
      <w:r w:rsidR="008A60E7" w:rsidRPr="00293B75">
        <w:rPr>
          <w:rFonts w:cs="Arial"/>
          <w:lang w:val="fr-FR"/>
        </w:rPr>
        <w:t xml:space="preserve">, exposées dans le document TWA/43/11 et a formulé une </w:t>
      </w:r>
      <w:r w:rsidR="00BA51CF" w:rsidRPr="00293B75">
        <w:rPr>
          <w:rFonts w:cs="Arial"/>
          <w:lang w:val="fr-FR"/>
        </w:rPr>
        <w:t>série</w:t>
      </w:r>
      <w:r w:rsidR="008A60E7" w:rsidRPr="00293B75">
        <w:rPr>
          <w:rFonts w:cs="Arial"/>
          <w:lang w:val="fr-FR"/>
        </w:rPr>
        <w:t xml:space="preserve"> d</w:t>
      </w:r>
      <w:r w:rsidR="00FE442F" w:rsidRPr="00293B75">
        <w:rPr>
          <w:rFonts w:cs="Arial"/>
          <w:lang w:val="fr-FR"/>
        </w:rPr>
        <w:t>’</w:t>
      </w:r>
      <w:r w:rsidR="008A60E7" w:rsidRPr="00293B75">
        <w:rPr>
          <w:rFonts w:cs="Arial"/>
          <w:lang w:val="fr-FR"/>
        </w:rPr>
        <w:t xml:space="preserve">observations. </w:t>
      </w:r>
      <w:r w:rsidR="00004203" w:rsidRPr="00293B75">
        <w:rPr>
          <w:rFonts w:cs="Arial"/>
          <w:lang w:val="fr-FR"/>
        </w:rPr>
        <w:t xml:space="preserve"> </w:t>
      </w:r>
      <w:r w:rsidR="008A60E7" w:rsidRPr="00293B75">
        <w:rPr>
          <w:rFonts w:cs="Arial"/>
          <w:lang w:val="fr-FR"/>
        </w:rPr>
        <w:t xml:space="preserve">Ces observations figurent dans le document </w:t>
      </w:r>
      <w:r w:rsidRPr="00293B75">
        <w:rPr>
          <w:rFonts w:cs="Arial"/>
          <w:lang w:val="fr-FR"/>
        </w:rPr>
        <w:t>TWA/43/27 “Report”.</w:t>
      </w:r>
    </w:p>
    <w:p w:rsidR="00AD5031" w:rsidRPr="00293B75" w:rsidRDefault="00AD5031" w:rsidP="007005BA">
      <w:pPr>
        <w:contextualSpacing/>
        <w:rPr>
          <w:rFonts w:cs="Arial"/>
          <w:lang w:val="fr-FR"/>
        </w:rPr>
      </w:pPr>
    </w:p>
    <w:p w:rsidR="00D1301D"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84142E" w:rsidRPr="00293B75">
        <w:rPr>
          <w:rFonts w:cs="Arial"/>
          <w:lang w:val="fr-FR"/>
        </w:rPr>
        <w:t>Le TW</w:t>
      </w:r>
      <w:r w:rsidR="008C0C92" w:rsidRPr="00293B75">
        <w:rPr>
          <w:rFonts w:cs="Arial"/>
          <w:lang w:val="fr-FR"/>
        </w:rPr>
        <w:t>A</w:t>
      </w:r>
      <w:r w:rsidR="0084142E" w:rsidRPr="00293B75">
        <w:rPr>
          <w:rFonts w:cs="Arial"/>
          <w:lang w:val="fr-FR"/>
        </w:rPr>
        <w:t xml:space="preserve"> a pris note des revisions apportées aux documents </w:t>
      </w:r>
      <w:r w:rsidRPr="00293B75">
        <w:rPr>
          <w:rFonts w:cs="Arial"/>
          <w:lang w:val="fr-FR"/>
        </w:rPr>
        <w:t>TGP/0 “</w:t>
      </w:r>
      <w:r w:rsidR="0084142E" w:rsidRPr="00293B75">
        <w:rPr>
          <w:rFonts w:cs="Arial"/>
          <w:lang w:val="fr-FR"/>
        </w:rPr>
        <w:t>Liste des documents TGP et date de la version la plus récente de ces documents</w:t>
      </w:r>
      <w:r w:rsidRPr="00293B75">
        <w:rPr>
          <w:rFonts w:cs="Arial"/>
          <w:lang w:val="fr-FR"/>
        </w:rPr>
        <w:t>”, TGP/2 “</w:t>
      </w:r>
      <w:r w:rsidR="00D1301D" w:rsidRPr="00293B75">
        <w:rPr>
          <w:rFonts w:cs="Arial"/>
          <w:lang w:val="fr-FR"/>
        </w:rPr>
        <w:t>Liste des principes directeurs d</w:t>
      </w:r>
      <w:r w:rsidR="00FE442F" w:rsidRPr="00293B75">
        <w:rPr>
          <w:rFonts w:cs="Arial"/>
          <w:lang w:val="fr-FR"/>
        </w:rPr>
        <w:t>’</w:t>
      </w:r>
      <w:r w:rsidR="00D1301D" w:rsidRPr="00293B75">
        <w:rPr>
          <w:rFonts w:cs="Arial"/>
          <w:lang w:val="fr-FR"/>
        </w:rPr>
        <w:t>examen adoptés par l</w:t>
      </w:r>
      <w:r w:rsidR="00FE442F" w:rsidRPr="00293B75">
        <w:rPr>
          <w:rFonts w:cs="Arial"/>
          <w:lang w:val="fr-FR"/>
        </w:rPr>
        <w:t>’</w:t>
      </w:r>
      <w:r w:rsidR="00D1301D" w:rsidRPr="00293B75">
        <w:rPr>
          <w:rFonts w:cs="Arial"/>
          <w:lang w:val="fr-FR"/>
        </w:rPr>
        <w:t>UPOV</w:t>
      </w:r>
      <w:r w:rsidRPr="00293B75">
        <w:rPr>
          <w:rFonts w:cs="Arial"/>
          <w:lang w:val="fr-FR"/>
        </w:rPr>
        <w:t>”, TGP/5 “</w:t>
      </w:r>
      <w:r w:rsidR="00D1301D" w:rsidRPr="00293B75">
        <w:rPr>
          <w:rFonts w:cs="Arial"/>
          <w:lang w:val="fr-FR"/>
        </w:rPr>
        <w:t>Expérience et coopération en matière d</w:t>
      </w:r>
      <w:r w:rsidR="00FE442F" w:rsidRPr="00293B75">
        <w:rPr>
          <w:rFonts w:cs="Arial"/>
          <w:lang w:val="fr-FR"/>
        </w:rPr>
        <w:t>’</w:t>
      </w:r>
      <w:r w:rsidR="00D1301D" w:rsidRPr="00293B75">
        <w:rPr>
          <w:rFonts w:cs="Arial"/>
          <w:lang w:val="fr-FR"/>
        </w:rPr>
        <w:t>examen</w:t>
      </w:r>
      <w:r w:rsidR="00004203" w:rsidRPr="00293B75">
        <w:rPr>
          <w:rFonts w:cs="Arial"/>
          <w:lang w:val="fr-FR"/>
        </w:rPr>
        <w:t> </w:t>
      </w:r>
      <w:r w:rsidR="00D1301D" w:rsidRPr="00293B75">
        <w:rPr>
          <w:rFonts w:cs="Arial"/>
          <w:lang w:val="fr-FR"/>
        </w:rPr>
        <w:t>DHS</w:t>
      </w:r>
      <w:r w:rsidRPr="00293B75">
        <w:rPr>
          <w:rFonts w:cs="Arial"/>
          <w:lang w:val="fr-FR"/>
        </w:rPr>
        <w:t>”, TGP/7 “</w:t>
      </w:r>
      <w:r w:rsidR="00D1301D" w:rsidRPr="00293B75">
        <w:rPr>
          <w:rFonts w:cs="Arial"/>
          <w:lang w:val="fr-FR"/>
        </w:rPr>
        <w:t>Élaboration des principes directeurs d</w:t>
      </w:r>
      <w:r w:rsidR="00FE442F" w:rsidRPr="00293B75">
        <w:rPr>
          <w:rFonts w:cs="Arial"/>
          <w:lang w:val="fr-FR"/>
        </w:rPr>
        <w:t>’</w:t>
      </w:r>
      <w:r w:rsidR="00D1301D" w:rsidRPr="00293B75">
        <w:rPr>
          <w:rFonts w:cs="Arial"/>
          <w:lang w:val="fr-FR"/>
        </w:rPr>
        <w:t>examen</w:t>
      </w:r>
      <w:r w:rsidRPr="00293B75">
        <w:rPr>
          <w:rFonts w:cs="Arial"/>
          <w:lang w:val="fr-FR"/>
        </w:rPr>
        <w:t xml:space="preserve">” </w:t>
      </w:r>
      <w:r w:rsidR="00D1301D" w:rsidRPr="00293B75">
        <w:rPr>
          <w:rFonts w:cs="Arial"/>
          <w:lang w:val="fr-FR"/>
        </w:rPr>
        <w:t>et</w:t>
      </w:r>
      <w:r w:rsidRPr="00293B75">
        <w:rPr>
          <w:rFonts w:cs="Arial"/>
          <w:lang w:val="fr-FR"/>
        </w:rPr>
        <w:t xml:space="preserve"> TGP/8 “</w:t>
      </w:r>
      <w:r w:rsidR="00D1301D" w:rsidRPr="00293B75">
        <w:rPr>
          <w:rFonts w:cs="Arial"/>
          <w:lang w:val="fr-FR"/>
        </w:rPr>
        <w:t>Protocole d</w:t>
      </w:r>
      <w:r w:rsidR="00FE442F" w:rsidRPr="00293B75">
        <w:rPr>
          <w:rFonts w:cs="Arial"/>
          <w:lang w:val="fr-FR"/>
        </w:rPr>
        <w:t>’</w:t>
      </w:r>
      <w:r w:rsidR="00D1301D" w:rsidRPr="00293B75">
        <w:rPr>
          <w:rFonts w:cs="Arial"/>
          <w:lang w:val="fr-FR"/>
        </w:rPr>
        <w:t>essai et techniques utilisés dans l</w:t>
      </w:r>
      <w:r w:rsidR="00FE442F" w:rsidRPr="00293B75">
        <w:rPr>
          <w:rFonts w:cs="Arial"/>
          <w:lang w:val="fr-FR"/>
        </w:rPr>
        <w:t>’</w:t>
      </w:r>
      <w:r w:rsidR="00D1301D" w:rsidRPr="00293B75">
        <w:rPr>
          <w:rFonts w:cs="Arial"/>
          <w:lang w:val="fr-FR"/>
        </w:rPr>
        <w:t>examen de la distinction, de l</w:t>
      </w:r>
      <w:r w:rsidR="00FE442F" w:rsidRPr="00293B75">
        <w:rPr>
          <w:rFonts w:cs="Arial"/>
          <w:lang w:val="fr-FR"/>
        </w:rPr>
        <w:t>’</w:t>
      </w:r>
      <w:r w:rsidR="00D1301D" w:rsidRPr="00293B75">
        <w:rPr>
          <w:rFonts w:cs="Arial"/>
          <w:lang w:val="fr-FR"/>
        </w:rPr>
        <w:t>homogénéité et de la stabilité</w:t>
      </w:r>
      <w:r w:rsidR="00B50A8B" w:rsidRPr="00293B75">
        <w:rPr>
          <w:rFonts w:cs="Arial"/>
          <w:lang w:val="fr-FR"/>
        </w:rPr>
        <w:t>”, qui ont été adoptées par le Conseil à sa quarante</w:t>
      </w:r>
      <w:r w:rsidR="005535E5" w:rsidRPr="00293B75">
        <w:rPr>
          <w:rFonts w:cs="Arial"/>
          <w:lang w:val="fr-FR"/>
        </w:rPr>
        <w:noBreakHyphen/>
      </w:r>
      <w:r w:rsidR="00B50A8B" w:rsidRPr="00293B75">
        <w:rPr>
          <w:rFonts w:cs="Arial"/>
          <w:lang w:val="fr-FR"/>
        </w:rPr>
        <w:t>huitième</w:t>
      </w:r>
      <w:r w:rsidR="00004203" w:rsidRPr="00293B75">
        <w:rPr>
          <w:rFonts w:cs="Arial"/>
          <w:lang w:val="fr-FR"/>
        </w:rPr>
        <w:t> </w:t>
      </w:r>
      <w:r w:rsidR="00B50A8B" w:rsidRPr="00293B75">
        <w:rPr>
          <w:rFonts w:cs="Arial"/>
          <w:lang w:val="fr-FR"/>
        </w:rPr>
        <w:t>session ordinaire, comme il ressort des paragraphes</w:t>
      </w:r>
      <w:r w:rsidR="00004203" w:rsidRPr="00293B75">
        <w:rPr>
          <w:rFonts w:cs="Arial"/>
          <w:lang w:val="fr-FR"/>
        </w:rPr>
        <w:t> </w:t>
      </w:r>
      <w:r w:rsidR="00B50A8B" w:rsidRPr="00293B75">
        <w:rPr>
          <w:rFonts w:cs="Arial"/>
          <w:lang w:val="fr-FR"/>
        </w:rPr>
        <w:t xml:space="preserve">5 à 21 du document TWA/43/3. </w:t>
      </w:r>
      <w:r w:rsidR="00FE442F" w:rsidRPr="00293B75">
        <w:rPr>
          <w:rFonts w:cs="Arial"/>
          <w:lang w:val="fr-FR"/>
        </w:rPr>
        <w:t xml:space="preserve"> Le TWA</w:t>
      </w:r>
      <w:r w:rsidR="00B50A8B" w:rsidRPr="00293B75">
        <w:rPr>
          <w:rFonts w:cs="Arial"/>
          <w:lang w:val="fr-FR"/>
        </w:rPr>
        <w:t xml:space="preserve"> a également noté que les propositions de futures révisions de documents TGP seraient traitées dans des documents différents.</w:t>
      </w:r>
    </w:p>
    <w:p w:rsidR="00FE442F" w:rsidRPr="00293B75" w:rsidRDefault="00CE327F" w:rsidP="007005BA">
      <w:pPr>
        <w:rPr>
          <w:rFonts w:cs="Arial"/>
          <w:lang w:val="fr-FR"/>
        </w:rPr>
      </w:pPr>
      <w:r w:rsidRPr="00293B75">
        <w:rPr>
          <w:rFonts w:cs="Arial"/>
          <w:lang w:val="fr-FR"/>
        </w:rPr>
        <w:lastRenderedPageBreak/>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B50A8B" w:rsidRPr="00293B75">
        <w:rPr>
          <w:rFonts w:cs="Arial"/>
          <w:lang w:val="fr-FR"/>
        </w:rPr>
        <w:t>Le</w:t>
      </w:r>
      <w:r w:rsidRPr="00293B75">
        <w:rPr>
          <w:rFonts w:cs="Arial"/>
          <w:lang w:val="fr-FR"/>
        </w:rPr>
        <w:t xml:space="preserve"> TWA </w:t>
      </w:r>
      <w:r w:rsidR="00B50A8B" w:rsidRPr="00293B75">
        <w:rPr>
          <w:rFonts w:cs="Arial"/>
          <w:lang w:val="fr-FR"/>
        </w:rPr>
        <w:t xml:space="preserve">a </w:t>
      </w:r>
      <w:r w:rsidR="00BA51CF" w:rsidRPr="00293B75">
        <w:rPr>
          <w:rFonts w:cs="Arial"/>
          <w:lang w:val="fr-FR"/>
        </w:rPr>
        <w:t>examiné</w:t>
      </w:r>
      <w:r w:rsidR="00B50A8B" w:rsidRPr="00293B75">
        <w:rPr>
          <w:rFonts w:cs="Arial"/>
          <w:lang w:val="fr-FR"/>
        </w:rPr>
        <w:t xml:space="preserve"> le</w:t>
      </w:r>
      <w:r w:rsidRPr="00293B75">
        <w:rPr>
          <w:rFonts w:cs="Arial"/>
          <w:lang w:val="fr-FR"/>
        </w:rPr>
        <w:t xml:space="preserve"> document TWA/43/12, </w:t>
      </w:r>
      <w:r w:rsidR="00B50A8B" w:rsidRPr="00293B75">
        <w:rPr>
          <w:rFonts w:cs="Arial"/>
          <w:lang w:val="fr-FR"/>
        </w:rPr>
        <w:t xml:space="preserve">concernant la revision du </w:t>
      </w:r>
      <w:r w:rsidRPr="00293B75">
        <w:rPr>
          <w:rFonts w:cs="Arial"/>
          <w:lang w:val="fr-FR"/>
        </w:rPr>
        <w:t>document TGP/7</w:t>
      </w:r>
      <w:r w:rsidR="00004203" w:rsidRPr="00293B75">
        <w:rPr>
          <w:rFonts w:cs="Arial"/>
          <w:lang w:val="fr-FR"/>
        </w:rPr>
        <w:t> </w:t>
      </w:r>
      <w:r w:rsidRPr="00293B75">
        <w:rPr>
          <w:rFonts w:cs="Arial"/>
          <w:lang w:val="fr-FR"/>
        </w:rPr>
        <w:t xml:space="preserve">: </w:t>
      </w:r>
      <w:r w:rsidR="004A3030" w:rsidRPr="00293B75">
        <w:rPr>
          <w:rFonts w:cs="Arial"/>
          <w:lang w:val="fr-FR"/>
        </w:rPr>
        <w:t>Matériel végétal soumis pour examen</w:t>
      </w:r>
      <w:r w:rsidRPr="00293B75">
        <w:rPr>
          <w:rFonts w:cs="Arial"/>
          <w:lang w:val="fr-FR"/>
        </w:rPr>
        <w:t>.</w:t>
      </w:r>
      <w:r w:rsidR="00004203" w:rsidRPr="00293B75">
        <w:rPr>
          <w:rFonts w:cs="Arial"/>
          <w:lang w:val="fr-FR"/>
        </w:rPr>
        <w:t xml:space="preserve"> </w:t>
      </w:r>
      <w:r w:rsidR="00FE442F" w:rsidRPr="00293B75">
        <w:rPr>
          <w:rFonts w:cs="Arial"/>
          <w:lang w:val="fr-FR"/>
        </w:rPr>
        <w:t xml:space="preserve"> Le TWA</w:t>
      </w:r>
      <w:r w:rsidR="00C473D2" w:rsidRPr="00293B75">
        <w:rPr>
          <w:rFonts w:cs="Arial"/>
          <w:lang w:val="fr-FR"/>
        </w:rPr>
        <w:t xml:space="preserve"> a noté que de nombreux facteurs pouvaient influer sur le matériel végétal soumis pour examen et a reconnu que les documents TG/1/3 “Introduction générale à l</w:t>
      </w:r>
      <w:r w:rsidR="00FE442F" w:rsidRPr="00293B75">
        <w:rPr>
          <w:rFonts w:cs="Arial"/>
          <w:lang w:val="fr-FR"/>
        </w:rPr>
        <w:t>’</w:t>
      </w:r>
      <w:r w:rsidR="00C473D2" w:rsidRPr="00293B75">
        <w:rPr>
          <w:rFonts w:cs="Arial"/>
          <w:lang w:val="fr-FR"/>
        </w:rPr>
        <w:t>examen de la distinction, de l</w:t>
      </w:r>
      <w:r w:rsidR="00FE442F" w:rsidRPr="00293B75">
        <w:rPr>
          <w:rFonts w:cs="Arial"/>
          <w:lang w:val="fr-FR"/>
        </w:rPr>
        <w:t>’</w:t>
      </w:r>
      <w:r w:rsidR="00C473D2" w:rsidRPr="00293B75">
        <w:rPr>
          <w:rFonts w:cs="Arial"/>
          <w:lang w:val="fr-FR"/>
        </w:rPr>
        <w:t>homogénéité et de la stabilité et à l</w:t>
      </w:r>
      <w:r w:rsidR="00FE442F" w:rsidRPr="00293B75">
        <w:rPr>
          <w:rFonts w:cs="Arial"/>
          <w:lang w:val="fr-FR"/>
        </w:rPr>
        <w:t>’</w:t>
      </w:r>
      <w:r w:rsidR="00C473D2" w:rsidRPr="00293B75">
        <w:rPr>
          <w:rFonts w:cs="Arial"/>
          <w:lang w:val="fr-FR"/>
        </w:rPr>
        <w:t>harmonisation des descriptions des obtentions végétales” et TGP/9 “Examen de la distinction” offraient une bonne base aux services pour prévenir et résoudre la plupart des problèmes.</w:t>
      </w:r>
      <w:r w:rsidR="00FE442F" w:rsidRPr="00293B75">
        <w:rPr>
          <w:lang w:val="fr-FR"/>
        </w:rPr>
        <w:t xml:space="preserve"> </w:t>
      </w:r>
      <w:r w:rsidR="00004203" w:rsidRPr="00293B75">
        <w:rPr>
          <w:rFonts w:cs="Arial"/>
          <w:lang w:val="fr-FR"/>
        </w:rPr>
        <w:t xml:space="preserve"> </w:t>
      </w:r>
      <w:r w:rsidR="00FE442F" w:rsidRPr="00293B75">
        <w:rPr>
          <w:rFonts w:cs="Arial"/>
          <w:lang w:val="fr-FR"/>
        </w:rPr>
        <w:t>Le TWA</w:t>
      </w:r>
      <w:r w:rsidR="004A3030" w:rsidRPr="00293B75">
        <w:rPr>
          <w:rFonts w:cs="Arial"/>
          <w:lang w:val="fr-FR"/>
        </w:rPr>
        <w:t xml:space="preserve"> est </w:t>
      </w:r>
      <w:proofErr w:type="gramStart"/>
      <w:r w:rsidR="004A3030" w:rsidRPr="00293B75">
        <w:rPr>
          <w:rFonts w:cs="Arial"/>
          <w:lang w:val="fr-FR"/>
        </w:rPr>
        <w:t>convenu</w:t>
      </w:r>
      <w:proofErr w:type="gramEnd"/>
      <w:r w:rsidR="004A3030" w:rsidRPr="00293B75">
        <w:rPr>
          <w:rFonts w:cs="Arial"/>
          <w:lang w:val="fr-FR"/>
        </w:rPr>
        <w:t xml:space="preserve"> qu</w:t>
      </w:r>
      <w:r w:rsidR="00FE442F" w:rsidRPr="00293B75">
        <w:rPr>
          <w:rFonts w:cs="Arial"/>
          <w:lang w:val="fr-FR"/>
        </w:rPr>
        <w:t>’</w:t>
      </w:r>
      <w:r w:rsidR="004A3030" w:rsidRPr="00293B75">
        <w:rPr>
          <w:rFonts w:cs="Arial"/>
          <w:lang w:val="fr-FR"/>
        </w:rPr>
        <w:t>il ne serait pas nécessaire d</w:t>
      </w:r>
      <w:r w:rsidR="00FE442F" w:rsidRPr="00293B75">
        <w:rPr>
          <w:rFonts w:cs="Arial"/>
          <w:lang w:val="fr-FR"/>
        </w:rPr>
        <w:t>’</w:t>
      </w:r>
      <w:r w:rsidR="004A3030" w:rsidRPr="00293B75">
        <w:rPr>
          <w:rFonts w:cs="Arial"/>
          <w:lang w:val="fr-FR"/>
        </w:rPr>
        <w:t>élaborer d</w:t>
      </w:r>
      <w:r w:rsidR="00FE442F" w:rsidRPr="00293B75">
        <w:rPr>
          <w:rFonts w:cs="Arial"/>
          <w:lang w:val="fr-FR"/>
        </w:rPr>
        <w:t>’</w:t>
      </w:r>
      <w:r w:rsidR="004A3030" w:rsidRPr="00293B75">
        <w:rPr>
          <w:rFonts w:cs="Arial"/>
          <w:lang w:val="fr-FR"/>
        </w:rPr>
        <w:t xml:space="preserve">autres </w:t>
      </w:r>
      <w:r w:rsidR="008C0C92" w:rsidRPr="00293B75">
        <w:rPr>
          <w:rFonts w:cs="Arial"/>
          <w:lang w:val="fr-FR"/>
        </w:rPr>
        <w:t>orientation</w:t>
      </w:r>
      <w:r w:rsidR="004A3030" w:rsidRPr="00293B75">
        <w:rPr>
          <w:rFonts w:cs="Arial"/>
          <w:lang w:val="fr-FR"/>
        </w:rPr>
        <w:t>s sur le matériel végétal soumis pour examen</w:t>
      </w:r>
      <w:r w:rsidRPr="00293B75">
        <w:rPr>
          <w:rFonts w:cs="Arial"/>
          <w:lang w:val="fr-FR"/>
        </w:rPr>
        <w:t>.</w:t>
      </w:r>
    </w:p>
    <w:p w:rsidR="00AD5031" w:rsidRPr="00293B75" w:rsidRDefault="00AD5031" w:rsidP="007005BA">
      <w:pPr>
        <w:rPr>
          <w:lang w:val="fr-FR"/>
        </w:rPr>
      </w:pPr>
    </w:p>
    <w:p w:rsidR="00FE442F" w:rsidRPr="00293B75" w:rsidRDefault="00CE327F" w:rsidP="007005BA">
      <w:pPr>
        <w:rPr>
          <w:lang w:val="fr-FR"/>
        </w:rPr>
      </w:pPr>
      <w:r w:rsidRPr="00293B75">
        <w:rPr>
          <w:snapToGrid w:val="0"/>
          <w:lang w:val="fr-FR"/>
        </w:rPr>
        <w:fldChar w:fldCharType="begin"/>
      </w:r>
      <w:r w:rsidRPr="00293B75">
        <w:rPr>
          <w:snapToGrid w:val="0"/>
          <w:lang w:val="fr-FR"/>
        </w:rPr>
        <w:instrText xml:space="preserve"> AUTONUM  </w:instrText>
      </w:r>
      <w:r w:rsidRPr="00293B75">
        <w:rPr>
          <w:snapToGrid w:val="0"/>
          <w:lang w:val="fr-FR"/>
        </w:rPr>
        <w:fldChar w:fldCharType="end"/>
      </w:r>
      <w:r w:rsidRPr="00293B75">
        <w:rPr>
          <w:snapToGrid w:val="0"/>
          <w:lang w:val="fr-FR"/>
        </w:rPr>
        <w:tab/>
      </w:r>
      <w:r w:rsidR="004E2B34" w:rsidRPr="00293B75">
        <w:rPr>
          <w:snapToGrid w:val="0"/>
          <w:lang w:val="fr-FR"/>
        </w:rPr>
        <w:t xml:space="preserve">Le TWA a examiné le </w:t>
      </w:r>
      <w:r w:rsidRPr="00293B75">
        <w:rPr>
          <w:snapToGrid w:val="0"/>
          <w:lang w:val="fr-FR"/>
        </w:rPr>
        <w:t xml:space="preserve">document </w:t>
      </w:r>
      <w:r w:rsidRPr="00293B75">
        <w:rPr>
          <w:lang w:val="fr-FR"/>
        </w:rPr>
        <w:t xml:space="preserve">TWA/43/13, </w:t>
      </w:r>
      <w:r w:rsidR="004E2B34" w:rsidRPr="00293B75">
        <w:rPr>
          <w:rFonts w:cs="Arial"/>
          <w:lang w:val="fr-FR"/>
        </w:rPr>
        <w:t xml:space="preserve">concernant la revision du </w:t>
      </w:r>
      <w:r w:rsidR="00FE442F" w:rsidRPr="00293B75">
        <w:rPr>
          <w:rFonts w:cs="Arial"/>
          <w:lang w:val="fr-FR"/>
        </w:rPr>
        <w:t xml:space="preserve">document </w:t>
      </w:r>
      <w:r w:rsidR="00FE442F" w:rsidRPr="00293B75">
        <w:rPr>
          <w:lang w:val="fr-FR"/>
        </w:rPr>
        <w:t>TG</w:t>
      </w:r>
      <w:r w:rsidRPr="00293B75">
        <w:rPr>
          <w:lang w:val="fr-FR"/>
        </w:rPr>
        <w:t>P/7</w:t>
      </w:r>
      <w:r w:rsidR="00004203" w:rsidRPr="00293B75">
        <w:rPr>
          <w:lang w:val="fr-FR"/>
        </w:rPr>
        <w:t> </w:t>
      </w:r>
      <w:r w:rsidRPr="00293B75">
        <w:rPr>
          <w:lang w:val="fr-FR"/>
        </w:rPr>
        <w:t xml:space="preserve">: </w:t>
      </w:r>
      <w:r w:rsidR="004E2B34" w:rsidRPr="00293B75">
        <w:rPr>
          <w:lang w:val="fr-FR"/>
        </w:rPr>
        <w:t>Portée des principes directeurs</w:t>
      </w:r>
      <w:r w:rsidRPr="00293B75">
        <w:rPr>
          <w:lang w:val="fr-FR"/>
        </w:rPr>
        <w:t>.</w:t>
      </w:r>
      <w:r w:rsidR="00FE442F" w:rsidRPr="00293B75">
        <w:rPr>
          <w:lang w:val="fr-FR"/>
        </w:rPr>
        <w:t xml:space="preserve"> </w:t>
      </w:r>
      <w:r w:rsidR="00004203" w:rsidRPr="00293B75">
        <w:rPr>
          <w:lang w:val="fr-FR"/>
        </w:rPr>
        <w:t xml:space="preserve"> </w:t>
      </w:r>
      <w:r w:rsidR="00FE442F" w:rsidRPr="00293B75">
        <w:rPr>
          <w:lang w:val="fr-FR"/>
        </w:rPr>
        <w:t>Le TWA</w:t>
      </w:r>
      <w:r w:rsidR="004E2B34" w:rsidRPr="00293B75">
        <w:rPr>
          <w:lang w:val="fr-FR"/>
        </w:rPr>
        <w:t xml:space="preserve"> est convenu que le nouveau paragraphe proposé dans la méthode n°</w:t>
      </w:r>
      <w:r w:rsidR="00004203" w:rsidRPr="00293B75">
        <w:rPr>
          <w:lang w:val="fr-FR"/>
        </w:rPr>
        <w:t> </w:t>
      </w:r>
      <w:r w:rsidR="004E2B34" w:rsidRPr="00293B75">
        <w:rPr>
          <w:lang w:val="fr-FR"/>
        </w:rPr>
        <w:t>3 comprenant les orientations en matière de procédures applicables aux variétés pouvant être mises au point dans l</w:t>
      </w:r>
      <w:r w:rsidR="00FE442F" w:rsidRPr="00293B75">
        <w:rPr>
          <w:lang w:val="fr-FR"/>
        </w:rPr>
        <w:t>’</w:t>
      </w:r>
      <w:r w:rsidR="004E2B34" w:rsidRPr="00293B75">
        <w:rPr>
          <w:lang w:val="fr-FR"/>
        </w:rPr>
        <w:t>avenir avec d</w:t>
      </w:r>
      <w:r w:rsidR="00FE442F" w:rsidRPr="00293B75">
        <w:rPr>
          <w:lang w:val="fr-FR"/>
        </w:rPr>
        <w:t>’</w:t>
      </w:r>
      <w:r w:rsidR="004E2B34" w:rsidRPr="00293B75">
        <w:rPr>
          <w:lang w:val="fr-FR"/>
        </w:rPr>
        <w:t>autres types de reproduction ou de multiplication deviendrait redondant si les principes directeurs d</w:t>
      </w:r>
      <w:r w:rsidR="00FE442F" w:rsidRPr="00293B75">
        <w:rPr>
          <w:lang w:val="fr-FR"/>
        </w:rPr>
        <w:t>’</w:t>
      </w:r>
      <w:r w:rsidR="004E2B34" w:rsidRPr="00293B75">
        <w:rPr>
          <w:lang w:val="fr-FR"/>
        </w:rPr>
        <w:t>examen étaient élaborés sur la base de variétés ayant plus d</w:t>
      </w:r>
      <w:r w:rsidR="00FE442F" w:rsidRPr="00293B75">
        <w:rPr>
          <w:lang w:val="fr-FR"/>
        </w:rPr>
        <w:t>’</w:t>
      </w:r>
      <w:r w:rsidR="004E2B34" w:rsidRPr="00293B75">
        <w:rPr>
          <w:lang w:val="fr-FR"/>
        </w:rPr>
        <w:t xml:space="preserve">un type de reproduction ou de multiplication et est convenu que </w:t>
      </w:r>
      <w:r w:rsidR="005476EB" w:rsidRPr="00293B75">
        <w:rPr>
          <w:lang w:val="fr-FR"/>
        </w:rPr>
        <w:t>ASW </w:t>
      </w:r>
      <w:r w:rsidR="004E2B34" w:rsidRPr="00293B75">
        <w:rPr>
          <w:lang w:val="fr-FR"/>
        </w:rPr>
        <w:t>8 devrait être modifié.</w:t>
      </w:r>
    </w:p>
    <w:p w:rsidR="00AD5031" w:rsidRPr="00293B75" w:rsidRDefault="00AD5031" w:rsidP="007005BA">
      <w:pPr>
        <w:rPr>
          <w:rFonts w:cs="Arial"/>
          <w:lang w:val="fr-FR"/>
        </w:rPr>
      </w:pPr>
    </w:p>
    <w:p w:rsidR="00F72186" w:rsidRPr="00293B75" w:rsidRDefault="00CE327F" w:rsidP="007005BA">
      <w:pPr>
        <w:rPr>
          <w:rFonts w:cs="Arial"/>
          <w:shd w:val="clear" w:color="auto" w:fill="FFFFFF"/>
          <w:lang w:val="fr-FR"/>
        </w:rPr>
      </w:pPr>
      <w:r w:rsidRPr="00293B75">
        <w:rPr>
          <w:rFonts w:cs="Arial"/>
          <w:snapToGrid w:val="0"/>
          <w:lang w:val="fr-FR"/>
        </w:rPr>
        <w:fldChar w:fldCharType="begin"/>
      </w:r>
      <w:r w:rsidRPr="00293B75">
        <w:rPr>
          <w:rFonts w:cs="Arial"/>
          <w:snapToGrid w:val="0"/>
          <w:lang w:val="fr-FR"/>
        </w:rPr>
        <w:instrText xml:space="preserve"> AUTONUM  </w:instrText>
      </w:r>
      <w:r w:rsidRPr="00293B75">
        <w:rPr>
          <w:rFonts w:cs="Arial"/>
          <w:snapToGrid w:val="0"/>
          <w:lang w:val="fr-FR"/>
        </w:rPr>
        <w:fldChar w:fldCharType="end"/>
      </w:r>
      <w:r w:rsidRPr="00293B75">
        <w:rPr>
          <w:rFonts w:cs="Arial"/>
          <w:snapToGrid w:val="0"/>
          <w:lang w:val="fr-FR"/>
        </w:rPr>
        <w:tab/>
      </w:r>
      <w:r w:rsidR="00F107A7" w:rsidRPr="00293B75">
        <w:rPr>
          <w:rFonts w:cs="Arial"/>
          <w:snapToGrid w:val="0"/>
          <w:lang w:val="fr-FR"/>
        </w:rPr>
        <w:t>S</w:t>
      </w:r>
      <w:r w:rsidR="00FE442F" w:rsidRPr="00293B75">
        <w:rPr>
          <w:rFonts w:cs="Arial"/>
          <w:snapToGrid w:val="0"/>
          <w:lang w:val="fr-FR"/>
        </w:rPr>
        <w:t>’</w:t>
      </w:r>
      <w:r w:rsidR="00F107A7" w:rsidRPr="00293B75">
        <w:rPr>
          <w:rFonts w:cs="Arial"/>
          <w:snapToGrid w:val="0"/>
          <w:lang w:val="fr-FR"/>
        </w:rPr>
        <w:t>agissant du document</w:t>
      </w:r>
      <w:r w:rsidRPr="00293B75">
        <w:rPr>
          <w:rFonts w:cs="Arial"/>
          <w:snapToGrid w:val="0"/>
          <w:lang w:val="fr-FR"/>
        </w:rPr>
        <w:t xml:space="preserve"> </w:t>
      </w:r>
      <w:r w:rsidRPr="00293B75">
        <w:rPr>
          <w:rFonts w:cs="Arial"/>
          <w:lang w:val="fr-FR"/>
        </w:rPr>
        <w:t>TWA/43/15 “</w:t>
      </w:r>
      <w:r w:rsidR="00F107A7" w:rsidRPr="00293B75">
        <w:rPr>
          <w:rFonts w:cs="Arial"/>
          <w:shd w:val="clear" w:color="auto" w:fill="FFFFFF"/>
          <w:lang w:val="fr-FR"/>
        </w:rPr>
        <w:t>Réduction optimale de la variation due à différents observateurs</w:t>
      </w:r>
      <w:r w:rsidRPr="00293B75">
        <w:rPr>
          <w:rFonts w:cs="Arial"/>
          <w:shd w:val="clear" w:color="auto" w:fill="FFFFFF"/>
          <w:lang w:val="fr-FR"/>
        </w:rPr>
        <w:t>”,</w:t>
      </w:r>
      <w:r w:rsidR="00FE442F" w:rsidRPr="00293B75">
        <w:rPr>
          <w:rFonts w:cs="Arial"/>
          <w:shd w:val="clear" w:color="auto" w:fill="FFFFFF"/>
          <w:lang w:val="fr-FR"/>
        </w:rPr>
        <w:t xml:space="preserve"> le TWA</w:t>
      </w:r>
      <w:r w:rsidR="00F107A7" w:rsidRPr="00293B75">
        <w:rPr>
          <w:rFonts w:cs="Arial"/>
          <w:shd w:val="clear" w:color="auto" w:fill="FFFFFF"/>
          <w:lang w:val="fr-FR"/>
        </w:rPr>
        <w:t xml:space="preserve"> a ex</w:t>
      </w:r>
      <w:r w:rsidR="00F107A7" w:rsidRPr="00293B75">
        <w:t xml:space="preserve">aminé </w:t>
      </w:r>
      <w:r w:rsidR="00217621" w:rsidRPr="00293B75">
        <w:t xml:space="preserve">le projet </w:t>
      </w:r>
      <w:r w:rsidR="00F72186" w:rsidRPr="00293B75">
        <w:t>d</w:t>
      </w:r>
      <w:r w:rsidR="00FE442F" w:rsidRPr="00293B75">
        <w:t>’</w:t>
      </w:r>
      <w:r w:rsidR="008C0C92" w:rsidRPr="00293B75">
        <w:t>orientat</w:t>
      </w:r>
      <w:r w:rsidR="00F72186" w:rsidRPr="00293B75">
        <w:t>ions</w:t>
      </w:r>
      <w:r w:rsidR="00217621" w:rsidRPr="00293B75">
        <w:t xml:space="preserve"> f</w:t>
      </w:r>
      <w:r w:rsidR="00217621" w:rsidRPr="00293B75">
        <w:rPr>
          <w:rFonts w:cs="Arial"/>
          <w:shd w:val="clear" w:color="auto" w:fill="FFFFFF"/>
          <w:lang w:val="fr-FR"/>
        </w:rPr>
        <w:t>igurant à l</w:t>
      </w:r>
      <w:r w:rsidR="00FE442F" w:rsidRPr="00293B75">
        <w:rPr>
          <w:rFonts w:cs="Arial"/>
          <w:shd w:val="clear" w:color="auto" w:fill="FFFFFF"/>
          <w:lang w:val="fr-FR"/>
        </w:rPr>
        <w:t>’</w:t>
      </w:r>
      <w:r w:rsidR="00217621" w:rsidRPr="00293B75">
        <w:rPr>
          <w:rFonts w:cs="Arial"/>
          <w:shd w:val="clear" w:color="auto" w:fill="FFFFFF"/>
          <w:lang w:val="fr-FR"/>
        </w:rPr>
        <w:t>annexe du document TWA/43/15</w:t>
      </w:r>
      <w:r w:rsidRPr="00293B75">
        <w:rPr>
          <w:rFonts w:cs="Arial"/>
          <w:shd w:val="clear" w:color="auto" w:fill="FFFFFF"/>
          <w:lang w:val="fr-FR"/>
        </w:rPr>
        <w:t xml:space="preserve"> </w:t>
      </w:r>
      <w:r w:rsidR="00F72186" w:rsidRPr="00293B75">
        <w:rPr>
          <w:rFonts w:cs="Arial"/>
          <w:shd w:val="clear" w:color="auto" w:fill="FFFFFF"/>
          <w:lang w:val="fr-FR"/>
        </w:rPr>
        <w:t>en vue de son incorporation dans une future version révisée du document TGP/8, concernant l</w:t>
      </w:r>
      <w:r w:rsidR="00FE442F" w:rsidRPr="00293B75">
        <w:rPr>
          <w:rFonts w:cs="Arial"/>
          <w:shd w:val="clear" w:color="auto" w:fill="FFFFFF"/>
          <w:lang w:val="fr-FR"/>
        </w:rPr>
        <w:t>’</w:t>
      </w:r>
      <w:r w:rsidR="00F72186" w:rsidRPr="00293B75">
        <w:rPr>
          <w:rFonts w:cs="Arial"/>
          <w:shd w:val="clear" w:color="auto" w:fill="FFFFFF"/>
          <w:lang w:val="fr-FR"/>
        </w:rPr>
        <w:t xml:space="preserve">optimisation de la variation due à différents observateurs, </w:t>
      </w:r>
      <w:r w:rsidR="00FE442F" w:rsidRPr="00293B75">
        <w:rPr>
          <w:rFonts w:cs="Arial"/>
          <w:shd w:val="clear" w:color="auto" w:fill="FFFFFF"/>
          <w:lang w:val="fr-FR"/>
        </w:rPr>
        <w:t>y compris</w:t>
      </w:r>
      <w:r w:rsidR="00F72186" w:rsidRPr="00293B75">
        <w:rPr>
          <w:rFonts w:cs="Arial"/>
          <w:shd w:val="clear" w:color="auto" w:fill="FFFFFF"/>
          <w:lang w:val="fr-FR"/>
        </w:rPr>
        <w:t xml:space="preserve"> des conseils sur les caractères PQ et QN/MG.</w:t>
      </w:r>
    </w:p>
    <w:p w:rsidR="00F72186" w:rsidRPr="00293B75" w:rsidRDefault="00F72186" w:rsidP="007005BA">
      <w:pPr>
        <w:rPr>
          <w:rFonts w:cs="Arial"/>
          <w:shd w:val="clear" w:color="auto" w:fill="FFFFFF"/>
          <w:lang w:val="fr-FR"/>
        </w:rPr>
      </w:pPr>
    </w:p>
    <w:p w:rsidR="00FE442F"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F72186" w:rsidRPr="00293B75">
        <w:rPr>
          <w:rFonts w:cs="Arial"/>
          <w:lang w:val="fr-FR"/>
        </w:rPr>
        <w:t>Le</w:t>
      </w:r>
      <w:r w:rsidRPr="00293B75">
        <w:rPr>
          <w:rFonts w:cs="Arial"/>
          <w:lang w:val="fr-FR"/>
        </w:rPr>
        <w:t xml:space="preserve"> TWA </w:t>
      </w:r>
      <w:r w:rsidR="00F72186" w:rsidRPr="00293B75">
        <w:rPr>
          <w:rFonts w:cs="Arial"/>
          <w:lang w:val="fr-FR"/>
        </w:rPr>
        <w:t>a examiné le</w:t>
      </w:r>
      <w:r w:rsidRPr="00293B75">
        <w:rPr>
          <w:rFonts w:cs="Arial"/>
          <w:lang w:val="fr-FR"/>
        </w:rPr>
        <w:t xml:space="preserve"> document TWA/43/19 “</w:t>
      </w:r>
      <w:r w:rsidR="00F72186" w:rsidRPr="00293B75">
        <w:rPr>
          <w:rFonts w:cs="Arial"/>
          <w:lang w:val="fr-FR"/>
        </w:rPr>
        <w:t>I</w:t>
      </w:r>
      <w:r w:rsidR="00F72186" w:rsidRPr="00293B75">
        <w:rPr>
          <w:rFonts w:cs="Arial"/>
          <w:shd w:val="clear" w:color="auto" w:fill="FFFFFF"/>
          <w:lang w:val="fr-FR"/>
        </w:rPr>
        <w:t>ndications aux fins des essais aveugles aléatoires</w:t>
      </w:r>
      <w:r w:rsidRPr="00293B75">
        <w:rPr>
          <w:rFonts w:cs="Arial"/>
          <w:shd w:val="clear" w:color="auto" w:fill="FFFFFF"/>
          <w:lang w:val="fr-FR"/>
        </w:rPr>
        <w:t>”</w:t>
      </w:r>
      <w:r w:rsidRPr="00293B75">
        <w:rPr>
          <w:rFonts w:cs="Arial"/>
          <w:lang w:val="fr-FR"/>
        </w:rPr>
        <w:t>.</w:t>
      </w:r>
      <w:r w:rsidR="00FE442F" w:rsidRPr="00293B75">
        <w:rPr>
          <w:rFonts w:cs="Arial"/>
          <w:lang w:val="fr-FR"/>
        </w:rPr>
        <w:t xml:space="preserve"> </w:t>
      </w:r>
      <w:r w:rsidR="00004203" w:rsidRPr="00293B75">
        <w:rPr>
          <w:rFonts w:cs="Arial"/>
          <w:lang w:val="fr-FR"/>
        </w:rPr>
        <w:t xml:space="preserve"> </w:t>
      </w:r>
      <w:r w:rsidR="00FE442F" w:rsidRPr="00293B75">
        <w:rPr>
          <w:rFonts w:cs="Arial"/>
          <w:lang w:val="fr-FR"/>
        </w:rPr>
        <w:t>Le TWA</w:t>
      </w:r>
      <w:r w:rsidR="00F72186" w:rsidRPr="00293B75">
        <w:rPr>
          <w:rFonts w:cs="Arial"/>
          <w:lang w:val="fr-FR"/>
        </w:rPr>
        <w:t xml:space="preserve"> est </w:t>
      </w:r>
      <w:proofErr w:type="gramStart"/>
      <w:r w:rsidR="00F72186" w:rsidRPr="00293B75">
        <w:rPr>
          <w:rFonts w:cs="Arial"/>
          <w:lang w:val="fr-FR"/>
        </w:rPr>
        <w:t>convenu</w:t>
      </w:r>
      <w:proofErr w:type="gramEnd"/>
      <w:r w:rsidR="00F72186" w:rsidRPr="00293B75">
        <w:rPr>
          <w:rFonts w:cs="Arial"/>
          <w:lang w:val="fr-FR"/>
        </w:rPr>
        <w:t xml:space="preserve"> que les indications à élaborer devraient contenir des explications sur l</w:t>
      </w:r>
      <w:r w:rsidR="00FE442F" w:rsidRPr="00293B75">
        <w:rPr>
          <w:rFonts w:cs="Arial"/>
          <w:lang w:val="fr-FR"/>
        </w:rPr>
        <w:t>’</w:t>
      </w:r>
      <w:r w:rsidR="00F72186" w:rsidRPr="00293B75">
        <w:rPr>
          <w:rFonts w:cs="Arial"/>
          <w:lang w:val="fr-FR"/>
        </w:rPr>
        <w:t>importance de la taille de l</w:t>
      </w:r>
      <w:r w:rsidR="00FE442F" w:rsidRPr="00293B75">
        <w:rPr>
          <w:rFonts w:cs="Arial"/>
          <w:lang w:val="fr-FR"/>
        </w:rPr>
        <w:t>’</w:t>
      </w:r>
      <w:r w:rsidR="00F72186" w:rsidRPr="00293B75">
        <w:rPr>
          <w:rFonts w:cs="Arial"/>
          <w:lang w:val="fr-FR"/>
        </w:rPr>
        <w:t>échantillon et sur la manière de réduire à un minimum les biais dans la méthode employée.</w:t>
      </w:r>
    </w:p>
    <w:p w:rsidR="00AD5031" w:rsidRPr="00293B75" w:rsidRDefault="00AD5031" w:rsidP="007005BA">
      <w:pPr>
        <w:rPr>
          <w:rFonts w:cs="Arial"/>
          <w:lang w:val="fr-FR"/>
        </w:rPr>
      </w:pPr>
    </w:p>
    <w:p w:rsidR="00AD5031"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B96DCF" w:rsidRPr="00293B75">
        <w:rPr>
          <w:rFonts w:cs="Arial"/>
          <w:lang w:val="fr-FR"/>
        </w:rPr>
        <w:t>S</w:t>
      </w:r>
      <w:r w:rsidR="00FE442F" w:rsidRPr="00293B75">
        <w:rPr>
          <w:rFonts w:cs="Arial"/>
          <w:lang w:val="fr-FR"/>
        </w:rPr>
        <w:t>’</w:t>
      </w:r>
      <w:r w:rsidR="00B96DCF" w:rsidRPr="00293B75">
        <w:rPr>
          <w:rFonts w:cs="Arial"/>
          <w:lang w:val="fr-FR"/>
        </w:rPr>
        <w:t>agissant du</w:t>
      </w:r>
      <w:r w:rsidRPr="00293B75">
        <w:rPr>
          <w:rFonts w:cs="Arial"/>
          <w:lang w:val="fr-FR"/>
        </w:rPr>
        <w:t xml:space="preserve"> document TWA/43/20 “</w:t>
      </w:r>
      <w:r w:rsidR="00B96DCF" w:rsidRPr="00293B75">
        <w:rPr>
          <w:rFonts w:cs="Arial"/>
          <w:shd w:val="clear" w:color="auto" w:fill="FFFFFF"/>
          <w:lang w:val="fr-FR"/>
        </w:rPr>
        <w:t>Examen de caractères au moyen de l</w:t>
      </w:r>
      <w:r w:rsidR="00FE442F" w:rsidRPr="00293B75">
        <w:rPr>
          <w:rFonts w:cs="Arial"/>
          <w:shd w:val="clear" w:color="auto" w:fill="FFFFFF"/>
          <w:lang w:val="fr-FR"/>
        </w:rPr>
        <w:t>’</w:t>
      </w:r>
      <w:r w:rsidR="00B96DCF" w:rsidRPr="00293B75">
        <w:rPr>
          <w:rFonts w:cs="Arial"/>
          <w:shd w:val="clear" w:color="auto" w:fill="FFFFFF"/>
          <w:lang w:val="fr-FR"/>
        </w:rPr>
        <w:t>analyse d</w:t>
      </w:r>
      <w:r w:rsidR="00FE442F" w:rsidRPr="00293B75">
        <w:rPr>
          <w:rFonts w:cs="Arial"/>
          <w:shd w:val="clear" w:color="auto" w:fill="FFFFFF"/>
          <w:lang w:val="fr-FR"/>
        </w:rPr>
        <w:t>’</w:t>
      </w:r>
      <w:r w:rsidR="00B96DCF" w:rsidRPr="00293B75">
        <w:rPr>
          <w:rFonts w:cs="Arial"/>
          <w:shd w:val="clear" w:color="auto" w:fill="FFFFFF"/>
          <w:lang w:val="fr-FR"/>
        </w:rPr>
        <w:t>images</w:t>
      </w:r>
      <w:r w:rsidRPr="00293B75">
        <w:rPr>
          <w:rFonts w:cs="Arial"/>
          <w:shd w:val="clear" w:color="auto" w:fill="FFFFFF"/>
          <w:lang w:val="fr-FR"/>
        </w:rPr>
        <w:t>”,</w:t>
      </w:r>
      <w:r w:rsidR="00FE442F" w:rsidRPr="00293B75">
        <w:rPr>
          <w:rFonts w:cs="Arial"/>
          <w:shd w:val="clear" w:color="auto" w:fill="FFFFFF"/>
          <w:lang w:val="fr-FR"/>
        </w:rPr>
        <w:t xml:space="preserve"> le TWA</w:t>
      </w:r>
      <w:r w:rsidRPr="00293B75">
        <w:rPr>
          <w:rFonts w:cs="Arial"/>
          <w:shd w:val="clear" w:color="auto" w:fill="FFFFFF"/>
          <w:lang w:val="fr-FR"/>
        </w:rPr>
        <w:t xml:space="preserve"> </w:t>
      </w:r>
      <w:r w:rsidR="00B96DCF" w:rsidRPr="00293B75">
        <w:rPr>
          <w:rFonts w:cs="Arial"/>
          <w:lang w:val="fr-FR"/>
        </w:rPr>
        <w:t>est convenu de l</w:t>
      </w:r>
      <w:r w:rsidR="00FE442F" w:rsidRPr="00293B75">
        <w:rPr>
          <w:rFonts w:cs="Arial"/>
          <w:lang w:val="fr-FR"/>
        </w:rPr>
        <w:t>’</w:t>
      </w:r>
      <w:r w:rsidR="00B96DCF" w:rsidRPr="00293B75">
        <w:rPr>
          <w:rFonts w:cs="Arial"/>
          <w:lang w:val="fr-FR"/>
        </w:rPr>
        <w:t>importance de définir précisément les caractères à évaluer au moyen de l</w:t>
      </w:r>
      <w:r w:rsidR="00FE442F" w:rsidRPr="00293B75">
        <w:rPr>
          <w:rFonts w:cs="Arial"/>
          <w:lang w:val="fr-FR"/>
        </w:rPr>
        <w:t>’</w:t>
      </w:r>
      <w:r w:rsidR="00B96DCF" w:rsidRPr="00293B75">
        <w:rPr>
          <w:rFonts w:cs="Arial"/>
          <w:lang w:val="fr-FR"/>
        </w:rPr>
        <w:t>analyse d</w:t>
      </w:r>
      <w:r w:rsidR="00FE442F" w:rsidRPr="00293B75">
        <w:rPr>
          <w:rFonts w:cs="Arial"/>
          <w:lang w:val="fr-FR"/>
        </w:rPr>
        <w:t>’</w:t>
      </w:r>
      <w:r w:rsidR="00B96DCF" w:rsidRPr="00293B75">
        <w:rPr>
          <w:rFonts w:cs="Arial"/>
          <w:lang w:val="fr-FR"/>
        </w:rPr>
        <w:t>images.</w:t>
      </w:r>
      <w:r w:rsidR="00FE442F" w:rsidRPr="00293B75">
        <w:rPr>
          <w:rFonts w:cs="Arial"/>
          <w:lang w:val="fr-FR"/>
        </w:rPr>
        <w:t xml:space="preserve"> </w:t>
      </w:r>
      <w:r w:rsidR="00004203" w:rsidRPr="00293B75">
        <w:rPr>
          <w:rFonts w:cs="Arial"/>
          <w:lang w:val="fr-FR"/>
        </w:rPr>
        <w:t xml:space="preserve"> </w:t>
      </w:r>
      <w:r w:rsidR="00FE442F" w:rsidRPr="00293B75">
        <w:rPr>
          <w:rFonts w:cs="Arial"/>
          <w:lang w:val="fr-FR"/>
        </w:rPr>
        <w:t>Le TWA</w:t>
      </w:r>
      <w:r w:rsidR="00B96DCF" w:rsidRPr="00293B75">
        <w:rPr>
          <w:rFonts w:cs="Arial"/>
          <w:lang w:val="fr-FR"/>
        </w:rPr>
        <w:t xml:space="preserve"> a pris note de la proposition de l</w:t>
      </w:r>
      <w:r w:rsidR="00FE442F" w:rsidRPr="00293B75">
        <w:rPr>
          <w:rFonts w:cs="Arial"/>
          <w:lang w:val="fr-FR"/>
        </w:rPr>
        <w:t>’</w:t>
      </w:r>
      <w:r w:rsidR="00B96DCF" w:rsidRPr="00293B75">
        <w:rPr>
          <w:rFonts w:cs="Arial"/>
          <w:lang w:val="fr-FR"/>
        </w:rPr>
        <w:t>expert de l</w:t>
      </w:r>
      <w:r w:rsidR="00FE442F" w:rsidRPr="00293B75">
        <w:rPr>
          <w:rFonts w:cs="Arial"/>
          <w:lang w:val="fr-FR"/>
        </w:rPr>
        <w:t>’</w:t>
      </w:r>
      <w:r w:rsidR="00B96DCF" w:rsidRPr="00293B75">
        <w:rPr>
          <w:rFonts w:cs="Arial"/>
          <w:lang w:val="fr-FR"/>
        </w:rPr>
        <w:t>Union européenne d</w:t>
      </w:r>
      <w:r w:rsidR="00FE442F" w:rsidRPr="00293B75">
        <w:rPr>
          <w:rFonts w:cs="Arial"/>
          <w:lang w:val="fr-FR"/>
        </w:rPr>
        <w:t>’</w:t>
      </w:r>
      <w:r w:rsidR="00B96DCF" w:rsidRPr="00293B75">
        <w:rPr>
          <w:rFonts w:cs="Arial"/>
          <w:lang w:val="fr-FR"/>
        </w:rPr>
        <w:t>établir un nouveau projet pour la nouvelle section “Examen de caractères au moyen de l</w:t>
      </w:r>
      <w:r w:rsidR="00FE442F" w:rsidRPr="00293B75">
        <w:rPr>
          <w:rFonts w:cs="Arial"/>
          <w:lang w:val="fr-FR"/>
        </w:rPr>
        <w:t>’</w:t>
      </w:r>
      <w:r w:rsidR="00B96DCF" w:rsidRPr="00293B75">
        <w:rPr>
          <w:rFonts w:cs="Arial"/>
          <w:lang w:val="fr-FR"/>
        </w:rPr>
        <w:t>analyse d</w:t>
      </w:r>
      <w:r w:rsidR="00FE442F" w:rsidRPr="00293B75">
        <w:rPr>
          <w:rFonts w:cs="Arial"/>
          <w:lang w:val="fr-FR"/>
        </w:rPr>
        <w:t>’</w:t>
      </w:r>
      <w:r w:rsidR="00B96DCF" w:rsidRPr="00293B75">
        <w:rPr>
          <w:rFonts w:cs="Arial"/>
          <w:lang w:val="fr-FR"/>
        </w:rPr>
        <w:t>images” à inclure dans le document TGP/8 pour examen par le</w:t>
      </w:r>
      <w:r w:rsidR="00FE442F" w:rsidRPr="00293B75">
        <w:rPr>
          <w:rFonts w:cs="Arial"/>
          <w:lang w:val="fr-FR"/>
        </w:rPr>
        <w:t> TC</w:t>
      </w:r>
      <w:r w:rsidR="00B96DCF" w:rsidRPr="00293B75">
        <w:rPr>
          <w:rFonts w:cs="Arial"/>
          <w:lang w:val="fr-FR"/>
        </w:rPr>
        <w:t xml:space="preserve"> et</w:t>
      </w:r>
      <w:r w:rsidR="00FE442F" w:rsidRPr="00293B75">
        <w:rPr>
          <w:rFonts w:cs="Arial"/>
          <w:lang w:val="fr-FR"/>
        </w:rPr>
        <w:t xml:space="preserve"> les TWP</w:t>
      </w:r>
      <w:r w:rsidR="00B96DCF" w:rsidRPr="00293B75">
        <w:rPr>
          <w:rFonts w:cs="Arial"/>
          <w:lang w:val="fr-FR"/>
        </w:rPr>
        <w:t xml:space="preserve"> à leurs sessions en</w:t>
      </w:r>
      <w:r w:rsidR="00004203" w:rsidRPr="00293B75">
        <w:rPr>
          <w:rFonts w:cs="Arial"/>
          <w:lang w:val="fr-FR"/>
        </w:rPr>
        <w:t> </w:t>
      </w:r>
      <w:r w:rsidR="00B96DCF" w:rsidRPr="00293B75">
        <w:rPr>
          <w:rFonts w:cs="Arial"/>
          <w:lang w:val="fr-FR"/>
        </w:rPr>
        <w:t>2015.</w:t>
      </w:r>
    </w:p>
    <w:p w:rsidR="00AD5031" w:rsidRPr="00293B75" w:rsidRDefault="00AD5031" w:rsidP="007005BA">
      <w:pPr>
        <w:rPr>
          <w:rFonts w:cs="Arial"/>
          <w:lang w:val="fr-FR"/>
        </w:rPr>
      </w:pPr>
    </w:p>
    <w:p w:rsidR="003543DF"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3543DF" w:rsidRPr="00293B75">
        <w:rPr>
          <w:rFonts w:cs="Arial"/>
          <w:lang w:val="fr-FR"/>
        </w:rPr>
        <w:t>Le</w:t>
      </w:r>
      <w:r w:rsidRPr="00293B75">
        <w:rPr>
          <w:rFonts w:cs="Arial"/>
          <w:lang w:val="fr-FR"/>
        </w:rPr>
        <w:t xml:space="preserve"> TWA </w:t>
      </w:r>
      <w:r w:rsidR="003543DF" w:rsidRPr="00293B75">
        <w:rPr>
          <w:rFonts w:cs="Arial"/>
          <w:lang w:val="fr-FR"/>
        </w:rPr>
        <w:t xml:space="preserve">a examiné le </w:t>
      </w:r>
      <w:r w:rsidRPr="00293B75">
        <w:rPr>
          <w:rFonts w:cs="Arial"/>
          <w:lang w:val="fr-FR"/>
        </w:rPr>
        <w:t>document TWA/43/21 “</w:t>
      </w:r>
      <w:r w:rsidR="003543DF" w:rsidRPr="00293B75">
        <w:rPr>
          <w:rFonts w:cs="Arial"/>
          <w:shd w:val="clear" w:color="auto" w:fill="FFFFFF"/>
          <w:lang w:val="fr-FR"/>
        </w:rPr>
        <w:t>Méthodes statistiques applicables aux caractères observés visuellement</w:t>
      </w:r>
      <w:r w:rsidRPr="00293B75">
        <w:rPr>
          <w:rFonts w:cs="Arial"/>
          <w:shd w:val="clear" w:color="auto" w:fill="FFFFFF"/>
          <w:lang w:val="fr-FR"/>
        </w:rPr>
        <w:t>”</w:t>
      </w:r>
      <w:r w:rsidRPr="00293B75">
        <w:rPr>
          <w:rFonts w:cs="Arial"/>
          <w:lang w:val="fr-FR"/>
        </w:rPr>
        <w:t>.</w:t>
      </w:r>
      <w:r w:rsidR="003543DF" w:rsidRPr="00293B75">
        <w:rPr>
          <w:rFonts w:cs="Arial"/>
          <w:lang w:val="fr-FR"/>
        </w:rPr>
        <w:t xml:space="preserve"> </w:t>
      </w:r>
      <w:r w:rsidR="00FE442F" w:rsidRPr="00293B75">
        <w:rPr>
          <w:rFonts w:cs="Arial"/>
          <w:lang w:val="fr-FR"/>
        </w:rPr>
        <w:t xml:space="preserve"> Le TWA</w:t>
      </w:r>
      <w:r w:rsidR="003543DF" w:rsidRPr="00293B75">
        <w:rPr>
          <w:rFonts w:cs="Arial"/>
          <w:lang w:val="fr-FR"/>
        </w:rPr>
        <w:t xml:space="preserve"> a pris note des faits nouveaux concernant une nouvelle section éventuelle intitulée “Méthodes statistiques applicables aux caractères observés visuellement” aux fins de son inclusion dans la deuxième partie “Techniques utilisées dans l</w:t>
      </w:r>
      <w:r w:rsidR="00FE442F" w:rsidRPr="00293B75">
        <w:rPr>
          <w:rFonts w:cs="Arial"/>
          <w:lang w:val="fr-FR"/>
        </w:rPr>
        <w:t>’</w:t>
      </w:r>
      <w:r w:rsidR="003543DF" w:rsidRPr="00293B75">
        <w:rPr>
          <w:rFonts w:cs="Arial"/>
          <w:lang w:val="fr-FR"/>
        </w:rPr>
        <w:t>examen</w:t>
      </w:r>
      <w:r w:rsidR="00004203" w:rsidRPr="00293B75">
        <w:rPr>
          <w:rFonts w:cs="Arial"/>
          <w:lang w:val="fr-FR"/>
        </w:rPr>
        <w:t> </w:t>
      </w:r>
      <w:r w:rsidR="003543DF" w:rsidRPr="00293B75">
        <w:rPr>
          <w:rFonts w:cs="Arial"/>
          <w:lang w:val="fr-FR"/>
        </w:rPr>
        <w:t>DHS” du document TGP/8, au titre d</w:t>
      </w:r>
      <w:r w:rsidR="00FE442F" w:rsidRPr="00293B75">
        <w:rPr>
          <w:rFonts w:cs="Arial"/>
          <w:lang w:val="fr-FR"/>
        </w:rPr>
        <w:t>’</w:t>
      </w:r>
      <w:r w:rsidR="003543DF" w:rsidRPr="00293B75">
        <w:rPr>
          <w:rFonts w:cs="Arial"/>
          <w:lang w:val="fr-FR"/>
        </w:rPr>
        <w:t xml:space="preserve">une future version révisée du document TGP/8. </w:t>
      </w:r>
      <w:r w:rsidR="00FE442F" w:rsidRPr="00293B75">
        <w:rPr>
          <w:rFonts w:cs="Arial"/>
          <w:lang w:val="fr-FR"/>
        </w:rPr>
        <w:t xml:space="preserve"> Le TWA</w:t>
      </w:r>
      <w:r w:rsidR="003543DF" w:rsidRPr="00293B75">
        <w:rPr>
          <w:rFonts w:cs="Arial"/>
          <w:lang w:val="fr-FR"/>
        </w:rPr>
        <w:t xml:space="preserve"> est </w:t>
      </w:r>
      <w:proofErr w:type="gramStart"/>
      <w:r w:rsidR="003543DF" w:rsidRPr="00293B75">
        <w:rPr>
          <w:rFonts w:cs="Arial"/>
          <w:lang w:val="fr-FR"/>
        </w:rPr>
        <w:t>convenu</w:t>
      </w:r>
      <w:proofErr w:type="gramEnd"/>
      <w:r w:rsidR="003543DF" w:rsidRPr="00293B75">
        <w:rPr>
          <w:rFonts w:cs="Arial"/>
          <w:lang w:val="fr-FR"/>
        </w:rPr>
        <w:t xml:space="preserve"> de demander</w:t>
      </w:r>
      <w:r w:rsidR="00FE442F" w:rsidRPr="00293B75">
        <w:rPr>
          <w:rFonts w:cs="Arial"/>
          <w:lang w:val="fr-FR"/>
        </w:rPr>
        <w:t xml:space="preserve"> au TWC</w:t>
      </w:r>
      <w:r w:rsidR="003543DF" w:rsidRPr="00293B75">
        <w:rPr>
          <w:rFonts w:cs="Arial"/>
          <w:lang w:val="fr-FR"/>
        </w:rPr>
        <w:t xml:space="preserve"> de préciser si la méthode COYD pour les caractères ordinaux était recommandée pour toutes les données ordinales ou si d</w:t>
      </w:r>
      <w:r w:rsidR="00FE442F" w:rsidRPr="00293B75">
        <w:rPr>
          <w:rFonts w:cs="Arial"/>
          <w:lang w:val="fr-FR"/>
        </w:rPr>
        <w:t>’</w:t>
      </w:r>
      <w:r w:rsidR="003543DF" w:rsidRPr="00293B75">
        <w:rPr>
          <w:rFonts w:cs="Arial"/>
          <w:lang w:val="fr-FR"/>
        </w:rPr>
        <w:t>autres conditions devraient aussi être prises en considération lors du choix de la méthode d</w:t>
      </w:r>
      <w:r w:rsidR="00FE442F" w:rsidRPr="00293B75">
        <w:rPr>
          <w:rFonts w:cs="Arial"/>
          <w:lang w:val="fr-FR"/>
        </w:rPr>
        <w:t>’</w:t>
      </w:r>
      <w:r w:rsidR="003543DF" w:rsidRPr="00293B75">
        <w:rPr>
          <w:rFonts w:cs="Arial"/>
          <w:lang w:val="fr-FR"/>
        </w:rPr>
        <w:t>analyse.</w:t>
      </w:r>
    </w:p>
    <w:p w:rsidR="00AD5031" w:rsidRPr="00293B75" w:rsidRDefault="00AD5031" w:rsidP="007005BA">
      <w:pPr>
        <w:rPr>
          <w:rFonts w:cs="Arial"/>
          <w:lang w:val="fr-FR"/>
        </w:rPr>
      </w:pPr>
    </w:p>
    <w:p w:rsidR="00AD5031"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217C2F" w:rsidRPr="00293B75">
        <w:rPr>
          <w:rFonts w:cs="Arial"/>
          <w:lang w:val="fr-FR"/>
        </w:rPr>
        <w:t>Le</w:t>
      </w:r>
      <w:r w:rsidRPr="00293B75">
        <w:rPr>
          <w:rFonts w:cs="Arial"/>
          <w:lang w:val="fr-FR"/>
        </w:rPr>
        <w:t xml:space="preserve"> TWA </w:t>
      </w:r>
      <w:r w:rsidR="00217C2F" w:rsidRPr="00293B75">
        <w:rPr>
          <w:rFonts w:cs="Arial"/>
          <w:lang w:val="fr-FR"/>
        </w:rPr>
        <w:t>a examiné le</w:t>
      </w:r>
      <w:r w:rsidRPr="00293B75">
        <w:rPr>
          <w:rFonts w:cs="Arial"/>
          <w:lang w:val="fr-FR"/>
        </w:rPr>
        <w:t xml:space="preserve"> document TWA/43/22 </w:t>
      </w:r>
      <w:r w:rsidR="00217C2F" w:rsidRPr="00293B75">
        <w:rPr>
          <w:rFonts w:cs="Arial"/>
          <w:lang w:val="fr-FR"/>
        </w:rPr>
        <w:t>et la proposition d</w:t>
      </w:r>
      <w:r w:rsidR="00FE442F" w:rsidRPr="00293B75">
        <w:rPr>
          <w:rFonts w:cs="Arial"/>
          <w:lang w:val="fr-FR"/>
        </w:rPr>
        <w:t>’</w:t>
      </w:r>
      <w:r w:rsidR="00217C2F" w:rsidRPr="00293B75">
        <w:rPr>
          <w:rFonts w:cs="Arial"/>
          <w:lang w:val="fr-FR"/>
        </w:rPr>
        <w:t xml:space="preserve">exemple de notation globale pour un certain nombre de plantes (MG) effectuée sur des parties de plantes pour inclusion dans une future </w:t>
      </w:r>
      <w:r w:rsidR="008C0C92" w:rsidRPr="00293B75">
        <w:rPr>
          <w:rFonts w:cs="Arial"/>
          <w:lang w:val="fr-FR"/>
        </w:rPr>
        <w:t xml:space="preserve">version révisée </w:t>
      </w:r>
      <w:r w:rsidR="00217C2F" w:rsidRPr="00293B75">
        <w:rPr>
          <w:rFonts w:cs="Arial"/>
          <w:lang w:val="fr-FR"/>
        </w:rPr>
        <w:t xml:space="preserve">du document TGP/9. </w:t>
      </w:r>
      <w:r w:rsidR="00FE442F" w:rsidRPr="00293B75">
        <w:rPr>
          <w:rFonts w:cs="Arial"/>
          <w:lang w:val="fr-FR"/>
        </w:rPr>
        <w:t xml:space="preserve"> Le TWA</w:t>
      </w:r>
      <w:r w:rsidR="00217C2F" w:rsidRPr="00293B75">
        <w:rPr>
          <w:rFonts w:cs="Arial"/>
          <w:lang w:val="fr-FR"/>
        </w:rPr>
        <w:t xml:space="preserve"> a souscrit </w:t>
      </w:r>
      <w:r w:rsidR="008C0C92" w:rsidRPr="00293B75">
        <w:rPr>
          <w:rFonts w:cs="Arial"/>
          <w:lang w:val="fr-FR"/>
        </w:rPr>
        <w:t>à l’</w:t>
      </w:r>
      <w:r w:rsidR="00217C2F" w:rsidRPr="00293B75">
        <w:rPr>
          <w:rFonts w:cs="Arial"/>
          <w:lang w:val="fr-FR"/>
        </w:rPr>
        <w:t>observation formulée par</w:t>
      </w:r>
      <w:r w:rsidR="00FE442F" w:rsidRPr="00293B75">
        <w:rPr>
          <w:rFonts w:cs="Arial"/>
          <w:lang w:val="fr-FR"/>
        </w:rPr>
        <w:t xml:space="preserve"> le TWO</w:t>
      </w:r>
      <w:r w:rsidR="00217C2F" w:rsidRPr="00293B75">
        <w:rPr>
          <w:rFonts w:cs="Arial"/>
          <w:lang w:val="fr-FR"/>
        </w:rPr>
        <w:t>,</w:t>
      </w:r>
      <w:r w:rsidR="00FE442F" w:rsidRPr="00293B75">
        <w:rPr>
          <w:rFonts w:cs="Arial"/>
          <w:lang w:val="fr-FR"/>
        </w:rPr>
        <w:t xml:space="preserve"> le TWF</w:t>
      </w:r>
      <w:r w:rsidR="00217C2F" w:rsidRPr="00293B75">
        <w:rPr>
          <w:rFonts w:cs="Arial"/>
          <w:lang w:val="fr-FR"/>
        </w:rPr>
        <w:t xml:space="preserve"> et</w:t>
      </w:r>
      <w:r w:rsidR="00FE442F" w:rsidRPr="00293B75">
        <w:rPr>
          <w:rFonts w:cs="Arial"/>
          <w:lang w:val="fr-FR"/>
        </w:rPr>
        <w:t xml:space="preserve"> le TWV</w:t>
      </w:r>
      <w:r w:rsidR="00217C2F" w:rsidRPr="00293B75">
        <w:rPr>
          <w:rFonts w:cs="Arial"/>
          <w:lang w:val="fr-FR"/>
        </w:rPr>
        <w:t xml:space="preserve"> concernant l</w:t>
      </w:r>
      <w:r w:rsidR="00FE442F" w:rsidRPr="00293B75">
        <w:rPr>
          <w:rFonts w:cs="Arial"/>
          <w:lang w:val="fr-FR"/>
        </w:rPr>
        <w:t>’</w:t>
      </w:r>
      <w:r w:rsidR="00217C2F" w:rsidRPr="00293B75">
        <w:rPr>
          <w:rFonts w:cs="Arial"/>
          <w:lang w:val="fr-FR"/>
        </w:rPr>
        <w:t xml:space="preserve">exemple de notation globale pour un certain nombre de plantes (MG) effectuée sur des parties de plantes pour inclusion dans une future </w:t>
      </w:r>
      <w:r w:rsidR="008C0C92" w:rsidRPr="00293B75">
        <w:rPr>
          <w:rFonts w:cs="Arial"/>
          <w:lang w:val="fr-FR"/>
        </w:rPr>
        <w:t xml:space="preserve">version révisée </w:t>
      </w:r>
      <w:r w:rsidR="00217C2F" w:rsidRPr="00293B75">
        <w:rPr>
          <w:rFonts w:cs="Arial"/>
          <w:lang w:val="fr-FR"/>
        </w:rPr>
        <w:t>du document TGP/9.</w:t>
      </w:r>
    </w:p>
    <w:p w:rsidR="00AD5031" w:rsidRPr="00293B75" w:rsidRDefault="00AD5031" w:rsidP="007005BA">
      <w:pPr>
        <w:rPr>
          <w:rFonts w:cs="Arial"/>
          <w:lang w:val="fr-FR"/>
        </w:rPr>
      </w:pPr>
    </w:p>
    <w:p w:rsidR="000C02CA"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0C02CA" w:rsidRPr="00293B75">
        <w:rPr>
          <w:rFonts w:cs="Arial"/>
          <w:lang w:val="fr-FR"/>
        </w:rPr>
        <w:t>S</w:t>
      </w:r>
      <w:r w:rsidR="00FE442F" w:rsidRPr="00293B75">
        <w:rPr>
          <w:rFonts w:cs="Arial"/>
          <w:lang w:val="fr-FR"/>
        </w:rPr>
        <w:t>’</w:t>
      </w:r>
      <w:r w:rsidR="000C02CA" w:rsidRPr="00293B75">
        <w:rPr>
          <w:rFonts w:cs="Arial"/>
          <w:lang w:val="fr-FR"/>
        </w:rPr>
        <w:t>agissant du</w:t>
      </w:r>
      <w:r w:rsidRPr="00293B75">
        <w:rPr>
          <w:rFonts w:cs="Arial"/>
          <w:lang w:val="fr-FR"/>
        </w:rPr>
        <w:t xml:space="preserve"> document TWA/43/9 “</w:t>
      </w:r>
      <w:r w:rsidR="000C02CA" w:rsidRPr="00293B75">
        <w:rPr>
          <w:rFonts w:cs="Arial"/>
          <w:lang w:val="fr-FR"/>
        </w:rPr>
        <w:t>Évaluation de l</w:t>
      </w:r>
      <w:r w:rsidR="00FE442F" w:rsidRPr="00293B75">
        <w:rPr>
          <w:rFonts w:cs="Arial"/>
          <w:lang w:val="fr-FR"/>
        </w:rPr>
        <w:t>’</w:t>
      </w:r>
      <w:r w:rsidR="000C02CA" w:rsidRPr="00293B75">
        <w:rPr>
          <w:rFonts w:cs="Arial"/>
          <w:lang w:val="fr-FR"/>
        </w:rPr>
        <w:t>homogénéité au moyen des plantes hors</w:t>
      </w:r>
      <w:r w:rsidR="005535E5" w:rsidRPr="00293B75">
        <w:rPr>
          <w:rFonts w:cs="Arial"/>
          <w:lang w:val="fr-FR"/>
        </w:rPr>
        <w:noBreakHyphen/>
      </w:r>
      <w:r w:rsidR="000C02CA" w:rsidRPr="00293B75">
        <w:rPr>
          <w:rFonts w:cs="Arial"/>
          <w:lang w:val="fr-FR"/>
        </w:rPr>
        <w:t>type sur la base de plusieurs échantillons ou sous</w:t>
      </w:r>
      <w:r w:rsidR="005535E5" w:rsidRPr="00293B75">
        <w:rPr>
          <w:rFonts w:cs="Arial"/>
          <w:lang w:val="fr-FR"/>
        </w:rPr>
        <w:noBreakHyphen/>
      </w:r>
      <w:r w:rsidR="000C02CA" w:rsidRPr="00293B75">
        <w:rPr>
          <w:rFonts w:cs="Arial"/>
          <w:lang w:val="fr-FR"/>
        </w:rPr>
        <w:t>échantillons</w:t>
      </w:r>
      <w:r w:rsidRPr="00293B75">
        <w:rPr>
          <w:rFonts w:cs="Arial"/>
          <w:lang w:val="fr-FR"/>
        </w:rPr>
        <w:t>”,</w:t>
      </w:r>
      <w:r w:rsidR="00FE442F" w:rsidRPr="00293B75">
        <w:rPr>
          <w:rFonts w:cs="Arial"/>
          <w:lang w:val="fr-FR"/>
        </w:rPr>
        <w:t xml:space="preserve"> le TWA</w:t>
      </w:r>
      <w:r w:rsidR="000C02CA" w:rsidRPr="00293B75">
        <w:rPr>
          <w:rFonts w:cs="Arial"/>
          <w:lang w:val="fr-FR"/>
        </w:rPr>
        <w:t xml:space="preserve"> a souscrit à l</w:t>
      </w:r>
      <w:r w:rsidR="00FE442F" w:rsidRPr="00293B75">
        <w:rPr>
          <w:rFonts w:cs="Arial"/>
          <w:lang w:val="fr-FR"/>
        </w:rPr>
        <w:t>’</w:t>
      </w:r>
      <w:r w:rsidR="000C02CA" w:rsidRPr="00293B75">
        <w:rPr>
          <w:rFonts w:cs="Arial"/>
          <w:lang w:val="fr-FR"/>
        </w:rPr>
        <w:t>observation formulée par</w:t>
      </w:r>
      <w:r w:rsidR="00FE442F" w:rsidRPr="00293B75">
        <w:rPr>
          <w:rFonts w:cs="Arial"/>
          <w:lang w:val="fr-FR"/>
        </w:rPr>
        <w:t xml:space="preserve"> le TWC</w:t>
      </w:r>
      <w:r w:rsidR="000C02CA" w:rsidRPr="00293B75">
        <w:rPr>
          <w:rFonts w:cs="Arial"/>
          <w:lang w:val="fr-FR"/>
        </w:rPr>
        <w:t xml:space="preserve"> selon laquelle les orientations fournies dans le document TGP/10 étaient suffisantes en ce qui concerne la situation C “Plus d</w:t>
      </w:r>
      <w:r w:rsidR="00FE442F" w:rsidRPr="00293B75">
        <w:rPr>
          <w:rFonts w:cs="Arial"/>
          <w:lang w:val="fr-FR"/>
        </w:rPr>
        <w:t>’</w:t>
      </w:r>
      <w:r w:rsidR="000C02CA" w:rsidRPr="00293B75">
        <w:rPr>
          <w:rFonts w:cs="Arial"/>
          <w:lang w:val="fr-FR"/>
        </w:rPr>
        <w:t>un échantillon ou sous</w:t>
      </w:r>
      <w:r w:rsidR="005535E5" w:rsidRPr="00293B75">
        <w:rPr>
          <w:rFonts w:cs="Arial"/>
          <w:lang w:val="fr-FR"/>
        </w:rPr>
        <w:noBreakHyphen/>
      </w:r>
      <w:r w:rsidR="000C02CA" w:rsidRPr="00293B75">
        <w:rPr>
          <w:rFonts w:cs="Arial"/>
          <w:lang w:val="fr-FR"/>
        </w:rPr>
        <w:t>échantillon pour un caractère dans le même cycle de végétation”, figurant à l</w:t>
      </w:r>
      <w:r w:rsidR="00FE442F" w:rsidRPr="00293B75">
        <w:rPr>
          <w:rFonts w:cs="Arial"/>
          <w:lang w:val="fr-FR"/>
        </w:rPr>
        <w:t>’</w:t>
      </w:r>
      <w:r w:rsidR="000C02CA" w:rsidRPr="00293B75">
        <w:rPr>
          <w:rFonts w:cs="Arial"/>
          <w:lang w:val="fr-FR"/>
        </w:rPr>
        <w:t>annexe</w:t>
      </w:r>
      <w:r w:rsidR="00004203" w:rsidRPr="00293B75">
        <w:rPr>
          <w:rFonts w:cs="Arial"/>
          <w:lang w:val="fr-FR"/>
        </w:rPr>
        <w:t> </w:t>
      </w:r>
      <w:r w:rsidR="000C02CA" w:rsidRPr="00293B75">
        <w:rPr>
          <w:rFonts w:cs="Arial"/>
          <w:lang w:val="fr-FR"/>
        </w:rPr>
        <w:t>III document TWA/43/9.</w:t>
      </w:r>
    </w:p>
    <w:p w:rsidR="00AD5031" w:rsidRPr="00293B75" w:rsidRDefault="00AD5031" w:rsidP="007005BA">
      <w:pPr>
        <w:rPr>
          <w:rFonts w:cs="Arial"/>
          <w:lang w:val="fr-FR"/>
        </w:rPr>
      </w:pPr>
    </w:p>
    <w:p w:rsidR="00FE442F"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61171D" w:rsidRPr="00293B75">
        <w:rPr>
          <w:rFonts w:cs="Arial"/>
          <w:lang w:val="fr-FR"/>
        </w:rPr>
        <w:t xml:space="preserve">Concernant les </w:t>
      </w:r>
      <w:r w:rsidR="00BA51CF" w:rsidRPr="00293B75">
        <w:rPr>
          <w:rFonts w:cs="Arial"/>
          <w:lang w:val="fr-FR"/>
        </w:rPr>
        <w:t>expériences</w:t>
      </w:r>
      <w:r w:rsidR="0061171D" w:rsidRPr="00293B75">
        <w:rPr>
          <w:rFonts w:cs="Arial"/>
          <w:lang w:val="fr-FR"/>
        </w:rPr>
        <w:t xml:space="preserve"> de nouveaux types et espèces,</w:t>
      </w:r>
      <w:r w:rsidR="00FE442F" w:rsidRPr="00293B75">
        <w:rPr>
          <w:rFonts w:cs="Arial"/>
          <w:lang w:val="fr-FR"/>
        </w:rPr>
        <w:t xml:space="preserve"> le TWA</w:t>
      </w:r>
      <w:r w:rsidR="0061171D" w:rsidRPr="00293B75">
        <w:rPr>
          <w:rFonts w:cs="Arial"/>
          <w:lang w:val="fr-FR"/>
        </w:rPr>
        <w:t xml:space="preserve"> a suivi par voie électronique un exposé d</w:t>
      </w:r>
      <w:r w:rsidR="00FE442F" w:rsidRPr="00293B75">
        <w:rPr>
          <w:rFonts w:cs="Arial"/>
          <w:lang w:val="fr-FR"/>
        </w:rPr>
        <w:t>’</w:t>
      </w:r>
      <w:r w:rsidR="0061171D" w:rsidRPr="00293B75">
        <w:rPr>
          <w:rFonts w:cs="Arial"/>
          <w:lang w:val="fr-FR"/>
        </w:rPr>
        <w:t>un expert de la Nouvelle</w:t>
      </w:r>
      <w:r w:rsidR="005535E5" w:rsidRPr="00293B75">
        <w:rPr>
          <w:rFonts w:cs="Arial"/>
          <w:lang w:val="fr-FR"/>
        </w:rPr>
        <w:noBreakHyphen/>
      </w:r>
      <w:r w:rsidR="0061171D" w:rsidRPr="00293B75">
        <w:rPr>
          <w:rFonts w:cs="Arial"/>
          <w:lang w:val="fr-FR"/>
        </w:rPr>
        <w:t xml:space="preserve">Zélande sur des expériences menées avec des endophytes fongiques du genre </w:t>
      </w:r>
      <w:r w:rsidR="0061171D" w:rsidRPr="00293B75">
        <w:rPr>
          <w:rFonts w:cs="Arial"/>
          <w:i/>
          <w:lang w:val="fr-FR"/>
        </w:rPr>
        <w:t>Neotyphodium</w:t>
      </w:r>
      <w:r w:rsidR="0061171D" w:rsidRPr="00293B75">
        <w:rPr>
          <w:rFonts w:cs="Arial"/>
          <w:lang w:val="fr-FR"/>
        </w:rPr>
        <w:t xml:space="preserve">, et a </w:t>
      </w:r>
      <w:r w:rsidR="008C0C92" w:rsidRPr="00293B75">
        <w:rPr>
          <w:rFonts w:cs="Arial"/>
          <w:lang w:val="fr-FR"/>
        </w:rPr>
        <w:t>suivi</w:t>
      </w:r>
      <w:r w:rsidR="0061171D" w:rsidRPr="00293B75">
        <w:rPr>
          <w:rFonts w:cs="Arial"/>
          <w:lang w:val="fr-FR"/>
        </w:rPr>
        <w:t xml:space="preserve"> l</w:t>
      </w:r>
      <w:r w:rsidR="00FE442F" w:rsidRPr="00293B75">
        <w:rPr>
          <w:rFonts w:cs="Arial"/>
          <w:lang w:val="fr-FR"/>
        </w:rPr>
        <w:t>’</w:t>
      </w:r>
      <w:r w:rsidR="0061171D" w:rsidRPr="00293B75">
        <w:rPr>
          <w:rFonts w:cs="Arial"/>
          <w:lang w:val="fr-FR"/>
        </w:rPr>
        <w:t>exposé d</w:t>
      </w:r>
      <w:r w:rsidR="00FE442F" w:rsidRPr="00293B75">
        <w:rPr>
          <w:rFonts w:cs="Arial"/>
          <w:lang w:val="fr-FR"/>
        </w:rPr>
        <w:t>’</w:t>
      </w:r>
      <w:r w:rsidR="0061171D" w:rsidRPr="00293B75">
        <w:rPr>
          <w:rFonts w:cs="Arial"/>
          <w:lang w:val="fr-FR"/>
        </w:rPr>
        <w:t>un expert de l</w:t>
      </w:r>
      <w:r w:rsidR="00FE442F" w:rsidRPr="00293B75">
        <w:rPr>
          <w:rFonts w:cs="Arial"/>
          <w:lang w:val="fr-FR"/>
        </w:rPr>
        <w:t>’</w:t>
      </w:r>
      <w:r w:rsidR="0061171D" w:rsidRPr="00293B75">
        <w:rPr>
          <w:rFonts w:cs="Arial"/>
          <w:lang w:val="fr-FR"/>
        </w:rPr>
        <w:t xml:space="preserve">Argentine sur des expériences avec </w:t>
      </w:r>
      <w:r w:rsidR="0061171D" w:rsidRPr="00293B75">
        <w:rPr>
          <w:rFonts w:cs="Arial"/>
          <w:i/>
          <w:lang w:val="fr-FR"/>
        </w:rPr>
        <w:t>Cyamopsis tetragonoloba</w:t>
      </w:r>
      <w:r w:rsidR="0061171D" w:rsidRPr="00293B75">
        <w:rPr>
          <w:rFonts w:cs="Arial"/>
          <w:lang w:val="fr-FR"/>
        </w:rPr>
        <w:t>.</w:t>
      </w:r>
    </w:p>
    <w:p w:rsidR="00AD5031" w:rsidRPr="00293B75" w:rsidRDefault="00AD5031" w:rsidP="007005BA">
      <w:pPr>
        <w:rPr>
          <w:rFonts w:cs="Arial"/>
          <w:lang w:val="fr-FR"/>
        </w:rPr>
      </w:pPr>
    </w:p>
    <w:p w:rsidR="00AD5031"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61171D" w:rsidRPr="00293B75">
        <w:rPr>
          <w:rFonts w:cs="Arial"/>
          <w:lang w:val="fr-FR"/>
        </w:rPr>
        <w:t xml:space="preserve">Le TWA a </w:t>
      </w:r>
      <w:r w:rsidR="008C0C92" w:rsidRPr="00293B75">
        <w:rPr>
          <w:rFonts w:cs="Arial"/>
          <w:lang w:val="fr-FR"/>
        </w:rPr>
        <w:t>suivi</w:t>
      </w:r>
      <w:r w:rsidR="0061171D" w:rsidRPr="00293B75">
        <w:rPr>
          <w:rFonts w:cs="Arial"/>
          <w:lang w:val="fr-FR"/>
        </w:rPr>
        <w:t xml:space="preserve"> l</w:t>
      </w:r>
      <w:r w:rsidR="00FE442F" w:rsidRPr="00293B75">
        <w:rPr>
          <w:rFonts w:cs="Arial"/>
          <w:lang w:val="fr-FR"/>
        </w:rPr>
        <w:t>’</w:t>
      </w:r>
      <w:r w:rsidR="0061171D" w:rsidRPr="00293B75">
        <w:rPr>
          <w:rFonts w:cs="Arial"/>
          <w:lang w:val="fr-FR"/>
        </w:rPr>
        <w:t>exposé d</w:t>
      </w:r>
      <w:r w:rsidR="00FE442F" w:rsidRPr="00293B75">
        <w:rPr>
          <w:rFonts w:cs="Arial"/>
          <w:lang w:val="fr-FR"/>
        </w:rPr>
        <w:t>’</w:t>
      </w:r>
      <w:r w:rsidR="0061171D" w:rsidRPr="00293B75">
        <w:rPr>
          <w:rFonts w:cs="Arial"/>
          <w:lang w:val="fr-FR"/>
        </w:rPr>
        <w:t>un expert du Brésil sur un projet d</w:t>
      </w:r>
      <w:r w:rsidR="00FE442F" w:rsidRPr="00293B75">
        <w:rPr>
          <w:rFonts w:cs="Arial"/>
          <w:lang w:val="fr-FR"/>
        </w:rPr>
        <w:t>’</w:t>
      </w:r>
      <w:r w:rsidR="0061171D" w:rsidRPr="00293B75">
        <w:rPr>
          <w:rFonts w:cs="Arial"/>
          <w:lang w:val="fr-FR"/>
        </w:rPr>
        <w:t>harmonisation des variétés indiquées à titre d</w:t>
      </w:r>
      <w:r w:rsidR="00FE442F" w:rsidRPr="00293B75">
        <w:rPr>
          <w:rFonts w:cs="Arial"/>
          <w:lang w:val="fr-FR"/>
        </w:rPr>
        <w:t>’</w:t>
      </w:r>
      <w:r w:rsidR="0061171D" w:rsidRPr="00293B75">
        <w:rPr>
          <w:rFonts w:cs="Arial"/>
          <w:lang w:val="fr-FR"/>
        </w:rPr>
        <w:t>exemple du blé, du soja et du riz</w:t>
      </w:r>
      <w:r w:rsidR="00915267" w:rsidRPr="00293B75">
        <w:rPr>
          <w:rFonts w:cs="Arial"/>
          <w:lang w:val="fr-FR"/>
        </w:rPr>
        <w:t xml:space="preserve"> en Argentine, au Brésil, en Bolivie, au Chili, en Colombie, au Paraguay et en Uruguay, dont une copie est jointe au document </w:t>
      </w:r>
      <w:r w:rsidRPr="00293B75">
        <w:rPr>
          <w:rFonts w:cs="Arial"/>
          <w:lang w:val="fr-FR"/>
        </w:rPr>
        <w:t>TWA/43/25.</w:t>
      </w:r>
    </w:p>
    <w:p w:rsidR="00AD5031" w:rsidRPr="00293B75" w:rsidRDefault="00AD5031" w:rsidP="007005BA">
      <w:pPr>
        <w:rPr>
          <w:rFonts w:cs="Arial"/>
          <w:lang w:val="fr-FR"/>
        </w:rPr>
      </w:pPr>
    </w:p>
    <w:p w:rsidR="00FE442F"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02688D" w:rsidRPr="00293B75">
        <w:rPr>
          <w:rFonts w:cs="Arial"/>
          <w:lang w:val="fr-FR"/>
        </w:rPr>
        <w:t xml:space="preserve">Le TWA a examiné </w:t>
      </w:r>
      <w:r w:rsidR="005476EB" w:rsidRPr="00293B75">
        <w:rPr>
          <w:rFonts w:cs="Arial"/>
          <w:lang w:val="fr-FR"/>
        </w:rPr>
        <w:t>9 </w:t>
      </w:r>
      <w:r w:rsidR="0002688D" w:rsidRPr="00293B75">
        <w:t>projets de principes directeurs d</w:t>
      </w:r>
      <w:r w:rsidR="00FE442F" w:rsidRPr="00293B75">
        <w:t>’</w:t>
      </w:r>
      <w:r w:rsidR="0002688D" w:rsidRPr="00293B75">
        <w:t>examen et est convenu de soumettre au</w:t>
      </w:r>
      <w:r w:rsidR="00FE442F" w:rsidRPr="00293B75">
        <w:t> TC</w:t>
      </w:r>
      <w:r w:rsidR="0002688D" w:rsidRPr="00293B75">
        <w:t xml:space="preserve"> le</w:t>
      </w:r>
      <w:r w:rsidR="008C0C92" w:rsidRPr="00293B75">
        <w:t>s</w:t>
      </w:r>
      <w:r w:rsidR="0002688D" w:rsidRPr="00293B75">
        <w:t xml:space="preserve"> projet</w:t>
      </w:r>
      <w:r w:rsidR="008C0C92" w:rsidRPr="00293B75">
        <w:t>s</w:t>
      </w:r>
      <w:r w:rsidR="0002688D" w:rsidRPr="00293B75">
        <w:t xml:space="preserve"> de principes directeurs d</w:t>
      </w:r>
      <w:r w:rsidR="00FE442F" w:rsidRPr="00293B75">
        <w:t>’</w:t>
      </w:r>
      <w:r w:rsidR="0002688D" w:rsidRPr="00293B75">
        <w:t xml:space="preserve">examen </w:t>
      </w:r>
      <w:r w:rsidR="008C0C92" w:rsidRPr="00293B75">
        <w:t>suivants :</w:t>
      </w:r>
      <w:r w:rsidR="0002688D" w:rsidRPr="00293B75">
        <w:t xml:space="preserve"> </w:t>
      </w:r>
      <w:r w:rsidR="008C0C92" w:rsidRPr="00293B75">
        <w:t>adlay, adzuki/haricot rouge, manioc, sorgho et u</w:t>
      </w:r>
      <w:r w:rsidR="0002688D" w:rsidRPr="00293B75">
        <w:t>rochloa</w:t>
      </w:r>
      <w:r w:rsidR="00281479" w:rsidRPr="00293B75">
        <w:t xml:space="preserve">. </w:t>
      </w:r>
      <w:r w:rsidR="00004203" w:rsidRPr="00293B75">
        <w:t xml:space="preserve"> </w:t>
      </w:r>
      <w:r w:rsidR="009F46A4" w:rsidRPr="00293B75">
        <w:t>Il a été conv</w:t>
      </w:r>
      <w:r w:rsidR="009F46A4" w:rsidRPr="00293B75">
        <w:rPr>
          <w:rFonts w:cs="Arial"/>
          <w:lang w:val="fr-FR"/>
        </w:rPr>
        <w:t>enu d</w:t>
      </w:r>
      <w:r w:rsidR="00FE442F" w:rsidRPr="00293B75">
        <w:rPr>
          <w:rFonts w:cs="Arial"/>
          <w:lang w:val="fr-FR"/>
        </w:rPr>
        <w:t>’</w:t>
      </w:r>
      <w:r w:rsidR="009F46A4" w:rsidRPr="00293B75">
        <w:rPr>
          <w:rFonts w:cs="Arial"/>
          <w:lang w:val="fr-FR"/>
        </w:rPr>
        <w:t xml:space="preserve">examiner </w:t>
      </w:r>
      <w:r w:rsidR="008C0C92" w:rsidRPr="00293B75">
        <w:rPr>
          <w:rFonts w:cs="Arial"/>
          <w:lang w:val="fr-FR"/>
        </w:rPr>
        <w:t xml:space="preserve">en 2015 </w:t>
      </w:r>
      <w:r w:rsidR="009F46A4" w:rsidRPr="00293B75">
        <w:rPr>
          <w:rFonts w:cs="Arial"/>
          <w:lang w:val="fr-FR"/>
        </w:rPr>
        <w:t>les projets de principes directeurs d</w:t>
      </w:r>
      <w:r w:rsidR="00FE442F" w:rsidRPr="00293B75">
        <w:rPr>
          <w:rFonts w:cs="Arial"/>
          <w:lang w:val="fr-FR"/>
        </w:rPr>
        <w:t>’</w:t>
      </w:r>
      <w:r w:rsidR="009F46A4" w:rsidRPr="00293B75">
        <w:rPr>
          <w:rFonts w:cs="Arial"/>
          <w:lang w:val="fr-FR"/>
        </w:rPr>
        <w:t>examen suivants</w:t>
      </w:r>
      <w:r w:rsidR="00004203" w:rsidRPr="00293B75">
        <w:rPr>
          <w:rFonts w:cs="Arial"/>
          <w:lang w:val="fr-FR"/>
        </w:rPr>
        <w:t> </w:t>
      </w:r>
      <w:r w:rsidR="009F46A4" w:rsidRPr="00293B75">
        <w:rPr>
          <w:rFonts w:cs="Arial"/>
          <w:lang w:val="fr-FR"/>
        </w:rPr>
        <w:t xml:space="preserve">: </w:t>
      </w:r>
      <w:r w:rsidR="00D76906" w:rsidRPr="00293B75">
        <w:rPr>
          <w:rFonts w:cs="Arial"/>
          <w:lang w:val="fr-FR"/>
        </w:rPr>
        <w:t>graine de ricin, coton (révision),</w:t>
      </w:r>
      <w:r w:rsidR="00D10C9C" w:rsidRPr="00293B75">
        <w:rPr>
          <w:rFonts w:cs="Arial"/>
          <w:lang w:val="fr-FR"/>
        </w:rPr>
        <w:t xml:space="preserve"> chiendent, haricot (révision), petit mil, avoine (révision), quinoa, trèfle violet, phacélie à feuilles de tanaisie, soja (révision) et blé (révision).</w:t>
      </w:r>
    </w:p>
    <w:p w:rsidR="0002688D" w:rsidRPr="00293B75" w:rsidRDefault="0002688D" w:rsidP="007005BA">
      <w:pPr>
        <w:contextualSpacing/>
        <w:rPr>
          <w:rFonts w:cs="Arial"/>
          <w:lang w:val="fr-FR"/>
        </w:rPr>
      </w:pPr>
    </w:p>
    <w:p w:rsidR="00FE442F"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9F46A4" w:rsidRPr="00293B75">
        <w:rPr>
          <w:rFonts w:cs="Arial"/>
          <w:lang w:val="fr-FR"/>
        </w:rPr>
        <w:t>Le</w:t>
      </w:r>
      <w:r w:rsidR="00D80B5C" w:rsidRPr="00293B75">
        <w:rPr>
          <w:rFonts w:cs="Arial"/>
          <w:lang w:val="fr-FR"/>
        </w:rPr>
        <w:t xml:space="preserve"> TWA </w:t>
      </w:r>
      <w:r w:rsidR="009F46A4" w:rsidRPr="00293B75">
        <w:rPr>
          <w:rFonts w:cs="Arial"/>
          <w:lang w:val="fr-FR"/>
        </w:rPr>
        <w:t xml:space="preserve">est </w:t>
      </w:r>
      <w:proofErr w:type="gramStart"/>
      <w:r w:rsidR="009F46A4" w:rsidRPr="00293B75">
        <w:rPr>
          <w:rFonts w:cs="Arial"/>
          <w:lang w:val="fr-FR"/>
        </w:rPr>
        <w:t>convenu</w:t>
      </w:r>
      <w:proofErr w:type="gramEnd"/>
      <w:r w:rsidR="009F46A4" w:rsidRPr="00293B75">
        <w:rPr>
          <w:rFonts w:cs="Arial"/>
          <w:lang w:val="fr-FR"/>
        </w:rPr>
        <w:t xml:space="preserve"> d</w:t>
      </w:r>
      <w:r w:rsidR="00FE442F" w:rsidRPr="00293B75">
        <w:rPr>
          <w:rFonts w:cs="Arial"/>
          <w:lang w:val="fr-FR"/>
        </w:rPr>
        <w:t>’</w:t>
      </w:r>
      <w:r w:rsidR="009F46A4" w:rsidRPr="00293B75">
        <w:rPr>
          <w:rFonts w:cs="Arial"/>
          <w:lang w:val="fr-FR"/>
        </w:rPr>
        <w:t xml:space="preserve">examiner </w:t>
      </w:r>
      <w:r w:rsidR="005476EB" w:rsidRPr="00293B75">
        <w:rPr>
          <w:rFonts w:cs="Arial"/>
          <w:lang w:val="fr-FR"/>
        </w:rPr>
        <w:t>11 </w:t>
      </w:r>
      <w:r w:rsidR="009F46A4" w:rsidRPr="00293B75">
        <w:rPr>
          <w:rFonts w:cs="Arial"/>
          <w:lang w:val="fr-FR"/>
        </w:rPr>
        <w:t>principes directeurs d</w:t>
      </w:r>
      <w:r w:rsidR="00FE442F" w:rsidRPr="00293B75">
        <w:rPr>
          <w:rFonts w:cs="Arial"/>
          <w:lang w:val="fr-FR"/>
        </w:rPr>
        <w:t>’</w:t>
      </w:r>
      <w:r w:rsidR="009F46A4" w:rsidRPr="00293B75">
        <w:rPr>
          <w:rFonts w:cs="Arial"/>
          <w:lang w:val="fr-FR"/>
        </w:rPr>
        <w:t>examen en</w:t>
      </w:r>
      <w:r w:rsidR="00004203" w:rsidRPr="00293B75">
        <w:rPr>
          <w:rFonts w:cs="Arial"/>
          <w:lang w:val="fr-FR"/>
        </w:rPr>
        <w:t> </w:t>
      </w:r>
      <w:r w:rsidR="009F46A4" w:rsidRPr="00293B75">
        <w:rPr>
          <w:rFonts w:cs="Arial"/>
          <w:lang w:val="fr-FR"/>
        </w:rPr>
        <w:t>2015 et a souligné l</w:t>
      </w:r>
      <w:r w:rsidR="00FE442F" w:rsidRPr="00293B75">
        <w:rPr>
          <w:rFonts w:cs="Arial"/>
          <w:lang w:val="fr-FR"/>
        </w:rPr>
        <w:t>’</w:t>
      </w:r>
      <w:r w:rsidR="009F46A4" w:rsidRPr="00293B75">
        <w:rPr>
          <w:rFonts w:cs="Arial"/>
          <w:lang w:val="fr-FR"/>
        </w:rPr>
        <w:t>intérêt de reviser les principes directeurs d</w:t>
      </w:r>
      <w:r w:rsidR="00FE442F" w:rsidRPr="00293B75">
        <w:rPr>
          <w:rFonts w:cs="Arial"/>
          <w:lang w:val="fr-FR"/>
        </w:rPr>
        <w:t>’</w:t>
      </w:r>
      <w:r w:rsidR="009F46A4" w:rsidRPr="00293B75">
        <w:rPr>
          <w:rFonts w:cs="Arial"/>
          <w:lang w:val="fr-FR"/>
        </w:rPr>
        <w:t>examen pour le ginseng (</w:t>
      </w:r>
      <w:r w:rsidR="00FE442F" w:rsidRPr="00293B75">
        <w:rPr>
          <w:rFonts w:cs="Arial"/>
          <w:lang w:val="fr-FR"/>
        </w:rPr>
        <w:t>document TG</w:t>
      </w:r>
      <w:r w:rsidR="009F46A4" w:rsidRPr="00293B75">
        <w:rPr>
          <w:rFonts w:cs="Arial"/>
          <w:lang w:val="fr-FR"/>
        </w:rPr>
        <w:t>/224/1) et l</w:t>
      </w:r>
      <w:r w:rsidR="00FE442F" w:rsidRPr="00293B75">
        <w:rPr>
          <w:rFonts w:cs="Arial"/>
          <w:lang w:val="fr-FR"/>
        </w:rPr>
        <w:t>’</w:t>
      </w:r>
      <w:r w:rsidR="009F46A4" w:rsidRPr="00293B75">
        <w:rPr>
          <w:rFonts w:cs="Arial"/>
          <w:lang w:val="fr-FR"/>
        </w:rPr>
        <w:t>orge (document TG/19/7) en</w:t>
      </w:r>
      <w:r w:rsidR="00004203" w:rsidRPr="00293B75">
        <w:rPr>
          <w:rFonts w:cs="Arial"/>
          <w:lang w:val="fr-FR"/>
        </w:rPr>
        <w:t> </w:t>
      </w:r>
      <w:r w:rsidR="009F46A4" w:rsidRPr="00293B75">
        <w:rPr>
          <w:rFonts w:cs="Arial"/>
          <w:lang w:val="fr-FR"/>
        </w:rPr>
        <w:t>2016.</w:t>
      </w:r>
    </w:p>
    <w:p w:rsidR="00AD5031" w:rsidRPr="00293B75" w:rsidRDefault="00AD5031" w:rsidP="007005BA">
      <w:pPr>
        <w:contextualSpacing/>
        <w:rPr>
          <w:rFonts w:cs="Arial"/>
          <w:lang w:val="fr-FR"/>
        </w:rPr>
      </w:pPr>
    </w:p>
    <w:p w:rsidR="00DD0E96" w:rsidRPr="00293B75" w:rsidRDefault="00CE327F"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BA51CF" w:rsidRPr="00293B75">
        <w:rPr>
          <w:rFonts w:cs="Arial"/>
          <w:lang w:val="fr-FR"/>
        </w:rPr>
        <w:t>À</w:t>
      </w:r>
      <w:r w:rsidR="00DD0E96" w:rsidRPr="00293B75">
        <w:rPr>
          <w:rFonts w:cs="Arial"/>
          <w:lang w:val="fr-FR"/>
        </w:rPr>
        <w:t xml:space="preserve"> l</w:t>
      </w:r>
      <w:r w:rsidR="00FE442F" w:rsidRPr="00293B75">
        <w:rPr>
          <w:rFonts w:cs="Arial"/>
          <w:lang w:val="fr-FR"/>
        </w:rPr>
        <w:t>’</w:t>
      </w:r>
      <w:r w:rsidR="00DD0E96" w:rsidRPr="00293B75">
        <w:rPr>
          <w:rFonts w:cs="Arial"/>
          <w:lang w:val="fr-FR"/>
        </w:rPr>
        <w:t>invitation du Japon,</w:t>
      </w:r>
      <w:r w:rsidR="00FE442F" w:rsidRPr="00293B75">
        <w:rPr>
          <w:rFonts w:cs="Arial"/>
          <w:lang w:val="fr-FR"/>
        </w:rPr>
        <w:t xml:space="preserve"> le TWA</w:t>
      </w:r>
      <w:r w:rsidR="00DD0E96" w:rsidRPr="00293B75">
        <w:rPr>
          <w:rFonts w:cs="Arial"/>
          <w:lang w:val="fr-FR"/>
        </w:rPr>
        <w:t xml:space="preserve"> est convenu de tenir sa quarante</w:t>
      </w:r>
      <w:r w:rsidR="005535E5" w:rsidRPr="00293B75">
        <w:rPr>
          <w:rFonts w:cs="Arial"/>
          <w:lang w:val="fr-FR"/>
        </w:rPr>
        <w:noBreakHyphen/>
      </w:r>
      <w:r w:rsidR="00DD0E96" w:rsidRPr="00293B75">
        <w:rPr>
          <w:rFonts w:cs="Arial"/>
          <w:lang w:val="fr-FR"/>
        </w:rPr>
        <w:t>quatrième</w:t>
      </w:r>
      <w:r w:rsidR="00004203" w:rsidRPr="00293B75">
        <w:rPr>
          <w:rFonts w:cs="Arial"/>
          <w:lang w:val="fr-FR"/>
        </w:rPr>
        <w:t> </w:t>
      </w:r>
      <w:r w:rsidR="00DD0E96" w:rsidRPr="00293B75">
        <w:rPr>
          <w:rFonts w:cs="Arial"/>
          <w:lang w:val="fr-FR"/>
        </w:rPr>
        <w:t>session à Obihiro (Japon) du 6 au 1</w:t>
      </w:r>
      <w:r w:rsidR="00FE442F" w:rsidRPr="00293B75">
        <w:rPr>
          <w:rFonts w:cs="Arial"/>
          <w:lang w:val="fr-FR"/>
        </w:rPr>
        <w:t>0 juillet 20</w:t>
      </w:r>
      <w:r w:rsidR="00DD0E96" w:rsidRPr="00293B75">
        <w:rPr>
          <w:rFonts w:cs="Arial"/>
          <w:lang w:val="fr-FR"/>
        </w:rPr>
        <w:t xml:space="preserve">15, un atelier préparatoire étant prévu le </w:t>
      </w:r>
      <w:r w:rsidR="00FE442F" w:rsidRPr="00293B75">
        <w:rPr>
          <w:rFonts w:cs="Arial"/>
          <w:lang w:val="fr-FR"/>
        </w:rPr>
        <w:t>5 juillet 20</w:t>
      </w:r>
      <w:r w:rsidR="00DD0E96" w:rsidRPr="00293B75">
        <w:rPr>
          <w:rFonts w:cs="Arial"/>
          <w:lang w:val="fr-FR"/>
        </w:rPr>
        <w:t>15.</w:t>
      </w:r>
    </w:p>
    <w:p w:rsidR="00AD5031" w:rsidRPr="00293B75" w:rsidRDefault="00AD5031" w:rsidP="007005BA">
      <w:pPr>
        <w:rPr>
          <w:rFonts w:cs="Arial"/>
          <w:lang w:val="fr-FR"/>
        </w:rPr>
      </w:pPr>
    </w:p>
    <w:p w:rsidR="00AD5031" w:rsidRPr="00293B75" w:rsidRDefault="00CE327F" w:rsidP="007005BA">
      <w:pPr>
        <w:keepNext/>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C473D2" w:rsidRPr="00293B75">
        <w:rPr>
          <w:rFonts w:cs="Arial"/>
          <w:lang w:val="fr-FR"/>
        </w:rPr>
        <w:t>Le TWA a proposé que les points ci</w:t>
      </w:r>
      <w:r w:rsidR="005535E5" w:rsidRPr="00293B75">
        <w:rPr>
          <w:rFonts w:cs="Arial"/>
          <w:lang w:val="fr-FR"/>
        </w:rPr>
        <w:noBreakHyphen/>
      </w:r>
      <w:r w:rsidR="00C473D2" w:rsidRPr="00293B75">
        <w:rPr>
          <w:rFonts w:cs="Arial"/>
          <w:lang w:val="fr-FR"/>
        </w:rPr>
        <w:t>après soient discutés à cette session</w:t>
      </w:r>
      <w:r w:rsidR="00004203" w:rsidRPr="00293B75">
        <w:rPr>
          <w:rFonts w:cs="Arial"/>
          <w:lang w:val="fr-FR"/>
        </w:rPr>
        <w:t> </w:t>
      </w:r>
      <w:r w:rsidR="00C473D2" w:rsidRPr="00293B75">
        <w:rPr>
          <w:rFonts w:cs="Arial"/>
          <w:lang w:val="fr-FR"/>
        </w:rPr>
        <w:t>:</w:t>
      </w:r>
    </w:p>
    <w:p w:rsidR="00AD5031" w:rsidRPr="00293B75" w:rsidRDefault="00AD5031" w:rsidP="007005BA">
      <w:pPr>
        <w:keepNext/>
        <w:rPr>
          <w:rFonts w:cs="Arial"/>
          <w:lang w:val="fr-FR"/>
        </w:rPr>
      </w:pPr>
    </w:p>
    <w:p w:rsidR="00AD5031" w:rsidRPr="00293B75" w:rsidRDefault="00C473D2" w:rsidP="007005BA">
      <w:pPr>
        <w:tabs>
          <w:tab w:val="num" w:pos="1134"/>
        </w:tabs>
        <w:spacing w:before="20" w:afterLines="20" w:after="48"/>
        <w:ind w:left="1134" w:hanging="567"/>
        <w:rPr>
          <w:rFonts w:cs="Arial"/>
          <w:lang w:val="fr-FR"/>
        </w:rPr>
      </w:pPr>
      <w:r w:rsidRPr="00293B75">
        <w:rPr>
          <w:rFonts w:cs="Arial"/>
          <w:lang w:val="fr-FR"/>
        </w:rPr>
        <w:t>1.</w:t>
      </w:r>
      <w:r w:rsidRPr="00293B75">
        <w:rPr>
          <w:rFonts w:cs="Arial"/>
          <w:lang w:val="fr-FR"/>
        </w:rPr>
        <w:tab/>
        <w:t>Ouverture de la session</w:t>
      </w:r>
    </w:p>
    <w:p w:rsidR="00AD5031" w:rsidRPr="00293B75" w:rsidRDefault="00C473D2" w:rsidP="007005BA">
      <w:pPr>
        <w:tabs>
          <w:tab w:val="num" w:pos="1134"/>
        </w:tabs>
        <w:spacing w:before="20" w:afterLines="20" w:after="48"/>
        <w:ind w:left="1134" w:hanging="567"/>
        <w:rPr>
          <w:rFonts w:cs="Arial"/>
          <w:lang w:val="fr-FR"/>
        </w:rPr>
      </w:pPr>
      <w:r w:rsidRPr="00293B75">
        <w:rPr>
          <w:rFonts w:cs="Arial"/>
          <w:lang w:val="fr-FR"/>
        </w:rPr>
        <w:t>2.</w:t>
      </w:r>
      <w:r w:rsidRPr="00293B75">
        <w:rPr>
          <w:rFonts w:cs="Arial"/>
          <w:lang w:val="fr-FR"/>
        </w:rPr>
        <w:tab/>
        <w:t>Adoption de l</w:t>
      </w:r>
      <w:r w:rsidR="00FE442F" w:rsidRPr="00293B75">
        <w:rPr>
          <w:rFonts w:cs="Arial"/>
          <w:lang w:val="fr-FR"/>
        </w:rPr>
        <w:t>’</w:t>
      </w:r>
      <w:r w:rsidRPr="00293B75">
        <w:rPr>
          <w:rFonts w:cs="Arial"/>
          <w:lang w:val="fr-FR"/>
        </w:rPr>
        <w:t>ordre du jour</w:t>
      </w:r>
    </w:p>
    <w:p w:rsidR="00AD5031" w:rsidRPr="00293B75" w:rsidRDefault="00C473D2" w:rsidP="007005BA">
      <w:pPr>
        <w:tabs>
          <w:tab w:val="num" w:pos="1134"/>
        </w:tabs>
        <w:spacing w:before="20" w:afterLines="20" w:after="48"/>
        <w:ind w:left="1134" w:hanging="567"/>
        <w:rPr>
          <w:rFonts w:cs="Arial"/>
          <w:lang w:val="fr-FR"/>
        </w:rPr>
      </w:pPr>
      <w:r w:rsidRPr="00293B75">
        <w:rPr>
          <w:rFonts w:cs="Arial"/>
          <w:lang w:val="fr-FR"/>
        </w:rPr>
        <w:t>3.</w:t>
      </w:r>
      <w:r w:rsidRPr="00293B75">
        <w:rPr>
          <w:rFonts w:cs="Arial"/>
          <w:lang w:val="fr-FR"/>
        </w:rPr>
        <w:tab/>
        <w:t>Rapports succincts sur l</w:t>
      </w:r>
      <w:r w:rsidR="00FE442F" w:rsidRPr="00293B75">
        <w:rPr>
          <w:rFonts w:cs="Arial"/>
          <w:lang w:val="fr-FR"/>
        </w:rPr>
        <w:t>’</w:t>
      </w:r>
      <w:r w:rsidRPr="00293B75">
        <w:rPr>
          <w:rFonts w:cs="Arial"/>
          <w:lang w:val="fr-FR"/>
        </w:rPr>
        <w:t>évolution de la situation en matière de protection des obtentions végétales :</w:t>
      </w:r>
    </w:p>
    <w:p w:rsidR="00FE442F" w:rsidRPr="00293B75" w:rsidRDefault="00C473D2" w:rsidP="007005BA">
      <w:pPr>
        <w:tabs>
          <w:tab w:val="num" w:pos="1134"/>
        </w:tabs>
        <w:spacing w:before="20" w:afterLines="20" w:after="48"/>
        <w:ind w:left="1134"/>
        <w:rPr>
          <w:rFonts w:cs="Arial"/>
          <w:lang w:val="fr-FR"/>
        </w:rPr>
      </w:pPr>
      <w:r w:rsidRPr="00293B75">
        <w:rPr>
          <w:rFonts w:cs="Arial"/>
          <w:lang w:val="fr-FR"/>
        </w:rPr>
        <w:t>a)</w:t>
      </w:r>
      <w:r w:rsidRPr="00293B75">
        <w:rPr>
          <w:rFonts w:cs="Arial"/>
          <w:lang w:val="fr-FR"/>
        </w:rPr>
        <w:tab/>
        <w:t>Rapports des membres et des observateurs</w:t>
      </w:r>
    </w:p>
    <w:p w:rsidR="00FE442F" w:rsidRPr="00293B75" w:rsidRDefault="00C473D2" w:rsidP="007005BA">
      <w:pPr>
        <w:tabs>
          <w:tab w:val="num" w:pos="1134"/>
        </w:tabs>
        <w:spacing w:before="20" w:afterLines="20" w:after="48"/>
        <w:ind w:left="1134"/>
        <w:rPr>
          <w:rFonts w:cs="Arial"/>
          <w:lang w:val="fr-FR"/>
        </w:rPr>
      </w:pPr>
      <w:r w:rsidRPr="00293B75">
        <w:rPr>
          <w:rFonts w:cs="Arial"/>
          <w:lang w:val="fr-FR"/>
        </w:rPr>
        <w:t>b)</w:t>
      </w:r>
      <w:r w:rsidRPr="00293B75">
        <w:rPr>
          <w:rFonts w:cs="Arial"/>
          <w:lang w:val="fr-FR"/>
        </w:rPr>
        <w:tab/>
        <w:t>Rapports sur les faits nouveaux intervenus à l</w:t>
      </w:r>
      <w:r w:rsidR="00FE442F" w:rsidRPr="00293B75">
        <w:rPr>
          <w:rFonts w:cs="Arial"/>
          <w:lang w:val="fr-FR"/>
        </w:rPr>
        <w:t>’</w:t>
      </w:r>
      <w:r w:rsidRPr="00293B75">
        <w:rPr>
          <w:rFonts w:cs="Arial"/>
          <w:lang w:val="fr-FR"/>
        </w:rPr>
        <w:t>UPOV</w:t>
      </w:r>
    </w:p>
    <w:p w:rsidR="00FE442F" w:rsidRPr="00293B75" w:rsidRDefault="00C473D2" w:rsidP="007005BA">
      <w:pPr>
        <w:tabs>
          <w:tab w:val="num" w:pos="1134"/>
        </w:tabs>
        <w:spacing w:before="20" w:afterLines="20" w:after="48"/>
        <w:ind w:left="1134" w:hanging="567"/>
        <w:rPr>
          <w:rFonts w:cs="Arial"/>
          <w:lang w:val="fr-FR"/>
        </w:rPr>
      </w:pPr>
      <w:r w:rsidRPr="00293B75">
        <w:rPr>
          <w:rFonts w:cs="Arial"/>
          <w:lang w:val="fr-FR"/>
        </w:rPr>
        <w:t>4.</w:t>
      </w:r>
      <w:r w:rsidRPr="00293B75">
        <w:rPr>
          <w:rFonts w:cs="Arial"/>
          <w:lang w:val="fr-FR"/>
        </w:rPr>
        <w:tab/>
        <w:t>Techniques moléculaires</w:t>
      </w:r>
    </w:p>
    <w:p w:rsidR="00FE442F" w:rsidRPr="00293B75" w:rsidRDefault="00C473D2" w:rsidP="007005BA">
      <w:pPr>
        <w:tabs>
          <w:tab w:val="num" w:pos="1134"/>
        </w:tabs>
        <w:spacing w:before="20" w:afterLines="20" w:after="48"/>
        <w:ind w:left="1134" w:hanging="567"/>
        <w:rPr>
          <w:rFonts w:cs="Arial"/>
          <w:lang w:val="fr-FR"/>
        </w:rPr>
      </w:pPr>
      <w:r w:rsidRPr="00293B75">
        <w:rPr>
          <w:rFonts w:cs="Arial"/>
          <w:lang w:val="fr-FR"/>
        </w:rPr>
        <w:t>5.</w:t>
      </w:r>
      <w:r w:rsidRPr="00293B75">
        <w:rPr>
          <w:rFonts w:cs="Arial"/>
          <w:lang w:val="fr-FR"/>
        </w:rPr>
        <w:tab/>
        <w:t>Documents TGP</w:t>
      </w:r>
    </w:p>
    <w:p w:rsidR="00FE442F" w:rsidRPr="00293B75" w:rsidRDefault="00C473D2" w:rsidP="007005BA">
      <w:pPr>
        <w:tabs>
          <w:tab w:val="num" w:pos="1134"/>
        </w:tabs>
        <w:spacing w:before="20" w:afterLines="20" w:after="48"/>
        <w:ind w:left="1134" w:hanging="567"/>
        <w:rPr>
          <w:rFonts w:cs="Arial"/>
          <w:lang w:val="fr-FR"/>
        </w:rPr>
      </w:pPr>
      <w:r w:rsidRPr="00293B75">
        <w:rPr>
          <w:rFonts w:cs="Arial"/>
          <w:lang w:val="fr-FR"/>
        </w:rPr>
        <w:t>6.</w:t>
      </w:r>
      <w:r w:rsidRPr="00293B75">
        <w:rPr>
          <w:rFonts w:cs="Arial"/>
          <w:lang w:val="fr-FR"/>
        </w:rPr>
        <w:tab/>
        <w:t>Dénominations variétales</w:t>
      </w:r>
    </w:p>
    <w:p w:rsidR="00AD5031" w:rsidRPr="00293B75" w:rsidRDefault="00C473D2" w:rsidP="007005BA">
      <w:pPr>
        <w:tabs>
          <w:tab w:val="num" w:pos="1134"/>
        </w:tabs>
        <w:spacing w:before="20" w:afterLines="20" w:after="48"/>
        <w:ind w:left="1134" w:hanging="567"/>
        <w:rPr>
          <w:rFonts w:cs="Arial"/>
          <w:lang w:val="fr-FR"/>
        </w:rPr>
      </w:pPr>
      <w:r w:rsidRPr="00293B75">
        <w:rPr>
          <w:rFonts w:cs="Arial"/>
          <w:lang w:val="fr-FR"/>
        </w:rPr>
        <w:t>7.</w:t>
      </w:r>
      <w:r w:rsidRPr="00293B75">
        <w:rPr>
          <w:rFonts w:cs="Arial"/>
          <w:lang w:val="fr-FR"/>
        </w:rPr>
        <w:tab/>
        <w:t>Informations et bases de données</w:t>
      </w:r>
    </w:p>
    <w:p w:rsidR="00FE442F" w:rsidRPr="00293B75" w:rsidRDefault="00C473D2" w:rsidP="007005BA">
      <w:pPr>
        <w:tabs>
          <w:tab w:val="num" w:pos="1134"/>
        </w:tabs>
        <w:spacing w:before="20" w:afterLines="20" w:after="48"/>
        <w:ind w:left="1134"/>
        <w:rPr>
          <w:rFonts w:cs="Arial"/>
          <w:lang w:val="fr-FR"/>
        </w:rPr>
      </w:pPr>
      <w:r w:rsidRPr="00293B75">
        <w:rPr>
          <w:rFonts w:cs="Arial"/>
          <w:lang w:val="fr-FR"/>
        </w:rPr>
        <w:t>a)</w:t>
      </w:r>
      <w:r w:rsidRPr="00293B75">
        <w:rPr>
          <w:rFonts w:cs="Arial"/>
          <w:lang w:val="fr-FR"/>
        </w:rPr>
        <w:tab/>
        <w:t>Base de données d</w:t>
      </w:r>
      <w:r w:rsidR="00FE442F" w:rsidRPr="00293B75">
        <w:rPr>
          <w:rFonts w:cs="Arial"/>
          <w:lang w:val="fr-FR"/>
        </w:rPr>
        <w:t>’</w:t>
      </w:r>
      <w:r w:rsidRPr="00293B75">
        <w:rPr>
          <w:rFonts w:cs="Arial"/>
          <w:lang w:val="fr-FR"/>
        </w:rPr>
        <w:t>information de l</w:t>
      </w:r>
      <w:r w:rsidR="00FE442F" w:rsidRPr="00293B75">
        <w:rPr>
          <w:rFonts w:cs="Arial"/>
          <w:lang w:val="fr-FR"/>
        </w:rPr>
        <w:t>’</w:t>
      </w:r>
      <w:r w:rsidRPr="00293B75">
        <w:rPr>
          <w:rFonts w:cs="Arial"/>
          <w:lang w:val="fr-FR"/>
        </w:rPr>
        <w:t>UPOV</w:t>
      </w:r>
    </w:p>
    <w:p w:rsidR="00AD5031" w:rsidRPr="00293B75" w:rsidRDefault="00ED1669" w:rsidP="007005BA">
      <w:pPr>
        <w:tabs>
          <w:tab w:val="num" w:pos="1134"/>
        </w:tabs>
        <w:spacing w:before="20" w:afterLines="20" w:after="48"/>
        <w:ind w:left="1134"/>
        <w:rPr>
          <w:rFonts w:cs="Arial"/>
          <w:lang w:val="fr-FR"/>
        </w:rPr>
      </w:pPr>
      <w:r w:rsidRPr="00293B75">
        <w:rPr>
          <w:rFonts w:cs="Arial"/>
          <w:lang w:val="fr-FR"/>
        </w:rPr>
        <w:t>b)</w:t>
      </w:r>
      <w:r w:rsidRPr="00293B75">
        <w:rPr>
          <w:rFonts w:cs="Arial"/>
          <w:lang w:val="fr-FR"/>
        </w:rPr>
        <w:tab/>
      </w:r>
      <w:r w:rsidR="00A70757" w:rsidRPr="00293B75">
        <w:rPr>
          <w:rFonts w:cs="Arial"/>
          <w:lang w:val="fr-FR"/>
        </w:rPr>
        <w:t>Bases de données sur les descriptions variétales</w:t>
      </w:r>
    </w:p>
    <w:p w:rsidR="00FE442F" w:rsidRPr="00293B75" w:rsidRDefault="00A70757" w:rsidP="007005BA">
      <w:pPr>
        <w:tabs>
          <w:tab w:val="num" w:pos="1134"/>
        </w:tabs>
        <w:spacing w:before="20" w:afterLines="20" w:after="48"/>
        <w:ind w:left="1134"/>
        <w:rPr>
          <w:rFonts w:cs="Arial"/>
          <w:lang w:val="fr-FR"/>
        </w:rPr>
      </w:pPr>
      <w:r w:rsidRPr="00293B75">
        <w:rPr>
          <w:rFonts w:cs="Arial"/>
          <w:lang w:val="fr-FR"/>
        </w:rPr>
        <w:t>c)</w:t>
      </w:r>
      <w:r w:rsidRPr="00293B75">
        <w:rPr>
          <w:rFonts w:cs="Arial"/>
          <w:lang w:val="fr-FR"/>
        </w:rPr>
        <w:tab/>
        <w:t>Logiciels échangeables</w:t>
      </w:r>
    </w:p>
    <w:p w:rsidR="00FE442F" w:rsidRPr="00293B75" w:rsidRDefault="00A70757" w:rsidP="007005BA">
      <w:pPr>
        <w:tabs>
          <w:tab w:val="num" w:pos="1134"/>
        </w:tabs>
        <w:spacing w:before="20" w:afterLines="20" w:after="48"/>
        <w:ind w:left="1134"/>
        <w:rPr>
          <w:rFonts w:cs="Arial"/>
          <w:lang w:val="fr-FR"/>
        </w:rPr>
      </w:pPr>
      <w:r w:rsidRPr="00293B75">
        <w:rPr>
          <w:rFonts w:cs="Arial"/>
          <w:lang w:val="fr-FR"/>
        </w:rPr>
        <w:t>d)</w:t>
      </w:r>
      <w:r w:rsidRPr="00293B75">
        <w:rPr>
          <w:rFonts w:cs="Arial"/>
          <w:lang w:val="fr-FR"/>
        </w:rPr>
        <w:tab/>
        <w:t>Systèmes de dépôt électronique des demandes</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8.</w:t>
      </w:r>
      <w:r w:rsidRPr="00293B75">
        <w:rPr>
          <w:rFonts w:cs="Arial"/>
          <w:lang w:val="fr-FR"/>
        </w:rPr>
        <w:tab/>
        <w:t>Évaluation de l</w:t>
      </w:r>
      <w:r w:rsidR="00FE442F" w:rsidRPr="00293B75">
        <w:rPr>
          <w:rFonts w:cs="Arial"/>
          <w:lang w:val="fr-FR"/>
        </w:rPr>
        <w:t>’</w:t>
      </w:r>
      <w:r w:rsidRPr="00293B75">
        <w:rPr>
          <w:rFonts w:cs="Arial"/>
          <w:lang w:val="fr-FR"/>
        </w:rPr>
        <w:t>homogénéité</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9.</w:t>
      </w:r>
      <w:r w:rsidRPr="00293B75">
        <w:rPr>
          <w:rFonts w:cs="Arial"/>
          <w:lang w:val="fr-FR"/>
        </w:rPr>
        <w:tab/>
        <w:t>Questions en suspens concernant les principes directeurs d</w:t>
      </w:r>
      <w:r w:rsidR="00FE442F" w:rsidRPr="00293B75">
        <w:rPr>
          <w:rFonts w:cs="Arial"/>
          <w:lang w:val="fr-FR"/>
        </w:rPr>
        <w:t>’</w:t>
      </w:r>
      <w:r w:rsidRPr="00293B75">
        <w:rPr>
          <w:rFonts w:cs="Arial"/>
          <w:lang w:val="fr-FR"/>
        </w:rPr>
        <w:t>examen adoptés par le Comité technique (le cas échéant)</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10.</w:t>
      </w:r>
      <w:r w:rsidRPr="00293B75">
        <w:rPr>
          <w:rFonts w:cs="Arial"/>
          <w:lang w:val="fr-FR"/>
        </w:rPr>
        <w:tab/>
        <w:t>Examen des projets de principes directeurs d</w:t>
      </w:r>
      <w:r w:rsidR="00FE442F" w:rsidRPr="00293B75">
        <w:rPr>
          <w:rFonts w:cs="Arial"/>
          <w:lang w:val="fr-FR"/>
        </w:rPr>
        <w:t>’</w:t>
      </w:r>
      <w:r w:rsidRPr="00293B75">
        <w:rPr>
          <w:rFonts w:cs="Arial"/>
          <w:lang w:val="fr-FR"/>
        </w:rPr>
        <w:t>examen (sous</w:t>
      </w:r>
      <w:r w:rsidR="005535E5" w:rsidRPr="00293B75">
        <w:rPr>
          <w:rFonts w:cs="Arial"/>
          <w:lang w:val="fr-FR"/>
        </w:rPr>
        <w:noBreakHyphen/>
      </w:r>
      <w:r w:rsidRPr="00293B75">
        <w:rPr>
          <w:rFonts w:cs="Arial"/>
          <w:lang w:val="fr-FR"/>
        </w:rPr>
        <w:t>groupes)</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11.</w:t>
      </w:r>
      <w:r w:rsidRPr="00293B75">
        <w:rPr>
          <w:rFonts w:cs="Arial"/>
          <w:lang w:val="fr-FR"/>
        </w:rPr>
        <w:tab/>
        <w:t>Recommandations concernant les projets de principes directeurs d</w:t>
      </w:r>
      <w:r w:rsidR="00FE442F" w:rsidRPr="00293B75">
        <w:rPr>
          <w:rFonts w:cs="Arial"/>
          <w:lang w:val="fr-FR"/>
        </w:rPr>
        <w:t>’</w:t>
      </w:r>
      <w:r w:rsidRPr="00293B75">
        <w:rPr>
          <w:rFonts w:cs="Arial"/>
          <w:lang w:val="fr-FR"/>
        </w:rPr>
        <w:t>examen</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12.</w:t>
      </w:r>
      <w:r w:rsidRPr="00293B75">
        <w:rPr>
          <w:rFonts w:cs="Arial"/>
          <w:lang w:val="fr-FR"/>
        </w:rPr>
        <w:tab/>
        <w:t>Orientations pour les rédacteurs de principes directeurs d</w:t>
      </w:r>
      <w:r w:rsidR="00FE442F" w:rsidRPr="00293B75">
        <w:rPr>
          <w:rFonts w:cs="Arial"/>
          <w:lang w:val="fr-FR"/>
        </w:rPr>
        <w:t>’</w:t>
      </w:r>
      <w:r w:rsidRPr="00293B75">
        <w:rPr>
          <w:rFonts w:cs="Arial"/>
          <w:lang w:val="fr-FR"/>
        </w:rPr>
        <w:t>examen</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13.</w:t>
      </w:r>
      <w:r w:rsidRPr="00293B75">
        <w:rPr>
          <w:rFonts w:cs="Arial"/>
          <w:lang w:val="fr-FR"/>
        </w:rPr>
        <w:tab/>
        <w:t>Date et lieu de la prochaine session</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14.</w:t>
      </w:r>
      <w:r w:rsidRPr="00293B75">
        <w:rPr>
          <w:rFonts w:cs="Arial"/>
          <w:lang w:val="fr-FR"/>
        </w:rPr>
        <w:tab/>
        <w:t>Programme futur</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15.</w:t>
      </w:r>
      <w:r w:rsidRPr="00293B75">
        <w:rPr>
          <w:rFonts w:cs="Arial"/>
          <w:lang w:val="fr-FR"/>
        </w:rPr>
        <w:tab/>
        <w:t>Compte rendu de la session (selon le temps disponible)</w:t>
      </w:r>
    </w:p>
    <w:p w:rsidR="00AD5031" w:rsidRPr="00293B75" w:rsidRDefault="00A70757" w:rsidP="007005BA">
      <w:pPr>
        <w:tabs>
          <w:tab w:val="num" w:pos="1134"/>
        </w:tabs>
        <w:spacing w:before="20" w:afterLines="20" w:after="48"/>
        <w:ind w:left="1134" w:hanging="567"/>
        <w:rPr>
          <w:rFonts w:cs="Arial"/>
          <w:lang w:val="fr-FR"/>
        </w:rPr>
      </w:pPr>
      <w:r w:rsidRPr="00293B75">
        <w:rPr>
          <w:rFonts w:cs="Arial"/>
          <w:lang w:val="fr-FR"/>
        </w:rPr>
        <w:t>16.</w:t>
      </w:r>
      <w:r w:rsidRPr="00293B75">
        <w:rPr>
          <w:rFonts w:cs="Arial"/>
          <w:lang w:val="fr-FR"/>
        </w:rPr>
        <w:tab/>
        <w:t>Clôture de la session</w:t>
      </w:r>
    </w:p>
    <w:p w:rsidR="00AD5031" w:rsidRPr="00293B75" w:rsidRDefault="00AD5031" w:rsidP="007005BA">
      <w:pPr>
        <w:rPr>
          <w:rFonts w:cs="Arial"/>
          <w:lang w:val="fr-FR"/>
        </w:rPr>
      </w:pPr>
    </w:p>
    <w:p w:rsidR="00E2063A" w:rsidRPr="00293B75" w:rsidRDefault="00CE327F" w:rsidP="007005BA">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E2063A" w:rsidRPr="00293B75">
        <w:t xml:space="preserve">Le </w:t>
      </w:r>
      <w:r w:rsidR="00FE442F" w:rsidRPr="00293B75">
        <w:t>9 novembre 20</w:t>
      </w:r>
      <w:r w:rsidR="00E2063A" w:rsidRPr="00293B75">
        <w:t>14,</w:t>
      </w:r>
      <w:r w:rsidR="00FE442F" w:rsidRPr="00293B75">
        <w:t xml:space="preserve"> le TWA</w:t>
      </w:r>
      <w:r w:rsidR="00E2063A" w:rsidRPr="00293B75">
        <w:t xml:space="preserve"> </w:t>
      </w:r>
      <w:r w:rsidR="008C0C92" w:rsidRPr="00293B75">
        <w:t>a visité</w:t>
      </w:r>
      <w:r w:rsidR="00E2063A" w:rsidRPr="00293B75">
        <w:t xml:space="preserve"> la station expérimentale agricole de l</w:t>
      </w:r>
      <w:r w:rsidR="00FE442F" w:rsidRPr="00293B75">
        <w:t>’</w:t>
      </w:r>
      <w:r w:rsidR="00E2063A" w:rsidRPr="00293B75">
        <w:t xml:space="preserve">Institut national de technologie agricole (INTA) à Balcarce. </w:t>
      </w:r>
      <w:r w:rsidR="00FE442F" w:rsidRPr="00293B75">
        <w:t xml:space="preserve"> Le TWA</w:t>
      </w:r>
      <w:r w:rsidR="00E2063A" w:rsidRPr="00293B75">
        <w:t xml:space="preserve"> </w:t>
      </w:r>
      <w:r w:rsidR="00142568" w:rsidRPr="00293B75">
        <w:t>a</w:t>
      </w:r>
      <w:r w:rsidR="00E2063A" w:rsidRPr="00293B75">
        <w:t xml:space="preserve"> également </w:t>
      </w:r>
      <w:r w:rsidR="00142568" w:rsidRPr="00293B75">
        <w:t>visité</w:t>
      </w:r>
      <w:r w:rsidR="00E2063A" w:rsidRPr="00293B75">
        <w:t xml:space="preserve"> </w:t>
      </w:r>
      <w:proofErr w:type="gramStart"/>
      <w:r w:rsidR="00E2063A" w:rsidRPr="00293B75">
        <w:t>un</w:t>
      </w:r>
      <w:proofErr w:type="gramEnd"/>
      <w:r w:rsidR="00E2063A" w:rsidRPr="00293B75">
        <w:t xml:space="preserve"> centre de traitement des semences du maïs, du blé, du tournesol et du soja appartenant à la Nidera Seeds Company et </w:t>
      </w:r>
      <w:r w:rsidR="00142568" w:rsidRPr="00293B75">
        <w:t>un site</w:t>
      </w:r>
      <w:r w:rsidR="00E2063A" w:rsidRPr="00293B75">
        <w:t xml:space="preserve"> de mise en culture </w:t>
      </w:r>
      <w:r w:rsidR="00142568" w:rsidRPr="00293B75">
        <w:t xml:space="preserve">faisant partie du </w:t>
      </w:r>
      <w:r w:rsidR="00E2063A" w:rsidRPr="00293B75">
        <w:t>programme de sélection de blé.</w:t>
      </w:r>
    </w:p>
    <w:p w:rsidR="00AD5031" w:rsidRPr="00293B75" w:rsidRDefault="00AD5031" w:rsidP="007005BA">
      <w:pPr>
        <w:contextualSpacing/>
        <w:rPr>
          <w:rFonts w:cs="Arial"/>
          <w:lang w:val="fr-FR"/>
        </w:rPr>
      </w:pPr>
    </w:p>
    <w:p w:rsidR="00AD5031" w:rsidRPr="00293B75" w:rsidRDefault="00CE327F" w:rsidP="007005BA">
      <w:pPr>
        <w:contextualSpacing/>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E2063A" w:rsidRPr="00293B75">
        <w:rPr>
          <w:rFonts w:cs="Arial"/>
          <w:lang w:val="fr-FR"/>
        </w:rPr>
        <w:t>Une médaille de bronze de l</w:t>
      </w:r>
      <w:r w:rsidR="00FE442F" w:rsidRPr="00293B75">
        <w:rPr>
          <w:rFonts w:cs="Arial"/>
          <w:lang w:val="fr-FR"/>
        </w:rPr>
        <w:t>’</w:t>
      </w:r>
      <w:r w:rsidR="00E2063A" w:rsidRPr="00293B75">
        <w:rPr>
          <w:rFonts w:cs="Arial"/>
          <w:lang w:val="fr-FR"/>
        </w:rPr>
        <w:t>UPOV a été décernée à Mme</w:t>
      </w:r>
      <w:r w:rsidR="00004203" w:rsidRPr="00293B75">
        <w:rPr>
          <w:rFonts w:cs="Arial"/>
          <w:lang w:val="fr-FR"/>
        </w:rPr>
        <w:t> </w:t>
      </w:r>
      <w:r w:rsidRPr="00293B75">
        <w:rPr>
          <w:rFonts w:cs="Arial"/>
          <w:lang w:val="fr-FR"/>
        </w:rPr>
        <w:t xml:space="preserve">Robyn Hierse </w:t>
      </w:r>
      <w:r w:rsidR="00E2063A" w:rsidRPr="00293B75">
        <w:rPr>
          <w:rFonts w:cs="Arial"/>
          <w:lang w:val="fr-FR"/>
        </w:rPr>
        <w:t>pour la remercier d</w:t>
      </w:r>
      <w:r w:rsidR="00FE442F" w:rsidRPr="00293B75">
        <w:rPr>
          <w:rFonts w:cs="Arial"/>
          <w:lang w:val="fr-FR"/>
        </w:rPr>
        <w:t>’</w:t>
      </w:r>
      <w:r w:rsidR="00E2063A" w:rsidRPr="00293B75">
        <w:rPr>
          <w:rFonts w:cs="Arial"/>
          <w:lang w:val="fr-FR"/>
        </w:rPr>
        <w:t>avoir présidé</w:t>
      </w:r>
      <w:r w:rsidR="00FE442F" w:rsidRPr="00293B75">
        <w:rPr>
          <w:rFonts w:cs="Arial"/>
          <w:lang w:val="fr-FR"/>
        </w:rPr>
        <w:t xml:space="preserve"> le TWA</w:t>
      </w:r>
      <w:r w:rsidR="00E2063A" w:rsidRPr="00293B75">
        <w:rPr>
          <w:rFonts w:cs="Arial"/>
          <w:lang w:val="fr-FR"/>
        </w:rPr>
        <w:t xml:space="preserve"> de 2012 à 2014.</w:t>
      </w:r>
    </w:p>
    <w:p w:rsidR="00AD5031" w:rsidRPr="00293B75" w:rsidRDefault="00AD5031" w:rsidP="007005BA">
      <w:pPr>
        <w:pStyle w:val="Heading2"/>
        <w:rPr>
          <w:lang w:val="fr-FR"/>
        </w:rPr>
      </w:pPr>
    </w:p>
    <w:p w:rsidR="005476EB" w:rsidRPr="00293B75" w:rsidRDefault="005476EB" w:rsidP="007005BA">
      <w:pPr>
        <w:rPr>
          <w:lang w:val="fr-FR"/>
        </w:rPr>
      </w:pPr>
    </w:p>
    <w:p w:rsidR="00AD5031" w:rsidRPr="00293B75" w:rsidRDefault="00A70757" w:rsidP="007005BA">
      <w:pPr>
        <w:pStyle w:val="Heading3"/>
        <w:rPr>
          <w:color w:val="auto"/>
        </w:rPr>
      </w:pPr>
      <w:r w:rsidRPr="00293B75">
        <w:rPr>
          <w:color w:val="auto"/>
        </w:rPr>
        <w:t>Groupe de travail technique sur les systèmes d</w:t>
      </w:r>
      <w:r w:rsidR="00FE442F" w:rsidRPr="00293B75">
        <w:rPr>
          <w:color w:val="auto"/>
        </w:rPr>
        <w:t>’</w:t>
      </w:r>
      <w:r w:rsidRPr="00293B75">
        <w:rPr>
          <w:color w:val="auto"/>
        </w:rPr>
        <w:t>automatisation et les programmes d</w:t>
      </w:r>
      <w:r w:rsidR="00FE442F" w:rsidRPr="00293B75">
        <w:rPr>
          <w:color w:val="auto"/>
        </w:rPr>
        <w:t>’</w:t>
      </w:r>
      <w:r w:rsidRPr="00293B75">
        <w:rPr>
          <w:color w:val="auto"/>
        </w:rPr>
        <w:t>ordinateur</w:t>
      </w:r>
    </w:p>
    <w:p w:rsidR="00AD5031" w:rsidRPr="00293B75" w:rsidRDefault="00AD5031" w:rsidP="007005BA">
      <w:pPr>
        <w:pStyle w:val="Heading2"/>
        <w:rPr>
          <w:lang w:val="fr-FR"/>
        </w:rPr>
      </w:pPr>
    </w:p>
    <w:p w:rsidR="00AD5031" w:rsidRPr="00293B75" w:rsidRDefault="00EB6879"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173D9F" w:rsidRPr="00293B75">
        <w:rPr>
          <w:rFonts w:cs="Arial"/>
          <w:lang w:val="fr-FR"/>
        </w:rPr>
        <w:t>Le</w:t>
      </w:r>
      <w:r w:rsidR="00696758" w:rsidRPr="00293B75">
        <w:rPr>
          <w:rFonts w:cs="Arial"/>
          <w:lang w:val="fr-FR"/>
        </w:rPr>
        <w:t xml:space="preserve"> TWC </w:t>
      </w:r>
      <w:r w:rsidR="00173D9F" w:rsidRPr="00293B75">
        <w:rPr>
          <w:rFonts w:cs="Arial"/>
          <w:lang w:val="fr-FR"/>
        </w:rPr>
        <w:t>a tenu sa trente</w:t>
      </w:r>
      <w:r w:rsidR="005535E5" w:rsidRPr="00293B75">
        <w:rPr>
          <w:rFonts w:cs="Arial"/>
          <w:lang w:val="fr-FR"/>
        </w:rPr>
        <w:noBreakHyphen/>
      </w:r>
      <w:r w:rsidR="00173D9F" w:rsidRPr="00293B75">
        <w:rPr>
          <w:rFonts w:cs="Arial"/>
          <w:lang w:val="fr-FR"/>
        </w:rPr>
        <w:t>deuxième </w:t>
      </w:r>
      <w:r w:rsidR="00696758" w:rsidRPr="00293B75">
        <w:rPr>
          <w:rFonts w:cs="Arial"/>
          <w:lang w:val="fr-FR"/>
        </w:rPr>
        <w:t xml:space="preserve">session </w:t>
      </w:r>
      <w:r w:rsidR="00173D9F" w:rsidRPr="00293B75">
        <w:rPr>
          <w:rFonts w:cs="Arial"/>
          <w:lang w:val="fr-FR"/>
        </w:rPr>
        <w:t xml:space="preserve">à </w:t>
      </w:r>
      <w:r w:rsidR="00696758" w:rsidRPr="00293B75">
        <w:rPr>
          <w:rFonts w:cs="Arial"/>
          <w:lang w:val="fr-FR"/>
        </w:rPr>
        <w:t>Helsinki</w:t>
      </w:r>
      <w:r w:rsidR="00173D9F" w:rsidRPr="00293B75">
        <w:rPr>
          <w:rFonts w:cs="Arial"/>
          <w:lang w:val="fr-FR"/>
        </w:rPr>
        <w:t xml:space="preserve"> (Finlande)</w:t>
      </w:r>
      <w:r w:rsidR="00696758" w:rsidRPr="00293B75">
        <w:rPr>
          <w:rFonts w:cs="Arial"/>
          <w:lang w:val="fr-FR"/>
        </w:rPr>
        <w:t xml:space="preserve">, </w:t>
      </w:r>
      <w:r w:rsidR="00DB1579" w:rsidRPr="00293B75">
        <w:rPr>
          <w:rFonts w:cs="Arial"/>
          <w:lang w:val="fr-FR"/>
        </w:rPr>
        <w:t>du 3 au 6 juin </w:t>
      </w:r>
      <w:r w:rsidR="00696758" w:rsidRPr="00293B75">
        <w:rPr>
          <w:rFonts w:cs="Arial"/>
          <w:lang w:val="fr-FR"/>
        </w:rPr>
        <w:t xml:space="preserve">2014, </w:t>
      </w:r>
      <w:r w:rsidR="00DB1579" w:rsidRPr="00293B75">
        <w:rPr>
          <w:rFonts w:cs="Arial"/>
          <w:lang w:val="fr-FR"/>
        </w:rPr>
        <w:t>sous la présidence de M. </w:t>
      </w:r>
      <w:r w:rsidR="00696758" w:rsidRPr="00293B75">
        <w:rPr>
          <w:rFonts w:cs="Arial"/>
          <w:lang w:val="fr-FR"/>
        </w:rPr>
        <w:t>Sami</w:t>
      </w:r>
      <w:r w:rsidR="00DB1579" w:rsidRPr="00293B75">
        <w:rPr>
          <w:rFonts w:cs="Arial"/>
          <w:lang w:val="fr-FR"/>
        </w:rPr>
        <w:t> </w:t>
      </w:r>
      <w:r w:rsidR="00696758" w:rsidRPr="00293B75">
        <w:rPr>
          <w:rFonts w:cs="Arial"/>
          <w:lang w:val="fr-FR"/>
        </w:rPr>
        <w:t>Markkanen (Finland</w:t>
      </w:r>
      <w:r w:rsidR="00DB1579" w:rsidRPr="00293B75">
        <w:rPr>
          <w:rFonts w:cs="Arial"/>
          <w:lang w:val="fr-FR"/>
        </w:rPr>
        <w:t>e</w:t>
      </w:r>
      <w:r w:rsidR="00696758" w:rsidRPr="00293B75">
        <w:rPr>
          <w:rFonts w:cs="Arial"/>
          <w:lang w:val="fr-FR"/>
        </w:rPr>
        <w:t xml:space="preserve">), </w:t>
      </w:r>
      <w:r w:rsidR="00DB1579" w:rsidRPr="00293B75">
        <w:rPr>
          <w:rFonts w:cs="Arial"/>
          <w:lang w:val="fr-FR"/>
        </w:rPr>
        <w:t>président du </w:t>
      </w:r>
      <w:r w:rsidR="00696758" w:rsidRPr="00293B75">
        <w:rPr>
          <w:rFonts w:cs="Arial"/>
          <w:lang w:val="fr-FR"/>
        </w:rPr>
        <w:t>TWC.</w:t>
      </w:r>
    </w:p>
    <w:p w:rsidR="00AD5031" w:rsidRPr="00293B75" w:rsidRDefault="00AD5031" w:rsidP="007005BA">
      <w:pPr>
        <w:rPr>
          <w:rFonts w:cs="Arial"/>
          <w:lang w:val="fr-FR"/>
        </w:rPr>
      </w:pPr>
    </w:p>
    <w:p w:rsidR="00AD5031" w:rsidRPr="00293B75" w:rsidRDefault="00EB6879"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A70757" w:rsidRPr="00293B75">
        <w:rPr>
          <w:rFonts w:cs="Arial"/>
          <w:lang w:val="fr-FR"/>
        </w:rPr>
        <w:t xml:space="preserve">La session du TWC a réuni </w:t>
      </w:r>
      <w:r w:rsidR="005476EB" w:rsidRPr="00293B75">
        <w:rPr>
          <w:rFonts w:cs="Arial"/>
          <w:lang w:val="fr-FR"/>
        </w:rPr>
        <w:t>27 </w:t>
      </w:r>
      <w:r w:rsidR="00A70757" w:rsidRPr="00293B75">
        <w:rPr>
          <w:rFonts w:cs="Arial"/>
          <w:lang w:val="fr-FR"/>
        </w:rPr>
        <w:t xml:space="preserve">participants représentant </w:t>
      </w:r>
      <w:r w:rsidR="005476EB" w:rsidRPr="00293B75">
        <w:rPr>
          <w:rFonts w:cs="Arial"/>
          <w:lang w:val="fr-FR"/>
        </w:rPr>
        <w:t>15 </w:t>
      </w:r>
      <w:r w:rsidR="00A70757" w:rsidRPr="00293B75">
        <w:rPr>
          <w:rFonts w:cs="Arial"/>
          <w:lang w:val="fr-FR"/>
        </w:rPr>
        <w:t>membres de l</w:t>
      </w:r>
      <w:r w:rsidR="00FE442F" w:rsidRPr="00293B75">
        <w:rPr>
          <w:rFonts w:cs="Arial"/>
          <w:lang w:val="fr-FR"/>
        </w:rPr>
        <w:t>’</w:t>
      </w:r>
      <w:r w:rsidR="00A70757" w:rsidRPr="00293B75">
        <w:rPr>
          <w:rFonts w:cs="Arial"/>
          <w:lang w:val="fr-FR"/>
        </w:rPr>
        <w:t>Union.</w:t>
      </w:r>
      <w:r w:rsidR="00696758" w:rsidRPr="00293B75">
        <w:rPr>
          <w:rFonts w:cs="Arial"/>
          <w:lang w:val="fr-FR"/>
        </w:rPr>
        <w:t xml:space="preserve"> </w:t>
      </w:r>
      <w:r w:rsidR="00DB1579" w:rsidRPr="00293B75">
        <w:rPr>
          <w:rFonts w:cs="Arial"/>
          <w:lang w:val="fr-FR"/>
        </w:rPr>
        <w:t xml:space="preserve"> </w:t>
      </w:r>
      <w:r w:rsidR="00A70757" w:rsidRPr="00293B75">
        <w:rPr>
          <w:rFonts w:cs="Arial"/>
          <w:lang w:val="fr-FR"/>
        </w:rPr>
        <w:t>L</w:t>
      </w:r>
      <w:r w:rsidR="00FE442F" w:rsidRPr="00293B75">
        <w:rPr>
          <w:rFonts w:cs="Arial"/>
          <w:lang w:val="fr-FR"/>
        </w:rPr>
        <w:t>’</w:t>
      </w:r>
      <w:r w:rsidR="00A70757" w:rsidRPr="00293B75">
        <w:rPr>
          <w:rFonts w:cs="Arial"/>
          <w:lang w:val="fr-FR"/>
        </w:rPr>
        <w:t>atelier préparatoire, tenu dans l</w:t>
      </w:r>
      <w:r w:rsidR="00FE442F" w:rsidRPr="00293B75">
        <w:rPr>
          <w:rFonts w:cs="Arial"/>
          <w:lang w:val="fr-FR"/>
        </w:rPr>
        <w:t>’</w:t>
      </w:r>
      <w:r w:rsidR="00A70757" w:rsidRPr="00293B75">
        <w:rPr>
          <w:rFonts w:cs="Arial"/>
          <w:lang w:val="fr-FR"/>
        </w:rPr>
        <w:t>après</w:t>
      </w:r>
      <w:r w:rsidR="005535E5" w:rsidRPr="00293B75">
        <w:rPr>
          <w:rFonts w:cs="Arial"/>
          <w:lang w:val="fr-FR"/>
        </w:rPr>
        <w:noBreakHyphen/>
      </w:r>
      <w:r w:rsidR="00A70757" w:rsidRPr="00293B75">
        <w:rPr>
          <w:rFonts w:cs="Arial"/>
          <w:lang w:val="fr-FR"/>
        </w:rPr>
        <w:t xml:space="preserve">midi du lundi </w:t>
      </w:r>
      <w:r w:rsidR="00FE442F" w:rsidRPr="00293B75">
        <w:rPr>
          <w:rFonts w:cs="Arial"/>
          <w:lang w:val="fr-FR"/>
        </w:rPr>
        <w:t>2 juin</w:t>
      </w:r>
      <w:r w:rsidR="00A70757" w:rsidRPr="00293B75">
        <w:rPr>
          <w:rFonts w:cs="Arial"/>
          <w:lang w:val="fr-FR"/>
        </w:rPr>
        <w:t xml:space="preserve">, a réuni </w:t>
      </w:r>
      <w:r w:rsidR="005476EB" w:rsidRPr="00293B75">
        <w:rPr>
          <w:rFonts w:cs="Arial"/>
          <w:lang w:val="fr-FR"/>
        </w:rPr>
        <w:t>15 </w:t>
      </w:r>
      <w:r w:rsidR="00A70757" w:rsidRPr="00293B75">
        <w:rPr>
          <w:rFonts w:cs="Arial"/>
          <w:lang w:val="fr-FR"/>
        </w:rPr>
        <w:t xml:space="preserve">participants représentant </w:t>
      </w:r>
      <w:r w:rsidR="005476EB" w:rsidRPr="00293B75">
        <w:rPr>
          <w:rFonts w:cs="Arial"/>
          <w:lang w:val="fr-FR"/>
        </w:rPr>
        <w:t>9 </w:t>
      </w:r>
      <w:r w:rsidR="00A70757" w:rsidRPr="00293B75">
        <w:rPr>
          <w:rFonts w:cs="Arial"/>
          <w:lang w:val="fr-FR"/>
        </w:rPr>
        <w:t>membres de l</w:t>
      </w:r>
      <w:r w:rsidR="00FE442F" w:rsidRPr="00293B75">
        <w:rPr>
          <w:rFonts w:cs="Arial"/>
          <w:lang w:val="fr-FR"/>
        </w:rPr>
        <w:t>’</w:t>
      </w:r>
      <w:r w:rsidR="00A70757" w:rsidRPr="00293B75">
        <w:rPr>
          <w:rFonts w:cs="Arial"/>
          <w:lang w:val="fr-FR"/>
        </w:rPr>
        <w:t>Union.</w:t>
      </w:r>
    </w:p>
    <w:p w:rsidR="00AD5031" w:rsidRPr="00293B75" w:rsidRDefault="00AD5031" w:rsidP="007005BA">
      <w:pPr>
        <w:rPr>
          <w:rFonts w:cs="Arial"/>
          <w:lang w:val="fr-FR"/>
        </w:rPr>
      </w:pPr>
    </w:p>
    <w:p w:rsidR="00FE442F" w:rsidRPr="00293B75" w:rsidRDefault="00EB6879" w:rsidP="007005BA">
      <w:pPr>
        <w:autoSpaceDE w:val="0"/>
        <w:autoSpaceDN w:val="0"/>
        <w:adjustRightInd w:val="0"/>
        <w:rPr>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9E0451" w:rsidRPr="00293B75">
        <w:rPr>
          <w:rFonts w:cs="Arial"/>
          <w:lang w:val="fr-FR"/>
        </w:rPr>
        <w:t>Mme</w:t>
      </w:r>
      <w:r w:rsidR="00004203" w:rsidRPr="00293B75">
        <w:rPr>
          <w:rFonts w:cs="Arial"/>
          <w:lang w:val="fr-FR"/>
        </w:rPr>
        <w:t> </w:t>
      </w:r>
      <w:r w:rsidR="009E0451" w:rsidRPr="00293B75">
        <w:rPr>
          <w:rFonts w:cs="Arial"/>
          <w:lang w:val="fr-FR"/>
        </w:rPr>
        <w:t>Riitta Heinonen, vice</w:t>
      </w:r>
      <w:r w:rsidR="005535E5" w:rsidRPr="00293B75">
        <w:rPr>
          <w:rFonts w:cs="Arial"/>
          <w:lang w:val="fr-FR"/>
        </w:rPr>
        <w:noBreakHyphen/>
      </w:r>
      <w:r w:rsidR="009E0451" w:rsidRPr="00293B75">
        <w:rPr>
          <w:rFonts w:cs="Arial"/>
          <w:lang w:val="fr-FR"/>
        </w:rPr>
        <w:t>directrice générale, Ministère de l</w:t>
      </w:r>
      <w:r w:rsidR="00FE442F" w:rsidRPr="00293B75">
        <w:rPr>
          <w:rFonts w:cs="Arial"/>
          <w:lang w:val="fr-FR"/>
        </w:rPr>
        <w:t>’</w:t>
      </w:r>
      <w:r w:rsidR="009E0451" w:rsidRPr="00293B75">
        <w:rPr>
          <w:rFonts w:cs="Arial"/>
          <w:lang w:val="fr-FR"/>
        </w:rPr>
        <w:t>agriculture et des fôrets de la Finlande, et Mme</w:t>
      </w:r>
      <w:r w:rsidR="00004203" w:rsidRPr="00293B75">
        <w:rPr>
          <w:rFonts w:cs="Arial"/>
          <w:lang w:val="fr-FR"/>
        </w:rPr>
        <w:t> </w:t>
      </w:r>
      <w:r w:rsidR="009E0451" w:rsidRPr="00293B75">
        <w:rPr>
          <w:rFonts w:cs="Arial"/>
          <w:lang w:val="fr-FR"/>
        </w:rPr>
        <w:t>Marja Savonmaki, spécialiste principale, Ministère de l</w:t>
      </w:r>
      <w:r w:rsidR="00FE442F" w:rsidRPr="00293B75">
        <w:rPr>
          <w:rFonts w:cs="Arial"/>
          <w:lang w:val="fr-FR"/>
        </w:rPr>
        <w:t>’</w:t>
      </w:r>
      <w:r w:rsidR="009E0451" w:rsidRPr="00293B75">
        <w:rPr>
          <w:rFonts w:cs="Arial"/>
          <w:lang w:val="fr-FR"/>
        </w:rPr>
        <w:t>agriculture et des fôrets de la Finlande ont souhaité la bienvenue aux participants</w:t>
      </w:r>
      <w:r w:rsidR="00FE442F" w:rsidRPr="00293B75">
        <w:rPr>
          <w:rFonts w:cs="Arial"/>
          <w:lang w:val="fr-FR"/>
        </w:rPr>
        <w:t xml:space="preserve"> du TWC</w:t>
      </w:r>
      <w:r w:rsidR="009E0451" w:rsidRPr="00293B75">
        <w:rPr>
          <w:rFonts w:cs="Arial"/>
          <w:lang w:val="fr-FR"/>
        </w:rPr>
        <w:t>.</w:t>
      </w:r>
      <w:r w:rsidR="00A33DF4" w:rsidRPr="00293B75">
        <w:rPr>
          <w:rFonts w:cs="Arial"/>
          <w:lang w:val="fr-FR"/>
        </w:rPr>
        <w:t xml:space="preserve"> </w:t>
      </w:r>
      <w:r w:rsidR="00FE442F" w:rsidRPr="00293B75">
        <w:rPr>
          <w:rFonts w:cs="Arial"/>
          <w:lang w:val="fr-FR"/>
        </w:rPr>
        <w:t xml:space="preserve"> Le TWC</w:t>
      </w:r>
      <w:r w:rsidR="00A33DF4" w:rsidRPr="00293B75">
        <w:rPr>
          <w:rFonts w:cs="Arial"/>
          <w:lang w:val="fr-FR"/>
        </w:rPr>
        <w:t xml:space="preserve"> a suivi un exposé sur le système de protection des obtentions végétales de la Finlande présenté par Mme</w:t>
      </w:r>
      <w:r w:rsidR="00004203" w:rsidRPr="00293B75">
        <w:rPr>
          <w:rFonts w:cs="Arial"/>
          <w:lang w:val="fr-FR"/>
        </w:rPr>
        <w:t> </w:t>
      </w:r>
      <w:r w:rsidR="00A33DF4" w:rsidRPr="00293B75">
        <w:rPr>
          <w:rFonts w:cs="Arial"/>
          <w:lang w:val="fr-FR"/>
        </w:rPr>
        <w:t>Tarja Hietaranta,</w:t>
      </w:r>
      <w:r w:rsidR="004870CA" w:rsidRPr="00293B75">
        <w:rPr>
          <w:rFonts w:cs="Arial"/>
          <w:lang w:val="fr-FR"/>
        </w:rPr>
        <w:t xml:space="preserve"> </w:t>
      </w:r>
      <w:r w:rsidR="00BA51CF" w:rsidRPr="00293B75">
        <w:rPr>
          <w:rFonts w:cs="Arial"/>
          <w:lang w:val="fr-FR"/>
        </w:rPr>
        <w:t>haut</w:t>
      </w:r>
      <w:r w:rsidR="004870CA" w:rsidRPr="00293B75">
        <w:rPr>
          <w:rFonts w:cs="Arial"/>
          <w:lang w:val="fr-FR"/>
        </w:rPr>
        <w:t xml:space="preserve"> fonctionnaire,</w:t>
      </w:r>
      <w:r w:rsidR="00A33DF4" w:rsidRPr="00293B75">
        <w:rPr>
          <w:rFonts w:cs="Arial"/>
          <w:lang w:val="fr-FR"/>
        </w:rPr>
        <w:t xml:space="preserve"> </w:t>
      </w:r>
      <w:r w:rsidR="00AC04DB" w:rsidRPr="00293B75">
        <w:rPr>
          <w:rFonts w:cs="Arial"/>
          <w:lang w:val="fr-FR"/>
        </w:rPr>
        <w:t>Unité de la certification des semences,</w:t>
      </w:r>
      <w:r w:rsidR="00AC04DB" w:rsidRPr="00293B75">
        <w:rPr>
          <w:rFonts w:cs="Arial"/>
          <w:b/>
          <w:lang w:val="fr-FR"/>
        </w:rPr>
        <w:t xml:space="preserve"> </w:t>
      </w:r>
      <w:r w:rsidR="00AC04DB" w:rsidRPr="00293B75">
        <w:rPr>
          <w:rFonts w:cs="Arial"/>
          <w:lang w:val="fr-FR"/>
        </w:rPr>
        <w:t>Autorité de sécurité alimentaire (Finlande).</w:t>
      </w:r>
    </w:p>
    <w:p w:rsidR="00AD5031" w:rsidRPr="00293B75" w:rsidRDefault="00AD5031" w:rsidP="007005BA">
      <w:pPr>
        <w:autoSpaceDE w:val="0"/>
        <w:autoSpaceDN w:val="0"/>
        <w:adjustRightInd w:val="0"/>
        <w:rPr>
          <w:rFonts w:cs="Arial"/>
          <w:lang w:val="fr-FR"/>
        </w:rPr>
      </w:pPr>
    </w:p>
    <w:p w:rsidR="00FE442F"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A70757" w:rsidRPr="00293B75">
        <w:rPr>
          <w:rFonts w:cs="Arial"/>
          <w:lang w:val="fr-FR"/>
        </w:rPr>
        <w:t>Le TWC a pris note des informations sur les faits nouveaux en matière de protection des variétés végétales présentées par des membres ou des observateurs dans le document TWC/32/26 “Reports on Development in Plant Variety Protection from Members and Observers”.</w:t>
      </w:r>
      <w:r w:rsidR="00696758" w:rsidRPr="00293B75">
        <w:rPr>
          <w:rFonts w:cs="Arial"/>
          <w:lang w:val="fr-FR"/>
        </w:rPr>
        <w:t xml:space="preserve"> </w:t>
      </w:r>
      <w:r w:rsidR="00FE442F" w:rsidRPr="00293B75">
        <w:rPr>
          <w:rFonts w:cs="Arial"/>
          <w:lang w:val="fr-FR"/>
        </w:rPr>
        <w:t xml:space="preserve"> Le TWC</w:t>
      </w:r>
      <w:r w:rsidR="00A33DF4" w:rsidRPr="00293B75">
        <w:rPr>
          <w:rFonts w:cs="Arial"/>
          <w:lang w:val="fr-FR"/>
        </w:rPr>
        <w:t xml:space="preserve"> a également suivi un exposé du Bureau de l</w:t>
      </w:r>
      <w:r w:rsidR="00FE442F" w:rsidRPr="00293B75">
        <w:rPr>
          <w:rFonts w:cs="Arial"/>
          <w:lang w:val="fr-FR"/>
        </w:rPr>
        <w:t>’</w:t>
      </w:r>
      <w:r w:rsidR="00A33DF4" w:rsidRPr="00293B75">
        <w:rPr>
          <w:rFonts w:cs="Arial"/>
          <w:lang w:val="fr-FR"/>
        </w:rPr>
        <w:t>Union sur les faits nouveaux intervenus à l</w:t>
      </w:r>
      <w:r w:rsidR="00FE442F" w:rsidRPr="00293B75">
        <w:rPr>
          <w:rFonts w:cs="Arial"/>
          <w:lang w:val="fr-FR"/>
        </w:rPr>
        <w:t>’</w:t>
      </w:r>
      <w:r w:rsidR="00A33DF4" w:rsidRPr="00293B75">
        <w:rPr>
          <w:rFonts w:cs="Arial"/>
          <w:lang w:val="fr-FR"/>
        </w:rPr>
        <w:t>UPOV</w:t>
      </w:r>
      <w:r w:rsidR="00901C22" w:rsidRPr="00293B75">
        <w:rPr>
          <w:rFonts w:cs="Arial"/>
          <w:lang w:val="fr-FR"/>
        </w:rPr>
        <w:t xml:space="preserve"> </w:t>
      </w:r>
      <w:r w:rsidR="00696758" w:rsidRPr="00293B75">
        <w:rPr>
          <w:rFonts w:cs="Arial"/>
          <w:lang w:val="fr-FR"/>
        </w:rPr>
        <w:t>(document TWC/32/24).</w:t>
      </w:r>
    </w:p>
    <w:p w:rsidR="00AD5031" w:rsidRPr="00293B75" w:rsidRDefault="00AD5031" w:rsidP="007005BA">
      <w:pPr>
        <w:autoSpaceDE w:val="0"/>
        <w:autoSpaceDN w:val="0"/>
        <w:adjustRightInd w:val="0"/>
        <w:rPr>
          <w:rFonts w:cs="Arial"/>
          <w:lang w:val="fr-FR"/>
        </w:rPr>
      </w:pPr>
    </w:p>
    <w:p w:rsidR="0017554A"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285735" w:rsidRPr="00293B75">
        <w:rPr>
          <w:rFonts w:cs="Arial"/>
          <w:lang w:val="fr-FR"/>
        </w:rPr>
        <w:t>Le</w:t>
      </w:r>
      <w:r w:rsidR="00696758" w:rsidRPr="00293B75">
        <w:rPr>
          <w:rFonts w:cs="Arial"/>
          <w:lang w:val="fr-FR"/>
        </w:rPr>
        <w:t xml:space="preserve"> TWC </w:t>
      </w:r>
      <w:r w:rsidR="00285735" w:rsidRPr="00293B75">
        <w:rPr>
          <w:rFonts w:cs="Arial"/>
          <w:lang w:val="fr-FR"/>
        </w:rPr>
        <w:t>a examiné les</w:t>
      </w:r>
      <w:r w:rsidR="00696758" w:rsidRPr="00293B75">
        <w:rPr>
          <w:rFonts w:cs="Arial"/>
          <w:lang w:val="fr-FR"/>
        </w:rPr>
        <w:t xml:space="preserve"> documents TWC/32/16 “</w:t>
      </w:r>
      <w:r w:rsidR="003E1FFB" w:rsidRPr="00293B75">
        <w:rPr>
          <w:rFonts w:cs="Arial"/>
          <w:lang w:val="fr-FR"/>
        </w:rPr>
        <w:t>Révision du document TGP/8 : deuxième partie : Quelques techniques utilisées dans l</w:t>
      </w:r>
      <w:r w:rsidR="00FE442F" w:rsidRPr="00293B75">
        <w:rPr>
          <w:rFonts w:cs="Arial"/>
          <w:lang w:val="fr-FR"/>
        </w:rPr>
        <w:t>’</w:t>
      </w:r>
      <w:r w:rsidR="003E1FFB" w:rsidRPr="00293B75">
        <w:rPr>
          <w:rFonts w:cs="Arial"/>
          <w:lang w:val="fr-FR"/>
        </w:rPr>
        <w:t>examen DHS, section 3 : Méthode de calcul de la COYU</w:t>
      </w:r>
      <w:r w:rsidR="00696758" w:rsidRPr="00293B75">
        <w:rPr>
          <w:rFonts w:cs="Arial"/>
          <w:lang w:val="fr-FR"/>
        </w:rPr>
        <w:t>”</w:t>
      </w:r>
      <w:r w:rsidR="003E1FFB" w:rsidRPr="00293B75">
        <w:rPr>
          <w:rFonts w:cs="Arial"/>
          <w:lang w:val="fr-FR"/>
        </w:rPr>
        <w:t xml:space="preserve"> et </w:t>
      </w:r>
      <w:r w:rsidR="00696758" w:rsidRPr="00293B75">
        <w:rPr>
          <w:rFonts w:cs="Arial"/>
          <w:lang w:val="fr-FR"/>
        </w:rPr>
        <w:t>TWC/32/16</w:t>
      </w:r>
      <w:r w:rsidR="00004203" w:rsidRPr="00293B75">
        <w:rPr>
          <w:rFonts w:cs="Arial"/>
          <w:lang w:val="fr-FR"/>
        </w:rPr>
        <w:t> </w:t>
      </w:r>
      <w:r w:rsidR="00696758" w:rsidRPr="00293B75">
        <w:rPr>
          <w:rFonts w:cs="Arial"/>
          <w:lang w:val="fr-FR"/>
        </w:rPr>
        <w:t>Add. “Addendum to Development of the Combined</w:t>
      </w:r>
      <w:r w:rsidR="005535E5" w:rsidRPr="00293B75">
        <w:rPr>
          <w:rFonts w:cs="Arial"/>
          <w:lang w:val="fr-FR"/>
        </w:rPr>
        <w:noBreakHyphen/>
      </w:r>
      <w:r w:rsidR="00696758" w:rsidRPr="00293B75">
        <w:rPr>
          <w:rFonts w:cs="Arial"/>
          <w:lang w:val="fr-FR"/>
        </w:rPr>
        <w:t>Over</w:t>
      </w:r>
      <w:r w:rsidR="005535E5" w:rsidRPr="00293B75">
        <w:rPr>
          <w:rFonts w:cs="Arial"/>
          <w:lang w:val="fr-FR"/>
        </w:rPr>
        <w:noBreakHyphen/>
      </w:r>
      <w:r w:rsidR="00696758" w:rsidRPr="00293B75">
        <w:rPr>
          <w:rFonts w:cs="Arial"/>
          <w:lang w:val="fr-FR"/>
        </w:rPr>
        <w:t xml:space="preserve">Year Uniformity Criterion”.  </w:t>
      </w:r>
      <w:r w:rsidR="003E1FFB" w:rsidRPr="00293B75">
        <w:rPr>
          <w:rFonts w:cs="Arial"/>
          <w:lang w:val="fr-FR"/>
        </w:rPr>
        <w:t>Un expert du Royaume</w:t>
      </w:r>
      <w:r w:rsidR="005535E5" w:rsidRPr="00293B75">
        <w:rPr>
          <w:rFonts w:cs="Arial"/>
          <w:lang w:val="fr-FR"/>
        </w:rPr>
        <w:noBreakHyphen/>
      </w:r>
      <w:r w:rsidR="003E1FFB" w:rsidRPr="00293B75">
        <w:rPr>
          <w:rFonts w:cs="Arial"/>
          <w:lang w:val="fr-FR"/>
        </w:rPr>
        <w:t xml:space="preserve">Uni a présenté un exposé. </w:t>
      </w:r>
      <w:r w:rsidR="00004203" w:rsidRPr="00293B75">
        <w:rPr>
          <w:rFonts w:cs="Arial"/>
          <w:lang w:val="fr-FR"/>
        </w:rPr>
        <w:t xml:space="preserve"> </w:t>
      </w:r>
      <w:r w:rsidR="00A70757" w:rsidRPr="00293B75">
        <w:rPr>
          <w:rFonts w:cs="Arial"/>
          <w:lang w:val="fr-FR"/>
        </w:rPr>
        <w:t>Il a été rappelé que la méthode actuelle de calcul de</w:t>
      </w:r>
      <w:r w:rsidR="00FE442F" w:rsidRPr="00293B75">
        <w:rPr>
          <w:rFonts w:cs="Arial"/>
          <w:lang w:val="fr-FR"/>
        </w:rPr>
        <w:t xml:space="preserve"> la COY</w:t>
      </w:r>
      <w:r w:rsidR="00A70757" w:rsidRPr="00293B75">
        <w:rPr>
          <w:rFonts w:cs="Arial"/>
          <w:lang w:val="fr-FR"/>
        </w:rPr>
        <w:t>U était trop stricte en raison de la méthode de lissage utilisée et que des niveaux de probabilité très faibles étaient utilisés à des fins de compensation.</w:t>
      </w:r>
      <w:r w:rsidR="00696758" w:rsidRPr="00293B75">
        <w:rPr>
          <w:lang w:val="fr-FR"/>
        </w:rPr>
        <w:t xml:space="preserve"> </w:t>
      </w:r>
      <w:r w:rsidR="00004203" w:rsidRPr="00293B75">
        <w:rPr>
          <w:rFonts w:cs="Arial"/>
          <w:lang w:val="fr-FR"/>
        </w:rPr>
        <w:t xml:space="preserve"> </w:t>
      </w:r>
      <w:r w:rsidR="00BA51CF" w:rsidRPr="00293B75">
        <w:rPr>
          <w:rFonts w:cs="Arial"/>
          <w:lang w:val="fr-FR"/>
        </w:rPr>
        <w:t>À</w:t>
      </w:r>
      <w:r w:rsidR="0017554A" w:rsidRPr="00293B75">
        <w:rPr>
          <w:rFonts w:cs="Arial"/>
          <w:lang w:val="fr-FR"/>
        </w:rPr>
        <w:t xml:space="preserve"> sa trente</w:t>
      </w:r>
      <w:r w:rsidR="005535E5" w:rsidRPr="00293B75">
        <w:rPr>
          <w:rFonts w:cs="Arial"/>
          <w:lang w:val="fr-FR"/>
        </w:rPr>
        <w:t> et un</w:t>
      </w:r>
      <w:r w:rsidR="0017554A" w:rsidRPr="00293B75">
        <w:rPr>
          <w:rFonts w:cs="Arial"/>
          <w:lang w:val="fr-FR"/>
        </w:rPr>
        <w:t>ième</w:t>
      </w:r>
      <w:r w:rsidR="00004203" w:rsidRPr="00293B75">
        <w:rPr>
          <w:rFonts w:cs="Arial"/>
          <w:lang w:val="fr-FR"/>
        </w:rPr>
        <w:t> </w:t>
      </w:r>
      <w:r w:rsidR="0017554A" w:rsidRPr="00293B75">
        <w:rPr>
          <w:rFonts w:cs="Arial"/>
          <w:lang w:val="fr-FR"/>
        </w:rPr>
        <w:t>session,</w:t>
      </w:r>
      <w:r w:rsidR="00FE442F" w:rsidRPr="00293B75">
        <w:rPr>
          <w:rFonts w:cs="Arial"/>
          <w:lang w:val="fr-FR"/>
        </w:rPr>
        <w:t xml:space="preserve"> le TWC</w:t>
      </w:r>
      <w:r w:rsidR="000D0D1D" w:rsidRPr="00293B75">
        <w:rPr>
          <w:rFonts w:cs="Arial"/>
          <w:lang w:val="fr-FR"/>
        </w:rPr>
        <w:t xml:space="preserve"> était convenu qu</w:t>
      </w:r>
      <w:r w:rsidR="00FE442F" w:rsidRPr="00293B75">
        <w:rPr>
          <w:rFonts w:cs="Arial"/>
          <w:lang w:val="fr-FR"/>
        </w:rPr>
        <w:t>’</w:t>
      </w:r>
      <w:r w:rsidR="000D0D1D" w:rsidRPr="00293B75">
        <w:rPr>
          <w:rFonts w:cs="Arial"/>
          <w:lang w:val="fr-FR"/>
        </w:rPr>
        <w:t>il serait possible de remédier aux erreurs systématiques de la méthode actuelle de calcul de</w:t>
      </w:r>
      <w:r w:rsidR="00FE442F" w:rsidRPr="00293B75">
        <w:rPr>
          <w:rFonts w:cs="Arial"/>
          <w:lang w:val="fr-FR"/>
        </w:rPr>
        <w:t xml:space="preserve"> la COY</w:t>
      </w:r>
      <w:r w:rsidR="000D0D1D" w:rsidRPr="00293B75">
        <w:rPr>
          <w:rFonts w:cs="Arial"/>
          <w:lang w:val="fr-FR"/>
        </w:rPr>
        <w:t>U en passant de la méthode de lissage de la “moyenne mobile” à la méthode de la “spline cubique”.</w:t>
      </w:r>
      <w:r w:rsidR="009A281D" w:rsidRPr="00293B75">
        <w:rPr>
          <w:rFonts w:cs="Arial"/>
          <w:lang w:val="fr-FR"/>
        </w:rPr>
        <w:t xml:space="preserve">  L</w:t>
      </w:r>
      <w:r w:rsidR="00FE442F" w:rsidRPr="00293B75">
        <w:rPr>
          <w:rFonts w:cs="Arial"/>
          <w:lang w:val="fr-FR"/>
        </w:rPr>
        <w:t>’</w:t>
      </w:r>
      <w:r w:rsidR="009A281D" w:rsidRPr="00293B75">
        <w:rPr>
          <w:rFonts w:cs="Arial"/>
          <w:lang w:val="fr-FR"/>
        </w:rPr>
        <w:t xml:space="preserve">expert du </w:t>
      </w:r>
      <w:r w:rsidR="009A281D" w:rsidRPr="00293B75">
        <w:t>Royaume</w:t>
      </w:r>
      <w:r w:rsidR="005535E5" w:rsidRPr="00293B75">
        <w:noBreakHyphen/>
      </w:r>
      <w:r w:rsidR="009A281D" w:rsidRPr="00293B75">
        <w:t>Uni a fait la démonstration d</w:t>
      </w:r>
      <w:r w:rsidR="00FE442F" w:rsidRPr="00293B75">
        <w:t>’</w:t>
      </w:r>
      <w:r w:rsidR="009A281D" w:rsidRPr="00293B75">
        <w:t xml:space="preserve">un module pour le logiciel DUST </w:t>
      </w:r>
      <w:r w:rsidR="00142568" w:rsidRPr="00293B75">
        <w:t>qui comprend</w:t>
      </w:r>
      <w:r w:rsidR="009A281D" w:rsidRPr="00293B75">
        <w:t xml:space="preserve"> une version </w:t>
      </w:r>
      <w:r w:rsidR="00D76906" w:rsidRPr="00293B75">
        <w:t>modifiée de</w:t>
      </w:r>
      <w:r w:rsidR="00FE442F" w:rsidRPr="00293B75">
        <w:t xml:space="preserve"> la COY</w:t>
      </w:r>
      <w:r w:rsidR="00D76906" w:rsidRPr="00293B75">
        <w:t xml:space="preserve">U </w:t>
      </w:r>
      <w:r w:rsidR="00142568" w:rsidRPr="00293B75">
        <w:t>impliquant l’utilisation de</w:t>
      </w:r>
      <w:r w:rsidR="009A281D" w:rsidRPr="00293B75">
        <w:t xml:space="preserve"> splines</w:t>
      </w:r>
      <w:r w:rsidR="00B46CF3" w:rsidRPr="00293B75">
        <w:t xml:space="preserve">. </w:t>
      </w:r>
      <w:r w:rsidR="00FE442F" w:rsidRPr="00293B75">
        <w:t xml:space="preserve"> Le TWC</w:t>
      </w:r>
      <w:r w:rsidR="00C352EE" w:rsidRPr="00293B75">
        <w:t xml:space="preserve"> </w:t>
      </w:r>
      <w:proofErr w:type="gramStart"/>
      <w:r w:rsidR="00C352EE" w:rsidRPr="00293B75">
        <w:t>est</w:t>
      </w:r>
      <w:proofErr w:type="gramEnd"/>
      <w:r w:rsidR="00C352EE" w:rsidRPr="00293B75">
        <w:t xml:space="preserve"> convenu d</w:t>
      </w:r>
      <w:r w:rsidR="00FE442F" w:rsidRPr="00293B75">
        <w:t>’</w:t>
      </w:r>
      <w:r w:rsidR="00C352EE" w:rsidRPr="00293B75">
        <w:t>inviter d</w:t>
      </w:r>
      <w:r w:rsidR="00FE442F" w:rsidRPr="00293B75">
        <w:t>’</w:t>
      </w:r>
      <w:r w:rsidR="00C352EE" w:rsidRPr="00293B75">
        <w:t>autres experts à</w:t>
      </w:r>
      <w:r w:rsidR="00C352EE" w:rsidRPr="00293B75">
        <w:rPr>
          <w:rFonts w:cs="Arial"/>
          <w:lang w:val="fr-FR"/>
        </w:rPr>
        <w:t xml:space="preserve"> évaluer la </w:t>
      </w:r>
      <w:r w:rsidR="00C352EE" w:rsidRPr="00293B75">
        <w:t xml:space="preserve">nouvelle méthode et le logiciel.  Le logiciel serait disponible pour les </w:t>
      </w:r>
      <w:proofErr w:type="gramStart"/>
      <w:r w:rsidR="00C352EE" w:rsidRPr="00293B75">
        <w:t>experts</w:t>
      </w:r>
      <w:proofErr w:type="gramEnd"/>
      <w:r w:rsidR="00C352EE" w:rsidRPr="00293B75">
        <w:t xml:space="preserve"> intéressés qui </w:t>
      </w:r>
      <w:r w:rsidR="00BA51CF" w:rsidRPr="00293B75">
        <w:t>utilisent</w:t>
      </w:r>
      <w:r w:rsidR="00C352EE" w:rsidRPr="00293B75">
        <w:t xml:space="preserve"> aussi bien DUST que le progiciel “R”. </w:t>
      </w:r>
      <w:r w:rsidR="00FE442F" w:rsidRPr="00293B75">
        <w:t xml:space="preserve"> Le TWC</w:t>
      </w:r>
      <w:r w:rsidR="009569A3" w:rsidRPr="00293B75">
        <w:t xml:space="preserve"> </w:t>
      </w:r>
      <w:proofErr w:type="gramStart"/>
      <w:r w:rsidR="009569A3" w:rsidRPr="00293B75">
        <w:t>est</w:t>
      </w:r>
      <w:proofErr w:type="gramEnd"/>
      <w:r w:rsidR="009569A3" w:rsidRPr="00293B75">
        <w:t xml:space="preserve"> convenu que les participants chercheraient à définir les</w:t>
      </w:r>
      <w:r w:rsidR="009569A3" w:rsidRPr="00293B75">
        <w:rPr>
          <w:rFonts w:cs="Arial"/>
          <w:lang w:val="fr-FR"/>
        </w:rPr>
        <w:t xml:space="preserve"> seuils de probabilité d</w:t>
      </w:r>
      <w:r w:rsidR="00FE442F" w:rsidRPr="00293B75">
        <w:rPr>
          <w:rFonts w:cs="Arial"/>
          <w:lang w:val="fr-FR"/>
        </w:rPr>
        <w:t>’</w:t>
      </w:r>
      <w:r w:rsidR="009569A3" w:rsidRPr="00293B75">
        <w:rPr>
          <w:rFonts w:cs="Arial"/>
          <w:lang w:val="fr-FR"/>
        </w:rPr>
        <w:t>une correspondance avec les décisions prises au moyen de l</w:t>
      </w:r>
      <w:r w:rsidR="00FE442F" w:rsidRPr="00293B75">
        <w:rPr>
          <w:rFonts w:cs="Arial"/>
          <w:lang w:val="fr-FR"/>
        </w:rPr>
        <w:t>’</w:t>
      </w:r>
      <w:r w:rsidR="009569A3" w:rsidRPr="00293B75">
        <w:rPr>
          <w:rFonts w:cs="Arial"/>
          <w:lang w:val="fr-FR"/>
        </w:rPr>
        <w:t>ancienne méthode COYU afin d</w:t>
      </w:r>
      <w:r w:rsidR="00FE442F" w:rsidRPr="00293B75">
        <w:rPr>
          <w:rFonts w:cs="Arial"/>
          <w:lang w:val="fr-FR"/>
        </w:rPr>
        <w:t>’</w:t>
      </w:r>
      <w:r w:rsidR="009569A3" w:rsidRPr="00293B75">
        <w:rPr>
          <w:rFonts w:cs="Arial"/>
          <w:lang w:val="fr-FR"/>
        </w:rPr>
        <w:t>assurer une continuité.  Il est convenu que les participants à cet exercice pratique devraient envoyer un compte rendu de leur expérience à l</w:t>
      </w:r>
      <w:r w:rsidR="00FE442F" w:rsidRPr="00293B75">
        <w:rPr>
          <w:rFonts w:cs="Arial"/>
          <w:lang w:val="fr-FR"/>
        </w:rPr>
        <w:t>’</w:t>
      </w:r>
      <w:r w:rsidR="009569A3" w:rsidRPr="00293B75">
        <w:rPr>
          <w:rFonts w:cs="Arial"/>
          <w:lang w:val="fr-FR"/>
        </w:rPr>
        <w:t>expert du Royaume</w:t>
      </w:r>
      <w:r w:rsidR="005535E5" w:rsidRPr="00293B75">
        <w:rPr>
          <w:rFonts w:cs="Arial"/>
          <w:lang w:val="fr-FR"/>
        </w:rPr>
        <w:noBreakHyphen/>
      </w:r>
      <w:r w:rsidR="009569A3" w:rsidRPr="00293B75">
        <w:rPr>
          <w:rFonts w:cs="Arial"/>
          <w:lang w:val="fr-FR"/>
        </w:rPr>
        <w:t>Uni de là au 1</w:t>
      </w:r>
      <w:r w:rsidR="00FE442F" w:rsidRPr="00293B75">
        <w:rPr>
          <w:rFonts w:cs="Arial"/>
          <w:lang w:val="fr-FR"/>
        </w:rPr>
        <w:t>5 mars 20</w:t>
      </w:r>
      <w:r w:rsidR="009569A3" w:rsidRPr="00293B75">
        <w:rPr>
          <w:rFonts w:cs="Arial"/>
          <w:lang w:val="fr-FR"/>
        </w:rPr>
        <w:t>15 et que l</w:t>
      </w:r>
      <w:r w:rsidR="00FE442F" w:rsidRPr="00293B75">
        <w:rPr>
          <w:rFonts w:cs="Arial"/>
          <w:lang w:val="fr-FR"/>
        </w:rPr>
        <w:t>’</w:t>
      </w:r>
      <w:r w:rsidR="009569A3" w:rsidRPr="00293B75">
        <w:rPr>
          <w:rFonts w:cs="Arial"/>
          <w:lang w:val="fr-FR"/>
        </w:rPr>
        <w:t>expert du Royaume</w:t>
      </w:r>
      <w:r w:rsidR="005535E5" w:rsidRPr="00293B75">
        <w:rPr>
          <w:rFonts w:cs="Arial"/>
          <w:lang w:val="fr-FR"/>
        </w:rPr>
        <w:noBreakHyphen/>
      </w:r>
      <w:r w:rsidR="009569A3" w:rsidRPr="00293B75">
        <w:rPr>
          <w:rFonts w:cs="Arial"/>
          <w:lang w:val="fr-FR"/>
        </w:rPr>
        <w:t>Uni</w:t>
      </w:r>
      <w:r w:rsidR="009569A3" w:rsidRPr="00293B75">
        <w:rPr>
          <w:lang w:val="fr-FR"/>
        </w:rPr>
        <w:t xml:space="preserve"> </w:t>
      </w:r>
      <w:r w:rsidR="009569A3" w:rsidRPr="00293B75">
        <w:rPr>
          <w:rFonts w:cs="Arial"/>
          <w:lang w:val="fr-FR"/>
        </w:rPr>
        <w:t>rédigerait un rapport sur l</w:t>
      </w:r>
      <w:r w:rsidR="00FE442F" w:rsidRPr="00293B75">
        <w:rPr>
          <w:rFonts w:cs="Arial"/>
          <w:lang w:val="fr-FR"/>
        </w:rPr>
        <w:t>’</w:t>
      </w:r>
      <w:r w:rsidR="009569A3" w:rsidRPr="00293B75">
        <w:rPr>
          <w:rFonts w:cs="Arial"/>
          <w:lang w:val="fr-FR"/>
        </w:rPr>
        <w:t>exercice pratique qui sera</w:t>
      </w:r>
      <w:r w:rsidR="00142568" w:rsidRPr="00293B75">
        <w:rPr>
          <w:rFonts w:cs="Arial"/>
          <w:lang w:val="fr-FR"/>
        </w:rPr>
        <w:t>it</w:t>
      </w:r>
      <w:r w:rsidR="009569A3" w:rsidRPr="00293B75">
        <w:rPr>
          <w:rFonts w:cs="Arial"/>
          <w:lang w:val="fr-FR"/>
        </w:rPr>
        <w:t xml:space="preserve"> présenté à la trente</w:t>
      </w:r>
      <w:r w:rsidR="005535E5" w:rsidRPr="00293B75">
        <w:rPr>
          <w:rFonts w:cs="Arial"/>
          <w:lang w:val="fr-FR"/>
        </w:rPr>
        <w:noBreakHyphen/>
      </w:r>
      <w:r w:rsidR="009569A3" w:rsidRPr="00293B75">
        <w:rPr>
          <w:rFonts w:cs="Arial"/>
          <w:lang w:val="fr-FR"/>
        </w:rPr>
        <w:t>troisième</w:t>
      </w:r>
      <w:r w:rsidR="00004203" w:rsidRPr="00293B75">
        <w:rPr>
          <w:rFonts w:cs="Arial"/>
          <w:lang w:val="fr-FR"/>
        </w:rPr>
        <w:t> </w:t>
      </w:r>
      <w:r w:rsidR="009569A3" w:rsidRPr="00293B75">
        <w:rPr>
          <w:rFonts w:cs="Arial"/>
          <w:lang w:val="fr-FR"/>
        </w:rPr>
        <w:t>session</w:t>
      </w:r>
      <w:r w:rsidR="00FE442F" w:rsidRPr="00293B75">
        <w:rPr>
          <w:rFonts w:cs="Arial"/>
          <w:lang w:val="fr-FR"/>
        </w:rPr>
        <w:t xml:space="preserve"> du TWC</w:t>
      </w:r>
      <w:r w:rsidR="009569A3" w:rsidRPr="00293B75">
        <w:rPr>
          <w:rFonts w:cs="Arial"/>
          <w:lang w:val="fr-FR"/>
        </w:rPr>
        <w:t>.</w:t>
      </w:r>
    </w:p>
    <w:p w:rsidR="00AD5031" w:rsidRPr="00293B75" w:rsidRDefault="00AD5031" w:rsidP="007005BA">
      <w:pPr>
        <w:autoSpaceDE w:val="0"/>
        <w:autoSpaceDN w:val="0"/>
        <w:adjustRightInd w:val="0"/>
        <w:rPr>
          <w:rFonts w:cs="Arial"/>
          <w:lang w:val="fr-FR"/>
        </w:rPr>
      </w:pPr>
    </w:p>
    <w:p w:rsidR="00FE442F"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3928D0" w:rsidRPr="00293B75">
        <w:rPr>
          <w:rFonts w:cs="Arial"/>
          <w:lang w:val="fr-FR"/>
        </w:rPr>
        <w:t>Le</w:t>
      </w:r>
      <w:r w:rsidR="00696758" w:rsidRPr="00293B75">
        <w:rPr>
          <w:rFonts w:cs="Arial"/>
          <w:lang w:val="fr-FR"/>
        </w:rPr>
        <w:t xml:space="preserve"> TWC </w:t>
      </w:r>
      <w:r w:rsidR="009D0661" w:rsidRPr="00293B75">
        <w:rPr>
          <w:rFonts w:cs="Arial"/>
          <w:lang w:val="fr-FR"/>
        </w:rPr>
        <w:t>a examiné</w:t>
      </w:r>
      <w:r w:rsidR="003928D0" w:rsidRPr="00293B75">
        <w:rPr>
          <w:rFonts w:cs="Arial"/>
          <w:lang w:val="fr-FR"/>
        </w:rPr>
        <w:t xml:space="preserve"> le</w:t>
      </w:r>
      <w:r w:rsidR="00696758" w:rsidRPr="00293B75">
        <w:rPr>
          <w:rFonts w:cs="Arial"/>
          <w:lang w:val="fr-FR"/>
        </w:rPr>
        <w:t xml:space="preserve"> document TWC/32/18 “</w:t>
      </w:r>
      <w:r w:rsidR="003928D0" w:rsidRPr="00293B75">
        <w:rPr>
          <w:rFonts w:cs="Arial"/>
          <w:lang w:val="fr-FR"/>
        </w:rPr>
        <w:t>Révision du document TGP/8</w:t>
      </w:r>
      <w:r w:rsidR="00004203" w:rsidRPr="00293B75">
        <w:rPr>
          <w:rFonts w:cs="Arial"/>
          <w:lang w:val="fr-FR"/>
        </w:rPr>
        <w:t> </w:t>
      </w:r>
      <w:r w:rsidR="003928D0" w:rsidRPr="00293B75">
        <w:rPr>
          <w:rFonts w:cs="Arial"/>
          <w:lang w:val="fr-FR"/>
        </w:rPr>
        <w:t>: deuxième partie</w:t>
      </w:r>
      <w:r w:rsidR="00004203" w:rsidRPr="00293B75">
        <w:rPr>
          <w:rFonts w:cs="Arial"/>
          <w:lang w:val="fr-FR"/>
        </w:rPr>
        <w:t> </w:t>
      </w:r>
      <w:r w:rsidR="003928D0" w:rsidRPr="00293B75">
        <w:rPr>
          <w:rFonts w:cs="Arial"/>
          <w:lang w:val="fr-FR"/>
        </w:rPr>
        <w:t>: Techniques utilisées dans l</w:t>
      </w:r>
      <w:r w:rsidR="00FE442F" w:rsidRPr="00293B75">
        <w:rPr>
          <w:rFonts w:cs="Arial"/>
          <w:lang w:val="fr-FR"/>
        </w:rPr>
        <w:t>’</w:t>
      </w:r>
      <w:r w:rsidR="003928D0" w:rsidRPr="00293B75">
        <w:rPr>
          <w:rFonts w:cs="Arial"/>
          <w:lang w:val="fr-FR"/>
        </w:rPr>
        <w:t>examen</w:t>
      </w:r>
      <w:r w:rsidR="00004203" w:rsidRPr="00293B75">
        <w:rPr>
          <w:rFonts w:cs="Arial"/>
          <w:lang w:val="fr-FR"/>
        </w:rPr>
        <w:t> </w:t>
      </w:r>
      <w:r w:rsidR="003928D0" w:rsidRPr="00293B75">
        <w:rPr>
          <w:rFonts w:cs="Arial"/>
          <w:lang w:val="fr-FR"/>
        </w:rPr>
        <w:t>DHS, Nouvelle section</w:t>
      </w:r>
      <w:r w:rsidR="00004203" w:rsidRPr="00293B75">
        <w:rPr>
          <w:rFonts w:cs="Arial"/>
          <w:lang w:val="fr-FR"/>
        </w:rPr>
        <w:t> </w:t>
      </w:r>
      <w:r w:rsidR="003928D0" w:rsidRPr="00293B75">
        <w:rPr>
          <w:rFonts w:cs="Arial"/>
          <w:lang w:val="fr-FR"/>
        </w:rPr>
        <w:t>: Méthodes de traitement des données pour l</w:t>
      </w:r>
      <w:r w:rsidR="00FE442F" w:rsidRPr="00293B75">
        <w:rPr>
          <w:rFonts w:cs="Arial"/>
          <w:lang w:val="fr-FR"/>
        </w:rPr>
        <w:t>’</w:t>
      </w:r>
      <w:r w:rsidR="003928D0" w:rsidRPr="00293B75">
        <w:rPr>
          <w:rFonts w:cs="Arial"/>
          <w:lang w:val="fr-FR"/>
        </w:rPr>
        <w:t>évaluation de la distinction et l</w:t>
      </w:r>
      <w:r w:rsidR="00FE442F" w:rsidRPr="00293B75">
        <w:rPr>
          <w:rFonts w:cs="Arial"/>
          <w:lang w:val="fr-FR"/>
        </w:rPr>
        <w:t>’</w:t>
      </w:r>
      <w:r w:rsidR="003928D0" w:rsidRPr="00293B75">
        <w:rPr>
          <w:rFonts w:cs="Arial"/>
          <w:lang w:val="fr-FR"/>
        </w:rPr>
        <w:t>établissement de descriptions variétales</w:t>
      </w:r>
      <w:r w:rsidR="00696758" w:rsidRPr="00293B75">
        <w:rPr>
          <w:rFonts w:cs="Arial"/>
          <w:lang w:val="fr-FR"/>
        </w:rPr>
        <w:t xml:space="preserve">”. </w:t>
      </w:r>
      <w:r w:rsidR="00004203" w:rsidRPr="00293B75">
        <w:rPr>
          <w:rFonts w:cs="Arial"/>
          <w:lang w:val="fr-FR"/>
        </w:rPr>
        <w:t xml:space="preserve"> </w:t>
      </w:r>
      <w:r w:rsidR="00AD2CB6" w:rsidRPr="00293B75">
        <w:rPr>
          <w:rFonts w:cs="Arial"/>
          <w:lang w:val="fr-FR"/>
        </w:rPr>
        <w:t>L</w:t>
      </w:r>
      <w:r w:rsidR="00FE442F" w:rsidRPr="00293B75">
        <w:rPr>
          <w:rFonts w:cs="Arial"/>
          <w:lang w:val="fr-FR"/>
        </w:rPr>
        <w:t>’</w:t>
      </w:r>
      <w:r w:rsidR="00AD2CB6" w:rsidRPr="00293B75">
        <w:rPr>
          <w:rFonts w:cs="Arial"/>
          <w:lang w:val="fr-FR"/>
        </w:rPr>
        <w:t xml:space="preserve">additif </w:t>
      </w:r>
      <w:r w:rsidR="00142568" w:rsidRPr="00293B75">
        <w:rPr>
          <w:rFonts w:cs="Arial"/>
          <w:lang w:val="fr-FR"/>
        </w:rPr>
        <w:t>à</w:t>
      </w:r>
      <w:r w:rsidR="00AD2CB6" w:rsidRPr="00293B75">
        <w:rPr>
          <w:rFonts w:cs="Arial"/>
          <w:lang w:val="fr-FR"/>
        </w:rPr>
        <w:t xml:space="preserve"> ce document </w:t>
      </w:r>
      <w:r w:rsidR="00AD2CB6" w:rsidRPr="00293B75">
        <w:t>faisait rapport d</w:t>
      </w:r>
      <w:r w:rsidR="00FE442F" w:rsidRPr="00293B75">
        <w:t>’</w:t>
      </w:r>
      <w:r w:rsidR="00AD2CB6" w:rsidRPr="00293B75">
        <w:t xml:space="preserve">un exercice pratique </w:t>
      </w:r>
      <w:r w:rsidR="00724EB2" w:rsidRPr="00293B75">
        <w:t xml:space="preserve">se fondant sur une seule </w:t>
      </w:r>
      <w:r w:rsidR="00BA51CF" w:rsidRPr="00293B75">
        <w:t>caractéristique</w:t>
      </w:r>
      <w:r w:rsidR="00724EB2" w:rsidRPr="00293B75">
        <w:t xml:space="preserve"> quantitative pour le lin afin de présenter différentes méthodes servant à établir une description variétale. </w:t>
      </w:r>
      <w:r w:rsidR="00004203" w:rsidRPr="00293B75">
        <w:t xml:space="preserve"> </w:t>
      </w:r>
      <w:r w:rsidR="00724EB2" w:rsidRPr="00293B75">
        <w:t>Des experts de la</w:t>
      </w:r>
      <w:r w:rsidR="00724EB2" w:rsidRPr="00293B75">
        <w:rPr>
          <w:rFonts w:cs="Arial"/>
          <w:lang w:val="fr-FR"/>
        </w:rPr>
        <w:t xml:space="preserve"> France, de l</w:t>
      </w:r>
      <w:r w:rsidR="00FE442F" w:rsidRPr="00293B75">
        <w:rPr>
          <w:rFonts w:cs="Arial"/>
          <w:lang w:val="fr-FR"/>
        </w:rPr>
        <w:t>’</w:t>
      </w:r>
      <w:r w:rsidR="00724EB2" w:rsidRPr="00293B75">
        <w:rPr>
          <w:rFonts w:cs="Arial"/>
          <w:lang w:val="fr-FR"/>
        </w:rPr>
        <w:t>Allemagne, de l</w:t>
      </w:r>
      <w:r w:rsidR="00FE442F" w:rsidRPr="00293B75">
        <w:rPr>
          <w:rFonts w:cs="Arial"/>
          <w:lang w:val="fr-FR"/>
        </w:rPr>
        <w:t>’</w:t>
      </w:r>
      <w:r w:rsidR="00724EB2" w:rsidRPr="00293B75">
        <w:rPr>
          <w:rFonts w:cs="Arial"/>
          <w:lang w:val="fr-FR"/>
        </w:rPr>
        <w:t xml:space="preserve">Italie, du Japon </w:t>
      </w:r>
      <w:proofErr w:type="gramStart"/>
      <w:r w:rsidR="00724EB2" w:rsidRPr="00293B75">
        <w:rPr>
          <w:rFonts w:cs="Arial"/>
          <w:lang w:val="fr-FR"/>
        </w:rPr>
        <w:t>et</w:t>
      </w:r>
      <w:proofErr w:type="gramEnd"/>
      <w:r w:rsidR="00724EB2" w:rsidRPr="00293B75">
        <w:rPr>
          <w:rFonts w:cs="Arial"/>
          <w:lang w:val="fr-FR"/>
        </w:rPr>
        <w:t xml:space="preserve"> du Royaume</w:t>
      </w:r>
      <w:r w:rsidR="005535E5" w:rsidRPr="00293B75">
        <w:rPr>
          <w:rFonts w:cs="Arial"/>
          <w:lang w:val="fr-FR"/>
        </w:rPr>
        <w:noBreakHyphen/>
      </w:r>
      <w:r w:rsidR="00724EB2" w:rsidRPr="00293B75">
        <w:rPr>
          <w:rFonts w:cs="Arial"/>
          <w:lang w:val="fr-FR"/>
        </w:rPr>
        <w:t xml:space="preserve">Uni y avaient participé. </w:t>
      </w:r>
      <w:r w:rsidR="00FE442F" w:rsidRPr="00293B75">
        <w:rPr>
          <w:rFonts w:cs="Arial"/>
          <w:lang w:val="fr-FR"/>
        </w:rPr>
        <w:t xml:space="preserve"> Le TWC</w:t>
      </w:r>
      <w:r w:rsidR="00724EB2" w:rsidRPr="00293B75">
        <w:rPr>
          <w:rFonts w:cs="Arial"/>
          <w:lang w:val="fr-FR"/>
        </w:rPr>
        <w:t xml:space="preserve"> est convenu de demander à un expert de la France d</w:t>
      </w:r>
      <w:r w:rsidR="00FE442F" w:rsidRPr="00293B75">
        <w:rPr>
          <w:rFonts w:cs="Arial"/>
          <w:lang w:val="fr-FR"/>
        </w:rPr>
        <w:t>’</w:t>
      </w:r>
      <w:r w:rsidR="00724EB2" w:rsidRPr="00293B75">
        <w:rPr>
          <w:rFonts w:cs="Arial"/>
          <w:lang w:val="fr-FR"/>
        </w:rPr>
        <w:t>utiliser les informations obtenues pour expliqu</w:t>
      </w:r>
      <w:r w:rsidR="000F69D2" w:rsidRPr="00293B75">
        <w:rPr>
          <w:rFonts w:cs="Arial"/>
          <w:lang w:val="fr-FR"/>
        </w:rPr>
        <w:t>er les étapes de chaque méthode</w:t>
      </w:r>
      <w:r w:rsidR="00724EB2" w:rsidRPr="00293B75">
        <w:rPr>
          <w:rFonts w:cs="Arial"/>
          <w:lang w:val="fr-FR"/>
        </w:rPr>
        <w:t xml:space="preserve"> et les différences qui existaient entre elles. </w:t>
      </w:r>
      <w:r w:rsidR="00FE442F" w:rsidRPr="00293B75">
        <w:rPr>
          <w:rFonts w:cs="Arial"/>
          <w:lang w:val="fr-FR"/>
        </w:rPr>
        <w:t xml:space="preserve"> Le TWC</w:t>
      </w:r>
      <w:r w:rsidR="00724EB2" w:rsidRPr="00293B75">
        <w:rPr>
          <w:rFonts w:cs="Arial"/>
          <w:lang w:val="fr-FR"/>
        </w:rPr>
        <w:t xml:space="preserve"> est convenu que </w:t>
      </w:r>
      <w:r w:rsidR="00142568" w:rsidRPr="00293B75">
        <w:rPr>
          <w:rFonts w:cs="Arial"/>
          <w:lang w:val="fr-FR"/>
        </w:rPr>
        <w:t>ces explications</w:t>
      </w:r>
      <w:r w:rsidR="00724EB2" w:rsidRPr="00293B75">
        <w:rPr>
          <w:rFonts w:cs="Arial"/>
          <w:lang w:val="fr-FR"/>
        </w:rPr>
        <w:t xml:space="preserve"> devrai</w:t>
      </w:r>
      <w:r w:rsidR="00142568" w:rsidRPr="00293B75">
        <w:rPr>
          <w:rFonts w:cs="Arial"/>
          <w:lang w:val="fr-FR"/>
        </w:rPr>
        <w:t>en</w:t>
      </w:r>
      <w:r w:rsidR="00724EB2" w:rsidRPr="00293B75">
        <w:rPr>
          <w:rFonts w:cs="Arial"/>
          <w:lang w:val="fr-FR"/>
        </w:rPr>
        <w:t>t être présenté</w:t>
      </w:r>
      <w:r w:rsidR="00142568" w:rsidRPr="00293B75">
        <w:rPr>
          <w:rFonts w:cs="Arial"/>
          <w:lang w:val="fr-FR"/>
        </w:rPr>
        <w:t>es</w:t>
      </w:r>
      <w:r w:rsidR="00724EB2" w:rsidRPr="00293B75">
        <w:rPr>
          <w:rFonts w:cs="Arial"/>
          <w:lang w:val="fr-FR"/>
        </w:rPr>
        <w:t xml:space="preserve"> pour examen à sa trente</w:t>
      </w:r>
      <w:r w:rsidR="005535E5" w:rsidRPr="00293B75">
        <w:rPr>
          <w:rFonts w:cs="Arial"/>
          <w:lang w:val="fr-FR"/>
        </w:rPr>
        <w:noBreakHyphen/>
      </w:r>
      <w:r w:rsidR="00724EB2" w:rsidRPr="00293B75">
        <w:rPr>
          <w:rFonts w:cs="Arial"/>
          <w:lang w:val="fr-FR"/>
        </w:rPr>
        <w:t>troisième</w:t>
      </w:r>
      <w:r w:rsidR="00004203" w:rsidRPr="00293B75">
        <w:rPr>
          <w:rFonts w:cs="Arial"/>
          <w:lang w:val="fr-FR"/>
        </w:rPr>
        <w:t> </w:t>
      </w:r>
      <w:r w:rsidR="00724EB2" w:rsidRPr="00293B75">
        <w:rPr>
          <w:rFonts w:cs="Arial"/>
          <w:lang w:val="fr-FR"/>
        </w:rPr>
        <w:t xml:space="preserve">session. </w:t>
      </w:r>
      <w:r w:rsidR="00FE442F" w:rsidRPr="00293B75">
        <w:rPr>
          <w:rFonts w:cs="Arial"/>
          <w:lang w:val="fr-FR"/>
        </w:rPr>
        <w:t xml:space="preserve"> Le TWC</w:t>
      </w:r>
      <w:r w:rsidR="00724EB2" w:rsidRPr="00293B75">
        <w:rPr>
          <w:rFonts w:cs="Arial"/>
          <w:lang w:val="fr-FR"/>
        </w:rPr>
        <w:t xml:space="preserve"> a </w:t>
      </w:r>
      <w:r w:rsidR="007D4DA3" w:rsidRPr="00293B75">
        <w:rPr>
          <w:rFonts w:cs="Arial"/>
          <w:lang w:val="fr-FR"/>
        </w:rPr>
        <w:t>suivi</w:t>
      </w:r>
      <w:r w:rsidR="00724EB2" w:rsidRPr="00293B75">
        <w:rPr>
          <w:rFonts w:cs="Arial"/>
          <w:lang w:val="fr-FR"/>
        </w:rPr>
        <w:t xml:space="preserve"> un exposé présenté </w:t>
      </w:r>
      <w:r w:rsidR="000F69D2" w:rsidRPr="00293B75">
        <w:rPr>
          <w:rFonts w:cs="Arial"/>
          <w:lang w:val="fr-FR"/>
        </w:rPr>
        <w:t>par un expert de l</w:t>
      </w:r>
      <w:r w:rsidR="00FE442F" w:rsidRPr="00293B75">
        <w:rPr>
          <w:rFonts w:cs="Arial"/>
          <w:lang w:val="fr-FR"/>
        </w:rPr>
        <w:t>’</w:t>
      </w:r>
      <w:r w:rsidR="000F69D2" w:rsidRPr="00293B75">
        <w:rPr>
          <w:rFonts w:cs="Arial"/>
          <w:lang w:val="fr-FR"/>
        </w:rPr>
        <w:t>Italie concernant la méthode d</w:t>
      </w:r>
      <w:r w:rsidR="00FE442F" w:rsidRPr="00293B75">
        <w:rPr>
          <w:rFonts w:cs="Arial"/>
          <w:lang w:val="fr-FR"/>
        </w:rPr>
        <w:t>’</w:t>
      </w:r>
      <w:r w:rsidR="000F69D2" w:rsidRPr="00293B75">
        <w:rPr>
          <w:rFonts w:cs="Arial"/>
          <w:lang w:val="fr-FR"/>
        </w:rPr>
        <w:t xml:space="preserve">élaboration des descriptions végétales </w:t>
      </w:r>
      <w:r w:rsidR="00142568" w:rsidRPr="00293B75">
        <w:rPr>
          <w:rFonts w:cs="Arial"/>
          <w:lang w:val="fr-FR"/>
        </w:rPr>
        <w:t>utilis</w:t>
      </w:r>
      <w:r w:rsidR="000F69D2" w:rsidRPr="00293B75">
        <w:rPr>
          <w:rFonts w:cs="Arial"/>
          <w:lang w:val="fr-FR"/>
        </w:rPr>
        <w:t>ées en Italie (annexe</w:t>
      </w:r>
      <w:r w:rsidR="00004203" w:rsidRPr="00293B75">
        <w:rPr>
          <w:rFonts w:cs="Arial"/>
          <w:lang w:val="fr-FR"/>
        </w:rPr>
        <w:t> </w:t>
      </w:r>
      <w:r w:rsidR="000F69D2" w:rsidRPr="00293B75">
        <w:rPr>
          <w:rFonts w:cs="Arial"/>
          <w:lang w:val="fr-FR"/>
        </w:rPr>
        <w:t>III au document TWC/32/18).  Un expert de l</w:t>
      </w:r>
      <w:r w:rsidR="00FE442F" w:rsidRPr="00293B75">
        <w:rPr>
          <w:rFonts w:cs="Arial"/>
          <w:lang w:val="fr-FR"/>
        </w:rPr>
        <w:t>’</w:t>
      </w:r>
      <w:r w:rsidR="000F69D2" w:rsidRPr="00293B75">
        <w:rPr>
          <w:rFonts w:cs="Arial"/>
          <w:lang w:val="fr-FR"/>
        </w:rPr>
        <w:t xml:space="preserve">Allemagne a également donné des explications </w:t>
      </w:r>
      <w:r w:rsidR="00F87FFA" w:rsidRPr="00293B75">
        <w:rPr>
          <w:rFonts w:cs="Arial"/>
          <w:lang w:val="fr-FR"/>
        </w:rPr>
        <w:t>concernant</w:t>
      </w:r>
      <w:r w:rsidR="000F69D2" w:rsidRPr="00293B75">
        <w:rPr>
          <w:rFonts w:cs="Arial"/>
          <w:lang w:val="fr-FR"/>
        </w:rPr>
        <w:t xml:space="preserve"> l</w:t>
      </w:r>
      <w:r w:rsidR="00FE442F" w:rsidRPr="00293B75">
        <w:rPr>
          <w:rFonts w:cs="Arial"/>
          <w:lang w:val="fr-FR"/>
        </w:rPr>
        <w:t>’</w:t>
      </w:r>
      <w:r w:rsidR="000F69D2" w:rsidRPr="00293B75">
        <w:rPr>
          <w:rFonts w:cs="Arial"/>
          <w:lang w:val="fr-FR"/>
        </w:rPr>
        <w:t>annexe</w:t>
      </w:r>
      <w:r w:rsidR="00004203" w:rsidRPr="00293B75">
        <w:rPr>
          <w:rFonts w:cs="Arial"/>
          <w:lang w:val="fr-FR"/>
        </w:rPr>
        <w:t> </w:t>
      </w:r>
      <w:r w:rsidR="000F69D2" w:rsidRPr="00293B75">
        <w:rPr>
          <w:rFonts w:cs="Arial"/>
          <w:lang w:val="fr-FR"/>
        </w:rPr>
        <w:t xml:space="preserve">II “Different forms that variety descriptions could take and </w:t>
      </w:r>
      <w:r w:rsidR="0084699E" w:rsidRPr="00293B75">
        <w:rPr>
          <w:rFonts w:cs="Arial"/>
          <w:lang w:val="fr-FR"/>
        </w:rPr>
        <w:t>the relevance of scale levels”</w:t>
      </w:r>
      <w:r w:rsidR="000F69D2" w:rsidRPr="00293B75">
        <w:rPr>
          <w:rFonts w:cs="Arial"/>
          <w:lang w:val="fr-FR"/>
        </w:rPr>
        <w:t>, en décrivant le rapport entre les niveaux d</w:t>
      </w:r>
      <w:r w:rsidR="00FE442F" w:rsidRPr="00293B75">
        <w:rPr>
          <w:rFonts w:cs="Arial"/>
          <w:lang w:val="fr-FR"/>
        </w:rPr>
        <w:t>’</w:t>
      </w:r>
      <w:r w:rsidR="000F69D2" w:rsidRPr="00293B75">
        <w:rPr>
          <w:rFonts w:cs="Arial"/>
          <w:lang w:val="fr-FR"/>
        </w:rPr>
        <w:t xml:space="preserve">échelle et les descriptions végétales. </w:t>
      </w:r>
      <w:r w:rsidR="00FE442F" w:rsidRPr="00293B75">
        <w:rPr>
          <w:rFonts w:cs="Arial"/>
          <w:lang w:val="fr-FR"/>
        </w:rPr>
        <w:t xml:space="preserve"> Le TWC</w:t>
      </w:r>
      <w:r w:rsidR="000F69D2" w:rsidRPr="00293B75">
        <w:rPr>
          <w:rFonts w:cs="Arial"/>
          <w:lang w:val="fr-FR"/>
        </w:rPr>
        <w:t xml:space="preserve"> </w:t>
      </w:r>
      <w:r w:rsidR="00903113" w:rsidRPr="00293B75">
        <w:rPr>
          <w:rFonts w:cs="Arial"/>
          <w:lang w:val="fr-FR"/>
        </w:rPr>
        <w:t>est convenu que cela pourrait servir d</w:t>
      </w:r>
      <w:r w:rsidR="00FE442F" w:rsidRPr="00293B75">
        <w:rPr>
          <w:rFonts w:cs="Arial"/>
          <w:lang w:val="fr-FR"/>
        </w:rPr>
        <w:t>’</w:t>
      </w:r>
      <w:r w:rsidR="00903113" w:rsidRPr="00293B75">
        <w:rPr>
          <w:rFonts w:cs="Arial"/>
          <w:lang w:val="fr-FR"/>
        </w:rPr>
        <w:t>introduction aux futurs principes directeurs qui seront consacrés aux descriptions végétales.</w:t>
      </w:r>
    </w:p>
    <w:p w:rsidR="00AD2CB6" w:rsidRPr="00293B75" w:rsidRDefault="00AD2CB6" w:rsidP="007005BA">
      <w:pPr>
        <w:autoSpaceDE w:val="0"/>
        <w:autoSpaceDN w:val="0"/>
        <w:adjustRightInd w:val="0"/>
        <w:rPr>
          <w:rFonts w:cs="Arial"/>
          <w:lang w:val="fr-FR"/>
        </w:rPr>
      </w:pPr>
    </w:p>
    <w:p w:rsidR="00FE442F"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9C1A7D" w:rsidRPr="00293B75">
        <w:rPr>
          <w:rFonts w:cs="Arial"/>
          <w:lang w:val="fr-FR"/>
        </w:rPr>
        <w:t>Le TWC a suivi un exposé présenté par un expert de la Chine sur le thème de la “Variation des descriptions variétales au fil des ans en différents endroits”, qui figure à l</w:t>
      </w:r>
      <w:r w:rsidR="00FE442F" w:rsidRPr="00293B75">
        <w:rPr>
          <w:rFonts w:cs="Arial"/>
          <w:lang w:val="fr-FR"/>
        </w:rPr>
        <w:t>’</w:t>
      </w:r>
      <w:r w:rsidR="009C1A7D" w:rsidRPr="00293B75">
        <w:rPr>
          <w:rFonts w:cs="Arial"/>
          <w:lang w:val="fr-FR"/>
        </w:rPr>
        <w:t>annexe</w:t>
      </w:r>
      <w:r w:rsidR="00004203" w:rsidRPr="00293B75">
        <w:rPr>
          <w:rFonts w:cs="Arial"/>
          <w:lang w:val="fr-FR"/>
        </w:rPr>
        <w:t> </w:t>
      </w:r>
      <w:r w:rsidR="009C1A7D" w:rsidRPr="00293B75">
        <w:rPr>
          <w:rFonts w:cs="Arial"/>
          <w:lang w:val="fr-FR"/>
        </w:rPr>
        <w:t xml:space="preserve">I du document TWC/32/6. </w:t>
      </w:r>
      <w:r w:rsidR="00FE442F" w:rsidRPr="00293B75">
        <w:rPr>
          <w:rFonts w:cs="Arial"/>
          <w:lang w:val="fr-FR"/>
        </w:rPr>
        <w:t xml:space="preserve"> Le TWC</w:t>
      </w:r>
      <w:r w:rsidR="009C1A7D" w:rsidRPr="00293B75">
        <w:rPr>
          <w:rFonts w:cs="Arial"/>
          <w:lang w:val="fr-FR"/>
        </w:rPr>
        <w:t xml:space="preserve"> est convenu que les informations fournies étaient utiles pour démontrer la robustesse de certains caractères et pour définir les caractères de groupement.</w:t>
      </w:r>
    </w:p>
    <w:p w:rsidR="00AD5031" w:rsidRPr="00293B75" w:rsidRDefault="00AD5031" w:rsidP="007005BA">
      <w:pPr>
        <w:autoSpaceDE w:val="0"/>
        <w:autoSpaceDN w:val="0"/>
        <w:adjustRightInd w:val="0"/>
        <w:rPr>
          <w:rFonts w:cs="Arial"/>
          <w:lang w:val="fr-FR"/>
        </w:rPr>
      </w:pPr>
    </w:p>
    <w:p w:rsidR="00B7267F"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BE7A37" w:rsidRPr="00293B75">
        <w:rPr>
          <w:rFonts w:cs="Arial"/>
          <w:lang w:val="fr-FR"/>
        </w:rPr>
        <w:t>Le TWC a suivi un exposé d</w:t>
      </w:r>
      <w:r w:rsidR="00FE442F" w:rsidRPr="00293B75">
        <w:rPr>
          <w:rFonts w:cs="Arial"/>
          <w:lang w:val="fr-FR"/>
        </w:rPr>
        <w:t>’</w:t>
      </w:r>
      <w:r w:rsidR="00BE7A37" w:rsidRPr="00293B75">
        <w:rPr>
          <w:rFonts w:cs="Arial"/>
          <w:lang w:val="fr-FR"/>
        </w:rPr>
        <w:t>un expert des Pays</w:t>
      </w:r>
      <w:r w:rsidR="005535E5" w:rsidRPr="00293B75">
        <w:rPr>
          <w:rFonts w:cs="Arial"/>
          <w:lang w:val="fr-FR"/>
        </w:rPr>
        <w:noBreakHyphen/>
      </w:r>
      <w:r w:rsidR="00BE7A37" w:rsidRPr="00293B75">
        <w:rPr>
          <w:rFonts w:cs="Arial"/>
          <w:lang w:val="fr-FR"/>
        </w:rPr>
        <w:t>Bas sur l</w:t>
      </w:r>
      <w:r w:rsidR="00FE442F" w:rsidRPr="00293B75">
        <w:rPr>
          <w:rFonts w:cs="Arial"/>
          <w:lang w:val="fr-FR"/>
        </w:rPr>
        <w:t>’</w:t>
      </w:r>
      <w:r w:rsidR="00BE7A37" w:rsidRPr="00293B75">
        <w:rPr>
          <w:rFonts w:cs="Arial"/>
          <w:lang w:val="fr-FR"/>
        </w:rPr>
        <w:t>utilisation de la teneur caractéristique en glucoraphanine du brocoli sur la base d</w:t>
      </w:r>
      <w:r w:rsidR="00FE442F" w:rsidRPr="00293B75">
        <w:rPr>
          <w:rFonts w:cs="Arial"/>
          <w:lang w:val="fr-FR"/>
        </w:rPr>
        <w:t>’</w:t>
      </w:r>
      <w:r w:rsidR="00BE7A37" w:rsidRPr="00293B75">
        <w:rPr>
          <w:rFonts w:cs="Arial"/>
          <w:lang w:val="fr-FR"/>
        </w:rPr>
        <w:t>échantillons globaux, comme indiqué à l</w:t>
      </w:r>
      <w:r w:rsidR="00FE442F" w:rsidRPr="00293B75">
        <w:rPr>
          <w:rFonts w:cs="Arial"/>
          <w:lang w:val="fr-FR"/>
        </w:rPr>
        <w:t>’</w:t>
      </w:r>
      <w:r w:rsidR="00BE7A37" w:rsidRPr="00293B75">
        <w:rPr>
          <w:rFonts w:cs="Arial"/>
          <w:lang w:val="fr-FR"/>
        </w:rPr>
        <w:t xml:space="preserve">annexe du document TWC/32/17. </w:t>
      </w:r>
      <w:r w:rsidR="00FE442F" w:rsidRPr="00293B75">
        <w:rPr>
          <w:rFonts w:cs="Arial"/>
          <w:lang w:val="fr-FR"/>
        </w:rPr>
        <w:t xml:space="preserve"> Le TWC</w:t>
      </w:r>
      <w:r w:rsidR="007B6E7C" w:rsidRPr="00293B75">
        <w:rPr>
          <w:rFonts w:cs="Arial"/>
          <w:lang w:val="fr-FR"/>
        </w:rPr>
        <w:t xml:space="preserve"> est convenu que</w:t>
      </w:r>
      <w:r w:rsidR="00113CEC" w:rsidRPr="00293B75">
        <w:rPr>
          <w:rFonts w:cs="Arial"/>
          <w:lang w:val="fr-FR"/>
        </w:rPr>
        <w:t>, s</w:t>
      </w:r>
      <w:r w:rsidR="00FE442F" w:rsidRPr="00293B75">
        <w:rPr>
          <w:rFonts w:cs="Arial"/>
          <w:lang w:val="fr-FR"/>
        </w:rPr>
        <w:t>’</w:t>
      </w:r>
      <w:r w:rsidR="00113CEC" w:rsidRPr="00293B75">
        <w:rPr>
          <w:rFonts w:cs="Arial"/>
          <w:lang w:val="fr-FR"/>
        </w:rPr>
        <w:t>agissant de</w:t>
      </w:r>
      <w:r w:rsidR="007B6E7C" w:rsidRPr="00293B75">
        <w:rPr>
          <w:rFonts w:cs="Arial"/>
          <w:lang w:val="fr-FR"/>
        </w:rPr>
        <w:t xml:space="preserve"> la validation des </w:t>
      </w:r>
      <w:r w:rsidR="00B7267F" w:rsidRPr="00293B75">
        <w:rPr>
          <w:rFonts w:cs="Arial"/>
          <w:lang w:val="fr-FR"/>
        </w:rPr>
        <w:t>caractères sur la base d</w:t>
      </w:r>
      <w:r w:rsidR="00FE442F" w:rsidRPr="00293B75">
        <w:rPr>
          <w:rFonts w:cs="Arial"/>
          <w:lang w:val="fr-FR"/>
        </w:rPr>
        <w:t>’</w:t>
      </w:r>
      <w:r w:rsidR="00B7267F" w:rsidRPr="00293B75">
        <w:rPr>
          <w:rFonts w:cs="Arial"/>
          <w:lang w:val="fr-FR"/>
        </w:rPr>
        <w:t>échantillons globaux</w:t>
      </w:r>
      <w:r w:rsidR="00113CEC" w:rsidRPr="00293B75">
        <w:rPr>
          <w:rFonts w:cs="Arial"/>
          <w:lang w:val="fr-FR"/>
        </w:rPr>
        <w:t>, il conviendrait de prendre en considération l</w:t>
      </w:r>
      <w:r w:rsidR="00FE442F" w:rsidRPr="00293B75">
        <w:rPr>
          <w:rFonts w:cs="Arial"/>
          <w:lang w:val="fr-FR"/>
        </w:rPr>
        <w:t>’</w:t>
      </w:r>
      <w:r w:rsidR="00113CEC" w:rsidRPr="00293B75">
        <w:rPr>
          <w:rFonts w:cs="Arial"/>
          <w:lang w:val="fr-FR"/>
        </w:rPr>
        <w:t>analyse des plantes isolées, mais a noté que cela pourrait entraîner des coûts imprévus.</w:t>
      </w:r>
    </w:p>
    <w:p w:rsidR="00B7267F" w:rsidRPr="00293B75" w:rsidRDefault="00B7267F" w:rsidP="007005BA">
      <w:pPr>
        <w:autoSpaceDE w:val="0"/>
        <w:autoSpaceDN w:val="0"/>
        <w:adjustRightInd w:val="0"/>
        <w:rPr>
          <w:rFonts w:cs="Arial"/>
          <w:lang w:val="fr-FR"/>
        </w:rPr>
      </w:pPr>
    </w:p>
    <w:p w:rsidR="007210EC"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71146B" w:rsidRPr="00293B75">
        <w:rPr>
          <w:rFonts w:cs="Arial"/>
          <w:lang w:val="fr-FR"/>
        </w:rPr>
        <w:t xml:space="preserve">Le TWC a </w:t>
      </w:r>
      <w:r w:rsidR="00BA51CF" w:rsidRPr="00293B75">
        <w:rPr>
          <w:rFonts w:cs="Arial"/>
          <w:lang w:val="fr-FR"/>
        </w:rPr>
        <w:t>examiné</w:t>
      </w:r>
      <w:r w:rsidR="0071146B" w:rsidRPr="00293B75">
        <w:rPr>
          <w:rFonts w:cs="Arial"/>
          <w:lang w:val="fr-FR"/>
        </w:rPr>
        <w:t xml:space="preserve"> le document </w:t>
      </w:r>
      <w:r w:rsidR="00696758" w:rsidRPr="00293B75">
        <w:rPr>
          <w:rFonts w:cs="Arial"/>
          <w:lang w:val="fr-FR"/>
        </w:rPr>
        <w:t>TWC/32/21 “</w:t>
      </w:r>
      <w:r w:rsidR="0071146B" w:rsidRPr="00293B75">
        <w:rPr>
          <w:rFonts w:cs="Arial"/>
          <w:lang w:val="fr-FR"/>
        </w:rPr>
        <w:t>Révision du document TGP/8</w:t>
      </w:r>
      <w:r w:rsidR="00004203" w:rsidRPr="00293B75">
        <w:rPr>
          <w:rFonts w:cs="Arial"/>
          <w:lang w:val="fr-FR"/>
        </w:rPr>
        <w:t> </w:t>
      </w:r>
      <w:r w:rsidR="0071146B" w:rsidRPr="00293B75">
        <w:rPr>
          <w:rFonts w:cs="Arial"/>
          <w:lang w:val="fr-FR"/>
        </w:rPr>
        <w:t>: deuxième partie</w:t>
      </w:r>
      <w:r w:rsidR="00004203" w:rsidRPr="00293B75">
        <w:rPr>
          <w:rFonts w:cs="Arial"/>
          <w:lang w:val="fr-FR"/>
        </w:rPr>
        <w:t> </w:t>
      </w:r>
      <w:r w:rsidR="0071146B" w:rsidRPr="00293B75">
        <w:rPr>
          <w:rFonts w:cs="Arial"/>
          <w:lang w:val="fr-FR"/>
        </w:rPr>
        <w:t>: nouvelle section</w:t>
      </w:r>
      <w:r w:rsidR="00004203" w:rsidRPr="00293B75">
        <w:rPr>
          <w:rFonts w:cs="Arial"/>
          <w:lang w:val="fr-FR"/>
        </w:rPr>
        <w:t> </w:t>
      </w:r>
      <w:r w:rsidR="0071146B" w:rsidRPr="00293B75">
        <w:rPr>
          <w:rFonts w:cs="Arial"/>
          <w:lang w:val="fr-FR"/>
        </w:rPr>
        <w:t>: Méthodes statistiques applicables aux caractères observés visuellement</w:t>
      </w:r>
      <w:r w:rsidR="00696758" w:rsidRPr="00293B75">
        <w:rPr>
          <w:rFonts w:cs="Arial"/>
          <w:lang w:val="fr-FR"/>
        </w:rPr>
        <w:t>”.</w:t>
      </w:r>
      <w:r w:rsidR="00004203" w:rsidRPr="00293B75">
        <w:rPr>
          <w:rFonts w:cs="Arial"/>
          <w:lang w:val="fr-FR"/>
        </w:rPr>
        <w:t xml:space="preserve"> </w:t>
      </w:r>
      <w:r w:rsidR="00FE442F" w:rsidRPr="00293B75">
        <w:rPr>
          <w:rFonts w:cs="Arial"/>
          <w:lang w:val="fr-FR"/>
        </w:rPr>
        <w:t xml:space="preserve"> Le TWC</w:t>
      </w:r>
      <w:r w:rsidR="0071146B" w:rsidRPr="00293B75">
        <w:rPr>
          <w:rFonts w:cs="Arial"/>
          <w:lang w:val="fr-FR"/>
        </w:rPr>
        <w:t xml:space="preserve"> a suivi un exposé d</w:t>
      </w:r>
      <w:r w:rsidR="00FE442F" w:rsidRPr="00293B75">
        <w:rPr>
          <w:rFonts w:cs="Arial"/>
          <w:lang w:val="fr-FR"/>
        </w:rPr>
        <w:t>’</w:t>
      </w:r>
      <w:r w:rsidR="00FC4113" w:rsidRPr="00293B75">
        <w:rPr>
          <w:rFonts w:cs="Arial"/>
          <w:lang w:val="fr-FR"/>
        </w:rPr>
        <w:t>un ex</w:t>
      </w:r>
      <w:r w:rsidR="0071146B" w:rsidRPr="00293B75">
        <w:rPr>
          <w:rFonts w:cs="Arial"/>
          <w:lang w:val="fr-FR"/>
        </w:rPr>
        <w:t xml:space="preserve">pert de la Finlande, comparant les </w:t>
      </w:r>
      <w:r w:rsidR="00FC4113" w:rsidRPr="00293B75">
        <w:rPr>
          <w:rFonts w:cs="Arial"/>
          <w:lang w:val="fr-FR"/>
        </w:rPr>
        <w:t xml:space="preserve">résultats </w:t>
      </w:r>
      <w:r w:rsidR="008E0016" w:rsidRPr="00293B75">
        <w:rPr>
          <w:rFonts w:cs="Arial"/>
          <w:lang w:val="fr-FR"/>
        </w:rPr>
        <w:t>des</w:t>
      </w:r>
      <w:r w:rsidR="00FC4113" w:rsidRPr="00293B75">
        <w:rPr>
          <w:rFonts w:cs="Arial"/>
          <w:lang w:val="fr-FR"/>
        </w:rPr>
        <w:t xml:space="preserve"> </w:t>
      </w:r>
      <w:r w:rsidR="0071146B" w:rsidRPr="00293B75">
        <w:rPr>
          <w:rFonts w:cs="Arial"/>
          <w:lang w:val="fr-FR"/>
        </w:rPr>
        <w:t xml:space="preserve">décisions prises en matière de distinction </w:t>
      </w:r>
      <w:r w:rsidR="007210EC" w:rsidRPr="00293B75">
        <w:rPr>
          <w:rFonts w:cs="Arial"/>
          <w:lang w:val="fr-FR"/>
        </w:rPr>
        <w:t xml:space="preserve">relatives </w:t>
      </w:r>
      <w:r w:rsidR="00173B63" w:rsidRPr="00293B75">
        <w:rPr>
          <w:rFonts w:cs="Arial"/>
          <w:lang w:val="fr-FR"/>
        </w:rPr>
        <w:t>à la</w:t>
      </w:r>
      <w:r w:rsidR="0071146B" w:rsidRPr="00293B75">
        <w:rPr>
          <w:rFonts w:cs="Arial"/>
          <w:lang w:val="fr-FR"/>
        </w:rPr>
        <w:t xml:space="preserve"> fétuque des prés obtenus </w:t>
      </w:r>
      <w:r w:rsidR="00FC4113" w:rsidRPr="00293B75">
        <w:rPr>
          <w:rFonts w:cs="Arial"/>
          <w:lang w:val="fr-FR"/>
        </w:rPr>
        <w:t>avec le test du khi carré</w:t>
      </w:r>
      <w:r w:rsidR="0071146B" w:rsidRPr="00293B75">
        <w:rPr>
          <w:rFonts w:cs="Arial"/>
          <w:lang w:val="fr-FR"/>
        </w:rPr>
        <w:t xml:space="preserve"> </w:t>
      </w:r>
      <w:r w:rsidR="008E0016" w:rsidRPr="00293B75">
        <w:rPr>
          <w:rFonts w:cs="Arial"/>
          <w:lang w:val="fr-FR"/>
        </w:rPr>
        <w:t>et une nouvelle méthode présentée précédemment</w:t>
      </w:r>
      <w:r w:rsidR="00FE442F" w:rsidRPr="00293B75">
        <w:rPr>
          <w:rFonts w:cs="Arial"/>
          <w:lang w:val="fr-FR"/>
        </w:rPr>
        <w:t xml:space="preserve"> au TWC</w:t>
      </w:r>
      <w:r w:rsidR="008E0016" w:rsidRPr="00293B75">
        <w:rPr>
          <w:rFonts w:cs="Arial"/>
          <w:lang w:val="fr-FR"/>
        </w:rPr>
        <w:t xml:space="preserve"> par un expert du Danemark.  Cette méthode ressemble à la méthode COYD, mais convient aux données ordinales.</w:t>
      </w:r>
      <w:r w:rsidR="00FE442F" w:rsidRPr="00293B75">
        <w:rPr>
          <w:rFonts w:cs="Arial"/>
          <w:lang w:val="fr-FR"/>
        </w:rPr>
        <w:t xml:space="preserve"> </w:t>
      </w:r>
      <w:r w:rsidR="00004203" w:rsidRPr="00293B75">
        <w:rPr>
          <w:rFonts w:cs="Arial"/>
          <w:lang w:val="fr-FR"/>
        </w:rPr>
        <w:t xml:space="preserve"> </w:t>
      </w:r>
      <w:r w:rsidR="00FE442F" w:rsidRPr="00293B75">
        <w:rPr>
          <w:rFonts w:cs="Arial"/>
          <w:lang w:val="fr-FR"/>
        </w:rPr>
        <w:t>Le TWC</w:t>
      </w:r>
      <w:r w:rsidR="00A70757" w:rsidRPr="00293B75">
        <w:rPr>
          <w:rFonts w:cs="Arial"/>
          <w:lang w:val="fr-FR"/>
        </w:rPr>
        <w:t xml:space="preserve"> a estimé que la nouvelle méthode était conçue pour l</w:t>
      </w:r>
      <w:r w:rsidR="00FE442F" w:rsidRPr="00293B75">
        <w:rPr>
          <w:rFonts w:cs="Arial"/>
          <w:lang w:val="fr-FR"/>
        </w:rPr>
        <w:t>’</w:t>
      </w:r>
      <w:r w:rsidR="00A70757" w:rsidRPr="00293B75">
        <w:rPr>
          <w:rFonts w:cs="Arial"/>
          <w:lang w:val="fr-FR"/>
        </w:rPr>
        <w:t>analyse des caractères observés visuellement et bénéficiait d</w:t>
      </w:r>
      <w:r w:rsidR="00FE442F" w:rsidRPr="00293B75">
        <w:rPr>
          <w:rFonts w:cs="Arial"/>
          <w:lang w:val="fr-FR"/>
        </w:rPr>
        <w:t>’</w:t>
      </w:r>
      <w:r w:rsidR="00A70757" w:rsidRPr="00293B75">
        <w:rPr>
          <w:rFonts w:cs="Arial"/>
          <w:lang w:val="fr-FR"/>
        </w:rPr>
        <w:t>une meilleure base que le test du khi carré.</w:t>
      </w:r>
      <w:r w:rsidR="00696758" w:rsidRPr="00293B75">
        <w:rPr>
          <w:lang w:val="fr-FR"/>
        </w:rPr>
        <w:t xml:space="preserve"> </w:t>
      </w:r>
      <w:r w:rsidR="00FE442F" w:rsidRPr="00293B75">
        <w:rPr>
          <w:lang w:val="fr-FR"/>
        </w:rPr>
        <w:t xml:space="preserve"> </w:t>
      </w:r>
      <w:r w:rsidR="00FE442F" w:rsidRPr="00293B75">
        <w:rPr>
          <w:rFonts w:cs="Arial"/>
          <w:lang w:val="fr-FR"/>
        </w:rPr>
        <w:t>Le TWC</w:t>
      </w:r>
      <w:r w:rsidR="007210EC" w:rsidRPr="00293B75">
        <w:rPr>
          <w:rFonts w:cs="Arial"/>
          <w:lang w:val="fr-FR"/>
        </w:rPr>
        <w:t xml:space="preserve"> est convenu que </w:t>
      </w:r>
      <w:r w:rsidR="00142568" w:rsidRPr="00293B75">
        <w:rPr>
          <w:rFonts w:cs="Arial"/>
          <w:lang w:val="fr-FR"/>
        </w:rPr>
        <w:t>c</w:t>
      </w:r>
      <w:r w:rsidR="007210EC" w:rsidRPr="00293B75">
        <w:rPr>
          <w:rFonts w:cs="Arial"/>
          <w:lang w:val="fr-FR"/>
        </w:rPr>
        <w:t xml:space="preserve">ette </w:t>
      </w:r>
      <w:r w:rsidR="00142568" w:rsidRPr="00293B75">
        <w:rPr>
          <w:rFonts w:cs="Arial"/>
          <w:lang w:val="fr-FR"/>
        </w:rPr>
        <w:t>méthode</w:t>
      </w:r>
      <w:r w:rsidR="007210EC" w:rsidRPr="00293B75">
        <w:rPr>
          <w:rFonts w:cs="Arial"/>
          <w:lang w:val="fr-FR"/>
        </w:rPr>
        <w:t xml:space="preserve"> devait être </w:t>
      </w:r>
      <w:r w:rsidR="00142568" w:rsidRPr="00293B75">
        <w:rPr>
          <w:rFonts w:cs="Arial"/>
          <w:lang w:val="fr-FR"/>
        </w:rPr>
        <w:t>développ</w:t>
      </w:r>
      <w:r w:rsidR="007210EC" w:rsidRPr="00293B75">
        <w:rPr>
          <w:rFonts w:cs="Arial"/>
          <w:lang w:val="fr-FR"/>
        </w:rPr>
        <w:t xml:space="preserve">ée davantage, notamment en </w:t>
      </w:r>
      <w:r w:rsidR="00142568" w:rsidRPr="00293B75">
        <w:rPr>
          <w:rFonts w:cs="Arial"/>
          <w:lang w:val="fr-FR"/>
        </w:rPr>
        <w:t>vue de mettre au point un</w:t>
      </w:r>
      <w:r w:rsidR="007210EC" w:rsidRPr="00293B75">
        <w:rPr>
          <w:rFonts w:cs="Arial"/>
          <w:lang w:val="fr-FR"/>
        </w:rPr>
        <w:t xml:space="preserve"> logiciel.  En outre,</w:t>
      </w:r>
      <w:r w:rsidR="00FE442F" w:rsidRPr="00293B75">
        <w:rPr>
          <w:rFonts w:cs="Arial"/>
          <w:lang w:val="fr-FR"/>
        </w:rPr>
        <w:t xml:space="preserve"> le TWC</w:t>
      </w:r>
      <w:r w:rsidR="007210EC" w:rsidRPr="00293B75">
        <w:rPr>
          <w:rFonts w:cs="Arial"/>
          <w:lang w:val="fr-FR"/>
        </w:rPr>
        <w:t xml:space="preserve"> est convenu d</w:t>
      </w:r>
      <w:r w:rsidR="00FE442F" w:rsidRPr="00293B75">
        <w:rPr>
          <w:rFonts w:cs="Arial"/>
          <w:lang w:val="fr-FR"/>
        </w:rPr>
        <w:t>’</w:t>
      </w:r>
      <w:r w:rsidR="007210EC" w:rsidRPr="00293B75">
        <w:rPr>
          <w:rFonts w:cs="Arial"/>
          <w:lang w:val="fr-FR"/>
        </w:rPr>
        <w:t>inviter un expert de la Chine à présenter, à sa trente</w:t>
      </w:r>
      <w:r w:rsidR="005535E5" w:rsidRPr="00293B75">
        <w:rPr>
          <w:rFonts w:cs="Arial"/>
          <w:lang w:val="fr-FR"/>
        </w:rPr>
        <w:noBreakHyphen/>
      </w:r>
      <w:r w:rsidR="007210EC" w:rsidRPr="00293B75">
        <w:rPr>
          <w:rFonts w:cs="Arial"/>
          <w:lang w:val="fr-FR"/>
        </w:rPr>
        <w:t>troisième</w:t>
      </w:r>
      <w:r w:rsidR="00004203" w:rsidRPr="00293B75">
        <w:rPr>
          <w:rFonts w:cs="Arial"/>
          <w:lang w:val="fr-FR"/>
        </w:rPr>
        <w:t> </w:t>
      </w:r>
      <w:r w:rsidR="007210EC" w:rsidRPr="00293B75">
        <w:rPr>
          <w:rFonts w:cs="Arial"/>
          <w:lang w:val="fr-FR"/>
        </w:rPr>
        <w:t>session, un exposé sur l</w:t>
      </w:r>
      <w:r w:rsidR="00FE442F" w:rsidRPr="00293B75">
        <w:rPr>
          <w:rFonts w:cs="Arial"/>
          <w:lang w:val="fr-FR"/>
        </w:rPr>
        <w:t>’</w:t>
      </w:r>
      <w:r w:rsidR="007210EC" w:rsidRPr="00293B75">
        <w:rPr>
          <w:rFonts w:cs="Arial"/>
          <w:lang w:val="fr-FR"/>
        </w:rPr>
        <w:t xml:space="preserve">analyse des caractères observés visuellement, effectuée avec le progiciel DUST China (DUSTC) en utilisant les données relatives </w:t>
      </w:r>
      <w:r w:rsidR="00173B63" w:rsidRPr="00293B75">
        <w:rPr>
          <w:rFonts w:cs="Arial"/>
          <w:lang w:val="fr-FR"/>
        </w:rPr>
        <w:t>à la</w:t>
      </w:r>
      <w:r w:rsidR="007210EC" w:rsidRPr="00293B75">
        <w:rPr>
          <w:rFonts w:cs="Arial"/>
          <w:lang w:val="fr-FR"/>
        </w:rPr>
        <w:t xml:space="preserve"> fétuque des prés fournies par la Finlande</w:t>
      </w:r>
      <w:r w:rsidR="00EA2C30" w:rsidRPr="00293B75">
        <w:rPr>
          <w:rFonts w:cs="Arial"/>
          <w:lang w:val="fr-FR"/>
        </w:rPr>
        <w:t>.</w:t>
      </w:r>
    </w:p>
    <w:p w:rsidR="007210EC" w:rsidRPr="00293B75" w:rsidRDefault="007210EC" w:rsidP="007005BA">
      <w:pPr>
        <w:autoSpaceDE w:val="0"/>
        <w:autoSpaceDN w:val="0"/>
        <w:adjustRightInd w:val="0"/>
        <w:rPr>
          <w:rFonts w:cs="Arial"/>
          <w:lang w:val="fr-FR"/>
        </w:rPr>
      </w:pPr>
    </w:p>
    <w:p w:rsidR="00592A30" w:rsidRPr="00293B75" w:rsidRDefault="00EB6879"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F235C7" w:rsidRPr="00293B75">
        <w:rPr>
          <w:rFonts w:cs="Arial"/>
          <w:lang w:val="fr-FR"/>
        </w:rPr>
        <w:t xml:space="preserve">Le TWC a </w:t>
      </w:r>
      <w:r w:rsidR="0084699E" w:rsidRPr="00293B75">
        <w:rPr>
          <w:rFonts w:cs="Arial"/>
          <w:lang w:val="fr-FR"/>
        </w:rPr>
        <w:t>examiné</w:t>
      </w:r>
      <w:r w:rsidR="00F235C7" w:rsidRPr="00293B75">
        <w:rPr>
          <w:rFonts w:cs="Arial"/>
          <w:lang w:val="fr-FR"/>
        </w:rPr>
        <w:t xml:space="preserve"> le document TWC/32/9</w:t>
      </w:r>
      <w:r w:rsidR="0084699E" w:rsidRPr="00293B75">
        <w:rPr>
          <w:rFonts w:cs="Arial"/>
          <w:lang w:val="fr-FR"/>
        </w:rPr>
        <w:t xml:space="preserve"> “</w:t>
      </w:r>
      <w:r w:rsidR="00F87FFA" w:rsidRPr="00293B75">
        <w:rPr>
          <w:rFonts w:cs="Arial"/>
          <w:lang w:val="fr-FR"/>
        </w:rPr>
        <w:t>Évaluation de l’homogénéité d’après les plantes hors</w:t>
      </w:r>
      <w:r w:rsidR="00F87FFA" w:rsidRPr="00293B75">
        <w:rPr>
          <w:rFonts w:cs="Arial"/>
          <w:lang w:val="fr-FR"/>
        </w:rPr>
        <w:noBreakHyphen/>
        <w:t>type sur la base de plusieurs échantillons ou sous</w:t>
      </w:r>
      <w:r w:rsidR="00F87FFA" w:rsidRPr="00293B75">
        <w:rPr>
          <w:rFonts w:cs="Arial"/>
          <w:lang w:val="fr-FR"/>
        </w:rPr>
        <w:noBreakHyphen/>
        <w:t>échantillons</w:t>
      </w:r>
      <w:r w:rsidR="0084699E" w:rsidRPr="00293B75">
        <w:rPr>
          <w:rFonts w:cs="Arial"/>
          <w:lang w:val="fr-FR"/>
        </w:rPr>
        <w:t xml:space="preserve">”. </w:t>
      </w:r>
      <w:r w:rsidR="00FE442F" w:rsidRPr="00293B75">
        <w:rPr>
          <w:rFonts w:cs="Arial"/>
          <w:lang w:val="fr-FR"/>
        </w:rPr>
        <w:t xml:space="preserve"> Le TWC</w:t>
      </w:r>
      <w:r w:rsidR="0066522F" w:rsidRPr="00293B75">
        <w:rPr>
          <w:rFonts w:cs="Arial"/>
          <w:lang w:val="fr-FR"/>
        </w:rPr>
        <w:t xml:space="preserve"> est convenu </w:t>
      </w:r>
      <w:r w:rsidR="00804DC2" w:rsidRPr="00293B75">
        <w:rPr>
          <w:rFonts w:cs="Arial"/>
          <w:lang w:val="fr-FR"/>
        </w:rPr>
        <w:t>que les valeurs pour les probabilités d</w:t>
      </w:r>
      <w:r w:rsidR="00FE442F" w:rsidRPr="00293B75">
        <w:rPr>
          <w:rFonts w:cs="Arial"/>
          <w:lang w:val="fr-FR"/>
        </w:rPr>
        <w:t>’</w:t>
      </w:r>
      <w:r w:rsidR="00804DC2" w:rsidRPr="00293B75">
        <w:rPr>
          <w:rFonts w:cs="Arial"/>
          <w:lang w:val="fr-FR"/>
        </w:rPr>
        <w:t>erreurs de type I et de type II devraient figurer dans chacun des exemples décrits dans les situations A et B pour l</w:t>
      </w:r>
      <w:r w:rsidR="00FE442F" w:rsidRPr="00293B75">
        <w:rPr>
          <w:rFonts w:cs="Arial"/>
          <w:lang w:val="fr-FR"/>
        </w:rPr>
        <w:t>’</w:t>
      </w:r>
      <w:r w:rsidR="00804DC2" w:rsidRPr="00293B75">
        <w:rPr>
          <w:rFonts w:cs="Arial"/>
          <w:lang w:val="fr-FR"/>
        </w:rPr>
        <w:t>élaboration d</w:t>
      </w:r>
      <w:r w:rsidR="00FE442F" w:rsidRPr="00293B75">
        <w:rPr>
          <w:rFonts w:cs="Arial"/>
          <w:lang w:val="fr-FR"/>
        </w:rPr>
        <w:t>’</w:t>
      </w:r>
      <w:r w:rsidR="00804DC2" w:rsidRPr="00293B75">
        <w:rPr>
          <w:rFonts w:cs="Arial"/>
          <w:lang w:val="fr-FR"/>
        </w:rPr>
        <w:t xml:space="preserve">orientations dans le document TGP/10.  </w:t>
      </w:r>
      <w:r w:rsidR="00592A30" w:rsidRPr="00293B75">
        <w:rPr>
          <w:rFonts w:cs="Arial"/>
          <w:lang w:val="fr-FR"/>
        </w:rPr>
        <w:t>L</w:t>
      </w:r>
      <w:r w:rsidR="00FE442F" w:rsidRPr="00293B75">
        <w:rPr>
          <w:rFonts w:cs="Arial"/>
          <w:lang w:val="fr-FR"/>
        </w:rPr>
        <w:t>’</w:t>
      </w:r>
      <w:r w:rsidR="00592A30" w:rsidRPr="00293B75">
        <w:rPr>
          <w:rFonts w:cs="Arial"/>
          <w:lang w:val="fr-FR"/>
        </w:rPr>
        <w:t>erreur de type I est associée à une décision relative à l</w:t>
      </w:r>
      <w:r w:rsidR="00FE442F" w:rsidRPr="00293B75">
        <w:rPr>
          <w:rFonts w:cs="Arial"/>
          <w:lang w:val="fr-FR"/>
        </w:rPr>
        <w:t>’</w:t>
      </w:r>
      <w:r w:rsidR="00592A30" w:rsidRPr="00293B75">
        <w:rPr>
          <w:rFonts w:cs="Arial"/>
          <w:lang w:val="fr-FR"/>
        </w:rPr>
        <w:t>hétérogénéité (rejet de l</w:t>
      </w:r>
      <w:r w:rsidR="00FE442F" w:rsidRPr="00293B75">
        <w:rPr>
          <w:rFonts w:cs="Arial"/>
          <w:lang w:val="fr-FR"/>
        </w:rPr>
        <w:t>’</w:t>
      </w:r>
      <w:r w:rsidR="00592A30" w:rsidRPr="00293B75">
        <w:rPr>
          <w:rFonts w:cs="Arial"/>
          <w:lang w:val="fr-FR"/>
        </w:rPr>
        <w:t>hypothèse nulle vraie) et l</w:t>
      </w:r>
      <w:r w:rsidR="00FE442F" w:rsidRPr="00293B75">
        <w:rPr>
          <w:rFonts w:cs="Arial"/>
          <w:lang w:val="fr-FR"/>
        </w:rPr>
        <w:t>’</w:t>
      </w:r>
      <w:r w:rsidR="00592A30" w:rsidRPr="00293B75">
        <w:rPr>
          <w:rFonts w:cs="Arial"/>
          <w:lang w:val="fr-FR"/>
        </w:rPr>
        <w:t>erreur de type II est associée à une décision relative à l</w:t>
      </w:r>
      <w:r w:rsidR="00FE442F" w:rsidRPr="00293B75">
        <w:rPr>
          <w:rFonts w:cs="Arial"/>
          <w:lang w:val="fr-FR"/>
        </w:rPr>
        <w:t>’</w:t>
      </w:r>
      <w:r w:rsidR="00592A30" w:rsidRPr="00293B75">
        <w:rPr>
          <w:rFonts w:cs="Arial"/>
          <w:lang w:val="fr-FR"/>
        </w:rPr>
        <w:t>homogénéité (acceptation de l</w:t>
      </w:r>
      <w:r w:rsidR="00FE442F" w:rsidRPr="00293B75">
        <w:rPr>
          <w:rFonts w:cs="Arial"/>
          <w:lang w:val="fr-FR"/>
        </w:rPr>
        <w:t>’</w:t>
      </w:r>
      <w:r w:rsidR="00592A30" w:rsidRPr="00293B75">
        <w:rPr>
          <w:rFonts w:cs="Arial"/>
          <w:lang w:val="fr-FR"/>
        </w:rPr>
        <w:t xml:space="preserve">hypothèse alternative). </w:t>
      </w:r>
      <w:r w:rsidR="00FE442F" w:rsidRPr="00293B75">
        <w:rPr>
          <w:rFonts w:cs="Arial"/>
          <w:lang w:val="fr-FR"/>
        </w:rPr>
        <w:t xml:space="preserve"> Le TWC</w:t>
      </w:r>
      <w:r w:rsidR="00592A30" w:rsidRPr="00293B75">
        <w:rPr>
          <w:rFonts w:cs="Arial"/>
          <w:lang w:val="fr-FR"/>
        </w:rPr>
        <w:t xml:space="preserve"> est convenu que les orientations fournies dans le document TGP/10 étaient suffisantes en ce qui concerne la situation C.  L</w:t>
      </w:r>
      <w:r w:rsidR="00FE442F" w:rsidRPr="00293B75">
        <w:rPr>
          <w:rFonts w:cs="Arial"/>
          <w:lang w:val="fr-FR"/>
        </w:rPr>
        <w:t>’</w:t>
      </w:r>
      <w:r w:rsidR="00592A30" w:rsidRPr="00293B75">
        <w:rPr>
          <w:rFonts w:cs="Arial"/>
          <w:lang w:val="fr-FR"/>
        </w:rPr>
        <w:t>annexe</w:t>
      </w:r>
      <w:r w:rsidR="00004203" w:rsidRPr="00293B75">
        <w:rPr>
          <w:rFonts w:cs="Arial"/>
          <w:lang w:val="fr-FR"/>
        </w:rPr>
        <w:t> </w:t>
      </w:r>
      <w:r w:rsidR="00592A30" w:rsidRPr="00293B75">
        <w:rPr>
          <w:rFonts w:cs="Arial"/>
          <w:lang w:val="fr-FR"/>
        </w:rPr>
        <w:t>V du document TWC/32/9 donne un exemple d</w:t>
      </w:r>
      <w:r w:rsidR="00FE442F" w:rsidRPr="00293B75">
        <w:rPr>
          <w:rFonts w:cs="Arial"/>
          <w:lang w:val="fr-FR"/>
        </w:rPr>
        <w:t>’</w:t>
      </w:r>
      <w:r w:rsidR="00592A30" w:rsidRPr="00293B75">
        <w:rPr>
          <w:rFonts w:cs="Arial"/>
          <w:lang w:val="fr-FR"/>
        </w:rPr>
        <w:t>approche séquentielle appliquée à un seul cycle de végétation et a été présentée par un expert de l</w:t>
      </w:r>
      <w:r w:rsidR="00FE442F" w:rsidRPr="00293B75">
        <w:rPr>
          <w:rFonts w:cs="Arial"/>
          <w:lang w:val="fr-FR"/>
        </w:rPr>
        <w:t>’</w:t>
      </w:r>
      <w:r w:rsidR="00DB5344" w:rsidRPr="00293B75">
        <w:rPr>
          <w:rFonts w:cs="Arial"/>
          <w:lang w:val="fr-FR"/>
        </w:rPr>
        <w:t xml:space="preserve">Allemagne.  </w:t>
      </w:r>
      <w:r w:rsidR="002E1017" w:rsidRPr="00293B75">
        <w:rPr>
          <w:rFonts w:cs="Arial"/>
          <w:lang w:val="fr-FR"/>
        </w:rPr>
        <w:t>L</w:t>
      </w:r>
      <w:r w:rsidR="00FE442F" w:rsidRPr="00293B75">
        <w:rPr>
          <w:rFonts w:cs="Arial"/>
          <w:lang w:val="fr-FR"/>
        </w:rPr>
        <w:t>’</w:t>
      </w:r>
      <w:r w:rsidR="002E1017" w:rsidRPr="00293B75">
        <w:rPr>
          <w:rFonts w:cs="Arial"/>
          <w:lang w:val="fr-FR"/>
        </w:rPr>
        <w:t xml:space="preserve">exposé comprenait également des informations sur les erreurs de type I et de type II. </w:t>
      </w:r>
      <w:r w:rsidR="00FE442F" w:rsidRPr="00293B75">
        <w:rPr>
          <w:rFonts w:cs="Arial"/>
          <w:lang w:val="fr-FR"/>
        </w:rPr>
        <w:t xml:space="preserve"> Le TWC</w:t>
      </w:r>
      <w:r w:rsidR="002E1017" w:rsidRPr="00293B75">
        <w:rPr>
          <w:rFonts w:cs="Arial"/>
          <w:lang w:val="fr-FR"/>
        </w:rPr>
        <w:t xml:space="preserve"> s</w:t>
      </w:r>
      <w:r w:rsidR="00FE442F" w:rsidRPr="00293B75">
        <w:rPr>
          <w:rFonts w:cs="Arial"/>
          <w:lang w:val="fr-FR"/>
        </w:rPr>
        <w:t>’</w:t>
      </w:r>
      <w:r w:rsidR="002E1017" w:rsidRPr="00293B75">
        <w:rPr>
          <w:rFonts w:cs="Arial"/>
          <w:lang w:val="fr-FR"/>
        </w:rPr>
        <w:t>est accordé sur la formulation des principes directeurs pour la situation D.</w:t>
      </w:r>
    </w:p>
    <w:p w:rsidR="00AD5031" w:rsidRPr="00293B75" w:rsidRDefault="00AD5031" w:rsidP="007005BA">
      <w:pPr>
        <w:autoSpaceDE w:val="0"/>
        <w:autoSpaceDN w:val="0"/>
        <w:adjustRightInd w:val="0"/>
        <w:rPr>
          <w:rFonts w:cs="Arial"/>
          <w:lang w:val="fr-FR"/>
        </w:rPr>
      </w:pPr>
    </w:p>
    <w:p w:rsidR="00AD5031"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2E3964" w:rsidRPr="00293B75">
        <w:rPr>
          <w:rFonts w:cs="Arial"/>
          <w:lang w:val="fr-FR"/>
        </w:rPr>
        <w:t>Le TWC a suivi un exposé par voie électronique d</w:t>
      </w:r>
      <w:r w:rsidR="00FE442F" w:rsidRPr="00293B75">
        <w:rPr>
          <w:rFonts w:cs="Arial"/>
          <w:lang w:val="fr-FR"/>
        </w:rPr>
        <w:t>’</w:t>
      </w:r>
      <w:r w:rsidR="002E3964" w:rsidRPr="00293B75">
        <w:rPr>
          <w:rFonts w:cs="Arial"/>
          <w:lang w:val="fr-FR"/>
        </w:rPr>
        <w:t>un expert du Mexique sur le logiciel SISNAVA que le Mexique proposait d</w:t>
      </w:r>
      <w:r w:rsidR="00FE442F" w:rsidRPr="00293B75">
        <w:rPr>
          <w:rFonts w:cs="Arial"/>
          <w:lang w:val="fr-FR"/>
        </w:rPr>
        <w:t>’</w:t>
      </w:r>
      <w:r w:rsidR="00142568" w:rsidRPr="00293B75">
        <w:rPr>
          <w:rFonts w:cs="Arial"/>
          <w:lang w:val="fr-FR"/>
        </w:rPr>
        <w:t>ajout</w:t>
      </w:r>
      <w:r w:rsidR="002E3964" w:rsidRPr="00293B75">
        <w:rPr>
          <w:rFonts w:cs="Arial"/>
          <w:lang w:val="fr-FR"/>
        </w:rPr>
        <w:t xml:space="preserve">er </w:t>
      </w:r>
      <w:r w:rsidR="00142568" w:rsidRPr="00293B75">
        <w:rPr>
          <w:rFonts w:cs="Arial"/>
          <w:lang w:val="fr-FR"/>
        </w:rPr>
        <w:t xml:space="preserve">à la liste établie </w:t>
      </w:r>
      <w:r w:rsidR="002E3964" w:rsidRPr="00293B75">
        <w:rPr>
          <w:rFonts w:cs="Arial"/>
          <w:lang w:val="fr-FR"/>
        </w:rPr>
        <w:t xml:space="preserve">dans le document UPOV/INF/16 “Logiciels échangeables” </w:t>
      </w:r>
      <w:r w:rsidR="002C6A32" w:rsidRPr="00293B75">
        <w:rPr>
          <w:rFonts w:cs="Arial"/>
          <w:lang w:val="fr-FR"/>
        </w:rPr>
        <w:t xml:space="preserve">et est convenu que la question devait être étudiée davantage. </w:t>
      </w:r>
      <w:r w:rsidR="00FE442F" w:rsidRPr="00293B75">
        <w:rPr>
          <w:rFonts w:cs="Arial"/>
          <w:lang w:val="fr-FR"/>
        </w:rPr>
        <w:t xml:space="preserve"> Le TWC</w:t>
      </w:r>
      <w:r w:rsidR="002C6A32" w:rsidRPr="00293B75">
        <w:rPr>
          <w:rFonts w:cs="Arial"/>
          <w:lang w:val="fr-FR"/>
        </w:rPr>
        <w:t xml:space="preserve"> a pris note des explications concernant le logiciel “Information System (IS) used for Test and Protection of Plant Varieties in the Russian Federation”</w:t>
      </w:r>
      <w:r w:rsidR="00A04A5C" w:rsidRPr="00293B75">
        <w:rPr>
          <w:rFonts w:cs="Arial"/>
          <w:lang w:val="fr-FR"/>
        </w:rPr>
        <w:t>, présentées à l</w:t>
      </w:r>
      <w:r w:rsidR="00FE442F" w:rsidRPr="00293B75">
        <w:rPr>
          <w:rFonts w:cs="Arial"/>
          <w:lang w:val="fr-FR"/>
        </w:rPr>
        <w:t>’</w:t>
      </w:r>
      <w:r w:rsidR="00A04A5C" w:rsidRPr="00293B75">
        <w:rPr>
          <w:rFonts w:cs="Arial"/>
          <w:lang w:val="fr-FR"/>
        </w:rPr>
        <w:t>annexe</w:t>
      </w:r>
      <w:r w:rsidR="00004203" w:rsidRPr="00293B75">
        <w:rPr>
          <w:rFonts w:cs="Arial"/>
          <w:lang w:val="fr-FR"/>
        </w:rPr>
        <w:t> </w:t>
      </w:r>
      <w:r w:rsidR="00A04A5C" w:rsidRPr="00293B75">
        <w:rPr>
          <w:rFonts w:cs="Arial"/>
          <w:lang w:val="fr-FR"/>
        </w:rPr>
        <w:t>IV du document TWC/32/7.</w:t>
      </w:r>
    </w:p>
    <w:p w:rsidR="00AD5031" w:rsidRPr="00293B75" w:rsidRDefault="00AD5031" w:rsidP="007005BA">
      <w:pPr>
        <w:autoSpaceDE w:val="0"/>
        <w:autoSpaceDN w:val="0"/>
        <w:adjustRightInd w:val="0"/>
        <w:rPr>
          <w:rFonts w:cs="Arial"/>
          <w:lang w:val="fr-FR"/>
        </w:rPr>
      </w:pPr>
    </w:p>
    <w:p w:rsidR="00B76828"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B76828" w:rsidRPr="00293B75">
        <w:rPr>
          <w:rFonts w:cs="Arial"/>
          <w:lang w:val="fr-FR"/>
        </w:rPr>
        <w:t>Le TWC a suivi un exposé présenté par la Chine sur le thème des “Bases de données sur la protection des obtentions végétales en Chine”, qui figure à l</w:t>
      </w:r>
      <w:r w:rsidR="00FE442F" w:rsidRPr="00293B75">
        <w:rPr>
          <w:rFonts w:cs="Arial"/>
          <w:lang w:val="fr-FR"/>
        </w:rPr>
        <w:t>’</w:t>
      </w:r>
      <w:r w:rsidR="00B76828" w:rsidRPr="00293B75">
        <w:rPr>
          <w:rFonts w:cs="Arial"/>
          <w:lang w:val="fr-FR"/>
        </w:rPr>
        <w:t>annexe</w:t>
      </w:r>
      <w:r w:rsidR="00004203" w:rsidRPr="00293B75">
        <w:rPr>
          <w:rFonts w:cs="Arial"/>
          <w:lang w:val="fr-FR"/>
        </w:rPr>
        <w:t> </w:t>
      </w:r>
      <w:r w:rsidR="00B76828" w:rsidRPr="00293B75">
        <w:rPr>
          <w:rFonts w:cs="Arial"/>
          <w:lang w:val="fr-FR"/>
        </w:rPr>
        <w:t xml:space="preserve">II du document TWC/32/6. </w:t>
      </w:r>
      <w:r w:rsidR="00FE442F" w:rsidRPr="00293B75">
        <w:rPr>
          <w:rFonts w:cs="Arial"/>
          <w:lang w:val="fr-FR"/>
        </w:rPr>
        <w:t xml:space="preserve"> Le TWC</w:t>
      </w:r>
      <w:r w:rsidR="00B76828" w:rsidRPr="00293B75">
        <w:rPr>
          <w:rFonts w:cs="Arial"/>
          <w:lang w:val="fr-FR"/>
        </w:rPr>
        <w:t xml:space="preserve"> a noté que le nouveau logiciel comprenait des modules pour la gestion des demandes, les bases de données sur les descriptions variétales, l</w:t>
      </w:r>
      <w:r w:rsidR="00FE442F" w:rsidRPr="00293B75">
        <w:rPr>
          <w:rFonts w:cs="Arial"/>
          <w:lang w:val="fr-FR"/>
        </w:rPr>
        <w:t>’</w:t>
      </w:r>
      <w:r w:rsidR="00B76828" w:rsidRPr="00293B75">
        <w:rPr>
          <w:rFonts w:cs="Arial"/>
          <w:lang w:val="fr-FR"/>
        </w:rPr>
        <w:t>analyse des données et l</w:t>
      </w:r>
      <w:r w:rsidR="00FE442F" w:rsidRPr="00293B75">
        <w:rPr>
          <w:rFonts w:cs="Arial"/>
          <w:lang w:val="fr-FR"/>
        </w:rPr>
        <w:t>’</w:t>
      </w:r>
      <w:r w:rsidR="00B76828" w:rsidRPr="00293B75">
        <w:rPr>
          <w:rFonts w:cs="Arial"/>
          <w:lang w:val="fr-FR"/>
        </w:rPr>
        <w:t>analyse d</w:t>
      </w:r>
      <w:r w:rsidR="00FE442F" w:rsidRPr="00293B75">
        <w:rPr>
          <w:rFonts w:cs="Arial"/>
          <w:lang w:val="fr-FR"/>
        </w:rPr>
        <w:t>’</w:t>
      </w:r>
      <w:r w:rsidR="00B76828" w:rsidRPr="00293B75">
        <w:rPr>
          <w:rFonts w:cs="Arial"/>
          <w:lang w:val="fr-FR"/>
        </w:rPr>
        <w:t>images.</w:t>
      </w:r>
    </w:p>
    <w:p w:rsidR="00AD5031" w:rsidRPr="00293B75" w:rsidRDefault="00AD5031" w:rsidP="007005BA">
      <w:pPr>
        <w:autoSpaceDE w:val="0"/>
        <w:autoSpaceDN w:val="0"/>
        <w:adjustRightInd w:val="0"/>
        <w:rPr>
          <w:rFonts w:cs="Arial"/>
          <w:lang w:val="fr-FR"/>
        </w:rPr>
      </w:pPr>
    </w:p>
    <w:p w:rsidR="00B06B7F"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B06B7F" w:rsidRPr="00293B75">
        <w:rPr>
          <w:rFonts w:cs="Arial"/>
          <w:lang w:val="fr-FR"/>
        </w:rPr>
        <w:t>Le TWC a écouté l</w:t>
      </w:r>
      <w:r w:rsidR="00FE442F" w:rsidRPr="00293B75">
        <w:rPr>
          <w:rFonts w:cs="Arial"/>
          <w:lang w:val="fr-FR"/>
        </w:rPr>
        <w:t>’</w:t>
      </w:r>
      <w:r w:rsidR="00B06B7F" w:rsidRPr="00293B75">
        <w:rPr>
          <w:rFonts w:cs="Arial"/>
          <w:lang w:val="fr-FR"/>
        </w:rPr>
        <w:t>exposé d</w:t>
      </w:r>
      <w:r w:rsidR="00FE442F" w:rsidRPr="00293B75">
        <w:rPr>
          <w:rFonts w:cs="Arial"/>
          <w:lang w:val="fr-FR"/>
        </w:rPr>
        <w:t>’</w:t>
      </w:r>
      <w:r w:rsidR="00B06B7F" w:rsidRPr="00293B75">
        <w:rPr>
          <w:rFonts w:cs="Arial"/>
          <w:lang w:val="fr-FR"/>
        </w:rPr>
        <w:t>un expert de l</w:t>
      </w:r>
      <w:r w:rsidR="00FE442F" w:rsidRPr="00293B75">
        <w:rPr>
          <w:rFonts w:cs="Arial"/>
          <w:lang w:val="fr-FR"/>
        </w:rPr>
        <w:t>’</w:t>
      </w:r>
      <w:r w:rsidR="00B06B7F" w:rsidRPr="00293B75">
        <w:rPr>
          <w:rFonts w:cs="Arial"/>
          <w:lang w:val="fr-FR"/>
        </w:rPr>
        <w:t>Allemagne</w:t>
      </w:r>
      <w:r w:rsidR="00696758" w:rsidRPr="00293B75">
        <w:rPr>
          <w:rFonts w:cs="Arial"/>
          <w:lang w:val="fr-FR"/>
        </w:rPr>
        <w:t>,</w:t>
      </w:r>
      <w:r w:rsidR="00B06B7F" w:rsidRPr="00293B75">
        <w:rPr>
          <w:rFonts w:cs="Arial"/>
          <w:lang w:val="fr-FR"/>
        </w:rPr>
        <w:t xml:space="preserve"> qui est reproduit à l</w:t>
      </w:r>
      <w:r w:rsidR="00FE442F" w:rsidRPr="00293B75">
        <w:rPr>
          <w:rFonts w:cs="Arial"/>
          <w:lang w:val="fr-FR"/>
        </w:rPr>
        <w:t>’</w:t>
      </w:r>
      <w:r w:rsidR="00B06B7F" w:rsidRPr="00293B75">
        <w:rPr>
          <w:rFonts w:cs="Arial"/>
          <w:lang w:val="fr-FR"/>
        </w:rPr>
        <w:t>annexe</w:t>
      </w:r>
      <w:r w:rsidR="00004203" w:rsidRPr="00293B75">
        <w:rPr>
          <w:rFonts w:cs="Arial"/>
          <w:lang w:val="fr-FR"/>
        </w:rPr>
        <w:t> </w:t>
      </w:r>
      <w:r w:rsidR="00B06B7F" w:rsidRPr="00293B75">
        <w:rPr>
          <w:rFonts w:cs="Arial"/>
          <w:lang w:val="fr-FR"/>
        </w:rPr>
        <w:t>II du document TWC/32/25 et qui est consacré sur la mise au point et les paramètres d</w:t>
      </w:r>
      <w:r w:rsidR="00FE442F" w:rsidRPr="00293B75">
        <w:rPr>
          <w:rFonts w:cs="Arial"/>
          <w:lang w:val="fr-FR"/>
        </w:rPr>
        <w:t>’</w:t>
      </w:r>
      <w:r w:rsidR="00B06B7F" w:rsidRPr="00293B75">
        <w:rPr>
          <w:rFonts w:cs="Arial"/>
          <w:lang w:val="fr-FR"/>
        </w:rPr>
        <w:t xml:space="preserve">un système de gestion des documents ayant trait aux </w:t>
      </w:r>
      <w:r w:rsidR="00BA51CF" w:rsidRPr="00293B75">
        <w:rPr>
          <w:rFonts w:cs="Arial"/>
          <w:lang w:val="fr-FR"/>
        </w:rPr>
        <w:t>variétés</w:t>
      </w:r>
      <w:r w:rsidR="00B06B7F" w:rsidRPr="00293B75">
        <w:rPr>
          <w:rFonts w:cs="Arial"/>
          <w:lang w:val="fr-FR"/>
        </w:rPr>
        <w:t xml:space="preserve"> en Allemagne.</w:t>
      </w:r>
    </w:p>
    <w:p w:rsidR="00AD5031" w:rsidRPr="00293B75" w:rsidRDefault="00AD5031" w:rsidP="007005BA">
      <w:pPr>
        <w:autoSpaceDE w:val="0"/>
        <w:autoSpaceDN w:val="0"/>
        <w:adjustRightInd w:val="0"/>
        <w:rPr>
          <w:rFonts w:cs="Arial"/>
          <w:lang w:val="fr-FR"/>
        </w:rPr>
      </w:pPr>
    </w:p>
    <w:p w:rsidR="00AD5031"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513AF6" w:rsidRPr="00293B75">
        <w:rPr>
          <w:rFonts w:cs="Arial"/>
          <w:lang w:val="fr-FR"/>
        </w:rPr>
        <w:t>Le TWC a pris note d</w:t>
      </w:r>
      <w:r w:rsidR="00FE442F" w:rsidRPr="00293B75">
        <w:rPr>
          <w:rFonts w:cs="Arial"/>
          <w:lang w:val="fr-FR"/>
        </w:rPr>
        <w:t>’</w:t>
      </w:r>
      <w:r w:rsidR="00513AF6" w:rsidRPr="00293B75">
        <w:rPr>
          <w:rFonts w:cs="Arial"/>
          <w:lang w:val="fr-FR"/>
        </w:rPr>
        <w:t>un résumé d</w:t>
      </w:r>
      <w:r w:rsidR="00FE442F" w:rsidRPr="00293B75">
        <w:rPr>
          <w:rFonts w:cs="Arial"/>
          <w:lang w:val="fr-FR"/>
        </w:rPr>
        <w:t>’</w:t>
      </w:r>
      <w:r w:rsidR="00513AF6" w:rsidRPr="00293B75">
        <w:rPr>
          <w:rFonts w:cs="Arial"/>
          <w:lang w:val="fr-FR"/>
        </w:rPr>
        <w:t>informations issues de l</w:t>
      </w:r>
      <w:r w:rsidR="00FE442F" w:rsidRPr="00293B75">
        <w:rPr>
          <w:rFonts w:cs="Arial"/>
          <w:lang w:val="fr-FR"/>
        </w:rPr>
        <w:t>’</w:t>
      </w:r>
      <w:r w:rsidR="00513AF6" w:rsidRPr="00293B75">
        <w:rPr>
          <w:rFonts w:cs="Arial"/>
          <w:lang w:val="fr-FR"/>
        </w:rPr>
        <w:t>enquête actualisée sur les dispositifs portatifs de saisie des données</w:t>
      </w:r>
      <w:r w:rsidR="00142568" w:rsidRPr="00293B75">
        <w:rPr>
          <w:rFonts w:cs="Arial"/>
          <w:lang w:val="fr-FR"/>
        </w:rPr>
        <w:t>,</w:t>
      </w:r>
      <w:r w:rsidR="00513AF6" w:rsidRPr="00293B75">
        <w:rPr>
          <w:rFonts w:cs="Arial"/>
          <w:lang w:val="fr-FR"/>
        </w:rPr>
        <w:t xml:space="preserve"> qui figure à l</w:t>
      </w:r>
      <w:r w:rsidR="00FE442F" w:rsidRPr="00293B75">
        <w:rPr>
          <w:rFonts w:cs="Arial"/>
          <w:lang w:val="fr-FR"/>
        </w:rPr>
        <w:t>’</w:t>
      </w:r>
      <w:r w:rsidR="00513AF6" w:rsidRPr="00293B75">
        <w:rPr>
          <w:rFonts w:cs="Arial"/>
          <w:lang w:val="fr-FR"/>
        </w:rPr>
        <w:t>annexe</w:t>
      </w:r>
      <w:r w:rsidR="00004203" w:rsidRPr="00293B75">
        <w:rPr>
          <w:rFonts w:cs="Arial"/>
          <w:lang w:val="fr-FR"/>
        </w:rPr>
        <w:t> </w:t>
      </w:r>
      <w:r w:rsidR="00513AF6" w:rsidRPr="00293B75">
        <w:rPr>
          <w:rFonts w:cs="Arial"/>
          <w:lang w:val="fr-FR"/>
        </w:rPr>
        <w:t>I du document TWC/32/27</w:t>
      </w:r>
      <w:r w:rsidR="00142568" w:rsidRPr="00293B75">
        <w:rPr>
          <w:rFonts w:cs="Arial"/>
          <w:lang w:val="fr-FR"/>
        </w:rPr>
        <w:t>,</w:t>
      </w:r>
      <w:r w:rsidR="00513AF6" w:rsidRPr="00293B75">
        <w:rPr>
          <w:rFonts w:cs="Arial"/>
          <w:lang w:val="fr-FR"/>
        </w:rPr>
        <w:t xml:space="preserve"> et a fait savoir que ces informations pourraient être incluses dans le document UPOV/INF/22 </w:t>
      </w:r>
      <w:r w:rsidR="00831EBF" w:rsidRPr="00293B75">
        <w:rPr>
          <w:rFonts w:cs="Arial"/>
          <w:lang w:val="fr-FR"/>
        </w:rPr>
        <w:t>“Logiciels et équipements utilisés par les membres de l</w:t>
      </w:r>
      <w:r w:rsidR="00FE442F" w:rsidRPr="00293B75">
        <w:rPr>
          <w:rFonts w:cs="Arial"/>
          <w:lang w:val="fr-FR"/>
        </w:rPr>
        <w:t>’</w:t>
      </w:r>
      <w:r w:rsidR="00831EBF" w:rsidRPr="00293B75">
        <w:rPr>
          <w:rFonts w:cs="Arial"/>
          <w:lang w:val="fr-FR"/>
        </w:rPr>
        <w:t>Union”.  Un expert de l</w:t>
      </w:r>
      <w:r w:rsidR="00FE442F" w:rsidRPr="00293B75">
        <w:rPr>
          <w:rFonts w:cs="Arial"/>
          <w:lang w:val="fr-FR"/>
        </w:rPr>
        <w:t>’</w:t>
      </w:r>
      <w:r w:rsidR="00831EBF" w:rsidRPr="00293B75">
        <w:rPr>
          <w:rFonts w:cs="Arial"/>
          <w:lang w:val="fr-FR"/>
        </w:rPr>
        <w:t>Allemagne a présenté un exposé sur l</w:t>
      </w:r>
      <w:r w:rsidR="00FE442F" w:rsidRPr="00293B75">
        <w:rPr>
          <w:rFonts w:cs="Arial"/>
          <w:lang w:val="fr-FR"/>
        </w:rPr>
        <w:t>’</w:t>
      </w:r>
      <w:r w:rsidR="00831EBF" w:rsidRPr="00293B75">
        <w:rPr>
          <w:rFonts w:cs="Arial"/>
          <w:lang w:val="fr-FR"/>
        </w:rPr>
        <w:t>utilisation des dispositifs portatifs de saisie de données dans le cadre de l</w:t>
      </w:r>
      <w:r w:rsidR="00FE442F" w:rsidRPr="00293B75">
        <w:rPr>
          <w:rFonts w:cs="Arial"/>
          <w:lang w:val="fr-FR"/>
        </w:rPr>
        <w:t>’</w:t>
      </w:r>
      <w:r w:rsidR="00831EBF" w:rsidRPr="00293B75">
        <w:rPr>
          <w:rFonts w:cs="Arial"/>
          <w:lang w:val="fr-FR"/>
        </w:rPr>
        <w:t>examen</w:t>
      </w:r>
      <w:r w:rsidR="00004203" w:rsidRPr="00293B75">
        <w:rPr>
          <w:rFonts w:cs="Arial"/>
          <w:lang w:val="fr-FR"/>
        </w:rPr>
        <w:t> </w:t>
      </w:r>
      <w:r w:rsidR="00831EBF" w:rsidRPr="00293B75">
        <w:rPr>
          <w:rFonts w:cs="Arial"/>
          <w:lang w:val="fr-FR"/>
        </w:rPr>
        <w:t>DHS en Allemagne (document TWC/32/27, annexe</w:t>
      </w:r>
      <w:r w:rsidR="00004203" w:rsidRPr="00293B75">
        <w:rPr>
          <w:rFonts w:cs="Arial"/>
          <w:lang w:val="fr-FR"/>
        </w:rPr>
        <w:t> </w:t>
      </w:r>
      <w:r w:rsidR="00831EBF" w:rsidRPr="00293B75">
        <w:rPr>
          <w:rFonts w:cs="Arial"/>
          <w:lang w:val="fr-FR"/>
        </w:rPr>
        <w:t>II).</w:t>
      </w:r>
    </w:p>
    <w:p w:rsidR="00AD5031" w:rsidRPr="00293B75" w:rsidRDefault="00AD5031" w:rsidP="007005BA">
      <w:pPr>
        <w:autoSpaceDE w:val="0"/>
        <w:autoSpaceDN w:val="0"/>
        <w:adjustRightInd w:val="0"/>
        <w:rPr>
          <w:rFonts w:cs="Arial"/>
          <w:lang w:val="fr-FR"/>
        </w:rPr>
      </w:pPr>
    </w:p>
    <w:p w:rsidR="00FE442F"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E52213" w:rsidRPr="00293B75">
        <w:rPr>
          <w:rFonts w:cs="Arial"/>
          <w:lang w:val="fr-FR"/>
        </w:rPr>
        <w:t>Le</w:t>
      </w:r>
      <w:r w:rsidR="00696758" w:rsidRPr="00293B75">
        <w:rPr>
          <w:rFonts w:cs="Arial"/>
          <w:lang w:val="fr-FR"/>
        </w:rPr>
        <w:t xml:space="preserve"> TWC </w:t>
      </w:r>
      <w:r w:rsidR="00E52213" w:rsidRPr="00293B75">
        <w:rPr>
          <w:rFonts w:cs="Arial"/>
          <w:lang w:val="fr-FR"/>
        </w:rPr>
        <w:t>a examiné le</w:t>
      </w:r>
      <w:r w:rsidR="00696758" w:rsidRPr="00293B75">
        <w:rPr>
          <w:rFonts w:cs="Arial"/>
          <w:lang w:val="fr-FR"/>
        </w:rPr>
        <w:t xml:space="preserve"> document TWC/32/11,</w:t>
      </w:r>
      <w:r w:rsidR="00E52213" w:rsidRPr="00293B75">
        <w:rPr>
          <w:rFonts w:cs="Arial"/>
          <w:lang w:val="fr-FR"/>
        </w:rPr>
        <w:t xml:space="preserve"> consacré à l</w:t>
      </w:r>
      <w:r w:rsidR="00FE442F" w:rsidRPr="00293B75">
        <w:rPr>
          <w:rFonts w:cs="Arial"/>
          <w:lang w:val="fr-FR"/>
        </w:rPr>
        <w:t>’</w:t>
      </w:r>
      <w:r w:rsidR="00E52213" w:rsidRPr="00293B75">
        <w:rPr>
          <w:rFonts w:cs="Arial"/>
          <w:lang w:val="fr-FR"/>
        </w:rPr>
        <w:t xml:space="preserve">amélioration </w:t>
      </w:r>
      <w:r w:rsidR="00142568" w:rsidRPr="00293B75">
        <w:rPr>
          <w:rFonts w:cs="Arial"/>
          <w:lang w:val="fr-FR"/>
        </w:rPr>
        <w:t xml:space="preserve">de </w:t>
      </w:r>
      <w:r w:rsidR="00E52213" w:rsidRPr="00293B75">
        <w:rPr>
          <w:rFonts w:cs="Arial"/>
          <w:lang w:val="fr-FR"/>
        </w:rPr>
        <w:t>l</w:t>
      </w:r>
      <w:r w:rsidR="00FE442F" w:rsidRPr="00293B75">
        <w:rPr>
          <w:rFonts w:cs="Arial"/>
          <w:lang w:val="fr-FR"/>
        </w:rPr>
        <w:t>’</w:t>
      </w:r>
      <w:r w:rsidR="00E52213" w:rsidRPr="00293B75">
        <w:rPr>
          <w:rFonts w:cs="Arial"/>
          <w:lang w:val="fr-FR"/>
        </w:rPr>
        <w:t>efficacité du Comité technique, des groupes de travail techniques et des ateliers préparatoires</w:t>
      </w:r>
      <w:r w:rsidR="00696758" w:rsidRPr="00293B75">
        <w:rPr>
          <w:rFonts w:cs="Arial"/>
          <w:lang w:val="fr-FR"/>
        </w:rPr>
        <w:t xml:space="preserve">. </w:t>
      </w:r>
      <w:r w:rsidR="00004203" w:rsidRPr="00293B75">
        <w:rPr>
          <w:rFonts w:cs="Arial"/>
          <w:lang w:val="fr-FR"/>
        </w:rPr>
        <w:t xml:space="preserve"> </w:t>
      </w:r>
      <w:r w:rsidR="00E52213" w:rsidRPr="00293B75">
        <w:rPr>
          <w:rFonts w:cs="Arial"/>
          <w:lang w:val="fr-FR"/>
        </w:rPr>
        <w:t xml:space="preserve">Les participants ont examiné les propositions </w:t>
      </w:r>
      <w:r w:rsidR="009775B0" w:rsidRPr="00293B75">
        <w:rPr>
          <w:rFonts w:cs="Arial"/>
          <w:lang w:val="fr-FR"/>
        </w:rPr>
        <w:t>relatives aux</w:t>
      </w:r>
      <w:r w:rsidR="00E52213" w:rsidRPr="00293B75">
        <w:rPr>
          <w:rFonts w:cs="Arial"/>
          <w:lang w:val="fr-FR"/>
        </w:rPr>
        <w:t xml:space="preserve"> moyens </w:t>
      </w:r>
      <w:r w:rsidR="009775B0" w:rsidRPr="00293B75">
        <w:rPr>
          <w:rFonts w:cs="Arial"/>
          <w:lang w:val="fr-FR"/>
        </w:rPr>
        <w:t>possibles</w:t>
      </w:r>
      <w:r w:rsidR="00E52213" w:rsidRPr="00293B75">
        <w:rPr>
          <w:rFonts w:cs="Arial"/>
          <w:lang w:val="fr-FR"/>
        </w:rPr>
        <w:t xml:space="preserve"> </w:t>
      </w:r>
      <w:r w:rsidR="009775B0" w:rsidRPr="00293B75">
        <w:rPr>
          <w:rFonts w:cs="Arial"/>
          <w:lang w:val="fr-FR"/>
        </w:rPr>
        <w:t>d</w:t>
      </w:r>
      <w:r w:rsidR="00FE442F" w:rsidRPr="00293B75">
        <w:rPr>
          <w:rFonts w:cs="Arial"/>
          <w:lang w:val="fr-FR"/>
        </w:rPr>
        <w:t>’</w:t>
      </w:r>
      <w:r w:rsidR="00E52213" w:rsidRPr="00293B75">
        <w:rPr>
          <w:rFonts w:cs="Arial"/>
          <w:lang w:val="fr-FR"/>
        </w:rPr>
        <w:t>améliorer l</w:t>
      </w:r>
      <w:r w:rsidR="00FE442F" w:rsidRPr="00293B75">
        <w:rPr>
          <w:rFonts w:cs="Arial"/>
          <w:lang w:val="fr-FR"/>
        </w:rPr>
        <w:t>’</w:t>
      </w:r>
      <w:r w:rsidR="00E52213" w:rsidRPr="00293B75">
        <w:rPr>
          <w:rFonts w:cs="Arial"/>
          <w:lang w:val="fr-FR"/>
        </w:rPr>
        <w:t>efficacité</w:t>
      </w:r>
      <w:r w:rsidR="009775B0" w:rsidRPr="00293B75">
        <w:rPr>
          <w:rFonts w:cs="Arial"/>
          <w:lang w:val="fr-FR"/>
        </w:rPr>
        <w:t xml:space="preserve"> de ces organes</w:t>
      </w:r>
      <w:r w:rsidR="00E52213" w:rsidRPr="00293B75">
        <w:rPr>
          <w:rFonts w:cs="Arial"/>
          <w:lang w:val="fr-FR"/>
        </w:rPr>
        <w:t xml:space="preserve"> et ont formulé des commentaires.</w:t>
      </w:r>
    </w:p>
    <w:p w:rsidR="00AD5031" w:rsidRPr="00293B75" w:rsidRDefault="00AD5031" w:rsidP="007005BA">
      <w:pPr>
        <w:autoSpaceDE w:val="0"/>
        <w:autoSpaceDN w:val="0"/>
        <w:adjustRightInd w:val="0"/>
        <w:rPr>
          <w:rFonts w:cs="Arial"/>
          <w:lang w:val="fr-FR"/>
        </w:rPr>
      </w:pPr>
    </w:p>
    <w:p w:rsidR="00FE442F"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A1475E" w:rsidRPr="00293B75">
        <w:rPr>
          <w:rFonts w:cs="Arial"/>
          <w:lang w:val="fr-FR"/>
        </w:rPr>
        <w:t>Une médaille de bronze de l</w:t>
      </w:r>
      <w:r w:rsidR="00FE442F" w:rsidRPr="00293B75">
        <w:rPr>
          <w:rFonts w:cs="Arial"/>
          <w:lang w:val="fr-FR"/>
        </w:rPr>
        <w:t>’</w:t>
      </w:r>
      <w:r w:rsidR="00A1475E" w:rsidRPr="00293B75">
        <w:rPr>
          <w:rFonts w:cs="Arial"/>
          <w:lang w:val="fr-FR"/>
        </w:rPr>
        <w:t>UPOV a été décernée à M. Sami Markkanen pour le remercie</w:t>
      </w:r>
      <w:r w:rsidR="00D428D2" w:rsidRPr="00293B75">
        <w:rPr>
          <w:rFonts w:cs="Arial"/>
          <w:lang w:val="fr-FR"/>
        </w:rPr>
        <w:t>r d</w:t>
      </w:r>
      <w:r w:rsidR="00FE442F" w:rsidRPr="00293B75">
        <w:rPr>
          <w:rFonts w:cs="Arial"/>
          <w:lang w:val="fr-FR"/>
        </w:rPr>
        <w:t>’</w:t>
      </w:r>
      <w:r w:rsidR="00D428D2" w:rsidRPr="00293B75">
        <w:rPr>
          <w:rFonts w:cs="Arial"/>
          <w:lang w:val="fr-FR"/>
        </w:rPr>
        <w:t>avoir présidé le TWC de 2012 à 2014</w:t>
      </w:r>
      <w:r w:rsidR="00A1475E" w:rsidRPr="00293B75">
        <w:rPr>
          <w:rFonts w:cs="Arial"/>
          <w:lang w:val="fr-FR"/>
        </w:rPr>
        <w:t>.</w:t>
      </w:r>
    </w:p>
    <w:p w:rsidR="00AD5031" w:rsidRPr="00293B75" w:rsidRDefault="00AD5031" w:rsidP="007005BA">
      <w:pPr>
        <w:autoSpaceDE w:val="0"/>
        <w:autoSpaceDN w:val="0"/>
        <w:adjustRightInd w:val="0"/>
        <w:rPr>
          <w:rFonts w:cs="Arial"/>
          <w:lang w:val="fr-FR"/>
        </w:rPr>
      </w:pPr>
    </w:p>
    <w:p w:rsidR="00AD5031"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B57269" w:rsidRPr="00293B75">
        <w:rPr>
          <w:rFonts w:cs="Arial"/>
          <w:lang w:val="fr-FR"/>
        </w:rPr>
        <w:t>Le TWC est convenu de tenir sa trente</w:t>
      </w:r>
      <w:r w:rsidR="005535E5" w:rsidRPr="00293B75">
        <w:rPr>
          <w:rFonts w:cs="Arial"/>
          <w:lang w:val="fr-FR"/>
        </w:rPr>
        <w:noBreakHyphen/>
      </w:r>
      <w:r w:rsidR="00B57269" w:rsidRPr="00293B75">
        <w:rPr>
          <w:rFonts w:cs="Arial"/>
          <w:lang w:val="fr-FR"/>
        </w:rPr>
        <w:t>troisième</w:t>
      </w:r>
      <w:r w:rsidR="00004203" w:rsidRPr="00293B75">
        <w:rPr>
          <w:rFonts w:cs="Arial"/>
          <w:lang w:val="fr-FR"/>
        </w:rPr>
        <w:t> </w:t>
      </w:r>
      <w:r w:rsidR="00B57269" w:rsidRPr="00293B75">
        <w:rPr>
          <w:rFonts w:cs="Arial"/>
          <w:lang w:val="fr-FR"/>
        </w:rPr>
        <w:t>session à Natal (Brésil) du 3</w:t>
      </w:r>
      <w:r w:rsidR="00FE442F" w:rsidRPr="00293B75">
        <w:rPr>
          <w:rFonts w:cs="Arial"/>
          <w:lang w:val="fr-FR"/>
        </w:rPr>
        <w:t>0 juin</w:t>
      </w:r>
      <w:r w:rsidR="00B57269" w:rsidRPr="00293B75">
        <w:rPr>
          <w:rFonts w:cs="Arial"/>
          <w:lang w:val="fr-FR"/>
        </w:rPr>
        <w:t xml:space="preserve"> au </w:t>
      </w:r>
      <w:r w:rsidR="00FE442F" w:rsidRPr="00293B75">
        <w:rPr>
          <w:rFonts w:cs="Arial"/>
          <w:lang w:val="fr-FR"/>
        </w:rPr>
        <w:t>3 juillet 20</w:t>
      </w:r>
      <w:r w:rsidR="00B57269" w:rsidRPr="00293B75">
        <w:rPr>
          <w:rFonts w:cs="Arial"/>
          <w:lang w:val="fr-FR"/>
        </w:rPr>
        <w:t>15, un atelier préparatoire étant prévu le 2</w:t>
      </w:r>
      <w:r w:rsidR="00FE442F" w:rsidRPr="00293B75">
        <w:rPr>
          <w:rFonts w:cs="Arial"/>
          <w:lang w:val="fr-FR"/>
        </w:rPr>
        <w:t>9 juin 20</w:t>
      </w:r>
      <w:r w:rsidR="00B57269" w:rsidRPr="00293B75">
        <w:rPr>
          <w:rFonts w:cs="Arial"/>
          <w:lang w:val="fr-FR"/>
        </w:rPr>
        <w:t>15.</w:t>
      </w:r>
    </w:p>
    <w:p w:rsidR="00AD5031" w:rsidRPr="00293B75" w:rsidRDefault="00AD5031" w:rsidP="007005BA">
      <w:pPr>
        <w:autoSpaceDE w:val="0"/>
        <w:autoSpaceDN w:val="0"/>
        <w:adjustRightInd w:val="0"/>
        <w:rPr>
          <w:rFonts w:cs="Arial"/>
          <w:lang w:val="fr-FR"/>
        </w:rPr>
      </w:pPr>
    </w:p>
    <w:p w:rsidR="00AD5031"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252C32" w:rsidRPr="00293B75">
        <w:rPr>
          <w:rFonts w:cs="Arial"/>
          <w:lang w:val="fr-FR"/>
        </w:rPr>
        <w:t>Le TWC a proposé d</w:t>
      </w:r>
      <w:r w:rsidR="00FE442F" w:rsidRPr="00293B75">
        <w:rPr>
          <w:rFonts w:cs="Arial"/>
          <w:lang w:val="fr-FR"/>
        </w:rPr>
        <w:t>’</w:t>
      </w:r>
      <w:r w:rsidR="00252C32" w:rsidRPr="00293B75">
        <w:rPr>
          <w:rFonts w:cs="Arial"/>
          <w:lang w:val="fr-FR"/>
        </w:rPr>
        <w:t>examiner les points suivants à sa trente</w:t>
      </w:r>
      <w:r w:rsidR="005535E5" w:rsidRPr="00293B75">
        <w:rPr>
          <w:rFonts w:cs="Arial"/>
          <w:lang w:val="fr-FR"/>
        </w:rPr>
        <w:noBreakHyphen/>
      </w:r>
      <w:r w:rsidR="00252C32" w:rsidRPr="00293B75">
        <w:rPr>
          <w:rFonts w:cs="Arial"/>
          <w:lang w:val="fr-FR"/>
        </w:rPr>
        <w:t>troisième session</w:t>
      </w:r>
      <w:r w:rsidR="00004203" w:rsidRPr="00293B75">
        <w:rPr>
          <w:rFonts w:cs="Arial"/>
          <w:lang w:val="fr-FR"/>
        </w:rPr>
        <w:t> </w:t>
      </w:r>
      <w:r w:rsidR="00252C32" w:rsidRPr="00293B75">
        <w:rPr>
          <w:rFonts w:cs="Arial"/>
          <w:lang w:val="fr-FR"/>
        </w:rPr>
        <w:t>:</w:t>
      </w:r>
    </w:p>
    <w:p w:rsidR="00AD5031" w:rsidRPr="00293B75" w:rsidRDefault="00AD5031" w:rsidP="007005BA">
      <w:pPr>
        <w:autoSpaceDE w:val="0"/>
        <w:autoSpaceDN w:val="0"/>
        <w:adjustRightInd w:val="0"/>
        <w:rPr>
          <w:rFonts w:cs="Arial"/>
          <w:lang w:val="fr-FR"/>
        </w:rPr>
      </w:pPr>
    </w:p>
    <w:p w:rsidR="00AD5031" w:rsidRPr="00293B75" w:rsidRDefault="00252C32" w:rsidP="007005BA">
      <w:pPr>
        <w:tabs>
          <w:tab w:val="num" w:pos="1134"/>
        </w:tabs>
        <w:spacing w:before="20" w:afterLines="20" w:after="48"/>
        <w:ind w:left="1134" w:hanging="567"/>
        <w:rPr>
          <w:rFonts w:cs="Arial"/>
          <w:lang w:val="fr-FR"/>
        </w:rPr>
      </w:pPr>
      <w:r w:rsidRPr="00293B75">
        <w:rPr>
          <w:rFonts w:cs="Arial"/>
          <w:lang w:val="fr-FR"/>
        </w:rPr>
        <w:t>1.</w:t>
      </w:r>
      <w:r w:rsidRPr="00293B75">
        <w:rPr>
          <w:rFonts w:cs="Arial"/>
          <w:lang w:val="fr-FR"/>
        </w:rPr>
        <w:tab/>
        <w:t>Ouverture de la session</w:t>
      </w:r>
    </w:p>
    <w:p w:rsidR="00AD5031" w:rsidRPr="00293B75" w:rsidRDefault="00252C32" w:rsidP="007005BA">
      <w:pPr>
        <w:tabs>
          <w:tab w:val="num" w:pos="1134"/>
        </w:tabs>
        <w:spacing w:before="20" w:afterLines="20" w:after="48"/>
        <w:ind w:left="1134" w:hanging="567"/>
        <w:rPr>
          <w:rFonts w:cs="Arial"/>
          <w:lang w:val="fr-FR"/>
        </w:rPr>
      </w:pPr>
      <w:r w:rsidRPr="00293B75">
        <w:rPr>
          <w:rFonts w:cs="Arial"/>
          <w:lang w:val="fr-FR"/>
        </w:rPr>
        <w:t>2.</w:t>
      </w:r>
      <w:r w:rsidRPr="00293B75">
        <w:rPr>
          <w:rFonts w:cs="Arial"/>
          <w:lang w:val="fr-FR"/>
        </w:rPr>
        <w:tab/>
        <w:t>Adoption de l</w:t>
      </w:r>
      <w:r w:rsidR="00FE442F" w:rsidRPr="00293B75">
        <w:rPr>
          <w:rFonts w:cs="Arial"/>
          <w:lang w:val="fr-FR"/>
        </w:rPr>
        <w:t>’</w:t>
      </w:r>
      <w:r w:rsidRPr="00293B75">
        <w:rPr>
          <w:rFonts w:cs="Arial"/>
          <w:lang w:val="fr-FR"/>
        </w:rPr>
        <w:t>ordre du jour</w:t>
      </w:r>
    </w:p>
    <w:p w:rsidR="00AD5031" w:rsidRPr="00293B75" w:rsidRDefault="00252C32" w:rsidP="007005BA">
      <w:pPr>
        <w:tabs>
          <w:tab w:val="num" w:pos="1134"/>
        </w:tabs>
        <w:spacing w:before="20" w:afterLines="20" w:after="48"/>
        <w:ind w:left="1134" w:hanging="567"/>
        <w:rPr>
          <w:rFonts w:cs="Arial"/>
          <w:lang w:val="fr-FR"/>
        </w:rPr>
      </w:pPr>
      <w:r w:rsidRPr="00293B75">
        <w:rPr>
          <w:rFonts w:cs="Arial"/>
          <w:lang w:val="fr-FR"/>
        </w:rPr>
        <w:t>3.</w:t>
      </w:r>
      <w:r w:rsidRPr="00293B75">
        <w:rPr>
          <w:rFonts w:cs="Arial"/>
          <w:lang w:val="fr-FR"/>
        </w:rPr>
        <w:tab/>
        <w:t>Rapports succincts sur l</w:t>
      </w:r>
      <w:r w:rsidR="00FE442F" w:rsidRPr="00293B75">
        <w:rPr>
          <w:rFonts w:cs="Arial"/>
          <w:lang w:val="fr-FR"/>
        </w:rPr>
        <w:t>’</w:t>
      </w:r>
      <w:r w:rsidRPr="00293B75">
        <w:rPr>
          <w:rFonts w:cs="Arial"/>
          <w:lang w:val="fr-FR"/>
        </w:rPr>
        <w:t>évolution de la situation en matière de protection des obtentions végétales :</w:t>
      </w:r>
    </w:p>
    <w:p w:rsidR="00AD5031" w:rsidRPr="00293B75" w:rsidRDefault="00696758" w:rsidP="007005BA">
      <w:pPr>
        <w:tabs>
          <w:tab w:val="num" w:pos="1134"/>
          <w:tab w:val="left" w:pos="1630"/>
          <w:tab w:val="left" w:pos="1843"/>
        </w:tabs>
        <w:spacing w:before="20" w:afterLines="20" w:after="48"/>
        <w:ind w:left="1134" w:hanging="567"/>
        <w:rPr>
          <w:rFonts w:cs="Arial"/>
          <w:lang w:val="fr-FR"/>
        </w:rPr>
      </w:pPr>
      <w:r w:rsidRPr="00293B75">
        <w:rPr>
          <w:rFonts w:cs="Arial"/>
          <w:lang w:val="fr-FR"/>
        </w:rPr>
        <w:tab/>
      </w:r>
      <w:r w:rsidR="00252C32" w:rsidRPr="00293B75">
        <w:rPr>
          <w:rFonts w:cs="Arial"/>
          <w:lang w:val="fr-FR"/>
        </w:rPr>
        <w:t>a)</w:t>
      </w:r>
      <w:r w:rsidR="00252C32" w:rsidRPr="00293B75">
        <w:rPr>
          <w:rFonts w:cs="Arial"/>
          <w:lang w:val="fr-FR"/>
        </w:rPr>
        <w:tab/>
        <w:t>Rapports des membres et des observateurs</w:t>
      </w:r>
    </w:p>
    <w:p w:rsidR="00FE442F" w:rsidRPr="00293B75" w:rsidRDefault="00696758" w:rsidP="007005BA">
      <w:pPr>
        <w:tabs>
          <w:tab w:val="num" w:pos="1134"/>
          <w:tab w:val="left" w:pos="1620"/>
          <w:tab w:val="left" w:pos="1900"/>
        </w:tabs>
        <w:spacing w:before="20" w:afterLines="20" w:after="48"/>
        <w:ind w:left="1134" w:hanging="567"/>
        <w:rPr>
          <w:rFonts w:cs="Arial"/>
          <w:lang w:val="fr-FR"/>
        </w:rPr>
      </w:pPr>
      <w:r w:rsidRPr="00293B75">
        <w:rPr>
          <w:rFonts w:cs="Arial"/>
          <w:lang w:val="fr-FR"/>
        </w:rPr>
        <w:tab/>
      </w:r>
      <w:r w:rsidR="00252C32" w:rsidRPr="00293B75">
        <w:rPr>
          <w:rFonts w:cs="Arial"/>
          <w:lang w:val="fr-FR"/>
        </w:rPr>
        <w:t>b)</w:t>
      </w:r>
      <w:r w:rsidR="00252C32" w:rsidRPr="00293B75">
        <w:rPr>
          <w:rFonts w:cs="Arial"/>
          <w:lang w:val="fr-FR"/>
        </w:rPr>
        <w:tab/>
        <w:t>Rapports sur les faits nouveaux intervenus à l</w:t>
      </w:r>
      <w:r w:rsidR="00FE442F" w:rsidRPr="00293B75">
        <w:rPr>
          <w:rFonts w:cs="Arial"/>
          <w:lang w:val="fr-FR"/>
        </w:rPr>
        <w:t>’</w:t>
      </w:r>
      <w:r w:rsidR="00252C32" w:rsidRPr="00293B75">
        <w:rPr>
          <w:rFonts w:cs="Arial"/>
          <w:lang w:val="fr-FR"/>
        </w:rPr>
        <w:t>UPOV</w:t>
      </w:r>
    </w:p>
    <w:p w:rsidR="00AD5031" w:rsidRPr="00293B75" w:rsidRDefault="00252C32" w:rsidP="007005BA">
      <w:pPr>
        <w:tabs>
          <w:tab w:val="num" w:pos="1134"/>
        </w:tabs>
        <w:spacing w:before="20" w:afterLines="20" w:after="48"/>
        <w:ind w:left="1134" w:hanging="567"/>
        <w:rPr>
          <w:rFonts w:cs="Arial"/>
          <w:lang w:val="fr-FR"/>
        </w:rPr>
      </w:pPr>
      <w:r w:rsidRPr="00293B75">
        <w:rPr>
          <w:rFonts w:cs="Arial"/>
          <w:lang w:val="fr-FR"/>
        </w:rPr>
        <w:t>4.</w:t>
      </w:r>
      <w:r w:rsidRPr="00293B75">
        <w:rPr>
          <w:rFonts w:cs="Arial"/>
          <w:lang w:val="fr-FR"/>
        </w:rPr>
        <w:tab/>
        <w:t>Techniques moléculaires</w:t>
      </w:r>
    </w:p>
    <w:p w:rsidR="00FE442F" w:rsidRPr="00293B75" w:rsidRDefault="00252C32" w:rsidP="007005BA">
      <w:pPr>
        <w:tabs>
          <w:tab w:val="num" w:pos="1134"/>
        </w:tabs>
        <w:spacing w:before="20" w:afterLines="20" w:after="48"/>
        <w:ind w:left="1134" w:hanging="567"/>
        <w:rPr>
          <w:rFonts w:cs="Arial"/>
          <w:lang w:val="fr-FR"/>
        </w:rPr>
      </w:pPr>
      <w:r w:rsidRPr="00293B75">
        <w:rPr>
          <w:rFonts w:cs="Arial"/>
          <w:lang w:val="fr-FR"/>
        </w:rPr>
        <w:t>5.</w:t>
      </w:r>
      <w:r w:rsidRPr="00293B75">
        <w:rPr>
          <w:rFonts w:cs="Arial"/>
          <w:lang w:val="fr-FR"/>
        </w:rPr>
        <w:tab/>
        <w:t>Amélioration de l</w:t>
      </w:r>
      <w:r w:rsidR="00FE442F" w:rsidRPr="00293B75">
        <w:rPr>
          <w:rFonts w:cs="Arial"/>
          <w:lang w:val="fr-FR"/>
        </w:rPr>
        <w:t>’</w:t>
      </w:r>
      <w:r w:rsidRPr="00293B75">
        <w:rPr>
          <w:rFonts w:cs="Arial"/>
          <w:lang w:val="fr-FR"/>
        </w:rPr>
        <w:t>efficacité du Comité technique, des groupes de travail techniques et des ateliers préparatoires</w:t>
      </w:r>
    </w:p>
    <w:p w:rsidR="00FE442F" w:rsidRPr="00293B75" w:rsidRDefault="00252C32" w:rsidP="007005BA">
      <w:pPr>
        <w:tabs>
          <w:tab w:val="num" w:pos="1134"/>
        </w:tabs>
        <w:spacing w:before="20" w:afterLines="20" w:after="48"/>
        <w:ind w:left="1134" w:hanging="567"/>
        <w:rPr>
          <w:rFonts w:cs="Arial"/>
          <w:lang w:val="fr-FR"/>
        </w:rPr>
      </w:pPr>
      <w:r w:rsidRPr="00293B75">
        <w:rPr>
          <w:rFonts w:cs="Arial"/>
          <w:lang w:val="fr-FR"/>
        </w:rPr>
        <w:t>6.</w:t>
      </w:r>
      <w:r w:rsidRPr="00293B75">
        <w:rPr>
          <w:rFonts w:cs="Arial"/>
          <w:lang w:val="fr-FR"/>
        </w:rPr>
        <w:tab/>
        <w:t>Documents TGP</w:t>
      </w:r>
    </w:p>
    <w:p w:rsidR="00AD5031" w:rsidRPr="00293B75" w:rsidRDefault="00252C32" w:rsidP="00096CD1">
      <w:pPr>
        <w:keepNext/>
        <w:tabs>
          <w:tab w:val="num" w:pos="1134"/>
        </w:tabs>
        <w:spacing w:before="20" w:afterLines="20" w:after="48"/>
        <w:ind w:left="1134" w:hanging="567"/>
        <w:rPr>
          <w:rFonts w:cs="Arial"/>
          <w:lang w:val="fr-FR"/>
        </w:rPr>
      </w:pPr>
      <w:r w:rsidRPr="00293B75">
        <w:rPr>
          <w:rFonts w:cs="Arial"/>
          <w:lang w:val="fr-FR"/>
        </w:rPr>
        <w:t>7.</w:t>
      </w:r>
      <w:r w:rsidRPr="00293B75">
        <w:rPr>
          <w:rFonts w:cs="Arial"/>
          <w:lang w:val="fr-FR"/>
        </w:rPr>
        <w:tab/>
        <w:t>Informations et bases de données</w:t>
      </w:r>
    </w:p>
    <w:p w:rsidR="00FE442F" w:rsidRPr="00293B75" w:rsidRDefault="00B766E4" w:rsidP="007005BA">
      <w:pPr>
        <w:tabs>
          <w:tab w:val="num" w:pos="1134"/>
          <w:tab w:val="left" w:pos="1620"/>
        </w:tabs>
        <w:spacing w:before="20" w:afterLines="20" w:after="48"/>
        <w:ind w:left="1134" w:hanging="567"/>
        <w:rPr>
          <w:rFonts w:cs="Arial"/>
          <w:lang w:val="fr-FR"/>
        </w:rPr>
      </w:pPr>
      <w:r w:rsidRPr="00293B75">
        <w:rPr>
          <w:rFonts w:cs="Arial"/>
          <w:lang w:val="fr-FR"/>
        </w:rPr>
        <w:tab/>
      </w:r>
      <w:r w:rsidR="00696758" w:rsidRPr="00293B75">
        <w:rPr>
          <w:rFonts w:cs="Arial"/>
          <w:lang w:val="fr-FR"/>
        </w:rPr>
        <w:t>a)</w:t>
      </w:r>
      <w:r w:rsidR="00696758" w:rsidRPr="00293B75">
        <w:rPr>
          <w:rFonts w:cs="Arial"/>
          <w:lang w:val="fr-FR"/>
        </w:rPr>
        <w:tab/>
      </w:r>
      <w:r w:rsidR="005F3EBE" w:rsidRPr="00293B75">
        <w:rPr>
          <w:rFonts w:cs="Arial"/>
          <w:lang w:val="fr-FR"/>
        </w:rPr>
        <w:t>Bases de données d</w:t>
      </w:r>
      <w:r w:rsidR="00FE442F" w:rsidRPr="00293B75">
        <w:rPr>
          <w:rFonts w:cs="Arial"/>
          <w:lang w:val="fr-FR"/>
        </w:rPr>
        <w:t>’</w:t>
      </w:r>
      <w:r w:rsidR="005F3EBE" w:rsidRPr="00293B75">
        <w:rPr>
          <w:rFonts w:cs="Arial"/>
          <w:lang w:val="fr-FR"/>
        </w:rPr>
        <w:t>information de l</w:t>
      </w:r>
      <w:r w:rsidR="00FE442F" w:rsidRPr="00293B75">
        <w:rPr>
          <w:rFonts w:cs="Arial"/>
          <w:lang w:val="fr-FR"/>
        </w:rPr>
        <w:t>’</w:t>
      </w:r>
      <w:r w:rsidR="005F3EBE" w:rsidRPr="00293B75">
        <w:rPr>
          <w:rFonts w:cs="Arial"/>
          <w:lang w:val="fr-FR"/>
        </w:rPr>
        <w:t>UPOV</w:t>
      </w:r>
    </w:p>
    <w:p w:rsidR="00FE442F" w:rsidRPr="00293B75" w:rsidRDefault="00696758" w:rsidP="007005BA">
      <w:pPr>
        <w:tabs>
          <w:tab w:val="num" w:pos="1134"/>
          <w:tab w:val="left" w:pos="1630"/>
        </w:tabs>
        <w:spacing w:before="20" w:afterLines="20" w:after="48"/>
        <w:ind w:left="1134" w:hanging="567"/>
        <w:rPr>
          <w:rFonts w:cs="Arial"/>
          <w:lang w:val="fr-FR"/>
        </w:rPr>
      </w:pPr>
      <w:r w:rsidRPr="00293B75">
        <w:rPr>
          <w:rFonts w:cs="Arial"/>
          <w:lang w:val="fr-FR"/>
        </w:rPr>
        <w:tab/>
      </w:r>
      <w:r w:rsidR="00252C32" w:rsidRPr="00293B75">
        <w:rPr>
          <w:rFonts w:cs="Arial"/>
          <w:lang w:val="fr-FR"/>
        </w:rPr>
        <w:t>b)</w:t>
      </w:r>
      <w:r w:rsidR="00252C32" w:rsidRPr="00293B75">
        <w:rPr>
          <w:rFonts w:cs="Arial"/>
          <w:lang w:val="fr-FR"/>
        </w:rPr>
        <w:tab/>
        <w:t>Bases de données sur les descriptions variétales</w:t>
      </w:r>
    </w:p>
    <w:p w:rsidR="00FE442F" w:rsidRPr="00293B75" w:rsidRDefault="00696758" w:rsidP="007005BA">
      <w:pPr>
        <w:tabs>
          <w:tab w:val="num" w:pos="1134"/>
          <w:tab w:val="left" w:pos="1624"/>
        </w:tabs>
        <w:spacing w:before="20" w:afterLines="20" w:after="48"/>
        <w:ind w:left="1134" w:hanging="567"/>
        <w:rPr>
          <w:rFonts w:cs="Arial"/>
          <w:lang w:val="fr-FR"/>
        </w:rPr>
      </w:pPr>
      <w:r w:rsidRPr="00293B75">
        <w:rPr>
          <w:rFonts w:cs="Arial"/>
          <w:lang w:val="fr-FR"/>
        </w:rPr>
        <w:tab/>
      </w:r>
      <w:r w:rsidR="00252C32" w:rsidRPr="00293B75">
        <w:rPr>
          <w:rFonts w:cs="Arial"/>
          <w:lang w:val="fr-FR"/>
        </w:rPr>
        <w:t>c)</w:t>
      </w:r>
      <w:r w:rsidR="00252C32" w:rsidRPr="00293B75">
        <w:rPr>
          <w:rFonts w:cs="Arial"/>
          <w:lang w:val="fr-FR"/>
        </w:rPr>
        <w:tab/>
        <w:t>Logiciels échangeables</w:t>
      </w:r>
    </w:p>
    <w:p w:rsidR="00FE442F" w:rsidRPr="00293B75" w:rsidRDefault="00696758" w:rsidP="007005BA">
      <w:pPr>
        <w:tabs>
          <w:tab w:val="num" w:pos="1134"/>
          <w:tab w:val="left" w:pos="1624"/>
        </w:tabs>
        <w:spacing w:before="20" w:afterLines="20" w:after="48"/>
        <w:ind w:left="1134" w:hanging="567"/>
        <w:rPr>
          <w:rFonts w:cs="Arial"/>
          <w:lang w:val="fr-FR"/>
        </w:rPr>
      </w:pPr>
      <w:r w:rsidRPr="00293B75">
        <w:rPr>
          <w:rFonts w:cs="Arial"/>
          <w:lang w:val="fr-FR"/>
        </w:rPr>
        <w:tab/>
      </w:r>
      <w:r w:rsidR="00252C32" w:rsidRPr="00293B75">
        <w:rPr>
          <w:rFonts w:cs="Arial"/>
          <w:lang w:val="fr-FR"/>
        </w:rPr>
        <w:t>d)</w:t>
      </w:r>
      <w:r w:rsidR="00252C32" w:rsidRPr="00293B75">
        <w:rPr>
          <w:rFonts w:cs="Arial"/>
          <w:lang w:val="fr-FR"/>
        </w:rPr>
        <w:tab/>
        <w:t>Systèmes de dépôt électronique des demandes</w:t>
      </w:r>
    </w:p>
    <w:p w:rsidR="00FE442F" w:rsidRPr="00293B75" w:rsidRDefault="00252C32" w:rsidP="007005BA">
      <w:pPr>
        <w:tabs>
          <w:tab w:val="num" w:pos="1134"/>
        </w:tabs>
        <w:spacing w:before="20" w:afterLines="20" w:after="48"/>
        <w:ind w:left="1134" w:hanging="567"/>
        <w:rPr>
          <w:rFonts w:cs="Arial"/>
          <w:lang w:val="fr-FR"/>
        </w:rPr>
      </w:pPr>
      <w:r w:rsidRPr="00293B75">
        <w:rPr>
          <w:rFonts w:cs="Arial"/>
          <w:lang w:val="fr-FR"/>
        </w:rPr>
        <w:t>8.</w:t>
      </w:r>
      <w:r w:rsidRPr="00293B75">
        <w:rPr>
          <w:rFonts w:cs="Arial"/>
          <w:lang w:val="fr-FR"/>
        </w:rPr>
        <w:tab/>
        <w:t>Dénominations variétales</w:t>
      </w:r>
    </w:p>
    <w:p w:rsidR="00AD5031" w:rsidRPr="00293B75" w:rsidRDefault="00696758" w:rsidP="007005BA">
      <w:pPr>
        <w:tabs>
          <w:tab w:val="num" w:pos="1134"/>
        </w:tabs>
        <w:spacing w:before="20" w:afterLines="20" w:after="48"/>
        <w:ind w:left="1134" w:hanging="567"/>
        <w:rPr>
          <w:rFonts w:cs="Arial"/>
          <w:lang w:val="fr-FR"/>
        </w:rPr>
      </w:pPr>
      <w:r w:rsidRPr="00293B75">
        <w:rPr>
          <w:rFonts w:cs="Arial"/>
          <w:lang w:val="fr-FR"/>
        </w:rPr>
        <w:t>9.</w:t>
      </w:r>
      <w:r w:rsidRPr="00293B75">
        <w:rPr>
          <w:rFonts w:cs="Arial"/>
          <w:lang w:val="fr-FR"/>
        </w:rPr>
        <w:tab/>
      </w:r>
      <w:r w:rsidR="00252C32" w:rsidRPr="00293B75">
        <w:rPr>
          <w:rFonts w:cs="Arial"/>
          <w:lang w:val="fr-FR"/>
        </w:rPr>
        <w:t>Détermination de l</w:t>
      </w:r>
      <w:r w:rsidR="00FE442F" w:rsidRPr="00293B75">
        <w:rPr>
          <w:rFonts w:cs="Arial"/>
          <w:lang w:val="fr-FR"/>
        </w:rPr>
        <w:t>’</w:t>
      </w:r>
      <w:r w:rsidR="00252C32" w:rsidRPr="00293B75">
        <w:rPr>
          <w:rFonts w:cs="Arial"/>
          <w:lang w:val="fr-FR"/>
        </w:rPr>
        <w:t>homogénéité au moyen des plantes hors</w:t>
      </w:r>
      <w:r w:rsidR="005535E5" w:rsidRPr="00293B75">
        <w:rPr>
          <w:rFonts w:cs="Arial"/>
          <w:lang w:val="fr-FR"/>
        </w:rPr>
        <w:noBreakHyphen/>
      </w:r>
      <w:r w:rsidR="00252C32" w:rsidRPr="00293B75">
        <w:rPr>
          <w:rFonts w:cs="Arial"/>
          <w:lang w:val="fr-FR"/>
        </w:rPr>
        <w:t>type</w:t>
      </w:r>
    </w:p>
    <w:p w:rsidR="00AD5031" w:rsidRPr="00293B75" w:rsidRDefault="00696758" w:rsidP="007005BA">
      <w:pPr>
        <w:tabs>
          <w:tab w:val="num" w:pos="1134"/>
        </w:tabs>
        <w:spacing w:before="20" w:afterLines="20" w:after="48"/>
        <w:ind w:left="1134" w:hanging="567"/>
        <w:rPr>
          <w:rFonts w:cs="Arial"/>
          <w:lang w:val="fr-FR"/>
        </w:rPr>
      </w:pPr>
      <w:r w:rsidRPr="00293B75">
        <w:rPr>
          <w:rFonts w:cs="Arial"/>
          <w:lang w:val="fr-FR"/>
        </w:rPr>
        <w:t>10.</w:t>
      </w:r>
      <w:r w:rsidRPr="00293B75">
        <w:rPr>
          <w:rFonts w:cs="Arial"/>
          <w:lang w:val="fr-FR"/>
        </w:rPr>
        <w:tab/>
      </w:r>
      <w:r w:rsidR="005F3EBE" w:rsidRPr="00293B75">
        <w:rPr>
          <w:rFonts w:cs="Arial"/>
          <w:lang w:val="fr-FR"/>
        </w:rPr>
        <w:t>Expériences de nouveaux types et espèces</w:t>
      </w:r>
    </w:p>
    <w:p w:rsidR="00FE442F" w:rsidRPr="00293B75" w:rsidRDefault="00696758" w:rsidP="007005BA">
      <w:pPr>
        <w:tabs>
          <w:tab w:val="num" w:pos="1134"/>
        </w:tabs>
        <w:spacing w:before="20" w:afterLines="20" w:after="48"/>
        <w:ind w:left="1134" w:hanging="567"/>
        <w:rPr>
          <w:rFonts w:cs="Arial"/>
          <w:lang w:val="fr-FR"/>
        </w:rPr>
      </w:pPr>
      <w:r w:rsidRPr="00293B75">
        <w:rPr>
          <w:rFonts w:cs="Arial"/>
          <w:lang w:val="fr-FR"/>
        </w:rPr>
        <w:t>11.</w:t>
      </w:r>
      <w:r w:rsidRPr="00293B75">
        <w:rPr>
          <w:rFonts w:cs="Arial"/>
          <w:lang w:val="fr-FR"/>
        </w:rPr>
        <w:tab/>
      </w:r>
      <w:r w:rsidR="005F3EBE" w:rsidRPr="00293B75">
        <w:rPr>
          <w:rFonts w:cs="Arial"/>
          <w:lang w:val="fr-FR"/>
        </w:rPr>
        <w:t>Informations sur les méthodes utilisées pour le traitement des données aux fins de l</w:t>
      </w:r>
      <w:r w:rsidR="00FE442F" w:rsidRPr="00293B75">
        <w:rPr>
          <w:rFonts w:cs="Arial"/>
          <w:lang w:val="fr-FR"/>
        </w:rPr>
        <w:t>’</w:t>
      </w:r>
      <w:r w:rsidR="005F3EBE" w:rsidRPr="00293B75">
        <w:rPr>
          <w:rFonts w:cs="Arial"/>
          <w:lang w:val="fr-FR"/>
        </w:rPr>
        <w:t>évaluation de la distinction et de l</w:t>
      </w:r>
      <w:r w:rsidR="00FE442F" w:rsidRPr="00293B75">
        <w:rPr>
          <w:rFonts w:cs="Arial"/>
          <w:lang w:val="fr-FR"/>
        </w:rPr>
        <w:t>’</w:t>
      </w:r>
      <w:r w:rsidR="005F3EBE" w:rsidRPr="00293B75">
        <w:rPr>
          <w:rFonts w:cs="Arial"/>
          <w:lang w:val="fr-FR"/>
        </w:rPr>
        <w:t>établissement de descriptions variétales en Chine</w:t>
      </w:r>
    </w:p>
    <w:p w:rsidR="00FE442F" w:rsidRPr="00293B75" w:rsidRDefault="00696758" w:rsidP="007005BA">
      <w:pPr>
        <w:tabs>
          <w:tab w:val="num" w:pos="1134"/>
        </w:tabs>
        <w:spacing w:before="20" w:afterLines="20" w:after="48"/>
        <w:ind w:left="1134" w:hanging="567"/>
        <w:rPr>
          <w:rFonts w:cs="Arial"/>
          <w:lang w:val="fr-FR"/>
        </w:rPr>
      </w:pPr>
      <w:r w:rsidRPr="00293B75">
        <w:rPr>
          <w:rFonts w:cs="Arial"/>
          <w:lang w:val="fr-FR"/>
        </w:rPr>
        <w:t>12.</w:t>
      </w:r>
      <w:r w:rsidRPr="00293B75">
        <w:rPr>
          <w:rFonts w:cs="Arial"/>
          <w:lang w:val="fr-FR"/>
        </w:rPr>
        <w:tab/>
      </w:r>
      <w:r w:rsidR="005F3EBE" w:rsidRPr="00293B75">
        <w:rPr>
          <w:rFonts w:cs="Arial"/>
          <w:lang w:val="fr-FR"/>
        </w:rPr>
        <w:t>Méthodes statistiques applicables aux caractères observés visuellement</w:t>
      </w:r>
      <w:r w:rsidR="00A20DAF" w:rsidRPr="00293B75">
        <w:rPr>
          <w:rFonts w:cs="Arial"/>
          <w:lang w:val="fr-FR"/>
        </w:rPr>
        <w:t xml:space="preserve"> effectuées avec le progiciel DUSTC</w:t>
      </w:r>
    </w:p>
    <w:p w:rsidR="00FE442F" w:rsidRPr="00293B75" w:rsidRDefault="00696758" w:rsidP="007005BA">
      <w:pPr>
        <w:tabs>
          <w:tab w:val="num" w:pos="1134"/>
        </w:tabs>
        <w:spacing w:before="20" w:afterLines="20" w:after="48"/>
        <w:ind w:left="1134" w:hanging="567"/>
        <w:rPr>
          <w:rFonts w:cs="Arial"/>
          <w:lang w:val="fr-FR"/>
        </w:rPr>
      </w:pPr>
      <w:r w:rsidRPr="00293B75">
        <w:rPr>
          <w:rFonts w:cs="Arial"/>
          <w:lang w:val="fr-FR"/>
        </w:rPr>
        <w:t>13.</w:t>
      </w:r>
      <w:r w:rsidRPr="00293B75">
        <w:rPr>
          <w:rFonts w:cs="Arial"/>
          <w:lang w:val="fr-FR"/>
        </w:rPr>
        <w:tab/>
      </w:r>
      <w:r w:rsidR="0090479F" w:rsidRPr="00293B75">
        <w:rPr>
          <w:rFonts w:cs="Arial"/>
          <w:lang w:val="fr-FR"/>
        </w:rPr>
        <w:t>Analyse de la variance due à l</w:t>
      </w:r>
      <w:r w:rsidR="00FE442F" w:rsidRPr="00293B75">
        <w:rPr>
          <w:rFonts w:cs="Arial"/>
          <w:lang w:val="fr-FR"/>
        </w:rPr>
        <w:t>’</w:t>
      </w:r>
      <w:r w:rsidR="0090479F" w:rsidRPr="00293B75">
        <w:rPr>
          <w:rFonts w:cs="Arial"/>
          <w:lang w:val="fr-FR"/>
        </w:rPr>
        <w:t>interaction “variété x site” (environnement) des caractères QN</w:t>
      </w:r>
    </w:p>
    <w:p w:rsidR="00AD5031" w:rsidRPr="00293B75" w:rsidRDefault="00696758" w:rsidP="007005BA">
      <w:pPr>
        <w:tabs>
          <w:tab w:val="num" w:pos="1134"/>
        </w:tabs>
        <w:spacing w:before="20" w:afterLines="20" w:after="48"/>
        <w:ind w:left="1134" w:hanging="567"/>
        <w:rPr>
          <w:rFonts w:cs="Arial"/>
          <w:lang w:val="fr-FR"/>
        </w:rPr>
      </w:pPr>
      <w:r w:rsidRPr="00293B75">
        <w:rPr>
          <w:rFonts w:cs="Arial"/>
          <w:lang w:val="fr-FR"/>
        </w:rPr>
        <w:t>14.</w:t>
      </w:r>
      <w:r w:rsidRPr="00293B75">
        <w:rPr>
          <w:rFonts w:cs="Arial"/>
          <w:lang w:val="fr-FR"/>
        </w:rPr>
        <w:tab/>
      </w:r>
      <w:r w:rsidR="00FA716C" w:rsidRPr="00293B75">
        <w:rPr>
          <w:rFonts w:cs="Arial"/>
          <w:lang w:val="fr-FR"/>
        </w:rPr>
        <w:t>Système d</w:t>
      </w:r>
      <w:r w:rsidR="00FE442F" w:rsidRPr="00293B75">
        <w:rPr>
          <w:rFonts w:cs="Arial"/>
          <w:lang w:val="fr-FR"/>
        </w:rPr>
        <w:t>’</w:t>
      </w:r>
      <w:r w:rsidR="00FA716C" w:rsidRPr="00293B75">
        <w:rPr>
          <w:rFonts w:cs="Arial"/>
          <w:lang w:val="fr-FR"/>
        </w:rPr>
        <w:t>analyse d</w:t>
      </w:r>
      <w:r w:rsidR="00FE442F" w:rsidRPr="00293B75">
        <w:rPr>
          <w:rFonts w:cs="Arial"/>
          <w:lang w:val="fr-FR"/>
        </w:rPr>
        <w:t>’</w:t>
      </w:r>
      <w:r w:rsidR="00FA716C" w:rsidRPr="00293B75">
        <w:rPr>
          <w:rFonts w:cs="Arial"/>
          <w:lang w:val="fr-FR"/>
        </w:rPr>
        <w:t>image en Chine</w:t>
      </w:r>
    </w:p>
    <w:p w:rsidR="00FE442F" w:rsidRPr="00293B75" w:rsidRDefault="00696758" w:rsidP="007005BA">
      <w:pPr>
        <w:tabs>
          <w:tab w:val="num" w:pos="1134"/>
        </w:tabs>
        <w:spacing w:before="20" w:afterLines="20" w:after="48"/>
        <w:ind w:left="1134" w:hanging="567"/>
        <w:rPr>
          <w:rFonts w:cs="Arial"/>
          <w:lang w:val="fr-FR"/>
        </w:rPr>
      </w:pPr>
      <w:r w:rsidRPr="00293B75">
        <w:rPr>
          <w:rFonts w:cs="Arial"/>
          <w:lang w:val="fr-FR"/>
        </w:rPr>
        <w:t>15.</w:t>
      </w:r>
      <w:r w:rsidRPr="00293B75">
        <w:rPr>
          <w:rFonts w:cs="Arial"/>
          <w:lang w:val="fr-FR"/>
        </w:rPr>
        <w:tab/>
      </w:r>
      <w:r w:rsidR="00473188" w:rsidRPr="00293B75">
        <w:rPr>
          <w:rFonts w:cs="Arial"/>
          <w:lang w:val="fr-FR"/>
        </w:rPr>
        <w:t>Méthode de calcul de</w:t>
      </w:r>
      <w:r w:rsidR="00FE442F" w:rsidRPr="00293B75">
        <w:rPr>
          <w:rFonts w:cs="Arial"/>
          <w:lang w:val="fr-FR"/>
        </w:rPr>
        <w:t xml:space="preserve"> la COY</w:t>
      </w:r>
      <w:r w:rsidR="00473188" w:rsidRPr="00293B75">
        <w:rPr>
          <w:rFonts w:cs="Arial"/>
          <w:lang w:val="fr-FR"/>
        </w:rPr>
        <w:t>U</w:t>
      </w:r>
      <w:r w:rsidR="00004203" w:rsidRPr="00293B75">
        <w:rPr>
          <w:rFonts w:cs="Arial"/>
          <w:lang w:val="fr-FR"/>
        </w:rPr>
        <w:t> </w:t>
      </w:r>
      <w:r w:rsidRPr="00293B75">
        <w:rPr>
          <w:rFonts w:cs="Arial"/>
          <w:lang w:val="fr-FR"/>
        </w:rPr>
        <w:t xml:space="preserve">: </w:t>
      </w:r>
      <w:r w:rsidR="00473188" w:rsidRPr="00293B75">
        <w:rPr>
          <w:rFonts w:cs="Arial"/>
          <w:lang w:val="fr-FR"/>
        </w:rPr>
        <w:t>analyse de l</w:t>
      </w:r>
      <w:r w:rsidR="00FE442F" w:rsidRPr="00293B75">
        <w:rPr>
          <w:rFonts w:cs="Arial"/>
          <w:lang w:val="fr-FR"/>
        </w:rPr>
        <w:t>’</w:t>
      </w:r>
      <w:r w:rsidR="00473188" w:rsidRPr="00293B75">
        <w:rPr>
          <w:rFonts w:cs="Arial"/>
          <w:lang w:val="fr-FR"/>
        </w:rPr>
        <w:t>exercice pratique</w:t>
      </w:r>
    </w:p>
    <w:p w:rsidR="00AD5031" w:rsidRPr="00293B75" w:rsidRDefault="00696758" w:rsidP="007005BA">
      <w:pPr>
        <w:tabs>
          <w:tab w:val="num" w:pos="1134"/>
        </w:tabs>
        <w:spacing w:before="20" w:afterLines="20" w:after="48"/>
        <w:ind w:left="1134" w:hanging="567"/>
        <w:rPr>
          <w:rFonts w:cs="Arial"/>
          <w:lang w:val="fr-FR"/>
        </w:rPr>
      </w:pPr>
      <w:r w:rsidRPr="00293B75">
        <w:rPr>
          <w:rFonts w:cs="Arial"/>
          <w:lang w:val="fr-FR"/>
        </w:rPr>
        <w:t>16.</w:t>
      </w:r>
      <w:r w:rsidRPr="00293B75">
        <w:rPr>
          <w:rFonts w:cs="Arial"/>
          <w:lang w:val="fr-FR"/>
        </w:rPr>
        <w:tab/>
      </w:r>
      <w:r w:rsidR="00473188" w:rsidRPr="00293B75">
        <w:rPr>
          <w:rFonts w:cs="Arial"/>
          <w:lang w:val="fr-FR"/>
        </w:rPr>
        <w:t>Comparaison des méthodes employées pour élaborer des descriptions variétales</w:t>
      </w:r>
    </w:p>
    <w:p w:rsidR="00FE442F" w:rsidRPr="00293B75" w:rsidRDefault="00696758" w:rsidP="007005BA">
      <w:pPr>
        <w:tabs>
          <w:tab w:val="num" w:pos="1134"/>
        </w:tabs>
        <w:spacing w:before="20" w:afterLines="20" w:after="48"/>
        <w:ind w:left="1134" w:hanging="567"/>
        <w:rPr>
          <w:rFonts w:cs="Arial"/>
          <w:lang w:val="fr-FR"/>
        </w:rPr>
      </w:pPr>
      <w:r w:rsidRPr="00293B75">
        <w:rPr>
          <w:rFonts w:cs="Arial"/>
          <w:lang w:val="fr-FR"/>
        </w:rPr>
        <w:t>17.</w:t>
      </w:r>
      <w:r w:rsidRPr="00293B75">
        <w:rPr>
          <w:rFonts w:cs="Arial"/>
          <w:lang w:val="fr-FR"/>
        </w:rPr>
        <w:tab/>
        <w:t>Information</w:t>
      </w:r>
      <w:r w:rsidR="00FE589D" w:rsidRPr="00293B75">
        <w:rPr>
          <w:rFonts w:cs="Arial"/>
          <w:lang w:val="fr-FR"/>
        </w:rPr>
        <w:t>s sur les échantillons globaux</w:t>
      </w:r>
      <w:r w:rsidR="00FE589D" w:rsidRPr="00293B75">
        <w:rPr>
          <w:lang w:val="fr-FR"/>
        </w:rPr>
        <w:t xml:space="preserve"> dans le cadre de </w:t>
      </w:r>
      <w:r w:rsidR="00FE589D" w:rsidRPr="00293B75">
        <w:rPr>
          <w:rFonts w:cs="Arial"/>
          <w:lang w:val="fr-FR"/>
        </w:rPr>
        <w:t>l</w:t>
      </w:r>
      <w:r w:rsidR="00FE442F" w:rsidRPr="00293B75">
        <w:rPr>
          <w:rFonts w:cs="Arial"/>
          <w:lang w:val="fr-FR"/>
        </w:rPr>
        <w:t>’</w:t>
      </w:r>
      <w:r w:rsidR="00FE589D" w:rsidRPr="00293B75">
        <w:rPr>
          <w:rFonts w:cs="Arial"/>
          <w:lang w:val="fr-FR"/>
        </w:rPr>
        <w:t>évaluation systématique de la teneur en glucoraphanine du brocoli</w:t>
      </w:r>
    </w:p>
    <w:p w:rsidR="00FE442F" w:rsidRPr="00293B75" w:rsidRDefault="00696758" w:rsidP="007005BA">
      <w:pPr>
        <w:tabs>
          <w:tab w:val="num" w:pos="1134"/>
        </w:tabs>
        <w:spacing w:before="20" w:afterLines="20" w:after="48"/>
        <w:ind w:left="1134" w:hanging="567"/>
        <w:rPr>
          <w:rFonts w:cs="Arial"/>
          <w:lang w:val="fr-FR"/>
        </w:rPr>
      </w:pPr>
      <w:r w:rsidRPr="00293B75">
        <w:rPr>
          <w:rFonts w:cs="Arial"/>
          <w:lang w:val="fr-FR"/>
        </w:rPr>
        <w:t>18.</w:t>
      </w:r>
      <w:r w:rsidRPr="00293B75">
        <w:rPr>
          <w:rFonts w:cs="Arial"/>
          <w:lang w:val="fr-FR"/>
        </w:rPr>
        <w:tab/>
      </w:r>
      <w:r w:rsidR="00DC5599" w:rsidRPr="00293B75">
        <w:rPr>
          <w:rFonts w:cs="Arial"/>
          <w:lang w:val="fr-FR"/>
        </w:rPr>
        <w:t xml:space="preserve">Matrice de pondération </w:t>
      </w:r>
      <w:r w:rsidR="006160BF" w:rsidRPr="00293B75">
        <w:rPr>
          <w:rFonts w:cs="Arial"/>
          <w:lang w:val="fr-FR"/>
        </w:rPr>
        <w:t>dans le logiciel GAÏA pour le soja</w:t>
      </w:r>
    </w:p>
    <w:p w:rsidR="00FE442F" w:rsidRPr="00293B75" w:rsidRDefault="00252C32" w:rsidP="007005BA">
      <w:pPr>
        <w:tabs>
          <w:tab w:val="num" w:pos="1134"/>
        </w:tabs>
        <w:spacing w:before="20" w:afterLines="20" w:after="48"/>
        <w:ind w:left="1134" w:hanging="567"/>
        <w:rPr>
          <w:rFonts w:cs="Arial"/>
          <w:lang w:val="fr-FR"/>
        </w:rPr>
      </w:pPr>
      <w:r w:rsidRPr="00293B75">
        <w:rPr>
          <w:rFonts w:cs="Arial"/>
          <w:lang w:val="fr-FR"/>
        </w:rPr>
        <w:t>19.</w:t>
      </w:r>
      <w:r w:rsidRPr="00293B75">
        <w:rPr>
          <w:rFonts w:cs="Arial"/>
          <w:lang w:val="fr-FR"/>
        </w:rPr>
        <w:tab/>
        <w:t>Raisons d</w:t>
      </w:r>
      <w:r w:rsidR="00FE442F" w:rsidRPr="00293B75">
        <w:rPr>
          <w:rFonts w:cs="Arial"/>
          <w:lang w:val="fr-FR"/>
        </w:rPr>
        <w:t>’</w:t>
      </w:r>
      <w:r w:rsidRPr="00293B75">
        <w:rPr>
          <w:rFonts w:cs="Arial"/>
          <w:lang w:val="fr-FR"/>
        </w:rPr>
        <w:t>exclure les variétés notoirement connues du second cycle de végétation lorsque l</w:t>
      </w:r>
      <w:r w:rsidR="00FE442F" w:rsidRPr="00293B75">
        <w:rPr>
          <w:rFonts w:cs="Arial"/>
          <w:lang w:val="fr-FR"/>
        </w:rPr>
        <w:t>’</w:t>
      </w:r>
      <w:r w:rsidRPr="00293B75">
        <w:rPr>
          <w:rFonts w:cs="Arial"/>
          <w:lang w:val="fr-FR"/>
        </w:rPr>
        <w:t>on applique la méthode COYD</w:t>
      </w:r>
    </w:p>
    <w:p w:rsidR="00AD5031" w:rsidRPr="00293B75" w:rsidRDefault="00252C32" w:rsidP="007005BA">
      <w:pPr>
        <w:tabs>
          <w:tab w:val="num" w:pos="1134"/>
        </w:tabs>
        <w:spacing w:before="20" w:afterLines="20" w:after="48"/>
        <w:ind w:left="1134" w:hanging="567"/>
        <w:rPr>
          <w:rFonts w:cs="Arial"/>
          <w:lang w:val="fr-FR"/>
        </w:rPr>
      </w:pPr>
      <w:r w:rsidRPr="00293B75">
        <w:rPr>
          <w:rFonts w:cs="Arial"/>
          <w:lang w:val="fr-FR"/>
        </w:rPr>
        <w:t>20.</w:t>
      </w:r>
      <w:r w:rsidRPr="00293B75">
        <w:rPr>
          <w:rFonts w:cs="Arial"/>
          <w:lang w:val="fr-FR"/>
        </w:rPr>
        <w:tab/>
        <w:t>Date et lieu de la prochaine session</w:t>
      </w:r>
    </w:p>
    <w:p w:rsidR="00AD5031" w:rsidRPr="00293B75" w:rsidRDefault="00252C32" w:rsidP="007005BA">
      <w:pPr>
        <w:tabs>
          <w:tab w:val="num" w:pos="1134"/>
        </w:tabs>
        <w:spacing w:before="20" w:afterLines="20" w:after="48"/>
        <w:ind w:left="1134" w:hanging="567"/>
        <w:rPr>
          <w:rFonts w:cs="Arial"/>
          <w:lang w:val="fr-FR"/>
        </w:rPr>
      </w:pPr>
      <w:r w:rsidRPr="00293B75">
        <w:rPr>
          <w:rFonts w:cs="Arial"/>
          <w:lang w:val="fr-FR"/>
        </w:rPr>
        <w:t>21.</w:t>
      </w:r>
      <w:r w:rsidRPr="00293B75">
        <w:rPr>
          <w:rFonts w:cs="Arial"/>
          <w:lang w:val="fr-FR"/>
        </w:rPr>
        <w:tab/>
        <w:t>Programme futur.</w:t>
      </w:r>
    </w:p>
    <w:p w:rsidR="00AD5031" w:rsidRPr="00293B75" w:rsidRDefault="00252C32" w:rsidP="007005BA">
      <w:pPr>
        <w:tabs>
          <w:tab w:val="num" w:pos="1134"/>
        </w:tabs>
        <w:spacing w:before="20" w:afterLines="20" w:after="48"/>
        <w:ind w:left="1134" w:hanging="567"/>
        <w:rPr>
          <w:rFonts w:cs="Arial"/>
          <w:lang w:val="fr-FR"/>
        </w:rPr>
      </w:pPr>
      <w:r w:rsidRPr="00293B75">
        <w:rPr>
          <w:rFonts w:cs="Arial"/>
          <w:lang w:val="fr-FR"/>
        </w:rPr>
        <w:t>22.</w:t>
      </w:r>
      <w:r w:rsidRPr="00293B75">
        <w:rPr>
          <w:rFonts w:cs="Arial"/>
          <w:lang w:val="fr-FR"/>
        </w:rPr>
        <w:tab/>
        <w:t>Compte rendu de la session (selon le temps disponible)</w:t>
      </w:r>
    </w:p>
    <w:p w:rsidR="00AD5031" w:rsidRPr="00293B75" w:rsidRDefault="00252C32" w:rsidP="007005BA">
      <w:pPr>
        <w:tabs>
          <w:tab w:val="num" w:pos="1134"/>
        </w:tabs>
        <w:spacing w:before="20" w:afterLines="20" w:after="48"/>
        <w:ind w:left="1134" w:hanging="567"/>
        <w:rPr>
          <w:rFonts w:cs="Arial"/>
          <w:lang w:val="fr-FR"/>
        </w:rPr>
      </w:pPr>
      <w:r w:rsidRPr="00293B75">
        <w:rPr>
          <w:rFonts w:cs="Arial"/>
          <w:lang w:val="fr-FR"/>
        </w:rPr>
        <w:t>23.</w:t>
      </w:r>
      <w:r w:rsidRPr="00293B75">
        <w:rPr>
          <w:rFonts w:cs="Arial"/>
          <w:lang w:val="fr-FR"/>
        </w:rPr>
        <w:tab/>
        <w:t>Clôture de la session</w:t>
      </w:r>
    </w:p>
    <w:p w:rsidR="00AD5031" w:rsidRPr="00293B75" w:rsidRDefault="00AD5031" w:rsidP="007005BA">
      <w:pPr>
        <w:autoSpaceDE w:val="0"/>
        <w:autoSpaceDN w:val="0"/>
        <w:adjustRightInd w:val="0"/>
        <w:rPr>
          <w:rFonts w:cs="Arial"/>
          <w:lang w:val="fr-FR"/>
        </w:rPr>
      </w:pPr>
    </w:p>
    <w:p w:rsidR="00AD5031" w:rsidRPr="00293B75" w:rsidRDefault="00EB6879"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r>
      <w:r w:rsidR="009D5D10" w:rsidRPr="00293B75">
        <w:rPr>
          <w:rFonts w:cs="Arial"/>
          <w:lang w:val="fr-FR"/>
        </w:rPr>
        <w:t>L</w:t>
      </w:r>
      <w:r w:rsidR="00FE442F" w:rsidRPr="00293B75">
        <w:rPr>
          <w:rFonts w:cs="Arial"/>
          <w:lang w:val="fr-FR"/>
        </w:rPr>
        <w:t>’</w:t>
      </w:r>
      <w:r w:rsidR="009D5D10" w:rsidRPr="00293B75">
        <w:rPr>
          <w:rFonts w:cs="Arial"/>
          <w:lang w:val="fr-FR"/>
        </w:rPr>
        <w:t>après</w:t>
      </w:r>
      <w:r w:rsidR="005535E5" w:rsidRPr="00293B75">
        <w:rPr>
          <w:rFonts w:cs="Arial"/>
          <w:lang w:val="fr-FR"/>
        </w:rPr>
        <w:noBreakHyphen/>
      </w:r>
      <w:r w:rsidR="009D5D10" w:rsidRPr="00293B75">
        <w:rPr>
          <w:rFonts w:cs="Arial"/>
          <w:lang w:val="fr-FR"/>
        </w:rPr>
        <w:t xml:space="preserve">midi du </w:t>
      </w:r>
      <w:r w:rsidR="00FE442F" w:rsidRPr="00293B75">
        <w:rPr>
          <w:rFonts w:cs="Arial"/>
          <w:lang w:val="fr-FR"/>
        </w:rPr>
        <w:t>4 juin</w:t>
      </w:r>
      <w:r w:rsidR="009D5D10" w:rsidRPr="00293B75">
        <w:rPr>
          <w:rFonts w:cs="Arial"/>
          <w:lang w:val="fr-FR"/>
        </w:rPr>
        <w:t>,</w:t>
      </w:r>
      <w:r w:rsidR="00FE442F" w:rsidRPr="00293B75">
        <w:rPr>
          <w:rFonts w:cs="Arial"/>
          <w:lang w:val="fr-FR"/>
        </w:rPr>
        <w:t xml:space="preserve"> le TWC</w:t>
      </w:r>
      <w:r w:rsidR="009D5D10" w:rsidRPr="00293B75">
        <w:rPr>
          <w:rFonts w:cs="Arial"/>
          <w:lang w:val="fr-FR"/>
        </w:rPr>
        <w:t xml:space="preserve"> a visité la station d</w:t>
      </w:r>
      <w:r w:rsidR="00FE442F" w:rsidRPr="00293B75">
        <w:rPr>
          <w:rFonts w:cs="Arial"/>
          <w:lang w:val="fr-FR"/>
        </w:rPr>
        <w:t>’</w:t>
      </w:r>
      <w:r w:rsidR="009D5D10" w:rsidRPr="00293B75">
        <w:rPr>
          <w:rFonts w:cs="Arial"/>
          <w:lang w:val="fr-FR"/>
        </w:rPr>
        <w:t>examen de l</w:t>
      </w:r>
      <w:r w:rsidR="00FE442F" w:rsidRPr="00293B75">
        <w:rPr>
          <w:rFonts w:cs="Arial"/>
          <w:lang w:val="fr-FR"/>
        </w:rPr>
        <w:t>’</w:t>
      </w:r>
      <w:r w:rsidR="009D5D10" w:rsidRPr="00293B75">
        <w:rPr>
          <w:rFonts w:cs="Arial"/>
          <w:lang w:val="fr-FR"/>
        </w:rPr>
        <w:t xml:space="preserve">Autorité de sécurité alimentaire Evira (Finlande) à Loimaa et a observé des essais en plein champ </w:t>
      </w:r>
      <w:r w:rsidR="00142568" w:rsidRPr="00293B75">
        <w:rPr>
          <w:rFonts w:cs="Arial"/>
          <w:lang w:val="fr-FR"/>
        </w:rPr>
        <w:t>portant sur l’</w:t>
      </w:r>
      <w:r w:rsidR="009D5D10" w:rsidRPr="00293B75">
        <w:rPr>
          <w:rFonts w:cs="Arial"/>
          <w:lang w:val="fr-FR"/>
        </w:rPr>
        <w:t xml:space="preserve">orge, </w:t>
      </w:r>
      <w:r w:rsidR="00142568" w:rsidRPr="00293B75">
        <w:rPr>
          <w:rFonts w:cs="Arial"/>
          <w:lang w:val="fr-FR"/>
        </w:rPr>
        <w:t>l</w:t>
      </w:r>
      <w:r w:rsidR="009D5D10" w:rsidRPr="00293B75">
        <w:rPr>
          <w:rFonts w:cs="Arial"/>
          <w:lang w:val="fr-FR"/>
        </w:rPr>
        <w:t xml:space="preserve">e blé, </w:t>
      </w:r>
      <w:r w:rsidR="00142568" w:rsidRPr="00293B75">
        <w:rPr>
          <w:rFonts w:cs="Arial"/>
          <w:lang w:val="fr-FR"/>
        </w:rPr>
        <w:t>l</w:t>
      </w:r>
      <w:r w:rsidR="009D5D10" w:rsidRPr="00293B75">
        <w:rPr>
          <w:rFonts w:cs="Arial"/>
          <w:lang w:val="fr-FR"/>
        </w:rPr>
        <w:t xml:space="preserve">e seigle, </w:t>
      </w:r>
      <w:r w:rsidR="00142568" w:rsidRPr="00293B75">
        <w:rPr>
          <w:rFonts w:cs="Arial"/>
          <w:lang w:val="fr-FR"/>
        </w:rPr>
        <w:t>l</w:t>
      </w:r>
      <w:r w:rsidR="009D5D10" w:rsidRPr="00293B75">
        <w:rPr>
          <w:rFonts w:cs="Arial"/>
          <w:lang w:val="fr-FR"/>
        </w:rPr>
        <w:t xml:space="preserve">e trèfle blanc, </w:t>
      </w:r>
      <w:r w:rsidR="00142568" w:rsidRPr="00293B75">
        <w:rPr>
          <w:rFonts w:cs="Arial"/>
          <w:lang w:val="fr-FR"/>
        </w:rPr>
        <w:t>l</w:t>
      </w:r>
      <w:r w:rsidR="009D5D10" w:rsidRPr="00293B75">
        <w:rPr>
          <w:rFonts w:cs="Arial"/>
          <w:lang w:val="fr-FR"/>
        </w:rPr>
        <w:t xml:space="preserve">e trèfle violet et </w:t>
      </w:r>
      <w:r w:rsidR="00142568" w:rsidRPr="00293B75">
        <w:rPr>
          <w:rFonts w:cs="Arial"/>
          <w:lang w:val="fr-FR"/>
        </w:rPr>
        <w:t>la</w:t>
      </w:r>
      <w:r w:rsidR="009D5D10" w:rsidRPr="00293B75">
        <w:rPr>
          <w:rFonts w:cs="Arial"/>
          <w:lang w:val="fr-FR"/>
        </w:rPr>
        <w:t xml:space="preserve"> fétuque des prés.</w:t>
      </w:r>
    </w:p>
    <w:p w:rsidR="00AD5031" w:rsidRPr="00293B75" w:rsidRDefault="00AD5031" w:rsidP="007005BA">
      <w:pPr>
        <w:rPr>
          <w:lang w:val="fr-FR"/>
        </w:rPr>
      </w:pPr>
    </w:p>
    <w:p w:rsidR="00AD5031" w:rsidRPr="00293B75" w:rsidRDefault="00AD5031" w:rsidP="007005BA">
      <w:pPr>
        <w:rPr>
          <w:lang w:val="fr-FR"/>
        </w:rPr>
      </w:pPr>
    </w:p>
    <w:p w:rsidR="00AD5031" w:rsidRPr="00293B75" w:rsidRDefault="00252C32" w:rsidP="007005BA">
      <w:pPr>
        <w:pStyle w:val="Heading3"/>
        <w:rPr>
          <w:color w:val="auto"/>
        </w:rPr>
      </w:pPr>
      <w:r w:rsidRPr="00293B75">
        <w:rPr>
          <w:color w:val="auto"/>
        </w:rPr>
        <w:t>Groupe de travail technique sur les plantes fruitières</w:t>
      </w:r>
    </w:p>
    <w:p w:rsidR="00AD5031" w:rsidRPr="00293B75" w:rsidRDefault="00AD5031" w:rsidP="007005BA">
      <w:pPr>
        <w:rPr>
          <w:u w:val="single"/>
          <w:lang w:val="fr-FR"/>
        </w:rPr>
      </w:pPr>
    </w:p>
    <w:p w:rsidR="00AD5031" w:rsidRPr="00293B75" w:rsidRDefault="009C5911"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252C32" w:rsidRPr="00293B75">
        <w:rPr>
          <w:rFonts w:cstheme="majorHAnsi"/>
          <w:lang w:val="fr-FR"/>
        </w:rPr>
        <w:t>Le TWF a tenu sa quarante</w:t>
      </w:r>
      <w:r w:rsidR="005535E5" w:rsidRPr="00293B75">
        <w:rPr>
          <w:rFonts w:cstheme="majorHAnsi"/>
          <w:lang w:val="fr-FR"/>
        </w:rPr>
        <w:noBreakHyphen/>
      </w:r>
      <w:r w:rsidR="00252C32" w:rsidRPr="00293B75">
        <w:rPr>
          <w:rFonts w:cstheme="majorHAnsi"/>
          <w:lang w:val="fr-FR"/>
        </w:rPr>
        <w:t>cinquième</w:t>
      </w:r>
      <w:r w:rsidR="00004203" w:rsidRPr="00293B75">
        <w:rPr>
          <w:rFonts w:cstheme="majorHAnsi"/>
          <w:lang w:val="fr-FR"/>
        </w:rPr>
        <w:t> </w:t>
      </w:r>
      <w:r w:rsidR="00252C32" w:rsidRPr="00293B75">
        <w:rPr>
          <w:rFonts w:cstheme="majorHAnsi"/>
          <w:lang w:val="fr-FR"/>
        </w:rPr>
        <w:t>session à Marrakech (Maroc) du 26 au 3</w:t>
      </w:r>
      <w:r w:rsidR="00FE442F" w:rsidRPr="00293B75">
        <w:rPr>
          <w:rFonts w:cstheme="majorHAnsi"/>
          <w:lang w:val="fr-FR"/>
        </w:rPr>
        <w:t>0 mai 20</w:t>
      </w:r>
      <w:r w:rsidR="00252C32" w:rsidRPr="00293B75">
        <w:rPr>
          <w:rFonts w:cstheme="majorHAnsi"/>
          <w:lang w:val="fr-FR"/>
        </w:rPr>
        <w:t>14.</w:t>
      </w:r>
      <w:r w:rsidR="00EB6879" w:rsidRPr="00293B75">
        <w:rPr>
          <w:rFonts w:cstheme="majorHAnsi"/>
          <w:lang w:val="fr-FR"/>
        </w:rPr>
        <w:t xml:space="preserve"> </w:t>
      </w:r>
      <w:r w:rsidR="00B766E4" w:rsidRPr="00293B75">
        <w:rPr>
          <w:rFonts w:cstheme="majorHAnsi"/>
          <w:lang w:val="fr-FR"/>
        </w:rPr>
        <w:t xml:space="preserve"> La session a été ouverte par Mme </w:t>
      </w:r>
      <w:r w:rsidR="00EB6879" w:rsidRPr="00293B75">
        <w:rPr>
          <w:rFonts w:cstheme="majorHAnsi"/>
          <w:lang w:val="fr-FR"/>
        </w:rPr>
        <w:t>Carensa</w:t>
      </w:r>
      <w:r w:rsidR="00B766E4" w:rsidRPr="00293B75">
        <w:rPr>
          <w:rFonts w:cstheme="majorHAnsi"/>
          <w:lang w:val="fr-FR"/>
        </w:rPr>
        <w:t> </w:t>
      </w:r>
      <w:r w:rsidR="00EB6879" w:rsidRPr="00293B75">
        <w:rPr>
          <w:rFonts w:cstheme="majorHAnsi"/>
          <w:lang w:val="fr-FR"/>
        </w:rPr>
        <w:t>Petzer (</w:t>
      </w:r>
      <w:r w:rsidR="00B766E4" w:rsidRPr="00293B75">
        <w:rPr>
          <w:rFonts w:cstheme="majorHAnsi"/>
          <w:lang w:val="fr-FR"/>
        </w:rPr>
        <w:t>Afrique du Sud</w:t>
      </w:r>
      <w:r w:rsidR="00EB6879" w:rsidRPr="00293B75">
        <w:rPr>
          <w:rFonts w:cstheme="majorHAnsi"/>
          <w:lang w:val="fr-FR"/>
        </w:rPr>
        <w:t xml:space="preserve">), </w:t>
      </w:r>
      <w:r w:rsidR="00B766E4" w:rsidRPr="00293B75">
        <w:rPr>
          <w:rFonts w:cstheme="majorHAnsi"/>
          <w:lang w:val="fr-FR"/>
        </w:rPr>
        <w:t>présidente</w:t>
      </w:r>
      <w:r w:rsidR="00FE442F" w:rsidRPr="00293B75">
        <w:rPr>
          <w:rFonts w:cstheme="majorHAnsi"/>
          <w:lang w:val="fr-FR"/>
        </w:rPr>
        <w:t xml:space="preserve"> du TWF</w:t>
      </w:r>
      <w:r w:rsidR="00EB6879" w:rsidRPr="00293B75">
        <w:rPr>
          <w:rFonts w:cstheme="majorHAnsi"/>
          <w:lang w:val="fr-FR"/>
        </w:rPr>
        <w:t>.</w:t>
      </w:r>
    </w:p>
    <w:p w:rsidR="00AD5031" w:rsidRPr="00293B75" w:rsidRDefault="00AD5031" w:rsidP="007005BA">
      <w:pPr>
        <w:rPr>
          <w:rFonts w:cstheme="majorHAnsi"/>
          <w:lang w:val="fr-FR"/>
        </w:rPr>
      </w:pPr>
    </w:p>
    <w:p w:rsidR="00AD5031"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B766E4" w:rsidRPr="00293B75">
        <w:rPr>
          <w:rFonts w:cstheme="majorHAnsi"/>
          <w:lang w:val="fr-FR"/>
        </w:rPr>
        <w:t>La session</w:t>
      </w:r>
      <w:r w:rsidR="00FE442F" w:rsidRPr="00293B75">
        <w:rPr>
          <w:rFonts w:cstheme="majorHAnsi"/>
          <w:lang w:val="fr-FR"/>
        </w:rPr>
        <w:t xml:space="preserve"> du TWF</w:t>
      </w:r>
      <w:r w:rsidR="00B766E4" w:rsidRPr="00293B75">
        <w:rPr>
          <w:rFonts w:cstheme="majorHAnsi"/>
          <w:lang w:val="fr-FR"/>
        </w:rPr>
        <w:t xml:space="preserve"> a réuni</w:t>
      </w:r>
      <w:r w:rsidR="00252C32" w:rsidRPr="00293B75">
        <w:rPr>
          <w:rFonts w:cstheme="majorHAnsi"/>
          <w:lang w:val="fr-FR"/>
        </w:rPr>
        <w:t xml:space="preserve"> </w:t>
      </w:r>
      <w:r w:rsidR="005476EB" w:rsidRPr="00293B75">
        <w:rPr>
          <w:rFonts w:cstheme="majorHAnsi"/>
          <w:lang w:val="fr-FR"/>
        </w:rPr>
        <w:t>39 </w:t>
      </w:r>
      <w:r w:rsidR="00252C32" w:rsidRPr="00293B75">
        <w:rPr>
          <w:rFonts w:cstheme="majorHAnsi"/>
          <w:lang w:val="fr-FR"/>
        </w:rPr>
        <w:t xml:space="preserve">participants représentant </w:t>
      </w:r>
      <w:r w:rsidR="005476EB" w:rsidRPr="00293B75">
        <w:rPr>
          <w:rFonts w:cstheme="majorHAnsi"/>
          <w:lang w:val="fr-FR"/>
        </w:rPr>
        <w:t>18 </w:t>
      </w:r>
      <w:r w:rsidR="00252C32" w:rsidRPr="00293B75">
        <w:rPr>
          <w:rFonts w:cstheme="majorHAnsi"/>
          <w:lang w:val="fr-FR"/>
        </w:rPr>
        <w:t>membres de l</w:t>
      </w:r>
      <w:r w:rsidR="00FE442F" w:rsidRPr="00293B75">
        <w:rPr>
          <w:rFonts w:cstheme="majorHAnsi"/>
          <w:lang w:val="fr-FR"/>
        </w:rPr>
        <w:t>’</w:t>
      </w:r>
      <w:r w:rsidR="00252C32" w:rsidRPr="00293B75">
        <w:rPr>
          <w:rFonts w:cstheme="majorHAnsi"/>
          <w:lang w:val="fr-FR"/>
        </w:rPr>
        <w:t xml:space="preserve">Union, </w:t>
      </w:r>
      <w:r w:rsidR="005476EB" w:rsidRPr="00293B75">
        <w:rPr>
          <w:rFonts w:cstheme="majorHAnsi"/>
          <w:lang w:val="fr-FR"/>
        </w:rPr>
        <w:t>4 </w:t>
      </w:r>
      <w:r w:rsidR="00252C32" w:rsidRPr="00293B75">
        <w:rPr>
          <w:rFonts w:cstheme="majorHAnsi"/>
          <w:lang w:val="fr-FR"/>
        </w:rPr>
        <w:t>États ayant le statut d</w:t>
      </w:r>
      <w:r w:rsidR="00FE442F" w:rsidRPr="00293B75">
        <w:rPr>
          <w:rFonts w:cstheme="majorHAnsi"/>
          <w:lang w:val="fr-FR"/>
        </w:rPr>
        <w:t>’</w:t>
      </w:r>
      <w:r w:rsidR="00252C32" w:rsidRPr="00293B75">
        <w:rPr>
          <w:rFonts w:cstheme="majorHAnsi"/>
          <w:lang w:val="fr-FR"/>
        </w:rPr>
        <w:t xml:space="preserve">observateur et </w:t>
      </w:r>
      <w:r w:rsidR="005476EB" w:rsidRPr="00293B75">
        <w:rPr>
          <w:rFonts w:cstheme="majorHAnsi"/>
          <w:lang w:val="fr-FR"/>
        </w:rPr>
        <w:t>2 </w:t>
      </w:r>
      <w:r w:rsidR="00252C32" w:rsidRPr="00293B75">
        <w:rPr>
          <w:rFonts w:cstheme="majorHAnsi"/>
          <w:lang w:val="fr-FR"/>
        </w:rPr>
        <w:t>organisations ayant le statut d</w:t>
      </w:r>
      <w:r w:rsidR="00FE442F" w:rsidRPr="00293B75">
        <w:rPr>
          <w:rFonts w:cstheme="majorHAnsi"/>
          <w:lang w:val="fr-FR"/>
        </w:rPr>
        <w:t>’</w:t>
      </w:r>
      <w:r w:rsidR="00252C32" w:rsidRPr="00293B75">
        <w:rPr>
          <w:rFonts w:cstheme="majorHAnsi"/>
          <w:lang w:val="fr-FR"/>
        </w:rPr>
        <w:t>observateur.</w:t>
      </w:r>
      <w:r w:rsidRPr="00293B75">
        <w:rPr>
          <w:rFonts w:cstheme="majorHAnsi"/>
          <w:lang w:val="fr-FR"/>
        </w:rPr>
        <w:t xml:space="preserve"> </w:t>
      </w:r>
      <w:r w:rsidR="00004203" w:rsidRPr="00293B75">
        <w:rPr>
          <w:rFonts w:cstheme="majorHAnsi"/>
          <w:lang w:val="fr-FR"/>
        </w:rPr>
        <w:t xml:space="preserve"> </w:t>
      </w:r>
      <w:r w:rsidR="00252C32" w:rsidRPr="00293B75">
        <w:rPr>
          <w:rFonts w:cstheme="majorHAnsi"/>
          <w:lang w:val="fr-FR"/>
        </w:rPr>
        <w:t>L</w:t>
      </w:r>
      <w:r w:rsidR="00FE442F" w:rsidRPr="00293B75">
        <w:rPr>
          <w:rFonts w:cstheme="majorHAnsi"/>
          <w:lang w:val="fr-FR"/>
        </w:rPr>
        <w:t>’</w:t>
      </w:r>
      <w:r w:rsidR="00252C32" w:rsidRPr="00293B75">
        <w:rPr>
          <w:rFonts w:cstheme="majorHAnsi"/>
          <w:lang w:val="fr-FR"/>
        </w:rPr>
        <w:t>atelier préparatoire a réuni 17 participants représentant neuf membres de l</w:t>
      </w:r>
      <w:r w:rsidR="00FE442F" w:rsidRPr="00293B75">
        <w:rPr>
          <w:rFonts w:cstheme="majorHAnsi"/>
          <w:lang w:val="fr-FR"/>
        </w:rPr>
        <w:t>’</w:t>
      </w:r>
      <w:r w:rsidR="00252C32" w:rsidRPr="00293B75">
        <w:rPr>
          <w:rFonts w:cstheme="majorHAnsi"/>
          <w:lang w:val="fr-FR"/>
        </w:rPr>
        <w:t xml:space="preserve">Union et </w:t>
      </w:r>
      <w:r w:rsidR="00B766E4" w:rsidRPr="00293B75">
        <w:rPr>
          <w:rFonts w:cstheme="majorHAnsi"/>
          <w:lang w:val="fr-FR"/>
        </w:rPr>
        <w:t>3</w:t>
      </w:r>
      <w:r w:rsidR="00252C32" w:rsidRPr="00293B75">
        <w:rPr>
          <w:rFonts w:cstheme="majorHAnsi"/>
          <w:lang w:val="fr-FR"/>
        </w:rPr>
        <w:t> États ayant le statut d</w:t>
      </w:r>
      <w:r w:rsidR="00FE442F" w:rsidRPr="00293B75">
        <w:rPr>
          <w:rFonts w:cstheme="majorHAnsi"/>
          <w:lang w:val="fr-FR"/>
        </w:rPr>
        <w:t>’</w:t>
      </w:r>
      <w:r w:rsidR="00252C32" w:rsidRPr="00293B75">
        <w:rPr>
          <w:rFonts w:cstheme="majorHAnsi"/>
          <w:lang w:val="fr-FR"/>
        </w:rPr>
        <w:t>observateur.</w:t>
      </w:r>
    </w:p>
    <w:p w:rsidR="00AD5031" w:rsidRPr="00293B75" w:rsidRDefault="00AD5031" w:rsidP="007005BA">
      <w:pPr>
        <w:rPr>
          <w:rFonts w:cstheme="majorHAnsi"/>
          <w:lang w:val="fr-FR"/>
        </w:rPr>
      </w:pPr>
    </w:p>
    <w:p w:rsidR="00DE1212"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BA51CF" w:rsidRPr="00293B75">
        <w:rPr>
          <w:rFonts w:cstheme="majorHAnsi"/>
          <w:lang w:val="fr-FR"/>
        </w:rPr>
        <w:t>M. Mohammed Sadiki, s</w:t>
      </w:r>
      <w:r w:rsidR="00DE1212" w:rsidRPr="00293B75">
        <w:rPr>
          <w:rFonts w:cstheme="majorHAnsi"/>
          <w:lang w:val="fr-FR"/>
        </w:rPr>
        <w:t>ecrétaire général, Ministère de l</w:t>
      </w:r>
      <w:r w:rsidR="00FE442F" w:rsidRPr="00293B75">
        <w:rPr>
          <w:rFonts w:cstheme="majorHAnsi"/>
          <w:lang w:val="fr-FR"/>
        </w:rPr>
        <w:t>’</w:t>
      </w:r>
      <w:r w:rsidR="00DE1212" w:rsidRPr="00293B75">
        <w:rPr>
          <w:rFonts w:cstheme="majorHAnsi"/>
          <w:lang w:val="fr-FR"/>
        </w:rPr>
        <w:t>Agriculture et de la Pêche Maritime du Maroc, et M.</w:t>
      </w:r>
      <w:r w:rsidR="00004203" w:rsidRPr="00293B75">
        <w:rPr>
          <w:rFonts w:cstheme="majorHAnsi"/>
          <w:lang w:val="fr-FR"/>
        </w:rPr>
        <w:t> </w:t>
      </w:r>
      <w:r w:rsidR="00DE1212" w:rsidRPr="00293B75">
        <w:rPr>
          <w:rFonts w:cstheme="majorHAnsi"/>
          <w:lang w:val="fr-FR"/>
        </w:rPr>
        <w:t>Amar Tahiri, Chef de la Division du contrôle des semences et plants, Office National de Sécurité sanitaire des Produits alimentaires (ONSSA) ont souhaité la bienvenue aux participants.  M.</w:t>
      </w:r>
      <w:r w:rsidR="00004203" w:rsidRPr="00293B75">
        <w:rPr>
          <w:rFonts w:cstheme="majorHAnsi"/>
          <w:lang w:val="fr-FR"/>
        </w:rPr>
        <w:t> </w:t>
      </w:r>
      <w:r w:rsidR="00DE1212" w:rsidRPr="00293B75">
        <w:rPr>
          <w:rFonts w:cstheme="majorHAnsi"/>
          <w:lang w:val="fr-FR"/>
        </w:rPr>
        <w:t>Amar Tahiri a présenté un exposé sur la protection des variétés végétales au Maroc.</w:t>
      </w:r>
    </w:p>
    <w:p w:rsidR="00DE1212" w:rsidRPr="00293B75" w:rsidRDefault="00DE1212" w:rsidP="007005BA">
      <w:pPr>
        <w:rPr>
          <w:rFonts w:cstheme="majorHAnsi"/>
          <w:lang w:val="fr-FR"/>
        </w:rPr>
      </w:pPr>
    </w:p>
    <w:p w:rsidR="009775B0"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9775B0" w:rsidRPr="00293B75">
        <w:rPr>
          <w:rFonts w:cstheme="majorHAnsi"/>
          <w:lang w:val="fr-FR"/>
        </w:rPr>
        <w:t>Le TWF a examiné les propositions relatives aux moyens possibles d</w:t>
      </w:r>
      <w:r w:rsidR="00FE442F" w:rsidRPr="00293B75">
        <w:rPr>
          <w:rFonts w:cstheme="majorHAnsi"/>
          <w:lang w:val="fr-FR"/>
        </w:rPr>
        <w:t>’</w:t>
      </w:r>
      <w:r w:rsidR="009775B0" w:rsidRPr="00293B75">
        <w:rPr>
          <w:rFonts w:cstheme="majorHAnsi"/>
          <w:lang w:val="fr-FR"/>
        </w:rPr>
        <w:t>améliorer l</w:t>
      </w:r>
      <w:r w:rsidR="00FE442F" w:rsidRPr="00293B75">
        <w:rPr>
          <w:rFonts w:cstheme="majorHAnsi"/>
          <w:lang w:val="fr-FR"/>
        </w:rPr>
        <w:t>’</w:t>
      </w:r>
      <w:r w:rsidR="009775B0" w:rsidRPr="00293B75">
        <w:rPr>
          <w:rFonts w:cstheme="majorHAnsi"/>
          <w:lang w:val="fr-FR"/>
        </w:rPr>
        <w:t>efficacité</w:t>
      </w:r>
      <w:r w:rsidR="00FE442F" w:rsidRPr="00293B75">
        <w:rPr>
          <w:rFonts w:cstheme="majorHAnsi"/>
          <w:lang w:val="fr-FR"/>
        </w:rPr>
        <w:t xml:space="preserve"> des TWP</w:t>
      </w:r>
      <w:r w:rsidR="009775B0" w:rsidRPr="00293B75">
        <w:rPr>
          <w:rFonts w:cstheme="majorHAnsi"/>
          <w:lang w:val="fr-FR"/>
        </w:rPr>
        <w:t xml:space="preserve"> et des ateliers préparatoires et a formulé des commentaires, qui figurent au paragraphe</w:t>
      </w:r>
      <w:r w:rsidR="00004203" w:rsidRPr="00293B75">
        <w:rPr>
          <w:rFonts w:cstheme="majorHAnsi"/>
          <w:lang w:val="fr-FR"/>
        </w:rPr>
        <w:t> </w:t>
      </w:r>
      <w:r w:rsidR="009775B0" w:rsidRPr="00293B75">
        <w:rPr>
          <w:rFonts w:cstheme="majorHAnsi"/>
          <w:lang w:val="fr-FR"/>
        </w:rPr>
        <w:t>9 du document TWF/45/32 “Report”.</w:t>
      </w:r>
    </w:p>
    <w:p w:rsidR="00AD5031" w:rsidRPr="00293B75" w:rsidRDefault="00AD5031" w:rsidP="007005BA">
      <w:pPr>
        <w:rPr>
          <w:rFonts w:cstheme="majorHAnsi"/>
          <w:lang w:val="fr-FR"/>
        </w:rPr>
      </w:pPr>
    </w:p>
    <w:p w:rsidR="006E7AD5"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6E7AD5" w:rsidRPr="00293B75">
        <w:rPr>
          <w:rFonts w:cstheme="majorHAnsi"/>
          <w:lang w:val="fr-FR"/>
        </w:rPr>
        <w:t xml:space="preserve">Le TWF a examiné le </w:t>
      </w:r>
      <w:r w:rsidRPr="00293B75">
        <w:rPr>
          <w:rFonts w:cstheme="majorHAnsi"/>
          <w:lang w:val="fr-FR"/>
        </w:rPr>
        <w:t xml:space="preserve">document TWF/45/27 “The duration of DUS test in the fruit sector” </w:t>
      </w:r>
      <w:r w:rsidR="006E7AD5" w:rsidRPr="00293B75">
        <w:rPr>
          <w:rFonts w:cstheme="majorHAnsi"/>
          <w:lang w:val="fr-FR"/>
        </w:rPr>
        <w:t>et a suivi un exposé d</w:t>
      </w:r>
      <w:r w:rsidR="00FE442F" w:rsidRPr="00293B75">
        <w:rPr>
          <w:rFonts w:cstheme="majorHAnsi"/>
          <w:lang w:val="fr-FR"/>
        </w:rPr>
        <w:t>’</w:t>
      </w:r>
      <w:r w:rsidR="006E7AD5" w:rsidRPr="00293B75">
        <w:rPr>
          <w:rFonts w:cstheme="majorHAnsi"/>
          <w:lang w:val="fr-FR"/>
        </w:rPr>
        <w:t>un expert de l</w:t>
      </w:r>
      <w:r w:rsidR="00FE442F" w:rsidRPr="00293B75">
        <w:rPr>
          <w:rFonts w:cstheme="majorHAnsi"/>
          <w:lang w:val="fr-FR"/>
        </w:rPr>
        <w:t>’</w:t>
      </w:r>
      <w:r w:rsidR="006E7AD5" w:rsidRPr="00293B75">
        <w:rPr>
          <w:rFonts w:cstheme="majorHAnsi"/>
          <w:lang w:val="fr-FR"/>
        </w:rPr>
        <w:t>Union européenne sur un projet de l</w:t>
      </w:r>
      <w:r w:rsidR="00FE442F" w:rsidRPr="00293B75">
        <w:rPr>
          <w:rFonts w:cstheme="majorHAnsi"/>
          <w:lang w:val="fr-FR"/>
        </w:rPr>
        <w:t>’</w:t>
      </w:r>
      <w:r w:rsidR="006E7AD5" w:rsidRPr="00293B75">
        <w:rPr>
          <w:rFonts w:cstheme="majorHAnsi"/>
          <w:lang w:val="fr-FR"/>
        </w:rPr>
        <w:t>Office communautaire des variétés végétales (OCVV) de l</w:t>
      </w:r>
      <w:r w:rsidR="00FE442F" w:rsidRPr="00293B75">
        <w:rPr>
          <w:rFonts w:cstheme="majorHAnsi"/>
          <w:lang w:val="fr-FR"/>
        </w:rPr>
        <w:t>’</w:t>
      </w:r>
      <w:r w:rsidR="006E7AD5" w:rsidRPr="00293B75">
        <w:rPr>
          <w:rFonts w:cstheme="majorHAnsi"/>
          <w:lang w:val="fr-FR"/>
        </w:rPr>
        <w:t>Union européenne concernant la “Réduction du nombre de périodes d</w:t>
      </w:r>
      <w:r w:rsidR="00FE442F" w:rsidRPr="00293B75">
        <w:rPr>
          <w:rFonts w:cstheme="majorHAnsi"/>
          <w:lang w:val="fr-FR"/>
        </w:rPr>
        <w:t>’</w:t>
      </w:r>
      <w:r w:rsidR="006E7AD5" w:rsidRPr="00293B75">
        <w:rPr>
          <w:rFonts w:cstheme="majorHAnsi"/>
          <w:lang w:val="fr-FR"/>
        </w:rPr>
        <w:t>observation obligatoires dans l</w:t>
      </w:r>
      <w:r w:rsidR="00FE442F" w:rsidRPr="00293B75">
        <w:rPr>
          <w:rFonts w:cstheme="majorHAnsi"/>
          <w:lang w:val="fr-FR"/>
        </w:rPr>
        <w:t>’</w:t>
      </w:r>
      <w:r w:rsidR="006E7AD5" w:rsidRPr="00293B75">
        <w:rPr>
          <w:rFonts w:cstheme="majorHAnsi"/>
          <w:lang w:val="fr-FR"/>
        </w:rPr>
        <w:t>examen</w:t>
      </w:r>
      <w:r w:rsidR="00004203" w:rsidRPr="00293B75">
        <w:rPr>
          <w:rFonts w:cstheme="majorHAnsi"/>
          <w:lang w:val="fr-FR"/>
        </w:rPr>
        <w:t> </w:t>
      </w:r>
      <w:r w:rsidR="006E7AD5" w:rsidRPr="00293B75">
        <w:rPr>
          <w:rFonts w:cstheme="majorHAnsi"/>
          <w:lang w:val="fr-FR"/>
        </w:rPr>
        <w:t>DHS de variétés candidates dans le secteur des plantes fruitières”.</w:t>
      </w:r>
      <w:r w:rsidR="00176FF0" w:rsidRPr="00293B75">
        <w:rPr>
          <w:rFonts w:cstheme="majorHAnsi"/>
          <w:lang w:val="fr-FR"/>
        </w:rPr>
        <w:t xml:space="preserve"> </w:t>
      </w:r>
      <w:r w:rsidR="00FE442F" w:rsidRPr="00293B75">
        <w:rPr>
          <w:rFonts w:cstheme="majorHAnsi"/>
          <w:lang w:val="fr-FR"/>
        </w:rPr>
        <w:t xml:space="preserve"> Le TWF</w:t>
      </w:r>
      <w:r w:rsidR="00176FF0" w:rsidRPr="00293B75">
        <w:rPr>
          <w:rFonts w:cstheme="majorHAnsi"/>
          <w:lang w:val="fr-FR"/>
        </w:rPr>
        <w:t xml:space="preserve"> a demandé aux experts principaux de proposer un texte approprié pour la durée minimale et le nombre de cycles de végétation à ajouter à leur projet de principes directeurs d</w:t>
      </w:r>
      <w:r w:rsidR="00FE442F" w:rsidRPr="00293B75">
        <w:rPr>
          <w:rFonts w:cstheme="majorHAnsi"/>
          <w:lang w:val="fr-FR"/>
        </w:rPr>
        <w:t>’</w:t>
      </w:r>
      <w:r w:rsidR="00176FF0" w:rsidRPr="00293B75">
        <w:rPr>
          <w:rFonts w:cstheme="majorHAnsi"/>
          <w:lang w:val="fr-FR"/>
        </w:rPr>
        <w:t>examen en</w:t>
      </w:r>
      <w:r w:rsidR="00004203" w:rsidRPr="00293B75">
        <w:rPr>
          <w:rFonts w:cstheme="majorHAnsi"/>
          <w:lang w:val="fr-FR"/>
        </w:rPr>
        <w:t> </w:t>
      </w:r>
      <w:r w:rsidR="00176FF0" w:rsidRPr="00293B75">
        <w:rPr>
          <w:rFonts w:cstheme="majorHAnsi"/>
          <w:lang w:val="fr-FR"/>
        </w:rPr>
        <w:t>2015 et à l</w:t>
      </w:r>
      <w:r w:rsidR="00FE442F" w:rsidRPr="00293B75">
        <w:rPr>
          <w:rFonts w:cstheme="majorHAnsi"/>
          <w:lang w:val="fr-FR"/>
        </w:rPr>
        <w:t>’</w:t>
      </w:r>
      <w:r w:rsidR="00176FF0" w:rsidRPr="00293B75">
        <w:rPr>
          <w:rFonts w:cstheme="majorHAnsi"/>
          <w:lang w:val="fr-FR"/>
        </w:rPr>
        <w:t>expert de l</w:t>
      </w:r>
      <w:r w:rsidR="00FE442F" w:rsidRPr="00293B75">
        <w:rPr>
          <w:rFonts w:cstheme="majorHAnsi"/>
          <w:lang w:val="fr-FR"/>
        </w:rPr>
        <w:t>’</w:t>
      </w:r>
      <w:r w:rsidR="00176FF0" w:rsidRPr="00293B75">
        <w:rPr>
          <w:rFonts w:cstheme="majorHAnsi"/>
          <w:lang w:val="fr-FR"/>
        </w:rPr>
        <w:t>Union européenne de dresser la liste des options établies par les experts principaux et de s</w:t>
      </w:r>
      <w:r w:rsidR="00FE442F" w:rsidRPr="00293B75">
        <w:rPr>
          <w:rFonts w:cstheme="majorHAnsi"/>
          <w:lang w:val="fr-FR"/>
        </w:rPr>
        <w:t>’</w:t>
      </w:r>
      <w:r w:rsidR="00176FF0" w:rsidRPr="00293B75">
        <w:rPr>
          <w:rFonts w:cstheme="majorHAnsi"/>
          <w:lang w:val="fr-FR"/>
        </w:rPr>
        <w:t>efforcer d</w:t>
      </w:r>
      <w:r w:rsidR="00FE442F" w:rsidRPr="00293B75">
        <w:rPr>
          <w:rFonts w:cstheme="majorHAnsi"/>
          <w:lang w:val="fr-FR"/>
        </w:rPr>
        <w:t>’</w:t>
      </w:r>
      <w:r w:rsidR="00176FF0" w:rsidRPr="00293B75">
        <w:rPr>
          <w:rFonts w:cstheme="majorHAnsi"/>
          <w:lang w:val="fr-FR"/>
        </w:rPr>
        <w:t>élaborer de nouvelles options éventuelles de texte standard.</w:t>
      </w:r>
    </w:p>
    <w:p w:rsidR="00AD5031" w:rsidRPr="00293B75" w:rsidRDefault="00AD5031" w:rsidP="007005BA">
      <w:pPr>
        <w:rPr>
          <w:rFonts w:cstheme="majorHAnsi"/>
          <w:lang w:val="fr-FR"/>
        </w:rPr>
      </w:pPr>
    </w:p>
    <w:p w:rsidR="00967941"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967941" w:rsidRPr="00293B75">
        <w:rPr>
          <w:rFonts w:cstheme="majorHAnsi"/>
          <w:lang w:val="fr-FR"/>
        </w:rPr>
        <w:t>Le TWF a suivi un exposé présenté par les experts de l</w:t>
      </w:r>
      <w:r w:rsidR="00FE442F" w:rsidRPr="00293B75">
        <w:rPr>
          <w:rFonts w:cstheme="majorHAnsi"/>
          <w:lang w:val="fr-FR"/>
        </w:rPr>
        <w:t>’</w:t>
      </w:r>
      <w:r w:rsidR="00967941" w:rsidRPr="00293B75">
        <w:rPr>
          <w:rFonts w:cstheme="majorHAnsi"/>
          <w:lang w:val="fr-FR"/>
        </w:rPr>
        <w:t>Allemagne et de la Nouvelle</w:t>
      </w:r>
      <w:r w:rsidR="005535E5" w:rsidRPr="00293B75">
        <w:rPr>
          <w:rFonts w:cstheme="majorHAnsi"/>
          <w:lang w:val="fr-FR"/>
        </w:rPr>
        <w:noBreakHyphen/>
      </w:r>
      <w:r w:rsidR="00967941" w:rsidRPr="00293B75">
        <w:rPr>
          <w:rFonts w:cstheme="majorHAnsi"/>
          <w:lang w:val="fr-FR"/>
        </w:rPr>
        <w:t xml:space="preserve">Zélande sur les travaux réalisés précédemment sur </w:t>
      </w:r>
      <w:r w:rsidR="00142568" w:rsidRPr="00293B75">
        <w:rPr>
          <w:rFonts w:cstheme="majorHAnsi"/>
          <w:lang w:val="fr-FR"/>
        </w:rPr>
        <w:t>l’harmonisation des</w:t>
      </w:r>
      <w:r w:rsidR="00967941" w:rsidRPr="00293B75">
        <w:rPr>
          <w:rFonts w:cstheme="majorHAnsi"/>
          <w:lang w:val="fr-FR"/>
        </w:rPr>
        <w:t xml:space="preserve"> description</w:t>
      </w:r>
      <w:r w:rsidR="00142568" w:rsidRPr="00293B75">
        <w:rPr>
          <w:rFonts w:cstheme="majorHAnsi"/>
          <w:lang w:val="fr-FR"/>
        </w:rPr>
        <w:t>s</w:t>
      </w:r>
      <w:r w:rsidR="00967941" w:rsidRPr="00293B75">
        <w:rPr>
          <w:rFonts w:cstheme="majorHAnsi"/>
          <w:lang w:val="fr-FR"/>
        </w:rPr>
        <w:t xml:space="preserve"> variétale</w:t>
      </w:r>
      <w:r w:rsidR="00142568" w:rsidRPr="00293B75">
        <w:rPr>
          <w:rFonts w:cstheme="majorHAnsi"/>
          <w:lang w:val="fr-FR"/>
        </w:rPr>
        <w:t>s</w:t>
      </w:r>
      <w:r w:rsidR="00967941" w:rsidRPr="00293B75">
        <w:rPr>
          <w:rFonts w:cstheme="majorHAnsi"/>
          <w:lang w:val="fr-FR"/>
        </w:rPr>
        <w:t xml:space="preserve"> de la pomme pour un ensemble convenu de variétés, qui figure dans le document TWF/45/28. </w:t>
      </w:r>
      <w:r w:rsidR="00FE442F" w:rsidRPr="00293B75">
        <w:rPr>
          <w:rFonts w:cstheme="majorHAnsi"/>
          <w:lang w:val="fr-FR"/>
        </w:rPr>
        <w:t xml:space="preserve"> Le TWF</w:t>
      </w:r>
      <w:r w:rsidR="00967941" w:rsidRPr="00293B75">
        <w:rPr>
          <w:rFonts w:cstheme="majorHAnsi"/>
          <w:lang w:val="fr-FR"/>
        </w:rPr>
        <w:t xml:space="preserve"> a reçu des informations d</w:t>
      </w:r>
      <w:r w:rsidR="00FE442F" w:rsidRPr="00293B75">
        <w:rPr>
          <w:rFonts w:cstheme="majorHAnsi"/>
          <w:lang w:val="fr-FR"/>
        </w:rPr>
        <w:t>’</w:t>
      </w:r>
      <w:r w:rsidR="00967941" w:rsidRPr="00293B75">
        <w:rPr>
          <w:rFonts w:cstheme="majorHAnsi"/>
          <w:lang w:val="fr-FR"/>
        </w:rPr>
        <w:t>un expert de l</w:t>
      </w:r>
      <w:r w:rsidR="00FE442F" w:rsidRPr="00293B75">
        <w:rPr>
          <w:rFonts w:cstheme="majorHAnsi"/>
          <w:lang w:val="fr-FR"/>
        </w:rPr>
        <w:t>’</w:t>
      </w:r>
      <w:r w:rsidR="00967941" w:rsidRPr="00293B75">
        <w:rPr>
          <w:rFonts w:cstheme="majorHAnsi"/>
          <w:lang w:val="fr-FR"/>
        </w:rPr>
        <w:t>Union européenne concernant un projet de test d</w:t>
      </w:r>
      <w:r w:rsidR="00FE442F" w:rsidRPr="00293B75">
        <w:rPr>
          <w:rFonts w:cstheme="majorHAnsi"/>
          <w:lang w:val="fr-FR"/>
        </w:rPr>
        <w:t>’</w:t>
      </w:r>
      <w:r w:rsidR="00967941" w:rsidRPr="00293B75">
        <w:rPr>
          <w:rFonts w:cstheme="majorHAnsi"/>
          <w:lang w:val="fr-FR"/>
        </w:rPr>
        <w:t>étalonnage pour le pommier aux fins de la gestion des descriptions variétales, qui sera lancé en</w:t>
      </w:r>
      <w:r w:rsidR="00004203" w:rsidRPr="00293B75">
        <w:rPr>
          <w:rFonts w:cstheme="majorHAnsi"/>
          <w:lang w:val="fr-FR"/>
        </w:rPr>
        <w:t> </w:t>
      </w:r>
      <w:r w:rsidR="00967941" w:rsidRPr="00293B75">
        <w:rPr>
          <w:rFonts w:cstheme="majorHAnsi"/>
          <w:lang w:val="fr-FR"/>
        </w:rPr>
        <w:t>2015.  Le projet aura pour objet d</w:t>
      </w:r>
      <w:r w:rsidR="00FE442F" w:rsidRPr="00293B75">
        <w:rPr>
          <w:rFonts w:cstheme="majorHAnsi"/>
          <w:lang w:val="fr-FR"/>
        </w:rPr>
        <w:t>’</w:t>
      </w:r>
      <w:r w:rsidR="00967941" w:rsidRPr="00293B75">
        <w:rPr>
          <w:rFonts w:cstheme="majorHAnsi"/>
          <w:lang w:val="fr-FR"/>
        </w:rPr>
        <w:t xml:space="preserve">identifier la cause des différences </w:t>
      </w:r>
      <w:r w:rsidR="00142568" w:rsidRPr="00293B75">
        <w:rPr>
          <w:rFonts w:cstheme="majorHAnsi"/>
          <w:lang w:val="fr-FR"/>
        </w:rPr>
        <w:t>entre les</w:t>
      </w:r>
      <w:r w:rsidR="00967941" w:rsidRPr="00293B75">
        <w:rPr>
          <w:rFonts w:cstheme="majorHAnsi"/>
          <w:lang w:val="fr-FR"/>
        </w:rPr>
        <w:t xml:space="preserve"> description</w:t>
      </w:r>
      <w:r w:rsidR="00142568" w:rsidRPr="00293B75">
        <w:rPr>
          <w:rFonts w:cstheme="majorHAnsi"/>
          <w:lang w:val="fr-FR"/>
        </w:rPr>
        <w:t>s</w:t>
      </w:r>
      <w:r w:rsidR="00967941" w:rsidRPr="00293B75">
        <w:rPr>
          <w:rFonts w:cstheme="majorHAnsi"/>
          <w:lang w:val="fr-FR"/>
        </w:rPr>
        <w:t xml:space="preserve"> variétale</w:t>
      </w:r>
      <w:r w:rsidR="00142568" w:rsidRPr="00293B75">
        <w:rPr>
          <w:rFonts w:cstheme="majorHAnsi"/>
          <w:lang w:val="fr-FR"/>
        </w:rPr>
        <w:t>s</w:t>
      </w:r>
      <w:r w:rsidR="00967941" w:rsidRPr="00293B75">
        <w:rPr>
          <w:rFonts w:cstheme="majorHAnsi"/>
          <w:lang w:val="fr-FR"/>
        </w:rPr>
        <w:t xml:space="preserve"> en Europe lorsque des variétés voisines et le même porte</w:t>
      </w:r>
      <w:r w:rsidR="005535E5" w:rsidRPr="00293B75">
        <w:rPr>
          <w:rFonts w:cstheme="majorHAnsi"/>
          <w:lang w:val="fr-FR"/>
        </w:rPr>
        <w:noBreakHyphen/>
      </w:r>
      <w:r w:rsidR="00967941" w:rsidRPr="00293B75">
        <w:rPr>
          <w:rFonts w:cstheme="majorHAnsi"/>
          <w:lang w:val="fr-FR"/>
        </w:rPr>
        <w:t xml:space="preserve">greffe sont utilisés. </w:t>
      </w:r>
      <w:r w:rsidR="00FE442F" w:rsidRPr="00293B75">
        <w:rPr>
          <w:rFonts w:cstheme="majorHAnsi"/>
          <w:lang w:val="fr-FR"/>
        </w:rPr>
        <w:t xml:space="preserve"> Le TWF</w:t>
      </w:r>
      <w:r w:rsidR="00967941" w:rsidRPr="00293B75">
        <w:rPr>
          <w:rFonts w:cstheme="majorHAnsi"/>
          <w:lang w:val="fr-FR"/>
        </w:rPr>
        <w:t xml:space="preserve"> a demandé à un expert de l</w:t>
      </w:r>
      <w:r w:rsidR="00FE442F" w:rsidRPr="00293B75">
        <w:rPr>
          <w:rFonts w:cstheme="majorHAnsi"/>
          <w:lang w:val="fr-FR"/>
        </w:rPr>
        <w:t>’</w:t>
      </w:r>
      <w:r w:rsidR="00967941" w:rsidRPr="00293B75">
        <w:rPr>
          <w:rFonts w:cstheme="majorHAnsi"/>
          <w:lang w:val="fr-FR"/>
        </w:rPr>
        <w:t>Union européenne de faire rapport sur l</w:t>
      </w:r>
      <w:r w:rsidR="00FE442F" w:rsidRPr="00293B75">
        <w:rPr>
          <w:rFonts w:cstheme="majorHAnsi"/>
          <w:lang w:val="fr-FR"/>
        </w:rPr>
        <w:t>’</w:t>
      </w:r>
      <w:r w:rsidR="00967941" w:rsidRPr="00293B75">
        <w:rPr>
          <w:rFonts w:cstheme="majorHAnsi"/>
          <w:lang w:val="fr-FR"/>
        </w:rPr>
        <w:t>état d</w:t>
      </w:r>
      <w:r w:rsidR="00FE442F" w:rsidRPr="00293B75">
        <w:rPr>
          <w:rFonts w:cstheme="majorHAnsi"/>
          <w:lang w:val="fr-FR"/>
        </w:rPr>
        <w:t>’</w:t>
      </w:r>
      <w:r w:rsidR="00967941" w:rsidRPr="00293B75">
        <w:rPr>
          <w:rFonts w:cstheme="majorHAnsi"/>
          <w:lang w:val="fr-FR"/>
        </w:rPr>
        <w:t>avancement de ce projet à sa quarante</w:t>
      </w:r>
      <w:r w:rsidR="005535E5" w:rsidRPr="00293B75">
        <w:rPr>
          <w:rFonts w:cstheme="majorHAnsi"/>
          <w:lang w:val="fr-FR"/>
        </w:rPr>
        <w:noBreakHyphen/>
      </w:r>
      <w:r w:rsidR="00967941" w:rsidRPr="00293B75">
        <w:rPr>
          <w:rFonts w:cstheme="majorHAnsi"/>
          <w:lang w:val="fr-FR"/>
        </w:rPr>
        <w:t>sixième</w:t>
      </w:r>
      <w:r w:rsidR="00004203" w:rsidRPr="00293B75">
        <w:rPr>
          <w:rFonts w:cstheme="majorHAnsi"/>
          <w:lang w:val="fr-FR"/>
        </w:rPr>
        <w:t> </w:t>
      </w:r>
      <w:r w:rsidR="00967941" w:rsidRPr="00293B75">
        <w:rPr>
          <w:rFonts w:cstheme="majorHAnsi"/>
          <w:lang w:val="fr-FR"/>
        </w:rPr>
        <w:t>session</w:t>
      </w:r>
    </w:p>
    <w:p w:rsidR="00AD5031" w:rsidRPr="00293B75" w:rsidRDefault="00AD5031" w:rsidP="007005BA">
      <w:pPr>
        <w:rPr>
          <w:rFonts w:cstheme="majorHAnsi"/>
          <w:lang w:val="fr-FR"/>
        </w:rPr>
      </w:pPr>
    </w:p>
    <w:p w:rsidR="00AD5031"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420F11" w:rsidRPr="00293B75">
        <w:rPr>
          <w:rFonts w:cstheme="majorHAnsi"/>
          <w:lang w:val="fr-FR"/>
        </w:rPr>
        <w:t>Le</w:t>
      </w:r>
      <w:r w:rsidRPr="00293B75">
        <w:rPr>
          <w:rFonts w:cstheme="majorHAnsi"/>
          <w:lang w:val="fr-FR"/>
        </w:rPr>
        <w:t xml:space="preserve"> TWF </w:t>
      </w:r>
      <w:r w:rsidR="00420F11" w:rsidRPr="00293B75">
        <w:rPr>
          <w:rFonts w:cstheme="majorHAnsi"/>
          <w:lang w:val="fr-FR"/>
        </w:rPr>
        <w:t xml:space="preserve">a examiné le </w:t>
      </w:r>
      <w:r w:rsidRPr="00293B75">
        <w:rPr>
          <w:rFonts w:cstheme="majorHAnsi"/>
          <w:lang w:val="fr-FR"/>
        </w:rPr>
        <w:t>document TWF/45/2</w:t>
      </w:r>
      <w:r w:rsidR="002A50CF" w:rsidRPr="00293B75">
        <w:rPr>
          <w:rFonts w:cstheme="majorHAnsi"/>
          <w:lang w:val="fr-FR"/>
        </w:rPr>
        <w:t xml:space="preserve"> </w:t>
      </w:r>
      <w:r w:rsidRPr="00293B75">
        <w:rPr>
          <w:rFonts w:cstheme="majorHAnsi"/>
          <w:lang w:val="fr-FR"/>
        </w:rPr>
        <w:t>“</w:t>
      </w:r>
      <w:r w:rsidR="00420F11" w:rsidRPr="00293B75">
        <w:rPr>
          <w:rFonts w:cstheme="majorHAnsi"/>
          <w:lang w:val="fr-FR"/>
        </w:rPr>
        <w:t>Techniques moléculaires</w:t>
      </w:r>
      <w:r w:rsidRPr="00293B75">
        <w:rPr>
          <w:rFonts w:cstheme="majorHAnsi"/>
          <w:lang w:val="fr-FR"/>
        </w:rPr>
        <w:t xml:space="preserve">”. </w:t>
      </w:r>
      <w:r w:rsidR="00FE442F" w:rsidRPr="00293B75">
        <w:rPr>
          <w:rFonts w:cstheme="majorHAnsi"/>
          <w:lang w:val="fr-FR"/>
        </w:rPr>
        <w:t xml:space="preserve"> Le TWF</w:t>
      </w:r>
      <w:r w:rsidR="00252C32" w:rsidRPr="00293B75">
        <w:rPr>
          <w:rFonts w:cstheme="majorHAnsi"/>
          <w:lang w:val="fr-FR"/>
        </w:rPr>
        <w:t xml:space="preserve"> a également suivi un exposé présenté par l</w:t>
      </w:r>
      <w:r w:rsidR="00FE442F" w:rsidRPr="00293B75">
        <w:rPr>
          <w:rFonts w:cstheme="majorHAnsi"/>
          <w:lang w:val="fr-FR"/>
        </w:rPr>
        <w:t>’</w:t>
      </w:r>
      <w:r w:rsidR="00252C32" w:rsidRPr="00293B75">
        <w:rPr>
          <w:rFonts w:cstheme="majorHAnsi"/>
          <w:lang w:val="fr-FR"/>
        </w:rPr>
        <w:t>expert de la France sur l</w:t>
      </w:r>
      <w:r w:rsidR="00FE442F" w:rsidRPr="00293B75">
        <w:rPr>
          <w:rFonts w:cstheme="majorHAnsi"/>
          <w:lang w:val="fr-FR"/>
        </w:rPr>
        <w:t>’</w:t>
      </w:r>
      <w:r w:rsidR="00252C32" w:rsidRPr="00293B75">
        <w:rPr>
          <w:rFonts w:cstheme="majorHAnsi"/>
          <w:lang w:val="fr-FR"/>
        </w:rPr>
        <w:t>étude concernant les techniques moléculaires et l</w:t>
      </w:r>
      <w:r w:rsidR="00FE442F" w:rsidRPr="00293B75">
        <w:rPr>
          <w:rFonts w:cstheme="majorHAnsi"/>
          <w:lang w:val="fr-FR"/>
        </w:rPr>
        <w:t>’</w:t>
      </w:r>
      <w:r w:rsidR="00252C32" w:rsidRPr="00293B75">
        <w:rPr>
          <w:rFonts w:cstheme="majorHAnsi"/>
          <w:lang w:val="fr-FR"/>
        </w:rPr>
        <w:t>examen</w:t>
      </w:r>
      <w:r w:rsidR="00004203" w:rsidRPr="00293B75">
        <w:rPr>
          <w:rFonts w:cstheme="majorHAnsi"/>
          <w:lang w:val="fr-FR"/>
        </w:rPr>
        <w:t> </w:t>
      </w:r>
      <w:r w:rsidR="00252C32" w:rsidRPr="00293B75">
        <w:rPr>
          <w:rFonts w:cstheme="majorHAnsi"/>
          <w:lang w:val="fr-FR"/>
        </w:rPr>
        <w:t>DHS réalisée par le Groupe d</w:t>
      </w:r>
      <w:r w:rsidR="00FE442F" w:rsidRPr="00293B75">
        <w:rPr>
          <w:rFonts w:cstheme="majorHAnsi"/>
          <w:lang w:val="fr-FR"/>
        </w:rPr>
        <w:t>’</w:t>
      </w:r>
      <w:r w:rsidR="00252C32" w:rsidRPr="00293B75">
        <w:rPr>
          <w:rFonts w:cstheme="majorHAnsi"/>
          <w:lang w:val="fr-FR"/>
        </w:rPr>
        <w:t>étude et de contrôle des variétés et des semences (GEVES).</w:t>
      </w:r>
      <w:r w:rsidR="00004203" w:rsidRPr="00293B75">
        <w:rPr>
          <w:rFonts w:cstheme="majorHAnsi"/>
          <w:lang w:val="fr-FR"/>
        </w:rPr>
        <w:t xml:space="preserve"> </w:t>
      </w:r>
      <w:r w:rsidR="00252C32" w:rsidRPr="00293B75">
        <w:rPr>
          <w:rFonts w:cstheme="majorHAnsi"/>
          <w:lang w:val="fr-FR"/>
        </w:rPr>
        <w:t xml:space="preserve"> Au cours de cet exposé, l</w:t>
      </w:r>
      <w:r w:rsidR="00FE442F" w:rsidRPr="00293B75">
        <w:rPr>
          <w:rFonts w:cstheme="majorHAnsi"/>
          <w:lang w:val="fr-FR"/>
        </w:rPr>
        <w:t>’</w:t>
      </w:r>
      <w:r w:rsidR="00252C32" w:rsidRPr="00293B75">
        <w:rPr>
          <w:rFonts w:cstheme="majorHAnsi"/>
          <w:lang w:val="fr-FR"/>
        </w:rPr>
        <w:t>expert a expliqué comment ces techniques sont utilisées en France notamment aux fins de la détection de gènes de résistance, et aussi sur les arbres fruitiers.</w:t>
      </w:r>
      <w:r w:rsidRPr="00293B75">
        <w:rPr>
          <w:rFonts w:cstheme="majorHAnsi"/>
          <w:lang w:val="fr-FR"/>
        </w:rPr>
        <w:t xml:space="preserve"> </w:t>
      </w:r>
      <w:r w:rsidR="00FE442F" w:rsidRPr="00293B75">
        <w:rPr>
          <w:rFonts w:cstheme="majorHAnsi"/>
          <w:lang w:val="fr-FR"/>
        </w:rPr>
        <w:t xml:space="preserve"> Le TWF</w:t>
      </w:r>
      <w:r w:rsidR="00252C32" w:rsidRPr="00293B75">
        <w:rPr>
          <w:rFonts w:cstheme="majorHAnsi"/>
          <w:lang w:val="fr-FR"/>
        </w:rPr>
        <w:t xml:space="preserve"> est convenu qu</w:t>
      </w:r>
      <w:r w:rsidR="00FE442F" w:rsidRPr="00293B75">
        <w:rPr>
          <w:rFonts w:cstheme="majorHAnsi"/>
          <w:lang w:val="fr-FR"/>
        </w:rPr>
        <w:t>’</w:t>
      </w:r>
      <w:r w:rsidR="00252C32" w:rsidRPr="00293B75">
        <w:rPr>
          <w:rFonts w:cstheme="majorHAnsi"/>
          <w:lang w:val="fr-FR"/>
        </w:rPr>
        <w:t>il serait utile de disposer de plus d</w:t>
      </w:r>
      <w:r w:rsidR="00FE442F" w:rsidRPr="00293B75">
        <w:rPr>
          <w:rFonts w:cstheme="majorHAnsi"/>
          <w:lang w:val="fr-FR"/>
        </w:rPr>
        <w:t>’</w:t>
      </w:r>
      <w:r w:rsidR="00252C32" w:rsidRPr="00293B75">
        <w:rPr>
          <w:rFonts w:cstheme="majorHAnsi"/>
          <w:lang w:val="fr-FR"/>
        </w:rPr>
        <w:t>informations concernant l</w:t>
      </w:r>
      <w:r w:rsidR="00FE442F" w:rsidRPr="00293B75">
        <w:rPr>
          <w:rFonts w:cstheme="majorHAnsi"/>
          <w:lang w:val="fr-FR"/>
        </w:rPr>
        <w:t>’</w:t>
      </w:r>
      <w:r w:rsidR="00252C32" w:rsidRPr="00293B75">
        <w:rPr>
          <w:rFonts w:cstheme="majorHAnsi"/>
          <w:lang w:val="fr-FR"/>
        </w:rPr>
        <w:t>utilisation de techniques moléculaires dans l</w:t>
      </w:r>
      <w:r w:rsidR="00FE442F" w:rsidRPr="00293B75">
        <w:rPr>
          <w:rFonts w:cstheme="majorHAnsi"/>
          <w:lang w:val="fr-FR"/>
        </w:rPr>
        <w:t>’</w:t>
      </w:r>
      <w:r w:rsidR="00252C32" w:rsidRPr="00293B75">
        <w:rPr>
          <w:rFonts w:cstheme="majorHAnsi"/>
          <w:lang w:val="fr-FR"/>
        </w:rPr>
        <w:t>examen</w:t>
      </w:r>
      <w:r w:rsidR="00004203" w:rsidRPr="00293B75">
        <w:rPr>
          <w:rFonts w:cstheme="majorHAnsi"/>
          <w:lang w:val="fr-FR"/>
        </w:rPr>
        <w:t> </w:t>
      </w:r>
      <w:r w:rsidR="00252C32" w:rsidRPr="00293B75">
        <w:rPr>
          <w:rFonts w:cstheme="majorHAnsi"/>
          <w:lang w:val="fr-FR"/>
        </w:rPr>
        <w:t>DHS et, à cet égard, a invité les experts de l</w:t>
      </w:r>
      <w:r w:rsidR="00FE442F" w:rsidRPr="00293B75">
        <w:rPr>
          <w:rFonts w:cstheme="majorHAnsi"/>
          <w:lang w:val="fr-FR"/>
        </w:rPr>
        <w:t>’</w:t>
      </w:r>
      <w:r w:rsidR="00252C32" w:rsidRPr="00293B75">
        <w:rPr>
          <w:rFonts w:cstheme="majorHAnsi"/>
          <w:lang w:val="fr-FR"/>
        </w:rPr>
        <w:t>Espagne à fournir des renseignements sur l</w:t>
      </w:r>
      <w:r w:rsidR="00FE442F" w:rsidRPr="00293B75">
        <w:rPr>
          <w:rFonts w:cstheme="majorHAnsi"/>
          <w:lang w:val="fr-FR"/>
        </w:rPr>
        <w:t>’</w:t>
      </w:r>
      <w:r w:rsidR="00252C32" w:rsidRPr="00293B75">
        <w:rPr>
          <w:rFonts w:cstheme="majorHAnsi"/>
          <w:lang w:val="fr-FR"/>
        </w:rPr>
        <w:t>utilisation faite de ces outils par l</w:t>
      </w:r>
      <w:r w:rsidR="00FE442F" w:rsidRPr="00293B75">
        <w:rPr>
          <w:rFonts w:cstheme="majorHAnsi"/>
          <w:lang w:val="fr-FR"/>
        </w:rPr>
        <w:t>’</w:t>
      </w:r>
      <w:r w:rsidR="00252C32" w:rsidRPr="00293B75">
        <w:rPr>
          <w:rFonts w:cstheme="majorHAnsi"/>
          <w:lang w:val="fr-FR"/>
        </w:rPr>
        <w:t>Oficina Española de Variedades Vegetales (OEVV).</w:t>
      </w:r>
      <w:r w:rsidRPr="00293B75">
        <w:rPr>
          <w:rFonts w:cstheme="majorHAnsi"/>
          <w:lang w:val="fr-FR"/>
        </w:rPr>
        <w:t xml:space="preserve"> </w:t>
      </w:r>
      <w:r w:rsidR="00FE442F" w:rsidRPr="00293B75">
        <w:rPr>
          <w:rFonts w:cstheme="majorHAnsi"/>
          <w:lang w:val="fr-FR"/>
        </w:rPr>
        <w:t xml:space="preserve"> Le TWF</w:t>
      </w:r>
      <w:r w:rsidR="003D1074" w:rsidRPr="00293B75">
        <w:rPr>
          <w:rFonts w:cstheme="majorHAnsi"/>
          <w:lang w:val="fr-FR"/>
        </w:rPr>
        <w:t xml:space="preserve"> a également invité d</w:t>
      </w:r>
      <w:r w:rsidR="00FE442F" w:rsidRPr="00293B75">
        <w:rPr>
          <w:rFonts w:cstheme="majorHAnsi"/>
          <w:lang w:val="fr-FR"/>
        </w:rPr>
        <w:t>’</w:t>
      </w:r>
      <w:r w:rsidR="003D1074" w:rsidRPr="00293B75">
        <w:rPr>
          <w:rFonts w:cstheme="majorHAnsi"/>
          <w:lang w:val="fr-FR"/>
        </w:rPr>
        <w:t>autres participants à présenter leur expérience relative à l</w:t>
      </w:r>
      <w:r w:rsidR="00FE442F" w:rsidRPr="00293B75">
        <w:rPr>
          <w:rFonts w:cstheme="majorHAnsi"/>
          <w:lang w:val="fr-FR"/>
        </w:rPr>
        <w:t>’</w:t>
      </w:r>
      <w:r w:rsidR="003D1074" w:rsidRPr="00293B75">
        <w:rPr>
          <w:rFonts w:cstheme="majorHAnsi"/>
          <w:lang w:val="fr-FR"/>
        </w:rPr>
        <w:t>utilisation des techniques biochimiques et moléculaires dans le domaine des plantes fruitières à la session</w:t>
      </w:r>
      <w:r w:rsidR="00FE442F" w:rsidRPr="00293B75">
        <w:rPr>
          <w:rFonts w:cstheme="majorHAnsi"/>
          <w:lang w:val="fr-FR"/>
        </w:rPr>
        <w:t xml:space="preserve"> du TWF</w:t>
      </w:r>
      <w:r w:rsidR="003D1074" w:rsidRPr="00293B75">
        <w:rPr>
          <w:rFonts w:cstheme="majorHAnsi"/>
          <w:lang w:val="fr-FR"/>
        </w:rPr>
        <w:t xml:space="preserve"> en</w:t>
      </w:r>
      <w:r w:rsidR="00004203" w:rsidRPr="00293B75">
        <w:rPr>
          <w:rFonts w:cstheme="majorHAnsi"/>
          <w:lang w:val="fr-FR"/>
        </w:rPr>
        <w:t> </w:t>
      </w:r>
      <w:r w:rsidR="003D1074" w:rsidRPr="00293B75">
        <w:rPr>
          <w:rFonts w:cstheme="majorHAnsi"/>
          <w:lang w:val="fr-FR"/>
        </w:rPr>
        <w:t>2015.</w:t>
      </w:r>
    </w:p>
    <w:p w:rsidR="00AD5031" w:rsidRPr="00293B75" w:rsidRDefault="00AD5031" w:rsidP="007005BA">
      <w:pPr>
        <w:rPr>
          <w:rFonts w:cstheme="majorHAnsi"/>
          <w:lang w:val="fr-FR"/>
        </w:rPr>
      </w:pPr>
    </w:p>
    <w:p w:rsidR="00AD5031"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AD2815" w:rsidRPr="00293B75">
        <w:rPr>
          <w:rFonts w:cstheme="majorHAnsi"/>
          <w:lang w:val="fr-FR"/>
        </w:rPr>
        <w:t>Le TWF a suivi un exposé présenté par M</w:t>
      </w:r>
      <w:r w:rsidRPr="00293B75">
        <w:rPr>
          <w:rFonts w:cstheme="majorHAnsi"/>
          <w:lang w:val="fr-FR"/>
        </w:rPr>
        <w:t>.</w:t>
      </w:r>
      <w:r w:rsidR="00004203" w:rsidRPr="00293B75">
        <w:rPr>
          <w:rFonts w:cstheme="majorHAnsi"/>
          <w:lang w:val="fr-FR"/>
        </w:rPr>
        <w:t> </w:t>
      </w:r>
      <w:r w:rsidRPr="00293B75">
        <w:rPr>
          <w:rFonts w:cstheme="majorHAnsi"/>
          <w:lang w:val="fr-FR"/>
        </w:rPr>
        <w:t>Jean Maison (Union</w:t>
      </w:r>
      <w:r w:rsidR="00AD2815" w:rsidRPr="00293B75">
        <w:rPr>
          <w:rFonts w:cstheme="majorHAnsi"/>
          <w:lang w:val="fr-FR"/>
        </w:rPr>
        <w:t xml:space="preserve"> européenne</w:t>
      </w:r>
      <w:r w:rsidRPr="00293B75">
        <w:rPr>
          <w:rFonts w:cstheme="majorHAnsi"/>
          <w:lang w:val="fr-FR"/>
        </w:rPr>
        <w:t>),</w:t>
      </w:r>
      <w:r w:rsidR="00AD2815" w:rsidRPr="00293B75">
        <w:rPr>
          <w:rFonts w:cstheme="majorHAnsi"/>
          <w:lang w:val="fr-FR"/>
        </w:rPr>
        <w:t xml:space="preserve"> coordonnateur de ce sous</w:t>
      </w:r>
      <w:r w:rsidR="005535E5" w:rsidRPr="00293B75">
        <w:rPr>
          <w:rFonts w:cstheme="majorHAnsi"/>
          <w:lang w:val="fr-FR"/>
        </w:rPr>
        <w:noBreakHyphen/>
      </w:r>
      <w:r w:rsidR="00AD2815" w:rsidRPr="00293B75">
        <w:rPr>
          <w:rFonts w:cstheme="majorHAnsi"/>
          <w:lang w:val="fr-FR"/>
        </w:rPr>
        <w:t xml:space="preserve">groupe, qui figure dans le </w:t>
      </w:r>
      <w:r w:rsidRPr="00293B75">
        <w:rPr>
          <w:rFonts w:cstheme="majorHAnsi"/>
          <w:lang w:val="fr-FR"/>
        </w:rPr>
        <w:t>document TWF/45/31</w:t>
      </w:r>
      <w:r w:rsidR="00004203" w:rsidRPr="00293B75">
        <w:rPr>
          <w:rFonts w:cstheme="majorHAnsi"/>
          <w:lang w:val="fr-FR"/>
        </w:rPr>
        <w:t> </w:t>
      </w:r>
      <w:r w:rsidRPr="00293B75">
        <w:rPr>
          <w:rFonts w:cstheme="majorHAnsi"/>
          <w:lang w:val="fr-FR"/>
        </w:rPr>
        <w:t xml:space="preserve">Rev. “Partial Revision of the Test Guidelines for Mandarins”.  </w:t>
      </w:r>
      <w:r w:rsidR="00816E94" w:rsidRPr="00293B75">
        <w:rPr>
          <w:rFonts w:cstheme="majorHAnsi"/>
          <w:lang w:val="fr-FR"/>
        </w:rPr>
        <w:t>L</w:t>
      </w:r>
      <w:r w:rsidR="00FE442F" w:rsidRPr="00293B75">
        <w:rPr>
          <w:rFonts w:cstheme="majorHAnsi"/>
          <w:lang w:val="fr-FR"/>
        </w:rPr>
        <w:t>’</w:t>
      </w:r>
      <w:r w:rsidR="00816E94" w:rsidRPr="00293B75">
        <w:rPr>
          <w:rFonts w:cstheme="majorHAnsi"/>
          <w:lang w:val="fr-FR"/>
        </w:rPr>
        <w:t>expert principal a présenté la proposition portant sur une révision partielle des principes directeurs d</w:t>
      </w:r>
      <w:r w:rsidR="00FE442F" w:rsidRPr="00293B75">
        <w:rPr>
          <w:rFonts w:cstheme="majorHAnsi"/>
          <w:lang w:val="fr-FR"/>
        </w:rPr>
        <w:t>’</w:t>
      </w:r>
      <w:r w:rsidR="00816E94" w:rsidRPr="00293B75">
        <w:rPr>
          <w:rFonts w:cstheme="majorHAnsi"/>
          <w:lang w:val="fr-FR"/>
        </w:rPr>
        <w:t>examen pour le mandarinier</w:t>
      </w:r>
      <w:r w:rsidRPr="00293B75">
        <w:rPr>
          <w:rFonts w:cstheme="majorHAnsi"/>
          <w:lang w:val="fr-FR"/>
        </w:rPr>
        <w:t xml:space="preserve">. </w:t>
      </w:r>
      <w:r w:rsidR="00FE442F" w:rsidRPr="00293B75">
        <w:rPr>
          <w:rFonts w:cstheme="majorHAnsi"/>
          <w:lang w:val="fr-FR"/>
        </w:rPr>
        <w:t xml:space="preserve"> Le TWF</w:t>
      </w:r>
      <w:r w:rsidR="00816E94" w:rsidRPr="00293B75">
        <w:rPr>
          <w:rFonts w:cstheme="majorHAnsi"/>
          <w:lang w:val="fr-FR"/>
        </w:rPr>
        <w:t xml:space="preserve"> est convenu de modifier le caractère 25 “Anthère</w:t>
      </w:r>
      <w:r w:rsidR="00004203" w:rsidRPr="00293B75">
        <w:rPr>
          <w:rFonts w:cstheme="majorHAnsi"/>
          <w:lang w:val="fr-FR"/>
        </w:rPr>
        <w:t> </w:t>
      </w:r>
      <w:r w:rsidR="00816E94" w:rsidRPr="00293B75">
        <w:rPr>
          <w:rFonts w:cstheme="majorHAnsi"/>
          <w:lang w:val="fr-FR"/>
        </w:rPr>
        <w:t>: pollen viable”.</w:t>
      </w:r>
    </w:p>
    <w:p w:rsidR="00AD5031" w:rsidRPr="00293B75" w:rsidRDefault="00AD5031" w:rsidP="007005BA">
      <w:pPr>
        <w:rPr>
          <w:rFonts w:cstheme="majorHAnsi"/>
          <w:lang w:val="fr-FR"/>
        </w:rPr>
      </w:pPr>
    </w:p>
    <w:p w:rsidR="002A21A8"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A86916" w:rsidRPr="00293B75">
        <w:rPr>
          <w:rFonts w:cstheme="majorHAnsi"/>
          <w:lang w:val="fr-FR"/>
        </w:rPr>
        <w:t>Le</w:t>
      </w:r>
      <w:r w:rsidRPr="00293B75">
        <w:rPr>
          <w:rFonts w:cstheme="majorHAnsi"/>
          <w:lang w:val="fr-FR"/>
        </w:rPr>
        <w:t xml:space="preserve"> TWF </w:t>
      </w:r>
      <w:r w:rsidR="00A86916" w:rsidRPr="00293B75">
        <w:rPr>
          <w:rFonts w:cstheme="majorHAnsi"/>
          <w:lang w:val="fr-FR"/>
        </w:rPr>
        <w:t>a examiné le</w:t>
      </w:r>
      <w:r w:rsidRPr="00293B75">
        <w:rPr>
          <w:rFonts w:cstheme="majorHAnsi"/>
          <w:lang w:val="fr-FR"/>
        </w:rPr>
        <w:t xml:space="preserve"> </w:t>
      </w:r>
      <w:r w:rsidR="00FE442F" w:rsidRPr="00293B75">
        <w:rPr>
          <w:rFonts w:cstheme="majorHAnsi"/>
          <w:lang w:val="fr-FR"/>
        </w:rPr>
        <w:t>document TW</w:t>
      </w:r>
      <w:r w:rsidR="00F87FFA" w:rsidRPr="00293B75">
        <w:rPr>
          <w:rFonts w:cstheme="majorHAnsi"/>
          <w:lang w:val="fr-FR"/>
        </w:rPr>
        <w:t>F/45/12 “Ré</w:t>
      </w:r>
      <w:r w:rsidRPr="00293B75">
        <w:rPr>
          <w:rFonts w:cstheme="majorHAnsi"/>
          <w:lang w:val="fr-FR"/>
        </w:rPr>
        <w:t xml:space="preserve">vision </w:t>
      </w:r>
      <w:r w:rsidR="00F87FFA" w:rsidRPr="00293B75">
        <w:rPr>
          <w:rFonts w:cstheme="majorHAnsi"/>
          <w:lang w:val="fr-FR"/>
        </w:rPr>
        <w:t>du</w:t>
      </w:r>
      <w:r w:rsidRPr="00293B75">
        <w:rPr>
          <w:rFonts w:cstheme="majorHAnsi"/>
          <w:lang w:val="fr-FR"/>
        </w:rPr>
        <w:t xml:space="preserve"> document TGP/7</w:t>
      </w:r>
      <w:r w:rsidR="00F87FFA" w:rsidRPr="00293B75">
        <w:rPr>
          <w:rFonts w:cstheme="majorHAnsi"/>
          <w:lang w:val="fr-FR"/>
        </w:rPr>
        <w:t> </w:t>
      </w:r>
      <w:r w:rsidRPr="00293B75">
        <w:rPr>
          <w:rFonts w:cstheme="majorHAnsi"/>
          <w:lang w:val="fr-FR"/>
        </w:rPr>
        <w:t xml:space="preserve">: </w:t>
      </w:r>
      <w:r w:rsidR="00F87FFA" w:rsidRPr="00293B75">
        <w:rPr>
          <w:rFonts w:cstheme="majorHAnsi"/>
          <w:lang w:val="fr-FR"/>
        </w:rPr>
        <w:t>Matériel végétal soumis pour examen</w:t>
      </w:r>
      <w:r w:rsidRPr="00293B75">
        <w:rPr>
          <w:rFonts w:cstheme="majorHAnsi"/>
          <w:lang w:val="fr-FR"/>
        </w:rPr>
        <w:t xml:space="preserve">”. </w:t>
      </w:r>
      <w:r w:rsidR="00FE442F" w:rsidRPr="00293B75">
        <w:rPr>
          <w:rFonts w:cstheme="majorHAnsi"/>
          <w:lang w:val="fr-FR"/>
        </w:rPr>
        <w:t xml:space="preserve"> Le TWF</w:t>
      </w:r>
      <w:r w:rsidR="003D1074" w:rsidRPr="00293B75">
        <w:rPr>
          <w:rFonts w:cstheme="majorHAnsi"/>
          <w:lang w:val="fr-FR"/>
        </w:rPr>
        <w:t xml:space="preserve"> a examiné les exemples présentés par les experts de l</w:t>
      </w:r>
      <w:r w:rsidR="00FE442F" w:rsidRPr="00293B75">
        <w:rPr>
          <w:rFonts w:cstheme="majorHAnsi"/>
          <w:lang w:val="fr-FR"/>
        </w:rPr>
        <w:t>’</w:t>
      </w:r>
      <w:r w:rsidR="003D1074" w:rsidRPr="00293B75">
        <w:rPr>
          <w:rFonts w:cstheme="majorHAnsi"/>
          <w:lang w:val="fr-FR"/>
        </w:rPr>
        <w:t>Union européenne et de l</w:t>
      </w:r>
      <w:r w:rsidR="00FE442F" w:rsidRPr="00293B75">
        <w:rPr>
          <w:rFonts w:cstheme="majorHAnsi"/>
          <w:lang w:val="fr-FR"/>
        </w:rPr>
        <w:t>’</w:t>
      </w:r>
      <w:r w:rsidR="003D1074" w:rsidRPr="00293B75">
        <w:rPr>
          <w:rFonts w:cstheme="majorHAnsi"/>
          <w:lang w:val="fr-FR"/>
        </w:rPr>
        <w:t>Allemagne sur leurs expériences concernant le matériel végétal soumis pour examen et les solutions qui avaient été élaborées pour résoudre les problèmes rencontrés.</w:t>
      </w:r>
      <w:r w:rsidRPr="00293B75">
        <w:rPr>
          <w:lang w:val="fr-FR"/>
        </w:rPr>
        <w:t xml:space="preserve">  </w:t>
      </w:r>
      <w:r w:rsidR="002A21A8" w:rsidRPr="00293B75">
        <w:rPr>
          <w:rFonts w:cstheme="majorHAnsi"/>
          <w:lang w:val="fr-FR"/>
        </w:rPr>
        <w:t>Concernant l</w:t>
      </w:r>
      <w:r w:rsidR="00FE442F" w:rsidRPr="00293B75">
        <w:rPr>
          <w:rFonts w:cstheme="majorHAnsi"/>
          <w:lang w:val="fr-FR"/>
        </w:rPr>
        <w:t>’</w:t>
      </w:r>
      <w:r w:rsidR="002A21A8" w:rsidRPr="00293B75">
        <w:rPr>
          <w:rFonts w:cstheme="majorHAnsi"/>
          <w:lang w:val="fr-FR"/>
        </w:rPr>
        <w:t>examen d</w:t>
      </w:r>
      <w:r w:rsidR="00FE442F" w:rsidRPr="00293B75">
        <w:rPr>
          <w:rFonts w:cstheme="majorHAnsi"/>
          <w:lang w:val="fr-FR"/>
        </w:rPr>
        <w:t>’</w:t>
      </w:r>
      <w:r w:rsidR="002A21A8" w:rsidRPr="00293B75">
        <w:rPr>
          <w:rFonts w:cstheme="majorHAnsi"/>
          <w:lang w:val="fr-FR"/>
        </w:rPr>
        <w:t>espèces fruitières,</w:t>
      </w:r>
      <w:r w:rsidR="00FE442F" w:rsidRPr="00293B75">
        <w:rPr>
          <w:rFonts w:cstheme="majorHAnsi"/>
          <w:lang w:val="fr-FR"/>
        </w:rPr>
        <w:t xml:space="preserve"> le TWF</w:t>
      </w:r>
      <w:r w:rsidR="002A21A8" w:rsidRPr="00293B75">
        <w:rPr>
          <w:rFonts w:cstheme="majorHAnsi"/>
          <w:lang w:val="fr-FR"/>
        </w:rPr>
        <w:t xml:space="preserve"> a noté que l</w:t>
      </w:r>
      <w:r w:rsidR="00FE442F" w:rsidRPr="00293B75">
        <w:rPr>
          <w:rFonts w:cstheme="majorHAnsi"/>
          <w:lang w:val="fr-FR"/>
        </w:rPr>
        <w:t>’</w:t>
      </w:r>
      <w:r w:rsidR="002A21A8" w:rsidRPr="00293B75">
        <w:rPr>
          <w:rFonts w:cstheme="majorHAnsi"/>
          <w:lang w:val="fr-FR"/>
        </w:rPr>
        <w:t>effet de “cyclophyse”, c</w:t>
      </w:r>
      <w:r w:rsidR="00FE442F" w:rsidRPr="00293B75">
        <w:rPr>
          <w:rFonts w:cstheme="majorHAnsi"/>
          <w:lang w:val="fr-FR"/>
        </w:rPr>
        <w:t>’</w:t>
      </w:r>
      <w:r w:rsidR="002A21A8" w:rsidRPr="00293B75">
        <w:rPr>
          <w:rFonts w:cstheme="majorHAnsi"/>
          <w:lang w:val="fr-FR"/>
        </w:rPr>
        <w:t>est</w:t>
      </w:r>
      <w:r w:rsidR="005535E5" w:rsidRPr="00293B75">
        <w:rPr>
          <w:rFonts w:cstheme="majorHAnsi"/>
          <w:lang w:val="fr-FR"/>
        </w:rPr>
        <w:noBreakHyphen/>
      </w:r>
      <w:r w:rsidR="002A21A8" w:rsidRPr="00293B75">
        <w:rPr>
          <w:rFonts w:cstheme="majorHAnsi"/>
          <w:lang w:val="fr-FR"/>
        </w:rPr>
        <w:t>à</w:t>
      </w:r>
      <w:r w:rsidR="005535E5" w:rsidRPr="00293B75">
        <w:rPr>
          <w:rFonts w:cstheme="majorHAnsi"/>
          <w:lang w:val="fr-FR"/>
        </w:rPr>
        <w:noBreakHyphen/>
      </w:r>
      <w:r w:rsidR="002A21A8" w:rsidRPr="00293B75">
        <w:rPr>
          <w:rFonts w:cstheme="majorHAnsi"/>
          <w:lang w:val="fr-FR"/>
        </w:rPr>
        <w:t>dire l</w:t>
      </w:r>
      <w:r w:rsidR="00FE442F" w:rsidRPr="00293B75">
        <w:rPr>
          <w:rFonts w:cstheme="majorHAnsi"/>
          <w:lang w:val="fr-FR"/>
        </w:rPr>
        <w:t>’</w:t>
      </w:r>
      <w:r w:rsidR="002A21A8" w:rsidRPr="00293B75">
        <w:rPr>
          <w:rFonts w:cstheme="majorHAnsi"/>
          <w:lang w:val="fr-FR"/>
        </w:rPr>
        <w:t>influence de l</w:t>
      </w:r>
      <w:r w:rsidR="00FE442F" w:rsidRPr="00293B75">
        <w:rPr>
          <w:rFonts w:cstheme="majorHAnsi"/>
          <w:lang w:val="fr-FR"/>
        </w:rPr>
        <w:t>’</w:t>
      </w:r>
      <w:r w:rsidR="002A21A8" w:rsidRPr="00293B75">
        <w:rPr>
          <w:rFonts w:cstheme="majorHAnsi"/>
          <w:lang w:val="fr-FR"/>
        </w:rPr>
        <w:t>endroit où le scion est prélevé sur la plante mère, en raison des différents degrés de maturité, pouvait avoir un effet spécifique sur l</w:t>
      </w:r>
      <w:r w:rsidR="00FE442F" w:rsidRPr="00293B75">
        <w:rPr>
          <w:rFonts w:cstheme="majorHAnsi"/>
          <w:lang w:val="fr-FR"/>
        </w:rPr>
        <w:t>’</w:t>
      </w:r>
      <w:r w:rsidR="002A21A8" w:rsidRPr="00293B75">
        <w:rPr>
          <w:rFonts w:cstheme="majorHAnsi"/>
          <w:lang w:val="fr-FR"/>
        </w:rPr>
        <w:t>expression d</w:t>
      </w:r>
      <w:r w:rsidR="00FE442F" w:rsidRPr="00293B75">
        <w:rPr>
          <w:rFonts w:cstheme="majorHAnsi"/>
          <w:lang w:val="fr-FR"/>
        </w:rPr>
        <w:t>’</w:t>
      </w:r>
      <w:r w:rsidR="002A21A8" w:rsidRPr="00293B75">
        <w:rPr>
          <w:rFonts w:cstheme="majorHAnsi"/>
          <w:lang w:val="fr-FR"/>
        </w:rPr>
        <w:t>un caractère particulier.  Par exemple, si le matériel de greffe est prélevé sur des arbres plus anciens pour produire de jeunes arbres en vue de les comparer avec les plantes d</w:t>
      </w:r>
      <w:r w:rsidR="00FE442F" w:rsidRPr="00293B75">
        <w:rPr>
          <w:rFonts w:cstheme="majorHAnsi"/>
          <w:lang w:val="fr-FR"/>
        </w:rPr>
        <w:t>’</w:t>
      </w:r>
      <w:r w:rsidR="002A21A8" w:rsidRPr="00293B75">
        <w:rPr>
          <w:rFonts w:cstheme="majorHAnsi"/>
          <w:lang w:val="fr-FR"/>
        </w:rPr>
        <w:t>une variété candidate du même âge, la jeune greffe produira immédiatement des inflorescences qu</w:t>
      </w:r>
      <w:r w:rsidR="00FE442F" w:rsidRPr="00293B75">
        <w:rPr>
          <w:rFonts w:cstheme="majorHAnsi"/>
          <w:lang w:val="fr-FR"/>
        </w:rPr>
        <w:t>’</w:t>
      </w:r>
      <w:r w:rsidR="002A21A8" w:rsidRPr="00293B75">
        <w:rPr>
          <w:rFonts w:cstheme="majorHAnsi"/>
          <w:lang w:val="fr-FR"/>
        </w:rPr>
        <w:t>il conviendra de retirer durant la période de mise en place afin de permettre la production d</w:t>
      </w:r>
      <w:r w:rsidR="00FE442F" w:rsidRPr="00293B75">
        <w:rPr>
          <w:rFonts w:cstheme="majorHAnsi"/>
          <w:lang w:val="fr-FR"/>
        </w:rPr>
        <w:t>’</w:t>
      </w:r>
      <w:r w:rsidR="002A21A8" w:rsidRPr="00293B75">
        <w:rPr>
          <w:rFonts w:cstheme="majorHAnsi"/>
          <w:lang w:val="fr-FR"/>
        </w:rPr>
        <w:t>un véritable arbre, doté d</w:t>
      </w:r>
      <w:r w:rsidR="00FE442F" w:rsidRPr="00293B75">
        <w:rPr>
          <w:rFonts w:cstheme="majorHAnsi"/>
          <w:lang w:val="fr-FR"/>
        </w:rPr>
        <w:t>’</w:t>
      </w:r>
      <w:r w:rsidR="002A21A8" w:rsidRPr="00293B75">
        <w:rPr>
          <w:rFonts w:cstheme="majorHAnsi"/>
          <w:lang w:val="fr-FR"/>
        </w:rPr>
        <w:t>une flèche centrale à laquelle se rattachent un nombre suffisant de pousses latérales</w:t>
      </w:r>
      <w:r w:rsidR="00BA51CF" w:rsidRPr="00293B75">
        <w:rPr>
          <w:rFonts w:cstheme="majorHAnsi"/>
          <w:lang w:val="fr-FR"/>
        </w:rPr>
        <w:t>.</w:t>
      </w:r>
    </w:p>
    <w:p w:rsidR="00AD5031" w:rsidRPr="00293B75" w:rsidRDefault="00AD5031" w:rsidP="007005BA">
      <w:pPr>
        <w:rPr>
          <w:rFonts w:cstheme="majorHAnsi"/>
          <w:lang w:val="fr-FR"/>
        </w:rPr>
      </w:pPr>
    </w:p>
    <w:p w:rsidR="00BA694F"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BA694F" w:rsidRPr="00293B75">
        <w:rPr>
          <w:rFonts w:cstheme="majorHAnsi"/>
          <w:lang w:val="fr-FR"/>
        </w:rPr>
        <w:t>Le TWF a not</w:t>
      </w:r>
      <w:r w:rsidR="00142568" w:rsidRPr="00293B75">
        <w:rPr>
          <w:rFonts w:cstheme="majorHAnsi"/>
          <w:lang w:val="fr-FR"/>
        </w:rPr>
        <w:t>é l</w:t>
      </w:r>
      <w:r w:rsidR="00BA694F" w:rsidRPr="00293B75">
        <w:rPr>
          <w:rFonts w:cstheme="majorHAnsi"/>
          <w:lang w:val="fr-FR"/>
        </w:rPr>
        <w:t>es mesures prises pour éviter l</w:t>
      </w:r>
      <w:r w:rsidR="00FE442F" w:rsidRPr="00293B75">
        <w:rPr>
          <w:rFonts w:cstheme="majorHAnsi"/>
          <w:lang w:val="fr-FR"/>
        </w:rPr>
        <w:t>’</w:t>
      </w:r>
      <w:r w:rsidR="00BA694F" w:rsidRPr="00293B75">
        <w:rPr>
          <w:rFonts w:cstheme="majorHAnsi"/>
          <w:lang w:val="fr-FR"/>
        </w:rPr>
        <w:t>influence de la méthode de reproduction ou de multiplication sur les résultats de l</w:t>
      </w:r>
      <w:r w:rsidR="00FE442F" w:rsidRPr="00293B75">
        <w:rPr>
          <w:rFonts w:cstheme="majorHAnsi"/>
          <w:lang w:val="fr-FR"/>
        </w:rPr>
        <w:t>’</w:t>
      </w:r>
      <w:r w:rsidR="00BA694F" w:rsidRPr="00293B75">
        <w:rPr>
          <w:rFonts w:cstheme="majorHAnsi"/>
          <w:lang w:val="fr-FR"/>
        </w:rPr>
        <w:t>examen</w:t>
      </w:r>
      <w:r w:rsidR="00004203" w:rsidRPr="00293B75">
        <w:rPr>
          <w:rFonts w:cstheme="majorHAnsi"/>
          <w:lang w:val="fr-FR"/>
        </w:rPr>
        <w:t> </w:t>
      </w:r>
      <w:r w:rsidR="00BA694F" w:rsidRPr="00293B75">
        <w:rPr>
          <w:rFonts w:cstheme="majorHAnsi"/>
          <w:lang w:val="fr-FR"/>
        </w:rPr>
        <w:t>DHS pour certaines plantes dans l</w:t>
      </w:r>
      <w:r w:rsidR="00FE442F" w:rsidRPr="00293B75">
        <w:rPr>
          <w:rFonts w:cstheme="majorHAnsi"/>
          <w:lang w:val="fr-FR"/>
        </w:rPr>
        <w:t>’</w:t>
      </w:r>
      <w:r w:rsidR="00BA694F" w:rsidRPr="00293B75">
        <w:rPr>
          <w:rFonts w:cstheme="majorHAnsi"/>
          <w:lang w:val="fr-FR"/>
        </w:rPr>
        <w:t xml:space="preserve">Union européenne et en Allemagne.  Il a </w:t>
      </w:r>
      <w:r w:rsidR="00142568" w:rsidRPr="00293B75">
        <w:rPr>
          <w:rFonts w:cstheme="majorHAnsi"/>
          <w:lang w:val="fr-FR"/>
        </w:rPr>
        <w:t>également</w:t>
      </w:r>
      <w:r w:rsidR="00BA694F" w:rsidRPr="00293B75">
        <w:rPr>
          <w:rFonts w:cstheme="majorHAnsi"/>
          <w:lang w:val="fr-FR"/>
        </w:rPr>
        <w:t xml:space="preserve"> noté que, dans le cas de la myrtille et de la vigne, le matériel végétal issu de tissu méristématique ne pouvait pas être accepté pour examen en raison du risque de variation somaclonale. </w:t>
      </w:r>
      <w:r w:rsidR="00FE442F" w:rsidRPr="00293B75">
        <w:rPr>
          <w:rFonts w:cstheme="majorHAnsi"/>
          <w:lang w:val="fr-FR"/>
        </w:rPr>
        <w:t xml:space="preserve"> Le TWF</w:t>
      </w:r>
      <w:r w:rsidR="00BA694F" w:rsidRPr="00293B75">
        <w:rPr>
          <w:rFonts w:cstheme="majorHAnsi"/>
          <w:lang w:val="fr-FR"/>
        </w:rPr>
        <w:t xml:space="preserve"> est convenu que les services chargés de recevoir le matériel végétal pour examen devraient donner des conseils sur les conditions applicables au matériel soumis tels que la qualité et l</w:t>
      </w:r>
      <w:r w:rsidR="00FE442F" w:rsidRPr="00293B75">
        <w:rPr>
          <w:rFonts w:cstheme="majorHAnsi"/>
          <w:lang w:val="fr-FR"/>
        </w:rPr>
        <w:t>’</w:t>
      </w:r>
      <w:r w:rsidR="00BA694F" w:rsidRPr="00293B75">
        <w:rPr>
          <w:rFonts w:cstheme="majorHAnsi"/>
          <w:lang w:val="fr-FR"/>
        </w:rPr>
        <w:t>âge.</w:t>
      </w:r>
    </w:p>
    <w:p w:rsidR="00AD5031" w:rsidRPr="00293B75" w:rsidRDefault="00AD5031" w:rsidP="007005BA">
      <w:pPr>
        <w:rPr>
          <w:rFonts w:cstheme="majorHAnsi"/>
          <w:lang w:val="fr-FR"/>
        </w:rPr>
      </w:pPr>
    </w:p>
    <w:p w:rsidR="00FE442F" w:rsidRPr="00293B75" w:rsidRDefault="00EB6879"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r>
      <w:r w:rsidR="00F210F4" w:rsidRPr="00293B75">
        <w:rPr>
          <w:rFonts w:cstheme="majorHAnsi"/>
          <w:lang w:val="fr-FR"/>
        </w:rPr>
        <w:t>Le TWF est convenu que les principes directeurs d</w:t>
      </w:r>
      <w:r w:rsidR="00FE442F" w:rsidRPr="00293B75">
        <w:rPr>
          <w:rFonts w:cstheme="majorHAnsi"/>
          <w:lang w:val="fr-FR"/>
        </w:rPr>
        <w:t>’</w:t>
      </w:r>
      <w:r w:rsidR="00F210F4" w:rsidRPr="00293B75">
        <w:rPr>
          <w:rFonts w:cstheme="majorHAnsi"/>
          <w:lang w:val="fr-FR"/>
        </w:rPr>
        <w:t>examen ci</w:t>
      </w:r>
      <w:r w:rsidR="005535E5" w:rsidRPr="00293B75">
        <w:rPr>
          <w:rFonts w:cstheme="majorHAnsi"/>
          <w:lang w:val="fr-FR"/>
        </w:rPr>
        <w:noBreakHyphen/>
      </w:r>
      <w:r w:rsidR="00F210F4" w:rsidRPr="00293B75">
        <w:rPr>
          <w:rFonts w:cstheme="majorHAnsi"/>
          <w:lang w:val="fr-FR"/>
        </w:rPr>
        <w:t>après devraient être soumis au</w:t>
      </w:r>
      <w:r w:rsidR="00FE442F" w:rsidRPr="00293B75">
        <w:rPr>
          <w:rFonts w:cstheme="majorHAnsi"/>
          <w:lang w:val="fr-FR"/>
        </w:rPr>
        <w:t> TC</w:t>
      </w:r>
      <w:r w:rsidR="00F210F4" w:rsidRPr="00293B75">
        <w:rPr>
          <w:rFonts w:cstheme="majorHAnsi"/>
          <w:lang w:val="fr-FR"/>
        </w:rPr>
        <w:t xml:space="preserve"> pour adoption</w:t>
      </w:r>
      <w:r w:rsidR="00004203" w:rsidRPr="00293B75">
        <w:rPr>
          <w:rFonts w:cstheme="majorHAnsi"/>
          <w:lang w:val="fr-FR"/>
        </w:rPr>
        <w:t> </w:t>
      </w:r>
      <w:r w:rsidR="00F210F4" w:rsidRPr="00293B75">
        <w:rPr>
          <w:rFonts w:cstheme="majorHAnsi"/>
          <w:lang w:val="fr-FR"/>
        </w:rPr>
        <w:t>: acca, porte</w:t>
      </w:r>
      <w:r w:rsidR="005535E5" w:rsidRPr="00293B75">
        <w:rPr>
          <w:rFonts w:cstheme="majorHAnsi"/>
          <w:lang w:val="fr-FR"/>
        </w:rPr>
        <w:noBreakHyphen/>
      </w:r>
      <w:r w:rsidR="00F210F4" w:rsidRPr="00293B75">
        <w:rPr>
          <w:rFonts w:cstheme="majorHAnsi"/>
          <w:lang w:val="fr-FR"/>
        </w:rPr>
        <w:t xml:space="preserve">greffe de pommier, mandarines et noix de pécan. </w:t>
      </w:r>
      <w:r w:rsidR="00FE442F" w:rsidRPr="00293B75">
        <w:rPr>
          <w:rFonts w:cstheme="majorHAnsi"/>
          <w:lang w:val="fr-FR"/>
        </w:rPr>
        <w:t xml:space="preserve"> Le TWF</w:t>
      </w:r>
      <w:r w:rsidR="00F210F4" w:rsidRPr="00293B75">
        <w:rPr>
          <w:rFonts w:cstheme="majorHAnsi"/>
          <w:lang w:val="fr-FR"/>
        </w:rPr>
        <w:t xml:space="preserve"> est convenu d</w:t>
      </w:r>
      <w:r w:rsidR="00FE442F" w:rsidRPr="00293B75">
        <w:rPr>
          <w:rFonts w:cstheme="majorHAnsi"/>
          <w:lang w:val="fr-FR"/>
        </w:rPr>
        <w:t>’</w:t>
      </w:r>
      <w:r w:rsidR="00F210F4" w:rsidRPr="00293B75">
        <w:rPr>
          <w:rFonts w:cstheme="majorHAnsi"/>
          <w:lang w:val="fr-FR"/>
        </w:rPr>
        <w:t xml:space="preserve">examiner </w:t>
      </w:r>
      <w:r w:rsidR="005476EB" w:rsidRPr="00293B75">
        <w:rPr>
          <w:rFonts w:cstheme="majorHAnsi"/>
          <w:lang w:val="fr-FR"/>
        </w:rPr>
        <w:t>12 </w:t>
      </w:r>
      <w:r w:rsidR="00F210F4" w:rsidRPr="00293B75">
        <w:rPr>
          <w:rFonts w:cstheme="majorHAnsi"/>
          <w:lang w:val="fr-FR"/>
        </w:rPr>
        <w:t>projets de principes directeurs d</w:t>
      </w:r>
      <w:r w:rsidR="00FE442F" w:rsidRPr="00293B75">
        <w:rPr>
          <w:rFonts w:cstheme="majorHAnsi"/>
          <w:lang w:val="fr-FR"/>
        </w:rPr>
        <w:t>’</w:t>
      </w:r>
      <w:r w:rsidR="00F210F4" w:rsidRPr="00293B75">
        <w:rPr>
          <w:rFonts w:cstheme="majorHAnsi"/>
          <w:lang w:val="fr-FR"/>
        </w:rPr>
        <w:t>examen</w:t>
      </w:r>
      <w:r w:rsidR="00142568" w:rsidRPr="00293B75">
        <w:rPr>
          <w:rFonts w:cstheme="majorHAnsi"/>
          <w:lang w:val="fr-FR"/>
        </w:rPr>
        <w:t xml:space="preserve"> à sa quarante</w:t>
      </w:r>
      <w:r w:rsidR="00142568" w:rsidRPr="00293B75">
        <w:rPr>
          <w:rFonts w:cstheme="majorHAnsi"/>
          <w:lang w:val="fr-FR"/>
        </w:rPr>
        <w:noBreakHyphen/>
        <w:t>sixième session</w:t>
      </w:r>
      <w:r w:rsidR="00F210F4" w:rsidRPr="00293B75">
        <w:rPr>
          <w:rFonts w:cstheme="majorHAnsi"/>
          <w:lang w:val="fr-FR"/>
        </w:rPr>
        <w:t>.</w:t>
      </w:r>
    </w:p>
    <w:p w:rsidR="00FD4467" w:rsidRPr="00293B75" w:rsidRDefault="00FD4467" w:rsidP="007005BA">
      <w:pPr>
        <w:rPr>
          <w:rFonts w:cstheme="majorHAnsi"/>
          <w:lang w:val="fr-FR"/>
        </w:rPr>
      </w:pPr>
    </w:p>
    <w:p w:rsidR="00FD4467" w:rsidRPr="00293B75" w:rsidRDefault="00FD4467"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t>À l’invitation de l’Afrique du Sud, le TWF est convenu de tenir sa quarante</w:t>
      </w:r>
      <w:r w:rsidRPr="00293B75">
        <w:rPr>
          <w:rFonts w:cstheme="majorHAnsi"/>
          <w:lang w:val="fr-FR"/>
        </w:rPr>
        <w:noBreakHyphen/>
        <w:t>sixième session à Mpumalanga (Afrique du Sud), du 24 au 28 août 2015, un atelier préparatoire étant prévu le 23 août 2015.</w:t>
      </w:r>
    </w:p>
    <w:p w:rsidR="00FD4467" w:rsidRPr="00293B75" w:rsidRDefault="00FD4467" w:rsidP="007005BA">
      <w:pPr>
        <w:rPr>
          <w:rFonts w:cstheme="majorHAnsi"/>
          <w:lang w:val="fr-FR"/>
        </w:rPr>
      </w:pPr>
    </w:p>
    <w:p w:rsidR="00FD4467" w:rsidRPr="00293B75" w:rsidRDefault="00FD4467" w:rsidP="007005BA">
      <w:pPr>
        <w:rPr>
          <w:rFonts w:cstheme="majorHAnsi"/>
          <w:lang w:val="fr-FR"/>
        </w:rPr>
      </w:pPr>
      <w:r w:rsidRPr="00293B75">
        <w:rPr>
          <w:rFonts w:cstheme="majorHAnsi"/>
          <w:lang w:val="fr-FR"/>
        </w:rPr>
        <w:fldChar w:fldCharType="begin"/>
      </w:r>
      <w:r w:rsidRPr="00293B75">
        <w:rPr>
          <w:rFonts w:cstheme="majorHAnsi"/>
          <w:lang w:val="fr-FR"/>
        </w:rPr>
        <w:instrText xml:space="preserve"> AUTONUM  </w:instrText>
      </w:r>
      <w:r w:rsidRPr="00293B75">
        <w:rPr>
          <w:rFonts w:cstheme="majorHAnsi"/>
          <w:lang w:val="fr-FR"/>
        </w:rPr>
        <w:fldChar w:fldCharType="end"/>
      </w:r>
      <w:r w:rsidRPr="00293B75">
        <w:rPr>
          <w:rFonts w:cstheme="majorHAnsi"/>
          <w:lang w:val="fr-FR"/>
        </w:rPr>
        <w:tab/>
        <w:t>Le TWF a proposé d’examiner les points suivants à cette session :</w:t>
      </w:r>
    </w:p>
    <w:p w:rsidR="00FD4467" w:rsidRPr="00293B75" w:rsidRDefault="00FD4467" w:rsidP="007005BA">
      <w:pPr>
        <w:rPr>
          <w:rFonts w:cstheme="majorHAnsi"/>
          <w:lang w:val="fr-FR"/>
        </w:rPr>
      </w:pP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w:t>
      </w:r>
      <w:r w:rsidRPr="00293B75">
        <w:rPr>
          <w:rFonts w:cs="Arial"/>
          <w:lang w:val="fr-FR"/>
        </w:rPr>
        <w:tab/>
        <w:t>Ouverture de la session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2.</w:t>
      </w:r>
      <w:r w:rsidRPr="00293B75">
        <w:rPr>
          <w:rFonts w:cs="Arial"/>
          <w:lang w:val="fr-FR"/>
        </w:rPr>
        <w:tab/>
        <w:t>Adoption de l’ordre du jour</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3.</w:t>
      </w:r>
      <w:r w:rsidRPr="00293B75">
        <w:rPr>
          <w:rFonts w:cs="Arial"/>
          <w:lang w:val="fr-FR"/>
        </w:rPr>
        <w:tab/>
        <w:t>Rapports succincts sur l’évolution de la situation en matière de protection des obtentions végétales :</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a)</w:t>
      </w:r>
      <w:r w:rsidRPr="00293B75">
        <w:rPr>
          <w:rFonts w:cs="Arial"/>
          <w:lang w:val="fr-FR"/>
        </w:rPr>
        <w:tab/>
        <w:t>Rapports des membres et des observateurs</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b)</w:t>
      </w:r>
      <w:r w:rsidRPr="00293B75">
        <w:rPr>
          <w:rFonts w:cs="Arial"/>
          <w:lang w:val="fr-FR"/>
        </w:rPr>
        <w:tab/>
        <w:t>Rapports sur les faits nouveaux intervenus à l’UPOV</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 xml:space="preserve">4.  </w:t>
      </w:r>
      <w:r w:rsidRPr="00293B75">
        <w:rPr>
          <w:rFonts w:cs="Arial"/>
          <w:lang w:val="fr-FR"/>
        </w:rPr>
        <w:tab/>
        <w:t>Amélioration de l’efficacité du Comité technique, des groupes de travail techniques et des ateliers préparatoires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5.</w:t>
      </w:r>
      <w:r w:rsidRPr="00293B75">
        <w:rPr>
          <w:rFonts w:cs="Arial"/>
          <w:lang w:val="fr-FR"/>
        </w:rPr>
        <w:tab/>
        <w:t>Techniques moléculaires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6.</w:t>
      </w:r>
      <w:r w:rsidRPr="00293B75">
        <w:rPr>
          <w:rFonts w:cs="Arial"/>
          <w:lang w:val="fr-FR"/>
        </w:rPr>
        <w:tab/>
        <w:t>Documents TGP</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7.</w:t>
      </w:r>
      <w:r w:rsidRPr="00293B75">
        <w:rPr>
          <w:rFonts w:cs="Arial"/>
          <w:lang w:val="fr-FR"/>
        </w:rPr>
        <w:tab/>
        <w:t>Dénominations variétales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8.</w:t>
      </w:r>
      <w:r w:rsidRPr="00293B75">
        <w:rPr>
          <w:rFonts w:cs="Arial"/>
          <w:lang w:val="fr-FR"/>
        </w:rPr>
        <w:tab/>
        <w:t>Information et bases de données</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a)</w:t>
      </w:r>
      <w:r w:rsidRPr="00293B75">
        <w:rPr>
          <w:rFonts w:cs="Arial"/>
          <w:lang w:val="fr-FR"/>
        </w:rPr>
        <w:tab/>
        <w:t>Base de données d’information de l’UPOV</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b)</w:t>
      </w:r>
      <w:r w:rsidRPr="00293B75">
        <w:rPr>
          <w:rFonts w:cs="Arial"/>
          <w:lang w:val="fr-FR"/>
        </w:rPr>
        <w:tab/>
        <w:t>Bases de données sur les descriptions variétales</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c)</w:t>
      </w:r>
      <w:r w:rsidRPr="00293B75">
        <w:rPr>
          <w:rFonts w:cs="Arial"/>
          <w:lang w:val="fr-FR"/>
        </w:rPr>
        <w:tab/>
        <w:t>Logiciels échangeables</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d)</w:t>
      </w:r>
      <w:r w:rsidRPr="00293B75">
        <w:rPr>
          <w:rFonts w:cs="Arial"/>
          <w:lang w:val="fr-FR"/>
        </w:rPr>
        <w:tab/>
        <w:t>Systèmes de dépôt électronique des demandes</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9.</w:t>
      </w:r>
      <w:r w:rsidRPr="00293B75">
        <w:rPr>
          <w:rFonts w:cs="Arial"/>
          <w:lang w:val="fr-CH"/>
        </w:rPr>
        <w:tab/>
        <w:t>Évaluation de l’homogénéité</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10.</w:t>
      </w:r>
      <w:r w:rsidRPr="00293B75">
        <w:rPr>
          <w:rFonts w:cs="Arial"/>
          <w:lang w:val="fr-CH"/>
        </w:rPr>
        <w:tab/>
        <w:t>Expériences de nouveaux types et espèces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11.</w:t>
      </w:r>
      <w:r w:rsidRPr="00293B75">
        <w:rPr>
          <w:rFonts w:cs="Arial"/>
          <w:lang w:val="fr-FR"/>
        </w:rPr>
        <w:tab/>
        <w:t>Gestion des collections de variétés aux fins de l’examen DHS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12.</w:t>
      </w:r>
      <w:r w:rsidRPr="00293B75">
        <w:rPr>
          <w:rFonts w:cs="Arial"/>
          <w:lang w:val="fr-FR"/>
        </w:rPr>
        <w:tab/>
        <w:t>Durée des examens DHS dans le secteur des fruits</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 xml:space="preserve">13.  </w:t>
      </w:r>
      <w:r w:rsidRPr="00293B75">
        <w:rPr>
          <w:rFonts w:cs="Arial"/>
          <w:lang w:val="fr-CH"/>
        </w:rPr>
        <w:tab/>
        <w:t>Variétés harmonisées indiquées à titre d’exemples pour le pommier : données historiques et faits nouveaux éventuels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14.</w:t>
      </w:r>
      <w:r w:rsidRPr="00293B75">
        <w:rPr>
          <w:rFonts w:cs="Arial"/>
          <w:lang w:val="fr-FR"/>
        </w:rPr>
        <w:tab/>
        <w:t>Questions en suspens concernant les principes directeurs d’examen adoptés par le Comité technique</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 xml:space="preserve">15.  </w:t>
      </w:r>
      <w:r w:rsidRPr="00293B75">
        <w:rPr>
          <w:rFonts w:cs="Arial"/>
          <w:lang w:val="fr-CH"/>
        </w:rPr>
        <w:tab/>
        <w:t>Propositions relatives à des révisions partielles ou des corrections des principes directeurs d’examen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16.</w:t>
      </w:r>
      <w:r w:rsidRPr="00293B75">
        <w:rPr>
          <w:rFonts w:cs="Arial"/>
          <w:lang w:val="fr-FR"/>
        </w:rPr>
        <w:tab/>
        <w:t>Examen des projets de principes directeurs d’examen (sous</w:t>
      </w:r>
      <w:r w:rsidRPr="00293B75">
        <w:rPr>
          <w:rFonts w:cs="Arial"/>
          <w:lang w:val="fr-FR"/>
        </w:rPr>
        <w:noBreakHyphen/>
        <w:t>groupes)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17.</w:t>
      </w:r>
      <w:r w:rsidRPr="00293B75">
        <w:rPr>
          <w:rFonts w:cs="Arial"/>
          <w:lang w:val="fr-FR"/>
        </w:rPr>
        <w:tab/>
        <w:t>Recommandations concernant les projets de principes directeurs d’examen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18.</w:t>
      </w:r>
      <w:r w:rsidRPr="00293B75">
        <w:rPr>
          <w:rFonts w:cs="Arial"/>
          <w:lang w:val="fr-FR"/>
        </w:rPr>
        <w:tab/>
        <w:t>Orientations pour les rédacteurs de principes directeurs d’examen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19.</w:t>
      </w:r>
      <w:r w:rsidRPr="00293B75">
        <w:rPr>
          <w:rFonts w:cs="Arial"/>
          <w:lang w:val="fr-FR"/>
        </w:rPr>
        <w:tab/>
        <w:t>Date et lieu de la prochaine session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20.</w:t>
      </w:r>
      <w:r w:rsidRPr="00293B75">
        <w:rPr>
          <w:rFonts w:cs="Arial"/>
          <w:lang w:val="fr-FR"/>
        </w:rPr>
        <w:tab/>
        <w:t>Programme futur.</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21.</w:t>
      </w:r>
      <w:r w:rsidRPr="00293B75">
        <w:rPr>
          <w:rFonts w:cs="Arial"/>
          <w:lang w:val="fr-FR"/>
        </w:rPr>
        <w:tab/>
        <w:t>Adoption du compte rendu de la session (selon le temps disponible)</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22.</w:t>
      </w:r>
      <w:r w:rsidRPr="00293B75">
        <w:rPr>
          <w:rFonts w:cs="Arial"/>
          <w:lang w:val="fr-CH"/>
        </w:rPr>
        <w:tab/>
        <w:t>Clôture de la session</w:t>
      </w:r>
    </w:p>
    <w:p w:rsidR="00FD4467" w:rsidRPr="00293B75" w:rsidRDefault="00FD4467" w:rsidP="007005BA">
      <w:pPr>
        <w:rPr>
          <w:rFonts w:cstheme="majorHAnsi"/>
          <w:lang w:val="fr-CH"/>
        </w:rPr>
      </w:pPr>
    </w:p>
    <w:p w:rsidR="00FD4467" w:rsidRPr="00293B75" w:rsidRDefault="00FD4467" w:rsidP="007005BA">
      <w:pPr>
        <w:rPr>
          <w:rFonts w:cstheme="majorHAnsi"/>
          <w:lang w:val="fr-CH"/>
        </w:rPr>
      </w:pPr>
      <w:r w:rsidRPr="00293B75">
        <w:rPr>
          <w:rFonts w:cstheme="majorHAnsi"/>
          <w:lang w:val="fr-FR"/>
        </w:rPr>
        <w:fldChar w:fldCharType="begin"/>
      </w:r>
      <w:r w:rsidRPr="00293B75">
        <w:rPr>
          <w:rFonts w:cstheme="majorHAnsi"/>
          <w:lang w:val="fr-CH"/>
        </w:rPr>
        <w:instrText xml:space="preserve"> AUTONUM  </w:instrText>
      </w:r>
      <w:r w:rsidRPr="00293B75">
        <w:rPr>
          <w:rFonts w:cstheme="majorHAnsi"/>
          <w:lang w:val="fr-FR"/>
        </w:rPr>
        <w:fldChar w:fldCharType="end"/>
      </w:r>
      <w:r w:rsidRPr="00293B75">
        <w:rPr>
          <w:rFonts w:cstheme="majorHAnsi"/>
          <w:lang w:val="fr-CH"/>
        </w:rPr>
        <w:tab/>
        <w:t>Le 29 mai, le TWF a visité le Domaine Tabouhanit, un verger de 425 hectares à proximité de Marrakech où sont cultivés des agrumes (principalement des oranges, des citrons et des clémentines), des nectarines, des olives et des vignes.  Le TWF a été accueilli par M. Ben Arirou Lahcen, le gérant du verger.  Le TWF a également visité la Pépinière Essnoussi, créée par M. Essnoussi et gérée par son fils, Noureddine Essnoussi, qui a accueilli le TWF.  La pépinière cultive des plants certifiés d’oliviers et d’amandiers, ainsi que des plantules de caroubier et de grenadier.  Le propriétaire a expliqué quelle procédure était suivie pour produire des plants certifiés.  Le TWF a visité le Laboratoire de biochimie végétale du Centre régional de l’Institut National de Recherche Agronomique (INRA) à Marrakech.  Il a été accueilli par M. Mohamed Anjarne, vice</w:t>
      </w:r>
      <w:r w:rsidRPr="00293B75">
        <w:rPr>
          <w:rFonts w:cstheme="majorHAnsi"/>
          <w:lang w:val="fr-CH"/>
        </w:rPr>
        <w:noBreakHyphen/>
        <w:t>directeur, qui a expliqué que le Laboratoire était principalement chargé de multiplier le palmier dattier en utilisant des techniques d’organogénèse (embryogenèse somatique et techniques de floraison utilisées pour la recherche) et de mettre en œuvre le programme d’amélioration aux fins de résistance aux maladies.</w:t>
      </w:r>
    </w:p>
    <w:p w:rsidR="00FD4467" w:rsidRPr="00293B75" w:rsidRDefault="00FD4467" w:rsidP="007005BA">
      <w:pPr>
        <w:rPr>
          <w:rFonts w:cstheme="majorHAnsi"/>
          <w:lang w:val="fr-CH"/>
        </w:rPr>
      </w:pPr>
    </w:p>
    <w:p w:rsidR="00FD4467" w:rsidRPr="00293B75" w:rsidRDefault="00FD4467" w:rsidP="007005BA">
      <w:pPr>
        <w:autoSpaceDE w:val="0"/>
        <w:autoSpaceDN w:val="0"/>
        <w:adjustRightInd w:val="0"/>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Une médaille de bronze de l’UPOV a été décernée à Mme Carensa Petzer pour la remercier d’avoir présidé le TWF de 2012 à 2014.</w:t>
      </w:r>
    </w:p>
    <w:p w:rsidR="00FD4467" w:rsidRPr="00293B75" w:rsidRDefault="00FD4467" w:rsidP="007005BA">
      <w:pPr>
        <w:autoSpaceDE w:val="0"/>
        <w:autoSpaceDN w:val="0"/>
        <w:adjustRightInd w:val="0"/>
        <w:rPr>
          <w:rFonts w:cs="Arial"/>
          <w:lang w:val="fr-FR"/>
        </w:rPr>
      </w:pPr>
    </w:p>
    <w:p w:rsidR="00FD4467" w:rsidRPr="00293B75" w:rsidRDefault="00FD4467" w:rsidP="007005BA">
      <w:pPr>
        <w:rPr>
          <w:rFonts w:cstheme="majorHAnsi"/>
          <w:lang w:val="fr-FR"/>
        </w:rPr>
      </w:pPr>
    </w:p>
    <w:p w:rsidR="00FD4467" w:rsidRPr="00293B75" w:rsidRDefault="00FD4467" w:rsidP="007005BA">
      <w:pPr>
        <w:pStyle w:val="Heading3"/>
        <w:rPr>
          <w:color w:val="auto"/>
        </w:rPr>
      </w:pPr>
      <w:r w:rsidRPr="00293B75">
        <w:rPr>
          <w:color w:val="auto"/>
        </w:rPr>
        <w:t>Groupe de travail technique sur les plantes ornementales et les arbres forestiers</w:t>
      </w:r>
    </w:p>
    <w:p w:rsidR="00FD4467" w:rsidRPr="00293B75" w:rsidRDefault="00FD4467" w:rsidP="007005BA">
      <w:pPr>
        <w:pStyle w:val="Heading2"/>
        <w:rPr>
          <w:lang w:val="fr-FR"/>
        </w:rPr>
      </w:pPr>
    </w:p>
    <w:p w:rsidR="00FD4467" w:rsidRPr="00293B75" w:rsidRDefault="00FD4467"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Le TWO a tenu sa quarante</w:t>
      </w:r>
      <w:r w:rsidRPr="00293B75">
        <w:rPr>
          <w:rFonts w:cs="Arial"/>
          <w:lang w:val="fr-FR"/>
        </w:rPr>
        <w:noBreakHyphen/>
        <w:t>septième session à Naivasha (Kenya) du 19 au 23 mai 2014, sous la présidence de M. Nik Hulse (Australie), président du TWO.  Le compte rendu détaillé de la session fait l’objet du document TWO/47/28.</w:t>
      </w:r>
    </w:p>
    <w:p w:rsidR="00FD4467" w:rsidRPr="00293B75" w:rsidRDefault="00FD4467" w:rsidP="007005BA">
      <w:pPr>
        <w:rPr>
          <w:rFonts w:cs="Arial"/>
          <w:lang w:val="fr-FR"/>
        </w:rPr>
      </w:pPr>
    </w:p>
    <w:p w:rsidR="00FD4467" w:rsidRPr="00293B75" w:rsidRDefault="00FD4467"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La session du TWO a réuni 45 participants représentant 16 membres de l’Union, 3 États ayant le statut d’observateur et 1 organisation ayant le statut d’observateur.  L’atelier préparatoire, tenu dans la matinée du 18 mai, a réuni 40 participants.</w:t>
      </w:r>
    </w:p>
    <w:p w:rsidR="00FD4467" w:rsidRPr="00293B75" w:rsidRDefault="00FD4467" w:rsidP="007005BA">
      <w:pPr>
        <w:rPr>
          <w:rFonts w:cs="Arial"/>
          <w:lang w:val="fr-FR"/>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M. James Onsando, directeur général du Service kenyen d’inspection phytosanitaire (KEPHIS), a souhaité la bienvenue aux participants du TWO et a présenté un exposé sur la situation en matière de protection des obtentions végétales au Kenya.  Mme Jane Ngige, secrétaire générale du Kenya Flower Council, a également souhaité la bienvenue aux participants et a présenté un exposé sur le Kenya Flower Council.</w:t>
      </w:r>
    </w:p>
    <w:p w:rsidR="00FD4467" w:rsidRPr="00293B75" w:rsidRDefault="00FD4467" w:rsidP="007005BA">
      <w:pPr>
        <w:rPr>
          <w:rFonts w:cs="Arial"/>
          <w:lang w:val="fr-CH"/>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TWO/47/11 consacré à l’amélioration de l’efficacité du Comité technique, des groupes de travail techniques et des ateliers préparatoires, et a formulé des observations au sujet des propositions concernant les moyens possibles de renforcer l’efficacité des groupes de travail et des ateliers préparatoires.  Le TWO est convenu que les ateliers électroniques, y compris l’utilisation du modèle des principes directeurs d’examen fondé sur le Web et les conseils relatifs à la présentation de ces principes, devraient être enregistrés et être mis à disposition sur le site Web de l’UPOV, et être répétés pendant les ateliers préparatoires afin d’améliorer la préparation des principes directeurs d’examen et la présentation de ces principes aux TWP par l’expert principal.</w:t>
      </w:r>
    </w:p>
    <w:p w:rsidR="00FD4467" w:rsidRPr="00293B75" w:rsidRDefault="00FD4467" w:rsidP="007005BA">
      <w:pPr>
        <w:rPr>
          <w:rFonts w:cs="Arial"/>
          <w:lang w:val="fr-CH"/>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r>
      <w:r w:rsidRPr="00293B75">
        <w:rPr>
          <w:rFonts w:cs="Arial"/>
          <w:lang w:val="fr-FR"/>
        </w:rPr>
        <w:t>Le TWO a examiné le document TWA/43/12, concernant la revision du document TGP/7 : Matériel végétal soumis pour examen.</w:t>
      </w:r>
      <w:r w:rsidRPr="00293B75">
        <w:rPr>
          <w:lang w:val="fr-FR"/>
        </w:rPr>
        <w:t xml:space="preserve">  </w:t>
      </w:r>
      <w:r w:rsidRPr="00293B75">
        <w:rPr>
          <w:rFonts w:cs="Arial"/>
          <w:lang w:val="fr-FR"/>
        </w:rPr>
        <w:t>Le</w:t>
      </w:r>
      <w:r w:rsidRPr="00293B75">
        <w:rPr>
          <w:rFonts w:cs="Arial"/>
          <w:lang w:val="fr-CH"/>
        </w:rPr>
        <w:t> </w:t>
      </w:r>
      <w:r w:rsidRPr="00293B75">
        <w:rPr>
          <w:rFonts w:cs="Arial"/>
          <w:lang w:val="fr-FR"/>
        </w:rPr>
        <w:t>TWO a écouté les exposés présentés par les experts de l’Union européenne et des Pays</w:t>
      </w:r>
      <w:r w:rsidRPr="00293B75">
        <w:rPr>
          <w:rFonts w:cs="Arial"/>
          <w:lang w:val="fr-FR"/>
        </w:rPr>
        <w:noBreakHyphen/>
        <w:t>Bas sur leurs expériences concernant le matériel végétal soumis pour examen et les solutions qui avaient été élaborées pour résoudre les problèmes rencontrés.</w:t>
      </w:r>
      <w:r w:rsidRPr="00293B75">
        <w:rPr>
          <w:lang w:val="fr-FR"/>
        </w:rPr>
        <w:t xml:space="preserve">  </w:t>
      </w:r>
      <w:r w:rsidRPr="00293B75">
        <w:rPr>
          <w:rFonts w:cs="Arial"/>
          <w:lang w:val="fr-CH"/>
        </w:rPr>
        <w:t>Il a noté que ces exposés seraient reproduits dans un additif au document TWO/47/12.  Le TWO est convenu que les services chargés de recevoir le matériel végétal pour examen devraient élaborer des orientations concernant les conditions applicables au matériel soumis tels que la qualité et l’âge.</w:t>
      </w:r>
    </w:p>
    <w:p w:rsidR="00FD4467" w:rsidRPr="00293B75" w:rsidRDefault="00FD4467" w:rsidP="007005BA">
      <w:pPr>
        <w:rPr>
          <w:rFonts w:cs="Arial"/>
          <w:lang w:val="fr-CH"/>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TWO/47/13 “Révision du document TGP/7 : Portée des principes directeurs” et est convenu que la méthode n° 3 “indiquer le type de reproduction ou de multiplication existant et anticiper les évolutions futures” constituait l’orientation la plus appropriée pour les principes directeurs d’examen qui sont élaborés sur la base de variétés ayant un type de reproduction ou de multiplication lorsque des variétés peuvent être mises au point dans l’avenir avec d’autres types de reproduction ou de multiplication.</w:t>
      </w:r>
    </w:p>
    <w:p w:rsidR="00FD4467" w:rsidRPr="00293B75" w:rsidRDefault="00FD4467" w:rsidP="007005BA">
      <w:pPr>
        <w:rPr>
          <w:rFonts w:cs="Arial"/>
          <w:lang w:val="fr-CH"/>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TWO/47/14 “Révision du document TGP/7 : Matériel pour les rédacteurs de principes directeurs d’examen” et a pris note des projets de révision du document TGP/7 et de la page Web du rédacteur aux fins de leur cohérence avec l’introduction en 2014 du modèle de principes directeurs d’examen sur le Web, comme prévu aux paragraphes 6 à 8 du document TWO/47/14.</w:t>
      </w:r>
    </w:p>
    <w:p w:rsidR="00FD4467" w:rsidRPr="00293B75" w:rsidRDefault="00FD4467" w:rsidP="007005BA">
      <w:pPr>
        <w:rPr>
          <w:rFonts w:cs="Arial"/>
          <w:lang w:val="fr-CH"/>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TWO/45/15 “Revision of Document TGP/8 : Part I : DUS Trial Design and Data Analysis, New Section : Minimizing the Variation due to Different Observers” et est convenu que l’élaboration du projet d’orientations figurant à l’annexe du document TWO/47/15 devrait être poursuivie afin que ces orientations puissent être incorporées dans la future version révisée du document TGP/8, concernant l’optimisation de la variation due à différents observateurs, y compris des orientations sur les caractères PQ et QN/MG, compte tenu des points soulevés par l’expert de l’Australie.  Le TWO est convenu que le document devrait mettre l’accent sur la variation entre observateurs au niveau du service et non pas sur l’optimisation de la variation entre services.</w:t>
      </w:r>
    </w:p>
    <w:p w:rsidR="00FD4467" w:rsidRPr="00293B75" w:rsidRDefault="00FD4467" w:rsidP="007005BA">
      <w:pPr>
        <w:rPr>
          <w:rFonts w:cs="Arial"/>
        </w:rPr>
      </w:pPr>
    </w:p>
    <w:p w:rsidR="00FD4467" w:rsidRPr="00293B75" w:rsidRDefault="00FD4467" w:rsidP="007005BA">
      <w:pPr>
        <w:rPr>
          <w:rFonts w:cs="Arial"/>
          <w:lang w:val="fr-CH"/>
        </w:rPr>
      </w:pPr>
      <w:r w:rsidRPr="00293B75">
        <w:rPr>
          <w:rFonts w:cs="Arial"/>
          <w:lang w:val="fr-FR"/>
        </w:rPr>
        <w:fldChar w:fldCharType="begin"/>
      </w:r>
      <w:r w:rsidRPr="00293B75">
        <w:rPr>
          <w:rFonts w:cs="Arial"/>
        </w:rPr>
        <w:instrText xml:space="preserve"> AUTONUM  </w:instrText>
      </w:r>
      <w:r w:rsidRPr="00293B75">
        <w:rPr>
          <w:rFonts w:cs="Arial"/>
          <w:lang w:val="fr-FR"/>
        </w:rPr>
        <w:fldChar w:fldCharType="end"/>
      </w:r>
      <w:r w:rsidRPr="00293B75">
        <w:rPr>
          <w:rFonts w:cs="Arial"/>
        </w:rPr>
        <w:tab/>
        <w:t>Le TWO a examiné le document TWO/47/19 “Revision of Document TGP/</w:t>
      </w:r>
      <w:proofErr w:type="gramStart"/>
      <w:r w:rsidRPr="00293B75">
        <w:rPr>
          <w:rFonts w:cs="Arial"/>
        </w:rPr>
        <w:t>8 :</w:t>
      </w:r>
      <w:proofErr w:type="gramEnd"/>
      <w:r w:rsidRPr="00293B75">
        <w:rPr>
          <w:rFonts w:cs="Arial"/>
        </w:rPr>
        <w:t xml:space="preserve"> Part II : Techniques Used in DUS Examination, New Section : Guidance of Data Analysis for Blind Randomized Trials”.</w:t>
      </w:r>
      <w:r w:rsidRPr="00293B75">
        <w:t xml:space="preserve">  </w:t>
      </w:r>
      <w:r w:rsidRPr="00293B75">
        <w:rPr>
          <w:rFonts w:cs="Arial"/>
          <w:lang w:val="fr-CH"/>
        </w:rPr>
        <w:t>Le</w:t>
      </w:r>
      <w:r w:rsidRPr="00293B75">
        <w:rPr>
          <w:rFonts w:cs="Arial"/>
        </w:rPr>
        <w:t> </w:t>
      </w:r>
      <w:r w:rsidRPr="00293B75">
        <w:rPr>
          <w:rFonts w:cs="Arial"/>
          <w:lang w:val="fr-CH"/>
        </w:rPr>
        <w:t>TWO est convenu que les essais aveugles aléatoires étaient rarement utilisés.  Il a noté que les essais aveugles aléatoires étaient utilisés : au Brésil, pour confirmer, dans certains cas, l’évaluation de la distinction dans le cadre d’un système d’examen basé sur les renseignements fournis par l’obtenteur pour les plantes agricoles et potagères;  en Nouvelle</w:t>
      </w:r>
      <w:r w:rsidRPr="00293B75">
        <w:rPr>
          <w:rFonts w:cs="Arial"/>
          <w:lang w:val="fr-CH"/>
        </w:rPr>
        <w:noBreakHyphen/>
        <w:t>Zélande, pour certaines plantes fruitières et en cas de litige concernant la distinction;  et au Royaume</w:t>
      </w:r>
      <w:r w:rsidRPr="00293B75">
        <w:rPr>
          <w:rFonts w:cs="Arial"/>
          <w:lang w:val="fr-CH"/>
        </w:rPr>
        <w:noBreakHyphen/>
        <w:t>Uni et aux Pays</w:t>
      </w:r>
      <w:r w:rsidRPr="00293B75">
        <w:rPr>
          <w:rFonts w:cs="Arial"/>
          <w:lang w:val="fr-CH"/>
        </w:rPr>
        <w:noBreakHyphen/>
        <w:t>Bas pour confirmer l’absence de distinction entre des variétés.</w:t>
      </w:r>
    </w:p>
    <w:p w:rsidR="00FD4467" w:rsidRPr="00293B75" w:rsidRDefault="00FD4467" w:rsidP="007005BA">
      <w:pPr>
        <w:rPr>
          <w:rFonts w:cs="Arial"/>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TWO/47/22 “Révision du document TGP/9 : section 2.5 : Photographies” et est convenu d’incorporer les orientations proposées concernant les photographies dans le document TGP/9 : section 2.5 : “Photographies”.</w:t>
      </w:r>
    </w:p>
    <w:p w:rsidR="00FD4467" w:rsidRPr="00293B75" w:rsidRDefault="00FD4467" w:rsidP="007005BA">
      <w:pPr>
        <w:rPr>
          <w:rFonts w:cs="Arial"/>
          <w:lang w:val="fr-CH"/>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TWO/47/9 “Évaluation de l’homogénéité par plante hors</w:t>
      </w:r>
      <w:r w:rsidRPr="00293B75">
        <w:rPr>
          <w:rFonts w:cs="Arial"/>
          <w:lang w:val="fr-CH"/>
        </w:rPr>
        <w:noBreakHyphen/>
        <w:t>type sur la base de plus d’un échantillon ou sous</w:t>
      </w:r>
      <w:r w:rsidRPr="00293B75">
        <w:rPr>
          <w:rFonts w:cs="Arial"/>
          <w:lang w:val="fr-CH"/>
        </w:rPr>
        <w:noBreakHyphen/>
        <w:t>échantillon” les situations décrites aux annexes I à IV comme base pour l’élaboration d’orientations dans le document TGP/10.  Il est convenu que des précisions devraient être fournies quant à la décision à prendre dans la situation B, option a) “l’essai est répété aux deux endroits une deuxième année”, dans le cas où, après avoir répété l’essai une deuxième année, la variété se situe dans les limites de la norme d’homogénéité en un endroit de végétation mais ne l’est pas dans l’autre.</w:t>
      </w:r>
    </w:p>
    <w:p w:rsidR="00FD4467" w:rsidRPr="00293B75" w:rsidRDefault="00FD4467" w:rsidP="007005BA">
      <w:pPr>
        <w:rPr>
          <w:rFonts w:cs="Arial"/>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TWO/47/23 “Révision du document TGP/14 : Section 2.4 : caractères liés à la forme de l’Apex ou de l’extrémité”, a étudié la proposition visant à élaborer une explication sur le fait qu’un caractère lié à l’apex pourrait comprendre un niveau d’expression fondé sur une extrémité différenciée et a proposé que le document TGP/14 : section 2.4 soit modifié en conséquence.  Le TWO est convenu que l’approche décrite dans le document TGP/14 concernant les caractères liés à la forme de l’apex ou de l’extrémité est celle qui se prête le mieux aux feuilles et aux grandes structures et ne doit être utilisée que dans des cas particuliers.</w:t>
      </w:r>
    </w:p>
    <w:p w:rsidR="00FD4467" w:rsidRPr="00293B75" w:rsidRDefault="00FD4467" w:rsidP="007005BA">
      <w:pPr>
        <w:rPr>
          <w:rFonts w:cs="Arial"/>
          <w:lang w:val="fr-CH"/>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TWO/47/10 et a suivi par voie électronique un exposé du Bureau de l’Union sur un modèle de principes directeurs d’examen fondé sur le Web (modèle TG) pour les rédacteurs de principes directeurs d’examen.  Le TWO a pris note de la demande adressée à tous les experts principaux de participer à l’essai de la version n° 1.  Le TWO est convenu que le modèle de principes directeurs d’examen fondé sur le Web devrait permettre d’imprimer les observations émanant d’experts intéressés, classées par expert ou par caractère, et a pris note qu’une assistance sera fournie par le Bureau de l’UPOV, sur demande, aux experts principaux concernant l’utilisation du modèle de principes directeurs d’examen fondé sur le Web, si cela est demandé.</w:t>
      </w:r>
    </w:p>
    <w:p w:rsidR="00FD4467" w:rsidRPr="00293B75" w:rsidRDefault="00FD4467" w:rsidP="007005BA">
      <w:pPr>
        <w:rPr>
          <w:rFonts w:cs="Arial"/>
          <w:lang w:val="fr-CH"/>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examiné le document TWO/47/25 “Révision partielle des principes directeurs d’examen du Buddleia (Document TG/263/1)” et le document TWO/47/26 “Révision partielle des principes directeurs d’examen du glaïeul (document TG/108/4)”.  Le TWO est convenu que ces principes directeurs d’examen, tels que modifiés par le TWO, devraient être soumis au Comité technique pour adoption.</w:t>
      </w:r>
    </w:p>
    <w:p w:rsidR="00FD4467" w:rsidRPr="00293B75" w:rsidRDefault="00FD4467" w:rsidP="007005BA">
      <w:pPr>
        <w:rPr>
          <w:rFonts w:cs="Arial"/>
          <w:lang w:val="fr-CH"/>
        </w:rPr>
      </w:pPr>
    </w:p>
    <w:p w:rsidR="00FD4467" w:rsidRPr="00293B75" w:rsidRDefault="00FD4467" w:rsidP="007005BA">
      <w:pPr>
        <w:rPr>
          <w:rFonts w:cs="Arial"/>
          <w:lang w:val="fr-FR"/>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 xml:space="preserve">Le TWO est convenu de soumettre six principes directeurs d’examen au Comité technique pour adoption : aloe;  campanule;  œillet (révision);  aster de Chine;  cosmos;  et pélargonium des fleuristes (révision).  </w:t>
      </w:r>
      <w:r w:rsidRPr="00293B75">
        <w:rPr>
          <w:rFonts w:cs="Arial"/>
          <w:lang w:val="fr-FR"/>
        </w:rPr>
        <w:t>À sa quarante</w:t>
      </w:r>
      <w:r w:rsidRPr="00293B75">
        <w:rPr>
          <w:rFonts w:cs="Arial"/>
          <w:lang w:val="fr-FR"/>
        </w:rPr>
        <w:noBreakHyphen/>
        <w:t>huitième session qui se tiendra en 2015, le TWO a prévu d’examiner 13 principes directeurs d’examen, soit 4 révisions et 9 nouveaux principes.</w:t>
      </w:r>
    </w:p>
    <w:p w:rsidR="00FD4467" w:rsidRPr="00293B75" w:rsidRDefault="00FD4467" w:rsidP="007005BA">
      <w:pPr>
        <w:rPr>
          <w:rFonts w:cs="Arial"/>
          <w:i/>
          <w:lang w:val="fr-FR"/>
        </w:rPr>
      </w:pPr>
    </w:p>
    <w:p w:rsidR="00FD4467" w:rsidRPr="00293B75" w:rsidRDefault="00FD4467"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À l’invitation du Royaume</w:t>
      </w:r>
      <w:r w:rsidRPr="00293B75">
        <w:rPr>
          <w:rFonts w:cs="Arial"/>
          <w:lang w:val="fr-FR"/>
        </w:rPr>
        <w:noBreakHyphen/>
        <w:t>Uni, le TWO est convenu de tenir sa quarante</w:t>
      </w:r>
      <w:r w:rsidRPr="00293B75">
        <w:rPr>
          <w:rFonts w:cs="Arial"/>
          <w:lang w:val="fr-FR"/>
        </w:rPr>
        <w:noBreakHyphen/>
        <w:t>huitième session à Cambridge, du 14 au 18 septembre 2015, un atelier préparatoire étant prévu le 13 septembre 2015.</w:t>
      </w:r>
    </w:p>
    <w:p w:rsidR="00FD4467" w:rsidRPr="00293B75" w:rsidRDefault="00FD4467" w:rsidP="007005BA">
      <w:pPr>
        <w:rPr>
          <w:rFonts w:cs="Arial"/>
          <w:lang w:val="fr-FR"/>
        </w:rPr>
      </w:pPr>
    </w:p>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Le TWO a proposé d’examiner les points suivants à sa prochaine session :</w:t>
      </w:r>
    </w:p>
    <w:p w:rsidR="00FD4467" w:rsidRPr="00293B75" w:rsidRDefault="00FD4467" w:rsidP="007005BA">
      <w:pPr>
        <w:rPr>
          <w:rFonts w:cs="Arial"/>
          <w:lang w:val="fr-CH"/>
        </w:rPr>
      </w:pP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w:t>
      </w:r>
      <w:r w:rsidRPr="00293B75">
        <w:rPr>
          <w:rFonts w:cs="Arial"/>
          <w:lang w:val="fr-FR"/>
        </w:rPr>
        <w:tab/>
        <w:t>Ouverture de la session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2.</w:t>
      </w:r>
      <w:r w:rsidRPr="00293B75">
        <w:rPr>
          <w:rFonts w:cs="Arial"/>
          <w:lang w:val="fr-FR"/>
        </w:rPr>
        <w:tab/>
        <w:t>Adoption de l’ordre du jour</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3.</w:t>
      </w:r>
      <w:r w:rsidRPr="00293B75">
        <w:rPr>
          <w:rFonts w:cs="Arial"/>
          <w:lang w:val="fr-FR"/>
        </w:rPr>
        <w:tab/>
        <w:t>Rapports succincts sur l’évolution de la situation en matière de protection des obtentions végétales :</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a)</w:t>
      </w:r>
      <w:r w:rsidRPr="00293B75">
        <w:rPr>
          <w:rFonts w:cs="Arial"/>
          <w:lang w:val="fr-FR"/>
        </w:rPr>
        <w:tab/>
        <w:t>Rapports des membres et des observateurs</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b)</w:t>
      </w:r>
      <w:r w:rsidRPr="00293B75">
        <w:rPr>
          <w:rFonts w:cs="Arial"/>
          <w:lang w:val="fr-FR"/>
        </w:rPr>
        <w:tab/>
        <w:t>Rapports sur les faits nouveaux intervenus à l’UPOV</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4.</w:t>
      </w:r>
      <w:r w:rsidRPr="00293B75">
        <w:rPr>
          <w:rFonts w:cs="Arial"/>
          <w:lang w:val="fr-FR"/>
        </w:rPr>
        <w:tab/>
        <w:t>Techniques moléculaires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5.</w:t>
      </w:r>
      <w:r w:rsidRPr="00293B75">
        <w:rPr>
          <w:rFonts w:cs="Arial"/>
          <w:lang w:val="fr-FR"/>
        </w:rPr>
        <w:tab/>
        <w:t>Documents TGP</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6.</w:t>
      </w:r>
      <w:r w:rsidRPr="00293B75">
        <w:rPr>
          <w:rFonts w:cs="Arial"/>
          <w:lang w:val="fr-FR"/>
        </w:rPr>
        <w:tab/>
        <w:t>Dénominations variétales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7.</w:t>
      </w:r>
      <w:r w:rsidRPr="00293B75">
        <w:rPr>
          <w:rFonts w:cs="Arial"/>
          <w:lang w:val="fr-FR"/>
        </w:rPr>
        <w:tab/>
        <w:t>Informations et bases de données</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a)</w:t>
      </w:r>
      <w:r w:rsidRPr="00293B75">
        <w:rPr>
          <w:rFonts w:cs="Arial"/>
          <w:lang w:val="fr-FR"/>
        </w:rPr>
        <w:tab/>
        <w:t>Bases de données d’information de l’UPOV</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b)</w:t>
      </w:r>
      <w:r w:rsidRPr="00293B75">
        <w:rPr>
          <w:rFonts w:cs="Arial"/>
          <w:lang w:val="fr-FR"/>
        </w:rPr>
        <w:tab/>
        <w:t>Bases de données sur les descriptions variétales</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c)</w:t>
      </w:r>
      <w:r w:rsidRPr="00293B75">
        <w:rPr>
          <w:rFonts w:cs="Arial"/>
          <w:lang w:val="fr-FR"/>
        </w:rPr>
        <w:tab/>
        <w:t>Logiciels échangeables</w:t>
      </w:r>
    </w:p>
    <w:p w:rsidR="00FD4467" w:rsidRPr="00293B75" w:rsidRDefault="00FD4467" w:rsidP="007005BA">
      <w:pPr>
        <w:tabs>
          <w:tab w:val="num" w:pos="1134"/>
        </w:tabs>
        <w:spacing w:before="20" w:afterLines="20" w:after="48"/>
        <w:ind w:left="1134"/>
        <w:rPr>
          <w:rFonts w:cs="Arial"/>
          <w:lang w:val="fr-FR"/>
        </w:rPr>
      </w:pPr>
      <w:r w:rsidRPr="00293B75">
        <w:rPr>
          <w:rFonts w:cs="Arial"/>
          <w:lang w:val="fr-FR"/>
        </w:rPr>
        <w:t>d)</w:t>
      </w:r>
      <w:r w:rsidRPr="00293B75">
        <w:rPr>
          <w:rFonts w:cs="Arial"/>
          <w:lang w:val="fr-FR"/>
        </w:rPr>
        <w:tab/>
        <w:t>Systèmes de dépôt électronique des demandes</w:t>
      </w:r>
    </w:p>
    <w:p w:rsidR="00FD4467" w:rsidRPr="00293B75" w:rsidRDefault="00FD4467" w:rsidP="007005BA">
      <w:pPr>
        <w:tabs>
          <w:tab w:val="num" w:pos="1134"/>
        </w:tabs>
        <w:spacing w:before="20" w:afterLines="20" w:after="48"/>
        <w:ind w:left="1134" w:hanging="567"/>
        <w:rPr>
          <w:rFonts w:cs="Arial"/>
        </w:rPr>
      </w:pPr>
      <w:r w:rsidRPr="00293B75">
        <w:rPr>
          <w:rFonts w:cs="Arial"/>
        </w:rPr>
        <w:t>8.</w:t>
      </w:r>
      <w:r w:rsidRPr="00293B75">
        <w:rPr>
          <w:rFonts w:cs="Arial"/>
        </w:rPr>
        <w:tab/>
        <w:t>Évaluation de l’homogénéité</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9.</w:t>
      </w:r>
      <w:r w:rsidRPr="00293B75">
        <w:rPr>
          <w:rFonts w:cs="Arial"/>
          <w:lang w:val="fr-CH"/>
        </w:rPr>
        <w:tab/>
        <w:t>Expériences de nouveaux types et espèces</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10.</w:t>
      </w:r>
      <w:r w:rsidRPr="00293B75">
        <w:rPr>
          <w:rFonts w:cs="Arial"/>
          <w:lang w:val="fr-CH"/>
        </w:rPr>
        <w:tab/>
        <w:t>Amélioration de l’efficacité du Comité technique, des groupes de travail techniques et des ateliers préparatoires</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11.</w:t>
      </w:r>
      <w:r w:rsidRPr="00293B75">
        <w:rPr>
          <w:rFonts w:cs="Arial"/>
          <w:lang w:val="fr-CH"/>
        </w:rPr>
        <w:tab/>
        <w:t>Influence de différentes sources sur le matériel multiplié par voie végétative utilisé dans l’examen DHS</w:t>
      </w:r>
    </w:p>
    <w:p w:rsidR="00FD4467" w:rsidRPr="00293B75" w:rsidRDefault="00FD4467" w:rsidP="007005BA">
      <w:pPr>
        <w:tabs>
          <w:tab w:val="num" w:pos="1134"/>
        </w:tabs>
        <w:spacing w:before="20" w:afterLines="20" w:after="48"/>
        <w:ind w:left="1134" w:hanging="567"/>
        <w:rPr>
          <w:rFonts w:cs="Arial"/>
          <w:lang w:val="fr-CH"/>
        </w:rPr>
      </w:pPr>
      <w:r w:rsidRPr="00293B75">
        <w:rPr>
          <w:rFonts w:cs="Arial"/>
          <w:lang w:val="fr-CH"/>
        </w:rPr>
        <w:t>12.</w:t>
      </w:r>
      <w:r w:rsidRPr="00293B75">
        <w:rPr>
          <w:rFonts w:cs="Arial"/>
          <w:lang w:val="fr-CH"/>
        </w:rPr>
        <w:tab/>
        <w:t>Exemples de différentes pratiques de plus en plus fréquentes en matière d’examen DHS</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13.</w:t>
      </w:r>
      <w:r w:rsidRPr="00293B75">
        <w:rPr>
          <w:rFonts w:cs="Arial"/>
          <w:lang w:val="fr-FR"/>
        </w:rPr>
        <w:tab/>
        <w:t>Questions en suspens concernant les principes directeurs d’examen adoptés par le Comité technique</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14.</w:t>
      </w:r>
      <w:r w:rsidRPr="00293B75">
        <w:rPr>
          <w:rFonts w:cs="Arial"/>
          <w:lang w:val="fr-FR"/>
        </w:rPr>
        <w:tab/>
        <w:t>Examen des projets de principes directeurs d’examen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15.</w:t>
      </w:r>
      <w:r w:rsidRPr="00293B75">
        <w:rPr>
          <w:rFonts w:cs="Arial"/>
          <w:lang w:val="fr-FR"/>
        </w:rPr>
        <w:tab/>
        <w:t>Recommandations concernant le projet de principes directeurs d’examen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16.</w:t>
      </w:r>
      <w:r w:rsidRPr="00293B75">
        <w:rPr>
          <w:rFonts w:cs="Arial"/>
          <w:lang w:val="fr-FR"/>
        </w:rPr>
        <w:tab/>
        <w:t>Orientations pour les rédacteurs de principes directeurs d’examen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17.</w:t>
      </w:r>
      <w:r w:rsidRPr="00293B75">
        <w:rPr>
          <w:rFonts w:cs="Arial"/>
          <w:lang w:val="fr-FR"/>
        </w:rPr>
        <w:tab/>
        <w:t>Date et lieu de la prochaine session</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18.</w:t>
      </w:r>
      <w:r w:rsidRPr="00293B75">
        <w:rPr>
          <w:rFonts w:cs="Arial"/>
          <w:lang w:val="fr-FR"/>
        </w:rPr>
        <w:tab/>
        <w:t>Programme futur</w:t>
      </w:r>
    </w:p>
    <w:p w:rsidR="00FD4467" w:rsidRPr="00293B75" w:rsidRDefault="00FD4467" w:rsidP="007005BA">
      <w:pPr>
        <w:tabs>
          <w:tab w:val="num" w:pos="1134"/>
        </w:tabs>
        <w:spacing w:before="20" w:afterLines="20" w:after="48"/>
        <w:ind w:left="1134" w:hanging="567"/>
        <w:rPr>
          <w:rFonts w:cs="Arial"/>
          <w:lang w:val="fr-FR"/>
        </w:rPr>
      </w:pPr>
      <w:r w:rsidRPr="00293B75">
        <w:rPr>
          <w:rFonts w:cs="Arial"/>
          <w:lang w:val="fr-FR"/>
        </w:rPr>
        <w:t>19.</w:t>
      </w:r>
      <w:r w:rsidRPr="00293B75">
        <w:rPr>
          <w:rFonts w:cs="Arial"/>
          <w:lang w:val="fr-FR"/>
        </w:rPr>
        <w:tab/>
        <w:t>Compte rendu de la session (selon le temps disponible)</w:t>
      </w:r>
    </w:p>
    <w:p w:rsidR="00FD4467" w:rsidRPr="00293B75" w:rsidRDefault="00FD4467" w:rsidP="007005BA">
      <w:pPr>
        <w:tabs>
          <w:tab w:val="num" w:pos="1134"/>
        </w:tabs>
        <w:spacing w:before="20" w:afterLines="20" w:after="48"/>
        <w:ind w:left="1134" w:hanging="567"/>
        <w:rPr>
          <w:rFonts w:cs="Arial"/>
        </w:rPr>
      </w:pPr>
      <w:r w:rsidRPr="00293B75">
        <w:rPr>
          <w:rFonts w:cs="Arial"/>
        </w:rPr>
        <w:t>20.</w:t>
      </w:r>
      <w:r w:rsidRPr="00293B75">
        <w:rPr>
          <w:rFonts w:cs="Arial"/>
        </w:rPr>
        <w:tab/>
        <w:t>Clôture de la session</w:t>
      </w:r>
    </w:p>
    <w:p w:rsidR="00FD4467" w:rsidRPr="00293B75" w:rsidRDefault="00FD4467" w:rsidP="007005BA"/>
    <w:p w:rsidR="00FD4467" w:rsidRPr="00293B75" w:rsidRDefault="00FD4467" w:rsidP="007005BA">
      <w:pPr>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Dans l’après</w:t>
      </w:r>
      <w:r w:rsidRPr="00293B75">
        <w:rPr>
          <w:rFonts w:cs="Arial"/>
          <w:lang w:val="fr-CH"/>
        </w:rPr>
        <w:noBreakHyphen/>
        <w:t>midi du 21 mai 2014, le TWO a visité les locaux de Nini Limited, une entreprise de roses coupées à Naivasha.  Le TWO a été accueilli par M. Philip Kuria, responsable post</w:t>
      </w:r>
      <w:r w:rsidRPr="00293B75">
        <w:rPr>
          <w:rFonts w:cs="Arial"/>
          <w:lang w:val="fr-CH"/>
        </w:rPr>
        <w:noBreakHyphen/>
        <w:t>récolte et des exportations, et Mme Faith Ndunge, administratrice, KEPHIS, Naivasha, et a suivi un exposé présenté par M. Moses Wachira, haut</w:t>
      </w:r>
      <w:r w:rsidRPr="00293B75">
        <w:rPr>
          <w:rFonts w:cs="Arial"/>
          <w:lang w:val="fr-CH"/>
        </w:rPr>
        <w:noBreakHyphen/>
        <w:t>responsable chargé de la production.  Il a été expliqué que l’entreprise avait commencé son activité en 1998 et avait grandi pour compter 44 hectares de serres et 600 employés permanents, dont 70% étaient des femmes.  L’entreprise cultivait 25 variétés de huit couleurs différentes provenant de sept obtenteurs et produisait deux millions de fleurs coupées par semaine.  M. Kuria a rendu compte de la collaboration établie avec les obtenteurs des variétés utilisées en vue de développer ce marché et a souligné l’importance du rôle que la protection des variétés végétales jouait, dans le succès des activités de l’entreprise.</w:t>
      </w:r>
    </w:p>
    <w:p w:rsidR="00FD4467" w:rsidRPr="00293B75" w:rsidRDefault="00FD4467" w:rsidP="007005BA">
      <w:pPr>
        <w:rPr>
          <w:lang w:val="fr-CH"/>
        </w:rPr>
      </w:pPr>
    </w:p>
    <w:p w:rsidR="00FD4467" w:rsidRPr="00293B75" w:rsidRDefault="00FD4467" w:rsidP="007005BA">
      <w:pPr>
        <w:autoSpaceDE w:val="0"/>
        <w:autoSpaceDN w:val="0"/>
        <w:adjustRightInd w:val="0"/>
        <w:rPr>
          <w:rFonts w:cs="Arial"/>
          <w:lang w:val="fr-CH"/>
        </w:rPr>
      </w:pPr>
      <w:r w:rsidRPr="00293B75">
        <w:rPr>
          <w:rFonts w:cs="Arial"/>
          <w:lang w:val="fr-FR"/>
        </w:rPr>
        <w:fldChar w:fldCharType="begin"/>
      </w:r>
      <w:r w:rsidRPr="00293B75">
        <w:rPr>
          <w:rFonts w:cs="Arial"/>
          <w:lang w:val="fr-CH"/>
        </w:rPr>
        <w:instrText xml:space="preserve"> AUTONUM  </w:instrText>
      </w:r>
      <w:r w:rsidRPr="00293B75">
        <w:rPr>
          <w:rFonts w:cs="Arial"/>
          <w:lang w:val="fr-FR"/>
        </w:rPr>
        <w:fldChar w:fldCharType="end"/>
      </w:r>
      <w:r w:rsidRPr="00293B75">
        <w:rPr>
          <w:rFonts w:cs="Arial"/>
          <w:lang w:val="fr-CH"/>
        </w:rPr>
        <w:tab/>
        <w:t>Une médaille de bronze de l’UPOV a été décernée à M. </w:t>
      </w:r>
      <w:r w:rsidRPr="00293B75">
        <w:rPr>
          <w:rFonts w:cstheme="majorHAnsi"/>
          <w:lang w:val="fr-CH"/>
        </w:rPr>
        <w:t>Nik Hulse</w:t>
      </w:r>
      <w:r w:rsidRPr="00293B75">
        <w:rPr>
          <w:rFonts w:cs="Arial"/>
          <w:lang w:val="fr-CH"/>
        </w:rPr>
        <w:t xml:space="preserve"> pour le remercier d’avoir présidé le TWO de 2012 à 2014.</w:t>
      </w:r>
    </w:p>
    <w:p w:rsidR="00AD5031" w:rsidRPr="00293B75" w:rsidRDefault="00AD5031" w:rsidP="007005BA">
      <w:pPr>
        <w:rPr>
          <w:rFonts w:cstheme="majorHAnsi"/>
          <w:lang w:val="fr-FR"/>
        </w:rPr>
      </w:pPr>
    </w:p>
    <w:p w:rsidR="007005BA" w:rsidRPr="00293B75" w:rsidRDefault="007005BA" w:rsidP="007005BA">
      <w:pPr>
        <w:rPr>
          <w:rFonts w:cstheme="majorHAnsi"/>
          <w:lang w:val="fr-FR"/>
        </w:rPr>
      </w:pPr>
    </w:p>
    <w:p w:rsidR="00DB5A93" w:rsidRPr="00293B75" w:rsidRDefault="00DB5A93" w:rsidP="007005BA">
      <w:pPr>
        <w:pStyle w:val="Heading3"/>
        <w:rPr>
          <w:color w:val="auto"/>
        </w:rPr>
      </w:pPr>
      <w:r w:rsidRPr="00293B75">
        <w:rPr>
          <w:color w:val="auto"/>
        </w:rPr>
        <w:t>Groupe de travail technique sur les plantes potagères (TWV)</w:t>
      </w:r>
    </w:p>
    <w:p w:rsidR="00B664E2" w:rsidRPr="00293B75" w:rsidRDefault="00B664E2" w:rsidP="00B664E2">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Groupe de travail technique sur les plantes potagères (TWV) a tenu sa quarante</w:t>
      </w:r>
      <w:r w:rsidRPr="00293B75">
        <w:rPr>
          <w:lang w:val="fr-FR"/>
        </w:rPr>
        <w:noBreakHyphen/>
        <w:t>huitième session du 23 au 27 juin 2014 à Paestum (Italie), près du centre d’essais et de certification de semences CRA</w:t>
      </w:r>
      <w:r w:rsidRPr="00293B75">
        <w:rPr>
          <w:lang w:val="fr-FR"/>
        </w:rPr>
        <w:noBreakHyphen/>
        <w:t>SCS, la station nationale italienne d’examen DHS pour les plantes potagères, située à Battipaglia.</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Au début de la session, les participants ont observé une minute de silence en commémoration de la disparition regrettable de M. François Boulineau, le président du Groupe de travail technique sur les plantes potagères.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TWV a élu M. Kees van Ettekoven (Pays</w:t>
      </w:r>
      <w:r w:rsidRPr="00293B75">
        <w:rPr>
          <w:lang w:val="fr-FR"/>
        </w:rPr>
        <w:noBreakHyphen/>
        <w:t xml:space="preserve">Bas) et Mme Swenja Tams (Allemagne) coprésidents </w:t>
      </w:r>
      <w:r w:rsidRPr="00293B75">
        <w:rPr>
          <w:i/>
          <w:lang w:val="fr-FR"/>
        </w:rPr>
        <w:t>ad hoc</w:t>
      </w:r>
      <w:r w:rsidRPr="00293B75">
        <w:rPr>
          <w:lang w:val="fr-FR"/>
        </w:rPr>
        <w:t>.</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L’atelier préparatoire tenu le 22 juin 2014 a réuni 19 participants représentant huit membres.  La session du TWV a réuni 32 participants représentant 17 membres de l’Union et trois organisations ayant le statut d’observateur.</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Dans un message vidéo, le directeur du Conseil de la recherche agricole, dont dépend le CRA</w:t>
      </w:r>
      <w:r w:rsidRPr="00293B75">
        <w:rPr>
          <w:lang w:val="fr-FR"/>
        </w:rPr>
        <w:noBreakHyphen/>
        <w:t>SCS, M. Pier Giacomo Bianchi, a souhaité la bienvenue aux participants.  Au nom de M. Bianchi, Mme Anna Giulini, chercheuse au CRA</w:t>
      </w:r>
      <w:r w:rsidRPr="00293B75">
        <w:rPr>
          <w:lang w:val="fr-FR"/>
        </w:rPr>
        <w:noBreakHyphen/>
        <w:t>SCS a présenté un exposé concernant les droits d’obtenteur en Italie intitulé “PBR at a glance in Italy”.</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L’après</w:t>
      </w:r>
      <w:r w:rsidRPr="00293B75">
        <w:rPr>
          <w:lang w:val="fr-FR"/>
        </w:rPr>
        <w:noBreakHyphen/>
        <w:t>midi du 26 juin 2014, le TWV a visité le centre d’essais et de certification de semences CRA</w:t>
      </w:r>
      <w:r w:rsidRPr="00293B75">
        <w:rPr>
          <w:lang w:val="fr-FR"/>
        </w:rPr>
        <w:noBreakHyphen/>
        <w:t>SCS à Battipaglia, où il a assisté à une présentation par la directrice du bureau de Battipaglia du CRA</w:t>
      </w:r>
      <w:r w:rsidRPr="00293B75">
        <w:rPr>
          <w:lang w:val="fr-FR"/>
        </w:rPr>
        <w:noBreakHyphen/>
        <w:t>SCS, Mme Romana Bravi.  Le TWV a pu voir les essais en vue de l’examen DHS de plusieurs plantes potagères, dont la tomate, le melon, la courgette, le concombre ainsi que d’autres variétés.</w:t>
      </w:r>
    </w:p>
    <w:p w:rsidR="00DB5A93" w:rsidRPr="00293B75" w:rsidRDefault="00DB5A93" w:rsidP="007005BA">
      <w:pPr>
        <w:rPr>
          <w:lang w:val="fr-FR"/>
        </w:rPr>
      </w:pPr>
    </w:p>
    <w:p w:rsidR="00DB5A93" w:rsidRPr="00293B75" w:rsidRDefault="00DB5A93" w:rsidP="007005BA">
      <w:pPr>
        <w:keepNext/>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TWV a examiné la révision des documents TGP.  Lors des discussions concernant les documents TGP, le TWV a examiné le document TWV/48/12 “</w:t>
      </w:r>
      <w:r w:rsidRPr="00293B75">
        <w:rPr>
          <w:shd w:val="clear" w:color="auto" w:fill="FFFFFF"/>
          <w:lang w:val="fr-FR"/>
        </w:rPr>
        <w:t xml:space="preserve">Revision of Document TGP/7 : Plant Material Submitted for Examination” et a débattu de l’incidence des demandes </w:t>
      </w:r>
      <w:r w:rsidRPr="00293B75">
        <w:rPr>
          <w:lang w:val="fr-FR"/>
        </w:rPr>
        <w:t>pour des variétés multipliées par voie végétative appartenant communément à des espèces reproduites par voie sexuée.  Une autre question importante pour le TWV était celle de l’utilisation des caractères de résistance aux maladies dans le cadre de l’examen DHS et de l’examen obligatoire de ces caractères.</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Plusieurs nouveaux principes directeurs d’examen ont été finalisés afin d’être soumis au TC, à savoir : la calebasse, la gourde (</w:t>
      </w:r>
      <w:r w:rsidRPr="00293B75">
        <w:rPr>
          <w:i/>
          <w:lang w:val="fr-FR"/>
        </w:rPr>
        <w:t>Lagenaria siceraria</w:t>
      </w:r>
      <w:r w:rsidRPr="00293B75">
        <w:rPr>
          <w:lang w:val="fr-FR"/>
        </w:rPr>
        <w:t xml:space="preserve"> (Molina) Standl.);  et également </w:t>
      </w:r>
      <w:r w:rsidRPr="00293B75">
        <w:rPr>
          <w:i/>
          <w:lang w:val="fr-FR"/>
        </w:rPr>
        <w:t>‘Cucurbita maxima</w:t>
      </w:r>
      <w:r w:rsidRPr="00293B75">
        <w:rPr>
          <w:lang w:val="fr-FR"/>
        </w:rPr>
        <w:t xml:space="preserve"> x </w:t>
      </w:r>
      <w:r w:rsidRPr="00293B75">
        <w:rPr>
          <w:i/>
          <w:lang w:val="fr-FR"/>
        </w:rPr>
        <w:t>Cucurbita moschata’</w:t>
      </w:r>
      <w:r w:rsidRPr="00293B75">
        <w:rPr>
          <w:lang w:val="fr-FR"/>
        </w:rPr>
        <w:t>.  Les deux espèces sont utilisées comme porte</w:t>
      </w:r>
      <w:r w:rsidRPr="00293B75">
        <w:rPr>
          <w:lang w:val="fr-FR"/>
        </w:rPr>
        <w:noBreakHyphen/>
        <w:t>greffes pour des variétés multipliées par voie végétative.  Les principes directeurs du manioc (</w:t>
      </w:r>
      <w:r w:rsidRPr="00293B75">
        <w:rPr>
          <w:i/>
          <w:lang w:val="fr-FR"/>
        </w:rPr>
        <w:t>Manihot esculenta</w:t>
      </w:r>
      <w:r w:rsidRPr="00293B75">
        <w:rPr>
          <w:lang w:val="fr-FR"/>
        </w:rPr>
        <w:t xml:space="preserve"> Crantz.) ont également été finalisés.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Il a été convenu des révisions partielles des principes directeurs du concombre, du haricot, du Shiitake, de l’épinard ainsi que d’un certain nombre de principes directeurs couvrant les espèces de </w:t>
      </w:r>
      <w:r w:rsidRPr="00293B75">
        <w:rPr>
          <w:i/>
          <w:lang w:val="fr-FR"/>
        </w:rPr>
        <w:t>Brassica</w:t>
      </w:r>
      <w:r w:rsidRPr="00293B75">
        <w:rPr>
          <w:lang w:val="fr-FR"/>
        </w:rPr>
        <w:t>.  La révision des principes directeurs de la lentille a également été finalisée.</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r>
      <w:r w:rsidRPr="00293B75">
        <w:rPr>
          <w:rFonts w:cs="Arial"/>
          <w:lang w:val="fr-FR"/>
        </w:rPr>
        <w:t>À</w:t>
      </w:r>
      <w:r w:rsidRPr="00293B75">
        <w:rPr>
          <w:lang w:val="fr-FR"/>
        </w:rPr>
        <w:t xml:space="preserve"> la quarante</w:t>
      </w:r>
      <w:r w:rsidRPr="00293B75">
        <w:rPr>
          <w:lang w:val="fr-FR"/>
        </w:rPr>
        <w:noBreakHyphen/>
        <w:t>neuvième session, il est prévu d’examiner deux nouveaux principes directeurs, six révisions et quatre révisions partielles.</w:t>
      </w:r>
    </w:p>
    <w:p w:rsidR="00B664E2" w:rsidRPr="00293B75" w:rsidRDefault="00B664E2"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r>
      <w:r w:rsidRPr="00293B75">
        <w:rPr>
          <w:rFonts w:cs="Arial"/>
          <w:lang w:val="fr-FR"/>
        </w:rPr>
        <w:t>À</w:t>
      </w:r>
      <w:r w:rsidRPr="00293B75">
        <w:rPr>
          <w:lang w:val="fr-FR"/>
        </w:rPr>
        <w:t xml:space="preserve"> l’invitation de l’Union européenne, le TWV est convenu de tenir sa prochaine réunion à Angers (France), du 15 au 19 juin 2015, son atelier préparatoire se tenant le 14 juin 2015.</w:t>
      </w:r>
    </w:p>
    <w:p w:rsidR="00DB5A93" w:rsidRPr="00293B75" w:rsidRDefault="00DB5A93" w:rsidP="007005BA">
      <w:pPr>
        <w:rPr>
          <w:lang w:val="fr-FR"/>
        </w:rPr>
      </w:pPr>
    </w:p>
    <w:p w:rsidR="00DB5A93" w:rsidRPr="00293B75" w:rsidRDefault="00DB5A93" w:rsidP="007005BA">
      <w:pPr>
        <w:keepNext/>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TWV a proposé d’examiner les points suivants à sa prochaine session :</w:t>
      </w:r>
    </w:p>
    <w:p w:rsidR="00DB5A93" w:rsidRPr="00293B75" w:rsidRDefault="00DB5A93" w:rsidP="007005BA">
      <w:pPr>
        <w:keepNext/>
        <w:rPr>
          <w:lang w:val="fr-FR"/>
        </w:rPr>
      </w:pPr>
    </w:p>
    <w:p w:rsidR="00DB5A93" w:rsidRPr="00293B75" w:rsidRDefault="00DB5A93" w:rsidP="007005BA">
      <w:pPr>
        <w:numPr>
          <w:ilvl w:val="0"/>
          <w:numId w:val="19"/>
        </w:numPr>
        <w:tabs>
          <w:tab w:val="clear" w:pos="360"/>
          <w:tab w:val="num" w:pos="1134"/>
        </w:tabs>
        <w:spacing w:before="20" w:afterLines="20" w:after="48"/>
        <w:ind w:left="1134" w:hanging="567"/>
        <w:rPr>
          <w:lang w:val="fr-FR"/>
        </w:rPr>
      </w:pPr>
      <w:r w:rsidRPr="00293B75">
        <w:rPr>
          <w:lang w:val="fr-FR"/>
        </w:rPr>
        <w:t>Ouverture de la session</w:t>
      </w:r>
    </w:p>
    <w:p w:rsidR="00DB5A93" w:rsidRPr="00293B75" w:rsidRDefault="00DB5A93" w:rsidP="007005BA">
      <w:pPr>
        <w:numPr>
          <w:ilvl w:val="0"/>
          <w:numId w:val="19"/>
        </w:numPr>
        <w:tabs>
          <w:tab w:val="clear" w:pos="360"/>
          <w:tab w:val="num" w:pos="1134"/>
        </w:tabs>
        <w:spacing w:before="20" w:afterLines="20" w:after="48"/>
        <w:ind w:left="1134" w:hanging="567"/>
        <w:rPr>
          <w:lang w:val="fr-FR"/>
        </w:rPr>
      </w:pPr>
      <w:r w:rsidRPr="00293B75">
        <w:rPr>
          <w:lang w:val="fr-FR"/>
        </w:rPr>
        <w:t>Adoption de l’ordre du jour</w:t>
      </w:r>
    </w:p>
    <w:p w:rsidR="00DB5A93" w:rsidRPr="00293B75" w:rsidRDefault="00DB5A93" w:rsidP="007005BA">
      <w:pPr>
        <w:numPr>
          <w:ilvl w:val="0"/>
          <w:numId w:val="19"/>
        </w:numPr>
        <w:tabs>
          <w:tab w:val="clear" w:pos="360"/>
          <w:tab w:val="num" w:pos="1134"/>
        </w:tabs>
        <w:spacing w:before="20" w:afterLines="20" w:after="48"/>
        <w:ind w:left="1134" w:hanging="567"/>
        <w:rPr>
          <w:lang w:val="fr-FR"/>
        </w:rPr>
      </w:pPr>
      <w:r w:rsidRPr="00293B75">
        <w:rPr>
          <w:lang w:val="fr-FR"/>
        </w:rPr>
        <w:t>Rapports succincts sur l’évolution de la situation en matière de protection des obtentions végétales</w:t>
      </w:r>
    </w:p>
    <w:p w:rsidR="00DB5A93" w:rsidRPr="00293B75" w:rsidRDefault="00DB5A93" w:rsidP="007005BA">
      <w:pPr>
        <w:numPr>
          <w:ilvl w:val="0"/>
          <w:numId w:val="20"/>
        </w:numPr>
        <w:tabs>
          <w:tab w:val="num" w:pos="1134"/>
          <w:tab w:val="num" w:pos="1701"/>
        </w:tabs>
        <w:spacing w:before="20" w:afterLines="20" w:after="48"/>
        <w:ind w:left="1134" w:firstLine="0"/>
        <w:rPr>
          <w:lang w:val="fr-FR"/>
        </w:rPr>
      </w:pPr>
      <w:r w:rsidRPr="00293B75">
        <w:rPr>
          <w:lang w:val="fr-FR"/>
        </w:rPr>
        <w:t>rapports des membres et des observateurs</w:t>
      </w:r>
    </w:p>
    <w:p w:rsidR="00DB5A93" w:rsidRPr="00293B75" w:rsidRDefault="00DB5A93" w:rsidP="007005BA">
      <w:pPr>
        <w:numPr>
          <w:ilvl w:val="0"/>
          <w:numId w:val="20"/>
        </w:numPr>
        <w:tabs>
          <w:tab w:val="num" w:pos="1134"/>
          <w:tab w:val="num" w:pos="1701"/>
        </w:tabs>
        <w:spacing w:before="20" w:afterLines="20" w:after="48"/>
        <w:ind w:left="1134" w:firstLine="0"/>
        <w:rPr>
          <w:lang w:val="fr-FR"/>
        </w:rPr>
      </w:pPr>
      <w:r w:rsidRPr="00293B75">
        <w:rPr>
          <w:lang w:val="fr-FR"/>
        </w:rPr>
        <w:t>rapports sur les faits nouveaux au sein de l’UPOV;</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Techniques moléculaires</w:t>
      </w:r>
    </w:p>
    <w:p w:rsidR="00DB5A93" w:rsidRPr="00293B75" w:rsidRDefault="00DB5A93" w:rsidP="007005BA">
      <w:pPr>
        <w:numPr>
          <w:ilvl w:val="0"/>
          <w:numId w:val="20"/>
        </w:numPr>
        <w:tabs>
          <w:tab w:val="num" w:pos="1134"/>
          <w:tab w:val="num" w:pos="1701"/>
        </w:tabs>
        <w:spacing w:before="20" w:afterLines="20" w:after="48"/>
        <w:ind w:left="1134" w:firstLine="0"/>
        <w:rPr>
          <w:lang w:val="fr-FR"/>
        </w:rPr>
      </w:pPr>
      <w:r w:rsidRPr="00293B75">
        <w:rPr>
          <w:lang w:val="fr-FR"/>
        </w:rPr>
        <w:t>les faits nouveaux au sein de l’UPOV</w:t>
      </w:r>
    </w:p>
    <w:p w:rsidR="00DB5A93" w:rsidRPr="00293B75" w:rsidRDefault="00DB5A93" w:rsidP="007005BA">
      <w:pPr>
        <w:numPr>
          <w:ilvl w:val="0"/>
          <w:numId w:val="20"/>
        </w:numPr>
        <w:tabs>
          <w:tab w:val="num" w:pos="1134"/>
          <w:tab w:val="num" w:pos="1701"/>
        </w:tabs>
        <w:spacing w:before="20" w:afterLines="20" w:after="48"/>
        <w:ind w:left="1134" w:firstLine="0"/>
        <w:rPr>
          <w:lang w:val="fr-FR"/>
        </w:rPr>
      </w:pPr>
      <w:r w:rsidRPr="00293B75">
        <w:rPr>
          <w:lang w:val="fr-FR"/>
        </w:rPr>
        <w:t>exposé sur l’utilisation de techniques moléculaires dans l’examen DHS</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Documents TGP</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Dénominations variétales</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Information et bases de données</w:t>
      </w:r>
    </w:p>
    <w:p w:rsidR="00DB5A93" w:rsidRPr="00293B75" w:rsidRDefault="00DB5A93" w:rsidP="007005BA">
      <w:pPr>
        <w:numPr>
          <w:ilvl w:val="0"/>
          <w:numId w:val="24"/>
        </w:numPr>
        <w:spacing w:before="20" w:afterLines="20" w:after="48"/>
        <w:ind w:firstLine="774"/>
        <w:rPr>
          <w:lang w:val="fr-FR"/>
        </w:rPr>
      </w:pPr>
      <w:r w:rsidRPr="00293B75">
        <w:rPr>
          <w:lang w:val="fr-FR"/>
        </w:rPr>
        <w:t>bases de données d’information de l’UPOV</w:t>
      </w:r>
    </w:p>
    <w:p w:rsidR="00DB5A93" w:rsidRPr="00293B75" w:rsidRDefault="00DB5A93" w:rsidP="007005BA">
      <w:pPr>
        <w:numPr>
          <w:ilvl w:val="0"/>
          <w:numId w:val="24"/>
        </w:numPr>
        <w:tabs>
          <w:tab w:val="num" w:pos="1134"/>
          <w:tab w:val="num" w:pos="1701"/>
        </w:tabs>
        <w:spacing w:before="20" w:afterLines="20" w:after="48"/>
        <w:ind w:left="1134" w:firstLine="0"/>
        <w:rPr>
          <w:lang w:val="fr-FR"/>
        </w:rPr>
      </w:pPr>
      <w:r w:rsidRPr="00293B75">
        <w:rPr>
          <w:lang w:val="fr-FR"/>
        </w:rPr>
        <w:t>base de données sur les descriptions variétales</w:t>
      </w:r>
    </w:p>
    <w:p w:rsidR="00DB5A93" w:rsidRPr="00293B75" w:rsidRDefault="00DB5A93" w:rsidP="007005BA">
      <w:pPr>
        <w:numPr>
          <w:ilvl w:val="0"/>
          <w:numId w:val="24"/>
        </w:numPr>
        <w:tabs>
          <w:tab w:val="num" w:pos="1134"/>
          <w:tab w:val="num" w:pos="1701"/>
        </w:tabs>
        <w:spacing w:before="20" w:afterLines="20" w:after="48"/>
        <w:ind w:left="1134" w:firstLine="0"/>
        <w:rPr>
          <w:lang w:val="fr-FR"/>
        </w:rPr>
      </w:pPr>
      <w:r w:rsidRPr="00293B75">
        <w:rPr>
          <w:lang w:val="fr-FR"/>
        </w:rPr>
        <w:t>logiciels échangeables</w:t>
      </w:r>
    </w:p>
    <w:p w:rsidR="00DB5A93" w:rsidRPr="00293B75" w:rsidRDefault="00DB5A93" w:rsidP="007005BA">
      <w:pPr>
        <w:numPr>
          <w:ilvl w:val="0"/>
          <w:numId w:val="24"/>
        </w:numPr>
        <w:tabs>
          <w:tab w:val="num" w:pos="1134"/>
          <w:tab w:val="num" w:pos="1701"/>
        </w:tabs>
        <w:spacing w:before="20" w:afterLines="20" w:after="48"/>
        <w:ind w:left="1134" w:firstLine="0"/>
        <w:rPr>
          <w:lang w:val="fr-FR"/>
        </w:rPr>
      </w:pPr>
      <w:r w:rsidRPr="00293B75">
        <w:rPr>
          <w:lang w:val="fr-FR"/>
        </w:rPr>
        <w:t>systèmes de dépôt électronique des demandes</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Évaluation de l’homogénéité</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La gestion des collections de référence</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Nouvelles questions se posant pour l’examen DHS</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Utilisation de caractères de résistance aux maladies dans l’examen DHS</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Questions à résoudre concernant les principes directeurs adoptés par le Comité technique (le cas échéant)</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Examen des projets de principes directeurs d’examen (sous</w:t>
      </w:r>
      <w:r w:rsidRPr="00293B75">
        <w:rPr>
          <w:lang w:val="fr-FR"/>
        </w:rPr>
        <w:noBreakHyphen/>
        <w:t>groupes)</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recommandations concernant les projets de principes directeurs d’examen</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Orientations pour les rédacteurs de principes directeurs d’examen</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Date et lieu de la prochaine session</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Programme futur</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Compte rendu de la session (selon le temps disponible)</w:t>
      </w:r>
    </w:p>
    <w:p w:rsidR="00DB5A93" w:rsidRPr="00293B75" w:rsidRDefault="00DB5A93" w:rsidP="007005BA">
      <w:pPr>
        <w:numPr>
          <w:ilvl w:val="0"/>
          <w:numId w:val="19"/>
        </w:numPr>
        <w:tabs>
          <w:tab w:val="clear" w:pos="360"/>
        </w:tabs>
        <w:spacing w:before="20" w:afterLines="20" w:after="48"/>
        <w:ind w:left="1134" w:hanging="567"/>
        <w:rPr>
          <w:lang w:val="fr-FR"/>
        </w:rPr>
      </w:pPr>
      <w:r w:rsidRPr="00293B75">
        <w:rPr>
          <w:lang w:val="fr-FR"/>
        </w:rPr>
        <w:t>Clôture de la session</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pStyle w:val="Heading3"/>
        <w:rPr>
          <w:color w:val="auto"/>
        </w:rPr>
      </w:pPr>
      <w:r w:rsidRPr="00293B75">
        <w:rPr>
          <w:color w:val="auto"/>
        </w:rPr>
        <w:t>Groupe de travail sur les techniques biochimiques et moléculaires, notamment les profils d’ADN</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BMT a tenu sa quatorzième session à Séoul (République de Corée) du 10 au 13 novembre 2014.  M. </w:t>
      </w:r>
      <w:r w:rsidRPr="00293B75">
        <w:rPr>
          <w:lang w:val="fr-FR" w:eastAsia="ja-JP"/>
        </w:rPr>
        <w:t>Hyun Kwan Shin, directeur général du Service coréen des semences et des variétés (KSVS) a souhaité la bienvenue aux participants de la session, qui ont suivi un exposé par M. Moo Kyung Yoon, directeur de la Division de la protection des obtentions végétales au KSVS sur la protection des obtentions végétales en République de Corée.</w:t>
      </w:r>
      <w:r w:rsidRPr="00293B75">
        <w:rPr>
          <w:lang w:val="fr-FR"/>
        </w:rPr>
        <w:t xml:space="preserve">  M.</w:t>
      </w:r>
      <w:r w:rsidRPr="00293B75">
        <w:rPr>
          <w:lang w:val="fr-FR" w:eastAsia="ja-JP"/>
        </w:rPr>
        <w:t> </w:t>
      </w:r>
      <w:r w:rsidRPr="00293B75">
        <w:rPr>
          <w:lang w:val="fr-FR"/>
        </w:rPr>
        <w:t>Alejandro F. Barrientos Priego (Mexique), président du BMT, a ouvert la session.</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Un atelier préparatoire s’est tenu le 9 novembre 2014, et a rassemblé 20 participants représentant sept membres de l’Union, un État ayant le statut d’observateur et une organisation ayant le statut d’observateur.  La session du BMT a réuni 44 participants représentant 10 membres de l’Union, un État ayant le statut d’observateur et deux organisations ayant le statut d’observateur.</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BMT a suivi les exposés suivants sur les faits nouveaux survenus en matière de techniques biochimiques et moléculaires, présentés par les spécialistes de l’examen DHS, des spécialistes des techniques biochimiques et moléculaires, des obtenteurs et les organisations internationales concernées :</w:t>
      </w:r>
    </w:p>
    <w:p w:rsidR="00DB5A93" w:rsidRPr="00293B75" w:rsidRDefault="00DB5A93" w:rsidP="007005BA">
      <w:pPr>
        <w:rPr>
          <w:lang w:val="fr-FR"/>
        </w:rPr>
      </w:pPr>
    </w:p>
    <w:p w:rsidR="00DB5A93" w:rsidRPr="00293B75" w:rsidRDefault="00DB5A93" w:rsidP="007005BA">
      <w:pPr>
        <w:pStyle w:val="ListParagraph"/>
        <w:numPr>
          <w:ilvl w:val="0"/>
          <w:numId w:val="27"/>
        </w:numPr>
        <w:ind w:left="1134" w:hanging="567"/>
        <w:rPr>
          <w:lang w:val="fr-FR"/>
        </w:rPr>
      </w:pPr>
      <w:r w:rsidRPr="00293B75">
        <w:rPr>
          <w:lang w:val="fr-FR"/>
        </w:rPr>
        <w:t>Utilisation de variétés de référence pour l’examen de la distinction de variétés : méthode étudiée aux États</w:t>
      </w:r>
      <w:r w:rsidRPr="00293B75">
        <w:rPr>
          <w:lang w:val="fr-FR"/>
        </w:rPr>
        <w:noBreakHyphen/>
        <w:t>Unis d’Amérique potentiellement applicable à la protection des obtentions végétales</w:t>
      </w:r>
    </w:p>
    <w:p w:rsidR="00DB5A93" w:rsidRPr="00293B75" w:rsidRDefault="00DB5A93" w:rsidP="007005BA">
      <w:pPr>
        <w:pStyle w:val="ListParagraph"/>
        <w:numPr>
          <w:ilvl w:val="0"/>
          <w:numId w:val="27"/>
        </w:numPr>
        <w:ind w:left="1134" w:hanging="567"/>
        <w:rPr>
          <w:iCs/>
          <w:lang w:val="fr-FR" w:eastAsia="ja-JP"/>
        </w:rPr>
      </w:pPr>
      <w:r w:rsidRPr="00293B75">
        <w:rPr>
          <w:lang w:val="fr-FR" w:eastAsia="ja-JP"/>
        </w:rPr>
        <w:t>Utilisation de marqueurs génétiques liés à trois caractères DHS pour l’i</w:t>
      </w:r>
      <w:r w:rsidRPr="00293B75">
        <w:rPr>
          <w:lang w:val="fr-FR"/>
        </w:rPr>
        <w:t>dentification des variétés de riz</w:t>
      </w:r>
    </w:p>
    <w:p w:rsidR="00DB5A93" w:rsidRPr="00293B75" w:rsidRDefault="00DB5A93" w:rsidP="007005BA">
      <w:pPr>
        <w:pStyle w:val="ListParagraph"/>
        <w:numPr>
          <w:ilvl w:val="0"/>
          <w:numId w:val="27"/>
        </w:numPr>
        <w:ind w:left="1134" w:hanging="567"/>
        <w:rPr>
          <w:iCs/>
          <w:lang w:val="fr-FR" w:eastAsia="ja-JP"/>
        </w:rPr>
      </w:pPr>
      <w:r w:rsidRPr="00293B75">
        <w:rPr>
          <w:lang w:val="fr-FR"/>
        </w:rPr>
        <w:t>Utilisation de marqueurs moléculaires (SNP) pour l’examen DHS du maïs</w:t>
      </w:r>
    </w:p>
    <w:p w:rsidR="00DB5A93" w:rsidRPr="00293B75" w:rsidRDefault="00DB5A93" w:rsidP="007005BA">
      <w:pPr>
        <w:pStyle w:val="ListParagraph"/>
        <w:numPr>
          <w:ilvl w:val="0"/>
          <w:numId w:val="27"/>
        </w:numPr>
        <w:ind w:left="1134" w:hanging="567"/>
        <w:rPr>
          <w:lang w:val="fr-FR" w:eastAsia="ja-JP"/>
        </w:rPr>
      </w:pPr>
      <w:r w:rsidRPr="00293B75">
        <w:rPr>
          <w:lang w:val="fr-FR" w:eastAsia="ja-JP"/>
        </w:rPr>
        <w:t>Utilisations potentielles de marqueurs moléculaires dans la gestion des variétés de roses pour le système de protection des obtentions végétales</w:t>
      </w:r>
    </w:p>
    <w:p w:rsidR="00DB5A93" w:rsidRPr="00293B75" w:rsidRDefault="00DB5A93" w:rsidP="007005BA">
      <w:pPr>
        <w:pStyle w:val="ListParagraph"/>
        <w:numPr>
          <w:ilvl w:val="0"/>
          <w:numId w:val="27"/>
        </w:numPr>
        <w:ind w:left="1134" w:hanging="567"/>
        <w:rPr>
          <w:lang w:val="fr-FR"/>
        </w:rPr>
      </w:pPr>
      <w:r w:rsidRPr="00293B75">
        <w:rPr>
          <w:lang w:val="fr-FR"/>
        </w:rPr>
        <w:t>Mise au point de marqueurs EST</w:t>
      </w:r>
      <w:r w:rsidRPr="00293B75">
        <w:rPr>
          <w:lang w:val="fr-FR"/>
        </w:rPr>
        <w:noBreakHyphen/>
        <w:t>SSR chez la laitue et identification de variétés au moyen de ces marqueurs</w:t>
      </w:r>
    </w:p>
    <w:p w:rsidR="00DB5A93" w:rsidRPr="00293B75" w:rsidRDefault="00DB5A93" w:rsidP="007005BA">
      <w:pPr>
        <w:pStyle w:val="ListParagraph"/>
        <w:numPr>
          <w:ilvl w:val="0"/>
          <w:numId w:val="27"/>
        </w:numPr>
        <w:ind w:left="1134" w:hanging="567"/>
        <w:rPr>
          <w:lang w:val="fr-FR"/>
        </w:rPr>
      </w:pPr>
      <w:r w:rsidRPr="00293B75">
        <w:rPr>
          <w:lang w:val="fr-FR"/>
        </w:rPr>
        <w:t>Utilisation de marqueurs SSR pour l’élaboration d’une base de données de profil d’ADN des variétés de fraises</w:t>
      </w:r>
    </w:p>
    <w:p w:rsidR="00DB5A93" w:rsidRPr="00293B75" w:rsidRDefault="00DB5A93" w:rsidP="007005BA">
      <w:pPr>
        <w:pStyle w:val="ListParagraph"/>
        <w:numPr>
          <w:ilvl w:val="0"/>
          <w:numId w:val="27"/>
        </w:numPr>
        <w:ind w:left="1134" w:hanging="567"/>
        <w:rPr>
          <w:lang w:val="fr-FR"/>
        </w:rPr>
      </w:pPr>
      <w:r w:rsidRPr="00293B75">
        <w:rPr>
          <w:lang w:val="fr-FR"/>
        </w:rPr>
        <w:t>Utilisation de techniques faisant intervenir des marqueurs moléculaires aux fins de la sélection d’une “variété voisine” d’une “variété candidate”</w:t>
      </w:r>
    </w:p>
    <w:p w:rsidR="00DB5A93" w:rsidRPr="00293B75" w:rsidRDefault="00DB5A93" w:rsidP="007005BA">
      <w:pPr>
        <w:pStyle w:val="ListParagraph"/>
        <w:numPr>
          <w:ilvl w:val="0"/>
          <w:numId w:val="27"/>
        </w:numPr>
        <w:ind w:left="1134" w:hanging="567"/>
        <w:rPr>
          <w:lang w:val="fr-FR"/>
        </w:rPr>
      </w:pPr>
      <w:r w:rsidRPr="00293B75">
        <w:rPr>
          <w:lang w:val="fr-FR"/>
        </w:rPr>
        <w:t>Amélioration de l’examen DHS du ray</w:t>
      </w:r>
      <w:r w:rsidRPr="00293B75">
        <w:rPr>
          <w:lang w:val="fr-FR"/>
        </w:rPr>
        <w:noBreakHyphen/>
        <w:t>grass pérenne en combinant les écarts morphologiques et moléculaires des variétés</w:t>
      </w:r>
    </w:p>
    <w:p w:rsidR="00DB5A93" w:rsidRPr="00293B75" w:rsidRDefault="00DB5A93" w:rsidP="007005BA">
      <w:pPr>
        <w:pStyle w:val="ListParagraph"/>
        <w:numPr>
          <w:ilvl w:val="0"/>
          <w:numId w:val="27"/>
        </w:numPr>
        <w:ind w:left="1134" w:hanging="567"/>
        <w:rPr>
          <w:lang w:val="fr-FR" w:eastAsia="ja-JP"/>
        </w:rPr>
      </w:pPr>
      <w:r w:rsidRPr="00293B75">
        <w:rPr>
          <w:lang w:val="fr-FR" w:eastAsia="ja-JP"/>
        </w:rPr>
        <w:t>Base de données européenne sur les pommes de terre pour la collecte centralisée des variétés notoirement connues</w:t>
      </w:r>
    </w:p>
    <w:p w:rsidR="00DB5A93" w:rsidRPr="00293B75" w:rsidRDefault="00DB5A93" w:rsidP="007005BA">
      <w:pPr>
        <w:pStyle w:val="ListParagraph"/>
        <w:numPr>
          <w:ilvl w:val="0"/>
          <w:numId w:val="27"/>
        </w:numPr>
        <w:ind w:left="1134" w:hanging="567"/>
        <w:rPr>
          <w:lang w:val="fr-FR"/>
        </w:rPr>
      </w:pPr>
      <w:r w:rsidRPr="00293B75">
        <w:rPr>
          <w:lang w:val="fr-FR"/>
        </w:rPr>
        <w:t>Utilisation de marqueurs moléculaires comme prédicteurs de caractères “traditionnels”</w:t>
      </w:r>
    </w:p>
    <w:p w:rsidR="00DB5A93" w:rsidRPr="00293B75" w:rsidRDefault="00DB5A93" w:rsidP="007005BA">
      <w:pPr>
        <w:pStyle w:val="ListParagraph"/>
        <w:numPr>
          <w:ilvl w:val="0"/>
          <w:numId w:val="27"/>
        </w:numPr>
        <w:ind w:left="1134" w:hanging="567"/>
        <w:rPr>
          <w:lang w:val="fr-FR"/>
        </w:rPr>
      </w:pPr>
      <w:r w:rsidRPr="00293B75">
        <w:rPr>
          <w:lang w:val="fr-FR"/>
        </w:rPr>
        <w:t>Propriété et utilisation d’échantillons utilisés dans un examen DHS, de l’ADN et des données relatives à l’ADN pendant et après un examen DHS</w:t>
      </w:r>
    </w:p>
    <w:p w:rsidR="00DB5A93" w:rsidRPr="00293B75" w:rsidRDefault="00DB5A93" w:rsidP="007005BA">
      <w:pPr>
        <w:rPr>
          <w:lang w:val="fr-FR"/>
        </w:rPr>
      </w:pPr>
    </w:p>
    <w:p w:rsidR="00DB5A93" w:rsidRPr="00293B75" w:rsidRDefault="00DB5A93" w:rsidP="007005BA">
      <w:pPr>
        <w:rPr>
          <w:lang w:val="fr-FR" w:eastAsia="ja-JP"/>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BMT a suivi les exposés suivants concernant </w:t>
      </w:r>
      <w:r w:rsidRPr="00293B75">
        <w:rPr>
          <w:lang w:val="fr-FR" w:eastAsia="ja-JP"/>
        </w:rPr>
        <w:t>l’utilisation de techniques moléculaires pour l’appréciation de la notion de variété essentiellement dérivée :</w:t>
      </w:r>
    </w:p>
    <w:p w:rsidR="00DB5A93" w:rsidRPr="00293B75" w:rsidRDefault="00DB5A93" w:rsidP="007005BA">
      <w:pPr>
        <w:rPr>
          <w:lang w:val="fr-FR" w:eastAsia="ja-JP"/>
        </w:rPr>
      </w:pPr>
    </w:p>
    <w:p w:rsidR="00DB5A93" w:rsidRPr="00293B75" w:rsidRDefault="00DB5A93" w:rsidP="007005BA">
      <w:pPr>
        <w:pStyle w:val="ListParagraph"/>
        <w:numPr>
          <w:ilvl w:val="0"/>
          <w:numId w:val="27"/>
        </w:numPr>
        <w:rPr>
          <w:lang w:val="fr-FR"/>
        </w:rPr>
      </w:pPr>
      <w:r w:rsidRPr="00293B75">
        <w:rPr>
          <w:lang w:val="fr-FR"/>
        </w:rPr>
        <w:t>Identification de marqueurs SNP afin d’aider dans l’évaluation des variétés essentiellement dérivées du maïs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BMT a suivi les exposés suivants concernant </w:t>
      </w:r>
      <w:r w:rsidRPr="00293B75">
        <w:rPr>
          <w:lang w:val="fr-FR" w:eastAsia="ja-JP"/>
        </w:rPr>
        <w:t xml:space="preserve">l’utilisation de techniques moléculaires pour </w:t>
      </w:r>
      <w:r w:rsidRPr="00293B75">
        <w:rPr>
          <w:lang w:val="fr-FR"/>
        </w:rPr>
        <w:t>l’identification des variétés :</w:t>
      </w:r>
    </w:p>
    <w:p w:rsidR="00DB5A93" w:rsidRPr="00293B75" w:rsidRDefault="00DB5A93" w:rsidP="007005BA">
      <w:pPr>
        <w:rPr>
          <w:lang w:val="fr-FR"/>
        </w:rPr>
      </w:pPr>
    </w:p>
    <w:p w:rsidR="00DB5A93" w:rsidRPr="00293B75" w:rsidRDefault="00DB5A93" w:rsidP="007005BA">
      <w:pPr>
        <w:pStyle w:val="ListParagraph"/>
        <w:numPr>
          <w:ilvl w:val="0"/>
          <w:numId w:val="27"/>
        </w:numPr>
        <w:ind w:left="1134" w:hanging="567"/>
        <w:rPr>
          <w:lang w:val="fr-FR"/>
        </w:rPr>
      </w:pPr>
      <w:r w:rsidRPr="00293B75">
        <w:rPr>
          <w:lang w:val="fr-FR"/>
        </w:rPr>
        <w:t>Utilisation des techniques d’identification moléculaire (ADN) des variétés aux fins d’élaboration de mesures contre les atteintes aux droits des obtenteurs au japon</w:t>
      </w:r>
    </w:p>
    <w:p w:rsidR="00DB5A93" w:rsidRPr="00293B75" w:rsidRDefault="00DB5A93" w:rsidP="007005BA">
      <w:pPr>
        <w:pStyle w:val="ListParagraph"/>
        <w:numPr>
          <w:ilvl w:val="0"/>
          <w:numId w:val="27"/>
        </w:numPr>
        <w:ind w:left="1134" w:hanging="567"/>
        <w:rPr>
          <w:lang w:val="fr-FR"/>
        </w:rPr>
      </w:pPr>
      <w:r w:rsidRPr="00293B75">
        <w:rPr>
          <w:lang w:val="fr-FR"/>
        </w:rPr>
        <w:t>Déterminer un seuil de conformité génétique pour les plants de pommes de terre</w:t>
      </w:r>
    </w:p>
    <w:p w:rsidR="00DB5A93" w:rsidRPr="00293B75" w:rsidRDefault="00DB5A93" w:rsidP="007005BA">
      <w:pPr>
        <w:pStyle w:val="ListParagraph"/>
        <w:ind w:left="1134"/>
        <w:rPr>
          <w:lang w:val="fr-FR"/>
        </w:rPr>
      </w:pPr>
    </w:p>
    <w:p w:rsidR="00DB5A93" w:rsidRPr="00293B75" w:rsidRDefault="00DB5A93" w:rsidP="007005BA">
      <w:pPr>
        <w:rPr>
          <w:lang w:val="fr-FR" w:eastAsia="ja-JP"/>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12 novembre 2014, l’OECD, l’UPOV, et l’ISTA ont organisé conjointement un atelier à Séoul (République de Corée), parallèlement à la session du BMT et sous la présidence de M. </w:t>
      </w:r>
      <w:r w:rsidRPr="00293B75">
        <w:rPr>
          <w:lang w:val="fr-FR" w:eastAsia="ja-JP"/>
        </w:rPr>
        <w:t>Kees van Ettekoven (Pays</w:t>
      </w:r>
      <w:r w:rsidRPr="00293B75">
        <w:rPr>
          <w:lang w:val="fr-FR" w:eastAsia="ja-JP"/>
        </w:rPr>
        <w:noBreakHyphen/>
        <w:t>Bas).  Les participants à cet atelier conjoint ont suivi les exposés suivants sur utilisation des techniques d’analyse de l’ADN à l’OECD, l’UPOV, l’ISTA et l’ISO :</w:t>
      </w:r>
    </w:p>
    <w:p w:rsidR="00DB5A93" w:rsidRPr="00293B75" w:rsidRDefault="00DB5A93" w:rsidP="007005BA">
      <w:pPr>
        <w:rPr>
          <w:lang w:val="fr-FR" w:eastAsia="ja-JP"/>
        </w:rPr>
      </w:pPr>
    </w:p>
    <w:p w:rsidR="00DB5A93" w:rsidRPr="00293B75" w:rsidRDefault="00DB5A93" w:rsidP="007005BA">
      <w:pPr>
        <w:pStyle w:val="ListParagraph"/>
        <w:numPr>
          <w:ilvl w:val="0"/>
          <w:numId w:val="27"/>
        </w:numPr>
        <w:ind w:left="1134" w:hanging="567"/>
        <w:rPr>
          <w:lang w:val="fr-FR"/>
        </w:rPr>
      </w:pPr>
      <w:r w:rsidRPr="00293B75">
        <w:rPr>
          <w:lang w:val="fr-FR"/>
        </w:rPr>
        <w:t>Introduction au système de certification des semences de l’OCDE et situation de l’OCDE concernant l’utilisation de techniques moléculaires</w:t>
      </w:r>
    </w:p>
    <w:p w:rsidR="00DB5A93" w:rsidRPr="00293B75" w:rsidRDefault="00DB5A93" w:rsidP="007005BA">
      <w:pPr>
        <w:pStyle w:val="ListParagraph"/>
        <w:numPr>
          <w:ilvl w:val="0"/>
          <w:numId w:val="27"/>
        </w:numPr>
        <w:ind w:left="1134" w:hanging="567"/>
        <w:rPr>
          <w:lang w:val="fr-FR"/>
        </w:rPr>
      </w:pPr>
      <w:r w:rsidRPr="00293B75">
        <w:rPr>
          <w:lang w:val="fr-FR"/>
        </w:rPr>
        <w:t>Introduction à l’UPOV et situation de l’UPOV concernant l’utilisation de techniques moléculaires</w:t>
      </w:r>
    </w:p>
    <w:p w:rsidR="00DB5A93" w:rsidRPr="00293B75" w:rsidRDefault="00DB5A93" w:rsidP="007005BA">
      <w:pPr>
        <w:pStyle w:val="ListParagraph"/>
        <w:numPr>
          <w:ilvl w:val="0"/>
          <w:numId w:val="27"/>
        </w:numPr>
        <w:ind w:left="1134" w:hanging="567"/>
        <w:rPr>
          <w:lang w:val="fr-FR"/>
        </w:rPr>
      </w:pPr>
      <w:r w:rsidRPr="00293B75">
        <w:rPr>
          <w:lang w:val="fr-FR"/>
        </w:rPr>
        <w:t>Introduction à l’ISTA et situation de l’ISTA concernant l’utilisation de techniques moléculaires</w:t>
      </w:r>
    </w:p>
    <w:p w:rsidR="00DB5A93" w:rsidRPr="00293B75" w:rsidRDefault="00DB5A93" w:rsidP="007005BA">
      <w:pPr>
        <w:pStyle w:val="ListParagraph"/>
        <w:numPr>
          <w:ilvl w:val="0"/>
          <w:numId w:val="27"/>
        </w:numPr>
        <w:ind w:left="1134" w:hanging="567"/>
        <w:rPr>
          <w:lang w:val="fr-FR"/>
        </w:rPr>
      </w:pPr>
      <w:r w:rsidRPr="00293B75">
        <w:rPr>
          <w:lang w:val="fr-FR"/>
        </w:rPr>
        <w:t>Introduction à l’ISO et situation de l’ISO concernant l’utilisation de techniques moléculaires</w:t>
      </w:r>
    </w:p>
    <w:p w:rsidR="00DB5A93" w:rsidRPr="00293B75" w:rsidRDefault="00DB5A93" w:rsidP="007005BA">
      <w:pPr>
        <w:pStyle w:val="ListParagraph"/>
        <w:numPr>
          <w:ilvl w:val="0"/>
          <w:numId w:val="27"/>
        </w:numPr>
        <w:ind w:left="1134" w:hanging="567"/>
        <w:rPr>
          <w:lang w:val="fr-FR"/>
        </w:rPr>
      </w:pPr>
      <w:r w:rsidRPr="00293B75">
        <w:rPr>
          <w:lang w:val="fr-FR"/>
        </w:rPr>
        <w:t>Domaines existants de coopération entre l’OCDE, l’UPOV et l’ISTA</w:t>
      </w:r>
    </w:p>
    <w:p w:rsidR="00DB5A93" w:rsidRPr="00293B75" w:rsidRDefault="00DB5A93" w:rsidP="007005BA">
      <w:pPr>
        <w:pStyle w:val="ListParagraph"/>
        <w:numPr>
          <w:ilvl w:val="0"/>
          <w:numId w:val="27"/>
        </w:numPr>
        <w:ind w:left="1134" w:hanging="567"/>
        <w:rPr>
          <w:lang w:val="fr-FR"/>
        </w:rPr>
      </w:pPr>
      <w:r w:rsidRPr="00293B75">
        <w:rPr>
          <w:lang w:val="fr-FR"/>
        </w:rPr>
        <w:t>Possibilités de coopération entre l’OCDE, l’UPOV, l’ISO et l’ISTA concernant les techniques moléculaires</w:t>
      </w:r>
    </w:p>
    <w:p w:rsidR="00DB5A93" w:rsidRPr="00293B75" w:rsidRDefault="00DB5A93" w:rsidP="007005BA">
      <w:pPr>
        <w:rPr>
          <w:lang w:val="fr-FR"/>
        </w:rPr>
      </w:pPr>
    </w:p>
    <w:p w:rsidR="00DB5A93" w:rsidRPr="00293B75" w:rsidRDefault="00DB5A93" w:rsidP="007005BA">
      <w:pPr>
        <w:rPr>
          <w:lang w:val="fr-FR"/>
        </w:rPr>
      </w:pPr>
      <w:r w:rsidRPr="00293B75">
        <w:rPr>
          <w:lang w:val="fr-FR" w:eastAsia="ja-JP"/>
        </w:rPr>
        <w:fldChar w:fldCharType="begin"/>
      </w:r>
      <w:r w:rsidRPr="00293B75">
        <w:rPr>
          <w:lang w:val="fr-FR" w:eastAsia="ja-JP"/>
        </w:rPr>
        <w:instrText xml:space="preserve"> AUTONUM  </w:instrText>
      </w:r>
      <w:r w:rsidRPr="00293B75">
        <w:rPr>
          <w:lang w:val="fr-FR" w:eastAsia="ja-JP"/>
        </w:rPr>
        <w:fldChar w:fldCharType="end"/>
      </w:r>
      <w:r w:rsidRPr="00293B75">
        <w:rPr>
          <w:lang w:val="fr-FR" w:eastAsia="ja-JP"/>
        </w:rPr>
        <w:tab/>
        <w:t>Les participants ont convenu qu’il serait utile d’élaborer un document commun présentant les particularités (p. ex. en matière d’examen DHS, d’identification des variétés, de pureté des variétés, etc.) de chacun des systèmes de l’OCDE, de l’UPOV et de l’ISTA.  Il a également été convenu qu’il serait utile, aux fins d’une bonne compréhension mutuelle, d’organiser à nouveau cet atelier conjoint dans le cadre des réunions pertinentes de l’OCDE et de l’ISTA.</w:t>
      </w:r>
    </w:p>
    <w:p w:rsidR="00DB5A93" w:rsidRPr="00293B75" w:rsidRDefault="00DB5A93" w:rsidP="007005BA">
      <w:pPr>
        <w:rPr>
          <w:lang w:val="fr-FR"/>
        </w:rPr>
      </w:pPr>
    </w:p>
    <w:p w:rsidR="00DB5A93" w:rsidRPr="00293B75" w:rsidRDefault="00DB5A93" w:rsidP="007005BA">
      <w:pPr>
        <w:rPr>
          <w:lang w:val="fr-FR" w:eastAsia="ja-JP"/>
        </w:rPr>
      </w:pPr>
      <w:r w:rsidRPr="00293B75">
        <w:rPr>
          <w:lang w:val="fr-FR" w:eastAsia="ja-JP"/>
        </w:rPr>
        <w:fldChar w:fldCharType="begin"/>
      </w:r>
      <w:r w:rsidRPr="00293B75">
        <w:rPr>
          <w:lang w:val="fr-FR" w:eastAsia="ja-JP"/>
        </w:rPr>
        <w:instrText xml:space="preserve"> AUTONUM  </w:instrText>
      </w:r>
      <w:r w:rsidRPr="00293B75">
        <w:rPr>
          <w:lang w:val="fr-FR" w:eastAsia="ja-JP"/>
        </w:rPr>
        <w:fldChar w:fldCharType="end"/>
      </w:r>
      <w:r w:rsidRPr="00293B75">
        <w:rPr>
          <w:lang w:val="fr-FR" w:eastAsia="ja-JP"/>
        </w:rPr>
        <w:tab/>
        <w:t>Les participants sont convenus de proposer que l’UPOV, l’OCDE et l’ISTA dressent un inventaire, par plante, de l’utilisation qu’ils font des techniques faisant intervenir des marqueurs moléculaires, en vue de l’élaboration d’un document contenant ces informations, dans un format semblable à celui du document UPOV/INF/16 “Logiciels échangeables”.  Il a été relevé que l’OCDE avait déjà recueilli des informations sur l’utilisation faite par ses autorités désignées des techniques moléculaires.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En réponse à l’invitation de la Fédération de Russie, le BMT est convenu de tenir sa quinzième session à Moscou en mai 2016, un atelier préparatoire étant prévu en mai 2016.</w:t>
      </w:r>
    </w:p>
    <w:p w:rsidR="00DB5A93" w:rsidRPr="00293B75" w:rsidRDefault="00DB5A93" w:rsidP="007005BA">
      <w:pPr>
        <w:rPr>
          <w:lang w:val="fr-FR"/>
        </w:rPr>
      </w:pPr>
    </w:p>
    <w:p w:rsidR="00DB5A93" w:rsidRPr="00293B75" w:rsidRDefault="00DB5A93" w:rsidP="007005BA">
      <w:pPr>
        <w:rPr>
          <w:lang w:val="fr-FR" w:eastAsia="ja-JP"/>
        </w:rPr>
      </w:pPr>
      <w:r w:rsidRPr="00293B75">
        <w:rPr>
          <w:lang w:val="fr-FR" w:eastAsia="ja-JP"/>
        </w:rPr>
        <w:fldChar w:fldCharType="begin"/>
      </w:r>
      <w:r w:rsidRPr="00293B75">
        <w:rPr>
          <w:lang w:val="fr-FR" w:eastAsia="ja-JP"/>
        </w:rPr>
        <w:instrText xml:space="preserve"> AUTONUM  </w:instrText>
      </w:r>
      <w:r w:rsidRPr="00293B75">
        <w:rPr>
          <w:lang w:val="fr-FR" w:eastAsia="ja-JP"/>
        </w:rPr>
        <w:fldChar w:fldCharType="end"/>
      </w:r>
      <w:r w:rsidRPr="00293B75">
        <w:rPr>
          <w:lang w:val="fr-FR" w:eastAsia="ja-JP"/>
        </w:rPr>
        <w:tab/>
      </w:r>
      <w:r w:rsidRPr="00293B75">
        <w:t>À sa quinzième session, l</w:t>
      </w:r>
      <w:r w:rsidRPr="00293B75">
        <w:rPr>
          <w:lang w:val="fr-FR" w:eastAsia="ja-JP"/>
        </w:rPr>
        <w:t>e</w:t>
      </w:r>
      <w:r w:rsidRPr="00293B75">
        <w:t> </w:t>
      </w:r>
      <w:r w:rsidRPr="00293B75">
        <w:rPr>
          <w:lang w:val="fr-FR" w:eastAsia="ja-JP"/>
        </w:rPr>
        <w:t xml:space="preserve">BMT a prévu d’examiner les questions </w:t>
      </w:r>
      <w:proofErr w:type="gramStart"/>
      <w:r w:rsidRPr="00293B75">
        <w:rPr>
          <w:lang w:val="fr-FR" w:eastAsia="ja-JP"/>
        </w:rPr>
        <w:t>suivantes :</w:t>
      </w:r>
      <w:proofErr w:type="gramEnd"/>
    </w:p>
    <w:p w:rsidR="00DB5A93" w:rsidRPr="00293B75" w:rsidRDefault="00DB5A93" w:rsidP="007005BA">
      <w:pPr>
        <w:rPr>
          <w:lang w:val="fr-FR"/>
        </w:rPr>
      </w:pPr>
    </w:p>
    <w:p w:rsidR="00DB5A93" w:rsidRPr="00293B75" w:rsidRDefault="00DB5A93" w:rsidP="007005BA">
      <w:pPr>
        <w:spacing w:before="20" w:afterLines="20" w:after="48"/>
        <w:ind w:left="1134" w:hanging="567"/>
        <w:rPr>
          <w:lang w:val="fr-FR"/>
        </w:rPr>
      </w:pPr>
      <w:r w:rsidRPr="00293B75">
        <w:rPr>
          <w:lang w:val="fr-FR"/>
        </w:rPr>
        <w:t>1.</w:t>
      </w:r>
      <w:r w:rsidRPr="00293B75">
        <w:rPr>
          <w:lang w:val="fr-FR"/>
        </w:rPr>
        <w:tab/>
        <w:t>Ouverture de la session</w:t>
      </w:r>
    </w:p>
    <w:p w:rsidR="00DB5A93" w:rsidRPr="00293B75" w:rsidRDefault="00DB5A93" w:rsidP="007005BA">
      <w:pPr>
        <w:spacing w:before="20" w:afterLines="20" w:after="48"/>
        <w:ind w:left="1134" w:hanging="567"/>
        <w:rPr>
          <w:lang w:val="fr-FR"/>
        </w:rPr>
      </w:pPr>
      <w:r w:rsidRPr="00293B75">
        <w:rPr>
          <w:lang w:val="fr-FR"/>
        </w:rPr>
        <w:t>2.</w:t>
      </w:r>
      <w:r w:rsidRPr="00293B75">
        <w:rPr>
          <w:lang w:val="fr-FR"/>
        </w:rPr>
        <w:tab/>
        <w:t>Adoption de l’ordre du jour</w:t>
      </w:r>
    </w:p>
    <w:p w:rsidR="00DB5A93" w:rsidRPr="00293B75" w:rsidRDefault="00DB5A93" w:rsidP="007005BA">
      <w:pPr>
        <w:spacing w:before="20" w:afterLines="20" w:after="48"/>
        <w:ind w:left="1134" w:hanging="567"/>
        <w:rPr>
          <w:lang w:val="fr-FR"/>
        </w:rPr>
      </w:pPr>
      <w:r w:rsidRPr="00293B75">
        <w:rPr>
          <w:lang w:val="fr-FR"/>
        </w:rPr>
        <w:t>3.</w:t>
      </w:r>
      <w:r w:rsidRPr="00293B75">
        <w:rPr>
          <w:lang w:val="fr-FR"/>
        </w:rPr>
        <w:tab/>
        <w:t>Rapports sur les faits nouveaux survenus à l’UPOV en rapport avec les techniques biochimiques et moléculaires</w:t>
      </w:r>
    </w:p>
    <w:p w:rsidR="00DB5A93" w:rsidRPr="00293B75" w:rsidRDefault="00DB5A93" w:rsidP="007005BA">
      <w:pPr>
        <w:spacing w:before="20" w:afterLines="20" w:after="48"/>
        <w:ind w:left="1134" w:hanging="567"/>
        <w:rPr>
          <w:lang w:val="fr-FR"/>
        </w:rPr>
      </w:pPr>
      <w:r w:rsidRPr="00293B75">
        <w:rPr>
          <w:lang w:val="fr-FR"/>
        </w:rPr>
        <w:t>4.</w:t>
      </w:r>
      <w:r w:rsidRPr="00293B75">
        <w:rPr>
          <w:lang w:val="fr-FR"/>
        </w:rPr>
        <w:tab/>
        <w:t>Exposés succincts sur les faits nouveaux survenus dans le domaine des techniques biochimiques et moléculaires présentés par des spécialistes de l’examen DHS, des spécialistes des techniques biochimiques et moléculaires, des obtenteurs et les organisations internationales concernées</w:t>
      </w:r>
    </w:p>
    <w:p w:rsidR="00DB5A93" w:rsidRPr="00293B75" w:rsidRDefault="00DB5A93" w:rsidP="007005BA">
      <w:pPr>
        <w:spacing w:before="20" w:afterLines="20" w:after="48"/>
        <w:ind w:left="1134" w:hanging="567"/>
        <w:rPr>
          <w:lang w:val="fr-FR" w:eastAsia="ja-JP"/>
        </w:rPr>
      </w:pPr>
      <w:r w:rsidRPr="00293B75">
        <w:rPr>
          <w:lang w:val="fr-FR" w:eastAsia="ja-JP"/>
        </w:rPr>
        <w:t>5.</w:t>
      </w:r>
      <w:r w:rsidRPr="00293B75">
        <w:rPr>
          <w:lang w:val="fr-FR" w:eastAsia="ja-JP"/>
        </w:rPr>
        <w:tab/>
        <w:t>Compte rendu des travaux sur l’utilisation des techniques moléculaires dans le cadre de l’examen DHS</w:t>
      </w:r>
    </w:p>
    <w:p w:rsidR="00DB5A93" w:rsidRPr="00293B75" w:rsidRDefault="00DB5A93" w:rsidP="007005BA">
      <w:pPr>
        <w:spacing w:before="20" w:afterLines="20" w:after="48"/>
        <w:ind w:left="1134" w:hanging="567"/>
        <w:rPr>
          <w:lang w:val="fr-FR"/>
        </w:rPr>
      </w:pPr>
      <w:r w:rsidRPr="00293B75">
        <w:rPr>
          <w:lang w:val="fr-FR"/>
        </w:rPr>
        <w:t>6.</w:t>
      </w:r>
      <w:r w:rsidRPr="00293B75">
        <w:rPr>
          <w:lang w:val="fr-FR"/>
        </w:rPr>
        <w:tab/>
        <w:t>Directives internationales en matière de techniques moléculaires</w:t>
      </w:r>
    </w:p>
    <w:p w:rsidR="00DB5A93" w:rsidRPr="00293B75" w:rsidRDefault="00DB5A93" w:rsidP="007005BA">
      <w:pPr>
        <w:spacing w:before="20" w:afterLines="20" w:after="48"/>
        <w:ind w:left="1134" w:hanging="567"/>
        <w:rPr>
          <w:lang w:val="fr-FR"/>
        </w:rPr>
      </w:pPr>
      <w:r w:rsidRPr="00293B75">
        <w:rPr>
          <w:lang w:val="fr-FR"/>
        </w:rPr>
        <w:t>7.</w:t>
      </w:r>
      <w:r w:rsidRPr="00293B75">
        <w:rPr>
          <w:lang w:val="fr-FR"/>
        </w:rPr>
        <w:tab/>
        <w:t>Bases de données sur les descriptions variétales</w:t>
      </w:r>
    </w:p>
    <w:p w:rsidR="00DB5A93" w:rsidRPr="00293B75" w:rsidRDefault="00DB5A93" w:rsidP="007005BA">
      <w:pPr>
        <w:spacing w:before="20" w:afterLines="20" w:after="48"/>
        <w:ind w:left="1134" w:hanging="567"/>
        <w:rPr>
          <w:lang w:val="fr-FR"/>
        </w:rPr>
      </w:pPr>
      <w:r w:rsidRPr="00293B75">
        <w:rPr>
          <w:lang w:val="fr-FR"/>
        </w:rPr>
        <w:t>8.</w:t>
      </w:r>
      <w:r w:rsidRPr="00293B75">
        <w:rPr>
          <w:lang w:val="fr-FR"/>
        </w:rPr>
        <w:tab/>
        <w:t>Méthodes d’analyse des données moléculaires</w:t>
      </w:r>
    </w:p>
    <w:p w:rsidR="00DB5A93" w:rsidRPr="00293B75" w:rsidRDefault="00DB5A93" w:rsidP="007005BA">
      <w:pPr>
        <w:spacing w:before="20" w:afterLines="20" w:after="48"/>
        <w:ind w:left="1134" w:hanging="567"/>
        <w:rPr>
          <w:lang w:val="fr-FR"/>
        </w:rPr>
      </w:pPr>
      <w:r w:rsidRPr="00293B75">
        <w:rPr>
          <w:lang w:val="fr-FR"/>
        </w:rPr>
        <w:t>9.</w:t>
      </w:r>
      <w:r w:rsidRPr="00293B75">
        <w:rPr>
          <w:lang w:val="fr-FR"/>
        </w:rPr>
        <w:tab/>
        <w:t>Utilisation des techniques moléculaires pour l’examen de variétés essentiellement dérivées</w:t>
      </w:r>
      <w:r w:rsidRPr="00293B75">
        <w:rPr>
          <w:rStyle w:val="FootnoteReference"/>
          <w:lang w:val="fr-FR"/>
        </w:rPr>
        <w:footnoteReference w:id="2"/>
      </w:r>
    </w:p>
    <w:p w:rsidR="00DB5A93" w:rsidRPr="00293B75" w:rsidRDefault="00DB5A93" w:rsidP="007005BA">
      <w:pPr>
        <w:spacing w:before="20" w:afterLines="20" w:after="48"/>
        <w:ind w:left="1134" w:hanging="567"/>
        <w:rPr>
          <w:lang w:val="fr-FR"/>
        </w:rPr>
      </w:pPr>
      <w:r w:rsidRPr="00293B75">
        <w:rPr>
          <w:lang w:val="fr-FR"/>
        </w:rPr>
        <w:t>10.</w:t>
      </w:r>
      <w:r w:rsidRPr="00293B75">
        <w:rPr>
          <w:lang w:val="fr-FR"/>
        </w:rPr>
        <w:tab/>
        <w:t>Utilisation des techniques moléculaires pour l’identification des variétés</w:t>
      </w:r>
      <w:r w:rsidRPr="00293B75">
        <w:rPr>
          <w:vertAlign w:val="superscript"/>
          <w:lang w:val="fr-FR"/>
        </w:rPr>
        <w:t>1</w:t>
      </w:r>
    </w:p>
    <w:p w:rsidR="00DB5A93" w:rsidRPr="00293B75" w:rsidRDefault="00DB5A93" w:rsidP="007005BA">
      <w:pPr>
        <w:spacing w:before="20" w:afterLines="20" w:after="48"/>
        <w:ind w:left="1134" w:hanging="567"/>
        <w:rPr>
          <w:lang w:val="fr-FR" w:eastAsia="ja-JP"/>
        </w:rPr>
      </w:pPr>
      <w:r w:rsidRPr="00293B75">
        <w:rPr>
          <w:lang w:val="fr-FR" w:eastAsia="ja-JP"/>
        </w:rPr>
        <w:t>11.</w:t>
      </w:r>
      <w:r w:rsidRPr="00293B75">
        <w:rPr>
          <w:lang w:val="fr-FR" w:eastAsia="ja-JP"/>
        </w:rPr>
        <w:tab/>
        <w:t>Coopération entre l’OCDE, l’UPOV, l’ISTA et l’ISO</w:t>
      </w:r>
    </w:p>
    <w:p w:rsidR="00DB5A93" w:rsidRPr="00293B75" w:rsidRDefault="00DB5A93" w:rsidP="007005BA">
      <w:pPr>
        <w:spacing w:before="20" w:afterLines="20" w:after="48"/>
        <w:ind w:left="1134" w:hanging="567"/>
        <w:rPr>
          <w:lang w:val="fr-FR"/>
        </w:rPr>
      </w:pPr>
      <w:r w:rsidRPr="00293B75">
        <w:rPr>
          <w:lang w:val="fr-FR"/>
        </w:rPr>
        <w:t>12.</w:t>
      </w:r>
      <w:r w:rsidRPr="00293B75">
        <w:rPr>
          <w:lang w:val="fr-FR"/>
        </w:rPr>
        <w:tab/>
        <w:t>Date et lieu de la prochaine session</w:t>
      </w:r>
    </w:p>
    <w:p w:rsidR="00DB5A93" w:rsidRPr="00293B75" w:rsidRDefault="00DB5A93" w:rsidP="007005BA">
      <w:pPr>
        <w:spacing w:before="20" w:afterLines="20" w:after="48"/>
        <w:ind w:left="1134" w:hanging="567"/>
        <w:rPr>
          <w:lang w:val="fr-FR"/>
        </w:rPr>
      </w:pPr>
      <w:r w:rsidRPr="00293B75">
        <w:rPr>
          <w:lang w:val="fr-FR"/>
        </w:rPr>
        <w:t>13.</w:t>
      </w:r>
      <w:r w:rsidRPr="00293B75">
        <w:rPr>
          <w:lang w:val="fr-FR"/>
        </w:rPr>
        <w:tab/>
        <w:t>Programme futur</w:t>
      </w:r>
    </w:p>
    <w:p w:rsidR="00DB5A93" w:rsidRPr="00293B75" w:rsidRDefault="00DB5A93" w:rsidP="007005BA">
      <w:pPr>
        <w:spacing w:before="20" w:afterLines="20" w:after="48"/>
        <w:ind w:left="1134" w:hanging="567"/>
        <w:rPr>
          <w:lang w:val="fr-FR"/>
        </w:rPr>
      </w:pPr>
      <w:r w:rsidRPr="00293B75">
        <w:rPr>
          <w:lang w:val="fr-FR"/>
        </w:rPr>
        <w:t>14.</w:t>
      </w:r>
      <w:r w:rsidRPr="00293B75">
        <w:rPr>
          <w:lang w:val="fr-FR"/>
        </w:rPr>
        <w:tab/>
        <w:t>Compte rendu de la session (selon le temps disponible)</w:t>
      </w:r>
    </w:p>
    <w:p w:rsidR="00DB5A93" w:rsidRPr="00293B75" w:rsidRDefault="00DB5A93" w:rsidP="007005BA">
      <w:pPr>
        <w:spacing w:before="20" w:afterLines="20" w:after="48"/>
        <w:ind w:left="1134" w:hanging="567"/>
        <w:rPr>
          <w:lang w:val="fr-FR"/>
        </w:rPr>
      </w:pPr>
      <w:r w:rsidRPr="00293B75">
        <w:rPr>
          <w:lang w:val="fr-FR"/>
        </w:rPr>
        <w:t>15.</w:t>
      </w:r>
      <w:r w:rsidRPr="00293B75">
        <w:rPr>
          <w:lang w:val="fr-FR"/>
        </w:rPr>
        <w:tab/>
        <w:t>Clôture de la session</w:t>
      </w:r>
    </w:p>
    <w:p w:rsidR="00DB5A93" w:rsidRPr="00293B75" w:rsidRDefault="00DB5A93" w:rsidP="007005BA">
      <w:pPr>
        <w:rPr>
          <w:lang w:val="fr-FR"/>
        </w:rPr>
      </w:pPr>
    </w:p>
    <w:p w:rsidR="00DB5A93" w:rsidRPr="00293B75" w:rsidRDefault="00DB5A93" w:rsidP="007005BA">
      <w:pPr>
        <w:autoSpaceDE w:val="0"/>
        <w:autoSpaceDN w:val="0"/>
        <w:adjustRightInd w:val="0"/>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Une médaille de bronze de l’UPOV a été décernée à M. Alejandro F. Barrientos Priego pour le remercier d’avoir présidé le BMT de 2012 à 2014.</w:t>
      </w:r>
    </w:p>
    <w:p w:rsidR="00DB5A93" w:rsidRPr="00293B75" w:rsidRDefault="00DB5A93" w:rsidP="007005BA">
      <w:pPr>
        <w:tabs>
          <w:tab w:val="num" w:pos="1134"/>
        </w:tabs>
        <w:spacing w:before="20" w:afterLines="20" w:after="48"/>
        <w:rPr>
          <w:lang w:val="fr-FR"/>
        </w:rPr>
      </w:pPr>
    </w:p>
    <w:p w:rsidR="00DB5A93" w:rsidRPr="00293B75" w:rsidRDefault="00DB5A93" w:rsidP="007005BA">
      <w:pPr>
        <w:rPr>
          <w:u w:val="single"/>
          <w:lang w:val="fr-FR"/>
        </w:rPr>
      </w:pPr>
    </w:p>
    <w:p w:rsidR="00DB5A93" w:rsidRPr="00293B75" w:rsidRDefault="00DB5A93" w:rsidP="007005BA">
      <w:pPr>
        <w:keepNext/>
        <w:rPr>
          <w:u w:val="single"/>
          <w:lang w:val="fr-FR"/>
        </w:rPr>
      </w:pPr>
      <w:r w:rsidRPr="00293B75">
        <w:rPr>
          <w:u w:val="single"/>
          <w:lang w:val="fr-FR"/>
        </w:rPr>
        <w:t>Questions découlant des travaux des groupes de travail techniques</w:t>
      </w:r>
    </w:p>
    <w:p w:rsidR="00DB5A93" w:rsidRPr="00293B75" w:rsidRDefault="00DB5A93" w:rsidP="007005BA">
      <w:pPr>
        <w:keepNext/>
        <w:rPr>
          <w:u w:val="single"/>
          <w:lang w:val="fr-FR"/>
        </w:rPr>
      </w:pPr>
    </w:p>
    <w:p w:rsidR="00DB5A93" w:rsidRPr="00293B75" w:rsidRDefault="00DB5A93" w:rsidP="007005BA">
      <w:pPr>
        <w:keepNext/>
        <w:rPr>
          <w:lang w:val="fr-FR"/>
        </w:rPr>
      </w:pPr>
      <w:r w:rsidRPr="00293B75">
        <w:rPr>
          <w:lang w:val="fr-FR"/>
        </w:rPr>
        <w:fldChar w:fldCharType="begin"/>
      </w:r>
      <w:r w:rsidRPr="00293B75">
        <w:rPr>
          <w:lang w:val="fr-FR"/>
        </w:rPr>
        <w:instrText xml:space="preserve"> AUTONUM  \* Arabic </w:instrText>
      </w:r>
      <w:r w:rsidRPr="00293B75">
        <w:rPr>
          <w:lang w:val="fr-FR"/>
        </w:rPr>
        <w:fldChar w:fldCharType="end"/>
      </w:r>
      <w:r w:rsidRPr="00293B75">
        <w:rPr>
          <w:lang w:val="fr-FR"/>
        </w:rPr>
        <w:tab/>
        <w:t>Le TC examine le document TC/51/3 et prend note des faits nouveaux intervenus au sein des TWP concernant :</w:t>
      </w:r>
    </w:p>
    <w:p w:rsidR="00DB5A93" w:rsidRPr="00293B75" w:rsidRDefault="00DB5A93" w:rsidP="007005BA">
      <w:pPr>
        <w:rPr>
          <w:lang w:val="fr-FR"/>
        </w:rPr>
      </w:pPr>
    </w:p>
    <w:p w:rsidR="00DB5A93" w:rsidRPr="00293B75" w:rsidRDefault="00DB5A93" w:rsidP="007005BA">
      <w:pPr>
        <w:ind w:left="567"/>
        <w:rPr>
          <w:lang w:val="fr-FR"/>
        </w:rPr>
      </w:pPr>
      <w:r w:rsidRPr="00293B75">
        <w:rPr>
          <w:lang w:val="fr-FR"/>
        </w:rPr>
        <w:t>a)</w:t>
      </w:r>
      <w:r w:rsidRPr="00293B75">
        <w:rPr>
          <w:lang w:val="fr-FR"/>
        </w:rPr>
        <w:tab/>
        <w:t>durée des examens DHS dans le secteur des fruits;</w:t>
      </w:r>
    </w:p>
    <w:p w:rsidR="00DB5A93" w:rsidRPr="00293B75" w:rsidRDefault="00DB5A93" w:rsidP="007005BA">
      <w:pPr>
        <w:ind w:left="567"/>
        <w:rPr>
          <w:lang w:val="fr-FR"/>
        </w:rPr>
      </w:pPr>
      <w:r w:rsidRPr="00293B75">
        <w:rPr>
          <w:lang w:val="fr-FR"/>
        </w:rPr>
        <w:t>b)</w:t>
      </w:r>
      <w:r w:rsidRPr="00293B75">
        <w:rPr>
          <w:lang w:val="fr-FR"/>
        </w:rPr>
        <w:tab/>
        <w:t>utilisation de caractères de résistance aux maladies dans l’examen DHS;</w:t>
      </w:r>
    </w:p>
    <w:p w:rsidR="00DB5A93" w:rsidRPr="00293B75" w:rsidRDefault="00DB5A93" w:rsidP="007005BA">
      <w:pPr>
        <w:ind w:left="567"/>
        <w:rPr>
          <w:lang w:val="fr-FR"/>
        </w:rPr>
      </w:pPr>
      <w:r w:rsidRPr="00293B75">
        <w:rPr>
          <w:lang w:val="fr-FR"/>
        </w:rPr>
        <w:t>c)</w:t>
      </w:r>
      <w:r w:rsidRPr="00293B75">
        <w:rPr>
          <w:lang w:val="fr-FR"/>
        </w:rPr>
        <w:tab/>
        <w:t>enregistreurs de données;</w:t>
      </w:r>
    </w:p>
    <w:p w:rsidR="00DB5A93" w:rsidRPr="00293B75" w:rsidRDefault="00DB5A93" w:rsidP="007005BA">
      <w:pPr>
        <w:ind w:left="567"/>
        <w:rPr>
          <w:lang w:val="fr-FR"/>
        </w:rPr>
      </w:pPr>
      <w:r w:rsidRPr="00293B75">
        <w:rPr>
          <w:lang w:val="fr-FR"/>
        </w:rPr>
        <w:t>d)</w:t>
      </w:r>
      <w:r w:rsidRPr="00293B75">
        <w:rPr>
          <w:lang w:val="fr-FR"/>
        </w:rPr>
        <w:tab/>
        <w:t>expériences de nouveaux types et espèces;</w:t>
      </w:r>
    </w:p>
    <w:p w:rsidR="00DB5A93" w:rsidRPr="00293B75" w:rsidRDefault="00DB5A93" w:rsidP="007005BA">
      <w:pPr>
        <w:ind w:left="567"/>
        <w:rPr>
          <w:lang w:val="fr-FR"/>
        </w:rPr>
      </w:pPr>
      <w:r w:rsidRPr="00293B75">
        <w:rPr>
          <w:lang w:val="fr-FR"/>
        </w:rPr>
        <w:t>e)</w:t>
      </w:r>
      <w:r w:rsidRPr="00293B75">
        <w:rPr>
          <w:lang w:val="fr-FR"/>
        </w:rPr>
        <w:tab/>
        <w:t>gestion des collections de variétés aux fins de l’examen DHS;  et</w:t>
      </w:r>
    </w:p>
    <w:p w:rsidR="00DB5A93" w:rsidRPr="00293B75" w:rsidRDefault="00DB5A93" w:rsidP="007005BA">
      <w:pPr>
        <w:ind w:left="567"/>
        <w:rPr>
          <w:lang w:val="fr-FR"/>
        </w:rPr>
      </w:pPr>
      <w:r w:rsidRPr="00293B75">
        <w:rPr>
          <w:lang w:val="fr-FR"/>
        </w:rPr>
        <w:t>f)</w:t>
      </w:r>
      <w:r w:rsidRPr="00293B75">
        <w:rPr>
          <w:lang w:val="fr-FR"/>
        </w:rPr>
        <w:tab/>
        <w:t>utilisation de méthodes statistiques dans l’examen DHS.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TC prend note que </w:t>
      </w:r>
      <w:r w:rsidRPr="00293B75">
        <w:rPr>
          <w:rFonts w:cs="Arial"/>
          <w:lang w:val="fr-FR"/>
        </w:rPr>
        <w:t>l’Office communautaire des variétés végétales (OCVV) de l’Union européenne</w:t>
      </w:r>
      <w:r w:rsidRPr="00293B75">
        <w:rPr>
          <w:lang w:val="fr-FR"/>
        </w:rPr>
        <w:t xml:space="preserve"> présenterait au TWA en 2016 un exposé sur les résultats d’une étude aux fins d’évaluation des effets éventuels sur l’expression des caractères DHS d’une infection à base d’endophytes chez le ray</w:t>
      </w:r>
      <w:r w:rsidRPr="00293B75">
        <w:rPr>
          <w:lang w:val="fr-FR"/>
        </w:rPr>
        <w:noBreakHyphen/>
        <w:t>grass et la fétuque élevée.  Le TC prend également note que des experts de l’Union européenne dresseraient la liste des options établies par les experts principaux et s’efforceraient d’élaborer de nouvelles options éventuelles de texte standard quant à la période minimum d’examen DHS et au nombre de cycles de végétation pour les principes directeurs d’examen de certains fruits.  L</w:t>
      </w:r>
      <w:r w:rsidRPr="00293B75">
        <w:rPr>
          <w:rFonts w:cs="Arial"/>
          <w:lang w:val="fr-FR"/>
        </w:rPr>
        <w:t>’Union européenne</w:t>
      </w:r>
      <w:r w:rsidRPr="00293B75">
        <w:rPr>
          <w:lang w:val="fr-FR"/>
        </w:rPr>
        <w:t xml:space="preserve"> suggère que cela serait un exercice également utile pour d’autres groupes de travail techniques.</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keepNext/>
        <w:ind w:left="567" w:hanging="567"/>
        <w:rPr>
          <w:u w:val="single"/>
          <w:lang w:val="fr-FR"/>
        </w:rPr>
      </w:pPr>
      <w:r w:rsidRPr="00293B75">
        <w:rPr>
          <w:u w:val="single"/>
          <w:lang w:val="fr-FR"/>
        </w:rPr>
        <w:t>Documents TGP</w:t>
      </w:r>
    </w:p>
    <w:p w:rsidR="00DB5A93" w:rsidRPr="00293B75" w:rsidRDefault="00DB5A93" w:rsidP="007005BA">
      <w:pPr>
        <w:keepNext/>
        <w:ind w:left="567" w:hanging="567"/>
        <w:rPr>
          <w:lang w:val="fr-FR"/>
        </w:rPr>
      </w:pPr>
    </w:p>
    <w:p w:rsidR="00DB5A93" w:rsidRPr="00293B75" w:rsidRDefault="00DB5A93" w:rsidP="007005BA">
      <w:pPr>
        <w:pStyle w:val="Heading3"/>
        <w:rPr>
          <w:color w:val="auto"/>
        </w:rPr>
      </w:pPr>
      <w:r w:rsidRPr="00293B75">
        <w:rPr>
          <w:color w:val="auto"/>
        </w:rPr>
        <w:t>Questions pour adoption par le conseil en 2015</w:t>
      </w:r>
    </w:p>
    <w:p w:rsidR="00DB5A93" w:rsidRPr="00293B75" w:rsidRDefault="00DB5A93" w:rsidP="007005BA">
      <w:pPr>
        <w:keepNext/>
        <w:ind w:left="567" w:hanging="567"/>
        <w:rPr>
          <w:lang w:val="fr-FR"/>
        </w:rPr>
      </w:pPr>
    </w:p>
    <w:p w:rsidR="00DB5A93" w:rsidRPr="00293B75" w:rsidRDefault="00DB5A93" w:rsidP="007005BA">
      <w:pPr>
        <w:pStyle w:val="Heading4"/>
        <w:rPr>
          <w:lang w:val="fr-FR"/>
        </w:rPr>
      </w:pPr>
      <w:r w:rsidRPr="00293B75">
        <w:rPr>
          <w:lang w:val="fr-FR"/>
        </w:rPr>
        <w:t>TGP/0 : Liste des documents TGP et date de la version la plus récente de ces documents</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TC/51/5 “Documents TGP” et prend note du fait que le Conseil serait invité à adopter le document TGP/0/8 afin de prendre en compte l’adoption de documents TGP.</w:t>
      </w: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TGP/9 : Examen de la distinction</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 la nouvelle section concernant les “Conseils sur le nombre de plantes à examiner (aux fins de la distinction)” déjà approuvée par le TC pour le document TGP/9, telle qu’elle figure dans l’annexe I du document TC/51/5.</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TC/51/23 ainsi que les suggestions concernant les sections suivantes du document TGP/9 :</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w:t>
      </w:r>
      <w:r w:rsidRPr="00293B75">
        <w:rPr>
          <w:color w:val="auto"/>
        </w:rPr>
        <w:tab/>
        <w:t>Révision du document TGP/9 : section 1.6 : Élaboration du contenu des documents TGP sur la distinction</w:t>
      </w:r>
    </w:p>
    <w:p w:rsidR="00DB5A93" w:rsidRPr="00293B75" w:rsidRDefault="00DB5A93" w:rsidP="007005BA">
      <w:pPr>
        <w:keepNext/>
        <w:ind w:left="1418" w:hanging="851"/>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le schéma de la section 1.6 “Élaboration du contenu des documents TGP sur la distinction” du document TGP/9 devrait être révisé tel qu’indiqué dans les annexes I et II du document TC/51/23.</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ii)</w:t>
      </w:r>
      <w:r w:rsidRPr="00293B75">
        <w:rPr>
          <w:color w:val="auto"/>
        </w:rPr>
        <w:tab/>
        <w:t>Révision du document TGP/9 : section 2.5 : Photographies</w:t>
      </w:r>
    </w:p>
    <w:p w:rsidR="00DB5A93" w:rsidRPr="00293B75" w:rsidRDefault="00DB5A93" w:rsidP="007005BA">
      <w:pPr>
        <w:ind w:left="1418" w:hanging="851"/>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les propositions de conseils concernant les photographies, pour inclusion dans la section 2.5 “Photographies” du document TGP/9, et convient que les conseils seraient libellés comme suit :</w:t>
      </w:r>
    </w:p>
    <w:p w:rsidR="00DB5A93" w:rsidRPr="00293B75" w:rsidRDefault="00DB5A93" w:rsidP="007005BA">
      <w:pPr>
        <w:rPr>
          <w:lang w:val="fr-FR"/>
        </w:rPr>
      </w:pPr>
    </w:p>
    <w:p w:rsidR="00DB5A93" w:rsidRPr="00293B75" w:rsidRDefault="00DB5A93" w:rsidP="007005BA">
      <w:pPr>
        <w:autoSpaceDE w:val="0"/>
        <w:autoSpaceDN w:val="0"/>
        <w:adjustRightInd w:val="0"/>
        <w:ind w:left="567" w:right="567"/>
        <w:rPr>
          <w:lang w:val="fr-FR"/>
        </w:rPr>
      </w:pPr>
      <w:r w:rsidRPr="00293B75">
        <w:rPr>
          <w:rFonts w:cs="Arial"/>
          <w:sz w:val="18"/>
          <w:lang w:val="fr-FR"/>
        </w:rPr>
        <w:t>“2.5.3</w:t>
      </w:r>
      <w:r w:rsidRPr="00293B75">
        <w:rPr>
          <w:rFonts w:cs="Arial"/>
          <w:sz w:val="18"/>
          <w:lang w:val="fr-FR"/>
        </w:rPr>
        <w:tab/>
        <w:t>La pertinence des photographies pour l’identification de variétés voisines dépend fortement de la qualité des photographies des variétés figurant dans la collection de référence qui ont été prises par l’autorité et de la photographie de la variété candidate remise par le déposant avec le questionnaire technique.  Des conseils détaillés pour la prise de photographies pertinentes sont fournis dans la note indicative GN 35 du document TGP/7.  Ces conseils ont été établis notamment pour permettre aux déposants de remettre des photographies pertinentes de la variété candidate.  Ces instructions sont importantes et utiles pour permettre aux autorités de prendre des photographies des variétés figurant dans la collection de variétés dans des conditions normalisées”.</w:t>
      </w:r>
    </w:p>
    <w:p w:rsidR="00DB5A93" w:rsidRPr="00293B75" w:rsidRDefault="00DB5A93" w:rsidP="007005BA">
      <w:pPr>
        <w:ind w:left="1418" w:hanging="851"/>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des modifications rédactionnelles doivent être apportées au projet de texte en allemand et rappelle que les experts linguistiques du Comité d’édition éditorial seraient appelés à vérifier les traductions française, allemande et espagnole avant leur finalisation aux fins d’adoption par le Conseil.</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La traduction en allemand devrait être libellée de la manière suivante :</w:t>
      </w:r>
    </w:p>
    <w:p w:rsidR="00DB5A93" w:rsidRPr="00293B75" w:rsidRDefault="00DB5A93" w:rsidP="007005BA">
      <w:pPr>
        <w:rPr>
          <w:lang w:val="fr-FR"/>
        </w:rPr>
      </w:pPr>
    </w:p>
    <w:p w:rsidR="00DB5A93" w:rsidRPr="00293B75" w:rsidRDefault="00DB5A93" w:rsidP="007005BA">
      <w:pPr>
        <w:ind w:left="567" w:right="567"/>
        <w:rPr>
          <w:lang w:val="fr-FR"/>
        </w:rPr>
      </w:pPr>
      <w:r w:rsidRPr="00293B75">
        <w:rPr>
          <w:i/>
          <w:sz w:val="18"/>
          <w:lang w:val="fr-FR"/>
        </w:rPr>
        <w:t>„</w:t>
      </w:r>
      <w:r w:rsidRPr="00293B75">
        <w:rPr>
          <w:rFonts w:cs="Arial"/>
          <w:sz w:val="18"/>
          <w:lang w:val="fr-FR"/>
        </w:rPr>
        <w:t>2.5.3</w:t>
      </w:r>
      <w:r w:rsidRPr="00293B75">
        <w:rPr>
          <w:rFonts w:cs="Arial"/>
          <w:sz w:val="18"/>
          <w:lang w:val="fr-FR"/>
        </w:rPr>
        <w:tab/>
        <w:t>Die Eignung von Fotos für die Identifikation ähnlicher Sorten wird durch die Qualität der von der Behörde für die Sorten in der Sortensammlung erstellten Fotos und der vom Antragsteller zusammen mit dem Technischen Fragebogen eingereichten Fotos stark beeinflußt.  Eine ausführliche Anleitung für die Aufnahme geeigneter Fotos wird in Dokument TGP/7, GN 35, erteilt.  Die Anleitung wurde insbesondere für die Antragsteller ausgearbeitet, damit sie geeignete Fotos der Kandidatensorte einreichen.  Dieselben Anweisungen sind auch für die Behörden wichtig und zweckdienlich, um Fotos der Sorten in der Sortensammlung unter genormten Bedingungen zu erstellen.”</w:t>
      </w:r>
    </w:p>
    <w:p w:rsidR="00DB5A93" w:rsidRPr="00293B75" w:rsidRDefault="00DB5A93" w:rsidP="007005BA">
      <w:pPr>
        <w:rPr>
          <w:lang w:val="fr-FR"/>
        </w:rPr>
      </w:pPr>
    </w:p>
    <w:p w:rsidR="00DB5A93" w:rsidRPr="00293B75" w:rsidRDefault="00DB5A93" w:rsidP="007005BA">
      <w:pPr>
        <w:pStyle w:val="Heading5"/>
        <w:rPr>
          <w:color w:val="auto"/>
        </w:rPr>
      </w:pPr>
      <w:bookmarkStart w:id="7" w:name="_Toc412193715"/>
      <w:r w:rsidRPr="00293B75">
        <w:rPr>
          <w:color w:val="auto"/>
        </w:rPr>
        <w:t>iii)</w:t>
      </w:r>
      <w:r w:rsidRPr="00293B75">
        <w:rPr>
          <w:color w:val="auto"/>
        </w:rPr>
        <w:tab/>
        <w:t xml:space="preserve">Révision du document TGP/9 : sections 4.3.2 “ Notation globale pour un groupe de plantes ou parties de plantes (G)” et 4.3.4 </w:t>
      </w:r>
      <w:bookmarkEnd w:id="7"/>
      <w:r w:rsidRPr="00293B75">
        <w:rPr>
          <w:color w:val="auto"/>
        </w:rPr>
        <w:t>“ Résumé analytique “</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la proposition d’exemple de notation globale pour un certain nombre de plantes (MG) effectuée sur des parties de plantes pour inclusion dans une révision future des sections 4.3.2 “Notation globale pour un groupe de plantes ou parties de plantes (G)” et 4.3.4 “Résumé analytique” du document TGP/9, et convient que les conseils seraient libellés comme suit :</w:t>
      </w:r>
    </w:p>
    <w:p w:rsidR="00DB5A93" w:rsidRPr="00293B75" w:rsidRDefault="00DB5A93" w:rsidP="007005BA">
      <w:pPr>
        <w:rPr>
          <w:lang w:val="fr-FR"/>
        </w:rPr>
      </w:pPr>
    </w:p>
    <w:p w:rsidR="00601A66" w:rsidRPr="00293B75" w:rsidRDefault="00601A66">
      <w:pPr>
        <w:jc w:val="left"/>
        <w:rPr>
          <w:rFonts w:cs="Arial"/>
          <w:sz w:val="18"/>
          <w:lang w:val="fr-FR"/>
        </w:rPr>
      </w:pPr>
      <w:r w:rsidRPr="00293B75">
        <w:rPr>
          <w:rFonts w:cs="Arial"/>
          <w:sz w:val="18"/>
          <w:lang w:val="fr-FR"/>
        </w:rPr>
        <w:br w:type="page"/>
      </w:r>
    </w:p>
    <w:p w:rsidR="00DB5A93" w:rsidRPr="00293B75" w:rsidRDefault="00DB5A93" w:rsidP="007005BA">
      <w:pPr>
        <w:autoSpaceDE w:val="0"/>
        <w:autoSpaceDN w:val="0"/>
        <w:adjustRightInd w:val="0"/>
        <w:ind w:left="567" w:right="567"/>
        <w:rPr>
          <w:rFonts w:cs="Arial"/>
          <w:sz w:val="18"/>
          <w:lang w:val="fr-FR"/>
        </w:rPr>
      </w:pPr>
      <w:r w:rsidRPr="00293B75">
        <w:rPr>
          <w:rFonts w:cs="Arial"/>
          <w:sz w:val="18"/>
          <w:lang w:val="fr-FR"/>
        </w:rPr>
        <w:t>“Exemple (MG)</w:t>
      </w:r>
    </w:p>
    <w:p w:rsidR="00DB5A93" w:rsidRPr="00293B75" w:rsidRDefault="00DB5A93" w:rsidP="007005BA">
      <w:pPr>
        <w:autoSpaceDE w:val="0"/>
        <w:autoSpaceDN w:val="0"/>
        <w:adjustRightInd w:val="0"/>
        <w:ind w:left="567" w:right="567"/>
        <w:rPr>
          <w:rFonts w:cs="Arial"/>
          <w:sz w:val="18"/>
          <w:lang w:val="fr-FR"/>
        </w:rPr>
      </w:pPr>
    </w:p>
    <w:p w:rsidR="00DB5A93" w:rsidRPr="00293B75" w:rsidRDefault="00DB5A93" w:rsidP="007005BA">
      <w:pPr>
        <w:autoSpaceDE w:val="0"/>
        <w:autoSpaceDN w:val="0"/>
        <w:adjustRightInd w:val="0"/>
        <w:ind w:left="567" w:right="567"/>
        <w:rPr>
          <w:rFonts w:cs="Arial"/>
          <w:sz w:val="18"/>
          <w:lang w:val="fr-FR"/>
        </w:rPr>
      </w:pPr>
      <w:r w:rsidRPr="00293B75">
        <w:rPr>
          <w:rFonts w:cs="Arial"/>
          <w:sz w:val="18"/>
          <w:lang w:val="fr-FR"/>
        </w:rPr>
        <w:t>“Mesure (MG) : ‘Limbe : largeur’ chez le funkia (multiplication végétative) : mesure représentative de la parcelle”.</w:t>
      </w:r>
    </w:p>
    <w:p w:rsidR="00DB5A93" w:rsidRPr="00293B75" w:rsidRDefault="00DB5A93" w:rsidP="007005BA">
      <w:pPr>
        <w:rPr>
          <w:rFonts w:cs="Arial"/>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l’illustration pour inclusion à la section 4.3.4 devrait être modifiée afin de figurer comme suit :</w:t>
      </w:r>
    </w:p>
    <w:p w:rsidR="00DB5A93" w:rsidRPr="00293B75" w:rsidRDefault="00DB5A93" w:rsidP="007005BA">
      <w:pPr>
        <w:rPr>
          <w:sz w:val="14"/>
          <w:lang w:val="fr-FR"/>
        </w:rPr>
      </w:pPr>
    </w:p>
    <w:p w:rsidR="00601A66" w:rsidRPr="00293B75" w:rsidRDefault="00601A66" w:rsidP="007005BA">
      <w:pPr>
        <w:ind w:left="567"/>
        <w:rPr>
          <w:lang w:val="fr-FR"/>
        </w:rPr>
      </w:pPr>
      <w:r w:rsidRPr="00293B75">
        <w:rPr>
          <w:noProof/>
        </w:rPr>
        <w:drawing>
          <wp:inline distT="0" distB="0" distL="0" distR="0" wp14:anchorId="0116D8E2" wp14:editId="648AFD70">
            <wp:extent cx="1452880" cy="25019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2880" cy="2501900"/>
                    </a:xfrm>
                    <a:prstGeom prst="rect">
                      <a:avLst/>
                    </a:prstGeom>
                    <a:noFill/>
                    <a:ln>
                      <a:noFill/>
                    </a:ln>
                  </pic:spPr>
                </pic:pic>
              </a:graphicData>
            </a:graphic>
          </wp:inline>
        </w:drawing>
      </w: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TGP/14 : Glossaire des termes utilisés dans les documents de l’UPOV</w:t>
      </w:r>
      <w:r w:rsidRPr="00293B75">
        <w:rPr>
          <w:i w:val="0"/>
          <w:lang w:val="fr-FR"/>
        </w:rPr>
        <w:t> :</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w:t>
      </w:r>
      <w:r w:rsidRPr="00293B75">
        <w:rPr>
          <w:color w:val="auto"/>
        </w:rPr>
        <w:tab/>
        <w:t>Section 2.4 : “Caractères liés à la forme de l’apex ou de l’extrémité”</w:t>
      </w:r>
    </w:p>
    <w:p w:rsidR="00DB5A93" w:rsidRPr="00293B75" w:rsidRDefault="00DB5A93" w:rsidP="007005BA">
      <w:pPr>
        <w:rPr>
          <w:lang w:val="fr-FR"/>
        </w:rPr>
      </w:pPr>
    </w:p>
    <w:p w:rsidR="00DB5A93" w:rsidRPr="00293B75" w:rsidRDefault="00DB5A93" w:rsidP="007005BA">
      <w:pPr>
        <w:keepNext/>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la révision de la section 2.4 du document TGP/14 telle qu’elle figure dans le document TC/51/25 et convient que le texte devrait être libellé comme suit :</w:t>
      </w:r>
    </w:p>
    <w:p w:rsidR="00DB5A93" w:rsidRPr="00293B75" w:rsidRDefault="00DB5A93" w:rsidP="007005BA">
      <w:pPr>
        <w:rPr>
          <w:lang w:val="fr-FR"/>
        </w:rPr>
      </w:pPr>
    </w:p>
    <w:p w:rsidR="00DB5A93" w:rsidRPr="00293B75" w:rsidRDefault="00DB5A93" w:rsidP="007005BA">
      <w:pPr>
        <w:keepNext/>
        <w:ind w:left="567"/>
        <w:outlineLvl w:val="3"/>
        <w:rPr>
          <w:i/>
          <w:sz w:val="18"/>
          <w:lang w:val="fr-FR"/>
        </w:rPr>
      </w:pPr>
      <w:r w:rsidRPr="00293B75">
        <w:rPr>
          <w:i/>
          <w:sz w:val="18"/>
          <w:lang w:val="fr-FR"/>
        </w:rPr>
        <w:t>“2.4</w:t>
      </w:r>
      <w:r w:rsidRPr="00293B75">
        <w:rPr>
          <w:sz w:val="18"/>
          <w:lang w:val="fr-FR"/>
        </w:rPr>
        <w:tab/>
      </w:r>
      <w:r w:rsidRPr="00293B75">
        <w:rPr>
          <w:i/>
          <w:sz w:val="18"/>
          <w:lang w:val="fr-FR"/>
        </w:rPr>
        <w:t>Caractères liés à la forme de l’apex ou de l’extrémité</w:t>
      </w:r>
    </w:p>
    <w:p w:rsidR="00DB5A93" w:rsidRPr="00293B75" w:rsidRDefault="00DB5A93" w:rsidP="007005BA">
      <w:pPr>
        <w:keepNext/>
        <w:ind w:left="567" w:right="567"/>
        <w:rPr>
          <w:rFonts w:cs="Arial"/>
          <w:sz w:val="18"/>
          <w:lang w:val="fr-FR"/>
        </w:rPr>
      </w:pPr>
    </w:p>
    <w:p w:rsidR="00DB5A93" w:rsidRPr="00293B75" w:rsidRDefault="00DB5A93" w:rsidP="007005BA">
      <w:pPr>
        <w:keepNext/>
        <w:ind w:left="567" w:right="567"/>
        <w:rPr>
          <w:sz w:val="18"/>
          <w:lang w:val="fr-FR"/>
        </w:rPr>
      </w:pPr>
      <w:r w:rsidRPr="00293B75">
        <w:rPr>
          <w:sz w:val="18"/>
          <w:lang w:val="fr-FR"/>
        </w:rPr>
        <w:t>“2.4.1</w:t>
      </w:r>
      <w:r w:rsidRPr="00293B75">
        <w:rPr>
          <w:sz w:val="18"/>
          <w:lang w:val="fr-FR"/>
        </w:rPr>
        <w:tab/>
        <w:t>L’APEX (partie sommitale ou distale) d’un organe ou d’une partie de plante est l’extrémité la plus éloignée de son point d’attache.  Dans certains cas, l’extrémité distale de l’apex peut être différenciée en une ‘EXTRÉMITÉ’.</w:t>
      </w:r>
    </w:p>
    <w:p w:rsidR="00DB5A93" w:rsidRPr="00293B75" w:rsidRDefault="00DB5A93" w:rsidP="007005BA">
      <w:pPr>
        <w:keepNext/>
        <w:ind w:left="567" w:right="567"/>
        <w:rPr>
          <w:sz w:val="18"/>
          <w:lang w:val="fr-FR"/>
        </w:rPr>
      </w:pPr>
    </w:p>
    <w:p w:rsidR="00DB5A93" w:rsidRPr="00293B75" w:rsidRDefault="00DB5A93" w:rsidP="007005BA">
      <w:pPr>
        <w:ind w:left="567" w:right="567"/>
        <w:rPr>
          <w:sz w:val="18"/>
          <w:lang w:val="fr-FR"/>
        </w:rPr>
      </w:pPr>
      <w:r w:rsidRPr="00293B75">
        <w:rPr>
          <w:sz w:val="18"/>
          <w:shd w:val="clear" w:color="auto" w:fill="FFFFFF"/>
          <w:lang w:val="fr-FR"/>
        </w:rPr>
        <w:t>“2.4.2</w:t>
      </w:r>
      <w:r w:rsidRPr="00293B75">
        <w:rPr>
          <w:sz w:val="18"/>
          <w:shd w:val="clear" w:color="auto" w:fill="FFFFFF"/>
          <w:lang w:val="fr-FR"/>
        </w:rPr>
        <w:tab/>
        <w:t xml:space="preserve">Afin de décrire l’apex, la taille de l’organe et les différentes formes de l’apex doivent être prises en considération.  Les caractères liés à l’apex peuvent être décrits en utilisant des termes simples et lorsque l’extrémité est différenciée, il est possible de recourir à un caractère indépendant pour la décrire.  En règle générale, il n’est pas nécessaire de </w:t>
      </w:r>
      <w:r w:rsidRPr="00293B75">
        <w:rPr>
          <w:sz w:val="18"/>
          <w:lang w:val="fr-FR"/>
        </w:rPr>
        <w:t>différencier les caractères liés à l’extrémité de ceux liés à l’apex</w:t>
      </w:r>
      <w:r w:rsidRPr="00293B75">
        <w:rPr>
          <w:sz w:val="18"/>
          <w:shd w:val="clear" w:color="auto" w:fill="FFFFFF"/>
          <w:lang w:val="fr-FR"/>
        </w:rPr>
        <w:t>.</w:t>
      </w:r>
    </w:p>
    <w:p w:rsidR="00DB5A93" w:rsidRPr="00293B75" w:rsidRDefault="00DB5A93" w:rsidP="007005BA">
      <w:pPr>
        <w:ind w:left="567" w:right="567"/>
        <w:rPr>
          <w:sz w:val="18"/>
          <w:lang w:val="fr-FR"/>
        </w:rPr>
      </w:pPr>
    </w:p>
    <w:p w:rsidR="00DB5A93" w:rsidRPr="00293B75" w:rsidRDefault="00DB5A93" w:rsidP="007005BA">
      <w:pPr>
        <w:ind w:left="567" w:right="567"/>
        <w:rPr>
          <w:sz w:val="18"/>
          <w:lang w:val="fr-FR"/>
        </w:rPr>
      </w:pPr>
      <w:r w:rsidRPr="00293B75">
        <w:rPr>
          <w:sz w:val="18"/>
          <w:lang w:val="fr-FR"/>
        </w:rPr>
        <w:t>“2.4.3</w:t>
      </w:r>
      <w:r w:rsidRPr="00293B75">
        <w:rPr>
          <w:sz w:val="18"/>
          <w:lang w:val="fr-FR"/>
        </w:rPr>
        <w:tab/>
        <w:t>Dans les cas où il y a lieu de différencier les caractères liés à l’extrémité de ceux liés à l’apex, la forme de l’apex est alors considérée comme la forme générale, à l’exclusion d’une extrémité différenciée (si elle est présente) et la différenciation entre l’extrémité et l’apex doit être indiquée dans l’explication du caractère.  Par exemple :</w:t>
      </w:r>
    </w:p>
    <w:p w:rsidR="00DB5A93" w:rsidRPr="00293B75" w:rsidRDefault="00DB5A93" w:rsidP="007005BA">
      <w:pPr>
        <w:ind w:left="567" w:right="567"/>
        <w:rPr>
          <w:sz w:val="18"/>
          <w:lang w:val="fr-FR"/>
        </w:rPr>
      </w:pPr>
    </w:p>
    <w:p w:rsidR="00DB5A93" w:rsidRPr="00293B75" w:rsidRDefault="00DB5A93" w:rsidP="007005BA">
      <w:pPr>
        <w:ind w:left="567" w:right="567"/>
        <w:rPr>
          <w:sz w:val="18"/>
          <w:lang w:val="fr-FR"/>
        </w:rPr>
      </w:pPr>
      <w:r w:rsidRPr="00293B75">
        <w:rPr>
          <w:sz w:val="18"/>
          <w:lang w:val="fr-FR"/>
        </w:rPr>
        <w:t>[…]”</w:t>
      </w:r>
    </w:p>
    <w:p w:rsidR="00DB5A93" w:rsidRPr="00293B75" w:rsidRDefault="00DB5A93" w:rsidP="007005BA">
      <w:pPr>
        <w:ind w:left="567" w:right="567"/>
        <w:rPr>
          <w:sz w:val="18"/>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des modifications rédactionnelles doivent être apportées au projet de texte en allemand et rappelle que les experts linguistiques du Comité d’édition éditorial seraient appelés à vérifier les traductions française, allemande et espagnole avant leur finalisation aux fins d’adoption par le Conseil.</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La traduction en allemand devrait être libellée de la manière suivante :</w:t>
      </w:r>
    </w:p>
    <w:p w:rsidR="00DB5A93" w:rsidRPr="00293B75" w:rsidRDefault="00DB5A93" w:rsidP="007005BA">
      <w:pPr>
        <w:ind w:firstLine="567"/>
        <w:rPr>
          <w:lang w:val="fr-FR"/>
        </w:rPr>
      </w:pPr>
    </w:p>
    <w:p w:rsidR="00DB5A93" w:rsidRPr="00293B75" w:rsidRDefault="00DB5A93" w:rsidP="007005BA">
      <w:pPr>
        <w:ind w:left="567" w:right="567"/>
        <w:rPr>
          <w:i/>
          <w:sz w:val="18"/>
          <w:lang w:val="fr-FR"/>
        </w:rPr>
      </w:pPr>
      <w:r w:rsidRPr="00293B75">
        <w:rPr>
          <w:i/>
          <w:sz w:val="18"/>
          <w:lang w:val="fr-FR"/>
        </w:rPr>
        <w:t>„2.4</w:t>
      </w:r>
      <w:r w:rsidRPr="00293B75">
        <w:rPr>
          <w:i/>
          <w:sz w:val="18"/>
          <w:lang w:val="fr-FR"/>
        </w:rPr>
        <w:tab/>
      </w:r>
      <w:r w:rsidRPr="00293B75">
        <w:rPr>
          <w:i/>
          <w:sz w:val="18"/>
          <w:szCs w:val="18"/>
          <w:lang w:val="fr-FR"/>
        </w:rPr>
        <w:t>Merkmale für die Form des Apex/der Spitze</w:t>
      </w:r>
    </w:p>
    <w:p w:rsidR="00DB5A93" w:rsidRPr="00293B75" w:rsidRDefault="00DB5A93" w:rsidP="007005BA">
      <w:pPr>
        <w:keepNext/>
        <w:ind w:left="567" w:right="567"/>
        <w:rPr>
          <w:rFonts w:cs="Arial"/>
          <w:sz w:val="18"/>
          <w:lang w:val="fr-FR"/>
        </w:rPr>
      </w:pPr>
    </w:p>
    <w:p w:rsidR="00DB5A93" w:rsidRPr="00293B75" w:rsidRDefault="00DB5A93" w:rsidP="007005BA">
      <w:pPr>
        <w:keepNext/>
        <w:ind w:left="567" w:right="567"/>
        <w:rPr>
          <w:sz w:val="18"/>
          <w:szCs w:val="18"/>
          <w:lang w:val="fr-FR"/>
        </w:rPr>
      </w:pPr>
      <w:r w:rsidRPr="00293B75">
        <w:rPr>
          <w:sz w:val="18"/>
          <w:szCs w:val="18"/>
          <w:lang w:val="fr-FR"/>
        </w:rPr>
        <w:t>2.4.1</w:t>
      </w:r>
      <w:r w:rsidRPr="00293B75">
        <w:rPr>
          <w:sz w:val="18"/>
          <w:szCs w:val="18"/>
          <w:lang w:val="fr-FR"/>
        </w:rPr>
        <w:tab/>
        <w:t>Der APEX (apikaler oder distaler Teil) eines Organs oder eines Pflanzenteils ist das am weitesten von der Ansatzstelle entfernte Ende.  In einigen Fällen kann das distale Ende des Apex in eine ‚AUFGESETZTE SPITZE’ differenziert sein.</w:t>
      </w:r>
    </w:p>
    <w:p w:rsidR="00DB5A93" w:rsidRPr="00293B75" w:rsidRDefault="00DB5A93" w:rsidP="007005BA">
      <w:pPr>
        <w:keepNext/>
        <w:ind w:left="567" w:right="567"/>
        <w:rPr>
          <w:sz w:val="18"/>
          <w:szCs w:val="18"/>
          <w:lang w:val="fr-FR"/>
        </w:rPr>
      </w:pPr>
    </w:p>
    <w:p w:rsidR="00DB5A93" w:rsidRPr="00293B75" w:rsidRDefault="00DB5A93" w:rsidP="007005BA">
      <w:pPr>
        <w:keepNext/>
        <w:ind w:left="567" w:right="567"/>
        <w:rPr>
          <w:sz w:val="18"/>
          <w:szCs w:val="18"/>
          <w:lang w:val="fr-FR"/>
        </w:rPr>
      </w:pPr>
      <w:r w:rsidRPr="00293B75">
        <w:rPr>
          <w:sz w:val="18"/>
          <w:szCs w:val="18"/>
          <w:lang w:val="fr-FR"/>
        </w:rPr>
        <w:t>2.4.2</w:t>
      </w:r>
      <w:r w:rsidRPr="00293B75">
        <w:rPr>
          <w:sz w:val="18"/>
          <w:szCs w:val="18"/>
          <w:lang w:val="fr-FR"/>
        </w:rPr>
        <w:tab/>
        <w:t>Die Vorgehensweise zur Beschreibung des Apex sollte die Größe des Organs und die Anzahl der Formen für den Apex berücksichtigen.  Die Merkmale für den Apex lassen sich in einfachen Begriffen beschreiben.  Wenn eine differenzierte Spitze vorhanden ist, könnte diese als getrenntes Merkmal näher beschrieben werden.  In der Regel ist es jedoch nicht notwendig, die Merkmale für die Apex</w:t>
      </w:r>
      <w:r w:rsidRPr="00293B75">
        <w:rPr>
          <w:sz w:val="18"/>
          <w:szCs w:val="18"/>
          <w:lang w:val="fr-FR"/>
        </w:rPr>
        <w:noBreakHyphen/>
        <w:t>Form in aufgesetzte Spitze und Apex aufzuteilen.</w:t>
      </w:r>
    </w:p>
    <w:p w:rsidR="00DB5A93" w:rsidRPr="00293B75" w:rsidRDefault="00DB5A93" w:rsidP="007005BA">
      <w:pPr>
        <w:keepNext/>
        <w:ind w:left="567" w:right="567"/>
        <w:rPr>
          <w:sz w:val="18"/>
          <w:szCs w:val="18"/>
          <w:lang w:val="fr-FR"/>
        </w:rPr>
      </w:pPr>
    </w:p>
    <w:p w:rsidR="00DB5A93" w:rsidRPr="00293B75" w:rsidRDefault="00DB5A93" w:rsidP="007005BA">
      <w:pPr>
        <w:keepNext/>
        <w:ind w:left="567" w:right="567"/>
        <w:rPr>
          <w:sz w:val="18"/>
          <w:lang w:val="fr-FR"/>
        </w:rPr>
      </w:pPr>
      <w:r w:rsidRPr="00293B75">
        <w:rPr>
          <w:sz w:val="18"/>
          <w:szCs w:val="18"/>
          <w:lang w:val="fr-FR"/>
        </w:rPr>
        <w:t>2.4.3</w:t>
      </w:r>
      <w:r w:rsidRPr="00293B75">
        <w:rPr>
          <w:sz w:val="18"/>
          <w:szCs w:val="18"/>
          <w:lang w:val="fr-FR"/>
        </w:rPr>
        <w:tab/>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w:t>
      </w:r>
      <w:r w:rsidRPr="00293B75">
        <w:rPr>
          <w:sz w:val="18"/>
          <w:lang w:val="fr-FR"/>
        </w:rPr>
        <w:t xml:space="preserve"> beispielsweise :</w:t>
      </w:r>
    </w:p>
    <w:p w:rsidR="00DB5A93" w:rsidRPr="00293B75" w:rsidRDefault="00DB5A93" w:rsidP="007005BA">
      <w:pPr>
        <w:ind w:left="567" w:right="567"/>
        <w:rPr>
          <w:sz w:val="18"/>
          <w:lang w:val="fr-FR"/>
        </w:rPr>
      </w:pPr>
    </w:p>
    <w:p w:rsidR="00DB5A93" w:rsidRPr="00293B75" w:rsidRDefault="00DB5A93" w:rsidP="007005BA">
      <w:pPr>
        <w:ind w:left="567" w:right="567"/>
        <w:rPr>
          <w:sz w:val="18"/>
          <w:lang w:val="fr-FR"/>
        </w:rPr>
      </w:pPr>
      <w:r w:rsidRPr="00293B75">
        <w:rPr>
          <w:sz w:val="18"/>
          <w:lang w:val="fr-FR"/>
        </w:rPr>
        <w:t>[…]”</w:t>
      </w:r>
    </w:p>
    <w:p w:rsidR="00DB5A93" w:rsidRPr="00293B75" w:rsidRDefault="00DB5A93" w:rsidP="007005BA">
      <w:pPr>
        <w:ind w:left="567" w:right="567"/>
        <w:rPr>
          <w:sz w:val="18"/>
          <w:lang w:val="fr-FR"/>
        </w:rPr>
      </w:pPr>
    </w:p>
    <w:p w:rsidR="00DB5A93" w:rsidRPr="00293B75" w:rsidRDefault="00DB5A93" w:rsidP="007005BA">
      <w:pPr>
        <w:pStyle w:val="Heading5"/>
        <w:rPr>
          <w:color w:val="auto"/>
        </w:rPr>
      </w:pPr>
      <w:r w:rsidRPr="00293B75">
        <w:rPr>
          <w:color w:val="auto"/>
        </w:rPr>
        <w:t>ii)</w:t>
      </w:r>
      <w:r w:rsidRPr="00293B75">
        <w:rPr>
          <w:color w:val="auto"/>
        </w:rPr>
        <w:tab/>
        <w:t>Sous</w:t>
      </w:r>
      <w:r w:rsidRPr="00293B75">
        <w:rPr>
          <w:color w:val="auto"/>
        </w:rPr>
        <w:noBreakHyphen/>
        <w:t>section 3 : “Couleur”</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la correction apportée à la version française du terme anglais désignant le groupe de couleur “dark purple red” devient “rouge</w:t>
      </w:r>
      <w:r w:rsidRPr="00293B75">
        <w:rPr>
          <w:lang w:val="fr-FR"/>
        </w:rPr>
        <w:noBreakHyphen/>
        <w:t>pourpre foncé” dans la sous</w:t>
      </w:r>
      <w:r w:rsidRPr="00293B75">
        <w:rPr>
          <w:lang w:val="fr-FR"/>
        </w:rPr>
        <w:noBreakHyphen/>
        <w:t>section 3 : “Couleur” du document TGP/14.</w:t>
      </w:r>
    </w:p>
    <w:p w:rsidR="00DB5A93" w:rsidRDefault="00DB5A93" w:rsidP="007005BA">
      <w:pPr>
        <w:rPr>
          <w:lang w:val="fr-FR"/>
        </w:rPr>
      </w:pPr>
    </w:p>
    <w:p w:rsidR="00DB5A93" w:rsidRPr="00293B75" w:rsidRDefault="00DB5A93" w:rsidP="007005BA">
      <w:pPr>
        <w:pStyle w:val="Heading3"/>
        <w:rPr>
          <w:snapToGrid w:val="0"/>
          <w:color w:val="auto"/>
        </w:rPr>
      </w:pPr>
      <w:r w:rsidRPr="00293B75">
        <w:rPr>
          <w:snapToGrid w:val="0"/>
          <w:color w:val="auto"/>
        </w:rPr>
        <w:t>Future révision des documents TGP</w:t>
      </w:r>
    </w:p>
    <w:p w:rsidR="00DB5A93" w:rsidRPr="00293B75" w:rsidRDefault="00DB5A93" w:rsidP="007005BA">
      <w:pPr>
        <w:keepNext/>
        <w:rPr>
          <w:lang w:val="fr-FR"/>
        </w:rPr>
      </w:pPr>
    </w:p>
    <w:p w:rsidR="00DB5A93" w:rsidRPr="00293B75" w:rsidRDefault="00DB5A93" w:rsidP="007005BA">
      <w:pPr>
        <w:pStyle w:val="Heading4"/>
        <w:ind w:left="0" w:firstLine="567"/>
        <w:rPr>
          <w:lang w:val="fr-FR"/>
        </w:rPr>
      </w:pPr>
      <w:r w:rsidRPr="00293B75">
        <w:rPr>
          <w:lang w:val="fr-FR"/>
        </w:rPr>
        <w:t>TGP/7 :</w:t>
      </w:r>
      <w:r w:rsidRPr="00293B75">
        <w:rPr>
          <w:i w:val="0"/>
          <w:lang w:val="fr-FR"/>
        </w:rPr>
        <w:t xml:space="preserve"> </w:t>
      </w:r>
      <w:r w:rsidRPr="00293B75">
        <w:rPr>
          <w:lang w:val="fr-FR"/>
        </w:rPr>
        <w:t>Élaboration des principes directeurs d’examen</w:t>
      </w:r>
    </w:p>
    <w:p w:rsidR="00DB5A93" w:rsidRPr="00293B75" w:rsidRDefault="00DB5A93" w:rsidP="007005BA">
      <w:pPr>
        <w:keepNext/>
        <w:rPr>
          <w:lang w:val="fr-FR"/>
        </w:rPr>
      </w:pPr>
    </w:p>
    <w:p w:rsidR="00DB5A93" w:rsidRPr="00293B75" w:rsidRDefault="00DB5A93" w:rsidP="007005BA">
      <w:pPr>
        <w:pStyle w:val="Heading5"/>
        <w:rPr>
          <w:color w:val="auto"/>
        </w:rPr>
      </w:pPr>
      <w:r w:rsidRPr="00293B75">
        <w:rPr>
          <w:color w:val="auto"/>
        </w:rPr>
        <w:t>i)</w:t>
      </w:r>
      <w:r w:rsidRPr="00293B75">
        <w:rPr>
          <w:color w:val="auto"/>
        </w:rPr>
        <w:tab/>
        <w:t>Révision du document TGP/7 : Matériel pour les rédacteurs de principes directeurs d’examen</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qu’un projet détaillé de révision du document TGP/7 devrait être présenté aux TWP à leurs sessions en 2015 afin de tenir compte de l’introduction du modèle des principes directeurs d’examen fondé sur le Web.</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ii)</w:t>
      </w:r>
      <w:r w:rsidRPr="00293B75">
        <w:rPr>
          <w:color w:val="auto"/>
        </w:rPr>
        <w:tab/>
        <w:t>Révision du document TGP/7 : Matériel végétal soumis pour examen</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renseignements fournis dans le document TC/51/14 Rev.</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qu’il ne serait pas nécessaire d’élaborer d’autres conseils afin de résoudre les problèmes concernant le matériel végétal soumis pour examen en supplément de ceux figurant déjà dans les documents TG/1/3 “Introduction générale à l’examen de la distinction, de l’homogénéité et de la stabilité et à l’harmonisation des descriptions variétales des obtentions végétales</w:t>
      </w:r>
      <w:r w:rsidR="00701704">
        <w:rPr>
          <w:lang w:val="fr-FR"/>
        </w:rPr>
        <w:t>”</w:t>
      </w:r>
      <w:r w:rsidRPr="00293B75">
        <w:rPr>
          <w:lang w:val="fr-FR"/>
        </w:rPr>
        <w:t>, TGP/7 “Élaboration des principes directeurs d’examen</w:t>
      </w:r>
      <w:r w:rsidR="00701704">
        <w:rPr>
          <w:lang w:val="fr-FR"/>
        </w:rPr>
        <w:t>”</w:t>
      </w:r>
      <w:r w:rsidRPr="00293B75">
        <w:rPr>
          <w:lang w:val="fr-FR"/>
        </w:rPr>
        <w:t xml:space="preserve"> et TGP/9 “Examen de la distinction”.</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les services concernés devraient fournir des conseils sur les conditions applicables au matériel soumis aux fins d’examen DHS pour éviter tout effet éventuel du type de reproduction ou de multiplication (par exemple, la micropropagation) sur l’expression des caractères DHS.</w:t>
      </w:r>
    </w:p>
    <w:p w:rsidR="00DB5A93" w:rsidRPr="00293B75" w:rsidRDefault="00DB5A93" w:rsidP="007005BA">
      <w:pPr>
        <w:rPr>
          <w:lang w:val="fr-FR"/>
        </w:rPr>
      </w:pPr>
    </w:p>
    <w:p w:rsidR="00DB5A93" w:rsidRPr="00293B75" w:rsidRDefault="00DB5A93" w:rsidP="007005BA">
      <w:pPr>
        <w:pStyle w:val="Heading5"/>
        <w:rPr>
          <w:color w:val="auto"/>
        </w:rPr>
      </w:pPr>
      <w:bookmarkStart w:id="8" w:name="_Toc412193724"/>
      <w:r w:rsidRPr="00293B75">
        <w:rPr>
          <w:color w:val="auto"/>
        </w:rPr>
        <w:t>iii)</w:t>
      </w:r>
      <w:r w:rsidRPr="00293B75">
        <w:rPr>
          <w:color w:val="auto"/>
        </w:rPr>
        <w:tab/>
        <w:t xml:space="preserve">Révision du document TGP/7 : </w:t>
      </w:r>
      <w:bookmarkEnd w:id="8"/>
      <w:r w:rsidRPr="00293B75">
        <w:rPr>
          <w:color w:val="auto"/>
        </w:rPr>
        <w:t>Portée des principes directeurs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TC/51/15.</w:t>
      </w:r>
    </w:p>
    <w:p w:rsidR="00DB5A93" w:rsidRPr="00293B75" w:rsidRDefault="00DB5A93" w:rsidP="007005BA">
      <w:pPr>
        <w:rPr>
          <w:lang w:val="fr-FR"/>
        </w:rPr>
      </w:pPr>
    </w:p>
    <w:p w:rsidR="00DB5A93" w:rsidRPr="00293B75" w:rsidRDefault="00DB5A93" w:rsidP="007005BA">
      <w:pPr>
        <w:rPr>
          <w:rFonts w:cs="Arial"/>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de la proposition de modifier le document TGP/7 par l’ajout d’un nouveau texte standard dans le modèle de principes directeurs d’examen, au chapitre 4.2 “Homogénéité” et de modifier ASW 8 c) afin de fournir des conseils pour les principes directeurs d’examen qui sont élaborés sur la base de variétés ayant un type de reproduction ou de multiplication lorsque des variétés peuvent être mises au point dans l’avenir avec d’autres types de reproduction ou de multiplication, comme suit </w:t>
      </w:r>
      <w:r w:rsidRPr="00293B75">
        <w:rPr>
          <w:rFonts w:cs="Arial"/>
          <w:lang w:val="fr-FR"/>
        </w:rPr>
        <w:t>:</w:t>
      </w:r>
    </w:p>
    <w:p w:rsidR="00DB5A93" w:rsidRPr="00293B75" w:rsidRDefault="00DB5A93" w:rsidP="007005BA">
      <w:pPr>
        <w:rPr>
          <w:lang w:val="fr-FR"/>
        </w:rPr>
      </w:pPr>
    </w:p>
    <w:p w:rsidR="00DB5A93" w:rsidRPr="00293B75" w:rsidRDefault="00DB5A93" w:rsidP="007005BA">
      <w:pPr>
        <w:ind w:left="567"/>
        <w:rPr>
          <w:sz w:val="18"/>
          <w:szCs w:val="18"/>
          <w:lang w:val="fr-FR"/>
        </w:rPr>
      </w:pPr>
      <w:bookmarkStart w:id="9" w:name="_Toc410382487"/>
      <w:r w:rsidRPr="00293B75">
        <w:rPr>
          <w:sz w:val="18"/>
          <w:szCs w:val="18"/>
          <w:lang w:val="fr-FR"/>
        </w:rPr>
        <w:t>“Nouveau texte standard : modèle de principes directeurs d’examen, chapitre 4.2 :</w:t>
      </w:r>
      <w:bookmarkEnd w:id="9"/>
    </w:p>
    <w:p w:rsidR="00DB5A93" w:rsidRPr="00293B75" w:rsidRDefault="00DB5A93" w:rsidP="007005BA">
      <w:pPr>
        <w:rPr>
          <w:lang w:val="fr-FR"/>
        </w:rPr>
      </w:pPr>
    </w:p>
    <w:p w:rsidR="00DB5A93" w:rsidRPr="00293B75" w:rsidRDefault="00DB5A93" w:rsidP="007005BA">
      <w:pPr>
        <w:autoSpaceDE w:val="0"/>
        <w:autoSpaceDN w:val="0"/>
        <w:adjustRightInd w:val="0"/>
        <w:ind w:left="1134" w:right="567"/>
        <w:rPr>
          <w:sz w:val="16"/>
          <w:lang w:val="fr-FR"/>
        </w:rPr>
      </w:pPr>
      <w:r w:rsidRPr="00293B75">
        <w:rPr>
          <w:sz w:val="16"/>
          <w:lang w:val="fr-FR"/>
        </w:rPr>
        <w:t>“Les présents principes directeurs d’examen ont été établis pour l’examen des variétés [</w:t>
      </w:r>
      <w:r w:rsidRPr="004B1E14">
        <w:rPr>
          <w:i/>
          <w:sz w:val="16"/>
          <w:lang w:val="fr-FR"/>
        </w:rPr>
        <w:t>type ou types de reproduction ou de multiplication</w:t>
      </w:r>
      <w:r w:rsidRPr="00293B75">
        <w:rPr>
          <w:sz w:val="16"/>
          <w:lang w:val="fr-FR"/>
        </w:rPr>
        <w:t>].  En ce qui concerne les variétés ayant d’autres types de reproduction ou de multiplication, il convient de suivre les recommandations qui figurent dans l’</w:t>
      </w:r>
      <w:r w:rsidR="004B1E14">
        <w:rPr>
          <w:sz w:val="16"/>
          <w:lang w:val="fr-FR"/>
        </w:rPr>
        <w:t>I</w:t>
      </w:r>
      <w:r w:rsidRPr="00293B75">
        <w:rPr>
          <w:sz w:val="16"/>
          <w:lang w:val="fr-FR"/>
        </w:rPr>
        <w:t>ntroduction générale et le document TGP/13 ‘Conseils pour les nouveaux types et espèces’, section 4.5 ‘Examen de l’homogénéité.’”</w:t>
      </w:r>
    </w:p>
    <w:p w:rsidR="00DB5A93" w:rsidRPr="00293B75" w:rsidRDefault="00DB5A93" w:rsidP="007005BA">
      <w:pPr>
        <w:rPr>
          <w:lang w:val="fr-FR"/>
        </w:rPr>
      </w:pPr>
    </w:p>
    <w:p w:rsidR="00DB5A93" w:rsidRPr="00293B75" w:rsidRDefault="00DB5A93" w:rsidP="007005BA">
      <w:pPr>
        <w:ind w:left="567"/>
        <w:rPr>
          <w:sz w:val="18"/>
          <w:szCs w:val="18"/>
          <w:lang w:val="fr-FR"/>
        </w:rPr>
      </w:pPr>
      <w:bookmarkStart w:id="10" w:name="_Toc410382488"/>
      <w:r w:rsidRPr="00293B75">
        <w:rPr>
          <w:sz w:val="18"/>
          <w:szCs w:val="18"/>
          <w:lang w:val="fr-FR"/>
        </w:rPr>
        <w:t>“ASW 8 c)</w:t>
      </w:r>
      <w:bookmarkEnd w:id="10"/>
    </w:p>
    <w:p w:rsidR="00DB5A93" w:rsidRPr="00293B75" w:rsidRDefault="00DB5A93" w:rsidP="007005BA">
      <w:pPr>
        <w:rPr>
          <w:lang w:val="fr-FR"/>
        </w:rPr>
      </w:pPr>
    </w:p>
    <w:p w:rsidR="00DB5A93" w:rsidRPr="00293B75" w:rsidRDefault="00DB5A93" w:rsidP="009B5689">
      <w:pPr>
        <w:autoSpaceDE w:val="0"/>
        <w:autoSpaceDN w:val="0"/>
        <w:adjustRightInd w:val="0"/>
        <w:ind w:left="1701" w:right="567" w:hanging="567"/>
        <w:rPr>
          <w:i/>
          <w:iCs/>
          <w:sz w:val="16"/>
          <w:lang w:val="fr-FR"/>
        </w:rPr>
      </w:pPr>
      <w:r w:rsidRPr="00293B75">
        <w:rPr>
          <w:i/>
          <w:iCs/>
          <w:sz w:val="16"/>
          <w:lang w:val="fr-FR"/>
        </w:rPr>
        <w:t>“c)</w:t>
      </w:r>
      <w:r w:rsidRPr="00293B75">
        <w:rPr>
          <w:iCs/>
          <w:sz w:val="16"/>
          <w:lang w:val="fr-FR"/>
        </w:rPr>
        <w:tab/>
      </w:r>
      <w:r w:rsidRPr="00293B75">
        <w:rPr>
          <w:i/>
          <w:iCs/>
          <w:sz w:val="16"/>
          <w:lang w:val="fr-FR"/>
        </w:rPr>
        <w:t>Détermination de l’homogénéité au moyen des plantes hors</w:t>
      </w:r>
      <w:r w:rsidRPr="00293B75">
        <w:rPr>
          <w:i/>
          <w:iCs/>
          <w:sz w:val="16"/>
          <w:lang w:val="fr-FR"/>
        </w:rPr>
        <w:noBreakHyphen/>
        <w:t>type (observation de tous les caractères sur un même échantillon)</w:t>
      </w:r>
    </w:p>
    <w:p w:rsidR="00DB5A93" w:rsidRPr="00293B75" w:rsidRDefault="00DB5A93" w:rsidP="007005BA">
      <w:pPr>
        <w:autoSpaceDE w:val="0"/>
        <w:autoSpaceDN w:val="0"/>
        <w:adjustRightInd w:val="0"/>
        <w:ind w:left="1134" w:right="567"/>
        <w:rPr>
          <w:i/>
          <w:iCs/>
          <w:sz w:val="16"/>
          <w:lang w:val="fr-FR"/>
        </w:rPr>
      </w:pPr>
    </w:p>
    <w:p w:rsidR="00DB5A93" w:rsidRPr="00293B75" w:rsidRDefault="00DB5A93" w:rsidP="007005BA">
      <w:pPr>
        <w:autoSpaceDE w:val="0"/>
        <w:autoSpaceDN w:val="0"/>
        <w:adjustRightInd w:val="0"/>
        <w:ind w:left="1134" w:right="567"/>
        <w:rPr>
          <w:sz w:val="16"/>
          <w:lang w:val="fr-FR"/>
        </w:rPr>
      </w:pPr>
      <w:r w:rsidRPr="00293B75">
        <w:rPr>
          <w:sz w:val="16"/>
          <w:lang w:val="fr-FR"/>
        </w:rPr>
        <w:t xml:space="preserve">“Pour l’évaluation de l’homogénéité de variétés [autogames] [multipliées par voie végétative] [reproduites par voie sexuée], il faut appliquer une norme de population de </w:t>
      </w:r>
      <w:proofErr w:type="gramStart"/>
      <w:r w:rsidRPr="00293B75">
        <w:rPr>
          <w:sz w:val="16"/>
          <w:lang w:val="fr-FR"/>
        </w:rPr>
        <w:t>{ x</w:t>
      </w:r>
      <w:proofErr w:type="gramEnd"/>
      <w:r w:rsidRPr="00293B75">
        <w:rPr>
          <w:sz w:val="16"/>
          <w:lang w:val="fr-FR"/>
        </w:rPr>
        <w:t xml:space="preserve"> }% et une probabilité d’acceptation d’au moins { y }%.  Dans le cas d’un échantillon de </w:t>
      </w:r>
      <w:proofErr w:type="gramStart"/>
      <w:r w:rsidRPr="00293B75">
        <w:rPr>
          <w:sz w:val="16"/>
          <w:lang w:val="fr-FR"/>
        </w:rPr>
        <w:t>{ a</w:t>
      </w:r>
      <w:proofErr w:type="gramEnd"/>
      <w:r w:rsidRPr="00293B75">
        <w:rPr>
          <w:sz w:val="16"/>
          <w:lang w:val="fr-FR"/>
        </w:rPr>
        <w:t> } plantes, [{ b } plantes hors types sont] / [une plante hors type est] toléré(es).”</w:t>
      </w:r>
    </w:p>
    <w:p w:rsidR="00DB5A93" w:rsidRPr="00293B75" w:rsidRDefault="00DB5A93" w:rsidP="007005BA">
      <w:pPr>
        <w:pStyle w:val="Heading4"/>
        <w:rPr>
          <w:lang w:val="fr-FR"/>
        </w:rPr>
      </w:pPr>
      <w:r w:rsidRPr="00293B75">
        <w:rPr>
          <w:lang w:val="fr-FR"/>
        </w:rPr>
        <w:t>TGP/8 :</w:t>
      </w:r>
      <w:r w:rsidRPr="00293B75">
        <w:rPr>
          <w:i w:val="0"/>
          <w:lang w:val="fr-FR"/>
        </w:rPr>
        <w:t xml:space="preserve"> </w:t>
      </w:r>
      <w:r w:rsidRPr="00293B75">
        <w:rPr>
          <w:lang w:val="fr-FR"/>
        </w:rPr>
        <w:t>Protocole d’essai et techniques utilisées dans l’examen de la distinction, de l’homogénéité et de la stabilité</w:t>
      </w:r>
    </w:p>
    <w:p w:rsidR="00DB5A93" w:rsidRPr="00293B75" w:rsidRDefault="00DB5A93" w:rsidP="007005BA">
      <w:pPr>
        <w:pStyle w:val="Heading2"/>
        <w:rPr>
          <w:lang w:val="fr-FR"/>
        </w:rPr>
      </w:pPr>
    </w:p>
    <w:p w:rsidR="00DB5A93" w:rsidRPr="00293B75" w:rsidRDefault="00DB5A93" w:rsidP="007005BA">
      <w:pPr>
        <w:pStyle w:val="Heading5"/>
        <w:rPr>
          <w:color w:val="auto"/>
        </w:rPr>
      </w:pPr>
      <w:bookmarkStart w:id="11" w:name="_Toc374385130"/>
      <w:bookmarkStart w:id="12" w:name="_Toc374631068"/>
      <w:bookmarkStart w:id="13" w:name="_Toc374632540"/>
      <w:bookmarkStart w:id="14" w:name="_Toc374635740"/>
      <w:bookmarkStart w:id="15" w:name="_Toc378251530"/>
      <w:bookmarkStart w:id="16" w:name="_Toc381279991"/>
      <w:r w:rsidRPr="00293B75">
        <w:rPr>
          <w:color w:val="auto"/>
          <w:u w:val="none"/>
        </w:rPr>
        <w:t>i)</w:t>
      </w:r>
      <w:r w:rsidRPr="00293B75">
        <w:rPr>
          <w:color w:val="auto"/>
          <w:u w:val="none"/>
        </w:rPr>
        <w:tab/>
      </w:r>
      <w:r w:rsidRPr="00293B75">
        <w:rPr>
          <w:color w:val="auto"/>
        </w:rPr>
        <w:t>Révision du document TGP/8 : Première partie : Protocole d’essai DHS et analyse des données, Nouvelle section : Réduction optimale de la variation due à différents observateurs</w:t>
      </w:r>
    </w:p>
    <w:p w:rsidR="00DB5A93" w:rsidRPr="00293B75" w:rsidRDefault="00DB5A93" w:rsidP="007005BA">
      <w:pPr>
        <w:keepNext/>
        <w:ind w:left="1418" w:hanging="851"/>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TC/51/16 et le projet de conseils à incorporer dans le document TGP/8 concernant la réduction optimale de la variation due à différents observateurs dans un même essai, figurant à l’annexe du document TC/51/16, ainsi que les observations formulées les groupes de travail techniques à leurs sessions en 2014.</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TC convient de demander à un </w:t>
      </w:r>
      <w:r w:rsidR="00870579">
        <w:rPr>
          <w:lang w:val="fr-FR"/>
        </w:rPr>
        <w:t xml:space="preserve">expert </w:t>
      </w:r>
      <w:r w:rsidRPr="00293B75">
        <w:rPr>
          <w:lang w:val="fr-FR"/>
        </w:rPr>
        <w:t>de l’Australie de poursuivre l’élaboration du document devant être présenté aux groupes de travail techniques à leurs sessions en 2015, et de modifier le titre qui doit être remplacé par celui figurant en annexe du document TC/51/16 “Optimisation de la variation due à différents observateurs dans un même essai”.</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ii)</w:t>
      </w:r>
      <w:r w:rsidRPr="00293B75">
        <w:rPr>
          <w:color w:val="auto"/>
        </w:rPr>
        <w:tab/>
        <w:t>Révision du document TGP/8 : deuxième partie : quelques techniques utilisées dans l’examen DHS, section 9 : analyse globale de l’homogénéité sur plusieurs années (méthode d’analyse COYU)</w:t>
      </w:r>
    </w:p>
    <w:p w:rsidR="00DB5A93" w:rsidRPr="00293B75" w:rsidRDefault="00DB5A93" w:rsidP="007005BA">
      <w:pPr>
        <w:keepNext/>
        <w:rPr>
          <w:lang w:val="fr-FR"/>
        </w:rPr>
      </w:pPr>
    </w:p>
    <w:p w:rsidR="00DB5A93" w:rsidRPr="00293B75" w:rsidRDefault="00DB5A93" w:rsidP="007005BA">
      <w:pPr>
        <w:keepNext/>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TC/51/17 sur l’évolution des travaux concernant la méthode de calcul de la COYU, ainsi qu’un exercice pratique effectué à l’aide de données réelles afin de comparer les décisions prises au moyen de la méthode actuelle et celles prises au moyen de la méthode améliorée proposée.</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les participants à l’exercice visant à évaluer le logiciel de la nouvelle méthode de calcul de la COYU devraient :</w:t>
      </w:r>
    </w:p>
    <w:p w:rsidR="00DB5A93" w:rsidRPr="00293B75" w:rsidRDefault="00DB5A93" w:rsidP="007005BA">
      <w:pPr>
        <w:rPr>
          <w:lang w:val="fr-FR"/>
        </w:rPr>
      </w:pPr>
    </w:p>
    <w:p w:rsidR="00DB5A93" w:rsidRPr="00293B75" w:rsidRDefault="00DB5A93" w:rsidP="002B08C7">
      <w:pPr>
        <w:ind w:left="1134" w:hanging="567"/>
        <w:rPr>
          <w:lang w:val="fr-FR"/>
        </w:rPr>
      </w:pPr>
      <w:r w:rsidRPr="00293B75">
        <w:rPr>
          <w:lang w:val="fr-FR"/>
        </w:rPr>
        <w:t>i)</w:t>
      </w:r>
      <w:r w:rsidRPr="00293B75">
        <w:rPr>
          <w:lang w:val="fr-FR"/>
        </w:rPr>
        <w:tab/>
        <w:t>chercher à définir les seuils de probabilité d’une correspondance avec les décisions prises au moyen de l’ancienne méthode de calcul de la COYU;</w:t>
      </w:r>
    </w:p>
    <w:p w:rsidR="00DB5A93" w:rsidRPr="00293B75" w:rsidRDefault="00DB5A93" w:rsidP="007005BA">
      <w:pPr>
        <w:ind w:left="567"/>
        <w:rPr>
          <w:lang w:val="fr-FR"/>
        </w:rPr>
      </w:pPr>
      <w:r w:rsidRPr="00293B75">
        <w:rPr>
          <w:lang w:val="fr-FR"/>
        </w:rPr>
        <w:t>ii)</w:t>
      </w:r>
      <w:r w:rsidRPr="00293B75">
        <w:rPr>
          <w:lang w:val="fr-FR"/>
        </w:rPr>
        <w:tab/>
        <w:t>effectuer le test sur la base de probabilités de rejet de 1, 2 et 5%;  et</w:t>
      </w:r>
    </w:p>
    <w:p w:rsidR="00DB5A93" w:rsidRPr="00293B75" w:rsidRDefault="00DB5A93" w:rsidP="007005BA">
      <w:pPr>
        <w:ind w:left="567"/>
        <w:rPr>
          <w:lang w:val="fr-FR"/>
        </w:rPr>
      </w:pPr>
      <w:r w:rsidRPr="00293B75">
        <w:rPr>
          <w:lang w:val="fr-FR"/>
        </w:rPr>
        <w:t>iii)</w:t>
      </w:r>
      <w:r w:rsidRPr="00293B75">
        <w:rPr>
          <w:lang w:val="fr-FR"/>
        </w:rPr>
        <w:tab/>
        <w:t>évaluer l’uniformité des résultats pour toutes les plantes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l’expert du Royaume</w:t>
      </w:r>
      <w:r w:rsidRPr="00293B75">
        <w:rPr>
          <w:lang w:val="fr-FR"/>
        </w:rPr>
        <w:noBreakHyphen/>
        <w:t>Uni a distribué le module de logiciel pour le calcul de la COYU, ainsi que le document d’orientation, aux participants à l’exercice</w:t>
      </w:r>
      <w:r w:rsidRPr="00293B75">
        <w:rPr>
          <w:iCs/>
          <w:spacing w:val="-4"/>
          <w:lang w:val="fr-FR" w:eastAsia="ja-JP"/>
        </w:rPr>
        <w:t>.</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les experts de l’Allemagne, de la Finlande, de la France, du Kenya, de la Pologne, la République tchèque et du Royaume</w:t>
      </w:r>
      <w:r w:rsidRPr="00293B75">
        <w:rPr>
          <w:lang w:val="fr-FR"/>
        </w:rPr>
        <w:noBreakHyphen/>
        <w:t>Uni participeraient à l’exercice visant à tester le nouveau logiciel sur la COYU</w:t>
      </w:r>
      <w:r w:rsidRPr="00293B75">
        <w:rPr>
          <w:iCs/>
          <w:spacing w:val="-4"/>
          <w:lang w:val="fr-FR" w:eastAsia="ja-JP"/>
        </w:rPr>
        <w:t>.</w:t>
      </w:r>
    </w:p>
    <w:p w:rsidR="00DB5A93" w:rsidRPr="00293B75" w:rsidRDefault="00DB5A93" w:rsidP="007005BA">
      <w:pPr>
        <w:rPr>
          <w:lang w:val="fr-FR"/>
        </w:rPr>
      </w:pPr>
    </w:p>
    <w:p w:rsidR="00DB5A93" w:rsidRPr="00293B75" w:rsidRDefault="00DB5A93" w:rsidP="007005BA">
      <w:pPr>
        <w:rPr>
          <w:iCs/>
          <w:spacing w:val="-4"/>
          <w:lang w:val="fr-FR" w:eastAsia="ja-JP"/>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qu’un compte rendu de l’exercice pratique et de l’élaboration du module DUST sera présenté à la trente</w:t>
      </w:r>
      <w:r w:rsidRPr="00293B75">
        <w:rPr>
          <w:lang w:val="fr-FR"/>
        </w:rPr>
        <w:noBreakHyphen/>
        <w:t>troisième session du TWC</w:t>
      </w:r>
      <w:r w:rsidRPr="00293B75">
        <w:rPr>
          <w:iCs/>
          <w:spacing w:val="-4"/>
          <w:lang w:val="fr-FR" w:eastAsia="ja-JP"/>
        </w:rPr>
        <w:t>.</w:t>
      </w:r>
      <w:bookmarkEnd w:id="11"/>
      <w:bookmarkEnd w:id="12"/>
      <w:bookmarkEnd w:id="13"/>
      <w:bookmarkEnd w:id="14"/>
      <w:bookmarkEnd w:id="15"/>
      <w:bookmarkEnd w:id="16"/>
    </w:p>
    <w:p w:rsidR="00601A66" w:rsidRPr="00293B75" w:rsidRDefault="00601A66" w:rsidP="007005BA">
      <w:pPr>
        <w:rPr>
          <w:lang w:val="fr-FR"/>
        </w:rPr>
      </w:pPr>
    </w:p>
    <w:p w:rsidR="00DB5A93" w:rsidRPr="00293B75" w:rsidRDefault="00DB5A93" w:rsidP="007005BA">
      <w:pPr>
        <w:pStyle w:val="Heading5"/>
        <w:rPr>
          <w:color w:val="auto"/>
        </w:rPr>
      </w:pPr>
      <w:bookmarkStart w:id="17" w:name="_Toc374385128"/>
      <w:bookmarkStart w:id="18" w:name="_Toc374631066"/>
      <w:bookmarkStart w:id="19" w:name="_Toc374632538"/>
      <w:bookmarkStart w:id="20" w:name="_Toc374635738"/>
      <w:bookmarkStart w:id="21" w:name="_Toc378251528"/>
      <w:bookmarkStart w:id="22" w:name="_Toc381279989"/>
      <w:r w:rsidRPr="00293B75">
        <w:rPr>
          <w:color w:val="auto"/>
        </w:rPr>
        <w:t>iii)</w:t>
      </w:r>
      <w:r w:rsidRPr="00293B75">
        <w:rPr>
          <w:color w:val="auto"/>
        </w:rPr>
        <w:tab/>
        <w:t>Révision du document TGP/8 : Deuxième partie : Quelques techniques utilisées dans l’examen DHS, nouvelle section : Examen DHS sur des échantillons globaux</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TC/51/18.</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de demander aux experts des Pays</w:t>
      </w:r>
      <w:r w:rsidRPr="00293B75">
        <w:rPr>
          <w:lang w:val="fr-FR"/>
        </w:rPr>
        <w:noBreakHyphen/>
        <w:t>Bas de fournir des informations complémentaires sur l’évaluation systématique de la teneur en glucoraphanine présentée dans l’annexe du document TC/51/18.</w:t>
      </w:r>
    </w:p>
    <w:p w:rsidR="00DB5A93" w:rsidRPr="00293B75" w:rsidRDefault="00DB5A93" w:rsidP="007005BA">
      <w:pPr>
        <w:rPr>
          <w:lang w:val="fr-FR"/>
        </w:rPr>
      </w:pPr>
    </w:p>
    <w:p w:rsidR="00DB5A93" w:rsidRPr="00293B75" w:rsidRDefault="00DB5A93" w:rsidP="007005BA">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des informations complémentaires sur le respect des conditions relatives à un caractère DHS devraient être fournies dans l’exemple de caractère examiné sur la base d’un échantillon global qui figure à l’annexe du document TC/51/18.</w:t>
      </w:r>
    </w:p>
    <w:p w:rsidR="00DB5A93" w:rsidRPr="00293B75" w:rsidRDefault="00DB5A93" w:rsidP="007005BA"/>
    <w:p w:rsidR="00DB5A93" w:rsidRPr="00293B75" w:rsidRDefault="00DB5A93" w:rsidP="007005BA">
      <w:pPr>
        <w:rPr>
          <w:lang w:val="fr-FR" w:eastAsia="ja-JP"/>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TC convient d’examiner plus avant </w:t>
      </w:r>
      <w:r w:rsidRPr="00293B75">
        <w:rPr>
          <w:lang w:val="fr-FR" w:eastAsia="ja-JP"/>
        </w:rPr>
        <w:t>s’il serait nécessaire d’analyser les plantes isolées pour la validation des caractères examinés sur la base d’échantillons globaux, ainsi que les incidences éventuelles en termes de coût, et invite les groupes de travail techniques à proposer d’autres approches pour l’examen de l’homogénéité.  À cet égard, le TC propose que les travaux précédents du TWC, portant sur l’utilisation de sous</w:t>
      </w:r>
      <w:r w:rsidRPr="00293B75">
        <w:rPr>
          <w:lang w:val="fr-FR" w:eastAsia="ja-JP"/>
        </w:rPr>
        <w:noBreakHyphen/>
        <w:t>échantillons, servent de point de départ.</w:t>
      </w:r>
    </w:p>
    <w:p w:rsidR="00DB5A93" w:rsidRPr="00293B75" w:rsidRDefault="00DB5A93" w:rsidP="007005BA">
      <w:pPr>
        <w:rPr>
          <w:lang w:val="fr-FR" w:eastAsia="ja-JP"/>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d’examiner plus avant si les caractères examinés sur la base d’échantillons globaux devraient être évalués en se fondant sur le nombre de plantes recommandé dans les principes directeurs d’examen au chapitre 4.1.4.</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la détermination des niveaux d’expression devrait être fondée sur la variation existante entre les variétés et tenir compte de l’influence de l’environnement.</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se félicite de l’offre de la France visant à fournir d’autres exemples de caractères sur la base d’échantillons globaux et invite d’autres membres à fournir des exemples.</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u w:val="none"/>
        </w:rPr>
        <w:t>iv)</w:t>
      </w:r>
      <w:r w:rsidRPr="00293B75">
        <w:rPr>
          <w:color w:val="auto"/>
          <w:u w:val="none"/>
        </w:rPr>
        <w:tab/>
      </w:r>
      <w:r w:rsidRPr="00293B75">
        <w:rPr>
          <w:color w:val="auto"/>
        </w:rPr>
        <w:t>Révision du document TGP/8</w:t>
      </w:r>
      <w:r w:rsidRPr="00293B75">
        <w:rPr>
          <w:i/>
          <w:color w:val="auto"/>
        </w:rPr>
        <w:t xml:space="preserve"> : </w:t>
      </w:r>
      <w:r w:rsidRPr="00293B75">
        <w:rPr>
          <w:color w:val="auto"/>
        </w:rPr>
        <w:t>deuxième partie : Techniques utilisées dans l’examen DHS, nouvelle section : Méthodes de traitement des données pour l’évaluation de la distinction et l’établissement de descriptions variétales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informations fournies dans le document TC/51/19.</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accueille avec satisfaction la proposition faite par le TWC, figurant au paragraphe 32 du document TC/51/19, de comparer les résultats de l’exercice pratique fournis par les participants pour repérer les différences dans les résultats obtenus et mieux comprendre les différentes méthodes employées, pour examen à la trente</w:t>
      </w:r>
      <w:r w:rsidRPr="00293B75">
        <w:rPr>
          <w:lang w:val="fr-FR"/>
        </w:rPr>
        <w:noBreakHyphen/>
        <w:t>troisième session du TWC qui se tiendra à Natal (Brésil).</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L’Union européenne indique que le projet de test d’étalonnage pour le pommier aux fins de gestion des descriptions variétales, qui devait être lancé en 2015, a été suspendu en raison des coûts élevés qu’il entraîne.</w:t>
      </w:r>
    </w:p>
    <w:p w:rsidR="00DB5A93" w:rsidRPr="00293B75" w:rsidRDefault="00DB5A93" w:rsidP="007005BA">
      <w:pPr>
        <w:rPr>
          <w:lang w:val="fr-FR"/>
        </w:rPr>
      </w:pPr>
    </w:p>
    <w:p w:rsidR="00DB5A93" w:rsidRPr="00293B75" w:rsidRDefault="00DB5A93" w:rsidP="007005BA">
      <w:pPr>
        <w:pStyle w:val="Heading5"/>
        <w:rPr>
          <w:color w:val="auto"/>
        </w:rPr>
      </w:pPr>
      <w:bookmarkStart w:id="23" w:name="_Toc412193730"/>
      <w:r w:rsidRPr="00293B75">
        <w:rPr>
          <w:color w:val="auto"/>
        </w:rPr>
        <w:t>v)</w:t>
      </w:r>
      <w:r w:rsidRPr="00293B75">
        <w:rPr>
          <w:color w:val="auto"/>
        </w:rPr>
        <w:tab/>
        <w:t>Révision du document TGP/8 : Deuxième partie : Techniques utilisées dans l’examen DHS, nouvelle section : Indications aux fins des essais aveugles aléatoires</w:t>
      </w:r>
      <w:bookmarkEnd w:id="23"/>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comité examine le document TC/51/20.</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les essais aléatoires en aveugle ne sont pas couramment utilisés et convient que les indications actuelles figurant dans les documents TGP/8 : Première partie : “Protocole d’essai DHS et analyse des données” et TGP/9 “Examen de la distinction” sont suffisantes pour traiter de la question.</w:t>
      </w:r>
    </w:p>
    <w:p w:rsidR="00DB5A93" w:rsidRPr="00293B75" w:rsidRDefault="00DB5A93" w:rsidP="007005BA">
      <w:pPr>
        <w:rPr>
          <w:lang w:val="fr-FR"/>
        </w:rPr>
      </w:pPr>
    </w:p>
    <w:bookmarkEnd w:id="17"/>
    <w:bookmarkEnd w:id="18"/>
    <w:bookmarkEnd w:id="19"/>
    <w:bookmarkEnd w:id="20"/>
    <w:bookmarkEnd w:id="21"/>
    <w:bookmarkEnd w:id="22"/>
    <w:p w:rsidR="00DB5A93" w:rsidRPr="00293B75" w:rsidRDefault="00DB5A93" w:rsidP="007005BA">
      <w:pPr>
        <w:pStyle w:val="Heading5"/>
        <w:rPr>
          <w:color w:val="auto"/>
        </w:rPr>
      </w:pPr>
      <w:r w:rsidRPr="00293B75">
        <w:rPr>
          <w:color w:val="auto"/>
        </w:rPr>
        <w:t>vi)</w:t>
      </w:r>
      <w:r w:rsidRPr="00293B75">
        <w:rPr>
          <w:color w:val="auto"/>
        </w:rPr>
        <w:tab/>
        <w:t>Révision du document TGP/8 : Deuxième partie : Techniques utilisées dans l’examen DHS, nouvelle section : Examen de caractères au moyen de l’analyse d’images</w:t>
      </w:r>
    </w:p>
    <w:p w:rsidR="00DB5A93" w:rsidRPr="00293B75" w:rsidRDefault="00DB5A93" w:rsidP="007005BA">
      <w:pPr>
        <w:keepNext/>
        <w:rPr>
          <w:lang w:val="fr-FR"/>
        </w:rPr>
      </w:pPr>
    </w:p>
    <w:p w:rsidR="00DB5A93" w:rsidRPr="00293B75" w:rsidRDefault="00DB5A93" w:rsidP="007005BA">
      <w:pPr>
        <w:rPr>
          <w:iCs/>
          <w:spacing w:val="-4"/>
          <w:lang w:val="fr-FR" w:eastAsia="ja-JP"/>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w:t>
      </w:r>
      <w:r w:rsidRPr="00293B75">
        <w:rPr>
          <w:iCs/>
          <w:spacing w:val="-4"/>
          <w:lang w:val="fr-FR"/>
        </w:rPr>
        <w:t xml:space="preserve"> examine le document TC/51/21 et la proposition de projet de principes directeurs concernant l’“Examen de caractères au moyen de l’analyse d’images”, qui figure à l’annexe du </w:t>
      </w:r>
      <w:r w:rsidRPr="00293B75">
        <w:rPr>
          <w:lang w:val="fr-FR"/>
        </w:rPr>
        <w:t>document TC/51/21,</w:t>
      </w:r>
      <w:r w:rsidRPr="00293B75">
        <w:rPr>
          <w:lang w:val="fr-FR" w:eastAsia="ja-JP"/>
        </w:rPr>
        <w:t xml:space="preserve"> ainsi que les observations formulées par le TC</w:t>
      </w:r>
      <w:r w:rsidRPr="00293B75">
        <w:rPr>
          <w:lang w:val="fr-FR" w:eastAsia="ja-JP"/>
        </w:rPr>
        <w:noBreakHyphen/>
        <w:t>EDC à sa réunion en 2015, telles qu’elles figurent au paragraphe</w:t>
      </w:r>
      <w:r w:rsidRPr="00293B75">
        <w:rPr>
          <w:iCs/>
          <w:spacing w:val="-4"/>
          <w:lang w:val="fr-FR" w:eastAsia="ja-JP"/>
        </w:rPr>
        <w:t xml:space="preserve"> 16 du </w:t>
      </w:r>
      <w:r w:rsidRPr="00293B75">
        <w:rPr>
          <w:lang w:val="fr-FR"/>
        </w:rPr>
        <w:t>document TC/51/21</w:t>
      </w:r>
      <w:r w:rsidRPr="00293B75">
        <w:rPr>
          <w:iCs/>
          <w:spacing w:val="-4"/>
          <w:lang w:val="fr-FR" w:eastAsia="ja-JP"/>
        </w:rPr>
        <w:t>.</w:t>
      </w:r>
    </w:p>
    <w:p w:rsidR="00DB5A93" w:rsidRPr="00293B75" w:rsidRDefault="00DB5A93" w:rsidP="007005BA">
      <w:pPr>
        <w:rPr>
          <w:iCs/>
          <w:spacing w:val="-4"/>
          <w:lang w:val="fr-FR" w:eastAsia="ja-JP"/>
        </w:rPr>
      </w:pPr>
    </w:p>
    <w:p w:rsidR="00DB5A93" w:rsidRPr="00293B75" w:rsidRDefault="00DB5A93" w:rsidP="007005BA">
      <w:pPr>
        <w:rPr>
          <w:iCs/>
          <w:spacing w:val="-4"/>
          <w:lang w:val="fr-FR" w:eastAsia="ja-JP"/>
        </w:rPr>
      </w:pPr>
      <w:r w:rsidRPr="00293B75">
        <w:rPr>
          <w:iCs/>
          <w:spacing w:val="-4"/>
          <w:lang w:val="fr-FR" w:eastAsia="ja-JP"/>
        </w:rPr>
        <w:fldChar w:fldCharType="begin"/>
      </w:r>
      <w:r w:rsidRPr="00293B75">
        <w:rPr>
          <w:iCs/>
          <w:spacing w:val="-4"/>
          <w:lang w:val="fr-FR" w:eastAsia="ja-JP"/>
        </w:rPr>
        <w:instrText xml:space="preserve"> AUTONUM  </w:instrText>
      </w:r>
      <w:r w:rsidRPr="00293B75">
        <w:rPr>
          <w:iCs/>
          <w:spacing w:val="-4"/>
          <w:lang w:val="fr-FR" w:eastAsia="ja-JP"/>
        </w:rPr>
        <w:fldChar w:fldCharType="end"/>
      </w:r>
      <w:r w:rsidRPr="00293B75">
        <w:rPr>
          <w:iCs/>
          <w:spacing w:val="-4"/>
          <w:lang w:val="fr-FR" w:eastAsia="ja-JP"/>
        </w:rPr>
        <w:tab/>
        <w:t>Le TC approuve les recommandations proposées concernant</w:t>
      </w:r>
      <w:r w:rsidRPr="00293B75">
        <w:rPr>
          <w:lang w:val="fr-FR"/>
        </w:rPr>
        <w:t xml:space="preserve"> l’“</w:t>
      </w:r>
      <w:r w:rsidRPr="00293B75">
        <w:t>Examen de caractères au moyen de l’analyse d’images</w:t>
      </w:r>
      <w:r w:rsidRPr="00293B75">
        <w:rPr>
          <w:lang w:val="fr-FR"/>
        </w:rPr>
        <w:t>”, sous réserve des modifications suivantes :</w:t>
      </w:r>
    </w:p>
    <w:p w:rsidR="00DB5A93" w:rsidRPr="00293B75" w:rsidRDefault="00DB5A93" w:rsidP="007005BA">
      <w:pPr>
        <w:rPr>
          <w:iCs/>
          <w:spacing w:val="-4"/>
          <w:lang w:val="fr-FR"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7371"/>
      </w:tblGrid>
      <w:tr w:rsidR="00293B75" w:rsidRPr="00293B75" w:rsidTr="00830C4D">
        <w:tc>
          <w:tcPr>
            <w:tcW w:w="2410" w:type="dxa"/>
          </w:tcPr>
          <w:p w:rsidR="00DB5A93" w:rsidRPr="00293B75" w:rsidRDefault="00DB5A93" w:rsidP="007005BA">
            <w:pPr>
              <w:jc w:val="left"/>
              <w:rPr>
                <w:rFonts w:cs="Arial"/>
                <w:lang w:val="fr-FR"/>
              </w:rPr>
            </w:pPr>
            <w:r w:rsidRPr="00293B75">
              <w:rPr>
                <w:rFonts w:cs="Arial"/>
                <w:lang w:val="fr-FR"/>
              </w:rPr>
              <w:t>Annexe, paragraphe 5</w:t>
            </w:r>
          </w:p>
        </w:tc>
        <w:tc>
          <w:tcPr>
            <w:tcW w:w="7371" w:type="dxa"/>
          </w:tcPr>
          <w:p w:rsidR="00DB5A93" w:rsidRPr="00293B75" w:rsidRDefault="00DB5A93" w:rsidP="00830C4D">
            <w:pPr>
              <w:keepNext/>
              <w:jc w:val="left"/>
              <w:rPr>
                <w:rFonts w:cs="Arial"/>
                <w:lang w:val="fr-FR"/>
              </w:rPr>
            </w:pPr>
            <w:r w:rsidRPr="00293B75">
              <w:rPr>
                <w:rFonts w:cs="Arial"/>
                <w:lang w:val="fr-FR"/>
              </w:rPr>
              <w:t>ajouter “dans les cas où l’analyse d’images est automatisée” à la fin de la première phrase</w:t>
            </w:r>
          </w:p>
        </w:tc>
      </w:tr>
      <w:tr w:rsidR="00293B75" w:rsidRPr="00293B75" w:rsidTr="00830C4D">
        <w:tc>
          <w:tcPr>
            <w:tcW w:w="2410" w:type="dxa"/>
          </w:tcPr>
          <w:p w:rsidR="00DB5A93" w:rsidRPr="00293B75" w:rsidRDefault="00DB5A93" w:rsidP="007005BA">
            <w:pPr>
              <w:jc w:val="left"/>
              <w:rPr>
                <w:rFonts w:cs="Arial"/>
                <w:lang w:val="fr-FR"/>
              </w:rPr>
            </w:pPr>
            <w:r w:rsidRPr="00293B75">
              <w:rPr>
                <w:rFonts w:cs="Arial"/>
                <w:lang w:val="fr-FR"/>
              </w:rPr>
              <w:t>Annexe, paragraphe 14</w:t>
            </w:r>
          </w:p>
        </w:tc>
        <w:tc>
          <w:tcPr>
            <w:tcW w:w="7371" w:type="dxa"/>
          </w:tcPr>
          <w:p w:rsidR="00DB5A93" w:rsidRPr="00293B75" w:rsidRDefault="00DB5A93" w:rsidP="00830C4D">
            <w:pPr>
              <w:keepNext/>
              <w:jc w:val="left"/>
              <w:rPr>
                <w:rFonts w:cs="Arial"/>
                <w:lang w:val="fr-FR"/>
              </w:rPr>
            </w:pPr>
            <w:r w:rsidRPr="00293B75">
              <w:rPr>
                <w:rFonts w:cs="Arial"/>
                <w:lang w:val="fr-FR"/>
              </w:rPr>
              <w:t>supprimer le titre au</w:t>
            </w:r>
            <w:r w:rsidRPr="00293B75">
              <w:rPr>
                <w:rFonts w:cs="Arial"/>
                <w:lang w:val="fr-FR"/>
              </w:rPr>
              <w:noBreakHyphen/>
              <w:t>dessus du paragraphe</w:t>
            </w:r>
          </w:p>
        </w:tc>
      </w:tr>
      <w:tr w:rsidR="00293B75" w:rsidRPr="00293B75" w:rsidTr="00830C4D">
        <w:tc>
          <w:tcPr>
            <w:tcW w:w="2410" w:type="dxa"/>
          </w:tcPr>
          <w:p w:rsidR="00DB5A93" w:rsidRPr="00293B75" w:rsidRDefault="00DB5A93" w:rsidP="007005BA">
            <w:pPr>
              <w:jc w:val="left"/>
              <w:rPr>
                <w:rFonts w:cs="Arial"/>
                <w:lang w:val="fr-FR"/>
              </w:rPr>
            </w:pPr>
            <w:r w:rsidRPr="00293B75">
              <w:rPr>
                <w:rFonts w:cs="Arial"/>
                <w:lang w:val="fr-FR"/>
              </w:rPr>
              <w:t>Annexe, paragraphe 18</w:t>
            </w:r>
          </w:p>
        </w:tc>
        <w:tc>
          <w:tcPr>
            <w:tcW w:w="7371" w:type="dxa"/>
          </w:tcPr>
          <w:p w:rsidR="00DB5A93" w:rsidRPr="00293B75" w:rsidRDefault="00DB5A93" w:rsidP="00830C4D">
            <w:pPr>
              <w:keepNext/>
              <w:jc w:val="left"/>
              <w:rPr>
                <w:rFonts w:cs="Arial"/>
                <w:lang w:val="fr-FR"/>
              </w:rPr>
            </w:pPr>
            <w:r w:rsidRPr="00293B75">
              <w:rPr>
                <w:rFonts w:cs="Arial"/>
                <w:lang w:val="fr-FR"/>
              </w:rPr>
              <w:t xml:space="preserve">doit se lire “Code RHS </w:t>
            </w:r>
            <w:r w:rsidRPr="00830C4D">
              <w:rPr>
                <w:rFonts w:cs="Arial"/>
                <w:u w:val="single"/>
                <w:lang w:val="fr-FR"/>
              </w:rPr>
              <w:t>des couleurs</w:t>
            </w:r>
            <w:r w:rsidRPr="00293B75">
              <w:rPr>
                <w:rFonts w:cs="Arial"/>
                <w:lang w:val="fr-FR"/>
              </w:rPr>
              <w:t>”</w:t>
            </w:r>
          </w:p>
        </w:tc>
      </w:tr>
      <w:tr w:rsidR="00293B75" w:rsidRPr="00293B75" w:rsidTr="00830C4D">
        <w:tc>
          <w:tcPr>
            <w:tcW w:w="2410" w:type="dxa"/>
          </w:tcPr>
          <w:p w:rsidR="00DB5A93" w:rsidRPr="00293B75" w:rsidRDefault="00DB5A93" w:rsidP="007005BA">
            <w:pPr>
              <w:jc w:val="left"/>
              <w:rPr>
                <w:rFonts w:cs="Arial"/>
                <w:lang w:val="fr-FR"/>
              </w:rPr>
            </w:pPr>
            <w:r w:rsidRPr="00293B75">
              <w:rPr>
                <w:rFonts w:cs="Arial"/>
                <w:lang w:val="fr-FR"/>
              </w:rPr>
              <w:t>Annexe, paragraphe 19</w:t>
            </w:r>
          </w:p>
        </w:tc>
        <w:tc>
          <w:tcPr>
            <w:tcW w:w="7371" w:type="dxa"/>
          </w:tcPr>
          <w:p w:rsidR="00DB5A93" w:rsidRPr="00293B75" w:rsidRDefault="00DB5A93" w:rsidP="00830C4D">
            <w:pPr>
              <w:keepNext/>
              <w:jc w:val="left"/>
              <w:rPr>
                <w:rFonts w:cs="Arial"/>
                <w:lang w:val="fr-FR"/>
              </w:rPr>
            </w:pPr>
            <w:r w:rsidRPr="00293B75">
              <w:rPr>
                <w:rFonts w:cs="Arial"/>
                <w:lang w:val="fr-FR"/>
              </w:rPr>
              <w:t>supprimer</w:t>
            </w:r>
          </w:p>
        </w:tc>
      </w:tr>
      <w:tr w:rsidR="00293B75" w:rsidRPr="00293B75" w:rsidTr="00830C4D">
        <w:tc>
          <w:tcPr>
            <w:tcW w:w="2410" w:type="dxa"/>
          </w:tcPr>
          <w:p w:rsidR="00DB5A93" w:rsidRPr="00293B75" w:rsidRDefault="00DB5A93" w:rsidP="007005BA">
            <w:pPr>
              <w:jc w:val="left"/>
              <w:rPr>
                <w:rFonts w:cs="Arial"/>
                <w:lang w:val="fr-FR"/>
              </w:rPr>
            </w:pPr>
            <w:r w:rsidRPr="00293B75">
              <w:rPr>
                <w:rFonts w:cs="Arial"/>
                <w:lang w:val="fr-FR"/>
              </w:rPr>
              <w:t>Annexe, paragraphe 20</w:t>
            </w:r>
          </w:p>
        </w:tc>
        <w:tc>
          <w:tcPr>
            <w:tcW w:w="7371" w:type="dxa"/>
          </w:tcPr>
          <w:p w:rsidR="00DB5A93" w:rsidRPr="00293B75" w:rsidRDefault="00DB5A93" w:rsidP="00830C4D">
            <w:pPr>
              <w:pStyle w:val="ListParagraph"/>
              <w:ind w:left="0"/>
              <w:jc w:val="left"/>
              <w:rPr>
                <w:rFonts w:cs="Arial"/>
                <w:lang w:val="fr-FR"/>
              </w:rPr>
            </w:pPr>
            <w:r w:rsidRPr="00293B75">
              <w:rPr>
                <w:rFonts w:cs="Arial"/>
                <w:lang w:val="fr-FR"/>
              </w:rPr>
              <w:t>remplacer “maison” par “développés en interne”</w:t>
            </w:r>
          </w:p>
        </w:tc>
      </w:tr>
      <w:tr w:rsidR="00293B75" w:rsidRPr="00293B75" w:rsidTr="00830C4D">
        <w:tc>
          <w:tcPr>
            <w:tcW w:w="2410" w:type="dxa"/>
          </w:tcPr>
          <w:p w:rsidR="00DB5A93" w:rsidRPr="00293B75" w:rsidRDefault="00DB5A93" w:rsidP="007005BA">
            <w:pPr>
              <w:jc w:val="left"/>
              <w:rPr>
                <w:rFonts w:cs="Arial"/>
                <w:lang w:val="fr-FR"/>
              </w:rPr>
            </w:pPr>
            <w:r w:rsidRPr="00293B75">
              <w:rPr>
                <w:rFonts w:cs="Arial"/>
                <w:lang w:val="fr-FR"/>
              </w:rPr>
              <w:t>Annexe, paragraphe 22</w:t>
            </w:r>
          </w:p>
        </w:tc>
        <w:tc>
          <w:tcPr>
            <w:tcW w:w="7371" w:type="dxa"/>
          </w:tcPr>
          <w:p w:rsidR="00DB5A93" w:rsidRPr="00293B75" w:rsidRDefault="00DB5A93" w:rsidP="00830C4D">
            <w:pPr>
              <w:pStyle w:val="ListParagraph"/>
              <w:ind w:left="0"/>
              <w:jc w:val="left"/>
              <w:rPr>
                <w:rFonts w:cs="Arial"/>
                <w:lang w:val="fr-FR"/>
              </w:rPr>
            </w:pPr>
            <w:r w:rsidRPr="00293B75">
              <w:rPr>
                <w:rFonts w:cs="Arial"/>
                <w:lang w:val="fr-FR"/>
              </w:rPr>
              <w:t xml:space="preserve">doit se lire “…possible de l’utiliser pour déterminer à l’avenir un plus large éventail de caractères </w:t>
            </w:r>
            <w:r w:rsidRPr="00096CD1">
              <w:rPr>
                <w:rFonts w:cs="Arial"/>
                <w:u w:val="single"/>
                <w:lang w:val="fr-FR"/>
              </w:rPr>
              <w:t>standard de l’UPOV</w:t>
            </w:r>
            <w:r w:rsidRPr="00293B75">
              <w:rPr>
                <w:rFonts w:cs="Arial"/>
                <w:lang w:val="fr-FR"/>
              </w:rPr>
              <w:t xml:space="preserve">.” </w:t>
            </w:r>
          </w:p>
        </w:tc>
      </w:tr>
    </w:tbl>
    <w:p w:rsidR="00DB5A93" w:rsidRPr="00293B75" w:rsidRDefault="00DB5A93" w:rsidP="007005BA">
      <w:pPr>
        <w:rPr>
          <w:iCs/>
          <w:spacing w:val="-4"/>
          <w:lang w:val="fr-FR" w:eastAsia="ja-JP"/>
        </w:rPr>
      </w:pPr>
    </w:p>
    <w:p w:rsidR="00DB5A93" w:rsidRPr="00293B75" w:rsidRDefault="00DB5A93" w:rsidP="007005BA">
      <w:pPr>
        <w:pStyle w:val="Heading5"/>
        <w:rPr>
          <w:color w:val="auto"/>
        </w:rPr>
      </w:pPr>
      <w:r w:rsidRPr="00293B75">
        <w:rPr>
          <w:color w:val="auto"/>
        </w:rPr>
        <w:t>vii)</w:t>
      </w:r>
      <w:r w:rsidRPr="00293B75">
        <w:rPr>
          <w:color w:val="auto"/>
        </w:rPr>
        <w:tab/>
        <w:t>Révision du document TGP/8 : deuxième partie : Techniques utilisées dans l’examen DHS, nouvelle section : méthodes statistiques applicables aux caractères observés visuellement</w:t>
      </w:r>
    </w:p>
    <w:p w:rsidR="00DB5A93" w:rsidRPr="00293B75" w:rsidRDefault="00DB5A93" w:rsidP="007005BA">
      <w:pPr>
        <w:rPr>
          <w:lang w:val="fr-FR"/>
        </w:rPr>
      </w:pPr>
    </w:p>
    <w:p w:rsidR="00DB5A93" w:rsidRPr="00293B75" w:rsidRDefault="00DB5A93" w:rsidP="007005BA">
      <w:pPr>
        <w:rPr>
          <w:rFonts w:cs="Arial"/>
          <w:snapToGrid w:val="0"/>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comité examine le document TC/51/22.</w:t>
      </w:r>
    </w:p>
    <w:p w:rsidR="00DB5A93" w:rsidRPr="00293B75" w:rsidRDefault="00DB5A93" w:rsidP="007005BA">
      <w:pPr>
        <w:rPr>
          <w:rFonts w:cs="Arial"/>
          <w:snapToGrid w:val="0"/>
          <w:lang w:val="fr-FR"/>
        </w:rPr>
      </w:pPr>
    </w:p>
    <w:p w:rsidR="00DB5A93" w:rsidRPr="00293B75" w:rsidRDefault="00DB5A93"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 xml:space="preserve">Le TC </w:t>
      </w:r>
      <w:r w:rsidRPr="00293B75">
        <w:rPr>
          <w:lang w:val="fr-FR" w:eastAsia="ja-JP"/>
        </w:rPr>
        <w:t>encourage les membres de l’</w:t>
      </w:r>
      <w:r w:rsidRPr="00293B75">
        <w:rPr>
          <w:rFonts w:cs="Arial"/>
          <w:lang w:val="fr-FR"/>
        </w:rPr>
        <w:t>Union</w:t>
      </w:r>
      <w:r w:rsidRPr="00293B75">
        <w:rPr>
          <w:rFonts w:cs="Arial"/>
          <w:lang w:val="fr-FR" w:eastAsia="ja-JP"/>
        </w:rPr>
        <w:t xml:space="preserve"> à expliquer aux TWP comment ils envisagent d’utiliser la nouvelle méthode statistique applicable aux caractères observés visuellement aux fins de l’examen DHS</w:t>
      </w:r>
      <w:r w:rsidRPr="00293B75">
        <w:rPr>
          <w:rFonts w:cs="Arial"/>
          <w:lang w:val="fr-FR"/>
        </w:rPr>
        <w:t>.</w:t>
      </w:r>
    </w:p>
    <w:p w:rsidR="00DB5A93" w:rsidRPr="00293B75" w:rsidRDefault="00DB5A93" w:rsidP="007005BA">
      <w:pPr>
        <w:rPr>
          <w:rFonts w:cs="Arial"/>
          <w:lang w:val="fr-FR"/>
        </w:rPr>
      </w:pPr>
    </w:p>
    <w:p w:rsidR="00DB5A93" w:rsidRPr="00293B75" w:rsidRDefault="00DB5A93"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 xml:space="preserve">Le TC convient de </w:t>
      </w:r>
      <w:r w:rsidRPr="00293B75">
        <w:rPr>
          <w:lang w:val="fr-FR" w:eastAsia="ja-JP"/>
        </w:rPr>
        <w:t>retirer le document “Méthodes statistiques applicables aux caractères observés visuellement” du programme de révision du document TGP/8 pour le moment et de l’examiner au titre d’un point de l’ordre du jour distinct</w:t>
      </w:r>
      <w:r w:rsidRPr="00293B75">
        <w:rPr>
          <w:rFonts w:cs="Arial"/>
          <w:lang w:val="fr-FR"/>
        </w:rPr>
        <w:t>.</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qu’un expert de la Chine avait été invité à présenter, à la prochaine session du TWC, un exposé sur l’analyse des caractères observés visuellement effectuée avec le progiciel DUST China (DUSTC) en utilisant les données relatives au fétuque des prés fournies par la Finlande.</w:t>
      </w: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TGP/10 : Examen de l’homogénéité</w:t>
      </w:r>
    </w:p>
    <w:p w:rsidR="00DB5A93" w:rsidRPr="00293B75" w:rsidRDefault="00DB5A93" w:rsidP="007005BA">
      <w:pPr>
        <w:keepNext/>
        <w:ind w:left="567"/>
        <w:rPr>
          <w:rFonts w:cs="Arial"/>
          <w:snapToGrid w:val="0"/>
          <w:lang w:val="fr-FR"/>
        </w:rPr>
      </w:pPr>
    </w:p>
    <w:p w:rsidR="00DB5A93" w:rsidRPr="00293B75" w:rsidRDefault="00DB5A93" w:rsidP="007005BA">
      <w:pPr>
        <w:pStyle w:val="Heading5"/>
        <w:rPr>
          <w:color w:val="auto"/>
        </w:rPr>
      </w:pPr>
      <w:r w:rsidRPr="00293B75">
        <w:rPr>
          <w:color w:val="auto"/>
        </w:rPr>
        <w:t>Révision du document TGP/10 : nouvelle section : évaluation de l’homogénéité d’après les plantes hors</w:t>
      </w:r>
      <w:r w:rsidRPr="00293B75">
        <w:rPr>
          <w:color w:val="auto"/>
        </w:rPr>
        <w:noBreakHyphen/>
        <w:t>type sur la base de plusieurs échantillons ou sous</w:t>
      </w:r>
      <w:r w:rsidRPr="00293B75">
        <w:rPr>
          <w:color w:val="auto"/>
        </w:rPr>
        <w:noBreakHyphen/>
        <w:t>échantillons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comité examine le document TC/51/24.</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approuve les propositions faites par les TWP à leurs sessions en 2014 et par le TC</w:t>
      </w:r>
      <w:r w:rsidRPr="00293B75">
        <w:rPr>
          <w:lang w:val="fr-FR"/>
        </w:rPr>
        <w:noBreakHyphen/>
        <w:t>EDC à sa réunion en janvier 2015, concernant le projet d’orientations à inclure dans une future version révisée du document TGP/10, qui figure aux annexes I à IV du document TC/51/24.</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le titre du document devra être modifié pour être libellé comme suit : “Évaluation de l’homogénéité d’après les plantes hors</w:t>
      </w:r>
      <w:r w:rsidRPr="00293B75">
        <w:rPr>
          <w:lang w:val="fr-FR"/>
        </w:rPr>
        <w:noBreakHyphen/>
        <w:t>type sur la base de plusieurs cycles de végétations ou sous</w:t>
      </w:r>
      <w:r w:rsidRPr="00293B75">
        <w:rPr>
          <w:lang w:val="fr-FR"/>
        </w:rPr>
        <w:noBreakHyphen/>
        <w:t>échantillons”;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les situations A et B présentées aux annexes I et II du document TC/51/14 devraient être combinées et des précisions fournies afin d’indiquer que deux cycles de végétation indépendants pourraient avoir lieu en un seul endroit sur plusieurs années ou en différents endroits la même année, selon ce qui figure dans le document TGP/8, première partie, sections 1.2 et 1.3.</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d’inviter les membres de l’Union à présenter aux TWP et au TC des informations sur les risques, les avantages, les coûts et autres éléments pertinents qui justifient leur choix de la méthode 1 ou 2, indiquées aux annexes I et II du document TC/51/24, aux fins de l’évaluation de l’homogénéité d’après les plantes hors</w:t>
      </w:r>
      <w:r w:rsidRPr="00293B75">
        <w:rPr>
          <w:lang w:val="fr-FR"/>
        </w:rPr>
        <w:noBreakHyphen/>
        <w:t>type sur la base de plusieurs échantillons ou sous</w:t>
      </w:r>
      <w:r w:rsidRPr="00293B75">
        <w:rPr>
          <w:lang w:val="fr-FR"/>
        </w:rPr>
        <w:noBreakHyphen/>
        <w:t>échantillons.</w:t>
      </w:r>
    </w:p>
    <w:p w:rsidR="00DB5A93" w:rsidRPr="00293B75" w:rsidRDefault="00DB5A93" w:rsidP="007005BA">
      <w:pPr>
        <w:rPr>
          <w:lang w:val="fr-FR"/>
        </w:rPr>
      </w:pPr>
    </w:p>
    <w:p w:rsidR="00DB5A93" w:rsidRPr="00293B75" w:rsidRDefault="00DB5A93" w:rsidP="00601A66">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décide de clarifier la possibilité de rejeter une variété en raison d’un manque d’homogénéité après un seul cycle de végétation.  Il convient également de réviser le cinquième exemple afin qu’il soit plus réaliste, étant donné qu’une variété avec 10 plantes hors</w:t>
      </w:r>
      <w:r w:rsidRPr="00293B75">
        <w:rPr>
          <w:lang w:val="fr-FR"/>
        </w:rPr>
        <w:noBreakHyphen/>
        <w:t>type lors du premier cycle de végétation serait vraisemblablement rejetée après le premier cycle de végétation.</w:t>
      </w:r>
    </w:p>
    <w:p w:rsidR="00601A66" w:rsidRPr="00293B75" w:rsidRDefault="00601A66" w:rsidP="00601A66">
      <w:pPr>
        <w:pStyle w:val="Heading3"/>
        <w:keepNext w:val="0"/>
        <w:rPr>
          <w:color w:val="auto"/>
        </w:rPr>
      </w:pPr>
    </w:p>
    <w:p w:rsidR="00DB5A93" w:rsidRPr="00293B75" w:rsidRDefault="00DB5A93" w:rsidP="00601A66">
      <w:pPr>
        <w:pStyle w:val="Heading3"/>
        <w:keepNext w:val="0"/>
        <w:rPr>
          <w:color w:val="auto"/>
        </w:rPr>
      </w:pPr>
      <w:r w:rsidRPr="00293B75">
        <w:rPr>
          <w:color w:val="auto"/>
        </w:rPr>
        <w:t>Éventuelle future révision de documents TGP</w:t>
      </w:r>
    </w:p>
    <w:p w:rsidR="00DB5A93" w:rsidRPr="00293B75" w:rsidRDefault="00DB5A93" w:rsidP="00601A66">
      <w:pPr>
        <w:keepNext/>
        <w:ind w:left="567" w:hanging="567"/>
        <w:rPr>
          <w:lang w:val="fr-FR"/>
        </w:rPr>
      </w:pPr>
    </w:p>
    <w:p w:rsidR="00DB5A93" w:rsidRPr="00293B75" w:rsidRDefault="00DB5A93" w:rsidP="007005BA">
      <w:pPr>
        <w:pStyle w:val="Heading4"/>
        <w:rPr>
          <w:lang w:val="fr-FR"/>
        </w:rPr>
      </w:pPr>
      <w:bookmarkStart w:id="24" w:name="_Toc378251507"/>
      <w:bookmarkStart w:id="25" w:name="_Toc381279968"/>
      <w:bookmarkStart w:id="26" w:name="_Toc386185974"/>
      <w:r w:rsidRPr="00293B75">
        <w:rPr>
          <w:lang w:val="fr-FR"/>
        </w:rPr>
        <w:t>TGP/5 : Expérience et coopération en matière d’examen DHS</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w:t>
      </w:r>
      <w:r w:rsidRPr="00293B75">
        <w:rPr>
          <w:color w:val="auto"/>
        </w:rPr>
        <w:tab/>
        <w:t>Révision du document TGP/5 : section 3 : Questionnaire technique à remplir en relation avec une demande de certificat d’obtention végétale</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la section 3 du document TGP/5 devrait être libellée comme suit :</w:t>
      </w:r>
    </w:p>
    <w:p w:rsidR="00DB5A93" w:rsidRPr="00293B75" w:rsidRDefault="00DB5A93" w:rsidP="007005BA">
      <w:pPr>
        <w:rPr>
          <w:lang w:val="fr-FR"/>
        </w:rPr>
      </w:pPr>
    </w:p>
    <w:p w:rsidR="00DB5A93" w:rsidRPr="00293B75" w:rsidRDefault="00DB5A93" w:rsidP="007005BA">
      <w:pPr>
        <w:ind w:left="567" w:right="567" w:firstLine="567"/>
        <w:rPr>
          <w:sz w:val="18"/>
          <w:lang w:val="fr-FR"/>
        </w:rPr>
      </w:pPr>
      <w:r w:rsidRPr="00293B75">
        <w:rPr>
          <w:sz w:val="18"/>
          <w:lang w:val="fr-FR"/>
        </w:rPr>
        <w:t>“On trouvera un questionnaire technique type dans le document TGP/7, intitulé “Élaboration des principes directeurs d’examen” : annexe 1 : modèle de principes directeurs d’examen : chapitre 10.  Les principes directeurs d’examen de l’UPOV (</w:t>
      </w:r>
      <w:hyperlink r:id="rId12" w:history="1">
        <w:r w:rsidRPr="00293B75">
          <w:rPr>
            <w:rStyle w:val="Hyperlink"/>
            <w:color w:val="auto"/>
            <w:sz w:val="18"/>
            <w:lang w:val="fr-FR"/>
          </w:rPr>
          <w:t>http://www.upov.int/edocs/tgpdocs/fr/tgp_7.pdf</w:t>
        </w:r>
      </w:hyperlink>
      <w:r w:rsidRPr="00293B75">
        <w:rPr>
          <w:sz w:val="18"/>
          <w:lang w:val="fr-FR"/>
        </w:rPr>
        <w:t>) contiennent, au chapitre 10, un questionnaire technique particulier pour les variétés sur lesquelles ils portent.”</w:t>
      </w:r>
    </w:p>
    <w:bookmarkEnd w:id="24"/>
    <w:bookmarkEnd w:id="25"/>
    <w:bookmarkEnd w:id="26"/>
    <w:p w:rsidR="002B08C7" w:rsidRPr="00293B75" w:rsidRDefault="002B08C7">
      <w:pPr>
        <w:jc w:val="left"/>
        <w:rPr>
          <w:rFonts w:cs="Arial"/>
          <w:snapToGrid w:val="0"/>
          <w:u w:val="single"/>
          <w:lang w:val="fr-FR"/>
        </w:rPr>
      </w:pPr>
    </w:p>
    <w:p w:rsidR="00DB5A93" w:rsidRPr="00293B75" w:rsidRDefault="00DB5A93" w:rsidP="007005BA">
      <w:pPr>
        <w:pStyle w:val="Heading5"/>
        <w:rPr>
          <w:color w:val="auto"/>
        </w:rPr>
      </w:pPr>
      <w:r w:rsidRPr="00293B75">
        <w:rPr>
          <w:color w:val="auto"/>
        </w:rPr>
        <w:t>ii)</w:t>
      </w:r>
      <w:r w:rsidRPr="00293B75">
        <w:rPr>
          <w:color w:val="auto"/>
        </w:rPr>
        <w:tab/>
        <w:t>Révision du document TGP/5 : section 8 : Coopération en matière d’examen</w:t>
      </w:r>
    </w:p>
    <w:p w:rsidR="00BD65E7" w:rsidRPr="00293B75" w:rsidRDefault="00BD65E7">
      <w:pPr>
        <w:jc w:val="lef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b/>
          <w:lang w:val="fr-FR"/>
        </w:rPr>
        <w:tab/>
      </w:r>
      <w:r w:rsidRPr="00293B75">
        <w:rPr>
          <w:lang w:val="fr-FR"/>
        </w:rPr>
        <w:t>Le TC convient que la section 8 du document TGP/5 devrait être libellée comme suit :</w:t>
      </w:r>
    </w:p>
    <w:p w:rsidR="00DB5A93" w:rsidRPr="00293B75" w:rsidRDefault="00DB5A93" w:rsidP="007005BA">
      <w:pPr>
        <w:rPr>
          <w:lang w:val="fr-FR"/>
        </w:rPr>
      </w:pPr>
    </w:p>
    <w:p w:rsidR="00DB5A93" w:rsidRPr="00293B75" w:rsidRDefault="00DB5A93" w:rsidP="007005BA">
      <w:pPr>
        <w:ind w:left="567" w:right="567"/>
        <w:rPr>
          <w:sz w:val="18"/>
          <w:lang w:val="fr-FR"/>
        </w:rPr>
      </w:pPr>
      <w:r w:rsidRPr="00293B75">
        <w:rPr>
          <w:sz w:val="18"/>
          <w:lang w:val="fr-FR"/>
        </w:rPr>
        <w:tab/>
        <w:t>“Une synthèse de la coopération en matière d’examen entre les différents services est publiée sous couvert d’un document du Conseil :</w:t>
      </w:r>
    </w:p>
    <w:p w:rsidR="00DB5A93" w:rsidRPr="00293B75" w:rsidRDefault="00DB5A93" w:rsidP="007005BA">
      <w:pPr>
        <w:ind w:left="567" w:right="567"/>
        <w:rPr>
          <w:sz w:val="18"/>
          <w:lang w:val="fr-FR"/>
        </w:rPr>
      </w:pPr>
    </w:p>
    <w:p w:rsidR="00DB5A93" w:rsidRPr="00293B75" w:rsidRDefault="00DB5A93" w:rsidP="007005BA">
      <w:pPr>
        <w:ind w:left="567" w:right="567" w:firstLine="567"/>
        <w:rPr>
          <w:sz w:val="18"/>
          <w:lang w:val="fr-FR"/>
        </w:rPr>
      </w:pPr>
      <w:r w:rsidRPr="00293B75">
        <w:rPr>
          <w:sz w:val="18"/>
          <w:lang w:val="fr-FR"/>
        </w:rPr>
        <w:t>“C</w:t>
      </w:r>
      <w:proofErr w:type="gramStart"/>
      <w:r w:rsidRPr="00293B75">
        <w:rPr>
          <w:sz w:val="18"/>
          <w:lang w:val="fr-FR"/>
        </w:rPr>
        <w:t>/[</w:t>
      </w:r>
      <w:proofErr w:type="gramEnd"/>
      <w:r w:rsidRPr="00293B75">
        <w:rPr>
          <w:sz w:val="18"/>
          <w:lang w:val="fr-FR"/>
        </w:rPr>
        <w:t>session]/5 (p. ex. C/49/5), (http://www.upov.int/meetings/fr/topic.jsp?group_id=251).”</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iii)</w:t>
      </w:r>
      <w:r w:rsidRPr="00293B75">
        <w:rPr>
          <w:color w:val="auto"/>
        </w:rPr>
        <w:tab/>
        <w:t>Révision du document TGP/5 : section 9 : Liste des espèces sur lesquelles des connaissances pratiques ont été acquises ou pour lesquelles des principes directeurs d’examen nationaux ont été établis</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la section 9 du document TGP/5 devrait être libellée comme suit :</w:t>
      </w:r>
    </w:p>
    <w:p w:rsidR="00DB5A93" w:rsidRPr="00293B75" w:rsidRDefault="00DB5A93" w:rsidP="007005BA">
      <w:pPr>
        <w:rPr>
          <w:lang w:val="fr-FR"/>
        </w:rPr>
      </w:pPr>
    </w:p>
    <w:p w:rsidR="00DB5A93" w:rsidRPr="00293B75" w:rsidRDefault="00DB5A93" w:rsidP="007005BA">
      <w:pPr>
        <w:ind w:left="567" w:right="567" w:firstLine="567"/>
        <w:rPr>
          <w:sz w:val="18"/>
          <w:lang w:val="fr-FR"/>
        </w:rPr>
      </w:pPr>
      <w:r w:rsidRPr="00293B75">
        <w:rPr>
          <w:sz w:val="18"/>
          <w:lang w:val="fr-FR"/>
        </w:rPr>
        <w:t>“Une liste des genres et espèces sur lesquels des connaissances pratiques ont été acquises ou pour lesquels des principes directeurs nationaux ont été établis a été publiée sous couvert d’un document du Comité technique :</w:t>
      </w:r>
    </w:p>
    <w:p w:rsidR="00DB5A93" w:rsidRPr="00293B75" w:rsidRDefault="00DB5A93" w:rsidP="007005BA">
      <w:pPr>
        <w:ind w:left="567" w:right="567"/>
        <w:rPr>
          <w:sz w:val="18"/>
          <w:lang w:val="fr-FR"/>
        </w:rPr>
      </w:pPr>
    </w:p>
    <w:p w:rsidR="00DB5A93" w:rsidRPr="00293B75" w:rsidRDefault="00DB5A93" w:rsidP="007005BA">
      <w:pPr>
        <w:ind w:left="567" w:right="567" w:firstLine="567"/>
        <w:rPr>
          <w:sz w:val="18"/>
          <w:lang w:val="fr-FR"/>
        </w:rPr>
      </w:pPr>
      <w:r w:rsidRPr="00293B75">
        <w:rPr>
          <w:sz w:val="18"/>
          <w:lang w:val="fr-FR"/>
        </w:rPr>
        <w:t>“TC</w:t>
      </w:r>
      <w:proofErr w:type="gramStart"/>
      <w:r w:rsidRPr="00293B75">
        <w:rPr>
          <w:sz w:val="18"/>
          <w:lang w:val="fr-FR"/>
        </w:rPr>
        <w:t>/[</w:t>
      </w:r>
      <w:proofErr w:type="gramEnd"/>
      <w:r w:rsidRPr="00293B75">
        <w:rPr>
          <w:sz w:val="18"/>
          <w:lang w:val="fr-FR"/>
        </w:rPr>
        <w:t>session]/4 (p. ex. TC/51/4), (http://www.upov.int/meetings/fr/topic.jsp?group_id=254).</w:t>
      </w:r>
      <w:r w:rsidR="002B08C7" w:rsidRPr="00293B75">
        <w:rPr>
          <w:sz w:val="18"/>
          <w:lang w:val="fr-FR"/>
        </w:rPr>
        <w:t>”</w:t>
      </w:r>
    </w:p>
    <w:p w:rsidR="00DB5A93" w:rsidRPr="00293B75" w:rsidRDefault="00DB5A93" w:rsidP="007005BA">
      <w:pPr>
        <w:keepNext/>
        <w:ind w:left="567" w:hanging="567"/>
        <w:rPr>
          <w:lang w:val="fr-FR"/>
        </w:rPr>
      </w:pPr>
    </w:p>
    <w:p w:rsidR="00DB5A93" w:rsidRPr="00293B75" w:rsidRDefault="00DB5A93" w:rsidP="007005BA">
      <w:pPr>
        <w:pStyle w:val="Heading4"/>
        <w:rPr>
          <w:lang w:val="fr-FR"/>
        </w:rPr>
      </w:pPr>
      <w:r w:rsidRPr="00293B75">
        <w:rPr>
          <w:lang w:val="fr-FR"/>
        </w:rPr>
        <w:t>TGP/7 : Élaboration des principes directeurs d’examen</w:t>
      </w:r>
    </w:p>
    <w:p w:rsidR="00DB5A93" w:rsidRPr="00293B75" w:rsidRDefault="00DB5A93" w:rsidP="007005BA">
      <w:pPr>
        <w:keepNext/>
        <w:rPr>
          <w:lang w:val="fr-FR"/>
        </w:rPr>
      </w:pPr>
    </w:p>
    <w:p w:rsidR="00DB5A93" w:rsidRPr="00293B75" w:rsidRDefault="00DB5A93" w:rsidP="007005BA">
      <w:pPr>
        <w:pStyle w:val="Heading5"/>
        <w:rPr>
          <w:color w:val="auto"/>
        </w:rPr>
      </w:pPr>
      <w:r w:rsidRPr="00293B75">
        <w:rPr>
          <w:color w:val="auto"/>
        </w:rPr>
        <w:t>i)</w:t>
      </w:r>
      <w:r w:rsidRPr="00293B75">
        <w:rPr>
          <w:color w:val="auto"/>
        </w:rPr>
        <w:tab/>
        <w:t>Utilisation de photographies et d’illustrations exclusives dans les principes directeurs d’examen</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les conseils à l’intention des rédacteurs de principes directeurs d’examen devraient être élaborés au regard des textes, des photographies ou illustrations qui pourraient être soumis aux droits de tiers.</w:t>
      </w:r>
    </w:p>
    <w:p w:rsidR="00DB5A93" w:rsidRPr="00293B75" w:rsidRDefault="00DB5A93" w:rsidP="007005BA">
      <w:pPr>
        <w:rPr>
          <w:lang w:val="fr-FR"/>
        </w:rPr>
      </w:pPr>
    </w:p>
    <w:p w:rsidR="00DB5A93" w:rsidRPr="00293B75" w:rsidRDefault="00DB5A93" w:rsidP="007005BA">
      <w:pPr>
        <w:pStyle w:val="Heading5"/>
        <w:rPr>
          <w:color w:val="auto"/>
        </w:rPr>
      </w:pPr>
      <w:bookmarkStart w:id="27" w:name="_Toc412193741"/>
      <w:r w:rsidRPr="00293B75">
        <w:rPr>
          <w:color w:val="auto"/>
        </w:rPr>
        <w:t>ii)</w:t>
      </w:r>
      <w:r w:rsidRPr="00293B75">
        <w:rPr>
          <w:color w:val="auto"/>
        </w:rPr>
        <w:tab/>
      </w:r>
      <w:bookmarkEnd w:id="27"/>
      <w:r w:rsidRPr="00293B75">
        <w:rPr>
          <w:color w:val="auto"/>
        </w:rPr>
        <w:t>Séries régionales de variétés indiquées à titre d’exemple</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des précisions doivent être apportées concernant le terme “région” ainsi que sur les critères de sélection des variétés indiquées à titre d’exemple dans une région par rapport à l’élaboration de séries régionales de variétés indiquées à titre d’exemple dans le cadre des principes directeurs d’examen.</w:t>
      </w: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TGP/14 : Glossaire des termes utilisés dans les documents de l’UPOV</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w:t>
      </w:r>
      <w:r w:rsidRPr="00293B75">
        <w:rPr>
          <w:color w:val="auto"/>
        </w:rPr>
        <w:tab/>
        <w:t>Définition des groupes de couleurs à partir du code RHS des couleurs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d’inviter les membres de l’Union à indiquer aux TWP, à leurs sessions en 2015, la façon dont les variétés sont distribuées à des groupes de couleurs.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en outre que des représentants de la Société royale d’horticulture (RHS) devraient être invités à participer aux débats sur la question lors la prochaine session du TWO, qui se tiendra à Cambridge (Royaume</w:t>
      </w:r>
      <w:r w:rsidRPr="00293B75">
        <w:rPr>
          <w:lang w:val="fr-FR"/>
        </w:rPr>
        <w:noBreakHyphen/>
        <w:t>Uni) en 2015, en vue d’une éventuelle harmonisation de la terminologie.</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les délibérations concernant cette question devraient se dérouler au titre d’un point de l’ordre du jour distinct, en dehors du cadre de la révision du document TGP/14.</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pStyle w:val="Heading3"/>
        <w:rPr>
          <w:color w:val="auto"/>
        </w:rPr>
      </w:pPr>
      <w:r w:rsidRPr="00293B75">
        <w:rPr>
          <w:color w:val="auto"/>
        </w:rPr>
        <w:t>Programme d’élaboration des documents TGP</w:t>
      </w:r>
    </w:p>
    <w:p w:rsidR="00DB5A93" w:rsidRPr="00293B75" w:rsidRDefault="00DB5A93" w:rsidP="007005BA">
      <w:pPr>
        <w:keepNext/>
        <w:rPr>
          <w:rFonts w:cs="Arial"/>
          <w:i/>
          <w:lang w:val="fr-FR" w:eastAsia="ja-JP"/>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donne son aval au programme d’élaboration des documents TGP tel qu’il figure à l’annexe II du document TC/51/5, sous réserve de ses conclusions ci</w:t>
      </w:r>
      <w:r w:rsidRPr="00293B75">
        <w:rPr>
          <w:lang w:val="fr-FR"/>
        </w:rPr>
        <w:noBreakHyphen/>
        <w:t>dessus.</w:t>
      </w:r>
    </w:p>
    <w:p w:rsidR="00DB5A93" w:rsidRPr="00293B75" w:rsidRDefault="00DB5A93" w:rsidP="007005BA">
      <w:pPr>
        <w:rPr>
          <w:lang w:val="fr-FR"/>
        </w:rPr>
      </w:pPr>
    </w:p>
    <w:p w:rsidR="00DB5A93" w:rsidRPr="00293B75" w:rsidRDefault="00DB5A93" w:rsidP="007005BA">
      <w:pPr>
        <w:keepNext/>
        <w:rPr>
          <w:u w:val="single"/>
          <w:lang w:val="fr-FR"/>
        </w:rPr>
      </w:pPr>
    </w:p>
    <w:p w:rsidR="00DB5A93" w:rsidRPr="00293B75" w:rsidRDefault="00DB5A93" w:rsidP="007005BA">
      <w:pPr>
        <w:keepNext/>
        <w:rPr>
          <w:u w:val="single"/>
          <w:lang w:val="fr-FR"/>
        </w:rPr>
      </w:pPr>
      <w:r w:rsidRPr="00293B75">
        <w:rPr>
          <w:u w:val="single"/>
          <w:lang w:val="fr-FR"/>
        </w:rPr>
        <w:t>Techniques moléculaires</w:t>
      </w:r>
    </w:p>
    <w:p w:rsidR="00DB5A93" w:rsidRPr="00293B75" w:rsidRDefault="00DB5A93" w:rsidP="007005BA">
      <w:pPr>
        <w:keepNext/>
        <w:rPr>
          <w:u w:val="single"/>
          <w:lang w:val="fr-FR"/>
        </w:rPr>
      </w:pPr>
    </w:p>
    <w:p w:rsidR="00DB5A93" w:rsidRPr="00293B75" w:rsidRDefault="00DB5A93" w:rsidP="007005BA">
      <w:pPr>
        <w:keepNext/>
        <w:rPr>
          <w:i/>
          <w:lang w:val="fr-FR"/>
        </w:rPr>
      </w:pPr>
      <w:r w:rsidRPr="00293B75">
        <w:rPr>
          <w:i/>
          <w:lang w:val="fr-FR"/>
        </w:rPr>
        <w:t>Débat sur les techniques moléculaires</w:t>
      </w:r>
    </w:p>
    <w:p w:rsidR="00DB5A93" w:rsidRPr="00293B75" w:rsidRDefault="00DB5A93" w:rsidP="007005BA">
      <w:pPr>
        <w:keepNext/>
        <w:rPr>
          <w:u w:val="single"/>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suit les exposés suivants sur les techniques moléculaires (dans l’ordre de présentation) :</w:t>
      </w:r>
    </w:p>
    <w:p w:rsidR="00DB5A93" w:rsidRPr="00293B75" w:rsidRDefault="00DB5A93" w:rsidP="007005BA">
      <w:pPr>
        <w:rPr>
          <w:lang w:val="fr-FR"/>
        </w:rPr>
      </w:pPr>
    </w:p>
    <w:tbl>
      <w:tblPr>
        <w:tblStyle w:val="TableGrid"/>
        <w:tblW w:w="9497"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827"/>
      </w:tblGrid>
      <w:tr w:rsidR="00293B75" w:rsidRPr="00293B75" w:rsidTr="00DB5A93">
        <w:tc>
          <w:tcPr>
            <w:tcW w:w="5670" w:type="dxa"/>
            <w:vAlign w:val="center"/>
          </w:tcPr>
          <w:p w:rsidR="00DB5A93" w:rsidRPr="00293B75" w:rsidRDefault="00DB5A93" w:rsidP="007005BA">
            <w:pPr>
              <w:spacing w:before="60" w:after="60"/>
              <w:ind w:right="34"/>
              <w:rPr>
                <w:lang w:val="fr-FR"/>
              </w:rPr>
            </w:pPr>
            <w:r w:rsidRPr="00293B75">
              <w:rPr>
                <w:lang w:val="fr-FR"/>
              </w:rPr>
              <w:t xml:space="preserve">Rapports sur les faits nouveaux survenus à l’UPOV en rapport avec les techniques biochimiques et moléculaires </w:t>
            </w:r>
          </w:p>
        </w:tc>
        <w:tc>
          <w:tcPr>
            <w:tcW w:w="3827" w:type="dxa"/>
          </w:tcPr>
          <w:p w:rsidR="00DB5A93" w:rsidRPr="00293B75" w:rsidRDefault="00DB5A93" w:rsidP="007005BA">
            <w:pPr>
              <w:spacing w:before="60" w:after="60"/>
              <w:rPr>
                <w:lang w:val="fr-FR"/>
              </w:rPr>
            </w:pPr>
            <w:r w:rsidRPr="00293B75">
              <w:rPr>
                <w:lang w:val="fr-FR"/>
              </w:rPr>
              <w:t>Bureau de l’UPOV</w:t>
            </w:r>
          </w:p>
        </w:tc>
      </w:tr>
      <w:tr w:rsidR="00293B75" w:rsidRPr="00293B75" w:rsidTr="00DB5A93">
        <w:tc>
          <w:tcPr>
            <w:tcW w:w="5670" w:type="dxa"/>
            <w:vAlign w:val="center"/>
          </w:tcPr>
          <w:p w:rsidR="00DB5A93" w:rsidRPr="00293B75" w:rsidRDefault="00DB5A93" w:rsidP="007005BA">
            <w:pPr>
              <w:spacing w:before="60" w:after="60"/>
              <w:ind w:right="34"/>
              <w:rPr>
                <w:lang w:val="fr-FR"/>
              </w:rPr>
            </w:pPr>
            <w:r w:rsidRPr="00293B75">
              <w:rPr>
                <w:lang w:val="fr-FR"/>
              </w:rPr>
              <w:t>Sélection assistée par marqueurs de “variétés voisines” dans le cadre de l’examen DHS</w:t>
            </w:r>
          </w:p>
        </w:tc>
        <w:tc>
          <w:tcPr>
            <w:tcW w:w="3827" w:type="dxa"/>
          </w:tcPr>
          <w:p w:rsidR="00DB5A93" w:rsidRPr="00293B75" w:rsidRDefault="00DB5A93" w:rsidP="007005BA">
            <w:pPr>
              <w:spacing w:before="60" w:after="60"/>
              <w:rPr>
                <w:lang w:val="fr-FR"/>
              </w:rPr>
            </w:pPr>
            <w:r w:rsidRPr="00293B75">
              <w:rPr>
                <w:lang w:val="fr-FR"/>
              </w:rPr>
              <w:t>République de Corée (M. </w:t>
            </w:r>
            <w:r w:rsidRPr="00293B75">
              <w:rPr>
                <w:rFonts w:cs="Arial"/>
                <w:lang w:val="fr-FR" w:eastAsia="zh-CN"/>
              </w:rPr>
              <w:t>Seung</w:t>
            </w:r>
            <w:r w:rsidRPr="00293B75">
              <w:rPr>
                <w:rFonts w:cs="Arial"/>
                <w:lang w:val="fr-FR" w:eastAsia="zh-CN"/>
              </w:rPr>
              <w:noBreakHyphen/>
              <w:t>In Yi)</w:t>
            </w:r>
          </w:p>
        </w:tc>
      </w:tr>
      <w:tr w:rsidR="00293B75" w:rsidRPr="00293B75" w:rsidTr="00DB5A93">
        <w:tc>
          <w:tcPr>
            <w:tcW w:w="5670" w:type="dxa"/>
            <w:vAlign w:val="center"/>
          </w:tcPr>
          <w:p w:rsidR="00DB5A93" w:rsidRPr="00293B75" w:rsidRDefault="00DB5A93" w:rsidP="007005BA">
            <w:pPr>
              <w:spacing w:before="60" w:after="60"/>
              <w:ind w:right="34"/>
              <w:rPr>
                <w:lang w:val="fr-FR"/>
              </w:rPr>
            </w:pPr>
            <w:r w:rsidRPr="00293B75">
              <w:rPr>
                <w:lang w:val="fr-FR"/>
              </w:rPr>
              <w:t>Utilisation de variétés de référence pour l’examen de la distinction de variétés : méthode étudiée aux États</w:t>
            </w:r>
            <w:r w:rsidRPr="00293B75">
              <w:rPr>
                <w:lang w:val="fr-FR"/>
              </w:rPr>
              <w:noBreakHyphen/>
              <w:t>Unis d’Amérique potentiellement applicable à la protection des obtentions végétales</w:t>
            </w:r>
          </w:p>
        </w:tc>
        <w:tc>
          <w:tcPr>
            <w:tcW w:w="3827" w:type="dxa"/>
          </w:tcPr>
          <w:p w:rsidR="00DB5A93" w:rsidRPr="00293B75" w:rsidRDefault="00DB5A93" w:rsidP="007005BA">
            <w:pPr>
              <w:spacing w:before="60" w:after="60"/>
              <w:rPr>
                <w:lang w:val="fr-FR"/>
              </w:rPr>
            </w:pPr>
            <w:r w:rsidRPr="00293B75">
              <w:rPr>
                <w:lang w:val="fr-FR"/>
              </w:rPr>
              <w:t>États</w:t>
            </w:r>
            <w:r w:rsidRPr="00293B75">
              <w:rPr>
                <w:lang w:val="fr-FR"/>
              </w:rPr>
              <w:noBreakHyphen/>
              <w:t>Unis d’Amérique (M. Paul Nelson)</w:t>
            </w:r>
          </w:p>
        </w:tc>
      </w:tr>
      <w:tr w:rsidR="00293B75" w:rsidRPr="00293B75" w:rsidTr="00DB5A93">
        <w:tc>
          <w:tcPr>
            <w:tcW w:w="5670" w:type="dxa"/>
            <w:vAlign w:val="center"/>
          </w:tcPr>
          <w:p w:rsidR="00DB5A93" w:rsidRPr="00293B75" w:rsidRDefault="00DB5A93" w:rsidP="007005BA">
            <w:pPr>
              <w:spacing w:before="60" w:after="60"/>
              <w:ind w:right="34"/>
              <w:rPr>
                <w:lang w:val="fr-FR"/>
              </w:rPr>
            </w:pPr>
            <w:r w:rsidRPr="00293B75">
              <w:rPr>
                <w:lang w:val="fr-FR"/>
              </w:rPr>
              <w:t>Base de données européenne sur les pommes de terre pour la collecte centralisée des variétés notoirement connues</w:t>
            </w:r>
          </w:p>
        </w:tc>
        <w:tc>
          <w:tcPr>
            <w:tcW w:w="3827" w:type="dxa"/>
          </w:tcPr>
          <w:p w:rsidR="00DB5A93" w:rsidRPr="00293B75" w:rsidRDefault="00DB5A93" w:rsidP="007005BA">
            <w:pPr>
              <w:spacing w:before="60" w:after="60"/>
              <w:rPr>
                <w:lang w:val="fr-FR"/>
              </w:rPr>
            </w:pPr>
            <w:r w:rsidRPr="00293B75">
              <w:rPr>
                <w:lang w:val="fr-FR"/>
              </w:rPr>
              <w:t>Royaume</w:t>
            </w:r>
            <w:r w:rsidRPr="00293B75">
              <w:rPr>
                <w:lang w:val="fr-FR"/>
              </w:rPr>
              <w:noBreakHyphen/>
              <w:t>Uni (M. Alex Reid)</w:t>
            </w:r>
          </w:p>
        </w:tc>
      </w:tr>
      <w:tr w:rsidR="00293B75" w:rsidRPr="00293B75" w:rsidTr="00DB5A93">
        <w:tc>
          <w:tcPr>
            <w:tcW w:w="5670" w:type="dxa"/>
            <w:vAlign w:val="center"/>
          </w:tcPr>
          <w:p w:rsidR="00DB5A93" w:rsidRPr="00293B75" w:rsidRDefault="00DB5A93" w:rsidP="007005BA">
            <w:pPr>
              <w:spacing w:before="60" w:after="60"/>
              <w:ind w:right="34"/>
              <w:rPr>
                <w:lang w:val="fr-FR"/>
              </w:rPr>
            </w:pPr>
            <w:r w:rsidRPr="00293B75">
              <w:rPr>
                <w:lang w:val="fr-FR"/>
              </w:rPr>
              <w:t>Mise au point de marqueurs EST</w:t>
            </w:r>
            <w:r w:rsidRPr="00293B75">
              <w:rPr>
                <w:lang w:val="fr-FR"/>
              </w:rPr>
              <w:noBreakHyphen/>
              <w:t>SSR chez la laitue et identification de variétés au moyen de ces marqueurs</w:t>
            </w:r>
          </w:p>
        </w:tc>
        <w:tc>
          <w:tcPr>
            <w:tcW w:w="3827" w:type="dxa"/>
          </w:tcPr>
          <w:p w:rsidR="00DB5A93" w:rsidRPr="00293B75" w:rsidRDefault="00DB5A93" w:rsidP="007005BA">
            <w:pPr>
              <w:spacing w:before="60" w:after="60"/>
              <w:rPr>
                <w:lang w:val="fr-FR"/>
              </w:rPr>
            </w:pPr>
            <w:r w:rsidRPr="00293B75">
              <w:rPr>
                <w:lang w:val="fr-FR"/>
              </w:rPr>
              <w:t>République de Corée (M. </w:t>
            </w:r>
            <w:r w:rsidRPr="00293B75">
              <w:rPr>
                <w:rFonts w:cs="Arial"/>
                <w:lang w:val="fr-FR" w:eastAsia="zh-CN"/>
              </w:rPr>
              <w:t>Seung</w:t>
            </w:r>
            <w:r w:rsidRPr="00293B75">
              <w:rPr>
                <w:rFonts w:cs="Arial"/>
                <w:lang w:val="fr-FR" w:eastAsia="zh-CN"/>
              </w:rPr>
              <w:noBreakHyphen/>
              <w:t>In Yi)</w:t>
            </w:r>
          </w:p>
        </w:tc>
      </w:tr>
      <w:tr w:rsidR="00293B75" w:rsidRPr="00293B75" w:rsidTr="00DB5A93">
        <w:tblPrEx>
          <w:tblLook w:val="0000" w:firstRow="0" w:lastRow="0" w:firstColumn="0" w:lastColumn="0" w:noHBand="0" w:noVBand="0"/>
        </w:tblPrEx>
        <w:trPr>
          <w:trHeight w:val="300"/>
        </w:trPr>
        <w:tc>
          <w:tcPr>
            <w:tcW w:w="5670" w:type="dxa"/>
            <w:vAlign w:val="center"/>
          </w:tcPr>
          <w:p w:rsidR="00DB5A93" w:rsidRPr="00293B75" w:rsidRDefault="00DB5A93" w:rsidP="007005BA">
            <w:pPr>
              <w:spacing w:before="60" w:after="60"/>
              <w:ind w:right="34"/>
              <w:rPr>
                <w:lang w:val="fr-FR"/>
              </w:rPr>
            </w:pPr>
            <w:r w:rsidRPr="00293B75">
              <w:rPr>
                <w:lang w:val="fr-FR"/>
              </w:rPr>
              <w:t>Propriété et utilisation d’échantillons utilisés dans un examen DHS, de l’ADN et des données relatives à l’ADN pendant et après un examen DHS</w:t>
            </w:r>
          </w:p>
        </w:tc>
        <w:tc>
          <w:tcPr>
            <w:tcW w:w="3827" w:type="dxa"/>
          </w:tcPr>
          <w:p w:rsidR="00DB5A93" w:rsidRPr="00293B75" w:rsidRDefault="00DB5A93" w:rsidP="007005BA">
            <w:pPr>
              <w:spacing w:before="60" w:after="60"/>
              <w:rPr>
                <w:lang w:val="fr-FR"/>
              </w:rPr>
            </w:pPr>
            <w:r w:rsidRPr="00293B75">
              <w:rPr>
                <w:lang w:val="fr-FR"/>
              </w:rPr>
              <w:t>Pays</w:t>
            </w:r>
            <w:r w:rsidRPr="00293B75">
              <w:rPr>
                <w:lang w:val="fr-FR"/>
              </w:rPr>
              <w:noBreakHyphen/>
              <w:t>Bas (M. Kees van Ettekoven)</w:t>
            </w:r>
          </w:p>
        </w:tc>
      </w:tr>
      <w:tr w:rsidR="00293B75" w:rsidRPr="00293B75" w:rsidTr="00DB5A93">
        <w:tblPrEx>
          <w:tblLook w:val="0000" w:firstRow="0" w:lastRow="0" w:firstColumn="0" w:lastColumn="0" w:noHBand="0" w:noVBand="0"/>
        </w:tblPrEx>
        <w:trPr>
          <w:trHeight w:val="300"/>
        </w:trPr>
        <w:tc>
          <w:tcPr>
            <w:tcW w:w="5670" w:type="dxa"/>
            <w:vAlign w:val="center"/>
          </w:tcPr>
          <w:p w:rsidR="00DB5A93" w:rsidRPr="00293B75" w:rsidRDefault="00DB5A93" w:rsidP="007005BA">
            <w:pPr>
              <w:spacing w:before="60" w:after="60"/>
              <w:ind w:right="34"/>
              <w:rPr>
                <w:lang w:val="fr-FR"/>
              </w:rPr>
            </w:pPr>
            <w:r w:rsidRPr="00293B75">
              <w:rPr>
                <w:lang w:val="fr-FR"/>
              </w:rPr>
              <w:t xml:space="preserve">Domaines existants de coopération entre l’OCDE, l’UPOV et l’ISTA </w:t>
            </w:r>
          </w:p>
        </w:tc>
        <w:tc>
          <w:tcPr>
            <w:tcW w:w="3827" w:type="dxa"/>
          </w:tcPr>
          <w:p w:rsidR="00DB5A93" w:rsidRPr="00293B75" w:rsidRDefault="00DB5A93" w:rsidP="007005BA">
            <w:pPr>
              <w:spacing w:before="60" w:after="60"/>
              <w:rPr>
                <w:lang w:val="fr-FR"/>
              </w:rPr>
            </w:pPr>
            <w:r w:rsidRPr="00293B75">
              <w:rPr>
                <w:lang w:val="fr-FR"/>
              </w:rPr>
              <w:t>Bureau de l’UPOV</w:t>
            </w:r>
          </w:p>
        </w:tc>
      </w:tr>
    </w:tbl>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qu’une copie des exposés serait mise à disposition sur le site Web de l’UPOV.</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w:t>
      </w:r>
      <w:r w:rsidRPr="00293B75">
        <w:rPr>
          <w:rFonts w:cs="Arial"/>
          <w:snapToGrid w:val="0"/>
          <w:lang w:val="fr-FR"/>
        </w:rPr>
        <w:t>/51/11 Rev. “Techniques moléculaires”.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du rapport sur les faits nouveaux survenus au sein du TC, des TWP et du BMT, présenté aux paragraphes 4 à 22 du document TC</w:t>
      </w:r>
      <w:r w:rsidRPr="00293B75">
        <w:rPr>
          <w:rFonts w:cs="Arial"/>
          <w:snapToGrid w:val="0"/>
          <w:lang w:val="fr-FR"/>
        </w:rPr>
        <w:t>/51/11 Rev.</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approuve le programme de la quinzième session du BMT, qui se tiendra en 2016, y compris la tenue d’une journée spéciale (“Journée des obtenteurs”), en ce qui concerne les points de l’ordre du jour relatifs à l’utilisation de techniques moléculaires pour l’appréciation de la notion de variété essentiellement dérivée et pour l’identification des variétés comme indiqué au paragraphe 22 du</w:t>
      </w:r>
      <w:r w:rsidR="00ED5AA8">
        <w:rPr>
          <w:lang w:val="fr-FR"/>
        </w:rPr>
        <w:t xml:space="preserve"> document TC/51/11 Rev.</w:t>
      </w:r>
    </w:p>
    <w:p w:rsidR="00DB5A93" w:rsidRPr="00293B75" w:rsidRDefault="00DB5A93" w:rsidP="007005BA">
      <w:pPr>
        <w:rPr>
          <w:rFonts w:cs="Arial"/>
          <w:lang w:val="fr-FR" w:eastAsia="ja-JP"/>
        </w:rPr>
      </w:pPr>
    </w:p>
    <w:p w:rsidR="00DB5A93" w:rsidRPr="00293B75" w:rsidRDefault="00DB5A93" w:rsidP="007005BA">
      <w:pPr>
        <w:rPr>
          <w:rFonts w:cs="Arial"/>
          <w:lang w:val="fr-FR" w:eastAsia="ja-JP"/>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d’élaborer un document commun présentant les particularités des systèmes de l’OCDE, de l’UPOV et de l’ISTA (par exemple en matière d’examen DHS, d’identification des variétés, de pureté des variétés, etc.</w:t>
      </w:r>
      <w:r w:rsidRPr="00293B75">
        <w:rPr>
          <w:rFonts w:cs="Arial"/>
          <w:lang w:val="fr-FR" w:eastAsia="ja-JP"/>
        </w:rPr>
        <w:t>), sous réserve de l’approbation du Conseil et en concertation avec l’OCDE et l’ISTA.</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qu’il avait été convenu à l’atelier conjoint de l’OCDE, de l’UPOV et de l’ISTA sur les techniques moléculaires qu’il serait utile d’organiser à nouveau cet atelier conjoint dans le cadre des réunions pertinentes de l’OCDE et de l’ISTA et que, à cet égard, le Groupe de travail technique était convenu qu’un autre Atelier conjoint de l’OCDE, de l’UPOV et de l’ISTA sur les techniques moléculaires devrait être organisé soit immédiatement avant ou après la Réunion annuelle des Systèmes de semences de l’OCDE qui se tiendra à Paris en juin 2015, soit en même temps que la Réunion du Groupe de travail technique qui se tiendra en janvier 2016.</w:t>
      </w:r>
    </w:p>
    <w:p w:rsidR="00DB5A93" w:rsidRPr="00293B75" w:rsidRDefault="00DB5A93" w:rsidP="007005BA">
      <w:pPr>
        <w:rPr>
          <w:lang w:val="fr-FR"/>
        </w:rPr>
      </w:pPr>
    </w:p>
    <w:p w:rsidR="00DB5A93" w:rsidRPr="00293B75" w:rsidRDefault="00DB5A93" w:rsidP="007005BA">
      <w:pPr>
        <w:rPr>
          <w:rFonts w:cs="Arial"/>
          <w:lang w:val="fr-FR" w:eastAsia="ja-JP"/>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de dresser un inventaire, par plante, de l’utilisation qui est faite des techniques faisant intervenir des marqueurs moléculaires, en vue de l’élaboration d’un document commun à l’OCDE, à l’UPOV et à l’ISTA contenant ces informations, dans un format semblable à celui du document UPOV/INF/16 “Logiciels échangeables”, comme indiqué au paragraphe 26 du document TC/51/11</w:t>
      </w:r>
      <w:r w:rsidRPr="00293B75">
        <w:rPr>
          <w:rFonts w:cs="Arial"/>
          <w:lang w:val="fr-FR" w:eastAsia="ja-JP"/>
        </w:rPr>
        <w:t>, sous réserve de l’approbation du Conseil et en concertation avec l’OCDE et l’ISTA.  Le TC convient qu’il sera nécessaire d’établir des critères et un processus afin d’ajouter des informations à ce document.</w:t>
      </w:r>
    </w:p>
    <w:p w:rsidR="00DB5A93" w:rsidRPr="00293B75" w:rsidRDefault="00DB5A93" w:rsidP="007005BA">
      <w:pPr>
        <w:rPr>
          <w:lang w:val="fr-FR"/>
        </w:rPr>
      </w:pPr>
    </w:p>
    <w:p w:rsidR="00DB5A93" w:rsidRPr="00293B75" w:rsidRDefault="00DB5A93" w:rsidP="007005BA">
      <w:pPr>
        <w:spacing w:after="240"/>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le BMT, à sa quinzième session, dresse des listes d’initiatives conjointes possibles avec l’OCDE et l’ISTA dans le domaine des techniques moléculaires, aux fins d’examen par le TC.</w:t>
      </w: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l’élaboration d’un projet de questions et réponses concernant la diffusion d’informations à un large public, y compris le public en général, sur la situation à l’UPOV concernant l’utilisation de techniques moléculaires.  Le TC convient de demander aux TWP d’examiner, à leurs sessions de 2015, le premier projet ci</w:t>
      </w:r>
      <w:r w:rsidRPr="00293B75">
        <w:rPr>
          <w:lang w:val="fr-FR"/>
        </w:rPr>
        <w:noBreakHyphen/>
        <w:t>dessous débattu lors de la session du TC :</w:t>
      </w:r>
    </w:p>
    <w:p w:rsidR="00DB5A93" w:rsidRPr="00293B75" w:rsidRDefault="00DB5A93" w:rsidP="007005BA">
      <w:pPr>
        <w:rPr>
          <w:lang w:val="fr-FR"/>
        </w:rPr>
      </w:pPr>
    </w:p>
    <w:p w:rsidR="00DB5A93" w:rsidRPr="00293B75" w:rsidRDefault="00DB5A93" w:rsidP="007005BA">
      <w:pPr>
        <w:ind w:left="567" w:right="567"/>
        <w:rPr>
          <w:sz w:val="18"/>
          <w:lang w:val="fr-FR"/>
        </w:rPr>
      </w:pPr>
      <w:r w:rsidRPr="00293B75">
        <w:rPr>
          <w:sz w:val="18"/>
          <w:lang w:val="fr-FR"/>
        </w:rPr>
        <w:t>“Est</w:t>
      </w:r>
      <w:r w:rsidRPr="00293B75">
        <w:rPr>
          <w:sz w:val="18"/>
          <w:lang w:val="fr-FR"/>
        </w:rPr>
        <w:noBreakHyphen/>
        <w:t>il possible d’obtenir la protection d’une variété sur la base de son profil d’ADN?</w:t>
      </w:r>
    </w:p>
    <w:p w:rsidR="00DB5A93" w:rsidRPr="00293B75" w:rsidRDefault="00DB5A93" w:rsidP="007005BA">
      <w:pPr>
        <w:ind w:left="567" w:right="567"/>
        <w:rPr>
          <w:sz w:val="18"/>
          <w:lang w:val="fr-FR"/>
        </w:rPr>
      </w:pPr>
    </w:p>
    <w:p w:rsidR="00DB5A93" w:rsidRPr="00293B75" w:rsidRDefault="00DB5A93" w:rsidP="007005BA">
      <w:pPr>
        <w:ind w:left="567" w:right="567"/>
        <w:rPr>
          <w:sz w:val="18"/>
          <w:lang w:val="fr-FR"/>
        </w:rPr>
      </w:pPr>
      <w:r w:rsidRPr="00293B75">
        <w:rPr>
          <w:sz w:val="18"/>
          <w:lang w:val="fr-FR"/>
        </w:rPr>
        <w:t>“Pour pouvoir bénéficier d’une protection, une variété doit pouvoir être nettement distinguée de toute autre variété existante par des caractères exprimés physiquement, par exemple, la hauteur de la plante, l’époque de floraison, la couleur des fruits, la résistance aux maladies, etc.  [Les techniques moléculaires (les profils d’ADN) peuvent être utilisées en tant qu’informations complémentaires].</w:t>
      </w:r>
    </w:p>
    <w:p w:rsidR="00DB5A93" w:rsidRPr="00293B75" w:rsidRDefault="00DB5A93" w:rsidP="007005BA">
      <w:pPr>
        <w:ind w:left="567" w:right="567"/>
        <w:rPr>
          <w:sz w:val="18"/>
          <w:lang w:val="fr-FR"/>
        </w:rPr>
      </w:pPr>
    </w:p>
    <w:p w:rsidR="00DB5A93" w:rsidRPr="00293B75" w:rsidRDefault="00DB5A93" w:rsidP="007005BA">
      <w:pPr>
        <w:ind w:left="567" w:right="567"/>
        <w:rPr>
          <w:sz w:val="18"/>
          <w:lang w:val="fr-FR"/>
        </w:rPr>
      </w:pPr>
      <w:r w:rsidRPr="00293B75">
        <w:rPr>
          <w:sz w:val="18"/>
          <w:lang w:val="fr-FR"/>
        </w:rPr>
        <w:t>“Des explications plus détaillées sont fournies dans l</w:t>
      </w:r>
      <w:r w:rsidR="00ED5AA8">
        <w:rPr>
          <w:sz w:val="18"/>
          <w:lang w:val="fr-FR"/>
        </w:rPr>
        <w:t>a réponse</w:t>
      </w:r>
      <w:r w:rsidRPr="00293B75">
        <w:rPr>
          <w:sz w:val="18"/>
          <w:lang w:val="fr-FR"/>
        </w:rPr>
        <w:t xml:space="preserve"> </w:t>
      </w:r>
      <w:r w:rsidR="00ED5AA8">
        <w:rPr>
          <w:sz w:val="18"/>
          <w:lang w:val="fr-FR"/>
        </w:rPr>
        <w:t>à la question fréquemment posée</w:t>
      </w:r>
      <w:r w:rsidRPr="00293B75">
        <w:rPr>
          <w:sz w:val="18"/>
          <w:lang w:val="fr-FR"/>
        </w:rPr>
        <w:t xml:space="preserve"> ‘L’UPOV permet</w:t>
      </w:r>
      <w:r w:rsidRPr="00293B75">
        <w:rPr>
          <w:sz w:val="18"/>
          <w:lang w:val="fr-FR"/>
        </w:rPr>
        <w:noBreakHyphen/>
        <w:t>elle de recourir à des techniques moléculaires (profils d’ADN) dans l’examen de la distinction, de l’homogénéité et de la stabilité (examen DHS)?’</w:t>
      </w:r>
    </w:p>
    <w:p w:rsidR="00DB5A93" w:rsidRPr="00293B75" w:rsidRDefault="00DB5A93" w:rsidP="007005BA">
      <w:pPr>
        <w:ind w:left="567" w:right="567"/>
        <w:rPr>
          <w:sz w:val="18"/>
          <w:lang w:val="fr-FR"/>
        </w:rPr>
      </w:pPr>
    </w:p>
    <w:p w:rsidR="00DB5A93" w:rsidRPr="00293B75" w:rsidRDefault="00DB5A93" w:rsidP="00830C4D">
      <w:pPr>
        <w:keepNext/>
        <w:ind w:left="567" w:right="567"/>
        <w:rPr>
          <w:sz w:val="18"/>
          <w:lang w:val="fr-FR"/>
        </w:rPr>
      </w:pPr>
      <w:r w:rsidRPr="00293B75">
        <w:rPr>
          <w:sz w:val="18"/>
          <w:lang w:val="fr-FR"/>
        </w:rPr>
        <w:t>“Voir également :</w:t>
      </w:r>
    </w:p>
    <w:p w:rsidR="00DB5A93" w:rsidRPr="00293B75" w:rsidRDefault="00DB5A93" w:rsidP="007005BA">
      <w:pPr>
        <w:ind w:left="567" w:right="567"/>
        <w:rPr>
          <w:sz w:val="18"/>
          <w:lang w:val="fr-FR"/>
        </w:rPr>
      </w:pPr>
      <w:r w:rsidRPr="00293B75">
        <w:rPr>
          <w:sz w:val="18"/>
          <w:lang w:val="fr-FR"/>
        </w:rPr>
        <w:t>“Quelles sont les conditions à remplir pour pouvoir protéger une nouvelle variété végétale?”</w:t>
      </w:r>
    </w:p>
    <w:p w:rsidR="00DB5A93" w:rsidRPr="00293B75" w:rsidRDefault="00DB5A93" w:rsidP="007005BA">
      <w:pPr>
        <w:rPr>
          <w:highlight w:val="yellow"/>
          <w:lang w:val="fr-FR"/>
        </w:rPr>
      </w:pPr>
    </w:p>
    <w:p w:rsidR="00DB5A93" w:rsidRPr="00293B75" w:rsidRDefault="00DB5A93" w:rsidP="007005BA">
      <w:pPr>
        <w:rPr>
          <w:highlight w:val="yellow"/>
          <w:lang w:val="fr-FR"/>
        </w:rPr>
      </w:pPr>
    </w:p>
    <w:p w:rsidR="00DB5A93" w:rsidRPr="00293B75" w:rsidRDefault="00DB5A93" w:rsidP="007005BA">
      <w:pPr>
        <w:keepNext/>
        <w:ind w:left="567" w:hanging="567"/>
        <w:rPr>
          <w:lang w:val="fr-FR"/>
        </w:rPr>
      </w:pPr>
      <w:r w:rsidRPr="00293B75">
        <w:rPr>
          <w:u w:val="single"/>
          <w:lang w:val="fr-FR"/>
        </w:rPr>
        <w:t>Dénominations variétales</w:t>
      </w:r>
    </w:p>
    <w:p w:rsidR="00DB5A93" w:rsidRPr="00293B75" w:rsidRDefault="00DB5A93" w:rsidP="007005BA">
      <w:pPr>
        <w:keepNext/>
        <w:ind w:left="567" w:hanging="567"/>
        <w:rPr>
          <w:lang w:val="fr-FR"/>
        </w:rPr>
      </w:pPr>
    </w:p>
    <w:p w:rsidR="00DB5A93" w:rsidRPr="00293B75" w:rsidRDefault="00DB5A93" w:rsidP="007005BA">
      <w:pPr>
        <w:ind w:left="567" w:hanging="567"/>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TC/51/12.</w:t>
      </w:r>
    </w:p>
    <w:p w:rsidR="00DB5A93" w:rsidRPr="00293B75" w:rsidRDefault="00DB5A93" w:rsidP="007005BA">
      <w:pPr>
        <w:ind w:left="567" w:hanging="567"/>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travaux sur la possibilité d’élaborer un outil de recherche de similarités de l’UPOV aux fins des dénominations variétales par le groupe de travail sur l’élaboration d’un outil de recherche de similarités de l’UPOV (WG</w:t>
      </w:r>
      <w:r w:rsidRPr="00293B75">
        <w:rPr>
          <w:lang w:val="fr-FR"/>
        </w:rPr>
        <w:noBreakHyphen/>
        <w:t>DST), y compris l’étude test, comme indiqué aux paragraphes 4 à 15 du document TC</w:t>
      </w:r>
      <w:r w:rsidRPr="00293B75">
        <w:rPr>
          <w:rFonts w:cs="Arial"/>
          <w:snapToGrid w:val="0"/>
          <w:lang w:val="fr-FR"/>
        </w:rPr>
        <w:t>/51/12.  Le TC prend également note que la conclusion de l’étude sera communiquée à la deuxième réunion du WG</w:t>
      </w:r>
      <w:r w:rsidRPr="00293B75">
        <w:rPr>
          <w:rFonts w:cs="Arial"/>
          <w:snapToGrid w:val="0"/>
          <w:lang w:val="fr-FR"/>
        </w:rPr>
        <w:noBreakHyphen/>
        <w:t>DST</w:t>
      </w:r>
      <w:r w:rsidRPr="00293B75">
        <w:rPr>
          <w:lang w:val="fr-FR" w:eastAsia="ja-JP"/>
        </w:rPr>
        <w:t xml:space="preserve"> et que l’outil de recherche le plus efficace sera décrit et commenté</w:t>
      </w:r>
      <w:r w:rsidRPr="00293B75">
        <w:rPr>
          <w:lang w:val="fr-FR"/>
        </w:rPr>
        <w:t>.</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 la proposition de révision du document UPOV/INF/12 en ce qui concerne les modifications de dénominations variétales enregistrées, comme indiqué au paragraphe 20 du</w:t>
      </w:r>
      <w:r w:rsidRPr="00293B75">
        <w:rPr>
          <w:rFonts w:eastAsia="MS Mincho"/>
          <w:snapToGrid w:val="0"/>
          <w:lang w:val="fr-FR" w:eastAsia="ja-JP"/>
        </w:rPr>
        <w:t xml:space="preserve"> </w:t>
      </w:r>
      <w:r w:rsidRPr="00293B75">
        <w:rPr>
          <w:lang w:val="fr-FR"/>
        </w:rPr>
        <w:t>document TC</w:t>
      </w:r>
      <w:r w:rsidRPr="00293B75">
        <w:rPr>
          <w:rFonts w:cs="Arial"/>
          <w:snapToGrid w:val="0"/>
          <w:lang w:val="fr-FR"/>
        </w:rPr>
        <w:t>/51/12</w:t>
      </w:r>
      <w:r w:rsidRPr="00293B75">
        <w:rPr>
          <w:lang w:val="fr-FR"/>
        </w:rPr>
        <w:t>, et que, sous réserve de l’accord du CAJ, ladite révision sera proposée pour adoption par le Conseil à sa quarante</w:t>
      </w:r>
      <w:r w:rsidRPr="00293B75">
        <w:rPr>
          <w:lang w:val="fr-FR"/>
        </w:rPr>
        <w:noBreakHyphen/>
        <w:t>neuvième session ordinaire prévue le 28 octobre 2015.</w:t>
      </w:r>
    </w:p>
    <w:p w:rsidR="00DB5A93" w:rsidRPr="00293B75" w:rsidRDefault="00DB5A93" w:rsidP="007005BA">
      <w:pPr>
        <w:ind w:left="567" w:hanging="567"/>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du fait que le CAJ, à sa soixante et onzième session, pourrait inviter le WG</w:t>
      </w:r>
      <w:r w:rsidRPr="00293B75">
        <w:rPr>
          <w:lang w:val="fr-FR"/>
        </w:rPr>
        <w:noBreakHyphen/>
        <w:t>DST à examiner les observations formulées par le CAJ</w:t>
      </w:r>
      <w:r w:rsidRPr="00293B75">
        <w:rPr>
          <w:lang w:val="fr-FR"/>
        </w:rPr>
        <w:noBreakHyphen/>
        <w:t>AG à sa neuvième session sur les propositions figurant dans le document UPOV/INF/12/5 Draft 2 concernant les sections 2.2.2.b), 2.3.1.c) et d), et 2.3.3, telles qu’elles figurent au paragraphe 26 du document TC</w:t>
      </w:r>
      <w:r w:rsidRPr="00293B75">
        <w:rPr>
          <w:rFonts w:cs="Arial"/>
          <w:snapToGrid w:val="0"/>
          <w:lang w:val="fr-FR"/>
        </w:rPr>
        <w:t>/51/12.</w:t>
      </w:r>
    </w:p>
    <w:p w:rsidR="00DB5A93" w:rsidRPr="00293B75" w:rsidRDefault="00DB5A93" w:rsidP="007005BA">
      <w:pPr>
        <w:ind w:left="567" w:hanging="567"/>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du fait que le CAJ</w:t>
      </w:r>
      <w:r w:rsidRPr="00293B75">
        <w:rPr>
          <w:rFonts w:cs="Arial"/>
          <w:lang w:val="fr-FR"/>
        </w:rPr>
        <w:t>, à sa soixante et onzième session, pourrait suggérer que les propositions du CAJ</w:t>
      </w:r>
      <w:r w:rsidRPr="00293B75">
        <w:rPr>
          <w:rFonts w:cs="Arial"/>
          <w:lang w:val="fr-FR"/>
        </w:rPr>
        <w:noBreakHyphen/>
        <w:t>AG concernant les sections 2.2.2.c), 4.a) et 4.e)i) soient examinées par le CAJ, à sa soixante</w:t>
      </w:r>
      <w:r w:rsidRPr="00293B75">
        <w:rPr>
          <w:rFonts w:cs="Arial"/>
          <w:lang w:val="fr-FR"/>
        </w:rPr>
        <w:noBreakHyphen/>
        <w:t xml:space="preserve">douzième session, comme indiqué au paragraphe 27 du </w:t>
      </w:r>
      <w:r w:rsidRPr="00293B75">
        <w:rPr>
          <w:lang w:val="fr-FR"/>
        </w:rPr>
        <w:t>document TC</w:t>
      </w:r>
      <w:r w:rsidRPr="00293B75">
        <w:rPr>
          <w:rFonts w:cs="Arial"/>
          <w:snapToGrid w:val="0"/>
          <w:lang w:val="fr-FR"/>
        </w:rPr>
        <w:t>/51/12.</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La délégation de l’Argentine indique qu’elle mène une étude sur les dénominations variétales qui serait présentée au CAJ à sa session en octobre 2015.</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keepNext/>
        <w:ind w:left="567" w:hanging="567"/>
        <w:rPr>
          <w:u w:val="single"/>
          <w:lang w:val="fr-FR"/>
        </w:rPr>
      </w:pPr>
      <w:r w:rsidRPr="00293B75">
        <w:rPr>
          <w:u w:val="single"/>
          <w:lang w:val="fr-FR"/>
        </w:rPr>
        <w:t>Informations et bases de données</w:t>
      </w:r>
    </w:p>
    <w:p w:rsidR="00DB5A93" w:rsidRPr="00293B75" w:rsidRDefault="00DB5A93" w:rsidP="007005BA">
      <w:pPr>
        <w:keepNext/>
        <w:ind w:left="567" w:hanging="567"/>
        <w:rPr>
          <w:u w:val="single"/>
          <w:lang w:val="fr-FR"/>
        </w:rPr>
      </w:pPr>
    </w:p>
    <w:p w:rsidR="00DB5A93" w:rsidRPr="00293B75" w:rsidRDefault="00DB5A93" w:rsidP="007005BA">
      <w:pPr>
        <w:rPr>
          <w:i/>
          <w:lang w:val="fr-FR"/>
        </w:rPr>
      </w:pPr>
      <w:r w:rsidRPr="00293B75">
        <w:rPr>
          <w:i/>
          <w:lang w:val="fr-FR"/>
        </w:rPr>
        <w:t>a)</w:t>
      </w:r>
      <w:r w:rsidRPr="00293B75">
        <w:rPr>
          <w:i/>
          <w:lang w:val="fr-FR"/>
        </w:rPr>
        <w:tab/>
        <w:t>Bases de données d’information de l’UPOV</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TC/51/6.</w:t>
      </w: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Base de données GENIE</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Informations sur le type de plante</w:t>
      </w:r>
    </w:p>
    <w:p w:rsidR="00DB5A93" w:rsidRPr="00293B75" w:rsidRDefault="00DB5A93" w:rsidP="007005BA">
      <w:pPr>
        <w:rPr>
          <w:lang w:val="fr-FR"/>
        </w:rPr>
      </w:pPr>
    </w:p>
    <w:p w:rsidR="00DB5A93" w:rsidRPr="00293B75" w:rsidRDefault="00DB5A93" w:rsidP="007005BA">
      <w:pPr>
        <w:rPr>
          <w:rFonts w:cs="Arial"/>
          <w:snapToGrid w:val="0"/>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informations sur l’attribution de type(s) de plante aux codes UPOV actuellement utilisés dans la base de données PLUTO, comme indiqué aux paragraphes 12 et 13 du document TC</w:t>
      </w:r>
      <w:r w:rsidRPr="00293B75">
        <w:rPr>
          <w:rFonts w:cs="Arial"/>
          <w:snapToGrid w:val="0"/>
          <w:lang w:val="fr-FR"/>
        </w:rPr>
        <w:t>/51/6.</w:t>
      </w:r>
    </w:p>
    <w:p w:rsidR="00DB5A93" w:rsidRPr="00293B75" w:rsidRDefault="00DB5A93" w:rsidP="007005BA">
      <w:pPr>
        <w:rPr>
          <w:rFonts w:cs="Arial"/>
          <w:snapToGrid w:val="0"/>
          <w:lang w:val="fr-FR"/>
        </w:rPr>
      </w:pPr>
    </w:p>
    <w:p w:rsidR="00DB5A93" w:rsidRPr="00293B75" w:rsidRDefault="00DB5A93" w:rsidP="007005BA">
      <w:pPr>
        <w:spacing w:after="240"/>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TC prend note que </w:t>
      </w:r>
      <w:r w:rsidRPr="00293B75">
        <w:rPr>
          <w:lang w:val="fr-FR" w:eastAsia="ja-JP"/>
        </w:rPr>
        <w:t>les informations relatives au(x) type(s) de plante seront introduites dans la base de données GENIE, qui sera modifiée pour indiquer le(s) type(s) de plante pour chaque code UPOV d’ici à la fin du mois de mars 2015.</w:t>
      </w:r>
    </w:p>
    <w:p w:rsidR="00DB5A93" w:rsidRPr="00293B75" w:rsidRDefault="00DB5A93" w:rsidP="007005BA">
      <w:pPr>
        <w:spacing w:after="240"/>
        <w:rPr>
          <w:snapToGrid w:val="0"/>
          <w:lang w:val="fr-FR" w:eastAsia="ja-JP"/>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TC prend </w:t>
      </w:r>
      <w:r w:rsidRPr="00293B75">
        <w:rPr>
          <w:lang w:val="fr-FR" w:eastAsia="ja-JP"/>
        </w:rPr>
        <w:t>note</w:t>
      </w:r>
      <w:r w:rsidRPr="00293B75">
        <w:rPr>
          <w:snapToGrid w:val="0"/>
          <w:lang w:val="fr-FR" w:eastAsia="ja-JP"/>
        </w:rPr>
        <w:t xml:space="preserve"> qu’un rapport standard sur les attributions des TWP pour les codes UPOV sera publié sur la page Web consacrée à la base de données GENIE d’ici à la fin du mois de mars 2015.</w:t>
      </w: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w:t>
      </w:r>
      <w:r w:rsidRPr="00293B75">
        <w:rPr>
          <w:lang w:val="fr-FR" w:eastAsia="ja-JP"/>
        </w:rPr>
        <w:t xml:space="preserve"> accepte que le Bureau de l’Union établisse des tableaux d’attribution de type(s) de plante aux codes UPOV qui sont utilisés dans la base de données PLUTO pour la première fois, aux fins de leur vérification par les services compétents, pour chacune des sessions des TWP en 2015.</w:t>
      </w: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Système de codes UPOV</w:t>
      </w:r>
    </w:p>
    <w:p w:rsidR="00DB5A93" w:rsidRPr="00293B75" w:rsidRDefault="00DB5A93" w:rsidP="007005BA">
      <w:pPr>
        <w:keepNext/>
        <w:rPr>
          <w:lang w:val="fr-FR"/>
        </w:rPr>
      </w:pPr>
    </w:p>
    <w:p w:rsidR="00DB5A93" w:rsidRPr="00293B75" w:rsidRDefault="00DB5A93" w:rsidP="007005BA">
      <w:pPr>
        <w:rPr>
          <w:rFonts w:cs="Arial"/>
          <w:snapToGrid w:val="0"/>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TC examine les faits nouveaux concernant les codes UPOV, tels qu’ils figurent au paragraphe 17 du document TC/51/6.  Le TC prend note qu’en </w:t>
      </w:r>
      <w:r w:rsidRPr="00293B75">
        <w:rPr>
          <w:rFonts w:cs="Arial"/>
          <w:snapToGrid w:val="0"/>
          <w:lang w:val="fr-FR"/>
        </w:rPr>
        <w:t>201</w:t>
      </w:r>
      <w:r w:rsidRPr="00293B75">
        <w:rPr>
          <w:rFonts w:cs="Arial"/>
          <w:snapToGrid w:val="0"/>
          <w:lang w:val="fr-FR" w:eastAsia="ja-JP"/>
        </w:rPr>
        <w:t>4</w:t>
      </w:r>
      <w:r w:rsidRPr="00293B75">
        <w:rPr>
          <w:rFonts w:cs="Arial"/>
          <w:snapToGrid w:val="0"/>
          <w:lang w:val="fr-FR"/>
        </w:rPr>
        <w:t xml:space="preserve">, </w:t>
      </w:r>
      <w:r w:rsidRPr="00293B75">
        <w:rPr>
          <w:rFonts w:cs="Arial"/>
          <w:snapToGrid w:val="0"/>
          <w:lang w:val="fr-FR" w:eastAsia="ja-JP"/>
        </w:rPr>
        <w:t>577 nouveaux codes UPOV ont été créés et 37 codes UPOV existants ont été modifiés</w:t>
      </w:r>
      <w:r w:rsidRPr="00293B75">
        <w:rPr>
          <w:rFonts w:cs="Arial"/>
          <w:snapToGrid w:val="0"/>
          <w:lang w:val="fr-FR"/>
        </w:rPr>
        <w:t>.  Le TC note également que le nombre total de codes UPOV figurant dans la base de données GENIE était de 7808 à la fin de 2014.</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w:t>
      </w:r>
      <w:r w:rsidRPr="00293B75">
        <w:rPr>
          <w:lang w:val="fr-FR" w:eastAsia="ja-JP"/>
        </w:rPr>
        <w:t xml:space="preserve"> convient que le Bureau de l’Union établira des tableaux des ajouts et des modifications apportés aux codes UPOV pour vérification par les services compétents pour chacune des sessions des TWP en 2015, comme indiqué au paragraphe 18 du document TC</w:t>
      </w:r>
      <w:r w:rsidRPr="00293B75">
        <w:rPr>
          <w:lang w:val="fr-FR"/>
        </w:rPr>
        <w:t>/51/6.</w:t>
      </w:r>
    </w:p>
    <w:p w:rsidR="00BD65E7" w:rsidRPr="00293B75" w:rsidRDefault="00BD65E7" w:rsidP="007005BA">
      <w:pPr>
        <w:pStyle w:val="Heading4"/>
        <w:rPr>
          <w:lang w:val="fr-FR"/>
        </w:rPr>
      </w:pPr>
    </w:p>
    <w:p w:rsidR="00DB5A93" w:rsidRPr="00293B75" w:rsidRDefault="00DB5A93" w:rsidP="007005BA">
      <w:pPr>
        <w:pStyle w:val="Heading4"/>
        <w:rPr>
          <w:lang w:val="fr-FR"/>
        </w:rPr>
      </w:pPr>
      <w:r w:rsidRPr="00293B75">
        <w:rPr>
          <w:lang w:val="fr-FR"/>
        </w:rPr>
        <w:t>Base de données PLUTO</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 la synthèse des contributions à la base de données PLUTO de 2012 à 2014 et de l’état actuel des apports de données par les membres de l’Union, tel que présenté à l’annexe II du document TC/51/6.</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du fait que le nombre d’apports de données à la base de données PLUTO figurant à l’annexe II du document TC/51/6 ne comprend pas tous les apports de données effectués par l’Office communautaire des variétés végétales (OCVV) au cours de l’application des dispositions transitoires aux fins de téléchargement de données en ligne et prend note que l’Office fournira une version corrigée de l’annexe II.</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du fait qu’une colonne additionnelle indiquant la date à laquelle l’information a été fournie sera intégrée à l’écran de recherche PLUTO avant la fin du mois de mars 2015</w:t>
      </w:r>
      <w:r w:rsidRPr="00293B75">
        <w:rPr>
          <w:lang w:val="fr-FR" w:eastAsia="ja-JP"/>
        </w:rPr>
        <w:t>.</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que les champs “Dénomination” et “Référence de l’obtenteur” puissent être consultés, de manière individuelle ou combinée, au moyen des outils de recherche de dénomination sur la page “Recherche de dénomination” de la base de données PLUTO, comme indiqué aux paragraphes 28 et 29 du document TC</w:t>
      </w:r>
      <w:r w:rsidRPr="00293B75">
        <w:rPr>
          <w:lang w:val="fr-FR" w:eastAsia="ja-JP"/>
        </w:rPr>
        <w:t>/51/6</w:t>
      </w:r>
      <w:r w:rsidRPr="00293B75">
        <w:rPr>
          <w:lang w:val="fr-FR"/>
        </w:rPr>
        <w:t>, et prend note que les conclusions du TC sur cette question seront communiquées au CAJ à sa soixante et onzième session, prévue à Genève le 26 mars 2015</w:t>
      </w:r>
      <w:r w:rsidRPr="00293B75">
        <w:rPr>
          <w:lang w:val="fr-FR" w:eastAsia="ja-JP"/>
        </w:rPr>
        <w:t>.</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informations relatives au cours de formation sur les apports de données à la base de données PLUTO qui s’est tenu à Genève en décembre 2014, comme indiqué aux paragraphes 31 à 34 du document TC</w:t>
      </w:r>
      <w:r w:rsidRPr="00293B75">
        <w:rPr>
          <w:lang w:val="fr-FR" w:eastAsia="ja-JP"/>
        </w:rPr>
        <w:t>/51/6</w:t>
      </w:r>
      <w:r w:rsidRPr="00293B75">
        <w:rPr>
          <w:lang w:val="fr-FR"/>
        </w:rPr>
        <w:t>, ainsi que des projets relatifs à l’organisation de trois autres cours, en français, anglais et espagnol, en 2015</w:t>
      </w:r>
      <w:r w:rsidRPr="00293B75">
        <w:rPr>
          <w:snapToGrid w:val="0"/>
          <w:lang w:val="fr-FR"/>
        </w:rPr>
        <w:t>.</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pStyle w:val="Heading3"/>
        <w:rPr>
          <w:color w:val="auto"/>
        </w:rPr>
      </w:pPr>
      <w:r w:rsidRPr="00293B75">
        <w:rPr>
          <w:color w:val="auto"/>
        </w:rPr>
        <w:t>b)</w:t>
      </w:r>
      <w:r w:rsidRPr="00293B75">
        <w:rPr>
          <w:color w:val="auto"/>
        </w:rPr>
        <w:tab/>
        <w:t>Systèmes de dépôt électronique des demandes</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TC/51/7 “Systèmes de dépôt électronique des demandes”.</w:t>
      </w:r>
    </w:p>
    <w:p w:rsidR="00DB5A93" w:rsidRPr="00293B75" w:rsidRDefault="00DB5A93" w:rsidP="007005BA">
      <w:pPr>
        <w:rPr>
          <w:lang w:val="fr-FR"/>
        </w:rPr>
      </w:pPr>
    </w:p>
    <w:p w:rsidR="00DB5A93" w:rsidRPr="00293B75" w:rsidRDefault="00DB5A93" w:rsidP="007005BA">
      <w:pPr>
        <w:rPr>
          <w:snapToGrid w:val="0"/>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faits nouveaux concernant l’élaboration d’un prototype de formulaire électronique, tels qu’ils sont consignés dans le document TC/51/7.</w:t>
      </w:r>
    </w:p>
    <w:p w:rsidR="00DB5A93" w:rsidRPr="00293B75" w:rsidRDefault="00DB5A93" w:rsidP="007005BA">
      <w:pPr>
        <w:rPr>
          <w:snapToGrid w:val="0"/>
          <w:lang w:val="fr-FR"/>
        </w:rPr>
      </w:pPr>
    </w:p>
    <w:p w:rsidR="00DB5A93" w:rsidRPr="00293B75" w:rsidRDefault="00DB5A93" w:rsidP="007005BA">
      <w:pPr>
        <w:rPr>
          <w:snapToGrid w:val="0"/>
          <w:lang w:val="fr-FR"/>
        </w:rPr>
      </w:pPr>
      <w:r w:rsidRPr="00293B75">
        <w:rPr>
          <w:snapToGrid w:val="0"/>
          <w:lang w:val="fr-FR"/>
        </w:rPr>
        <w:fldChar w:fldCharType="begin"/>
      </w:r>
      <w:r w:rsidRPr="00293B75">
        <w:rPr>
          <w:snapToGrid w:val="0"/>
          <w:lang w:val="fr-FR"/>
        </w:rPr>
        <w:instrText xml:space="preserve"> AUTONUM  </w:instrText>
      </w:r>
      <w:r w:rsidRPr="00293B75">
        <w:rPr>
          <w:snapToGrid w:val="0"/>
          <w:lang w:val="fr-FR"/>
        </w:rPr>
        <w:fldChar w:fldCharType="end"/>
      </w:r>
      <w:r w:rsidRPr="00293B75">
        <w:rPr>
          <w:snapToGrid w:val="0"/>
          <w:lang w:val="fr-FR"/>
        </w:rPr>
        <w:tab/>
        <w:t xml:space="preserve">L’Union européenne demande à bénéficier d’un délai supplémentaire pour fournir des observations concernant l’élaboration du </w:t>
      </w:r>
      <w:r w:rsidRPr="00293B75">
        <w:rPr>
          <w:lang w:val="fr-FR"/>
        </w:rPr>
        <w:t>prototype de formulaire électronique</w:t>
      </w:r>
      <w:r w:rsidRPr="00293B75">
        <w:rPr>
          <w:snapToGrid w:val="0"/>
          <w:lang w:val="fr-FR"/>
        </w:rPr>
        <w:t>.  Le Bureau de l’UPOV précise que toutes observations reçues pourraient être prises en considération dans les versions ultérieures du prototype et invite tous les membres de l’UPOV et les obtenteurs à se joindre au projet.</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pStyle w:val="Heading3"/>
        <w:rPr>
          <w:color w:val="auto"/>
        </w:rPr>
      </w:pPr>
      <w:r w:rsidRPr="00293B75">
        <w:rPr>
          <w:color w:val="auto"/>
        </w:rPr>
        <w:t>c)</w:t>
      </w:r>
      <w:r w:rsidRPr="00293B75">
        <w:rPr>
          <w:color w:val="auto"/>
        </w:rPr>
        <w:tab/>
        <w:t>Logiciels échangeables</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TC/51/8.</w:t>
      </w: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Document UPOV/INF/16 “Logiciels échangeables”</w:t>
      </w:r>
    </w:p>
    <w:p w:rsidR="00DB5A93" w:rsidRPr="00293B75" w:rsidRDefault="00DB5A93" w:rsidP="007005BA">
      <w:pPr>
        <w:keepNext/>
        <w:rPr>
          <w:rFonts w:eastAsia="MS Mincho"/>
          <w:u w:val="single"/>
          <w:lang w:val="fr-FR"/>
        </w:rPr>
      </w:pPr>
    </w:p>
    <w:p w:rsidR="00DB5A93" w:rsidRPr="00293B75" w:rsidRDefault="00DB5A93" w:rsidP="007005BA">
      <w:pPr>
        <w:pStyle w:val="Heading5"/>
        <w:rPr>
          <w:color w:val="auto"/>
        </w:rPr>
      </w:pPr>
      <w:r w:rsidRPr="00293B75">
        <w:rPr>
          <w:color w:val="auto"/>
        </w:rPr>
        <w:t>Révision du document UPOV/INF/16</w:t>
      </w:r>
    </w:p>
    <w:p w:rsidR="00DB5A93" w:rsidRPr="00293B75" w:rsidRDefault="00DB5A93" w:rsidP="007005BA">
      <w:pPr>
        <w:keepNext/>
        <w:rPr>
          <w:rFonts w:eastAsia="MS Mincho"/>
          <w:lang w:val="fr-FR"/>
        </w:rPr>
      </w:pPr>
    </w:p>
    <w:p w:rsidR="00DB5A93" w:rsidRPr="00293B75" w:rsidRDefault="00DB5A93" w:rsidP="007005BA">
      <w:pPr>
        <w:rPr>
          <w:rFonts w:eastAsia="MS Mincho"/>
          <w:lang w:val="fr-FR"/>
        </w:rPr>
      </w:pPr>
      <w:r w:rsidRPr="00293B75">
        <w:rPr>
          <w:rFonts w:eastAsia="MS Mincho"/>
          <w:lang w:val="fr-FR"/>
        </w:rPr>
        <w:fldChar w:fldCharType="begin"/>
      </w:r>
      <w:r w:rsidRPr="00293B75">
        <w:rPr>
          <w:rFonts w:eastAsia="MS Mincho"/>
          <w:lang w:val="fr-FR"/>
        </w:rPr>
        <w:instrText xml:space="preserve"> AUTONUM  </w:instrText>
      </w:r>
      <w:r w:rsidRPr="00293B75">
        <w:rPr>
          <w:rFonts w:eastAsia="MS Mincho"/>
          <w:lang w:val="fr-FR"/>
        </w:rPr>
        <w:fldChar w:fldCharType="end"/>
      </w:r>
      <w:r w:rsidRPr="00293B75">
        <w:rPr>
          <w:rFonts w:eastAsia="MS Mincho"/>
          <w:lang w:val="fr-FR"/>
        </w:rPr>
        <w:tab/>
        <w:t>Le TC prend note du fait que le Conseil, à sa quarante</w:t>
      </w:r>
      <w:r w:rsidRPr="00293B75">
        <w:rPr>
          <w:rFonts w:eastAsia="MS Mincho"/>
          <w:lang w:val="fr-FR"/>
        </w:rPr>
        <w:noBreakHyphen/>
        <w:t>huitième session ordinaire tenue à Genève le 16 octobre 2014, avait adopté la révision du document UPOV/INF/16 “Logiciels échangeables” (document UPOV/INF/16/4).</w:t>
      </w:r>
    </w:p>
    <w:p w:rsidR="00DB5A93" w:rsidRPr="00293B75" w:rsidRDefault="00DB5A93" w:rsidP="007005BA">
      <w:pPr>
        <w:rPr>
          <w:rFonts w:eastAsia="MS Mincho"/>
          <w:lang w:val="fr-FR"/>
        </w:rPr>
      </w:pPr>
    </w:p>
    <w:p w:rsidR="00DB5A93" w:rsidRPr="00293B75" w:rsidRDefault="00DB5A93" w:rsidP="007005BA">
      <w:pPr>
        <w:pStyle w:val="Heading5"/>
        <w:rPr>
          <w:color w:val="auto"/>
        </w:rPr>
      </w:pPr>
      <w:r w:rsidRPr="00293B75">
        <w:rPr>
          <w:color w:val="auto"/>
        </w:rPr>
        <w:t>Logiciels proposés pour inclusion dans le document UPOV/INF/16 “Logiciels échangeables”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les débats sur l’inclusion dans le document UPOV/INF/16 du logiciel SISNAVA se poursuivraient au sein du TWC, sous réserve de la conclusion des débats sur la variation des descriptions variétales au fil des ans en différents endroits.</w:t>
      </w:r>
    </w:p>
    <w:p w:rsidR="00DB5A93" w:rsidRPr="00293B75" w:rsidRDefault="00DB5A93" w:rsidP="007005BA">
      <w:pPr>
        <w:rPr>
          <w:lang w:val="fr-FR"/>
        </w:rPr>
      </w:pPr>
    </w:p>
    <w:p w:rsidR="00DB5A93" w:rsidRPr="00293B75" w:rsidRDefault="00DB5A93" w:rsidP="007005BA">
      <w:pPr>
        <w:pStyle w:val="Heading5"/>
        <w:rPr>
          <w:color w:val="auto"/>
        </w:rPr>
      </w:pPr>
      <w:r w:rsidRPr="00293B75">
        <w:rPr>
          <w:color w:val="auto"/>
        </w:rPr>
        <w:t>Informations sur l’utilisation par les membres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approuve la révision du document UPOV/INF/16/4 concernant l’inclusion d’informations sur l’utilisation de logiciels par les membres de l’Union, comme indiqué dans l’annexe I du document TC/51/8.</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les observations formulées par le TC à sa cinquante et unième session concernant l’utilisation de logiciels par les membres de l’Union, seraient communiquées au CAJ à sa soixante et onzième session, qui se tiendra à Genève le 26 mars 2015, et que, sous réserve de l’accord du CAJ, un projet de document UPOV/INF/16/5 serait présenté pour adoption par le Conseil à sa quarante</w:t>
      </w:r>
      <w:r w:rsidRPr="00293B75">
        <w:rPr>
          <w:lang w:val="fr-FR"/>
        </w:rPr>
        <w:noBreakHyphen/>
        <w:t>neuvième session ordinaire, qui se tiendra le 29 octobre 2015.</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Document UPOV/INF/22 “Logiciels et équipements utilisés par les membres de l’Union”</w:t>
      </w:r>
    </w:p>
    <w:p w:rsidR="00DB5A93" w:rsidRPr="00293B75" w:rsidRDefault="00DB5A93" w:rsidP="007005BA">
      <w:pPr>
        <w:keepNext/>
        <w:rPr>
          <w:lang w:val="fr-FR"/>
        </w:rPr>
      </w:pPr>
    </w:p>
    <w:p w:rsidR="00DB5A93" w:rsidRPr="00293B75" w:rsidRDefault="00DB5A93" w:rsidP="007005BA">
      <w:pPr>
        <w:pStyle w:val="Heading5"/>
        <w:rPr>
          <w:color w:val="auto"/>
        </w:rPr>
      </w:pPr>
      <w:r w:rsidRPr="00293B75">
        <w:rPr>
          <w:color w:val="auto"/>
        </w:rPr>
        <w:t>Adoption du document UPOV/INF/22/1</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du fait que le Conseil, à sa quarante</w:t>
      </w:r>
      <w:r w:rsidRPr="00293B75">
        <w:rPr>
          <w:lang w:val="fr-FR"/>
        </w:rPr>
        <w:noBreakHyphen/>
        <w:t>huitième session ordinaire, tenue à Genève le 16 octobre 2014, avait adopté le document UPOV/INF/22/1 “Logiciels et équipements utilisés par les membres de l’Union”.</w:t>
      </w:r>
    </w:p>
    <w:p w:rsidR="00DB5A93" w:rsidRPr="00293B75" w:rsidRDefault="00DB5A93" w:rsidP="007005BA">
      <w:pPr>
        <w:rPr>
          <w:lang w:val="fr-FR"/>
        </w:rPr>
      </w:pPr>
    </w:p>
    <w:p w:rsidR="00DB5A93" w:rsidRPr="00293B75" w:rsidRDefault="00DB5A93" w:rsidP="007005BA">
      <w:pPr>
        <w:pStyle w:val="Heading4"/>
        <w:rPr>
          <w:lang w:val="fr-FR"/>
        </w:rPr>
      </w:pPr>
      <w:r w:rsidRPr="00293B75">
        <w:rPr>
          <w:lang w:val="fr-FR"/>
        </w:rPr>
        <w:t>Logiciels et équipements qu’il est proposé d’inclure dans le document UPOV/INF/22</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informations figurant à l’annexe II du document TC/51/8 pour inclusion dans le document UPOV/INF/22, sous réserve de corrections devant être fournies par l’Allemagne et de la vérification des données fournies par l’Uruguay.</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que, sous réserve de l’accord du TC à sa cinquante et unième session, les observations du TC concernant l’utilisation de logiciels par les membres de l’Union seraient communiquées au CAJ à sa soixante et onzième session, et que, sous réserve de l’accord du CAJ, un projet de document UPOV/INF/22/2 sera présenté pour adoption par le Conseil à sa quarante</w:t>
      </w:r>
      <w:r w:rsidRPr="00293B75">
        <w:rPr>
          <w:lang w:val="fr-FR"/>
        </w:rPr>
        <w:noBreakHyphen/>
        <w:t>neuvième session ordinaire, qui se tiendra le 29 octobre 2015.</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pStyle w:val="Heading3"/>
        <w:rPr>
          <w:color w:val="auto"/>
        </w:rPr>
      </w:pPr>
      <w:r w:rsidRPr="00293B75">
        <w:rPr>
          <w:color w:val="auto"/>
        </w:rPr>
        <w:t>d)</w:t>
      </w:r>
      <w:r w:rsidRPr="00293B75">
        <w:rPr>
          <w:color w:val="auto"/>
        </w:rPr>
        <w:tab/>
        <w:t>Bases de données sur les descriptions variétales</w:t>
      </w:r>
    </w:p>
    <w:p w:rsidR="00DB5A93" w:rsidRPr="00293B75" w:rsidRDefault="00DB5A93" w:rsidP="007005BA">
      <w:pPr>
        <w:keepNext/>
        <w:rPr>
          <w:lang w:val="fr-FR"/>
        </w:rPr>
      </w:pPr>
    </w:p>
    <w:p w:rsidR="00DB5A93" w:rsidRPr="00293B75" w:rsidRDefault="00DB5A93" w:rsidP="007005BA">
      <w:pPr>
        <w:keepNext/>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TC/51/9 “Bases de données sur les descriptions variétales”.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faits nouveaux concernant les bases de données sur les descriptions variétales, présentés dans le document TC/51/9 et notamment :</w:t>
      </w:r>
    </w:p>
    <w:p w:rsidR="00DB5A93" w:rsidRPr="00293B75" w:rsidRDefault="00DB5A93" w:rsidP="007005BA">
      <w:pPr>
        <w:rPr>
          <w:lang w:val="fr-FR"/>
        </w:rPr>
      </w:pPr>
    </w:p>
    <w:p w:rsidR="00DB5A93" w:rsidRPr="00293B75" w:rsidRDefault="00DB5A93" w:rsidP="007005BA">
      <w:pPr>
        <w:ind w:left="1134" w:hanging="567"/>
        <w:rPr>
          <w:lang w:val="fr-FR"/>
        </w:rPr>
      </w:pPr>
      <w:r w:rsidRPr="00293B75">
        <w:rPr>
          <w:lang w:val="fr-FR"/>
        </w:rPr>
        <w:t>a)</w:t>
      </w:r>
      <w:r w:rsidRPr="00293B75">
        <w:rPr>
          <w:lang w:val="fr-FR"/>
        </w:rPr>
        <w:tab/>
        <w:t>que le TWO est convenu qu’il ne serait pas approprié pour l’heure d’élaborer une base de données pour une espèce ornementale;  et</w:t>
      </w:r>
    </w:p>
    <w:p w:rsidR="00DB5A93" w:rsidRPr="00293B75" w:rsidRDefault="00DB5A93" w:rsidP="007005BA">
      <w:pPr>
        <w:rPr>
          <w:lang w:val="fr-FR"/>
        </w:rPr>
      </w:pPr>
    </w:p>
    <w:p w:rsidR="00DB5A93" w:rsidRPr="00293B75" w:rsidRDefault="00DB5A93" w:rsidP="007005BA">
      <w:pPr>
        <w:ind w:left="1134" w:hanging="567"/>
        <w:rPr>
          <w:lang w:val="fr-FR"/>
        </w:rPr>
      </w:pPr>
      <w:r w:rsidRPr="00293B75">
        <w:rPr>
          <w:lang w:val="fr-FR"/>
        </w:rPr>
        <w:t>b)</w:t>
      </w:r>
      <w:r w:rsidRPr="00293B75">
        <w:rPr>
          <w:lang w:val="fr-FR"/>
        </w:rPr>
        <w:tab/>
        <w:t>que le TWC a invité un expert de la Chine à présenter, à la trente</w:t>
      </w:r>
      <w:r w:rsidRPr="00293B75">
        <w:rPr>
          <w:lang w:val="fr-FR"/>
        </w:rPr>
        <w:noBreakHyphen/>
        <w:t>troisième session du TWC, un exposé sur l’analyse de la variance pour l’interaction “variété x site” (environnement) des caractères QN, dont il est question dans l’étude, au moyen du module statistique du nouveau logiciel “DUSTC” mis au point par la Chine.</w:t>
      </w:r>
    </w:p>
    <w:p w:rsidR="00DB5A93" w:rsidRPr="00293B75" w:rsidRDefault="00DB5A93" w:rsidP="007005BA">
      <w:pPr>
        <w:rPr>
          <w:snapToGrid w:val="0"/>
          <w:lang w:val="fr-FR"/>
        </w:rPr>
      </w:pPr>
    </w:p>
    <w:p w:rsidR="00DB5A93" w:rsidRPr="00293B75" w:rsidRDefault="00DB5A93" w:rsidP="007005BA">
      <w:pPr>
        <w:spacing w:after="480"/>
        <w:rPr>
          <w:snapToGrid w:val="0"/>
          <w:lang w:val="fr-FR"/>
        </w:rPr>
      </w:pPr>
      <w:r w:rsidRPr="00293B75">
        <w:rPr>
          <w:snapToGrid w:val="0"/>
          <w:lang w:val="fr-FR"/>
        </w:rPr>
        <w:fldChar w:fldCharType="begin"/>
      </w:r>
      <w:r w:rsidRPr="00293B75">
        <w:rPr>
          <w:snapToGrid w:val="0"/>
          <w:lang w:val="fr-FR"/>
        </w:rPr>
        <w:instrText xml:space="preserve"> AUTONUM  </w:instrText>
      </w:r>
      <w:r w:rsidRPr="00293B75">
        <w:rPr>
          <w:snapToGrid w:val="0"/>
          <w:lang w:val="fr-FR"/>
        </w:rPr>
        <w:fldChar w:fldCharType="end"/>
      </w:r>
      <w:r w:rsidRPr="00293B75">
        <w:rPr>
          <w:snapToGrid w:val="0"/>
          <w:lang w:val="fr-FR"/>
        </w:rPr>
        <w:tab/>
        <w:t>Le TC prend note de l’importance des bases de données pour les membres de l’UPOV et convient qu’il serait utile d’inscrire à l’ordre du jour de la cinquante</w:t>
      </w:r>
      <w:r w:rsidRPr="00293B75">
        <w:rPr>
          <w:snapToGrid w:val="0"/>
          <w:lang w:val="fr-FR"/>
        </w:rPr>
        <w:noBreakHyphen/>
        <w:t>deuxième session du Comité technique un sujet de discussion sur l’aide à la mise au point des bases de données.</w:t>
      </w:r>
    </w:p>
    <w:p w:rsidR="00DB5A93" w:rsidRPr="00293B75" w:rsidRDefault="00DB5A93" w:rsidP="007005BA">
      <w:pPr>
        <w:keepNext/>
        <w:rPr>
          <w:u w:val="single"/>
          <w:lang w:val="fr-FR"/>
        </w:rPr>
      </w:pPr>
      <w:r w:rsidRPr="00293B75">
        <w:rPr>
          <w:u w:val="single"/>
          <w:lang w:val="fr-FR"/>
        </w:rPr>
        <w:t>Questions concernant les descriptions variétales</w:t>
      </w:r>
    </w:p>
    <w:p w:rsidR="00DB5A93" w:rsidRPr="00293B75" w:rsidRDefault="00DB5A93" w:rsidP="007005BA">
      <w:pPr>
        <w:jc w:val="left"/>
        <w:rPr>
          <w:lang w:val="fr-FR"/>
        </w:rPr>
      </w:pPr>
    </w:p>
    <w:p w:rsidR="00DB5A93" w:rsidRPr="00293B75" w:rsidRDefault="00DB5A93" w:rsidP="007005BA">
      <w:pPr>
        <w:jc w:val="left"/>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TC/51/38 “Questions concernant les descriptions variétales”</w:t>
      </w:r>
    </w:p>
    <w:p w:rsidR="00DB5A93" w:rsidRPr="00293B75" w:rsidRDefault="00DB5A93" w:rsidP="007005BA">
      <w:pPr>
        <w:jc w:val="left"/>
        <w:rPr>
          <w:lang w:val="fr-FR"/>
        </w:rPr>
      </w:pPr>
    </w:p>
    <w:p w:rsidR="00DB5A93" w:rsidRPr="00293B75" w:rsidRDefault="00DB5A93" w:rsidP="007005BA">
      <w:pPr>
        <w:pStyle w:val="Heading3"/>
        <w:rPr>
          <w:color w:val="auto"/>
        </w:rPr>
      </w:pPr>
      <w:r w:rsidRPr="00293B75">
        <w:rPr>
          <w:color w:val="auto"/>
        </w:rPr>
        <w:t>Contrôle du maintien de la variété</w:t>
      </w:r>
    </w:p>
    <w:p w:rsidR="00DB5A93" w:rsidRPr="00293B75" w:rsidRDefault="00DB5A93" w:rsidP="007005BA">
      <w:pPr>
        <w:jc w:val="lef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d’inviter des experts à faire part aux TWP, à leurs sessions de 2015, de leurs données d’expérience concernant l’utilisation des informations, des documents ou du matériel fournis par l’obtenteur aux fins du contrôle du maintien de la variété et l’utilisation de principes directeurs d’examen aux fins du contrôle du maintien de la variété, lorsque celles</w:t>
      </w:r>
      <w:r w:rsidRPr="00293B75">
        <w:rPr>
          <w:lang w:val="fr-FR"/>
        </w:rPr>
        <w:noBreakHyphen/>
        <w:t>ci se distinguent des principes directeurs utilisés pour l’examen DHS.</w:t>
      </w:r>
    </w:p>
    <w:p w:rsidR="00DB5A93" w:rsidRPr="00293B75" w:rsidRDefault="00DB5A93" w:rsidP="007005BA">
      <w:pPr>
        <w:jc w:val="left"/>
        <w:rPr>
          <w:lang w:val="fr-FR"/>
        </w:rPr>
      </w:pPr>
    </w:p>
    <w:p w:rsidR="00DB5A93" w:rsidRPr="00293B75" w:rsidRDefault="00DB5A93" w:rsidP="007005BA">
      <w:pPr>
        <w:pStyle w:val="Heading3"/>
        <w:rPr>
          <w:color w:val="auto"/>
        </w:rPr>
      </w:pPr>
      <w:r w:rsidRPr="00293B75">
        <w:rPr>
          <w:color w:val="auto"/>
        </w:rPr>
        <w:t>Questions concernant les descriptions variétales</w:t>
      </w:r>
    </w:p>
    <w:p w:rsidR="00DB5A93" w:rsidRPr="00293B75" w:rsidRDefault="00DB5A93" w:rsidP="007005BA">
      <w:pPr>
        <w:jc w:val="lef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 l’existence de différentes approches en matière d’élaboration des descriptions variétales et de contrôle du maintien de la variété au sein des membres de l’UPOV et selon les différents systèmes d’examen DHS.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informations figurant aux paragraphes 9 à 12 du document TC/51/38, relatives aux questions concernant les descriptions variétales visées au paragraphe 8 du TC/51/38.</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TC convient d’inviter des experts à indiquer aux TWP, à leurs sessions de 2015, la façon dont les descriptions variétales </w:t>
      </w:r>
      <w:proofErr w:type="gramStart"/>
      <w:r w:rsidRPr="00293B75">
        <w:rPr>
          <w:lang w:val="fr-FR"/>
        </w:rPr>
        <w:t>sont</w:t>
      </w:r>
      <w:proofErr w:type="gramEnd"/>
      <w:r w:rsidRPr="00293B75">
        <w:rPr>
          <w:lang w:val="fr-FR"/>
        </w:rPr>
        <w:t xml:space="preserve"> élaborées lors de l’examen DHS, leur utilisation après l’octroi des droits d’obtenteur et la façon dont le maintien de la variété est vérifié.  En particulier, le TC prend note de l’incidence éventuelle de l’interaction entre génotype et environnement dans l’élaboration des descriptions variétales.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convient d’inviter des experts à présenter aux TWP, à leurs sessions de 2015, le rôle du matériel végétal utilisé comme base de l’examen DHS en relation avec les questions visées au paragraphe 8 du document TC/51/38.</w:t>
      </w:r>
    </w:p>
    <w:p w:rsidR="00DB5A93" w:rsidRPr="00293B75" w:rsidRDefault="00DB5A93" w:rsidP="007005BA">
      <w:pPr>
        <w:rPr>
          <w:lang w:val="fr-FR"/>
        </w:rPr>
      </w:pPr>
    </w:p>
    <w:p w:rsidR="00DB5A93" w:rsidRPr="00293B75" w:rsidRDefault="00DB5A93" w:rsidP="007005BA">
      <w:pPr>
        <w:jc w:val="left"/>
        <w:rPr>
          <w:lang w:val="fr-FR"/>
        </w:rPr>
      </w:pPr>
    </w:p>
    <w:p w:rsidR="00DB5A93" w:rsidRPr="00293B75" w:rsidRDefault="00DB5A93" w:rsidP="007005BA">
      <w:pPr>
        <w:pStyle w:val="Heading2"/>
        <w:rPr>
          <w:lang w:val="fr-FR"/>
        </w:rPr>
      </w:pPr>
      <w:r w:rsidRPr="00293B75">
        <w:rPr>
          <w:lang w:val="fr-FR"/>
        </w:rPr>
        <w:t>Examen des moyens possibles d’améliorer l’efficacité du Comité technique, des groupes de travail techniques et des ateliers préparatoires</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TC/51/37 “Moyens possibles d’améliorer l’efficacité du Comité technique, des groupes de travail techniques et des ateliers préparatoires” et suit une présentation par le Bureau de l’UPOV.</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 la participation à l’enquête menée auprès des participants aux sessions des TWP en 2014, telle qu’elle figure au paragraphe 20 du document TC/51/37.</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résultats des enquêtes menées en 2014, tels qu’ils sont présentés à l’annexe I du document TC/51/37.</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observations formulées par les TWP à leurs sessions de 2014 sur les propositions pouvant entraîner des modifications de coût ou de calendrier, telles que présentées à l’annexe II du document TC/51/37.</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donne son aval aux propositions suivantes concernant les moyens possibles d’améliorer l’efficacité des TWP, tels qu’ils figurent au paragraphe 24 du document TC/51/37 :</w:t>
      </w:r>
    </w:p>
    <w:p w:rsidR="00DB5A93" w:rsidRPr="00293B75" w:rsidRDefault="00DB5A93" w:rsidP="007005BA">
      <w:pPr>
        <w:rPr>
          <w:lang w:val="fr-FR"/>
        </w:rPr>
      </w:pPr>
    </w:p>
    <w:tbl>
      <w:tblPr>
        <w:tblStyle w:val="TableGrid"/>
        <w:tblW w:w="9889" w:type="dxa"/>
        <w:tblLayout w:type="fixed"/>
        <w:tblLook w:val="04A0" w:firstRow="1" w:lastRow="0" w:firstColumn="1" w:lastColumn="0" w:noHBand="0" w:noVBand="1"/>
      </w:tblPr>
      <w:tblGrid>
        <w:gridCol w:w="250"/>
        <w:gridCol w:w="9639"/>
      </w:tblGrid>
      <w:tr w:rsidR="00293B75" w:rsidRPr="00293B75" w:rsidTr="00DB5A93">
        <w:trPr>
          <w:cantSplit/>
        </w:trPr>
        <w:tc>
          <w:tcPr>
            <w:tcW w:w="9889" w:type="dxa"/>
            <w:gridSpan w:val="2"/>
          </w:tcPr>
          <w:p w:rsidR="00DB5A93" w:rsidRPr="00293B75" w:rsidRDefault="00DB5A93" w:rsidP="00096CD1">
            <w:pPr>
              <w:keepNext/>
              <w:rPr>
                <w:lang w:val="fr-FR"/>
              </w:rPr>
            </w:pPr>
            <w:r w:rsidRPr="00293B75">
              <w:rPr>
                <w:lang w:val="fr-FR"/>
              </w:rPr>
              <w:t>GÉNÉRALITÉS</w:t>
            </w:r>
          </w:p>
        </w:tc>
      </w:tr>
      <w:tr w:rsidR="00293B75" w:rsidRPr="00293B75" w:rsidTr="00DB5A93">
        <w:trPr>
          <w:cantSplit/>
        </w:trPr>
        <w:tc>
          <w:tcPr>
            <w:tcW w:w="250" w:type="dxa"/>
          </w:tcPr>
          <w:p w:rsidR="00DB5A93" w:rsidRPr="00293B75" w:rsidRDefault="00DB5A93" w:rsidP="00096CD1">
            <w:pPr>
              <w:keepNext/>
              <w:rPr>
                <w:lang w:val="fr-FR"/>
              </w:rPr>
            </w:pPr>
          </w:p>
        </w:tc>
        <w:tc>
          <w:tcPr>
            <w:tcW w:w="9639" w:type="dxa"/>
          </w:tcPr>
          <w:p w:rsidR="00DB5A93" w:rsidRPr="00293B75" w:rsidRDefault="00DB5A93" w:rsidP="00096CD1">
            <w:pPr>
              <w:keepNext/>
              <w:rPr>
                <w:lang w:val="fr-FR"/>
              </w:rPr>
            </w:pPr>
            <w:r w:rsidRPr="00293B75">
              <w:rPr>
                <w:lang w:val="fr-FR"/>
              </w:rPr>
              <w:t>Être plus précis pour chaque TWP, p. ex. :</w:t>
            </w:r>
          </w:p>
          <w:p w:rsidR="00DB5A93" w:rsidRPr="00293B75" w:rsidRDefault="00DB5A93" w:rsidP="00096CD1">
            <w:pPr>
              <w:keepNext/>
              <w:numPr>
                <w:ilvl w:val="1"/>
                <w:numId w:val="25"/>
              </w:numPr>
              <w:rPr>
                <w:lang w:val="fr-FR"/>
              </w:rPr>
            </w:pPr>
            <w:r w:rsidRPr="00293B75">
              <w:rPr>
                <w:lang w:val="fr-FR"/>
              </w:rPr>
              <w:t>Visite technique</w:t>
            </w:r>
          </w:p>
          <w:p w:rsidR="00DB5A93" w:rsidRPr="00293B75" w:rsidRDefault="00DB5A93" w:rsidP="00096CD1">
            <w:pPr>
              <w:keepNext/>
              <w:numPr>
                <w:ilvl w:val="1"/>
                <w:numId w:val="25"/>
              </w:numPr>
              <w:rPr>
                <w:lang w:val="fr-FR"/>
              </w:rPr>
            </w:pPr>
            <w:r w:rsidRPr="00293B75">
              <w:rPr>
                <w:lang w:val="fr-FR"/>
              </w:rPr>
              <w:t>Points à examiner</w:t>
            </w:r>
          </w:p>
          <w:p w:rsidR="00DB5A93" w:rsidRPr="00293B75" w:rsidDel="0031554F" w:rsidRDefault="00DB5A93" w:rsidP="00096CD1">
            <w:pPr>
              <w:keepNext/>
              <w:numPr>
                <w:ilvl w:val="1"/>
                <w:numId w:val="25"/>
              </w:numPr>
              <w:spacing w:after="120"/>
              <w:rPr>
                <w:lang w:val="fr-FR"/>
              </w:rPr>
            </w:pPr>
            <w:r w:rsidRPr="00293B75">
              <w:rPr>
                <w:lang w:val="fr-FR"/>
              </w:rPr>
              <w:t>Programme de travail (p. ex. : temps accordé aux TGP par rapport aux TG)</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rPr>
                <w:lang w:val="fr-FR"/>
              </w:rPr>
            </w:pPr>
            <w:r w:rsidRPr="00293B75">
              <w:rPr>
                <w:lang w:val="fr-FR"/>
              </w:rPr>
              <w:t>Actualiser le document intitulé “Note indicative : Dispositions à l’intention des groupes de travail techniques de l’UPOV” (dispositions en vue des réunions et visites techniques) :</w:t>
            </w:r>
          </w:p>
          <w:p w:rsidR="00DB5A93" w:rsidRPr="00293B75" w:rsidRDefault="00DB5A93" w:rsidP="007005BA">
            <w:pPr>
              <w:numPr>
                <w:ilvl w:val="1"/>
                <w:numId w:val="26"/>
              </w:numPr>
              <w:rPr>
                <w:lang w:val="fr-FR"/>
              </w:rPr>
            </w:pPr>
            <w:r w:rsidRPr="00293B75">
              <w:rPr>
                <w:lang w:val="fr-FR"/>
              </w:rPr>
              <w:t>Badges nominatifs</w:t>
            </w:r>
          </w:p>
          <w:p w:rsidR="00DB5A93" w:rsidRPr="00293B75" w:rsidRDefault="00DB5A93" w:rsidP="007005BA">
            <w:pPr>
              <w:numPr>
                <w:ilvl w:val="1"/>
                <w:numId w:val="26"/>
              </w:numPr>
              <w:rPr>
                <w:lang w:val="fr-FR"/>
              </w:rPr>
            </w:pPr>
            <w:r w:rsidRPr="00293B75">
              <w:rPr>
                <w:lang w:val="fr-FR"/>
              </w:rPr>
              <w:t>Grand tableau d’affichage où figure la liste des participants</w:t>
            </w:r>
          </w:p>
          <w:p w:rsidR="00DB5A93" w:rsidRPr="00293B75" w:rsidRDefault="00DB5A93" w:rsidP="007005BA">
            <w:pPr>
              <w:numPr>
                <w:ilvl w:val="1"/>
                <w:numId w:val="26"/>
              </w:numPr>
              <w:spacing w:after="120"/>
              <w:rPr>
                <w:lang w:val="fr-FR"/>
              </w:rPr>
            </w:pPr>
            <w:r w:rsidRPr="00293B75">
              <w:rPr>
                <w:lang w:val="fr-FR"/>
              </w:rPr>
              <w:t>Panneau d’affichage pour les annonces</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Réviser le document “Note indicative : Dispositions à l’intention des groupes de travail techniques de l’UPOV” et inclure les points essentiels dans une lettre de couverture (p. ex. : favoriser la tenue d’ateliers nationaux en parallèle avec la session afin de tirer profit de la présence dans le pays des experts internationaux;  indiquer la première date possible pour le premier TWP devant se réunir après le TC)</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Annoncer le lieu de réunion du prochain TWP le premier jour de la session afin que les participants aient suffisamment de temps pour réfléchir à des propositions pour l’ordre du jour et la visite technique (inviter l’hôte à présenter le programme prévu, par exemple la visite technique)</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Organiser la tenue d’une session destinée à des débats ouverts, à l’instar de celle existant pour le TC</w:t>
            </w:r>
          </w:p>
        </w:tc>
      </w:tr>
      <w:tr w:rsidR="00293B75" w:rsidRPr="00293B75" w:rsidTr="00DB5A93">
        <w:trPr>
          <w:cantSplit/>
        </w:trPr>
        <w:tc>
          <w:tcPr>
            <w:tcW w:w="9889" w:type="dxa"/>
            <w:gridSpan w:val="2"/>
          </w:tcPr>
          <w:p w:rsidR="00DB5A93" w:rsidRPr="00293B75" w:rsidRDefault="00DB5A93" w:rsidP="007005BA">
            <w:pPr>
              <w:rPr>
                <w:lang w:val="fr-FR"/>
              </w:rPr>
            </w:pPr>
            <w:r w:rsidRPr="00293B75">
              <w:rPr>
                <w:lang w:val="fr-FR"/>
              </w:rPr>
              <w:t>PROGRAMME DE TRAVAIL</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Distribuer à l’avance le projet de programme de travail de la semaine pour les TWP</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Établir des liens vers les documents dans le programme de travail de la semaine sur le site Web de l’UPOV</w:t>
            </w:r>
          </w:p>
        </w:tc>
      </w:tr>
      <w:tr w:rsidR="00293B75" w:rsidRPr="00293B75" w:rsidTr="00DB5A93">
        <w:trPr>
          <w:cantSplit/>
        </w:trPr>
        <w:tc>
          <w:tcPr>
            <w:tcW w:w="9889" w:type="dxa"/>
            <w:gridSpan w:val="2"/>
          </w:tcPr>
          <w:p w:rsidR="00DB5A93" w:rsidRPr="00293B75" w:rsidRDefault="00DB5A93" w:rsidP="007005BA">
            <w:pPr>
              <w:rPr>
                <w:lang w:val="fr-FR"/>
              </w:rPr>
            </w:pPr>
            <w:r w:rsidRPr="00293B75">
              <w:rPr>
                <w:lang w:val="fr-FR"/>
              </w:rPr>
              <w:t>DOCUMENTS</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Poursuivre la pratique consistant à faire figurer des paragraphes de décision dans les documents des TWP</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Ajouter un résumé dans les documents des TWP</w:t>
            </w:r>
          </w:p>
        </w:tc>
      </w:tr>
      <w:tr w:rsidR="00293B75" w:rsidRPr="00293B75" w:rsidTr="00DB5A93">
        <w:trPr>
          <w:cantSplit/>
        </w:trPr>
        <w:tc>
          <w:tcPr>
            <w:tcW w:w="9889" w:type="dxa"/>
            <w:gridSpan w:val="2"/>
          </w:tcPr>
          <w:p w:rsidR="00DB5A93" w:rsidRPr="00293B75" w:rsidRDefault="00DB5A93" w:rsidP="007005BA">
            <w:pPr>
              <w:rPr>
                <w:lang w:val="fr-FR"/>
              </w:rPr>
            </w:pPr>
            <w:r w:rsidRPr="00293B75">
              <w:rPr>
                <w:lang w:val="fr-FR"/>
              </w:rPr>
              <w:t>PRINCIPES DIRECTEURS D’EXAMEN</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Ajouter des informations concernant le TWP chargé des principes directeurs d’examen sur le site Web de l’UPOV</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Étudier la possibilité d’un plan de travail pluriannuel pour les principes directeurs d’examen</w:t>
            </w:r>
          </w:p>
        </w:tc>
      </w:tr>
      <w:tr w:rsidR="00293B75" w:rsidRPr="00293B75" w:rsidTr="00DB5A93">
        <w:trPr>
          <w:cantSplit/>
        </w:trPr>
        <w:tc>
          <w:tcPr>
            <w:tcW w:w="9889" w:type="dxa"/>
            <w:gridSpan w:val="2"/>
          </w:tcPr>
          <w:p w:rsidR="00DB5A93" w:rsidRPr="00293B75" w:rsidRDefault="00DB5A93" w:rsidP="007005BA">
            <w:pPr>
              <w:rPr>
                <w:lang w:val="fr-FR"/>
              </w:rPr>
            </w:pPr>
            <w:r w:rsidRPr="00293B75">
              <w:rPr>
                <w:lang w:val="fr-FR"/>
              </w:rPr>
              <w:t>ATELIERS PRÉPARATOIRES</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Encourager et organiser la participation d’experts chevronnés de membres de l’Union aux ateliers préparatoires</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Organiser, dans la mesure du possible, des petits groupes de participants ayant différents niveaux d’expérience pour les exercices en groupe</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Renouveler régulièrement les exercices pour les ateliers préparatoires</w:t>
            </w:r>
          </w:p>
        </w:tc>
      </w:tr>
      <w:tr w:rsidR="00293B75"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Organiser en parallèle avec les ateliers préparatoires des ateliers électroniques et physiques portant sur l’utilisation du modèle de principes directeurs d’examen sur le Web et sur les conseils relatifs à la présentation de ces principes aux sessions</w:t>
            </w:r>
          </w:p>
        </w:tc>
      </w:tr>
      <w:tr w:rsidR="00DB5A93" w:rsidRPr="00293B75" w:rsidTr="00DB5A93">
        <w:trPr>
          <w:cantSplit/>
        </w:trPr>
        <w:tc>
          <w:tcPr>
            <w:tcW w:w="250" w:type="dxa"/>
          </w:tcPr>
          <w:p w:rsidR="00DB5A93" w:rsidRPr="00293B75" w:rsidRDefault="00DB5A93" w:rsidP="007005BA">
            <w:pPr>
              <w:rPr>
                <w:lang w:val="fr-FR"/>
              </w:rPr>
            </w:pPr>
          </w:p>
        </w:tc>
        <w:tc>
          <w:tcPr>
            <w:tcW w:w="9639" w:type="dxa"/>
          </w:tcPr>
          <w:p w:rsidR="00DB5A93" w:rsidRPr="00293B75" w:rsidRDefault="00DB5A93" w:rsidP="007005BA">
            <w:pPr>
              <w:spacing w:after="120"/>
              <w:rPr>
                <w:lang w:val="fr-FR"/>
              </w:rPr>
            </w:pPr>
            <w:r w:rsidRPr="00293B75">
              <w:rPr>
                <w:lang w:val="fr-FR"/>
              </w:rPr>
              <w:t>Mettre à disposition sur le site Web les ateliers électroniques préalablement enregistrés</w:t>
            </w:r>
          </w:p>
        </w:tc>
      </w:tr>
    </w:tbl>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 xml:space="preserve">Le TC convient que les propositions suivantes </w:t>
      </w:r>
      <w:r w:rsidRPr="00293B75">
        <w:rPr>
          <w:rFonts w:cs="Arial"/>
          <w:lang w:val="fr-FR"/>
        </w:rPr>
        <w:t>ne devraient pas être examinées plus en détail</w:t>
      </w:r>
      <w:r w:rsidRPr="00293B75">
        <w:rPr>
          <w:lang w:val="fr-FR"/>
        </w:rPr>
        <w:t> :</w:t>
      </w:r>
    </w:p>
    <w:p w:rsidR="00DB5A93" w:rsidRPr="00293B75" w:rsidRDefault="00DB5A93" w:rsidP="007005BA">
      <w:pPr>
        <w:rPr>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93B75" w:rsidRPr="00293B75" w:rsidTr="00DB5A93">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DB5A93" w:rsidRPr="00293B75" w:rsidRDefault="00DB5A93" w:rsidP="007005BA">
            <w:pPr>
              <w:rPr>
                <w:lang w:val="fr-FR"/>
              </w:rPr>
            </w:pPr>
            <w:r w:rsidRPr="00293B75">
              <w:rPr>
                <w:lang w:val="fr-FR"/>
              </w:rPr>
              <w:t>Réalisation d’une enquête en 2015</w:t>
            </w:r>
          </w:p>
        </w:tc>
      </w:tr>
      <w:tr w:rsidR="00293B75" w:rsidRPr="00293B75" w:rsidTr="00DB5A93">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DB5A93" w:rsidRPr="00293B75" w:rsidRDefault="00DB5A93" w:rsidP="007005BA">
            <w:pPr>
              <w:rPr>
                <w:lang w:val="fr-FR"/>
              </w:rPr>
            </w:pPr>
            <w:r w:rsidRPr="00293B75">
              <w:rPr>
                <w:lang w:val="fr-FR"/>
              </w:rPr>
              <w:t>Modification des modalités relatives aux invitations et à leur diffusion</w:t>
            </w:r>
          </w:p>
        </w:tc>
      </w:tr>
      <w:tr w:rsidR="00293B75" w:rsidRPr="00293B75" w:rsidTr="00DB5A93">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DB5A93" w:rsidRPr="00293B75" w:rsidRDefault="00DB5A93" w:rsidP="007005BA">
            <w:pPr>
              <w:rPr>
                <w:lang w:val="fr-FR"/>
              </w:rPr>
            </w:pPr>
            <w:r w:rsidRPr="00293B75">
              <w:rPr>
                <w:lang w:val="fr-FR"/>
              </w:rPr>
              <w:t>Présentation des documents (déjà améliorée depuis 2014)</w:t>
            </w:r>
          </w:p>
        </w:tc>
      </w:tr>
      <w:tr w:rsidR="00293B75" w:rsidRPr="00293B75" w:rsidTr="00DB5A93">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DB5A93" w:rsidRPr="00293B75" w:rsidRDefault="00DB5A93" w:rsidP="007005BA">
            <w:pPr>
              <w:rPr>
                <w:lang w:val="fr-FR"/>
              </w:rPr>
            </w:pPr>
            <w:r w:rsidRPr="00293B75">
              <w:rPr>
                <w:lang w:val="fr-FR"/>
              </w:rPr>
              <w:t>Demande aux participants de soumettre à l’avance leurs observations concernant les principes directeurs d’examen</w:t>
            </w:r>
          </w:p>
        </w:tc>
      </w:tr>
      <w:tr w:rsidR="00293B75" w:rsidRPr="00293B75" w:rsidTr="00DB5A93">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DB5A93" w:rsidRPr="00293B75" w:rsidRDefault="00DB5A93" w:rsidP="007005BA">
            <w:pPr>
              <w:rPr>
                <w:lang w:val="fr-FR"/>
              </w:rPr>
            </w:pPr>
            <w:r w:rsidRPr="00293B75">
              <w:rPr>
                <w:lang w:val="fr-FR"/>
              </w:rPr>
              <w:t>Réunion annuelle distincte afin de débattre des documents TGP</w:t>
            </w:r>
          </w:p>
        </w:tc>
      </w:tr>
      <w:tr w:rsidR="00293B75" w:rsidRPr="00293B75" w:rsidTr="00DB5A93">
        <w:trPr>
          <w:trHeight w:val="274"/>
        </w:trPr>
        <w:tc>
          <w:tcPr>
            <w:tcW w:w="9639" w:type="dxa"/>
            <w:tcBorders>
              <w:top w:val="single" w:sz="4" w:space="0" w:color="auto"/>
              <w:left w:val="single" w:sz="4" w:space="0" w:color="auto"/>
              <w:bottom w:val="single" w:sz="4" w:space="0" w:color="auto"/>
              <w:right w:val="single" w:sz="4" w:space="0" w:color="auto"/>
            </w:tcBorders>
            <w:shd w:val="clear" w:color="auto" w:fill="auto"/>
          </w:tcPr>
          <w:p w:rsidR="00DB5A93" w:rsidRPr="00293B75" w:rsidRDefault="00DB5A93" w:rsidP="007005BA">
            <w:pPr>
              <w:rPr>
                <w:lang w:val="fr-FR"/>
              </w:rPr>
            </w:pPr>
            <w:r w:rsidRPr="00293B75">
              <w:rPr>
                <w:lang w:val="fr-FR"/>
              </w:rPr>
              <w:t>Modification du jour de la tenue des ateliers préparatoires (le dimanche)</w:t>
            </w:r>
          </w:p>
        </w:tc>
      </w:tr>
    </w:tbl>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keepNext/>
        <w:rPr>
          <w:u w:val="single"/>
          <w:lang w:val="fr-FR"/>
        </w:rPr>
      </w:pPr>
      <w:r w:rsidRPr="00293B75">
        <w:rPr>
          <w:u w:val="single"/>
          <w:lang w:val="fr-FR"/>
        </w:rPr>
        <w:t>Ateliers préparatoires</w:t>
      </w:r>
    </w:p>
    <w:p w:rsidR="00DB5A93" w:rsidRPr="00293B75" w:rsidRDefault="00DB5A93" w:rsidP="007005BA">
      <w:pPr>
        <w:keepNext/>
        <w:rPr>
          <w:lang w:val="fr-FR"/>
        </w:rPr>
      </w:pPr>
    </w:p>
    <w:p w:rsidR="00DB5A93" w:rsidRPr="00293B75" w:rsidRDefault="00DB5A93" w:rsidP="007005BA">
      <w:pPr>
        <w:keepNext/>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TC/51/13 “Ateliers préparatoires”.</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du rapport des ateliers préparatoires tenus en 2014.</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approuve le programme proposé des ateliers préparatoires pour 2015, comme indiqué dans les paragraphes 10 et 11 du document TC/51/13.</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rPr>
          <w:u w:val="single"/>
          <w:lang w:val="fr-FR"/>
        </w:rPr>
      </w:pPr>
      <w:r w:rsidRPr="00293B75">
        <w:rPr>
          <w:u w:val="single"/>
          <w:lang w:val="fr-FR"/>
        </w:rPr>
        <w:t>Principes directeurs d’examen</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les documents TC/51/2, TC/51/26, TC/51/27, TC/51/28, TC/51/29, TC/51/30, TC/51/31, TC/51/32, TC/51/33, TC/51/34 et TC/51/35.</w:t>
      </w:r>
    </w:p>
    <w:p w:rsidR="00DB5A93" w:rsidRPr="00293B75" w:rsidRDefault="00DB5A93" w:rsidP="007005BA">
      <w:pPr>
        <w:rPr>
          <w:lang w:val="fr-FR"/>
        </w:rPr>
      </w:pPr>
    </w:p>
    <w:p w:rsidR="00DB5A93" w:rsidRPr="00293B75" w:rsidRDefault="00DB5A93" w:rsidP="007005BA">
      <w:pPr>
        <w:rPr>
          <w:rFonts w:cs="Arial"/>
          <w:snapToGrid w:val="0"/>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Conformément aux procédures établies dans le document TGP/7, le TC</w:t>
      </w:r>
      <w:r w:rsidRPr="00293B75">
        <w:rPr>
          <w:rFonts w:cs="Arial"/>
          <w:snapToGrid w:val="0"/>
          <w:lang w:val="fr-FR"/>
        </w:rPr>
        <w:t xml:space="preserve"> adopte </w:t>
      </w:r>
      <w:r w:rsidRPr="00293B75">
        <w:rPr>
          <w:snapToGrid w:val="0"/>
          <w:lang w:val="fr-FR"/>
        </w:rPr>
        <w:t>12 nouveaux principes directeurs d’examen</w:t>
      </w:r>
      <w:r w:rsidRPr="00293B75">
        <w:rPr>
          <w:lang w:val="fr-FR"/>
        </w:rPr>
        <w:t xml:space="preserve"> pour la conduite de l’examen de la distinction, de l’homogénéité et de la stabilité, cinq principes directeurs d’examen révisés</w:t>
      </w:r>
      <w:r w:rsidRPr="00293B75">
        <w:rPr>
          <w:snapToGrid w:val="0"/>
          <w:lang w:val="fr-FR"/>
        </w:rPr>
        <w:t xml:space="preserve"> et neuf principes directeurs d’examen partiellement révisés, énumérés dans le tableau ci</w:t>
      </w:r>
      <w:r w:rsidRPr="00293B75">
        <w:rPr>
          <w:snapToGrid w:val="0"/>
          <w:lang w:val="fr-FR"/>
        </w:rPr>
        <w:noBreakHyphen/>
        <w:t>dessous, sur la base des modifications figurant dans l’a</w:t>
      </w:r>
      <w:r w:rsidRPr="00293B75">
        <w:rPr>
          <w:rFonts w:cs="Arial"/>
          <w:snapToGrid w:val="0"/>
          <w:lang w:val="fr-FR"/>
        </w:rPr>
        <w:t>nnexe</w:t>
      </w:r>
      <w:r w:rsidRPr="00293B75">
        <w:rPr>
          <w:snapToGrid w:val="0"/>
          <w:lang w:val="fr-FR"/>
        </w:rPr>
        <w:t> </w:t>
      </w:r>
      <w:r w:rsidRPr="00293B75">
        <w:rPr>
          <w:rFonts w:cs="Arial"/>
          <w:snapToGrid w:val="0"/>
          <w:lang w:val="fr-FR"/>
        </w:rPr>
        <w:t>II du présent document et des modifications rédactionnelles recommandées par le TC</w:t>
      </w:r>
      <w:r w:rsidRPr="00293B75">
        <w:rPr>
          <w:rFonts w:cs="Arial"/>
          <w:snapToGrid w:val="0"/>
          <w:lang w:val="fr-FR"/>
        </w:rPr>
        <w:noBreakHyphen/>
        <w:t>EDC et convient qu’ils doivent être publiés sur le site Web de l’UPOV le plus tôt possible :</w:t>
      </w:r>
    </w:p>
    <w:p w:rsidR="00DB5A93" w:rsidRPr="00293B75" w:rsidRDefault="00DB5A93" w:rsidP="007005BA">
      <w:pPr>
        <w:rPr>
          <w:rFonts w:cs="Arial"/>
          <w:snapToGrid w:val="0"/>
          <w:lang w:val="fr-FR"/>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293B75" w:rsidRPr="00293B75" w:rsidTr="00DB5A93">
        <w:trPr>
          <w:cantSplit/>
          <w:trHeight w:val="1050"/>
          <w:tblHeader/>
        </w:trPr>
        <w:tc>
          <w:tcPr>
            <w:tcW w:w="484" w:type="dxa"/>
            <w:tcBorders>
              <w:top w:val="single" w:sz="4" w:space="0" w:color="auto"/>
              <w:bottom w:val="single" w:sz="4" w:space="0" w:color="auto"/>
            </w:tcBorders>
            <w:shd w:val="clear" w:color="auto" w:fill="D9D9D9"/>
            <w:noWrap/>
            <w:vAlign w:val="center"/>
          </w:tcPr>
          <w:p w:rsidR="00DB5A93" w:rsidRPr="00293B75" w:rsidRDefault="00DB5A93" w:rsidP="007005BA">
            <w:pPr>
              <w:jc w:val="left"/>
              <w:rPr>
                <w:rFonts w:eastAsia="MS Mincho" w:cs="Arial"/>
                <w:bCs/>
                <w:sz w:val="16"/>
                <w:szCs w:val="16"/>
                <w:lang w:val="fr-FR" w:eastAsia="ja-JP"/>
              </w:rPr>
            </w:pPr>
            <w:r w:rsidRPr="00293B75">
              <w:rPr>
                <w:rFonts w:eastAsia="MS Mincho" w:cs="Arial"/>
                <w:bCs/>
                <w:sz w:val="16"/>
                <w:szCs w:val="16"/>
                <w:lang w:val="fr-FR" w:eastAsia="ja-JP"/>
              </w:rPr>
              <w:t>**</w:t>
            </w:r>
          </w:p>
        </w:tc>
        <w:tc>
          <w:tcPr>
            <w:tcW w:w="590" w:type="dxa"/>
            <w:tcBorders>
              <w:top w:val="single" w:sz="4" w:space="0" w:color="auto"/>
              <w:bottom w:val="single" w:sz="4" w:space="0" w:color="auto"/>
            </w:tcBorders>
            <w:shd w:val="clear" w:color="auto" w:fill="D9D9D9"/>
            <w:vAlign w:val="center"/>
          </w:tcPr>
          <w:p w:rsidR="00DB5A93" w:rsidRPr="00293B75" w:rsidRDefault="00DB5A93" w:rsidP="007005BA">
            <w:pPr>
              <w:jc w:val="left"/>
              <w:rPr>
                <w:rFonts w:eastAsia="MS Mincho" w:cs="Arial"/>
                <w:bCs/>
                <w:sz w:val="16"/>
                <w:szCs w:val="16"/>
                <w:lang w:val="fr-FR" w:eastAsia="ja-JP"/>
              </w:rPr>
            </w:pPr>
            <w:r w:rsidRPr="00293B75">
              <w:rPr>
                <w:rFonts w:eastAsia="MS Mincho" w:cs="Arial"/>
                <w:bCs/>
                <w:sz w:val="16"/>
                <w:szCs w:val="16"/>
                <w:lang w:val="fr-FR" w:eastAsia="ja-JP"/>
              </w:rPr>
              <w:t>TWP</w:t>
            </w:r>
          </w:p>
        </w:tc>
        <w:tc>
          <w:tcPr>
            <w:tcW w:w="1490" w:type="dxa"/>
            <w:tcBorders>
              <w:top w:val="single" w:sz="4" w:space="0" w:color="auto"/>
              <w:bottom w:val="single" w:sz="4" w:space="0" w:color="auto"/>
            </w:tcBorders>
            <w:shd w:val="clear" w:color="auto" w:fill="D9D9D9"/>
            <w:vAlign w:val="center"/>
          </w:tcPr>
          <w:p w:rsidR="00DB5A93" w:rsidRPr="00293B75" w:rsidRDefault="00DB5A93" w:rsidP="007005BA">
            <w:pPr>
              <w:ind w:left="-36"/>
              <w:jc w:val="left"/>
              <w:rPr>
                <w:rFonts w:eastAsia="MS Mincho" w:cs="Arial"/>
                <w:bCs/>
                <w:sz w:val="16"/>
                <w:szCs w:val="16"/>
                <w:lang w:val="fr-FR" w:eastAsia="ja-JP"/>
              </w:rPr>
            </w:pPr>
            <w:r w:rsidRPr="00293B75">
              <w:rPr>
                <w:rFonts w:eastAsia="MS Mincho" w:cs="Arial"/>
                <w:bCs/>
                <w:sz w:val="16"/>
                <w:szCs w:val="16"/>
                <w:lang w:val="fr-FR" w:eastAsia="ja-JP"/>
              </w:rPr>
              <w:t xml:space="preserve">Document No.  </w:t>
            </w:r>
            <w:r w:rsidRPr="00293B75">
              <w:rPr>
                <w:rFonts w:eastAsia="MS Mincho" w:cs="Arial"/>
                <w:bCs/>
                <w:sz w:val="16"/>
                <w:szCs w:val="16"/>
                <w:lang w:val="fr-FR" w:eastAsia="ja-JP"/>
              </w:rPr>
              <w:br/>
              <w:t xml:space="preserve">N° du document </w:t>
            </w:r>
            <w:r w:rsidRPr="00293B75">
              <w:rPr>
                <w:rFonts w:eastAsia="MS Mincho" w:cs="Arial"/>
                <w:bCs/>
                <w:sz w:val="16"/>
                <w:szCs w:val="16"/>
                <w:lang w:val="fr-FR" w:eastAsia="ja-JP"/>
              </w:rPr>
              <w:br/>
              <w:t>Dokument</w:t>
            </w:r>
            <w:r w:rsidRPr="00293B75">
              <w:rPr>
                <w:rFonts w:eastAsia="MS Mincho" w:cs="Arial"/>
                <w:bCs/>
                <w:sz w:val="16"/>
                <w:szCs w:val="16"/>
                <w:lang w:val="fr-FR" w:eastAsia="ja-JP"/>
              </w:rPr>
              <w:noBreakHyphen/>
              <w:t xml:space="preserve">Nr.  </w:t>
            </w:r>
            <w:r w:rsidRPr="00293B75">
              <w:rPr>
                <w:rFonts w:eastAsia="MS Mincho" w:cs="Arial"/>
                <w:bCs/>
                <w:sz w:val="16"/>
                <w:szCs w:val="16"/>
                <w:lang w:val="fr-FR" w:eastAsia="ja-JP"/>
              </w:rPr>
              <w:br/>
              <w:t>No del documento</w:t>
            </w:r>
          </w:p>
        </w:tc>
        <w:tc>
          <w:tcPr>
            <w:tcW w:w="1417" w:type="dxa"/>
            <w:tcBorders>
              <w:top w:val="single" w:sz="4" w:space="0" w:color="auto"/>
              <w:bottom w:val="single" w:sz="4" w:space="0" w:color="auto"/>
            </w:tcBorders>
            <w:shd w:val="clear" w:color="auto" w:fill="D9D9D9"/>
            <w:vAlign w:val="center"/>
          </w:tcPr>
          <w:p w:rsidR="00DB5A93" w:rsidRPr="00293B75" w:rsidRDefault="00DB5A93" w:rsidP="007005BA">
            <w:pPr>
              <w:jc w:val="left"/>
              <w:rPr>
                <w:rFonts w:eastAsia="MS Mincho" w:cs="Arial"/>
                <w:bCs/>
                <w:sz w:val="16"/>
                <w:szCs w:val="16"/>
                <w:lang w:val="fr-FR" w:eastAsia="ja-JP"/>
              </w:rPr>
            </w:pPr>
            <w:r w:rsidRPr="00293B75">
              <w:rPr>
                <w:rFonts w:eastAsia="MS Mincho" w:cs="Arial"/>
                <w:bCs/>
                <w:sz w:val="16"/>
                <w:szCs w:val="16"/>
                <w:lang w:val="fr-FR" w:eastAsia="ja-JP"/>
              </w:rPr>
              <w:t>English</w:t>
            </w:r>
          </w:p>
        </w:tc>
        <w:tc>
          <w:tcPr>
            <w:tcW w:w="1418" w:type="dxa"/>
            <w:tcBorders>
              <w:top w:val="single" w:sz="4" w:space="0" w:color="auto"/>
              <w:bottom w:val="single" w:sz="4" w:space="0" w:color="auto"/>
            </w:tcBorders>
            <w:shd w:val="clear" w:color="auto" w:fill="D9D9D9"/>
            <w:vAlign w:val="center"/>
          </w:tcPr>
          <w:p w:rsidR="00DB5A93" w:rsidRPr="00293B75" w:rsidRDefault="00DB5A93" w:rsidP="007005BA">
            <w:pPr>
              <w:jc w:val="left"/>
              <w:rPr>
                <w:rFonts w:eastAsia="MS Mincho" w:cs="Arial"/>
                <w:sz w:val="16"/>
                <w:szCs w:val="16"/>
                <w:lang w:val="fr-FR" w:eastAsia="ja-JP"/>
              </w:rPr>
            </w:pPr>
            <w:r w:rsidRPr="00293B75">
              <w:rPr>
                <w:rFonts w:eastAsia="MS Mincho" w:cs="Arial"/>
                <w:sz w:val="16"/>
                <w:szCs w:val="16"/>
                <w:lang w:val="fr-FR" w:eastAsia="ja-JP"/>
              </w:rPr>
              <w:t>Français</w:t>
            </w:r>
          </w:p>
        </w:tc>
        <w:tc>
          <w:tcPr>
            <w:tcW w:w="1417" w:type="dxa"/>
            <w:tcBorders>
              <w:top w:val="single" w:sz="4" w:space="0" w:color="auto"/>
              <w:bottom w:val="single" w:sz="4" w:space="0" w:color="auto"/>
            </w:tcBorders>
            <w:shd w:val="clear" w:color="auto" w:fill="D9D9D9"/>
            <w:vAlign w:val="center"/>
          </w:tcPr>
          <w:p w:rsidR="00DB5A93" w:rsidRPr="00293B75" w:rsidRDefault="00DB5A93" w:rsidP="007005BA">
            <w:pPr>
              <w:jc w:val="left"/>
              <w:rPr>
                <w:rFonts w:eastAsia="MS Mincho" w:cs="Arial"/>
                <w:sz w:val="16"/>
                <w:szCs w:val="16"/>
                <w:lang w:val="fr-FR" w:eastAsia="ja-JP"/>
              </w:rPr>
            </w:pPr>
            <w:r w:rsidRPr="00293B75">
              <w:rPr>
                <w:rFonts w:eastAsia="MS Mincho" w:cs="Arial"/>
                <w:sz w:val="16"/>
                <w:szCs w:val="16"/>
                <w:lang w:val="fr-FR" w:eastAsia="ja-JP"/>
              </w:rPr>
              <w:t>Deutsch</w:t>
            </w:r>
          </w:p>
        </w:tc>
        <w:tc>
          <w:tcPr>
            <w:tcW w:w="1418" w:type="dxa"/>
            <w:tcBorders>
              <w:top w:val="single" w:sz="4" w:space="0" w:color="auto"/>
              <w:bottom w:val="single" w:sz="4" w:space="0" w:color="auto"/>
            </w:tcBorders>
            <w:shd w:val="clear" w:color="auto" w:fill="D9D9D9"/>
            <w:vAlign w:val="center"/>
          </w:tcPr>
          <w:p w:rsidR="00DB5A93" w:rsidRPr="00293B75" w:rsidRDefault="00DB5A93" w:rsidP="007005BA">
            <w:pPr>
              <w:jc w:val="left"/>
              <w:rPr>
                <w:rFonts w:eastAsia="MS Mincho" w:cs="Arial"/>
                <w:sz w:val="16"/>
                <w:szCs w:val="16"/>
                <w:lang w:val="fr-FR" w:eastAsia="ja-JP"/>
              </w:rPr>
            </w:pPr>
            <w:r w:rsidRPr="00293B75">
              <w:rPr>
                <w:rFonts w:eastAsia="MS Mincho" w:cs="Arial"/>
                <w:sz w:val="16"/>
                <w:szCs w:val="16"/>
                <w:lang w:val="fr-FR" w:eastAsia="ja-JP"/>
              </w:rPr>
              <w:t>Español</w:t>
            </w:r>
          </w:p>
        </w:tc>
        <w:tc>
          <w:tcPr>
            <w:tcW w:w="1700" w:type="dxa"/>
            <w:tcBorders>
              <w:top w:val="single" w:sz="4" w:space="0" w:color="auto"/>
              <w:bottom w:val="single" w:sz="4" w:space="0" w:color="auto"/>
            </w:tcBorders>
            <w:shd w:val="clear" w:color="auto" w:fill="D9D9D9"/>
            <w:vAlign w:val="center"/>
          </w:tcPr>
          <w:p w:rsidR="00DB5A93" w:rsidRPr="00293B75" w:rsidRDefault="00DB5A93" w:rsidP="007005BA">
            <w:pPr>
              <w:jc w:val="left"/>
              <w:rPr>
                <w:rFonts w:eastAsia="MS Mincho" w:cs="Arial"/>
                <w:sz w:val="16"/>
                <w:szCs w:val="16"/>
                <w:lang w:val="fr-FR" w:eastAsia="ja-JP"/>
              </w:rPr>
            </w:pPr>
            <w:r w:rsidRPr="00293B75">
              <w:rPr>
                <w:rFonts w:eastAsia="MS Mincho" w:cs="Arial"/>
                <w:sz w:val="16"/>
                <w:szCs w:val="16"/>
                <w:lang w:val="fr-FR" w:eastAsia="ja-JP"/>
              </w:rPr>
              <w:t>Botanical name</w:t>
            </w:r>
          </w:p>
        </w:tc>
      </w:tr>
      <w:tr w:rsidR="00293B75" w:rsidRPr="00293B75" w:rsidTr="00DB5A93">
        <w:trPr>
          <w:cantSplit/>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spacing w:before="120" w:after="120"/>
              <w:ind w:left="-36"/>
              <w:jc w:val="left"/>
              <w:rPr>
                <w:rFonts w:eastAsia="MS Mincho" w:cs="Arial"/>
                <w:bCs/>
                <w:sz w:val="16"/>
                <w:szCs w:val="16"/>
                <w:u w:val="single"/>
                <w:lang w:val="fr-FR" w:eastAsia="ja-JP"/>
              </w:rPr>
            </w:pPr>
            <w:r w:rsidRPr="00293B75">
              <w:rPr>
                <w:rFonts w:cs="Arial"/>
                <w:bCs/>
                <w:sz w:val="16"/>
                <w:szCs w:val="16"/>
                <w:u w:val="single"/>
                <w:lang w:val="fr-FR"/>
              </w:rPr>
              <w:t>NEW TEST GUIDELINES / NOUVEAUX PRINCIPES DIRECTEURS D’EXAMEN / NEUE PRÜFUNGSRICHTILINIEN /</w:t>
            </w:r>
            <w:r w:rsidRPr="00293B75">
              <w:rPr>
                <w:rFonts w:cs="Arial"/>
                <w:bCs/>
                <w:sz w:val="16"/>
                <w:szCs w:val="16"/>
                <w:u w:val="single"/>
                <w:lang w:val="fr-FR"/>
              </w:rPr>
              <w:br/>
              <w:t>NUEVAS DIRECTRICES DE EXAMEN</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NZ</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w:t>
            </w:r>
            <w:proofErr w:type="gramStart"/>
            <w:r w:rsidRPr="00293B75">
              <w:rPr>
                <w:rFonts w:cs="Arial"/>
                <w:sz w:val="16"/>
                <w:szCs w:val="16"/>
                <w:lang w:val="fr-FR"/>
              </w:rPr>
              <w:t>ACCA(</w:t>
            </w:r>
            <w:proofErr w:type="gramEnd"/>
            <w:r w:rsidRPr="00293B75">
              <w:rPr>
                <w:rFonts w:cs="Arial"/>
                <w:sz w:val="16"/>
                <w:szCs w:val="16"/>
                <w:lang w:val="fr-FR"/>
              </w:rPr>
              <w:t>proj.5)</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Feijoa, Pineapple Guava, Guavasteen</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Feijoa</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Feijoa</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Feijoa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Acca sellowiana (Berg) Burret</w:t>
            </w:r>
          </w:p>
        </w:tc>
      </w:tr>
      <w:tr w:rsidR="00293B75" w:rsidRPr="00293B75" w:rsidTr="00DB5A93">
        <w:trPr>
          <w:cantSplit/>
          <w:trHeight w:val="74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TG/ADZUK (proj.4)</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Adzuki Bean; Azuki Red Bean; Chinese Red Bean</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Haricot Adzuki</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Adzukibohne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Judía adzuki</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Vigna angularis (Willd.) Ohwi &amp; H.Ohashi, Phaseolus angularis (Willd.) W.Wight</w:t>
            </w:r>
          </w:p>
        </w:tc>
      </w:tr>
      <w:tr w:rsidR="00293B75" w:rsidRPr="00293B75" w:rsidTr="00DB5A93">
        <w:trPr>
          <w:cantSplit/>
          <w:trHeight w:val="37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w:t>
            </w:r>
            <w:proofErr w:type="gramStart"/>
            <w:r w:rsidRPr="00293B75">
              <w:rPr>
                <w:rFonts w:cs="Arial"/>
                <w:sz w:val="16"/>
                <w:szCs w:val="16"/>
                <w:lang w:val="fr-FR"/>
              </w:rPr>
              <w:t>ALOE(</w:t>
            </w:r>
            <w:proofErr w:type="gramEnd"/>
            <w:r w:rsidRPr="00293B75">
              <w:rPr>
                <w:rFonts w:cs="Arial"/>
                <w:sz w:val="16"/>
                <w:szCs w:val="16"/>
                <w:lang w:val="fr-FR"/>
              </w:rPr>
              <w:t>proj.5)</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Aloe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Aloès</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Aloe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Aloe, Sabila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Aloe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TG/CALSP (proj.5)</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China Aster, Annual Aster</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Aster; Aster de Chine; Reine-marguerite</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Sommeraster</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Aster de China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Callistephus chinensis (L.) Nees</w:t>
            </w:r>
          </w:p>
        </w:tc>
      </w:tr>
      <w:tr w:rsidR="00293B75" w:rsidRPr="00293B75" w:rsidTr="00DB5A93">
        <w:trPr>
          <w:cantSplit/>
          <w:trHeight w:val="458"/>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GB</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TG/CAMPA (proj.6)</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Campanula, Bell Flower</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Campanule</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Glockenblume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Campánula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Campanula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KE/BR</w:t>
            </w:r>
          </w:p>
        </w:tc>
        <w:tc>
          <w:tcPr>
            <w:tcW w:w="590" w:type="dxa"/>
            <w:tcBorders>
              <w:top w:val="single" w:sz="4" w:space="0" w:color="auto"/>
              <w:left w:val="nil"/>
              <w:bottom w:val="single" w:sz="4" w:space="0" w:color="auto"/>
              <w:right w:val="single" w:sz="4" w:space="0" w:color="auto"/>
            </w:tcBorders>
            <w:shd w:val="clear" w:color="auto" w:fill="auto"/>
            <w:tcMar>
              <w:left w:w="85" w:type="dxa"/>
              <w:right w:w="85" w:type="dxa"/>
            </w:tcMar>
          </w:tcPr>
          <w:p w:rsidR="00DB5A93" w:rsidRPr="00293B75" w:rsidRDefault="00DB5A93" w:rsidP="007005BA">
            <w:pPr>
              <w:rPr>
                <w:rFonts w:cs="Arial"/>
                <w:sz w:val="16"/>
                <w:szCs w:val="16"/>
                <w:lang w:val="fr-FR"/>
              </w:rPr>
            </w:pPr>
            <w:r w:rsidRPr="00293B75">
              <w:rPr>
                <w:rFonts w:cs="Arial"/>
                <w:sz w:val="16"/>
                <w:szCs w:val="16"/>
                <w:lang w:val="fr-FR"/>
              </w:rPr>
              <w:t>TWA/TWV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TG/CASSAV (proj.6)</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Cassava</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 Manioc</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Maniok </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Mandioca, Yuca </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Manihot esculenta Crantz</w:t>
            </w:r>
          </w:p>
        </w:tc>
      </w:tr>
      <w:tr w:rsidR="00293B75" w:rsidRPr="00293B75" w:rsidTr="00DB5A93">
        <w:trPr>
          <w:cantSplit/>
          <w:trHeight w:val="4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w:t>
            </w:r>
            <w:proofErr w:type="gramStart"/>
            <w:r w:rsidRPr="00293B75">
              <w:rPr>
                <w:rFonts w:cs="Arial"/>
                <w:sz w:val="16"/>
                <w:szCs w:val="16"/>
                <w:lang w:val="fr-FR"/>
              </w:rPr>
              <w:t>COIX(</w:t>
            </w:r>
            <w:proofErr w:type="gramEnd"/>
            <w:r w:rsidRPr="00293B75">
              <w:rPr>
                <w:rFonts w:cs="Arial"/>
                <w:sz w:val="16"/>
                <w:szCs w:val="16"/>
                <w:lang w:val="fr-FR"/>
              </w:rPr>
              <w:t>proj.6)</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Adlay, Job’s tears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Larmes de Job</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Hiobsträne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Lágrimas de San Pedro</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Coix lacryma</w:t>
            </w:r>
            <w:r w:rsidRPr="00293B75">
              <w:rPr>
                <w:rFonts w:cs="Arial"/>
                <w:sz w:val="16"/>
                <w:szCs w:val="16"/>
                <w:lang w:val="fr-FR"/>
              </w:rPr>
              <w:noBreakHyphen/>
              <w:t>jobi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TG/COSMOS (proj.8)</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Cosmos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Cosmos</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Kosmee, Schmuckkörbchen</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Mirasol, Cosmos</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Cosmos Cav.</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ight="-108"/>
              <w:rPr>
                <w:rFonts w:cs="Arial"/>
                <w:sz w:val="16"/>
                <w:szCs w:val="16"/>
                <w:lang w:val="fr-FR"/>
              </w:rPr>
            </w:pPr>
            <w:r w:rsidRPr="00293B75">
              <w:rPr>
                <w:rFonts w:cs="Arial"/>
                <w:sz w:val="16"/>
                <w:szCs w:val="16"/>
                <w:lang w:val="fr-FR"/>
              </w:rPr>
              <w:t>TG/CUCUR_MMO (proj.4)</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Cucurbita maxima X Cucurbita moschata</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Cucurbita maxima X Cucurbita moschata</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Cucurbita maxima X Cucurbita moschata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Cucurbita maxima Duch.  x Cucurbita moschata Duch.</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TG/LAGEN (proj.5)</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Bottle Gourd; Calabash; Calabash Gourd; White</w:t>
            </w:r>
            <w:r w:rsidRPr="00293B75">
              <w:rPr>
                <w:rFonts w:cs="Arial"/>
                <w:sz w:val="16"/>
                <w:szCs w:val="16"/>
                <w:lang w:val="fr-FR"/>
              </w:rPr>
              <w:noBreakHyphen/>
              <w:t>flower Gourd</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Calebassier; Gourde bouteille</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Flaschenfrucht; Flaschenkürbis; Gewöhnlicher Flaschenkürbis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Acocote; Cajombre; Calabaza; Guiro amargo</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Lagenaria siceraria (Molina) Standl.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TG/PECAN (proj.12)</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Pecan Nut</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Noix de pécan</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Pekan, Pekannuß</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Nuez pecán, Pecan, Nogal pecanero</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Carya illinoinensis (Wangenh.) K.Koch</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BR</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szCs w:val="16"/>
                <w:lang w:val="fr-FR"/>
              </w:rPr>
            </w:pPr>
            <w:r w:rsidRPr="00293B75">
              <w:rPr>
                <w:rFonts w:cs="Arial"/>
                <w:sz w:val="16"/>
                <w:szCs w:val="16"/>
                <w:lang w:val="fr-FR"/>
              </w:rPr>
              <w:t>TG/UROCH (proj.9)</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 xml:space="preserve">Urochloa brizantha (Hochst.  ex A. Rich.) R. D. Webster (Brachiaria brizantha (Hochst. ex A. Rich.) Stapf); </w:t>
            </w:r>
            <w:r w:rsidRPr="00293B75">
              <w:rPr>
                <w:rFonts w:cs="Arial"/>
                <w:sz w:val="16"/>
                <w:szCs w:val="16"/>
                <w:lang w:val="fr-FR"/>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293B75">
              <w:rPr>
                <w:rFonts w:cs="Arial"/>
                <w:sz w:val="16"/>
                <w:szCs w:val="16"/>
                <w:lang w:val="fr-FR"/>
              </w:rPr>
              <w:br/>
              <w:t>Urochloa ruziziensis (R. Germ. &amp; C. M. Evrard) Morrone &amp; Zuloaga (Brachiaria ruziziensis R. Germ. &amp; C. M. Evrard)</w:t>
            </w:r>
          </w:p>
        </w:tc>
      </w:tr>
      <w:tr w:rsidR="00293B75" w:rsidRPr="00293B75" w:rsidTr="00DB5A93">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B5A93" w:rsidRPr="00293B75" w:rsidRDefault="00DB5A93" w:rsidP="007005BA">
            <w:pPr>
              <w:spacing w:before="60" w:after="120"/>
              <w:ind w:left="-36"/>
              <w:jc w:val="left"/>
              <w:rPr>
                <w:rFonts w:eastAsia="MS Mincho" w:cs="Arial"/>
                <w:bCs/>
                <w:sz w:val="16"/>
                <w:szCs w:val="16"/>
                <w:u w:val="single"/>
                <w:lang w:val="fr-FR" w:eastAsia="ja-JP"/>
              </w:rPr>
            </w:pPr>
            <w:r w:rsidRPr="00293B75">
              <w:rPr>
                <w:rFonts w:cs="Arial"/>
                <w:bCs/>
                <w:sz w:val="16"/>
                <w:szCs w:val="16"/>
                <w:u w:val="single"/>
                <w:lang w:val="fr-FR"/>
              </w:rPr>
              <w:t xml:space="preserve">REVISIONS OF TEST GUIDELINES / </w:t>
            </w:r>
            <w:r w:rsidRPr="00293B75">
              <w:rPr>
                <w:rFonts w:cs="Arial"/>
                <w:sz w:val="16"/>
                <w:szCs w:val="16"/>
                <w:u w:val="single"/>
                <w:lang w:val="fr-FR"/>
              </w:rPr>
              <w:t>RÉVISIONS DE PRINCIPES DIRECTEURS D’EXAMEN ADOPTÉS / REVISIONEN ANGENOMMENER PRÜFUNGSRICHTLINIEN / REVISIONES DE DIRECTRICES DE EXAMEN ADOPTADAS</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lang w:val="fr-FR"/>
              </w:rPr>
            </w:pPr>
            <w:r w:rsidRPr="00293B75">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lang w:val="fr-FR"/>
              </w:rPr>
            </w:pPr>
            <w:r w:rsidRPr="00293B75">
              <w:rPr>
                <w:rFonts w:cs="Arial"/>
                <w:sz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lang w:val="fr-FR"/>
              </w:rPr>
            </w:pPr>
            <w:r w:rsidRPr="00293B75">
              <w:rPr>
                <w:rFonts w:cs="Arial"/>
                <w:sz w:val="16"/>
                <w:lang w:val="fr-FR"/>
              </w:rPr>
              <w:t>TG/25/9(proj.9)</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 xml:space="preserve">Carnation, Clove Pink, Pink, Sweet William </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Œillet</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Nelke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Clavel</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Dianthus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lang w:val="fr-FR"/>
              </w:rPr>
            </w:pPr>
            <w:r w:rsidRPr="00293B75">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lang w:val="fr-FR"/>
              </w:rPr>
            </w:pPr>
            <w:r w:rsidRPr="00293B75">
              <w:rPr>
                <w:rFonts w:cs="Arial"/>
                <w:sz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lang w:val="fr-FR"/>
              </w:rPr>
            </w:pPr>
            <w:r w:rsidRPr="00293B75">
              <w:rPr>
                <w:rFonts w:cs="Arial"/>
                <w:sz w:val="16"/>
                <w:lang w:val="fr-FR"/>
              </w:rPr>
              <w:t>TG/109/4(proj.4)</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Large</w:t>
            </w:r>
            <w:r w:rsidRPr="00293B75">
              <w:rPr>
                <w:rFonts w:cs="Arial"/>
                <w:sz w:val="16"/>
                <w:lang w:val="fr-FR"/>
              </w:rPr>
              <w:noBreakHyphen/>
              <w:t>flower Pelargonium; Regal Pelargonium; Crisped</w:t>
            </w:r>
            <w:r w:rsidRPr="00293B75">
              <w:rPr>
                <w:rFonts w:cs="Arial"/>
                <w:sz w:val="16"/>
                <w:lang w:val="fr-FR"/>
              </w:rPr>
              <w:noBreakHyphen/>
              <w:t>leaf Pelargonium</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Pélargonium des fleuristes</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Edelpelargonie; Zitronenduft</w:t>
            </w:r>
            <w:r w:rsidRPr="00293B75">
              <w:rPr>
                <w:rFonts w:cs="Arial"/>
                <w:sz w:val="16"/>
                <w:lang w:val="fr-FR"/>
              </w:rPr>
              <w:noBreakHyphen/>
              <w:t>Pelargonie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 xml:space="preserve">Pelargonio;  </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Pelargonium grandiflorum (Andrews) Willd.;  P. ×domesticum L. H. Bailey; P. crispum (P.J. Bergius) L’Hér. and P. crispum x P. ×domesticum</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lang w:val="fr-FR"/>
              </w:rPr>
            </w:pPr>
            <w:r w:rsidRPr="00293B75">
              <w:rPr>
                <w:rFonts w:cs="Arial"/>
                <w:sz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lang w:val="fr-FR"/>
              </w:rPr>
            </w:pPr>
            <w:r w:rsidRPr="00293B75">
              <w:rPr>
                <w:rFonts w:cs="Arial"/>
                <w:sz w:val="16"/>
                <w:lang w:val="fr-FR"/>
              </w:rPr>
              <w:t>TWA</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lang w:val="fr-FR"/>
              </w:rPr>
            </w:pPr>
            <w:r w:rsidRPr="00293B75">
              <w:rPr>
                <w:rFonts w:cs="Arial"/>
                <w:sz w:val="16"/>
                <w:lang w:val="fr-FR"/>
              </w:rPr>
              <w:t>TG/122/4(proj.4)</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 xml:space="preserve">Broomcorn, Durra, Feterita, </w:t>
            </w:r>
            <w:r w:rsidRPr="00293B75">
              <w:rPr>
                <w:rFonts w:cs="Arial"/>
                <w:sz w:val="16"/>
                <w:lang w:val="fr-FR"/>
              </w:rPr>
              <w:br/>
              <w:t xml:space="preserve">Forage Sorghum, Grain sorghum, Great Millet, </w:t>
            </w:r>
            <w:r w:rsidRPr="00293B75">
              <w:rPr>
                <w:rFonts w:cs="Arial"/>
                <w:sz w:val="16"/>
                <w:lang w:val="fr-FR"/>
              </w:rPr>
              <w:br/>
              <w:t>Kaffir</w:t>
            </w:r>
            <w:r w:rsidRPr="00293B75">
              <w:rPr>
                <w:rFonts w:cs="Arial"/>
                <w:sz w:val="16"/>
                <w:lang w:val="fr-FR"/>
              </w:rPr>
              <w:noBreakHyphen/>
              <w:t>corn, Milo, Shallu, Sorghum, Sweet sorghum;</w:t>
            </w:r>
            <w:r w:rsidRPr="00293B75">
              <w:rPr>
                <w:rFonts w:cs="Arial"/>
                <w:sz w:val="16"/>
                <w:lang w:val="fr-FR"/>
              </w:rPr>
              <w:br/>
              <w:t>Chicken</w:t>
            </w:r>
            <w:r w:rsidRPr="00293B75">
              <w:rPr>
                <w:rFonts w:cs="Arial"/>
                <w:sz w:val="16"/>
                <w:lang w:val="fr-FR"/>
              </w:rPr>
              <w:noBreakHyphen/>
              <w:t xml:space="preserve">corn, Shattercane, Sordan, </w:t>
            </w:r>
            <w:r w:rsidRPr="00293B75">
              <w:rPr>
                <w:rFonts w:cs="Arial"/>
                <w:sz w:val="16"/>
                <w:lang w:val="fr-FR"/>
              </w:rPr>
              <w:br/>
              <w:t>Sorghum x Sudan Grass, Sorghum</w:t>
            </w:r>
            <w:r w:rsidRPr="00293B75">
              <w:rPr>
                <w:rFonts w:cs="Arial"/>
                <w:sz w:val="16"/>
                <w:lang w:val="fr-FR"/>
              </w:rPr>
              <w:noBreakHyphen/>
              <w:t>sudangrass, Sudan grass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Gros mil, Sorgho;  Sorgho menu, Sorgho x Sorgho du Soudan</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Mohrenhirse; Mohrenhirse x Sudangras, Sudangrass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 xml:space="preserve">Daza, Sorgo, Sorgo forrajero; Pasto del Sudán, Pasto Sudán, Sorgo x Pasto del Sudán, Sudangrass </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Sorghum bicolor (L.) Moench; Sorghum ×drummondii (Steud.) Millsp. &amp; Chase</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lang w:val="fr-FR"/>
              </w:rPr>
            </w:pPr>
            <w:r w:rsidRPr="00293B75">
              <w:rPr>
                <w:rFonts w:cs="Arial"/>
                <w:sz w:val="16"/>
                <w:lang w:val="fr-FR"/>
              </w:rPr>
              <w:t>ZA</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lang w:val="fr-FR"/>
              </w:rPr>
            </w:pPr>
            <w:r w:rsidRPr="00293B75">
              <w:rPr>
                <w:rFonts w:cs="Arial"/>
                <w:sz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lang w:val="fr-FR"/>
              </w:rPr>
            </w:pPr>
            <w:r w:rsidRPr="00293B75">
              <w:rPr>
                <w:rFonts w:cs="Arial"/>
                <w:sz w:val="16"/>
                <w:lang w:val="fr-FR"/>
              </w:rPr>
              <w:t>TG/163/4(proj.7)</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Apple Rootstocks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Porte</w:t>
            </w:r>
            <w:r w:rsidRPr="00293B75">
              <w:rPr>
                <w:rFonts w:cs="Arial"/>
                <w:sz w:val="16"/>
                <w:lang w:val="fr-FR"/>
              </w:rPr>
              <w:noBreakHyphen/>
              <w:t>greffes du pommier</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Apfel</w:t>
            </w:r>
            <w:r w:rsidRPr="00293B75">
              <w:rPr>
                <w:rFonts w:cs="Arial"/>
                <w:sz w:val="16"/>
                <w:lang w:val="fr-FR"/>
              </w:rPr>
              <w:noBreakHyphen/>
              <w:t>Unterlagen</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Portainjertos de manzano</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Malus Mill.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lang w:val="fr-FR"/>
              </w:rPr>
            </w:pPr>
            <w:r w:rsidRPr="00293B75">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lang w:val="fr-FR"/>
              </w:rPr>
            </w:pPr>
            <w:r w:rsidRPr="00293B75">
              <w:rPr>
                <w:rFonts w:cs="Arial"/>
                <w:sz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rPr>
                <w:rFonts w:cs="Arial"/>
                <w:sz w:val="16"/>
                <w:lang w:val="fr-FR"/>
              </w:rPr>
            </w:pPr>
            <w:r w:rsidRPr="00293B75">
              <w:rPr>
                <w:rFonts w:cs="Arial"/>
                <w:sz w:val="16"/>
                <w:lang w:val="fr-FR"/>
              </w:rPr>
              <w:t>TG/210/2(proj.4)</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Lentil</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Lentille</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Linse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Lenteja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lang w:val="fr-FR"/>
              </w:rPr>
            </w:pPr>
            <w:r w:rsidRPr="00293B75">
              <w:rPr>
                <w:rFonts w:cs="Arial"/>
                <w:sz w:val="16"/>
                <w:lang w:val="fr-FR"/>
              </w:rPr>
              <w:t>Lens culinaris Medik.</w:t>
            </w:r>
          </w:p>
        </w:tc>
      </w:tr>
      <w:tr w:rsidR="00293B75" w:rsidRPr="00293B75" w:rsidTr="00DB5A93">
        <w:trPr>
          <w:cantSplit/>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DB5A93" w:rsidRPr="00293B75" w:rsidRDefault="00DB5A93" w:rsidP="007005BA">
            <w:pPr>
              <w:keepNext/>
              <w:spacing w:before="60" w:after="120"/>
              <w:ind w:left="-36"/>
              <w:jc w:val="left"/>
              <w:rPr>
                <w:rFonts w:eastAsia="MS Mincho" w:cs="Arial"/>
                <w:bCs/>
                <w:sz w:val="16"/>
                <w:szCs w:val="16"/>
                <w:u w:val="single"/>
                <w:lang w:val="fr-FR" w:eastAsia="ja-JP"/>
              </w:rPr>
            </w:pPr>
            <w:r w:rsidRPr="00293B75">
              <w:rPr>
                <w:rFonts w:cs="Arial"/>
                <w:bCs/>
                <w:sz w:val="16"/>
                <w:szCs w:val="16"/>
                <w:u w:val="single"/>
                <w:lang w:val="fr-FR"/>
              </w:rPr>
              <w:t xml:space="preserve">PARTIAL REVISIONS OF TEST GUIDELINES / </w:t>
            </w:r>
            <w:r w:rsidRPr="00293B75">
              <w:rPr>
                <w:rFonts w:cs="Arial"/>
                <w:sz w:val="16"/>
                <w:szCs w:val="16"/>
                <w:u w:val="single"/>
                <w:lang w:val="fr-FR"/>
              </w:rPr>
              <w:t>RÉVISIONS PARTIELLES DE PRINCIPES DIRECTEURS D’EXAMEN ADOPTÉS /</w:t>
            </w:r>
            <w:r w:rsidRPr="00293B75">
              <w:rPr>
                <w:rFonts w:cs="Arial"/>
                <w:sz w:val="16"/>
                <w:szCs w:val="16"/>
                <w:u w:val="single"/>
                <w:lang w:val="fr-FR"/>
              </w:rPr>
              <w:br/>
              <w:t>TEILREVISIONEN ANGENOMMENER PRÜFUNGSRICHTLINIEN / REVISIONES PARCIALES DE DIRECTRICES DE EXAMEN ADOPTADAS</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keepNext/>
              <w:rPr>
                <w:rFonts w:cs="Arial"/>
                <w:sz w:val="16"/>
                <w:szCs w:val="16"/>
                <w:lang w:val="fr-FR"/>
              </w:rPr>
            </w:pPr>
            <w:r w:rsidRPr="00293B75">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keepNext/>
              <w:rPr>
                <w:rFonts w:cs="Arial"/>
                <w:sz w:val="16"/>
                <w:szCs w:val="16"/>
                <w:lang w:val="fr-FR"/>
              </w:rPr>
            </w:pPr>
            <w:r w:rsidRPr="00293B75">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keepNext/>
              <w:ind w:left="-36"/>
              <w:jc w:val="left"/>
              <w:rPr>
                <w:rFonts w:cs="Arial"/>
                <w:sz w:val="16"/>
                <w:szCs w:val="16"/>
                <w:lang w:val="fr-FR"/>
              </w:rPr>
            </w:pPr>
            <w:r w:rsidRPr="00293B75">
              <w:rPr>
                <w:rFonts w:cs="Arial"/>
                <w:sz w:val="16"/>
                <w:szCs w:val="16"/>
                <w:lang w:val="fr-FR"/>
              </w:rPr>
              <w:t xml:space="preserve">TG/12/9 Rev. and document TC/51/27 </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keepNext/>
              <w:jc w:val="left"/>
              <w:rPr>
                <w:rFonts w:cs="Arial"/>
                <w:sz w:val="16"/>
                <w:szCs w:val="16"/>
                <w:lang w:val="fr-FR"/>
              </w:rPr>
            </w:pPr>
            <w:r w:rsidRPr="00293B75">
              <w:rPr>
                <w:rFonts w:cs="Arial"/>
                <w:sz w:val="16"/>
                <w:szCs w:val="16"/>
                <w:lang w:val="fr-FR"/>
              </w:rPr>
              <w:t>French Bean</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keepNext/>
              <w:jc w:val="left"/>
              <w:rPr>
                <w:rFonts w:cs="Arial"/>
                <w:sz w:val="16"/>
                <w:szCs w:val="16"/>
                <w:lang w:val="fr-FR"/>
              </w:rPr>
            </w:pPr>
            <w:r w:rsidRPr="00293B75">
              <w:rPr>
                <w:rFonts w:cs="Arial"/>
                <w:sz w:val="16"/>
                <w:szCs w:val="16"/>
                <w:lang w:val="fr-FR"/>
              </w:rPr>
              <w:t>Haricot</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keepNext/>
              <w:jc w:val="left"/>
              <w:rPr>
                <w:rFonts w:cs="Arial"/>
                <w:sz w:val="16"/>
                <w:szCs w:val="16"/>
                <w:lang w:val="fr-FR"/>
              </w:rPr>
            </w:pPr>
            <w:r w:rsidRPr="00293B75">
              <w:rPr>
                <w:rFonts w:cs="Arial"/>
                <w:sz w:val="16"/>
                <w:szCs w:val="16"/>
                <w:lang w:val="fr-FR"/>
              </w:rPr>
              <w:t xml:space="preserve">Gartenbohne </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keepNext/>
              <w:jc w:val="left"/>
              <w:rPr>
                <w:rFonts w:cs="Arial"/>
                <w:sz w:val="16"/>
                <w:szCs w:val="16"/>
                <w:lang w:val="fr-FR"/>
              </w:rPr>
            </w:pPr>
            <w:r w:rsidRPr="00293B75">
              <w:rPr>
                <w:rFonts w:cs="Arial"/>
                <w:sz w:val="16"/>
                <w:szCs w:val="16"/>
                <w:lang w:val="fr-FR"/>
              </w:rPr>
              <w:t>Judía común, Alubia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keepNext/>
              <w:jc w:val="left"/>
              <w:rPr>
                <w:rFonts w:cs="Arial"/>
                <w:sz w:val="16"/>
                <w:szCs w:val="16"/>
                <w:lang w:val="fr-FR"/>
              </w:rPr>
            </w:pPr>
            <w:r w:rsidRPr="00293B75">
              <w:rPr>
                <w:rFonts w:cs="Arial"/>
                <w:sz w:val="16"/>
                <w:szCs w:val="16"/>
                <w:lang w:val="fr-FR"/>
              </w:rPr>
              <w:t>Phaseolus vulgaris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jc w:val="left"/>
              <w:rPr>
                <w:rFonts w:cs="Arial"/>
                <w:sz w:val="16"/>
                <w:szCs w:val="16"/>
                <w:lang w:val="fr-FR"/>
              </w:rPr>
            </w:pPr>
            <w:r w:rsidRPr="00293B75">
              <w:rPr>
                <w:rFonts w:cs="Arial"/>
                <w:sz w:val="16"/>
                <w:szCs w:val="16"/>
                <w:lang w:val="fr-FR"/>
              </w:rPr>
              <w:t xml:space="preserve">TG/55/7 Rev. 2 and document TC/51/29 </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Spinach</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Épinard</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Spinat</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Espinaca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Spinacia oleracea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jc w:val="left"/>
              <w:rPr>
                <w:rFonts w:cs="Arial"/>
                <w:sz w:val="16"/>
                <w:szCs w:val="16"/>
                <w:lang w:val="fr-FR"/>
              </w:rPr>
            </w:pPr>
            <w:r w:rsidRPr="00293B75">
              <w:rPr>
                <w:rFonts w:cs="Arial"/>
                <w:sz w:val="16"/>
                <w:szCs w:val="16"/>
                <w:lang w:val="fr-FR"/>
              </w:rPr>
              <w:t xml:space="preserve">TG/61/7 Rev. and document TC/51/26 </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Cucumber, Gherkin</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Concombre, Cornichon</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Gurke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Pepino, Pepinillo</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Cucumis sativus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NL/FR</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jc w:val="left"/>
              <w:rPr>
                <w:rFonts w:cs="Arial"/>
                <w:sz w:val="16"/>
                <w:szCs w:val="16"/>
                <w:lang w:val="fr-FR"/>
              </w:rPr>
            </w:pPr>
            <w:r w:rsidRPr="00293B75">
              <w:rPr>
                <w:rFonts w:cs="Arial"/>
                <w:sz w:val="16"/>
                <w:szCs w:val="16"/>
                <w:lang w:val="fr-FR"/>
              </w:rPr>
              <w:t xml:space="preserve">TG/76/8 and document TC/51/30 </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Sweet Pepper, Hot Pepper, Paprika, Chili</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Piment, Poivron</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Paprika</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Aji, Chile, Pimiento</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Capsicum annuum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jc w:val="left"/>
              <w:rPr>
                <w:rFonts w:cs="Arial"/>
                <w:sz w:val="16"/>
                <w:szCs w:val="16"/>
                <w:lang w:val="fr-FR"/>
              </w:rPr>
            </w:pPr>
            <w:r w:rsidRPr="00293B75">
              <w:rPr>
                <w:rFonts w:cs="Arial"/>
                <w:sz w:val="16"/>
                <w:szCs w:val="16"/>
                <w:lang w:val="fr-FR"/>
              </w:rPr>
              <w:t xml:space="preserve">TG/108/4 and document TC/51/32 </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Gladiolus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Glaïeul</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Gladiole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Gladiolo</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Gladiolus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ES</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TWF</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jc w:val="left"/>
              <w:rPr>
                <w:rFonts w:cs="Arial"/>
                <w:sz w:val="16"/>
                <w:szCs w:val="16"/>
                <w:lang w:val="fr-FR"/>
              </w:rPr>
            </w:pPr>
            <w:r w:rsidRPr="00293B75">
              <w:rPr>
                <w:rFonts w:cs="Arial"/>
                <w:sz w:val="16"/>
                <w:szCs w:val="16"/>
                <w:lang w:val="fr-FR"/>
              </w:rPr>
              <w:t>TG/201/1 and document TC/51/33</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Mandarins</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Mandarinier</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Mandarinen</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Mandarino</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Citrus;  Grp 1</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TWO</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jc w:val="left"/>
              <w:rPr>
                <w:rFonts w:cs="Arial"/>
                <w:sz w:val="16"/>
                <w:szCs w:val="16"/>
                <w:lang w:val="fr-FR"/>
              </w:rPr>
            </w:pPr>
            <w:r w:rsidRPr="00293B75">
              <w:rPr>
                <w:rFonts w:cs="Arial"/>
                <w:sz w:val="16"/>
                <w:szCs w:val="16"/>
                <w:lang w:val="fr-FR"/>
              </w:rPr>
              <w:t xml:space="preserve">TG/263/1 and document TC/51/31 </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Buddleia, Butterfly</w:t>
            </w:r>
            <w:r w:rsidRPr="00293B75">
              <w:rPr>
                <w:rFonts w:cs="Arial"/>
                <w:sz w:val="16"/>
                <w:szCs w:val="16"/>
                <w:lang w:val="fr-FR"/>
              </w:rPr>
              <w:noBreakHyphen/>
              <w:t>bush</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Buddleia, Arbre aux papillons</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Buddleie, Schmetterlingsstrauch</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Budleya, Mariposa</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Buddleja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UA</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jc w:val="left"/>
              <w:rPr>
                <w:rFonts w:cs="Arial"/>
                <w:sz w:val="16"/>
                <w:szCs w:val="16"/>
                <w:lang w:val="fr-FR"/>
              </w:rPr>
            </w:pPr>
            <w:r w:rsidRPr="00293B75">
              <w:rPr>
                <w:rFonts w:cs="Arial"/>
                <w:sz w:val="16"/>
                <w:szCs w:val="16"/>
                <w:lang w:val="fr-FR"/>
              </w:rPr>
              <w:t>TG/268/1 and document TC/51/34</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Garden Sorrel</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Grande oseille</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Wiesensauerampfer</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Acedera común</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Rumex acetosa L.</w:t>
            </w:r>
          </w:p>
        </w:tc>
      </w:tr>
      <w:tr w:rsidR="00293B75" w:rsidRPr="00293B75" w:rsidTr="00DB5A93">
        <w:trPr>
          <w:cantSplit/>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DB5A93" w:rsidRPr="00293B75" w:rsidRDefault="00DB5A93" w:rsidP="007005BA">
            <w:pPr>
              <w:rPr>
                <w:rFonts w:cs="Arial"/>
                <w:sz w:val="16"/>
                <w:szCs w:val="16"/>
                <w:lang w:val="fr-FR"/>
              </w:rPr>
            </w:pPr>
            <w:r w:rsidRPr="00293B75">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rPr>
                <w:rFonts w:cs="Arial"/>
                <w:sz w:val="16"/>
                <w:szCs w:val="16"/>
                <w:lang w:val="fr-FR"/>
              </w:rPr>
            </w:pPr>
            <w:r w:rsidRPr="00293B75">
              <w:rPr>
                <w:rFonts w:cs="Arial"/>
                <w:sz w:val="16"/>
                <w:szCs w:val="16"/>
                <w:lang w:val="fr-FR"/>
              </w:rPr>
              <w:t>TWV</w:t>
            </w:r>
          </w:p>
        </w:tc>
        <w:tc>
          <w:tcPr>
            <w:tcW w:w="149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ind w:left="-36"/>
              <w:jc w:val="left"/>
              <w:rPr>
                <w:rFonts w:cs="Arial"/>
                <w:sz w:val="16"/>
                <w:szCs w:val="16"/>
                <w:lang w:val="fr-FR"/>
              </w:rPr>
            </w:pPr>
            <w:r w:rsidRPr="00293B75">
              <w:rPr>
                <w:rFonts w:cs="Arial"/>
                <w:sz w:val="16"/>
                <w:szCs w:val="16"/>
                <w:lang w:val="fr-FR"/>
              </w:rPr>
              <w:t xml:space="preserve">TG/282/1 and document TC/51/28 </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Shiitake</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Shiitake</w:t>
            </w:r>
          </w:p>
        </w:tc>
        <w:tc>
          <w:tcPr>
            <w:tcW w:w="1417"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Pasaniapilz</w:t>
            </w:r>
          </w:p>
        </w:tc>
        <w:tc>
          <w:tcPr>
            <w:tcW w:w="1418"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Shiitake</w:t>
            </w:r>
          </w:p>
        </w:tc>
        <w:tc>
          <w:tcPr>
            <w:tcW w:w="1700" w:type="dxa"/>
            <w:tcBorders>
              <w:top w:val="single" w:sz="4" w:space="0" w:color="auto"/>
              <w:left w:val="nil"/>
              <w:bottom w:val="single" w:sz="4" w:space="0" w:color="auto"/>
              <w:right w:val="single" w:sz="4" w:space="0" w:color="auto"/>
            </w:tcBorders>
            <w:shd w:val="clear" w:color="auto" w:fill="auto"/>
          </w:tcPr>
          <w:p w:rsidR="00DB5A93" w:rsidRPr="00293B75" w:rsidRDefault="00DB5A93" w:rsidP="007005BA">
            <w:pPr>
              <w:jc w:val="left"/>
              <w:rPr>
                <w:rFonts w:cs="Arial"/>
                <w:sz w:val="16"/>
                <w:szCs w:val="16"/>
                <w:lang w:val="fr-FR"/>
              </w:rPr>
            </w:pPr>
            <w:r w:rsidRPr="00293B75">
              <w:rPr>
                <w:rFonts w:cs="Arial"/>
                <w:sz w:val="16"/>
                <w:szCs w:val="16"/>
                <w:lang w:val="fr-FR"/>
              </w:rPr>
              <w:t>Lentinula edodes (Berk.) Pegler</w:t>
            </w:r>
          </w:p>
        </w:tc>
      </w:tr>
    </w:tbl>
    <w:p w:rsidR="00DB5A93" w:rsidRPr="00293B75" w:rsidRDefault="00DB5A93" w:rsidP="007005BA">
      <w:pPr>
        <w:rPr>
          <w:rFonts w:cs="Arial"/>
          <w:lang w:val="fr-FR"/>
        </w:rPr>
      </w:pPr>
    </w:p>
    <w:p w:rsidR="00DB5A93" w:rsidRPr="00293B75" w:rsidRDefault="00DB5A93"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Le TC adopte les principes directeurs d’examen pour les larmes de Job, sous réserve de l’approbation par correspondance par le TWA de l’ajout d’astérisques aux caractères 1, 13, 14 et 20, comme indiqué à l’annexe II du présent compte rendu.</w:t>
      </w:r>
    </w:p>
    <w:p w:rsidR="00DB5A93" w:rsidRPr="00293B75" w:rsidRDefault="00DB5A93" w:rsidP="007005BA">
      <w:pPr>
        <w:rPr>
          <w:rFonts w:cs="Arial"/>
          <w:lang w:val="fr-FR"/>
        </w:rPr>
      </w:pPr>
    </w:p>
    <w:p w:rsidR="00DB5A93" w:rsidRPr="00293B75" w:rsidRDefault="00DB5A93"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Le TC adopte les principes directeurs d’examen pour le calebassier, sous réserve de l’approbation par correspondance par le TWV de la suppression des caractères 17 “Col : plissement à la base”, comme indiqué à l’annexe II du présent compte rendu.</w:t>
      </w:r>
    </w:p>
    <w:p w:rsidR="00DB5A93" w:rsidRPr="00293B75" w:rsidRDefault="00DB5A93" w:rsidP="007005BA">
      <w:pPr>
        <w:rPr>
          <w:rFonts w:cs="Arial"/>
          <w:lang w:val="fr-FR"/>
        </w:rPr>
      </w:pPr>
    </w:p>
    <w:p w:rsidR="00DB5A93" w:rsidRPr="00293B75" w:rsidRDefault="00DB5A93" w:rsidP="007005BA">
      <w:pPr>
        <w:rPr>
          <w:lang w:val="fr-FR"/>
        </w:rPr>
      </w:pPr>
      <w:r w:rsidRPr="00293B75">
        <w:rPr>
          <w:snapToGrid w:val="0"/>
          <w:lang w:val="fr-FR"/>
        </w:rPr>
        <w:fldChar w:fldCharType="begin"/>
      </w:r>
      <w:r w:rsidRPr="00293B75">
        <w:rPr>
          <w:snapToGrid w:val="0"/>
          <w:lang w:val="fr-FR"/>
        </w:rPr>
        <w:instrText xml:space="preserve"> AUTONUM  </w:instrText>
      </w:r>
      <w:r w:rsidRPr="00293B75">
        <w:rPr>
          <w:snapToGrid w:val="0"/>
          <w:lang w:val="fr-FR"/>
        </w:rPr>
        <w:fldChar w:fldCharType="end"/>
      </w:r>
      <w:r w:rsidRPr="00293B75">
        <w:rPr>
          <w:snapToGrid w:val="0"/>
          <w:lang w:val="fr-FR"/>
        </w:rPr>
        <w:tab/>
        <w:t>L’UPOV a adopté 313 principes directeurs d’examen, tous disponibles gratuitement sur le site Web de l’UPOV (</w:t>
      </w:r>
      <w:hyperlink r:id="rId13" w:history="1">
        <w:r w:rsidR="001F26D8" w:rsidRPr="00F11359">
          <w:rPr>
            <w:rStyle w:val="Hyperlink"/>
          </w:rPr>
          <w:t>http://www.upov.int/test_guidelines/fr/</w:t>
        </w:r>
      </w:hyperlink>
      <w:r w:rsidRPr="00293B75">
        <w:rPr>
          <w:snapToGrid w:val="0"/>
          <w:lang w:val="fr-FR"/>
        </w:rPr>
        <w:t>).</w:t>
      </w:r>
    </w:p>
    <w:p w:rsidR="00DB5A93" w:rsidRPr="00293B75" w:rsidRDefault="00DB5A93" w:rsidP="007005BA">
      <w:pPr>
        <w:outlineLvl w:val="0"/>
        <w:rPr>
          <w:lang w:val="fr-FR"/>
        </w:rPr>
      </w:pPr>
    </w:p>
    <w:p w:rsidR="00DB5A93" w:rsidRPr="00293B75" w:rsidRDefault="00DB5A93" w:rsidP="007005BA">
      <w:pPr>
        <w:outlineLvl w:val="0"/>
        <w:rPr>
          <w:lang w:val="fr-FR"/>
        </w:rPr>
      </w:pPr>
    </w:p>
    <w:p w:rsidR="00DB5A93" w:rsidRPr="00293B75" w:rsidRDefault="00DB5A93" w:rsidP="007005BA">
      <w:pPr>
        <w:pStyle w:val="Heading3"/>
        <w:rPr>
          <w:color w:val="auto"/>
        </w:rPr>
      </w:pPr>
      <w:r w:rsidRPr="00293B75">
        <w:rPr>
          <w:color w:val="auto"/>
        </w:rPr>
        <w:t>Corrections de principes directeurs d’examen</w:t>
      </w:r>
    </w:p>
    <w:p w:rsidR="00DB5A93" w:rsidRPr="00293B75" w:rsidRDefault="00DB5A93" w:rsidP="007005BA">
      <w:pPr>
        <w:keepNext/>
        <w:outlineLvl w:val="0"/>
        <w:rPr>
          <w:rFonts w:ascii="ArialMT" w:eastAsia="MS Mincho" w:hAnsi="ArialMT" w:cs="ArialMT"/>
          <w:lang w:val="fr-FR" w:eastAsia="ja-JP"/>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corrections apportées aux principes directeurs d’examen adoptés pour la carotte</w:t>
      </w:r>
      <w:r w:rsidRPr="00293B75">
        <w:rPr>
          <w:rFonts w:eastAsia="MS Mincho"/>
          <w:lang w:val="fr-FR" w:eastAsia="ja-JP"/>
        </w:rPr>
        <w:t xml:space="preserve"> </w:t>
      </w:r>
      <w:r w:rsidRPr="00293B75">
        <w:rPr>
          <w:lang w:val="fr-FR"/>
        </w:rPr>
        <w:t>(document TG/49/8), en se fondant sur le document TC/51/35.</w:t>
      </w:r>
    </w:p>
    <w:p w:rsidR="00DB5A93" w:rsidRPr="00293B75" w:rsidRDefault="00DB5A93" w:rsidP="007005BA">
      <w:pPr>
        <w:outlineLvl w:val="0"/>
        <w:rPr>
          <w:lang w:val="fr-FR"/>
        </w:rPr>
      </w:pPr>
    </w:p>
    <w:p w:rsidR="00DB5A93" w:rsidRPr="00293B75" w:rsidRDefault="00DB5A93" w:rsidP="007005BA">
      <w:pPr>
        <w:outlineLvl w:val="0"/>
        <w:rPr>
          <w:lang w:val="fr-FR"/>
        </w:rPr>
      </w:pPr>
    </w:p>
    <w:p w:rsidR="00DB5A93" w:rsidRPr="00293B75" w:rsidRDefault="00DB5A93" w:rsidP="007005BA">
      <w:pPr>
        <w:pStyle w:val="Heading3"/>
        <w:rPr>
          <w:color w:val="auto"/>
        </w:rPr>
      </w:pPr>
      <w:r w:rsidRPr="00293B75">
        <w:rPr>
          <w:color w:val="auto"/>
        </w:rPr>
        <w:t>Projets de principes directeurs d’examen examinés par les groupes de travail techniques en 2014</w:t>
      </w:r>
    </w:p>
    <w:p w:rsidR="00DB5A93" w:rsidRPr="00293B75" w:rsidRDefault="00DB5A93" w:rsidP="007005BA">
      <w:pPr>
        <w:keepNext/>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projets de principes directeurs d’examen examinés par les groupes de travail techniques à leurs sessions en 2014, tels qu’ils figurent à l’annexe II du document TC/51/2.</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pStyle w:val="Heading3"/>
        <w:rPr>
          <w:rFonts w:cs="Arial"/>
          <w:color w:val="auto"/>
        </w:rPr>
      </w:pPr>
      <w:r w:rsidRPr="00293B75">
        <w:rPr>
          <w:rFonts w:cs="Arial"/>
          <w:color w:val="auto"/>
        </w:rPr>
        <w:t>Projets de principes directeurs d’examen à examiner par les TWP en 2015</w:t>
      </w:r>
    </w:p>
    <w:p w:rsidR="00DB5A93" w:rsidRPr="00293B75" w:rsidRDefault="00DB5A93" w:rsidP="007005BA">
      <w:pPr>
        <w:keepNext/>
        <w:tabs>
          <w:tab w:val="left" w:pos="567"/>
        </w:tabs>
        <w:ind w:left="567" w:hanging="567"/>
        <w:outlineLvl w:val="0"/>
        <w:rPr>
          <w:rFonts w:cs="Arial"/>
          <w:lang w:val="fr-FR"/>
        </w:rPr>
      </w:pPr>
    </w:p>
    <w:p w:rsidR="00DB5A93" w:rsidRPr="00293B75" w:rsidRDefault="00DB5A93" w:rsidP="007005BA">
      <w:pPr>
        <w:rPr>
          <w:rFonts w:cs="Arial"/>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approuve le programme d’élaboration de nouveaux principes directeurs d’examen et de révision des principes directeurs d’examen existants, comme indiqué à l’annexe III du document TC/51/2.</w:t>
      </w:r>
    </w:p>
    <w:p w:rsidR="00DB5A93" w:rsidRPr="00293B75" w:rsidRDefault="00DB5A93" w:rsidP="007005BA">
      <w:pPr>
        <w:rPr>
          <w:rFonts w:cs="Arial"/>
          <w:lang w:val="fr-FR"/>
        </w:rPr>
      </w:pPr>
    </w:p>
    <w:p w:rsidR="00DB5A93" w:rsidRPr="00293B75" w:rsidRDefault="00DB5A93"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Le TC prend note que l’expert principal pour les principes directeurs du trèfle violet a sollicité le report de la rédaction de ces principes directeurs jusqu’en 2016 et leur retrait de l’ordre du jour de la quarante</w:t>
      </w:r>
      <w:r w:rsidRPr="00293B75">
        <w:rPr>
          <w:rFonts w:cs="Arial"/>
          <w:lang w:val="fr-FR"/>
        </w:rPr>
        <w:noBreakHyphen/>
        <w:t>septième session du TWA en 2015.</w:t>
      </w:r>
    </w:p>
    <w:p w:rsidR="00DB5A93" w:rsidRPr="00293B75" w:rsidRDefault="00DB5A93" w:rsidP="007005BA">
      <w:pPr>
        <w:rPr>
          <w:rFonts w:cs="Arial"/>
          <w:lang w:val="fr-FR"/>
        </w:rPr>
      </w:pPr>
    </w:p>
    <w:p w:rsidR="00DB5A93" w:rsidRPr="00293B75" w:rsidRDefault="00DB5A93" w:rsidP="007005BA">
      <w:pPr>
        <w:rPr>
          <w:rFonts w:cs="Arial"/>
          <w:lang w:val="fr-FR"/>
        </w:rPr>
      </w:pPr>
      <w:r w:rsidRPr="00293B75">
        <w:rPr>
          <w:rFonts w:cs="Arial"/>
          <w:lang w:val="fr-FR"/>
        </w:rPr>
        <w:fldChar w:fldCharType="begin"/>
      </w:r>
      <w:r w:rsidRPr="00293B75">
        <w:rPr>
          <w:rFonts w:cs="Arial"/>
          <w:lang w:val="fr-FR"/>
        </w:rPr>
        <w:instrText xml:space="preserve"> AUTONUM  </w:instrText>
      </w:r>
      <w:r w:rsidRPr="00293B75">
        <w:rPr>
          <w:rFonts w:cs="Arial"/>
          <w:lang w:val="fr-FR"/>
        </w:rPr>
        <w:fldChar w:fldCharType="end"/>
      </w:r>
      <w:r w:rsidRPr="00293B75">
        <w:rPr>
          <w:rFonts w:cs="Arial"/>
          <w:lang w:val="fr-FR"/>
        </w:rPr>
        <w:tab/>
        <w:t>Le TC prend note de l’état des principes directeurs existants tel qu’il figure dans l’annexe IV du TC/51/2.</w:t>
      </w:r>
    </w:p>
    <w:p w:rsidR="00DB5A93" w:rsidRPr="00293B75" w:rsidRDefault="00DB5A93" w:rsidP="007005BA">
      <w:pPr>
        <w:rPr>
          <w:lang w:val="fr-FR"/>
        </w:rPr>
      </w:pPr>
    </w:p>
    <w:p w:rsidR="00DB5A93" w:rsidRPr="00293B75" w:rsidRDefault="00DB5A93" w:rsidP="007005BA">
      <w:pPr>
        <w:rPr>
          <w:lang w:val="fr-FR"/>
        </w:rPr>
      </w:pPr>
    </w:p>
    <w:p w:rsidR="00DB5A93" w:rsidRPr="00293B75" w:rsidRDefault="00DB5A93" w:rsidP="007005BA">
      <w:pPr>
        <w:pStyle w:val="Heading3"/>
        <w:rPr>
          <w:color w:val="auto"/>
        </w:rPr>
      </w:pPr>
      <w:r w:rsidRPr="00293B75">
        <w:rPr>
          <w:color w:val="auto"/>
        </w:rPr>
        <w:t>Principes directeurs d’examen sur le site Web de l’UPOV</w:t>
      </w:r>
    </w:p>
    <w:p w:rsidR="00DB5A93" w:rsidRPr="00293B75" w:rsidRDefault="00DB5A93" w:rsidP="007005BA">
      <w:pPr>
        <w:keepNext/>
        <w:tabs>
          <w:tab w:val="center" w:pos="4820"/>
          <w:tab w:val="center" w:pos="5245"/>
        </w:tabs>
        <w:jc w:val="left"/>
        <w:rPr>
          <w:rFonts w:cs="Arial"/>
          <w:u w:val="single"/>
          <w:lang w:val="fr-FR"/>
        </w:rPr>
      </w:pPr>
    </w:p>
    <w:p w:rsidR="00DB5A93" w:rsidRPr="00293B75" w:rsidRDefault="00DB5A93" w:rsidP="007005BA">
      <w:pPr>
        <w:pStyle w:val="Heading4"/>
        <w:rPr>
          <w:lang w:val="fr-FR"/>
        </w:rPr>
      </w:pPr>
      <w:r w:rsidRPr="00293B75">
        <w:rPr>
          <w:lang w:val="fr-FR"/>
        </w:rPr>
        <w:t>Versions remplacées des principes directeurs d’examen</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 la liste des versions remplacées des principes directeurs d’examen telle qu’elle figure dans l’annexe V du document TC/51/2.</w:t>
      </w:r>
    </w:p>
    <w:p w:rsidR="00DB5A93" w:rsidRPr="00293B75" w:rsidRDefault="00DB5A93" w:rsidP="007005BA">
      <w:pPr>
        <w:rPr>
          <w:lang w:val="fr-FR"/>
        </w:rPr>
      </w:pPr>
    </w:p>
    <w:p w:rsidR="00DB5A93" w:rsidRPr="00293B75" w:rsidRDefault="00DB5A93" w:rsidP="007005BA">
      <w:pPr>
        <w:rPr>
          <w:rFonts w:cs="Arial"/>
          <w:lang w:val="fr-FR"/>
        </w:rPr>
      </w:pPr>
      <w:r w:rsidRPr="00293B75">
        <w:rPr>
          <w:lang w:val="fr-FR"/>
        </w:rPr>
        <w:fldChar w:fldCharType="begin"/>
      </w:r>
      <w:r w:rsidRPr="00293B75">
        <w:rPr>
          <w:lang w:val="fr-FR"/>
        </w:rPr>
        <w:instrText xml:space="preserve"> AUTONUM  </w:instrText>
      </w:r>
      <w:r w:rsidRPr="00293B75">
        <w:rPr>
          <w:lang w:val="fr-FR"/>
        </w:rPr>
        <w:fldChar w:fldCharType="end"/>
      </w:r>
      <w:r w:rsidR="001F26D8">
        <w:rPr>
          <w:lang w:val="fr-FR"/>
        </w:rPr>
        <w:tab/>
        <w:t xml:space="preserve">Le </w:t>
      </w:r>
      <w:r w:rsidRPr="00293B75">
        <w:rPr>
          <w:lang w:val="fr-FR"/>
        </w:rPr>
        <w:t xml:space="preserve">TC prend note du fait que les versions remplacées des principes directeurs d’examen </w:t>
      </w:r>
      <w:r w:rsidR="001F26D8">
        <w:rPr>
          <w:lang w:val="fr-FR"/>
        </w:rPr>
        <w:br/>
      </w:r>
      <w:r w:rsidRPr="00293B75">
        <w:rPr>
          <w:lang w:val="fr-FR"/>
        </w:rPr>
        <w:t>peuvent actuellem</w:t>
      </w:r>
      <w:r w:rsidR="001F26D8">
        <w:rPr>
          <w:lang w:val="fr-FR"/>
        </w:rPr>
        <w:t xml:space="preserve">ent être consultées sur le site </w:t>
      </w:r>
      <w:r w:rsidRPr="00293B75">
        <w:rPr>
          <w:lang w:val="fr-FR"/>
        </w:rPr>
        <w:t>Web de l’UPOV (</w:t>
      </w:r>
      <w:hyperlink r:id="rId14" w:history="1">
        <w:r w:rsidR="001F26D8">
          <w:rPr>
            <w:rStyle w:val="Hyperlink"/>
          </w:rPr>
          <w:t>http://upov.int/test_guidelines/fr/list_supersede.jsp</w:t>
        </w:r>
      </w:hyperlink>
      <w:r w:rsidRPr="00293B75">
        <w:rPr>
          <w:lang w:val="fr-FR"/>
        </w:rPr>
        <w:t>).</w:t>
      </w:r>
    </w:p>
    <w:p w:rsidR="00DB5A93" w:rsidRPr="00293B75" w:rsidRDefault="00DB5A93" w:rsidP="007005BA">
      <w:pPr>
        <w:rPr>
          <w:szCs w:val="24"/>
          <w:lang w:val="fr-FR"/>
        </w:rPr>
      </w:pPr>
    </w:p>
    <w:p w:rsidR="00DB5A93" w:rsidRPr="00293B75" w:rsidRDefault="00DB5A93" w:rsidP="007005BA">
      <w:pPr>
        <w:rPr>
          <w:szCs w:val="24"/>
          <w:lang w:val="fr-FR"/>
        </w:rPr>
      </w:pPr>
    </w:p>
    <w:p w:rsidR="00DB5A93" w:rsidRPr="00293B75" w:rsidRDefault="00DB5A93" w:rsidP="007005BA">
      <w:pPr>
        <w:keepNext/>
        <w:rPr>
          <w:szCs w:val="24"/>
          <w:u w:val="single"/>
          <w:lang w:val="fr-FR"/>
        </w:rPr>
      </w:pPr>
      <w:r w:rsidRPr="00293B75">
        <w:rPr>
          <w:szCs w:val="24"/>
          <w:u w:val="single"/>
          <w:lang w:val="fr-FR"/>
        </w:rPr>
        <w:t>Modèle de principes directeurs d’examen fondé sur le Web</w:t>
      </w:r>
    </w:p>
    <w:p w:rsidR="00DB5A93" w:rsidRPr="00293B75" w:rsidRDefault="00DB5A93" w:rsidP="007005BA">
      <w:pPr>
        <w:keepNext/>
        <w:rPr>
          <w:szCs w:val="24"/>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TC/51/36 “Modèle de principes directeurs d’examen fondé sur le Web”.</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assiste à une démonstration de la version n° 1 du modèle de principes directeurs d’examen fondé sur le Web faite par le Bureau de l’UPOV.</w:t>
      </w:r>
    </w:p>
    <w:p w:rsidR="00DB5A93" w:rsidRPr="00293B75" w:rsidRDefault="00DB5A93" w:rsidP="007005BA">
      <w:pPr>
        <w:rPr>
          <w:lang w:val="fr-FR"/>
        </w:rPr>
      </w:pPr>
    </w:p>
    <w:p w:rsidR="00DB5A93" w:rsidRPr="00293B75" w:rsidRDefault="00DB5A93" w:rsidP="007005BA">
      <w:pPr>
        <w:rPr>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prend note des faits nouveaux concernant le modèle de principes directeurs d’examen fondé sur le Web et, notamment :</w:t>
      </w:r>
    </w:p>
    <w:p w:rsidR="00DB5A93" w:rsidRPr="00293B75" w:rsidRDefault="00DB5A93" w:rsidP="007005BA">
      <w:pPr>
        <w:rPr>
          <w:lang w:val="fr-FR"/>
        </w:rPr>
      </w:pPr>
    </w:p>
    <w:p w:rsidR="00DB5A93" w:rsidRPr="00293B75" w:rsidRDefault="00DB5A93" w:rsidP="007005BA">
      <w:pPr>
        <w:ind w:left="426"/>
        <w:rPr>
          <w:lang w:val="fr-FR"/>
        </w:rPr>
      </w:pPr>
      <w:r w:rsidRPr="00293B75">
        <w:rPr>
          <w:lang w:val="fr-FR"/>
        </w:rPr>
        <w:t>a)</w:t>
      </w:r>
      <w:r w:rsidRPr="00293B75">
        <w:rPr>
          <w:lang w:val="fr-FR"/>
        </w:rPr>
        <w:tab/>
        <w:t>que des ateliers électroniques ont été organisés, enregistrés et mis à disposition des experts principaux et des experts intéressés en matière de principes directeurs d’examen et qu’une vidéo pédagogique de démonstration a été produite;  et</w:t>
      </w:r>
    </w:p>
    <w:p w:rsidR="00DB5A93" w:rsidRPr="00293B75" w:rsidRDefault="00DB5A93" w:rsidP="007005BA">
      <w:pPr>
        <w:ind w:left="426"/>
        <w:rPr>
          <w:lang w:val="fr-FR"/>
        </w:rPr>
      </w:pPr>
    </w:p>
    <w:p w:rsidR="00DB5A93" w:rsidRPr="00293B75" w:rsidRDefault="00DB5A93" w:rsidP="007005BA">
      <w:pPr>
        <w:ind w:left="426"/>
        <w:rPr>
          <w:lang w:val="fr-FR"/>
        </w:rPr>
      </w:pPr>
      <w:r w:rsidRPr="00293B75">
        <w:rPr>
          <w:lang w:val="fr-FR"/>
        </w:rPr>
        <w:t>b)</w:t>
      </w:r>
      <w:r w:rsidRPr="00293B75">
        <w:rPr>
          <w:lang w:val="fr-FR"/>
        </w:rPr>
        <w:tab/>
        <w:t>que la mise au point de la version n° 2 du modèle de principes directeurs d’examen fondé sur le Web doit débuter en 2016, sous réserve des ressources disponibles.</w:t>
      </w:r>
    </w:p>
    <w:p w:rsidR="00735078" w:rsidRPr="00293B75" w:rsidRDefault="00735078" w:rsidP="007005BA">
      <w:pPr>
        <w:ind w:left="426"/>
        <w:rPr>
          <w:lang w:val="fr-FR"/>
        </w:rPr>
      </w:pPr>
    </w:p>
    <w:p w:rsidR="00735078" w:rsidRPr="00293B75" w:rsidRDefault="00735078" w:rsidP="007005BA">
      <w:pPr>
        <w:ind w:left="426"/>
        <w:rPr>
          <w:lang w:val="fr-FR"/>
        </w:rPr>
      </w:pPr>
    </w:p>
    <w:p w:rsidR="005B5643" w:rsidRPr="00293B75" w:rsidRDefault="005B5643" w:rsidP="007005BA">
      <w:pPr>
        <w:rPr>
          <w:lang w:val="fr-FR"/>
        </w:rPr>
      </w:pPr>
      <w:r w:rsidRPr="00293B75">
        <w:rPr>
          <w:u w:val="single"/>
          <w:lang w:val="fr-FR"/>
        </w:rPr>
        <w:t>Liste des genres et espèces pour lesquels les services ont une expérience pratique en matière d’examen de la distinction, de l’homogénéité et de la stabilité</w:t>
      </w:r>
    </w:p>
    <w:p w:rsidR="005B5643" w:rsidRPr="00293B75" w:rsidRDefault="005B5643" w:rsidP="007005BA">
      <w:pPr>
        <w:rPr>
          <w:lang w:val="fr-FR"/>
        </w:rPr>
      </w:pPr>
    </w:p>
    <w:p w:rsidR="005B5643" w:rsidRPr="00293B75" w:rsidRDefault="005B5643" w:rsidP="007005BA">
      <w:pPr>
        <w:rPr>
          <w:rFonts w:cs="Arial"/>
          <w:lang w:val="fr-FR"/>
        </w:rPr>
      </w:pPr>
      <w:r w:rsidRPr="00293B75">
        <w:rPr>
          <w:lang w:val="fr-FR"/>
        </w:rPr>
        <w:fldChar w:fldCharType="begin"/>
      </w:r>
      <w:r w:rsidRPr="00293B75">
        <w:rPr>
          <w:lang w:val="fr-FR"/>
        </w:rPr>
        <w:instrText xml:space="preserve"> AUTONUM  </w:instrText>
      </w:r>
      <w:r w:rsidRPr="00293B75">
        <w:rPr>
          <w:lang w:val="fr-FR"/>
        </w:rPr>
        <w:fldChar w:fldCharType="end"/>
      </w:r>
      <w:r w:rsidRPr="00293B75">
        <w:rPr>
          <w:lang w:val="fr-FR"/>
        </w:rPr>
        <w:tab/>
        <w:t>Le TC examine le document TC/51/4 et prend note que le nombre de genres et d’espèces pour lesquels les membres de l’Union faisaient part d’une expérience dans l’examen DHS était passé de 3305 en 2014 à 3382 en 2015 (+ 2,3%).  Les informations sur les membres de l’Union ayant une expérience pratique en matière d’examen DHS sont librement accessibles au moyen de la base de données GENIE.</w:t>
      </w:r>
    </w:p>
    <w:p w:rsidR="005B5643" w:rsidRPr="00293B75" w:rsidRDefault="005B5643" w:rsidP="007005BA">
      <w:pPr>
        <w:rPr>
          <w:lang w:val="fr-FR"/>
        </w:rPr>
      </w:pPr>
    </w:p>
    <w:p w:rsidR="005B5643" w:rsidRPr="00293B75" w:rsidRDefault="005B5643" w:rsidP="007005BA">
      <w:pPr>
        <w:rPr>
          <w:lang w:val="fr-FR"/>
        </w:rPr>
      </w:pPr>
    </w:p>
    <w:p w:rsidR="005B5643" w:rsidRPr="00293B75" w:rsidRDefault="005B5643" w:rsidP="007005BA">
      <w:pPr>
        <w:rPr>
          <w:u w:val="single"/>
          <w:lang w:val="fr-FR"/>
        </w:rPr>
      </w:pPr>
      <w:r w:rsidRPr="00293B75">
        <w:rPr>
          <w:u w:val="single"/>
          <w:lang w:val="fr-FR"/>
        </w:rPr>
        <w:t>Programme de la cinquante</w:t>
      </w:r>
      <w:r w:rsidRPr="00293B75">
        <w:rPr>
          <w:u w:val="single"/>
          <w:lang w:val="fr-FR"/>
        </w:rPr>
        <w:noBreakHyphen/>
        <w:t>deuxième session</w:t>
      </w:r>
    </w:p>
    <w:p w:rsidR="005B5643" w:rsidRPr="00293B75" w:rsidRDefault="005B5643" w:rsidP="007005BA">
      <w:pPr>
        <w:rPr>
          <w:lang w:val="fr-FR"/>
        </w:rPr>
      </w:pPr>
    </w:p>
    <w:p w:rsidR="005B5643" w:rsidRPr="00293B75" w:rsidRDefault="005B5643" w:rsidP="007005BA">
      <w:pPr>
        <w:rPr>
          <w:lang w:val="fr-FR"/>
        </w:rPr>
      </w:pPr>
      <w:r w:rsidRPr="00293B75">
        <w:rPr>
          <w:snapToGrid w:val="0"/>
          <w:lang w:val="fr-FR"/>
        </w:rPr>
        <w:fldChar w:fldCharType="begin"/>
      </w:r>
      <w:r w:rsidRPr="00293B75">
        <w:rPr>
          <w:snapToGrid w:val="0"/>
          <w:lang w:val="fr-FR"/>
        </w:rPr>
        <w:instrText xml:space="preserve"> AUTONUM  </w:instrText>
      </w:r>
      <w:r w:rsidRPr="00293B75">
        <w:rPr>
          <w:snapToGrid w:val="0"/>
          <w:lang w:val="fr-FR"/>
        </w:rPr>
        <w:fldChar w:fldCharType="end"/>
      </w:r>
      <w:r w:rsidRPr="00293B75">
        <w:rPr>
          <w:snapToGrid w:val="0"/>
          <w:lang w:val="fr-FR"/>
        </w:rPr>
        <w:tab/>
        <w:t>Le projet d’ordre du jour ci</w:t>
      </w:r>
      <w:r w:rsidRPr="00293B75">
        <w:rPr>
          <w:snapToGrid w:val="0"/>
          <w:lang w:val="fr-FR"/>
        </w:rPr>
        <w:noBreakHyphen/>
        <w:t>après est approuvé pour la cinquante</w:t>
      </w:r>
      <w:r w:rsidRPr="00293B75">
        <w:rPr>
          <w:snapToGrid w:val="0"/>
          <w:lang w:val="fr-FR"/>
        </w:rPr>
        <w:noBreakHyphen/>
        <w:t>deuxième session du TC, qui se tiendra à Genève en 2016 :</w:t>
      </w:r>
    </w:p>
    <w:p w:rsidR="005B5643" w:rsidRPr="00293B75" w:rsidRDefault="005B5643" w:rsidP="007005BA">
      <w:pPr>
        <w:rPr>
          <w:snapToGrid w:val="0"/>
          <w:lang w:val="fr-FR"/>
        </w:rPr>
      </w:pPr>
    </w:p>
    <w:p w:rsidR="005B5643" w:rsidRPr="00293B75" w:rsidRDefault="005B5643" w:rsidP="007005BA">
      <w:pPr>
        <w:spacing w:after="120"/>
        <w:ind w:left="1134" w:hanging="567"/>
        <w:rPr>
          <w:rFonts w:cs="Arial"/>
          <w:snapToGrid w:val="0"/>
          <w:lang w:val="fr-FR"/>
        </w:rPr>
      </w:pPr>
      <w:r w:rsidRPr="00293B75">
        <w:rPr>
          <w:rFonts w:cs="Arial"/>
          <w:snapToGrid w:val="0"/>
          <w:lang w:val="fr-FR"/>
        </w:rPr>
        <w:t>1.</w:t>
      </w:r>
      <w:r w:rsidRPr="00293B75">
        <w:rPr>
          <w:rFonts w:cs="Arial"/>
          <w:snapToGrid w:val="0"/>
          <w:lang w:val="fr-FR"/>
        </w:rPr>
        <w:tab/>
        <w:t>Ouverture de la session</w:t>
      </w:r>
    </w:p>
    <w:p w:rsidR="005B5643" w:rsidRPr="00293B75" w:rsidRDefault="005B5643" w:rsidP="007005BA">
      <w:pPr>
        <w:spacing w:after="120"/>
        <w:ind w:left="1134" w:hanging="567"/>
        <w:rPr>
          <w:rFonts w:cs="Arial"/>
          <w:snapToGrid w:val="0"/>
          <w:lang w:val="fr-FR"/>
        </w:rPr>
      </w:pPr>
      <w:r w:rsidRPr="00293B75">
        <w:rPr>
          <w:rFonts w:cs="Arial"/>
          <w:snapToGrid w:val="0"/>
          <w:lang w:val="fr-FR"/>
        </w:rPr>
        <w:t>2.</w:t>
      </w:r>
      <w:r w:rsidRPr="00293B75">
        <w:rPr>
          <w:rFonts w:cs="Arial"/>
          <w:snapToGrid w:val="0"/>
          <w:lang w:val="fr-FR"/>
        </w:rPr>
        <w:tab/>
        <w:t>Adoption de l’ordre du jour</w:t>
      </w:r>
    </w:p>
    <w:p w:rsidR="00735078" w:rsidRPr="00293B75" w:rsidRDefault="00735078">
      <w:pPr>
        <w:jc w:val="left"/>
        <w:rPr>
          <w:rFonts w:cs="Arial"/>
          <w:snapToGrid w:val="0"/>
          <w:lang w:val="fr-FR"/>
        </w:rPr>
      </w:pPr>
      <w:r w:rsidRPr="00293B75">
        <w:rPr>
          <w:rFonts w:cs="Arial"/>
          <w:snapToGrid w:val="0"/>
          <w:lang w:val="fr-FR"/>
        </w:rPr>
        <w:br w:type="page"/>
      </w:r>
    </w:p>
    <w:p w:rsidR="005B5643" w:rsidRPr="00293B75" w:rsidRDefault="005B5643" w:rsidP="007005BA">
      <w:pPr>
        <w:spacing w:after="120"/>
        <w:ind w:left="1134" w:hanging="567"/>
        <w:rPr>
          <w:rFonts w:cs="Arial"/>
          <w:snapToGrid w:val="0"/>
          <w:lang w:val="fr-FR"/>
        </w:rPr>
      </w:pPr>
      <w:r w:rsidRPr="00293B75">
        <w:rPr>
          <w:rFonts w:cs="Arial"/>
          <w:snapToGrid w:val="0"/>
          <w:lang w:val="fr-FR"/>
        </w:rPr>
        <w:t>3.</w:t>
      </w:r>
      <w:r w:rsidRPr="00293B75">
        <w:rPr>
          <w:rFonts w:cs="Arial"/>
          <w:snapToGrid w:val="0"/>
          <w:lang w:val="fr-FR"/>
        </w:rPr>
        <w:tab/>
        <w:t>Débat sur :</w:t>
      </w:r>
    </w:p>
    <w:p w:rsidR="005B5643" w:rsidRPr="00293B75" w:rsidRDefault="005B5643" w:rsidP="007005BA">
      <w:pPr>
        <w:spacing w:after="120"/>
        <w:ind w:left="1701" w:hanging="567"/>
        <w:rPr>
          <w:lang w:val="fr-FR"/>
        </w:rPr>
      </w:pPr>
      <w:r w:rsidRPr="00293B75">
        <w:rPr>
          <w:lang w:val="fr-FR"/>
        </w:rPr>
        <w:t>a)</w:t>
      </w:r>
      <w:r w:rsidRPr="00293B75">
        <w:rPr>
          <w:lang w:val="fr-FR"/>
        </w:rPr>
        <w:tab/>
        <w:t>les descriptions variétales et le rôle du matériel végétal, y compris le nombre minimum de cycles de végétations pour l’examen DHS</w:t>
      </w:r>
    </w:p>
    <w:p w:rsidR="005B5643" w:rsidRPr="00293B75" w:rsidRDefault="005B5643" w:rsidP="007005BA">
      <w:pPr>
        <w:spacing w:after="120"/>
        <w:ind w:left="1701" w:hanging="567"/>
        <w:rPr>
          <w:lang w:val="fr-FR"/>
        </w:rPr>
      </w:pPr>
      <w:r w:rsidRPr="00293B75">
        <w:rPr>
          <w:lang w:val="fr-FR"/>
        </w:rPr>
        <w:t>b)</w:t>
      </w:r>
      <w:r w:rsidRPr="00293B75">
        <w:rPr>
          <w:lang w:val="fr-FR"/>
        </w:rPr>
        <w:tab/>
        <w:t>les paramètres qualitatifs pour l’examen DHS</w:t>
      </w:r>
    </w:p>
    <w:p w:rsidR="005B5643" w:rsidRPr="00293B75" w:rsidRDefault="005B5643" w:rsidP="007005BA">
      <w:pPr>
        <w:spacing w:after="120"/>
        <w:ind w:left="1701" w:hanging="567"/>
        <w:rPr>
          <w:lang w:val="fr-FR"/>
        </w:rPr>
      </w:pPr>
      <w:r w:rsidRPr="00293B75">
        <w:rPr>
          <w:lang w:val="fr-FR"/>
        </w:rPr>
        <w:t>c)</w:t>
      </w:r>
      <w:r w:rsidRPr="00293B75">
        <w:rPr>
          <w:lang w:val="fr-FR"/>
        </w:rPr>
        <w:tab/>
        <w:t>faciliter la mise au point de bases de données</w:t>
      </w:r>
    </w:p>
    <w:p w:rsidR="005B5643" w:rsidRPr="00293B75" w:rsidRDefault="005B5643" w:rsidP="007005BA">
      <w:pPr>
        <w:spacing w:after="120"/>
        <w:ind w:left="1701" w:hanging="567"/>
        <w:rPr>
          <w:lang w:val="fr-FR"/>
        </w:rPr>
      </w:pPr>
      <w:r w:rsidRPr="00293B75">
        <w:rPr>
          <w:lang w:val="fr-FR"/>
        </w:rPr>
        <w:t>d)</w:t>
      </w:r>
      <w:r w:rsidRPr="00293B75">
        <w:rPr>
          <w:lang w:val="fr-FR"/>
        </w:rPr>
        <w:tab/>
        <w:t>l’écart minimal entre les variétés</w:t>
      </w:r>
    </w:p>
    <w:p w:rsidR="005B5643" w:rsidRPr="00293B75" w:rsidRDefault="005B5643" w:rsidP="007005BA">
      <w:pPr>
        <w:spacing w:after="120"/>
        <w:ind w:left="1134" w:hanging="567"/>
        <w:rPr>
          <w:rFonts w:cs="Arial"/>
          <w:snapToGrid w:val="0"/>
          <w:lang w:val="fr-FR"/>
        </w:rPr>
      </w:pPr>
      <w:r w:rsidRPr="00293B75">
        <w:rPr>
          <w:rFonts w:cs="Arial"/>
          <w:snapToGrid w:val="0"/>
          <w:lang w:val="fr-FR"/>
        </w:rPr>
        <w:t>4.</w:t>
      </w:r>
      <w:r w:rsidRPr="00293B75">
        <w:rPr>
          <w:rFonts w:cs="Arial"/>
          <w:snapToGrid w:val="0"/>
          <w:lang w:val="fr-FR"/>
        </w:rPr>
        <w:tab/>
        <w:t>Rapport sur les faits nouveaux intervenus au sein de l’UPOV, y compris certaines questions examinées lors des dernières sessions du Comité administratif et juridique, du Comité consultatif et du Conseil</w:t>
      </w:r>
    </w:p>
    <w:p w:rsidR="005B5643" w:rsidRPr="00293B75" w:rsidRDefault="005B5643" w:rsidP="007005BA">
      <w:pPr>
        <w:spacing w:after="120"/>
        <w:ind w:left="1134" w:hanging="567"/>
        <w:rPr>
          <w:lang w:val="fr-FR"/>
        </w:rPr>
      </w:pPr>
      <w:r w:rsidRPr="00293B75">
        <w:rPr>
          <w:lang w:val="fr-FR"/>
        </w:rPr>
        <w:t>5.</w:t>
      </w:r>
      <w:r w:rsidRPr="00293B75">
        <w:rPr>
          <w:lang w:val="fr-FR"/>
        </w:rPr>
        <w:tab/>
        <w:t>Rapports sur l’état d’avancement des travaux des groupes de travail techniques, y compris le Groupe de travail sur les techniques biochimiques et moléculaires, notamment les profils d’ADN (BMT)</w:t>
      </w:r>
    </w:p>
    <w:p w:rsidR="005B5643" w:rsidRPr="00293B75" w:rsidRDefault="005B5643" w:rsidP="007005BA">
      <w:pPr>
        <w:spacing w:after="120"/>
        <w:ind w:left="1134" w:hanging="567"/>
        <w:rPr>
          <w:rFonts w:cs="Arial"/>
          <w:snapToGrid w:val="0"/>
          <w:lang w:val="fr-FR"/>
        </w:rPr>
      </w:pPr>
      <w:r w:rsidRPr="00293B75">
        <w:rPr>
          <w:rFonts w:cs="Arial"/>
          <w:snapToGrid w:val="0"/>
          <w:lang w:val="fr-FR"/>
        </w:rPr>
        <w:t>6.</w:t>
      </w:r>
      <w:r w:rsidRPr="00293B75">
        <w:rPr>
          <w:rFonts w:cs="Arial"/>
          <w:snapToGrid w:val="0"/>
          <w:lang w:val="fr-FR"/>
        </w:rPr>
        <w:tab/>
        <w:t>Questions découlant des travaux des groupes de travail techniques</w:t>
      </w:r>
    </w:p>
    <w:p w:rsidR="005B5643" w:rsidRPr="00293B75" w:rsidRDefault="005B5643" w:rsidP="007005BA">
      <w:pPr>
        <w:keepLines/>
        <w:spacing w:after="120"/>
        <w:ind w:left="567"/>
        <w:jc w:val="left"/>
        <w:rPr>
          <w:rFonts w:cs="Arial"/>
          <w:snapToGrid w:val="0"/>
          <w:lang w:val="fr-FR"/>
        </w:rPr>
      </w:pPr>
      <w:r w:rsidRPr="00293B75">
        <w:rPr>
          <w:rFonts w:cs="Arial"/>
          <w:snapToGrid w:val="0"/>
          <w:lang w:val="fr-FR"/>
        </w:rPr>
        <w:t>7.</w:t>
      </w:r>
      <w:r w:rsidRPr="00293B75">
        <w:rPr>
          <w:rFonts w:cs="Arial"/>
          <w:snapToGrid w:val="0"/>
          <w:lang w:val="fr-FR"/>
        </w:rPr>
        <w:tab/>
        <w:t>Documents TGP</w:t>
      </w:r>
    </w:p>
    <w:p w:rsidR="005B5643" w:rsidRPr="00293B75" w:rsidRDefault="005B5643" w:rsidP="007005BA">
      <w:pPr>
        <w:spacing w:after="120"/>
        <w:ind w:left="1134" w:hanging="567"/>
        <w:rPr>
          <w:rFonts w:cs="Arial"/>
          <w:lang w:val="fr-FR"/>
        </w:rPr>
      </w:pPr>
      <w:r w:rsidRPr="00293B75">
        <w:rPr>
          <w:rFonts w:cs="Arial"/>
          <w:lang w:val="fr-FR"/>
        </w:rPr>
        <w:t>8.</w:t>
      </w:r>
      <w:r w:rsidRPr="00293B75">
        <w:rPr>
          <w:rFonts w:cs="Arial"/>
          <w:lang w:val="fr-FR"/>
        </w:rPr>
        <w:tab/>
        <w:t>Techniques moléculaires</w:t>
      </w:r>
    </w:p>
    <w:p w:rsidR="005B5643" w:rsidRPr="00293B75" w:rsidRDefault="005B5643" w:rsidP="007005BA">
      <w:pPr>
        <w:spacing w:after="120"/>
        <w:ind w:left="1134" w:hanging="567"/>
        <w:rPr>
          <w:rFonts w:cs="Arial"/>
          <w:snapToGrid w:val="0"/>
          <w:lang w:val="fr-FR"/>
        </w:rPr>
      </w:pPr>
      <w:r w:rsidRPr="00293B75">
        <w:rPr>
          <w:rFonts w:cs="Arial"/>
          <w:snapToGrid w:val="0"/>
          <w:lang w:val="fr-FR"/>
        </w:rPr>
        <w:t>9.</w:t>
      </w:r>
      <w:r w:rsidRPr="00293B75">
        <w:rPr>
          <w:rFonts w:cs="Arial"/>
          <w:snapToGrid w:val="0"/>
          <w:lang w:val="fr-FR"/>
        </w:rPr>
        <w:tab/>
        <w:t>Dénominations variétales</w:t>
      </w:r>
    </w:p>
    <w:p w:rsidR="005B5643" w:rsidRPr="00293B75" w:rsidRDefault="005B5643" w:rsidP="007005BA">
      <w:pPr>
        <w:spacing w:after="120"/>
        <w:ind w:left="1134" w:hanging="567"/>
        <w:rPr>
          <w:rFonts w:cs="Arial"/>
          <w:snapToGrid w:val="0"/>
          <w:lang w:val="fr-FR"/>
        </w:rPr>
      </w:pPr>
      <w:r w:rsidRPr="00293B75">
        <w:rPr>
          <w:rFonts w:cs="Arial"/>
          <w:snapToGrid w:val="0"/>
          <w:lang w:val="fr-FR"/>
        </w:rPr>
        <w:t>10.</w:t>
      </w:r>
      <w:r w:rsidRPr="00293B75">
        <w:rPr>
          <w:rFonts w:cs="Arial"/>
          <w:snapToGrid w:val="0"/>
          <w:lang w:val="fr-FR"/>
        </w:rPr>
        <w:tab/>
        <w:t>Information et bases de données</w:t>
      </w:r>
    </w:p>
    <w:p w:rsidR="005B5643" w:rsidRPr="00293B75" w:rsidRDefault="005B5643" w:rsidP="007005BA">
      <w:pPr>
        <w:spacing w:after="120"/>
        <w:ind w:left="1701" w:hanging="567"/>
        <w:rPr>
          <w:rFonts w:cs="Arial"/>
          <w:snapToGrid w:val="0"/>
          <w:lang w:val="fr-FR"/>
        </w:rPr>
      </w:pPr>
      <w:r w:rsidRPr="00293B75">
        <w:rPr>
          <w:rFonts w:cs="Arial"/>
          <w:snapToGrid w:val="0"/>
          <w:lang w:val="fr-FR"/>
        </w:rPr>
        <w:t>a)</w:t>
      </w:r>
      <w:r w:rsidRPr="00293B75">
        <w:rPr>
          <w:rFonts w:cs="Arial"/>
          <w:snapToGrid w:val="0"/>
          <w:lang w:val="fr-FR"/>
        </w:rPr>
        <w:tab/>
        <w:t>Base de données d’information de l’UPOV</w:t>
      </w:r>
    </w:p>
    <w:p w:rsidR="005B5643" w:rsidRPr="00293B75" w:rsidRDefault="005B5643" w:rsidP="007005BA">
      <w:pPr>
        <w:spacing w:after="120"/>
        <w:ind w:left="1701" w:hanging="567"/>
        <w:rPr>
          <w:rFonts w:cs="Arial"/>
          <w:snapToGrid w:val="0"/>
          <w:lang w:val="fr-FR"/>
        </w:rPr>
      </w:pPr>
      <w:r w:rsidRPr="00293B75">
        <w:rPr>
          <w:rFonts w:cs="Arial"/>
          <w:snapToGrid w:val="0"/>
          <w:lang w:val="fr-FR"/>
        </w:rPr>
        <w:t>b)</w:t>
      </w:r>
      <w:r w:rsidRPr="00293B75">
        <w:rPr>
          <w:rFonts w:cs="Arial"/>
          <w:snapToGrid w:val="0"/>
          <w:lang w:val="fr-FR"/>
        </w:rPr>
        <w:tab/>
        <w:t>Systèmes de dépôt électronique des demandes</w:t>
      </w:r>
    </w:p>
    <w:p w:rsidR="005B5643" w:rsidRPr="00293B75" w:rsidRDefault="005B5643" w:rsidP="007005BA">
      <w:pPr>
        <w:spacing w:after="120"/>
        <w:ind w:left="1701" w:hanging="567"/>
        <w:rPr>
          <w:rFonts w:cs="Arial"/>
          <w:snapToGrid w:val="0"/>
          <w:lang w:val="fr-FR"/>
        </w:rPr>
      </w:pPr>
      <w:r w:rsidRPr="00293B75">
        <w:rPr>
          <w:rFonts w:cs="Arial"/>
          <w:snapToGrid w:val="0"/>
          <w:lang w:val="fr-FR"/>
        </w:rPr>
        <w:t>c)</w:t>
      </w:r>
      <w:r w:rsidRPr="00293B75">
        <w:rPr>
          <w:rFonts w:cs="Arial"/>
          <w:snapToGrid w:val="0"/>
          <w:lang w:val="fr-FR"/>
        </w:rPr>
        <w:tab/>
        <w:t>Logiciels échangeables</w:t>
      </w:r>
    </w:p>
    <w:p w:rsidR="005B5643" w:rsidRPr="00293B75" w:rsidRDefault="005B5643" w:rsidP="007005BA">
      <w:pPr>
        <w:spacing w:after="120"/>
        <w:ind w:left="1701" w:hanging="567"/>
        <w:rPr>
          <w:rFonts w:cs="Arial"/>
          <w:snapToGrid w:val="0"/>
          <w:lang w:val="fr-FR"/>
        </w:rPr>
      </w:pPr>
      <w:r w:rsidRPr="00293B75">
        <w:rPr>
          <w:rFonts w:cs="Arial"/>
          <w:snapToGrid w:val="0"/>
          <w:lang w:val="fr-FR"/>
        </w:rPr>
        <w:t>d)</w:t>
      </w:r>
      <w:r w:rsidRPr="00293B75">
        <w:rPr>
          <w:rFonts w:cs="Arial"/>
          <w:snapToGrid w:val="0"/>
          <w:lang w:val="fr-FR"/>
        </w:rPr>
        <w:tab/>
        <w:t>Bases de données sur les descriptions variétales</w:t>
      </w:r>
    </w:p>
    <w:p w:rsidR="005B5643" w:rsidRPr="00293B75" w:rsidRDefault="005B5643" w:rsidP="007005BA">
      <w:pPr>
        <w:spacing w:after="120"/>
        <w:ind w:left="1134" w:hanging="567"/>
        <w:rPr>
          <w:rFonts w:cs="Arial"/>
          <w:snapToGrid w:val="0"/>
          <w:lang w:val="fr-FR"/>
        </w:rPr>
      </w:pPr>
      <w:r w:rsidRPr="00293B75">
        <w:rPr>
          <w:rFonts w:cs="Arial"/>
          <w:snapToGrid w:val="0"/>
          <w:lang w:val="fr-FR"/>
        </w:rPr>
        <w:t>11.</w:t>
      </w:r>
      <w:r w:rsidRPr="00293B75">
        <w:rPr>
          <w:rFonts w:cs="Arial"/>
          <w:snapToGrid w:val="0"/>
          <w:lang w:val="fr-FR"/>
        </w:rPr>
        <w:tab/>
        <w:t>Évaluation de l’homogénéité par plante hors type sur la base de plus d’un exemple ou sous</w:t>
      </w:r>
      <w:r w:rsidRPr="00293B75">
        <w:rPr>
          <w:rFonts w:cs="Arial"/>
          <w:snapToGrid w:val="0"/>
          <w:lang w:val="fr-FR"/>
        </w:rPr>
        <w:noBreakHyphen/>
        <w:t>exemple</w:t>
      </w:r>
    </w:p>
    <w:p w:rsidR="005B5643" w:rsidRPr="00293B75" w:rsidRDefault="005B5643" w:rsidP="007005BA">
      <w:pPr>
        <w:spacing w:after="120"/>
        <w:ind w:left="1134" w:hanging="567"/>
        <w:rPr>
          <w:rFonts w:cs="Arial"/>
          <w:snapToGrid w:val="0"/>
          <w:lang w:val="fr-FR"/>
        </w:rPr>
      </w:pPr>
      <w:r w:rsidRPr="00293B75">
        <w:rPr>
          <w:rFonts w:cs="Arial"/>
          <w:snapToGrid w:val="0"/>
          <w:lang w:val="fr-FR"/>
        </w:rPr>
        <w:t>12.</w:t>
      </w:r>
      <w:r w:rsidRPr="00293B75">
        <w:rPr>
          <w:rFonts w:cs="Arial"/>
          <w:snapToGrid w:val="0"/>
          <w:lang w:val="fr-FR"/>
        </w:rPr>
        <w:tab/>
        <w:t>Méthodes statistiques applicables aux caractères observés visuellement</w:t>
      </w:r>
    </w:p>
    <w:p w:rsidR="005B5643" w:rsidRPr="00293B75" w:rsidRDefault="005B5643" w:rsidP="007005BA">
      <w:pPr>
        <w:spacing w:after="120"/>
        <w:ind w:left="1134" w:hanging="567"/>
        <w:rPr>
          <w:rFonts w:cs="Arial"/>
          <w:snapToGrid w:val="0"/>
          <w:lang w:val="fr-FR"/>
        </w:rPr>
      </w:pPr>
      <w:r w:rsidRPr="00293B75">
        <w:rPr>
          <w:rFonts w:cs="Arial"/>
          <w:snapToGrid w:val="0"/>
          <w:lang w:val="fr-FR"/>
        </w:rPr>
        <w:t>13.</w:t>
      </w:r>
      <w:r w:rsidRPr="00293B75">
        <w:rPr>
          <w:rFonts w:cs="Arial"/>
          <w:snapToGrid w:val="0"/>
          <w:lang w:val="fr-FR"/>
        </w:rPr>
        <w:tab/>
        <w:t>Ateliers préparatoires</w:t>
      </w:r>
    </w:p>
    <w:p w:rsidR="005B5643" w:rsidRPr="00293B75" w:rsidRDefault="005B5643" w:rsidP="007005BA">
      <w:pPr>
        <w:spacing w:after="120"/>
        <w:ind w:left="1134" w:hanging="567"/>
        <w:rPr>
          <w:rFonts w:cs="Arial"/>
          <w:snapToGrid w:val="0"/>
          <w:lang w:val="fr-FR"/>
        </w:rPr>
      </w:pPr>
      <w:r w:rsidRPr="00293B75">
        <w:rPr>
          <w:rFonts w:cs="Arial"/>
          <w:snapToGrid w:val="0"/>
          <w:lang w:val="fr-FR"/>
        </w:rPr>
        <w:t>14.</w:t>
      </w:r>
      <w:r w:rsidRPr="00293B75">
        <w:rPr>
          <w:rFonts w:cs="Arial"/>
          <w:snapToGrid w:val="0"/>
          <w:lang w:val="fr-FR"/>
        </w:rPr>
        <w:tab/>
        <w:t>Principes directeurs d’examen</w:t>
      </w:r>
    </w:p>
    <w:p w:rsidR="005B5643" w:rsidRPr="00293B75" w:rsidRDefault="005B5643" w:rsidP="007005BA">
      <w:pPr>
        <w:spacing w:after="120"/>
        <w:ind w:left="1134" w:hanging="567"/>
        <w:rPr>
          <w:rFonts w:cs="Arial"/>
          <w:snapToGrid w:val="0"/>
          <w:lang w:val="fr-FR"/>
        </w:rPr>
      </w:pPr>
      <w:r w:rsidRPr="00293B75">
        <w:rPr>
          <w:rFonts w:cs="Arial"/>
          <w:snapToGrid w:val="0"/>
          <w:lang w:val="fr-FR"/>
        </w:rPr>
        <w:t>15.</w:t>
      </w:r>
      <w:r w:rsidRPr="00293B75">
        <w:rPr>
          <w:rFonts w:cs="Arial"/>
          <w:snapToGrid w:val="0"/>
          <w:lang w:val="fr-FR"/>
        </w:rPr>
        <w:tab/>
        <w:t>Liste des genres et espèces pour lesquels les services ont une expérience pratique en matière d’examen de la distinction, de l’homogénéité et de la stabilité</w:t>
      </w:r>
    </w:p>
    <w:p w:rsidR="005B5643" w:rsidRPr="00293B75" w:rsidRDefault="005B5643" w:rsidP="007005BA">
      <w:pPr>
        <w:spacing w:after="120"/>
        <w:ind w:left="1134" w:hanging="567"/>
        <w:rPr>
          <w:rFonts w:cs="Arial"/>
          <w:snapToGrid w:val="0"/>
          <w:lang w:val="fr-FR"/>
        </w:rPr>
      </w:pPr>
      <w:r w:rsidRPr="00293B75">
        <w:rPr>
          <w:rFonts w:cs="Arial"/>
          <w:snapToGrid w:val="0"/>
          <w:lang w:val="fr-FR"/>
        </w:rPr>
        <w:t>16.</w:t>
      </w:r>
      <w:r w:rsidRPr="00293B75">
        <w:rPr>
          <w:rFonts w:cs="Arial"/>
          <w:snapToGrid w:val="0"/>
          <w:lang w:val="fr-FR"/>
        </w:rPr>
        <w:tab/>
        <w:t>Programme de la cinquante</w:t>
      </w:r>
      <w:r w:rsidRPr="00293B75">
        <w:rPr>
          <w:rFonts w:cs="Arial"/>
          <w:snapToGrid w:val="0"/>
          <w:lang w:val="fr-FR"/>
        </w:rPr>
        <w:noBreakHyphen/>
        <w:t>troisième session</w:t>
      </w:r>
    </w:p>
    <w:p w:rsidR="005B5643" w:rsidRPr="00293B75" w:rsidRDefault="005B5643" w:rsidP="007005BA">
      <w:pPr>
        <w:spacing w:after="120"/>
        <w:ind w:left="1134" w:hanging="567"/>
        <w:rPr>
          <w:rFonts w:cs="Arial"/>
          <w:snapToGrid w:val="0"/>
          <w:lang w:val="fr-FR"/>
        </w:rPr>
      </w:pPr>
      <w:r w:rsidRPr="00293B75">
        <w:rPr>
          <w:rFonts w:cs="Arial"/>
          <w:snapToGrid w:val="0"/>
          <w:lang w:val="fr-FR"/>
        </w:rPr>
        <w:t>17.</w:t>
      </w:r>
      <w:r w:rsidRPr="00293B75">
        <w:rPr>
          <w:rFonts w:cs="Arial"/>
          <w:snapToGrid w:val="0"/>
          <w:lang w:val="fr-FR"/>
        </w:rPr>
        <w:tab/>
      </w:r>
      <w:r w:rsidRPr="00293B75">
        <w:rPr>
          <w:rFonts w:cs="Arial"/>
          <w:lang w:val="fr-FR"/>
        </w:rPr>
        <w:t>Adoption du compte rendu (selon le temps disponible)</w:t>
      </w:r>
    </w:p>
    <w:p w:rsidR="005B5643" w:rsidRPr="00293B75" w:rsidRDefault="005B5643" w:rsidP="007005BA">
      <w:pPr>
        <w:ind w:left="567"/>
        <w:rPr>
          <w:snapToGrid w:val="0"/>
          <w:lang w:val="fr-FR"/>
        </w:rPr>
      </w:pPr>
      <w:r w:rsidRPr="00293B75">
        <w:rPr>
          <w:snapToGrid w:val="0"/>
          <w:lang w:val="fr-FR"/>
        </w:rPr>
        <w:t>18.</w:t>
      </w:r>
      <w:r w:rsidRPr="00293B75">
        <w:rPr>
          <w:snapToGrid w:val="0"/>
          <w:lang w:val="fr-FR"/>
        </w:rPr>
        <w:tab/>
        <w:t>Clôture de la session</w:t>
      </w:r>
    </w:p>
    <w:p w:rsidR="005B5643" w:rsidRPr="00293B75" w:rsidRDefault="005B5643" w:rsidP="007005BA">
      <w:pPr>
        <w:rPr>
          <w:lang w:val="fr-FR"/>
        </w:rPr>
      </w:pPr>
    </w:p>
    <w:p w:rsidR="005B5643" w:rsidRPr="00293B75" w:rsidRDefault="005B5643" w:rsidP="007005BA">
      <w:pPr>
        <w:pStyle w:val="DecisionParagraphs"/>
        <w:rPr>
          <w:lang w:val="fr-FR"/>
        </w:rPr>
      </w:pPr>
      <w:r w:rsidRPr="001F26D8">
        <w:rPr>
          <w:lang w:val="fr-FR"/>
        </w:rPr>
        <w:fldChar w:fldCharType="begin"/>
      </w:r>
      <w:r w:rsidRPr="001F26D8">
        <w:rPr>
          <w:lang w:val="fr-FR"/>
        </w:rPr>
        <w:instrText xml:space="preserve"> AUTONUM  </w:instrText>
      </w:r>
      <w:r w:rsidRPr="001F26D8">
        <w:rPr>
          <w:lang w:val="fr-FR"/>
        </w:rPr>
        <w:fldChar w:fldCharType="end"/>
      </w:r>
      <w:r w:rsidRPr="001F26D8">
        <w:rPr>
          <w:lang w:val="fr-FR"/>
        </w:rPr>
        <w:tab/>
        <w:t>Le TC adopte le présent compte rendu à la clôture de sa session le 25 mars 2015.</w:t>
      </w:r>
    </w:p>
    <w:p w:rsidR="005B5643" w:rsidRPr="00293B75" w:rsidRDefault="005B5643" w:rsidP="007005BA">
      <w:pPr>
        <w:rPr>
          <w:lang w:val="fr-FR"/>
        </w:rPr>
      </w:pPr>
    </w:p>
    <w:p w:rsidR="005B5643" w:rsidRPr="00293B75" w:rsidRDefault="005B5643" w:rsidP="007005BA">
      <w:pPr>
        <w:rPr>
          <w:lang w:val="fr-FR"/>
        </w:rPr>
      </w:pPr>
    </w:p>
    <w:p w:rsidR="005B5643" w:rsidRPr="00293B75" w:rsidRDefault="005B5643" w:rsidP="007005BA">
      <w:pPr>
        <w:rPr>
          <w:lang w:val="fr-FR"/>
        </w:rPr>
      </w:pPr>
    </w:p>
    <w:p w:rsidR="00DB5A93" w:rsidRPr="00293B75" w:rsidRDefault="005B5643" w:rsidP="001F26D8">
      <w:pPr>
        <w:ind w:left="5534"/>
        <w:jc w:val="right"/>
        <w:rPr>
          <w:lang w:val="fr-FR"/>
        </w:rPr>
      </w:pPr>
      <w:r w:rsidRPr="00293B75">
        <w:rPr>
          <w:lang w:val="fr-FR"/>
        </w:rPr>
        <w:t>[Les annexes suivent]</w:t>
      </w:r>
    </w:p>
    <w:p w:rsidR="005B5643" w:rsidRPr="00293B75" w:rsidRDefault="005B5643" w:rsidP="007005BA">
      <w:pPr>
        <w:ind w:left="5534"/>
        <w:rPr>
          <w:rFonts w:cstheme="majorHAnsi"/>
          <w:lang w:val="fr-FR"/>
        </w:rPr>
        <w:sectPr w:rsidR="005B5643" w:rsidRPr="00293B75" w:rsidSect="00FE442F">
          <w:headerReference w:type="default" r:id="rId15"/>
          <w:pgSz w:w="11907" w:h="16840" w:code="9"/>
          <w:pgMar w:top="510" w:right="1134" w:bottom="1134" w:left="1134" w:header="510" w:footer="680" w:gutter="0"/>
          <w:pgNumType w:start="1"/>
          <w:cols w:space="720"/>
          <w:titlePg/>
          <w:docGrid w:linePitch="272"/>
        </w:sectPr>
      </w:pPr>
    </w:p>
    <w:p w:rsidR="005B5643" w:rsidRPr="00293B75" w:rsidRDefault="005B5643" w:rsidP="007005BA">
      <w:pPr>
        <w:pStyle w:val="TitleofDoc"/>
        <w:spacing w:before="0"/>
        <w:rPr>
          <w:lang w:val="fr-FR"/>
        </w:rPr>
      </w:pPr>
      <w:r w:rsidRPr="00293B75">
        <w:rPr>
          <w:lang w:val="fr-FR"/>
        </w:rPr>
        <w:t>TC/51/39</w:t>
      </w:r>
    </w:p>
    <w:p w:rsidR="005B5643" w:rsidRPr="00293B75" w:rsidRDefault="005B5643" w:rsidP="007005BA">
      <w:pPr>
        <w:pStyle w:val="TitleofDoc"/>
        <w:spacing w:before="0"/>
        <w:rPr>
          <w:lang w:val="fr-FR"/>
        </w:rPr>
      </w:pPr>
    </w:p>
    <w:p w:rsidR="005B5643" w:rsidRPr="00293B75" w:rsidRDefault="005B5643" w:rsidP="007005BA">
      <w:pPr>
        <w:pStyle w:val="TitleofDoc"/>
        <w:spacing w:before="0"/>
        <w:rPr>
          <w:lang w:val="fr-FR"/>
        </w:rPr>
      </w:pPr>
      <w:r w:rsidRPr="00293B75">
        <w:rPr>
          <w:lang w:val="fr-FR"/>
        </w:rPr>
        <w:t>annexe I / annex I / anlage I / anexo I</w:t>
      </w:r>
    </w:p>
    <w:p w:rsidR="005B5643" w:rsidRPr="00293B75" w:rsidRDefault="005B5643" w:rsidP="007005BA">
      <w:pPr>
        <w:pStyle w:val="TitleofDoc"/>
        <w:spacing w:before="0"/>
        <w:rPr>
          <w:lang w:val="fr-FR"/>
        </w:rPr>
      </w:pPr>
    </w:p>
    <w:p w:rsidR="005B5643" w:rsidRPr="00293B75" w:rsidRDefault="005B5643" w:rsidP="007005BA">
      <w:pPr>
        <w:pStyle w:val="TitleofDoc"/>
        <w:spacing w:before="0"/>
        <w:rPr>
          <w:lang w:val="fr-FR"/>
        </w:rPr>
      </w:pPr>
    </w:p>
    <w:p w:rsidR="005B5643" w:rsidRPr="00293B75" w:rsidRDefault="005B5643" w:rsidP="007005BA">
      <w:pPr>
        <w:pStyle w:val="TitleofDoc"/>
        <w:spacing w:before="0"/>
        <w:rPr>
          <w:lang w:val="fr-FR"/>
        </w:rPr>
      </w:pPr>
      <w:r w:rsidRPr="00293B75">
        <w:rPr>
          <w:lang w:val="fr-FR"/>
        </w:rPr>
        <w:t>LISTE DES PARTICIPANTS /</w:t>
      </w:r>
      <w:r w:rsidRPr="00293B75">
        <w:rPr>
          <w:lang w:val="fr-FR"/>
        </w:rPr>
        <w:br/>
        <w:t>LIST OF PARTICIPANTS /</w:t>
      </w:r>
      <w:r w:rsidRPr="00293B75">
        <w:rPr>
          <w:lang w:val="fr-FR"/>
        </w:rPr>
        <w:br/>
        <w:t>TEILNEHMERLISTE /</w:t>
      </w:r>
      <w:r w:rsidRPr="00293B75">
        <w:rPr>
          <w:lang w:val="fr-FR"/>
        </w:rPr>
        <w:br/>
        <w:t xml:space="preserve">LISTA DE </w:t>
      </w:r>
      <w:proofErr w:type="gramStart"/>
      <w:r w:rsidRPr="00293B75">
        <w:rPr>
          <w:lang w:val="fr-FR"/>
        </w:rPr>
        <w:t>PARTICIPANTES</w:t>
      </w:r>
      <w:proofErr w:type="gramEnd"/>
      <w:r w:rsidRPr="00293B75">
        <w:rPr>
          <w:lang w:val="fr-FR"/>
        </w:rPr>
        <w:br/>
      </w:r>
      <w:r w:rsidRPr="00293B75">
        <w:rPr>
          <w:lang w:val="fr-FR"/>
        </w:rPr>
        <w:br/>
        <w:t>(</w:t>
      </w:r>
      <w:r w:rsidRPr="00293B75">
        <w:rPr>
          <w:caps w:val="0"/>
          <w:lang w:val="fr-FR"/>
        </w:rPr>
        <w:t xml:space="preserve">dans l’ordre alphabétique des noms français des membres / </w:t>
      </w:r>
      <w:r w:rsidRPr="00293B75">
        <w:rPr>
          <w:caps w:val="0"/>
          <w:lang w:val="fr-FR"/>
        </w:rPr>
        <w:br/>
        <w:t xml:space="preserve">in the alphabetical order of the French names of the Members / </w:t>
      </w:r>
      <w:r w:rsidRPr="00293B75">
        <w:rPr>
          <w:caps w:val="0"/>
          <w:lang w:val="fr-FR"/>
        </w:rPr>
        <w:br/>
        <w:t xml:space="preserve">in alphabetischer Reihenfolge der französischen Namen der Mitglieder / </w:t>
      </w:r>
      <w:r w:rsidRPr="00293B75">
        <w:rPr>
          <w:caps w:val="0"/>
          <w:lang w:val="fr-FR"/>
        </w:rPr>
        <w:br/>
        <w:t>por orden alfabético de los nombres en francés de los miembros)</w:t>
      </w:r>
    </w:p>
    <w:p w:rsidR="005B5643" w:rsidRPr="00293B75" w:rsidRDefault="005B5643" w:rsidP="007005BA">
      <w:pPr>
        <w:jc w:val="left"/>
        <w:rPr>
          <w:lang w:val="fr-FR"/>
        </w:rPr>
      </w:pPr>
    </w:p>
    <w:p w:rsidR="005B5643" w:rsidRPr="00293B75" w:rsidRDefault="005B5643" w:rsidP="007005BA">
      <w:pPr>
        <w:jc w:val="left"/>
        <w:rPr>
          <w:lang w:val="fr-FR"/>
        </w:rPr>
      </w:pPr>
    </w:p>
    <w:p w:rsidR="005B5643" w:rsidRPr="00293B75" w:rsidRDefault="005B5643" w:rsidP="007005BA">
      <w:pPr>
        <w:jc w:val="center"/>
        <w:rPr>
          <w:rFonts w:cs="Arial"/>
          <w:lang w:val="fr-FR" w:eastAsia="zh-CN"/>
        </w:rPr>
      </w:pPr>
      <w:r w:rsidRPr="00293B75">
        <w:rPr>
          <w:rFonts w:cs="Arial"/>
          <w:lang w:val="fr-FR" w:eastAsia="zh-CN"/>
        </w:rPr>
        <w:t>I. MEMBRES / MEMBERS / VERBANDSMITGLIEDER / MIEMBROS</w:t>
      </w:r>
    </w:p>
    <w:p w:rsidR="005B5643" w:rsidRPr="00293B75" w:rsidRDefault="005B5643" w:rsidP="007005BA">
      <w:pPr>
        <w:rPr>
          <w:rFonts w:cs="Arial"/>
          <w:lang w:val="fr-FR" w:eastAsia="zh-CN"/>
        </w:rPr>
      </w:pPr>
    </w:p>
    <w:p w:rsidR="005B5643" w:rsidRPr="00293B75" w:rsidRDefault="005B5643" w:rsidP="007005BA">
      <w:pPr>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AFRIQUE DU SUD / SOUTH AFRICA / SÜDAFRIKA / SUDÁFRICA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Carensa PETZER (Mrs.), Control Scientific Technician Production, Directorate Genetic Resources,</w:t>
      </w:r>
    </w:p>
    <w:p w:rsidR="005B5643" w:rsidRPr="00293B75" w:rsidRDefault="005B5643" w:rsidP="007005BA">
      <w:pPr>
        <w:jc w:val="left"/>
        <w:rPr>
          <w:rFonts w:cs="Arial"/>
          <w:lang w:val="fr-FR" w:eastAsia="zh-CN"/>
        </w:rPr>
      </w:pPr>
      <w:r w:rsidRPr="00293B75">
        <w:rPr>
          <w:rFonts w:cs="Arial"/>
          <w:lang w:val="fr-FR" w:eastAsia="zh-CN"/>
        </w:rPr>
        <w:t>National Department of Agriculture, Stellenbosch (e</w:t>
      </w:r>
      <w:r w:rsidRPr="00293B75">
        <w:rPr>
          <w:rFonts w:cs="Arial"/>
          <w:lang w:val="fr-FR" w:eastAsia="zh-CN"/>
        </w:rPr>
        <w:noBreakHyphen/>
        <w:t>mail: CarensaP@nda.agric.za)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Robyn HIERSE (Mrs.), Scientific Technician, Department of Agriculture, Forestry &amp; Fisheries,</w:t>
      </w:r>
    </w:p>
    <w:p w:rsidR="005B5643" w:rsidRPr="00293B75" w:rsidRDefault="005B5643" w:rsidP="007005BA">
      <w:pPr>
        <w:jc w:val="left"/>
        <w:rPr>
          <w:rFonts w:cs="Arial"/>
          <w:lang w:val="fr-FR" w:eastAsia="zh-CN"/>
        </w:rPr>
      </w:pPr>
      <w:r w:rsidRPr="00293B75">
        <w:rPr>
          <w:rFonts w:cs="Arial"/>
          <w:lang w:val="fr-FR" w:eastAsia="zh-CN"/>
        </w:rPr>
        <w:t>Stellenbosch (e</w:t>
      </w:r>
      <w:r w:rsidRPr="00293B75">
        <w:rPr>
          <w:rFonts w:cs="Arial"/>
          <w:lang w:val="fr-FR" w:eastAsia="zh-CN"/>
        </w:rPr>
        <w:noBreakHyphen/>
        <w:t>mail: RobynH@nda.agric.za)</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ALLEMAGNE / GERMANY / DEUTSCHLAND / ALEMANIA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Beate RÜCKER (Mrs.), Abteilungsleiterin Registerprüfung, Bundessortenamt, Hannover</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beate.ruecker@bundessortenamt.de)</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Swenja TAMS (Mrs.), Head of Section General affairs of DUS testing, Bundessortenamt, Hannover</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Swenja.Tams@bundessortenamt.de)</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ARGENTINE / ARGENTINA / ARGENTINIEN / ARGENTINA</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Raimundo LAVIGNOLLE, Presidente del directorio, Instituto Nacional de Semillas (INASE), Buenos Aires</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rlavignolle@inase.gov.ar)</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Alberto BALLESTEROS, Examiner for Cereal, Cotton, Rice and Forage Crops, Registro de Variedades, Secretaría de Agricultura, Ganadaría y Pesca, Instituto Nacional de Semillas (INASE), Ministerio de Agricultura, Ganadería, Pesca, Buenos Aires (e</w:t>
      </w:r>
      <w:r w:rsidRPr="00293B75">
        <w:rPr>
          <w:rFonts w:cs="Arial"/>
          <w:lang w:val="fr-FR" w:eastAsia="zh-CN"/>
        </w:rPr>
        <w:noBreakHyphen/>
        <w:t>mail: aballesteros@inase.gov.ar)</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AUSTRALIE / AUSTRALIA / AUSTRALIEN / AUSTRALIA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Tanvir HOSSAIN, Senior Examiner, Plant Breeder’s Rights Office, IP Australia, Woden</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tanvir.hossain@ipaustralia.gov.au)</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AUTRICHE / AUSTRIA / ÖSTERREICH / AUSTRIA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Jutta TAFERNER</w:t>
      </w:r>
      <w:r w:rsidRPr="00293B75">
        <w:rPr>
          <w:rFonts w:cs="Arial"/>
          <w:lang w:val="fr-FR" w:eastAsia="zh-CN"/>
        </w:rPr>
        <w:noBreakHyphen/>
        <w:t>KRIEGL (Mrs.), Austrian Agency for Health and Food Safety, Wien</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jutta.taferner</w:t>
      </w:r>
      <w:r w:rsidRPr="00293B75">
        <w:rPr>
          <w:rFonts w:cs="Arial"/>
          <w:lang w:val="fr-FR" w:eastAsia="zh-CN"/>
        </w:rPr>
        <w:noBreakHyphen/>
        <w:t>kriegl@ages.at)</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BRÉSIL / BRAZIL / BRASILIEN / BRASIL</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Fabrício SANTANA SANTOS, Coordinator, National Plant Variety Protection Office (SNPC), Ministry of Agriculture, Livestock and Food Supply, Brasilia (e</w:t>
      </w:r>
      <w:r w:rsidRPr="00293B75">
        <w:rPr>
          <w:rFonts w:cs="Arial"/>
          <w:lang w:val="fr-FR" w:eastAsia="zh-CN"/>
        </w:rPr>
        <w:noBreakHyphen/>
        <w:t>mail: fabricio.santos@agricultura.gov.br)</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CANADA / CANADA / KANADA / CANADÁ</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Anthony PARKER, Commissioner, Plant Breeders’ Rights Office, Canadian Food Inspection Agency (CFIA), Ottawa (e</w:t>
      </w:r>
      <w:r w:rsidRPr="00293B75">
        <w:rPr>
          <w:rFonts w:cs="Arial"/>
          <w:lang w:val="fr-FR" w:eastAsia="zh-CN"/>
        </w:rPr>
        <w:noBreakHyphen/>
        <w:t>mail: anthony.parker@inspection.gc.ca)</w:t>
      </w:r>
    </w:p>
    <w:p w:rsidR="005B5643" w:rsidRPr="00293B75" w:rsidRDefault="005B5643" w:rsidP="007005BA">
      <w:pPr>
        <w:jc w:val="left"/>
        <w:rPr>
          <w:rFonts w:cs="Arial"/>
          <w:u w:val="single"/>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CHILI / CHILE / CHILE / CHILE</w:t>
      </w:r>
    </w:p>
    <w:p w:rsidR="005B5643" w:rsidRPr="00293B75" w:rsidRDefault="005B5643" w:rsidP="007005BA">
      <w:pPr>
        <w:keepNext/>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Manuel TORO UGALDE, Jefe Subdepartamento, Registro de Variedades Protegidas, División Semillas, Servicio Agrícola y Ganadero (SAG), Santiago de Chile (e</w:t>
      </w:r>
      <w:r w:rsidRPr="00293B75">
        <w:rPr>
          <w:rFonts w:cs="Arial"/>
          <w:lang w:val="fr-FR" w:eastAsia="zh-CN"/>
        </w:rPr>
        <w:noBreakHyphen/>
        <w:t>mail: manuel.toro@sag.gob.cl)</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Natalia SOTOMAYOR (Ms.), Legal Advisor, Oficina de Estudios y Políticas Agrarias (ODEPA), Santiago de Chile (e</w:t>
      </w:r>
      <w:r w:rsidRPr="00293B75">
        <w:rPr>
          <w:rFonts w:cs="Arial"/>
          <w:lang w:val="fr-FR" w:eastAsia="zh-CN"/>
        </w:rPr>
        <w:noBreakHyphen/>
        <w:t>mail: nsotomayor@odepa.gob.cl)</w:t>
      </w:r>
    </w:p>
    <w:p w:rsidR="005B5643" w:rsidRPr="00293B75" w:rsidRDefault="005B5643" w:rsidP="007005BA">
      <w:pPr>
        <w:jc w:val="left"/>
        <w:rPr>
          <w:rFonts w:cs="Arial"/>
          <w:u w:val="single"/>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CHINE / CHINA / CHINA / CHINA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Mingqi LI, Deputy Director General, State Forestry Administration, Beijing (e</w:t>
      </w:r>
      <w:r w:rsidRPr="00293B75">
        <w:rPr>
          <w:rFonts w:cs="Arial"/>
          <w:lang w:val="fr-FR" w:eastAsia="zh-CN"/>
        </w:rPr>
        <w:noBreakHyphen/>
        <w:t>mail: limingqi709@126.com)</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Faji HUANG, Officer, Office for the Protection of New Plant Varieties, State Forestry Administration, Beijing (e</w:t>
      </w:r>
      <w:r w:rsidRPr="00293B75">
        <w:rPr>
          <w:rFonts w:cs="Arial"/>
          <w:lang w:val="fr-FR" w:eastAsia="zh-CN"/>
        </w:rPr>
        <w:noBreakHyphen/>
        <w:t>mail: huangfaji@cnpvp.net)</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Juan LI (Ms.), Project Administrator, Beijing (e</w:t>
      </w:r>
      <w:r w:rsidRPr="00293B75">
        <w:rPr>
          <w:rFonts w:cs="Arial"/>
          <w:lang w:val="fr-FR" w:eastAsia="zh-CN"/>
        </w:rPr>
        <w:noBreakHyphen/>
        <w:t>mail: lijuan_8@sipo.gov.cn)</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Xin LU (Ms.), PVP Examiner, Plant Variety Protection Division, Development Center for Science and Technology, Ministry of Agriculture, Beijing (e</w:t>
      </w:r>
      <w:r w:rsidRPr="00293B75">
        <w:rPr>
          <w:rFonts w:cs="Arial"/>
          <w:lang w:val="fr-FR" w:eastAsia="zh-CN"/>
        </w:rPr>
        <w:noBreakHyphen/>
        <w:t>mail: luxin@agri.gov.cn)</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COLOMBIE / COLOMBIA / KOLUMBIEN / COLOMBIA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Ana Luisa DÍAZ JIMÉNEZ (Sra.), Directora Técnica de Semillas, Dirección Técnica de Semillas, Instituto Colombiano Agropecuario (ICA), Bogotá (e</w:t>
      </w:r>
      <w:r w:rsidRPr="00293B75">
        <w:rPr>
          <w:rFonts w:cs="Arial"/>
          <w:lang w:val="fr-FR" w:eastAsia="zh-CN"/>
        </w:rPr>
        <w:noBreakHyphen/>
        <w:t>mail: ana.diaz@ica.gov.co)</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CROATIE / CROATIA / KROATIEN / CROACIA</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Ivana BULAJIĆ (Ms.), Head of Plant Health Service, Directorate for Food Quality and Fitosanitary Policy, Ministry of Agriculture, Zagreb (e</w:t>
      </w:r>
      <w:r w:rsidRPr="00293B75">
        <w:rPr>
          <w:rFonts w:cs="Arial"/>
          <w:lang w:val="fr-FR" w:eastAsia="zh-CN"/>
        </w:rPr>
        <w:noBreakHyphen/>
        <w:t>mail: ivana.bulajic@mps.hr)</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DANEMARK / DENMARK / DÄNEMARK / DINAMARCA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Gerhard DENEKEN, Department of Variety Testing, The Danish AgriFish Agency (NaturErhvervestyrelsen), Skaelskoer (e</w:t>
      </w:r>
      <w:r w:rsidRPr="00293B75">
        <w:rPr>
          <w:rFonts w:cs="Arial"/>
          <w:lang w:val="fr-FR" w:eastAsia="zh-CN"/>
        </w:rPr>
        <w:noBreakHyphen/>
        <w:t>mail: gde@naturerhverv.dk)</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ÉQUATEUR / ECUADOR / ECUADOR / ECUADOR</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Juan Carlos CASTRILLÓN J., Ministro, Misión Permanente del Ecuador ante la Oficina de las Naciones Unidas en Ginebra, Ginebra (e</w:t>
      </w:r>
      <w:r w:rsidRPr="00293B75">
        <w:rPr>
          <w:rFonts w:cs="Arial"/>
          <w:lang w:val="fr-FR" w:eastAsia="zh-CN"/>
        </w:rPr>
        <w:noBreakHyphen/>
        <w:t>mail: jccastrillonj@gmail.com)</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ESPAGNE / SPAIN / SPANIEN / ESPAÑA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Luis SALAICES SÁNCHEZ, Jefe del Área del Registro de Variedades, Subdirección General de Medios de Producción Agrícolas y Oficina Española de Variedades Vegetales (MPA y OEVV),</w:t>
      </w:r>
    </w:p>
    <w:p w:rsidR="005B5643" w:rsidRPr="00293B75" w:rsidRDefault="005B5643" w:rsidP="007005BA">
      <w:pPr>
        <w:jc w:val="left"/>
        <w:rPr>
          <w:rFonts w:cs="Arial"/>
          <w:lang w:val="fr-FR" w:eastAsia="zh-CN"/>
        </w:rPr>
      </w:pPr>
      <w:r w:rsidRPr="00293B75">
        <w:rPr>
          <w:rFonts w:cs="Arial"/>
          <w:lang w:val="fr-FR" w:eastAsia="zh-CN"/>
        </w:rPr>
        <w:t>Ministerio de Agricultura, Alimentación y Medio Ambiente (MAGRAMA), Madrid</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luis.salaices@magrama.es)</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José Luis ALONSO PRADOS, Director Técnico, Dirección Técnica de Evaluación de Variedades y Productos Fitosantarios (DTEVPF), Madrid (e</w:t>
      </w:r>
      <w:r w:rsidRPr="00293B75">
        <w:rPr>
          <w:rFonts w:cs="Arial"/>
          <w:lang w:val="fr-FR" w:eastAsia="zh-CN"/>
        </w:rPr>
        <w:noBreakHyphen/>
        <w:t>mail: prados@inia.es)</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José Antonio SOBRINO MATE, Jefe del Servicio de Registro de Variedades, Subdirección General de Medios de Producción Agrícolas y Oficina Española de Variedades Vegetales (MPA y OEVV), Oficina Española de Variedades Vegetales, Ministerio de Agricultura, Alimentación y Medio Ambiente, Madrid</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jasobrino@magrama.es)</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ESTONIE / ESTONIA / ESTLAND / ESTONIA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Laima PUUR (Ms.), Head, Variety Department, Estonian Agricultural Board, Viljandi</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laima.puur@pma.agri.ee)</w:t>
      </w:r>
    </w:p>
    <w:p w:rsidR="005B5643" w:rsidRPr="00293B75" w:rsidRDefault="005B5643" w:rsidP="007005BA">
      <w:pPr>
        <w:jc w:val="left"/>
        <w:rPr>
          <w:rFonts w:cs="Arial"/>
          <w:u w:val="single"/>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ÉTATS</w:t>
      </w:r>
      <w:r w:rsidRPr="00293B75">
        <w:rPr>
          <w:rFonts w:cs="Arial"/>
          <w:u w:val="single"/>
          <w:lang w:val="fr-FR" w:eastAsia="zh-CN"/>
        </w:rPr>
        <w:noBreakHyphen/>
        <w:t>UNIS D’AMÉRIQUE / UNITED STATES OF AMERICA / VEREINIGTE STAATEN VON AMERIKA / ESTADOS UNIDOS DE AMÉRICA</w:t>
      </w:r>
    </w:p>
    <w:p w:rsidR="005B5643" w:rsidRPr="00293B75" w:rsidRDefault="005B5643" w:rsidP="007005BA">
      <w:pPr>
        <w:keepNext/>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Kitisri SUKHAPINDA (Ms.), Patent Attorney, Office of Policy and External Affairs, United States Patent and Trademark Office (USPTO), Alexandria (e</w:t>
      </w:r>
      <w:r w:rsidRPr="00293B75">
        <w:rPr>
          <w:rFonts w:cs="Arial"/>
          <w:lang w:val="fr-FR" w:eastAsia="zh-CN"/>
        </w:rPr>
        <w:noBreakHyphen/>
        <w:t>mail: kitisri.sukhapinda@uspto.gov)</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Jeffery HAYNES, Deputy Commissioner, U.S. Plant Variety Protection Office, USDA, AMS, S&amp;T, Plant Variety Protection Office, Washington D.C. (e</w:t>
      </w:r>
      <w:r w:rsidRPr="00293B75">
        <w:rPr>
          <w:rFonts w:cs="Arial"/>
          <w:lang w:val="fr-FR" w:eastAsia="zh-CN"/>
        </w:rPr>
        <w:noBreakHyphen/>
        <w:t>mail: Jeffery.Haynes@ams.usda.gov)</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Elaine WU (Ms.), Patent Attorney, United States Patent and Trademark Office (USPTO), Alexandria</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FÉDÉRATION DE RUSSIE / RUSSIAN FEDERATION / RUSSISCHE FÖDERATION / FEDERACIÓN DE RUSIA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Viktor I. STARTCEV, Deputy Chairman, State Commission of the Russian Federation for Selection Achievements Test and Protection, Moscow (e</w:t>
      </w:r>
      <w:r w:rsidRPr="00293B75">
        <w:rPr>
          <w:rFonts w:cs="Arial"/>
          <w:lang w:val="fr-FR" w:eastAsia="zh-CN"/>
        </w:rPr>
        <w:noBreakHyphen/>
        <w:t>mail: gossort@gossort.com)</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Yury A. ROGOVSKIY, Deputy Chairman, Head of Methodology and International Cooperation, State Commission of the Russian Federation for Selection Achievements Test and Protection, Moscow</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yrogovskij@yandex.ru)</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Antonina TRETINNIKOVA (Ms.), Deputy Head, Methodology and International Cooperation Department, State Commission of the Russian Federation for Selection Achievements Test and Protection, Moscow</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tretinnikova@mail.ru)</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FINLANDE / FINLAND / FINNLAND / FINLANDIA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Tarja Päivikki HIETARANTA (Ms.), Senior Officer, Seed Certification Unit, Finnish Food and</w:t>
      </w:r>
    </w:p>
    <w:p w:rsidR="005B5643" w:rsidRPr="00293B75" w:rsidRDefault="005B5643" w:rsidP="007005BA">
      <w:pPr>
        <w:jc w:val="left"/>
        <w:rPr>
          <w:rFonts w:cs="Arial"/>
          <w:lang w:val="fr-FR" w:eastAsia="zh-CN"/>
        </w:rPr>
      </w:pPr>
      <w:r w:rsidRPr="00293B75">
        <w:rPr>
          <w:rFonts w:cs="Arial"/>
          <w:lang w:val="fr-FR" w:eastAsia="zh-CN"/>
        </w:rPr>
        <w:t>Safety Authority (EVIRA), Loimaa (e</w:t>
      </w:r>
      <w:r w:rsidRPr="00293B75">
        <w:rPr>
          <w:rFonts w:cs="Arial"/>
          <w:lang w:val="fr-FR" w:eastAsia="zh-CN"/>
        </w:rPr>
        <w:noBreakHyphen/>
        <w:t>mail: tarja.hietaranta@evira.fi)</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FRANCE / FRANCE / FRANKREICH / FRANCIA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Arnaud DELTOUR, Directeur général, Groupe d’étude et de contrôle des variétés et des semences (GEVES), Beaucouzé (e</w:t>
      </w:r>
      <w:r w:rsidRPr="00293B75">
        <w:rPr>
          <w:rFonts w:cs="Arial"/>
          <w:lang w:val="fr-FR" w:eastAsia="zh-CN"/>
        </w:rPr>
        <w:noBreakHyphen/>
        <w:t>mail: arnaud.deltour@geves.fr)</w:t>
      </w:r>
    </w:p>
    <w:p w:rsidR="005B5643" w:rsidRPr="00293B75" w:rsidRDefault="005B5643" w:rsidP="007005BA">
      <w:pPr>
        <w:jc w:val="left"/>
        <w:rPr>
          <w:rFonts w:cs="Arial"/>
          <w:highlight w:val="yellow"/>
          <w:lang w:val="fr-FR" w:eastAsia="zh-CN"/>
        </w:rPr>
      </w:pPr>
    </w:p>
    <w:p w:rsidR="005B5643" w:rsidRPr="00293B75" w:rsidRDefault="005B5643" w:rsidP="007005BA">
      <w:pPr>
        <w:jc w:val="left"/>
        <w:rPr>
          <w:rFonts w:cs="Arial"/>
          <w:lang w:val="fr-FR" w:eastAsia="zh-CN"/>
        </w:rPr>
      </w:pPr>
      <w:r w:rsidRPr="00293B75">
        <w:rPr>
          <w:rFonts w:cs="Arial"/>
          <w:lang w:val="fr-FR" w:eastAsia="zh-CN"/>
        </w:rPr>
        <w:t>Virginie BERTOUX (Mme), Responsable, Instance nationale des obtentions végétales (INOV), INOV</w:t>
      </w:r>
      <w:r w:rsidRPr="00293B75">
        <w:rPr>
          <w:rFonts w:cs="Arial"/>
          <w:lang w:val="fr-FR" w:eastAsia="zh-CN"/>
        </w:rPr>
        <w:noBreakHyphen/>
        <w:t>GEVES, Beaucouzé (e</w:t>
      </w:r>
      <w:r w:rsidRPr="00293B75">
        <w:rPr>
          <w:rFonts w:cs="Arial"/>
          <w:lang w:val="fr-FR" w:eastAsia="zh-CN"/>
        </w:rPr>
        <w:noBreakHyphen/>
        <w:t>mail: virginie.bertoux@geves.fr)</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Richard BRAND, DUS Coordination, Groupe d’étude et de contrôle des variétés et des semences (GEVES), Le Thor (e</w:t>
      </w:r>
      <w:r w:rsidRPr="00293B75">
        <w:rPr>
          <w:rFonts w:cs="Arial"/>
          <w:lang w:val="fr-FR" w:eastAsia="zh-CN"/>
        </w:rPr>
        <w:noBreakHyphen/>
        <w:t>mail: richard.brand@geves.fr)</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IRLANDE / IRELAND / IRLAND / IRLANDA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Donal COLEMAN, Controller of Plant Breeders’ Rights, National Crop Evaluation Centre, Department of Agriculture, Food and Marine, National Crop Evaluation Centre, Leixlip</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donal.coleman@agriculture.gov.ie)</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ISRAËL / ISRAEL / ISRAEL / ISRAEL</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 xml:space="preserve">David OPATOWSKI, Minister, Counsellor in Agricultural </w:t>
      </w:r>
      <w:proofErr w:type="gramStart"/>
      <w:r w:rsidRPr="00293B75">
        <w:rPr>
          <w:rFonts w:cs="Arial"/>
          <w:lang w:val="fr-FR" w:eastAsia="zh-CN"/>
        </w:rPr>
        <w:t>Affairs ,</w:t>
      </w:r>
      <w:proofErr w:type="gramEnd"/>
      <w:r w:rsidRPr="00293B75">
        <w:rPr>
          <w:rFonts w:cs="Arial"/>
          <w:lang w:val="fr-FR" w:eastAsia="zh-CN"/>
        </w:rPr>
        <w:t xml:space="preserve"> Permanent Mission of Israel to the United Nations and International Organizations, Geneva (e</w:t>
      </w:r>
      <w:r w:rsidRPr="00293B75">
        <w:rPr>
          <w:rFonts w:cs="Arial"/>
          <w:lang w:val="fr-FR" w:eastAsia="zh-CN"/>
        </w:rPr>
        <w:noBreakHyphen/>
        <w:t>mail: agriculture@geneva.mfa.gov.il)</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JAPON / JAPAN / JAPAN / JAPÓN</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Katsuhiro SAKA, Director, New Business and Intellectual Property Division, Food Industry Affairs Bureau, Ministry of Agriculture, Forestry and Fisheries (MAFF), Tokyo (e</w:t>
      </w:r>
      <w:r w:rsidRPr="00293B75">
        <w:rPr>
          <w:rFonts w:cs="Arial"/>
          <w:lang w:val="fr-FR" w:eastAsia="zh-CN"/>
        </w:rPr>
        <w:noBreakHyphen/>
        <w:t>mail: katsuhiro_saka@nm.maff.go.jp)</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Akira MIYAKE, Senior Policy Advisor, New Business and Intellectual Property Division, Food Industry Affairs Bureau, Ministry of Agriculture, Forestry and Fisheries (MAFF), Tokyo (e</w:t>
      </w:r>
      <w:r w:rsidRPr="00293B75">
        <w:rPr>
          <w:rFonts w:cs="Arial"/>
          <w:lang w:val="fr-FR" w:eastAsia="zh-CN"/>
        </w:rPr>
        <w:noBreakHyphen/>
        <w:t>mail: akira_miyake@nm.maff.go.jp)</w:t>
      </w:r>
    </w:p>
    <w:p w:rsidR="005B5643" w:rsidRPr="00293B75" w:rsidRDefault="005B5643" w:rsidP="007005BA">
      <w:pPr>
        <w:jc w:val="left"/>
        <w:rPr>
          <w:rFonts w:cs="Arial"/>
          <w:lang w:val="fr-FR" w:eastAsia="zh-CN"/>
        </w:rPr>
      </w:pPr>
    </w:p>
    <w:p w:rsidR="005B5643" w:rsidRPr="00293B75" w:rsidRDefault="005B5643" w:rsidP="007005BA">
      <w:pPr>
        <w:keepNext/>
        <w:jc w:val="left"/>
        <w:rPr>
          <w:rFonts w:cs="Arial"/>
          <w:lang w:val="fr-FR" w:eastAsia="zh-CN"/>
        </w:rPr>
      </w:pPr>
      <w:r w:rsidRPr="00293B75">
        <w:rPr>
          <w:rFonts w:cs="Arial"/>
          <w:lang w:val="fr-FR" w:eastAsia="zh-CN"/>
        </w:rPr>
        <w:t>Kenji NUMAGUCHI, Deputy Chief Examiner, Plant Variety Protection Office, New Business and Intellectual Property Division</w:t>
      </w:r>
      <w:proofErr w:type="gramStart"/>
      <w:r w:rsidRPr="00293B75">
        <w:rPr>
          <w:rFonts w:cs="Arial"/>
          <w:lang w:val="fr-FR" w:eastAsia="zh-CN"/>
        </w:rPr>
        <w:t>,,</w:t>
      </w:r>
      <w:proofErr w:type="gramEnd"/>
      <w:r w:rsidRPr="00293B75">
        <w:rPr>
          <w:rFonts w:cs="Arial"/>
          <w:lang w:val="fr-FR" w:eastAsia="zh-CN"/>
        </w:rPr>
        <w:t xml:space="preserve"> Food Industry Affairs Bureau, Ministry of Agriculture, Forestry and Fisheries (MAFF), Tokyo (e</w:t>
      </w:r>
      <w:r w:rsidRPr="00293B75">
        <w:rPr>
          <w:rFonts w:cs="Arial"/>
          <w:lang w:val="fr-FR" w:eastAsia="zh-CN"/>
        </w:rPr>
        <w:noBreakHyphen/>
        <w:t>mail: kenji_numaguchi@nm.maff.go.jp)</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Katsumi YAMAGUCHI, Assistant Director, Food Safety and Consumer Affairs Department, Tohoku Regional Agricultural Administration Office, Ministry of Agriculture, Forestry and Fisheries (MAFF), Miyagi</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katsumi_yamaguchi@tohoku.maff.go.jp)</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KENYA / KENYA / KENIA / KENYA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Simeon KIBET KOGO, General Manager, Quality Assurance, Kenya Plant Health Inspectorate Service (KEPHIS), Nairobi (e</w:t>
      </w:r>
      <w:r w:rsidRPr="00293B75">
        <w:rPr>
          <w:rFonts w:cs="Arial"/>
          <w:lang w:val="fr-FR" w:eastAsia="zh-CN"/>
        </w:rPr>
        <w:noBreakHyphen/>
        <w:t>mail: skibet@kephis.org)</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LETTONIE / LATVIA / LETTLAND / LETONIA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Iveta OZOLINA (Mrs.), Deputy Director, Department of Agriculture, Ministry of Agriculture, Riga</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iveta.ozolina@zm.gov.lv)</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Velta EVELONE (Ms.), Director of Seed Control Department, State Plant Protection Service, Riga</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velta.evelone@vaad.gov.lv)</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MAROC / MOROCCO / MAROKKO / MARRUECOS</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Zoubida TAOUSSI (Mrs.), Chargée de la protection des obtentions végétales, Office National de Sécurité de Produits Alimentaires, Rabat (e</w:t>
      </w:r>
      <w:r w:rsidRPr="00293B75">
        <w:rPr>
          <w:rFonts w:cs="Arial"/>
          <w:lang w:val="fr-FR" w:eastAsia="zh-CN"/>
        </w:rPr>
        <w:noBreakHyphen/>
        <w:t>mail: ztaoussi67@gmail.com)</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MEXIQUE / MEXICO / MEXIKO / MÉXICO</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Alejandro BARRIENTOS</w:t>
      </w:r>
      <w:r w:rsidRPr="00293B75">
        <w:rPr>
          <w:rFonts w:cs="Arial"/>
          <w:lang w:val="fr-FR" w:eastAsia="zh-CN"/>
        </w:rPr>
        <w:noBreakHyphen/>
        <w:t>PRIEGO, Profesor, Departamento de Fitotecnica, Universidad Autónoma de Chapingo (UACh), Chapingo (email: abarrien@correo.chapingo.mx)</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Sara MANZANO MERINO (Ms.), Advisor, Misión Permanente, Genève (e</w:t>
      </w:r>
      <w:r w:rsidRPr="00293B75">
        <w:rPr>
          <w:rFonts w:cs="Arial"/>
          <w:lang w:val="fr-FR" w:eastAsia="zh-CN"/>
        </w:rPr>
        <w:noBreakHyphen/>
        <w:t>mail: smanzano@sre.gob.mx)</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NORVÈGE / NORWAY / NORWEGEN / NORUEGA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Pia BORG (Mrs.), Senior Advisor, Norwegian Food Safety Authority, Brumunddal</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pia.borg@mattilsynet.no)</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NOUVELLE</w:t>
      </w:r>
      <w:r w:rsidRPr="00293B75">
        <w:rPr>
          <w:rFonts w:cs="Arial"/>
          <w:u w:val="single"/>
          <w:lang w:val="fr-FR" w:eastAsia="zh-CN"/>
        </w:rPr>
        <w:noBreakHyphen/>
        <w:t>ZÉLANDE / NEW ZEALAND / NEUSEELAND / NUEVA ZELANDIA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Christopher J. BARNABY, Assistant Commissioner / Principal Examiner for Plant Variety Rights, Plant Variety Rights Office, Intellectual Property Office of New Zealand, Ministry of Business, Innovation and Employment, Christchurch (e</w:t>
      </w:r>
      <w:r w:rsidRPr="00293B75">
        <w:rPr>
          <w:rFonts w:cs="Arial"/>
          <w:lang w:val="fr-FR" w:eastAsia="zh-CN"/>
        </w:rPr>
        <w:noBreakHyphen/>
        <w:t>mail: Chris.Barnaby@pvr.govt.nz)</w:t>
      </w:r>
    </w:p>
    <w:p w:rsidR="005B5643" w:rsidRPr="00293B75" w:rsidRDefault="005B5643" w:rsidP="007005BA">
      <w:pPr>
        <w:jc w:val="left"/>
        <w:rPr>
          <w:rFonts w:cs="Arial"/>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OMAN / OMAN / OMAN / OMÁN</w:t>
      </w:r>
    </w:p>
    <w:p w:rsidR="005B5643" w:rsidRPr="00293B75" w:rsidRDefault="005B5643" w:rsidP="007005BA">
      <w:pPr>
        <w:keepNext/>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Ali AL LAWATI, Plant Genetic Resources Expert, The Research Council, Oman Animal and Plant Genetic Resources, Muscat (e</w:t>
      </w:r>
      <w:r w:rsidRPr="00293B75">
        <w:rPr>
          <w:rFonts w:cs="Arial"/>
          <w:lang w:val="fr-FR" w:eastAsia="zh-CN"/>
        </w:rPr>
        <w:noBreakHyphen/>
        <w:t>mail: ali.allawati@trc.gov.om)</w:t>
      </w:r>
    </w:p>
    <w:p w:rsidR="005B5643" w:rsidRPr="00293B75" w:rsidRDefault="005B5643" w:rsidP="007005BA">
      <w:pPr>
        <w:jc w:val="left"/>
        <w:rPr>
          <w:rFonts w:cs="Arial"/>
          <w:lang w:val="fr-FR" w:eastAsia="zh-CN"/>
        </w:rPr>
      </w:pPr>
    </w:p>
    <w:p w:rsidR="005B5643" w:rsidRPr="00293B75" w:rsidRDefault="005B5643" w:rsidP="007005BA">
      <w:pPr>
        <w:keepNext/>
        <w:keepLines/>
        <w:jc w:val="left"/>
        <w:rPr>
          <w:rFonts w:cs="Arial"/>
          <w:lang w:val="fr-FR" w:eastAsia="zh-CN"/>
        </w:rPr>
      </w:pPr>
      <w:r w:rsidRPr="00293B75">
        <w:rPr>
          <w:rFonts w:cs="Arial"/>
          <w:lang w:val="fr-FR" w:eastAsia="zh-CN"/>
        </w:rPr>
        <w:t>Dua’a Yousuf AL MAQBALI (Ms.), Data Collector and Analyst, The Research Council, Oman Animal and Plant Genetic Resources Center, Muscat (e</w:t>
      </w:r>
      <w:r w:rsidRPr="00293B75">
        <w:rPr>
          <w:rFonts w:cs="Arial"/>
          <w:lang w:val="fr-FR" w:eastAsia="zh-CN"/>
        </w:rPr>
        <w:noBreakHyphen/>
        <w:t>mail: duaa.almaqbali@trc.gov.om)</w:t>
      </w:r>
    </w:p>
    <w:p w:rsidR="005B5643" w:rsidRPr="00293B75" w:rsidRDefault="005B5643" w:rsidP="007005BA">
      <w:pPr>
        <w:jc w:val="left"/>
        <w:rPr>
          <w:rFonts w:cs="Arial"/>
          <w:lang w:val="fr-FR" w:eastAsia="zh-CN"/>
        </w:rPr>
      </w:pPr>
    </w:p>
    <w:p w:rsidR="005B5643" w:rsidRPr="00293B75" w:rsidRDefault="005B5643" w:rsidP="007005BA">
      <w:pPr>
        <w:keepNext/>
        <w:jc w:val="left"/>
        <w:rPr>
          <w:rFonts w:cs="Arial"/>
          <w:lang w:val="fr-FR" w:eastAsia="zh-CN"/>
        </w:rPr>
      </w:pPr>
      <w:r w:rsidRPr="00293B75">
        <w:rPr>
          <w:rFonts w:cs="Arial"/>
          <w:lang w:val="fr-FR" w:eastAsia="zh-CN"/>
        </w:rPr>
        <w:t>Rashid AL</w:t>
      </w:r>
      <w:r w:rsidRPr="00293B75">
        <w:rPr>
          <w:rFonts w:cs="Arial"/>
          <w:lang w:val="fr-FR" w:eastAsia="zh-CN"/>
        </w:rPr>
        <w:noBreakHyphen/>
        <w:t>YAHYAI, Associate Professor, College of Agricultural and Marine Sciences, Sultan</w:t>
      </w:r>
    </w:p>
    <w:p w:rsidR="005B5643" w:rsidRPr="00293B75" w:rsidRDefault="005B5643" w:rsidP="007005BA">
      <w:pPr>
        <w:jc w:val="left"/>
        <w:rPr>
          <w:rFonts w:cs="Arial"/>
          <w:lang w:val="fr-FR" w:eastAsia="zh-CN"/>
        </w:rPr>
      </w:pPr>
      <w:r w:rsidRPr="00293B75">
        <w:rPr>
          <w:rFonts w:cs="Arial"/>
          <w:lang w:val="fr-FR" w:eastAsia="zh-CN"/>
        </w:rPr>
        <w:t>Qaboos University, Al Khod (e</w:t>
      </w:r>
      <w:r w:rsidRPr="00293B75">
        <w:rPr>
          <w:rFonts w:cs="Arial"/>
          <w:lang w:val="fr-FR" w:eastAsia="zh-CN"/>
        </w:rPr>
        <w:noBreakHyphen/>
        <w:t>mail: alyahyai@squ.edu.om)</w:t>
      </w:r>
    </w:p>
    <w:p w:rsidR="005B5643" w:rsidRPr="00293B75" w:rsidRDefault="005B5643" w:rsidP="007005BA">
      <w:pPr>
        <w:jc w:val="left"/>
        <w:rPr>
          <w:rFonts w:cs="Arial"/>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ORGANISATION AFRICAINE DE LA PROPRIÉTÉ INTELLECTUELLE (OAPI) / AFRICAN INTELLECTUAL PROPERTY ORGANIZATION (OAPI) / AFRIKANISCHE ORGANISATION FÜR GEISTIGES EIGENTUM (OAPI) / ORGANIZACIÓN AFRICANA DE LA PROPIEDAD INTELECTUAL (OAPI)</w:t>
      </w:r>
    </w:p>
    <w:p w:rsidR="005B5643" w:rsidRPr="00293B75" w:rsidRDefault="005B5643" w:rsidP="007005BA">
      <w:pPr>
        <w:keepNext/>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Juliette DOUMATEY AYITE (Mme), Directeur Général Adjoint, Organisation africaine de la propriété intellectuelle (OAPI), Yaoundé (e</w:t>
      </w:r>
      <w:r w:rsidRPr="00293B75">
        <w:rPr>
          <w:rFonts w:cs="Arial"/>
          <w:lang w:val="fr-FR" w:eastAsia="zh-CN"/>
        </w:rPr>
        <w:noBreakHyphen/>
        <w:t>mail: ayijuliette@yahoo.fr)</w:t>
      </w:r>
    </w:p>
    <w:p w:rsidR="005B5643" w:rsidRPr="00293B75" w:rsidRDefault="005B5643" w:rsidP="007005BA">
      <w:pPr>
        <w:jc w:val="left"/>
        <w:rPr>
          <w:rFonts w:cs="Arial"/>
          <w:lang w:val="fr-FR" w:eastAsia="zh-CN"/>
        </w:rPr>
      </w:pPr>
      <w:r w:rsidRPr="00293B75">
        <w:rPr>
          <w:rFonts w:cs="Arial"/>
          <w:lang w:val="fr-FR" w:eastAsia="zh-CN"/>
        </w:rPr>
        <w:t>Wéré Régine GAZARO (Mme), Directeur, Protection de la propriété industrielle, Organisation africaine de la propriété intellectuelle (OAPI), Yaoundé (e</w:t>
      </w:r>
      <w:r w:rsidRPr="00293B75">
        <w:rPr>
          <w:rFonts w:cs="Arial"/>
          <w:lang w:val="fr-FR" w:eastAsia="zh-CN"/>
        </w:rPr>
        <w:noBreakHyphen/>
        <w:t>mail: were_regine@yahoo.fr)</w:t>
      </w:r>
    </w:p>
    <w:p w:rsidR="005B5643" w:rsidRPr="00293B75" w:rsidRDefault="005B5643" w:rsidP="007005BA">
      <w:pPr>
        <w:jc w:val="left"/>
        <w:rPr>
          <w:rFonts w:cs="Arial"/>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PAYS</w:t>
      </w:r>
      <w:r w:rsidRPr="00293B75">
        <w:rPr>
          <w:rFonts w:cs="Arial"/>
          <w:u w:val="single"/>
          <w:lang w:val="fr-FR" w:eastAsia="zh-CN"/>
        </w:rPr>
        <w:noBreakHyphen/>
        <w:t>BAS / NETHERLANDS / NIEDERLANDE / PAÍSES BAJOS</w:t>
      </w:r>
    </w:p>
    <w:p w:rsidR="005B5643" w:rsidRPr="00293B75" w:rsidRDefault="005B5643" w:rsidP="007005BA">
      <w:pPr>
        <w:keepNext/>
        <w:jc w:val="left"/>
        <w:rPr>
          <w:rFonts w:cs="Arial"/>
          <w:lang w:val="fr-FR" w:eastAsia="zh-CN"/>
        </w:rPr>
      </w:pPr>
    </w:p>
    <w:p w:rsidR="005B5643" w:rsidRPr="00293B75" w:rsidRDefault="005B5643" w:rsidP="007005BA">
      <w:pPr>
        <w:keepNext/>
        <w:jc w:val="left"/>
        <w:rPr>
          <w:rFonts w:cs="Arial"/>
          <w:lang w:val="fr-FR" w:eastAsia="zh-CN"/>
        </w:rPr>
      </w:pPr>
      <w:r w:rsidRPr="00293B75">
        <w:rPr>
          <w:rFonts w:cs="Arial"/>
          <w:lang w:val="fr-FR" w:eastAsia="zh-CN"/>
        </w:rPr>
        <w:t>Marien VALSTAR, Senior Policy Officer, Seeds and Plant Propagation Material, Ministry of Economic Affairs, DG AGRO, The Hague (e</w:t>
      </w:r>
      <w:r w:rsidRPr="00293B75">
        <w:rPr>
          <w:rFonts w:cs="Arial"/>
          <w:lang w:val="fr-FR" w:eastAsia="zh-CN"/>
        </w:rPr>
        <w:noBreakHyphen/>
        <w:t>mail: m.valstar@minez.nl)</w:t>
      </w:r>
    </w:p>
    <w:p w:rsidR="005B5643" w:rsidRPr="00293B75" w:rsidRDefault="005B5643" w:rsidP="007005BA">
      <w:pPr>
        <w:keepNext/>
        <w:jc w:val="left"/>
        <w:rPr>
          <w:rFonts w:cs="Arial"/>
          <w:lang w:val="fr-FR" w:eastAsia="zh-CN"/>
        </w:rPr>
      </w:pPr>
    </w:p>
    <w:p w:rsidR="005B5643" w:rsidRPr="00293B75" w:rsidRDefault="005B5643" w:rsidP="007005BA">
      <w:pPr>
        <w:keepNext/>
        <w:jc w:val="left"/>
        <w:rPr>
          <w:rFonts w:cs="Arial"/>
          <w:lang w:val="fr-FR" w:eastAsia="zh-CN"/>
        </w:rPr>
      </w:pPr>
      <w:r w:rsidRPr="00293B75">
        <w:rPr>
          <w:rFonts w:cs="Arial"/>
          <w:lang w:val="fr-FR" w:eastAsia="zh-CN"/>
        </w:rPr>
        <w:t>Kees VAN ETTEKOVEN, Head of Variety Testing Department, Naktuinbouw NL, Roelofarendsveen</w:t>
      </w:r>
    </w:p>
    <w:p w:rsidR="005B5643" w:rsidRPr="00293B75" w:rsidRDefault="005B5643" w:rsidP="007005BA">
      <w:pPr>
        <w:keepNext/>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c.v.ettekoven@naktuinbouw.nl)</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PARAGUAY / PARAGUAY / PARAGUAY / PARAGUAY</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Hugo Daniel ALCARAZ, Director Juridico, Servicio Nacional de Calidad y Sanidad Vegetal y de Semillas (SENAVE), San Lorenzo (email: hugoalcarazz@senave.com)</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Blanca Julia NÚÑEZ DE MATTO (Sra.), Jefa, Departamento de Protección y Uso de Variedades, Dirección de Semillas (DISE), Servicio Nacional de Calidad y Sanidad Vegetal y de Semillas (SENAVE), San Lorenzo (e</w:t>
      </w:r>
      <w:r w:rsidRPr="00293B75">
        <w:rPr>
          <w:rFonts w:cs="Arial"/>
          <w:lang w:val="fr-FR" w:eastAsia="zh-CN"/>
        </w:rPr>
        <w:noBreakHyphen/>
        <w:t>mail: blanca.nunez@senave.gov.py)</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POLOGNE / POLAND / POLEN / POLONIA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Marcin KRÓL, Head, DUS Testing Department, Research Centre for Cultivar Testing (COBORU), Slupia Wielka (e</w:t>
      </w:r>
      <w:r w:rsidRPr="00293B75">
        <w:rPr>
          <w:rFonts w:cs="Arial"/>
          <w:lang w:val="fr-FR" w:eastAsia="zh-CN"/>
        </w:rPr>
        <w:noBreakHyphen/>
        <w:t>mail: m.krol@coboru.pl)</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RÉPUBLIQUE DE CORÉE / REPUBLIC OF KOREA / REPUBLIK KOREA / REPÚBLICA DE COREA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Seung</w:t>
      </w:r>
      <w:r w:rsidRPr="00293B75">
        <w:rPr>
          <w:rFonts w:cs="Arial"/>
          <w:lang w:val="fr-FR" w:eastAsia="zh-CN"/>
        </w:rPr>
        <w:noBreakHyphen/>
        <w:t>In YI, Deputy Head, Plant Variety Protection Division, Korea Seed &amp; Variety Service (KSVS), Gyeongsangbuk</w:t>
      </w:r>
      <w:r w:rsidRPr="00293B75">
        <w:rPr>
          <w:rFonts w:cs="Arial"/>
          <w:lang w:val="fr-FR" w:eastAsia="zh-CN"/>
        </w:rPr>
        <w:noBreakHyphen/>
        <w:t>Do (e</w:t>
      </w:r>
      <w:r w:rsidRPr="00293B75">
        <w:rPr>
          <w:rFonts w:cs="Arial"/>
          <w:lang w:val="fr-FR" w:eastAsia="zh-CN"/>
        </w:rPr>
        <w:noBreakHyphen/>
        <w:t>mail: seedin@korea.kr)</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RÉPUBLIQUE DE MOLDOVA / REPUBLIC OF MOLDOVA / REPUBLIK MOLDAU / REPÚBLICA DE MOLDOVA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Mihail MACHIDON, Chairman, State Commission for Crops Variety Testing and Registration (SCCVTR), Chisinau (e</w:t>
      </w:r>
      <w:r w:rsidRPr="00293B75">
        <w:rPr>
          <w:rFonts w:cs="Arial"/>
          <w:lang w:val="fr-FR" w:eastAsia="zh-CN"/>
        </w:rPr>
        <w:noBreakHyphen/>
        <w:t>mail: info@cstsp.md)</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Ala GUSAN (Mrs.), Head, Inventions and Plant Varieties Department, State Agency on Intellectual Property (AGEPI), Chisinau (e</w:t>
      </w:r>
      <w:r w:rsidRPr="00293B75">
        <w:rPr>
          <w:rFonts w:cs="Arial"/>
          <w:lang w:val="fr-FR" w:eastAsia="zh-CN"/>
        </w:rPr>
        <w:noBreakHyphen/>
        <w:t>mail: ala.gusan@agepi.gov.md)</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RÉPUBLIQUE DOMINICAINE / DOMINICAN REPUBLIC / DOMINIKANISCHE REPUBLIK / REPÚBLICA DOMINICANA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Ysset ROMAN (Sra.), Ministro Consejero, Genève (e</w:t>
      </w:r>
      <w:r w:rsidRPr="00293B75">
        <w:rPr>
          <w:rFonts w:cs="Arial"/>
          <w:lang w:val="fr-FR" w:eastAsia="zh-CN"/>
        </w:rPr>
        <w:noBreakHyphen/>
        <w:t>mail: yroman.omc@rep</w:t>
      </w:r>
      <w:r w:rsidRPr="00293B75">
        <w:rPr>
          <w:rFonts w:cs="Arial"/>
          <w:lang w:val="fr-FR" w:eastAsia="zh-CN"/>
        </w:rPr>
        <w:noBreakHyphen/>
        <w:t>dominicana.org)</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RÉPUBLIQUE TCHÈQUE / CZECH REPUBLIC / TSCHECHISCHE REPUBLIK / REPÚBLICA CHECA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Radmila SAFARIKOVA (Mrs.), Head of Division, Central Institute for Supervising and Testing in Agriculture (UKZUZ), National Plant Variety Office, Brno (e</w:t>
      </w:r>
      <w:r w:rsidRPr="00293B75">
        <w:rPr>
          <w:rFonts w:cs="Arial"/>
          <w:lang w:val="fr-FR" w:eastAsia="zh-CN"/>
        </w:rPr>
        <w:noBreakHyphen/>
        <w:t>mail: radmila.safarikova@ukzuz.cz)</w:t>
      </w:r>
    </w:p>
    <w:p w:rsidR="005B5643" w:rsidRPr="00293B75" w:rsidRDefault="005B5643" w:rsidP="007005BA">
      <w:pPr>
        <w:jc w:val="left"/>
        <w:rPr>
          <w:rFonts w:cs="Arial"/>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ROUMANIE / ROMANIA / RUMÄNIEN / RUMANIA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Aura Giorgiana MINDRUTA (Ms.), Expert, State Institute for Variety Testing and Registration (ISTIS), Bucarest (e</w:t>
      </w:r>
      <w:r w:rsidRPr="00293B75">
        <w:rPr>
          <w:rFonts w:cs="Arial"/>
          <w:lang w:val="fr-FR" w:eastAsia="zh-CN"/>
        </w:rPr>
        <w:noBreakHyphen/>
        <w:t>mail: aura_mindruta@istis.ro)</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Cristian Irinel MOCANU, Head of Legal Department, State Institute for Variety Testing and Registration, Bucharest (e</w:t>
      </w:r>
      <w:r w:rsidRPr="00293B75">
        <w:rPr>
          <w:rFonts w:cs="Arial"/>
          <w:lang w:val="fr-FR" w:eastAsia="zh-CN"/>
        </w:rPr>
        <w:noBreakHyphen/>
        <w:t>mail: irinel_mocanu@istis.ro)</w:t>
      </w:r>
    </w:p>
    <w:p w:rsidR="005B5643" w:rsidRPr="00293B75" w:rsidRDefault="005B5643" w:rsidP="007005BA">
      <w:pPr>
        <w:jc w:val="left"/>
        <w:rPr>
          <w:rFonts w:cs="Arial"/>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ROYAUME</w:t>
      </w:r>
      <w:r w:rsidRPr="00293B75">
        <w:rPr>
          <w:rFonts w:cs="Arial"/>
          <w:u w:val="single"/>
          <w:lang w:val="fr-FR" w:eastAsia="zh-CN"/>
        </w:rPr>
        <w:noBreakHyphen/>
        <w:t>UNI / UNITED KINGDOM / VEREINIGTES KÖNIGREICH / REINO UNIDO</w:t>
      </w:r>
    </w:p>
    <w:p w:rsidR="005B5643" w:rsidRPr="00293B75" w:rsidRDefault="005B5643" w:rsidP="007005BA">
      <w:pPr>
        <w:keepNext/>
        <w:jc w:val="left"/>
        <w:rPr>
          <w:rFonts w:cs="Arial"/>
          <w:lang w:val="fr-FR" w:eastAsia="zh-CN"/>
        </w:rPr>
      </w:pPr>
    </w:p>
    <w:p w:rsidR="005B5643" w:rsidRPr="00293B75" w:rsidRDefault="005B5643" w:rsidP="007005BA">
      <w:pPr>
        <w:keepNext/>
        <w:jc w:val="left"/>
        <w:rPr>
          <w:rFonts w:cs="Arial"/>
          <w:lang w:val="fr-FR" w:eastAsia="zh-CN"/>
        </w:rPr>
      </w:pPr>
      <w:r w:rsidRPr="00293B75">
        <w:rPr>
          <w:rFonts w:cs="Arial"/>
          <w:lang w:val="fr-FR" w:eastAsia="zh-CN"/>
        </w:rPr>
        <w:t>Mara RAMANS (Ms.), Technical Liaison Officer, Variety and Seeds, Animal and Plant Health Agency,</w:t>
      </w:r>
    </w:p>
    <w:p w:rsidR="005B5643" w:rsidRPr="00293B75" w:rsidRDefault="005B5643" w:rsidP="007005BA">
      <w:pPr>
        <w:keepNext/>
        <w:jc w:val="left"/>
        <w:rPr>
          <w:rFonts w:cs="Arial"/>
          <w:lang w:val="fr-FR" w:eastAsia="zh-CN"/>
        </w:rPr>
      </w:pPr>
      <w:r w:rsidRPr="00293B75">
        <w:rPr>
          <w:rFonts w:cs="Arial"/>
          <w:lang w:val="fr-FR" w:eastAsia="zh-CN"/>
        </w:rPr>
        <w:t>The Food and Environment Research Agency (FERA), Cambridge (e</w:t>
      </w:r>
      <w:r w:rsidRPr="00293B75">
        <w:rPr>
          <w:rFonts w:cs="Arial"/>
          <w:lang w:val="fr-FR" w:eastAsia="zh-CN"/>
        </w:rPr>
        <w:noBreakHyphen/>
        <w:t>mail: mara.ramans@fera.gsi.gov.uk)</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Alex REID, Senior Molecular Biologist, Science and Advice for the Scottish Government (SASA), Edinburgh (e</w:t>
      </w:r>
      <w:r w:rsidRPr="00293B75">
        <w:rPr>
          <w:rFonts w:cs="Arial"/>
          <w:lang w:val="fr-FR" w:eastAsia="zh-CN"/>
        </w:rPr>
        <w:noBreakHyphen/>
        <w:t>mail: alex.reid@sasa.gsi.gov.uk)</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Adrian M.I. ROBERTS, External Development Manager, Biomathematics &amp; Statistics Scotland (BioSS), Edinburgh (e</w:t>
      </w:r>
      <w:r w:rsidRPr="00293B75">
        <w:rPr>
          <w:rFonts w:cs="Arial"/>
          <w:lang w:val="fr-FR" w:eastAsia="zh-CN"/>
        </w:rPr>
        <w:noBreakHyphen/>
        <w:t>mail: adrian@bioss.ac.uk)</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SLOVAQUIE / SLOVAKIA / SLOWAKEI / ESLOVAQUIA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Bronislava BÁTOROVÁ (Mrs.), National Coordinator for the Cooperation of the Slovak Republic with UPOV/ Senior Officer, Department of Variety Testing, Central Controlling and Testing Institute in Agriculture (ÚKSÚP), Nitra (e</w:t>
      </w:r>
      <w:r w:rsidRPr="00293B75">
        <w:rPr>
          <w:rFonts w:cs="Arial"/>
          <w:lang w:val="fr-FR" w:eastAsia="zh-CN"/>
        </w:rPr>
        <w:noBreakHyphen/>
        <w:t>mail: bronislava.batorova@uksup.sk)</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SUISSE / SWITZERLAND / SCHWEIZ / SUIZA</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Manuela BRAND (Ms.), Plant Variety Rights Office, Federal Department of Economic Affairs Education and Research (EAER) Plant Health and Varieties, Federal Office for Agriculture FOAG, Bern</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manuela.brand@blw.admin.ch)</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TUNISIE / TUNISIA / TUNESIEN / TÚNEZ</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Tarek CHIBOUB, Directeur général, Direction générale de la protection et du contrôle de la qualité des produits agricoles, Ministère de l’agriculture, des ressources hydrauliques et de la pêche, Tunis</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tarechib@yahoo.fr)</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TURQUIE / TURKEY / TÜRKEI / TURQUÍA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Necati Cem AKTUZ, PBR Expert, Crop Production Directorate, Seed Department, Ministry of Food, Agriculture and Livestock, Ankara (e</w:t>
      </w:r>
      <w:r w:rsidRPr="00293B75">
        <w:rPr>
          <w:rFonts w:cs="Arial"/>
          <w:lang w:val="fr-FR" w:eastAsia="zh-CN"/>
        </w:rPr>
        <w:noBreakHyphen/>
        <w:t>mail: necaticem.aktuz@tarim.gov.tr)</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Ilknur YALVAÇ (Ms.), PBR Expert, General Directorate of Crop Production, Seed Department, Ministry of Food, Agriculture and Livestock, Ankara (e</w:t>
      </w:r>
      <w:r w:rsidRPr="00293B75">
        <w:rPr>
          <w:rFonts w:cs="Arial"/>
          <w:lang w:val="fr-FR" w:eastAsia="zh-CN"/>
        </w:rPr>
        <w:noBreakHyphen/>
        <w:t>mail: ilknur.yalvac@tarim.gov.tr)</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UNION EUROPÉENNE / EUROPEAN UNION / EUROPÄISCHE UNION / UNIÓN EUROPEA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H.E. Mr. Peter SØRENSEN, Ambassador, Head of the Delegation of the European Union to the United Nations in Geneva, Geneva</w:t>
      </w:r>
    </w:p>
    <w:p w:rsidR="005B5643" w:rsidRPr="00293B75" w:rsidRDefault="005B5643" w:rsidP="007005BA">
      <w:pPr>
        <w:jc w:val="left"/>
        <w:rPr>
          <w:rFonts w:cs="Arial"/>
          <w:lang w:val="fr-FR" w:eastAsia="zh-CN"/>
        </w:rPr>
      </w:pPr>
    </w:p>
    <w:p w:rsidR="005B5643" w:rsidRPr="00293B75" w:rsidRDefault="005B5643" w:rsidP="007005BA">
      <w:pPr>
        <w:widowControl w:val="0"/>
        <w:tabs>
          <w:tab w:val="left" w:pos="90"/>
        </w:tabs>
        <w:autoSpaceDE w:val="0"/>
        <w:autoSpaceDN w:val="0"/>
        <w:adjustRightInd w:val="0"/>
        <w:jc w:val="left"/>
        <w:rPr>
          <w:rFonts w:cs="Arial"/>
          <w:lang w:val="fr-FR" w:eastAsia="zh-CN"/>
        </w:rPr>
      </w:pPr>
      <w:r w:rsidRPr="00293B75">
        <w:rPr>
          <w:rFonts w:cs="Arial"/>
          <w:lang w:val="fr-FR" w:eastAsia="zh-CN"/>
        </w:rPr>
        <w:t>Oliver HALL</w:t>
      </w:r>
      <w:r w:rsidRPr="00293B75">
        <w:rPr>
          <w:rFonts w:cs="Arial"/>
          <w:lang w:val="fr-FR" w:eastAsia="zh-CN"/>
        </w:rPr>
        <w:noBreakHyphen/>
        <w:t>ALLEN, First Counsellor, Delegation of the European Union to the United Nations in Geneva, Geneva (e</w:t>
      </w:r>
      <w:r w:rsidRPr="00293B75">
        <w:rPr>
          <w:rFonts w:cs="Arial"/>
          <w:lang w:val="fr-FR" w:eastAsia="zh-CN"/>
        </w:rPr>
        <w:noBreakHyphen/>
        <w:t>mail: Oliver.Hall</w:t>
      </w:r>
      <w:r w:rsidRPr="00293B75">
        <w:rPr>
          <w:rFonts w:cs="Arial"/>
          <w:lang w:val="fr-FR" w:eastAsia="zh-CN"/>
        </w:rPr>
        <w:noBreakHyphen/>
        <w:t>Allen@eeas.europa.eu)</w:t>
      </w:r>
    </w:p>
    <w:p w:rsidR="005B5643" w:rsidRPr="00293B75" w:rsidRDefault="005B5643" w:rsidP="007005BA">
      <w:pPr>
        <w:widowControl w:val="0"/>
        <w:tabs>
          <w:tab w:val="left" w:pos="90"/>
        </w:tabs>
        <w:autoSpaceDE w:val="0"/>
        <w:autoSpaceDN w:val="0"/>
        <w:adjustRightInd w:val="0"/>
        <w:jc w:val="left"/>
        <w:rPr>
          <w:rFonts w:cs="Arial"/>
          <w:lang w:val="fr-FR" w:eastAsia="zh-CN"/>
        </w:rPr>
      </w:pPr>
    </w:p>
    <w:p w:rsidR="005B5643" w:rsidRPr="00293B75" w:rsidRDefault="005B5643" w:rsidP="007005BA">
      <w:pPr>
        <w:keepNext/>
        <w:jc w:val="left"/>
        <w:rPr>
          <w:rFonts w:cs="Arial"/>
          <w:lang w:val="fr-FR" w:eastAsia="zh-CN"/>
        </w:rPr>
      </w:pPr>
      <w:r w:rsidRPr="00293B75">
        <w:rPr>
          <w:rFonts w:cs="Arial"/>
          <w:lang w:val="fr-FR" w:eastAsia="zh-CN"/>
        </w:rPr>
        <w:t>Päivi MANNERKORPI (Mrs.), Head of Sector – Unit E2, Plant Reproductive Material, Direction Générale Santé et Protection des Consommateurs, Commission européenne (DG SANCO), Bruxelles</w:t>
      </w:r>
    </w:p>
    <w:p w:rsidR="005B5643" w:rsidRPr="00293B75" w:rsidRDefault="005B5643" w:rsidP="007005BA">
      <w:pPr>
        <w:keepNext/>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paivi.mannerkorpi@ec.europa.eu)</w:t>
      </w:r>
    </w:p>
    <w:p w:rsidR="005B5643" w:rsidRPr="00293B75" w:rsidRDefault="005B5643" w:rsidP="007005BA">
      <w:pPr>
        <w:keepNext/>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Isabelle CLEMENT</w:t>
      </w:r>
      <w:r w:rsidRPr="00293B75">
        <w:rPr>
          <w:rFonts w:cs="Arial"/>
          <w:lang w:val="fr-FR" w:eastAsia="zh-CN"/>
        </w:rPr>
        <w:noBreakHyphen/>
        <w:t>NISSOU (Mrs.), Policy Officer – Unité E2, Plant Reproductive Material Sector, Direction Générale Santé et Protection des Consommateurs, Commission européenne (DG SANCO), Bruxelles</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isabelle.clement</w:t>
      </w:r>
      <w:r w:rsidRPr="00293B75">
        <w:rPr>
          <w:rFonts w:cs="Arial"/>
          <w:lang w:val="fr-FR" w:eastAsia="zh-CN"/>
        </w:rPr>
        <w:noBreakHyphen/>
        <w:t>nissou@ec.europa.eu)</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Carlos GODINHO, Vice</w:t>
      </w:r>
      <w:r w:rsidRPr="00293B75">
        <w:rPr>
          <w:rFonts w:cs="Arial"/>
          <w:lang w:val="fr-FR" w:eastAsia="zh-CN"/>
        </w:rPr>
        <w:noBreakHyphen/>
        <w:t>President, Community Plant Variety Office (CPVO), Angers</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godinho@cpvo.europa.eu)</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Dirk THEOBALD, Head of the Technical Unit, Community Plant Variety Office (CPVO), Angers</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theobald@cpvo.europa.eu)</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Antonella ZAPPIA (Ms.), Intern, Delegation of the European Union to the United Nations in Geneva, Geneva (e</w:t>
      </w:r>
      <w:r w:rsidRPr="00293B75">
        <w:rPr>
          <w:rFonts w:cs="Arial"/>
          <w:lang w:val="fr-FR" w:eastAsia="zh-CN"/>
        </w:rPr>
        <w:noBreakHyphen/>
        <w:t>mail: Antonella.Zappia@eeas.europa.eu)</w:t>
      </w:r>
    </w:p>
    <w:p w:rsidR="005B5643" w:rsidRPr="00293B75" w:rsidRDefault="005B5643" w:rsidP="007005BA">
      <w:pPr>
        <w:keepNext/>
        <w:jc w:val="center"/>
        <w:rPr>
          <w:rFonts w:cs="Arial"/>
          <w:lang w:val="fr-FR" w:eastAsia="zh-CN"/>
        </w:rPr>
      </w:pPr>
      <w:r w:rsidRPr="00293B75">
        <w:rPr>
          <w:rFonts w:cs="Arial"/>
          <w:lang w:val="fr-FR" w:eastAsia="zh-CN"/>
        </w:rPr>
        <w:t>II. OBSERVATEURS / OBSERVERS / BEOBACHTER / OBSERVADORES</w:t>
      </w:r>
    </w:p>
    <w:p w:rsidR="005B5643" w:rsidRPr="00293B75" w:rsidRDefault="005B5643" w:rsidP="007005BA">
      <w:pPr>
        <w:keepNext/>
        <w:jc w:val="left"/>
        <w:rPr>
          <w:rFonts w:cs="Arial"/>
          <w:lang w:val="fr-FR" w:eastAsia="zh-CN"/>
        </w:rPr>
      </w:pPr>
    </w:p>
    <w:p w:rsidR="005B5643" w:rsidRPr="00293B75" w:rsidRDefault="005B5643" w:rsidP="007005BA">
      <w:pPr>
        <w:keepNext/>
        <w:jc w:val="left"/>
        <w:rPr>
          <w:rFonts w:cs="Arial"/>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ÉGYPTE / EGYPT / ÄGYPTEN / EGIPTO</w:t>
      </w:r>
    </w:p>
    <w:p w:rsidR="005B5643" w:rsidRPr="00293B75" w:rsidRDefault="005B5643" w:rsidP="007005BA">
      <w:pPr>
        <w:keepNext/>
        <w:jc w:val="left"/>
        <w:rPr>
          <w:rFonts w:cs="Arial"/>
          <w:lang w:val="fr-FR" w:eastAsia="zh-CN"/>
        </w:rPr>
      </w:pPr>
    </w:p>
    <w:p w:rsidR="005B5643" w:rsidRPr="00293B75" w:rsidRDefault="005B5643" w:rsidP="007005BA">
      <w:pPr>
        <w:keepNext/>
        <w:jc w:val="left"/>
        <w:rPr>
          <w:rFonts w:cs="Arial"/>
          <w:lang w:val="fr-FR" w:eastAsia="zh-CN"/>
        </w:rPr>
      </w:pPr>
      <w:r w:rsidRPr="00293B75">
        <w:rPr>
          <w:rFonts w:cs="Arial"/>
          <w:lang w:val="fr-FR" w:eastAsia="zh-CN"/>
        </w:rPr>
        <w:t>Ahmed AGIBA, Head of CASC – Under Secretary of the Ministry of Agriculture, Agricultural</w:t>
      </w:r>
    </w:p>
    <w:p w:rsidR="005B5643" w:rsidRPr="00293B75" w:rsidRDefault="005B5643" w:rsidP="007005BA">
      <w:pPr>
        <w:jc w:val="left"/>
        <w:rPr>
          <w:rFonts w:cs="Arial"/>
          <w:lang w:val="fr-FR" w:eastAsia="zh-CN"/>
        </w:rPr>
      </w:pPr>
      <w:r w:rsidRPr="00293B75">
        <w:rPr>
          <w:rFonts w:cs="Arial"/>
          <w:lang w:val="fr-FR" w:eastAsia="zh-CN"/>
        </w:rPr>
        <w:t>Services Sector, Ministry of Agriculture &amp; Land Reclamation, Central Administration for Seed</w:t>
      </w:r>
    </w:p>
    <w:p w:rsidR="005B5643" w:rsidRPr="00293B75" w:rsidRDefault="005B5643" w:rsidP="007005BA">
      <w:pPr>
        <w:jc w:val="left"/>
        <w:rPr>
          <w:rFonts w:cs="Arial"/>
          <w:lang w:val="fr-FR" w:eastAsia="zh-CN"/>
        </w:rPr>
      </w:pPr>
      <w:r w:rsidRPr="00293B75">
        <w:rPr>
          <w:rFonts w:cs="Arial"/>
          <w:lang w:val="fr-FR" w:eastAsia="zh-CN"/>
        </w:rPr>
        <w:t>Testing and Certification (CASC), Giza (e</w:t>
      </w:r>
      <w:r w:rsidRPr="00293B75">
        <w:rPr>
          <w:rFonts w:cs="Arial"/>
          <w:lang w:val="fr-FR" w:eastAsia="zh-CN"/>
        </w:rPr>
        <w:noBreakHyphen/>
        <w:t>mail: casc.egypt@hotmail.com)</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Saad NASSAR, Head of Working Group Review, Formulation Policies and Agricultural</w:t>
      </w:r>
    </w:p>
    <w:p w:rsidR="005B5643" w:rsidRPr="00293B75" w:rsidRDefault="005B5643" w:rsidP="007005BA">
      <w:pPr>
        <w:jc w:val="left"/>
        <w:rPr>
          <w:rFonts w:cs="Arial"/>
          <w:lang w:val="fr-FR" w:eastAsia="zh-CN"/>
        </w:rPr>
      </w:pPr>
      <w:r w:rsidRPr="00293B75">
        <w:rPr>
          <w:rFonts w:cs="Arial"/>
          <w:lang w:val="fr-FR" w:eastAsia="zh-CN"/>
        </w:rPr>
        <w:t>Legislations, Ministry of Agriculture and Land Reclamation, Giza (e</w:t>
      </w:r>
      <w:r w:rsidRPr="00293B75">
        <w:rPr>
          <w:rFonts w:cs="Arial"/>
          <w:lang w:val="fr-FR" w:eastAsia="zh-CN"/>
        </w:rPr>
        <w:noBreakHyphen/>
        <w:t>mail: Casc.egypt@hotmail.com)</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Samy Hamed EL DEIB SALLAM, Head, Technical Secretary of Variety Registration Committee,</w:t>
      </w:r>
    </w:p>
    <w:p w:rsidR="005B5643" w:rsidRPr="00293B75" w:rsidRDefault="005B5643" w:rsidP="007005BA">
      <w:pPr>
        <w:jc w:val="left"/>
        <w:rPr>
          <w:rFonts w:cs="Arial"/>
          <w:lang w:val="fr-FR" w:eastAsia="zh-CN"/>
        </w:rPr>
      </w:pPr>
      <w:r w:rsidRPr="00293B75">
        <w:rPr>
          <w:rFonts w:cs="Arial"/>
          <w:lang w:val="fr-FR" w:eastAsia="zh-CN"/>
        </w:rPr>
        <w:t>Central Administration for Seed Certification (CASC), Giza (e</w:t>
      </w:r>
      <w:r w:rsidRPr="00293B75">
        <w:rPr>
          <w:rFonts w:cs="Arial"/>
          <w:lang w:val="fr-FR" w:eastAsia="zh-CN"/>
        </w:rPr>
        <w:noBreakHyphen/>
        <w:t>mail: sllamsamy@yahoo.com)</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p>
    <w:p w:rsidR="005B5643" w:rsidRPr="00293B75" w:rsidRDefault="005B5643" w:rsidP="007005BA">
      <w:pPr>
        <w:jc w:val="center"/>
        <w:rPr>
          <w:rFonts w:cs="Arial"/>
          <w:lang w:val="fr-FR" w:eastAsia="zh-CN"/>
        </w:rPr>
      </w:pPr>
      <w:r w:rsidRPr="00293B75">
        <w:rPr>
          <w:rFonts w:cs="Arial"/>
          <w:lang w:val="fr-FR" w:eastAsia="zh-CN"/>
        </w:rPr>
        <w:t>III. ORGANISATIONS / ORGANIZATIONS / ORGANISATIONEN / ORGANIZACIONES</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ASSOCIATION FOR PLANT BREEDING FOR THE BENEFIT OF SOCIETY (APBREBES)</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Susanne GURA (Ms.), APBREBES Coordinator, Bonn (e</w:t>
      </w:r>
      <w:r w:rsidRPr="00293B75">
        <w:rPr>
          <w:rFonts w:cs="Arial"/>
          <w:lang w:val="fr-FR" w:eastAsia="zh-CN"/>
        </w:rPr>
        <w:noBreakHyphen/>
        <w:t>mail: gura@dinse.net)</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COMMUNAUTÉ INTERNATIONALE DES OBTENTEURS DE PLANTES ORNEMENTALES ET FRUITIÈRES À REPRODUCTION ASEXUÉE (CIOPORA) / INTERNATIONAL COMMUNITY  OF BREEDERS OF ASEXUALLY REPRODUCED ORNAMENTAL AND FRUIT PLANTS (CIOPORA) /</w:t>
      </w:r>
    </w:p>
    <w:p w:rsidR="005B5643" w:rsidRPr="00293B75" w:rsidRDefault="005B5643" w:rsidP="007005BA">
      <w:pPr>
        <w:jc w:val="left"/>
        <w:rPr>
          <w:rFonts w:cs="Arial"/>
          <w:u w:val="single"/>
          <w:lang w:val="fr-FR" w:eastAsia="zh-CN"/>
        </w:rPr>
      </w:pPr>
      <w:r w:rsidRPr="00293B75">
        <w:rPr>
          <w:rFonts w:cs="Arial"/>
          <w:u w:val="single"/>
          <w:lang w:val="fr-FR" w:eastAsia="zh-CN"/>
        </w:rPr>
        <w:t>INTERNATIONALE GEMEINSCHAFT DER ZÜCHTER VEGETATIV VERMEHRBARER ZIERUND OBSTPFLANZEN (CIOPORA) / COMUNIDAD INTERNACIONAL DE OBTENTORES DE VARIEDADES ORNAMENTALES Y FRUTALES DE REPRODUCCIÓN ASEXUADA (CIOPORA)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Edgar KRIEGER, Secretary General, International Community of Breeders of Asexually Reproduced Ornamental and Fruit Plants (CIOPORA), Hamburg, Germany (e</w:t>
      </w:r>
      <w:r w:rsidRPr="00293B75">
        <w:rPr>
          <w:rFonts w:cs="Arial"/>
          <w:lang w:val="fr-FR" w:eastAsia="zh-CN"/>
        </w:rPr>
        <w:noBreakHyphen/>
        <w:t>mail: edgar.krieger@ciopora.org)</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Yael Victoria MIARA (Mrs.), IPR Manager, Grapa Varieties Ltd, Zichron Yaakov</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vered@grapaes.com)</w:t>
      </w:r>
    </w:p>
    <w:p w:rsidR="005B5643" w:rsidRPr="00293B75" w:rsidRDefault="005B5643" w:rsidP="007005BA">
      <w:pPr>
        <w:jc w:val="left"/>
        <w:rPr>
          <w:rFonts w:cs="Arial"/>
          <w:lang w:val="fr-FR" w:eastAsia="zh-CN"/>
        </w:rPr>
      </w:pPr>
    </w:p>
    <w:p w:rsidR="005B5643" w:rsidRPr="00293B75" w:rsidRDefault="005B5643" w:rsidP="007005BA">
      <w:pPr>
        <w:keepNext/>
        <w:jc w:val="left"/>
        <w:rPr>
          <w:rFonts w:cs="Arial"/>
          <w:u w:val="single"/>
          <w:lang w:val="fr-FR" w:eastAsia="zh-CN"/>
        </w:rPr>
      </w:pPr>
      <w:r w:rsidRPr="00293B75">
        <w:rPr>
          <w:rFonts w:cs="Arial"/>
          <w:u w:val="single"/>
          <w:lang w:val="fr-FR" w:eastAsia="zh-CN"/>
        </w:rPr>
        <w:t>CROPLIFE INTERNATIONAL</w:t>
      </w:r>
    </w:p>
    <w:p w:rsidR="005B5643" w:rsidRPr="00293B75" w:rsidRDefault="005B5643" w:rsidP="007005BA">
      <w:pPr>
        <w:keepNext/>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Marcel BRUINS, Consultant, CropLife International, Bruxelles (e</w:t>
      </w:r>
      <w:r w:rsidRPr="00293B75">
        <w:rPr>
          <w:rFonts w:cs="Arial"/>
          <w:lang w:val="fr-FR" w:eastAsia="zh-CN"/>
        </w:rPr>
        <w:noBreakHyphen/>
        <w:t>mail: mbruins1964@gmail.com)</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EUROPEAN SEED ASSOCIATION (ESA)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Bert SCHOLTE, Technical Director, Bruxelles (email: bertscholte@euroseeds.eu)</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Christiane DUCHENE (Mrs.), IP and Seed Regulation Director, Limagrain, Bruxelles</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christiane.duchene@limagrain.com)</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INTERNATIONAL SEED FEDERATION (ISF)</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Michael KELLER, Secretary General, Nyon (e</w:t>
      </w:r>
      <w:r w:rsidRPr="00293B75">
        <w:rPr>
          <w:rFonts w:cs="Arial"/>
          <w:lang w:val="fr-FR" w:eastAsia="zh-CN"/>
        </w:rPr>
        <w:noBreakHyphen/>
        <w:t>mail: m.keller@worldseed.org)</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Stevan MADJARAC, Representative, American Seed Trade Association (ASTA), Alexandria, Virginia, United States of America (e</w:t>
      </w:r>
      <w:r w:rsidRPr="00293B75">
        <w:rPr>
          <w:rFonts w:cs="Arial"/>
          <w:lang w:val="fr-FR" w:eastAsia="zh-CN"/>
        </w:rPr>
        <w:noBreakHyphen/>
        <w:t>mail: smadjarac@gmail.com)</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lang w:val="fr-FR" w:eastAsia="zh-CN"/>
        </w:rPr>
      </w:pPr>
      <w:r w:rsidRPr="00293B75">
        <w:rPr>
          <w:rFonts w:cs="Arial"/>
          <w:lang w:val="fr-FR" w:eastAsia="zh-CN"/>
        </w:rPr>
        <w:t>Paul NELSON, Co</w:t>
      </w:r>
      <w:r w:rsidRPr="00293B75">
        <w:rPr>
          <w:rFonts w:cs="Arial"/>
          <w:lang w:val="fr-FR" w:eastAsia="zh-CN"/>
        </w:rPr>
        <w:noBreakHyphen/>
        <w:t>Chair, ASTA/US PVPO Joint Molecular Marker Group, Alexandria, Virginia, United States of America (e</w:t>
      </w:r>
      <w:r w:rsidRPr="00293B75">
        <w:rPr>
          <w:rFonts w:cs="Arial"/>
          <w:lang w:val="fr-FR" w:eastAsia="zh-CN"/>
        </w:rPr>
        <w:noBreakHyphen/>
        <w:t>mail: ptnels@monsanto.com)</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Astrid M. SCHENKEVELD (Mrs.), Specialist, Variety Registration and Protection. Rijk Zwaan Zaadteelt en Zaadhandel B. V., De Lier, Netherlands (e</w:t>
      </w:r>
      <w:r w:rsidRPr="00293B75">
        <w:rPr>
          <w:rFonts w:cs="Arial"/>
          <w:lang w:val="fr-FR" w:eastAsia="zh-CN"/>
        </w:rPr>
        <w:noBreakHyphen/>
        <w:t>mail: a.schenkeveld@rijkzwann.nl)</w:t>
      </w:r>
    </w:p>
    <w:p w:rsidR="005B5643" w:rsidRPr="00293B75" w:rsidRDefault="005B5643" w:rsidP="007005BA">
      <w:pPr>
        <w:jc w:val="left"/>
        <w:rPr>
          <w:rFonts w:cs="Arial"/>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br w:type="page"/>
      </w:r>
    </w:p>
    <w:p w:rsidR="005B5643" w:rsidRPr="00293B75" w:rsidRDefault="005B5643" w:rsidP="007005BA">
      <w:pPr>
        <w:jc w:val="left"/>
        <w:rPr>
          <w:rFonts w:cs="Arial"/>
          <w:u w:val="single"/>
          <w:lang w:val="fr-FR" w:eastAsia="zh-CN"/>
        </w:rPr>
      </w:pPr>
      <w:r w:rsidRPr="00293B75">
        <w:rPr>
          <w:rFonts w:cs="Arial"/>
          <w:u w:val="single"/>
          <w:lang w:val="fr-FR" w:eastAsia="zh-CN"/>
        </w:rPr>
        <w:t>ORGANISATION DE COOPÉRATION ET DE DÉVELOPPEMENT ÉCONOMIQUES (OCDE) / ORGANISATION FOR ECONOMIC CO</w:t>
      </w:r>
      <w:r w:rsidRPr="00293B75">
        <w:rPr>
          <w:rFonts w:cs="Arial"/>
          <w:u w:val="single"/>
          <w:lang w:val="fr-FR" w:eastAsia="zh-CN"/>
        </w:rPr>
        <w:noBreakHyphen/>
        <w:t>OPERATION AND DEVELOPMENT (OECD) / ORGANISATION FÜR WIRTSCHAFTLICHE ZUSAMMENARBEIT UND ENTWICKLUNG (OECD) / ORGANIZACIÓN DE COOPERACIÓN Y DESARROLLO ECONÓMICOS (OECD)</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Csaba GASPAR, Programme Manager, OECD Seed Schemes &amp; OECD Forest Seed and Plant Scheme, Organisation for Economic Co</w:t>
      </w:r>
      <w:r w:rsidRPr="00293B75">
        <w:rPr>
          <w:rFonts w:cs="Arial"/>
          <w:lang w:val="fr-FR" w:eastAsia="zh-CN"/>
        </w:rPr>
        <w:noBreakHyphen/>
        <w:t>operation and Development (OECD), Paris</w:t>
      </w:r>
    </w:p>
    <w:p w:rsidR="005B5643" w:rsidRPr="00293B75" w:rsidRDefault="005B5643" w:rsidP="007005BA">
      <w:pPr>
        <w:jc w:val="left"/>
        <w:rPr>
          <w:rFonts w:cs="Arial"/>
          <w:lang w:val="fr-FR" w:eastAsia="zh-CN"/>
        </w:rPr>
      </w:pPr>
      <w:r w:rsidRPr="00293B75">
        <w:rPr>
          <w:rFonts w:cs="Arial"/>
          <w:lang w:val="fr-FR" w:eastAsia="zh-CN"/>
        </w:rPr>
        <w:t>(</w:t>
      </w:r>
      <w:proofErr w:type="gramStart"/>
      <w:r w:rsidRPr="00293B75">
        <w:rPr>
          <w:rFonts w:cs="Arial"/>
          <w:lang w:val="fr-FR" w:eastAsia="zh-CN"/>
        </w:rPr>
        <w:t>e</w:t>
      </w:r>
      <w:r w:rsidRPr="00293B75">
        <w:rPr>
          <w:rFonts w:cs="Arial"/>
          <w:lang w:val="fr-FR" w:eastAsia="zh-CN"/>
        </w:rPr>
        <w:noBreakHyphen/>
        <w:t>mail</w:t>
      </w:r>
      <w:proofErr w:type="gramEnd"/>
      <w:r w:rsidRPr="00293B75">
        <w:rPr>
          <w:rFonts w:cs="Arial"/>
          <w:lang w:val="fr-FR" w:eastAsia="zh-CN"/>
        </w:rPr>
        <w:t>: csaba.gaspar@oecd.org)</w:t>
      </w:r>
    </w:p>
    <w:p w:rsidR="005B5643" w:rsidRPr="00293B75" w:rsidRDefault="005B5643" w:rsidP="007005BA">
      <w:pPr>
        <w:jc w:val="left"/>
        <w:rPr>
          <w:rFonts w:cs="Arial"/>
          <w:u w:val="single"/>
          <w:lang w:val="fr-FR" w:eastAsia="zh-CN"/>
        </w:rPr>
      </w:pPr>
    </w:p>
    <w:p w:rsidR="005B5643" w:rsidRPr="00293B75" w:rsidRDefault="005B5643" w:rsidP="007005BA">
      <w:pPr>
        <w:jc w:val="left"/>
        <w:rPr>
          <w:rFonts w:cs="Arial"/>
          <w:u w:val="single"/>
          <w:lang w:val="fr-FR" w:eastAsia="zh-CN"/>
        </w:rPr>
      </w:pPr>
      <w:r w:rsidRPr="00293B75">
        <w:rPr>
          <w:rFonts w:cs="Arial"/>
          <w:u w:val="single"/>
          <w:lang w:val="fr-FR" w:eastAsia="zh-CN"/>
        </w:rPr>
        <w:t>SEED ASSOCIATION OF THE AMERICAS (SAA)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Diego RISSO, Secretary General, Montevideo (e</w:t>
      </w:r>
      <w:r w:rsidRPr="00293B75">
        <w:rPr>
          <w:rFonts w:cs="Arial"/>
          <w:lang w:val="fr-FR" w:eastAsia="zh-CN"/>
        </w:rPr>
        <w:noBreakHyphen/>
        <w:t>mail: drisso@saaseed.org)</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p>
    <w:p w:rsidR="005B5643" w:rsidRPr="00293B75" w:rsidRDefault="005B5643" w:rsidP="007005BA">
      <w:pPr>
        <w:keepNext/>
        <w:adjustRightInd w:val="0"/>
        <w:jc w:val="center"/>
        <w:rPr>
          <w:rFonts w:cs="Arial"/>
          <w:u w:val="single"/>
          <w:lang w:val="fr-FR"/>
        </w:rPr>
      </w:pPr>
      <w:r w:rsidRPr="00293B75">
        <w:rPr>
          <w:rFonts w:cs="Arial"/>
          <w:lang w:val="fr-FR"/>
        </w:rPr>
        <w:t>VI.</w:t>
      </w:r>
      <w:r w:rsidRPr="00293B75">
        <w:rPr>
          <w:rFonts w:cs="Arial"/>
          <w:lang w:val="fr-FR"/>
        </w:rPr>
        <w:tab/>
      </w:r>
      <w:r w:rsidRPr="00293B75">
        <w:rPr>
          <w:rFonts w:cs="Arial"/>
          <w:u w:val="single"/>
          <w:lang w:val="fr-FR"/>
        </w:rPr>
        <w:t>BUREAU DE L’UPOV / OFFICE OF UPOV / BÜRO DER UPOV / OFICINA DE LA UPOV</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Peter BUTTON, Vice Secretary</w:t>
      </w:r>
      <w:r w:rsidRPr="00293B75">
        <w:rPr>
          <w:rFonts w:cs="Arial"/>
          <w:lang w:val="fr-FR" w:eastAsia="zh-CN"/>
        </w:rPr>
        <w:noBreakHyphen/>
        <w:t>General</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Yolanda HUERTA (Ms.), Legal Counsel</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Jun KOIDE, Technical/Regional Officer (Asia)</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Ben RIVOIRE, Technical/Regional Officer (Africa, Arab Countries)</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Leontino TAVEIRA, Technical/Regional Officer (Latin America, Caribbean)</w:t>
      </w:r>
    </w:p>
    <w:p w:rsidR="005B5643" w:rsidRPr="00293B75" w:rsidRDefault="005B5643" w:rsidP="007005BA">
      <w:pPr>
        <w:jc w:val="left"/>
        <w:rPr>
          <w:rFonts w:cs="Arial"/>
          <w:lang w:val="fr-FR" w:eastAsia="zh-CN"/>
        </w:rPr>
      </w:pPr>
    </w:p>
    <w:p w:rsidR="005B5643" w:rsidRPr="00293B75" w:rsidRDefault="005B5643" w:rsidP="007005BA">
      <w:pPr>
        <w:jc w:val="left"/>
        <w:rPr>
          <w:rFonts w:cs="Arial"/>
          <w:lang w:val="fr-FR" w:eastAsia="zh-CN"/>
        </w:rPr>
      </w:pPr>
      <w:r w:rsidRPr="00293B75">
        <w:rPr>
          <w:rFonts w:cs="Arial"/>
          <w:lang w:val="fr-FR" w:eastAsia="zh-CN"/>
        </w:rPr>
        <w:t>Romy OERTEL (Ms.), Secretary II</w:t>
      </w:r>
    </w:p>
    <w:p w:rsidR="005B5643" w:rsidRPr="00293B75" w:rsidRDefault="005B5643" w:rsidP="007005BA">
      <w:pPr>
        <w:jc w:val="left"/>
        <w:rPr>
          <w:lang w:val="fr-FR"/>
        </w:rPr>
      </w:pPr>
    </w:p>
    <w:p w:rsidR="005B5643" w:rsidRPr="00293B75" w:rsidRDefault="005B5643" w:rsidP="007005BA">
      <w:pPr>
        <w:pStyle w:val="Header"/>
        <w:jc w:val="left"/>
      </w:pPr>
    </w:p>
    <w:p w:rsidR="005B5643" w:rsidRPr="00293B75" w:rsidRDefault="005B5643" w:rsidP="007005BA">
      <w:pPr>
        <w:keepNext/>
        <w:jc w:val="left"/>
        <w:rPr>
          <w:lang w:val="fr-FR"/>
        </w:rPr>
      </w:pPr>
    </w:p>
    <w:p w:rsidR="005B5643" w:rsidRPr="00293B75" w:rsidRDefault="005B5643" w:rsidP="007005BA">
      <w:pPr>
        <w:keepNext/>
        <w:jc w:val="right"/>
        <w:rPr>
          <w:lang w:val="fr-FR"/>
        </w:rPr>
      </w:pPr>
      <w:r w:rsidRPr="00293B75">
        <w:rPr>
          <w:lang w:val="fr-FR"/>
        </w:rPr>
        <w:t>[L’annexe II suit/</w:t>
      </w:r>
    </w:p>
    <w:p w:rsidR="00111ED3" w:rsidRPr="00293B75" w:rsidRDefault="00111ED3" w:rsidP="007005BA">
      <w:pPr>
        <w:keepNext/>
        <w:jc w:val="right"/>
        <w:rPr>
          <w:lang w:val="fr-FR"/>
        </w:rPr>
      </w:pPr>
      <w:r w:rsidRPr="00293B75">
        <w:rPr>
          <w:lang w:val="fr-FR"/>
        </w:rPr>
        <w:t>Annex II follows/</w:t>
      </w:r>
    </w:p>
    <w:p w:rsidR="00111ED3" w:rsidRPr="00293B75" w:rsidRDefault="00111ED3" w:rsidP="007005BA">
      <w:pPr>
        <w:keepNext/>
        <w:jc w:val="right"/>
        <w:rPr>
          <w:lang w:val="fr-FR"/>
        </w:rPr>
      </w:pPr>
      <w:r w:rsidRPr="00293B75">
        <w:rPr>
          <w:lang w:val="fr-FR"/>
        </w:rPr>
        <w:t>Anlage II folgt/</w:t>
      </w:r>
    </w:p>
    <w:p w:rsidR="00111ED3" w:rsidRPr="00293B75" w:rsidRDefault="00111ED3" w:rsidP="007005BA">
      <w:pPr>
        <w:keepNext/>
        <w:jc w:val="right"/>
        <w:rPr>
          <w:lang w:val="fr-FR"/>
        </w:rPr>
      </w:pPr>
      <w:r w:rsidRPr="00293B75">
        <w:rPr>
          <w:lang w:val="fr-FR"/>
        </w:rPr>
        <w:t>Sigue el Anexo II]</w:t>
      </w:r>
    </w:p>
    <w:p w:rsidR="00111ED3" w:rsidRPr="00293B75" w:rsidRDefault="00111ED3" w:rsidP="007005BA">
      <w:pPr>
        <w:keepNext/>
        <w:jc w:val="right"/>
        <w:rPr>
          <w:rFonts w:cstheme="majorHAnsi"/>
          <w:lang w:val="fr-FR"/>
        </w:rPr>
        <w:sectPr w:rsidR="00111ED3" w:rsidRPr="00293B75" w:rsidSect="00FE442F">
          <w:headerReference w:type="default" r:id="rId16"/>
          <w:footerReference w:type="first" r:id="rId17"/>
          <w:pgSz w:w="11907" w:h="16840" w:code="9"/>
          <w:pgMar w:top="510" w:right="1134" w:bottom="1134" w:left="1134" w:header="510" w:footer="680" w:gutter="0"/>
          <w:pgNumType w:start="1"/>
          <w:cols w:space="720"/>
          <w:titlePg/>
          <w:docGrid w:linePitch="272"/>
        </w:sectPr>
      </w:pPr>
    </w:p>
    <w:p w:rsidR="00111ED3" w:rsidRPr="00293B75" w:rsidRDefault="00111ED3" w:rsidP="007005BA">
      <w:pPr>
        <w:jc w:val="center"/>
        <w:rPr>
          <w:rFonts w:cs="Arial"/>
          <w:bCs/>
          <w:snapToGrid w:val="0"/>
          <w:lang w:val="fr-FR"/>
        </w:rPr>
      </w:pPr>
      <w:r w:rsidRPr="00293B75">
        <w:rPr>
          <w:rFonts w:cs="Arial"/>
          <w:bCs/>
          <w:snapToGrid w:val="0"/>
          <w:lang w:val="fr-FR"/>
        </w:rPr>
        <w:t>MODIFICATIONS PROPOSÉES AUX PROJETS DE PRINCIPES DIRECTEURS D’EXAMEN</w:t>
      </w:r>
      <w:r w:rsidRPr="00293B75">
        <w:rPr>
          <w:rFonts w:cs="Arial"/>
          <w:bCs/>
          <w:snapToGrid w:val="0"/>
          <w:lang w:val="fr-FR"/>
        </w:rPr>
        <w:br/>
        <w:t>AVANT LEUR ADOPTION À LA CINQUANTE ET UNIÈME SESSION</w:t>
      </w:r>
      <w:r w:rsidRPr="00293B75">
        <w:rPr>
          <w:rFonts w:cs="Arial"/>
          <w:bCs/>
          <w:snapToGrid w:val="0"/>
          <w:lang w:val="fr-FR"/>
        </w:rPr>
        <w:br/>
        <w:t>DU COMITÉ TECHNIQUE (TC)</w:t>
      </w:r>
    </w:p>
    <w:p w:rsidR="00111ED3" w:rsidRPr="00293B75" w:rsidRDefault="00111ED3" w:rsidP="007005BA">
      <w:pPr>
        <w:rPr>
          <w:snapToGrid w:val="0"/>
          <w:lang w:val="fr-FR"/>
        </w:rPr>
      </w:pPr>
    </w:p>
    <w:p w:rsidR="00111ED3" w:rsidRPr="00293B75" w:rsidRDefault="00111ED3" w:rsidP="007005BA">
      <w:pPr>
        <w:rPr>
          <w:snapToGrid w:val="0"/>
          <w:lang w:val="fr-FR"/>
        </w:rPr>
      </w:pPr>
    </w:p>
    <w:p w:rsidR="00111ED3" w:rsidRPr="00293B75" w:rsidRDefault="00111ED3" w:rsidP="007005BA">
      <w:pPr>
        <w:rPr>
          <w:snapToGrid w:val="0"/>
          <w:lang w:val="fr-FR"/>
        </w:rPr>
      </w:pPr>
      <w:r w:rsidRPr="00293B75">
        <w:rPr>
          <w:snapToGrid w:val="0"/>
          <w:lang w:val="fr-FR"/>
        </w:rPr>
        <w:t>1.</w:t>
      </w:r>
      <w:r w:rsidRPr="00293B75">
        <w:rPr>
          <w:snapToGrid w:val="0"/>
          <w:lang w:val="fr-FR"/>
        </w:rPr>
        <w:tab/>
        <w:t>RÉVISIONS PARTIELLES</w:t>
      </w:r>
    </w:p>
    <w:p w:rsidR="00111ED3" w:rsidRPr="00293B75" w:rsidRDefault="00111ED3" w:rsidP="007005BA">
      <w:pPr>
        <w:rPr>
          <w:rFonts w:cs="Arial"/>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93B75" w:rsidRPr="00293B75" w:rsidTr="00111ED3">
        <w:trPr>
          <w:cantSplit/>
          <w:jc w:val="center"/>
        </w:trPr>
        <w:tc>
          <w:tcPr>
            <w:tcW w:w="9670" w:type="dxa"/>
            <w:shd w:val="clear" w:color="auto" w:fill="D9D9D9"/>
            <w:vAlign w:val="center"/>
          </w:tcPr>
          <w:p w:rsidR="00111ED3" w:rsidRPr="00293B75" w:rsidRDefault="00111ED3" w:rsidP="007005BA">
            <w:pPr>
              <w:pStyle w:val="BodyText"/>
              <w:keepNext/>
              <w:tabs>
                <w:tab w:val="left" w:pos="1849"/>
              </w:tabs>
              <w:ind w:left="1803" w:hanging="1803"/>
              <w:jc w:val="left"/>
              <w:rPr>
                <w:rFonts w:cs="Arial"/>
                <w:b/>
                <w:iCs/>
                <w:lang w:val="fr-FR"/>
              </w:rPr>
            </w:pPr>
            <w:r w:rsidRPr="00293B75">
              <w:rPr>
                <w:rFonts w:cs="Arial"/>
                <w:b/>
                <w:iCs/>
                <w:lang w:val="fr-FR"/>
              </w:rPr>
              <w:t>TC/51/26</w:t>
            </w:r>
            <w:r w:rsidRPr="00293B75">
              <w:rPr>
                <w:rFonts w:cs="Arial"/>
                <w:iCs/>
                <w:lang w:val="fr-FR"/>
              </w:rPr>
              <w:tab/>
            </w:r>
            <w:r w:rsidRPr="00293B75">
              <w:rPr>
                <w:rFonts w:cs="Arial"/>
                <w:b/>
                <w:iCs/>
                <w:lang w:val="fr-FR"/>
              </w:rPr>
              <w:t>Révision partielle des principes directeurs d’examen du concombre (document</w:t>
            </w:r>
            <w:r w:rsidRPr="00293B75">
              <w:rPr>
                <w:rFonts w:cs="Arial"/>
                <w:iCs/>
                <w:lang w:val="fr-FR"/>
              </w:rPr>
              <w:t xml:space="preserve"> </w:t>
            </w:r>
            <w:r w:rsidRPr="00293B75">
              <w:rPr>
                <w:rFonts w:cs="Arial"/>
                <w:b/>
                <w:iCs/>
                <w:lang w:val="fr-FR"/>
              </w:rPr>
              <w:t>TG/61/7 Rev.)</w:t>
            </w:r>
          </w:p>
        </w:tc>
      </w:tr>
    </w:tbl>
    <w:p w:rsidR="00111ED3" w:rsidRPr="00293B75" w:rsidRDefault="00111ED3" w:rsidP="007005BA">
      <w:pPr>
        <w:keepNext/>
        <w:jc w:val="center"/>
        <w:rPr>
          <w:rFonts w:cs="Arial"/>
          <w:b/>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 Le tableau ci</w:t>
      </w:r>
      <w:r w:rsidRPr="00293B75">
        <w:rPr>
          <w:rFonts w:cs="Arial"/>
          <w:lang w:val="fr-FR"/>
        </w:rPr>
        <w:noBreakHyphen/>
        <w:t>après contient les observations formulées par le Comité de rédaction élargi à sa réunion les 7 et 8 janvier 2015.</w:t>
      </w:r>
      <w:r w:rsidRPr="00293B75">
        <w:rPr>
          <w:lang w:val="fr-FR"/>
        </w:rPr>
        <w:t xml:space="preserve"> </w:t>
      </w:r>
      <w:r w:rsidRPr="00293B75">
        <w:rPr>
          <w:rFonts w:cs="Arial"/>
          <w:lang w:val="fr-FR"/>
        </w:rPr>
        <w:t xml:space="preserve"> Sauf indication contraire, toutes ces observations figurent déjà dans le document TC/51/26, qui a été soumis au TC :</w:t>
      </w:r>
    </w:p>
    <w:p w:rsidR="00111ED3" w:rsidRPr="00293B75" w:rsidRDefault="00111ED3" w:rsidP="007005BA">
      <w:pPr>
        <w:keepNext/>
        <w:jc w:val="center"/>
        <w:rPr>
          <w:rFonts w:cs="Arial"/>
          <w:b/>
          <w:bCs/>
          <w:snapToGrid w:val="0"/>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293B75" w:rsidRPr="00293B75" w:rsidTr="00111ED3">
        <w:tc>
          <w:tcPr>
            <w:tcW w:w="1573" w:type="dxa"/>
          </w:tcPr>
          <w:p w:rsidR="00111ED3" w:rsidRPr="00293B75" w:rsidRDefault="00111ED3" w:rsidP="007005BA">
            <w:pPr>
              <w:jc w:val="left"/>
              <w:rPr>
                <w:rFonts w:cs="Arial"/>
                <w:lang w:val="fr-FR"/>
              </w:rPr>
            </w:pPr>
            <w:r w:rsidRPr="00293B75">
              <w:rPr>
                <w:rFonts w:cs="Arial"/>
                <w:lang w:val="fr-FR"/>
              </w:rPr>
              <w:t>car. 51</w:t>
            </w:r>
          </w:p>
        </w:tc>
        <w:tc>
          <w:tcPr>
            <w:tcW w:w="8354" w:type="dxa"/>
          </w:tcPr>
          <w:p w:rsidR="00111ED3" w:rsidRPr="00293B75" w:rsidRDefault="00111ED3" w:rsidP="007005BA">
            <w:pPr>
              <w:pStyle w:val="Default"/>
              <w:rPr>
                <w:color w:val="auto"/>
                <w:sz w:val="20"/>
                <w:szCs w:val="20"/>
                <w:lang w:val="fr-FR"/>
              </w:rPr>
            </w:pPr>
            <w:r w:rsidRPr="00293B75">
              <w:rPr>
                <w:rStyle w:val="Standaardalinea-lettertype"/>
                <w:color w:val="auto"/>
                <w:sz w:val="20"/>
                <w:szCs w:val="20"/>
                <w:lang w:val="fr-FR"/>
              </w:rPr>
              <w:t>en ce qui concerne les noms des caractères de résistance aux maladies, utiliser les noms scientifiques conformément à la codification des agents pathogènes de l’ISF entre guillemets et ajouter l’abréviation entre parenthèses</w:t>
            </w:r>
          </w:p>
        </w:tc>
      </w:tr>
    </w:tbl>
    <w:p w:rsidR="00111ED3" w:rsidRPr="00293B75" w:rsidRDefault="00111ED3" w:rsidP="007005BA">
      <w:pPr>
        <w:jc w:val="center"/>
        <w:rPr>
          <w:rFonts w:cs="Arial"/>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jc w:val="left"/>
        <w:rPr>
          <w:rFonts w:cs="Arial"/>
          <w:u w:val="single"/>
          <w:lang w:val="fr-F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car. 51</w:t>
            </w:r>
          </w:p>
        </w:tc>
        <w:tc>
          <w:tcPr>
            <w:tcW w:w="8350" w:type="dxa"/>
          </w:tcPr>
          <w:p w:rsidR="00111ED3" w:rsidRPr="00293B75" w:rsidRDefault="00111ED3" w:rsidP="007005BA">
            <w:pPr>
              <w:rPr>
                <w:rFonts w:cs="Arial"/>
                <w:lang w:val="fr-FR"/>
              </w:rPr>
            </w:pPr>
            <w:r w:rsidRPr="00293B75">
              <w:rPr>
                <w:rStyle w:val="Standaardalinea-lettertype"/>
                <w:lang w:val="fr-FR"/>
              </w:rPr>
              <w:t>en ce qui concerne les noms des caractères de résistance aux maladies, supprimer les guillemets et utiliser plutôt des italiques</w:t>
            </w:r>
          </w:p>
        </w:tc>
      </w:tr>
    </w:tbl>
    <w:p w:rsidR="00111ED3" w:rsidRPr="00293B75" w:rsidRDefault="00111ED3" w:rsidP="007005BA">
      <w:pPr>
        <w:jc w:val="center"/>
        <w:rPr>
          <w:rFonts w:cs="Arial"/>
          <w:bCs/>
          <w:snapToGrid w:val="0"/>
          <w:lang w:val="fr-FR"/>
        </w:rPr>
      </w:pPr>
    </w:p>
    <w:p w:rsidR="00111ED3" w:rsidRPr="00293B75" w:rsidRDefault="00111ED3" w:rsidP="007005BA">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93B75" w:rsidRPr="00293B75" w:rsidTr="00111ED3">
        <w:trPr>
          <w:cantSplit/>
          <w:jc w:val="center"/>
        </w:trPr>
        <w:tc>
          <w:tcPr>
            <w:tcW w:w="9670" w:type="dxa"/>
            <w:shd w:val="clear" w:color="auto" w:fill="D9D9D9"/>
            <w:vAlign w:val="center"/>
          </w:tcPr>
          <w:p w:rsidR="00111ED3" w:rsidRPr="00293B75" w:rsidRDefault="00111ED3" w:rsidP="007005BA">
            <w:pPr>
              <w:pStyle w:val="BodyText"/>
              <w:keepNext/>
              <w:tabs>
                <w:tab w:val="left" w:pos="1849"/>
              </w:tabs>
              <w:ind w:left="1803" w:hanging="1803"/>
              <w:jc w:val="left"/>
              <w:rPr>
                <w:rFonts w:cs="Arial"/>
                <w:b/>
                <w:iCs/>
                <w:lang w:val="fr-FR"/>
              </w:rPr>
            </w:pPr>
            <w:r w:rsidRPr="00293B75">
              <w:rPr>
                <w:rFonts w:cs="Arial"/>
                <w:b/>
                <w:iCs/>
                <w:lang w:val="fr-FR"/>
              </w:rPr>
              <w:t>TC/51/27</w:t>
            </w:r>
            <w:r w:rsidRPr="00293B75">
              <w:rPr>
                <w:rFonts w:cs="Arial"/>
                <w:b/>
                <w:iCs/>
                <w:lang w:val="fr-FR"/>
              </w:rPr>
              <w:tab/>
              <w:t>Révision partielle des principes directeurs d’examen du haricot (document TG/12/9 Rev.)</w:t>
            </w:r>
          </w:p>
        </w:tc>
      </w:tr>
    </w:tbl>
    <w:p w:rsidR="00111ED3" w:rsidRPr="00293B75" w:rsidRDefault="00111ED3" w:rsidP="007005BA">
      <w:pPr>
        <w:keepNext/>
        <w:jc w:val="center"/>
        <w:rPr>
          <w:rFonts w:cs="Arial"/>
          <w:b/>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document TC/51/27, qui a été soumis au TC :</w:t>
      </w:r>
    </w:p>
    <w:p w:rsidR="00111ED3" w:rsidRPr="00293B75" w:rsidRDefault="00111ED3" w:rsidP="007005BA">
      <w:pPr>
        <w:keepNext/>
        <w:jc w:val="center"/>
        <w:rPr>
          <w:rFonts w:cs="Arial"/>
          <w:b/>
          <w:bCs/>
          <w:snapToGrid w:val="0"/>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Page de couverture, a)</w:t>
            </w:r>
          </w:p>
        </w:tc>
        <w:tc>
          <w:tcPr>
            <w:tcW w:w="8354" w:type="dxa"/>
          </w:tcPr>
          <w:p w:rsidR="00111ED3" w:rsidRPr="00293B75" w:rsidRDefault="00111ED3" w:rsidP="007005BA">
            <w:pPr>
              <w:keepNext/>
              <w:rPr>
                <w:rFonts w:cs="Arial"/>
                <w:lang w:val="fr-FR"/>
              </w:rPr>
            </w:pPr>
            <w:r w:rsidRPr="00293B75">
              <w:rPr>
                <w:rFonts w:cs="Arial"/>
                <w:lang w:val="fr-FR"/>
              </w:rPr>
              <w:t>la référence au rapport du TWV devrait renvoyer aux paragraphes 49</w:t>
            </w:r>
            <w:r w:rsidRPr="00293B75">
              <w:rPr>
                <w:rFonts w:cs="Arial"/>
                <w:lang w:val="fr-FR"/>
              </w:rPr>
              <w:noBreakHyphen/>
              <w:t>52 au lieu de 69</w:t>
            </w:r>
            <w:r w:rsidRPr="00293B75">
              <w:rPr>
                <w:rFonts w:cs="Arial"/>
                <w:lang w:val="fr-FR"/>
              </w:rPr>
              <w:noBreakHyphen/>
              <w:t>76</w:t>
            </w:r>
          </w:p>
        </w:tc>
      </w:tr>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car. 49 à 52</w:t>
            </w:r>
          </w:p>
        </w:tc>
        <w:tc>
          <w:tcPr>
            <w:tcW w:w="8354" w:type="dxa"/>
          </w:tcPr>
          <w:p w:rsidR="00111ED3" w:rsidRPr="00293B75" w:rsidRDefault="00111ED3" w:rsidP="007005BA">
            <w:pPr>
              <w:keepNext/>
              <w:rPr>
                <w:rFonts w:cs="Arial"/>
                <w:lang w:val="fr-FR"/>
              </w:rPr>
            </w:pPr>
            <w:r w:rsidRPr="00293B75">
              <w:rPr>
                <w:rStyle w:val="Standaardalinea-lettertype"/>
                <w:lang w:val="fr-FR"/>
              </w:rPr>
              <w:t>en ce qui concerne les noms des caractères de résistance aux maladies, utiliser les noms scientifiques conformément à la codification des agents pathogènes de l’ISF entre guillemets et ajouter l’abréviation entre parenthèses</w:t>
            </w:r>
          </w:p>
        </w:tc>
      </w:tr>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car. 50</w:t>
            </w:r>
          </w:p>
        </w:tc>
        <w:tc>
          <w:tcPr>
            <w:tcW w:w="8354" w:type="dxa"/>
          </w:tcPr>
          <w:p w:rsidR="00111ED3" w:rsidRPr="00293B75" w:rsidRDefault="00111ED3" w:rsidP="007005BA">
            <w:pPr>
              <w:keepNext/>
              <w:rPr>
                <w:rFonts w:cs="Arial"/>
                <w:lang w:val="fr-FR"/>
              </w:rPr>
            </w:pPr>
            <w:r w:rsidRPr="00293B75">
              <w:rPr>
                <w:rFonts w:cs="Arial"/>
                <w:lang w:val="fr-FR"/>
              </w:rPr>
              <w:t>vérifier si la race doit être précisée</w:t>
            </w:r>
          </w:p>
          <w:p w:rsidR="00111ED3" w:rsidRPr="00293B75" w:rsidRDefault="00111ED3" w:rsidP="007005BA">
            <w:pPr>
              <w:keepNext/>
              <w:rPr>
                <w:rFonts w:cs="Arial"/>
                <w:i/>
                <w:lang w:val="fr-FR"/>
              </w:rPr>
            </w:pPr>
            <w:r w:rsidRPr="00293B75">
              <w:rPr>
                <w:rFonts w:cs="Arial"/>
                <w:i/>
                <w:lang w:val="fr-FR"/>
              </w:rPr>
              <w:t>Avis de l’expert principal : pas de changement</w:t>
            </w:r>
            <w:r w:rsidRPr="00293B75">
              <w:rPr>
                <w:rFonts w:cs="Arial"/>
                <w:lang w:val="fr-FR"/>
              </w:rPr>
              <w:t>.</w:t>
            </w:r>
            <w:r w:rsidRPr="00293B75">
              <w:rPr>
                <w:lang w:val="fr-FR"/>
              </w:rPr>
              <w:t xml:space="preserve">  </w:t>
            </w:r>
            <w:r w:rsidRPr="00293B75">
              <w:rPr>
                <w:rFonts w:cs="Arial"/>
                <w:i/>
                <w:lang w:val="fr-FR"/>
              </w:rPr>
              <w:t>Nous sommes d’avis que le libellé de la section 5 de l’Ad. 50 est le plus approprié : l’inoculum utilisé devrait appartenir au groupe pathogène VI et les deux souches dénommées doivent être mentionnées</w:t>
            </w:r>
          </w:p>
        </w:tc>
      </w:tr>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Ad. 49 – 11.3</w:t>
            </w:r>
          </w:p>
        </w:tc>
        <w:tc>
          <w:tcPr>
            <w:tcW w:w="8354" w:type="dxa"/>
          </w:tcPr>
          <w:p w:rsidR="00111ED3" w:rsidRPr="00293B75" w:rsidRDefault="00111ED3" w:rsidP="007005BA">
            <w:pPr>
              <w:pStyle w:val="CommentText"/>
              <w:rPr>
                <w:rFonts w:cs="Arial"/>
                <w:sz w:val="20"/>
                <w:lang w:val="fr-FR"/>
              </w:rPr>
            </w:pPr>
            <w:r w:rsidRPr="00293B75">
              <w:rPr>
                <w:rFonts w:cs="Arial"/>
                <w:sz w:val="20"/>
                <w:lang w:val="fr-FR"/>
              </w:rPr>
              <w:t>remplacer “standards” par “variétés témoins” (vérifier dans tous les Ad.)</w:t>
            </w:r>
          </w:p>
          <w:p w:rsidR="00111ED3" w:rsidRPr="00293B75" w:rsidRDefault="00111ED3" w:rsidP="007005BA">
            <w:pPr>
              <w:keepNext/>
              <w:rPr>
                <w:rFonts w:cs="Arial"/>
                <w:lang w:val="fr-FR"/>
              </w:rPr>
            </w:pPr>
            <w:r w:rsidRPr="00293B75">
              <w:rPr>
                <w:rFonts w:cs="Arial"/>
                <w:i/>
                <w:lang w:val="fr-FR"/>
              </w:rPr>
              <w:t>Bureau : “standards” a été remplacé par “</w:t>
            </w:r>
            <w:r w:rsidRPr="00293B75">
              <w:rPr>
                <w:rFonts w:cs="Arial"/>
                <w:lang w:val="fr-FR"/>
              </w:rPr>
              <w:t>variétés témoins</w:t>
            </w:r>
            <w:r w:rsidRPr="00293B75">
              <w:rPr>
                <w:rFonts w:cs="Arial"/>
                <w:i/>
                <w:lang w:val="fr-FR"/>
              </w:rPr>
              <w:t>” au point 11.3 dans Ad. 49, Ad. 50 et Ad. 51</w:t>
            </w:r>
          </w:p>
        </w:tc>
      </w:tr>
    </w:tbl>
    <w:p w:rsidR="00111ED3" w:rsidRPr="00293B75" w:rsidRDefault="00111ED3" w:rsidP="007005BA">
      <w:pPr>
        <w:jc w:val="center"/>
        <w:rPr>
          <w:rFonts w:cs="Arial"/>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jc w:val="left"/>
        <w:rPr>
          <w:rFonts w:cs="Arial"/>
          <w:u w:val="single"/>
          <w:lang w:val="fr-F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car. 49 à 52</w:t>
            </w:r>
          </w:p>
        </w:tc>
        <w:tc>
          <w:tcPr>
            <w:tcW w:w="8350" w:type="dxa"/>
          </w:tcPr>
          <w:p w:rsidR="00111ED3" w:rsidRPr="00293B75" w:rsidRDefault="00111ED3" w:rsidP="007005BA">
            <w:pPr>
              <w:rPr>
                <w:rFonts w:cs="Arial"/>
                <w:lang w:val="fr-FR"/>
              </w:rPr>
            </w:pPr>
            <w:r w:rsidRPr="00293B75">
              <w:rPr>
                <w:rStyle w:val="Standaardalinea-lettertype"/>
                <w:lang w:val="fr-FR"/>
              </w:rPr>
              <w:t>en ce qui concerne les noms des caractères de résistance aux maladies, supprimer les guillemets et utiliser plutôt des italiques</w:t>
            </w:r>
          </w:p>
        </w:tc>
      </w:tr>
    </w:tbl>
    <w:p w:rsidR="00111ED3" w:rsidRPr="00293B75" w:rsidRDefault="00111ED3" w:rsidP="007005BA">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93B75" w:rsidRPr="00293B75" w:rsidTr="00111ED3">
        <w:trPr>
          <w:cantSplit/>
          <w:jc w:val="center"/>
        </w:trPr>
        <w:tc>
          <w:tcPr>
            <w:tcW w:w="9670" w:type="dxa"/>
            <w:shd w:val="clear" w:color="auto" w:fill="D9D9D9"/>
            <w:vAlign w:val="center"/>
          </w:tcPr>
          <w:p w:rsidR="00111ED3" w:rsidRPr="00293B75" w:rsidRDefault="00111ED3" w:rsidP="007005BA">
            <w:pPr>
              <w:pStyle w:val="BodyText"/>
              <w:keepNext/>
              <w:tabs>
                <w:tab w:val="left" w:pos="1849"/>
              </w:tabs>
              <w:ind w:left="1803" w:hanging="1803"/>
              <w:jc w:val="left"/>
              <w:rPr>
                <w:rFonts w:cs="Arial"/>
                <w:b/>
                <w:iCs/>
                <w:lang w:val="fr-FR"/>
              </w:rPr>
            </w:pPr>
            <w:r w:rsidRPr="00293B75">
              <w:rPr>
                <w:rFonts w:cs="Arial"/>
                <w:b/>
                <w:iCs/>
                <w:lang w:val="fr-FR"/>
              </w:rPr>
              <w:t>TC/51/29</w:t>
            </w:r>
            <w:r w:rsidRPr="00293B75">
              <w:rPr>
                <w:rFonts w:cs="Arial"/>
                <w:b/>
                <w:iCs/>
                <w:lang w:val="fr-FR"/>
              </w:rPr>
              <w:tab/>
              <w:t>Révision partielle des principes directeurs d’examen de l’épinard (document TG/55/7 Rev.2)</w:t>
            </w:r>
          </w:p>
        </w:tc>
      </w:tr>
    </w:tbl>
    <w:p w:rsidR="00111ED3" w:rsidRPr="00293B75" w:rsidRDefault="00111ED3" w:rsidP="007005BA">
      <w:pPr>
        <w:keepNext/>
        <w:jc w:val="center"/>
        <w:rPr>
          <w:rFonts w:cs="Arial"/>
          <w:b/>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document TC/51/29, qui a été soumis au TC :</w:t>
      </w:r>
    </w:p>
    <w:p w:rsidR="00111ED3" w:rsidRPr="00293B75" w:rsidRDefault="00111ED3" w:rsidP="007005BA">
      <w:pPr>
        <w:keepNext/>
        <w:jc w:val="center"/>
        <w:rPr>
          <w:rFonts w:cs="Arial"/>
          <w:b/>
          <w:bCs/>
          <w:snapToGrid w:val="0"/>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293B75" w:rsidRPr="00293B75" w:rsidTr="00111ED3">
        <w:tc>
          <w:tcPr>
            <w:tcW w:w="1573" w:type="dxa"/>
          </w:tcPr>
          <w:p w:rsidR="00111ED3" w:rsidRPr="00293B75" w:rsidRDefault="00111ED3" w:rsidP="007005BA">
            <w:pPr>
              <w:jc w:val="left"/>
              <w:rPr>
                <w:rFonts w:cs="Arial"/>
                <w:lang w:val="fr-FR"/>
              </w:rPr>
            </w:pPr>
            <w:r w:rsidRPr="00293B75">
              <w:rPr>
                <w:rFonts w:cs="Arial"/>
                <w:lang w:val="fr-FR"/>
              </w:rPr>
              <w:t>car. 18</w:t>
            </w:r>
          </w:p>
        </w:tc>
        <w:tc>
          <w:tcPr>
            <w:tcW w:w="8354" w:type="dxa"/>
          </w:tcPr>
          <w:p w:rsidR="00111ED3" w:rsidRPr="00293B75" w:rsidRDefault="00111ED3" w:rsidP="007005BA">
            <w:pPr>
              <w:keepNext/>
              <w:rPr>
                <w:rFonts w:cs="Arial"/>
                <w:lang w:val="fr-FR"/>
              </w:rPr>
            </w:pPr>
            <w:r w:rsidRPr="00293B75">
              <w:rPr>
                <w:rStyle w:val="Standaardalinea-lettertype"/>
                <w:lang w:val="fr-FR"/>
              </w:rPr>
              <w:t>en ce qui concerne les noms des caractères de résistance aux maladies, utiliser les noms scientifiques conformément à la codification des agents pathogènes de l’ISF entre guillemets et ajouter l’abréviation entre parenthèses</w:t>
            </w:r>
          </w:p>
        </w:tc>
      </w:tr>
      <w:tr w:rsidR="00293B75" w:rsidRPr="00293B75" w:rsidTr="00111ED3">
        <w:tc>
          <w:tcPr>
            <w:tcW w:w="1573" w:type="dxa"/>
          </w:tcPr>
          <w:p w:rsidR="00111ED3" w:rsidRPr="00293B75" w:rsidRDefault="00111ED3" w:rsidP="007005BA">
            <w:pPr>
              <w:jc w:val="left"/>
              <w:rPr>
                <w:rFonts w:cs="Arial"/>
                <w:lang w:val="fr-FR"/>
              </w:rPr>
            </w:pPr>
            <w:r w:rsidRPr="00293B75">
              <w:rPr>
                <w:rFonts w:cs="Arial"/>
                <w:lang w:val="fr-FR"/>
              </w:rPr>
              <w:t>TQ 7.3</w:t>
            </w:r>
          </w:p>
        </w:tc>
        <w:tc>
          <w:tcPr>
            <w:tcW w:w="8354" w:type="dxa"/>
          </w:tcPr>
          <w:p w:rsidR="00111ED3" w:rsidRPr="00293B75" w:rsidRDefault="00111ED3" w:rsidP="007005BA">
            <w:pPr>
              <w:keepNext/>
              <w:rPr>
                <w:rFonts w:cs="Arial"/>
                <w:lang w:val="fr-FR"/>
              </w:rPr>
            </w:pPr>
            <w:r w:rsidRPr="00293B75">
              <w:rPr>
                <w:rFonts w:cs="Arial"/>
                <w:lang w:val="fr-FR"/>
              </w:rPr>
              <w:t>le titre doit être libellé comme suit “Autres informations” dans les quatre langues</w:t>
            </w:r>
          </w:p>
        </w:tc>
      </w:tr>
    </w:tbl>
    <w:p w:rsidR="00111ED3" w:rsidRPr="00293B75" w:rsidRDefault="00111ED3" w:rsidP="007005BA">
      <w:pPr>
        <w:jc w:val="center"/>
        <w:rPr>
          <w:rFonts w:cs="Arial"/>
          <w:bCs/>
          <w:snapToGrid w:val="0"/>
          <w:lang w:val="fr-FR"/>
        </w:rPr>
      </w:pPr>
    </w:p>
    <w:p w:rsidR="00111ED3" w:rsidRPr="00293B75" w:rsidRDefault="00111ED3" w:rsidP="007005BA">
      <w:pPr>
        <w:keepNext/>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293B75" w:rsidRPr="00293B75" w:rsidTr="00111ED3">
        <w:trPr>
          <w:cantSplit/>
        </w:trPr>
        <w:tc>
          <w:tcPr>
            <w:tcW w:w="1573" w:type="dxa"/>
          </w:tcPr>
          <w:p w:rsidR="00111ED3" w:rsidRPr="00293B75" w:rsidRDefault="00111ED3" w:rsidP="007005BA">
            <w:pPr>
              <w:jc w:val="left"/>
              <w:rPr>
                <w:rFonts w:cs="Arial"/>
                <w:highlight w:val="yellow"/>
                <w:lang w:val="fr-FR"/>
              </w:rPr>
            </w:pPr>
            <w:r w:rsidRPr="00293B75">
              <w:rPr>
                <w:rFonts w:cs="Arial"/>
                <w:lang w:val="fr-FR"/>
              </w:rPr>
              <w:t>car. 18</w:t>
            </w:r>
          </w:p>
        </w:tc>
        <w:tc>
          <w:tcPr>
            <w:tcW w:w="8350" w:type="dxa"/>
          </w:tcPr>
          <w:p w:rsidR="00111ED3" w:rsidRPr="00293B75" w:rsidRDefault="00111ED3" w:rsidP="007005BA">
            <w:pPr>
              <w:rPr>
                <w:rFonts w:cs="Arial"/>
                <w:highlight w:val="yellow"/>
                <w:lang w:val="fr-FR"/>
              </w:rPr>
            </w:pPr>
            <w:r w:rsidRPr="00293B75">
              <w:rPr>
                <w:rStyle w:val="Standaardalinea-lettertype"/>
                <w:lang w:val="fr-FR"/>
              </w:rPr>
              <w:t>en ce qui concerne les noms des caractères de résistance aux maladies, supprimer les guillemets et utiliser plutôt des italiques</w:t>
            </w:r>
          </w:p>
        </w:tc>
      </w:tr>
    </w:tbl>
    <w:p w:rsidR="00111ED3" w:rsidRPr="00293B75" w:rsidRDefault="00111ED3" w:rsidP="007005BA">
      <w:pPr>
        <w:jc w:val="center"/>
        <w:rPr>
          <w:rFonts w:cs="Arial"/>
          <w:bCs/>
          <w:snapToGrid w:val="0"/>
          <w:lang w:val="fr-FR"/>
        </w:rPr>
      </w:pPr>
    </w:p>
    <w:p w:rsidR="00111ED3" w:rsidRPr="00293B75" w:rsidRDefault="00111ED3" w:rsidP="007005BA">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93B75" w:rsidRPr="00293B75" w:rsidTr="00111ED3">
        <w:trPr>
          <w:cantSplit/>
          <w:jc w:val="center"/>
        </w:trPr>
        <w:tc>
          <w:tcPr>
            <w:tcW w:w="9670" w:type="dxa"/>
            <w:shd w:val="clear" w:color="auto" w:fill="D9D9D9"/>
            <w:vAlign w:val="center"/>
          </w:tcPr>
          <w:p w:rsidR="00111ED3" w:rsidRPr="00293B75" w:rsidRDefault="00111ED3" w:rsidP="007005BA">
            <w:pPr>
              <w:pStyle w:val="BodyText"/>
              <w:keepNext/>
              <w:tabs>
                <w:tab w:val="left" w:pos="1849"/>
              </w:tabs>
              <w:ind w:left="1803" w:hanging="1803"/>
              <w:jc w:val="left"/>
              <w:rPr>
                <w:rFonts w:cs="Arial"/>
                <w:b/>
                <w:iCs/>
                <w:lang w:val="fr-FR"/>
              </w:rPr>
            </w:pPr>
            <w:r w:rsidRPr="00293B75">
              <w:rPr>
                <w:rFonts w:cs="Arial"/>
                <w:b/>
                <w:iCs/>
                <w:lang w:val="fr-FR"/>
              </w:rPr>
              <w:t>TC/51/30</w:t>
            </w:r>
            <w:r w:rsidRPr="00293B75">
              <w:rPr>
                <w:rFonts w:cs="Arial"/>
                <w:b/>
                <w:iCs/>
                <w:lang w:val="fr-FR"/>
              </w:rPr>
              <w:tab/>
              <w:t>Révision partielle des principes directeurs d’examen du piment, poivron (Document TG/76/8)</w:t>
            </w:r>
          </w:p>
        </w:tc>
      </w:tr>
    </w:tbl>
    <w:p w:rsidR="00111ED3" w:rsidRPr="00293B75" w:rsidRDefault="00111ED3" w:rsidP="007005BA">
      <w:pPr>
        <w:keepNext/>
        <w:jc w:val="center"/>
        <w:rPr>
          <w:rFonts w:cs="Arial"/>
          <w:b/>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document TC/51/30, qui a été soumis au TC :</w:t>
      </w:r>
    </w:p>
    <w:p w:rsidR="00111ED3" w:rsidRPr="00293B75" w:rsidRDefault="00111ED3" w:rsidP="007005BA">
      <w:pPr>
        <w:keepNext/>
        <w:jc w:val="center"/>
        <w:rPr>
          <w:rFonts w:cs="Arial"/>
          <w:b/>
          <w:bCs/>
          <w:snapToGrid w:val="0"/>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car. 48, 49, 50, 51, 52, 53</w:t>
            </w:r>
          </w:p>
        </w:tc>
        <w:tc>
          <w:tcPr>
            <w:tcW w:w="8354" w:type="dxa"/>
          </w:tcPr>
          <w:p w:rsidR="00111ED3" w:rsidRPr="00293B75" w:rsidRDefault="00111ED3" w:rsidP="007005BA">
            <w:pPr>
              <w:rPr>
                <w:rFonts w:cs="Arial"/>
                <w:lang w:val="fr-FR"/>
              </w:rPr>
            </w:pPr>
            <w:r w:rsidRPr="00293B75">
              <w:rPr>
                <w:rStyle w:val="Standaardalinea-lettertype"/>
                <w:lang w:val="fr-FR"/>
              </w:rPr>
              <w:t>en ce qui concerne les noms des caractères de résistance aux maladies, utiliser les noms scientifiques conformément à la codification des agents pathogènes de l’ISF entre guillemets et ajouter l’abréviation entre parenthèses</w:t>
            </w:r>
          </w:p>
        </w:tc>
      </w:tr>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Ad. 48 – 10.1</w:t>
            </w:r>
          </w:p>
        </w:tc>
        <w:tc>
          <w:tcPr>
            <w:tcW w:w="8354" w:type="dxa"/>
          </w:tcPr>
          <w:p w:rsidR="00111ED3" w:rsidRPr="00293B75" w:rsidRDefault="00111ED3" w:rsidP="007005BA">
            <w:pPr>
              <w:rPr>
                <w:rFonts w:cs="Arial"/>
                <w:lang w:val="fr-FR"/>
              </w:rPr>
            </w:pPr>
            <w:r w:rsidRPr="00293B75">
              <w:rPr>
                <w:rFonts w:cs="Arial"/>
                <w:lang w:val="fr-FR"/>
              </w:rPr>
              <w:t xml:space="preserve">doit être libellé comme suit “Jus : </w:t>
            </w:r>
            <w:proofErr w:type="gramStart"/>
            <w:r w:rsidRPr="00293B75">
              <w:rPr>
                <w:rFonts w:cs="Arial"/>
                <w:lang w:val="fr-FR"/>
              </w:rPr>
              <w:t>PBS(</w:t>
            </w:r>
            <w:proofErr w:type="gramEnd"/>
            <w:r w:rsidRPr="00293B75">
              <w:rPr>
                <w:rFonts w:cs="Arial"/>
                <w:lang w:val="fr-FR"/>
              </w:rPr>
              <w:t>1:9).  Pour obtenir le jus, il est préférable d’utiliser un mortier pour broyer les feuilles infectées.”</w:t>
            </w:r>
          </w:p>
        </w:tc>
      </w:tr>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Ad. 50 – 12.</w:t>
            </w:r>
          </w:p>
        </w:tc>
        <w:tc>
          <w:tcPr>
            <w:tcW w:w="8354" w:type="dxa"/>
          </w:tcPr>
          <w:p w:rsidR="00111ED3" w:rsidRPr="00293B75" w:rsidRDefault="00111ED3" w:rsidP="007005BA">
            <w:pPr>
              <w:rPr>
                <w:rFonts w:cs="Arial"/>
                <w:lang w:val="fr-FR"/>
              </w:rPr>
            </w:pPr>
            <w:r w:rsidRPr="00293B75">
              <w:rPr>
                <w:rFonts w:cs="Arial"/>
                <w:lang w:val="fr-FR"/>
              </w:rPr>
              <w:t>doit être libellé comme suit “</w:t>
            </w:r>
            <w:r w:rsidRPr="00293B75">
              <w:t xml:space="preserve"> F</w:t>
            </w:r>
            <w:r w:rsidRPr="00293B75">
              <w:rPr>
                <w:rFonts w:cs="Arial"/>
                <w:lang w:val="fr-FR"/>
              </w:rPr>
              <w:t>ondé sur l’augmentation des nécroses des tiges…”</w:t>
            </w:r>
          </w:p>
        </w:tc>
      </w:tr>
    </w:tbl>
    <w:p w:rsidR="00111ED3" w:rsidRPr="00293B75" w:rsidRDefault="00111ED3" w:rsidP="007005BA">
      <w:pPr>
        <w:jc w:val="center"/>
        <w:rPr>
          <w:rFonts w:cs="Arial"/>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jc w:val="left"/>
        <w:rPr>
          <w:rFonts w:cs="Arial"/>
          <w:u w:val="single"/>
          <w:lang w:val="fr-F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293B75" w:rsidRPr="00293B75" w:rsidTr="00111ED3">
        <w:trPr>
          <w:cantSplit/>
        </w:trPr>
        <w:tc>
          <w:tcPr>
            <w:tcW w:w="1573" w:type="dxa"/>
          </w:tcPr>
          <w:p w:rsidR="00111ED3" w:rsidRPr="00293B75" w:rsidRDefault="00111ED3" w:rsidP="007005BA">
            <w:pPr>
              <w:jc w:val="left"/>
              <w:rPr>
                <w:rFonts w:cs="Arial"/>
                <w:highlight w:val="yellow"/>
                <w:lang w:val="fr-FR"/>
              </w:rPr>
            </w:pPr>
            <w:r w:rsidRPr="00293B75">
              <w:rPr>
                <w:rFonts w:cs="Arial"/>
                <w:lang w:val="fr-FR"/>
              </w:rPr>
              <w:t>car. 48, 49, 50, 51, 52, 53</w:t>
            </w:r>
          </w:p>
        </w:tc>
        <w:tc>
          <w:tcPr>
            <w:tcW w:w="8350" w:type="dxa"/>
          </w:tcPr>
          <w:p w:rsidR="00111ED3" w:rsidRPr="00293B75" w:rsidRDefault="00111ED3" w:rsidP="007005BA">
            <w:pPr>
              <w:rPr>
                <w:rFonts w:cs="Arial"/>
                <w:highlight w:val="yellow"/>
                <w:lang w:val="fr-FR"/>
              </w:rPr>
            </w:pPr>
            <w:r w:rsidRPr="00293B75">
              <w:rPr>
                <w:rStyle w:val="Standaardalinea-lettertype"/>
                <w:lang w:val="fr-FR"/>
              </w:rPr>
              <w:t>en ce qui concerne les noms des caractères de résistance aux maladies, supprimer les guillemets et utiliser plutôt des italiques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lang w:val="fr-FR"/>
              </w:rPr>
              <w:t>Ad. 48 – 9.4</w:t>
            </w:r>
          </w:p>
        </w:tc>
        <w:tc>
          <w:tcPr>
            <w:tcW w:w="8350" w:type="dxa"/>
          </w:tcPr>
          <w:p w:rsidR="00111ED3" w:rsidRPr="00293B75" w:rsidRDefault="00111ED3" w:rsidP="007005BA">
            <w:pPr>
              <w:rPr>
                <w:rFonts w:cs="Arial"/>
                <w:lang w:val="fr-FR"/>
              </w:rPr>
            </w:pPr>
            <w:r w:rsidRPr="00293B75">
              <w:rPr>
                <w:rFonts w:cs="Arial"/>
                <w:lang w:val="fr-FR"/>
              </w:rPr>
              <w:t>éclaircir le sens du terme “blanc” (dans tout le document) (s’agit</w:t>
            </w:r>
            <w:r w:rsidRPr="00293B75">
              <w:rPr>
                <w:rFonts w:cs="Arial"/>
                <w:lang w:val="fr-FR"/>
              </w:rPr>
              <w:noBreakHyphen/>
              <w:t>il d’une variété standard, d’une variété témoin ou d’une plante non traitée?)</w:t>
            </w:r>
          </w:p>
        </w:tc>
      </w:tr>
    </w:tbl>
    <w:p w:rsidR="00111ED3" w:rsidRPr="00293B75" w:rsidRDefault="00111ED3" w:rsidP="007005BA">
      <w:pPr>
        <w:jc w:val="center"/>
        <w:rPr>
          <w:rFonts w:cs="Arial"/>
          <w:bCs/>
          <w:snapToGrid w:val="0"/>
          <w:lang w:val="fr-FR"/>
        </w:rPr>
      </w:pPr>
    </w:p>
    <w:p w:rsidR="00111ED3" w:rsidRPr="00293B75" w:rsidRDefault="00111ED3" w:rsidP="007005BA">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93B75" w:rsidRPr="00293B75" w:rsidTr="00111ED3">
        <w:trPr>
          <w:cantSplit/>
          <w:jc w:val="center"/>
        </w:trPr>
        <w:tc>
          <w:tcPr>
            <w:tcW w:w="9670" w:type="dxa"/>
            <w:shd w:val="clear" w:color="auto" w:fill="D9D9D9"/>
            <w:vAlign w:val="center"/>
          </w:tcPr>
          <w:p w:rsidR="00111ED3" w:rsidRPr="00293B75" w:rsidRDefault="00111ED3" w:rsidP="007005BA">
            <w:pPr>
              <w:pStyle w:val="BodyText"/>
              <w:keepNext/>
              <w:tabs>
                <w:tab w:val="left" w:pos="1849"/>
              </w:tabs>
              <w:ind w:left="1803" w:hanging="1803"/>
              <w:jc w:val="left"/>
              <w:rPr>
                <w:rFonts w:cs="Arial"/>
                <w:b/>
                <w:iCs/>
                <w:lang w:val="fr-FR"/>
              </w:rPr>
            </w:pPr>
            <w:r w:rsidRPr="00293B75">
              <w:rPr>
                <w:rFonts w:cs="Arial"/>
                <w:b/>
                <w:iCs/>
                <w:lang w:val="fr-FR"/>
              </w:rPr>
              <w:t>TC/51/32</w:t>
            </w:r>
            <w:r w:rsidRPr="00293B75">
              <w:rPr>
                <w:rFonts w:cs="Arial"/>
                <w:b/>
                <w:iCs/>
                <w:lang w:val="fr-FR"/>
              </w:rPr>
              <w:tab/>
              <w:t>Révision partielle des principes directeurs d’examen du glaïeul (document TG/108/4)</w:t>
            </w:r>
          </w:p>
        </w:tc>
      </w:tr>
    </w:tbl>
    <w:p w:rsidR="00111ED3" w:rsidRPr="00293B75" w:rsidRDefault="00111ED3" w:rsidP="007005BA">
      <w:pPr>
        <w:keepNext/>
        <w:jc w:val="center"/>
        <w:rPr>
          <w:rFonts w:cs="Arial"/>
          <w:b/>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document TC/51/32, qui a été soumis au TC :</w:t>
      </w:r>
    </w:p>
    <w:p w:rsidR="00111ED3" w:rsidRPr="00293B75" w:rsidRDefault="00111ED3" w:rsidP="007005BA">
      <w:pPr>
        <w:keepNext/>
        <w:jc w:val="center"/>
        <w:rPr>
          <w:rFonts w:cs="Arial"/>
          <w:b/>
          <w:bCs/>
          <w:snapToGrid w:val="0"/>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293B75" w:rsidRPr="00293B75" w:rsidTr="00111ED3">
        <w:tc>
          <w:tcPr>
            <w:tcW w:w="1573" w:type="dxa"/>
          </w:tcPr>
          <w:p w:rsidR="00111ED3" w:rsidRPr="00293B75" w:rsidRDefault="00111ED3" w:rsidP="007005BA">
            <w:pPr>
              <w:jc w:val="left"/>
              <w:rPr>
                <w:rFonts w:cs="Arial"/>
                <w:lang w:val="fr-FR"/>
              </w:rPr>
            </w:pPr>
            <w:r w:rsidRPr="00293B75">
              <w:rPr>
                <w:rFonts w:cs="Arial"/>
                <w:lang w:val="fr-FR"/>
              </w:rPr>
              <w:t>car. 42</w:t>
            </w:r>
          </w:p>
        </w:tc>
        <w:tc>
          <w:tcPr>
            <w:tcW w:w="8354" w:type="dxa"/>
          </w:tcPr>
          <w:p w:rsidR="00111ED3" w:rsidRPr="00293B75" w:rsidRDefault="00111ED3" w:rsidP="007005BA">
            <w:pPr>
              <w:keepNext/>
              <w:rPr>
                <w:rFonts w:cs="Arial"/>
                <w:lang w:val="fr-FR"/>
              </w:rPr>
            </w:pPr>
            <w:r w:rsidRPr="00293B75">
              <w:rPr>
                <w:rFonts w:cs="Arial"/>
                <w:lang w:val="fr-FR"/>
              </w:rPr>
              <w:t>vérifier si les niveaux 3 et 4 doivent être libellés “légèrement recourbé” et “fortement recourbé” au lieu de “réfléchi” (en se fondant sur la section 2, sous</w:t>
            </w:r>
            <w:r w:rsidRPr="00293B75">
              <w:rPr>
                <w:rFonts w:cs="Arial"/>
                <w:lang w:val="fr-FR"/>
              </w:rPr>
              <w:noBreakHyphen/>
              <w:t>section 2, 2.2) du document TGP 14, le niveau “réfléchi” semble nettement marqué.  L’illustration correspondant à Ad. 42 montre une tendance plus progressive, à l’instar de celle présentée dans le document TGP 14 comme “recourbé”).</w:t>
            </w:r>
          </w:p>
          <w:p w:rsidR="00111ED3" w:rsidRPr="00293B75" w:rsidRDefault="00111ED3" w:rsidP="007005BA">
            <w:pPr>
              <w:keepNext/>
              <w:rPr>
                <w:rFonts w:cs="Arial"/>
                <w:i/>
                <w:lang w:val="fr-FR"/>
              </w:rPr>
            </w:pPr>
            <w:r w:rsidRPr="00293B75">
              <w:rPr>
                <w:rFonts w:cs="Arial"/>
                <w:i/>
                <w:lang w:val="fr-FR"/>
              </w:rPr>
              <w:t>Expert principal : accepté</w:t>
            </w:r>
          </w:p>
        </w:tc>
      </w:tr>
    </w:tbl>
    <w:p w:rsidR="00111ED3" w:rsidRPr="00293B75" w:rsidRDefault="00111ED3" w:rsidP="007005BA">
      <w:pPr>
        <w:rPr>
          <w:rFonts w:cs="Arial"/>
          <w:bCs/>
          <w:snapToGrid w:val="0"/>
          <w:lang w:val="fr-FR"/>
        </w:rPr>
      </w:pPr>
    </w:p>
    <w:p w:rsidR="00111ED3" w:rsidRPr="00293B75" w:rsidRDefault="00111ED3" w:rsidP="007005BA">
      <w:pPr>
        <w:keepNext/>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293B75" w:rsidRPr="00293B75" w:rsidTr="00111ED3">
        <w:trPr>
          <w:cantSplit/>
        </w:trPr>
        <w:tc>
          <w:tcPr>
            <w:tcW w:w="1573" w:type="dxa"/>
          </w:tcPr>
          <w:p w:rsidR="00111ED3" w:rsidRPr="00293B75" w:rsidDel="005B3AAE" w:rsidRDefault="00111ED3" w:rsidP="007005BA">
            <w:pPr>
              <w:rPr>
                <w:rFonts w:cs="Arial"/>
                <w:szCs w:val="22"/>
                <w:lang w:val="fr-FR"/>
              </w:rPr>
            </w:pPr>
            <w:r w:rsidRPr="00293B75">
              <w:rPr>
                <w:rFonts w:cs="Arial"/>
                <w:szCs w:val="22"/>
                <w:lang w:val="fr-FR"/>
              </w:rPr>
              <w:t>Ad. 42</w:t>
            </w:r>
          </w:p>
        </w:tc>
        <w:tc>
          <w:tcPr>
            <w:tcW w:w="8350" w:type="dxa"/>
          </w:tcPr>
          <w:p w:rsidR="00111ED3" w:rsidRPr="00293B75" w:rsidDel="005B3AAE" w:rsidRDefault="00111ED3" w:rsidP="007005BA">
            <w:pPr>
              <w:rPr>
                <w:rFonts w:cs="Arial"/>
                <w:szCs w:val="22"/>
                <w:lang w:val="fr-FR"/>
              </w:rPr>
            </w:pPr>
            <w:r w:rsidRPr="00293B75">
              <w:rPr>
                <w:rFonts w:cs="Arial"/>
                <w:lang w:val="fr-FR"/>
              </w:rPr>
              <w:t>Le niveau 1 en espagnol doit être libellé comme suit “moderadamente incurvado”</w:t>
            </w:r>
          </w:p>
        </w:tc>
      </w:tr>
    </w:tbl>
    <w:p w:rsidR="00111ED3" w:rsidRPr="00293B75" w:rsidRDefault="00111ED3" w:rsidP="007005BA">
      <w:pPr>
        <w:jc w:val="center"/>
        <w:rPr>
          <w:rFonts w:cs="Arial"/>
          <w:bCs/>
          <w:snapToGrid w:val="0"/>
          <w:lang w:val="fr-FR"/>
        </w:rPr>
      </w:pPr>
    </w:p>
    <w:p w:rsidR="00111ED3" w:rsidRPr="00293B75" w:rsidRDefault="00111ED3" w:rsidP="007005BA">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93B75" w:rsidRPr="00293B75" w:rsidTr="00111ED3">
        <w:trPr>
          <w:cantSplit/>
          <w:jc w:val="center"/>
        </w:trPr>
        <w:tc>
          <w:tcPr>
            <w:tcW w:w="9670" w:type="dxa"/>
            <w:shd w:val="clear" w:color="auto" w:fill="D9D9D9"/>
            <w:vAlign w:val="center"/>
          </w:tcPr>
          <w:p w:rsidR="00111ED3" w:rsidRPr="00293B75" w:rsidRDefault="00111ED3" w:rsidP="007005BA">
            <w:pPr>
              <w:pStyle w:val="BodyText"/>
              <w:tabs>
                <w:tab w:val="left" w:pos="1849"/>
              </w:tabs>
              <w:ind w:left="1803" w:hanging="1803"/>
              <w:jc w:val="left"/>
              <w:rPr>
                <w:rFonts w:cs="Arial"/>
                <w:b/>
                <w:iCs/>
                <w:lang w:val="fr-FR"/>
              </w:rPr>
            </w:pPr>
            <w:r w:rsidRPr="00293B75">
              <w:rPr>
                <w:rFonts w:cs="Arial"/>
                <w:b/>
                <w:iCs/>
                <w:lang w:val="fr-FR"/>
              </w:rPr>
              <w:t>TC/51/33</w:t>
            </w:r>
            <w:r w:rsidRPr="00293B75">
              <w:rPr>
                <w:rFonts w:cs="Arial"/>
                <w:b/>
                <w:iCs/>
                <w:lang w:val="fr-FR"/>
              </w:rPr>
              <w:tab/>
              <w:t>Révision partielle des principes directeurs d’examen du mandarinier (document TG/201/1)</w:t>
            </w:r>
          </w:p>
        </w:tc>
      </w:tr>
    </w:tbl>
    <w:p w:rsidR="00111ED3" w:rsidRPr="00293B75" w:rsidRDefault="00111ED3" w:rsidP="007005BA">
      <w:pPr>
        <w:jc w:val="center"/>
        <w:rPr>
          <w:rFonts w:cs="Arial"/>
          <w:b/>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document TC/51/33, qui a été soumis au TC :</w:t>
      </w:r>
    </w:p>
    <w:p w:rsidR="00111ED3" w:rsidRPr="00293B75" w:rsidRDefault="00111ED3" w:rsidP="007005BA">
      <w:pPr>
        <w:jc w:val="center"/>
        <w:rPr>
          <w:rFonts w:cs="Arial"/>
          <w:b/>
          <w:bCs/>
          <w:snapToGrid w:val="0"/>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 xml:space="preserve">Ad. 25 </w:t>
            </w:r>
          </w:p>
        </w:tc>
        <w:tc>
          <w:tcPr>
            <w:tcW w:w="8354" w:type="dxa"/>
          </w:tcPr>
          <w:p w:rsidR="00111ED3" w:rsidRPr="00293B75" w:rsidRDefault="00111ED3" w:rsidP="007005BA">
            <w:pPr>
              <w:rPr>
                <w:rFonts w:cs="Arial"/>
                <w:lang w:val="fr-FR"/>
              </w:rPr>
            </w:pPr>
            <w:r w:rsidRPr="00293B75">
              <w:rPr>
                <w:rFonts w:cs="Arial"/>
                <w:lang w:val="fr-FR"/>
              </w:rPr>
              <w:t xml:space="preserve">à vérifier avec l’expert principal si le deuxième paragraphe doit être rédigé comme suit : “Le pourcentage de </w:t>
            </w:r>
            <w:r w:rsidRPr="00293B75">
              <w:rPr>
                <w:rFonts w:cs="Arial"/>
                <w:u w:val="single"/>
                <w:lang w:val="fr-FR"/>
              </w:rPr>
              <w:t>fertilité</w:t>
            </w:r>
            <w:r w:rsidRPr="00293B75">
              <w:rPr>
                <w:rFonts w:cs="Arial"/>
                <w:lang w:val="fr-FR"/>
              </w:rPr>
              <w:t xml:space="preserve"> </w:t>
            </w:r>
            <w:r w:rsidRPr="00293B75">
              <w:rPr>
                <w:rFonts w:cs="Arial"/>
                <w:strike/>
                <w:lang w:val="fr-FR"/>
              </w:rPr>
              <w:t>fécondation</w:t>
            </w:r>
            <w:r w:rsidRPr="00293B75">
              <w:rPr>
                <w:rFonts w:cs="Arial"/>
                <w:lang w:val="fr-FR"/>
              </w:rPr>
              <w:t xml:space="preserve"> du pollen correspond à la moyenne des grains de pollen germés</w:t>
            </w:r>
            <w:r w:rsidRPr="00293B75">
              <w:rPr>
                <w:rFonts w:cs="Arial"/>
                <w:strike/>
                <w:lang w:val="fr-FR"/>
              </w:rPr>
              <w:t xml:space="preserve"> observés au microscope binoculaire avec un grossissement de 15x sur 2 lames de microscope différentes</w:t>
            </w:r>
            <w:r w:rsidRPr="00293B75">
              <w:rPr>
                <w:rFonts w:cs="Arial"/>
                <w:lang w:val="fr-FR"/>
              </w:rPr>
              <w:t>.”</w:t>
            </w:r>
          </w:p>
          <w:p w:rsidR="00111ED3" w:rsidRPr="00293B75" w:rsidRDefault="00111ED3" w:rsidP="007005BA">
            <w:pPr>
              <w:rPr>
                <w:rFonts w:cs="Arial"/>
                <w:lang w:val="fr-FR"/>
              </w:rPr>
            </w:pPr>
            <w:r w:rsidRPr="00293B75">
              <w:rPr>
                <w:rFonts w:cs="Arial"/>
                <w:lang w:val="fr-FR"/>
              </w:rPr>
              <w:t>à vérifier avec l’expert principal si l’échelle peut être réduite (à 5 ou 3 notes)</w:t>
            </w:r>
          </w:p>
          <w:p w:rsidR="00111ED3" w:rsidRPr="00293B75" w:rsidRDefault="00111ED3" w:rsidP="007005BA">
            <w:pPr>
              <w:rPr>
                <w:rFonts w:cs="Arial"/>
                <w:i/>
                <w:lang w:val="fr-FR"/>
              </w:rPr>
            </w:pPr>
            <w:r w:rsidRPr="00293B75">
              <w:rPr>
                <w:rFonts w:cs="Arial"/>
                <w:i/>
                <w:lang w:val="fr-FR"/>
              </w:rPr>
              <w:t>Le nouveau libellé modifié pour le caractère 25 proposé par l’expert principal est reproduit à l’annexe du document TC/51/33.</w:t>
            </w:r>
          </w:p>
        </w:tc>
      </w:tr>
    </w:tbl>
    <w:p w:rsidR="00111ED3" w:rsidRPr="00293B75" w:rsidRDefault="00111ED3" w:rsidP="007005BA">
      <w:pPr>
        <w:jc w:val="center"/>
        <w:rPr>
          <w:rFonts w:cs="Arial"/>
          <w:bCs/>
          <w:snapToGrid w:val="0"/>
          <w:lang w:val="fr-FR"/>
        </w:rPr>
      </w:pPr>
    </w:p>
    <w:p w:rsidR="00111ED3" w:rsidRPr="00293B75" w:rsidRDefault="00111ED3" w:rsidP="007005BA">
      <w:pPr>
        <w:keepNext/>
        <w:autoSpaceDE w:val="0"/>
        <w:autoSpaceDN w:val="0"/>
        <w:adjustRightInd w:val="0"/>
        <w:ind w:firstLine="567"/>
        <w:jc w:val="left"/>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0"/>
      </w:tblGrid>
      <w:tr w:rsidR="00293B75" w:rsidRPr="00293B75" w:rsidTr="00111ED3">
        <w:trPr>
          <w:cantSplit/>
        </w:trPr>
        <w:tc>
          <w:tcPr>
            <w:tcW w:w="1573" w:type="dxa"/>
          </w:tcPr>
          <w:p w:rsidR="00111ED3" w:rsidRPr="00293B75" w:rsidDel="005B3AAE" w:rsidRDefault="00111ED3" w:rsidP="007005BA">
            <w:pPr>
              <w:rPr>
                <w:rFonts w:cs="Arial"/>
                <w:szCs w:val="22"/>
                <w:lang w:val="fr-FR"/>
              </w:rPr>
            </w:pPr>
            <w:r w:rsidRPr="00293B75">
              <w:rPr>
                <w:rFonts w:cs="Arial"/>
                <w:szCs w:val="22"/>
                <w:lang w:val="fr-FR"/>
              </w:rPr>
              <w:t>car. 25</w:t>
            </w:r>
          </w:p>
        </w:tc>
        <w:tc>
          <w:tcPr>
            <w:tcW w:w="8350" w:type="dxa"/>
          </w:tcPr>
          <w:p w:rsidR="00111ED3" w:rsidRPr="00293B75" w:rsidDel="005B3AAE" w:rsidRDefault="00111ED3" w:rsidP="007005BA">
            <w:pPr>
              <w:rPr>
                <w:rFonts w:cs="Arial"/>
                <w:szCs w:val="22"/>
                <w:lang w:val="fr-FR"/>
              </w:rPr>
            </w:pPr>
            <w:r w:rsidRPr="00293B75">
              <w:rPr>
                <w:rFonts w:cs="Arial"/>
                <w:lang w:val="fr-FR"/>
              </w:rPr>
              <w:t>conserver la proposition initiale comme convenu par le TWF</w:t>
            </w:r>
          </w:p>
        </w:tc>
      </w:tr>
      <w:tr w:rsidR="00293B75" w:rsidRPr="00293B75" w:rsidTr="00111ED3">
        <w:trPr>
          <w:cantSplit/>
        </w:trPr>
        <w:tc>
          <w:tcPr>
            <w:tcW w:w="1573" w:type="dxa"/>
          </w:tcPr>
          <w:p w:rsidR="00111ED3" w:rsidRPr="00293B75" w:rsidRDefault="00111ED3" w:rsidP="007005BA">
            <w:pPr>
              <w:rPr>
                <w:rFonts w:cs="Arial"/>
                <w:szCs w:val="22"/>
                <w:lang w:val="fr-FR"/>
              </w:rPr>
            </w:pPr>
            <w:r w:rsidRPr="00293B75">
              <w:rPr>
                <w:rFonts w:cs="Arial"/>
                <w:szCs w:val="22"/>
                <w:lang w:val="fr-FR"/>
              </w:rPr>
              <w:t>Ad. 25</w:t>
            </w:r>
          </w:p>
        </w:tc>
        <w:tc>
          <w:tcPr>
            <w:tcW w:w="8350" w:type="dxa"/>
          </w:tcPr>
          <w:p w:rsidR="00111ED3" w:rsidRPr="00293B75" w:rsidRDefault="00111ED3" w:rsidP="007005BA">
            <w:pPr>
              <w:rPr>
                <w:rFonts w:cs="Arial"/>
                <w:lang w:val="fr-FR"/>
              </w:rPr>
            </w:pPr>
            <w:r w:rsidRPr="00293B75">
              <w:rPr>
                <w:rFonts w:cs="Arial"/>
                <w:lang w:val="fr-FR"/>
              </w:rPr>
              <w:t>conserver la proposition initiale comme convenu par le TWF, mais remplacer “fécondation” par “fertilité”</w:t>
            </w:r>
          </w:p>
        </w:tc>
      </w:tr>
    </w:tbl>
    <w:p w:rsidR="00111ED3" w:rsidRPr="00293B75" w:rsidRDefault="00111ED3" w:rsidP="007005BA">
      <w:pPr>
        <w:jc w:val="center"/>
        <w:rPr>
          <w:rFonts w:cs="Arial"/>
          <w:bCs/>
          <w:snapToGrid w:val="0"/>
          <w:lang w:val="fr-FR"/>
        </w:rPr>
      </w:pPr>
    </w:p>
    <w:p w:rsidR="00111ED3" w:rsidRPr="00293B75" w:rsidRDefault="00111ED3" w:rsidP="007005BA">
      <w:pPr>
        <w:jc w:val="center"/>
        <w:rPr>
          <w:rFonts w:cs="Arial"/>
          <w:bCs/>
          <w:snapToGrid w:val="0"/>
          <w:lang w:val="fr-FR"/>
        </w:rPr>
      </w:pPr>
    </w:p>
    <w:tbl>
      <w:tblPr>
        <w:tblW w:w="9670" w:type="dxa"/>
        <w:jc w:val="center"/>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293B75" w:rsidRPr="00293B75" w:rsidTr="00111ED3">
        <w:trPr>
          <w:cantSplit/>
          <w:jc w:val="center"/>
        </w:trPr>
        <w:tc>
          <w:tcPr>
            <w:tcW w:w="9670" w:type="dxa"/>
            <w:shd w:val="clear" w:color="auto" w:fill="D9D9D9"/>
            <w:vAlign w:val="center"/>
          </w:tcPr>
          <w:p w:rsidR="00111ED3" w:rsidRPr="00293B75" w:rsidRDefault="00111ED3" w:rsidP="007005BA">
            <w:pPr>
              <w:pStyle w:val="BodyText"/>
              <w:keepNext/>
              <w:tabs>
                <w:tab w:val="left" w:pos="1849"/>
              </w:tabs>
              <w:ind w:left="1803" w:hanging="1803"/>
              <w:jc w:val="left"/>
              <w:rPr>
                <w:rFonts w:cs="Arial"/>
                <w:b/>
                <w:iCs/>
                <w:lang w:val="fr-FR"/>
              </w:rPr>
            </w:pPr>
            <w:r w:rsidRPr="00293B75">
              <w:rPr>
                <w:rFonts w:cs="Arial"/>
                <w:b/>
                <w:iCs/>
                <w:lang w:val="fr-FR"/>
              </w:rPr>
              <w:t>TC/51/34</w:t>
            </w:r>
            <w:r w:rsidRPr="00293B75">
              <w:rPr>
                <w:rFonts w:cs="Arial"/>
                <w:b/>
                <w:iCs/>
                <w:lang w:val="fr-FR"/>
              </w:rPr>
              <w:tab/>
              <w:t>Révision partielle des principes directeurs d’examen de la grande oseille (document TG/268/1)</w:t>
            </w:r>
          </w:p>
        </w:tc>
      </w:tr>
    </w:tbl>
    <w:p w:rsidR="00111ED3" w:rsidRPr="00293B75" w:rsidRDefault="00111ED3" w:rsidP="007005BA">
      <w:pPr>
        <w:keepNext/>
        <w:jc w:val="center"/>
        <w:rPr>
          <w:rFonts w:cs="Arial"/>
          <w:b/>
          <w:bCs/>
          <w:snapToGrid w:val="0"/>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Le tableau ci</w:t>
      </w:r>
      <w:r w:rsidRPr="00293B75">
        <w:rPr>
          <w:rFonts w:cs="Arial"/>
          <w:lang w:val="fr-FR"/>
        </w:rPr>
        <w:noBreakHyphen/>
        <w:t>après contient les observations formulées par le Comité de rédaction élargi à sa réunion les 7 et 8 janvier 2015.</w:t>
      </w:r>
      <w:r w:rsidRPr="00293B75">
        <w:rPr>
          <w:lang w:val="fr-FR"/>
        </w:rPr>
        <w:t xml:space="preserve"> </w:t>
      </w:r>
      <w:r w:rsidRPr="00293B75">
        <w:rPr>
          <w:rFonts w:cs="Arial"/>
          <w:lang w:val="fr-FR"/>
        </w:rPr>
        <w:t xml:space="preserve"> Sauf indication contraire, toutes ces observations figurent déjà dans le document TC/51/34, qui a été soumis au TC :</w:t>
      </w:r>
    </w:p>
    <w:p w:rsidR="00111ED3" w:rsidRPr="00293B75" w:rsidRDefault="00111ED3" w:rsidP="007005BA">
      <w:pPr>
        <w:keepNext/>
        <w:jc w:val="center"/>
        <w:rPr>
          <w:rFonts w:cs="Arial"/>
          <w:b/>
          <w:bCs/>
          <w:snapToGrid w:val="0"/>
          <w:lang w:val="fr-FR"/>
        </w:rPr>
      </w:pP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354"/>
      </w:tblGrid>
      <w:tr w:rsidR="00293B75" w:rsidRPr="00293B75" w:rsidTr="00111ED3">
        <w:tc>
          <w:tcPr>
            <w:tcW w:w="1573" w:type="dxa"/>
          </w:tcPr>
          <w:p w:rsidR="00111ED3" w:rsidRPr="00293B75" w:rsidRDefault="00111ED3" w:rsidP="007005BA">
            <w:pPr>
              <w:jc w:val="left"/>
              <w:rPr>
                <w:rFonts w:cs="Arial"/>
                <w:lang w:val="fr-FR"/>
              </w:rPr>
            </w:pPr>
            <w:r w:rsidRPr="00293B75">
              <w:rPr>
                <w:rFonts w:cs="Arial"/>
                <w:lang w:val="fr-FR"/>
              </w:rPr>
              <w:t>Ad. 15 à 18</w:t>
            </w:r>
          </w:p>
        </w:tc>
        <w:tc>
          <w:tcPr>
            <w:tcW w:w="8354" w:type="dxa"/>
          </w:tcPr>
          <w:p w:rsidR="00111ED3" w:rsidRPr="00293B75" w:rsidRDefault="00111ED3" w:rsidP="007005BA">
            <w:pPr>
              <w:keepNext/>
              <w:rPr>
                <w:rFonts w:cs="Arial"/>
                <w:lang w:val="fr-FR"/>
              </w:rPr>
            </w:pPr>
            <w:r w:rsidRPr="00293B75">
              <w:rPr>
                <w:rFonts w:cs="Arial"/>
                <w:lang w:val="fr-FR"/>
              </w:rPr>
              <w:t>corriger la position de la flèche (a) largeur</w:t>
            </w:r>
          </w:p>
        </w:tc>
      </w:tr>
    </w:tbl>
    <w:p w:rsidR="00111ED3" w:rsidRPr="00293B75" w:rsidRDefault="00111ED3" w:rsidP="007005BA">
      <w:pPr>
        <w:jc w:val="center"/>
        <w:rPr>
          <w:rFonts w:cs="Arial"/>
          <w:bCs/>
          <w:snapToGrid w:val="0"/>
          <w:lang w:val="fr-FR"/>
        </w:rPr>
      </w:pPr>
    </w:p>
    <w:p w:rsidR="00111ED3" w:rsidRPr="00293B75" w:rsidRDefault="00111ED3" w:rsidP="007005BA">
      <w:pPr>
        <w:jc w:val="center"/>
        <w:rPr>
          <w:rFonts w:cs="Arial"/>
          <w:bCs/>
          <w:snapToGrid w:val="0"/>
          <w:lang w:val="fr-FR"/>
        </w:rPr>
      </w:pPr>
    </w:p>
    <w:p w:rsidR="00111ED3" w:rsidRPr="00293B75" w:rsidRDefault="00111ED3" w:rsidP="007005BA">
      <w:pPr>
        <w:keepNext/>
        <w:jc w:val="left"/>
        <w:rPr>
          <w:rFonts w:cs="Arial"/>
          <w:lang w:val="fr-FR"/>
        </w:rPr>
      </w:pPr>
      <w:r w:rsidRPr="00293B75">
        <w:rPr>
          <w:rFonts w:cs="Arial"/>
          <w:lang w:val="fr-FR"/>
        </w:rPr>
        <w:t>2.</w:t>
      </w:r>
      <w:r w:rsidRPr="00293B75">
        <w:rPr>
          <w:rFonts w:cs="Arial"/>
          <w:lang w:val="fr-FR"/>
        </w:rPr>
        <w:tab/>
        <w:t>NOUVEAUX PRINCIPES DIRECTEURS D’EXAMEN</w:t>
      </w:r>
    </w:p>
    <w:p w:rsidR="00111ED3" w:rsidRPr="00293B75" w:rsidRDefault="00111ED3" w:rsidP="007005BA">
      <w:pPr>
        <w:keepNext/>
        <w:jc w:val="left"/>
        <w:rPr>
          <w:rFonts w:cs="Arial"/>
          <w:u w:val="single"/>
          <w:lang w:val="fr-FR"/>
        </w:rPr>
      </w:pPr>
    </w:p>
    <w:tbl>
      <w:tblPr>
        <w:tblW w:w="6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18"/>
        <w:gridCol w:w="1701"/>
      </w:tblGrid>
      <w:tr w:rsidR="00293B75" w:rsidRPr="00293B75" w:rsidTr="00111ED3">
        <w:trPr>
          <w:cantSplit/>
          <w:trHeight w:val="277"/>
        </w:trPr>
        <w:tc>
          <w:tcPr>
            <w:tcW w:w="5018"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Goyavier du Brésil (</w:t>
            </w:r>
            <w:r w:rsidRPr="00293B75">
              <w:rPr>
                <w:rFonts w:cs="Arial"/>
                <w:i/>
                <w:caps w:val="0"/>
                <w:lang w:val="fr-FR"/>
              </w:rPr>
              <w:t>Acca sellowiana</w:t>
            </w:r>
            <w:r w:rsidRPr="00293B75">
              <w:rPr>
                <w:rFonts w:cs="Arial"/>
                <w:caps w:val="0"/>
                <w:lang w:val="fr-FR"/>
              </w:rPr>
              <w:t xml:space="preserve"> (Berg) Burret)</w:t>
            </w:r>
          </w:p>
        </w:tc>
        <w:tc>
          <w:tcPr>
            <w:tcW w:w="1701"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ACCA(</w:t>
            </w:r>
            <w:proofErr w:type="gramEnd"/>
            <w:r w:rsidRPr="00293B75">
              <w:rPr>
                <w:rFonts w:cs="Arial"/>
                <w:caps w:val="0"/>
                <w:lang w:val="fr-FR"/>
              </w:rPr>
              <w:t>proj.5)</w:t>
            </w:r>
          </w:p>
        </w:tc>
      </w:tr>
      <w:tr w:rsidR="00293B75" w:rsidRPr="00293B75" w:rsidTr="00111ED3">
        <w:trPr>
          <w:cantSplit/>
          <w:trHeight w:val="230"/>
        </w:trPr>
        <w:tc>
          <w:tcPr>
            <w:tcW w:w="5018"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1701"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jc w:val="left"/>
        <w:rPr>
          <w:rFonts w:cs="Arial"/>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projet des principes directeurs d’examen (document TG/</w:t>
      </w:r>
      <w:proofErr w:type="gramStart"/>
      <w:r w:rsidRPr="00293B75">
        <w:rPr>
          <w:rFonts w:cs="Arial"/>
          <w:lang w:val="fr-FR"/>
        </w:rPr>
        <w:t>ACCA(</w:t>
      </w:r>
      <w:proofErr w:type="gramEnd"/>
      <w:r w:rsidRPr="00293B75">
        <w:rPr>
          <w:rFonts w:cs="Arial"/>
          <w:lang w:val="fr-FR"/>
        </w:rPr>
        <w:t>proj.5)) soumis au TC :</w:t>
      </w:r>
    </w:p>
    <w:p w:rsidR="00111ED3" w:rsidRPr="00293B75" w:rsidRDefault="00111ED3" w:rsidP="007005BA">
      <w:pPr>
        <w:keepNext/>
        <w:jc w:val="left"/>
        <w:rPr>
          <w:rFonts w:cs="Arial"/>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3.</w:t>
            </w:r>
            <w:r w:rsidRPr="00293B75">
              <w:rPr>
                <w:rFonts w:cs="Arial"/>
                <w:iCs/>
                <w:lang w:val="fr-FR"/>
              </w:rPr>
              <w:t>1.2</w:t>
            </w:r>
          </w:p>
        </w:tc>
        <w:tc>
          <w:tcPr>
            <w:tcW w:w="8074" w:type="dxa"/>
          </w:tcPr>
          <w:p w:rsidR="00111ED3" w:rsidRPr="00293B75" w:rsidRDefault="00111ED3" w:rsidP="007005BA">
            <w:pPr>
              <w:autoSpaceDE w:val="0"/>
              <w:autoSpaceDN w:val="0"/>
              <w:adjustRightInd w:val="0"/>
              <w:rPr>
                <w:rFonts w:cs="Arial"/>
                <w:lang w:val="fr-FR"/>
              </w:rPr>
            </w:pPr>
            <w:r w:rsidRPr="00293B75">
              <w:rPr>
                <w:rFonts w:cs="Arial"/>
                <w:lang w:val="fr-FR"/>
              </w:rPr>
              <w:t>vérifier si le texte standard supplémentaire (ASW) de la section 3 b) peut être utilisé pour expliquer pourquoi l’ASW a été modifié</w:t>
            </w:r>
          </w:p>
          <w:p w:rsidR="00111ED3" w:rsidRPr="00293B75" w:rsidRDefault="00111ED3" w:rsidP="007005BA">
            <w:pPr>
              <w:autoSpaceDE w:val="0"/>
              <w:autoSpaceDN w:val="0"/>
              <w:adjustRightInd w:val="0"/>
              <w:rPr>
                <w:rFonts w:cs="Arial"/>
                <w:i/>
                <w:lang w:val="fr-FR"/>
              </w:rPr>
            </w:pPr>
            <w:r w:rsidRPr="00293B75">
              <w:rPr>
                <w:rFonts w:cs="Arial"/>
                <w:i/>
                <w:lang w:val="fr-FR"/>
              </w:rPr>
              <w:t>Expert principal : l’</w:t>
            </w:r>
            <w:r w:rsidRPr="00293B75">
              <w:rPr>
                <w:i/>
                <w:lang w:val="fr-FR"/>
              </w:rPr>
              <w:t>ASW de la section 3 b) peut être utilisé</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w:t>
            </w:r>
          </w:p>
        </w:tc>
        <w:tc>
          <w:tcPr>
            <w:tcW w:w="8074" w:type="dxa"/>
          </w:tcPr>
          <w:p w:rsidR="00111ED3" w:rsidRPr="00293B75" w:rsidRDefault="00111ED3" w:rsidP="007005BA">
            <w:pPr>
              <w:autoSpaceDE w:val="0"/>
              <w:autoSpaceDN w:val="0"/>
              <w:adjustRightInd w:val="0"/>
              <w:rPr>
                <w:rFonts w:cs="Arial"/>
                <w:lang w:val="fr-FR"/>
              </w:rPr>
            </w:pPr>
            <w:r w:rsidRPr="00293B75">
              <w:rPr>
                <w:rFonts w:cs="Arial"/>
                <w:lang w:val="fr-FR"/>
              </w:rPr>
              <w:t>- doit être libellé comme suit “Rameau de l’an</w:t>
            </w:r>
            <w:r w:rsidR="00492EEA" w:rsidRPr="00293B75">
              <w:rPr>
                <w:rFonts w:cs="Arial"/>
                <w:lang w:val="fr-FR"/>
              </w:rPr>
              <w:t>née : longueur de l’entre</w:t>
            </w:r>
            <w:r w:rsidR="00492EEA" w:rsidRPr="00293B75">
              <w:rPr>
                <w:rFonts w:cs="Arial"/>
                <w:lang w:val="fr-FR"/>
              </w:rPr>
              <w:noBreakHyphen/>
              <w:t>nœud”</w:t>
            </w:r>
            <w:r w:rsidRPr="00293B75">
              <w:rPr>
                <w:rFonts w:cs="Arial"/>
                <w:lang w:val="fr-FR"/>
              </w:rPr>
              <w:t>.</w:t>
            </w:r>
          </w:p>
          <w:p w:rsidR="00111ED3" w:rsidRPr="00293B75" w:rsidRDefault="00111ED3" w:rsidP="007005BA">
            <w:pPr>
              <w:rPr>
                <w:rFonts w:cs="Arial"/>
                <w:lang w:val="fr-FR"/>
              </w:rPr>
            </w:pPr>
            <w:r w:rsidRPr="00293B75">
              <w:rPr>
                <w:rFonts w:cs="Arial"/>
                <w:lang w:val="fr-FR"/>
              </w:rPr>
              <w:t>- vérifier s’il convient d’indiquer MS au lieu de MG.</w:t>
            </w:r>
          </w:p>
          <w:p w:rsidR="00111ED3" w:rsidRPr="00293B75" w:rsidRDefault="00111ED3" w:rsidP="007005BA">
            <w:pPr>
              <w:autoSpaceDE w:val="0"/>
              <w:autoSpaceDN w:val="0"/>
              <w:adjustRightInd w:val="0"/>
              <w:rPr>
                <w:rFonts w:cs="Arial"/>
                <w:lang w:val="fr-FR"/>
              </w:rPr>
            </w:pPr>
            <w:r w:rsidRPr="00293B75">
              <w:rPr>
                <w:rFonts w:cs="Arial"/>
                <w:i/>
                <w:lang w:val="fr-FR"/>
              </w:rPr>
              <w:t xml:space="preserve">Expert principal : </w:t>
            </w:r>
            <w:r w:rsidR="00492EEA" w:rsidRPr="00293B75">
              <w:rPr>
                <w:rFonts w:cs="Arial"/>
                <w:i/>
                <w:lang w:val="fr-FR"/>
              </w:rPr>
              <w:t>n</w:t>
            </w:r>
            <w:r w:rsidRPr="00293B75">
              <w:rPr>
                <w:rFonts w:cs="Arial"/>
                <w:i/>
                <w:lang w:val="fr-FR"/>
              </w:rPr>
              <w:t>ous utilisons MG, mais MS pourrait être une option à envisager.  L’expert propose VG/MG/MS.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8</w:t>
            </w:r>
          </w:p>
        </w:tc>
        <w:tc>
          <w:tcPr>
            <w:tcW w:w="8074" w:type="dxa"/>
          </w:tcPr>
          <w:p w:rsidR="00111ED3" w:rsidRPr="00293B75" w:rsidRDefault="00111ED3" w:rsidP="007005BA">
            <w:pPr>
              <w:rPr>
                <w:rFonts w:cs="Arial"/>
                <w:lang w:val="fr-FR"/>
              </w:rPr>
            </w:pPr>
            <w:r w:rsidRPr="00293B75">
              <w:rPr>
                <w:rFonts w:cs="Arial"/>
                <w:lang w:val="fr-FR"/>
              </w:rPr>
              <w:t>le niveau 2 doit être libellé “au milieu”</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7, 8</w:t>
            </w:r>
          </w:p>
        </w:tc>
        <w:tc>
          <w:tcPr>
            <w:tcW w:w="8074" w:type="dxa"/>
          </w:tcPr>
          <w:p w:rsidR="00111ED3" w:rsidRPr="00293B75" w:rsidRDefault="00111ED3" w:rsidP="007005BA">
            <w:pPr>
              <w:rPr>
                <w:rFonts w:cs="Arial"/>
                <w:lang w:val="fr-FR"/>
              </w:rPr>
            </w:pPr>
            <w:r w:rsidRPr="00293B75">
              <w:rPr>
                <w:rFonts w:cs="Arial"/>
                <w:lang w:val="fr-FR"/>
              </w:rPr>
              <w:t>vérifier s’il con</w:t>
            </w:r>
            <w:r w:rsidR="00492EEA" w:rsidRPr="00293B75">
              <w:rPr>
                <w:rFonts w:cs="Arial"/>
                <w:lang w:val="fr-FR"/>
              </w:rPr>
              <w:t>vient de supprimer le caractère </w:t>
            </w:r>
            <w:r w:rsidRPr="00293B75">
              <w:rPr>
                <w:rFonts w:cs="Arial"/>
                <w:lang w:val="fr-FR"/>
              </w:rPr>
              <w:t>7 ou le caractère</w:t>
            </w:r>
            <w:r w:rsidR="00492EEA" w:rsidRPr="00293B75">
              <w:rPr>
                <w:rFonts w:cs="Arial"/>
                <w:lang w:val="fr-FR"/>
              </w:rPr>
              <w:t> </w:t>
            </w:r>
            <w:r w:rsidRPr="00293B75">
              <w:rPr>
                <w:rFonts w:cs="Arial"/>
                <w:lang w:val="fr-FR"/>
              </w:rPr>
              <w:t>8 (redondance).</w:t>
            </w:r>
          </w:p>
          <w:p w:rsidR="00111ED3" w:rsidRPr="00293B75" w:rsidRDefault="00111ED3" w:rsidP="007005BA">
            <w:pPr>
              <w:rPr>
                <w:rFonts w:cs="Arial"/>
                <w:lang w:val="fr-FR"/>
              </w:rPr>
            </w:pPr>
            <w:r w:rsidRPr="00293B75">
              <w:rPr>
                <w:rFonts w:cs="Arial"/>
                <w:i/>
                <w:lang w:val="fr-FR"/>
              </w:rPr>
              <w:t xml:space="preserve">Expert principal : conserver les deux caractères.  </w:t>
            </w:r>
            <w:r w:rsidR="00492EEA" w:rsidRPr="00293B75">
              <w:rPr>
                <w:rFonts w:cs="Arial"/>
                <w:i/>
                <w:lang w:val="fr-FR"/>
              </w:rPr>
              <w:t>Une variété dotée d’un niveau </w:t>
            </w:r>
            <w:r w:rsidRPr="00293B75">
              <w:rPr>
                <w:rFonts w:cs="Arial"/>
                <w:i/>
                <w:lang w:val="fr-FR"/>
              </w:rPr>
              <w:t xml:space="preserve">2 </w:t>
            </w:r>
            <w:r w:rsidR="00492EEA" w:rsidRPr="00293B75">
              <w:rPr>
                <w:rFonts w:cs="Arial"/>
                <w:i/>
                <w:lang w:val="fr-FR"/>
              </w:rPr>
              <w:t>au caractère </w:t>
            </w:r>
            <w:r w:rsidRPr="00293B75">
              <w:rPr>
                <w:rFonts w:cs="Arial"/>
                <w:i/>
                <w:lang w:val="fr-FR"/>
              </w:rPr>
              <w:t xml:space="preserve">8 </w:t>
            </w:r>
            <w:r w:rsidR="00492EEA" w:rsidRPr="00293B75">
              <w:rPr>
                <w:rFonts w:cs="Arial"/>
                <w:i/>
                <w:lang w:val="fr-FR"/>
              </w:rPr>
              <w:t>pourrait avoir un niveau </w:t>
            </w:r>
            <w:r w:rsidRPr="00293B75">
              <w:rPr>
                <w:rFonts w:cs="Arial"/>
                <w:i/>
                <w:lang w:val="fr-FR"/>
              </w:rPr>
              <w:t>2 ou 3 au caractère </w:t>
            </w:r>
            <w:proofErr w:type="gramStart"/>
            <w:r w:rsidRPr="00293B75">
              <w:rPr>
                <w:rFonts w:cs="Arial"/>
                <w:i/>
                <w:lang w:val="fr-FR"/>
              </w:rPr>
              <w:t>7</w:t>
            </w:r>
            <w:proofErr w:type="gramEnd"/>
            <w:r w:rsidRPr="00293B75">
              <w:rPr>
                <w:rFonts w:cs="Arial"/>
                <w:i/>
                <w:lang w:val="fr-FR"/>
              </w:rPr>
              <w:t>;  il ne s’agit pas d’une redondance complète.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15</w:t>
            </w:r>
          </w:p>
        </w:tc>
        <w:tc>
          <w:tcPr>
            <w:tcW w:w="8074" w:type="dxa"/>
          </w:tcPr>
          <w:p w:rsidR="00111ED3" w:rsidRPr="00293B75" w:rsidRDefault="00111ED3" w:rsidP="007005BA">
            <w:pPr>
              <w:rPr>
                <w:rFonts w:cs="Arial"/>
                <w:lang w:val="fr-FR"/>
              </w:rPr>
            </w:pPr>
            <w:r w:rsidRPr="00293B75">
              <w:rPr>
                <w:rFonts w:cs="Arial"/>
                <w:lang w:val="fr-FR"/>
              </w:rPr>
              <w:t>- vérifier si QL est correct.</w:t>
            </w:r>
          </w:p>
          <w:p w:rsidR="00111ED3" w:rsidRPr="00293B75" w:rsidRDefault="00111ED3" w:rsidP="007005BA">
            <w:pPr>
              <w:rPr>
                <w:rFonts w:cs="Arial"/>
                <w:i/>
                <w:lang w:val="fr-FR"/>
              </w:rPr>
            </w:pPr>
            <w:r w:rsidRPr="00293B75">
              <w:rPr>
                <w:rFonts w:cs="Arial"/>
                <w:i/>
                <w:lang w:val="fr-FR"/>
              </w:rPr>
              <w:t>Expert principal : QL est correct, soit un type, soit l’autre.</w:t>
            </w:r>
          </w:p>
          <w:p w:rsidR="00111ED3" w:rsidRPr="00293B75" w:rsidRDefault="00111ED3" w:rsidP="007005BA">
            <w:pPr>
              <w:rPr>
                <w:rFonts w:cs="Arial"/>
                <w:lang w:val="fr-FR"/>
              </w:rPr>
            </w:pPr>
            <w:r w:rsidRPr="00293B75">
              <w:rPr>
                <w:rFonts w:cs="Arial"/>
                <w:lang w:val="fr-FR"/>
              </w:rPr>
              <w:t>- indiquer des variétés à titre d’exemple pour plusieurs niveaux d’expression</w:t>
            </w:r>
          </w:p>
          <w:p w:rsidR="00111ED3" w:rsidRPr="00293B75" w:rsidRDefault="00111ED3" w:rsidP="007005BA">
            <w:pPr>
              <w:rPr>
                <w:rFonts w:cs="Arial"/>
                <w:lang w:val="fr-FR"/>
              </w:rPr>
            </w:pPr>
            <w:r w:rsidRPr="00293B75">
              <w:rPr>
                <w:rFonts w:cs="Arial"/>
                <w:i/>
                <w:lang w:val="fr-FR"/>
              </w:rPr>
              <w:t xml:space="preserve">Expert principal : </w:t>
            </w:r>
            <w:r w:rsidR="00492EEA" w:rsidRPr="00293B75">
              <w:rPr>
                <w:rFonts w:cs="Arial"/>
                <w:i/>
                <w:lang w:val="fr-FR"/>
              </w:rPr>
              <w:t>e</w:t>
            </w:r>
            <w:r w:rsidRPr="00293B75">
              <w:rPr>
                <w:rFonts w:cs="Arial"/>
                <w:i/>
                <w:lang w:val="fr-FR"/>
              </w:rPr>
              <w:t>n se fondant sur le document GN28, ce caractère figure sans astérisque et n’est pas influencé par le milieu.  Il n’est pas nécessaire d’indiquer une variété à titre d’exemple pour le niveau 1.</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16</w:t>
            </w:r>
          </w:p>
        </w:tc>
        <w:tc>
          <w:tcPr>
            <w:tcW w:w="8074" w:type="dxa"/>
          </w:tcPr>
          <w:p w:rsidR="00111ED3" w:rsidRPr="00293B75" w:rsidRDefault="00111ED3" w:rsidP="007005BA">
            <w:pPr>
              <w:rPr>
                <w:rFonts w:cs="Arial"/>
                <w:lang w:val="fr-FR"/>
              </w:rPr>
            </w:pPr>
            <w:r w:rsidRPr="00293B75">
              <w:rPr>
                <w:rFonts w:cs="Arial"/>
                <w:lang w:val="fr-FR"/>
              </w:rPr>
              <w:t>indiquer des variétés à titre d’exemple pour plusieurs niveaux d’expression</w:t>
            </w:r>
          </w:p>
          <w:p w:rsidR="00111ED3" w:rsidRPr="00293B75" w:rsidRDefault="00111ED3" w:rsidP="007005BA">
            <w:pPr>
              <w:rPr>
                <w:rFonts w:cs="Arial"/>
                <w:lang w:val="fr-FR"/>
              </w:rPr>
            </w:pPr>
            <w:r w:rsidRPr="00293B75">
              <w:rPr>
                <w:rFonts w:cs="Arial"/>
                <w:i/>
                <w:lang w:val="fr-FR"/>
              </w:rPr>
              <w:t>Expert principal : ajouter “Arhart” et “Tharfiona” pour le niveau 1</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19</w:t>
            </w:r>
          </w:p>
        </w:tc>
        <w:tc>
          <w:tcPr>
            <w:tcW w:w="8074" w:type="dxa"/>
          </w:tcPr>
          <w:p w:rsidR="00111ED3" w:rsidRPr="00293B75" w:rsidRDefault="00111ED3" w:rsidP="007005BA">
            <w:pPr>
              <w:rPr>
                <w:rFonts w:cs="Arial"/>
                <w:lang w:val="fr-FR"/>
              </w:rPr>
            </w:pPr>
            <w:r w:rsidRPr="00293B75">
              <w:rPr>
                <w:rFonts w:cs="Arial"/>
                <w:lang w:val="fr-FR"/>
              </w:rPr>
              <w:t>indiquer des variétés à titre d’exemple pour plusieurs niveaux d’expression</w:t>
            </w:r>
          </w:p>
          <w:p w:rsidR="00111ED3" w:rsidRPr="00293B75" w:rsidRDefault="00111ED3" w:rsidP="00492EEA">
            <w:pPr>
              <w:rPr>
                <w:rFonts w:cs="Arial"/>
                <w:lang w:val="fr-FR"/>
              </w:rPr>
            </w:pPr>
            <w:r w:rsidRPr="00293B75">
              <w:rPr>
                <w:rFonts w:cs="Arial"/>
                <w:i/>
                <w:lang w:val="fr-FR"/>
              </w:rPr>
              <w:t xml:space="preserve">Expert principal : </w:t>
            </w:r>
            <w:r w:rsidR="00492EEA" w:rsidRPr="00293B75">
              <w:rPr>
                <w:rFonts w:cs="Arial"/>
                <w:i/>
                <w:lang w:val="fr-FR"/>
              </w:rPr>
              <w:t>e</w:t>
            </w:r>
            <w:r w:rsidRPr="00293B75">
              <w:rPr>
                <w:rFonts w:cs="Arial"/>
                <w:i/>
                <w:lang w:val="fr-FR"/>
              </w:rPr>
              <w:t>n se fondant sur le document GN28, ce caractère figure sans astérisque et n’est pas grandement influencé par le milieu.  Il n’est pas nécessaire d’indiquer une variété à titre d’exemple pour les niveaux 1 et 2.</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20, 21</w:t>
            </w:r>
          </w:p>
        </w:tc>
        <w:tc>
          <w:tcPr>
            <w:tcW w:w="8074" w:type="dxa"/>
          </w:tcPr>
          <w:p w:rsidR="00111ED3" w:rsidRPr="00293B75" w:rsidRDefault="00111ED3" w:rsidP="007005BA">
            <w:pPr>
              <w:jc w:val="left"/>
              <w:rPr>
                <w:rFonts w:cs="Arial"/>
                <w:lang w:val="fr-FR"/>
              </w:rPr>
            </w:pPr>
            <w:r w:rsidRPr="00293B75">
              <w:rPr>
                <w:rFonts w:cs="Arial"/>
                <w:lang w:val="fr-FR"/>
              </w:rPr>
              <w:t>- vérifier s’il est possible d’indiquer des variétés à titre d’exemple pour les deux caractères ou s’il convient de regrouper les caractères</w:t>
            </w:r>
          </w:p>
          <w:p w:rsidR="00111ED3" w:rsidRPr="00293B75" w:rsidRDefault="00111ED3" w:rsidP="007005BA">
            <w:pPr>
              <w:rPr>
                <w:rFonts w:cs="Arial"/>
                <w:i/>
                <w:lang w:val="fr-FR"/>
              </w:rPr>
            </w:pPr>
            <w:r w:rsidRPr="00293B75">
              <w:rPr>
                <w:rFonts w:cs="Arial"/>
                <w:i/>
                <w:lang w:val="fr-FR"/>
              </w:rPr>
              <w:t>Expert principal : regrouper les caractères 20 et 21 afin d’obtenir un seul caractère “Anthères : couleur”</w:t>
            </w:r>
          </w:p>
          <w:p w:rsidR="00111ED3" w:rsidRPr="00293B75" w:rsidRDefault="00111ED3" w:rsidP="007005BA">
            <w:pPr>
              <w:rPr>
                <w:rFonts w:cs="Arial"/>
                <w:lang w:val="fr-FR"/>
              </w:rPr>
            </w:pPr>
            <w:r w:rsidRPr="00293B75">
              <w:rPr>
                <w:rFonts w:cs="Arial"/>
                <w:lang w:val="fr-FR"/>
              </w:rPr>
              <w:t>- vérifier s’il convient de remplacer “blanc rougeâtre” par “rouge clair”</w:t>
            </w:r>
          </w:p>
          <w:p w:rsidR="00111ED3" w:rsidRPr="00293B75" w:rsidRDefault="00111ED3" w:rsidP="007005BA">
            <w:pPr>
              <w:rPr>
                <w:rFonts w:cs="Arial"/>
                <w:lang w:val="fr-FR"/>
              </w:rPr>
            </w:pPr>
            <w:r w:rsidRPr="00293B75">
              <w:rPr>
                <w:rFonts w:cs="Arial"/>
                <w:i/>
                <w:lang w:val="fr-FR"/>
              </w:rPr>
              <w:t>Expert principal : “</w:t>
            </w:r>
            <w:r w:rsidRPr="00293B75">
              <w:rPr>
                <w:rFonts w:cs="Arial"/>
                <w:lang w:val="fr-FR"/>
              </w:rPr>
              <w:t xml:space="preserve"> blanc rougeâtre”</w:t>
            </w:r>
            <w:r w:rsidRPr="00293B75">
              <w:rPr>
                <w:rFonts w:cs="Arial"/>
                <w:i/>
                <w:lang w:val="fr-FR"/>
              </w:rPr>
              <w:t xml:space="preserve"> est correct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23</w:t>
            </w:r>
          </w:p>
        </w:tc>
        <w:tc>
          <w:tcPr>
            <w:tcW w:w="8074" w:type="dxa"/>
          </w:tcPr>
          <w:p w:rsidR="00111ED3" w:rsidRPr="00293B75" w:rsidRDefault="00111ED3" w:rsidP="007005BA">
            <w:pPr>
              <w:autoSpaceDE w:val="0"/>
              <w:autoSpaceDN w:val="0"/>
              <w:adjustRightInd w:val="0"/>
              <w:rPr>
                <w:rFonts w:cs="Arial"/>
                <w:lang w:val="fr-FR"/>
              </w:rPr>
            </w:pPr>
            <w:r w:rsidRPr="00293B75">
              <w:rPr>
                <w:rFonts w:cs="Arial"/>
                <w:lang w:val="fr-FR"/>
              </w:rPr>
              <w:t>indiquer une variété à titre d’exemple pour le niveau 1</w:t>
            </w:r>
          </w:p>
          <w:p w:rsidR="00111ED3" w:rsidRPr="00293B75" w:rsidRDefault="00111ED3" w:rsidP="007005BA">
            <w:pPr>
              <w:autoSpaceDE w:val="0"/>
              <w:autoSpaceDN w:val="0"/>
              <w:adjustRightInd w:val="0"/>
              <w:rPr>
                <w:rFonts w:cs="Arial"/>
                <w:lang w:val="fr-FR"/>
              </w:rPr>
            </w:pPr>
            <w:r w:rsidRPr="00293B75">
              <w:rPr>
                <w:rFonts w:cs="Arial"/>
                <w:i/>
                <w:lang w:val="fr-FR"/>
              </w:rPr>
              <w:t>Expert principal : le niveau 1 doit être libellé comme suit “au même niveau à légèrement au</w:t>
            </w:r>
            <w:r w:rsidRPr="00293B75">
              <w:rPr>
                <w:rFonts w:cs="Arial"/>
                <w:i/>
                <w:lang w:val="fr-FR"/>
              </w:rPr>
              <w:noBreakHyphen/>
              <w:t>dessus” et ajouter la variété “Arhart” à titre d’exemple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24</w:t>
            </w:r>
          </w:p>
        </w:tc>
        <w:tc>
          <w:tcPr>
            <w:tcW w:w="8074" w:type="dxa"/>
          </w:tcPr>
          <w:p w:rsidR="00111ED3" w:rsidRPr="00293B75" w:rsidRDefault="00111ED3" w:rsidP="007005BA">
            <w:pPr>
              <w:rPr>
                <w:rFonts w:cs="Arial"/>
                <w:lang w:val="fr-FR"/>
              </w:rPr>
            </w:pPr>
            <w:r w:rsidRPr="00293B75">
              <w:rPr>
                <w:rFonts w:cs="Arial"/>
                <w:lang w:val="fr-FR"/>
              </w:rPr>
              <w:t>ajouter (+) et une explication et vérifier s’il convient d’indiquer comme MS</w:t>
            </w:r>
          </w:p>
          <w:p w:rsidR="00111ED3" w:rsidRPr="00293B75" w:rsidRDefault="00111ED3" w:rsidP="007005BA">
            <w:pPr>
              <w:rPr>
                <w:rFonts w:cs="Arial"/>
                <w:lang w:val="fr-FR"/>
              </w:rPr>
            </w:pPr>
            <w:r w:rsidRPr="00293B75">
              <w:rPr>
                <w:rFonts w:cs="Arial"/>
                <w:i/>
                <w:lang w:val="fr-FR"/>
              </w:rPr>
              <w:t>Expert principal : explication fournie.  Conserver MG, car le résultat combiné est une notation globale calculée pour la parcelle.  Il n’est pas nécessaire de fournir une notation pour le poids combiné pour chaque arbre</w:t>
            </w:r>
          </w:p>
        </w:tc>
      </w:tr>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car. 24 à 27</w:t>
            </w:r>
          </w:p>
        </w:tc>
        <w:tc>
          <w:tcPr>
            <w:tcW w:w="8074" w:type="dxa"/>
          </w:tcPr>
          <w:p w:rsidR="00111ED3" w:rsidRPr="00293B75" w:rsidRDefault="00111ED3" w:rsidP="007005BA">
            <w:pPr>
              <w:autoSpaceDE w:val="0"/>
              <w:autoSpaceDN w:val="0"/>
              <w:adjustRightInd w:val="0"/>
              <w:rPr>
                <w:rFonts w:cs="Arial"/>
                <w:lang w:val="fr-FR"/>
              </w:rPr>
            </w:pPr>
            <w:r w:rsidRPr="00293B75">
              <w:rPr>
                <w:rFonts w:cs="Arial"/>
                <w:lang w:val="fr-FR"/>
              </w:rPr>
              <w:t>fournir davantage de variétés à titre d’exemple (p. ex. pour les niveaux 1 et 3 du caractère 25).</w:t>
            </w:r>
          </w:p>
          <w:p w:rsidR="00111ED3" w:rsidRPr="00293B75" w:rsidRDefault="00111ED3" w:rsidP="007005BA">
            <w:pPr>
              <w:rPr>
                <w:rFonts w:cs="Arial"/>
                <w:i/>
                <w:lang w:val="fr-FR"/>
              </w:rPr>
            </w:pPr>
            <w:r w:rsidRPr="00293B75">
              <w:rPr>
                <w:i/>
                <w:lang w:val="fr-FR"/>
              </w:rPr>
              <w:t xml:space="preserve">fournis par l’expert principal.  </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34</w:t>
            </w:r>
          </w:p>
        </w:tc>
        <w:tc>
          <w:tcPr>
            <w:tcW w:w="8074" w:type="dxa"/>
          </w:tcPr>
          <w:p w:rsidR="00111ED3" w:rsidRPr="00293B75" w:rsidRDefault="00111ED3" w:rsidP="007005BA">
            <w:pPr>
              <w:rPr>
                <w:rFonts w:cs="Arial"/>
                <w:lang w:val="fr-FR"/>
              </w:rPr>
            </w:pPr>
            <w:r w:rsidRPr="00293B75">
              <w:rPr>
                <w:rFonts w:cs="Arial"/>
                <w:lang w:val="fr-FR"/>
              </w:rPr>
              <w:t>les niveaux doivent être libellés comme suit “lisses ou très peu rugueuses”, “peu rugueuses”, “modérément rugueuses”, “fortement rugueuses”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36, 37</w:t>
            </w:r>
          </w:p>
        </w:tc>
        <w:tc>
          <w:tcPr>
            <w:tcW w:w="8074" w:type="dxa"/>
          </w:tcPr>
          <w:p w:rsidR="00111ED3" w:rsidRPr="00293B75" w:rsidRDefault="00111ED3" w:rsidP="007005BA">
            <w:pPr>
              <w:rPr>
                <w:rFonts w:cs="Arial"/>
                <w:lang w:val="fr-FR"/>
              </w:rPr>
            </w:pPr>
            <w:r w:rsidRPr="00293B75">
              <w:rPr>
                <w:rFonts w:cs="Arial"/>
                <w:lang w:val="fr-FR"/>
              </w:rPr>
              <w:t>ajouter des variétés indiquées à titre d’exemple</w:t>
            </w:r>
          </w:p>
          <w:p w:rsidR="00111ED3" w:rsidRPr="00293B75" w:rsidRDefault="00111ED3" w:rsidP="007005BA">
            <w:pPr>
              <w:rPr>
                <w:rFonts w:cs="Arial"/>
                <w:lang w:val="fr-FR"/>
              </w:rPr>
            </w:pPr>
            <w:r w:rsidRPr="00293B75">
              <w:rPr>
                <w:rFonts w:cs="Arial"/>
                <w:i/>
                <w:lang w:val="fr-FR"/>
              </w:rPr>
              <w:t>Expert principal : ajouter la variété “Arhart” à titre d’exemple pour le niveau 1 pour les deux caractères.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40</w:t>
            </w:r>
          </w:p>
        </w:tc>
        <w:tc>
          <w:tcPr>
            <w:tcW w:w="8074" w:type="dxa"/>
          </w:tcPr>
          <w:p w:rsidR="00111ED3" w:rsidRPr="00293B75" w:rsidRDefault="00111ED3" w:rsidP="007005BA">
            <w:pPr>
              <w:rPr>
                <w:rFonts w:cs="Arial"/>
                <w:lang w:val="fr-FR"/>
              </w:rPr>
            </w:pPr>
            <w:r w:rsidRPr="00293B75">
              <w:rPr>
                <w:rFonts w:cs="Arial"/>
                <w:lang w:val="fr-FR"/>
              </w:rPr>
              <w:t>le niveau 1 doit être libellé comme suit “absente”</w:t>
            </w:r>
          </w:p>
          <w:p w:rsidR="00111ED3" w:rsidRPr="00293B75" w:rsidRDefault="00111ED3" w:rsidP="007005BA">
            <w:pPr>
              <w:rPr>
                <w:rFonts w:cs="Arial"/>
                <w:lang w:val="fr-FR"/>
              </w:rPr>
            </w:pPr>
            <w:r w:rsidRPr="00293B75">
              <w:rPr>
                <w:rFonts w:cs="Arial"/>
                <w:i/>
                <w:lang w:val="fr-FR"/>
              </w:rPr>
              <w:t>avis de l’expert principal : pas de changement.  L’utilisation d’</w:t>
            </w:r>
            <w:r w:rsidR="00492EEA" w:rsidRPr="00293B75">
              <w:rPr>
                <w:rFonts w:cs="Arial"/>
                <w:lang w:val="fr-FR"/>
              </w:rPr>
              <w:t>“</w:t>
            </w:r>
            <w:r w:rsidRPr="00293B75">
              <w:rPr>
                <w:rFonts w:cs="Arial"/>
                <w:lang w:val="fr-FR"/>
              </w:rPr>
              <w:t>absente” pour le niveau peut prêter à confusion et est inexacte</w:t>
            </w:r>
            <w:r w:rsidRPr="00293B75">
              <w:rPr>
                <w:rFonts w:cs="Arial"/>
                <w:i/>
                <w:lang w:val="fr-FR"/>
              </w:rPr>
              <w:t xml:space="preserve">.  </w:t>
            </w:r>
            <w:r w:rsidRPr="00293B75">
              <w:rPr>
                <w:rFonts w:cs="Arial"/>
                <w:lang w:val="fr-FR"/>
              </w:rPr>
              <w:t>“</w:t>
            </w:r>
            <w:r w:rsidRPr="00293B75">
              <w:rPr>
                <w:rFonts w:cs="Arial"/>
                <w:i/>
                <w:lang w:val="fr-FR"/>
              </w:rPr>
              <w:t>Transparente</w:t>
            </w:r>
            <w:r w:rsidRPr="00293B75">
              <w:rPr>
                <w:rFonts w:cs="Arial"/>
                <w:lang w:val="fr-FR"/>
              </w:rPr>
              <w:t>”</w:t>
            </w:r>
            <w:r w:rsidRPr="00293B75">
              <w:rPr>
                <w:rFonts w:cs="Arial"/>
                <w:i/>
                <w:lang w:val="fr-FR"/>
              </w:rPr>
              <w:t xml:space="preserve"> décrit précisément l’absence de couleur.  </w:t>
            </w:r>
            <w:r w:rsidRPr="00293B75">
              <w:rPr>
                <w:rFonts w:cs="Arial"/>
                <w:lang w:val="fr-FR"/>
              </w:rPr>
              <w:t>“Absente” pourrait être confondue avec “blanchâtre”, car le blanc n’est pas exactement une couleur</w:t>
            </w:r>
            <w:r w:rsidRPr="00293B75">
              <w:rPr>
                <w:rFonts w:cs="Arial"/>
                <w:i/>
                <w:lang w:val="fr-FR"/>
              </w:rPr>
              <w:t xml:space="preserve">.  Il convient de conserver </w:t>
            </w:r>
            <w:r w:rsidRPr="00293B75">
              <w:rPr>
                <w:rFonts w:cs="Arial"/>
                <w:lang w:val="fr-FR"/>
              </w:rPr>
              <w:t>“</w:t>
            </w:r>
            <w:r w:rsidRPr="00293B75">
              <w:rPr>
                <w:rFonts w:cs="Arial"/>
                <w:i/>
                <w:lang w:val="fr-FR"/>
              </w:rPr>
              <w:t>transparente</w:t>
            </w:r>
            <w:r w:rsidRPr="00293B75">
              <w:rPr>
                <w:rFonts w:cs="Arial"/>
                <w:lang w:val="fr-FR"/>
              </w:rPr>
              <w:t>”</w:t>
            </w:r>
            <w:r w:rsidRPr="00293B75">
              <w:rPr>
                <w:rFonts w:cs="Arial"/>
                <w:i/>
                <w:lang w:val="fr-FR"/>
              </w:rPr>
              <w:t xml:space="preserve"> ou </w:t>
            </w:r>
            <w:r w:rsidRPr="00293B75">
              <w:rPr>
                <w:rFonts w:cs="Arial"/>
                <w:lang w:val="fr-FR"/>
              </w:rPr>
              <w:t>“</w:t>
            </w:r>
            <w:r w:rsidRPr="00293B75">
              <w:rPr>
                <w:rFonts w:cs="Arial"/>
                <w:i/>
                <w:lang w:val="fr-FR"/>
              </w:rPr>
              <w:t>incolore</w:t>
            </w:r>
            <w:r w:rsidRPr="00293B75">
              <w:rPr>
                <w:rFonts w:cs="Arial"/>
                <w:lang w:val="fr-FR"/>
              </w:rPr>
              <w:t>”</w:t>
            </w:r>
            <w:r w:rsidRPr="00293B75">
              <w:rPr>
                <w:rFonts w:cs="Arial"/>
                <w:i/>
                <w:lang w:val="fr-FR"/>
              </w:rPr>
              <w: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41</w:t>
            </w:r>
          </w:p>
        </w:tc>
        <w:tc>
          <w:tcPr>
            <w:tcW w:w="8074" w:type="dxa"/>
          </w:tcPr>
          <w:p w:rsidR="00111ED3" w:rsidRPr="00293B75" w:rsidRDefault="00111ED3" w:rsidP="007005BA">
            <w:pPr>
              <w:rPr>
                <w:rFonts w:cs="Arial"/>
                <w:lang w:val="fr-FR"/>
              </w:rPr>
            </w:pPr>
            <w:r w:rsidRPr="00293B75">
              <w:rPr>
                <w:rFonts w:cs="Arial"/>
                <w:lang w:val="fr-FR"/>
              </w:rPr>
              <w:t>ajouter (+) et une explication afin de clarifier ce à quoi “taille” fait référence</w:t>
            </w:r>
          </w:p>
          <w:p w:rsidR="00111ED3" w:rsidRPr="00293B75" w:rsidRDefault="00111ED3" w:rsidP="007005BA">
            <w:pPr>
              <w:rPr>
                <w:rFonts w:cs="Arial"/>
                <w:lang w:val="fr-FR"/>
              </w:rPr>
            </w:pPr>
            <w:r w:rsidRPr="00293B75">
              <w:rPr>
                <w:i/>
                <w:lang w:val="fr-FR"/>
              </w:rPr>
              <w:t>fournie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42</w:t>
            </w:r>
          </w:p>
        </w:tc>
        <w:tc>
          <w:tcPr>
            <w:tcW w:w="8074" w:type="dxa"/>
          </w:tcPr>
          <w:p w:rsidR="00111ED3" w:rsidRPr="00293B75" w:rsidRDefault="00111ED3" w:rsidP="007005BA">
            <w:pPr>
              <w:rPr>
                <w:rFonts w:cs="Arial"/>
                <w:lang w:val="fr-FR"/>
              </w:rPr>
            </w:pPr>
            <w:r w:rsidRPr="00293B75">
              <w:rPr>
                <w:rFonts w:cs="Arial"/>
                <w:lang w:val="fr-FR"/>
              </w:rPr>
              <w:t>vérifier s’il convient de supprimer VG</w:t>
            </w:r>
          </w:p>
          <w:p w:rsidR="00111ED3" w:rsidRPr="00293B75" w:rsidRDefault="00111ED3" w:rsidP="007005BA">
            <w:pPr>
              <w:rPr>
                <w:rFonts w:cs="Arial"/>
                <w:lang w:val="fr-FR"/>
              </w:rPr>
            </w:pPr>
            <w:r w:rsidRPr="00293B75">
              <w:rPr>
                <w:rFonts w:cs="Arial"/>
                <w:i/>
                <w:lang w:val="fr-FR"/>
              </w:rPr>
              <w:t>Expert principal : VG est possible avec l’utilisation de variétés à titre d’exemple.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1</w:t>
            </w:r>
          </w:p>
        </w:tc>
        <w:tc>
          <w:tcPr>
            <w:tcW w:w="8074" w:type="dxa"/>
          </w:tcPr>
          <w:p w:rsidR="00111ED3" w:rsidRPr="00293B75" w:rsidRDefault="00111ED3" w:rsidP="007005BA">
            <w:pPr>
              <w:autoSpaceDE w:val="0"/>
              <w:autoSpaceDN w:val="0"/>
              <w:adjustRightInd w:val="0"/>
              <w:rPr>
                <w:rFonts w:cs="Arial"/>
                <w:lang w:val="fr-FR"/>
              </w:rPr>
            </w:pPr>
            <w:r w:rsidRPr="00293B75">
              <w:rPr>
                <w:rFonts w:cs="Arial"/>
                <w:lang w:val="fr-FR"/>
              </w:rPr>
              <w:t>ajouter une illustration</w:t>
            </w:r>
          </w:p>
          <w:p w:rsidR="00111ED3" w:rsidRPr="00293B75" w:rsidRDefault="00111ED3" w:rsidP="007005BA">
            <w:pPr>
              <w:rPr>
                <w:rFonts w:cs="Arial"/>
                <w:i/>
                <w:lang w:val="fr-FR"/>
              </w:rPr>
            </w:pPr>
            <w:r w:rsidRPr="00293B75">
              <w:rPr>
                <w:i/>
                <w:lang w:val="fr-FR"/>
              </w:rPr>
              <w:t>fournie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6 à 8</w:t>
            </w:r>
          </w:p>
        </w:tc>
        <w:tc>
          <w:tcPr>
            <w:tcW w:w="8074" w:type="dxa"/>
          </w:tcPr>
          <w:p w:rsidR="00111ED3" w:rsidRPr="00293B75" w:rsidRDefault="00111ED3" w:rsidP="007005BA">
            <w:pPr>
              <w:autoSpaceDE w:val="0"/>
              <w:autoSpaceDN w:val="0"/>
              <w:adjustRightInd w:val="0"/>
              <w:rPr>
                <w:rFonts w:cs="Arial"/>
                <w:lang w:val="fr-FR"/>
              </w:rPr>
            </w:pPr>
            <w:r w:rsidRPr="00293B75">
              <w:rPr>
                <w:rFonts w:cs="Arial"/>
                <w:lang w:val="fr-FR"/>
              </w:rPr>
              <w:t xml:space="preserve">déplacer les illustrations pour </w:t>
            </w:r>
            <w:proofErr w:type="gramStart"/>
            <w:r w:rsidRPr="00293B75">
              <w:rPr>
                <w:rFonts w:cs="Arial"/>
                <w:lang w:val="fr-FR"/>
              </w:rPr>
              <w:t>les niveaux</w:t>
            </w:r>
            <w:proofErr w:type="gramEnd"/>
            <w:r w:rsidRPr="00293B75">
              <w:rPr>
                <w:rFonts w:cs="Arial"/>
                <w:lang w:val="fr-FR"/>
              </w:rPr>
              <w:t xml:space="preserve"> 1 et 4 vers le haut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25, 26</w:t>
            </w:r>
          </w:p>
        </w:tc>
        <w:tc>
          <w:tcPr>
            <w:tcW w:w="8074" w:type="dxa"/>
          </w:tcPr>
          <w:p w:rsidR="00111ED3" w:rsidRPr="00293B75" w:rsidRDefault="00111ED3" w:rsidP="007005BA">
            <w:pPr>
              <w:autoSpaceDE w:val="0"/>
              <w:autoSpaceDN w:val="0"/>
              <w:adjustRightInd w:val="0"/>
              <w:rPr>
                <w:rFonts w:cs="Arial"/>
                <w:lang w:val="fr-FR"/>
              </w:rPr>
            </w:pPr>
            <w:r w:rsidRPr="00293B75">
              <w:rPr>
                <w:rFonts w:cs="Arial"/>
                <w:lang w:val="fr-FR"/>
              </w:rPr>
              <w:t>l’illustration doit être retournée afin que la base soit en bas</w:t>
            </w:r>
          </w:p>
          <w:p w:rsidR="00111ED3" w:rsidRPr="00293B75" w:rsidRDefault="00111ED3" w:rsidP="007005BA">
            <w:pPr>
              <w:autoSpaceDE w:val="0"/>
              <w:autoSpaceDN w:val="0"/>
              <w:adjustRightInd w:val="0"/>
              <w:rPr>
                <w:rFonts w:cs="Arial"/>
                <w:lang w:val="fr-FR"/>
              </w:rPr>
            </w:pPr>
            <w:r w:rsidRPr="00293B75">
              <w:rPr>
                <w:rFonts w:cs="Arial"/>
                <w:lang w:val="fr-FR"/>
              </w:rPr>
              <w:t>la longueur doit être mesurée sans le calice;  corriger la flèche</w:t>
            </w:r>
          </w:p>
          <w:p w:rsidR="00111ED3" w:rsidRPr="00293B75" w:rsidRDefault="00111ED3" w:rsidP="007005BA">
            <w:pPr>
              <w:autoSpaceDE w:val="0"/>
              <w:autoSpaceDN w:val="0"/>
              <w:adjustRightInd w:val="0"/>
              <w:rPr>
                <w:rFonts w:cs="Arial"/>
                <w:i/>
                <w:lang w:val="fr-FR"/>
              </w:rPr>
            </w:pPr>
            <w:r w:rsidRPr="00293B75">
              <w:rPr>
                <w:rFonts w:cs="Arial"/>
                <w:i/>
                <w:lang w:val="fr-FR"/>
              </w:rPr>
              <w:t>nouvelle illustration fournie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27, 28</w:t>
            </w:r>
          </w:p>
        </w:tc>
        <w:tc>
          <w:tcPr>
            <w:tcW w:w="8074" w:type="dxa"/>
          </w:tcPr>
          <w:p w:rsidR="00111ED3" w:rsidRPr="00293B75" w:rsidRDefault="00111ED3" w:rsidP="007005BA">
            <w:pPr>
              <w:rPr>
                <w:rFonts w:cs="Arial"/>
                <w:lang w:val="fr-FR"/>
              </w:rPr>
            </w:pPr>
            <w:r w:rsidRPr="00293B75">
              <w:rPr>
                <w:rFonts w:cs="Arial"/>
                <w:lang w:val="fr-FR"/>
              </w:rPr>
              <w:t>il convient d’illustrer séparément et d’améliorer l’illustration</w:t>
            </w:r>
          </w:p>
          <w:p w:rsidR="00111ED3" w:rsidRPr="00293B75" w:rsidRDefault="00111ED3" w:rsidP="007005BA">
            <w:pPr>
              <w:rPr>
                <w:rFonts w:cs="Arial"/>
                <w:lang w:val="fr-FR"/>
              </w:rPr>
            </w:pPr>
            <w:r w:rsidRPr="00293B75">
              <w:rPr>
                <w:rFonts w:cs="Arial"/>
                <w:lang w:val="fr-FR"/>
              </w:rPr>
              <w:t>les niveaux 2 et 3 diffèrent uniquement quant au rapport longueur/largeur</w:t>
            </w:r>
          </w:p>
          <w:p w:rsidR="00111ED3" w:rsidRPr="00293B75" w:rsidRDefault="00111ED3" w:rsidP="007005BA">
            <w:pPr>
              <w:rPr>
                <w:rFonts w:cs="Arial"/>
                <w:lang w:val="fr-FR"/>
              </w:rPr>
            </w:pPr>
            <w:r w:rsidRPr="00293B75">
              <w:rPr>
                <w:rFonts w:cs="Arial"/>
                <w:i/>
                <w:lang w:val="fr-FR"/>
              </w:rPr>
              <w:t>Avis de l’expert principal : pas de changement</w:t>
            </w:r>
            <w:r w:rsidRPr="00293B75">
              <w:rPr>
                <w:rFonts w:cs="Arial"/>
                <w:lang w:val="fr-FR"/>
              </w:rPr>
              <w:t>.</w:t>
            </w:r>
            <w:r w:rsidRPr="00293B75">
              <w:rPr>
                <w:lang w:val="fr-FR"/>
              </w:rPr>
              <w:t xml:space="preserve">  </w:t>
            </w:r>
            <w:r w:rsidRPr="00293B75">
              <w:rPr>
                <w:rFonts w:cs="Arial"/>
                <w:i/>
                <w:lang w:val="fr-FR"/>
              </w:rPr>
              <w:t xml:space="preserve">Un tableau combiné a été utilisé dans d’autres documents TG pour la forme et le rapport </w:t>
            </w:r>
            <w:r w:rsidRPr="00293B75">
              <w:rPr>
                <w:rFonts w:cs="Arial"/>
                <w:lang w:val="fr-FR"/>
              </w:rPr>
              <w:t>longueur/largeur.</w:t>
            </w:r>
            <w:r w:rsidRPr="00293B75">
              <w:rPr>
                <w:lang w:val="fr-FR"/>
              </w:rPr>
              <w:t xml:space="preserve">  </w:t>
            </w:r>
            <w:r w:rsidRPr="00293B75">
              <w:rPr>
                <w:rFonts w:cs="Arial"/>
                <w:i/>
                <w:lang w:val="fr-FR"/>
              </w:rPr>
              <w:t>Les niveaux 2 et 3 ne diffèrent pas uniquement par rapport à la taille;  circulaire et elliptique.</w:t>
            </w:r>
            <w:r w:rsidRPr="00293B75">
              <w:rPr>
                <w:i/>
                <w:lang w:val="fr-FR"/>
              </w:rPr>
              <w:t xml:space="preserve"> </w:t>
            </w:r>
            <w:r w:rsidRPr="00293B75">
              <w:rPr>
                <w:rFonts w:cs="Arial"/>
                <w:i/>
                <w:lang w:val="fr-FR"/>
              </w:rPr>
              <w:t xml:space="preserve"> </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29</w:t>
            </w:r>
          </w:p>
        </w:tc>
        <w:tc>
          <w:tcPr>
            <w:tcW w:w="8074" w:type="dxa"/>
          </w:tcPr>
          <w:p w:rsidR="00111ED3" w:rsidRPr="00293B75" w:rsidRDefault="00111ED3" w:rsidP="007005BA">
            <w:pPr>
              <w:rPr>
                <w:rFonts w:cs="Arial"/>
                <w:lang w:val="fr-FR"/>
              </w:rPr>
            </w:pPr>
            <w:r w:rsidRPr="00293B75">
              <w:rPr>
                <w:rFonts w:cs="Arial"/>
                <w:lang w:val="fr-FR"/>
              </w:rPr>
              <w:t>à améliorer.</w:t>
            </w:r>
          </w:p>
          <w:p w:rsidR="00111ED3" w:rsidRPr="00293B75" w:rsidRDefault="00111ED3" w:rsidP="007005BA">
            <w:pPr>
              <w:rPr>
                <w:rFonts w:cs="Arial"/>
                <w:lang w:val="fr-FR"/>
              </w:rPr>
            </w:pPr>
            <w:r w:rsidRPr="00293B75">
              <w:rPr>
                <w:rFonts w:cs="Arial"/>
                <w:i/>
                <w:lang w:val="fr-FR"/>
              </w:rPr>
              <w:t>Expert principal : a fourni une explication à ajouter aux illustrations.</w:t>
            </w:r>
          </w:p>
        </w:tc>
      </w:tr>
      <w:tr w:rsidR="00293B75" w:rsidRPr="00293B75" w:rsidTr="00111ED3">
        <w:trPr>
          <w:cantSplit/>
        </w:trPr>
        <w:tc>
          <w:tcPr>
            <w:tcW w:w="1573" w:type="dxa"/>
          </w:tcPr>
          <w:p w:rsidR="00111ED3" w:rsidRPr="00293B75" w:rsidRDefault="00111ED3" w:rsidP="007005BA">
            <w:pPr>
              <w:rPr>
                <w:rFonts w:cs="Arial"/>
                <w:highlight w:val="cyan"/>
                <w:lang w:val="fr-FR"/>
              </w:rPr>
            </w:pPr>
            <w:r w:rsidRPr="00293B75">
              <w:rPr>
                <w:rFonts w:cs="Arial"/>
                <w:lang w:val="fr-FR"/>
              </w:rPr>
              <w:t>Ad. 30</w:t>
            </w:r>
          </w:p>
        </w:tc>
        <w:tc>
          <w:tcPr>
            <w:tcW w:w="8074" w:type="dxa"/>
          </w:tcPr>
          <w:p w:rsidR="00111ED3" w:rsidRPr="00293B75" w:rsidRDefault="00111ED3" w:rsidP="007005BA">
            <w:pPr>
              <w:rPr>
                <w:rFonts w:cs="Arial"/>
                <w:lang w:val="fr-FR"/>
              </w:rPr>
            </w:pPr>
            <w:r w:rsidRPr="00293B75">
              <w:rPr>
                <w:rFonts w:cs="Arial"/>
                <w:lang w:val="fr-FR"/>
              </w:rPr>
              <w:t>ajouter une explication afin de clarifier ce qu’il convient d’observer et vérifier s’il convient de remplacer les photographies par des dessins ou d’améliorer la position des flèches</w:t>
            </w:r>
          </w:p>
          <w:p w:rsidR="00111ED3" w:rsidRPr="00293B75" w:rsidRDefault="00111ED3" w:rsidP="007005BA">
            <w:pPr>
              <w:rPr>
                <w:rFonts w:cs="Arial"/>
                <w:lang w:val="fr-FR"/>
              </w:rPr>
            </w:pPr>
            <w:r w:rsidRPr="00293B75">
              <w:rPr>
                <w:rFonts w:cs="Arial"/>
                <w:i/>
                <w:lang w:val="fr-FR"/>
              </w:rPr>
              <w:t>Expert principal : a fourni une explication à ajouter aux illustrations.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34</w:t>
            </w:r>
          </w:p>
        </w:tc>
        <w:tc>
          <w:tcPr>
            <w:tcW w:w="8074" w:type="dxa"/>
          </w:tcPr>
          <w:p w:rsidR="00111ED3" w:rsidRPr="00293B75" w:rsidRDefault="00111ED3" w:rsidP="007005BA">
            <w:pPr>
              <w:rPr>
                <w:rFonts w:cs="Arial"/>
                <w:lang w:val="fr-FR"/>
              </w:rPr>
            </w:pPr>
            <w:r w:rsidRPr="00293B75">
              <w:rPr>
                <w:rFonts w:cs="Arial"/>
                <w:lang w:val="fr-FR"/>
              </w:rPr>
              <w:t>doit être libellé comme suit “La rugosité du fruit est définie par le nombre et l’intensité des rides.  Les rides sont irrégulières et rétiformes.”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36 à 39</w:t>
            </w:r>
          </w:p>
        </w:tc>
        <w:tc>
          <w:tcPr>
            <w:tcW w:w="8074" w:type="dxa"/>
          </w:tcPr>
          <w:p w:rsidR="00111ED3" w:rsidRPr="00293B75" w:rsidRDefault="00111ED3" w:rsidP="007005BA">
            <w:pPr>
              <w:rPr>
                <w:rFonts w:cs="Arial"/>
                <w:lang w:val="fr-FR"/>
              </w:rPr>
            </w:pPr>
            <w:r w:rsidRPr="00293B75">
              <w:rPr>
                <w:rFonts w:cs="Arial"/>
                <w:lang w:val="fr-FR"/>
              </w:rPr>
              <w:t>améliorer la position de la flèche indiquant l’épiderme.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Questionnaire technique 1</w:t>
            </w:r>
          </w:p>
        </w:tc>
        <w:tc>
          <w:tcPr>
            <w:tcW w:w="8074" w:type="dxa"/>
          </w:tcPr>
          <w:p w:rsidR="00111ED3" w:rsidRPr="00293B75" w:rsidRDefault="00111ED3" w:rsidP="007005BA">
            <w:pPr>
              <w:rPr>
                <w:rFonts w:cs="Arial"/>
                <w:lang w:val="fr-FR"/>
              </w:rPr>
            </w:pPr>
            <w:r w:rsidRPr="00293B75">
              <w:rPr>
                <w:rFonts w:cs="Arial"/>
                <w:lang w:val="fr-FR"/>
              </w:rPr>
              <w:t>conserver le nom botanique principal uniquement</w:t>
            </w:r>
          </w:p>
        </w:tc>
      </w:tr>
    </w:tbl>
    <w:p w:rsidR="00111ED3" w:rsidRPr="00293B75" w:rsidRDefault="00111ED3" w:rsidP="007005BA">
      <w:pPr>
        <w:jc w:val="left"/>
        <w:rPr>
          <w:rFonts w:cs="Arial"/>
          <w:u w:val="single"/>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67" w:type="dxa"/>
          </w:tcPr>
          <w:p w:rsidR="00111ED3" w:rsidRPr="00293B75" w:rsidRDefault="00111ED3" w:rsidP="007005BA">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7, 8</w:t>
            </w:r>
          </w:p>
        </w:tc>
        <w:tc>
          <w:tcPr>
            <w:tcW w:w="8067" w:type="dxa"/>
          </w:tcPr>
          <w:p w:rsidR="00111ED3" w:rsidRPr="00293B75" w:rsidRDefault="00111ED3" w:rsidP="007005BA">
            <w:pPr>
              <w:rPr>
                <w:rFonts w:cs="Arial"/>
                <w:lang w:val="fr-FR"/>
              </w:rPr>
            </w:pPr>
            <w:r w:rsidRPr="00293B75">
              <w:rPr>
                <w:rFonts w:cs="Arial"/>
                <w:lang w:val="fr-FR"/>
              </w:rPr>
              <w:t>inverser l’ordre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8</w:t>
            </w:r>
          </w:p>
        </w:tc>
        <w:tc>
          <w:tcPr>
            <w:tcW w:w="8067" w:type="dxa"/>
          </w:tcPr>
          <w:p w:rsidR="00111ED3" w:rsidRPr="00293B75" w:rsidRDefault="00111ED3" w:rsidP="007005BA">
            <w:pPr>
              <w:rPr>
                <w:rFonts w:cs="Arial"/>
                <w:lang w:val="fr-FR"/>
              </w:rPr>
            </w:pPr>
            <w:r w:rsidRPr="00293B75">
              <w:rPr>
                <w:rFonts w:cs="Arial"/>
                <w:lang w:val="fr-FR"/>
              </w:rPr>
              <w:t>supprimer (*)</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Questionnaire technique 7.3</w:t>
            </w:r>
          </w:p>
        </w:tc>
        <w:tc>
          <w:tcPr>
            <w:tcW w:w="8067" w:type="dxa"/>
          </w:tcPr>
          <w:p w:rsidR="00111ED3" w:rsidRPr="00293B75" w:rsidRDefault="00111ED3" w:rsidP="007005BA">
            <w:pPr>
              <w:rPr>
                <w:rFonts w:cs="Arial"/>
                <w:lang w:val="fr-FR"/>
              </w:rPr>
            </w:pPr>
            <w:r w:rsidRPr="00293B75">
              <w:rPr>
                <w:rFonts w:cs="Arial"/>
                <w:lang w:val="fr-FR"/>
              </w:rPr>
              <w:t>mettre à jour le nouveau texte standard supplémentaire 16 (ASW 16) (il convient de fournir une photographie de la variété) conformément au nouveau libellé du document TGP/7/4) et le renommer 7.4</w:t>
            </w:r>
          </w:p>
        </w:tc>
      </w:tr>
    </w:tbl>
    <w:p w:rsidR="00111ED3" w:rsidRPr="00293B75" w:rsidRDefault="00111ED3" w:rsidP="007005BA">
      <w:pPr>
        <w:jc w:val="left"/>
        <w:rPr>
          <w:rFonts w:cs="Arial"/>
          <w:u w:val="single"/>
          <w:lang w:val="fr-FR"/>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293B75" w:rsidRPr="00293B75" w:rsidTr="00111ED3">
        <w:trPr>
          <w:cantSplit/>
          <w:trHeight w:val="277"/>
        </w:trPr>
        <w:tc>
          <w:tcPr>
            <w:tcW w:w="5585" w:type="dxa"/>
            <w:vMerge w:val="restart"/>
            <w:shd w:val="clear" w:color="auto" w:fill="D9D9D9"/>
            <w:vAlign w:val="center"/>
          </w:tcPr>
          <w:p w:rsidR="00111ED3" w:rsidRPr="00293B75" w:rsidRDefault="00111ED3" w:rsidP="007005BA">
            <w:pPr>
              <w:pStyle w:val="TitleofDoc"/>
              <w:keepNext/>
              <w:tabs>
                <w:tab w:val="num" w:pos="1800"/>
                <w:tab w:val="left" w:pos="5245"/>
                <w:tab w:val="left" w:pos="7008"/>
              </w:tabs>
              <w:spacing w:before="0"/>
              <w:ind w:left="1800" w:hanging="1800"/>
              <w:jc w:val="left"/>
              <w:rPr>
                <w:rFonts w:cs="Arial"/>
                <w:caps w:val="0"/>
                <w:lang w:val="fr-FR"/>
              </w:rPr>
            </w:pPr>
            <w:r w:rsidRPr="00293B75">
              <w:rPr>
                <w:rFonts w:cs="Arial"/>
                <w:caps w:val="0"/>
                <w:lang w:val="fr-FR"/>
              </w:rPr>
              <w:t>Adlay (</w:t>
            </w:r>
            <w:r w:rsidRPr="00293B75">
              <w:rPr>
                <w:rFonts w:cs="Arial"/>
                <w:i/>
                <w:caps w:val="0"/>
                <w:lang w:val="fr-FR"/>
              </w:rPr>
              <w:t>Coix lacryma</w:t>
            </w:r>
            <w:r w:rsidRPr="00293B75">
              <w:rPr>
                <w:rFonts w:cs="Arial"/>
                <w:i/>
                <w:caps w:val="0"/>
                <w:lang w:val="fr-FR"/>
              </w:rPr>
              <w:noBreakHyphen/>
              <w:t xml:space="preserve">jobi </w:t>
            </w:r>
            <w:r w:rsidRPr="00293B75">
              <w:rPr>
                <w:rFonts w:cs="Arial"/>
                <w:caps w:val="0"/>
                <w:lang w:val="fr-FR"/>
              </w:rPr>
              <w:t>L</w:t>
            </w:r>
            <w:r w:rsidRPr="00293B75">
              <w:rPr>
                <w:i/>
                <w:caps w:val="0"/>
                <w:lang w:val="fr-FR"/>
              </w:rPr>
              <w:t>.</w:t>
            </w:r>
            <w:r w:rsidRPr="00293B75">
              <w:rPr>
                <w:rFonts w:cs="Arial"/>
                <w:i/>
                <w:caps w:val="0"/>
                <w:lang w:val="fr-FR"/>
              </w:rPr>
              <w:t> </w:t>
            </w:r>
            <w:r w:rsidRPr="00293B75">
              <w:rPr>
                <w:rFonts w:cs="Arial"/>
                <w:caps w:val="0"/>
                <w:lang w:val="fr-FR"/>
              </w:rPr>
              <w:t>var.  ma</w:t>
            </w:r>
            <w:r w:rsidRPr="00293B75">
              <w:rPr>
                <w:rFonts w:cs="Arial"/>
                <w:caps w:val="0"/>
                <w:lang w:val="fr-FR"/>
              </w:rPr>
              <w:noBreakHyphen/>
              <w:t>yuen (Rom. Caill.) Stapf)</w:t>
            </w:r>
          </w:p>
        </w:tc>
        <w:tc>
          <w:tcPr>
            <w:tcW w:w="1846"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COIX(</w:t>
            </w:r>
            <w:proofErr w:type="gramEnd"/>
            <w:r w:rsidRPr="00293B75">
              <w:rPr>
                <w:rFonts w:cs="Arial"/>
                <w:caps w:val="0"/>
                <w:lang w:val="fr-FR"/>
              </w:rPr>
              <w:t>proj.4)</w:t>
            </w:r>
          </w:p>
        </w:tc>
      </w:tr>
      <w:tr w:rsidR="00293B75" w:rsidRPr="00293B75" w:rsidTr="00111ED3">
        <w:trPr>
          <w:cantSplit/>
          <w:trHeight w:val="230"/>
        </w:trPr>
        <w:tc>
          <w:tcPr>
            <w:tcW w:w="5585"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1846"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jc w:val="left"/>
        <w:rPr>
          <w:rFonts w:cs="Arial"/>
          <w:u w:val="single"/>
          <w:lang w:val="fr-FR"/>
        </w:rPr>
      </w:pPr>
    </w:p>
    <w:p w:rsidR="00111ED3" w:rsidRPr="00293B75" w:rsidRDefault="00111ED3" w:rsidP="007005BA">
      <w:pPr>
        <w:ind w:firstLine="567"/>
        <w:rPr>
          <w:rFonts w:cs="Arial"/>
          <w:lang w:val="fr-FR"/>
        </w:rPr>
      </w:pPr>
      <w:r w:rsidRPr="00293B75">
        <w:rPr>
          <w:lang w:val="fr-FR"/>
        </w:rPr>
        <w:t>Le TC</w:t>
      </w:r>
      <w:r w:rsidRPr="00293B75">
        <w:rPr>
          <w:lang w:val="fr-FR"/>
        </w:rPr>
        <w:noBreakHyphen/>
        <w:t>EDC a recommandé au TC l’adoption des principes directeurs d’examen des variétés de Larme de Job sous réserve de l’approbation par correspondance par le TWA de l’ajout d’astérisques aux caractères </w:t>
      </w:r>
      <w:r w:rsidRPr="00293B75">
        <w:rPr>
          <w:rFonts w:cs="Arial"/>
          <w:lang w:val="fr-FR"/>
        </w:rPr>
        <w:t>1, 13, 14 et 20.</w:t>
      </w:r>
    </w:p>
    <w:p w:rsidR="00111ED3" w:rsidRPr="00293B75" w:rsidRDefault="00111ED3" w:rsidP="007005BA">
      <w:pPr>
        <w:jc w:val="left"/>
        <w:rPr>
          <w:rFonts w:cs="Arial"/>
          <w:u w:val="single"/>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jc w:val="left"/>
        <w:rPr>
          <w:rFonts w:cs="Arial"/>
          <w:u w:val="single"/>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74" w:type="dxa"/>
          </w:tcPr>
          <w:p w:rsidR="00111ED3" w:rsidRPr="00293B75" w:rsidRDefault="00492EEA" w:rsidP="007005BA">
            <w:pPr>
              <w:rPr>
                <w:rFonts w:cs="Arial"/>
                <w:lang w:val="fr-FR"/>
              </w:rPr>
            </w:pPr>
            <w:r w:rsidRPr="00293B75">
              <w:rPr>
                <w:rFonts w:cs="Arial"/>
                <w:lang w:val="fr-FR"/>
              </w:rPr>
              <w:t>L</w:t>
            </w:r>
            <w:r w:rsidR="00111ED3" w:rsidRPr="00293B75">
              <w:rPr>
                <w:rFonts w:cs="Arial"/>
                <w:lang w:val="fr-FR"/>
              </w:rPr>
              <w:t>’expert principal doit confirmer que tous les droits de propriété intellectuelle sur les photographies, les illustrations et le texte ont été respectés.</w:t>
            </w:r>
          </w:p>
          <w:p w:rsidR="00111ED3" w:rsidRPr="00293B75" w:rsidRDefault="00111ED3" w:rsidP="007005BA">
            <w:pPr>
              <w:rPr>
                <w:rFonts w:cs="Arial"/>
                <w:i/>
                <w:lang w:val="fr-FR"/>
              </w:rPr>
            </w:pPr>
            <w:r w:rsidRPr="00293B75">
              <w:rPr>
                <w:rFonts w:cs="Arial"/>
                <w:i/>
                <w:lang w:val="fr-FR"/>
              </w:rPr>
              <w:t>L’expert principal : a confirmé que tous les droits de propriété intellectuelle ont été respectés.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74" w:type="dxa"/>
          </w:tcPr>
          <w:p w:rsidR="00111ED3" w:rsidRPr="00293B75" w:rsidRDefault="00111ED3" w:rsidP="007005BA">
            <w:pPr>
              <w:rPr>
                <w:rFonts w:cs="Arial"/>
                <w:lang w:val="fr-FR"/>
              </w:rPr>
            </w:pPr>
            <w:r w:rsidRPr="00293B75">
              <w:rPr>
                <w:rFonts w:cs="Arial"/>
                <w:lang w:val="fr-FR"/>
              </w:rPr>
              <w:t>vérifier s’il convient d’ajouter plus de (*) (4/20).</w:t>
            </w:r>
          </w:p>
          <w:p w:rsidR="00111ED3" w:rsidRPr="00293B75" w:rsidRDefault="00111ED3" w:rsidP="007005BA">
            <w:pPr>
              <w:rPr>
                <w:rFonts w:cs="Arial"/>
                <w:i/>
                <w:lang w:val="fr-FR"/>
              </w:rPr>
            </w:pPr>
            <w:r w:rsidRPr="00293B75">
              <w:rPr>
                <w:rFonts w:cs="Arial"/>
                <w:i/>
                <w:lang w:val="fr-FR"/>
              </w:rPr>
              <w:t>Expert principal : ajouter (*) aux caractères suivants :</w:t>
            </w:r>
          </w:p>
          <w:p w:rsidR="00111ED3" w:rsidRPr="00293B75" w:rsidRDefault="00111ED3" w:rsidP="007005BA">
            <w:pPr>
              <w:rPr>
                <w:rFonts w:cs="Arial"/>
                <w:i/>
                <w:lang w:val="fr-FR"/>
              </w:rPr>
            </w:pPr>
            <w:r w:rsidRPr="00293B75">
              <w:rPr>
                <w:rFonts w:cs="Arial"/>
                <w:i/>
                <w:lang w:val="fr-FR"/>
              </w:rPr>
              <w:t>1 Plantule : pigmentation anthocyanique</w:t>
            </w:r>
          </w:p>
          <w:p w:rsidR="00111ED3" w:rsidRPr="00293B75" w:rsidRDefault="00111ED3" w:rsidP="007005BA">
            <w:pPr>
              <w:rPr>
                <w:rFonts w:cs="Arial"/>
                <w:i/>
                <w:lang w:val="fr-FR"/>
              </w:rPr>
            </w:pPr>
            <w:r w:rsidRPr="00293B75">
              <w:rPr>
                <w:rFonts w:cs="Arial"/>
                <w:i/>
                <w:lang w:val="fr-FR"/>
              </w:rPr>
              <w:t>13 Grain : rapport longueur/largeur</w:t>
            </w:r>
          </w:p>
          <w:p w:rsidR="00111ED3" w:rsidRPr="00293B75" w:rsidRDefault="00111ED3" w:rsidP="007005BA">
            <w:pPr>
              <w:rPr>
                <w:rFonts w:cs="Arial"/>
                <w:i/>
                <w:lang w:val="fr-FR"/>
              </w:rPr>
            </w:pPr>
            <w:r w:rsidRPr="00293B75">
              <w:rPr>
                <w:rFonts w:cs="Arial"/>
                <w:i/>
                <w:lang w:val="fr-FR"/>
              </w:rPr>
              <w:t>14 Grain : poids de 100 grains</w:t>
            </w:r>
          </w:p>
          <w:p w:rsidR="00111ED3" w:rsidRPr="00293B75" w:rsidRDefault="00111ED3" w:rsidP="007005BA">
            <w:pPr>
              <w:rPr>
                <w:rFonts w:cs="Arial"/>
                <w:lang w:val="fr-FR"/>
              </w:rPr>
            </w:pPr>
            <w:r w:rsidRPr="00293B75">
              <w:rPr>
                <w:rFonts w:cs="Arial"/>
                <w:i/>
                <w:lang w:val="fr-FR"/>
              </w:rPr>
              <w:t>20 Endosperme : type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8</w:t>
            </w:r>
          </w:p>
        </w:tc>
        <w:tc>
          <w:tcPr>
            <w:tcW w:w="8074" w:type="dxa"/>
          </w:tcPr>
          <w:p w:rsidR="00111ED3" w:rsidRPr="00293B75" w:rsidRDefault="00111ED3" w:rsidP="007005BA">
            <w:pPr>
              <w:rPr>
                <w:rFonts w:cs="Arial"/>
                <w:lang w:val="fr-FR"/>
              </w:rPr>
            </w:pPr>
            <w:r w:rsidRPr="00293B75">
              <w:rPr>
                <w:rFonts w:cs="Arial"/>
                <w:lang w:val="fr-FR"/>
              </w:rPr>
              <w:t>supprimer MG</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9</w:t>
            </w:r>
          </w:p>
        </w:tc>
        <w:tc>
          <w:tcPr>
            <w:tcW w:w="8074" w:type="dxa"/>
          </w:tcPr>
          <w:p w:rsidR="00111ED3" w:rsidRPr="00293B75" w:rsidRDefault="00111ED3" w:rsidP="007005BA">
            <w:pPr>
              <w:rPr>
                <w:rFonts w:cs="Arial"/>
                <w:lang w:val="fr-FR"/>
              </w:rPr>
            </w:pPr>
            <w:r w:rsidRPr="00293B75">
              <w:rPr>
                <w:rFonts w:cs="Arial"/>
                <w:lang w:val="fr-FR"/>
              </w:rPr>
              <w:t>doit être libellé comme suit “Bractée : longueur de la gaine”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11</w:t>
            </w:r>
          </w:p>
        </w:tc>
        <w:tc>
          <w:tcPr>
            <w:tcW w:w="8074" w:type="dxa"/>
          </w:tcPr>
          <w:p w:rsidR="00111ED3" w:rsidRPr="00293B75" w:rsidRDefault="00111ED3" w:rsidP="007005BA">
            <w:pPr>
              <w:rPr>
                <w:rFonts w:cs="Arial"/>
                <w:lang w:val="fr-FR"/>
              </w:rPr>
            </w:pPr>
            <w:r w:rsidRPr="00293B75">
              <w:rPr>
                <w:rFonts w:cs="Arial"/>
                <w:lang w:val="fr-FR"/>
              </w:rPr>
              <w:t>supprimer MS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15,</w:t>
            </w:r>
          </w:p>
          <w:p w:rsidR="00111ED3" w:rsidRPr="00293B75" w:rsidRDefault="00111ED3" w:rsidP="007005BA">
            <w:pPr>
              <w:rPr>
                <w:rFonts w:cs="Arial"/>
                <w:lang w:val="fr-FR"/>
              </w:rPr>
            </w:pPr>
            <w:r w:rsidRPr="00293B75">
              <w:rPr>
                <w:rFonts w:cs="Arial"/>
                <w:lang w:val="fr-FR"/>
              </w:rPr>
              <w:t>Ad. 15</w:t>
            </w:r>
          </w:p>
        </w:tc>
        <w:tc>
          <w:tcPr>
            <w:tcW w:w="8074" w:type="dxa"/>
          </w:tcPr>
          <w:p w:rsidR="00111ED3" w:rsidRPr="00293B75" w:rsidRDefault="00111ED3" w:rsidP="007005BA">
            <w:pPr>
              <w:rPr>
                <w:rFonts w:cs="Arial"/>
                <w:lang w:val="fr-FR"/>
              </w:rPr>
            </w:pPr>
            <w:r w:rsidRPr="00293B75">
              <w:rPr>
                <w:rFonts w:cs="Arial"/>
                <w:lang w:val="fr-FR"/>
              </w:rPr>
              <w:t>vérifier s’il convient de libeller comme suit “Grain : couleur” et supprimer ou modifier l’explication</w:t>
            </w:r>
          </w:p>
          <w:p w:rsidR="00111ED3" w:rsidRPr="00293B75" w:rsidRDefault="00111ED3" w:rsidP="00492EEA">
            <w:pPr>
              <w:rPr>
                <w:rFonts w:cs="Arial"/>
                <w:i/>
                <w:lang w:val="fr-FR"/>
              </w:rPr>
            </w:pPr>
            <w:r w:rsidRPr="00293B75">
              <w:rPr>
                <w:rFonts w:cs="Arial"/>
                <w:i/>
                <w:lang w:val="fr-FR"/>
              </w:rPr>
              <w:t xml:space="preserve">Expert principal : doit être libellé comme suit “Grain : couleur” et supprimer (+) et l’explication.  Il existait un caractère “Grain : couleur secondaire” dans un précédent projet, qui a été supprimé.  Ainsi, le </w:t>
            </w:r>
            <w:r w:rsidRPr="00293B75">
              <w:rPr>
                <w:rFonts w:cs="Arial"/>
                <w:lang w:val="fr-FR"/>
              </w:rPr>
              <w:t>“</w:t>
            </w:r>
            <w:r w:rsidRPr="00293B75">
              <w:rPr>
                <w:rFonts w:cs="Arial"/>
                <w:i/>
                <w:lang w:val="fr-FR"/>
              </w:rPr>
              <w:t>caractère principal” n’est plus nécessaire.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15</w:t>
            </w:r>
          </w:p>
        </w:tc>
        <w:tc>
          <w:tcPr>
            <w:tcW w:w="8074" w:type="dxa"/>
          </w:tcPr>
          <w:p w:rsidR="00111ED3" w:rsidRPr="00293B75" w:rsidRDefault="00111ED3" w:rsidP="007005BA">
            <w:pPr>
              <w:rPr>
                <w:rFonts w:cs="Arial"/>
                <w:lang w:val="fr-FR"/>
              </w:rPr>
            </w:pPr>
            <w:r w:rsidRPr="00293B75">
              <w:rPr>
                <w:rFonts w:cs="Arial"/>
                <w:lang w:val="fr-FR"/>
              </w:rPr>
              <w:t>- supprimer les niveaux “blanc” et “gris”, car il n’existe pas de variété à titre d’exemple disponible pour ces niveaux</w:t>
            </w:r>
          </w:p>
          <w:p w:rsidR="00111ED3" w:rsidRPr="00293B75" w:rsidRDefault="00111ED3" w:rsidP="007005BA">
            <w:pPr>
              <w:rPr>
                <w:rFonts w:cs="Arial"/>
                <w:lang w:val="fr-FR"/>
              </w:rPr>
            </w:pPr>
            <w:r w:rsidRPr="00293B75">
              <w:rPr>
                <w:rFonts w:cs="Arial"/>
                <w:lang w:val="fr-FR"/>
              </w:rPr>
              <w:t>- vérifier s’il convient d’ordonner les couleurs conformément au TGP/14</w:t>
            </w:r>
          </w:p>
          <w:p w:rsidR="00111ED3" w:rsidRPr="00293B75" w:rsidRDefault="00111ED3" w:rsidP="007005BA">
            <w:pPr>
              <w:rPr>
                <w:rFonts w:cs="Arial"/>
                <w:i/>
                <w:lang w:val="fr-FR"/>
              </w:rPr>
            </w:pPr>
            <w:r w:rsidRPr="00293B75">
              <w:rPr>
                <w:rFonts w:cs="Arial"/>
                <w:i/>
                <w:lang w:val="fr-FR"/>
              </w:rPr>
              <w:t>Expert principal : ordonner les niveaux d’expression comme suit : blanc, pourpre, brun clair, brun foncé, gris, noir</w:t>
            </w:r>
          </w:p>
        </w:tc>
      </w:tr>
    </w:tbl>
    <w:p w:rsidR="00111ED3" w:rsidRPr="00293B75" w:rsidRDefault="00111ED3" w:rsidP="007005BA">
      <w:pPr>
        <w:jc w:val="left"/>
        <w:rPr>
          <w:rFonts w:cs="Arial"/>
          <w:u w:val="single"/>
          <w:lang w:val="fr-FR"/>
        </w:rPr>
      </w:pPr>
    </w:p>
    <w:p w:rsidR="00111ED3" w:rsidRPr="00293B75" w:rsidRDefault="00111ED3" w:rsidP="007005BA">
      <w:pPr>
        <w:jc w:val="left"/>
        <w:rPr>
          <w:rFonts w:cs="Arial"/>
          <w:u w:val="single"/>
          <w:lang w:val="fr-FR"/>
        </w:rPr>
      </w:pPr>
    </w:p>
    <w:tbl>
      <w:tblPr>
        <w:tblW w:w="7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59"/>
        <w:gridCol w:w="1846"/>
      </w:tblGrid>
      <w:tr w:rsidR="00293B75" w:rsidRPr="00293B75" w:rsidTr="00111ED3">
        <w:trPr>
          <w:cantSplit/>
          <w:trHeight w:val="277"/>
        </w:trPr>
        <w:tc>
          <w:tcPr>
            <w:tcW w:w="5159"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Adzuki Bean (</w:t>
            </w:r>
            <w:r w:rsidRPr="00293B75">
              <w:rPr>
                <w:rFonts w:cs="Arial"/>
                <w:i/>
                <w:caps w:val="0"/>
                <w:lang w:val="fr-FR"/>
              </w:rPr>
              <w:t>Vigna angularis</w:t>
            </w:r>
            <w:r w:rsidRPr="00293B75">
              <w:rPr>
                <w:rFonts w:cs="Arial"/>
                <w:caps w:val="0"/>
                <w:lang w:val="fr-FR"/>
              </w:rPr>
              <w:t xml:space="preserve"> (Willd.) Ohwi &amp; H. Ohashi)</w:t>
            </w:r>
          </w:p>
        </w:tc>
        <w:tc>
          <w:tcPr>
            <w:tcW w:w="1846"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ADZUK(</w:t>
            </w:r>
            <w:proofErr w:type="gramEnd"/>
            <w:r w:rsidRPr="00293B75">
              <w:rPr>
                <w:rFonts w:cs="Arial"/>
                <w:caps w:val="0"/>
                <w:lang w:val="fr-FR"/>
              </w:rPr>
              <w:t>proj.4)</w:t>
            </w:r>
          </w:p>
        </w:tc>
      </w:tr>
      <w:tr w:rsidR="00293B75" w:rsidRPr="00293B75" w:rsidTr="00111ED3">
        <w:trPr>
          <w:cantSplit/>
          <w:trHeight w:val="230"/>
        </w:trPr>
        <w:tc>
          <w:tcPr>
            <w:tcW w:w="5159"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1846"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jc w:val="left"/>
        <w:rPr>
          <w:rFonts w:cs="Arial"/>
          <w:u w:val="single"/>
          <w:lang w:val="fr-FR"/>
        </w:rPr>
      </w:pPr>
    </w:p>
    <w:p w:rsidR="00111ED3" w:rsidRPr="00293B75" w:rsidRDefault="00111ED3" w:rsidP="007005BA">
      <w:pPr>
        <w:keepNext/>
        <w:autoSpaceDE w:val="0"/>
        <w:autoSpaceDN w:val="0"/>
        <w:adjustRightInd w:val="0"/>
        <w:ind w:firstLine="567"/>
        <w:jc w:val="left"/>
        <w:rPr>
          <w:rFonts w:cs="Arial"/>
          <w:lang w:val="fr-FR"/>
        </w:rPr>
      </w:pPr>
      <w:r w:rsidRPr="00293B75">
        <w:rPr>
          <w:rFonts w:cs="Arial"/>
          <w:lang w:val="fr-FR"/>
        </w:rPr>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74" w:type="dxa"/>
          </w:tcPr>
          <w:p w:rsidR="00111ED3" w:rsidRPr="00293B75" w:rsidRDefault="00111ED3" w:rsidP="007005BA">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p w:rsidR="00111ED3" w:rsidRPr="00293B75" w:rsidRDefault="00111ED3" w:rsidP="007005BA">
            <w:pPr>
              <w:rPr>
                <w:rFonts w:cs="Arial"/>
                <w:i/>
                <w:lang w:val="fr-FR"/>
              </w:rPr>
            </w:pPr>
            <w:r w:rsidRPr="00293B75">
              <w:rPr>
                <w:rFonts w:cs="Arial"/>
                <w:i/>
                <w:lang w:val="fr-FR"/>
              </w:rPr>
              <w:t>Expert principal : l’expert est l’auteur des photographies et de certaines parmi les illustrations, les autres provenant des principes directeurs d’examen nationaux du haricot Adzuki.  Il n’y a aucun problème en matière de droits de propriété intellectuelle.</w:t>
            </w:r>
          </w:p>
        </w:tc>
      </w:tr>
      <w:tr w:rsidR="00293B75" w:rsidRPr="00293B75" w:rsidTr="00111ED3">
        <w:trPr>
          <w:cantSplit/>
        </w:trPr>
        <w:tc>
          <w:tcPr>
            <w:tcW w:w="1573" w:type="dxa"/>
          </w:tcPr>
          <w:p w:rsidR="00111ED3" w:rsidRPr="00293B75" w:rsidRDefault="00111ED3" w:rsidP="007005BA">
            <w:pPr>
              <w:rPr>
                <w:rFonts w:cs="Arial"/>
                <w:szCs w:val="22"/>
                <w:lang w:val="fr-FR"/>
              </w:rPr>
            </w:pPr>
            <w:r w:rsidRPr="00293B75">
              <w:rPr>
                <w:rFonts w:cs="Arial"/>
                <w:szCs w:val="22"/>
                <w:lang w:val="fr-FR"/>
              </w:rPr>
              <w:t>car. 1</w:t>
            </w:r>
          </w:p>
        </w:tc>
        <w:tc>
          <w:tcPr>
            <w:tcW w:w="8074" w:type="dxa"/>
          </w:tcPr>
          <w:p w:rsidR="00111ED3" w:rsidRPr="00293B75" w:rsidRDefault="00111ED3" w:rsidP="007005BA">
            <w:pPr>
              <w:rPr>
                <w:rFonts w:cs="Arial"/>
                <w:szCs w:val="22"/>
                <w:lang w:val="fr-FR"/>
              </w:rPr>
            </w:pPr>
            <w:r w:rsidRPr="00293B75">
              <w:rPr>
                <w:rFonts w:cs="Arial"/>
                <w:szCs w:val="22"/>
                <w:lang w:val="fr-FR"/>
              </w:rPr>
              <w:t>vérifier si le niveau 1 doit être libellé “buissonnant” (selon Ad. 1, le niveau 1 devrait être “buissonnant”.  Le type “nain” est habituellement utilisé pour d’autres circonstances.  Les plantes ayant un type nain peuvent également démontrer un port grimpant.</w:t>
            </w:r>
          </w:p>
          <w:p w:rsidR="00111ED3" w:rsidRPr="00293B75" w:rsidRDefault="00111ED3" w:rsidP="007005BA">
            <w:pPr>
              <w:rPr>
                <w:rFonts w:cs="Arial"/>
                <w:i/>
                <w:szCs w:val="22"/>
                <w:lang w:val="fr-FR"/>
              </w:rPr>
            </w:pPr>
            <w:r w:rsidRPr="00293B75">
              <w:rPr>
                <w:rFonts w:cs="Arial"/>
                <w:i/>
                <w:szCs w:val="22"/>
                <w:lang w:val="fr-FR"/>
              </w:rPr>
              <w:t xml:space="preserve">Expert principal : Les variétés de niveau 1 ne sont pas grimpantes.  Le terme </w:t>
            </w:r>
            <w:r w:rsidRPr="00293B75">
              <w:rPr>
                <w:rFonts w:cs="Arial"/>
                <w:szCs w:val="22"/>
                <w:lang w:val="fr-FR"/>
              </w:rPr>
              <w:t>“buissonnant” est donc approprié</w:t>
            </w:r>
            <w:r w:rsidRPr="00293B75">
              <w:rPr>
                <w:rFonts w:cs="Arial"/>
                <w:i/>
                <w:szCs w:val="22"/>
                <w:lang w:val="fr-FR"/>
              </w:rPr>
              <w: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w:t>
            </w:r>
          </w:p>
        </w:tc>
        <w:tc>
          <w:tcPr>
            <w:tcW w:w="8074" w:type="dxa"/>
          </w:tcPr>
          <w:p w:rsidR="00111ED3" w:rsidRPr="00293B75" w:rsidRDefault="00111ED3" w:rsidP="007005BA">
            <w:pPr>
              <w:rPr>
                <w:rFonts w:cs="Arial"/>
                <w:lang w:val="fr-FR"/>
              </w:rPr>
            </w:pPr>
            <w:r w:rsidRPr="00293B75">
              <w:rPr>
                <w:lang w:val="fr-FR"/>
              </w:rPr>
              <w:t>déplacer la variété “Kuro</w:t>
            </w:r>
            <w:r w:rsidRPr="00293B75">
              <w:rPr>
                <w:lang w:val="fr-FR"/>
              </w:rPr>
              <w:noBreakHyphen/>
              <w:t>shozu” du niveau 2 au niveau 3</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w:t>
            </w:r>
          </w:p>
        </w:tc>
        <w:tc>
          <w:tcPr>
            <w:tcW w:w="8074" w:type="dxa"/>
          </w:tcPr>
          <w:p w:rsidR="00111ED3" w:rsidRPr="00293B75" w:rsidRDefault="00111ED3" w:rsidP="007005BA">
            <w:pPr>
              <w:rPr>
                <w:rFonts w:cs="Arial"/>
                <w:lang w:val="fr-FR"/>
              </w:rPr>
            </w:pPr>
            <w:r w:rsidRPr="00293B75">
              <w:rPr>
                <w:rFonts w:cs="Arial"/>
                <w:lang w:val="fr-FR"/>
              </w:rPr>
              <w:t>ajouter des illustrations pour les rapports de niveau faible, moyen et élevé</w:t>
            </w:r>
          </w:p>
          <w:p w:rsidR="00111ED3" w:rsidRPr="00293B75" w:rsidRDefault="00111ED3" w:rsidP="007005BA">
            <w:pPr>
              <w:rPr>
                <w:rFonts w:cs="Arial"/>
                <w:i/>
                <w:lang w:val="fr-FR"/>
              </w:rPr>
            </w:pPr>
            <w:r w:rsidRPr="00293B75">
              <w:rPr>
                <w:rFonts w:cs="Arial"/>
                <w:i/>
                <w:lang w:val="fr-FR"/>
              </w:rPr>
              <w:t>Expert principal : des illustrations seront fournies.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5</w:t>
            </w:r>
          </w:p>
        </w:tc>
        <w:tc>
          <w:tcPr>
            <w:tcW w:w="8074" w:type="dxa"/>
          </w:tcPr>
          <w:p w:rsidR="00111ED3" w:rsidRPr="00293B75" w:rsidRDefault="00111ED3" w:rsidP="007005BA">
            <w:pPr>
              <w:rPr>
                <w:rFonts w:cs="Arial"/>
                <w:lang w:val="fr-FR"/>
              </w:rPr>
            </w:pPr>
            <w:r w:rsidRPr="00293B75">
              <w:rPr>
                <w:rFonts w:cs="Arial"/>
                <w:lang w:val="fr-FR"/>
              </w:rPr>
              <w:t>supprimer “(a)”</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14</w:t>
            </w:r>
          </w:p>
        </w:tc>
        <w:tc>
          <w:tcPr>
            <w:tcW w:w="8074" w:type="dxa"/>
          </w:tcPr>
          <w:p w:rsidR="00111ED3" w:rsidRPr="00293B75" w:rsidRDefault="00111ED3" w:rsidP="007005BA">
            <w:pPr>
              <w:rPr>
                <w:rFonts w:cs="Arial"/>
                <w:lang w:val="fr-FR"/>
              </w:rPr>
            </w:pPr>
            <w:r w:rsidRPr="00293B75">
              <w:rPr>
                <w:rFonts w:cs="Arial"/>
                <w:lang w:val="fr-FR"/>
              </w:rPr>
              <w:t>vérifier s’il convient de remplacer MS par VG</w:t>
            </w:r>
          </w:p>
          <w:p w:rsidR="00111ED3" w:rsidRPr="00293B75" w:rsidRDefault="00111ED3" w:rsidP="007005BA">
            <w:pPr>
              <w:rPr>
                <w:rFonts w:cs="Arial"/>
                <w:i/>
                <w:lang w:val="fr-FR"/>
              </w:rPr>
            </w:pPr>
            <w:r w:rsidRPr="00293B75">
              <w:rPr>
                <w:rFonts w:cs="Arial"/>
                <w:i/>
                <w:lang w:val="fr-FR"/>
              </w:rPr>
              <w:t>Expert principal : en effet, il convient de remplacer MS par VG.</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15</w:t>
            </w:r>
          </w:p>
        </w:tc>
        <w:tc>
          <w:tcPr>
            <w:tcW w:w="8074" w:type="dxa"/>
          </w:tcPr>
          <w:p w:rsidR="00111ED3" w:rsidRPr="00293B75" w:rsidRDefault="00111ED3" w:rsidP="007005BA">
            <w:pPr>
              <w:rPr>
                <w:rFonts w:cs="Arial"/>
                <w:lang w:val="fr-FR"/>
              </w:rPr>
            </w:pPr>
            <w:r w:rsidRPr="00293B75">
              <w:rPr>
                <w:rFonts w:cs="Arial"/>
                <w:lang w:val="fr-FR"/>
              </w:rPr>
              <w:t>vérifier s’il convient de libeller comme suit “Graine : couleur de fond” et de modifier change Ad. 15 en conséquence</w:t>
            </w:r>
          </w:p>
          <w:p w:rsidR="00111ED3" w:rsidRPr="00293B75" w:rsidRDefault="00111ED3" w:rsidP="007005BA">
            <w:pPr>
              <w:rPr>
                <w:rFonts w:cs="Arial"/>
                <w:lang w:val="fr-FR"/>
              </w:rPr>
            </w:pPr>
            <w:r w:rsidRPr="00293B75">
              <w:rPr>
                <w:rFonts w:cs="Arial"/>
                <w:i/>
                <w:lang w:val="fr-FR"/>
              </w:rPr>
              <w:t>Expert principal : oui, le libellé doit être “</w:t>
            </w:r>
            <w:r w:rsidRPr="00293B75">
              <w:rPr>
                <w:rFonts w:cs="Arial"/>
                <w:lang w:val="fr-FR"/>
              </w:rPr>
              <w:t>Graine : couleur de fond</w:t>
            </w:r>
            <w:r w:rsidRPr="00293B75">
              <w:rPr>
                <w:rFonts w:cs="Arial"/>
                <w:i/>
                <w:lang w:val="fr-FR"/>
              </w:rPr>
              <w: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16, 17</w:t>
            </w:r>
          </w:p>
        </w:tc>
        <w:tc>
          <w:tcPr>
            <w:tcW w:w="8074" w:type="dxa"/>
          </w:tcPr>
          <w:p w:rsidR="00111ED3" w:rsidRPr="00293B75" w:rsidRDefault="00111ED3" w:rsidP="007005BA">
            <w:pPr>
              <w:rPr>
                <w:rFonts w:cs="Arial"/>
                <w:lang w:val="fr-FR"/>
              </w:rPr>
            </w:pPr>
            <w:r w:rsidRPr="00293B75">
              <w:rPr>
                <w:rFonts w:cs="Arial"/>
                <w:lang w:val="fr-FR"/>
              </w:rPr>
              <w:t>vérifier s’il convient de remplacer “couleur secondaire” par “couleur du lavis”</w:t>
            </w:r>
          </w:p>
          <w:p w:rsidR="00111ED3" w:rsidRPr="00293B75" w:rsidRDefault="00111ED3" w:rsidP="007005BA">
            <w:pPr>
              <w:rPr>
                <w:rFonts w:cs="Arial"/>
                <w:lang w:val="fr-FR"/>
              </w:rPr>
            </w:pPr>
            <w:r w:rsidRPr="00293B75">
              <w:rPr>
                <w:rFonts w:cs="Arial"/>
                <w:i/>
                <w:lang w:val="fr-FR"/>
              </w:rPr>
              <w:t xml:space="preserve">Expert principal : oui, remplacer </w:t>
            </w:r>
            <w:r w:rsidRPr="00293B75">
              <w:rPr>
                <w:rFonts w:cs="Arial"/>
                <w:lang w:val="fr-FR"/>
              </w:rPr>
              <w:t>“couleur secondaire” par “couleur du lavis</w:t>
            </w:r>
            <w:r w:rsidRPr="00293B75">
              <w:rPr>
                <w:rFonts w:cs="Arial"/>
                <w:i/>
                <w:lang w:val="fr-FR"/>
              </w:rPr>
              <w: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17</w:t>
            </w:r>
          </w:p>
        </w:tc>
        <w:tc>
          <w:tcPr>
            <w:tcW w:w="8074" w:type="dxa"/>
          </w:tcPr>
          <w:p w:rsidR="00111ED3" w:rsidRPr="00293B75" w:rsidRDefault="00111ED3" w:rsidP="007005BA">
            <w:pPr>
              <w:rPr>
                <w:rFonts w:cs="Arial"/>
                <w:lang w:val="fr-FR"/>
              </w:rPr>
            </w:pPr>
            <w:r w:rsidRPr="00293B75">
              <w:rPr>
                <w:rFonts w:cs="Arial"/>
                <w:lang w:val="fr-FR"/>
              </w:rPr>
              <w:t>vérifier s’il convient de supprimer le niveau 1 “aucune” et d’indiquer comme QL</w:t>
            </w:r>
          </w:p>
          <w:p w:rsidR="00111ED3" w:rsidRPr="00293B75" w:rsidRDefault="00111ED3" w:rsidP="007005BA">
            <w:pPr>
              <w:rPr>
                <w:rFonts w:cs="Arial"/>
                <w:lang w:val="fr-FR"/>
              </w:rPr>
            </w:pPr>
            <w:r w:rsidRPr="00293B75">
              <w:rPr>
                <w:rFonts w:cs="Arial"/>
                <w:i/>
                <w:lang w:val="fr-FR"/>
              </w:rPr>
              <w:t>Expert principal : non, conserver le niveau 1, car la plupart des variétés n’ont qu’une seule couleur</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8.1 b)</w:t>
            </w:r>
          </w:p>
        </w:tc>
        <w:tc>
          <w:tcPr>
            <w:tcW w:w="8074" w:type="dxa"/>
          </w:tcPr>
          <w:p w:rsidR="00111ED3" w:rsidRPr="00293B75" w:rsidRDefault="00111ED3" w:rsidP="007005BA">
            <w:pPr>
              <w:rPr>
                <w:rFonts w:cs="Arial"/>
                <w:lang w:val="fr-FR"/>
              </w:rPr>
            </w:pPr>
            <w:r w:rsidRPr="00293B75">
              <w:rPr>
                <w:rFonts w:cs="Arial"/>
                <w:lang w:val="fr-FR"/>
              </w:rPr>
              <w:t>doit être libellé comme suit “</w:t>
            </w:r>
            <w:r w:rsidRPr="00293B75">
              <w:t xml:space="preserve">Les </w:t>
            </w:r>
            <w:r w:rsidRPr="00293B75">
              <w:rPr>
                <w:rFonts w:cs="Arial"/>
                <w:lang w:val="fr-FR"/>
              </w:rPr>
              <w:t xml:space="preserve">observations sur les folioles terminales doivent être faites sur des </w:t>
            </w:r>
            <w:r w:rsidRPr="00293B75">
              <w:rPr>
                <w:rFonts w:cs="Arial"/>
                <w:strike/>
                <w:lang w:val="fr-FR"/>
              </w:rPr>
              <w:t>folioles terminales</w:t>
            </w:r>
            <w:r w:rsidRPr="00293B75">
              <w:rPr>
                <w:rFonts w:cs="Arial"/>
                <w:lang w:val="fr-FR"/>
              </w:rPr>
              <w:t xml:space="preserve"> </w:t>
            </w:r>
            <w:r w:rsidRPr="00293B75">
              <w:rPr>
                <w:rFonts w:cs="Arial"/>
                <w:u w:val="single"/>
                <w:lang w:val="fr-FR"/>
              </w:rPr>
              <w:t>feuilles</w:t>
            </w:r>
            <w:r w:rsidRPr="00293B75">
              <w:rPr>
                <w:rFonts w:cs="Arial"/>
                <w:lang w:val="fr-FR"/>
              </w:rPr>
              <w:t xml:space="preserve"> à partir du milieu de la plante.”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1</w:t>
            </w:r>
          </w:p>
        </w:tc>
        <w:tc>
          <w:tcPr>
            <w:tcW w:w="8074" w:type="dxa"/>
          </w:tcPr>
          <w:p w:rsidR="00111ED3" w:rsidRPr="00293B75" w:rsidRDefault="00111ED3" w:rsidP="007005BA">
            <w:pPr>
              <w:rPr>
                <w:rFonts w:cs="Arial"/>
                <w:lang w:val="fr-FR"/>
              </w:rPr>
            </w:pPr>
            <w:r w:rsidRPr="00293B75">
              <w:rPr>
                <w:rFonts w:cs="Arial"/>
                <w:lang w:val="fr-FR"/>
              </w:rPr>
              <w:t>supprimer si le niveau 1 est libellé “buissonnant”</w:t>
            </w:r>
          </w:p>
          <w:p w:rsidR="00111ED3" w:rsidRPr="00293B75" w:rsidRDefault="00111ED3" w:rsidP="007005BA">
            <w:pPr>
              <w:rPr>
                <w:rFonts w:cs="Arial"/>
                <w:i/>
                <w:lang w:val="fr-FR"/>
              </w:rPr>
            </w:pPr>
            <w:r w:rsidRPr="00293B75">
              <w:rPr>
                <w:rFonts w:cs="Arial"/>
                <w:i/>
                <w:lang w:val="fr-FR"/>
              </w:rPr>
              <w:t>Expert principal : suppression acceptée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17</w:t>
            </w:r>
          </w:p>
        </w:tc>
        <w:tc>
          <w:tcPr>
            <w:tcW w:w="8074" w:type="dxa"/>
          </w:tcPr>
          <w:p w:rsidR="00111ED3" w:rsidRPr="00293B75" w:rsidRDefault="00111ED3" w:rsidP="007005BA">
            <w:pPr>
              <w:tabs>
                <w:tab w:val="num" w:pos="0"/>
              </w:tabs>
              <w:ind w:left="21"/>
              <w:rPr>
                <w:rFonts w:cs="Arial"/>
                <w:lang w:val="fr-FR"/>
              </w:rPr>
            </w:pPr>
            <w:r w:rsidRPr="00293B75">
              <w:rPr>
                <w:rFonts w:cs="Arial"/>
                <w:lang w:val="fr-FR"/>
              </w:rPr>
              <w:t>vérifier s’il est possible de fournir des illustrations améliorées, notamment pour le niveau 3 (voir aussi l’observation concernant le caractère 17;  “couleur du lavis” au lieu de “couleur secondaire”</w:t>
            </w:r>
          </w:p>
          <w:p w:rsidR="00111ED3" w:rsidRPr="00293B75" w:rsidRDefault="00111ED3" w:rsidP="007005BA">
            <w:pPr>
              <w:tabs>
                <w:tab w:val="num" w:pos="0"/>
              </w:tabs>
              <w:ind w:left="21"/>
              <w:rPr>
                <w:rFonts w:cs="Arial"/>
                <w:i/>
                <w:lang w:val="fr-FR"/>
              </w:rPr>
            </w:pPr>
            <w:r w:rsidRPr="00293B75">
              <w:rPr>
                <w:rFonts w:cs="Arial"/>
                <w:i/>
                <w:lang w:val="fr-FR"/>
              </w:rPr>
              <w:t>Expert principal : de nouvelles illustrations seront fournies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Bibliographie</w:t>
            </w:r>
          </w:p>
        </w:tc>
        <w:tc>
          <w:tcPr>
            <w:tcW w:w="8074" w:type="dxa"/>
          </w:tcPr>
          <w:p w:rsidR="00111ED3" w:rsidRPr="00293B75" w:rsidRDefault="00111ED3" w:rsidP="007005BA">
            <w:pPr>
              <w:rPr>
                <w:lang w:val="fr-FR"/>
              </w:rPr>
            </w:pPr>
            <w:r w:rsidRPr="00293B75">
              <w:rPr>
                <w:lang w:val="fr-FR"/>
              </w:rPr>
              <w:t>supprimer l’espace supplémentaire après “légume”</w:t>
            </w:r>
          </w:p>
        </w:tc>
      </w:tr>
    </w:tbl>
    <w:p w:rsidR="00111ED3" w:rsidRPr="00293B75" w:rsidRDefault="00111ED3" w:rsidP="007005BA">
      <w:pPr>
        <w:jc w:val="left"/>
        <w:rPr>
          <w:rFonts w:cs="Arial"/>
          <w:u w:val="single"/>
          <w:lang w:val="fr-FR"/>
        </w:rPr>
      </w:pPr>
    </w:p>
    <w:p w:rsidR="00111ED3" w:rsidRPr="00293B75" w:rsidRDefault="00111ED3" w:rsidP="007005BA">
      <w:pPr>
        <w:jc w:val="left"/>
        <w:rPr>
          <w:rFonts w:cs="Arial"/>
          <w:u w:val="single"/>
          <w:lang w:val="fr-FR"/>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1846"/>
      </w:tblGrid>
      <w:tr w:rsidR="00293B75" w:rsidRPr="00293B75" w:rsidTr="00111ED3">
        <w:trPr>
          <w:cantSplit/>
          <w:trHeight w:val="277"/>
        </w:trPr>
        <w:tc>
          <w:tcPr>
            <w:tcW w:w="3600"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Aloe (</w:t>
            </w:r>
            <w:r w:rsidRPr="00293B75">
              <w:rPr>
                <w:rFonts w:cs="Arial"/>
                <w:i/>
                <w:caps w:val="0"/>
                <w:lang w:val="fr-FR"/>
              </w:rPr>
              <w:t>Aloe</w:t>
            </w:r>
            <w:r w:rsidRPr="00293B75">
              <w:rPr>
                <w:rFonts w:cs="Arial"/>
                <w:caps w:val="0"/>
                <w:lang w:val="fr-FR"/>
              </w:rPr>
              <w:t xml:space="preserve"> L.)</w:t>
            </w:r>
          </w:p>
        </w:tc>
        <w:tc>
          <w:tcPr>
            <w:tcW w:w="1846"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ALOE(</w:t>
            </w:r>
            <w:proofErr w:type="gramEnd"/>
            <w:r w:rsidRPr="00293B75">
              <w:rPr>
                <w:rFonts w:cs="Arial"/>
                <w:caps w:val="0"/>
                <w:lang w:val="fr-FR"/>
              </w:rPr>
              <w:t>proj.5)</w:t>
            </w:r>
          </w:p>
        </w:tc>
      </w:tr>
      <w:tr w:rsidR="00293B75" w:rsidRPr="00293B75" w:rsidTr="00111ED3">
        <w:trPr>
          <w:cantSplit/>
          <w:trHeight w:val="230"/>
        </w:trPr>
        <w:tc>
          <w:tcPr>
            <w:tcW w:w="3600"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1846"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jc w:val="left"/>
        <w:rPr>
          <w:rFonts w:cs="Arial"/>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projet des principes directeurs d’examen (document TG/</w:t>
      </w:r>
      <w:proofErr w:type="gramStart"/>
      <w:r w:rsidRPr="00293B75">
        <w:rPr>
          <w:rFonts w:cs="Arial"/>
          <w:lang w:val="fr-FR"/>
        </w:rPr>
        <w:t>ALOE(</w:t>
      </w:r>
      <w:proofErr w:type="gramEnd"/>
      <w:r w:rsidRPr="00293B75">
        <w:rPr>
          <w:rFonts w:cs="Arial"/>
          <w:lang w:val="fr-FR"/>
        </w:rPr>
        <w:t>proj.5)) soumis au TC :</w:t>
      </w:r>
    </w:p>
    <w:p w:rsidR="00111ED3" w:rsidRPr="00293B75" w:rsidRDefault="00111ED3" w:rsidP="007005BA">
      <w:pPr>
        <w:keepNext/>
        <w:jc w:val="left"/>
        <w:rPr>
          <w:rFonts w:cs="Arial"/>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12</w:t>
            </w:r>
          </w:p>
        </w:tc>
        <w:tc>
          <w:tcPr>
            <w:tcW w:w="8074" w:type="dxa"/>
          </w:tcPr>
          <w:p w:rsidR="00111ED3" w:rsidRPr="00293B75" w:rsidRDefault="00111ED3" w:rsidP="007005BA">
            <w:pPr>
              <w:autoSpaceDE w:val="0"/>
              <w:autoSpaceDN w:val="0"/>
              <w:adjustRightInd w:val="0"/>
              <w:rPr>
                <w:lang w:val="fr-FR"/>
              </w:rPr>
            </w:pPr>
            <w:r w:rsidRPr="00293B75">
              <w:rPr>
                <w:lang w:val="fr-FR"/>
              </w:rPr>
              <w:t>ajouter (+) et une illustration</w:t>
            </w:r>
          </w:p>
          <w:p w:rsidR="00111ED3" w:rsidRPr="00293B75" w:rsidRDefault="00111ED3" w:rsidP="007005BA">
            <w:pPr>
              <w:autoSpaceDE w:val="0"/>
              <w:autoSpaceDN w:val="0"/>
              <w:adjustRightInd w:val="0"/>
              <w:rPr>
                <w:i/>
                <w:lang w:val="fr-FR"/>
              </w:rPr>
            </w:pPr>
            <w:r w:rsidRPr="00293B75">
              <w:rPr>
                <w:i/>
                <w:lang w:val="fr-FR"/>
              </w:rPr>
              <w:t>fournie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14</w:t>
            </w:r>
          </w:p>
        </w:tc>
        <w:tc>
          <w:tcPr>
            <w:tcW w:w="8074" w:type="dxa"/>
          </w:tcPr>
          <w:p w:rsidR="00111ED3" w:rsidRPr="00293B75" w:rsidRDefault="00111ED3" w:rsidP="007005BA">
            <w:pPr>
              <w:autoSpaceDE w:val="0"/>
              <w:autoSpaceDN w:val="0"/>
              <w:adjustRightInd w:val="0"/>
              <w:rPr>
                <w:lang w:val="fr-FR"/>
              </w:rPr>
            </w:pPr>
            <w:r w:rsidRPr="00293B75">
              <w:rPr>
                <w:lang w:val="fr-FR"/>
              </w:rPr>
              <w:t>ajouter (+) et une illustration</w:t>
            </w:r>
          </w:p>
          <w:p w:rsidR="00111ED3" w:rsidRPr="00293B75" w:rsidRDefault="00111ED3" w:rsidP="007005BA">
            <w:pPr>
              <w:autoSpaceDE w:val="0"/>
              <w:autoSpaceDN w:val="0"/>
              <w:adjustRightInd w:val="0"/>
              <w:rPr>
                <w:lang w:val="fr-FR"/>
              </w:rPr>
            </w:pPr>
            <w:r w:rsidRPr="00293B75">
              <w:rPr>
                <w:i/>
                <w:lang w:val="fr-FR"/>
              </w:rPr>
              <w:t>fournie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16</w:t>
            </w:r>
          </w:p>
        </w:tc>
        <w:tc>
          <w:tcPr>
            <w:tcW w:w="8074" w:type="dxa"/>
          </w:tcPr>
          <w:p w:rsidR="00111ED3" w:rsidRPr="00293B75" w:rsidRDefault="00111ED3" w:rsidP="007005BA">
            <w:pPr>
              <w:autoSpaceDE w:val="0"/>
              <w:autoSpaceDN w:val="0"/>
              <w:adjustRightInd w:val="0"/>
              <w:rPr>
                <w:lang w:val="fr-FR"/>
              </w:rPr>
            </w:pPr>
            <w:r w:rsidRPr="00293B75">
              <w:rPr>
                <w:lang w:val="fr-FR"/>
              </w:rPr>
              <w:t>ajouter (+) et une illustration</w:t>
            </w:r>
          </w:p>
          <w:p w:rsidR="00111ED3" w:rsidRPr="00293B75" w:rsidRDefault="00111ED3" w:rsidP="007005BA">
            <w:pPr>
              <w:autoSpaceDE w:val="0"/>
              <w:autoSpaceDN w:val="0"/>
              <w:adjustRightInd w:val="0"/>
              <w:rPr>
                <w:lang w:val="fr-FR"/>
              </w:rPr>
            </w:pPr>
            <w:r w:rsidRPr="00293B75">
              <w:rPr>
                <w:i/>
                <w:lang w:val="fr-FR"/>
              </w:rPr>
              <w:t>fournie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16</w:t>
            </w:r>
          </w:p>
        </w:tc>
        <w:tc>
          <w:tcPr>
            <w:tcW w:w="8074" w:type="dxa"/>
          </w:tcPr>
          <w:p w:rsidR="00111ED3" w:rsidRPr="00293B75" w:rsidRDefault="00111ED3" w:rsidP="007005BA">
            <w:pPr>
              <w:tabs>
                <w:tab w:val="num" w:pos="1800"/>
                <w:tab w:val="left" w:pos="2912"/>
              </w:tabs>
              <w:rPr>
                <w:rFonts w:cs="Arial"/>
                <w:lang w:val="fr-FR"/>
              </w:rPr>
            </w:pPr>
            <w:r w:rsidRPr="00293B75">
              <w:rPr>
                <w:rFonts w:cs="Arial"/>
                <w:lang w:val="fr-FR"/>
              </w:rPr>
              <w:t>avoir les niveaux “aucun”, “sur la face supérieure seulement”, “sur les faces supérieure et inférieure”, “sur la face inférieure seulement”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18</w:t>
            </w:r>
          </w:p>
        </w:tc>
        <w:tc>
          <w:tcPr>
            <w:tcW w:w="8074" w:type="dxa"/>
          </w:tcPr>
          <w:p w:rsidR="00111ED3" w:rsidRPr="00293B75" w:rsidRDefault="00111ED3" w:rsidP="007005BA">
            <w:pPr>
              <w:tabs>
                <w:tab w:val="left" w:pos="2912"/>
              </w:tabs>
              <w:rPr>
                <w:rFonts w:cs="Arial"/>
                <w:lang w:val="fr-FR"/>
              </w:rPr>
            </w:pPr>
            <w:r w:rsidRPr="00293B75">
              <w:rPr>
                <w:rFonts w:cs="Arial"/>
                <w:lang w:val="fr-FR"/>
              </w:rPr>
              <w:t>vérifier s’il convient d’indiquer QL (ou QN?)</w:t>
            </w:r>
          </w:p>
          <w:p w:rsidR="00111ED3" w:rsidRPr="00293B75" w:rsidRDefault="00111ED3" w:rsidP="007005BA">
            <w:pPr>
              <w:autoSpaceDE w:val="0"/>
              <w:autoSpaceDN w:val="0"/>
              <w:adjustRightInd w:val="0"/>
              <w:rPr>
                <w:rFonts w:cs="Arial"/>
                <w:lang w:val="fr-FR"/>
              </w:rPr>
            </w:pPr>
            <w:r w:rsidRPr="00293B75">
              <w:rPr>
                <w:i/>
                <w:lang w:val="fr-FR"/>
              </w:rPr>
              <w:t>Expert principal : QL.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19</w:t>
            </w:r>
          </w:p>
        </w:tc>
        <w:tc>
          <w:tcPr>
            <w:tcW w:w="8074" w:type="dxa"/>
          </w:tcPr>
          <w:p w:rsidR="00111ED3" w:rsidRPr="00293B75" w:rsidRDefault="00111ED3" w:rsidP="007005BA">
            <w:pPr>
              <w:rPr>
                <w:rFonts w:cs="Arial"/>
                <w:lang w:val="fr-FR"/>
              </w:rPr>
            </w:pPr>
            <w:r w:rsidRPr="00293B75">
              <w:rPr>
                <w:rFonts w:cs="Arial"/>
                <w:lang w:val="fr-FR"/>
              </w:rPr>
              <w:t>vérifier s’il convient d’indiquer comme VG/MS</w:t>
            </w:r>
          </w:p>
          <w:p w:rsidR="00111ED3" w:rsidRPr="00293B75" w:rsidRDefault="00111ED3" w:rsidP="007005BA">
            <w:pPr>
              <w:rPr>
                <w:rFonts w:cs="Arial"/>
                <w:lang w:val="fr-FR"/>
              </w:rPr>
            </w:pPr>
            <w:r w:rsidRPr="00293B75">
              <w:rPr>
                <w:i/>
                <w:lang w:val="fr-FR"/>
              </w:rPr>
              <w:t>Expert principal : oui, il convient d’indiquer comme VG/MS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21</w:t>
            </w:r>
          </w:p>
        </w:tc>
        <w:tc>
          <w:tcPr>
            <w:tcW w:w="8074" w:type="dxa"/>
          </w:tcPr>
          <w:p w:rsidR="00111ED3" w:rsidRPr="00293B75" w:rsidRDefault="00111ED3" w:rsidP="007005BA">
            <w:pPr>
              <w:rPr>
                <w:rFonts w:cs="Arial"/>
                <w:lang w:val="fr-FR"/>
              </w:rPr>
            </w:pPr>
            <w:r w:rsidRPr="00293B75">
              <w:rPr>
                <w:rFonts w:cs="Arial"/>
                <w:lang w:val="fr-FR"/>
              </w:rPr>
              <w:t>doit être libellé comme suit “Pédoncule : longueur”</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23</w:t>
            </w:r>
          </w:p>
        </w:tc>
        <w:tc>
          <w:tcPr>
            <w:tcW w:w="8074" w:type="dxa"/>
          </w:tcPr>
          <w:p w:rsidR="00111ED3" w:rsidRPr="00293B75" w:rsidRDefault="00111ED3" w:rsidP="007005BA">
            <w:pPr>
              <w:rPr>
                <w:rFonts w:cs="Arial"/>
                <w:lang w:val="fr-FR"/>
              </w:rPr>
            </w:pPr>
            <w:r w:rsidRPr="00293B75">
              <w:rPr>
                <w:rFonts w:cs="Arial"/>
                <w:lang w:val="fr-FR"/>
              </w:rPr>
              <w:t>le libellé du niveau 1 doit être “</w:t>
            </w:r>
            <w:proofErr w:type="gramStart"/>
            <w:r w:rsidRPr="00293B75">
              <w:rPr>
                <w:rFonts w:cs="Arial"/>
                <w:lang w:val="fr-FR"/>
              </w:rPr>
              <w:t>dressée</w:t>
            </w:r>
            <w:proofErr w:type="gramEnd"/>
            <w:r w:rsidRPr="00293B75">
              <w:rPr>
                <w:rFonts w:cs="Arial"/>
                <w:lang w:val="fr-FR"/>
              </w:rPr>
              <w:t>”, celui du niveau 2 “demi</w:t>
            </w:r>
            <w:r w:rsidRPr="00293B75">
              <w:rPr>
                <w:rFonts w:cs="Arial"/>
                <w:lang w:val="fr-FR"/>
              </w:rPr>
              <w:noBreakHyphen/>
              <w:t>dressée”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25</w:t>
            </w:r>
          </w:p>
        </w:tc>
        <w:tc>
          <w:tcPr>
            <w:tcW w:w="8074" w:type="dxa"/>
          </w:tcPr>
          <w:p w:rsidR="00111ED3" w:rsidRPr="00293B75" w:rsidRDefault="00111ED3" w:rsidP="007005BA">
            <w:pPr>
              <w:autoSpaceDE w:val="0"/>
              <w:autoSpaceDN w:val="0"/>
              <w:adjustRightInd w:val="0"/>
              <w:rPr>
                <w:lang w:val="fr-FR"/>
              </w:rPr>
            </w:pPr>
            <w:r w:rsidRPr="00293B75">
              <w:rPr>
                <w:lang w:val="fr-FR"/>
              </w:rPr>
              <w:t>vérifier s’il convient de simplifier le libellé des niveaux (de 3D à 2D) et le libellé du niveau 1 doit être “aplati”, celui du niveau 2 “circulaire”, celui du niveau 3 “ovale”</w:t>
            </w:r>
          </w:p>
          <w:p w:rsidR="00111ED3" w:rsidRPr="00293B75" w:rsidRDefault="00111ED3" w:rsidP="007005BA">
            <w:pPr>
              <w:autoSpaceDE w:val="0"/>
              <w:autoSpaceDN w:val="0"/>
              <w:adjustRightInd w:val="0"/>
              <w:rPr>
                <w:lang w:val="fr-FR"/>
              </w:rPr>
            </w:pPr>
            <w:r w:rsidRPr="00293B75">
              <w:rPr>
                <w:i/>
                <w:lang w:val="fr-FR"/>
              </w:rPr>
              <w:t>Expert principal : le nom du caractère doit être libellé comme suit “Étage terminal : type” et conserver les niveaux d’expression actuels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26</w:t>
            </w:r>
          </w:p>
        </w:tc>
        <w:tc>
          <w:tcPr>
            <w:tcW w:w="8074" w:type="dxa"/>
          </w:tcPr>
          <w:p w:rsidR="00111ED3" w:rsidRPr="00293B75" w:rsidRDefault="00111ED3" w:rsidP="007005BA">
            <w:pPr>
              <w:autoSpaceDE w:val="0"/>
              <w:autoSpaceDN w:val="0"/>
              <w:adjustRightInd w:val="0"/>
              <w:rPr>
                <w:lang w:val="fr-FR"/>
              </w:rPr>
            </w:pPr>
            <w:r w:rsidRPr="00293B75">
              <w:rPr>
                <w:rFonts w:cs="Arial"/>
                <w:lang w:val="fr-FR"/>
              </w:rPr>
              <w:t xml:space="preserve">- </w:t>
            </w:r>
            <w:r w:rsidRPr="00293B75">
              <w:rPr>
                <w:lang w:val="fr-FR"/>
              </w:rPr>
              <w:t>ajouter (+) et une illustration.</w:t>
            </w:r>
          </w:p>
          <w:p w:rsidR="00111ED3" w:rsidRPr="00293B75" w:rsidRDefault="00111ED3" w:rsidP="007005BA">
            <w:pPr>
              <w:autoSpaceDE w:val="0"/>
              <w:autoSpaceDN w:val="0"/>
              <w:adjustRightInd w:val="0"/>
              <w:rPr>
                <w:lang w:val="fr-FR"/>
              </w:rPr>
            </w:pPr>
            <w:r w:rsidRPr="00293B75">
              <w:rPr>
                <w:i/>
                <w:lang w:val="fr-FR"/>
              </w:rPr>
              <w:t>fournie par l’expert principal</w:t>
            </w:r>
            <w:r w:rsidRPr="00293B75">
              <w:rPr>
                <w:lang w:val="fr-FR"/>
              </w:rPr>
              <w:t>.</w:t>
            </w:r>
          </w:p>
          <w:p w:rsidR="00111ED3" w:rsidRPr="00293B75" w:rsidRDefault="00111ED3" w:rsidP="007005BA">
            <w:pPr>
              <w:autoSpaceDE w:val="0"/>
              <w:autoSpaceDN w:val="0"/>
              <w:adjustRightInd w:val="0"/>
              <w:rPr>
                <w:lang w:val="fr-FR"/>
              </w:rPr>
            </w:pPr>
            <w:r w:rsidRPr="00293B75">
              <w:rPr>
                <w:rFonts w:cs="Arial"/>
                <w:lang w:val="fr-FR"/>
              </w:rPr>
              <w:t xml:space="preserve">- </w:t>
            </w:r>
            <w:r w:rsidRPr="00293B75">
              <w:rPr>
                <w:lang w:val="fr-FR"/>
              </w:rPr>
              <w:t>vérifier s’il convient de remplacer l’échelle asymétrique par “très bas” (1) à “très élevé” (9)</w:t>
            </w:r>
          </w:p>
          <w:p w:rsidR="00111ED3" w:rsidRPr="00293B75" w:rsidRDefault="00111ED3" w:rsidP="007005BA">
            <w:pPr>
              <w:autoSpaceDE w:val="0"/>
              <w:autoSpaceDN w:val="0"/>
              <w:adjustRightInd w:val="0"/>
              <w:rPr>
                <w:lang w:val="fr-FR"/>
              </w:rPr>
            </w:pPr>
            <w:r w:rsidRPr="00293B75">
              <w:rPr>
                <w:i/>
                <w:lang w:val="fr-FR"/>
              </w:rPr>
              <w:t>Expert principal : conserver l’échelle asymétrique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37</w:t>
            </w:r>
          </w:p>
        </w:tc>
        <w:tc>
          <w:tcPr>
            <w:tcW w:w="8074" w:type="dxa"/>
          </w:tcPr>
          <w:p w:rsidR="00111ED3" w:rsidRPr="00293B75" w:rsidRDefault="00111ED3" w:rsidP="007005BA">
            <w:pPr>
              <w:autoSpaceDE w:val="0"/>
              <w:autoSpaceDN w:val="0"/>
              <w:adjustRightInd w:val="0"/>
              <w:rPr>
                <w:lang w:val="fr-FR"/>
              </w:rPr>
            </w:pPr>
            <w:r w:rsidRPr="00293B75">
              <w:rPr>
                <w:lang w:val="fr-FR"/>
              </w:rPr>
              <w:t>la variété à titre d’exemple pour le niveau 1 doit être libellée comme suit “Leo8544” (supprimer “Bi</w:t>
            </w:r>
            <w:r w:rsidRPr="00293B75">
              <w:rPr>
                <w:lang w:val="fr-FR"/>
              </w:rPr>
              <w:noBreakHyphen/>
              <w:t>color”)</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44</w:t>
            </w:r>
          </w:p>
        </w:tc>
        <w:tc>
          <w:tcPr>
            <w:tcW w:w="8074" w:type="dxa"/>
          </w:tcPr>
          <w:p w:rsidR="00111ED3" w:rsidRPr="00293B75" w:rsidRDefault="00111ED3" w:rsidP="007005BA">
            <w:pPr>
              <w:rPr>
                <w:rFonts w:cs="Arial"/>
                <w:lang w:val="fr-FR"/>
              </w:rPr>
            </w:pPr>
            <w:r w:rsidRPr="00293B75">
              <w:rPr>
                <w:lang w:val="fr-FR"/>
              </w:rPr>
              <w:t>la variété à</w:t>
            </w:r>
            <w:r w:rsidR="00787D0F" w:rsidRPr="00293B75">
              <w:rPr>
                <w:lang w:val="fr-FR"/>
              </w:rPr>
              <w:t xml:space="preserve"> titre d’exemple pour le niveau </w:t>
            </w:r>
            <w:r w:rsidRPr="00293B75">
              <w:rPr>
                <w:lang w:val="fr-FR"/>
              </w:rPr>
              <w:t>3 doit être libellée comme suit “Leo8544” (supprimer “Bi</w:t>
            </w:r>
            <w:r w:rsidRPr="00293B75">
              <w:rPr>
                <w:lang w:val="fr-FR"/>
              </w:rPr>
              <w:noBreakHyphen/>
              <w:t>color”)</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46</w:t>
            </w:r>
          </w:p>
        </w:tc>
        <w:tc>
          <w:tcPr>
            <w:tcW w:w="8074" w:type="dxa"/>
          </w:tcPr>
          <w:p w:rsidR="00111ED3" w:rsidRPr="00293B75" w:rsidRDefault="00111ED3" w:rsidP="007005BA">
            <w:pPr>
              <w:rPr>
                <w:rFonts w:cs="Arial"/>
                <w:lang w:val="fr-FR"/>
              </w:rPr>
            </w:pPr>
            <w:r w:rsidRPr="00293B75">
              <w:rPr>
                <w:rFonts w:cs="Arial"/>
                <w:lang w:val="fr-FR"/>
              </w:rPr>
              <w:t>vérifier s’il convient de supprimer VG</w:t>
            </w:r>
          </w:p>
          <w:p w:rsidR="00111ED3" w:rsidRPr="00293B75" w:rsidRDefault="00111ED3" w:rsidP="007005BA">
            <w:pPr>
              <w:rPr>
                <w:rFonts w:cs="Arial"/>
                <w:lang w:val="fr-FR"/>
              </w:rPr>
            </w:pPr>
            <w:r w:rsidRPr="00293B75">
              <w:rPr>
                <w:i/>
                <w:lang w:val="fr-FR"/>
              </w:rPr>
              <w:t>Expert principal : oui, il convient de supprimer VG</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24</w:t>
            </w:r>
          </w:p>
        </w:tc>
        <w:tc>
          <w:tcPr>
            <w:tcW w:w="8074" w:type="dxa"/>
          </w:tcPr>
          <w:p w:rsidR="00111ED3" w:rsidRPr="00293B75" w:rsidRDefault="00111ED3" w:rsidP="007005BA">
            <w:pPr>
              <w:rPr>
                <w:rFonts w:cs="Arial"/>
                <w:lang w:val="fr-FR"/>
              </w:rPr>
            </w:pPr>
            <w:r w:rsidRPr="00293B75">
              <w:rPr>
                <w:rFonts w:cs="Arial"/>
                <w:lang w:val="fr-FR"/>
              </w:rPr>
              <w:t>remplacer la photo par une illustration afin d’améliorer graphiquement l’indication de longueur</w:t>
            </w:r>
          </w:p>
          <w:p w:rsidR="00111ED3" w:rsidRPr="00293B75" w:rsidRDefault="00111ED3" w:rsidP="007005BA">
            <w:pPr>
              <w:autoSpaceDE w:val="0"/>
              <w:autoSpaceDN w:val="0"/>
              <w:adjustRightInd w:val="0"/>
              <w:rPr>
                <w:lang w:val="fr-FR"/>
              </w:rPr>
            </w:pPr>
            <w:r w:rsidRPr="00293B75">
              <w:rPr>
                <w:i/>
                <w:lang w:val="fr-FR"/>
              </w:rPr>
              <w:t>fournie par l’expert principal</w:t>
            </w:r>
          </w:p>
        </w:tc>
      </w:tr>
      <w:tr w:rsidR="00293B75" w:rsidRPr="00293B75" w:rsidTr="00111ED3">
        <w:trPr>
          <w:cantSplit/>
        </w:trPr>
        <w:tc>
          <w:tcPr>
            <w:tcW w:w="1573" w:type="dxa"/>
          </w:tcPr>
          <w:p w:rsidR="00111ED3" w:rsidRPr="00293B75" w:rsidRDefault="00111ED3" w:rsidP="007005BA">
            <w:pPr>
              <w:rPr>
                <w:rFonts w:cs="Arial"/>
                <w:highlight w:val="cyan"/>
                <w:lang w:val="fr-FR"/>
              </w:rPr>
            </w:pPr>
            <w:r w:rsidRPr="00293B75">
              <w:rPr>
                <w:rFonts w:cs="Arial"/>
                <w:lang w:val="fr-FR"/>
              </w:rPr>
              <w:t>Ad. 25</w:t>
            </w:r>
          </w:p>
        </w:tc>
        <w:tc>
          <w:tcPr>
            <w:tcW w:w="8074" w:type="dxa"/>
          </w:tcPr>
          <w:p w:rsidR="00111ED3" w:rsidRPr="00293B75" w:rsidRDefault="00111ED3" w:rsidP="007005BA">
            <w:pPr>
              <w:rPr>
                <w:rFonts w:cs="Arial"/>
                <w:lang w:val="fr-FR"/>
              </w:rPr>
            </w:pPr>
            <w:r w:rsidRPr="00293B75">
              <w:rPr>
                <w:rFonts w:cs="Arial"/>
                <w:lang w:val="fr-FR"/>
              </w:rPr>
              <w:t>à présenter sous forme de grille</w:t>
            </w:r>
          </w:p>
          <w:p w:rsidR="00111ED3" w:rsidRPr="00293B75" w:rsidRDefault="00111ED3" w:rsidP="007005BA">
            <w:pPr>
              <w:rPr>
                <w:rFonts w:cs="Arial"/>
                <w:lang w:val="fr-FR"/>
              </w:rPr>
            </w:pPr>
            <w:r w:rsidRPr="00293B75">
              <w:rPr>
                <w:i/>
                <w:lang w:val="fr-FR"/>
              </w:rPr>
              <w:t>Expert principal : ne s’applique pas, voir les modifications apportées au caractère 25</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44</w:t>
            </w:r>
          </w:p>
        </w:tc>
        <w:tc>
          <w:tcPr>
            <w:tcW w:w="8074" w:type="dxa"/>
          </w:tcPr>
          <w:p w:rsidR="00111ED3" w:rsidRPr="00293B75" w:rsidRDefault="00111ED3" w:rsidP="007005BA">
            <w:pPr>
              <w:rPr>
                <w:rFonts w:cs="Arial"/>
                <w:lang w:val="fr-FR"/>
              </w:rPr>
            </w:pPr>
            <w:r w:rsidRPr="00293B75">
              <w:rPr>
                <w:rFonts w:cs="Arial"/>
                <w:lang w:val="fr-FR"/>
              </w:rPr>
              <w:t>vérifier s’il est possible de fournir une meilleure illustration pour le niveau</w:t>
            </w:r>
            <w:r w:rsidR="00787D0F" w:rsidRPr="00293B75">
              <w:rPr>
                <w:rFonts w:cs="Arial"/>
                <w:lang w:val="fr-FR"/>
              </w:rPr>
              <w:t> </w:t>
            </w:r>
            <w:r w:rsidRPr="00293B75">
              <w:rPr>
                <w:rFonts w:cs="Arial"/>
                <w:lang w:val="fr-FR"/>
              </w:rPr>
              <w:t>1 (la différence entre 1 et 2 n’est pas claire) ou ajouter des indications (que signifie protubérance?  la taille?  le nombre?)</w:t>
            </w:r>
          </w:p>
          <w:p w:rsidR="00111ED3" w:rsidRPr="00293B75" w:rsidRDefault="00111ED3" w:rsidP="007005BA">
            <w:pPr>
              <w:rPr>
                <w:rFonts w:cs="Arial"/>
                <w:lang w:val="fr-FR"/>
              </w:rPr>
            </w:pPr>
            <w:r w:rsidRPr="00293B75">
              <w:rPr>
                <w:i/>
                <w:lang w:val="fr-FR"/>
              </w:rPr>
              <w:t>Expert principal : nouvelle illustration fournie pour le niveau 1</w:t>
            </w:r>
          </w:p>
        </w:tc>
      </w:tr>
    </w:tbl>
    <w:p w:rsidR="00111ED3" w:rsidRPr="00293B75" w:rsidRDefault="00111ED3" w:rsidP="007005BA">
      <w:pPr>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67" w:type="dxa"/>
          </w:tcPr>
          <w:p w:rsidR="00111ED3" w:rsidRPr="00293B75" w:rsidRDefault="00111ED3" w:rsidP="007005BA">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25</w:t>
            </w:r>
          </w:p>
        </w:tc>
        <w:tc>
          <w:tcPr>
            <w:tcW w:w="8067" w:type="dxa"/>
          </w:tcPr>
          <w:p w:rsidR="00111ED3" w:rsidRPr="00293B75" w:rsidRDefault="00111ED3" w:rsidP="007005BA">
            <w:pPr>
              <w:rPr>
                <w:rFonts w:cs="Arial"/>
                <w:lang w:val="fr-FR"/>
              </w:rPr>
            </w:pPr>
            <w:r w:rsidRPr="00293B75">
              <w:rPr>
                <w:rFonts w:cs="Arial"/>
                <w:lang w:val="fr-FR"/>
              </w:rPr>
              <w:t>revenir au libellé “</w:t>
            </w:r>
            <w:r w:rsidRPr="00293B75">
              <w:rPr>
                <w:i/>
                <w:lang w:val="fr-FR"/>
              </w:rPr>
              <w:t>Étage terminal : forme</w:t>
            </w:r>
            <w:r w:rsidRPr="00293B75">
              <w:rPr>
                <w:rFonts w:cs="Arial"/>
                <w:lang w:val="fr-FR"/>
              </w:rPr>
              <w:t>” pour le nom du caractère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26</w:t>
            </w:r>
          </w:p>
        </w:tc>
        <w:tc>
          <w:tcPr>
            <w:tcW w:w="8067" w:type="dxa"/>
          </w:tcPr>
          <w:p w:rsidR="00111ED3" w:rsidRPr="00293B75" w:rsidRDefault="00111ED3" w:rsidP="007005BA">
            <w:pPr>
              <w:autoSpaceDE w:val="0"/>
              <w:autoSpaceDN w:val="0"/>
              <w:adjustRightInd w:val="0"/>
              <w:rPr>
                <w:rFonts w:cs="Arial"/>
                <w:lang w:val="fr-FR"/>
              </w:rPr>
            </w:pPr>
            <w:r w:rsidRPr="00293B75">
              <w:rPr>
                <w:lang w:val="fr-FR"/>
              </w:rPr>
              <w:t>remplacer l’échelle asymétrique par “très bas” (1) à “très élevé” (9)</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Questionnaire technique 7.4</w:t>
            </w:r>
          </w:p>
        </w:tc>
        <w:tc>
          <w:tcPr>
            <w:tcW w:w="8067" w:type="dxa"/>
          </w:tcPr>
          <w:p w:rsidR="00111ED3" w:rsidRPr="00293B75" w:rsidRDefault="00111ED3" w:rsidP="007005BA">
            <w:pPr>
              <w:rPr>
                <w:rFonts w:cs="Arial"/>
                <w:lang w:val="fr-FR"/>
              </w:rPr>
            </w:pPr>
            <w:r w:rsidRPr="00293B75">
              <w:rPr>
                <w:rFonts w:cs="Arial"/>
                <w:lang w:val="fr-FR"/>
              </w:rPr>
              <w:t>actualiser le texte standard supplémentaire 16 (ASW 16) (pour lequel une photographie de la variété doit être fournie) conformément au nouveau libellé du document TGP/7/4)</w:t>
            </w:r>
          </w:p>
        </w:tc>
      </w:tr>
    </w:tbl>
    <w:p w:rsidR="00111ED3" w:rsidRPr="00293B75" w:rsidRDefault="00111ED3" w:rsidP="007005BA">
      <w:pPr>
        <w:jc w:val="left"/>
        <w:rPr>
          <w:rFonts w:cs="Arial"/>
          <w:u w:val="single"/>
          <w:lang w:val="fr-FR"/>
        </w:rPr>
      </w:pPr>
    </w:p>
    <w:p w:rsidR="00111ED3" w:rsidRPr="00293B75" w:rsidRDefault="00111ED3" w:rsidP="007005BA">
      <w:pPr>
        <w:jc w:val="left"/>
        <w:rPr>
          <w:rFonts w:cs="Arial"/>
          <w:u w:val="single"/>
          <w:lang w:val="fr-FR"/>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600"/>
        <w:gridCol w:w="1846"/>
      </w:tblGrid>
      <w:tr w:rsidR="00293B75" w:rsidRPr="00293B75" w:rsidTr="00111ED3">
        <w:trPr>
          <w:cantSplit/>
          <w:trHeight w:val="277"/>
        </w:trPr>
        <w:tc>
          <w:tcPr>
            <w:tcW w:w="3600"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Campanula (</w:t>
            </w:r>
            <w:r w:rsidRPr="00293B75">
              <w:rPr>
                <w:rFonts w:cs="Arial"/>
                <w:i/>
                <w:caps w:val="0"/>
                <w:lang w:val="fr-FR"/>
              </w:rPr>
              <w:t>Campanula</w:t>
            </w:r>
            <w:r w:rsidRPr="00293B75">
              <w:rPr>
                <w:rFonts w:cs="Arial"/>
                <w:caps w:val="0"/>
                <w:lang w:val="fr-FR"/>
              </w:rPr>
              <w:t xml:space="preserve"> L.)</w:t>
            </w:r>
          </w:p>
        </w:tc>
        <w:tc>
          <w:tcPr>
            <w:tcW w:w="1846"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CAMPA(</w:t>
            </w:r>
            <w:proofErr w:type="gramEnd"/>
            <w:r w:rsidRPr="00293B75">
              <w:rPr>
                <w:rFonts w:cs="Arial"/>
                <w:caps w:val="0"/>
                <w:lang w:val="fr-FR"/>
              </w:rPr>
              <w:t>proj.6)</w:t>
            </w:r>
          </w:p>
        </w:tc>
      </w:tr>
      <w:tr w:rsidR="00293B75" w:rsidRPr="00293B75" w:rsidTr="00111ED3">
        <w:trPr>
          <w:cantSplit/>
          <w:trHeight w:val="230"/>
        </w:trPr>
        <w:tc>
          <w:tcPr>
            <w:tcW w:w="3600"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1846"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jc w:val="left"/>
        <w:rPr>
          <w:rFonts w:cs="Arial"/>
          <w:lang w:val="fr-FR"/>
        </w:rPr>
      </w:pPr>
    </w:p>
    <w:p w:rsidR="00111ED3" w:rsidRPr="00293B75" w:rsidRDefault="00111ED3" w:rsidP="007005BA">
      <w:pPr>
        <w:keepNext/>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projet des principes directeurs d’examen (document TG/</w:t>
      </w:r>
      <w:proofErr w:type="gramStart"/>
      <w:r w:rsidRPr="00293B75">
        <w:rPr>
          <w:rFonts w:cs="Arial"/>
          <w:lang w:val="fr-FR"/>
        </w:rPr>
        <w:t>CAMPA(</w:t>
      </w:r>
      <w:proofErr w:type="gramEnd"/>
      <w:r w:rsidRPr="00293B75">
        <w:rPr>
          <w:rFonts w:cs="Arial"/>
          <w:lang w:val="fr-FR"/>
        </w:rPr>
        <w:t>proj.6)) soumis au TC :</w:t>
      </w:r>
    </w:p>
    <w:p w:rsidR="00111ED3" w:rsidRPr="00293B75" w:rsidRDefault="00111ED3" w:rsidP="007005BA">
      <w:pPr>
        <w:keepNext/>
        <w:jc w:val="left"/>
        <w:rPr>
          <w:rFonts w:cs="Arial"/>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 6, 7, 8, 26, 27, 42, 44, 47, 48</w:t>
            </w:r>
          </w:p>
        </w:tc>
        <w:tc>
          <w:tcPr>
            <w:tcW w:w="8074" w:type="dxa"/>
          </w:tcPr>
          <w:p w:rsidR="00111ED3" w:rsidRPr="00293B75" w:rsidRDefault="00111ED3" w:rsidP="007005BA">
            <w:pPr>
              <w:rPr>
                <w:rFonts w:cs="Arial"/>
                <w:lang w:val="fr-FR"/>
              </w:rPr>
            </w:pPr>
            <w:r w:rsidRPr="00293B75">
              <w:rPr>
                <w:rFonts w:cs="Arial"/>
                <w:lang w:val="fr-FR"/>
              </w:rPr>
              <w:t>vérifier s’il convient de supprimer MG</w:t>
            </w:r>
          </w:p>
          <w:p w:rsidR="00111ED3" w:rsidRPr="00293B75" w:rsidRDefault="00111ED3" w:rsidP="007005BA">
            <w:pPr>
              <w:rPr>
                <w:rFonts w:cs="Arial"/>
                <w:i/>
                <w:lang w:val="fr-FR"/>
              </w:rPr>
            </w:pPr>
            <w:r w:rsidRPr="00293B75">
              <w:rPr>
                <w:rFonts w:cs="Arial"/>
                <w:i/>
                <w:lang w:val="fr-FR"/>
              </w:rPr>
              <w:t>Expert principal : MG est utilisé pour décrire une méthode d’observation possible qui est conforme à la définition de MG établie à l’intention du Comité de rédaction par le TWO, nous estimons donc que cette méthode est appliquée de façon appropriée et doit être conservée.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7</w:t>
            </w:r>
          </w:p>
        </w:tc>
        <w:tc>
          <w:tcPr>
            <w:tcW w:w="8074" w:type="dxa"/>
          </w:tcPr>
          <w:p w:rsidR="00111ED3" w:rsidRPr="00293B75" w:rsidRDefault="00111ED3" w:rsidP="007005BA">
            <w:pPr>
              <w:rPr>
                <w:rFonts w:cs="Arial"/>
                <w:lang w:val="fr-FR"/>
              </w:rPr>
            </w:pPr>
            <w:r w:rsidRPr="00293B75">
              <w:rPr>
                <w:rFonts w:cs="Arial"/>
                <w:lang w:val="fr-FR"/>
              </w:rPr>
              <w:t>libeller comme suit : “Limbe de la feuille : largeur”</w:t>
            </w:r>
          </w:p>
          <w:p w:rsidR="00111ED3" w:rsidRPr="00293B75" w:rsidRDefault="00111ED3" w:rsidP="007005BA">
            <w:pPr>
              <w:rPr>
                <w:rFonts w:cs="Arial"/>
                <w:i/>
                <w:lang w:val="fr-FR"/>
              </w:rPr>
            </w:pPr>
            <w:r w:rsidRPr="00293B75">
              <w:rPr>
                <w:rFonts w:cs="Arial"/>
                <w:i/>
                <w:lang w:val="fr-FR"/>
              </w:rPr>
              <w:t>Expert principal : déplacer la partie supprimée “à la partie la plus large” à Ad. 7.</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13</w:t>
            </w:r>
          </w:p>
        </w:tc>
        <w:tc>
          <w:tcPr>
            <w:tcW w:w="8074" w:type="dxa"/>
          </w:tcPr>
          <w:p w:rsidR="00111ED3" w:rsidRPr="00293B75" w:rsidRDefault="00111ED3" w:rsidP="007005BA">
            <w:pPr>
              <w:autoSpaceDE w:val="0"/>
              <w:autoSpaceDN w:val="0"/>
              <w:adjustRightInd w:val="0"/>
              <w:rPr>
                <w:lang w:val="fr-FR"/>
              </w:rPr>
            </w:pPr>
            <w:r w:rsidRPr="00293B75">
              <w:rPr>
                <w:lang w:val="fr-FR"/>
              </w:rPr>
              <w:t>supprimer (+) et l’explication</w:t>
            </w:r>
          </w:p>
          <w:p w:rsidR="00111ED3" w:rsidRPr="00293B75" w:rsidRDefault="00111ED3" w:rsidP="007005BA">
            <w:pPr>
              <w:autoSpaceDE w:val="0"/>
              <w:autoSpaceDN w:val="0"/>
              <w:adjustRightInd w:val="0"/>
              <w:rPr>
                <w:lang w:val="fr-FR"/>
              </w:rPr>
            </w:pPr>
            <w:r w:rsidRPr="00293B75">
              <w:rPr>
                <w:lang w:val="fr-FR"/>
              </w:rPr>
              <w:t>ajouter la note c)</w:t>
            </w:r>
          </w:p>
          <w:p w:rsidR="00111ED3" w:rsidRPr="00293B75" w:rsidRDefault="00111ED3" w:rsidP="007005BA">
            <w:pPr>
              <w:autoSpaceDE w:val="0"/>
              <w:autoSpaceDN w:val="0"/>
              <w:adjustRightInd w:val="0"/>
              <w:rPr>
                <w:lang w:val="fr-FR"/>
              </w:rPr>
            </w:pPr>
            <w:r w:rsidRPr="00293B75">
              <w:rPr>
                <w:rFonts w:cs="Arial"/>
                <w:i/>
                <w:lang w:val="fr-FR"/>
              </w:rPr>
              <w:t xml:space="preserve">Expert principal : Il ne convient pas </w:t>
            </w:r>
            <w:r w:rsidR="00787D0F" w:rsidRPr="00293B75">
              <w:rPr>
                <w:rFonts w:cs="Arial"/>
                <w:i/>
                <w:lang w:val="fr-FR"/>
              </w:rPr>
              <w:t>d’appliquer la note explicative </w:t>
            </w:r>
            <w:r w:rsidRPr="00293B75">
              <w:rPr>
                <w:rFonts w:cs="Arial"/>
                <w:i/>
                <w:lang w:val="fr-FR"/>
              </w:rPr>
              <w:t>c) pour ce caractère, car elle ne s’applique qu’aux caractères de couleur de la corolle.  Le libellé du document doit conserver (+) et l’explication de ce caractère figurant à Ad. 13.</w:t>
            </w:r>
          </w:p>
        </w:tc>
      </w:tr>
      <w:tr w:rsidR="00293B75" w:rsidRPr="00293B75" w:rsidTr="00111ED3">
        <w:trPr>
          <w:cantSplit/>
        </w:trPr>
        <w:tc>
          <w:tcPr>
            <w:tcW w:w="1573" w:type="dxa"/>
          </w:tcPr>
          <w:p w:rsidR="00111ED3" w:rsidRPr="00293B75" w:rsidRDefault="00111ED3" w:rsidP="007005BA">
            <w:pPr>
              <w:rPr>
                <w:lang w:val="fr-FR"/>
              </w:rPr>
            </w:pPr>
            <w:r w:rsidRPr="00293B75">
              <w:rPr>
                <w:lang w:val="fr-FR"/>
              </w:rPr>
              <w:t>car. 29, 32, 35, 38</w:t>
            </w:r>
          </w:p>
        </w:tc>
        <w:tc>
          <w:tcPr>
            <w:tcW w:w="8074" w:type="dxa"/>
          </w:tcPr>
          <w:p w:rsidR="00111ED3" w:rsidRPr="00293B75" w:rsidRDefault="00111ED3" w:rsidP="007005BA">
            <w:pPr>
              <w:autoSpaceDE w:val="0"/>
              <w:autoSpaceDN w:val="0"/>
              <w:adjustRightInd w:val="0"/>
              <w:rPr>
                <w:lang w:val="fr-FR"/>
              </w:rPr>
            </w:pPr>
            <w:r w:rsidRPr="00293B75">
              <w:rPr>
                <w:lang w:val="fr-FR"/>
              </w:rPr>
              <w:t>il convient de clarifier l’utilisation des termes “nervure médiane” et “nervure”, qui prête à confusion (voir Ad. 29, niveaux 7/8 et 9 – le niveau 9 inclut</w:t>
            </w:r>
            <w:r w:rsidRPr="00293B75">
              <w:rPr>
                <w:lang w:val="fr-FR"/>
              </w:rPr>
              <w:noBreakHyphen/>
              <w:t>il les nervures médianes?).</w:t>
            </w:r>
          </w:p>
          <w:p w:rsidR="00111ED3" w:rsidRPr="00293B75" w:rsidRDefault="00111ED3" w:rsidP="007005BA">
            <w:pPr>
              <w:autoSpaceDE w:val="0"/>
              <w:autoSpaceDN w:val="0"/>
              <w:adjustRightInd w:val="0"/>
              <w:rPr>
                <w:i/>
                <w:lang w:val="fr-FR"/>
              </w:rPr>
            </w:pPr>
            <w:r w:rsidRPr="00293B75">
              <w:rPr>
                <w:i/>
                <w:lang w:val="fr-FR"/>
              </w:rPr>
              <w:t>Expert principal : La veine centrale du lobe de la corolle forme une nervure;  elle</w:t>
            </w:r>
            <w:r w:rsidRPr="00293B75">
              <w:rPr>
                <w:i/>
                <w:lang w:val="fr-FR"/>
              </w:rPr>
              <w:noBreakHyphen/>
              <w:t>même, la corolle possède cinq lobes et a par conséquent cinq </w:t>
            </w:r>
            <w:r w:rsidRPr="00293B75">
              <w:rPr>
                <w:lang w:val="fr-FR"/>
              </w:rPr>
              <w:t>“nervures médianes”</w:t>
            </w:r>
            <w:r w:rsidRPr="00293B75">
              <w:rPr>
                <w:i/>
                <w:lang w:val="fr-FR"/>
              </w:rPr>
              <w:t>.  Pour certaines variétés, une couleur différente ap</w:t>
            </w:r>
            <w:r w:rsidR="00787D0F" w:rsidRPr="00293B75">
              <w:rPr>
                <w:i/>
                <w:lang w:val="fr-FR"/>
              </w:rPr>
              <w:t>paraît sur ces nervures (niveau </w:t>
            </w:r>
            <w:r w:rsidRPr="00293B75">
              <w:rPr>
                <w:i/>
                <w:lang w:val="fr-FR"/>
              </w:rPr>
              <w:t>7), ou parfois en combinaison avec d’autres parties telle que la zone marginale (niveau</w:t>
            </w:r>
            <w:r w:rsidR="00787D0F" w:rsidRPr="00293B75">
              <w:rPr>
                <w:i/>
                <w:lang w:val="fr-FR"/>
              </w:rPr>
              <w:t> </w:t>
            </w:r>
            <w:r w:rsidRPr="00293B75">
              <w:rPr>
                <w:i/>
                <w:lang w:val="fr-FR"/>
              </w:rPr>
              <w:t>8).  Pour d’autres variétés, la zone colorée peut se trouver répartie de façon plus étendue sur les nervures de chaque lobe, ce qui inclurait la nervure médiane (</w:t>
            </w:r>
            <w:r w:rsidR="00787D0F" w:rsidRPr="00293B75">
              <w:rPr>
                <w:i/>
                <w:lang w:val="fr-FR"/>
              </w:rPr>
              <w:t>niveau </w:t>
            </w:r>
            <w:r w:rsidRPr="00293B75">
              <w:rPr>
                <w:i/>
                <w:lang w:val="fr-FR"/>
              </w:rPr>
              <w:t xml:space="preserve">9).  </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35</w:t>
            </w:r>
          </w:p>
        </w:tc>
        <w:tc>
          <w:tcPr>
            <w:tcW w:w="8074" w:type="dxa"/>
          </w:tcPr>
          <w:p w:rsidR="00111ED3" w:rsidRPr="00293B75" w:rsidRDefault="00111ED3" w:rsidP="007005BA">
            <w:pPr>
              <w:rPr>
                <w:rFonts w:cs="Arial"/>
                <w:lang w:val="fr-FR"/>
              </w:rPr>
            </w:pPr>
            <w:r w:rsidRPr="00293B75">
              <w:rPr>
                <w:rFonts w:cs="Arial"/>
                <w:lang w:val="fr-FR"/>
              </w:rPr>
              <w:t>le niveau 8 doit être libellé comme suit “zone longitudinale”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8.1</w:t>
            </w:r>
          </w:p>
        </w:tc>
        <w:tc>
          <w:tcPr>
            <w:tcW w:w="8074" w:type="dxa"/>
          </w:tcPr>
          <w:p w:rsidR="00111ED3" w:rsidRPr="00293B75" w:rsidRDefault="00111ED3" w:rsidP="007005BA">
            <w:pPr>
              <w:rPr>
                <w:rFonts w:cs="Arial"/>
                <w:lang w:val="fr-FR"/>
              </w:rPr>
            </w:pPr>
            <w:r w:rsidRPr="00293B75">
              <w:rPr>
                <w:rFonts w:cs="Arial"/>
                <w:lang w:val="fr-FR"/>
              </w:rPr>
              <w:t>la phrase en haut doit être libellée comme suit “Les observations doivent être effectuées à l’époque de la pleine floraison.”</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26, 27</w:t>
            </w:r>
          </w:p>
        </w:tc>
        <w:tc>
          <w:tcPr>
            <w:tcW w:w="8074" w:type="dxa"/>
          </w:tcPr>
          <w:p w:rsidR="00111ED3" w:rsidRPr="00293B75" w:rsidRDefault="00111ED3" w:rsidP="007005BA">
            <w:pPr>
              <w:rPr>
                <w:rFonts w:cs="Arial"/>
                <w:lang w:val="fr-FR"/>
              </w:rPr>
            </w:pPr>
            <w:r w:rsidRPr="00293B75">
              <w:rPr>
                <w:rFonts w:cs="Arial"/>
                <w:lang w:val="fr-FR"/>
              </w:rPr>
              <w:t>vérifier la position des flèches (indication de la longueur)</w:t>
            </w:r>
          </w:p>
          <w:p w:rsidR="00111ED3" w:rsidRPr="00293B75" w:rsidRDefault="00111ED3" w:rsidP="007005BA">
            <w:pPr>
              <w:rPr>
                <w:rFonts w:cs="Arial"/>
                <w:lang w:val="fr-FR"/>
              </w:rPr>
            </w:pPr>
            <w:r w:rsidRPr="00293B75">
              <w:rPr>
                <w:rFonts w:cs="Arial"/>
                <w:i/>
                <w:lang w:val="fr-FR"/>
              </w:rPr>
              <w:t>Expert principal : une illustration améliorée a été fournie.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42, 43</w:t>
            </w:r>
          </w:p>
        </w:tc>
        <w:tc>
          <w:tcPr>
            <w:tcW w:w="8074" w:type="dxa"/>
          </w:tcPr>
          <w:p w:rsidR="00111ED3" w:rsidRPr="00293B75" w:rsidRDefault="00111ED3" w:rsidP="007005BA">
            <w:pPr>
              <w:rPr>
                <w:rFonts w:cs="Arial"/>
                <w:lang w:val="fr-FR"/>
              </w:rPr>
            </w:pPr>
            <w:r w:rsidRPr="00293B75">
              <w:rPr>
                <w:rFonts w:cs="Arial"/>
                <w:lang w:val="fr-FR"/>
              </w:rPr>
              <w:t>vérifier s’il convient de supprimer l’explication ou s’il est possible de la simplifier</w:t>
            </w:r>
          </w:p>
          <w:p w:rsidR="00111ED3" w:rsidRPr="00293B75" w:rsidRDefault="00111ED3" w:rsidP="007005BA">
            <w:pPr>
              <w:rPr>
                <w:rFonts w:cs="Arial"/>
                <w:lang w:val="fr-FR"/>
              </w:rPr>
            </w:pPr>
            <w:r w:rsidRPr="00293B75">
              <w:rPr>
                <w:i/>
                <w:lang w:val="fr-FR"/>
              </w:rPr>
              <w:t>Expert principal : Il est crucial de conserver cette explication dans son intégralité afin de veiller à l’harmonisation de l’observation de ces caractères.  Elle a été élaborée pour ce document au vu des malentendus importants et répétés au sein du sous</w:t>
            </w:r>
            <w:r w:rsidRPr="00293B75">
              <w:rPr>
                <w:i/>
                <w:lang w:val="fr-FR"/>
              </w:rPr>
              <w:noBreakHyphen/>
              <w:t>groupe.</w:t>
            </w:r>
          </w:p>
        </w:tc>
      </w:tr>
    </w:tbl>
    <w:p w:rsidR="00111ED3" w:rsidRPr="00293B75" w:rsidRDefault="00111ED3" w:rsidP="007005BA">
      <w:pPr>
        <w:jc w:val="left"/>
        <w:rPr>
          <w:rFonts w:cs="Arial"/>
          <w:u w:val="single"/>
          <w:lang w:val="fr-FR"/>
        </w:rPr>
      </w:pPr>
    </w:p>
    <w:p w:rsidR="00111ED3" w:rsidRPr="00293B75" w:rsidRDefault="00111ED3" w:rsidP="007005BA">
      <w:pPr>
        <w:keepNext/>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111ED3">
        <w:trPr>
          <w:cantSplit/>
        </w:trPr>
        <w:tc>
          <w:tcPr>
            <w:tcW w:w="1573" w:type="dxa"/>
          </w:tcPr>
          <w:p w:rsidR="00111ED3" w:rsidRPr="00293B75" w:rsidRDefault="00111ED3" w:rsidP="007005BA">
            <w:pPr>
              <w:keepNext/>
              <w:rPr>
                <w:rFonts w:cs="Arial"/>
                <w:lang w:val="fr-FR"/>
              </w:rPr>
            </w:pPr>
            <w:r w:rsidRPr="00293B75">
              <w:rPr>
                <w:rFonts w:cs="Arial"/>
                <w:lang w:val="fr-FR"/>
              </w:rPr>
              <w:t>Généralités</w:t>
            </w:r>
          </w:p>
        </w:tc>
        <w:tc>
          <w:tcPr>
            <w:tcW w:w="8067" w:type="dxa"/>
          </w:tcPr>
          <w:p w:rsidR="00111ED3" w:rsidRPr="00293B75" w:rsidRDefault="00111ED3" w:rsidP="007005BA">
            <w:pPr>
              <w:keepNext/>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111ED3">
        <w:trPr>
          <w:cantSplit/>
        </w:trPr>
        <w:tc>
          <w:tcPr>
            <w:tcW w:w="1573" w:type="dxa"/>
          </w:tcPr>
          <w:p w:rsidR="00111ED3" w:rsidRPr="00293B75" w:rsidRDefault="00111ED3" w:rsidP="007005BA">
            <w:pPr>
              <w:keepNext/>
              <w:rPr>
                <w:rFonts w:cs="Arial"/>
                <w:lang w:val="fr-FR"/>
              </w:rPr>
            </w:pPr>
            <w:r w:rsidRPr="00293B75">
              <w:rPr>
                <w:rFonts w:cs="Arial"/>
                <w:lang w:val="fr-FR"/>
              </w:rPr>
              <w:t>car. 3, 6, 7, 8, 26, 27, 42, 44, 47, 48</w:t>
            </w:r>
          </w:p>
        </w:tc>
        <w:tc>
          <w:tcPr>
            <w:tcW w:w="8067" w:type="dxa"/>
          </w:tcPr>
          <w:p w:rsidR="00111ED3" w:rsidRPr="00293B75" w:rsidRDefault="00111ED3" w:rsidP="007005BA">
            <w:pPr>
              <w:rPr>
                <w:rFonts w:cs="Arial"/>
                <w:lang w:val="fr-FR"/>
              </w:rPr>
            </w:pPr>
            <w:r w:rsidRPr="00293B75">
              <w:rPr>
                <w:rFonts w:cs="Arial"/>
                <w:lang w:val="fr-FR"/>
              </w:rPr>
              <w:t>vérifier si la méthode MG est réellement utilisée par les experts, au cas contraire, la supprimer</w:t>
            </w:r>
          </w:p>
          <w:p w:rsidR="00111ED3" w:rsidRPr="00293B75" w:rsidRDefault="00111ED3" w:rsidP="007005BA">
            <w:pPr>
              <w:keepNext/>
              <w:rPr>
                <w:rFonts w:cs="Arial"/>
                <w:lang w:val="fr-FR"/>
              </w:rPr>
            </w:pPr>
          </w:p>
        </w:tc>
      </w:tr>
      <w:tr w:rsidR="00293B75" w:rsidRPr="00293B75" w:rsidTr="00111ED3">
        <w:trPr>
          <w:cantSplit/>
        </w:trPr>
        <w:tc>
          <w:tcPr>
            <w:tcW w:w="1573" w:type="dxa"/>
          </w:tcPr>
          <w:p w:rsidR="00111ED3" w:rsidRPr="00293B75" w:rsidRDefault="00111ED3" w:rsidP="007005BA">
            <w:pPr>
              <w:rPr>
                <w:rFonts w:cs="Arial"/>
                <w:lang w:val="fr-FR"/>
              </w:rPr>
            </w:pPr>
            <w:r w:rsidRPr="00293B75">
              <w:rPr>
                <w:lang w:val="fr-FR"/>
              </w:rPr>
              <w:t>Ad. 29</w:t>
            </w:r>
          </w:p>
        </w:tc>
        <w:tc>
          <w:tcPr>
            <w:tcW w:w="8067" w:type="dxa"/>
          </w:tcPr>
          <w:p w:rsidR="00111ED3" w:rsidRPr="00293B75" w:rsidRDefault="00111ED3" w:rsidP="007005BA">
            <w:pPr>
              <w:rPr>
                <w:rFonts w:cs="Arial"/>
                <w:lang w:val="fr-FR"/>
              </w:rPr>
            </w:pPr>
            <w:r w:rsidRPr="00293B75">
              <w:rPr>
                <w:rFonts w:cs="Arial"/>
                <w:lang w:val="fr-FR"/>
              </w:rPr>
              <w:t>ajouter une explication au niveau 9 “le long des nervures” uniquement dans l’additif qui doit être libellé comme suit : “le long des nervures (y compris la nervure médiane)”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Questionnaire technique 7.4</w:t>
            </w:r>
          </w:p>
        </w:tc>
        <w:tc>
          <w:tcPr>
            <w:tcW w:w="8067" w:type="dxa"/>
          </w:tcPr>
          <w:p w:rsidR="00111ED3" w:rsidRPr="00293B75" w:rsidRDefault="00111ED3" w:rsidP="007005BA">
            <w:pPr>
              <w:rPr>
                <w:rFonts w:cs="Arial"/>
                <w:lang w:val="fr-FR"/>
              </w:rPr>
            </w:pPr>
            <w:r w:rsidRPr="00293B75">
              <w:rPr>
                <w:rFonts w:cs="Arial"/>
                <w:lang w:val="fr-FR"/>
              </w:rPr>
              <w:t>actualiser le texte standard supplémentaire 16 (ASW 16) (pour lequel une photographie de la variété doit être fournie) conformément au nouveau libellé du document TGP/7/4).</w:t>
            </w:r>
          </w:p>
        </w:tc>
      </w:tr>
    </w:tbl>
    <w:p w:rsidR="00111ED3" w:rsidRPr="00293B75" w:rsidRDefault="00111ED3" w:rsidP="007005BA">
      <w:pPr>
        <w:jc w:val="left"/>
        <w:rPr>
          <w:rFonts w:cs="Arial"/>
          <w:u w:val="single"/>
          <w:lang w:val="fr-FR"/>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443"/>
        <w:gridCol w:w="1988"/>
      </w:tblGrid>
      <w:tr w:rsidR="00293B75" w:rsidRPr="00293B75" w:rsidTr="00111ED3">
        <w:trPr>
          <w:cantSplit/>
          <w:trHeight w:val="277"/>
        </w:trPr>
        <w:tc>
          <w:tcPr>
            <w:tcW w:w="5443"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Manioc (</w:t>
            </w:r>
            <w:r w:rsidRPr="00293B75">
              <w:rPr>
                <w:rFonts w:cs="Arial"/>
                <w:i/>
                <w:caps w:val="0"/>
                <w:lang w:val="fr-FR"/>
              </w:rPr>
              <w:t xml:space="preserve">Manihot esculenta </w:t>
            </w:r>
            <w:r w:rsidRPr="00293B75">
              <w:rPr>
                <w:rFonts w:cs="Arial"/>
                <w:caps w:val="0"/>
                <w:lang w:val="fr-FR"/>
              </w:rPr>
              <w:t>Crantz.)</w:t>
            </w:r>
          </w:p>
        </w:tc>
        <w:tc>
          <w:tcPr>
            <w:tcW w:w="1988"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CASSAV(</w:t>
            </w:r>
            <w:proofErr w:type="gramEnd"/>
            <w:r w:rsidRPr="00293B75">
              <w:rPr>
                <w:rFonts w:cs="Arial"/>
                <w:caps w:val="0"/>
                <w:lang w:val="fr-FR"/>
              </w:rPr>
              <w:t>proj.6)</w:t>
            </w:r>
          </w:p>
        </w:tc>
      </w:tr>
      <w:tr w:rsidR="00293B75" w:rsidRPr="00293B75" w:rsidTr="00111ED3">
        <w:trPr>
          <w:cantSplit/>
          <w:trHeight w:val="230"/>
        </w:trPr>
        <w:tc>
          <w:tcPr>
            <w:tcW w:w="5443"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1988"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jc w:val="left"/>
        <w:rPr>
          <w:rFonts w:cs="Arial"/>
          <w:u w:val="single"/>
          <w:lang w:val="fr-FR"/>
        </w:rPr>
      </w:pPr>
    </w:p>
    <w:p w:rsidR="00111ED3" w:rsidRPr="00293B75" w:rsidRDefault="00111ED3" w:rsidP="007005BA">
      <w:pPr>
        <w:keepNext/>
        <w:autoSpaceDE w:val="0"/>
        <w:autoSpaceDN w:val="0"/>
        <w:adjustRightInd w:val="0"/>
        <w:ind w:firstLine="567"/>
        <w:rPr>
          <w:rFonts w:cs="Arial"/>
          <w:lang w:val="fr-FR"/>
        </w:rPr>
      </w:pPr>
      <w:r w:rsidRPr="00293B75">
        <w:rPr>
          <w:rFonts w:cs="Arial"/>
          <w:lang w:val="fr-FR"/>
        </w:rPr>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67" w:type="dxa"/>
          </w:tcPr>
          <w:p w:rsidR="00111ED3" w:rsidRPr="00293B75" w:rsidRDefault="00111ED3" w:rsidP="007005BA">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p w:rsidR="00111ED3" w:rsidRPr="00293B75" w:rsidRDefault="00111ED3" w:rsidP="007005BA">
            <w:pPr>
              <w:rPr>
                <w:rFonts w:cs="Arial"/>
                <w:i/>
                <w:lang w:val="fr-FR"/>
              </w:rPr>
            </w:pPr>
            <w:r w:rsidRPr="00293B75">
              <w:rPr>
                <w:rFonts w:cs="Arial"/>
                <w:i/>
                <w:lang w:val="fr-FR"/>
              </w:rPr>
              <w:t>Expert principal : a confirmé que tous les droits de propriété intellectuelle ont été respectés.</w:t>
            </w:r>
          </w:p>
        </w:tc>
      </w:tr>
      <w:tr w:rsidR="00293B75" w:rsidRPr="00293B75" w:rsidTr="00111ED3">
        <w:trPr>
          <w:cantSplit/>
        </w:trPr>
        <w:tc>
          <w:tcPr>
            <w:tcW w:w="1573" w:type="dxa"/>
          </w:tcPr>
          <w:p w:rsidR="00111ED3" w:rsidRPr="00293B75" w:rsidRDefault="00111ED3" w:rsidP="007005BA">
            <w:pPr>
              <w:rPr>
                <w:rFonts w:cs="Arial"/>
                <w:szCs w:val="22"/>
                <w:lang w:val="fr-FR"/>
              </w:rPr>
            </w:pPr>
            <w:r w:rsidRPr="00293B75">
              <w:rPr>
                <w:rFonts w:cs="Arial"/>
                <w:szCs w:val="22"/>
                <w:lang w:val="fr-FR"/>
              </w:rPr>
              <w:t>car. 15</w:t>
            </w:r>
          </w:p>
        </w:tc>
        <w:tc>
          <w:tcPr>
            <w:tcW w:w="8067" w:type="dxa"/>
          </w:tcPr>
          <w:p w:rsidR="00111ED3" w:rsidRPr="00293B75" w:rsidRDefault="00111ED3" w:rsidP="007005BA">
            <w:pPr>
              <w:rPr>
                <w:rFonts w:cs="Arial"/>
                <w:szCs w:val="22"/>
                <w:lang w:val="fr-FR"/>
              </w:rPr>
            </w:pPr>
            <w:r w:rsidRPr="00293B75">
              <w:rPr>
                <w:rFonts w:cs="Arial"/>
                <w:szCs w:val="22"/>
                <w:lang w:val="fr-FR"/>
              </w:rPr>
              <w:t>doit être libellé comme suit “Tige : couleur de la face interne de l’écorce”</w:t>
            </w:r>
          </w:p>
        </w:tc>
      </w:tr>
      <w:tr w:rsidR="00293B75" w:rsidRPr="00293B75" w:rsidTr="00111ED3">
        <w:trPr>
          <w:cantSplit/>
        </w:trPr>
        <w:tc>
          <w:tcPr>
            <w:tcW w:w="1573" w:type="dxa"/>
          </w:tcPr>
          <w:p w:rsidR="00111ED3" w:rsidRPr="00293B75" w:rsidRDefault="00111ED3" w:rsidP="007005BA">
            <w:pPr>
              <w:rPr>
                <w:rFonts w:cs="Arial"/>
                <w:szCs w:val="22"/>
                <w:lang w:val="fr-FR"/>
              </w:rPr>
            </w:pPr>
            <w:r w:rsidRPr="00293B75">
              <w:rPr>
                <w:rFonts w:cs="Arial"/>
                <w:szCs w:val="22"/>
                <w:lang w:val="fr-FR"/>
              </w:rPr>
              <w:t>car. 17</w:t>
            </w:r>
          </w:p>
        </w:tc>
        <w:tc>
          <w:tcPr>
            <w:tcW w:w="8067" w:type="dxa"/>
          </w:tcPr>
          <w:p w:rsidR="00111ED3" w:rsidRPr="00293B75" w:rsidRDefault="00111ED3" w:rsidP="007005BA">
            <w:pPr>
              <w:rPr>
                <w:rFonts w:cs="Arial"/>
                <w:szCs w:val="22"/>
                <w:lang w:val="fr-FR"/>
              </w:rPr>
            </w:pPr>
            <w:r w:rsidRPr="00293B75">
              <w:rPr>
                <w:rFonts w:cs="Arial"/>
                <w:szCs w:val="22"/>
                <w:lang w:val="fr-FR"/>
              </w:rPr>
              <w:t>vérifier s’il convient d’ajouter (c)</w:t>
            </w:r>
          </w:p>
          <w:p w:rsidR="00111ED3" w:rsidRPr="00293B75" w:rsidRDefault="00111ED3" w:rsidP="007005BA">
            <w:pPr>
              <w:rPr>
                <w:rFonts w:cs="Arial"/>
                <w:szCs w:val="22"/>
                <w:lang w:val="fr-FR"/>
              </w:rPr>
            </w:pPr>
            <w:r w:rsidRPr="00293B75">
              <w:rPr>
                <w:rFonts w:cs="Arial"/>
                <w:i/>
                <w:lang w:val="fr-FR"/>
              </w:rPr>
              <w:t xml:space="preserve">Expert principal : oui, ajouter (c) </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19</w:t>
            </w:r>
          </w:p>
        </w:tc>
        <w:tc>
          <w:tcPr>
            <w:tcW w:w="8067" w:type="dxa"/>
          </w:tcPr>
          <w:p w:rsidR="00111ED3" w:rsidRPr="00293B75" w:rsidRDefault="00111ED3" w:rsidP="007005BA">
            <w:pPr>
              <w:rPr>
                <w:rFonts w:cs="Arial"/>
                <w:lang w:val="fr-FR"/>
              </w:rPr>
            </w:pPr>
            <w:r w:rsidRPr="00293B75">
              <w:rPr>
                <w:rFonts w:cs="Arial"/>
                <w:lang w:val="fr-FR"/>
              </w:rPr>
              <w:t>indiquer à quel moment doit être effectuée la mesure, le moment évoqué dans la note</w:t>
            </w:r>
            <w:r w:rsidR="00787D0F" w:rsidRPr="00293B75">
              <w:rPr>
                <w:rFonts w:cs="Arial"/>
                <w:lang w:val="fr-FR"/>
              </w:rPr>
              <w:t> </w:t>
            </w:r>
            <w:r w:rsidRPr="00293B75">
              <w:rPr>
                <w:rFonts w:cs="Arial"/>
                <w:lang w:val="fr-FR"/>
              </w:rPr>
              <w:t>(b) ou celui de la note (c)</w:t>
            </w:r>
          </w:p>
          <w:p w:rsidR="00111ED3" w:rsidRPr="00293B75" w:rsidRDefault="00111ED3" w:rsidP="007005BA">
            <w:pPr>
              <w:rPr>
                <w:rFonts w:cs="Arial"/>
                <w:lang w:val="fr-FR"/>
              </w:rPr>
            </w:pPr>
            <w:r w:rsidRPr="00293B75">
              <w:rPr>
                <w:rFonts w:cs="Arial"/>
                <w:i/>
                <w:lang w:val="fr-FR"/>
              </w:rPr>
              <w:t>Expert principal : doit être indiqué comme étant (c)</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19</w:t>
            </w:r>
          </w:p>
        </w:tc>
        <w:tc>
          <w:tcPr>
            <w:tcW w:w="8067" w:type="dxa"/>
          </w:tcPr>
          <w:p w:rsidR="00111ED3" w:rsidRPr="00293B75" w:rsidRDefault="00111ED3" w:rsidP="007005BA">
            <w:pPr>
              <w:rPr>
                <w:rFonts w:cs="Arial"/>
                <w:lang w:val="fr-FR"/>
              </w:rPr>
            </w:pPr>
            <w:r w:rsidRPr="00293B75">
              <w:rPr>
                <w:rFonts w:cs="Arial"/>
                <w:lang w:val="fr-FR"/>
              </w:rPr>
              <w:t>vérifier si le libellé doit être comme suit “</w:t>
            </w:r>
            <w:r w:rsidRPr="00293B75">
              <w:rPr>
                <w:lang w:val="fr-FR"/>
              </w:rPr>
              <w:t>Tiges : couleur de l’extrémité des ramifications</w:t>
            </w:r>
            <w:r w:rsidRPr="00293B75">
              <w:rPr>
                <w:rFonts w:cs="Arial"/>
                <w:lang w:val="fr-FR"/>
              </w:rPr>
              <w:t>” (voir Ad. 19)</w:t>
            </w:r>
          </w:p>
          <w:p w:rsidR="00111ED3" w:rsidRPr="00293B75" w:rsidRDefault="00111ED3" w:rsidP="007005BA">
            <w:pPr>
              <w:rPr>
                <w:rFonts w:cs="Arial"/>
                <w:lang w:val="fr-FR"/>
              </w:rPr>
            </w:pPr>
            <w:r w:rsidRPr="00293B75">
              <w:rPr>
                <w:rFonts w:cs="Arial"/>
                <w:i/>
                <w:lang w:val="fr-FR"/>
              </w:rPr>
              <w:t>Expert principal : accepté</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20 à 26</w:t>
            </w:r>
          </w:p>
        </w:tc>
        <w:tc>
          <w:tcPr>
            <w:tcW w:w="8067" w:type="dxa"/>
          </w:tcPr>
          <w:p w:rsidR="00111ED3" w:rsidRPr="00293B75" w:rsidRDefault="00111ED3" w:rsidP="007005BA">
            <w:pPr>
              <w:rPr>
                <w:rFonts w:cs="Arial"/>
                <w:lang w:val="fr-FR"/>
              </w:rPr>
            </w:pPr>
            <w:r w:rsidRPr="00293B75">
              <w:rPr>
                <w:rFonts w:cs="Arial"/>
                <w:lang w:val="fr-FR"/>
              </w:rPr>
              <w:t>vérifier s’il convient de remplacer “racine” par “tubercule”</w:t>
            </w:r>
          </w:p>
          <w:p w:rsidR="00111ED3" w:rsidRPr="00293B75" w:rsidRDefault="00111ED3" w:rsidP="007005BA">
            <w:pPr>
              <w:rPr>
                <w:rFonts w:cs="Arial"/>
                <w:lang w:val="fr-FR"/>
              </w:rPr>
            </w:pPr>
            <w:r w:rsidRPr="00293B75">
              <w:rPr>
                <w:rFonts w:cs="Arial"/>
                <w:i/>
                <w:lang w:val="fr-FR"/>
              </w:rPr>
              <w:t>Expert principal : “racine” est correct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20</w:t>
            </w:r>
          </w:p>
        </w:tc>
        <w:tc>
          <w:tcPr>
            <w:tcW w:w="8067" w:type="dxa"/>
          </w:tcPr>
          <w:p w:rsidR="00111ED3" w:rsidRPr="00293B75" w:rsidRDefault="00111ED3" w:rsidP="007005BA">
            <w:pPr>
              <w:rPr>
                <w:rFonts w:cs="Arial"/>
                <w:lang w:val="fr-FR"/>
              </w:rPr>
            </w:pPr>
            <w:r w:rsidRPr="00293B75">
              <w:rPr>
                <w:rFonts w:cs="Arial"/>
                <w:lang w:val="fr-FR"/>
              </w:rPr>
              <w:t>“Pédoncule” renvoie habituellement à la fleur.  Vérifier si “stipe” est plus approprié</w:t>
            </w:r>
          </w:p>
          <w:p w:rsidR="00111ED3" w:rsidRPr="00293B75" w:rsidRDefault="00111ED3" w:rsidP="007005BA">
            <w:pPr>
              <w:rPr>
                <w:rFonts w:cs="Arial"/>
                <w:lang w:val="fr-FR"/>
              </w:rPr>
            </w:pPr>
            <w:r w:rsidRPr="00293B75">
              <w:rPr>
                <w:rFonts w:cs="Arial"/>
                <w:i/>
                <w:lang w:val="fr-FR"/>
              </w:rPr>
              <w:t>Expert principal : oui, il convient de remplacer “pédoncule</w:t>
            </w:r>
            <w:r w:rsidRPr="00293B75">
              <w:rPr>
                <w:rFonts w:cs="Arial"/>
                <w:lang w:val="fr-FR"/>
              </w:rPr>
              <w:t>”</w:t>
            </w:r>
            <w:r w:rsidRPr="00293B75">
              <w:rPr>
                <w:rFonts w:cs="Arial"/>
                <w:i/>
                <w:lang w:val="fr-FR"/>
              </w:rPr>
              <w:t xml:space="preserve"> par “stipe”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23, 24</w:t>
            </w:r>
          </w:p>
        </w:tc>
        <w:tc>
          <w:tcPr>
            <w:tcW w:w="8067" w:type="dxa"/>
          </w:tcPr>
          <w:p w:rsidR="00111ED3" w:rsidRPr="00293B75" w:rsidRDefault="00111ED3" w:rsidP="007005BA">
            <w:pPr>
              <w:rPr>
                <w:rFonts w:cs="Arial"/>
                <w:lang w:val="fr-FR"/>
              </w:rPr>
            </w:pPr>
            <w:r w:rsidRPr="00293B75">
              <w:rPr>
                <w:rFonts w:cs="Arial"/>
                <w:lang w:val="fr-FR"/>
              </w:rPr>
              <w:t>le niveau 1 doit indiquer “blanc”;  le niveau 2 doit indiquer “jaunâtre”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8.1</w:t>
            </w:r>
          </w:p>
        </w:tc>
        <w:tc>
          <w:tcPr>
            <w:tcW w:w="8067" w:type="dxa"/>
          </w:tcPr>
          <w:p w:rsidR="00111ED3" w:rsidRPr="00293B75" w:rsidRDefault="00111ED3" w:rsidP="007005BA">
            <w:pPr>
              <w:rPr>
                <w:rFonts w:cs="Arial"/>
                <w:lang w:val="fr-FR"/>
              </w:rPr>
            </w:pPr>
            <w:r w:rsidRPr="00293B75">
              <w:rPr>
                <w:rFonts w:cs="Arial"/>
                <w:lang w:val="fr-FR"/>
              </w:rPr>
              <w:t>la mention des jours n’est pas essentielle.  À condition que l’indication du temps soit appropriée à toutes les zones de croissance, la mention des mois devrait être suffisante.</w:t>
            </w:r>
          </w:p>
          <w:p w:rsidR="00111ED3" w:rsidRPr="00293B75" w:rsidRDefault="00111ED3" w:rsidP="007005BA">
            <w:pPr>
              <w:rPr>
                <w:rFonts w:cs="Arial"/>
                <w:lang w:val="fr-FR"/>
              </w:rPr>
            </w:pPr>
            <w:r w:rsidRPr="00293B75">
              <w:rPr>
                <w:rFonts w:cs="Arial"/>
                <w:lang w:val="fr-FR"/>
              </w:rPr>
              <w:t>vérifier s’il convient de libeller comme suit :</w:t>
            </w:r>
          </w:p>
          <w:p w:rsidR="00111ED3" w:rsidRPr="00293B75" w:rsidRDefault="00111ED3" w:rsidP="007005BA">
            <w:pPr>
              <w:ind w:left="360" w:hanging="360"/>
              <w:rPr>
                <w:rFonts w:cs="Arial"/>
                <w:lang w:val="fr-FR"/>
              </w:rPr>
            </w:pPr>
            <w:r w:rsidRPr="00293B75">
              <w:rPr>
                <w:rFonts w:cs="Arial"/>
                <w:lang w:val="fr-FR"/>
              </w:rPr>
              <w:t>“a)</w:t>
            </w:r>
            <w:r w:rsidRPr="00293B75">
              <w:rPr>
                <w:rFonts w:cs="Arial"/>
                <w:lang w:val="fr-FR"/>
              </w:rPr>
              <w:tab/>
            </w:r>
            <w:r w:rsidRPr="00293B75">
              <w:rPr>
                <w:lang w:val="fr-FR"/>
              </w:rPr>
              <w:t>Les observations devraient être réalisées environ après 5 mois à compter de la plantation</w:t>
            </w:r>
            <w:r w:rsidRPr="00293B75">
              <w:rPr>
                <w:rFonts w:cs="Arial"/>
                <w:lang w:val="fr-FR"/>
              </w:rPr>
              <w:t>.</w:t>
            </w:r>
          </w:p>
          <w:p w:rsidR="00111ED3" w:rsidRPr="00293B75" w:rsidRDefault="00111ED3" w:rsidP="007005BA">
            <w:pPr>
              <w:ind w:left="360" w:hanging="360"/>
              <w:rPr>
                <w:rFonts w:cs="Arial"/>
                <w:lang w:val="fr-FR"/>
              </w:rPr>
            </w:pPr>
            <w:r w:rsidRPr="00293B75">
              <w:rPr>
                <w:rFonts w:cs="Arial"/>
                <w:lang w:val="fr-FR"/>
              </w:rPr>
              <w:t>“b)</w:t>
            </w:r>
            <w:r w:rsidRPr="00293B75">
              <w:rPr>
                <w:rFonts w:cs="Arial"/>
                <w:lang w:val="fr-FR"/>
              </w:rPr>
              <w:tab/>
            </w:r>
            <w:r w:rsidRPr="00293B75">
              <w:rPr>
                <w:lang w:val="fr-FR"/>
              </w:rPr>
              <w:t>Les observations devraient être réalisées après 6 à 9 mois à compter de la plantation et sur le tiers médian de la plante, sauf indication contraire</w:t>
            </w:r>
            <w:r w:rsidRPr="00293B75">
              <w:rPr>
                <w:rFonts w:cs="Arial"/>
                <w:lang w:val="fr-FR"/>
              </w:rPr>
              <w:t>.</w:t>
            </w:r>
          </w:p>
          <w:p w:rsidR="00111ED3" w:rsidRPr="00293B75" w:rsidRDefault="00111ED3" w:rsidP="007005BA">
            <w:pPr>
              <w:ind w:left="360" w:hanging="360"/>
              <w:rPr>
                <w:rFonts w:cs="Arial"/>
                <w:lang w:val="fr-FR"/>
              </w:rPr>
            </w:pPr>
            <w:r w:rsidRPr="00293B75">
              <w:rPr>
                <w:rFonts w:cs="Arial"/>
                <w:lang w:val="fr-FR"/>
              </w:rPr>
              <w:t>“c)</w:t>
            </w:r>
            <w:r w:rsidRPr="00293B75">
              <w:rPr>
                <w:rFonts w:cs="Arial"/>
                <w:lang w:val="fr-FR"/>
              </w:rPr>
              <w:tab/>
            </w:r>
            <w:r w:rsidRPr="00293B75">
              <w:rPr>
                <w:lang w:val="fr-FR"/>
              </w:rPr>
              <w:t>Les observations devraient être réalisées environ après 12 mois à compter de la plantation</w:t>
            </w:r>
            <w:r w:rsidRPr="00293B75">
              <w:rPr>
                <w:rFonts w:cs="Arial"/>
                <w:lang w:val="fr-FR"/>
              </w:rPr>
              <w:t>.”</w:t>
            </w:r>
          </w:p>
          <w:p w:rsidR="00111ED3" w:rsidRPr="00293B75" w:rsidRDefault="00111ED3" w:rsidP="007005BA">
            <w:pPr>
              <w:ind w:left="360" w:hanging="360"/>
              <w:rPr>
                <w:rFonts w:cs="Arial"/>
                <w:lang w:val="fr-FR"/>
              </w:rPr>
            </w:pPr>
            <w:r w:rsidRPr="00293B75">
              <w:rPr>
                <w:rFonts w:cs="Arial"/>
                <w:i/>
                <w:lang w:val="fr-FR"/>
              </w:rPr>
              <w:t>Expert principal : accepté</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12</w:t>
            </w:r>
          </w:p>
        </w:tc>
        <w:tc>
          <w:tcPr>
            <w:tcW w:w="8067" w:type="dxa"/>
          </w:tcPr>
          <w:p w:rsidR="00111ED3" w:rsidRPr="00293B75" w:rsidRDefault="00111ED3" w:rsidP="007005BA">
            <w:pPr>
              <w:rPr>
                <w:rFonts w:cs="Arial"/>
                <w:lang w:val="fr-FR"/>
              </w:rPr>
            </w:pPr>
            <w:r w:rsidRPr="00293B75">
              <w:rPr>
                <w:rFonts w:cs="Arial"/>
                <w:lang w:val="fr-FR"/>
              </w:rPr>
              <w:t>améliorer les photos</w:t>
            </w:r>
          </w:p>
          <w:p w:rsidR="00111ED3" w:rsidRPr="00293B75" w:rsidRDefault="00111ED3" w:rsidP="007005BA">
            <w:pPr>
              <w:rPr>
                <w:rFonts w:cs="Arial"/>
                <w:lang w:val="fr-FR"/>
              </w:rPr>
            </w:pPr>
            <w:r w:rsidRPr="00293B75">
              <w:rPr>
                <w:rFonts w:cs="Arial"/>
                <w:i/>
                <w:lang w:val="fr-FR"/>
              </w:rPr>
              <w:t>Expert principal : des photos améliorées seront fournies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26</w:t>
            </w:r>
          </w:p>
        </w:tc>
        <w:tc>
          <w:tcPr>
            <w:tcW w:w="8067" w:type="dxa"/>
          </w:tcPr>
          <w:p w:rsidR="00111ED3" w:rsidRPr="00293B75" w:rsidRDefault="00111ED3" w:rsidP="007005BA">
            <w:pPr>
              <w:rPr>
                <w:rFonts w:cs="Arial"/>
                <w:lang w:val="fr-FR"/>
              </w:rPr>
            </w:pPr>
            <w:r w:rsidRPr="00293B75">
              <w:rPr>
                <w:rFonts w:cs="Arial"/>
                <w:lang w:val="fr-FR"/>
              </w:rPr>
              <w:t xml:space="preserve">doit être libellé comme suit “L’adhérence doit être observée en détachant le cortex à la main sur le tiers </w:t>
            </w:r>
            <w:r w:rsidRPr="00293B75">
              <w:t>médian des racines tubéreuses fraîchement récoltées</w:t>
            </w:r>
            <w:r w:rsidRPr="00293B75">
              <w:rPr>
                <w:rFonts w:cs="Arial"/>
                <w:lang w:val="fr-FR"/>
              </w:rPr>
              <w:t>.</w:t>
            </w:r>
          </w:p>
          <w:p w:rsidR="00111ED3" w:rsidRPr="00293B75" w:rsidRDefault="00111ED3" w:rsidP="007005BA">
            <w:pPr>
              <w:rPr>
                <w:rFonts w:cs="Arial"/>
                <w:lang w:val="fr-FR"/>
              </w:rPr>
            </w:pPr>
            <w:r w:rsidRPr="00293B75">
              <w:t>Adhérence faible = aucune cassure du cortex</w:t>
            </w:r>
          </w:p>
          <w:p w:rsidR="00111ED3" w:rsidRPr="00293B75" w:rsidRDefault="00111ED3" w:rsidP="007005BA">
            <w:r w:rsidRPr="00293B75">
              <w:t>Adhérence moyenne = cassure minimum du cortex</w:t>
            </w:r>
          </w:p>
          <w:p w:rsidR="00111ED3" w:rsidRPr="00293B75" w:rsidRDefault="00111ED3" w:rsidP="007005BA">
            <w:pPr>
              <w:rPr>
                <w:rFonts w:cs="Arial"/>
                <w:lang w:val="fr-FR"/>
              </w:rPr>
            </w:pPr>
            <w:r w:rsidRPr="00293B75">
              <w:t>Adhérence forte = cassure importante du cortex</w:t>
            </w:r>
            <w:r w:rsidRPr="00293B75">
              <w:rPr>
                <w:rFonts w:cs="Arial"/>
                <w:lang w:val="fr-FR"/>
              </w:rPr>
              <w: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9.</w:t>
            </w:r>
          </w:p>
        </w:tc>
        <w:tc>
          <w:tcPr>
            <w:tcW w:w="8067" w:type="dxa"/>
          </w:tcPr>
          <w:p w:rsidR="00111ED3" w:rsidRPr="00293B75" w:rsidRDefault="00111ED3" w:rsidP="007005BA">
            <w:pPr>
              <w:rPr>
                <w:rFonts w:cs="Arial"/>
                <w:lang w:val="fr-FR"/>
              </w:rPr>
            </w:pPr>
            <w:r w:rsidRPr="00293B75">
              <w:rPr>
                <w:rFonts w:cs="Arial"/>
                <w:lang w:val="fr-FR"/>
              </w:rPr>
              <w:t>- vérifier s’il convient de supprimer la référence bibliographique suivante, étant donné que le caractère correspondant a été supprimé dans le document TG :</w:t>
            </w:r>
          </w:p>
          <w:p w:rsidR="00111ED3" w:rsidRPr="00293B75" w:rsidRDefault="00111ED3" w:rsidP="007005BA">
            <w:pPr>
              <w:pStyle w:val="NormalWeb"/>
              <w:spacing w:before="0" w:beforeAutospacing="0" w:after="0" w:afterAutospacing="0"/>
              <w:jc w:val="both"/>
              <w:rPr>
                <w:rFonts w:cs="Arial"/>
                <w:szCs w:val="20"/>
                <w:lang w:val="fr-FR"/>
              </w:rPr>
            </w:pPr>
            <w:r w:rsidRPr="00293B75">
              <w:rPr>
                <w:rFonts w:cs="Arial"/>
                <w:szCs w:val="20"/>
                <w:lang w:val="fr-FR"/>
              </w:rPr>
              <w:t>“Williams, H. J. and Edwards, T. G. (1980).  Estimation of cyanide with alkaline picrate.  J. Sci.  Food Agric.  31 : 15</w:t>
            </w:r>
            <w:r w:rsidRPr="00293B75">
              <w:rPr>
                <w:rFonts w:cs="Arial"/>
                <w:szCs w:val="20"/>
                <w:lang w:val="fr-FR"/>
              </w:rPr>
              <w:noBreakHyphen/>
              <w:t>22.”</w:t>
            </w:r>
          </w:p>
          <w:p w:rsidR="00111ED3" w:rsidRPr="00293B75" w:rsidRDefault="00111ED3" w:rsidP="007005BA">
            <w:pPr>
              <w:pStyle w:val="NormalWeb"/>
              <w:spacing w:before="0" w:beforeAutospacing="0" w:after="0" w:afterAutospacing="0"/>
              <w:jc w:val="both"/>
              <w:rPr>
                <w:rFonts w:cs="Arial"/>
                <w:szCs w:val="20"/>
                <w:lang w:val="fr-FR"/>
              </w:rPr>
            </w:pPr>
            <w:r w:rsidRPr="00293B75">
              <w:rPr>
                <w:rFonts w:cs="Arial"/>
                <w:lang w:val="fr-FR"/>
              </w:rPr>
              <w:t xml:space="preserve">- </w:t>
            </w:r>
            <w:r w:rsidRPr="00293B75">
              <w:rPr>
                <w:rFonts w:cs="Arial"/>
                <w:szCs w:val="20"/>
                <w:lang w:val="fr-FR"/>
              </w:rPr>
              <w:t>doit être libellé comme suit : “Alves, A.A.C., …” (supprimer l’espace superflu)</w:t>
            </w:r>
          </w:p>
          <w:p w:rsidR="00111ED3" w:rsidRPr="00293B75" w:rsidRDefault="00111ED3" w:rsidP="007005BA">
            <w:pPr>
              <w:pStyle w:val="NormalWeb"/>
              <w:spacing w:before="0" w:beforeAutospacing="0" w:after="0" w:afterAutospacing="0"/>
              <w:jc w:val="both"/>
              <w:rPr>
                <w:rFonts w:cs="Arial"/>
                <w:szCs w:val="20"/>
                <w:lang w:val="fr-FR"/>
              </w:rPr>
            </w:pPr>
            <w:r w:rsidRPr="00293B75">
              <w:rPr>
                <w:rFonts w:cs="Arial"/>
                <w:lang w:val="fr-FR"/>
              </w:rPr>
              <w:t xml:space="preserve">- </w:t>
            </w:r>
            <w:r w:rsidRPr="00293B75">
              <w:rPr>
                <w:rFonts w:cs="Arial"/>
                <w:szCs w:val="20"/>
                <w:lang w:val="fr-FR"/>
              </w:rPr>
              <w:t>doit être libellé comme suit : “…caracterização de …” (ajouter un espace)</w:t>
            </w:r>
          </w:p>
          <w:p w:rsidR="00111ED3" w:rsidRPr="00293B75" w:rsidRDefault="00111ED3" w:rsidP="007005BA">
            <w:pPr>
              <w:pStyle w:val="NormalWeb"/>
              <w:spacing w:before="0" w:beforeAutospacing="0" w:after="0" w:afterAutospacing="0"/>
              <w:jc w:val="both"/>
              <w:rPr>
                <w:rFonts w:cs="Arial"/>
                <w:szCs w:val="20"/>
                <w:lang w:val="fr-FR"/>
              </w:rPr>
            </w:pPr>
            <w:r w:rsidRPr="00293B75">
              <w:rPr>
                <w:rFonts w:cs="Arial"/>
                <w:i/>
                <w:lang w:val="fr-FR"/>
              </w:rPr>
              <w:t>Expert principal : accepté</w:t>
            </w:r>
          </w:p>
        </w:tc>
      </w:tr>
    </w:tbl>
    <w:p w:rsidR="00111ED3" w:rsidRPr="00293B75" w:rsidRDefault="00111ED3" w:rsidP="007005BA">
      <w:pPr>
        <w:jc w:val="left"/>
        <w:rPr>
          <w:rFonts w:cs="Arial"/>
          <w:u w:val="single"/>
          <w:lang w:val="fr-FR"/>
        </w:rPr>
      </w:pPr>
    </w:p>
    <w:p w:rsidR="00111ED3" w:rsidRPr="00293B75" w:rsidRDefault="00111ED3" w:rsidP="007005BA">
      <w:pPr>
        <w:jc w:val="left"/>
        <w:rPr>
          <w:rFonts w:cs="Arial"/>
          <w:u w:val="single"/>
          <w:lang w:val="fr-FR"/>
        </w:rPr>
      </w:pPr>
    </w:p>
    <w:tbl>
      <w:tblPr>
        <w:tblW w:w="7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59"/>
        <w:gridCol w:w="2127"/>
      </w:tblGrid>
      <w:tr w:rsidR="00293B75" w:rsidRPr="00293B75" w:rsidTr="00111ED3">
        <w:trPr>
          <w:cantSplit/>
          <w:trHeight w:val="277"/>
        </w:trPr>
        <w:tc>
          <w:tcPr>
            <w:tcW w:w="5159"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Reine</w:t>
            </w:r>
            <w:r w:rsidRPr="00293B75">
              <w:rPr>
                <w:rFonts w:cs="Arial"/>
                <w:caps w:val="0"/>
                <w:lang w:val="fr-FR"/>
              </w:rPr>
              <w:noBreakHyphen/>
              <w:t>marguerite (</w:t>
            </w:r>
            <w:r w:rsidRPr="00293B75">
              <w:rPr>
                <w:rFonts w:cs="Arial"/>
                <w:i/>
                <w:caps w:val="0"/>
                <w:lang w:val="fr-FR"/>
              </w:rPr>
              <w:t>Callistephus chinensis</w:t>
            </w:r>
            <w:r w:rsidRPr="00293B75">
              <w:rPr>
                <w:rFonts w:cs="Arial"/>
                <w:caps w:val="0"/>
                <w:lang w:val="fr-FR"/>
              </w:rPr>
              <w:t xml:space="preserve"> (L.) Nees)</w:t>
            </w:r>
          </w:p>
        </w:tc>
        <w:tc>
          <w:tcPr>
            <w:tcW w:w="2127"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CALSP(</w:t>
            </w:r>
            <w:proofErr w:type="gramEnd"/>
            <w:r w:rsidRPr="00293B75">
              <w:rPr>
                <w:rFonts w:cs="Arial"/>
                <w:caps w:val="0"/>
                <w:lang w:val="fr-FR"/>
              </w:rPr>
              <w:t>proj.5)</w:t>
            </w:r>
          </w:p>
        </w:tc>
      </w:tr>
      <w:tr w:rsidR="00293B75" w:rsidRPr="00293B75" w:rsidTr="00111ED3">
        <w:trPr>
          <w:cantSplit/>
          <w:trHeight w:val="230"/>
        </w:trPr>
        <w:tc>
          <w:tcPr>
            <w:tcW w:w="5159"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2127"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rPr>
          <w:rFonts w:cs="Arial"/>
          <w:lang w:val="fr-FR"/>
        </w:rPr>
      </w:pPr>
    </w:p>
    <w:p w:rsidR="00111ED3" w:rsidRPr="00293B75" w:rsidRDefault="00111ED3" w:rsidP="007005BA">
      <w:pPr>
        <w:keepNext/>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w:t>
      </w:r>
      <w:r w:rsidRPr="00293B75">
        <w:rPr>
          <w:lang w:val="fr-FR"/>
        </w:rPr>
        <w:t xml:space="preserve"> </w:t>
      </w:r>
      <w:r w:rsidRPr="00293B75">
        <w:rPr>
          <w:rFonts w:cs="Arial"/>
          <w:lang w:val="fr-FR"/>
        </w:rPr>
        <w:t xml:space="preserve"> Sauf indication contraire, toutes ces observations figurent déjà dans le projet des principes directeurs d’examen (document TG/</w:t>
      </w:r>
      <w:proofErr w:type="gramStart"/>
      <w:r w:rsidRPr="00293B75">
        <w:rPr>
          <w:rFonts w:cs="Arial"/>
          <w:lang w:val="fr-FR"/>
        </w:rPr>
        <w:t>CALSP(</w:t>
      </w:r>
      <w:proofErr w:type="gramEnd"/>
      <w:r w:rsidRPr="00293B75">
        <w:rPr>
          <w:rFonts w:cs="Arial"/>
          <w:lang w:val="fr-FR"/>
        </w:rPr>
        <w:t>proj.5)) soumis au TC :</w:t>
      </w:r>
    </w:p>
    <w:p w:rsidR="00111ED3" w:rsidRPr="00293B75" w:rsidRDefault="00111ED3" w:rsidP="007005BA">
      <w:pPr>
        <w:keepNext/>
        <w:jc w:val="left"/>
        <w:rPr>
          <w:rFonts w:cs="Arial"/>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4.2</w:t>
            </w:r>
          </w:p>
        </w:tc>
        <w:tc>
          <w:tcPr>
            <w:tcW w:w="8074" w:type="dxa"/>
          </w:tcPr>
          <w:p w:rsidR="00111ED3" w:rsidRPr="00293B75" w:rsidRDefault="00111ED3" w:rsidP="007005BA">
            <w:pPr>
              <w:autoSpaceDE w:val="0"/>
              <w:autoSpaceDN w:val="0"/>
              <w:adjustRightInd w:val="0"/>
              <w:rPr>
                <w:lang w:val="fr-FR"/>
              </w:rPr>
            </w:pPr>
            <w:r w:rsidRPr="00293B75">
              <w:rPr>
                <w:lang w:val="fr-FR"/>
              </w:rPr>
              <w:t>introduire un texte standard supplémentaire (ASW) pour l’évaluation de l’homogénéité de variétés hybrides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16</w:t>
            </w:r>
          </w:p>
        </w:tc>
        <w:tc>
          <w:tcPr>
            <w:tcW w:w="8074" w:type="dxa"/>
          </w:tcPr>
          <w:p w:rsidR="00111ED3" w:rsidRPr="00293B75" w:rsidRDefault="00111ED3" w:rsidP="007005BA">
            <w:pPr>
              <w:autoSpaceDE w:val="0"/>
              <w:autoSpaceDN w:val="0"/>
              <w:adjustRightInd w:val="0"/>
              <w:rPr>
                <w:lang w:val="fr-FR"/>
              </w:rPr>
            </w:pPr>
            <w:r w:rsidRPr="00293B75">
              <w:rPr>
                <w:lang w:val="fr-FR"/>
              </w:rPr>
              <w:t>supprimer la partie soulignée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23, 30</w:t>
            </w:r>
          </w:p>
        </w:tc>
        <w:tc>
          <w:tcPr>
            <w:tcW w:w="8074" w:type="dxa"/>
          </w:tcPr>
          <w:p w:rsidR="00111ED3" w:rsidRPr="00293B75" w:rsidRDefault="00111ED3" w:rsidP="007005BA">
            <w:pPr>
              <w:autoSpaceDE w:val="0"/>
              <w:autoSpaceDN w:val="0"/>
              <w:adjustRightInd w:val="0"/>
              <w:rPr>
                <w:lang w:val="fr-FR"/>
              </w:rPr>
            </w:pPr>
            <w:r w:rsidRPr="00293B75">
              <w:rPr>
                <w:lang w:val="fr-FR"/>
              </w:rPr>
              <w:t>remplacer “réfléchi” par “recourbé”</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27</w:t>
            </w:r>
          </w:p>
        </w:tc>
        <w:tc>
          <w:tcPr>
            <w:tcW w:w="8074" w:type="dxa"/>
          </w:tcPr>
          <w:p w:rsidR="00111ED3" w:rsidRPr="00293B75" w:rsidRDefault="00111ED3" w:rsidP="007005BA">
            <w:pPr>
              <w:autoSpaceDE w:val="0"/>
              <w:autoSpaceDN w:val="0"/>
              <w:adjustRightInd w:val="0"/>
              <w:rPr>
                <w:lang w:val="fr-FR"/>
              </w:rPr>
            </w:pPr>
            <w:r w:rsidRPr="00293B75">
              <w:rPr>
                <w:lang w:val="fr-FR"/>
              </w:rPr>
              <w:t>ajouter le niveau “aucune”</w:t>
            </w:r>
          </w:p>
        </w:tc>
      </w:tr>
      <w:tr w:rsidR="00293B75" w:rsidRPr="00293B75" w:rsidTr="00111ED3">
        <w:trPr>
          <w:cantSplit/>
        </w:trPr>
        <w:tc>
          <w:tcPr>
            <w:tcW w:w="1573" w:type="dxa"/>
          </w:tcPr>
          <w:p w:rsidR="00111ED3" w:rsidRPr="00293B75" w:rsidDel="006906EF" w:rsidRDefault="00111ED3" w:rsidP="007005BA">
            <w:pPr>
              <w:rPr>
                <w:rFonts w:cs="Arial"/>
                <w:lang w:val="fr-FR"/>
              </w:rPr>
            </w:pPr>
            <w:r w:rsidRPr="00293B75">
              <w:rPr>
                <w:rFonts w:cs="Arial"/>
                <w:lang w:val="fr-FR"/>
              </w:rPr>
              <w:t>car. 29</w:t>
            </w:r>
          </w:p>
        </w:tc>
        <w:tc>
          <w:tcPr>
            <w:tcW w:w="8074" w:type="dxa"/>
          </w:tcPr>
          <w:p w:rsidR="00111ED3" w:rsidRPr="00293B75" w:rsidRDefault="00111ED3" w:rsidP="007005BA">
            <w:pPr>
              <w:rPr>
                <w:rFonts w:cs="Arial"/>
                <w:lang w:val="fr-FR"/>
              </w:rPr>
            </w:pPr>
            <w:r w:rsidRPr="00293B75">
              <w:rPr>
                <w:rFonts w:cs="Arial"/>
                <w:lang w:val="fr-FR"/>
              </w:rPr>
              <w:t>vérifier s’il convient d’indiquer comme QL</w:t>
            </w:r>
          </w:p>
          <w:p w:rsidR="00111ED3" w:rsidRPr="00293B75" w:rsidDel="006906EF" w:rsidRDefault="00111ED3" w:rsidP="007005BA">
            <w:pPr>
              <w:rPr>
                <w:rFonts w:cs="Arial"/>
                <w:i/>
                <w:lang w:val="fr-FR"/>
              </w:rPr>
            </w:pPr>
            <w:r w:rsidRPr="00293B75">
              <w:rPr>
                <w:rFonts w:cs="Arial"/>
                <w:i/>
                <w:lang w:val="fr-FR"/>
              </w:rPr>
              <w:t xml:space="preserve">Expert principal : ces niveaux pourraient être influencés par les conditions de culture et par le milieu, </w:t>
            </w:r>
            <w:r w:rsidRPr="00293B75">
              <w:rPr>
                <w:rFonts w:cs="Arial"/>
                <w:i/>
                <w:lang w:val="fr-FR" w:eastAsia="ja-JP"/>
              </w:rPr>
              <w:t>PQ doit être conservé.</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34</w:t>
            </w:r>
          </w:p>
        </w:tc>
        <w:tc>
          <w:tcPr>
            <w:tcW w:w="8074" w:type="dxa"/>
          </w:tcPr>
          <w:p w:rsidR="00111ED3" w:rsidRPr="00293B75" w:rsidRDefault="00111ED3" w:rsidP="007005BA">
            <w:pPr>
              <w:autoSpaceDE w:val="0"/>
              <w:autoSpaceDN w:val="0"/>
              <w:adjustRightInd w:val="0"/>
              <w:rPr>
                <w:lang w:val="fr-FR"/>
              </w:rPr>
            </w:pPr>
            <w:r w:rsidRPr="00293B75">
              <w:rPr>
                <w:lang w:val="fr-FR"/>
              </w:rPr>
              <w:t>ajouter le niveau “aucune”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36</w:t>
            </w:r>
          </w:p>
        </w:tc>
        <w:tc>
          <w:tcPr>
            <w:tcW w:w="8074" w:type="dxa"/>
          </w:tcPr>
          <w:p w:rsidR="00111ED3" w:rsidRPr="00293B75" w:rsidRDefault="00111ED3" w:rsidP="007005BA">
            <w:pPr>
              <w:autoSpaceDE w:val="0"/>
              <w:autoSpaceDN w:val="0"/>
              <w:adjustRightInd w:val="0"/>
              <w:rPr>
                <w:lang w:val="fr-FR"/>
              </w:rPr>
            </w:pPr>
            <w:r w:rsidRPr="00293B75">
              <w:rPr>
                <w:lang w:val="fr-FR"/>
              </w:rPr>
              <w:t>ajouter une explication sur la façon de distinguer les disques de type marguerite et ceux de type anémone (</w:t>
            </w:r>
            <w:r w:rsidR="0058370A" w:rsidRPr="00293B75">
              <w:rPr>
                <w:lang w:val="fr-FR"/>
              </w:rPr>
              <w:t xml:space="preserve">p.ex. </w:t>
            </w:r>
            <w:r w:rsidRPr="00293B75">
              <w:rPr>
                <w:lang w:val="fr-FR"/>
              </w:rPr>
              <w:t>les étamines pétaloïdes, etc.) et améliorer les photographies</w:t>
            </w:r>
          </w:p>
          <w:p w:rsidR="00111ED3" w:rsidRPr="00293B75" w:rsidRDefault="00111ED3" w:rsidP="007005BA">
            <w:pPr>
              <w:rPr>
                <w:lang w:val="fr-FR"/>
              </w:rPr>
            </w:pPr>
            <w:r w:rsidRPr="00293B75">
              <w:rPr>
                <w:rFonts w:cs="Arial"/>
                <w:i/>
                <w:lang w:val="fr-FR" w:eastAsia="ja-JP"/>
              </w:rPr>
              <w:t>fournies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38</w:t>
            </w:r>
          </w:p>
        </w:tc>
        <w:tc>
          <w:tcPr>
            <w:tcW w:w="8074" w:type="dxa"/>
          </w:tcPr>
          <w:p w:rsidR="00111ED3" w:rsidRPr="00293B75" w:rsidRDefault="00111ED3" w:rsidP="007005BA">
            <w:pPr>
              <w:autoSpaceDE w:val="0"/>
              <w:autoSpaceDN w:val="0"/>
              <w:adjustRightInd w:val="0"/>
              <w:rPr>
                <w:lang w:val="fr-FR"/>
              </w:rPr>
            </w:pPr>
            <w:r w:rsidRPr="00293B75">
              <w:rPr>
                <w:lang w:val="fr-FR"/>
              </w:rPr>
              <w:t>ajouter (+) et une explication concernant la partie centrale</w:t>
            </w:r>
          </w:p>
          <w:p w:rsidR="00111ED3" w:rsidRPr="00293B75" w:rsidRDefault="00111ED3" w:rsidP="007005BA">
            <w:pPr>
              <w:autoSpaceDE w:val="0"/>
              <w:autoSpaceDN w:val="0"/>
              <w:adjustRightInd w:val="0"/>
              <w:rPr>
                <w:lang w:val="fr-FR"/>
              </w:rPr>
            </w:pPr>
            <w:r w:rsidRPr="00293B75">
              <w:rPr>
                <w:rFonts w:cs="Arial"/>
                <w:i/>
                <w:lang w:val="fr-FR" w:eastAsia="ja-JP"/>
              </w:rPr>
              <w:t>fournie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8.1 (f)</w:t>
            </w:r>
          </w:p>
        </w:tc>
        <w:tc>
          <w:tcPr>
            <w:tcW w:w="8074" w:type="dxa"/>
          </w:tcPr>
          <w:p w:rsidR="00111ED3" w:rsidRPr="00293B75" w:rsidRDefault="00111ED3" w:rsidP="007005BA">
            <w:pPr>
              <w:autoSpaceDE w:val="0"/>
              <w:autoSpaceDN w:val="0"/>
              <w:adjustRightInd w:val="0"/>
              <w:rPr>
                <w:lang w:val="fr-FR"/>
              </w:rPr>
            </w:pPr>
            <w:r w:rsidRPr="00293B75">
              <w:rPr>
                <w:lang w:val="fr-FR"/>
              </w:rPr>
              <w:t xml:space="preserve">vérifier s’il convient de clarifier si toutes les variétés doivent être observées quant à ce caractère.  Cette indication prête à confusion (les observations doivent être effectuées uniquement lorsque les </w:t>
            </w:r>
            <w:r w:rsidRPr="00293B75">
              <w:rPr>
                <w:rFonts w:cs="Arial"/>
                <w:lang w:val="fr-FR"/>
              </w:rPr>
              <w:t>fleurs ligulées internes sont différentes des fleurs ligulées dans la rangée la plus extérieure)</w:t>
            </w:r>
          </w:p>
          <w:p w:rsidR="00111ED3" w:rsidRPr="00293B75" w:rsidRDefault="00111ED3" w:rsidP="007005BA">
            <w:pPr>
              <w:rPr>
                <w:lang w:val="fr-FR"/>
              </w:rPr>
            </w:pPr>
            <w:r w:rsidRPr="00293B75">
              <w:rPr>
                <w:rFonts w:cs="Arial"/>
                <w:i/>
                <w:lang w:val="fr-FR" w:eastAsia="ja-JP"/>
              </w:rPr>
              <w:t>L’expert principal a fourni une explication modifiée.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3, 4</w:t>
            </w:r>
          </w:p>
        </w:tc>
        <w:tc>
          <w:tcPr>
            <w:tcW w:w="8074" w:type="dxa"/>
          </w:tcPr>
          <w:p w:rsidR="00111ED3" w:rsidRPr="00293B75" w:rsidRDefault="00111ED3" w:rsidP="007005BA">
            <w:pPr>
              <w:rPr>
                <w:rFonts w:cs="Arial"/>
                <w:lang w:val="fr-FR"/>
              </w:rPr>
            </w:pPr>
            <w:r w:rsidRPr="00293B75">
              <w:rPr>
                <w:rFonts w:cs="Arial"/>
                <w:lang w:val="fr-FR"/>
              </w:rPr>
              <w:t>indiquer la tige principale par une ligne pointillée différente (différente de celles des rameaux latéraux primaires et secondaires)</w:t>
            </w:r>
          </w:p>
          <w:p w:rsidR="00111ED3" w:rsidRPr="00293B75" w:rsidRDefault="00111ED3" w:rsidP="007005BA">
            <w:pPr>
              <w:rPr>
                <w:rFonts w:cs="Arial"/>
                <w:lang w:val="fr-FR"/>
              </w:rPr>
            </w:pPr>
            <w:r w:rsidRPr="00293B75">
              <w:rPr>
                <w:rFonts w:cs="Arial"/>
                <w:i/>
                <w:lang w:val="fr-FR" w:eastAsia="ja-JP"/>
              </w:rPr>
              <w:t>fournie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24, 31</w:t>
            </w:r>
          </w:p>
        </w:tc>
        <w:tc>
          <w:tcPr>
            <w:tcW w:w="8074" w:type="dxa"/>
          </w:tcPr>
          <w:p w:rsidR="00111ED3" w:rsidRPr="00293B75" w:rsidRDefault="00111ED3" w:rsidP="007005BA">
            <w:pPr>
              <w:rPr>
                <w:rFonts w:cs="Arial"/>
                <w:lang w:val="fr-FR"/>
              </w:rPr>
            </w:pPr>
            <w:r w:rsidRPr="00293B75">
              <w:rPr>
                <w:rFonts w:cs="Arial"/>
                <w:lang w:val="fr-FR"/>
              </w:rPr>
              <w:t>ajouter des flèches pour indiquer la face supérieure/ventrale</w:t>
            </w:r>
          </w:p>
          <w:p w:rsidR="00111ED3" w:rsidRPr="00293B75" w:rsidRDefault="00111ED3" w:rsidP="007005BA">
            <w:pPr>
              <w:rPr>
                <w:rFonts w:cs="Arial"/>
                <w:lang w:val="fr-FR"/>
              </w:rPr>
            </w:pPr>
            <w:r w:rsidRPr="00293B75">
              <w:rPr>
                <w:rFonts w:cs="Arial"/>
                <w:i/>
                <w:lang w:val="fr-FR" w:eastAsia="ja-JP"/>
              </w:rPr>
              <w:t>fournies par l’expert principal</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Questionnaire technique 7.3.1 b)</w:t>
            </w:r>
          </w:p>
        </w:tc>
        <w:tc>
          <w:tcPr>
            <w:tcW w:w="8074" w:type="dxa"/>
          </w:tcPr>
          <w:p w:rsidR="00111ED3" w:rsidRPr="00293B75" w:rsidRDefault="00111ED3" w:rsidP="007005BA">
            <w:pPr>
              <w:autoSpaceDE w:val="0"/>
              <w:autoSpaceDN w:val="0"/>
              <w:adjustRightInd w:val="0"/>
              <w:rPr>
                <w:lang w:val="fr-FR"/>
              </w:rPr>
            </w:pPr>
            <w:r w:rsidRPr="00293B75">
              <w:rPr>
                <w:lang w:val="fr-FR"/>
              </w:rPr>
              <w:t>supprimer les italiques</w:t>
            </w:r>
          </w:p>
        </w:tc>
      </w:tr>
    </w:tbl>
    <w:p w:rsidR="00111ED3" w:rsidRPr="00293B75" w:rsidRDefault="00111ED3" w:rsidP="007005BA">
      <w:pPr>
        <w:jc w:val="left"/>
        <w:rPr>
          <w:rFonts w:cs="Arial"/>
          <w:u w:val="single"/>
          <w:lang w:val="fr-FR"/>
        </w:rPr>
      </w:pPr>
    </w:p>
    <w:p w:rsidR="00111ED3" w:rsidRPr="00293B75" w:rsidRDefault="00111ED3" w:rsidP="007005BA">
      <w:pPr>
        <w:keepNext/>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67" w:type="dxa"/>
          </w:tcPr>
          <w:p w:rsidR="00111ED3" w:rsidRPr="00293B75" w:rsidRDefault="00111ED3" w:rsidP="007005BA">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8.1 (f)</w:t>
            </w:r>
          </w:p>
        </w:tc>
        <w:tc>
          <w:tcPr>
            <w:tcW w:w="8067" w:type="dxa"/>
          </w:tcPr>
          <w:p w:rsidR="00111ED3" w:rsidRPr="00293B75" w:rsidRDefault="00111ED3" w:rsidP="007005BA">
            <w:pPr>
              <w:tabs>
                <w:tab w:val="left" w:pos="1302"/>
              </w:tabs>
              <w:rPr>
                <w:lang w:val="fr-FR"/>
              </w:rPr>
            </w:pPr>
            <w:r w:rsidRPr="00293B75">
              <w:rPr>
                <w:rFonts w:cs="Arial"/>
                <w:lang w:val="fr-FR"/>
              </w:rPr>
              <w:t>- v</w:t>
            </w:r>
            <w:r w:rsidRPr="00293B75">
              <w:rPr>
                <w:lang w:val="fr-FR"/>
              </w:rPr>
              <w:t>érifier s’il convient de supprimer (f)</w:t>
            </w:r>
          </w:p>
          <w:p w:rsidR="00111ED3" w:rsidRPr="00293B75" w:rsidRDefault="00111ED3" w:rsidP="007005BA">
            <w:pPr>
              <w:tabs>
                <w:tab w:val="left" w:pos="1302"/>
              </w:tabs>
              <w:rPr>
                <w:rFonts w:cs="Arial"/>
                <w:lang w:val="fr-FR"/>
              </w:rPr>
            </w:pPr>
            <w:r w:rsidRPr="00293B75">
              <w:rPr>
                <w:rFonts w:cs="Arial"/>
                <w:i/>
                <w:lang w:val="fr-FR"/>
              </w:rPr>
              <w:t>Expert principal : accepté</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Questionnaire technique 7.3.2</w:t>
            </w:r>
          </w:p>
        </w:tc>
        <w:tc>
          <w:tcPr>
            <w:tcW w:w="8067" w:type="dxa"/>
          </w:tcPr>
          <w:p w:rsidR="00111ED3" w:rsidRPr="00293B75" w:rsidRDefault="00111ED3" w:rsidP="007005BA">
            <w:pPr>
              <w:rPr>
                <w:rFonts w:cs="Arial"/>
                <w:lang w:val="fr-FR"/>
              </w:rPr>
            </w:pPr>
            <w:r w:rsidRPr="00293B75">
              <w:rPr>
                <w:rFonts w:cs="Arial"/>
                <w:lang w:val="fr-FR"/>
              </w:rPr>
              <w:t>actualiser le texte standard supplémentaire 16 (ASW 16) (pour lequel une photographie de la variété doit être fournie) conformément au nouveau libellé du document TGP/7/4)</w:t>
            </w:r>
          </w:p>
        </w:tc>
      </w:tr>
    </w:tbl>
    <w:p w:rsidR="00111ED3" w:rsidRPr="00293B75" w:rsidRDefault="00111ED3" w:rsidP="007005BA">
      <w:pPr>
        <w:jc w:val="left"/>
        <w:rPr>
          <w:rFonts w:cs="Arial"/>
          <w:u w:val="single"/>
          <w:lang w:val="fr-FR"/>
        </w:rPr>
      </w:pPr>
    </w:p>
    <w:p w:rsidR="00111ED3" w:rsidRPr="00293B75" w:rsidRDefault="00111ED3" w:rsidP="007005BA">
      <w:pPr>
        <w:jc w:val="left"/>
        <w:rPr>
          <w:rFonts w:cs="Arial"/>
          <w:u w:val="single"/>
          <w:lang w:val="fr-FR"/>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293B75" w:rsidRPr="00293B75" w:rsidTr="00111ED3">
        <w:trPr>
          <w:cantSplit/>
          <w:trHeight w:val="277"/>
        </w:trPr>
        <w:tc>
          <w:tcPr>
            <w:tcW w:w="3458"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Cosmos (</w:t>
            </w:r>
            <w:r w:rsidRPr="00293B75">
              <w:rPr>
                <w:rFonts w:cs="Arial"/>
                <w:i/>
                <w:caps w:val="0"/>
                <w:lang w:val="fr-FR"/>
              </w:rPr>
              <w:t>Cosmos</w:t>
            </w:r>
            <w:r w:rsidRPr="00293B75">
              <w:rPr>
                <w:rFonts w:cs="Arial"/>
                <w:caps w:val="0"/>
                <w:lang w:val="fr-FR"/>
              </w:rPr>
              <w:t xml:space="preserve"> Cav.)</w:t>
            </w:r>
          </w:p>
        </w:tc>
        <w:tc>
          <w:tcPr>
            <w:tcW w:w="1988"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TG/COSMO (proj.8)</w:t>
            </w:r>
          </w:p>
        </w:tc>
      </w:tr>
      <w:tr w:rsidR="00293B75" w:rsidRPr="00293B75" w:rsidTr="00111ED3">
        <w:trPr>
          <w:cantSplit/>
          <w:trHeight w:hRule="exact" w:val="74"/>
        </w:trPr>
        <w:tc>
          <w:tcPr>
            <w:tcW w:w="3458"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1988"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jc w:val="left"/>
        <w:rPr>
          <w:rFonts w:cs="Arial"/>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w:t>
      </w:r>
      <w:r w:rsidRPr="00293B75">
        <w:rPr>
          <w:lang w:val="fr-FR"/>
        </w:rPr>
        <w:t xml:space="preserve"> </w:t>
      </w:r>
      <w:r w:rsidRPr="00293B75">
        <w:rPr>
          <w:rFonts w:cs="Arial"/>
          <w:lang w:val="fr-FR"/>
        </w:rPr>
        <w:t xml:space="preserve"> Sauf indication contraire, toutes ces observations figurent déjà dans le projet des principes directeurs d’examen (document TG/</w:t>
      </w:r>
      <w:proofErr w:type="gramStart"/>
      <w:r w:rsidRPr="00293B75">
        <w:rPr>
          <w:rFonts w:cs="Arial"/>
          <w:lang w:val="fr-FR"/>
        </w:rPr>
        <w:t>COSMO(</w:t>
      </w:r>
      <w:proofErr w:type="gramEnd"/>
      <w:r w:rsidRPr="00293B75">
        <w:rPr>
          <w:rFonts w:cs="Arial"/>
          <w:lang w:val="fr-FR"/>
        </w:rPr>
        <w:t>proj.8)) soumis au TC :</w:t>
      </w:r>
    </w:p>
    <w:p w:rsidR="00111ED3" w:rsidRPr="00293B75" w:rsidRDefault="00111ED3" w:rsidP="007005BA">
      <w:pPr>
        <w:keepNext/>
        <w:jc w:val="left"/>
        <w:rPr>
          <w:rFonts w:cs="Arial"/>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Page de couverture</w:t>
            </w:r>
          </w:p>
        </w:tc>
        <w:tc>
          <w:tcPr>
            <w:tcW w:w="8074" w:type="dxa"/>
          </w:tcPr>
          <w:p w:rsidR="00111ED3" w:rsidRPr="00293B75" w:rsidRDefault="00111ED3" w:rsidP="007005BA">
            <w:pPr>
              <w:rPr>
                <w:rFonts w:cs="Arial"/>
                <w:highlight w:val="lightGray"/>
                <w:u w:val="single"/>
                <w:lang w:val="fr-FR"/>
              </w:rPr>
            </w:pPr>
            <w:r w:rsidRPr="00293B75">
              <w:rPr>
                <w:rFonts w:cs="Arial"/>
                <w:lang w:val="fr-FR"/>
              </w:rPr>
              <w:t>ajouter le nom commun espagnol “Mirasol” à la base de données GENIE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3</w:t>
            </w:r>
          </w:p>
        </w:tc>
        <w:tc>
          <w:tcPr>
            <w:tcW w:w="8074" w:type="dxa"/>
          </w:tcPr>
          <w:p w:rsidR="00111ED3" w:rsidRPr="00293B75" w:rsidRDefault="00111ED3" w:rsidP="007005BA">
            <w:pPr>
              <w:rPr>
                <w:rFonts w:cs="Arial"/>
                <w:lang w:val="fr-FR"/>
              </w:rPr>
            </w:pPr>
            <w:r w:rsidRPr="00293B75">
              <w:rPr>
                <w:rFonts w:cs="Arial"/>
                <w:lang w:val="fr-FR"/>
              </w:rPr>
              <w:t>doit être libellé comme suit “</w:t>
            </w:r>
            <w:r w:rsidRPr="00293B75">
              <w:rPr>
                <w:lang w:val="fr-FR" w:eastAsia="ja-JP"/>
              </w:rPr>
              <w:t>Les ramifications primaires sont indiquées par des flèches dans le schéma ci</w:t>
            </w:r>
            <w:r w:rsidRPr="00293B75">
              <w:rPr>
                <w:szCs w:val="22"/>
                <w:lang w:val="fr-FR" w:eastAsia="ja-JP"/>
              </w:rPr>
              <w:noBreakHyphen/>
              <w:t>après</w:t>
            </w:r>
            <w:r w:rsidRPr="00293B75">
              <w:rPr>
                <w:rFonts w:cs="Arial"/>
                <w:lang w:val="fr-FR"/>
              </w:rPr>
              <w:t>.”</w:t>
            </w:r>
          </w:p>
          <w:p w:rsidR="00111ED3" w:rsidRPr="00293B75" w:rsidRDefault="00111ED3" w:rsidP="007005BA">
            <w:pPr>
              <w:rPr>
                <w:rFonts w:cs="Arial"/>
                <w:lang w:val="fr-FR"/>
              </w:rPr>
            </w:pPr>
            <w:r w:rsidRPr="00293B75">
              <w:rPr>
                <w:rFonts w:cs="Arial"/>
                <w:lang w:val="fr-FR"/>
              </w:rPr>
              <w:t>les flèches doivent être indiquées plus clairement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Ad. 24</w:t>
            </w:r>
          </w:p>
        </w:tc>
        <w:tc>
          <w:tcPr>
            <w:tcW w:w="8074" w:type="dxa"/>
          </w:tcPr>
          <w:p w:rsidR="00111ED3" w:rsidRPr="00293B75" w:rsidRDefault="00111ED3" w:rsidP="007005BA">
            <w:pPr>
              <w:rPr>
                <w:rFonts w:cs="Arial"/>
                <w:highlight w:val="lightGray"/>
                <w:u w:val="single"/>
                <w:lang w:val="fr-FR"/>
              </w:rPr>
            </w:pPr>
            <w:r w:rsidRPr="00293B75">
              <w:rPr>
                <w:rFonts w:cs="Arial"/>
                <w:lang w:val="fr-FR"/>
              </w:rPr>
              <w:t>supprimer les indications de longueur et de largeur des fleurons</w:t>
            </w:r>
          </w:p>
        </w:tc>
      </w:tr>
    </w:tbl>
    <w:p w:rsidR="00111ED3" w:rsidRPr="00293B75" w:rsidRDefault="00111ED3" w:rsidP="007005BA">
      <w:pPr>
        <w:jc w:val="left"/>
        <w:rPr>
          <w:rFonts w:cs="Arial"/>
          <w:u w:val="single"/>
          <w:lang w:val="fr-FR"/>
        </w:rPr>
      </w:pPr>
    </w:p>
    <w:p w:rsidR="00111ED3" w:rsidRPr="00293B75" w:rsidRDefault="00111ED3" w:rsidP="007005BA">
      <w:pPr>
        <w:keepNext/>
        <w:autoSpaceDE w:val="0"/>
        <w:autoSpaceDN w:val="0"/>
        <w:adjustRightInd w:val="0"/>
        <w:ind w:firstLine="567"/>
        <w:rPr>
          <w:rFonts w:cs="Arial"/>
          <w:u w:val="single"/>
          <w:lang w:val="fr-FR"/>
        </w:rPr>
      </w:pPr>
      <w:r w:rsidRPr="00293B75">
        <w:rPr>
          <w:rFonts w:cs="Arial"/>
          <w:u w:val="single"/>
          <w:lang w:val="fr-FR"/>
        </w:rPr>
        <w:t>b)</w:t>
      </w:r>
      <w:r w:rsidRPr="00293B75">
        <w:rPr>
          <w:rFonts w:cs="Arial"/>
          <w:u w:val="single"/>
          <w:lang w:val="fr-FR"/>
        </w:rPr>
        <w:tab/>
        <w:t>Modifications proposées par le TC</w:t>
      </w:r>
      <w:r w:rsidRPr="00293B75">
        <w:rPr>
          <w:rFonts w:cs="Arial"/>
          <w:u w:val="single"/>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67" w:type="dxa"/>
          </w:tcPr>
          <w:p w:rsidR="00111ED3" w:rsidRPr="00293B75" w:rsidRDefault="00111ED3" w:rsidP="007005BA">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Questionnaire technique 7.4</w:t>
            </w:r>
          </w:p>
        </w:tc>
        <w:tc>
          <w:tcPr>
            <w:tcW w:w="8067" w:type="dxa"/>
          </w:tcPr>
          <w:p w:rsidR="00111ED3" w:rsidRPr="00293B75" w:rsidRDefault="00111ED3" w:rsidP="007005BA">
            <w:pPr>
              <w:rPr>
                <w:rFonts w:cs="Arial"/>
                <w:lang w:val="fr-FR"/>
              </w:rPr>
            </w:pPr>
            <w:r w:rsidRPr="00293B75">
              <w:rPr>
                <w:rFonts w:cs="Arial"/>
                <w:lang w:val="fr-FR"/>
              </w:rPr>
              <w:t>actualiser le texte standard supplémentaire 16 (ASW 16) (pour lequel une photographie de la variété doit être fournie) conformément au nouveau libellé du document TGP/7/4)</w:t>
            </w:r>
          </w:p>
        </w:tc>
      </w:tr>
    </w:tbl>
    <w:p w:rsidR="00111ED3" w:rsidRPr="00293B75" w:rsidRDefault="00111ED3" w:rsidP="007005BA">
      <w:pPr>
        <w:jc w:val="left"/>
        <w:rPr>
          <w:rFonts w:cs="Arial"/>
          <w:u w:val="single"/>
          <w:lang w:val="fr-FR"/>
        </w:rPr>
      </w:pPr>
    </w:p>
    <w:p w:rsidR="00111ED3" w:rsidRPr="00293B75" w:rsidRDefault="00111ED3" w:rsidP="007005BA">
      <w:pPr>
        <w:jc w:val="left"/>
        <w:rPr>
          <w:rFonts w:cs="Arial"/>
          <w:u w:val="single"/>
          <w:lang w:val="fr-FR"/>
        </w:rPr>
      </w:pPr>
    </w:p>
    <w:tbl>
      <w:tblPr>
        <w:tblW w:w="7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018"/>
        <w:gridCol w:w="2555"/>
      </w:tblGrid>
      <w:tr w:rsidR="00293B75" w:rsidRPr="00293B75" w:rsidTr="00111ED3">
        <w:trPr>
          <w:cantSplit/>
          <w:trHeight w:val="277"/>
        </w:trPr>
        <w:tc>
          <w:tcPr>
            <w:tcW w:w="5018"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i/>
                <w:caps w:val="0"/>
                <w:lang w:val="fr-FR"/>
              </w:rPr>
              <w:t>Cucurbita maxima Duch.  X Cucurbita moschata Duch.</w:t>
            </w:r>
          </w:p>
        </w:tc>
        <w:tc>
          <w:tcPr>
            <w:tcW w:w="2555" w:type="dxa"/>
            <w:vMerge w:val="restart"/>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r w:rsidRPr="00293B75">
              <w:rPr>
                <w:rFonts w:cs="Arial"/>
                <w:caps w:val="0"/>
                <w:lang w:val="fr-FR"/>
              </w:rPr>
              <w:t>TG/CUCUR_MMO (proj.4)</w:t>
            </w:r>
          </w:p>
        </w:tc>
      </w:tr>
      <w:tr w:rsidR="00293B75" w:rsidRPr="00293B75" w:rsidTr="00111ED3">
        <w:trPr>
          <w:cantSplit/>
          <w:trHeight w:val="230"/>
        </w:trPr>
        <w:tc>
          <w:tcPr>
            <w:tcW w:w="5018" w:type="dxa"/>
            <w:vMerge/>
            <w:shd w:val="clear" w:color="auto" w:fill="D9D9D9"/>
            <w:vAlign w:val="center"/>
          </w:tcPr>
          <w:p w:rsidR="00111ED3" w:rsidRPr="00293B75" w:rsidRDefault="00111ED3" w:rsidP="007005BA">
            <w:pPr>
              <w:pStyle w:val="TitleofDoc"/>
              <w:keepNext/>
              <w:tabs>
                <w:tab w:val="left" w:pos="5245"/>
                <w:tab w:val="left" w:pos="7008"/>
              </w:tabs>
              <w:spacing w:before="0"/>
              <w:jc w:val="left"/>
              <w:rPr>
                <w:rFonts w:cs="Arial"/>
                <w:caps w:val="0"/>
                <w:lang w:val="fr-FR"/>
              </w:rPr>
            </w:pPr>
          </w:p>
        </w:tc>
        <w:tc>
          <w:tcPr>
            <w:tcW w:w="2555" w:type="dxa"/>
            <w:vMerge/>
            <w:shd w:val="clear" w:color="auto" w:fill="D9D9D9"/>
          </w:tcPr>
          <w:p w:rsidR="00111ED3" w:rsidRPr="00293B75" w:rsidRDefault="00111ED3" w:rsidP="007005BA">
            <w:pPr>
              <w:pStyle w:val="BodyText"/>
              <w:keepNext/>
              <w:jc w:val="left"/>
              <w:rPr>
                <w:rFonts w:cs="Arial"/>
                <w:lang w:val="fr-FR"/>
              </w:rPr>
            </w:pPr>
          </w:p>
        </w:tc>
      </w:tr>
    </w:tbl>
    <w:p w:rsidR="00111ED3" w:rsidRPr="00293B75" w:rsidRDefault="00111ED3" w:rsidP="007005BA">
      <w:pPr>
        <w:keepNext/>
        <w:jc w:val="left"/>
        <w:rPr>
          <w:rFonts w:cs="Arial"/>
          <w:lang w:val="fr-FR"/>
        </w:rPr>
      </w:pPr>
    </w:p>
    <w:p w:rsidR="00111ED3" w:rsidRPr="00293B75" w:rsidRDefault="00111ED3" w:rsidP="007005BA">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projet des principes directeurs d’examen (document TG/CUCUR_</w:t>
      </w:r>
      <w:proofErr w:type="gramStart"/>
      <w:r w:rsidRPr="00293B75">
        <w:rPr>
          <w:rFonts w:cs="Arial"/>
          <w:lang w:val="fr-FR"/>
        </w:rPr>
        <w:t>MMO(</w:t>
      </w:r>
      <w:proofErr w:type="gramEnd"/>
      <w:r w:rsidRPr="00293B75">
        <w:rPr>
          <w:rFonts w:cs="Arial"/>
          <w:lang w:val="fr-FR"/>
        </w:rPr>
        <w:t>proj.4)) soumis au TC :</w:t>
      </w:r>
    </w:p>
    <w:p w:rsidR="00111ED3" w:rsidRPr="00293B75" w:rsidRDefault="00111ED3" w:rsidP="007005BA">
      <w:pPr>
        <w:keepNext/>
        <w:jc w:val="left"/>
        <w:rPr>
          <w:rFonts w:cs="Arial"/>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Page de couverture</w:t>
            </w:r>
          </w:p>
        </w:tc>
        <w:tc>
          <w:tcPr>
            <w:tcW w:w="8067" w:type="dxa"/>
          </w:tcPr>
          <w:p w:rsidR="00111ED3" w:rsidRPr="00293B75" w:rsidRDefault="00111ED3" w:rsidP="007005BA">
            <w:pPr>
              <w:rPr>
                <w:rFonts w:cs="Arial"/>
                <w:lang w:val="fr-FR"/>
              </w:rPr>
            </w:pPr>
            <w:r w:rsidRPr="00293B75">
              <w:rPr>
                <w:rFonts w:cs="Arial"/>
                <w:lang w:val="fr-FR"/>
              </w:rPr>
              <w:t>supprimer “hybrides interspécifiques” (mais le conserver dans le premier chapitre)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2.3</w:t>
            </w:r>
          </w:p>
        </w:tc>
        <w:tc>
          <w:tcPr>
            <w:tcW w:w="8067" w:type="dxa"/>
          </w:tcPr>
          <w:p w:rsidR="00111ED3" w:rsidRPr="00293B75" w:rsidRDefault="00111ED3" w:rsidP="007005BA">
            <w:pPr>
              <w:tabs>
                <w:tab w:val="left" w:pos="1071"/>
              </w:tabs>
              <w:autoSpaceDE w:val="0"/>
              <w:autoSpaceDN w:val="0"/>
              <w:adjustRightInd w:val="0"/>
              <w:rPr>
                <w:rFonts w:cs="Arial"/>
                <w:lang w:val="fr-FR"/>
              </w:rPr>
            </w:pPr>
            <w:r w:rsidRPr="00293B75">
              <w:rPr>
                <w:rFonts w:cs="Arial"/>
                <w:lang w:val="fr-FR"/>
              </w:rPr>
              <w:t>doit être libellé comme suit “</w:t>
            </w:r>
            <w:r w:rsidRPr="00293B75">
              <w:rPr>
                <w:lang w:val="fr-FR"/>
              </w:rPr>
              <w:t>200 g ou 1500 graines”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3.4.1</w:t>
            </w:r>
          </w:p>
        </w:tc>
        <w:tc>
          <w:tcPr>
            <w:tcW w:w="8067" w:type="dxa"/>
          </w:tcPr>
          <w:p w:rsidR="00111ED3" w:rsidRPr="00293B75" w:rsidRDefault="00111ED3" w:rsidP="007005BA">
            <w:pPr>
              <w:tabs>
                <w:tab w:val="left" w:pos="1071"/>
              </w:tabs>
              <w:autoSpaceDE w:val="0"/>
              <w:autoSpaceDN w:val="0"/>
              <w:adjustRightInd w:val="0"/>
              <w:rPr>
                <w:rFonts w:cs="Arial"/>
                <w:lang w:val="fr-FR"/>
              </w:rPr>
            </w:pPr>
            <w:r w:rsidRPr="00293B75">
              <w:rPr>
                <w:rFonts w:cs="Arial"/>
                <w:lang w:val="fr-FR"/>
              </w:rPr>
              <w:t>vérifier la cohérence avec le chapitre 2.3 (1 500 graines, mais seulement 20 plantes?)</w:t>
            </w:r>
          </w:p>
          <w:p w:rsidR="00111ED3" w:rsidRPr="00293B75" w:rsidRDefault="00111ED3" w:rsidP="007005BA">
            <w:pPr>
              <w:tabs>
                <w:tab w:val="left" w:pos="1071"/>
              </w:tabs>
              <w:autoSpaceDE w:val="0"/>
              <w:autoSpaceDN w:val="0"/>
              <w:adjustRightInd w:val="0"/>
              <w:rPr>
                <w:rFonts w:cs="Arial"/>
                <w:i/>
                <w:lang w:val="fr-FR"/>
              </w:rPr>
            </w:pPr>
            <w:r w:rsidRPr="00293B75">
              <w:rPr>
                <w:rFonts w:cs="Arial"/>
                <w:i/>
                <w:lang w:val="fr-FR"/>
              </w:rPr>
              <w:t xml:space="preserve">Expert principal : </w:t>
            </w:r>
            <w:r w:rsidR="0058370A" w:rsidRPr="00293B75">
              <w:rPr>
                <w:rFonts w:cs="Arial"/>
                <w:i/>
                <w:lang w:val="fr-FR"/>
              </w:rPr>
              <w:t>s</w:t>
            </w:r>
            <w:r w:rsidRPr="00293B75">
              <w:rPr>
                <w:rFonts w:cs="Arial"/>
                <w:i/>
                <w:lang w:val="fr-FR"/>
              </w:rPr>
              <w:t>’agissant du point 2.3, il faut prendre en compte la quantité de matériel à fournir pour deux cycles DHS, et également pour la collection de référence.  20 plantes constituent une quantité habituelle à observer pour un cycle DHS (la même quantité est proposée pour les principes directeurs du melon, de la courge …).</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3.4.2</w:t>
            </w:r>
          </w:p>
        </w:tc>
        <w:tc>
          <w:tcPr>
            <w:tcW w:w="8067" w:type="dxa"/>
          </w:tcPr>
          <w:p w:rsidR="00111ED3" w:rsidRPr="00293B75" w:rsidRDefault="00111ED3" w:rsidP="007005BA">
            <w:pPr>
              <w:tabs>
                <w:tab w:val="left" w:pos="1071"/>
              </w:tabs>
              <w:autoSpaceDE w:val="0"/>
              <w:autoSpaceDN w:val="0"/>
              <w:adjustRightInd w:val="0"/>
              <w:rPr>
                <w:rFonts w:cs="Arial"/>
                <w:lang w:val="fr-FR"/>
              </w:rPr>
            </w:pPr>
            <w:r w:rsidRPr="00293B75">
              <w:rPr>
                <w:rFonts w:cs="Arial"/>
                <w:lang w:val="fr-FR"/>
              </w:rPr>
              <w:t>supprimer</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4.1.1</w:t>
            </w:r>
          </w:p>
        </w:tc>
        <w:tc>
          <w:tcPr>
            <w:tcW w:w="8067" w:type="dxa"/>
          </w:tcPr>
          <w:p w:rsidR="00111ED3" w:rsidRPr="00293B75" w:rsidRDefault="00111ED3" w:rsidP="007005BA">
            <w:pPr>
              <w:autoSpaceDE w:val="0"/>
              <w:autoSpaceDN w:val="0"/>
              <w:adjustRightInd w:val="0"/>
              <w:rPr>
                <w:lang w:val="fr-FR"/>
              </w:rPr>
            </w:pPr>
            <w:r w:rsidRPr="00293B75">
              <w:rPr>
                <w:lang w:val="fr-FR"/>
              </w:rPr>
              <w:t>supprimer le deuxième paragraphe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4.2.2</w:t>
            </w:r>
          </w:p>
        </w:tc>
        <w:tc>
          <w:tcPr>
            <w:tcW w:w="8067" w:type="dxa"/>
          </w:tcPr>
          <w:p w:rsidR="00111ED3" w:rsidRPr="00293B75" w:rsidRDefault="00111ED3" w:rsidP="007005BA">
            <w:pPr>
              <w:autoSpaceDE w:val="0"/>
              <w:autoSpaceDN w:val="0"/>
              <w:adjustRightInd w:val="0"/>
              <w:rPr>
                <w:lang w:val="fr-FR"/>
              </w:rPr>
            </w:pPr>
            <w:r w:rsidRPr="00293B75">
              <w:rPr>
                <w:lang w:val="fr-FR"/>
              </w:rPr>
              <w:t>doit être libellé comme suit “Pour l’évaluation de l’homogénéité de variétés hybrides, il faut appliquer une norme de population…”</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4.2.3</w:t>
            </w:r>
          </w:p>
        </w:tc>
        <w:tc>
          <w:tcPr>
            <w:tcW w:w="8067" w:type="dxa"/>
          </w:tcPr>
          <w:p w:rsidR="00111ED3" w:rsidRPr="00293B75" w:rsidRDefault="00111ED3" w:rsidP="007005BA">
            <w:pPr>
              <w:rPr>
                <w:rFonts w:cs="Arial"/>
                <w:lang w:val="fr-FR"/>
              </w:rPr>
            </w:pPr>
            <w:r w:rsidRPr="00293B75">
              <w:rPr>
                <w:rFonts w:cs="Arial"/>
                <w:lang w:val="fr-FR"/>
              </w:rPr>
              <w:t>doit être libellé comme suit “</w:t>
            </w:r>
            <w:r w:rsidRPr="00293B75">
              <w:rPr>
                <w:lang w:val="fr-FR"/>
              </w:rPr>
              <w:t>Dans le cas des hybrides simples, une tolérance de plantes hors</w:t>
            </w:r>
            <w:r w:rsidRPr="00293B75">
              <w:rPr>
                <w:lang w:val="fr-FR"/>
              </w:rPr>
              <w:noBreakHyphen/>
              <w:t>type additionnelle peut être admise pour les plantes manifestement issues d’une autofécondation d’une lignée parentale.  Il faut appliquer une norme de population additionnelle de 3% et une probabilité d’acceptation d’au moins 95% pour les plantes issues obligatoirement de l’autofécondation d’une lignée parentale</w:t>
            </w:r>
            <w:r w:rsidRPr="00293B75">
              <w:rPr>
                <w:rFonts w:cs="Arial"/>
                <w:lang w:val="fr-FR"/>
              </w:rPr>
              <w:t>.  Dans le cas d’un échantillon de 20 plantes, 2 plantes endogames sont tolérées.”</w:t>
            </w:r>
          </w:p>
        </w:tc>
      </w:tr>
      <w:tr w:rsidR="00293B75" w:rsidRPr="00293B75" w:rsidTr="00111ED3">
        <w:trPr>
          <w:cantSplit/>
        </w:trPr>
        <w:tc>
          <w:tcPr>
            <w:tcW w:w="1573" w:type="dxa"/>
          </w:tcPr>
          <w:p w:rsidR="00111ED3" w:rsidRPr="00293B75" w:rsidDel="00AC6130" w:rsidRDefault="00111ED3" w:rsidP="007005BA">
            <w:pPr>
              <w:rPr>
                <w:rFonts w:cs="Arial"/>
                <w:lang w:val="fr-FR"/>
              </w:rPr>
            </w:pPr>
            <w:r w:rsidRPr="00293B75">
              <w:rPr>
                <w:rFonts w:cs="Arial"/>
                <w:lang w:val="fr-FR"/>
              </w:rPr>
              <w:t>car. 3</w:t>
            </w:r>
          </w:p>
        </w:tc>
        <w:tc>
          <w:tcPr>
            <w:tcW w:w="8067" w:type="dxa"/>
          </w:tcPr>
          <w:p w:rsidR="00111ED3" w:rsidRPr="00293B75" w:rsidRDefault="00111ED3" w:rsidP="007005BA">
            <w:pPr>
              <w:tabs>
                <w:tab w:val="num" w:pos="1800"/>
              </w:tabs>
              <w:rPr>
                <w:rFonts w:cs="Arial"/>
                <w:lang w:val="fr-FR"/>
              </w:rPr>
            </w:pPr>
            <w:r w:rsidRPr="00293B75">
              <w:rPr>
                <w:rFonts w:cs="Arial"/>
                <w:lang w:val="fr-FR"/>
              </w:rPr>
              <w:t>doit être libellé comme suit dans la version française “absentes ou faibles”, “moyennes”, “fortes”</w:t>
            </w:r>
          </w:p>
          <w:p w:rsidR="00111ED3" w:rsidRPr="00293B75" w:rsidRDefault="00111ED3" w:rsidP="007005BA">
            <w:pPr>
              <w:rPr>
                <w:rFonts w:cs="Arial"/>
                <w:lang w:val="fr-FR"/>
              </w:rPr>
            </w:pPr>
            <w:r w:rsidRPr="00293B75">
              <w:rPr>
                <w:rFonts w:cs="Arial"/>
                <w:lang w:val="fr-FR"/>
              </w:rPr>
              <w:t>vérifier si le niveau 1 doit être libellé comme suit “absentes ou faibles” le niveau 2 comme suit</w:t>
            </w:r>
            <w:r w:rsidR="0058370A" w:rsidRPr="00293B75">
              <w:rPr>
                <w:rFonts w:cs="Arial"/>
                <w:lang w:val="fr-FR"/>
              </w:rPr>
              <w:t xml:space="preserve"> “</w:t>
            </w:r>
            <w:r w:rsidRPr="00293B75">
              <w:rPr>
                <w:rFonts w:cs="Arial"/>
                <w:lang w:val="fr-FR"/>
              </w:rPr>
              <w:t>moyennes”, le niveau 3 comme suit “fortes”.</w:t>
            </w:r>
          </w:p>
          <w:p w:rsidR="00111ED3" w:rsidRPr="00293B75" w:rsidDel="00AC6130" w:rsidRDefault="00111ED3" w:rsidP="007005BA">
            <w:pPr>
              <w:rPr>
                <w:rFonts w:cs="Arial"/>
                <w:i/>
                <w:lang w:val="fr-FR"/>
              </w:rPr>
            </w:pPr>
            <w:r w:rsidRPr="00293B75">
              <w:rPr>
                <w:rFonts w:cs="Arial"/>
                <w:i/>
                <w:lang w:val="fr-FR"/>
              </w:rPr>
              <w:t>Expert principal : non, les experts techniques ont accepté la proposition “absentes ou peu profondes”, “peu profondes”, “moyennes”.  Le stade “moyennes” est déterminé comme étant une valeur maximale.  Conserver les niveaux proposés.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5</w:t>
            </w:r>
          </w:p>
        </w:tc>
        <w:tc>
          <w:tcPr>
            <w:tcW w:w="8067" w:type="dxa"/>
          </w:tcPr>
          <w:p w:rsidR="00111ED3" w:rsidRPr="00293B75" w:rsidRDefault="00111ED3" w:rsidP="007005BA">
            <w:pPr>
              <w:rPr>
                <w:rFonts w:cs="Arial"/>
                <w:lang w:val="fr-FR"/>
              </w:rPr>
            </w:pPr>
            <w:r w:rsidRPr="00293B75">
              <w:rPr>
                <w:rFonts w:cs="Arial"/>
                <w:lang w:val="fr-FR"/>
              </w:rPr>
              <w:t>vérifier si le niveau 1 doit être libellé comme suit “absentes ou faibles”, le niveau 2 comme suit “moyennes”, le niveau 3 comme suit “fortes”</w:t>
            </w:r>
          </w:p>
          <w:p w:rsidR="00111ED3" w:rsidRPr="00293B75" w:rsidRDefault="00111ED3" w:rsidP="007005BA">
            <w:pPr>
              <w:rPr>
                <w:rFonts w:cs="Arial"/>
                <w:lang w:val="fr-FR"/>
              </w:rPr>
            </w:pPr>
            <w:r w:rsidRPr="00293B75">
              <w:rPr>
                <w:rFonts w:cs="Arial"/>
                <w:i/>
                <w:lang w:val="fr-FR"/>
              </w:rPr>
              <w:t>Expert principal : non, les experts techniques ont accepté la proposition “absentes ou peu profondes”, “peu profondes”, “moyennes”.  Le stade “moyennes” est déterminé comme étant une valeur maximale.  Conserver les niveaux proposés.</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7</w:t>
            </w:r>
          </w:p>
        </w:tc>
        <w:tc>
          <w:tcPr>
            <w:tcW w:w="8067" w:type="dxa"/>
          </w:tcPr>
          <w:p w:rsidR="00111ED3" w:rsidRPr="00293B75" w:rsidRDefault="00111ED3" w:rsidP="007005BA">
            <w:pPr>
              <w:rPr>
                <w:rFonts w:cs="Arial"/>
                <w:i/>
                <w:lang w:val="fr-FR"/>
              </w:rPr>
            </w:pPr>
            <w:r w:rsidRPr="00293B75">
              <w:rPr>
                <w:rFonts w:cs="Arial"/>
                <w:i/>
                <w:lang w:val="fr-FR"/>
              </w:rPr>
              <w:t>supprimer a)</w:t>
            </w:r>
          </w:p>
          <w:p w:rsidR="00111ED3" w:rsidRPr="00293B75" w:rsidRDefault="00111ED3" w:rsidP="007005BA">
            <w:pPr>
              <w:rPr>
                <w:rFonts w:cs="Arial"/>
                <w:lang w:val="fr-FR"/>
              </w:rPr>
            </w:pPr>
            <w:r w:rsidRPr="00293B75">
              <w:rPr>
                <w:rFonts w:cs="Arial"/>
                <w:i/>
                <w:lang w:val="fr-FR"/>
              </w:rPr>
              <w:t>Expert principal : à remplacer par b).</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8</w:t>
            </w:r>
          </w:p>
        </w:tc>
        <w:tc>
          <w:tcPr>
            <w:tcW w:w="8067" w:type="dxa"/>
          </w:tcPr>
          <w:p w:rsidR="00111ED3" w:rsidRPr="00293B75" w:rsidRDefault="00111ED3" w:rsidP="007005BA">
            <w:pPr>
              <w:rPr>
                <w:rFonts w:cs="Arial"/>
                <w:lang w:val="fr-FR"/>
              </w:rPr>
            </w:pPr>
            <w:r w:rsidRPr="00293B75">
              <w:rPr>
                <w:rFonts w:cs="Arial"/>
                <w:lang w:val="fr-FR"/>
              </w:rPr>
              <w:t>supprimer b)</w:t>
            </w:r>
          </w:p>
          <w:p w:rsidR="00111ED3" w:rsidRPr="00293B75" w:rsidRDefault="00111ED3" w:rsidP="007005BA">
            <w:pPr>
              <w:rPr>
                <w:rFonts w:cs="Arial"/>
                <w:lang w:val="fr-FR"/>
              </w:rPr>
            </w:pPr>
            <w:r w:rsidRPr="00293B75">
              <w:rPr>
                <w:rFonts w:cs="Arial"/>
                <w:i/>
                <w:lang w:val="fr-FR"/>
              </w:rPr>
              <w:t>Expert principal : conserver b)</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10 à 12</w:t>
            </w:r>
          </w:p>
        </w:tc>
        <w:tc>
          <w:tcPr>
            <w:tcW w:w="8067" w:type="dxa"/>
          </w:tcPr>
          <w:p w:rsidR="00111ED3" w:rsidRPr="00293B75" w:rsidRDefault="00111ED3" w:rsidP="007005BA">
            <w:pPr>
              <w:rPr>
                <w:rFonts w:cs="Arial"/>
                <w:lang w:val="fr-FR"/>
              </w:rPr>
            </w:pPr>
            <w:r w:rsidRPr="00293B75">
              <w:rPr>
                <w:rFonts w:cs="Arial"/>
                <w:lang w:val="fr-FR"/>
              </w:rPr>
              <w:t>indiquer comme MS/VG</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car. 16</w:t>
            </w:r>
          </w:p>
        </w:tc>
        <w:tc>
          <w:tcPr>
            <w:tcW w:w="8067" w:type="dxa"/>
          </w:tcPr>
          <w:p w:rsidR="00111ED3" w:rsidRPr="00293B75" w:rsidRDefault="00111ED3" w:rsidP="007005BA">
            <w:pPr>
              <w:autoSpaceDE w:val="0"/>
              <w:autoSpaceDN w:val="0"/>
              <w:adjustRightInd w:val="0"/>
              <w:rPr>
                <w:lang w:val="fr-FR"/>
              </w:rPr>
            </w:pPr>
            <w:r w:rsidRPr="00293B75">
              <w:rPr>
                <w:lang w:val="fr-FR"/>
              </w:rPr>
              <w:t>doit être libellé comme suit “Fruit : surface”</w:t>
            </w:r>
          </w:p>
        </w:tc>
      </w:tr>
      <w:tr w:rsidR="00293B75" w:rsidRPr="00293B75" w:rsidTr="00111ED3">
        <w:trPr>
          <w:cantSplit/>
        </w:trPr>
        <w:tc>
          <w:tcPr>
            <w:tcW w:w="1573" w:type="dxa"/>
          </w:tcPr>
          <w:p w:rsidR="00111ED3" w:rsidRPr="00293B75" w:rsidDel="00A30333" w:rsidRDefault="00111ED3" w:rsidP="007005BA">
            <w:pPr>
              <w:rPr>
                <w:rFonts w:cs="Arial"/>
                <w:lang w:val="fr-FR"/>
              </w:rPr>
            </w:pPr>
            <w:r w:rsidRPr="00293B75">
              <w:rPr>
                <w:rFonts w:cs="Arial"/>
                <w:lang w:val="fr-FR"/>
              </w:rPr>
              <w:t>Ad. 9, 12</w:t>
            </w:r>
          </w:p>
        </w:tc>
        <w:tc>
          <w:tcPr>
            <w:tcW w:w="8067" w:type="dxa"/>
          </w:tcPr>
          <w:p w:rsidR="00111ED3" w:rsidRPr="00293B75" w:rsidDel="00A30333" w:rsidRDefault="00111ED3" w:rsidP="007005BA">
            <w:pPr>
              <w:rPr>
                <w:rFonts w:cs="Arial"/>
                <w:lang w:val="fr-FR"/>
              </w:rPr>
            </w:pPr>
            <w:r w:rsidRPr="00293B75">
              <w:rPr>
                <w:rFonts w:cs="Arial"/>
                <w:lang w:val="fr-FR"/>
              </w:rPr>
              <w:t>La légende de la grille doit être libellée comme suit “largeur (rapport longueur/ diamètre)” (comme le nom du caractère)</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8.3</w:t>
            </w:r>
          </w:p>
        </w:tc>
        <w:tc>
          <w:tcPr>
            <w:tcW w:w="8067" w:type="dxa"/>
          </w:tcPr>
          <w:p w:rsidR="00111ED3" w:rsidRPr="00293B75" w:rsidRDefault="00111ED3" w:rsidP="007005BA">
            <w:pPr>
              <w:rPr>
                <w:rFonts w:cs="Arial"/>
                <w:lang w:val="fr-FR"/>
              </w:rPr>
            </w:pPr>
            <w:r w:rsidRPr="00293B75">
              <w:rPr>
                <w:rFonts w:cs="Arial"/>
                <w:lang w:val="fr-FR"/>
              </w:rPr>
              <w:t>Doit être libellé comme suit.</w:t>
            </w:r>
          </w:p>
          <w:p w:rsidR="00111ED3" w:rsidRPr="00293B75" w:rsidRDefault="00111ED3" w:rsidP="007005BA">
            <w:pPr>
              <w:rPr>
                <w:rFonts w:cs="Arial"/>
                <w:lang w:val="fr-FR"/>
              </w:rPr>
            </w:pPr>
            <w:r w:rsidRPr="00293B75">
              <w:rPr>
                <w:rFonts w:cs="Arial"/>
                <w:lang w:val="fr-FR"/>
              </w:rPr>
              <w:t xml:space="preserve">“1) </w:t>
            </w:r>
            <w:r w:rsidRPr="00293B75">
              <w:rPr>
                <w:lang w:val="fr-FR"/>
              </w:rPr>
              <w:t>dénomination officielle en vertu de la loi précédemment en vigueur au Japon en </w:t>
            </w:r>
            <w:r w:rsidRPr="00293B75">
              <w:rPr>
                <w:rFonts w:cs="Arial"/>
                <w:lang w:val="fr-FR"/>
              </w:rPr>
              <w:t>1951</w:t>
            </w:r>
          </w:p>
          <w:p w:rsidR="00111ED3" w:rsidRPr="00293B75" w:rsidRDefault="00111ED3" w:rsidP="007005BA">
            <w:pPr>
              <w:rPr>
                <w:rFonts w:cs="Arial"/>
                <w:lang w:val="fr-FR"/>
              </w:rPr>
            </w:pPr>
            <w:r w:rsidRPr="00293B75">
              <w:rPr>
                <w:rFonts w:cs="Arial"/>
                <w:lang w:val="fr-FR"/>
              </w:rPr>
              <w:t xml:space="preserve">”2) </w:t>
            </w:r>
            <w:r w:rsidRPr="00293B75">
              <w:rPr>
                <w:lang w:val="fr-FR"/>
              </w:rPr>
              <w:t>ancien nom de Shintosa qui correspond à un type plutôt qu’à une variété</w:t>
            </w:r>
            <w:r w:rsidRPr="00293B75">
              <w:rPr>
                <w:rFonts w:cs="Arial"/>
                <w:lang w:val="fr-FR"/>
              </w:rPr>
              <w: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9.</w:t>
            </w:r>
          </w:p>
        </w:tc>
        <w:tc>
          <w:tcPr>
            <w:tcW w:w="8067" w:type="dxa"/>
          </w:tcPr>
          <w:p w:rsidR="00111ED3" w:rsidRPr="00293B75" w:rsidRDefault="00111ED3" w:rsidP="007005BA">
            <w:pPr>
              <w:pStyle w:val="Normaltg"/>
              <w:rPr>
                <w:rFonts w:cs="Arial"/>
                <w:bCs/>
                <w:szCs w:val="20"/>
                <w:lang w:val="fr-FR" w:eastAsia="fr-FR"/>
              </w:rPr>
            </w:pPr>
            <w:r w:rsidRPr="00293B75">
              <w:rPr>
                <w:rFonts w:cs="Arial"/>
                <w:szCs w:val="20"/>
                <w:lang w:val="fr-FR"/>
              </w:rPr>
              <w:t>doit être libellé comme suit “</w:t>
            </w:r>
            <w:r w:rsidRPr="00293B75">
              <w:rPr>
                <w:rFonts w:cs="Arial"/>
                <w:bCs/>
                <w:szCs w:val="20"/>
                <w:lang w:val="fr-FR" w:eastAsia="fr-FR"/>
              </w:rPr>
              <w:t>Rakha, M.T., Metwally, E.I., Moustafa, S.A., Etman, A.A., Dewir, Y.H., 2012 : Evaluation of regenerated strains from six </w:t>
            </w:r>
            <w:r w:rsidRPr="00293B75">
              <w:rPr>
                <w:rFonts w:cs="Arial"/>
                <w:bCs/>
                <w:i/>
                <w:iCs/>
                <w:szCs w:val="20"/>
                <w:lang w:val="fr-FR" w:eastAsia="fr-FR"/>
              </w:rPr>
              <w:t xml:space="preserve">Cucurbita </w:t>
            </w:r>
            <w:r w:rsidRPr="00293B75">
              <w:rPr>
                <w:rFonts w:cs="Arial"/>
                <w:bCs/>
                <w:szCs w:val="20"/>
                <w:lang w:val="fr-FR" w:eastAsia="fr-FR"/>
              </w:rPr>
              <w:t xml:space="preserve">interspecific hybrids obtained through anther and ovule </w:t>
            </w:r>
            <w:r w:rsidRPr="00293B75">
              <w:rPr>
                <w:rFonts w:cs="Arial"/>
                <w:bCs/>
                <w:i/>
                <w:iCs/>
                <w:szCs w:val="20"/>
                <w:lang w:val="fr-FR" w:eastAsia="fr-FR"/>
              </w:rPr>
              <w:t xml:space="preserve">in vitro </w:t>
            </w:r>
            <w:r w:rsidRPr="00293B75">
              <w:rPr>
                <w:rFonts w:cs="Arial"/>
                <w:bCs/>
                <w:szCs w:val="20"/>
                <w:lang w:val="fr-FR" w:eastAsia="fr-FR"/>
              </w:rPr>
              <w:t xml:space="preserve">cultures.  </w:t>
            </w:r>
            <w:r w:rsidRPr="00293B75">
              <w:rPr>
                <w:rFonts w:cs="Arial"/>
                <w:szCs w:val="20"/>
                <w:lang w:val="fr-FR" w:eastAsia="fr-FR"/>
              </w:rPr>
              <w:t>Australian Journal of Crop Science, 6(1), AU, pp. 23 to 30</w:t>
            </w:r>
          </w:p>
          <w:p w:rsidR="00111ED3" w:rsidRPr="00293B75" w:rsidRDefault="00096CD1" w:rsidP="007005BA">
            <w:pPr>
              <w:pStyle w:val="Normaltg"/>
              <w:rPr>
                <w:rFonts w:cs="Arial"/>
                <w:szCs w:val="20"/>
                <w:lang w:val="fr-FR"/>
              </w:rPr>
            </w:pPr>
            <w:hyperlink r:id="rId18" w:history="1">
              <w:r w:rsidR="00111ED3" w:rsidRPr="00293B75">
                <w:rPr>
                  <w:rStyle w:val="Hyperlink"/>
                  <w:rFonts w:cs="Arial"/>
                  <w:color w:val="auto"/>
                  <w:szCs w:val="20"/>
                  <w:lang w:val="fr-FR"/>
                </w:rPr>
                <w:t>http://www.cropj.com/dewir_6_1_2012_23_30.pdf</w:t>
              </w:r>
            </w:hyperlink>
            <w:r w:rsidR="0058370A" w:rsidRPr="00293B75">
              <w:rPr>
                <w:rStyle w:val="Hyperlink"/>
                <w:rFonts w:cs="Arial"/>
                <w:color w:val="auto"/>
                <w:szCs w:val="20"/>
                <w:lang w:val="fr-FR"/>
              </w:rPr>
              <w:t>”</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TQ 4.1.1</w:t>
            </w:r>
          </w:p>
        </w:tc>
        <w:tc>
          <w:tcPr>
            <w:tcW w:w="8067" w:type="dxa"/>
          </w:tcPr>
          <w:p w:rsidR="00111ED3" w:rsidRPr="00293B75" w:rsidRDefault="00111ED3" w:rsidP="007005BA">
            <w:pPr>
              <w:rPr>
                <w:rFonts w:cs="Arial"/>
                <w:lang w:val="fr-FR"/>
              </w:rPr>
            </w:pPr>
            <w:r w:rsidRPr="00293B75">
              <w:rPr>
                <w:rFonts w:cs="Arial"/>
                <w:lang w:val="fr-FR"/>
              </w:rPr>
              <w:t>supprimer “espèce”</w:t>
            </w:r>
          </w:p>
          <w:p w:rsidR="00111ED3" w:rsidRPr="00293B75" w:rsidRDefault="00111ED3" w:rsidP="007005BA">
            <w:pPr>
              <w:rPr>
                <w:rFonts w:cs="Arial"/>
                <w:i/>
                <w:lang w:val="fr-FR"/>
              </w:rPr>
            </w:pPr>
            <w:r w:rsidRPr="00293B75">
              <w:rPr>
                <w:rFonts w:cs="Arial"/>
                <w:i/>
                <w:lang w:val="fr-FR"/>
              </w:rPr>
              <w:t>Expert principal : non, car l’espèce parent femelle est particulièrement riche en information.</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TQ 5</w:t>
            </w:r>
          </w:p>
        </w:tc>
        <w:tc>
          <w:tcPr>
            <w:tcW w:w="8067" w:type="dxa"/>
          </w:tcPr>
          <w:p w:rsidR="00111ED3" w:rsidRPr="00293B75" w:rsidRDefault="00111ED3" w:rsidP="007005BA">
            <w:pPr>
              <w:rPr>
                <w:rFonts w:cs="Arial"/>
                <w:lang w:val="fr-FR"/>
              </w:rPr>
            </w:pPr>
            <w:r w:rsidRPr="00293B75">
              <w:rPr>
                <w:rFonts w:cs="Arial"/>
                <w:lang w:val="fr-FR"/>
              </w:rPr>
              <w:t>ajouter le caractère 17</w:t>
            </w:r>
          </w:p>
        </w:tc>
      </w:tr>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TQ 6</w:t>
            </w:r>
          </w:p>
        </w:tc>
        <w:tc>
          <w:tcPr>
            <w:tcW w:w="8067" w:type="dxa"/>
          </w:tcPr>
          <w:p w:rsidR="00111ED3" w:rsidRPr="00293B75" w:rsidRDefault="00111ED3" w:rsidP="007005BA">
            <w:pPr>
              <w:autoSpaceDE w:val="0"/>
              <w:autoSpaceDN w:val="0"/>
              <w:adjustRightInd w:val="0"/>
              <w:rPr>
                <w:lang w:val="fr-FR"/>
              </w:rPr>
            </w:pPr>
            <w:r w:rsidRPr="00293B75">
              <w:rPr>
                <w:lang w:val="fr-FR"/>
              </w:rPr>
              <w:t>supprimer “À inclure”</w:t>
            </w:r>
          </w:p>
        </w:tc>
      </w:tr>
      <w:tr w:rsidR="00293B75" w:rsidRPr="00293B75" w:rsidTr="00111ED3">
        <w:trPr>
          <w:cantSplit/>
        </w:trPr>
        <w:tc>
          <w:tcPr>
            <w:tcW w:w="1573" w:type="dxa"/>
          </w:tcPr>
          <w:p w:rsidR="00111ED3" w:rsidRPr="00293B75" w:rsidRDefault="00111ED3" w:rsidP="007005BA">
            <w:pPr>
              <w:jc w:val="left"/>
              <w:rPr>
                <w:rFonts w:cs="Arial"/>
                <w:lang w:val="fr-FR"/>
              </w:rPr>
            </w:pPr>
            <w:r w:rsidRPr="00293B75">
              <w:rPr>
                <w:rFonts w:cs="Arial"/>
                <w:lang w:val="fr-FR"/>
              </w:rPr>
              <w:t>TQ 7.3</w:t>
            </w:r>
          </w:p>
        </w:tc>
        <w:tc>
          <w:tcPr>
            <w:tcW w:w="8067" w:type="dxa"/>
          </w:tcPr>
          <w:p w:rsidR="00111ED3" w:rsidRPr="00293B75" w:rsidRDefault="00111ED3" w:rsidP="007005BA">
            <w:pPr>
              <w:autoSpaceDE w:val="0"/>
              <w:autoSpaceDN w:val="0"/>
              <w:adjustRightInd w:val="0"/>
              <w:rPr>
                <w:lang w:val="fr-FR"/>
              </w:rPr>
            </w:pPr>
            <w:r w:rsidRPr="00293B75">
              <w:rPr>
                <w:lang w:val="fr-FR"/>
              </w:rPr>
              <w:t>utiliser le libellé du texte standard supplémentaire (ASW) se rapportant aux photographies</w:t>
            </w:r>
          </w:p>
        </w:tc>
      </w:tr>
    </w:tbl>
    <w:p w:rsidR="00111ED3" w:rsidRPr="00293B75" w:rsidRDefault="00111ED3" w:rsidP="007005BA">
      <w:pPr>
        <w:jc w:val="left"/>
        <w:rPr>
          <w:rFonts w:cs="Arial"/>
          <w:u w:val="single"/>
          <w:lang w:val="fr-FR"/>
        </w:rPr>
      </w:pPr>
    </w:p>
    <w:p w:rsidR="00111ED3" w:rsidRPr="00293B75" w:rsidRDefault="00111ED3" w:rsidP="007005BA">
      <w:pPr>
        <w:keepNext/>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111ED3" w:rsidRPr="00293B75" w:rsidRDefault="00111ED3" w:rsidP="007005BA">
      <w:pPr>
        <w:keepNext/>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111ED3">
        <w:trPr>
          <w:cantSplit/>
        </w:trPr>
        <w:tc>
          <w:tcPr>
            <w:tcW w:w="1573" w:type="dxa"/>
          </w:tcPr>
          <w:p w:rsidR="00111ED3" w:rsidRPr="00293B75" w:rsidRDefault="00111ED3" w:rsidP="007005BA">
            <w:pPr>
              <w:rPr>
                <w:rFonts w:cs="Arial"/>
                <w:lang w:val="fr-FR"/>
              </w:rPr>
            </w:pPr>
            <w:r w:rsidRPr="00293B75">
              <w:rPr>
                <w:rFonts w:cs="Arial"/>
                <w:lang w:val="fr-FR"/>
              </w:rPr>
              <w:t>Généralités</w:t>
            </w:r>
          </w:p>
        </w:tc>
        <w:tc>
          <w:tcPr>
            <w:tcW w:w="8067" w:type="dxa"/>
          </w:tcPr>
          <w:p w:rsidR="00111ED3" w:rsidRPr="00293B75" w:rsidRDefault="00111ED3" w:rsidP="007005BA">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111ED3">
        <w:trPr>
          <w:cantSplit/>
        </w:trPr>
        <w:tc>
          <w:tcPr>
            <w:tcW w:w="1573" w:type="dxa"/>
          </w:tcPr>
          <w:p w:rsidR="00111ED3" w:rsidRPr="00293B75" w:rsidDel="00A7238C" w:rsidRDefault="00111ED3" w:rsidP="007005BA">
            <w:pPr>
              <w:rPr>
                <w:rFonts w:cs="Arial"/>
                <w:lang w:val="fr-FR"/>
              </w:rPr>
            </w:pPr>
            <w:r w:rsidRPr="00293B75">
              <w:rPr>
                <w:rFonts w:cs="Arial"/>
                <w:lang w:val="fr-FR"/>
              </w:rPr>
              <w:t>car. 5</w:t>
            </w:r>
          </w:p>
        </w:tc>
        <w:tc>
          <w:tcPr>
            <w:tcW w:w="8067" w:type="dxa"/>
          </w:tcPr>
          <w:p w:rsidR="00111ED3" w:rsidRPr="00293B75" w:rsidDel="00A7238C" w:rsidRDefault="00111ED3" w:rsidP="007005BA">
            <w:pPr>
              <w:rPr>
                <w:rFonts w:cs="Arial"/>
                <w:lang w:val="fr-FR"/>
              </w:rPr>
            </w:pPr>
            <w:r w:rsidRPr="00293B75">
              <w:rPr>
                <w:rFonts w:cs="Arial"/>
                <w:lang w:val="fr-FR"/>
              </w:rPr>
              <w:t>ajouter les niveaux 4 “profondes” et 5 “très profondes”</w:t>
            </w:r>
          </w:p>
        </w:tc>
      </w:tr>
    </w:tbl>
    <w:p w:rsidR="005B5643" w:rsidRPr="00293B75" w:rsidRDefault="005B5643" w:rsidP="007005BA">
      <w:pPr>
        <w:keepNext/>
        <w:jc w:val="right"/>
        <w:rPr>
          <w:rFonts w:cstheme="majorHAnsi"/>
          <w:lang w:val="fr-FR"/>
        </w:rPr>
      </w:pPr>
    </w:p>
    <w:p w:rsidR="00A757BF" w:rsidRPr="00293B75" w:rsidRDefault="00A757BF" w:rsidP="00A757BF">
      <w:pPr>
        <w:jc w:val="left"/>
        <w:rPr>
          <w:rFonts w:cs="Arial"/>
          <w:u w:val="single"/>
          <w:lang w:val="fr-FR"/>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293B75" w:rsidRPr="00293B75" w:rsidTr="00A757BF">
        <w:trPr>
          <w:cantSplit/>
          <w:trHeight w:val="277"/>
        </w:trPr>
        <w:tc>
          <w:tcPr>
            <w:tcW w:w="5585"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Bottle Gourd, Calabash (</w:t>
            </w:r>
            <w:r w:rsidRPr="00293B75">
              <w:rPr>
                <w:rFonts w:cs="Arial"/>
                <w:i/>
                <w:caps w:val="0"/>
                <w:lang w:val="fr-FR"/>
              </w:rPr>
              <w:t xml:space="preserve">Lagenaria siceraria </w:t>
            </w:r>
            <w:r w:rsidRPr="00293B75">
              <w:rPr>
                <w:rFonts w:cs="Arial"/>
                <w:caps w:val="0"/>
                <w:lang w:val="fr-FR"/>
              </w:rPr>
              <w:t>(Molina) Standl.)</w:t>
            </w:r>
          </w:p>
        </w:tc>
        <w:tc>
          <w:tcPr>
            <w:tcW w:w="1846"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LAGEN(</w:t>
            </w:r>
            <w:proofErr w:type="gramEnd"/>
            <w:r w:rsidRPr="00293B75">
              <w:rPr>
                <w:rFonts w:cs="Arial"/>
                <w:caps w:val="0"/>
                <w:lang w:val="fr-FR"/>
              </w:rPr>
              <w:t>proj.5)</w:t>
            </w:r>
          </w:p>
        </w:tc>
      </w:tr>
      <w:tr w:rsidR="00293B75" w:rsidRPr="00293B75" w:rsidTr="00A757BF">
        <w:trPr>
          <w:cantSplit/>
          <w:trHeight w:hRule="exact" w:val="74"/>
        </w:trPr>
        <w:tc>
          <w:tcPr>
            <w:tcW w:w="5585" w:type="dxa"/>
            <w:vMerge/>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p>
        </w:tc>
        <w:tc>
          <w:tcPr>
            <w:tcW w:w="1846" w:type="dxa"/>
            <w:vMerge/>
            <w:shd w:val="clear" w:color="auto" w:fill="D9D9D9"/>
          </w:tcPr>
          <w:p w:rsidR="00A757BF" w:rsidRPr="00293B75" w:rsidRDefault="00A757BF" w:rsidP="00A757BF">
            <w:pPr>
              <w:pStyle w:val="BodyText"/>
              <w:keepNext/>
              <w:jc w:val="left"/>
              <w:rPr>
                <w:rFonts w:cs="Arial"/>
                <w:lang w:val="fr-FR"/>
              </w:rPr>
            </w:pPr>
          </w:p>
        </w:tc>
      </w:tr>
    </w:tbl>
    <w:p w:rsidR="00A757BF" w:rsidRPr="00293B75" w:rsidRDefault="00A757BF" w:rsidP="00A757BF">
      <w:pPr>
        <w:keepNext/>
        <w:jc w:val="left"/>
        <w:rPr>
          <w:rFonts w:cs="Arial"/>
          <w:lang w:val="fr-FR"/>
        </w:rPr>
      </w:pPr>
    </w:p>
    <w:p w:rsidR="00A757BF" w:rsidRPr="00293B75" w:rsidRDefault="00A757BF" w:rsidP="00A757BF">
      <w:pPr>
        <w:ind w:firstLine="567"/>
        <w:rPr>
          <w:rFonts w:cs="Arial"/>
          <w:lang w:val="fr-FR"/>
        </w:rPr>
      </w:pPr>
      <w:r w:rsidRPr="00293B75">
        <w:rPr>
          <w:lang w:val="fr-FR"/>
        </w:rPr>
        <w:t>Le TC</w:t>
      </w:r>
      <w:r w:rsidRPr="00293B75">
        <w:rPr>
          <w:lang w:val="fr-FR"/>
        </w:rPr>
        <w:noBreakHyphen/>
        <w:t>EDC a recommandé au TC l’adoption des principes directeurs d’examen de la calebasse</w:t>
      </w:r>
      <w:r w:rsidRPr="00293B75">
        <w:rPr>
          <w:rFonts w:cs="Arial"/>
          <w:lang w:val="fr-FR"/>
        </w:rPr>
        <w:t xml:space="preserve"> sous réserve de l’approbation par correspondance par le TWV de la suppression du caractère 17 “Col : plissement à la base”.</w:t>
      </w:r>
    </w:p>
    <w:p w:rsidR="00A757BF" w:rsidRPr="00293B75" w:rsidRDefault="00A757BF" w:rsidP="00A757BF">
      <w:pPr>
        <w:keepNext/>
        <w:jc w:val="left"/>
        <w:rPr>
          <w:rFonts w:cs="Arial"/>
          <w:lang w:val="fr-FR"/>
        </w:rPr>
      </w:pPr>
    </w:p>
    <w:p w:rsidR="00A757BF" w:rsidRPr="00293B75" w:rsidRDefault="00A757BF" w:rsidP="00A757BF">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projet des principes directeurs d’examen (document TG/</w:t>
      </w:r>
      <w:proofErr w:type="gramStart"/>
      <w:r w:rsidRPr="00293B75">
        <w:rPr>
          <w:rFonts w:cs="Arial"/>
          <w:lang w:val="fr-FR"/>
        </w:rPr>
        <w:t>LAGEN(</w:t>
      </w:r>
      <w:proofErr w:type="gramEnd"/>
      <w:r w:rsidRPr="00293B75">
        <w:rPr>
          <w:rFonts w:cs="Arial"/>
          <w:lang w:val="fr-FR"/>
        </w:rPr>
        <w:t>proj.5)) soumis au TC :</w:t>
      </w:r>
    </w:p>
    <w:p w:rsidR="00A757BF" w:rsidRPr="00293B75" w:rsidRDefault="00A757BF" w:rsidP="00A757BF">
      <w:pPr>
        <w:jc w:val="left"/>
        <w:rPr>
          <w:rFonts w:cs="Arial"/>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2.3</w:t>
            </w:r>
          </w:p>
        </w:tc>
        <w:tc>
          <w:tcPr>
            <w:tcW w:w="8074" w:type="dxa"/>
          </w:tcPr>
          <w:p w:rsidR="00A757BF" w:rsidRPr="00293B75" w:rsidRDefault="00A757BF" w:rsidP="00A757BF">
            <w:pPr>
              <w:tabs>
                <w:tab w:val="left" w:pos="1071"/>
              </w:tabs>
              <w:autoSpaceDE w:val="0"/>
              <w:autoSpaceDN w:val="0"/>
              <w:adjustRightInd w:val="0"/>
              <w:rPr>
                <w:rFonts w:cs="Arial"/>
                <w:lang w:val="fr-FR"/>
              </w:rPr>
            </w:pPr>
            <w:r w:rsidRPr="00293B75">
              <w:rPr>
                <w:lang w:val="fr-FR"/>
              </w:rPr>
              <w:t>doit être libellé comme suit “200 g ou 1500 graines”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3.4.1</w:t>
            </w:r>
          </w:p>
        </w:tc>
        <w:tc>
          <w:tcPr>
            <w:tcW w:w="8074" w:type="dxa"/>
          </w:tcPr>
          <w:p w:rsidR="00A757BF" w:rsidRPr="00293B75" w:rsidRDefault="00A757BF" w:rsidP="00A757BF">
            <w:pPr>
              <w:tabs>
                <w:tab w:val="left" w:pos="1071"/>
              </w:tabs>
              <w:autoSpaceDE w:val="0"/>
              <w:autoSpaceDN w:val="0"/>
              <w:adjustRightInd w:val="0"/>
              <w:rPr>
                <w:rFonts w:cs="Arial"/>
                <w:lang w:val="fr-FR"/>
              </w:rPr>
            </w:pPr>
            <w:r w:rsidRPr="00293B75">
              <w:rPr>
                <w:rFonts w:cs="Arial"/>
                <w:lang w:val="fr-FR"/>
              </w:rPr>
              <w:t>vérifier la cohérence avec le chapitre 2.3 (1500 graines, mais seulement 20 plantes?)</w:t>
            </w:r>
          </w:p>
          <w:p w:rsidR="00A757BF" w:rsidRPr="00293B75" w:rsidRDefault="00A757BF" w:rsidP="00A757BF">
            <w:pPr>
              <w:tabs>
                <w:tab w:val="left" w:pos="1071"/>
              </w:tabs>
              <w:autoSpaceDE w:val="0"/>
              <w:autoSpaceDN w:val="0"/>
              <w:adjustRightInd w:val="0"/>
              <w:rPr>
                <w:rFonts w:cs="Arial"/>
                <w:lang w:val="fr-FR"/>
              </w:rPr>
            </w:pPr>
            <w:r w:rsidRPr="00293B75">
              <w:rPr>
                <w:rFonts w:cs="Arial"/>
                <w:i/>
                <w:lang w:val="fr-FR"/>
              </w:rPr>
              <w:t>Expert principal : s’agissant du point 2.3 il faut aussi prendre en compte la quantité de matériel à fournir pour deux cycles DHS, et également pour la collection de référence.  20 plantes constituent une quantité habituelle à observer pour un cycle DHS (la même quantité est proposée pour les principes directeurs du melon, de la courge…).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4.1.1</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supprimer le second paragraphe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4.2</w:t>
            </w:r>
          </w:p>
        </w:tc>
        <w:tc>
          <w:tcPr>
            <w:tcW w:w="8074" w:type="dxa"/>
          </w:tcPr>
          <w:p w:rsidR="00A757BF" w:rsidRPr="00293B75" w:rsidRDefault="00A757BF" w:rsidP="00A757BF">
            <w:pPr>
              <w:pStyle w:val="Default"/>
              <w:jc w:val="both"/>
              <w:rPr>
                <w:iCs/>
                <w:color w:val="auto"/>
                <w:sz w:val="20"/>
                <w:szCs w:val="20"/>
                <w:lang w:val="fr-FR"/>
              </w:rPr>
            </w:pPr>
            <w:r w:rsidRPr="00293B75">
              <w:rPr>
                <w:iCs/>
                <w:color w:val="auto"/>
                <w:sz w:val="20"/>
                <w:szCs w:val="20"/>
                <w:lang w:val="fr-FR"/>
              </w:rPr>
              <w:t>devrait être modifié afin d’être libellé (en conformité avec le document TGP/7) comme suit</w:t>
            </w:r>
          </w:p>
          <w:p w:rsidR="00A757BF" w:rsidRPr="00293B75" w:rsidRDefault="00A757BF" w:rsidP="00A757BF">
            <w:pPr>
              <w:pStyle w:val="Default"/>
              <w:jc w:val="both"/>
              <w:rPr>
                <w:color w:val="auto"/>
                <w:sz w:val="20"/>
                <w:szCs w:val="20"/>
                <w:lang w:val="fr-FR"/>
              </w:rPr>
            </w:pPr>
          </w:p>
          <w:p w:rsidR="00A757BF" w:rsidRPr="00293B75" w:rsidRDefault="00A757BF" w:rsidP="00A757BF">
            <w:pPr>
              <w:pStyle w:val="Default"/>
              <w:jc w:val="both"/>
              <w:rPr>
                <w:color w:val="auto"/>
                <w:sz w:val="20"/>
                <w:szCs w:val="20"/>
                <w:lang w:val="fr-FR"/>
              </w:rPr>
            </w:pPr>
            <w:r w:rsidRPr="00293B75">
              <w:rPr>
                <w:color w:val="auto"/>
                <w:sz w:val="20"/>
                <w:szCs w:val="20"/>
                <w:lang w:val="fr-FR"/>
              </w:rPr>
              <w:t>“4.2.1 Il est particulièrement important pour les utilisateurs de ces principes directeurs d’examen de consulter l’introduction générale avant toute décision quant à l’homogénéité.</w:t>
            </w:r>
            <w:r w:rsidRPr="00293B75">
              <w:rPr>
                <w:color w:val="auto"/>
                <w:sz w:val="20"/>
                <w:lang w:val="fr-FR"/>
              </w:rPr>
              <w:t xml:space="preserve"> </w:t>
            </w:r>
            <w:r w:rsidRPr="00293B75">
              <w:rPr>
                <w:color w:val="auto"/>
                <w:sz w:val="20"/>
                <w:szCs w:val="20"/>
                <w:lang w:val="fr-FR"/>
              </w:rPr>
              <w:t xml:space="preserve"> Cependant, il conviendra de porter une attention particulière aux points ci</w:t>
            </w:r>
            <w:r w:rsidRPr="00293B75">
              <w:rPr>
                <w:color w:val="auto"/>
                <w:sz w:val="20"/>
                <w:szCs w:val="20"/>
                <w:lang w:val="fr-FR"/>
              </w:rPr>
              <w:noBreakHyphen/>
              <w:t>après :</w:t>
            </w:r>
          </w:p>
          <w:p w:rsidR="00A757BF" w:rsidRPr="00293B75" w:rsidRDefault="00A757BF" w:rsidP="00A757BF">
            <w:pPr>
              <w:pStyle w:val="Default"/>
              <w:jc w:val="both"/>
              <w:rPr>
                <w:color w:val="auto"/>
                <w:sz w:val="20"/>
                <w:szCs w:val="20"/>
                <w:lang w:val="fr-FR"/>
              </w:rPr>
            </w:pPr>
          </w:p>
          <w:p w:rsidR="00A757BF" w:rsidRPr="00293B75" w:rsidRDefault="00A757BF" w:rsidP="00A757BF">
            <w:pPr>
              <w:pStyle w:val="Default"/>
              <w:jc w:val="both"/>
              <w:rPr>
                <w:color w:val="auto"/>
                <w:sz w:val="20"/>
                <w:szCs w:val="20"/>
                <w:lang w:val="fr-FR"/>
              </w:rPr>
            </w:pPr>
            <w:r w:rsidRPr="00293B75">
              <w:rPr>
                <w:color w:val="auto"/>
                <w:sz w:val="20"/>
                <w:szCs w:val="20"/>
                <w:lang w:val="fr-FR"/>
              </w:rPr>
              <w:t>“4.2.2 L’homogénéité des variétés allogames doit être déterminée conformément aux recommandations relatives aux variétés allogames figurant dans l’introduction générale.</w:t>
            </w:r>
          </w:p>
          <w:p w:rsidR="00A757BF" w:rsidRPr="00293B75" w:rsidRDefault="00A757BF" w:rsidP="00A757BF">
            <w:pPr>
              <w:pStyle w:val="Default"/>
              <w:jc w:val="both"/>
              <w:rPr>
                <w:color w:val="auto"/>
                <w:sz w:val="20"/>
                <w:szCs w:val="20"/>
                <w:lang w:val="fr-FR"/>
              </w:rPr>
            </w:pPr>
          </w:p>
          <w:p w:rsidR="00A757BF" w:rsidRPr="00293B75" w:rsidRDefault="00A757BF" w:rsidP="00A757BF">
            <w:pPr>
              <w:pStyle w:val="Default"/>
              <w:jc w:val="both"/>
              <w:rPr>
                <w:color w:val="auto"/>
                <w:sz w:val="20"/>
                <w:szCs w:val="20"/>
                <w:lang w:val="fr-FR"/>
              </w:rPr>
            </w:pPr>
            <w:r w:rsidRPr="00293B75">
              <w:rPr>
                <w:color w:val="auto"/>
                <w:sz w:val="20"/>
                <w:szCs w:val="20"/>
                <w:lang w:val="fr-FR"/>
              </w:rPr>
              <w:t>“4.2.3 L’homogénéité des variétés hybrides doit être déterminée en fonction de la catégorie d’hybride et conformément aux recommandations sur les variétés hybrides figurant dans l’introduction générale.</w:t>
            </w:r>
          </w:p>
          <w:p w:rsidR="00A757BF" w:rsidRPr="00293B75" w:rsidRDefault="00A757BF" w:rsidP="00A757BF">
            <w:pPr>
              <w:pStyle w:val="Default"/>
              <w:jc w:val="both"/>
              <w:rPr>
                <w:color w:val="auto"/>
                <w:sz w:val="20"/>
                <w:szCs w:val="20"/>
                <w:lang w:val="fr-FR"/>
              </w:rPr>
            </w:pPr>
          </w:p>
          <w:p w:rsidR="00A757BF" w:rsidRPr="00293B75" w:rsidRDefault="00A757BF" w:rsidP="00A757BF">
            <w:pPr>
              <w:pStyle w:val="Default"/>
              <w:jc w:val="both"/>
              <w:rPr>
                <w:color w:val="auto"/>
                <w:lang w:val="fr-FR"/>
              </w:rPr>
            </w:pPr>
            <w:r w:rsidRPr="00293B75">
              <w:rPr>
                <w:color w:val="auto"/>
                <w:sz w:val="20"/>
                <w:szCs w:val="20"/>
                <w:lang w:val="fr-FR"/>
              </w:rPr>
              <w:t xml:space="preserve">“4.2.4 Pour l’évaluation de l’homogénéité, il faut appliquer une norme de population de 2% pour les variétés obtenues par pollinisation croisée et de 1% pour les variétés hybrides avec une probabilité d’acceptation d’au moins 95%.  Dans le cas d’un échantillon de 20 plantes, une plante hors type est tolérée pour les variétés hybrides et deux plantes hors types sont tolérées pour les variétés obtenues par pollinisation croisée ”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w:t>
            </w:r>
          </w:p>
        </w:tc>
        <w:tc>
          <w:tcPr>
            <w:tcW w:w="8074" w:type="dxa"/>
          </w:tcPr>
          <w:p w:rsidR="00A757BF" w:rsidRPr="00293B75" w:rsidRDefault="00A757BF" w:rsidP="00A757BF">
            <w:pPr>
              <w:rPr>
                <w:rFonts w:cs="Arial"/>
                <w:lang w:val="fr-FR"/>
              </w:rPr>
            </w:pPr>
            <w:r w:rsidRPr="00293B75">
              <w:rPr>
                <w:rFonts w:cs="Arial"/>
                <w:lang w:val="fr-FR"/>
              </w:rPr>
              <w:t>doit être libellé comme suit “Cotylédon : longueur” avec les niveaux “court”, “moyen”, “long”</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5</w:t>
            </w:r>
          </w:p>
        </w:tc>
        <w:tc>
          <w:tcPr>
            <w:tcW w:w="8074" w:type="dxa"/>
          </w:tcPr>
          <w:p w:rsidR="00A757BF" w:rsidRPr="00293B75" w:rsidRDefault="00A757BF" w:rsidP="00A757BF">
            <w:pPr>
              <w:rPr>
                <w:rFonts w:cs="Arial"/>
                <w:lang w:val="fr-FR"/>
              </w:rPr>
            </w:pPr>
            <w:r w:rsidRPr="00293B75">
              <w:rPr>
                <w:rFonts w:cs="Arial"/>
                <w:lang w:val="fr-FR"/>
              </w:rPr>
              <w:t>vérifier si le niveau 1 doit être libellé “absente ou faibles”, le niveau 2 “moyennes”, le niveau 3 “profondes”</w:t>
            </w:r>
          </w:p>
          <w:p w:rsidR="00A757BF" w:rsidRPr="00293B75" w:rsidRDefault="00A757BF" w:rsidP="00A757BF">
            <w:pPr>
              <w:rPr>
                <w:rFonts w:cs="Arial"/>
                <w:lang w:val="fr-FR"/>
              </w:rPr>
            </w:pPr>
            <w:r w:rsidRPr="00293B75">
              <w:rPr>
                <w:rFonts w:cs="Arial"/>
                <w:i/>
                <w:lang w:val="fr-FR"/>
              </w:rPr>
              <w:t>Expert principal : Non.  Les experts techniques ont accepté la proposition suivante “absentes ou peu profondes”, “faibles”, “moyennes”. Le stade “moyennes” est déterminé comme étant une valeur maximale.  Conserver les niveaux proposés.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10</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“Fruit : forme du fruit à l’exclusion du col”</w:t>
            </w:r>
          </w:p>
          <w:p w:rsidR="00A757BF" w:rsidRPr="00293B75" w:rsidRDefault="00A757BF" w:rsidP="00A757BF">
            <w:pPr>
              <w:autoSpaceDE w:val="0"/>
              <w:autoSpaceDN w:val="0"/>
              <w:adjustRightInd w:val="0"/>
              <w:rPr>
                <w:rFonts w:cs="Arial"/>
                <w:lang w:val="fr-FR"/>
              </w:rPr>
            </w:pPr>
            <w:r w:rsidRPr="00293B75">
              <w:rPr>
                <w:rFonts w:cs="Arial"/>
                <w:lang w:val="fr-FR"/>
              </w:rPr>
              <w:t>le niveau 1 doit être libellé comme suit “obovale”</w:t>
            </w:r>
          </w:p>
          <w:p w:rsidR="00A757BF" w:rsidRPr="00293B75" w:rsidRDefault="00A757BF" w:rsidP="00A757BF">
            <w:pPr>
              <w:autoSpaceDE w:val="0"/>
              <w:autoSpaceDN w:val="0"/>
              <w:adjustRightInd w:val="0"/>
              <w:rPr>
                <w:rFonts w:cs="Arial"/>
                <w:lang w:val="fr-FR"/>
              </w:rPr>
            </w:pPr>
            <w:r w:rsidRPr="00293B75">
              <w:rPr>
                <w:rFonts w:cs="Arial"/>
                <w:lang w:val="fr-FR"/>
              </w:rPr>
              <w:t>examiner et vérifier s’il convient d’inclure “elliptique” et “ovale”</w:t>
            </w:r>
          </w:p>
          <w:p w:rsidR="00A757BF" w:rsidRPr="00293B75" w:rsidRDefault="00A757BF" w:rsidP="00A757BF">
            <w:pPr>
              <w:autoSpaceDE w:val="0"/>
              <w:autoSpaceDN w:val="0"/>
              <w:adjustRightInd w:val="0"/>
              <w:rPr>
                <w:rFonts w:cs="Arial"/>
                <w:i/>
                <w:lang w:val="fr-FR"/>
              </w:rPr>
            </w:pPr>
            <w:r w:rsidRPr="00293B75">
              <w:rPr>
                <w:rFonts w:cs="Arial"/>
                <w:i/>
                <w:lang w:val="fr-FR"/>
              </w:rPr>
              <w:t>Expert principal : accepte les propositions de changement et l’ajout des niveaux “elliptique” et obovale”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14</w:t>
            </w:r>
          </w:p>
        </w:tc>
        <w:tc>
          <w:tcPr>
            <w:tcW w:w="8074" w:type="dxa"/>
          </w:tcPr>
          <w:p w:rsidR="00A757BF" w:rsidRPr="00293B75" w:rsidRDefault="00A757BF" w:rsidP="00A757BF">
            <w:pPr>
              <w:rPr>
                <w:rFonts w:cs="Arial"/>
                <w:lang w:val="fr-FR"/>
              </w:rPr>
            </w:pPr>
            <w:r w:rsidRPr="00293B75">
              <w:rPr>
                <w:rFonts w:cs="Arial"/>
                <w:lang w:val="fr-FR"/>
              </w:rPr>
              <w:t>supprimer le niveau 1</w:t>
            </w:r>
          </w:p>
          <w:p w:rsidR="00A757BF" w:rsidRPr="00293B75" w:rsidRDefault="00A757BF" w:rsidP="00A757BF">
            <w:pPr>
              <w:rPr>
                <w:rFonts w:cs="Arial"/>
                <w:lang w:val="fr-FR"/>
              </w:rPr>
            </w:pPr>
            <w:r w:rsidRPr="00293B75">
              <w:rPr>
                <w:rFonts w:cs="Arial"/>
                <w:lang w:val="fr-FR"/>
              </w:rPr>
              <w:t>doit être libellé comme suit “Col : forme”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15</w:t>
            </w:r>
          </w:p>
        </w:tc>
        <w:tc>
          <w:tcPr>
            <w:tcW w:w="8074" w:type="dxa"/>
          </w:tcPr>
          <w:p w:rsidR="00A757BF" w:rsidRPr="00293B75" w:rsidRDefault="00A757BF" w:rsidP="00A757BF">
            <w:pPr>
              <w:rPr>
                <w:rFonts w:cs="Arial"/>
                <w:lang w:val="fr-FR"/>
              </w:rPr>
            </w:pPr>
            <w:r w:rsidRPr="00293B75">
              <w:rPr>
                <w:rFonts w:cs="Arial"/>
                <w:lang w:val="fr-FR"/>
              </w:rPr>
              <w:t>doit être libellé comme suit “Col : longueur par rapport à la longueur du fruit”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16</w:t>
            </w:r>
          </w:p>
        </w:tc>
        <w:tc>
          <w:tcPr>
            <w:tcW w:w="8074" w:type="dxa"/>
          </w:tcPr>
          <w:p w:rsidR="00A757BF" w:rsidRPr="00293B75" w:rsidRDefault="00A757BF" w:rsidP="00A757BF">
            <w:pPr>
              <w:rPr>
                <w:rFonts w:cs="Arial"/>
                <w:lang w:val="fr-FR"/>
              </w:rPr>
            </w:pPr>
            <w:r w:rsidRPr="00293B75">
              <w:rPr>
                <w:rFonts w:cs="Arial"/>
                <w:lang w:val="fr-FR"/>
              </w:rPr>
              <w:t xml:space="preserve">doit être libellé comme suit “Col : diamètre par rapport au diamètre du fruit”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(d)</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w:t>
            </w:r>
            <w:r w:rsidRPr="00293B75">
              <w:rPr>
                <w:lang w:val="fr-FR"/>
              </w:rPr>
              <w:t>Les observations doivent être faites sur des graines complètement développées et sèches, après lavage et séchage à l’ombre</w:t>
            </w:r>
            <w:r w:rsidRPr="00293B75">
              <w:rPr>
                <w:rFonts w:cs="Arial"/>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compléter la deuxième phrase (la fin est manquante)</w:t>
            </w:r>
          </w:p>
          <w:p w:rsidR="00A757BF" w:rsidRPr="00293B75" w:rsidRDefault="00A757BF" w:rsidP="00A757BF">
            <w:pPr>
              <w:autoSpaceDE w:val="0"/>
              <w:autoSpaceDN w:val="0"/>
              <w:adjustRightInd w:val="0"/>
              <w:rPr>
                <w:rFonts w:cs="Arial"/>
                <w:lang w:val="fr-FR"/>
              </w:rPr>
            </w:pPr>
            <w:r w:rsidRPr="00293B75">
              <w:rPr>
                <w:rFonts w:cs="Arial"/>
                <w:lang w:val="fr-FR"/>
              </w:rPr>
              <w:t>ajouter “tige” comme dernier mot?</w:t>
            </w:r>
          </w:p>
          <w:p w:rsidR="00A757BF" w:rsidRPr="00293B75" w:rsidRDefault="00A757BF" w:rsidP="00A757BF">
            <w:pPr>
              <w:autoSpaceDE w:val="0"/>
              <w:autoSpaceDN w:val="0"/>
              <w:adjustRightInd w:val="0"/>
              <w:rPr>
                <w:rFonts w:cs="Arial"/>
                <w:lang w:val="fr-FR"/>
              </w:rPr>
            </w:pPr>
            <w:r w:rsidRPr="00293B75">
              <w:rPr>
                <w:rFonts w:cs="Arial"/>
                <w:i/>
                <w:lang w:val="fr-FR"/>
              </w:rPr>
              <w:t>Expert principal : ajouter “tiges”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6, 8</w:t>
            </w:r>
          </w:p>
        </w:tc>
        <w:tc>
          <w:tcPr>
            <w:tcW w:w="8074" w:type="dxa"/>
          </w:tcPr>
          <w:p w:rsidR="00A757BF" w:rsidRPr="00293B75" w:rsidRDefault="00A757BF" w:rsidP="00A757BF">
            <w:pPr>
              <w:autoSpaceDE w:val="0"/>
              <w:autoSpaceDN w:val="0"/>
              <w:adjustRightInd w:val="0"/>
              <w:rPr>
                <w:rFonts w:cs="Arial"/>
                <w:u w:val="single"/>
                <w:lang w:val="fr-FR"/>
              </w:rPr>
            </w:pPr>
            <w:r w:rsidRPr="00293B75">
              <w:rPr>
                <w:rFonts w:cs="Arial"/>
                <w:lang w:val="fr-FR"/>
              </w:rPr>
              <w:t>doit être libellé comme suit “La partie la plus large de la fleur doit être observée.”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10</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améliorer la grille conformément aux changements apportés au caractère 10 et ajouter des illustrations pour les éventuels nouveaux niveaux</w:t>
            </w:r>
          </w:p>
          <w:p w:rsidR="00A757BF" w:rsidRPr="00293B75" w:rsidRDefault="00A757BF" w:rsidP="00A757BF">
            <w:pPr>
              <w:autoSpaceDE w:val="0"/>
              <w:autoSpaceDN w:val="0"/>
              <w:adjustRightInd w:val="0"/>
              <w:rPr>
                <w:rFonts w:cs="Arial"/>
                <w:lang w:val="fr-FR"/>
              </w:rPr>
            </w:pPr>
            <w:r w:rsidRPr="00293B75">
              <w:rPr>
                <w:rFonts w:cs="Arial"/>
                <w:lang w:val="fr-FR"/>
              </w:rPr>
              <w:t>la légende doit être libellée conformément à celui du document TGP/14</w:t>
            </w:r>
          </w:p>
          <w:p w:rsidR="00A757BF" w:rsidRPr="00293B75" w:rsidRDefault="00A757BF" w:rsidP="00A757BF">
            <w:pPr>
              <w:autoSpaceDE w:val="0"/>
              <w:autoSpaceDN w:val="0"/>
              <w:adjustRightInd w:val="0"/>
              <w:rPr>
                <w:rFonts w:cs="Arial"/>
                <w:i/>
                <w:lang w:val="fr-FR"/>
              </w:rPr>
            </w:pPr>
            <w:r w:rsidRPr="00293B75">
              <w:rPr>
                <w:rFonts w:cs="Arial"/>
                <w:i/>
                <w:lang w:val="fr-FR"/>
              </w:rPr>
              <w:t xml:space="preserve">fournies par l’Expert principal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11</w:t>
            </w:r>
          </w:p>
        </w:tc>
        <w:tc>
          <w:tcPr>
            <w:tcW w:w="8074" w:type="dxa"/>
          </w:tcPr>
          <w:p w:rsidR="00A757BF" w:rsidRPr="00293B75" w:rsidRDefault="00A757BF" w:rsidP="00A757BF">
            <w:pPr>
              <w:rPr>
                <w:rFonts w:cs="Arial"/>
                <w:lang w:val="fr-FR"/>
              </w:rPr>
            </w:pPr>
            <w:r w:rsidRPr="00293B75">
              <w:rPr>
                <w:rFonts w:cs="Arial"/>
                <w:lang w:val="fr-FR"/>
              </w:rPr>
              <w:t>doit être libellé comme suit “les observations doivent être effectuées sur des fruits complètement développés”</w:t>
            </w:r>
          </w:p>
          <w:p w:rsidR="00A757BF" w:rsidRPr="00293B75" w:rsidRDefault="00A757BF" w:rsidP="00A757BF">
            <w:pPr>
              <w:rPr>
                <w:rFonts w:cs="Arial"/>
                <w:lang w:val="fr-FR"/>
              </w:rPr>
            </w:pPr>
            <w:r w:rsidRPr="00293B75">
              <w:rPr>
                <w:rFonts w:cs="Arial"/>
                <w:lang w:val="fr-FR"/>
              </w:rPr>
              <w:t>ajouter “en incluant le col”</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12</w:t>
            </w:r>
          </w:p>
        </w:tc>
        <w:tc>
          <w:tcPr>
            <w:tcW w:w="8074" w:type="dxa"/>
          </w:tcPr>
          <w:p w:rsidR="00A757BF" w:rsidRPr="00293B75" w:rsidRDefault="00A757BF" w:rsidP="00A757BF">
            <w:pPr>
              <w:autoSpaceDE w:val="0"/>
              <w:autoSpaceDN w:val="0"/>
              <w:adjustRightInd w:val="0"/>
              <w:rPr>
                <w:rFonts w:cs="Arial"/>
                <w:highlight w:val="lightGray"/>
                <w:u w:val="single"/>
                <w:lang w:val="fr-FR"/>
              </w:rPr>
            </w:pPr>
            <w:r w:rsidRPr="00293B75">
              <w:rPr>
                <w:rFonts w:cs="Arial"/>
                <w:lang w:val="fr-FR"/>
              </w:rPr>
              <w:t>doit être libellé comme suit “La partie la plus large doit être observée sur des fruits complètement développés.”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16</w:t>
            </w:r>
          </w:p>
        </w:tc>
        <w:tc>
          <w:tcPr>
            <w:tcW w:w="8074" w:type="dxa"/>
          </w:tcPr>
          <w:p w:rsidR="00A757BF" w:rsidRPr="00293B75" w:rsidRDefault="00A757BF" w:rsidP="00A757BF">
            <w:pPr>
              <w:rPr>
                <w:rFonts w:cs="Arial"/>
                <w:lang w:val="fr-FR"/>
              </w:rPr>
            </w:pPr>
            <w:r w:rsidRPr="00293B75">
              <w:rPr>
                <w:rFonts w:cs="Arial"/>
                <w:lang w:val="fr-FR"/>
              </w:rPr>
              <w:t>vérifier l’illustration et la variété à titre d’exemple du niveau 3 (il existe un grand écart entre 3 et 5;  il semblerait qu’il s’agisse du niveau 1 ou 2)</w:t>
            </w:r>
          </w:p>
          <w:p w:rsidR="00A757BF" w:rsidRPr="00293B75" w:rsidRDefault="00A757BF" w:rsidP="00A757BF">
            <w:pPr>
              <w:rPr>
                <w:rFonts w:cs="Arial"/>
                <w:lang w:val="fr-FR"/>
              </w:rPr>
            </w:pPr>
            <w:r w:rsidRPr="00293B75">
              <w:rPr>
                <w:rFonts w:cs="Arial"/>
                <w:lang w:val="fr-FR"/>
              </w:rPr>
              <w:t>supprimer le texte indiquant le diamètre du col</w:t>
            </w:r>
          </w:p>
          <w:p w:rsidR="00A757BF" w:rsidRPr="00293B75" w:rsidRDefault="00A757BF" w:rsidP="00A757BF">
            <w:pPr>
              <w:rPr>
                <w:rFonts w:cs="Arial"/>
                <w:i/>
                <w:lang w:val="fr-FR"/>
              </w:rPr>
            </w:pPr>
            <w:r w:rsidRPr="00293B75">
              <w:rPr>
                <w:rFonts w:cs="Arial"/>
                <w:i/>
                <w:lang w:val="fr-FR"/>
              </w:rPr>
              <w:t>Expert principal : l’écart entre les niveaux 1 et 3 est légèrement plus petit.  Je suggère de remplacer l’illustration du niveau 5.  Conserver le texte indiquant le diamètre du col.</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23</w:t>
            </w:r>
          </w:p>
        </w:tc>
        <w:tc>
          <w:tcPr>
            <w:tcW w:w="8074" w:type="dxa"/>
          </w:tcPr>
          <w:p w:rsidR="00A757BF" w:rsidRPr="00293B75" w:rsidRDefault="00A757BF" w:rsidP="00A757BF">
            <w:pPr>
              <w:rPr>
                <w:rFonts w:cs="Arial"/>
                <w:lang w:val="fr-FR"/>
              </w:rPr>
            </w:pPr>
            <w:r w:rsidRPr="00293B75">
              <w:rPr>
                <w:rFonts w:cs="Arial"/>
                <w:lang w:val="fr-FR"/>
              </w:rPr>
              <w:t>à supprimer</w:t>
            </w:r>
          </w:p>
          <w:p w:rsidR="00A757BF" w:rsidRPr="00293B75" w:rsidRDefault="00A757BF" w:rsidP="00A757BF">
            <w:pPr>
              <w:rPr>
                <w:rFonts w:cs="Arial"/>
                <w:i/>
                <w:lang w:val="fr-FR"/>
              </w:rPr>
            </w:pPr>
            <w:r w:rsidRPr="00293B75">
              <w:rPr>
                <w:rFonts w:cs="Arial"/>
                <w:i/>
                <w:lang w:val="fr-FR"/>
              </w:rPr>
              <w:t xml:space="preserve">Expert principal : </w:t>
            </w:r>
            <w:r w:rsidR="0016333C" w:rsidRPr="00293B75">
              <w:rPr>
                <w:rFonts w:cs="Arial"/>
                <w:i/>
                <w:lang w:val="fr-FR"/>
              </w:rPr>
              <w:t>c</w:t>
            </w:r>
            <w:r w:rsidRPr="00293B75">
              <w:rPr>
                <w:rFonts w:cs="Arial"/>
                <w:i/>
                <w:lang w:val="fr-FR"/>
              </w:rPr>
              <w:t>es photographies ont une valeur illustrative.  La plupart des variétés que j’ai pu observer en France étaient de taille moyenne.  Je n’ai jamais observé de graines étroites ou larges, uniquement des photographies sur Internet.  À conserver.</w:t>
            </w:r>
          </w:p>
        </w:tc>
      </w:tr>
    </w:tbl>
    <w:p w:rsidR="00A757BF" w:rsidRPr="00293B75" w:rsidRDefault="00A757BF" w:rsidP="00A757BF">
      <w:pPr>
        <w:jc w:val="left"/>
        <w:rPr>
          <w:rFonts w:cs="Arial"/>
          <w:u w:val="single"/>
          <w:lang w:val="fr-FR"/>
        </w:rPr>
      </w:pPr>
    </w:p>
    <w:p w:rsidR="00A757BF" w:rsidRPr="00293B75" w:rsidRDefault="00A757BF" w:rsidP="00A757BF">
      <w:pPr>
        <w:keepNext/>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A757BF" w:rsidRPr="00293B75" w:rsidRDefault="00A757BF" w:rsidP="00A757BF">
      <w:pPr>
        <w:keepNext/>
        <w:autoSpaceDE w:val="0"/>
        <w:autoSpaceDN w:val="0"/>
        <w:adjustRightInd w:val="0"/>
        <w:ind w:firstLine="567"/>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Généralités</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A757BF">
        <w:trPr>
          <w:cantSplit/>
        </w:trPr>
        <w:tc>
          <w:tcPr>
            <w:tcW w:w="1573" w:type="dxa"/>
          </w:tcPr>
          <w:p w:rsidR="00A757BF" w:rsidRPr="00293B75" w:rsidDel="00A7238C" w:rsidRDefault="00A757BF" w:rsidP="00A757BF">
            <w:pPr>
              <w:rPr>
                <w:rFonts w:cs="Arial"/>
                <w:lang w:val="fr-FR"/>
              </w:rPr>
            </w:pPr>
            <w:r w:rsidRPr="00293B75">
              <w:rPr>
                <w:rFonts w:cs="Arial"/>
                <w:lang w:val="fr-FR"/>
              </w:rPr>
              <w:t>car. 5</w:t>
            </w:r>
          </w:p>
        </w:tc>
        <w:tc>
          <w:tcPr>
            <w:tcW w:w="8067" w:type="dxa"/>
          </w:tcPr>
          <w:p w:rsidR="00A757BF" w:rsidRPr="00293B75" w:rsidDel="00A7238C" w:rsidRDefault="00A757BF" w:rsidP="00A757BF">
            <w:pPr>
              <w:rPr>
                <w:rFonts w:cs="Arial"/>
                <w:lang w:val="fr-FR"/>
              </w:rPr>
            </w:pPr>
            <w:r w:rsidRPr="00293B75">
              <w:rPr>
                <w:rFonts w:cs="Arial"/>
                <w:lang w:val="fr-FR"/>
              </w:rPr>
              <w:t>le niveau 2 doit être libellé comme suit “moyen”, le niveau 3 doit être libellé comme suit “profondes”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10</w:t>
            </w:r>
          </w:p>
        </w:tc>
        <w:tc>
          <w:tcPr>
            <w:tcW w:w="8067" w:type="dxa"/>
          </w:tcPr>
          <w:p w:rsidR="00A757BF" w:rsidRPr="00293B75" w:rsidRDefault="00A757BF" w:rsidP="00A757BF">
            <w:pPr>
              <w:rPr>
                <w:rFonts w:cs="Arial"/>
                <w:lang w:val="fr-FR"/>
              </w:rPr>
            </w:pPr>
            <w:r w:rsidRPr="00293B75">
              <w:rPr>
                <w:rFonts w:cs="Arial"/>
                <w:lang w:val="fr-FR"/>
              </w:rPr>
              <w:t>le niveau 4 doit être libellé comme suit “rond”</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17</w:t>
            </w:r>
          </w:p>
        </w:tc>
        <w:tc>
          <w:tcPr>
            <w:tcW w:w="8067" w:type="dxa"/>
          </w:tcPr>
          <w:p w:rsidR="00A757BF" w:rsidRPr="00293B75" w:rsidRDefault="00A757BF" w:rsidP="00A757BF">
            <w:pPr>
              <w:rPr>
                <w:rFonts w:cs="Arial"/>
                <w:lang w:val="fr-FR"/>
              </w:rPr>
            </w:pPr>
            <w:r w:rsidRPr="00293B75">
              <w:rPr>
                <w:rFonts w:cs="Arial"/>
                <w:lang w:val="fr-FR"/>
              </w:rPr>
              <w:t>fournir une illustration pour le niveau 3</w:t>
            </w:r>
          </w:p>
          <w:p w:rsidR="00A757BF" w:rsidRPr="00293B75" w:rsidRDefault="00A757BF" w:rsidP="00A757BF">
            <w:pPr>
              <w:rPr>
                <w:rFonts w:cs="Arial"/>
                <w:i/>
                <w:lang w:val="fr-FR"/>
              </w:rPr>
            </w:pPr>
            <w:r w:rsidRPr="00293B75">
              <w:rPr>
                <w:rFonts w:cs="Arial"/>
                <w:i/>
                <w:lang w:val="fr-FR"/>
              </w:rPr>
              <w:t>Expert principal : supprimer le caractère 17</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23</w:t>
            </w:r>
          </w:p>
        </w:tc>
        <w:tc>
          <w:tcPr>
            <w:tcW w:w="8067" w:type="dxa"/>
          </w:tcPr>
          <w:p w:rsidR="00A757BF" w:rsidRPr="00293B75" w:rsidRDefault="00A757BF" w:rsidP="00A757BF">
            <w:pPr>
              <w:rPr>
                <w:rFonts w:cs="Arial"/>
                <w:lang w:val="fr-FR"/>
              </w:rPr>
            </w:pPr>
            <w:r w:rsidRPr="00293B75">
              <w:rPr>
                <w:rFonts w:cs="Arial"/>
                <w:lang w:val="fr-FR"/>
              </w:rPr>
              <w:t>vérifier si les 9 notes sont appropriées ou s’il convient de réduire l’échelle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16</w:t>
            </w:r>
          </w:p>
        </w:tc>
        <w:tc>
          <w:tcPr>
            <w:tcW w:w="8067" w:type="dxa"/>
          </w:tcPr>
          <w:p w:rsidR="00A757BF" w:rsidRPr="00293B75" w:rsidRDefault="00A757BF" w:rsidP="00A757BF">
            <w:pPr>
              <w:rPr>
                <w:rFonts w:cs="Arial"/>
                <w:lang w:val="fr-FR"/>
              </w:rPr>
            </w:pPr>
            <w:r w:rsidRPr="00293B75">
              <w:rPr>
                <w:rFonts w:cs="Arial"/>
                <w:lang w:val="fr-FR"/>
              </w:rPr>
              <w:t xml:space="preserve">supprimer le texte pour les niveaux 3 et 7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23</w:t>
            </w:r>
          </w:p>
        </w:tc>
        <w:tc>
          <w:tcPr>
            <w:tcW w:w="8067" w:type="dxa"/>
          </w:tcPr>
          <w:p w:rsidR="00A757BF" w:rsidRPr="00293B75" w:rsidRDefault="00A757BF" w:rsidP="00A757BF">
            <w:pPr>
              <w:rPr>
                <w:rFonts w:cs="Arial"/>
                <w:lang w:val="fr-FR"/>
              </w:rPr>
            </w:pPr>
            <w:r w:rsidRPr="00293B75">
              <w:rPr>
                <w:rFonts w:cs="Arial"/>
                <w:lang w:val="fr-FR"/>
              </w:rPr>
              <w:t>supprimer les illustrations et ajouter une indication expliquant que la largeur doit être mesurée à la partie la plus large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Questionnaire technique 7.3</w:t>
            </w:r>
          </w:p>
        </w:tc>
        <w:tc>
          <w:tcPr>
            <w:tcW w:w="8067" w:type="dxa"/>
          </w:tcPr>
          <w:p w:rsidR="00A757BF" w:rsidRPr="00293B75" w:rsidRDefault="00A757BF" w:rsidP="00A757BF">
            <w:pPr>
              <w:rPr>
                <w:rFonts w:cs="Arial"/>
                <w:lang w:val="fr-FR"/>
              </w:rPr>
            </w:pPr>
            <w:r w:rsidRPr="00293B75">
              <w:rPr>
                <w:rFonts w:cs="Arial"/>
                <w:lang w:val="fr-FR"/>
              </w:rPr>
              <w:t>actualiser le texte standard supplémentaire (ASW) 16 (pour lequel une photographie de la variété doit être fournie) conformément au nouveau libellé du document TGP/7/4) et renommer comme 7.4</w:t>
            </w:r>
          </w:p>
        </w:tc>
      </w:tr>
    </w:tbl>
    <w:p w:rsidR="00A757BF" w:rsidRPr="00293B75" w:rsidRDefault="00A757BF" w:rsidP="00A757BF">
      <w:pPr>
        <w:jc w:val="left"/>
        <w:rPr>
          <w:rFonts w:cs="Arial"/>
          <w:u w:val="single"/>
          <w:lang w:val="fr-FR"/>
        </w:rPr>
      </w:pPr>
    </w:p>
    <w:p w:rsidR="00A757BF" w:rsidRPr="00293B75" w:rsidRDefault="00A757BF" w:rsidP="00A757BF">
      <w:pPr>
        <w:jc w:val="left"/>
        <w:rPr>
          <w:rFonts w:cs="Arial"/>
          <w:u w:val="single"/>
          <w:lang w:val="fr-FR"/>
        </w:rPr>
      </w:pPr>
    </w:p>
    <w:tbl>
      <w:tblPr>
        <w:tblW w:w="6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76"/>
        <w:gridCol w:w="1988"/>
      </w:tblGrid>
      <w:tr w:rsidR="00293B75" w:rsidRPr="00293B75" w:rsidTr="00A757BF">
        <w:trPr>
          <w:cantSplit/>
          <w:trHeight w:val="277"/>
        </w:trPr>
        <w:tc>
          <w:tcPr>
            <w:tcW w:w="4876"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 xml:space="preserve">Pecan Nut </w:t>
            </w:r>
            <w:r w:rsidRPr="00293B75">
              <w:rPr>
                <w:rFonts w:cs="Arial"/>
                <w:i/>
                <w:caps w:val="0"/>
                <w:lang w:val="fr-FR"/>
              </w:rPr>
              <w:t>Carya illinoinensis</w:t>
            </w:r>
            <w:r w:rsidRPr="00293B75">
              <w:rPr>
                <w:rFonts w:cs="Arial"/>
                <w:caps w:val="0"/>
                <w:lang w:val="fr-FR"/>
              </w:rPr>
              <w:t xml:space="preserve"> (Wangenh.) K. Koch)</w:t>
            </w:r>
          </w:p>
        </w:tc>
        <w:tc>
          <w:tcPr>
            <w:tcW w:w="198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PECAN(</w:t>
            </w:r>
            <w:proofErr w:type="gramEnd"/>
            <w:r w:rsidRPr="00293B75">
              <w:rPr>
                <w:rFonts w:cs="Arial"/>
                <w:caps w:val="0"/>
                <w:lang w:val="fr-FR"/>
              </w:rPr>
              <w:t>proj.12)</w:t>
            </w:r>
          </w:p>
        </w:tc>
      </w:tr>
      <w:tr w:rsidR="00293B75" w:rsidRPr="00293B75" w:rsidTr="00A757BF">
        <w:trPr>
          <w:cantSplit/>
          <w:trHeight w:val="230"/>
        </w:trPr>
        <w:tc>
          <w:tcPr>
            <w:tcW w:w="4876" w:type="dxa"/>
            <w:vMerge/>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p>
        </w:tc>
        <w:tc>
          <w:tcPr>
            <w:tcW w:w="1988" w:type="dxa"/>
            <w:vMerge/>
            <w:shd w:val="clear" w:color="auto" w:fill="D9D9D9"/>
          </w:tcPr>
          <w:p w:rsidR="00A757BF" w:rsidRPr="00293B75" w:rsidRDefault="00A757BF" w:rsidP="00A757BF">
            <w:pPr>
              <w:pStyle w:val="BodyText"/>
              <w:keepNext/>
              <w:jc w:val="left"/>
              <w:rPr>
                <w:rFonts w:cs="Arial"/>
                <w:lang w:val="fr-FR"/>
              </w:rPr>
            </w:pPr>
          </w:p>
        </w:tc>
      </w:tr>
    </w:tbl>
    <w:p w:rsidR="00A757BF" w:rsidRPr="00293B75" w:rsidRDefault="00A757BF" w:rsidP="00A757BF">
      <w:pPr>
        <w:keepNext/>
        <w:jc w:val="left"/>
        <w:rPr>
          <w:rFonts w:cs="Arial"/>
          <w:lang w:val="fr-FR"/>
        </w:rPr>
      </w:pPr>
    </w:p>
    <w:p w:rsidR="00A757BF" w:rsidRPr="00293B75" w:rsidRDefault="00A757BF" w:rsidP="00A757BF">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projet des principes directeurs d’examen (document TG/</w:t>
      </w:r>
      <w:proofErr w:type="gramStart"/>
      <w:r w:rsidRPr="00293B75">
        <w:rPr>
          <w:rFonts w:cs="Arial"/>
          <w:lang w:val="fr-FR"/>
        </w:rPr>
        <w:t>PECAN(</w:t>
      </w:r>
      <w:proofErr w:type="gramEnd"/>
      <w:r w:rsidRPr="00293B75">
        <w:rPr>
          <w:rFonts w:cs="Arial"/>
          <w:lang w:val="fr-FR"/>
        </w:rPr>
        <w:t>proj.12)) soumis au TC :</w:t>
      </w:r>
    </w:p>
    <w:p w:rsidR="00A757BF" w:rsidRPr="00293B75" w:rsidRDefault="00A757BF" w:rsidP="00A757BF">
      <w:pPr>
        <w:keepNext/>
        <w:jc w:val="left"/>
        <w:rPr>
          <w:rFonts w:cs="Arial"/>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4.1.4</w:t>
            </w:r>
          </w:p>
        </w:tc>
        <w:tc>
          <w:tcPr>
            <w:tcW w:w="8074" w:type="dxa"/>
          </w:tcPr>
          <w:p w:rsidR="00A757BF" w:rsidRPr="00293B75" w:rsidRDefault="00A757BF" w:rsidP="00A757BF">
            <w:pPr>
              <w:autoSpaceDE w:val="0"/>
              <w:autoSpaceDN w:val="0"/>
              <w:adjustRightInd w:val="0"/>
              <w:rPr>
                <w:rFonts w:cs="Arial"/>
                <w:b/>
                <w:sz w:val="22"/>
                <w:lang w:val="fr-FR"/>
              </w:rPr>
            </w:pPr>
            <w:r w:rsidRPr="00293B75">
              <w:rPr>
                <w:rFonts w:cs="Arial"/>
                <w:lang w:val="fr-FR"/>
              </w:rPr>
              <w:t>utiliser le texte standard intégral</w:t>
            </w:r>
          </w:p>
        </w:tc>
      </w:tr>
      <w:tr w:rsidR="00293B75" w:rsidRPr="00293B75" w:rsidTr="00A757BF">
        <w:trPr>
          <w:cantSplit/>
        </w:trPr>
        <w:tc>
          <w:tcPr>
            <w:tcW w:w="1573" w:type="dxa"/>
          </w:tcPr>
          <w:p w:rsidR="00A757BF" w:rsidRPr="00293B75" w:rsidDel="006773DC" w:rsidRDefault="00A757BF" w:rsidP="00A757BF">
            <w:pPr>
              <w:rPr>
                <w:rFonts w:cs="Arial"/>
                <w:lang w:val="fr-FR"/>
              </w:rPr>
            </w:pPr>
            <w:r w:rsidRPr="00293B75">
              <w:rPr>
                <w:rFonts w:cs="Arial"/>
                <w:lang w:val="fr-FR"/>
              </w:rPr>
              <w:t>car. 2</w:t>
            </w:r>
          </w:p>
        </w:tc>
        <w:tc>
          <w:tcPr>
            <w:tcW w:w="8074" w:type="dxa"/>
          </w:tcPr>
          <w:p w:rsidR="00A757BF" w:rsidRPr="00293B75" w:rsidDel="001501E3" w:rsidRDefault="00A757BF" w:rsidP="00A757BF">
            <w:pPr>
              <w:rPr>
                <w:rFonts w:cs="Arial"/>
                <w:lang w:val="fr-FR"/>
              </w:rPr>
            </w:pPr>
            <w:r w:rsidRPr="00293B75">
              <w:rPr>
                <w:rFonts w:cs="Arial"/>
                <w:lang w:val="fr-FR"/>
              </w:rPr>
              <w:t>doit être libellé comme suit “Arbre : densité des branches”</w:t>
            </w:r>
          </w:p>
        </w:tc>
      </w:tr>
      <w:tr w:rsidR="00293B75" w:rsidRPr="00293B75" w:rsidTr="00A757BF">
        <w:trPr>
          <w:cantSplit/>
        </w:trPr>
        <w:tc>
          <w:tcPr>
            <w:tcW w:w="1573" w:type="dxa"/>
          </w:tcPr>
          <w:p w:rsidR="00A757BF" w:rsidRPr="00293B75" w:rsidDel="006773DC" w:rsidRDefault="00A757BF" w:rsidP="00A757BF">
            <w:pPr>
              <w:rPr>
                <w:rFonts w:cs="Arial"/>
                <w:lang w:val="fr-FR"/>
              </w:rPr>
            </w:pPr>
            <w:r w:rsidRPr="00293B75">
              <w:rPr>
                <w:rFonts w:cs="Arial"/>
                <w:lang w:val="fr-FR"/>
              </w:rPr>
              <w:t>car. 5</w:t>
            </w:r>
          </w:p>
        </w:tc>
        <w:tc>
          <w:tcPr>
            <w:tcW w:w="8074" w:type="dxa"/>
          </w:tcPr>
          <w:p w:rsidR="00A757BF" w:rsidRPr="00293B75" w:rsidDel="001501E3" w:rsidRDefault="00A757BF" w:rsidP="00A757BF">
            <w:pPr>
              <w:rPr>
                <w:rFonts w:cs="Arial"/>
                <w:lang w:val="fr-FR"/>
              </w:rPr>
            </w:pPr>
            <w:r w:rsidRPr="00293B75">
              <w:rPr>
                <w:rFonts w:cs="Arial"/>
                <w:lang w:val="fr-FR"/>
              </w:rPr>
              <w:t>à replacer après le caractère 9</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6</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“Foliole terminale : longueur”</w:t>
            </w:r>
          </w:p>
          <w:p w:rsidR="00A757BF" w:rsidRPr="00293B75" w:rsidRDefault="00A757BF" w:rsidP="00A757BF">
            <w:pPr>
              <w:autoSpaceDE w:val="0"/>
              <w:autoSpaceDN w:val="0"/>
              <w:adjustRightInd w:val="0"/>
              <w:rPr>
                <w:rFonts w:cs="Arial"/>
                <w:lang w:val="fr-FR"/>
              </w:rPr>
            </w:pPr>
            <w:r w:rsidRPr="00293B75">
              <w:rPr>
                <w:rFonts w:cs="Arial"/>
                <w:lang w:val="fr-FR"/>
              </w:rPr>
              <w:t>à replacer après “Feuille : longueur du pétiole”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7</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 Foliole terminale : largeur”</w:t>
            </w:r>
          </w:p>
          <w:p w:rsidR="00A757BF" w:rsidRPr="00293B75" w:rsidRDefault="00A757BF" w:rsidP="00A757BF">
            <w:pPr>
              <w:autoSpaceDE w:val="0"/>
              <w:autoSpaceDN w:val="0"/>
              <w:adjustRightInd w:val="0"/>
              <w:rPr>
                <w:rFonts w:cs="Arial"/>
                <w:lang w:val="fr-FR"/>
              </w:rPr>
            </w:pPr>
            <w:r w:rsidRPr="00293B75">
              <w:rPr>
                <w:rFonts w:cs="Arial"/>
                <w:lang w:val="fr-FR"/>
              </w:rPr>
              <w:t>à replacer après “Foliole terminale : longueur”</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8</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 Foliole terminale : rapport longueur/ largeur”</w:t>
            </w:r>
          </w:p>
          <w:p w:rsidR="00A757BF" w:rsidRPr="00293B75" w:rsidRDefault="00A757BF" w:rsidP="00A757BF">
            <w:pPr>
              <w:autoSpaceDE w:val="0"/>
              <w:autoSpaceDN w:val="0"/>
              <w:adjustRightInd w:val="0"/>
              <w:rPr>
                <w:rFonts w:cs="Arial"/>
                <w:lang w:val="fr-FR"/>
              </w:rPr>
            </w:pPr>
            <w:r w:rsidRPr="00293B75">
              <w:rPr>
                <w:rFonts w:cs="Arial"/>
                <w:lang w:val="fr-FR"/>
              </w:rPr>
              <w:t>à replacer après “Foliole terminal : largeur”</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11</w:t>
            </w:r>
          </w:p>
        </w:tc>
        <w:tc>
          <w:tcPr>
            <w:tcW w:w="8074" w:type="dxa"/>
          </w:tcPr>
          <w:p w:rsidR="00A757BF" w:rsidRPr="00293B75" w:rsidRDefault="00A757BF" w:rsidP="00A757BF">
            <w:pPr>
              <w:rPr>
                <w:rFonts w:cs="Arial"/>
                <w:lang w:val="fr-FR"/>
              </w:rPr>
            </w:pPr>
            <w:r w:rsidRPr="00293B75">
              <w:rPr>
                <w:rFonts w:cs="Arial"/>
                <w:lang w:val="fr-FR"/>
              </w:rPr>
              <w:t>doit être libellé comme suit “Foliole latérale : pétiolule”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23</w:t>
            </w:r>
          </w:p>
        </w:tc>
        <w:tc>
          <w:tcPr>
            <w:tcW w:w="8074" w:type="dxa"/>
          </w:tcPr>
          <w:p w:rsidR="00A757BF" w:rsidRPr="00293B75" w:rsidRDefault="00A757BF" w:rsidP="00A757BF">
            <w:pPr>
              <w:rPr>
                <w:rFonts w:cs="Arial"/>
                <w:lang w:val="fr-FR"/>
              </w:rPr>
            </w:pPr>
            <w:r w:rsidRPr="00293B75">
              <w:rPr>
                <w:rFonts w:cs="Arial"/>
                <w:lang w:val="fr-FR"/>
              </w:rPr>
              <w:t>à replacer avant 22 (voir l’ordre de 20 et 21)</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24</w:t>
            </w:r>
          </w:p>
        </w:tc>
        <w:tc>
          <w:tcPr>
            <w:tcW w:w="8074" w:type="dxa"/>
          </w:tcPr>
          <w:p w:rsidR="00A757BF" w:rsidRPr="00293B75" w:rsidRDefault="00A757BF" w:rsidP="00A757BF">
            <w:pPr>
              <w:rPr>
                <w:rFonts w:cs="Arial"/>
                <w:lang w:val="fr-FR"/>
              </w:rPr>
            </w:pPr>
            <w:r w:rsidRPr="00293B75">
              <w:rPr>
                <w:rFonts w:cs="Arial"/>
                <w:lang w:val="fr-FR"/>
              </w:rPr>
              <w:t>vérifier la traduction en allemand</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30</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“Cerneau : taille par rapport à la taille de la noix”</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36</w:t>
            </w:r>
          </w:p>
        </w:tc>
        <w:tc>
          <w:tcPr>
            <w:tcW w:w="8074" w:type="dxa"/>
          </w:tcPr>
          <w:p w:rsidR="00A757BF" w:rsidRPr="00293B75" w:rsidRDefault="00A757BF" w:rsidP="00A757BF">
            <w:pPr>
              <w:rPr>
                <w:rFonts w:cs="Arial"/>
                <w:lang w:val="fr-FR"/>
              </w:rPr>
            </w:pPr>
            <w:r w:rsidRPr="00293B75">
              <w:rPr>
                <w:rFonts w:cs="Arial"/>
                <w:lang w:val="fr-FR"/>
              </w:rPr>
              <w:t>à replacer avant le caractère 33</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(a)</w:t>
            </w:r>
          </w:p>
        </w:tc>
        <w:tc>
          <w:tcPr>
            <w:tcW w:w="8074" w:type="dxa"/>
          </w:tcPr>
          <w:p w:rsidR="00A757BF" w:rsidRPr="00293B75" w:rsidRDefault="00A757BF" w:rsidP="00A757BF">
            <w:pPr>
              <w:rPr>
                <w:rFonts w:cs="Arial"/>
                <w:lang w:val="fr-FR"/>
              </w:rPr>
            </w:pPr>
            <w:r w:rsidRPr="00293B75">
              <w:rPr>
                <w:rFonts w:cs="Arial"/>
                <w:lang w:val="fr-FR"/>
              </w:rPr>
              <w:t>doit être libellé comme suit “Feuille/foliole : les observations doivent être effectuées sur des feuilles pleinement développées, situées au milieu d’un rameau d’une année, à la fin de l’ouverture des folioles.”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(b)</w:t>
            </w:r>
          </w:p>
        </w:tc>
        <w:tc>
          <w:tcPr>
            <w:tcW w:w="8074" w:type="dxa"/>
          </w:tcPr>
          <w:p w:rsidR="00A757BF" w:rsidRPr="00293B75" w:rsidRDefault="00A757BF" w:rsidP="00A757BF">
            <w:pPr>
              <w:rPr>
                <w:rFonts w:cs="Arial"/>
                <w:lang w:val="fr-FR"/>
              </w:rPr>
            </w:pPr>
            <w:r w:rsidRPr="00293B75">
              <w:rPr>
                <w:rFonts w:cs="Arial"/>
                <w:lang w:val="fr-FR"/>
              </w:rPr>
              <w:t>la deuxième phrase doit être libellée comme suit “Les o</w:t>
            </w:r>
            <w:r w:rsidRPr="00293B75">
              <w:rPr>
                <w:rFonts w:cs="Arial"/>
                <w:snapToGrid w:val="0"/>
                <w:lang w:val="fr-FR"/>
              </w:rPr>
              <w:t>bservations doivent être effectuées sur la partie terminale d’un rameau d’une année.”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(c)</w:t>
            </w:r>
          </w:p>
        </w:tc>
        <w:tc>
          <w:tcPr>
            <w:tcW w:w="8074" w:type="dxa"/>
          </w:tcPr>
          <w:p w:rsidR="00A757BF" w:rsidRPr="00293B75" w:rsidRDefault="00A757BF" w:rsidP="00A757BF">
            <w:pPr>
              <w:rPr>
                <w:rFonts w:cs="Arial"/>
                <w:strike/>
                <w:lang w:val="fr-FR"/>
              </w:rPr>
            </w:pPr>
            <w:r w:rsidRPr="00293B75">
              <w:rPr>
                <w:rFonts w:cs="Arial"/>
                <w:lang w:val="fr-FR"/>
              </w:rPr>
              <w:t>doit être libellé comme suit “Cosse de la noix : les observations doivent être effectuées sur des noix pleinement développées, sur la partie terminale d’un rameau d’une année, au stade d’ouverture de la cosse.”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w:t>
            </w:r>
          </w:p>
        </w:tc>
        <w:tc>
          <w:tcPr>
            <w:tcW w:w="8074" w:type="dxa"/>
          </w:tcPr>
          <w:p w:rsidR="00A757BF" w:rsidRPr="00293B75" w:rsidRDefault="00A757BF" w:rsidP="00A757BF">
            <w:pPr>
              <w:rPr>
                <w:rFonts w:cs="Arial"/>
                <w:lang w:val="fr-FR"/>
              </w:rPr>
            </w:pPr>
            <w:r w:rsidRPr="00293B75">
              <w:rPr>
                <w:rFonts w:cs="Arial"/>
                <w:lang w:val="fr-FR"/>
              </w:rPr>
              <w:t>doit être libellé comme suit “La densité des branches de la plante doit être entendue comme désignant le nombre global de branches durant la période de dormance</w:t>
            </w:r>
            <w:r w:rsidRPr="00293B75">
              <w:rPr>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6 à 11</w:t>
            </w:r>
          </w:p>
        </w:tc>
        <w:tc>
          <w:tcPr>
            <w:tcW w:w="8074" w:type="dxa"/>
          </w:tcPr>
          <w:p w:rsidR="00A757BF" w:rsidRPr="00293B75" w:rsidRDefault="00A757BF" w:rsidP="00A757BF">
            <w:pPr>
              <w:rPr>
                <w:rFonts w:cs="Arial"/>
                <w:lang w:val="fr-FR"/>
              </w:rPr>
            </w:pPr>
            <w:r w:rsidRPr="00293B75">
              <w:rPr>
                <w:rFonts w:cs="Arial"/>
                <w:lang w:val="fr-FR"/>
              </w:rPr>
              <w:t>supprimer et incorporer dans 8.1 (a)</w:t>
            </w:r>
          </w:p>
          <w:p w:rsidR="00A757BF" w:rsidRPr="00293B75" w:rsidRDefault="00A757BF" w:rsidP="00A757BF">
            <w:pPr>
              <w:rPr>
                <w:rFonts w:cs="Arial"/>
                <w:i/>
                <w:lang w:val="fr-FR"/>
              </w:rPr>
            </w:pPr>
            <w:r w:rsidRPr="00293B75">
              <w:rPr>
                <w:rFonts w:cs="Arial"/>
                <w:i/>
                <w:lang w:val="fr-FR"/>
              </w:rPr>
              <w:t xml:space="preserve">fourni par l’Expert principal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22, 23</w:t>
            </w:r>
          </w:p>
        </w:tc>
        <w:tc>
          <w:tcPr>
            <w:tcW w:w="8074" w:type="dxa"/>
          </w:tcPr>
          <w:p w:rsidR="00A757BF" w:rsidRPr="00293B75" w:rsidRDefault="00A757BF" w:rsidP="00A757BF">
            <w:pPr>
              <w:rPr>
                <w:rFonts w:cs="Arial"/>
                <w:lang w:val="fr-FR"/>
              </w:rPr>
            </w:pPr>
            <w:r w:rsidRPr="00293B75">
              <w:rPr>
                <w:rFonts w:cs="Arial"/>
                <w:lang w:val="fr-FR"/>
              </w:rPr>
              <w:t>supprimer le libellé et remplacer par des photographies et des dessins</w:t>
            </w:r>
          </w:p>
          <w:p w:rsidR="00A757BF" w:rsidRPr="00293B75" w:rsidRDefault="00A757BF" w:rsidP="00A757BF">
            <w:pPr>
              <w:rPr>
                <w:rFonts w:cs="Arial"/>
                <w:lang w:val="fr-FR"/>
              </w:rPr>
            </w:pPr>
            <w:r w:rsidRPr="00293B75">
              <w:rPr>
                <w:rFonts w:cs="Arial"/>
                <w:i/>
                <w:lang w:val="fr-FR"/>
              </w:rPr>
              <w:t xml:space="preserve">fournis par l’Expert principal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29</w:t>
            </w:r>
          </w:p>
        </w:tc>
        <w:tc>
          <w:tcPr>
            <w:tcW w:w="8074" w:type="dxa"/>
          </w:tcPr>
          <w:p w:rsidR="00A757BF" w:rsidRPr="00293B75" w:rsidRDefault="00A757BF" w:rsidP="00A757BF">
            <w:pPr>
              <w:rPr>
                <w:rFonts w:cs="Arial"/>
                <w:lang w:val="fr-FR"/>
              </w:rPr>
            </w:pPr>
            <w:r w:rsidRPr="00293B75">
              <w:rPr>
                <w:rFonts w:cs="Arial"/>
                <w:lang w:val="fr-FR"/>
              </w:rPr>
              <w:t>à supprimer</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33</w:t>
            </w:r>
          </w:p>
        </w:tc>
        <w:tc>
          <w:tcPr>
            <w:tcW w:w="8074" w:type="dxa"/>
          </w:tcPr>
          <w:p w:rsidR="00A757BF" w:rsidRPr="00293B75" w:rsidRDefault="00A757BF" w:rsidP="00A757BF">
            <w:pPr>
              <w:rPr>
                <w:rFonts w:cs="Arial"/>
                <w:lang w:val="fr-FR"/>
              </w:rPr>
            </w:pPr>
            <w:r w:rsidRPr="00293B75">
              <w:rPr>
                <w:rFonts w:cs="Arial"/>
                <w:lang w:val="fr-FR"/>
              </w:rPr>
              <w:t>doit être libellé comme suit “L’époque de débourrement foliaire est celle où 75% des bourgeons sont ouverts.”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34</w:t>
            </w:r>
          </w:p>
        </w:tc>
        <w:tc>
          <w:tcPr>
            <w:tcW w:w="8074" w:type="dxa"/>
          </w:tcPr>
          <w:p w:rsidR="00A757BF" w:rsidRPr="00293B75" w:rsidRDefault="00A757BF" w:rsidP="00A757BF">
            <w:pPr>
              <w:rPr>
                <w:rFonts w:cs="Arial"/>
                <w:lang w:val="fr-FR"/>
              </w:rPr>
            </w:pPr>
            <w:r w:rsidRPr="00293B75">
              <w:rPr>
                <w:rFonts w:cs="Arial"/>
                <w:lang w:val="fr-FR"/>
              </w:rPr>
              <w:t>doit être libellé comme suit “L’époque de la chute des feuilles est celle où 75% des feuilles sont tombées.”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35</w:t>
            </w:r>
          </w:p>
        </w:tc>
        <w:tc>
          <w:tcPr>
            <w:tcW w:w="8074" w:type="dxa"/>
          </w:tcPr>
          <w:p w:rsidR="00A757BF" w:rsidRPr="00293B75" w:rsidRDefault="00A757BF" w:rsidP="00A757BF">
            <w:pPr>
              <w:rPr>
                <w:rFonts w:cs="Arial"/>
                <w:lang w:val="fr-FR"/>
              </w:rPr>
            </w:pPr>
            <w:r w:rsidRPr="00293B75">
              <w:rPr>
                <w:rFonts w:cs="Arial"/>
                <w:lang w:val="fr-FR"/>
              </w:rPr>
              <w:t>doit être libellé comme suit “L’époque d’ouverture de la cosse est celle où 75% des cosses sont fendues.”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36</w:t>
            </w:r>
          </w:p>
        </w:tc>
        <w:tc>
          <w:tcPr>
            <w:tcW w:w="8074" w:type="dxa"/>
          </w:tcPr>
          <w:p w:rsidR="00A757BF" w:rsidRPr="00293B75" w:rsidRDefault="00A757BF" w:rsidP="00A757BF">
            <w:pPr>
              <w:rPr>
                <w:rFonts w:cs="Arial"/>
                <w:lang w:val="fr-FR"/>
              </w:rPr>
            </w:pPr>
            <w:r w:rsidRPr="00293B75">
              <w:rPr>
                <w:rFonts w:cs="Arial"/>
                <w:lang w:val="fr-FR"/>
              </w:rPr>
              <w:t>supprimer “sur l’infructescence”</w:t>
            </w:r>
          </w:p>
        </w:tc>
      </w:tr>
    </w:tbl>
    <w:p w:rsidR="00A757BF" w:rsidRPr="00293B75" w:rsidRDefault="00A757BF" w:rsidP="00A757BF">
      <w:pPr>
        <w:jc w:val="left"/>
        <w:rPr>
          <w:rFonts w:cs="Arial"/>
          <w:u w:val="single"/>
          <w:lang w:val="fr-FR"/>
        </w:rPr>
      </w:pPr>
    </w:p>
    <w:p w:rsidR="00A757BF" w:rsidRPr="00293B75" w:rsidRDefault="00A757BF" w:rsidP="00A757BF">
      <w:pPr>
        <w:keepNext/>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A757BF" w:rsidRPr="00293B75" w:rsidRDefault="00A757BF" w:rsidP="00A757BF">
      <w:pPr>
        <w:keepNext/>
        <w:autoSpaceDE w:val="0"/>
        <w:autoSpaceDN w:val="0"/>
        <w:adjustRightInd w:val="0"/>
        <w:ind w:firstLine="567"/>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Généralités</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(c)</w:t>
            </w:r>
          </w:p>
        </w:tc>
        <w:tc>
          <w:tcPr>
            <w:tcW w:w="8067" w:type="dxa"/>
          </w:tcPr>
          <w:p w:rsidR="00A757BF" w:rsidRPr="00293B75" w:rsidRDefault="00A757BF" w:rsidP="00A757BF">
            <w:pPr>
              <w:rPr>
                <w:rFonts w:cs="Arial"/>
                <w:lang w:val="fr-FR"/>
              </w:rPr>
            </w:pPr>
            <w:r w:rsidRPr="00293B75">
              <w:rPr>
                <w:rFonts w:cs="Arial"/>
                <w:lang w:val="fr-FR"/>
              </w:rPr>
              <w:t>doit être libellé comme suit “Cosse / noix” au lieu de “Cosse de la noix”</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Questionnaire technique 7.3</w:t>
            </w:r>
          </w:p>
        </w:tc>
        <w:tc>
          <w:tcPr>
            <w:tcW w:w="8067" w:type="dxa"/>
          </w:tcPr>
          <w:p w:rsidR="00A757BF" w:rsidRPr="00293B75" w:rsidRDefault="00A757BF" w:rsidP="00A757BF">
            <w:pPr>
              <w:rPr>
                <w:rFonts w:cs="Arial"/>
                <w:lang w:val="fr-FR"/>
              </w:rPr>
            </w:pPr>
            <w:r w:rsidRPr="00293B75">
              <w:rPr>
                <w:rFonts w:cs="Arial"/>
                <w:lang w:val="fr-FR"/>
              </w:rPr>
              <w:t>actualiser le texte standard supplémentaire (ASW) 16 (pour lequel une photographie de la variété doit être fournie) conformément au nouveau libellé du document TGP/7/4) et renommer comme 7.4</w:t>
            </w:r>
          </w:p>
        </w:tc>
      </w:tr>
    </w:tbl>
    <w:p w:rsidR="00A757BF" w:rsidRPr="00293B75" w:rsidRDefault="00A757BF" w:rsidP="00A757BF">
      <w:pPr>
        <w:jc w:val="left"/>
        <w:rPr>
          <w:rFonts w:cs="Arial"/>
          <w:u w:val="single"/>
          <w:lang w:val="fr-FR"/>
        </w:rPr>
      </w:pPr>
    </w:p>
    <w:p w:rsidR="00A757BF" w:rsidRPr="00293B75" w:rsidRDefault="00A757BF" w:rsidP="00A757BF">
      <w:pPr>
        <w:jc w:val="left"/>
        <w:rPr>
          <w:rFonts w:cs="Arial"/>
          <w:u w:val="single"/>
          <w:lang w:val="fr-FR"/>
        </w:rPr>
      </w:pPr>
    </w:p>
    <w:tbl>
      <w:tblPr>
        <w:tblW w:w="7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85"/>
        <w:gridCol w:w="1846"/>
      </w:tblGrid>
      <w:tr w:rsidR="00293B75" w:rsidRPr="00293B75" w:rsidTr="00A757BF">
        <w:trPr>
          <w:cantSplit/>
          <w:trHeight w:val="277"/>
        </w:trPr>
        <w:tc>
          <w:tcPr>
            <w:tcW w:w="5585"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Urochloa</w:t>
            </w:r>
          </w:p>
        </w:tc>
        <w:tc>
          <w:tcPr>
            <w:tcW w:w="1846"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TG/</w:t>
            </w:r>
            <w:proofErr w:type="gramStart"/>
            <w:r w:rsidRPr="00293B75">
              <w:rPr>
                <w:rFonts w:cs="Arial"/>
                <w:caps w:val="0"/>
                <w:lang w:val="fr-FR"/>
              </w:rPr>
              <w:t>UROCH(</w:t>
            </w:r>
            <w:proofErr w:type="gramEnd"/>
            <w:r w:rsidRPr="00293B75">
              <w:rPr>
                <w:rFonts w:cs="Arial"/>
                <w:caps w:val="0"/>
                <w:lang w:val="fr-FR"/>
              </w:rPr>
              <w:t>proj.9)</w:t>
            </w:r>
          </w:p>
        </w:tc>
      </w:tr>
      <w:tr w:rsidR="00293B75" w:rsidRPr="00293B75" w:rsidTr="00A757BF">
        <w:trPr>
          <w:cantSplit/>
          <w:trHeight w:hRule="exact" w:val="74"/>
        </w:trPr>
        <w:tc>
          <w:tcPr>
            <w:tcW w:w="5585" w:type="dxa"/>
            <w:vMerge/>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p>
        </w:tc>
        <w:tc>
          <w:tcPr>
            <w:tcW w:w="1846" w:type="dxa"/>
            <w:vMerge/>
            <w:shd w:val="clear" w:color="auto" w:fill="D9D9D9"/>
          </w:tcPr>
          <w:p w:rsidR="00A757BF" w:rsidRPr="00293B75" w:rsidRDefault="00A757BF" w:rsidP="00A757BF">
            <w:pPr>
              <w:pStyle w:val="BodyText"/>
              <w:keepNext/>
              <w:jc w:val="left"/>
              <w:rPr>
                <w:rFonts w:cs="Arial"/>
                <w:lang w:val="fr-FR"/>
              </w:rPr>
            </w:pPr>
          </w:p>
        </w:tc>
      </w:tr>
    </w:tbl>
    <w:p w:rsidR="00A757BF" w:rsidRPr="00293B75" w:rsidRDefault="00A757BF" w:rsidP="00A757BF">
      <w:pPr>
        <w:jc w:val="left"/>
        <w:rPr>
          <w:rFonts w:cs="Arial"/>
          <w:u w:val="single"/>
          <w:lang w:val="fr-FR"/>
        </w:rPr>
      </w:pPr>
    </w:p>
    <w:p w:rsidR="00A757BF" w:rsidRPr="00293B75" w:rsidRDefault="00A757BF" w:rsidP="00A757BF">
      <w:pPr>
        <w:autoSpaceDE w:val="0"/>
        <w:autoSpaceDN w:val="0"/>
        <w:adjustRightInd w:val="0"/>
        <w:ind w:firstLine="567"/>
        <w:rPr>
          <w:rFonts w:cs="Arial"/>
          <w:lang w:val="fr-FR"/>
        </w:rPr>
      </w:pPr>
      <w:r w:rsidRPr="00293B75">
        <w:rPr>
          <w:rFonts w:cs="Arial"/>
          <w:lang w:val="fr-FR"/>
        </w:rPr>
        <w:t>Modifications proposées par le TC</w:t>
      </w:r>
      <w:r w:rsidRPr="00293B75">
        <w:rPr>
          <w:rFonts w:cs="Arial"/>
          <w:lang w:val="fr-FR"/>
        </w:rPr>
        <w:noBreakHyphen/>
        <w:t>EDC en mars 2015, qui doivent être incorporées dans le document soumis au TC :</w:t>
      </w:r>
    </w:p>
    <w:p w:rsidR="00A757BF" w:rsidRPr="00293B75" w:rsidRDefault="00A757BF" w:rsidP="00A757BF">
      <w:pPr>
        <w:autoSpaceDE w:val="0"/>
        <w:autoSpaceDN w:val="0"/>
        <w:adjustRightInd w:val="0"/>
        <w:ind w:firstLine="567"/>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highlight w:val="cyan"/>
                <w:lang w:val="fr-FR"/>
              </w:rPr>
            </w:pPr>
            <w:r w:rsidRPr="00293B75">
              <w:rPr>
                <w:rFonts w:cs="Arial"/>
                <w:lang w:val="fr-FR"/>
              </w:rPr>
              <w:t>Généralités</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p w:rsidR="00A757BF" w:rsidRPr="00293B75" w:rsidRDefault="00A757BF" w:rsidP="00A757BF">
            <w:pPr>
              <w:rPr>
                <w:rFonts w:cs="Arial"/>
                <w:lang w:val="fr-FR"/>
              </w:rPr>
            </w:pPr>
            <w:r w:rsidRPr="00293B75">
              <w:rPr>
                <w:rFonts w:cs="Arial"/>
                <w:i/>
                <w:lang w:val="fr-FR"/>
              </w:rPr>
              <w:t>Expert principal : confirme que tous les droits de propriété intellectuelle ont été respectés</w:t>
            </w:r>
          </w:p>
        </w:tc>
      </w:tr>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4.1.1</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supprimer le texte standard supplémentaire sur les variétés hybrides</w:t>
            </w:r>
          </w:p>
        </w:tc>
      </w:tr>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4.2.4</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 xml:space="preserve">à supprimer </w:t>
            </w:r>
          </w:p>
        </w:tc>
      </w:tr>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car.  2</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vérifier s’il convient de préciser l’époque d’observation (voir le chapitre 8.1)</w:t>
            </w:r>
          </w:p>
          <w:p w:rsidR="00A757BF" w:rsidRPr="00293B75" w:rsidRDefault="00A757BF" w:rsidP="00A757BF">
            <w:pPr>
              <w:rPr>
                <w:rFonts w:cs="Arial"/>
                <w:i/>
                <w:lang w:val="fr-FR"/>
              </w:rPr>
            </w:pPr>
            <w:r w:rsidRPr="00293B75">
              <w:rPr>
                <w:rFonts w:cs="Arial"/>
                <w:i/>
                <w:lang w:val="fr-FR"/>
              </w:rPr>
              <w:t>Expert principal : ajouter (c)</w:t>
            </w:r>
          </w:p>
        </w:tc>
      </w:tr>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car. 4, 5</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supprimer (b) et ajouter une explication au chapitre 8.2 ou une nouvelle note au 8.1</w:t>
            </w:r>
          </w:p>
          <w:p w:rsidR="00A757BF" w:rsidRPr="00293B75" w:rsidRDefault="00A757BF" w:rsidP="00A757BF">
            <w:pPr>
              <w:rPr>
                <w:rFonts w:cs="Arial"/>
                <w:lang w:val="fr-FR"/>
              </w:rPr>
            </w:pPr>
            <w:r w:rsidRPr="00293B75">
              <w:rPr>
                <w:rFonts w:cs="Arial"/>
                <w:i/>
                <w:lang w:val="fr-FR"/>
              </w:rPr>
              <w:t xml:space="preserve">Expert principal : supprimer (b), ajouter (+) et ajouter le caractère 5 à l’Ad.  4 </w:t>
            </w:r>
            <w:proofErr w:type="gramStart"/>
            <w:r w:rsidRPr="00293B75">
              <w:rPr>
                <w:rFonts w:cs="Arial"/>
                <w:i/>
                <w:lang w:val="fr-FR"/>
              </w:rPr>
              <w:t>existant</w:t>
            </w:r>
            <w:proofErr w:type="gramEnd"/>
          </w:p>
        </w:tc>
      </w:tr>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szCs w:val="22"/>
                <w:lang w:val="fr-FR"/>
              </w:rPr>
            </w:pPr>
            <w:r w:rsidRPr="00293B75">
              <w:rPr>
                <w:rFonts w:cs="Arial"/>
                <w:szCs w:val="22"/>
                <w:lang w:val="fr-FR"/>
              </w:rPr>
              <w:t>car. 6</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szCs w:val="22"/>
                <w:lang w:val="fr-FR"/>
              </w:rPr>
            </w:pPr>
            <w:r w:rsidRPr="00293B75">
              <w:rPr>
                <w:rFonts w:cs="Arial"/>
                <w:szCs w:val="22"/>
                <w:lang w:val="fr-FR"/>
              </w:rPr>
              <w:t>doit être libellé comme suit “Dernière feuille : courbure”</w:t>
            </w:r>
          </w:p>
          <w:p w:rsidR="00A757BF" w:rsidRPr="00293B75" w:rsidRDefault="00A757BF" w:rsidP="00A757BF">
            <w:pPr>
              <w:rPr>
                <w:rFonts w:cs="Arial"/>
                <w:szCs w:val="22"/>
                <w:lang w:val="fr-FR"/>
              </w:rPr>
            </w:pPr>
            <w:r w:rsidRPr="00293B75">
              <w:rPr>
                <w:rFonts w:cs="Arial"/>
                <w:szCs w:val="22"/>
                <w:lang w:val="fr-FR"/>
              </w:rPr>
              <w:t>niveau 1 doit être libellé comme suit “absente ou faible”</w:t>
            </w:r>
          </w:p>
        </w:tc>
      </w:tr>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szCs w:val="22"/>
                <w:lang w:val="fr-FR"/>
              </w:rPr>
            </w:pPr>
            <w:r w:rsidRPr="00293B75">
              <w:rPr>
                <w:rFonts w:cs="Arial"/>
                <w:szCs w:val="22"/>
                <w:lang w:val="fr-FR"/>
              </w:rPr>
              <w:t>car. 7</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szCs w:val="22"/>
                <w:lang w:val="fr-FR"/>
              </w:rPr>
            </w:pPr>
            <w:r w:rsidRPr="00293B75">
              <w:rPr>
                <w:rFonts w:cs="Arial"/>
                <w:szCs w:val="22"/>
                <w:lang w:val="fr-FR"/>
              </w:rPr>
              <w:t>doit être libellé comme suit “Dernière feuille : largeur”</w:t>
            </w:r>
          </w:p>
        </w:tc>
      </w:tr>
      <w:tr w:rsidR="00293B75" w:rsidRPr="00293B75" w:rsidTr="00A757BF">
        <w:trPr>
          <w:cantSplit/>
        </w:trPr>
        <w:tc>
          <w:tcPr>
            <w:tcW w:w="1573" w:type="dxa"/>
          </w:tcPr>
          <w:p w:rsidR="00A757BF" w:rsidRPr="00293B75" w:rsidRDefault="00A757BF" w:rsidP="00A757BF">
            <w:pPr>
              <w:rPr>
                <w:rFonts w:cs="Arial"/>
                <w:szCs w:val="22"/>
                <w:lang w:val="fr-FR"/>
              </w:rPr>
            </w:pPr>
            <w:r w:rsidRPr="00293B75">
              <w:rPr>
                <w:rFonts w:cs="Arial"/>
                <w:szCs w:val="22"/>
                <w:lang w:val="fr-FR"/>
              </w:rPr>
              <w:t>car. 18</w:t>
            </w:r>
          </w:p>
        </w:tc>
        <w:tc>
          <w:tcPr>
            <w:tcW w:w="8067" w:type="dxa"/>
          </w:tcPr>
          <w:p w:rsidR="00A757BF" w:rsidRPr="00293B75" w:rsidRDefault="00A757BF" w:rsidP="00A757BF">
            <w:pPr>
              <w:rPr>
                <w:rFonts w:cs="Arial"/>
                <w:szCs w:val="22"/>
                <w:lang w:val="fr-FR"/>
              </w:rPr>
            </w:pPr>
            <w:r w:rsidRPr="00293B75">
              <w:rPr>
                <w:rFonts w:cs="Arial"/>
                <w:szCs w:val="22"/>
                <w:lang w:val="fr-FR"/>
              </w:rPr>
              <w:t>doit être libellé comme suit “Fleur : couleur des stigmates” (voir Ad.)</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19</w:t>
            </w:r>
          </w:p>
        </w:tc>
        <w:tc>
          <w:tcPr>
            <w:tcW w:w="8067" w:type="dxa"/>
          </w:tcPr>
          <w:p w:rsidR="00A757BF" w:rsidRPr="00293B75" w:rsidRDefault="00A757BF" w:rsidP="00A757BF">
            <w:pPr>
              <w:rPr>
                <w:rFonts w:cs="Arial"/>
                <w:lang w:val="fr-FR"/>
              </w:rPr>
            </w:pPr>
            <w:r w:rsidRPr="00293B75">
              <w:rPr>
                <w:rFonts w:cs="Arial"/>
                <w:lang w:val="fr-FR"/>
              </w:rPr>
              <w:t>si le caractère 19 est observé avant l’ouverture des fleurs, il doit figurer l’indication (c) et replacé avant 18.  Le caractère 18 est observé à l’anthèse.</w:t>
            </w:r>
          </w:p>
          <w:p w:rsidR="00A757BF" w:rsidRPr="00293B75" w:rsidRDefault="00A757BF" w:rsidP="00A757BF">
            <w:pPr>
              <w:rPr>
                <w:rFonts w:cs="Arial"/>
                <w:lang w:val="fr-FR"/>
              </w:rPr>
            </w:pPr>
            <w:r w:rsidRPr="00293B75">
              <w:rPr>
                <w:rFonts w:cs="Arial"/>
                <w:i/>
                <w:lang w:val="fr-FR"/>
              </w:rPr>
              <w:t xml:space="preserve">Expert principal : accepte que le caractère 19 </w:t>
            </w:r>
            <w:proofErr w:type="gramStart"/>
            <w:r w:rsidRPr="00293B75">
              <w:rPr>
                <w:rFonts w:cs="Arial"/>
                <w:i/>
                <w:lang w:val="fr-FR"/>
              </w:rPr>
              <w:t>doit</w:t>
            </w:r>
            <w:proofErr w:type="gramEnd"/>
            <w:r w:rsidRPr="00293B75">
              <w:rPr>
                <w:rFonts w:cs="Arial"/>
                <w:i/>
                <w:lang w:val="fr-FR"/>
              </w:rPr>
              <w:t xml:space="preserve"> porter l’indication (c) et être replacé avant le caractère 18</w:t>
            </w:r>
          </w:p>
        </w:tc>
      </w:tr>
      <w:tr w:rsidR="00293B75" w:rsidRPr="00293B75" w:rsidTr="00A757BF">
        <w:trPr>
          <w:cantSplit/>
        </w:trPr>
        <w:tc>
          <w:tcPr>
            <w:tcW w:w="1573" w:type="dxa"/>
          </w:tcPr>
          <w:p w:rsidR="00A757BF" w:rsidRPr="00293B75" w:rsidRDefault="00A757BF" w:rsidP="00A757BF">
            <w:pPr>
              <w:rPr>
                <w:rFonts w:cs="Arial"/>
                <w:highlight w:val="cyan"/>
                <w:lang w:val="fr-FR"/>
              </w:rPr>
            </w:pPr>
            <w:r w:rsidRPr="00293B75">
              <w:rPr>
                <w:rFonts w:cs="Arial"/>
                <w:lang w:val="fr-FR"/>
              </w:rPr>
              <w:t>8.1 + Ad. 20</w:t>
            </w:r>
          </w:p>
        </w:tc>
        <w:tc>
          <w:tcPr>
            <w:tcW w:w="8067" w:type="dxa"/>
          </w:tcPr>
          <w:p w:rsidR="00A757BF" w:rsidRPr="00293B75" w:rsidRDefault="00A757BF" w:rsidP="00A757BF">
            <w:pPr>
              <w:tabs>
                <w:tab w:val="num" w:pos="0"/>
              </w:tabs>
              <w:ind w:left="21"/>
              <w:rPr>
                <w:rFonts w:cs="Arial"/>
                <w:lang w:val="fr-FR"/>
              </w:rPr>
            </w:pPr>
            <w:r w:rsidRPr="00293B75">
              <w:rPr>
                <w:rFonts w:cs="Arial"/>
                <w:lang w:val="fr-FR"/>
              </w:rPr>
              <w:t>il est nécessaire d’ajuster l’époque d’observation.  Quelle est la différence entre (a), (c) et Ad. 21?</w:t>
            </w:r>
          </w:p>
          <w:p w:rsidR="00A757BF" w:rsidRPr="00293B75" w:rsidRDefault="00A757BF" w:rsidP="00A757BF">
            <w:pPr>
              <w:rPr>
                <w:rFonts w:cs="Arial"/>
                <w:lang w:val="fr-FR"/>
              </w:rPr>
            </w:pPr>
            <w:r w:rsidRPr="00293B75">
              <w:rPr>
                <w:rFonts w:cs="Arial"/>
                <w:i/>
                <w:lang w:val="fr-FR"/>
              </w:rPr>
              <w:t>Expert principal : supprimer (a) et remplacer par (a) et (c) pour tous les caractères concernés du tableau des caractères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(b)</w:t>
            </w:r>
          </w:p>
        </w:tc>
        <w:tc>
          <w:tcPr>
            <w:tcW w:w="8067" w:type="dxa"/>
          </w:tcPr>
          <w:p w:rsidR="00A757BF" w:rsidRPr="00293B75" w:rsidRDefault="00A757BF" w:rsidP="00A757BF">
            <w:pPr>
              <w:rPr>
                <w:rFonts w:cs="Arial"/>
                <w:lang w:val="fr-FR"/>
              </w:rPr>
            </w:pPr>
            <w:r w:rsidRPr="00293B75">
              <w:rPr>
                <w:rFonts w:cs="Arial"/>
                <w:lang w:val="fr-FR"/>
              </w:rPr>
              <w:t>vérifier si le libellé doit être comme suit “Les observations sur la tige et les feuilles entièrement développées doivent être effectuées sur l’avant</w:t>
            </w:r>
            <w:r w:rsidRPr="00293B75">
              <w:rPr>
                <w:rFonts w:cs="Arial"/>
                <w:lang w:val="fr-FR"/>
              </w:rPr>
              <w:noBreakHyphen/>
              <w:t>dernière feuille de la tige principale.”</w:t>
            </w:r>
          </w:p>
          <w:p w:rsidR="00A757BF" w:rsidRPr="00293B75" w:rsidRDefault="00A757BF" w:rsidP="00A757BF">
            <w:pPr>
              <w:rPr>
                <w:rFonts w:cs="Arial"/>
                <w:lang w:val="fr-FR"/>
              </w:rPr>
            </w:pPr>
            <w:r w:rsidRPr="00293B75">
              <w:rPr>
                <w:rFonts w:cs="Arial"/>
                <w:i/>
                <w:lang w:val="fr-FR"/>
              </w:rPr>
              <w:t>Expert principal : accepté</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(c)</w:t>
            </w:r>
          </w:p>
        </w:tc>
        <w:tc>
          <w:tcPr>
            <w:tcW w:w="8067" w:type="dxa"/>
          </w:tcPr>
          <w:p w:rsidR="00A757BF" w:rsidRPr="00293B75" w:rsidRDefault="00A757BF" w:rsidP="00A757BF">
            <w:pPr>
              <w:rPr>
                <w:rFonts w:cs="Arial"/>
                <w:lang w:val="fr-FR"/>
              </w:rPr>
            </w:pPr>
            <w:r w:rsidRPr="00293B75">
              <w:rPr>
                <w:rFonts w:cs="Arial"/>
                <w:lang w:val="fr-FR"/>
              </w:rPr>
              <w:t>doit être libellé comme suit “Les observations doivent être effectuées à l’époque du début de la floraison.”</w:t>
            </w:r>
          </w:p>
          <w:p w:rsidR="00A757BF" w:rsidRPr="00293B75" w:rsidRDefault="00A757BF" w:rsidP="00A757BF">
            <w:pPr>
              <w:rPr>
                <w:rFonts w:cs="Arial"/>
                <w:lang w:val="fr-FR"/>
              </w:rPr>
            </w:pPr>
            <w:r w:rsidRPr="00293B75">
              <w:rPr>
                <w:rFonts w:cs="Arial"/>
                <w:i/>
                <w:lang w:val="fr-FR"/>
              </w:rPr>
              <w:t>Expert principal : accepté</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w:t>
            </w:r>
          </w:p>
        </w:tc>
        <w:tc>
          <w:tcPr>
            <w:tcW w:w="8067" w:type="dxa"/>
          </w:tcPr>
          <w:p w:rsidR="00A757BF" w:rsidRPr="00293B75" w:rsidRDefault="00A757BF" w:rsidP="00A757BF">
            <w:pPr>
              <w:rPr>
                <w:rFonts w:cs="Arial"/>
                <w:lang w:val="fr-FR"/>
              </w:rPr>
            </w:pPr>
            <w:r w:rsidRPr="00293B75">
              <w:rPr>
                <w:rFonts w:cs="Arial"/>
                <w:lang w:val="fr-FR"/>
              </w:rPr>
              <w:t>doit être clarifié.  Une illustration peut</w:t>
            </w:r>
            <w:r w:rsidRPr="00293B75">
              <w:rPr>
                <w:rFonts w:cs="Arial"/>
                <w:lang w:val="fr-FR"/>
              </w:rPr>
              <w:noBreakHyphen/>
              <w:t>elle être fournie?</w:t>
            </w:r>
          </w:p>
          <w:p w:rsidR="00A757BF" w:rsidRPr="00293B75" w:rsidRDefault="00A757BF" w:rsidP="00A757BF">
            <w:pPr>
              <w:rPr>
                <w:rFonts w:cs="Arial"/>
                <w:lang w:val="fr-FR"/>
              </w:rPr>
            </w:pPr>
            <w:r w:rsidRPr="00293B75">
              <w:rPr>
                <w:rFonts w:cs="Arial"/>
                <w:i/>
                <w:lang w:val="fr-FR"/>
              </w:rPr>
              <w:t>Expert principal : elle sera fournie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4</w:t>
            </w:r>
          </w:p>
        </w:tc>
        <w:tc>
          <w:tcPr>
            <w:tcW w:w="8067" w:type="dxa"/>
          </w:tcPr>
          <w:p w:rsidR="00A757BF" w:rsidRPr="00293B75" w:rsidRDefault="00A757BF" w:rsidP="00A757BF">
            <w:pPr>
              <w:rPr>
                <w:rFonts w:cs="Arial"/>
                <w:lang w:val="fr-FR"/>
              </w:rPr>
            </w:pPr>
            <w:r w:rsidRPr="00293B75">
              <w:rPr>
                <w:rFonts w:cs="Arial"/>
                <w:lang w:val="fr-FR"/>
              </w:rPr>
              <w:t>doit être libellé comme suit “… doit être effectuée au tiers médian de la plante;  …”</w:t>
            </w:r>
          </w:p>
          <w:p w:rsidR="00A757BF" w:rsidRPr="00293B75" w:rsidRDefault="00A757BF" w:rsidP="00A757BF">
            <w:pPr>
              <w:rPr>
                <w:rFonts w:cs="Arial"/>
                <w:lang w:val="fr-FR"/>
              </w:rPr>
            </w:pPr>
            <w:r w:rsidRPr="00293B75">
              <w:rPr>
                <w:rFonts w:cs="Arial"/>
                <w:lang w:val="fr-FR"/>
              </w:rPr>
              <w:t>Une illustration peut</w:t>
            </w:r>
            <w:r w:rsidRPr="00293B75">
              <w:rPr>
                <w:rFonts w:cs="Arial"/>
                <w:lang w:val="fr-FR"/>
              </w:rPr>
              <w:noBreakHyphen/>
              <w:t>elle être fournie?</w:t>
            </w:r>
          </w:p>
          <w:p w:rsidR="00A757BF" w:rsidRPr="00293B75" w:rsidRDefault="00A757BF" w:rsidP="00A757BF">
            <w:pPr>
              <w:rPr>
                <w:rFonts w:cs="Arial"/>
                <w:lang w:val="fr-FR"/>
              </w:rPr>
            </w:pPr>
            <w:r w:rsidRPr="00293B75">
              <w:rPr>
                <w:rFonts w:cs="Arial"/>
                <w:lang w:val="fr-FR"/>
              </w:rPr>
              <w:t>l’explication améliorée doit également couvrir le caractère 5.</w:t>
            </w:r>
          </w:p>
          <w:p w:rsidR="00A757BF" w:rsidRPr="00293B75" w:rsidRDefault="00A757BF" w:rsidP="00A757BF">
            <w:pPr>
              <w:rPr>
                <w:rFonts w:cs="Arial"/>
                <w:lang w:val="fr-FR"/>
              </w:rPr>
            </w:pPr>
            <w:r w:rsidRPr="00293B75">
              <w:rPr>
                <w:rFonts w:cs="Arial"/>
                <w:i/>
                <w:lang w:val="fr-FR"/>
              </w:rPr>
              <w:t>Expert principal : elle sera fournie</w:t>
            </w:r>
          </w:p>
        </w:tc>
      </w:tr>
      <w:tr w:rsidR="00293B75" w:rsidRPr="00293B75" w:rsidTr="00A757BF">
        <w:trPr>
          <w:cantSplit/>
        </w:trPr>
        <w:tc>
          <w:tcPr>
            <w:tcW w:w="1573" w:type="dxa"/>
          </w:tcPr>
          <w:p w:rsidR="00A757BF" w:rsidRPr="00293B75" w:rsidRDefault="00A757BF" w:rsidP="00A757BF">
            <w:pPr>
              <w:rPr>
                <w:rFonts w:cs="Arial"/>
                <w:szCs w:val="22"/>
                <w:lang w:val="fr-FR"/>
              </w:rPr>
            </w:pPr>
            <w:r w:rsidRPr="00293B75">
              <w:rPr>
                <w:rFonts w:cs="Arial"/>
                <w:szCs w:val="22"/>
                <w:lang w:val="fr-FR"/>
              </w:rPr>
              <w:t>Ad. 14</w:t>
            </w:r>
            <w:r w:rsidRPr="00293B75">
              <w:rPr>
                <w:rFonts w:cs="Arial"/>
                <w:szCs w:val="22"/>
                <w:lang w:val="fr-FR"/>
              </w:rPr>
              <w:noBreakHyphen/>
              <w:t>16</w:t>
            </w:r>
          </w:p>
        </w:tc>
        <w:tc>
          <w:tcPr>
            <w:tcW w:w="8067" w:type="dxa"/>
          </w:tcPr>
          <w:p w:rsidR="00A757BF" w:rsidRPr="00293B75" w:rsidRDefault="00A757BF" w:rsidP="00A757BF">
            <w:pPr>
              <w:rPr>
                <w:rFonts w:cs="Arial"/>
                <w:szCs w:val="22"/>
                <w:lang w:val="fr-FR"/>
              </w:rPr>
            </w:pPr>
            <w:r w:rsidRPr="00293B75">
              <w:rPr>
                <w:rFonts w:cs="Arial"/>
                <w:szCs w:val="22"/>
                <w:lang w:val="fr-FR"/>
              </w:rPr>
              <w:t>la photographie doit être améliorée, dans la mesure du possible</w:t>
            </w:r>
          </w:p>
          <w:p w:rsidR="00A757BF" w:rsidRPr="00293B75" w:rsidRDefault="00A757BF" w:rsidP="00A757BF">
            <w:pPr>
              <w:rPr>
                <w:rFonts w:cs="Arial"/>
                <w:szCs w:val="22"/>
                <w:lang w:val="fr-FR"/>
              </w:rPr>
            </w:pPr>
            <w:r w:rsidRPr="00293B75">
              <w:rPr>
                <w:rFonts w:cs="Arial"/>
                <w:i/>
                <w:lang w:val="fr-FR"/>
              </w:rPr>
              <w:t>Expert principal : une photographie améliorée sera fournie</w:t>
            </w:r>
          </w:p>
        </w:tc>
      </w:tr>
      <w:tr w:rsidR="00293B75" w:rsidRPr="00293B75" w:rsidTr="00A757BF">
        <w:trPr>
          <w:cantSplit/>
        </w:trPr>
        <w:tc>
          <w:tcPr>
            <w:tcW w:w="1573" w:type="dxa"/>
          </w:tcPr>
          <w:p w:rsidR="00A757BF" w:rsidRPr="00293B75" w:rsidRDefault="00A757BF" w:rsidP="00A757BF">
            <w:pPr>
              <w:rPr>
                <w:rFonts w:cs="Arial"/>
                <w:szCs w:val="22"/>
                <w:lang w:val="fr-FR"/>
              </w:rPr>
            </w:pPr>
            <w:r w:rsidRPr="00293B75">
              <w:rPr>
                <w:rFonts w:cs="Arial"/>
                <w:szCs w:val="22"/>
                <w:lang w:val="fr-FR"/>
              </w:rPr>
              <w:t>Ad. 20</w:t>
            </w:r>
          </w:p>
        </w:tc>
        <w:tc>
          <w:tcPr>
            <w:tcW w:w="8067" w:type="dxa"/>
          </w:tcPr>
          <w:p w:rsidR="00A757BF" w:rsidRPr="00293B75" w:rsidRDefault="00A757BF" w:rsidP="00A757BF">
            <w:pPr>
              <w:rPr>
                <w:rFonts w:cs="Arial"/>
                <w:szCs w:val="22"/>
                <w:lang w:val="fr-FR"/>
              </w:rPr>
            </w:pPr>
            <w:r w:rsidRPr="00293B75">
              <w:rPr>
                <w:rFonts w:cs="Arial"/>
                <w:szCs w:val="22"/>
                <w:lang w:val="fr-FR"/>
              </w:rPr>
              <w:t>à supprimer</w:t>
            </w:r>
          </w:p>
          <w:p w:rsidR="00A757BF" w:rsidRPr="00293B75" w:rsidRDefault="00A757BF" w:rsidP="00A757BF">
            <w:pPr>
              <w:rPr>
                <w:rFonts w:cs="Arial"/>
                <w:szCs w:val="22"/>
                <w:lang w:val="fr-FR"/>
              </w:rPr>
            </w:pPr>
            <w:r w:rsidRPr="00293B75">
              <w:rPr>
                <w:rFonts w:cs="Arial"/>
                <w:i/>
                <w:lang w:val="fr-FR"/>
              </w:rPr>
              <w:t>Expert principal : conserver Ad. 20 qui doit être libellé comme suit “La pigmentation anthocyanique sur la glume doit être observée au début de l’époque de floraison, lorsque 50% des plantes présentent au moins une inflorescence entièrement dégagée et avant la floraison.”</w:t>
            </w:r>
          </w:p>
        </w:tc>
      </w:tr>
      <w:tr w:rsidR="00293B75" w:rsidRPr="00293B75" w:rsidTr="00A757BF">
        <w:trPr>
          <w:cantSplit/>
        </w:trPr>
        <w:tc>
          <w:tcPr>
            <w:tcW w:w="1573" w:type="dxa"/>
          </w:tcPr>
          <w:p w:rsidR="00A757BF" w:rsidRPr="00293B75" w:rsidRDefault="00A757BF" w:rsidP="00A757BF">
            <w:pPr>
              <w:rPr>
                <w:rFonts w:cs="Arial"/>
                <w:szCs w:val="22"/>
                <w:lang w:val="fr-FR"/>
              </w:rPr>
            </w:pPr>
            <w:r w:rsidRPr="00293B75">
              <w:rPr>
                <w:rFonts w:cs="Arial"/>
                <w:lang w:val="fr-FR"/>
              </w:rPr>
              <w:t>9.</w:t>
            </w:r>
          </w:p>
        </w:tc>
        <w:tc>
          <w:tcPr>
            <w:tcW w:w="8067" w:type="dxa"/>
          </w:tcPr>
          <w:p w:rsidR="00A757BF" w:rsidRPr="00293B75" w:rsidRDefault="00A757BF" w:rsidP="00A757BF">
            <w:pPr>
              <w:rPr>
                <w:rFonts w:cs="Arial"/>
                <w:szCs w:val="22"/>
                <w:lang w:val="fr-FR"/>
              </w:rPr>
            </w:pPr>
            <w:r w:rsidRPr="00293B75">
              <w:rPr>
                <w:rFonts w:cs="Arial"/>
                <w:lang w:val="fr-FR"/>
              </w:rPr>
              <w:t>supprimer la dernière référence de la bibliographie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Questionnaire technique 4.2.1</w:t>
            </w:r>
          </w:p>
        </w:tc>
        <w:tc>
          <w:tcPr>
            <w:tcW w:w="8067" w:type="dxa"/>
          </w:tcPr>
          <w:p w:rsidR="00A757BF" w:rsidRPr="00293B75" w:rsidRDefault="00A757BF" w:rsidP="00A757BF">
            <w:pPr>
              <w:rPr>
                <w:rFonts w:cs="Arial"/>
                <w:lang w:val="fr-FR"/>
              </w:rPr>
            </w:pPr>
            <w:r w:rsidRPr="00293B75">
              <w:rPr>
                <w:rFonts w:cs="Arial"/>
                <w:lang w:val="fr-FR"/>
              </w:rPr>
              <w:t>corriger l’alignement de l’encadré (b)</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Questionnaire technique 4.2.3</w:t>
            </w:r>
          </w:p>
        </w:tc>
        <w:tc>
          <w:tcPr>
            <w:tcW w:w="8067" w:type="dxa"/>
          </w:tcPr>
          <w:p w:rsidR="00A757BF" w:rsidRPr="00293B75" w:rsidRDefault="00A757BF" w:rsidP="00A757BF">
            <w:pPr>
              <w:rPr>
                <w:rFonts w:cs="Arial"/>
                <w:lang w:val="fr-FR"/>
              </w:rPr>
            </w:pPr>
            <w:r w:rsidRPr="00293B75">
              <w:rPr>
                <w:rFonts w:cs="Arial"/>
                <w:lang w:val="fr-FR"/>
              </w:rPr>
              <w:t>demander à ce que les informations sur “Ploïdie” soient replacées à TQ 7</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Questionnaire technique 4</w:t>
            </w:r>
          </w:p>
        </w:tc>
        <w:tc>
          <w:tcPr>
            <w:tcW w:w="8067" w:type="dxa"/>
          </w:tcPr>
          <w:p w:rsidR="00A757BF" w:rsidRPr="00293B75" w:rsidRDefault="00A757BF" w:rsidP="00A757BF">
            <w:pPr>
              <w:rPr>
                <w:rFonts w:cs="Arial"/>
                <w:lang w:val="fr-FR"/>
              </w:rPr>
            </w:pPr>
            <w:r w:rsidRPr="00293B75">
              <w:rPr>
                <w:rFonts w:cs="Arial"/>
                <w:lang w:val="fr-FR"/>
              </w:rPr>
              <w:t>supprimer le texte sur les variétés hybrides (en dessous de 4.2.3)</w:t>
            </w:r>
          </w:p>
        </w:tc>
      </w:tr>
    </w:tbl>
    <w:p w:rsidR="00A757BF" w:rsidRPr="00293B75" w:rsidRDefault="00A757BF" w:rsidP="00A757BF">
      <w:pPr>
        <w:jc w:val="left"/>
        <w:rPr>
          <w:rFonts w:cs="Arial"/>
          <w:u w:val="single"/>
          <w:lang w:val="fr-FR"/>
        </w:rPr>
      </w:pPr>
    </w:p>
    <w:p w:rsidR="00A757BF" w:rsidRPr="00293B75" w:rsidRDefault="00A757BF" w:rsidP="00A757BF">
      <w:pPr>
        <w:jc w:val="left"/>
        <w:rPr>
          <w:rFonts w:cs="Arial"/>
          <w:u w:val="single"/>
          <w:lang w:val="fr-FR"/>
        </w:rPr>
      </w:pPr>
    </w:p>
    <w:p w:rsidR="00A757BF" w:rsidRPr="00293B75" w:rsidRDefault="00A757BF" w:rsidP="00A757BF">
      <w:pPr>
        <w:keepNext/>
        <w:jc w:val="left"/>
        <w:rPr>
          <w:rFonts w:cs="Arial"/>
          <w:lang w:val="fr-FR"/>
        </w:rPr>
      </w:pPr>
      <w:r w:rsidRPr="00293B75">
        <w:rPr>
          <w:rFonts w:cs="Arial"/>
          <w:lang w:val="fr-FR"/>
        </w:rPr>
        <w:t>3.</w:t>
      </w:r>
      <w:r w:rsidRPr="00293B75">
        <w:rPr>
          <w:rFonts w:cs="Arial"/>
          <w:lang w:val="fr-FR"/>
        </w:rPr>
        <w:tab/>
        <w:t>RÉVISIONS</w:t>
      </w:r>
    </w:p>
    <w:p w:rsidR="00A757BF" w:rsidRPr="00293B75" w:rsidRDefault="00A757BF" w:rsidP="00A757BF">
      <w:pPr>
        <w:keepNext/>
        <w:jc w:val="left"/>
        <w:rPr>
          <w:rFonts w:cs="Arial"/>
          <w:u w:val="single"/>
          <w:lang w:val="fr-FR"/>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293B75" w:rsidRPr="00293B75" w:rsidTr="00A757BF">
        <w:trPr>
          <w:cantSplit/>
          <w:trHeight w:val="277"/>
        </w:trPr>
        <w:tc>
          <w:tcPr>
            <w:tcW w:w="345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Carnation (</w:t>
            </w:r>
            <w:r w:rsidRPr="00293B75">
              <w:rPr>
                <w:rFonts w:cs="Arial"/>
                <w:i/>
                <w:caps w:val="0"/>
                <w:lang w:val="fr-FR"/>
              </w:rPr>
              <w:t>Dianthus</w:t>
            </w:r>
            <w:r w:rsidRPr="00293B75">
              <w:rPr>
                <w:rFonts w:cs="Arial"/>
                <w:caps w:val="0"/>
                <w:lang w:val="fr-FR"/>
              </w:rPr>
              <w:t xml:space="preserve"> L.)</w:t>
            </w:r>
          </w:p>
        </w:tc>
        <w:tc>
          <w:tcPr>
            <w:tcW w:w="198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TG/25/9(proj.9) :</w:t>
            </w:r>
          </w:p>
        </w:tc>
      </w:tr>
      <w:tr w:rsidR="00293B75" w:rsidRPr="00293B75" w:rsidTr="00A757BF">
        <w:trPr>
          <w:cantSplit/>
          <w:trHeight w:val="230"/>
        </w:trPr>
        <w:tc>
          <w:tcPr>
            <w:tcW w:w="3458" w:type="dxa"/>
            <w:vMerge/>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p>
        </w:tc>
        <w:tc>
          <w:tcPr>
            <w:tcW w:w="1988" w:type="dxa"/>
            <w:vMerge/>
            <w:shd w:val="clear" w:color="auto" w:fill="D9D9D9"/>
          </w:tcPr>
          <w:p w:rsidR="00A757BF" w:rsidRPr="00293B75" w:rsidRDefault="00A757BF" w:rsidP="00A757BF">
            <w:pPr>
              <w:pStyle w:val="BodyText"/>
              <w:keepNext/>
              <w:jc w:val="left"/>
              <w:rPr>
                <w:rFonts w:cs="Arial"/>
                <w:lang w:val="fr-FR"/>
              </w:rPr>
            </w:pPr>
          </w:p>
        </w:tc>
      </w:tr>
    </w:tbl>
    <w:p w:rsidR="00A757BF" w:rsidRPr="00293B75" w:rsidRDefault="00A757BF" w:rsidP="00A757BF">
      <w:pPr>
        <w:keepNext/>
        <w:jc w:val="left"/>
        <w:rPr>
          <w:rFonts w:cs="Arial"/>
          <w:lang w:val="fr-FR"/>
        </w:rPr>
      </w:pPr>
    </w:p>
    <w:p w:rsidR="00A757BF" w:rsidRPr="00293B75" w:rsidRDefault="00A757BF" w:rsidP="00A757BF">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  Sauf indication contraire, toutes ces observations figurent déjà dans le projet des principes directeurs d’examen (document TG/25/9(proj.9)) soumis au TC :</w:t>
      </w:r>
    </w:p>
    <w:p w:rsidR="00A757BF" w:rsidRPr="00293B75" w:rsidRDefault="00A757BF" w:rsidP="00A757BF">
      <w:pPr>
        <w:keepNext/>
        <w:jc w:val="left"/>
        <w:rPr>
          <w:rFonts w:cs="Arial"/>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3.3.3</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ajouter la dernière phrase du texte standard supplémentaire (qui manque à l’heure actuelle)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5.3.d), e)</w:t>
            </w:r>
          </w:p>
        </w:tc>
        <w:tc>
          <w:tcPr>
            <w:tcW w:w="8074" w:type="dxa"/>
          </w:tcPr>
          <w:p w:rsidR="00A757BF" w:rsidRPr="00293B75" w:rsidRDefault="00A757BF" w:rsidP="00A757BF">
            <w:pPr>
              <w:rPr>
                <w:rFonts w:cs="Arial"/>
                <w:lang w:val="fr-FR"/>
              </w:rPr>
            </w:pPr>
            <w:r w:rsidRPr="00293B75">
              <w:rPr>
                <w:rFonts w:cs="Arial"/>
                <w:lang w:val="fr-FR"/>
              </w:rPr>
              <w:t>vérifier l’ordre des couleurs selon la section 2.3.2 du document TGP/14</w:t>
            </w:r>
          </w:p>
          <w:p w:rsidR="00A757BF" w:rsidRPr="00293B75" w:rsidRDefault="00A757BF" w:rsidP="00A757BF">
            <w:pPr>
              <w:rPr>
                <w:rFonts w:cs="Arial"/>
                <w:i/>
                <w:lang w:val="fr-FR"/>
              </w:rPr>
            </w:pPr>
            <w:r w:rsidRPr="00293B75">
              <w:rPr>
                <w:rFonts w:cs="Arial"/>
                <w:i/>
                <w:lang w:val="fr-FR"/>
              </w:rPr>
              <w:t>Expert principal : a fourni le nouvel ordre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5.5</w:t>
            </w:r>
          </w:p>
        </w:tc>
        <w:tc>
          <w:tcPr>
            <w:tcW w:w="8074" w:type="dxa"/>
          </w:tcPr>
          <w:p w:rsidR="00A757BF" w:rsidRPr="00293B75" w:rsidRDefault="00A757BF" w:rsidP="00A757BF">
            <w:pPr>
              <w:rPr>
                <w:rFonts w:cs="Arial"/>
                <w:lang w:val="fr-FR"/>
              </w:rPr>
            </w:pPr>
            <w:r w:rsidRPr="00293B75">
              <w:rPr>
                <w:rFonts w:cs="Arial"/>
                <w:lang w:val="fr-FR"/>
              </w:rPr>
              <w:t>doit être libellé comme suit</w:t>
            </w:r>
          </w:p>
          <w:p w:rsidR="00A757BF" w:rsidRPr="00293B75" w:rsidRDefault="00A757BF" w:rsidP="00A757BF">
            <w:pPr>
              <w:rPr>
                <w:rFonts w:cs="Arial"/>
                <w:lang w:val="fr-FR"/>
              </w:rPr>
            </w:pPr>
            <w:r w:rsidRPr="00293B75">
              <w:rPr>
                <w:rFonts w:cs="Arial"/>
                <w:lang w:val="fr-FR"/>
              </w:rPr>
              <w:t xml:space="preserve">“Lorsqu’il est procédé à des examens distincts pour les types fleur à couper (C), plante de jardin (G) et plantes en pot (P) (voir section 3.3.2), </w:t>
            </w:r>
            <w:r w:rsidRPr="00293B75">
              <w:rPr>
                <w:rStyle w:val="hps"/>
                <w:rFonts w:cs="Arial"/>
                <w:lang w:val="fr-FR"/>
              </w:rPr>
              <w:t>il peut être nécessaire</w:t>
            </w:r>
            <w:r w:rsidRPr="00293B75">
              <w:rPr>
                <w:rStyle w:val="shorttext"/>
                <w:rFonts w:cs="Arial"/>
                <w:lang w:val="fr-FR"/>
              </w:rPr>
              <w:t xml:space="preserve"> </w:t>
            </w:r>
            <w:r w:rsidRPr="00293B75">
              <w:rPr>
                <w:rStyle w:val="hps"/>
                <w:rFonts w:cs="Arial"/>
                <w:lang w:val="fr-FR"/>
              </w:rPr>
              <w:t>d’inclure des variétés individuelles dans un ou</w:t>
            </w:r>
            <w:r w:rsidRPr="00293B75">
              <w:rPr>
                <w:rFonts w:cs="Arial"/>
                <w:lang w:val="fr-FR"/>
              </w:rPr>
              <w:t xml:space="preserve"> des essais(s) en culture pour que l’examen de la distinction soit efficace.  En particulier, il peut être nécessaire de faire figurer une variété à la fois dans l’examen du type plante en pot et dans l’examen du type plante de jardin.</w:t>
            </w:r>
          </w:p>
          <w:p w:rsidR="00A757BF" w:rsidRPr="00293B75" w:rsidRDefault="00A757BF" w:rsidP="00A757BF">
            <w:pPr>
              <w:rPr>
                <w:rFonts w:cs="Arial"/>
                <w:lang w:val="fr-FR"/>
              </w:rPr>
            </w:pPr>
          </w:p>
          <w:p w:rsidR="00A757BF" w:rsidRPr="00293B75" w:rsidRDefault="00A757BF" w:rsidP="00A757BF">
            <w:pPr>
              <w:pStyle w:val="Normaltg"/>
              <w:rPr>
                <w:lang w:val="fr-FR"/>
              </w:rPr>
            </w:pPr>
            <w:r w:rsidRPr="00293B75">
              <w:rPr>
                <w:lang w:val="fr-FR"/>
              </w:rPr>
              <w:t>En outre, trois sous</w:t>
            </w:r>
            <w:r w:rsidRPr="00293B75">
              <w:rPr>
                <w:lang w:val="fr-FR"/>
              </w:rPr>
              <w:noBreakHyphen/>
              <w:t xml:space="preserve">catégories peuvent être distinguées dans les types fleur à couper (C) </w:t>
            </w:r>
            <w:r w:rsidRPr="00293B75">
              <w:rPr>
                <w:rStyle w:val="hps"/>
                <w:rFonts w:cs="Arial"/>
                <w:lang w:val="fr-FR"/>
              </w:rPr>
              <w:t>qui pourraient être utiles pour le groupement</w:t>
            </w:r>
            <w:r w:rsidRPr="00293B75">
              <w:rPr>
                <w:lang w:val="fr-FR"/>
              </w:rPr>
              <w:t> :</w:t>
            </w:r>
          </w:p>
          <w:p w:rsidR="00A757BF" w:rsidRPr="00293B75" w:rsidRDefault="00A757BF" w:rsidP="00A757BF">
            <w:pPr>
              <w:pStyle w:val="Normaltg"/>
              <w:ind w:left="709"/>
              <w:rPr>
                <w:lang w:val="fr-FR"/>
              </w:rPr>
            </w:pPr>
            <w:r w:rsidRPr="00293B75">
              <w:rPr>
                <w:lang w:val="fr-FR"/>
              </w:rPr>
              <w:noBreakHyphen/>
              <w:t xml:space="preserve"> </w:t>
            </w:r>
            <w:r w:rsidRPr="00293B75">
              <w:rPr>
                <w:lang w:val="fr-FR"/>
              </w:rPr>
              <w:tab/>
              <w:t>une fleur par tige (Co)</w:t>
            </w:r>
          </w:p>
          <w:p w:rsidR="00A757BF" w:rsidRPr="00293B75" w:rsidRDefault="00A757BF" w:rsidP="00A757BF">
            <w:pPr>
              <w:pStyle w:val="Normaltg"/>
              <w:ind w:left="709"/>
              <w:rPr>
                <w:lang w:val="fr-CH"/>
              </w:rPr>
            </w:pPr>
            <w:r w:rsidRPr="00293B75">
              <w:rPr>
                <w:lang w:val="fr-CH"/>
              </w:rPr>
              <w:noBreakHyphen/>
            </w:r>
            <w:r w:rsidRPr="00293B75">
              <w:rPr>
                <w:lang w:val="fr-CH"/>
              </w:rPr>
              <w:tab/>
              <w:t>multiflore (Cs)</w:t>
            </w:r>
          </w:p>
          <w:p w:rsidR="00A757BF" w:rsidRPr="00293B75" w:rsidRDefault="00A757BF" w:rsidP="00A757BF">
            <w:pPr>
              <w:tabs>
                <w:tab w:val="num" w:pos="1800"/>
              </w:tabs>
              <w:ind w:left="360" w:hanging="360"/>
              <w:rPr>
                <w:rFonts w:cs="Arial"/>
                <w:lang w:val="fr-FR"/>
              </w:rPr>
            </w:pPr>
            <w:r w:rsidRPr="00293B75">
              <w:rPr>
                <w:lang w:val="fr-CH"/>
              </w:rPr>
              <w:noBreakHyphen/>
            </w:r>
            <w:r w:rsidRPr="00293B75">
              <w:rPr>
                <w:lang w:val="fr-CH"/>
              </w:rPr>
              <w:tab/>
              <w:t xml:space="preserve">ombrelle – </w:t>
            </w:r>
            <w:r w:rsidRPr="00293B75">
              <w:rPr>
                <w:rFonts w:cs="Arial"/>
                <w:i/>
                <w:lang w:val="fr-CH"/>
              </w:rPr>
              <w:t>D</w:t>
            </w:r>
            <w:r w:rsidRPr="00293B75">
              <w:rPr>
                <w:lang w:val="fr-CH"/>
              </w:rPr>
              <w:t>. </w:t>
            </w:r>
            <w:r w:rsidRPr="00293B75">
              <w:rPr>
                <w:rFonts w:cs="Arial"/>
                <w:i/>
                <w:lang w:val="fr-CH"/>
              </w:rPr>
              <w:t>barbatus</w:t>
            </w:r>
            <w:r w:rsidRPr="00293B75">
              <w:rPr>
                <w:rFonts w:cs="Arial"/>
                <w:lang w:val="fr-CH"/>
              </w:rPr>
              <w:t xml:space="preserve"> </w:t>
            </w:r>
            <w:r w:rsidRPr="00293B75">
              <w:rPr>
                <w:lang w:val="fr-CH"/>
              </w:rPr>
              <w:t>(Cu)</w:t>
            </w:r>
            <w:r w:rsidRPr="00293B75">
              <w:rPr>
                <w:rFonts w:cs="Arial"/>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6.4, 6.5</w:t>
            </w:r>
          </w:p>
        </w:tc>
        <w:tc>
          <w:tcPr>
            <w:tcW w:w="8074" w:type="dxa"/>
          </w:tcPr>
          <w:p w:rsidR="00A757BF" w:rsidRPr="00293B75" w:rsidRDefault="00A757BF" w:rsidP="00A757BF">
            <w:pPr>
              <w:rPr>
                <w:rFonts w:cs="Arial"/>
                <w:lang w:val="fr-FR"/>
              </w:rPr>
            </w:pPr>
            <w:r w:rsidRPr="00293B75">
              <w:rPr>
                <w:rFonts w:cs="Arial"/>
                <w:lang w:val="fr-FR"/>
              </w:rPr>
              <w:t>doit être libellé comme suit :</w:t>
            </w:r>
          </w:p>
          <w:p w:rsidR="00A757BF" w:rsidRPr="00293B75" w:rsidRDefault="00A757BF" w:rsidP="00A757BF">
            <w:pPr>
              <w:pStyle w:val="Normaltg"/>
              <w:ind w:left="709" w:firstLine="709"/>
              <w:rPr>
                <w:lang w:val="fr-FR"/>
              </w:rPr>
            </w:pPr>
          </w:p>
          <w:p w:rsidR="00A757BF" w:rsidRPr="00293B75" w:rsidRDefault="00A757BF" w:rsidP="00A757BF">
            <w:pPr>
              <w:pStyle w:val="Normaltg"/>
              <w:rPr>
                <w:lang w:val="fr-FR"/>
              </w:rPr>
            </w:pPr>
            <w:r w:rsidRPr="00293B75">
              <w:rPr>
                <w:lang w:val="fr-FR"/>
              </w:rPr>
              <w:t>“(C) type fleurs à couper :</w:t>
            </w:r>
          </w:p>
          <w:p w:rsidR="00A757BF" w:rsidRPr="00293B75" w:rsidRDefault="00A757BF" w:rsidP="00A757BF">
            <w:pPr>
              <w:pStyle w:val="Normaltg"/>
              <w:ind w:left="709" w:firstLine="709"/>
              <w:rPr>
                <w:lang w:val="fr-FR"/>
              </w:rPr>
            </w:pPr>
            <w:r w:rsidRPr="00293B75">
              <w:rPr>
                <w:lang w:val="fr-FR"/>
              </w:rPr>
              <w:tab/>
            </w:r>
            <w:r w:rsidRPr="00293B75">
              <w:rPr>
                <w:lang w:val="fr-FR"/>
              </w:rPr>
              <w:noBreakHyphen/>
              <w:t xml:space="preserve"> (Co) : une fleur par tige</w:t>
            </w:r>
          </w:p>
          <w:p w:rsidR="00A757BF" w:rsidRPr="00293B75" w:rsidRDefault="00A757BF" w:rsidP="00A757BF">
            <w:pPr>
              <w:pStyle w:val="Normaltg"/>
              <w:ind w:left="709" w:firstLine="709"/>
              <w:rPr>
                <w:lang w:val="fr-FR"/>
              </w:rPr>
            </w:pPr>
            <w:r w:rsidRPr="00293B75">
              <w:rPr>
                <w:lang w:val="fr-FR"/>
              </w:rPr>
              <w:t xml:space="preserve"> – (Cs) : multiflore</w:t>
            </w:r>
          </w:p>
          <w:p w:rsidR="00A757BF" w:rsidRPr="00293B75" w:rsidRDefault="00A757BF" w:rsidP="00A757BF">
            <w:pPr>
              <w:pStyle w:val="Normaltg"/>
              <w:tabs>
                <w:tab w:val="left" w:pos="419"/>
              </w:tabs>
              <w:rPr>
                <w:lang w:val="fr-FR"/>
              </w:rPr>
            </w:pPr>
            <w:r w:rsidRPr="00293B75">
              <w:rPr>
                <w:lang w:val="fr-FR"/>
              </w:rPr>
              <w:tab/>
            </w:r>
            <w:r w:rsidRPr="00293B75">
              <w:rPr>
                <w:lang w:val="fr-FR"/>
              </w:rPr>
              <w:noBreakHyphen/>
              <w:t xml:space="preserve"> (Cu) : ombrelle (</w:t>
            </w:r>
            <w:r w:rsidRPr="00293B75">
              <w:rPr>
                <w:rFonts w:cs="Arial"/>
                <w:i/>
                <w:lang w:val="fr-CH"/>
              </w:rPr>
              <w:t>D</w:t>
            </w:r>
            <w:r w:rsidRPr="00293B75">
              <w:rPr>
                <w:lang w:val="fr-FR"/>
              </w:rPr>
              <w:t>. </w:t>
            </w:r>
            <w:r w:rsidRPr="00293B75">
              <w:rPr>
                <w:rFonts w:cs="Arial"/>
                <w:i/>
                <w:lang w:val="fr-CH"/>
              </w:rPr>
              <w:t>barbatus</w:t>
            </w:r>
            <w:r w:rsidRPr="00293B75">
              <w:rPr>
                <w:lang w:val="fr-FR"/>
              </w:rPr>
              <w:t>)</w:t>
            </w:r>
          </w:p>
          <w:p w:rsidR="00A757BF" w:rsidRPr="00293B75" w:rsidRDefault="00A757BF" w:rsidP="00A757BF">
            <w:pPr>
              <w:autoSpaceDE w:val="0"/>
              <w:autoSpaceDN w:val="0"/>
              <w:adjustRightInd w:val="0"/>
              <w:jc w:val="left"/>
              <w:rPr>
                <w:rFonts w:cs="Angsana New"/>
                <w:szCs w:val="24"/>
                <w:lang w:val="fr-FR" w:eastAsia="ja-JP" w:bidi="th-TH"/>
              </w:rPr>
            </w:pPr>
            <w:r w:rsidRPr="00293B75">
              <w:rPr>
                <w:rFonts w:cs="Angsana New"/>
                <w:szCs w:val="24"/>
                <w:lang w:val="fr-FR" w:eastAsia="ja-JP" w:bidi="th-TH"/>
              </w:rPr>
              <w:t>(G) type plante de jardin</w:t>
            </w:r>
          </w:p>
          <w:p w:rsidR="00A757BF" w:rsidRPr="00293B75" w:rsidRDefault="00A757BF" w:rsidP="00A757BF">
            <w:pPr>
              <w:pStyle w:val="Normaltg"/>
              <w:rPr>
                <w:lang w:val="fr-FR"/>
              </w:rPr>
            </w:pPr>
            <w:r w:rsidRPr="00293B75">
              <w:rPr>
                <w:lang w:val="fr-FR"/>
              </w:rPr>
              <w:t>(P) type plante en pot</w:t>
            </w:r>
          </w:p>
          <w:p w:rsidR="00A757BF" w:rsidRPr="00293B75" w:rsidRDefault="00A757BF" w:rsidP="00A757BF">
            <w:pPr>
              <w:rPr>
                <w:rFonts w:cs="Arial"/>
                <w:lang w:val="fr-FR"/>
              </w:rPr>
            </w:pPr>
          </w:p>
          <w:p w:rsidR="00A757BF" w:rsidRPr="00293B75" w:rsidRDefault="00A757BF" w:rsidP="00A757BF">
            <w:pPr>
              <w:rPr>
                <w:rFonts w:cs="Arial"/>
                <w:lang w:val="fr-FR"/>
              </w:rPr>
            </w:pPr>
            <w:r w:rsidRPr="00293B75">
              <w:rPr>
                <w:rFonts w:cs="Arial"/>
                <w:lang w:val="fr-FR"/>
              </w:rPr>
              <w:t>“Sweet William” devrait être remplacé dans tout le document par “</w:t>
            </w:r>
            <w:r w:rsidRPr="00293B75">
              <w:rPr>
                <w:rFonts w:cs="Arial"/>
                <w:i/>
                <w:lang w:val="fr-FR"/>
              </w:rPr>
              <w:t xml:space="preserve">D. barbatus” </w:t>
            </w:r>
            <w:r w:rsidRPr="00293B75">
              <w:rPr>
                <w:rFonts w:cs="Arial"/>
                <w:lang w:val="fr-FR"/>
              </w:rPr>
              <w:t>(excepté sur la page de couverture, pour le nom commun)</w:t>
            </w:r>
          </w:p>
        </w:tc>
      </w:tr>
      <w:tr w:rsidR="00293B75" w:rsidRPr="00293B75" w:rsidTr="00A757BF">
        <w:trPr>
          <w:cantSplit/>
        </w:trPr>
        <w:tc>
          <w:tcPr>
            <w:tcW w:w="1573" w:type="dxa"/>
          </w:tcPr>
          <w:p w:rsidR="00A757BF" w:rsidRPr="00293B75" w:rsidRDefault="00A757BF" w:rsidP="00A757BF">
            <w:pPr>
              <w:jc w:val="left"/>
              <w:rPr>
                <w:rFonts w:cs="Arial"/>
                <w:lang w:val="fr-FR"/>
              </w:rPr>
            </w:pPr>
            <w:r w:rsidRPr="00293B75">
              <w:rPr>
                <w:rFonts w:cs="Arial"/>
                <w:lang w:val="fr-FR"/>
              </w:rPr>
              <w:t>Tableau des caractères</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replacer le caractère 6 (Tige) après le caractère 8 (Plante)</w:t>
            </w:r>
          </w:p>
          <w:p w:rsidR="00A757BF" w:rsidRPr="00293B75" w:rsidRDefault="00A757BF" w:rsidP="00A757BF">
            <w:pPr>
              <w:autoSpaceDE w:val="0"/>
              <w:autoSpaceDN w:val="0"/>
              <w:adjustRightInd w:val="0"/>
              <w:rPr>
                <w:rFonts w:cs="Arial"/>
                <w:lang w:val="fr-FR"/>
              </w:rPr>
            </w:pPr>
            <w:r w:rsidRPr="00293B75">
              <w:rPr>
                <w:rFonts w:cs="Arial"/>
                <w:lang w:val="fr-FR"/>
              </w:rPr>
              <w:t>replacer le caractère 9 (Inflorescence) avant le caractère 22 (Bourgeon)</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3</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ajouter (+) et une explication</w:t>
            </w:r>
          </w:p>
          <w:p w:rsidR="00A757BF" w:rsidRPr="00293B75" w:rsidRDefault="00A757BF" w:rsidP="00A757BF">
            <w:pPr>
              <w:autoSpaceDE w:val="0"/>
              <w:autoSpaceDN w:val="0"/>
              <w:adjustRightInd w:val="0"/>
              <w:rPr>
                <w:rFonts w:cs="Arial"/>
                <w:lang w:val="fr-FR"/>
              </w:rPr>
            </w:pPr>
            <w:r w:rsidRPr="00293B75">
              <w:rPr>
                <w:rFonts w:cs="Arial"/>
                <w:i/>
                <w:lang w:val="fr-FR"/>
              </w:rPr>
              <w:t>Expert principal : a fourni une illustration et une explication</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4</w:t>
            </w:r>
          </w:p>
        </w:tc>
        <w:tc>
          <w:tcPr>
            <w:tcW w:w="8074" w:type="dxa"/>
          </w:tcPr>
          <w:p w:rsidR="00A757BF" w:rsidRPr="00293B75" w:rsidRDefault="00A757BF" w:rsidP="00A757BF">
            <w:pPr>
              <w:autoSpaceDE w:val="0"/>
              <w:autoSpaceDN w:val="0"/>
              <w:adjustRightInd w:val="0"/>
              <w:rPr>
                <w:rFonts w:cs="Arial"/>
                <w:u w:val="single"/>
                <w:lang w:val="fr-FR"/>
              </w:rPr>
            </w:pPr>
            <w:r w:rsidRPr="00293B75">
              <w:rPr>
                <w:rFonts w:cs="Arial"/>
                <w:lang w:val="fr-FR"/>
              </w:rPr>
              <w:t>doit être libellé comme suit “Plante : position des fleurs par rapport au feuillage”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8</w:t>
            </w:r>
          </w:p>
        </w:tc>
        <w:tc>
          <w:tcPr>
            <w:tcW w:w="8074" w:type="dxa"/>
          </w:tcPr>
          <w:p w:rsidR="00A757BF" w:rsidRPr="00293B75" w:rsidRDefault="00A757BF" w:rsidP="00A757BF">
            <w:pPr>
              <w:rPr>
                <w:rFonts w:cs="Arial"/>
                <w:lang w:val="fr-FR"/>
              </w:rPr>
            </w:pPr>
            <w:r w:rsidRPr="00293B75">
              <w:rPr>
                <w:rFonts w:cs="Arial"/>
                <w:lang w:val="fr-FR"/>
              </w:rPr>
              <w:t>doit être libellé comme suit “Plante : bouquets de fleurs sur les rameaux latéraux”</w:t>
            </w:r>
          </w:p>
          <w:p w:rsidR="00A757BF" w:rsidRPr="00293B75" w:rsidRDefault="00A757BF" w:rsidP="00A757BF">
            <w:pPr>
              <w:rPr>
                <w:rFonts w:cs="Arial"/>
                <w:lang w:val="fr-FR"/>
              </w:rPr>
            </w:pPr>
            <w:r w:rsidRPr="00293B75">
              <w:rPr>
                <w:rFonts w:cs="Arial"/>
                <w:lang w:val="fr-FR"/>
              </w:rPr>
              <w:t>le niveau 2 doit être libellé comme suit “sur certains rameaux latéraux”, niveau 3 doit être libellé comme suit “sur tous les rameaux latéraux”</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9</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le niveau 1 doit être libellé comme suit “plat ou légèrement bombé”</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9, 35</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à indiquer comme QN</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12</w:t>
            </w:r>
          </w:p>
        </w:tc>
        <w:tc>
          <w:tcPr>
            <w:tcW w:w="8074" w:type="dxa"/>
          </w:tcPr>
          <w:p w:rsidR="00A757BF" w:rsidRPr="00293B75" w:rsidRDefault="00A757BF" w:rsidP="00A757BF">
            <w:pPr>
              <w:rPr>
                <w:rFonts w:cs="Arial"/>
                <w:lang w:val="fr-FR"/>
              </w:rPr>
            </w:pPr>
            <w:r w:rsidRPr="00293B75">
              <w:rPr>
                <w:rFonts w:cs="Arial"/>
                <w:lang w:val="fr-FR"/>
              </w:rPr>
              <w:t>avoir les niveaux “circulaire”, “légèrement anguleuse”, “fortement anguleuse“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 xml:space="preserve">car. 13 </w:t>
            </w:r>
          </w:p>
        </w:tc>
        <w:tc>
          <w:tcPr>
            <w:tcW w:w="8074" w:type="dxa"/>
          </w:tcPr>
          <w:p w:rsidR="00A757BF" w:rsidRPr="00293B75" w:rsidRDefault="00A757BF" w:rsidP="00A757BF">
            <w:pPr>
              <w:rPr>
                <w:rFonts w:cs="Arial"/>
                <w:lang w:val="fr-FR"/>
              </w:rPr>
            </w:pPr>
            <w:r w:rsidRPr="00293B75">
              <w:rPr>
                <w:rFonts w:cs="Arial"/>
                <w:lang w:val="fr-FR"/>
              </w:rPr>
              <w:t>ajouter (+) et une explication</w:t>
            </w:r>
          </w:p>
          <w:p w:rsidR="00A757BF" w:rsidRPr="00293B75" w:rsidRDefault="00A757BF" w:rsidP="00A757BF">
            <w:pPr>
              <w:rPr>
                <w:rFonts w:cs="Arial"/>
                <w:i/>
                <w:lang w:val="fr-FR"/>
              </w:rPr>
            </w:pPr>
            <w:r w:rsidRPr="00293B75">
              <w:rPr>
                <w:rFonts w:cs="Arial"/>
                <w:i/>
                <w:lang w:val="fr-FR"/>
              </w:rPr>
              <w:t xml:space="preserve">fournie par l’Expert principal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24</w:t>
            </w:r>
          </w:p>
        </w:tc>
        <w:tc>
          <w:tcPr>
            <w:tcW w:w="8074" w:type="dxa"/>
          </w:tcPr>
          <w:p w:rsidR="00A757BF" w:rsidRPr="00293B75" w:rsidRDefault="00A757BF" w:rsidP="00A757BF">
            <w:pPr>
              <w:tabs>
                <w:tab w:val="num" w:pos="1800"/>
              </w:tabs>
              <w:ind w:left="1800" w:hanging="1779"/>
              <w:rPr>
                <w:rFonts w:cs="Arial"/>
                <w:lang w:val="fr-FR"/>
              </w:rPr>
            </w:pPr>
            <w:r w:rsidRPr="00293B75">
              <w:rPr>
                <w:rFonts w:cs="Arial"/>
                <w:lang w:val="fr-FR"/>
              </w:rPr>
              <w:t>niveau 2 doit être libellé comme suit “apprimés et libres”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25, 27</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vérifier s’il convient d’indiquer les caractères comme QN et avoir les niveaux “aigu”, “court acuminé”, “moyennement acuminé”</w:t>
            </w:r>
          </w:p>
          <w:p w:rsidR="00A757BF" w:rsidRPr="00293B75" w:rsidRDefault="00A757BF" w:rsidP="00A757BF">
            <w:pPr>
              <w:rPr>
                <w:rFonts w:cs="Arial"/>
                <w:i/>
                <w:lang w:val="fr-FR"/>
              </w:rPr>
            </w:pPr>
            <w:r w:rsidRPr="00293B75">
              <w:rPr>
                <w:rFonts w:cs="Arial"/>
                <w:i/>
                <w:lang w:val="fr-FR"/>
              </w:rPr>
              <w:t>Expert principal : accepté</w:t>
            </w:r>
          </w:p>
          <w:p w:rsidR="00A757BF" w:rsidRPr="00293B75" w:rsidRDefault="00A757BF" w:rsidP="00A757BF">
            <w:pPr>
              <w:autoSpaceDE w:val="0"/>
              <w:autoSpaceDN w:val="0"/>
              <w:adjustRightInd w:val="0"/>
              <w:rPr>
                <w:rFonts w:cs="Arial"/>
                <w:lang w:val="fr-FR"/>
              </w:rPr>
            </w:pPr>
            <w:r w:rsidRPr="00293B75">
              <w:rPr>
                <w:rFonts w:cs="Arial"/>
                <w:lang w:val="fr-FR"/>
              </w:rPr>
              <w:t>avoir 3 niveaux et utiliser la photographie du caractère 24, niveau 3 comme illustration pour le niveau intermédiaire “court acuminé”</w:t>
            </w:r>
          </w:p>
          <w:p w:rsidR="00A757BF" w:rsidRPr="00293B75" w:rsidRDefault="00A757BF" w:rsidP="00A757BF">
            <w:pPr>
              <w:rPr>
                <w:rFonts w:cs="Arial"/>
                <w:lang w:val="fr-FR"/>
              </w:rPr>
            </w:pPr>
            <w:r w:rsidRPr="00293B75">
              <w:rPr>
                <w:rFonts w:cs="Arial"/>
                <w:i/>
                <w:lang w:val="fr-FR"/>
              </w:rPr>
              <w:t>Expert principal : a fourni une nouvelle photographie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35</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vérifier le niveau 2 “intermédiaire”</w:t>
            </w:r>
          </w:p>
          <w:p w:rsidR="00A757BF" w:rsidRPr="00293B75" w:rsidRDefault="00A757BF" w:rsidP="00A757BF">
            <w:pPr>
              <w:autoSpaceDE w:val="0"/>
              <w:autoSpaceDN w:val="0"/>
              <w:adjustRightInd w:val="0"/>
              <w:rPr>
                <w:rFonts w:cs="Arial"/>
                <w:i/>
                <w:lang w:val="fr-FR"/>
              </w:rPr>
            </w:pPr>
            <w:r w:rsidRPr="00293B75">
              <w:rPr>
                <w:rFonts w:cs="Arial"/>
                <w:i/>
                <w:lang w:val="fr-FR"/>
              </w:rPr>
              <w:t xml:space="preserve">Expert principal : le niveau 2 doit être libellé comme suit “aigu à acuminé”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51</w:t>
            </w:r>
          </w:p>
        </w:tc>
        <w:tc>
          <w:tcPr>
            <w:tcW w:w="8074" w:type="dxa"/>
          </w:tcPr>
          <w:p w:rsidR="00A757BF" w:rsidRPr="00293B75" w:rsidRDefault="00A757BF" w:rsidP="00A757BF">
            <w:pPr>
              <w:rPr>
                <w:rFonts w:cs="Arial"/>
                <w:lang w:val="fr-FR"/>
              </w:rPr>
            </w:pPr>
            <w:r w:rsidRPr="00293B75">
              <w:rPr>
                <w:rFonts w:cs="Arial"/>
                <w:lang w:val="fr-FR"/>
              </w:rPr>
              <w:t xml:space="preserve">supprimer (e)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52</w:t>
            </w:r>
          </w:p>
        </w:tc>
        <w:tc>
          <w:tcPr>
            <w:tcW w:w="8074" w:type="dxa"/>
          </w:tcPr>
          <w:p w:rsidR="00A757BF" w:rsidRPr="00293B75" w:rsidRDefault="00A757BF" w:rsidP="00A757BF">
            <w:pPr>
              <w:rPr>
                <w:rFonts w:cs="Arial"/>
                <w:lang w:val="fr-FR"/>
              </w:rPr>
            </w:pPr>
            <w:r w:rsidRPr="00293B75">
              <w:rPr>
                <w:rFonts w:cs="Arial"/>
                <w:lang w:val="fr-FR"/>
              </w:rPr>
              <w:t>doit être libellé comme suit “Pétale : largeur du bord de couleur différente”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 xml:space="preserve">car. 52, 55, 56, 57 </w:t>
            </w:r>
          </w:p>
        </w:tc>
        <w:tc>
          <w:tcPr>
            <w:tcW w:w="8074" w:type="dxa"/>
          </w:tcPr>
          <w:p w:rsidR="00A757BF" w:rsidRPr="00293B75" w:rsidRDefault="00A757BF" w:rsidP="00A757BF">
            <w:pPr>
              <w:rPr>
                <w:rFonts w:cs="Arial"/>
                <w:lang w:val="fr-FR"/>
              </w:rPr>
            </w:pPr>
            <w:proofErr w:type="gramStart"/>
            <w:r w:rsidRPr="00293B75">
              <w:rPr>
                <w:rFonts w:cs="Arial"/>
                <w:lang w:val="fr-FR"/>
              </w:rPr>
              <w:t>remplacer</w:t>
            </w:r>
            <w:proofErr w:type="gramEnd"/>
            <w:r w:rsidRPr="00293B75">
              <w:rPr>
                <w:rFonts w:cs="Arial"/>
                <w:lang w:val="fr-FR"/>
              </w:rPr>
              <w:t xml:space="preserve"> “nul” par “absent”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57</w:t>
            </w:r>
          </w:p>
        </w:tc>
        <w:tc>
          <w:tcPr>
            <w:tcW w:w="8074" w:type="dxa"/>
          </w:tcPr>
          <w:p w:rsidR="00A757BF" w:rsidRPr="00293B75" w:rsidRDefault="00A757BF" w:rsidP="00A757BF">
            <w:pPr>
              <w:rPr>
                <w:rFonts w:cs="Arial"/>
                <w:lang w:val="fr-FR"/>
              </w:rPr>
            </w:pPr>
            <w:r w:rsidRPr="00293B75">
              <w:rPr>
                <w:rFonts w:cs="Arial"/>
                <w:lang w:val="fr-FR"/>
              </w:rPr>
              <w:t xml:space="preserve">supprimer (f) </w:t>
            </w:r>
          </w:p>
        </w:tc>
      </w:tr>
      <w:tr w:rsidR="00293B75" w:rsidRPr="00293B75" w:rsidTr="00A757BF">
        <w:trPr>
          <w:cantSplit/>
        </w:trPr>
        <w:tc>
          <w:tcPr>
            <w:tcW w:w="1573" w:type="dxa"/>
          </w:tcPr>
          <w:p w:rsidR="00A757BF" w:rsidRPr="00293B75" w:rsidRDefault="00A757BF" w:rsidP="00A757BF">
            <w:pPr>
              <w:tabs>
                <w:tab w:val="left" w:pos="1323"/>
              </w:tabs>
              <w:rPr>
                <w:rFonts w:cs="Arial"/>
                <w:lang w:val="fr-FR"/>
              </w:rPr>
            </w:pPr>
            <w:r w:rsidRPr="00293B75">
              <w:rPr>
                <w:rFonts w:cs="Arial"/>
                <w:lang w:val="fr-FR"/>
              </w:rPr>
              <w:t>car. 43</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remplacer, si possible, les types par les noms des niveaux</w:t>
            </w:r>
          </w:p>
          <w:p w:rsidR="00A757BF" w:rsidRPr="00293B75" w:rsidRDefault="00A757BF" w:rsidP="00A757BF">
            <w:pPr>
              <w:autoSpaceDE w:val="0"/>
              <w:autoSpaceDN w:val="0"/>
              <w:adjustRightInd w:val="0"/>
              <w:rPr>
                <w:rFonts w:cs="Arial"/>
                <w:lang w:val="fr-FR"/>
              </w:rPr>
            </w:pPr>
            <w:r w:rsidRPr="00293B75">
              <w:rPr>
                <w:rFonts w:cs="Arial"/>
                <w:lang w:val="fr-FR"/>
              </w:rPr>
              <w:t>vérifier s’il convient de partager le type 7 en deux types distincts</w:t>
            </w:r>
          </w:p>
          <w:p w:rsidR="00A757BF" w:rsidRPr="00293B75" w:rsidRDefault="00A757BF" w:rsidP="00A757BF">
            <w:pPr>
              <w:autoSpaceDE w:val="0"/>
              <w:autoSpaceDN w:val="0"/>
              <w:adjustRightInd w:val="0"/>
              <w:rPr>
                <w:rFonts w:cs="Arial"/>
                <w:lang w:val="fr-FR"/>
              </w:rPr>
            </w:pPr>
            <w:r w:rsidRPr="00293B75">
              <w:rPr>
                <w:rFonts w:cs="Arial"/>
                <w:i/>
                <w:lang w:val="fr-FR"/>
              </w:rPr>
              <w:t>Expert principal : il n’existe pas de libellé approprié pour tous les niveaux, il n’est donc pas possible de remplacer les types par des noms.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(a)</w:t>
            </w:r>
          </w:p>
        </w:tc>
        <w:tc>
          <w:tcPr>
            <w:tcW w:w="8074"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La tige principale est la ligne la plus directe de la fleur la plus haute à la base.  Sur les variétés de fleurs à couper, l’observation se fait sur le cinquième entre</w:t>
            </w:r>
            <w:r w:rsidRPr="00293B75">
              <w:rPr>
                <w:lang w:val="fr-FR"/>
              </w:rPr>
              <w:noBreakHyphen/>
              <w:t>nœud situé immédiatement sous la fleur.  Sur les œillets en pot et de jardin, l’observation se fait sur le troisième entre</w:t>
            </w:r>
            <w:r w:rsidRPr="00293B75">
              <w:rPr>
                <w:lang w:val="fr-FR"/>
              </w:rPr>
              <w:noBreakHyphen/>
              <w:t>nœud situé immédiatement sous la fleur.  Sauf en ce qui concerne la longueur, les observations se font à mi</w:t>
            </w:r>
            <w:r w:rsidRPr="00293B75">
              <w:rPr>
                <w:lang w:val="fr-FR"/>
              </w:rPr>
              <w:noBreakHyphen/>
              <w:t>chemin entre les nœuds</w:t>
            </w:r>
            <w:r w:rsidRPr="00293B75">
              <w:rPr>
                <w:rFonts w:cs="Arial"/>
                <w:lang w:val="fr-FR"/>
              </w:rPr>
              <w:t xml:space="preserve">.”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(b)</w:t>
            </w:r>
          </w:p>
        </w:tc>
        <w:tc>
          <w:tcPr>
            <w:tcW w:w="8074"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 xml:space="preserve">Sur les variétés de </w:t>
            </w:r>
            <w:r w:rsidRPr="00293B75">
              <w:rPr>
                <w:rFonts w:cs="Arial"/>
                <w:lang w:val="fr-CH"/>
              </w:rPr>
              <w:t>f</w:t>
            </w:r>
            <w:r w:rsidRPr="00293B75">
              <w:rPr>
                <w:lang w:val="fr-FR"/>
              </w:rPr>
              <w:t>leurs à couper, à observer sur les feuilles du cinquième nœud situé immédiatement sous la fleur.  Sur les œillets en pot et de jardin, à observer sur les feuilles du troisième nœud situé immédiatement sous la fleur</w:t>
            </w:r>
            <w:r w:rsidRPr="00293B75">
              <w:rPr>
                <w:rFonts w:cs="Arial"/>
                <w:lang w:val="fr-FR"/>
              </w:rPr>
              <w:t xml:space="preserve">.”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(e)</w:t>
            </w:r>
          </w:p>
        </w:tc>
        <w:tc>
          <w:tcPr>
            <w:tcW w:w="8074" w:type="dxa"/>
          </w:tcPr>
          <w:p w:rsidR="00A757BF" w:rsidRPr="00293B75" w:rsidRDefault="00A757BF" w:rsidP="00A757BF">
            <w:pPr>
              <w:rPr>
                <w:rFonts w:cs="Arial"/>
                <w:lang w:val="fr-FR"/>
              </w:rPr>
            </w:pPr>
            <w:r w:rsidRPr="00293B75">
              <w:rPr>
                <w:rFonts w:cs="Arial"/>
                <w:lang w:val="fr-FR"/>
              </w:rPr>
              <w:t>à supprimer (redondant, uniquement pour caractère 51)</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(f)</w:t>
            </w:r>
          </w:p>
        </w:tc>
        <w:tc>
          <w:tcPr>
            <w:tcW w:w="8074" w:type="dxa"/>
          </w:tcPr>
          <w:p w:rsidR="00A757BF" w:rsidRPr="00293B75" w:rsidRDefault="00A757BF" w:rsidP="00A757BF">
            <w:pPr>
              <w:rPr>
                <w:rFonts w:cs="Arial"/>
                <w:lang w:val="fr-FR"/>
              </w:rPr>
            </w:pPr>
            <w:r w:rsidRPr="00293B75">
              <w:rPr>
                <w:rFonts w:cs="Arial"/>
                <w:lang w:val="fr-FR"/>
              </w:rPr>
              <w:t>à supprimer (redondant, uniquement pour caractère 57)</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w:t>
            </w:r>
          </w:p>
        </w:tc>
        <w:tc>
          <w:tcPr>
            <w:tcW w:w="8074"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La longueur de la tige doit être observée du sol jusqu’au sommet de la plante, fleurs exclues</w:t>
            </w:r>
            <w:r w:rsidRPr="00293B75">
              <w:rPr>
                <w:rFonts w:cs="Arial"/>
                <w:lang w:val="fr-FR"/>
              </w:rPr>
              <w:t>” (voir VG/MS)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w:t>
            </w:r>
          </w:p>
        </w:tc>
        <w:tc>
          <w:tcPr>
            <w:tcW w:w="8074"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La hauteur de la plante doit être observée du sol jusqu’au sommet de la plante, fleurs comprises</w:t>
            </w:r>
            <w:r w:rsidRPr="00293B75">
              <w:rPr>
                <w:rFonts w:cs="Arial"/>
                <w:lang w:val="fr-FR"/>
              </w:rPr>
              <w:t>” (voir VG/MS)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4</w:t>
            </w:r>
          </w:p>
        </w:tc>
        <w:tc>
          <w:tcPr>
            <w:tcW w:w="8074" w:type="dxa"/>
          </w:tcPr>
          <w:p w:rsidR="00A757BF" w:rsidRPr="00293B75" w:rsidRDefault="00A757BF" w:rsidP="00A757BF">
            <w:pPr>
              <w:rPr>
                <w:rFonts w:cs="Arial"/>
                <w:lang w:val="fr-FR"/>
              </w:rPr>
            </w:pPr>
            <w:r w:rsidRPr="00293B75">
              <w:rPr>
                <w:rFonts w:cs="Arial"/>
                <w:lang w:val="fr-FR"/>
              </w:rPr>
              <w:t>vérifier s’il est possible de fournir des photographies ou des illustrations montrant une vue latérale des plantes.</w:t>
            </w:r>
          </w:p>
          <w:p w:rsidR="00A757BF" w:rsidRPr="00293B75" w:rsidRDefault="00A757BF" w:rsidP="00A757BF">
            <w:pPr>
              <w:rPr>
                <w:rFonts w:cs="Arial"/>
                <w:i/>
                <w:lang w:val="fr-FR"/>
              </w:rPr>
            </w:pPr>
            <w:r w:rsidRPr="00293B75">
              <w:rPr>
                <w:rFonts w:cs="Arial"/>
                <w:i/>
                <w:lang w:val="fr-FR"/>
              </w:rPr>
              <w:t>Expert principal : pas de meilleures photographies disponibles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5, 6</w:t>
            </w:r>
          </w:p>
        </w:tc>
        <w:tc>
          <w:tcPr>
            <w:tcW w:w="8074" w:type="dxa"/>
          </w:tcPr>
          <w:p w:rsidR="00A757BF" w:rsidRPr="00293B75" w:rsidRDefault="00A757BF" w:rsidP="00A757BF">
            <w:pPr>
              <w:rPr>
                <w:rFonts w:cs="Arial"/>
                <w:lang w:val="fr-FR"/>
              </w:rPr>
            </w:pPr>
            <w:r w:rsidRPr="00293B75">
              <w:rPr>
                <w:rFonts w:cs="Arial"/>
                <w:lang w:val="fr-FR"/>
              </w:rPr>
              <w:t>doit être libellé comme suit “Le nombre d’entre</w:t>
            </w:r>
            <w:r w:rsidRPr="00293B75">
              <w:rPr>
                <w:rFonts w:cs="Arial"/>
                <w:lang w:val="fr-FR"/>
              </w:rPr>
              <w:noBreakHyphen/>
              <w:t>nœuds doit être observé entre le calicule et le nœud le plus bas présentant un rameau avec boutons floraux ou fleurs.”</w:t>
            </w:r>
          </w:p>
          <w:p w:rsidR="00A757BF" w:rsidRPr="00293B75" w:rsidRDefault="00A757BF" w:rsidP="00A757BF">
            <w:pPr>
              <w:rPr>
                <w:rFonts w:cs="Arial"/>
                <w:lang w:val="fr-FR"/>
              </w:rPr>
            </w:pPr>
            <w:r w:rsidRPr="00293B75">
              <w:rPr>
                <w:rFonts w:cs="Arial"/>
                <w:lang w:val="fr-FR"/>
              </w:rPr>
              <w:t>un rameau latéral avec boutons floraux devrait être indiqué sur la photographie.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9</w:t>
            </w:r>
          </w:p>
        </w:tc>
        <w:tc>
          <w:tcPr>
            <w:tcW w:w="8074" w:type="dxa"/>
          </w:tcPr>
          <w:p w:rsidR="00A757BF" w:rsidRPr="00293B75" w:rsidRDefault="00A757BF" w:rsidP="00A757BF">
            <w:pPr>
              <w:rPr>
                <w:rFonts w:cs="Arial"/>
                <w:lang w:val="fr-FR"/>
              </w:rPr>
            </w:pPr>
            <w:r w:rsidRPr="00293B75">
              <w:rPr>
                <w:rFonts w:cs="Arial"/>
                <w:lang w:val="fr-FR"/>
              </w:rPr>
              <w:t>la ligne en pointillés du niveau 1 devrait être légèrement bombée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25, 27</w:t>
            </w:r>
          </w:p>
        </w:tc>
        <w:tc>
          <w:tcPr>
            <w:tcW w:w="8074" w:type="dxa"/>
          </w:tcPr>
          <w:p w:rsidR="00A757BF" w:rsidRPr="00293B75" w:rsidRDefault="00A757BF" w:rsidP="00A757BF">
            <w:pPr>
              <w:rPr>
                <w:rFonts w:cs="Arial"/>
                <w:lang w:val="fr-FR"/>
              </w:rPr>
            </w:pPr>
            <w:r w:rsidRPr="00293B75">
              <w:rPr>
                <w:rFonts w:cs="Arial"/>
                <w:lang w:val="fr-FR"/>
              </w:rPr>
              <w:t>voir les caractères 25, 27</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35</w:t>
            </w:r>
          </w:p>
        </w:tc>
        <w:tc>
          <w:tcPr>
            <w:tcW w:w="8074" w:type="dxa"/>
          </w:tcPr>
          <w:p w:rsidR="00A757BF" w:rsidRPr="00293B75" w:rsidRDefault="00A757BF" w:rsidP="00A757BF">
            <w:pPr>
              <w:rPr>
                <w:rFonts w:cs="Arial"/>
                <w:lang w:val="fr-FR"/>
              </w:rPr>
            </w:pPr>
            <w:r w:rsidRPr="00293B75">
              <w:rPr>
                <w:rFonts w:cs="Arial"/>
                <w:lang w:val="fr-FR"/>
              </w:rPr>
              <w:t>vérifier si le niveau 3 est en forme de queue et non acuminé</w:t>
            </w:r>
          </w:p>
          <w:p w:rsidR="00A757BF" w:rsidRPr="00293B75" w:rsidRDefault="00A757BF" w:rsidP="00A757BF">
            <w:pPr>
              <w:rPr>
                <w:rFonts w:cs="Arial"/>
                <w:lang w:val="fr-FR"/>
              </w:rPr>
            </w:pPr>
            <w:r w:rsidRPr="00293B75">
              <w:rPr>
                <w:rFonts w:cs="Arial"/>
                <w:i/>
                <w:lang w:val="fr-FR"/>
              </w:rPr>
              <w:t>Expert principal : le niveau 3 est acuminé</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37</w:t>
            </w:r>
          </w:p>
        </w:tc>
        <w:tc>
          <w:tcPr>
            <w:tcW w:w="8074" w:type="dxa"/>
          </w:tcPr>
          <w:p w:rsidR="00A757BF" w:rsidRPr="00293B75" w:rsidRDefault="00A757BF" w:rsidP="00A757BF">
            <w:pPr>
              <w:rPr>
                <w:rFonts w:cs="Arial"/>
                <w:u w:val="single"/>
                <w:lang w:val="fr-FR"/>
              </w:rPr>
            </w:pPr>
            <w:r w:rsidRPr="00293B75">
              <w:rPr>
                <w:rFonts w:cs="Arial"/>
                <w:lang w:val="fr-FR"/>
              </w:rPr>
              <w:t xml:space="preserve">doit être libellé comme suit “ </w:t>
            </w:r>
            <w:r w:rsidRPr="00293B75">
              <w:rPr>
                <w:rStyle w:val="hps"/>
                <w:rFonts w:cs="Arial"/>
                <w:lang w:val="fr-FR"/>
              </w:rPr>
              <w:t>Les fleurs doubles</w:t>
            </w:r>
            <w:r w:rsidRPr="00293B75">
              <w:rPr>
                <w:rStyle w:val="shorttext"/>
                <w:rFonts w:cs="Arial"/>
                <w:lang w:val="fr-FR"/>
              </w:rPr>
              <w:t xml:space="preserve"> </w:t>
            </w:r>
            <w:r w:rsidRPr="00293B75">
              <w:rPr>
                <w:rStyle w:val="hps"/>
                <w:rFonts w:cs="Arial"/>
                <w:lang w:val="fr-FR"/>
              </w:rPr>
              <w:t>ont plus que</w:t>
            </w:r>
            <w:r w:rsidRPr="00293B75">
              <w:rPr>
                <w:rStyle w:val="shorttext"/>
                <w:rFonts w:cs="Arial"/>
                <w:lang w:val="fr-FR"/>
              </w:rPr>
              <w:t xml:space="preserve"> </w:t>
            </w:r>
            <w:r w:rsidRPr="00293B75">
              <w:rPr>
                <w:rStyle w:val="shorttext"/>
                <w:lang w:val="fr-FR"/>
              </w:rPr>
              <w:t>cinq</w:t>
            </w:r>
            <w:r w:rsidRPr="00293B75">
              <w:rPr>
                <w:rStyle w:val="shorttext"/>
                <w:rFonts w:cs="Arial"/>
                <w:lang w:val="fr-FR"/>
              </w:rPr>
              <w:t> </w:t>
            </w:r>
            <w:r w:rsidRPr="00293B75">
              <w:rPr>
                <w:rStyle w:val="hps"/>
                <w:rFonts w:cs="Arial"/>
                <w:lang w:val="fr-FR"/>
              </w:rPr>
              <w:t>pétales</w:t>
            </w:r>
            <w:r w:rsidRPr="00293B75">
              <w:rPr>
                <w:rFonts w:cs="Arial"/>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57</w:t>
            </w:r>
          </w:p>
        </w:tc>
        <w:tc>
          <w:tcPr>
            <w:tcW w:w="8074" w:type="dxa"/>
          </w:tcPr>
          <w:p w:rsidR="00A757BF" w:rsidRPr="00293B75" w:rsidRDefault="00A757BF" w:rsidP="00A757BF">
            <w:pPr>
              <w:autoSpaceDE w:val="0"/>
              <w:autoSpaceDN w:val="0"/>
              <w:adjustRightInd w:val="0"/>
              <w:rPr>
                <w:rFonts w:cs="Arial"/>
                <w:lang w:val="fr-FR"/>
              </w:rPr>
            </w:pPr>
            <w:r w:rsidRPr="00293B75">
              <w:rPr>
                <w:rFonts w:cs="Arial"/>
                <w:lang w:val="fr-FR"/>
              </w:rPr>
              <w:t>ajouter une illustration pour le niveau 3, car aucune photographie n’est disponible</w:t>
            </w:r>
          </w:p>
          <w:p w:rsidR="00A757BF" w:rsidRPr="00293B75" w:rsidRDefault="00A757BF" w:rsidP="00A757BF">
            <w:pPr>
              <w:rPr>
                <w:rFonts w:cs="Arial"/>
                <w:lang w:val="fr-FR"/>
              </w:rPr>
            </w:pPr>
            <w:r w:rsidRPr="00293B75">
              <w:rPr>
                <w:rFonts w:cs="Arial"/>
                <w:i/>
                <w:lang w:val="fr-FR"/>
              </w:rPr>
              <w:t xml:space="preserve">photographie fournie par l’Expert principal </w:t>
            </w:r>
          </w:p>
        </w:tc>
      </w:tr>
    </w:tbl>
    <w:p w:rsidR="00A757BF" w:rsidRPr="00293B75" w:rsidRDefault="00A757BF" w:rsidP="00A757BF">
      <w:pPr>
        <w:jc w:val="left"/>
        <w:rPr>
          <w:rFonts w:cs="Arial"/>
          <w:u w:val="single"/>
          <w:lang w:val="fr-FR"/>
        </w:rPr>
      </w:pPr>
    </w:p>
    <w:p w:rsidR="00A757BF" w:rsidRPr="00293B75" w:rsidRDefault="00A757BF" w:rsidP="00A757BF">
      <w:pPr>
        <w:keepNext/>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A757BF" w:rsidRPr="00293B75" w:rsidRDefault="00A757BF" w:rsidP="00A757BF">
      <w:pPr>
        <w:keepNext/>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Généralités</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Questionnaire technique 7.3</w:t>
            </w:r>
          </w:p>
        </w:tc>
        <w:tc>
          <w:tcPr>
            <w:tcW w:w="8067" w:type="dxa"/>
          </w:tcPr>
          <w:p w:rsidR="00A757BF" w:rsidRPr="00293B75" w:rsidRDefault="00A757BF" w:rsidP="00A757BF">
            <w:pPr>
              <w:rPr>
                <w:rFonts w:cs="Arial"/>
                <w:lang w:val="fr-FR"/>
              </w:rPr>
            </w:pPr>
            <w:r w:rsidRPr="00293B75">
              <w:rPr>
                <w:rFonts w:cs="Arial"/>
                <w:lang w:val="fr-FR"/>
              </w:rPr>
              <w:t xml:space="preserve">actualiser le texte standard supplémentaire (ASW) 16 (pour lequel une photographie de la variété doit être fournie) conformément au nouveau libellé du document TGP/7/4) </w:t>
            </w:r>
          </w:p>
        </w:tc>
      </w:tr>
    </w:tbl>
    <w:p w:rsidR="00A757BF" w:rsidRPr="00293B75" w:rsidRDefault="00A757BF" w:rsidP="00A757BF">
      <w:pPr>
        <w:jc w:val="left"/>
        <w:rPr>
          <w:rFonts w:cs="Arial"/>
          <w:u w:val="single"/>
          <w:lang w:val="fr-FR"/>
        </w:rPr>
      </w:pPr>
    </w:p>
    <w:p w:rsidR="00A757BF" w:rsidRPr="00293B75" w:rsidRDefault="00A757BF" w:rsidP="00A757BF">
      <w:pPr>
        <w:jc w:val="left"/>
        <w:rPr>
          <w:rFonts w:cs="Arial"/>
          <w:u w:val="single"/>
          <w:lang w:val="fr-FR"/>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293B75" w:rsidRPr="00293B75" w:rsidTr="00A757BF">
        <w:trPr>
          <w:cantSplit/>
          <w:trHeight w:val="277"/>
        </w:trPr>
        <w:tc>
          <w:tcPr>
            <w:tcW w:w="345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Regal Pelargonium</w:t>
            </w:r>
          </w:p>
        </w:tc>
        <w:tc>
          <w:tcPr>
            <w:tcW w:w="198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TG/109/4(proj.4)</w:t>
            </w:r>
          </w:p>
        </w:tc>
      </w:tr>
      <w:tr w:rsidR="00293B75" w:rsidRPr="00293B75" w:rsidTr="00A757BF">
        <w:trPr>
          <w:cantSplit/>
          <w:trHeight w:hRule="exact" w:val="74"/>
        </w:trPr>
        <w:tc>
          <w:tcPr>
            <w:tcW w:w="3458" w:type="dxa"/>
            <w:vMerge/>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p>
        </w:tc>
        <w:tc>
          <w:tcPr>
            <w:tcW w:w="1988" w:type="dxa"/>
            <w:vMerge/>
            <w:shd w:val="clear" w:color="auto" w:fill="D9D9D9"/>
          </w:tcPr>
          <w:p w:rsidR="00A757BF" w:rsidRPr="00293B75" w:rsidRDefault="00A757BF" w:rsidP="00A757BF">
            <w:pPr>
              <w:pStyle w:val="BodyText"/>
              <w:keepNext/>
              <w:jc w:val="left"/>
              <w:rPr>
                <w:rFonts w:cs="Arial"/>
                <w:lang w:val="fr-FR"/>
              </w:rPr>
            </w:pPr>
          </w:p>
        </w:tc>
      </w:tr>
    </w:tbl>
    <w:p w:rsidR="00A757BF" w:rsidRPr="00293B75" w:rsidRDefault="00A757BF" w:rsidP="00A757BF">
      <w:pPr>
        <w:keepNext/>
        <w:jc w:val="left"/>
        <w:rPr>
          <w:rFonts w:cs="Arial"/>
          <w:lang w:val="fr-FR"/>
        </w:rPr>
      </w:pPr>
    </w:p>
    <w:p w:rsidR="00A757BF" w:rsidRPr="00293B75" w:rsidRDefault="00A757BF" w:rsidP="00A757BF">
      <w:pPr>
        <w:keepNext/>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w:t>
      </w:r>
      <w:r w:rsidRPr="00293B75">
        <w:rPr>
          <w:lang w:val="fr-FR"/>
        </w:rPr>
        <w:t xml:space="preserve"> </w:t>
      </w:r>
      <w:r w:rsidRPr="00293B75">
        <w:rPr>
          <w:rFonts w:cs="Arial"/>
          <w:lang w:val="fr-FR"/>
        </w:rPr>
        <w:t xml:space="preserve"> Sauf indication contraire, toutes ces observations figurent déjà dans le projet des principes directeurs d’examen (document TG/109/4(proj.4)) soumis au TC :</w:t>
      </w:r>
    </w:p>
    <w:p w:rsidR="00A757BF" w:rsidRPr="00293B75" w:rsidRDefault="00A757BF" w:rsidP="00A757BF">
      <w:pPr>
        <w:keepNext/>
        <w:jc w:val="left"/>
        <w:rPr>
          <w:rFonts w:cs="Arial"/>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A757BF">
        <w:trPr>
          <w:cantSplit/>
        </w:trPr>
        <w:tc>
          <w:tcPr>
            <w:tcW w:w="1573" w:type="dxa"/>
          </w:tcPr>
          <w:p w:rsidR="00A757BF" w:rsidRPr="00293B75" w:rsidRDefault="00A757BF" w:rsidP="00A757BF">
            <w:pPr>
              <w:jc w:val="left"/>
              <w:rPr>
                <w:rFonts w:cs="Arial"/>
                <w:lang w:val="fr-FR"/>
              </w:rPr>
            </w:pPr>
            <w:r w:rsidRPr="00293B75">
              <w:rPr>
                <w:rFonts w:cs="Arial"/>
                <w:lang w:val="fr-FR"/>
              </w:rPr>
              <w:t>Page de couverture, nom</w:t>
            </w:r>
          </w:p>
        </w:tc>
        <w:tc>
          <w:tcPr>
            <w:tcW w:w="8067" w:type="dxa"/>
          </w:tcPr>
          <w:p w:rsidR="00A757BF" w:rsidRPr="00293B75" w:rsidRDefault="00A757BF" w:rsidP="00A757BF">
            <w:pPr>
              <w:autoSpaceDE w:val="0"/>
              <w:autoSpaceDN w:val="0"/>
              <w:adjustRightInd w:val="0"/>
              <w:rPr>
                <w:rFonts w:cs="Arial"/>
                <w:lang w:val="fr-FR"/>
              </w:rPr>
            </w:pPr>
            <w:r w:rsidRPr="00293B75">
              <w:rPr>
                <w:rFonts w:cs="Arial"/>
                <w:lang w:val="fr-FR"/>
              </w:rPr>
              <w:t>ajouter “geranio” pour le nom commun en espagnol</w:t>
            </w:r>
          </w:p>
          <w:p w:rsidR="00A757BF" w:rsidRPr="00293B75" w:rsidRDefault="00A757BF" w:rsidP="00A757BF">
            <w:pPr>
              <w:autoSpaceDE w:val="0"/>
              <w:autoSpaceDN w:val="0"/>
              <w:adjustRightInd w:val="0"/>
              <w:rPr>
                <w:rFonts w:cs="Arial"/>
                <w:lang w:val="fr-FR"/>
              </w:rPr>
            </w:pPr>
            <w:r w:rsidRPr="00293B75">
              <w:rPr>
                <w:rFonts w:cs="Arial"/>
                <w:lang w:val="fr-FR"/>
              </w:rPr>
              <w:t>supprimer “pelargonia” dans le document TG en espagnol</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5</w:t>
            </w:r>
          </w:p>
        </w:tc>
        <w:tc>
          <w:tcPr>
            <w:tcW w:w="8067" w:type="dxa"/>
          </w:tcPr>
          <w:p w:rsidR="00A757BF" w:rsidRPr="00293B75" w:rsidRDefault="00A757BF" w:rsidP="00A757BF">
            <w:pPr>
              <w:autoSpaceDE w:val="0"/>
              <w:autoSpaceDN w:val="0"/>
              <w:adjustRightInd w:val="0"/>
              <w:rPr>
                <w:rFonts w:cs="Arial"/>
                <w:lang w:val="fr-FR"/>
              </w:rPr>
            </w:pPr>
            <w:r w:rsidRPr="00293B75">
              <w:rPr>
                <w:rFonts w:cs="Arial"/>
                <w:lang w:val="fr-FR"/>
              </w:rPr>
              <w:t>le niveau 1 doit être libellé comme suit “très ouverte”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16 à 18</w:t>
            </w:r>
          </w:p>
        </w:tc>
        <w:tc>
          <w:tcPr>
            <w:tcW w:w="8067" w:type="dxa"/>
          </w:tcPr>
          <w:p w:rsidR="00A757BF" w:rsidRPr="00293B75" w:rsidRDefault="00A757BF" w:rsidP="00A757BF">
            <w:pPr>
              <w:autoSpaceDE w:val="0"/>
              <w:autoSpaceDN w:val="0"/>
              <w:adjustRightInd w:val="0"/>
              <w:rPr>
                <w:rFonts w:cs="Arial"/>
                <w:lang w:val="fr-FR"/>
              </w:rPr>
            </w:pPr>
            <w:r w:rsidRPr="00293B75">
              <w:rPr>
                <w:rFonts w:cs="Arial"/>
                <w:lang w:val="fr-FR"/>
              </w:rPr>
              <w:t>vérifier s’il convient d’ajouter couleur “principale”</w:t>
            </w:r>
          </w:p>
          <w:p w:rsidR="00A757BF" w:rsidRPr="00293B75" w:rsidRDefault="00A757BF" w:rsidP="00A757BF">
            <w:pPr>
              <w:autoSpaceDE w:val="0"/>
              <w:autoSpaceDN w:val="0"/>
              <w:adjustRightInd w:val="0"/>
              <w:rPr>
                <w:rFonts w:cs="Arial"/>
                <w:i/>
                <w:lang w:val="fr-FR"/>
              </w:rPr>
            </w:pPr>
            <w:r w:rsidRPr="00293B75">
              <w:rPr>
                <w:rFonts w:cs="Arial"/>
                <w:i/>
                <w:lang w:val="fr-FR"/>
              </w:rPr>
              <w:t>Expert principal : j’approuve la proposition visant à ajouter couleur “principale” pour les caractères 16 à 18.  Par souci de cohérence, il convient d’effectuer la même modification pour les caractères 22 à 24.</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20</w:t>
            </w:r>
          </w:p>
        </w:tc>
        <w:tc>
          <w:tcPr>
            <w:tcW w:w="8067"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“Pétale supérieur : taille de la zone à la base de couleur différente”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26</w:t>
            </w:r>
          </w:p>
        </w:tc>
        <w:tc>
          <w:tcPr>
            <w:tcW w:w="8067"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“Pétale inférieur : taille de la zone à la base de couleur différente”</w:t>
            </w:r>
          </w:p>
        </w:tc>
      </w:tr>
    </w:tbl>
    <w:p w:rsidR="00A757BF" w:rsidRPr="00293B75" w:rsidRDefault="00A757BF" w:rsidP="00A757BF">
      <w:pPr>
        <w:jc w:val="left"/>
        <w:rPr>
          <w:rFonts w:cs="Arial"/>
          <w:u w:val="single"/>
          <w:lang w:val="fr-FR"/>
        </w:rPr>
      </w:pPr>
    </w:p>
    <w:p w:rsidR="00A757BF" w:rsidRPr="00293B75" w:rsidRDefault="00A757BF" w:rsidP="00A757BF">
      <w:pPr>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A757BF" w:rsidRPr="00293B75" w:rsidRDefault="00A757BF" w:rsidP="00A757BF">
      <w:pPr>
        <w:jc w:val="left"/>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Généralités</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autoSpaceDE w:val="0"/>
              <w:autoSpaceDN w:val="0"/>
              <w:adjustRightInd w:val="0"/>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16, 17, 18, 22, 23, 24</w:t>
            </w:r>
          </w:p>
        </w:tc>
        <w:tc>
          <w:tcPr>
            <w:tcW w:w="8067" w:type="dxa"/>
          </w:tcPr>
          <w:p w:rsidR="00A757BF" w:rsidRPr="00293B75" w:rsidRDefault="00A757BF" w:rsidP="00A757BF">
            <w:pPr>
              <w:autoSpaceDE w:val="0"/>
              <w:autoSpaceDN w:val="0"/>
              <w:adjustRightInd w:val="0"/>
              <w:rPr>
                <w:rFonts w:cs="Arial"/>
                <w:lang w:val="fr-FR"/>
              </w:rPr>
            </w:pPr>
            <w:r w:rsidRPr="00293B75">
              <w:rPr>
                <w:rFonts w:cs="Arial"/>
                <w:lang w:val="fr-FR"/>
              </w:rPr>
              <w:t>ajouter la note (b) et la définition de la couleur principale figurant dans 8.1 (b)</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Questionnaire technique 7.3</w:t>
            </w:r>
          </w:p>
        </w:tc>
        <w:tc>
          <w:tcPr>
            <w:tcW w:w="8067" w:type="dxa"/>
          </w:tcPr>
          <w:p w:rsidR="00A757BF" w:rsidRPr="00293B75" w:rsidRDefault="00A757BF" w:rsidP="00A757BF">
            <w:pPr>
              <w:rPr>
                <w:rFonts w:cs="Arial"/>
                <w:lang w:val="fr-FR"/>
              </w:rPr>
            </w:pPr>
            <w:r w:rsidRPr="00293B75">
              <w:rPr>
                <w:rFonts w:cs="Arial"/>
                <w:lang w:val="fr-FR"/>
              </w:rPr>
              <w:t>actualiser le texte standard supplémentaire (ASW) 16 (pour lequel une photographie de la variété doit être fournie) conformément au nouveau libellé du document TGP/7/4) et renommer comme 7.4</w:t>
            </w:r>
          </w:p>
        </w:tc>
      </w:tr>
    </w:tbl>
    <w:p w:rsidR="00A757BF" w:rsidRPr="00293B75" w:rsidRDefault="00A757BF" w:rsidP="00A757BF">
      <w:pPr>
        <w:jc w:val="left"/>
        <w:rPr>
          <w:rFonts w:cs="Arial"/>
          <w:u w:val="single"/>
          <w:lang w:val="fr-FR"/>
        </w:rPr>
      </w:pPr>
    </w:p>
    <w:p w:rsidR="00A757BF" w:rsidRPr="00293B75" w:rsidRDefault="00A757BF" w:rsidP="00A757BF">
      <w:pPr>
        <w:jc w:val="left"/>
        <w:rPr>
          <w:rFonts w:cs="Arial"/>
          <w:u w:val="single"/>
          <w:lang w:val="fr-FR"/>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293B75" w:rsidRPr="00293B75" w:rsidTr="00A757BF">
        <w:trPr>
          <w:cantSplit/>
          <w:trHeight w:val="277"/>
        </w:trPr>
        <w:tc>
          <w:tcPr>
            <w:tcW w:w="345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Sorghum</w:t>
            </w:r>
          </w:p>
        </w:tc>
        <w:tc>
          <w:tcPr>
            <w:tcW w:w="198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TG/122/4(proj.4)</w:t>
            </w:r>
          </w:p>
        </w:tc>
      </w:tr>
      <w:tr w:rsidR="00293B75" w:rsidRPr="00293B75" w:rsidTr="00A757BF">
        <w:trPr>
          <w:cantSplit/>
          <w:trHeight w:hRule="exact" w:val="74"/>
        </w:trPr>
        <w:tc>
          <w:tcPr>
            <w:tcW w:w="3458" w:type="dxa"/>
            <w:vMerge/>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p>
        </w:tc>
        <w:tc>
          <w:tcPr>
            <w:tcW w:w="1988" w:type="dxa"/>
            <w:vMerge/>
            <w:shd w:val="clear" w:color="auto" w:fill="D9D9D9"/>
          </w:tcPr>
          <w:p w:rsidR="00A757BF" w:rsidRPr="00293B75" w:rsidRDefault="00A757BF" w:rsidP="00A757BF">
            <w:pPr>
              <w:pStyle w:val="BodyText"/>
              <w:keepNext/>
              <w:jc w:val="left"/>
              <w:rPr>
                <w:rFonts w:cs="Arial"/>
                <w:lang w:val="fr-FR"/>
              </w:rPr>
            </w:pPr>
          </w:p>
        </w:tc>
      </w:tr>
    </w:tbl>
    <w:p w:rsidR="00A757BF" w:rsidRPr="00293B75" w:rsidRDefault="00A757BF" w:rsidP="00A757BF">
      <w:pPr>
        <w:keepNext/>
        <w:rPr>
          <w:rFonts w:cs="Arial"/>
          <w:lang w:val="fr-FR"/>
        </w:rPr>
      </w:pPr>
    </w:p>
    <w:p w:rsidR="00A757BF" w:rsidRPr="00293B75" w:rsidRDefault="00A757BF" w:rsidP="00A757BF">
      <w:pPr>
        <w:keepNext/>
        <w:autoSpaceDE w:val="0"/>
        <w:autoSpaceDN w:val="0"/>
        <w:adjustRightInd w:val="0"/>
        <w:ind w:firstLine="567"/>
        <w:rPr>
          <w:rFonts w:cs="Arial"/>
          <w:lang w:val="fr-FR"/>
        </w:rPr>
      </w:pPr>
      <w:r w:rsidRPr="00293B75">
        <w:rPr>
          <w:rFonts w:cs="Arial"/>
          <w:lang w:val="fr-FR"/>
        </w:rPr>
        <w:t>Modifications proposées par le TC</w:t>
      </w:r>
      <w:r w:rsidRPr="00293B75">
        <w:rPr>
          <w:rFonts w:cs="Arial"/>
          <w:lang w:val="fr-FR"/>
        </w:rPr>
        <w:noBreakHyphen/>
        <w:t>EDC en mars 2015, qui doivent être incorporées dans le document soumis au TC :</w:t>
      </w:r>
    </w:p>
    <w:p w:rsidR="00A757BF" w:rsidRPr="00293B75" w:rsidRDefault="00A757BF" w:rsidP="00A757BF">
      <w:pPr>
        <w:jc w:val="left"/>
        <w:rPr>
          <w:rFonts w:cs="Arial"/>
          <w:u w:val="single"/>
          <w:lang w:val="fr-FR"/>
        </w:rPr>
      </w:pPr>
    </w:p>
    <w:tbl>
      <w:tblPr>
        <w:tblW w:w="9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74"/>
      </w:tblGrid>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Généralités</w:t>
            </w:r>
          </w:p>
        </w:tc>
        <w:tc>
          <w:tcPr>
            <w:tcW w:w="8074"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p w:rsidR="00A757BF" w:rsidRPr="00293B75" w:rsidRDefault="00A757BF" w:rsidP="00A757BF">
            <w:pPr>
              <w:rPr>
                <w:rFonts w:cs="Arial"/>
                <w:i/>
                <w:lang w:val="fr-FR"/>
              </w:rPr>
            </w:pPr>
            <w:r w:rsidRPr="00293B75">
              <w:rPr>
                <w:rFonts w:cs="Arial"/>
                <w:i/>
                <w:lang w:val="fr-FR"/>
              </w:rPr>
              <w:t>Expert principal : confirme que tous les droits de propriété intellectuelle ont été respectés</w:t>
            </w:r>
          </w:p>
        </w:tc>
      </w:tr>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car. 10</w:t>
            </w:r>
          </w:p>
        </w:tc>
        <w:tc>
          <w:tcPr>
            <w:tcW w:w="8074"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vérifier s’il convient de replacer le niveau “blanc jaunâtre” en dessous du niveau “blanc”</w:t>
            </w:r>
          </w:p>
          <w:p w:rsidR="00A757BF" w:rsidRPr="00293B75" w:rsidRDefault="00A757BF" w:rsidP="00A757BF">
            <w:pPr>
              <w:rPr>
                <w:rFonts w:cs="Arial"/>
                <w:lang w:val="fr-FR"/>
              </w:rPr>
            </w:pPr>
            <w:r w:rsidRPr="00293B75">
              <w:rPr>
                <w:rFonts w:cs="Arial"/>
                <w:i/>
                <w:lang w:val="fr-FR"/>
              </w:rPr>
              <w:t>Expert principal : accepté</w:t>
            </w:r>
          </w:p>
        </w:tc>
      </w:tr>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car. 14</w:t>
            </w:r>
          </w:p>
        </w:tc>
        <w:tc>
          <w:tcPr>
            <w:tcW w:w="8074"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vérifier s’il convient d’intervertir l’ordre des niveaux “vert moyen” et “vert clair”</w:t>
            </w:r>
          </w:p>
          <w:p w:rsidR="00A757BF" w:rsidRPr="00293B75" w:rsidRDefault="00A757BF" w:rsidP="00A757BF">
            <w:pPr>
              <w:rPr>
                <w:rFonts w:cs="Arial"/>
                <w:lang w:val="fr-FR"/>
              </w:rPr>
            </w:pPr>
            <w:r w:rsidRPr="00293B75">
              <w:rPr>
                <w:rFonts w:cs="Arial"/>
                <w:i/>
                <w:lang w:val="fr-FR"/>
              </w:rPr>
              <w:t>Expert principal : accepté</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15</w:t>
            </w:r>
          </w:p>
        </w:tc>
        <w:tc>
          <w:tcPr>
            <w:tcW w:w="8074" w:type="dxa"/>
          </w:tcPr>
          <w:p w:rsidR="00A757BF" w:rsidRPr="00293B75" w:rsidRDefault="00A757BF" w:rsidP="00A757BF">
            <w:pPr>
              <w:rPr>
                <w:rFonts w:cs="Arial"/>
                <w:lang w:val="fr-FR"/>
              </w:rPr>
            </w:pPr>
            <w:r w:rsidRPr="00293B75">
              <w:rPr>
                <w:rFonts w:cs="Arial"/>
                <w:lang w:val="fr-FR"/>
              </w:rPr>
              <w:t>la variété à titre d’exemple “PR82G65” doit être libellée comme suit “PR82G55”</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19</w:t>
            </w:r>
          </w:p>
        </w:tc>
        <w:tc>
          <w:tcPr>
            <w:tcW w:w="8074" w:type="dxa"/>
          </w:tcPr>
          <w:p w:rsidR="00A757BF" w:rsidRPr="00293B75" w:rsidRDefault="00A757BF" w:rsidP="00A757BF">
            <w:pPr>
              <w:rPr>
                <w:rFonts w:cs="Arial"/>
                <w:lang w:val="fr-FR"/>
              </w:rPr>
            </w:pPr>
            <w:r w:rsidRPr="00293B75">
              <w:rPr>
                <w:rFonts w:cs="Arial"/>
                <w:lang w:val="fr-FR"/>
              </w:rPr>
              <w:t>la variété à titre d’exemple “Celliu” doit être libellée comme suit “Cellu”</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23</w:t>
            </w:r>
          </w:p>
        </w:tc>
        <w:tc>
          <w:tcPr>
            <w:tcW w:w="8074" w:type="dxa"/>
          </w:tcPr>
          <w:p w:rsidR="00A757BF" w:rsidRPr="00293B75" w:rsidRDefault="00A757BF" w:rsidP="00A757BF">
            <w:pPr>
              <w:rPr>
                <w:rFonts w:cs="Arial"/>
                <w:lang w:val="fr-FR"/>
              </w:rPr>
            </w:pPr>
            <w:r w:rsidRPr="00293B75">
              <w:rPr>
                <w:rFonts w:cs="Arial"/>
                <w:lang w:val="fr-FR"/>
              </w:rPr>
              <w:t>la variété à titre d’exemple “Nlcol” doit être libellée comme suit “Nicol”</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29</w:t>
            </w:r>
          </w:p>
        </w:tc>
        <w:tc>
          <w:tcPr>
            <w:tcW w:w="8074" w:type="dxa"/>
          </w:tcPr>
          <w:p w:rsidR="00A757BF" w:rsidRPr="00293B75" w:rsidRDefault="00A757BF" w:rsidP="00A757BF">
            <w:pPr>
              <w:rPr>
                <w:rFonts w:cs="Arial"/>
                <w:lang w:val="fr-FR"/>
              </w:rPr>
            </w:pPr>
            <w:r w:rsidRPr="00293B75">
              <w:rPr>
                <w:rFonts w:cs="Arial"/>
                <w:lang w:val="fr-FR"/>
              </w:rPr>
              <w:t>la variété à titre d’exemple du niveau 2 “PR88G20” doit être libellée comme suit “PR88Y20” (à vérifier, identique à la variété à titre d’exemple du niveau 3)</w:t>
            </w:r>
          </w:p>
          <w:p w:rsidR="00A757BF" w:rsidRPr="00293B75" w:rsidRDefault="00A757BF" w:rsidP="00A757BF">
            <w:pPr>
              <w:rPr>
                <w:rFonts w:cs="Arial"/>
                <w:lang w:val="fr-FR"/>
              </w:rPr>
            </w:pPr>
            <w:r w:rsidRPr="00293B75">
              <w:rPr>
                <w:rFonts w:cs="Arial"/>
                <w:i/>
                <w:lang w:val="fr-FR"/>
              </w:rPr>
              <w:t>Expert principal : supprimer la variété à titre d’exemple du niveau 2 “PR88G20”</w:t>
            </w:r>
          </w:p>
        </w:tc>
      </w:tr>
      <w:tr w:rsidR="00293B75" w:rsidRPr="00293B75" w:rsidTr="00A757BF">
        <w:trPr>
          <w:cantSplit/>
        </w:trPr>
        <w:tc>
          <w:tcPr>
            <w:tcW w:w="1573" w:type="dxa"/>
          </w:tcPr>
          <w:p w:rsidR="00A757BF" w:rsidRPr="00293B75" w:rsidRDefault="00A757BF" w:rsidP="00A757BF">
            <w:pPr>
              <w:rPr>
                <w:rFonts w:cs="Arial"/>
                <w:szCs w:val="22"/>
                <w:lang w:val="fr-FR"/>
              </w:rPr>
            </w:pPr>
            <w:r w:rsidRPr="00293B75">
              <w:rPr>
                <w:rFonts w:cs="Arial"/>
                <w:szCs w:val="22"/>
                <w:lang w:val="fr-FR"/>
              </w:rPr>
              <w:t>car. 29</w:t>
            </w:r>
          </w:p>
        </w:tc>
        <w:tc>
          <w:tcPr>
            <w:tcW w:w="8074" w:type="dxa"/>
          </w:tcPr>
          <w:p w:rsidR="00A757BF" w:rsidRPr="00293B75" w:rsidRDefault="00A757BF" w:rsidP="00A757BF">
            <w:pPr>
              <w:rPr>
                <w:rFonts w:cs="Arial"/>
                <w:szCs w:val="22"/>
                <w:lang w:val="fr-FR"/>
              </w:rPr>
            </w:pPr>
            <w:r w:rsidRPr="00293B75">
              <w:rPr>
                <w:rFonts w:cs="Arial"/>
                <w:szCs w:val="22"/>
                <w:lang w:val="fr-FR"/>
              </w:rPr>
              <w:t xml:space="preserve">doit être libellé comme suit “Graine : couleur </w:t>
            </w:r>
            <w:r w:rsidRPr="00293B75">
              <w:rPr>
                <w:rFonts w:cs="Arial"/>
                <w:strike/>
                <w:szCs w:val="22"/>
                <w:lang w:val="fr-FR"/>
              </w:rPr>
              <w:t>après battage</w:t>
            </w:r>
            <w:r w:rsidRPr="00293B75">
              <w:rPr>
                <w:rFonts w:cs="Arial"/>
                <w:szCs w:val="22"/>
                <w:lang w:val="fr-FR"/>
              </w:rPr>
              <w:t>”</w:t>
            </w:r>
          </w:p>
          <w:p w:rsidR="00A757BF" w:rsidRPr="00293B75" w:rsidRDefault="00A757BF" w:rsidP="00A757BF">
            <w:pPr>
              <w:rPr>
                <w:rFonts w:cs="Arial"/>
                <w:szCs w:val="22"/>
                <w:lang w:val="fr-FR"/>
              </w:rPr>
            </w:pPr>
            <w:r w:rsidRPr="00293B75">
              <w:rPr>
                <w:rFonts w:cs="Arial"/>
                <w:szCs w:val="22"/>
                <w:lang w:val="fr-FR"/>
              </w:rPr>
              <w:t>ajouter (+) et replacer “après battage” dans l’explication</w:t>
            </w:r>
          </w:p>
          <w:p w:rsidR="00A757BF" w:rsidRPr="00293B75" w:rsidRDefault="00A757BF" w:rsidP="00A757BF">
            <w:pPr>
              <w:rPr>
                <w:rFonts w:cs="Arial"/>
                <w:szCs w:val="22"/>
                <w:lang w:val="fr-FR"/>
              </w:rPr>
            </w:pPr>
            <w:r w:rsidRPr="00293B75">
              <w:rPr>
                <w:rFonts w:cs="Arial"/>
                <w:i/>
                <w:lang w:val="fr-FR"/>
              </w:rPr>
              <w:t>Expert principal : accepté</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33</w:t>
            </w:r>
          </w:p>
        </w:tc>
        <w:tc>
          <w:tcPr>
            <w:tcW w:w="8074" w:type="dxa"/>
          </w:tcPr>
          <w:p w:rsidR="00A757BF" w:rsidRPr="00293B75" w:rsidRDefault="00A757BF" w:rsidP="00A757BF">
            <w:pPr>
              <w:rPr>
                <w:rFonts w:cs="Arial"/>
                <w:lang w:val="fr-FR"/>
              </w:rPr>
            </w:pPr>
            <w:r w:rsidRPr="00293B75">
              <w:rPr>
                <w:rFonts w:cs="Arial"/>
                <w:lang w:val="fr-FR"/>
              </w:rPr>
              <w:t>vérifier s’il convient d’indiquer comme MG</w:t>
            </w:r>
          </w:p>
          <w:p w:rsidR="00A757BF" w:rsidRPr="00293B75" w:rsidRDefault="00A757BF" w:rsidP="00A757BF">
            <w:pPr>
              <w:rPr>
                <w:rFonts w:cs="Arial"/>
                <w:i/>
                <w:lang w:val="fr-FR"/>
              </w:rPr>
            </w:pPr>
            <w:r w:rsidRPr="00293B75">
              <w:rPr>
                <w:rFonts w:cs="Arial"/>
                <w:i/>
                <w:lang w:val="fr-FR"/>
              </w:rPr>
              <w:t>Expert principal : accepté</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w:t>
            </w:r>
          </w:p>
        </w:tc>
        <w:tc>
          <w:tcPr>
            <w:tcW w:w="8074" w:type="dxa"/>
          </w:tcPr>
          <w:p w:rsidR="00A757BF" w:rsidRPr="00293B75" w:rsidRDefault="00A757BF" w:rsidP="00A757BF">
            <w:pPr>
              <w:rPr>
                <w:rFonts w:cs="Arial"/>
                <w:lang w:val="fr-FR"/>
              </w:rPr>
            </w:pPr>
            <w:r w:rsidRPr="00293B75">
              <w:rPr>
                <w:rFonts w:cs="Arial"/>
                <w:lang w:val="fr-FR"/>
              </w:rPr>
              <w:t>supprimer les indications des caractéristiques</w:t>
            </w:r>
          </w:p>
          <w:p w:rsidR="00A757BF" w:rsidRPr="00293B75" w:rsidRDefault="00A757BF" w:rsidP="00A757BF">
            <w:pPr>
              <w:rPr>
                <w:rFonts w:cs="Arial"/>
                <w:lang w:val="fr-FR"/>
              </w:rPr>
            </w:pPr>
            <w:r w:rsidRPr="00293B75">
              <w:rPr>
                <w:rFonts w:cs="Arial"/>
                <w:lang w:val="fr-FR"/>
              </w:rPr>
              <w:t>doit être libellé comme suit “Les observations doivent être…”</w:t>
            </w:r>
          </w:p>
          <w:p w:rsidR="00A757BF" w:rsidRPr="00293B75" w:rsidRDefault="00A757BF" w:rsidP="00A757BF">
            <w:pPr>
              <w:rPr>
                <w:rFonts w:cs="Arial"/>
                <w:lang w:val="fr-FR"/>
              </w:rPr>
            </w:pPr>
            <w:r w:rsidRPr="00293B75">
              <w:rPr>
                <w:rFonts w:cs="Arial"/>
                <w:szCs w:val="22"/>
                <w:lang w:val="fr-FR"/>
              </w:rPr>
              <w:t>l’illustration schématique de la graine est très claire.  La photographie devrait être supprimée, car elle n’apporte aucune information additionnelle.</w:t>
            </w:r>
          </w:p>
        </w:tc>
      </w:tr>
      <w:tr w:rsidR="00293B75" w:rsidRPr="00293B75" w:rsidTr="00A757BF">
        <w:trPr>
          <w:cantSplit/>
        </w:trPr>
        <w:tc>
          <w:tcPr>
            <w:tcW w:w="1573" w:type="dxa"/>
          </w:tcPr>
          <w:p w:rsidR="00A757BF" w:rsidRPr="00293B75" w:rsidRDefault="00A757BF" w:rsidP="00A757BF">
            <w:pPr>
              <w:rPr>
                <w:rFonts w:cs="Arial"/>
                <w:szCs w:val="22"/>
                <w:lang w:val="fr-FR"/>
              </w:rPr>
            </w:pPr>
            <w:r w:rsidRPr="00293B75">
              <w:rPr>
                <w:rFonts w:cs="Arial"/>
                <w:szCs w:val="22"/>
                <w:lang w:val="fr-FR"/>
              </w:rPr>
              <w:t>Ad. 33</w:t>
            </w:r>
          </w:p>
        </w:tc>
        <w:tc>
          <w:tcPr>
            <w:tcW w:w="8074" w:type="dxa"/>
          </w:tcPr>
          <w:p w:rsidR="00A757BF" w:rsidRPr="00293B75" w:rsidRDefault="00A757BF" w:rsidP="00A757BF">
            <w:pPr>
              <w:rPr>
                <w:rFonts w:cs="Arial"/>
                <w:szCs w:val="22"/>
                <w:lang w:val="fr-FR"/>
              </w:rPr>
            </w:pPr>
            <w:r w:rsidRPr="00293B75">
              <w:rPr>
                <w:rFonts w:cs="Arial"/>
                <w:szCs w:val="22"/>
                <w:lang w:val="fr-FR"/>
              </w:rPr>
              <w:t xml:space="preserve">supprimer la Section 8 </w:t>
            </w:r>
            <w:proofErr w:type="gramStart"/>
            <w:r w:rsidRPr="00293B75">
              <w:rPr>
                <w:rFonts w:cs="Arial"/>
                <w:szCs w:val="22"/>
                <w:lang w:val="fr-FR"/>
              </w:rPr>
              <w:t>de Ad</w:t>
            </w:r>
            <w:proofErr w:type="gramEnd"/>
            <w:r w:rsidRPr="00293B75">
              <w:rPr>
                <w:rFonts w:cs="Arial"/>
                <w:szCs w:val="22"/>
                <w:lang w:val="fr-FR"/>
              </w:rPr>
              <w:t>. 33</w:t>
            </w:r>
          </w:p>
          <w:p w:rsidR="00A757BF" w:rsidRPr="00293B75" w:rsidRDefault="00A757BF" w:rsidP="00A757BF">
            <w:pPr>
              <w:rPr>
                <w:rFonts w:cs="Arial"/>
                <w:szCs w:val="22"/>
                <w:lang w:val="fr-FR"/>
              </w:rPr>
            </w:pPr>
            <w:r w:rsidRPr="00293B75">
              <w:rPr>
                <w:rFonts w:cs="Arial"/>
                <w:i/>
                <w:lang w:val="fr-FR"/>
              </w:rPr>
              <w:t>Expert principal : accepté, mais il convient de se rappeler qu’il s’agit d’une description littérale de la méthode.</w:t>
            </w:r>
          </w:p>
          <w:p w:rsidR="00A757BF" w:rsidRPr="00293B75" w:rsidRDefault="00A757BF" w:rsidP="00A757BF">
            <w:pPr>
              <w:rPr>
                <w:rFonts w:cs="Arial"/>
                <w:szCs w:val="22"/>
                <w:lang w:val="fr-FR"/>
              </w:rPr>
            </w:pPr>
            <w:r w:rsidRPr="00293B75">
              <w:rPr>
                <w:rFonts w:cs="Arial"/>
                <w:szCs w:val="22"/>
                <w:lang w:val="fr-FR"/>
              </w:rPr>
              <w:t>vérifier s’il convient également de supprimer les notes en dessous de la Section 8</w:t>
            </w:r>
          </w:p>
          <w:p w:rsidR="00A757BF" w:rsidRPr="00293B75" w:rsidRDefault="00A757BF" w:rsidP="00A757BF">
            <w:pPr>
              <w:rPr>
                <w:rFonts w:cs="Arial"/>
                <w:szCs w:val="22"/>
                <w:lang w:val="fr-FR"/>
              </w:rPr>
            </w:pPr>
            <w:r w:rsidRPr="00293B75">
              <w:rPr>
                <w:rFonts w:cs="Arial"/>
                <w:i/>
                <w:lang w:val="fr-FR"/>
              </w:rPr>
              <w:t>Expert principal : accepté</w:t>
            </w:r>
          </w:p>
          <w:p w:rsidR="00A757BF" w:rsidRPr="00293B75" w:rsidRDefault="00A757BF" w:rsidP="00A757BF">
            <w:pPr>
              <w:rPr>
                <w:rFonts w:cs="Arial"/>
                <w:szCs w:val="22"/>
                <w:lang w:val="fr-FR"/>
              </w:rPr>
            </w:pPr>
            <w:r w:rsidRPr="00293B75">
              <w:rPr>
                <w:rFonts w:cs="Arial"/>
                <w:szCs w:val="22"/>
                <w:lang w:val="fr-FR"/>
              </w:rPr>
              <w:t>la dernière partie de l’explication doit être modifiée comme suit :</w:t>
            </w:r>
          </w:p>
          <w:p w:rsidR="00A757BF" w:rsidRPr="00293B75" w:rsidRDefault="00A757BF" w:rsidP="00A757BF">
            <w:pPr>
              <w:rPr>
                <w:rFonts w:cs="Arial"/>
                <w:szCs w:val="22"/>
                <w:lang w:val="fr-FR"/>
              </w:rPr>
            </w:pPr>
            <w:r w:rsidRPr="00293B75">
              <w:rPr>
                <w:rFonts w:cs="Arial"/>
                <w:szCs w:val="22"/>
                <w:lang w:val="fr-FR"/>
              </w:rPr>
              <w:t>“Niveaux d’expression :</w:t>
            </w:r>
          </w:p>
          <w:p w:rsidR="00A757BF" w:rsidRPr="00293B75" w:rsidRDefault="00A757BF" w:rsidP="00A757BF">
            <w:pPr>
              <w:rPr>
                <w:rFonts w:cs="Arial"/>
                <w:szCs w:val="22"/>
                <w:lang w:val="fr-FR"/>
              </w:rPr>
            </w:pPr>
            <w:r w:rsidRPr="00293B75">
              <w:rPr>
                <w:rFonts w:cs="Arial"/>
                <w:szCs w:val="22"/>
                <w:lang w:val="fr-FR"/>
              </w:rPr>
              <w:t>Nombre de graine à observer : 100 graines</w:t>
            </w:r>
          </w:p>
          <w:p w:rsidR="00A757BF" w:rsidRPr="00293B75" w:rsidRDefault="00A757BF" w:rsidP="00A757BF">
            <w:pPr>
              <w:tabs>
                <w:tab w:val="left" w:pos="502"/>
              </w:tabs>
              <w:ind w:left="219"/>
              <w:rPr>
                <w:rFonts w:cs="Arial"/>
                <w:szCs w:val="22"/>
                <w:lang w:val="fr-FR"/>
              </w:rPr>
            </w:pPr>
            <w:r w:rsidRPr="00293B75">
              <w:rPr>
                <w:rFonts w:cs="Arial"/>
                <w:szCs w:val="22"/>
                <w:lang w:val="fr-FR"/>
              </w:rPr>
              <w:t>1</w:t>
            </w:r>
            <w:r w:rsidRPr="00293B75">
              <w:rPr>
                <w:rFonts w:cs="Arial"/>
                <w:szCs w:val="22"/>
                <w:lang w:val="fr-FR"/>
              </w:rPr>
              <w:tab/>
              <w:t>nulle ou très faible : ≤5% de tanins</w:t>
            </w:r>
          </w:p>
          <w:p w:rsidR="00A757BF" w:rsidRPr="00293B75" w:rsidRDefault="00A757BF" w:rsidP="00A757BF">
            <w:pPr>
              <w:tabs>
                <w:tab w:val="left" w:pos="502"/>
              </w:tabs>
              <w:ind w:left="219"/>
              <w:rPr>
                <w:rFonts w:cs="Arial"/>
                <w:szCs w:val="22"/>
                <w:lang w:val="fr-FR"/>
              </w:rPr>
            </w:pPr>
            <w:r w:rsidRPr="00293B75">
              <w:rPr>
                <w:rFonts w:cs="Arial"/>
                <w:szCs w:val="22"/>
                <w:lang w:val="fr-FR"/>
              </w:rPr>
              <w:t>2</w:t>
            </w:r>
            <w:r w:rsidRPr="00293B75">
              <w:rPr>
                <w:rFonts w:cs="Arial"/>
                <w:szCs w:val="22"/>
                <w:lang w:val="fr-FR"/>
              </w:rPr>
              <w:tab/>
              <w:t>moyenne : &gt;5% – &lt;95% de tanins</w:t>
            </w:r>
          </w:p>
          <w:p w:rsidR="00A757BF" w:rsidRPr="00293B75" w:rsidRDefault="00A757BF" w:rsidP="00A757BF">
            <w:pPr>
              <w:tabs>
                <w:tab w:val="left" w:pos="502"/>
              </w:tabs>
              <w:ind w:left="219"/>
              <w:rPr>
                <w:rFonts w:cs="Arial"/>
                <w:szCs w:val="22"/>
                <w:lang w:val="fr-FR"/>
              </w:rPr>
            </w:pPr>
            <w:r w:rsidRPr="00293B75">
              <w:rPr>
                <w:rFonts w:cs="Arial"/>
                <w:szCs w:val="22"/>
                <w:lang w:val="fr-FR"/>
              </w:rPr>
              <w:t>3</w:t>
            </w:r>
            <w:r w:rsidRPr="00293B75">
              <w:rPr>
                <w:rFonts w:cs="Arial"/>
                <w:szCs w:val="22"/>
                <w:lang w:val="fr-FR"/>
              </w:rPr>
              <w:tab/>
              <w:t>très élevée : ≥95% de tanins”</w:t>
            </w:r>
          </w:p>
        </w:tc>
      </w:tr>
      <w:tr w:rsidR="00293B75" w:rsidRPr="00293B75" w:rsidTr="00A757BF">
        <w:trPr>
          <w:cantSplit/>
        </w:trPr>
        <w:tc>
          <w:tcPr>
            <w:tcW w:w="1573" w:type="dxa"/>
          </w:tcPr>
          <w:p w:rsidR="00A757BF" w:rsidRPr="00293B75" w:rsidRDefault="00A757BF" w:rsidP="00A757BF">
            <w:pPr>
              <w:rPr>
                <w:rFonts w:cs="Arial"/>
                <w:szCs w:val="22"/>
                <w:lang w:val="fr-FR"/>
              </w:rPr>
            </w:pPr>
            <w:r w:rsidRPr="00293B75">
              <w:rPr>
                <w:rFonts w:cs="Arial"/>
                <w:szCs w:val="22"/>
                <w:lang w:val="fr-FR"/>
              </w:rPr>
              <w:t>9.</w:t>
            </w:r>
          </w:p>
        </w:tc>
        <w:tc>
          <w:tcPr>
            <w:tcW w:w="8074" w:type="dxa"/>
          </w:tcPr>
          <w:p w:rsidR="00A757BF" w:rsidRPr="00293B75" w:rsidRDefault="00A757BF" w:rsidP="00A757BF">
            <w:pPr>
              <w:rPr>
                <w:rFonts w:cs="Arial"/>
                <w:szCs w:val="22"/>
                <w:lang w:val="fr-FR"/>
              </w:rPr>
            </w:pPr>
            <w:r w:rsidRPr="00293B75">
              <w:rPr>
                <w:rFonts w:cs="Arial"/>
                <w:szCs w:val="22"/>
                <w:lang w:val="fr-FR"/>
              </w:rPr>
              <w:t>la bibliographie doit être en conformité avec le document TGP/7</w:t>
            </w:r>
          </w:p>
        </w:tc>
      </w:tr>
    </w:tbl>
    <w:p w:rsidR="00A757BF" w:rsidRPr="00293B75" w:rsidRDefault="00A757BF" w:rsidP="00A757BF">
      <w:pPr>
        <w:jc w:val="left"/>
        <w:rPr>
          <w:rFonts w:cs="Arial"/>
          <w:u w:val="single"/>
          <w:lang w:val="fr-FR"/>
        </w:rPr>
      </w:pPr>
    </w:p>
    <w:p w:rsidR="00A757BF" w:rsidRPr="00293B75" w:rsidRDefault="00A757BF" w:rsidP="00A757BF">
      <w:pPr>
        <w:jc w:val="left"/>
        <w:rPr>
          <w:rFonts w:cs="Arial"/>
          <w:u w:val="single"/>
          <w:lang w:val="fr-FR"/>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293B75" w:rsidRPr="00293B75" w:rsidTr="00A757BF">
        <w:trPr>
          <w:cantSplit/>
          <w:trHeight w:val="277"/>
        </w:trPr>
        <w:tc>
          <w:tcPr>
            <w:tcW w:w="345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Apple Rootstocks (</w:t>
            </w:r>
            <w:r w:rsidRPr="00293B75">
              <w:rPr>
                <w:rFonts w:cs="Arial"/>
                <w:i/>
                <w:caps w:val="0"/>
                <w:lang w:val="fr-FR"/>
              </w:rPr>
              <w:t>Malus</w:t>
            </w:r>
            <w:r w:rsidRPr="00293B75">
              <w:rPr>
                <w:rFonts w:cs="Arial"/>
                <w:caps w:val="0"/>
                <w:lang w:val="fr-FR"/>
              </w:rPr>
              <w:t xml:space="preserve"> Mill.)</w:t>
            </w:r>
          </w:p>
        </w:tc>
        <w:tc>
          <w:tcPr>
            <w:tcW w:w="198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TG/163/4(proj.7)</w:t>
            </w:r>
          </w:p>
        </w:tc>
      </w:tr>
      <w:tr w:rsidR="00293B75" w:rsidRPr="00293B75" w:rsidTr="00A757BF">
        <w:trPr>
          <w:cantSplit/>
          <w:trHeight w:val="230"/>
        </w:trPr>
        <w:tc>
          <w:tcPr>
            <w:tcW w:w="3458" w:type="dxa"/>
            <w:vMerge/>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p>
        </w:tc>
        <w:tc>
          <w:tcPr>
            <w:tcW w:w="1988" w:type="dxa"/>
            <w:vMerge/>
            <w:shd w:val="clear" w:color="auto" w:fill="D9D9D9"/>
          </w:tcPr>
          <w:p w:rsidR="00A757BF" w:rsidRPr="00293B75" w:rsidRDefault="00A757BF" w:rsidP="00A757BF">
            <w:pPr>
              <w:pStyle w:val="BodyText"/>
              <w:keepNext/>
              <w:jc w:val="left"/>
              <w:rPr>
                <w:rFonts w:cs="Arial"/>
                <w:lang w:val="fr-FR"/>
              </w:rPr>
            </w:pPr>
          </w:p>
        </w:tc>
      </w:tr>
    </w:tbl>
    <w:p w:rsidR="00A757BF" w:rsidRPr="00293B75" w:rsidRDefault="00A757BF" w:rsidP="00A757BF">
      <w:pPr>
        <w:keepNext/>
        <w:jc w:val="left"/>
        <w:rPr>
          <w:rFonts w:cs="Arial"/>
          <w:lang w:val="fr-FR"/>
        </w:rPr>
      </w:pPr>
    </w:p>
    <w:p w:rsidR="00A757BF" w:rsidRPr="00293B75" w:rsidRDefault="00A757BF" w:rsidP="00A757BF">
      <w:pPr>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w:t>
      </w:r>
      <w:r w:rsidRPr="00293B75">
        <w:rPr>
          <w:lang w:val="fr-FR"/>
        </w:rPr>
        <w:t xml:space="preserve"> </w:t>
      </w:r>
      <w:r w:rsidRPr="00293B75">
        <w:rPr>
          <w:rFonts w:cs="Arial"/>
          <w:lang w:val="fr-FR"/>
        </w:rPr>
        <w:t xml:space="preserve"> Sauf indication contraire, toutes ces observations figurent déjà dans le projet des principes directeurs d’examen (document TG/163/4(proj.7)) soumis au TC :</w:t>
      </w:r>
    </w:p>
    <w:p w:rsidR="00A757BF" w:rsidRPr="00293B75" w:rsidRDefault="00A757BF" w:rsidP="00A757BF">
      <w:pPr>
        <w:keepNext/>
        <w:jc w:val="left"/>
        <w:rPr>
          <w:rFonts w:cs="Arial"/>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797"/>
      </w:tblGrid>
      <w:tr w:rsidR="00293B75" w:rsidRPr="00293B75" w:rsidTr="00A757BF">
        <w:trPr>
          <w:cantSplit/>
        </w:trPr>
        <w:tc>
          <w:tcPr>
            <w:tcW w:w="1843" w:type="dxa"/>
          </w:tcPr>
          <w:p w:rsidR="00A757BF" w:rsidRPr="00293B75" w:rsidRDefault="00A757BF" w:rsidP="00A757BF">
            <w:pPr>
              <w:rPr>
                <w:rFonts w:cs="Arial"/>
                <w:lang w:val="fr-FR"/>
              </w:rPr>
            </w:pPr>
            <w:r w:rsidRPr="00293B75">
              <w:rPr>
                <w:rFonts w:cs="Arial"/>
                <w:lang w:val="fr-FR"/>
              </w:rPr>
              <w:t>2.3</w:t>
            </w:r>
          </w:p>
        </w:tc>
        <w:tc>
          <w:tcPr>
            <w:tcW w:w="7797" w:type="dxa"/>
          </w:tcPr>
          <w:p w:rsidR="00A757BF" w:rsidRPr="00293B75" w:rsidRDefault="00A757BF" w:rsidP="00A757BF">
            <w:pPr>
              <w:autoSpaceDE w:val="0"/>
              <w:autoSpaceDN w:val="0"/>
              <w:adjustRightInd w:val="0"/>
              <w:rPr>
                <w:rFonts w:cs="Arial"/>
                <w:lang w:val="fr-FR"/>
              </w:rPr>
            </w:pPr>
            <w:r w:rsidRPr="00293B75">
              <w:rPr>
                <w:rFonts w:cs="Arial"/>
                <w:lang w:val="fr-FR"/>
              </w:rPr>
              <w:t>remplacer “et/ou” par “ou”</w:t>
            </w:r>
          </w:p>
        </w:tc>
      </w:tr>
      <w:tr w:rsidR="00293B75" w:rsidRPr="00293B75" w:rsidTr="00A757BF">
        <w:trPr>
          <w:cantSplit/>
        </w:trPr>
        <w:tc>
          <w:tcPr>
            <w:tcW w:w="1843" w:type="dxa"/>
          </w:tcPr>
          <w:p w:rsidR="00A757BF" w:rsidRPr="00293B75" w:rsidRDefault="00A757BF" w:rsidP="00A757BF">
            <w:pPr>
              <w:rPr>
                <w:rFonts w:cs="Arial"/>
                <w:lang w:val="fr-FR"/>
              </w:rPr>
            </w:pPr>
            <w:r w:rsidRPr="00293B75">
              <w:rPr>
                <w:rFonts w:cs="Arial"/>
                <w:lang w:val="fr-FR"/>
              </w:rPr>
              <w:t>3.1</w:t>
            </w:r>
          </w:p>
        </w:tc>
        <w:tc>
          <w:tcPr>
            <w:tcW w:w="7797" w:type="dxa"/>
          </w:tcPr>
          <w:p w:rsidR="00A757BF" w:rsidRPr="00293B75" w:rsidRDefault="00A757BF" w:rsidP="00A757BF">
            <w:pPr>
              <w:autoSpaceDE w:val="0"/>
              <w:autoSpaceDN w:val="0"/>
              <w:adjustRightInd w:val="0"/>
              <w:rPr>
                <w:rFonts w:cs="Arial"/>
                <w:lang w:val="fr-FR"/>
              </w:rPr>
            </w:pPr>
            <w:r w:rsidRPr="00293B75">
              <w:rPr>
                <w:rFonts w:cs="Arial"/>
                <w:lang w:val="fr-FR"/>
              </w:rPr>
              <w:t>ajouter un texte standard supplémentaire afin de définir le cycle de végétation</w:t>
            </w:r>
          </w:p>
          <w:p w:rsidR="00A757BF" w:rsidRPr="00293B75" w:rsidRDefault="00A757BF" w:rsidP="00A757BF">
            <w:pPr>
              <w:autoSpaceDE w:val="0"/>
              <w:autoSpaceDN w:val="0"/>
              <w:adjustRightInd w:val="0"/>
              <w:rPr>
                <w:rFonts w:cs="Arial"/>
                <w:i/>
                <w:lang w:val="fr-FR"/>
              </w:rPr>
            </w:pPr>
            <w:r w:rsidRPr="00293B75">
              <w:rPr>
                <w:rFonts w:cs="Arial"/>
                <w:i/>
                <w:lang w:val="fr-FR"/>
              </w:rPr>
              <w:t>Expert principal : accepté</w:t>
            </w:r>
          </w:p>
        </w:tc>
      </w:tr>
      <w:tr w:rsidR="00293B75" w:rsidRPr="00293B75" w:rsidTr="00A757BF">
        <w:trPr>
          <w:cantSplit/>
          <w:trHeight w:val="432"/>
        </w:trPr>
        <w:tc>
          <w:tcPr>
            <w:tcW w:w="1843" w:type="dxa"/>
          </w:tcPr>
          <w:p w:rsidR="00A757BF" w:rsidRPr="00293B75" w:rsidRDefault="00A757BF" w:rsidP="00A757BF">
            <w:pPr>
              <w:jc w:val="left"/>
              <w:rPr>
                <w:rFonts w:cs="Arial"/>
                <w:lang w:val="fr-FR"/>
              </w:rPr>
            </w:pPr>
            <w:r w:rsidRPr="00293B75">
              <w:rPr>
                <w:rFonts w:cs="Arial"/>
                <w:lang w:val="fr-FR"/>
              </w:rPr>
              <w:t>Tableau des caractères</w:t>
            </w:r>
          </w:p>
        </w:tc>
        <w:tc>
          <w:tcPr>
            <w:tcW w:w="7797" w:type="dxa"/>
          </w:tcPr>
          <w:p w:rsidR="00A757BF" w:rsidRPr="00293B75" w:rsidRDefault="00A757BF" w:rsidP="00A757BF">
            <w:pPr>
              <w:autoSpaceDE w:val="0"/>
              <w:autoSpaceDN w:val="0"/>
              <w:adjustRightInd w:val="0"/>
              <w:rPr>
                <w:rFonts w:cs="Arial"/>
                <w:lang w:val="fr-FR"/>
              </w:rPr>
            </w:pPr>
            <w:r w:rsidRPr="00293B75">
              <w:rPr>
                <w:rFonts w:cs="Arial"/>
                <w:lang w:val="fr-FR"/>
              </w:rPr>
              <w:t>replacer la série de variétés d’Afrique du Sud à titre d’exemple à l’annexe (et actualiser le chapitre 6.4 en conséquence)</w:t>
            </w:r>
          </w:p>
          <w:p w:rsidR="00A757BF" w:rsidRPr="00293B75" w:rsidRDefault="00A757BF" w:rsidP="00A757BF">
            <w:pPr>
              <w:autoSpaceDE w:val="0"/>
              <w:autoSpaceDN w:val="0"/>
              <w:adjustRightInd w:val="0"/>
              <w:rPr>
                <w:rFonts w:cs="Arial"/>
                <w:lang w:val="fr-FR"/>
              </w:rPr>
            </w:pPr>
            <w:r w:rsidRPr="00293B75">
              <w:rPr>
                <w:rFonts w:cs="Arial"/>
                <w:i/>
                <w:lang w:val="fr-FR"/>
              </w:rPr>
              <w:t xml:space="preserve">prévu par l’Expert principal </w:t>
            </w:r>
          </w:p>
        </w:tc>
      </w:tr>
      <w:tr w:rsidR="00293B75" w:rsidRPr="00293B75" w:rsidTr="00A757BF">
        <w:trPr>
          <w:cantSplit/>
        </w:trPr>
        <w:tc>
          <w:tcPr>
            <w:tcW w:w="1843" w:type="dxa"/>
          </w:tcPr>
          <w:p w:rsidR="00A757BF" w:rsidRPr="00293B75" w:rsidRDefault="00A757BF" w:rsidP="00A757BF">
            <w:pPr>
              <w:jc w:val="left"/>
              <w:rPr>
                <w:rFonts w:cs="Arial"/>
                <w:lang w:val="fr-FR"/>
              </w:rPr>
            </w:pPr>
            <w:r w:rsidRPr="00293B75">
              <w:rPr>
                <w:rFonts w:cs="Arial"/>
                <w:lang w:val="fr-FR"/>
              </w:rPr>
              <w:t>Tableau des caractères</w:t>
            </w:r>
          </w:p>
        </w:tc>
        <w:tc>
          <w:tcPr>
            <w:tcW w:w="7797" w:type="dxa"/>
          </w:tcPr>
          <w:p w:rsidR="00A757BF" w:rsidRPr="00293B75" w:rsidRDefault="00A757BF" w:rsidP="00A757BF">
            <w:pPr>
              <w:autoSpaceDE w:val="0"/>
              <w:autoSpaceDN w:val="0"/>
              <w:adjustRightInd w:val="0"/>
              <w:rPr>
                <w:rFonts w:cs="Arial"/>
                <w:lang w:val="fr-FR"/>
              </w:rPr>
            </w:pPr>
            <w:r w:rsidRPr="00293B75">
              <w:rPr>
                <w:rFonts w:cs="Arial"/>
                <w:lang w:val="fr-FR"/>
              </w:rPr>
              <w:t>dans un souci d’uniformité, les types A et B doivent être indiqués entre [ ], et figurer au</w:t>
            </w:r>
            <w:r w:rsidRPr="00293B75">
              <w:rPr>
                <w:rFonts w:cs="Arial"/>
                <w:lang w:val="fr-FR"/>
              </w:rPr>
              <w:noBreakHyphen/>
              <w:t>dessus de la méthode d’observation</w:t>
            </w:r>
          </w:p>
        </w:tc>
      </w:tr>
      <w:tr w:rsidR="00293B75" w:rsidRPr="00293B75" w:rsidTr="00A757BF">
        <w:trPr>
          <w:cantSplit/>
        </w:trPr>
        <w:tc>
          <w:tcPr>
            <w:tcW w:w="1843" w:type="dxa"/>
          </w:tcPr>
          <w:p w:rsidR="00A757BF" w:rsidRPr="00293B75" w:rsidRDefault="00A757BF" w:rsidP="00A757BF">
            <w:pPr>
              <w:rPr>
                <w:rFonts w:cs="Arial"/>
                <w:lang w:val="fr-FR"/>
              </w:rPr>
            </w:pPr>
            <w:r w:rsidRPr="00293B75">
              <w:rPr>
                <w:rFonts w:cs="Arial"/>
                <w:lang w:val="fr-FR"/>
              </w:rPr>
              <w:t>car. 33</w:t>
            </w:r>
          </w:p>
        </w:tc>
        <w:tc>
          <w:tcPr>
            <w:tcW w:w="7797" w:type="dxa"/>
          </w:tcPr>
          <w:p w:rsidR="00A757BF" w:rsidRPr="00293B75" w:rsidRDefault="00A757BF" w:rsidP="00A757BF">
            <w:pPr>
              <w:rPr>
                <w:rFonts w:cs="Arial"/>
                <w:lang w:val="fr-FR"/>
              </w:rPr>
            </w:pPr>
            <w:r w:rsidRPr="00293B75">
              <w:rPr>
                <w:rFonts w:cs="Arial"/>
                <w:lang w:val="fr-FR"/>
              </w:rPr>
              <w:t>doit être libellé comme suit “Pétiole : longueur par rapport à la longueur du limbe”</w:t>
            </w:r>
          </w:p>
        </w:tc>
      </w:tr>
      <w:tr w:rsidR="00293B75" w:rsidRPr="00293B75" w:rsidTr="00A757BF">
        <w:trPr>
          <w:cantSplit/>
        </w:trPr>
        <w:tc>
          <w:tcPr>
            <w:tcW w:w="1843" w:type="dxa"/>
          </w:tcPr>
          <w:p w:rsidR="00A757BF" w:rsidRPr="00293B75" w:rsidRDefault="00A757BF" w:rsidP="00A757BF">
            <w:pPr>
              <w:rPr>
                <w:rFonts w:cs="Arial"/>
                <w:lang w:val="fr-FR"/>
              </w:rPr>
            </w:pPr>
            <w:r w:rsidRPr="00293B75">
              <w:rPr>
                <w:rFonts w:cs="Arial"/>
                <w:lang w:val="fr-FR"/>
              </w:rPr>
              <w:t>car. 37</w:t>
            </w:r>
          </w:p>
        </w:tc>
        <w:tc>
          <w:tcPr>
            <w:tcW w:w="7797" w:type="dxa"/>
          </w:tcPr>
          <w:p w:rsidR="00A757BF" w:rsidRPr="00293B75" w:rsidRDefault="00A757BF" w:rsidP="00A757BF">
            <w:pPr>
              <w:rPr>
                <w:rFonts w:cs="Arial"/>
                <w:strike/>
                <w:lang w:val="fr-FR"/>
              </w:rPr>
            </w:pPr>
            <w:r w:rsidRPr="00293B75">
              <w:rPr>
                <w:rFonts w:cs="Arial"/>
                <w:lang w:val="fr-FR"/>
              </w:rPr>
              <w:t>supprimer l’espace devant “rose moyen”</w:t>
            </w:r>
          </w:p>
        </w:tc>
      </w:tr>
      <w:tr w:rsidR="00293B75" w:rsidRPr="00293B75" w:rsidTr="00A757BF">
        <w:trPr>
          <w:cantSplit/>
        </w:trPr>
        <w:tc>
          <w:tcPr>
            <w:tcW w:w="1843" w:type="dxa"/>
          </w:tcPr>
          <w:p w:rsidR="00A757BF" w:rsidRPr="00293B75" w:rsidRDefault="00A757BF" w:rsidP="00A757BF">
            <w:pPr>
              <w:rPr>
                <w:rFonts w:cs="Arial"/>
                <w:lang w:val="fr-FR"/>
              </w:rPr>
            </w:pPr>
            <w:r w:rsidRPr="00293B75">
              <w:rPr>
                <w:rFonts w:cs="Arial"/>
                <w:lang w:val="fr-FR"/>
              </w:rPr>
              <w:t>car. 46, 47</w:t>
            </w:r>
          </w:p>
        </w:tc>
        <w:tc>
          <w:tcPr>
            <w:tcW w:w="7797" w:type="dxa"/>
          </w:tcPr>
          <w:p w:rsidR="00A757BF" w:rsidRPr="00293B75" w:rsidRDefault="00A757BF" w:rsidP="00A757BF">
            <w:pPr>
              <w:rPr>
                <w:rFonts w:cs="Arial"/>
                <w:lang w:val="fr-FR"/>
              </w:rPr>
            </w:pPr>
            <w:r w:rsidRPr="00293B75">
              <w:rPr>
                <w:rFonts w:cs="Arial"/>
                <w:lang w:val="fr-FR"/>
              </w:rPr>
              <w:t>ajouter une explication sur la couleur de fond et du lavis (voir le document TGP/14)</w:t>
            </w:r>
          </w:p>
          <w:p w:rsidR="00A757BF" w:rsidRPr="00293B75" w:rsidRDefault="00A757BF" w:rsidP="00A757BF">
            <w:pPr>
              <w:rPr>
                <w:rFonts w:cs="Arial"/>
                <w:lang w:val="fr-FR"/>
              </w:rPr>
            </w:pPr>
            <w:r w:rsidRPr="00293B75">
              <w:rPr>
                <w:rFonts w:cs="Arial"/>
                <w:i/>
                <w:lang w:val="fr-FR"/>
              </w:rPr>
              <w:t xml:space="preserve">fournie par l’Expert principal </w:t>
            </w:r>
          </w:p>
        </w:tc>
      </w:tr>
      <w:tr w:rsidR="00293B75" w:rsidRPr="00293B75" w:rsidTr="00A757BF">
        <w:trPr>
          <w:cantSplit/>
        </w:trPr>
        <w:tc>
          <w:tcPr>
            <w:tcW w:w="1843" w:type="dxa"/>
          </w:tcPr>
          <w:p w:rsidR="00A757BF" w:rsidRPr="00293B75" w:rsidRDefault="00A757BF" w:rsidP="00A757BF">
            <w:pPr>
              <w:rPr>
                <w:rFonts w:cs="Arial"/>
                <w:lang w:val="fr-FR"/>
              </w:rPr>
            </w:pPr>
            <w:r w:rsidRPr="00293B75">
              <w:rPr>
                <w:rFonts w:cs="Arial"/>
                <w:lang w:val="fr-FR"/>
              </w:rPr>
              <w:t>8.1</w:t>
            </w:r>
          </w:p>
        </w:tc>
        <w:tc>
          <w:tcPr>
            <w:tcW w:w="7797" w:type="dxa"/>
          </w:tcPr>
          <w:p w:rsidR="00A757BF" w:rsidRPr="00293B75" w:rsidRDefault="00A757BF" w:rsidP="00A757BF">
            <w:pPr>
              <w:rPr>
                <w:rFonts w:cs="Arial"/>
                <w:lang w:val="fr-FR"/>
              </w:rPr>
            </w:pPr>
            <w:r w:rsidRPr="00293B75">
              <w:rPr>
                <w:rFonts w:cs="Arial"/>
                <w:lang w:val="fr-FR"/>
              </w:rPr>
              <w:t>ne pas souligner</w:t>
            </w:r>
          </w:p>
        </w:tc>
      </w:tr>
      <w:tr w:rsidR="00293B75" w:rsidRPr="00293B75" w:rsidTr="00A757BF">
        <w:trPr>
          <w:cantSplit/>
        </w:trPr>
        <w:tc>
          <w:tcPr>
            <w:tcW w:w="1843" w:type="dxa"/>
          </w:tcPr>
          <w:p w:rsidR="00A757BF" w:rsidRPr="00293B75" w:rsidRDefault="00A757BF" w:rsidP="00A757BF">
            <w:pPr>
              <w:rPr>
                <w:rFonts w:cs="Arial"/>
                <w:lang w:val="fr-FR"/>
              </w:rPr>
            </w:pPr>
            <w:r w:rsidRPr="00293B75">
              <w:rPr>
                <w:rFonts w:cs="Arial"/>
                <w:lang w:val="fr-FR"/>
              </w:rPr>
              <w:t>Ad. 4</w:t>
            </w:r>
          </w:p>
        </w:tc>
        <w:tc>
          <w:tcPr>
            <w:tcW w:w="7797" w:type="dxa"/>
          </w:tcPr>
          <w:p w:rsidR="00A757BF" w:rsidRPr="00293B75" w:rsidRDefault="00A757BF" w:rsidP="00A757BF">
            <w:pPr>
              <w:rPr>
                <w:rFonts w:cs="Arial"/>
                <w:lang w:val="fr-FR"/>
              </w:rPr>
            </w:pPr>
            <w:r w:rsidRPr="00293B75">
              <w:rPr>
                <w:rFonts w:cs="Arial"/>
                <w:lang w:val="fr-FR"/>
              </w:rPr>
              <w:t xml:space="preserve">préciser s’il convient de conserver </w:t>
            </w:r>
            <w:r w:rsidRPr="00293B75">
              <w:rPr>
                <w:rFonts w:cs="Arial"/>
                <w:i/>
                <w:lang w:val="fr-FR"/>
              </w:rPr>
              <w:t>“</w:t>
            </w:r>
            <w:r w:rsidRPr="00293B75">
              <w:rPr>
                <w:rFonts w:cs="Arial"/>
                <w:lang w:val="fr-FR"/>
              </w:rPr>
              <w:t>s’applique uniquement à B</w:t>
            </w:r>
            <w:r w:rsidRPr="00293B75">
              <w:rPr>
                <w:rFonts w:cs="Arial"/>
                <w:i/>
                <w:lang w:val="fr-FR"/>
              </w:rPr>
              <w:t>”</w:t>
            </w:r>
          </w:p>
          <w:p w:rsidR="00A757BF" w:rsidRPr="00293B75" w:rsidRDefault="00A757BF" w:rsidP="00A757BF">
            <w:pPr>
              <w:rPr>
                <w:rFonts w:cs="Arial"/>
                <w:lang w:val="fr-FR"/>
              </w:rPr>
            </w:pPr>
            <w:r w:rsidRPr="00293B75">
              <w:rPr>
                <w:rFonts w:cs="Arial"/>
                <w:lang w:val="fr-FR"/>
              </w:rPr>
              <w:t>si oui, fournir une illustration pour A aussi</w:t>
            </w:r>
          </w:p>
          <w:p w:rsidR="00A757BF" w:rsidRPr="00293B75" w:rsidRDefault="00A757BF" w:rsidP="00A757BF">
            <w:pPr>
              <w:rPr>
                <w:rFonts w:cs="Arial"/>
                <w:lang w:val="fr-FR"/>
              </w:rPr>
            </w:pPr>
            <w:r w:rsidRPr="00293B75">
              <w:rPr>
                <w:rFonts w:cs="Arial"/>
                <w:i/>
                <w:lang w:val="fr-FR"/>
              </w:rPr>
              <w:t>Expert principal : supprimer “s’applique uniquement à B”, l’illustration peut être utilisée pour les marcottières et les arbres.</w:t>
            </w:r>
          </w:p>
        </w:tc>
      </w:tr>
      <w:tr w:rsidR="00293B75" w:rsidRPr="00293B75" w:rsidTr="00A757BF">
        <w:trPr>
          <w:cantSplit/>
        </w:trPr>
        <w:tc>
          <w:tcPr>
            <w:tcW w:w="1843" w:type="dxa"/>
          </w:tcPr>
          <w:p w:rsidR="00A757BF" w:rsidRPr="00293B75" w:rsidRDefault="00A757BF" w:rsidP="00A757BF">
            <w:pPr>
              <w:rPr>
                <w:rFonts w:cs="Arial"/>
                <w:lang w:val="fr-FR"/>
              </w:rPr>
            </w:pPr>
            <w:r w:rsidRPr="00293B75">
              <w:rPr>
                <w:rFonts w:cs="Arial"/>
                <w:lang w:val="fr-FR"/>
              </w:rPr>
              <w:t>Questionnaire technique 5.2</w:t>
            </w:r>
          </w:p>
        </w:tc>
        <w:tc>
          <w:tcPr>
            <w:tcW w:w="7797" w:type="dxa"/>
          </w:tcPr>
          <w:p w:rsidR="00A757BF" w:rsidRPr="00293B75" w:rsidRDefault="00A757BF" w:rsidP="00A757BF">
            <w:pPr>
              <w:rPr>
                <w:rFonts w:cs="Arial"/>
                <w:lang w:val="fr-FR"/>
              </w:rPr>
            </w:pPr>
            <w:r w:rsidRPr="00293B75">
              <w:rPr>
                <w:rFonts w:cs="Arial"/>
                <w:lang w:val="fr-FR"/>
              </w:rPr>
              <w:t>ajouter “(pour les marcottières)” au titre</w:t>
            </w:r>
          </w:p>
        </w:tc>
      </w:tr>
    </w:tbl>
    <w:p w:rsidR="00A757BF" w:rsidRPr="00293B75" w:rsidRDefault="00A757BF" w:rsidP="00A757BF">
      <w:pPr>
        <w:jc w:val="left"/>
        <w:rPr>
          <w:rFonts w:cs="Arial"/>
          <w:lang w:val="fr-FR"/>
        </w:rPr>
      </w:pPr>
    </w:p>
    <w:p w:rsidR="00A757BF" w:rsidRPr="00293B75" w:rsidRDefault="00A757BF" w:rsidP="00A757BF">
      <w:pPr>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A757BF" w:rsidRPr="00293B75" w:rsidRDefault="00A757BF" w:rsidP="00A757BF">
      <w:pPr>
        <w:jc w:val="left"/>
        <w:rPr>
          <w:rFonts w:cs="Arial"/>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Généralités</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bl>
    <w:p w:rsidR="00A757BF" w:rsidRPr="00293B75" w:rsidRDefault="00A757BF" w:rsidP="00A757BF">
      <w:pPr>
        <w:jc w:val="left"/>
        <w:rPr>
          <w:rFonts w:cs="Arial"/>
          <w:lang w:val="fr-FR"/>
        </w:rPr>
      </w:pPr>
    </w:p>
    <w:p w:rsidR="00A757BF" w:rsidRPr="00293B75" w:rsidRDefault="00A757BF" w:rsidP="00A757BF">
      <w:pPr>
        <w:jc w:val="left"/>
        <w:rPr>
          <w:rFonts w:cs="Arial"/>
          <w:lang w:val="fr-FR"/>
        </w:rPr>
      </w:pPr>
    </w:p>
    <w:tbl>
      <w:tblPr>
        <w:tblW w:w="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58"/>
        <w:gridCol w:w="1988"/>
      </w:tblGrid>
      <w:tr w:rsidR="00293B75" w:rsidRPr="00293B75" w:rsidTr="00A757BF">
        <w:trPr>
          <w:cantSplit/>
          <w:trHeight w:val="277"/>
        </w:trPr>
        <w:tc>
          <w:tcPr>
            <w:tcW w:w="345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 xml:space="preserve">Lentille </w:t>
            </w:r>
            <w:r w:rsidRPr="00293B75">
              <w:rPr>
                <w:rFonts w:cs="Arial"/>
                <w:i/>
                <w:caps w:val="0"/>
                <w:lang w:val="fr-FR"/>
              </w:rPr>
              <w:t>(Lens culinaris Medik)</w:t>
            </w:r>
          </w:p>
        </w:tc>
        <w:tc>
          <w:tcPr>
            <w:tcW w:w="1988" w:type="dxa"/>
            <w:vMerge w:val="restart"/>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r w:rsidRPr="00293B75">
              <w:rPr>
                <w:rFonts w:cs="Arial"/>
                <w:caps w:val="0"/>
                <w:lang w:val="fr-FR"/>
              </w:rPr>
              <w:t>TG/210/2(proj.4)</w:t>
            </w:r>
          </w:p>
        </w:tc>
      </w:tr>
      <w:tr w:rsidR="00293B75" w:rsidRPr="00293B75" w:rsidTr="00A757BF">
        <w:trPr>
          <w:cantSplit/>
          <w:trHeight w:hRule="exact" w:val="74"/>
        </w:trPr>
        <w:tc>
          <w:tcPr>
            <w:tcW w:w="3458" w:type="dxa"/>
            <w:vMerge/>
            <w:shd w:val="clear" w:color="auto" w:fill="D9D9D9"/>
            <w:vAlign w:val="center"/>
          </w:tcPr>
          <w:p w:rsidR="00A757BF" w:rsidRPr="00293B75" w:rsidRDefault="00A757BF" w:rsidP="00A757BF">
            <w:pPr>
              <w:pStyle w:val="TitleofDoc"/>
              <w:keepNext/>
              <w:tabs>
                <w:tab w:val="left" w:pos="5245"/>
                <w:tab w:val="left" w:pos="7008"/>
              </w:tabs>
              <w:spacing w:before="0"/>
              <w:jc w:val="left"/>
              <w:rPr>
                <w:rFonts w:cs="Arial"/>
                <w:caps w:val="0"/>
                <w:lang w:val="fr-FR"/>
              </w:rPr>
            </w:pPr>
          </w:p>
        </w:tc>
        <w:tc>
          <w:tcPr>
            <w:tcW w:w="1988" w:type="dxa"/>
            <w:vMerge/>
            <w:shd w:val="clear" w:color="auto" w:fill="D9D9D9"/>
          </w:tcPr>
          <w:p w:rsidR="00A757BF" w:rsidRPr="00293B75" w:rsidRDefault="00A757BF" w:rsidP="00A757BF">
            <w:pPr>
              <w:pStyle w:val="BodyText"/>
              <w:keepNext/>
              <w:jc w:val="left"/>
              <w:rPr>
                <w:rFonts w:cs="Arial"/>
                <w:lang w:val="fr-FR"/>
              </w:rPr>
            </w:pPr>
          </w:p>
        </w:tc>
      </w:tr>
    </w:tbl>
    <w:p w:rsidR="00A757BF" w:rsidRPr="00293B75" w:rsidRDefault="00A757BF" w:rsidP="00A757BF">
      <w:pPr>
        <w:keepNext/>
        <w:jc w:val="left"/>
        <w:rPr>
          <w:rFonts w:cs="Arial"/>
          <w:lang w:val="fr-FR"/>
        </w:rPr>
      </w:pPr>
    </w:p>
    <w:p w:rsidR="00A757BF" w:rsidRPr="00293B75" w:rsidRDefault="00A757BF" w:rsidP="00A757BF">
      <w:pPr>
        <w:keepNext/>
        <w:autoSpaceDE w:val="0"/>
        <w:autoSpaceDN w:val="0"/>
        <w:adjustRightInd w:val="0"/>
        <w:ind w:firstLine="567"/>
        <w:rPr>
          <w:rFonts w:cs="Arial"/>
          <w:lang w:val="fr-FR"/>
        </w:rPr>
      </w:pPr>
      <w:r w:rsidRPr="00293B75">
        <w:rPr>
          <w:rFonts w:cs="Arial"/>
          <w:lang w:val="fr-FR"/>
        </w:rPr>
        <w:t>a)</w:t>
      </w:r>
      <w:r w:rsidRPr="00293B75">
        <w:rPr>
          <w:rFonts w:cs="Arial"/>
          <w:lang w:val="fr-FR"/>
        </w:rPr>
        <w:tab/>
        <w:t>Le tableau ci</w:t>
      </w:r>
      <w:r w:rsidRPr="00293B75">
        <w:rPr>
          <w:rFonts w:cs="Arial"/>
          <w:lang w:val="fr-FR"/>
        </w:rPr>
        <w:noBreakHyphen/>
        <w:t>après contient les observations formulées par le Comité de rédaction élargi à sa réunion les 7 et 8 janvier 2015.</w:t>
      </w:r>
      <w:r w:rsidRPr="00293B75">
        <w:rPr>
          <w:lang w:val="fr-FR"/>
        </w:rPr>
        <w:t xml:space="preserve"> </w:t>
      </w:r>
      <w:r w:rsidRPr="00293B75">
        <w:rPr>
          <w:rFonts w:cs="Arial"/>
          <w:lang w:val="fr-FR"/>
        </w:rPr>
        <w:t xml:space="preserve"> Sauf indication contraire, toutes ces observations figurent déjà dans le projet des principes directeurs d’examen (document TG/210/2(proj.4)) soumis au TC :</w:t>
      </w:r>
    </w:p>
    <w:p w:rsidR="00A757BF" w:rsidRPr="00293B75" w:rsidRDefault="00A757BF" w:rsidP="00A757BF">
      <w:pPr>
        <w:keepNext/>
        <w:jc w:val="left"/>
        <w:rPr>
          <w:rFonts w:cs="Arial"/>
          <w:lang w:val="fr-FR"/>
        </w:rPr>
      </w:pPr>
    </w:p>
    <w:tbl>
      <w:tblPr>
        <w:tblW w:w="963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0"/>
      </w:tblGrid>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3.4.1</w:t>
            </w:r>
          </w:p>
        </w:tc>
        <w:tc>
          <w:tcPr>
            <w:tcW w:w="8060" w:type="dxa"/>
          </w:tcPr>
          <w:p w:rsidR="00A757BF" w:rsidRPr="00293B75" w:rsidRDefault="00A757BF" w:rsidP="00A757BF">
            <w:pPr>
              <w:autoSpaceDE w:val="0"/>
              <w:autoSpaceDN w:val="0"/>
              <w:adjustRightInd w:val="0"/>
              <w:rPr>
                <w:rFonts w:cs="Arial"/>
                <w:lang w:val="fr-FR"/>
              </w:rPr>
            </w:pPr>
            <w:r w:rsidRPr="00293B75">
              <w:rPr>
                <w:rFonts w:cs="Arial"/>
                <w:lang w:val="fr-FR"/>
              </w:rPr>
              <w:t>doit être libellé comme suit “</w:t>
            </w:r>
            <w:r w:rsidRPr="00293B75">
              <w:rPr>
                <w:lang w:val="fr-FR"/>
              </w:rPr>
              <w:t xml:space="preserve">Chaque essai doit être conçu de manière à porter au total sur 100 plantes au moins, </w:t>
            </w:r>
            <w:r w:rsidRPr="00293B75">
              <w:rPr>
                <w:noProof/>
                <w:lang w:val="fr-FR"/>
              </w:rPr>
              <w:t>qui doivent être réparties en 2 répétitions au moins</w:t>
            </w:r>
            <w:r w:rsidRPr="00293B75">
              <w:rPr>
                <w:rFonts w:cs="Arial"/>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w:t>
            </w:r>
          </w:p>
        </w:tc>
        <w:tc>
          <w:tcPr>
            <w:tcW w:w="8060" w:type="dxa"/>
          </w:tcPr>
          <w:p w:rsidR="00A757BF" w:rsidRPr="00293B75" w:rsidRDefault="00A757BF" w:rsidP="00A757BF">
            <w:pPr>
              <w:autoSpaceDE w:val="0"/>
              <w:autoSpaceDN w:val="0"/>
              <w:adjustRightInd w:val="0"/>
              <w:rPr>
                <w:rFonts w:cs="Arial"/>
                <w:lang w:val="fr-FR"/>
              </w:rPr>
            </w:pPr>
            <w:r w:rsidRPr="00293B75">
              <w:rPr>
                <w:rFonts w:cs="Arial"/>
                <w:lang w:val="fr-FR"/>
              </w:rPr>
              <w:t>le niveau 1 doit être libellé comme suit “dressé”, le niveau 3 doit être libellé comme suit “demi</w:t>
            </w:r>
            <w:r w:rsidRPr="00293B75">
              <w:rPr>
                <w:rFonts w:cs="Arial"/>
                <w:lang w:val="fr-FR"/>
              </w:rPr>
              <w:noBreakHyphen/>
              <w:t>dressé”</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13</w:t>
            </w:r>
          </w:p>
        </w:tc>
        <w:tc>
          <w:tcPr>
            <w:tcW w:w="8060" w:type="dxa"/>
          </w:tcPr>
          <w:p w:rsidR="00A757BF" w:rsidRPr="00293B75" w:rsidRDefault="00A757BF" w:rsidP="00A757BF">
            <w:pPr>
              <w:rPr>
                <w:rFonts w:cs="Arial"/>
                <w:lang w:val="fr-FR"/>
              </w:rPr>
            </w:pPr>
            <w:r w:rsidRPr="00293B75">
              <w:rPr>
                <w:rFonts w:cs="Arial"/>
                <w:lang w:val="fr-FR"/>
              </w:rPr>
              <w:t>déplacer l’explication de 8.1 à 8.2 (remplacer (b) par (+)).voir la remarque sur le caractère 14.</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14</w:t>
            </w:r>
          </w:p>
        </w:tc>
        <w:tc>
          <w:tcPr>
            <w:tcW w:w="8060" w:type="dxa"/>
          </w:tcPr>
          <w:p w:rsidR="00A757BF" w:rsidRPr="00293B75" w:rsidRDefault="00A757BF" w:rsidP="00A757BF">
            <w:pPr>
              <w:rPr>
                <w:rFonts w:cs="Arial"/>
                <w:lang w:val="fr-FR"/>
              </w:rPr>
            </w:pPr>
            <w:r w:rsidRPr="00293B75">
              <w:rPr>
                <w:rFonts w:cs="Arial"/>
                <w:lang w:val="fr-FR"/>
              </w:rPr>
              <w:t>supprimer (b) et (c), car ils sont couverts par (+)</w:t>
            </w:r>
          </w:p>
        </w:tc>
      </w:tr>
      <w:tr w:rsidR="00293B75" w:rsidRPr="00293B75" w:rsidTr="00A757BF">
        <w:trPr>
          <w:cantSplit/>
        </w:trPr>
        <w:tc>
          <w:tcPr>
            <w:tcW w:w="1573" w:type="dxa"/>
          </w:tcPr>
          <w:p w:rsidR="00A757BF" w:rsidRPr="00293B75" w:rsidDel="006F2101" w:rsidRDefault="00A757BF" w:rsidP="00A757BF">
            <w:pPr>
              <w:rPr>
                <w:rFonts w:cs="Arial"/>
                <w:lang w:val="fr-FR"/>
              </w:rPr>
            </w:pPr>
            <w:r w:rsidRPr="00293B75">
              <w:rPr>
                <w:rFonts w:cs="Arial"/>
                <w:lang w:val="fr-FR"/>
              </w:rPr>
              <w:t>car. 15</w:t>
            </w:r>
          </w:p>
        </w:tc>
        <w:tc>
          <w:tcPr>
            <w:tcW w:w="8060" w:type="dxa"/>
          </w:tcPr>
          <w:p w:rsidR="00A757BF" w:rsidRPr="00293B75" w:rsidDel="006F2101" w:rsidRDefault="00A757BF" w:rsidP="00A757BF">
            <w:pPr>
              <w:rPr>
                <w:rFonts w:cs="Arial"/>
                <w:lang w:val="fr-FR"/>
              </w:rPr>
            </w:pPr>
            <w:r w:rsidRPr="00293B75">
              <w:rPr>
                <w:rFonts w:cs="Arial"/>
                <w:lang w:val="fr-FR"/>
              </w:rPr>
              <w:t>supprimer (c) et ajouter (+) et une explication</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16</w:t>
            </w:r>
          </w:p>
        </w:tc>
        <w:tc>
          <w:tcPr>
            <w:tcW w:w="8060" w:type="dxa"/>
          </w:tcPr>
          <w:p w:rsidR="00A757BF" w:rsidRPr="00293B75" w:rsidRDefault="00A757BF" w:rsidP="00A757BF">
            <w:pPr>
              <w:rPr>
                <w:rFonts w:cs="Arial"/>
                <w:lang w:val="fr-FR"/>
              </w:rPr>
            </w:pPr>
            <w:r w:rsidRPr="00293B75">
              <w:rPr>
                <w:rFonts w:cs="Arial"/>
                <w:lang w:val="fr-FR"/>
              </w:rPr>
              <w:t>supprimer (c)</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17 à 21</w:t>
            </w:r>
          </w:p>
          <w:p w:rsidR="00A757BF" w:rsidRPr="00293B75" w:rsidRDefault="00A757BF" w:rsidP="00A757BF">
            <w:pPr>
              <w:rPr>
                <w:rFonts w:cs="Arial"/>
                <w:lang w:val="fr-FR"/>
              </w:rPr>
            </w:pPr>
            <w:r w:rsidRPr="00293B75">
              <w:rPr>
                <w:rFonts w:cs="Arial"/>
                <w:lang w:val="fr-FR"/>
              </w:rPr>
              <w:t>Ad.  17 à 21</w:t>
            </w:r>
          </w:p>
        </w:tc>
        <w:tc>
          <w:tcPr>
            <w:tcW w:w="8060" w:type="dxa"/>
          </w:tcPr>
          <w:p w:rsidR="00A757BF" w:rsidRPr="00293B75" w:rsidRDefault="00A757BF" w:rsidP="00A757BF">
            <w:pPr>
              <w:rPr>
                <w:rFonts w:cs="Arial"/>
                <w:lang w:val="fr-FR"/>
              </w:rPr>
            </w:pPr>
            <w:r w:rsidRPr="00293B75">
              <w:rPr>
                <w:rFonts w:cs="Arial"/>
                <w:lang w:val="fr-FR"/>
              </w:rPr>
              <w:t>inclure les Ad.  17 – 21 actuels dans le 8.1.</w:t>
            </w:r>
          </w:p>
          <w:p w:rsidR="00A757BF" w:rsidRPr="00293B75" w:rsidRDefault="00A757BF" w:rsidP="00A757BF">
            <w:pPr>
              <w:rPr>
                <w:rFonts w:cs="Arial"/>
                <w:u w:val="single"/>
                <w:lang w:val="fr-FR"/>
              </w:rPr>
            </w:pPr>
            <w:r w:rsidRPr="00293B75">
              <w:rPr>
                <w:rFonts w:cs="Arial"/>
                <w:lang w:val="fr-FR"/>
              </w:rPr>
              <w:t xml:space="preserve">doit être libellé comme suit “Semence : …” et ajouter une explication au 8.1 selon laquelle les </w:t>
            </w:r>
            <w:r w:rsidRPr="00293B75">
              <w:rPr>
                <w:rFonts w:eastAsiaTheme="minorEastAsia"/>
                <w:lang w:val="fr-FR"/>
              </w:rPr>
              <w:t>observations doivent être effectuées sur des graines sèches</w:t>
            </w:r>
            <w:r w:rsidRPr="00293B75">
              <w:rPr>
                <w:rFonts w:cs="Arial"/>
                <w:lang w:val="fr-FR"/>
              </w:rPr>
              <w:t>.</w:t>
            </w:r>
          </w:p>
          <w:p w:rsidR="00A757BF" w:rsidRPr="00293B75" w:rsidRDefault="00A757BF" w:rsidP="00A757BF">
            <w:pPr>
              <w:rPr>
                <w:rFonts w:cs="Arial"/>
                <w:lang w:val="fr-FR"/>
              </w:rPr>
            </w:pPr>
            <w:r w:rsidRPr="00293B75">
              <w:rPr>
                <w:rFonts w:cs="Arial"/>
                <w:lang w:val="fr-FR"/>
              </w:rPr>
              <w:t>vérifier s’il convient d’indiquer comme (c)</w:t>
            </w:r>
          </w:p>
          <w:p w:rsidR="00A757BF" w:rsidRPr="00293B75" w:rsidRDefault="00A757BF" w:rsidP="00A757BF">
            <w:pPr>
              <w:rPr>
                <w:rFonts w:cs="Arial"/>
                <w:i/>
                <w:lang w:val="fr-FR"/>
              </w:rPr>
            </w:pPr>
            <w:r w:rsidRPr="00293B75">
              <w:rPr>
                <w:rFonts w:cs="Arial"/>
                <w:i/>
                <w:lang w:val="fr-FR"/>
              </w:rPr>
              <w:t xml:space="preserve">Expert principal : nous ne sommes pas favorables à l’indication des caractères 17 à 21 comme (c), car (c) correspond à la “gousse </w:t>
            </w:r>
            <w:r w:rsidRPr="00293B75">
              <w:rPr>
                <w:lang w:val="fr-FR"/>
              </w:rPr>
              <w:t>à la maturité de récolte sèche :</w:t>
            </w:r>
            <w:r w:rsidRPr="00293B75">
              <w:rPr>
                <w:rFonts w:cs="Arial"/>
                <w:i/>
                <w:lang w:val="fr-FR"/>
              </w:rPr>
              <w:t xml:space="preserve"> </w:t>
            </w:r>
            <w:r w:rsidRPr="00293B75">
              <w:rPr>
                <w:rFonts w:eastAsiaTheme="minorEastAsia"/>
                <w:lang w:val="fr-FR"/>
              </w:rPr>
              <w:t xml:space="preserve">observations doivent être effectuées lorsque la gousse est complètement sèche, mais </w:t>
            </w:r>
            <w:r w:rsidRPr="00293B75">
              <w:rPr>
                <w:rFonts w:cs="Arial"/>
                <w:i/>
                <w:lang w:val="fr-FR"/>
              </w:rPr>
              <w:t>avant la déhiscence”. Les observations sur les caractères 17 à 21 s’effectuent après ce stade, directement sur les graines sèches après l’ouverture de la gousse.</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20</w:t>
            </w:r>
          </w:p>
        </w:tc>
        <w:tc>
          <w:tcPr>
            <w:tcW w:w="8060" w:type="dxa"/>
          </w:tcPr>
          <w:p w:rsidR="00A757BF" w:rsidRPr="00293B75" w:rsidRDefault="00A757BF" w:rsidP="00A757BF">
            <w:pPr>
              <w:rPr>
                <w:rFonts w:cs="Arial"/>
                <w:lang w:val="fr-FR"/>
              </w:rPr>
            </w:pPr>
            <w:r w:rsidRPr="00293B75">
              <w:rPr>
                <w:rFonts w:cs="Arial"/>
                <w:lang w:val="fr-FR"/>
              </w:rPr>
              <w:t>vérifier s’il convient d’ajouter plus de variétés à titre d’exemple</w:t>
            </w:r>
          </w:p>
          <w:p w:rsidR="00A757BF" w:rsidRPr="00293B75" w:rsidRDefault="00A757BF" w:rsidP="00A757BF">
            <w:pPr>
              <w:rPr>
                <w:rFonts w:cs="Arial"/>
                <w:i/>
                <w:lang w:val="fr-FR"/>
              </w:rPr>
            </w:pPr>
            <w:r w:rsidRPr="00293B75">
              <w:rPr>
                <w:rFonts w:cs="Arial"/>
                <w:i/>
                <w:lang w:val="fr-FR"/>
              </w:rPr>
              <w:t>prévu par l’Expert principal</w:t>
            </w:r>
          </w:p>
          <w:p w:rsidR="00A757BF" w:rsidRPr="00293B75" w:rsidRDefault="00A757BF" w:rsidP="00A757BF">
            <w:pPr>
              <w:rPr>
                <w:rFonts w:cs="Arial"/>
                <w:lang w:val="fr-FR"/>
              </w:rPr>
            </w:pPr>
            <w:r w:rsidRPr="00293B75">
              <w:rPr>
                <w:rFonts w:cs="Arial"/>
                <w:lang w:val="fr-FR"/>
              </w:rPr>
              <w:t>avoir les niveaux “absente”, “finement moucheté”, “</w:t>
            </w:r>
            <w:r w:rsidRPr="00293B75">
              <w:rPr>
                <w:rFonts w:cs="Arial"/>
                <w:i/>
                <w:lang w:val="fr-FR"/>
              </w:rPr>
              <w:t>mouchetée</w:t>
            </w:r>
            <w:r w:rsidRPr="00293B75">
              <w:rPr>
                <w:rFonts w:cs="Arial"/>
                <w:lang w:val="fr-FR"/>
              </w:rPr>
              <w:t>”, “</w:t>
            </w:r>
            <w:r w:rsidRPr="00293B75">
              <w:rPr>
                <w:rFonts w:cs="Arial"/>
                <w:i/>
                <w:lang w:val="fr-FR"/>
              </w:rPr>
              <w:t>marbrée</w:t>
            </w:r>
            <w:r w:rsidRPr="00293B75">
              <w:rPr>
                <w:rFonts w:cs="Arial"/>
                <w:lang w:val="fr-FR"/>
              </w:rPr>
              <w:t>”, “irrégulière”</w:t>
            </w:r>
          </w:p>
          <w:p w:rsidR="00A757BF" w:rsidRPr="00293B75" w:rsidRDefault="00A757BF" w:rsidP="00A757BF">
            <w:pPr>
              <w:rPr>
                <w:rFonts w:cs="Arial"/>
                <w:lang w:val="fr-FR"/>
              </w:rPr>
            </w:pPr>
            <w:r w:rsidRPr="00293B75">
              <w:rPr>
                <w:rFonts w:cs="Arial"/>
                <w:lang w:val="fr-FR"/>
              </w:rPr>
              <w:t>clarifier le niveau 5 “irregulière”</w:t>
            </w:r>
          </w:p>
          <w:p w:rsidR="00A757BF" w:rsidRPr="00293B75" w:rsidRDefault="00A757BF" w:rsidP="00A757BF">
            <w:pPr>
              <w:rPr>
                <w:rFonts w:cs="Arial"/>
                <w:lang w:val="fr-FR"/>
              </w:rPr>
            </w:pPr>
            <w:r w:rsidRPr="00293B75">
              <w:rPr>
                <w:rFonts w:cs="Arial"/>
                <w:i/>
                <w:lang w:val="fr-FR"/>
              </w:rPr>
              <w:t xml:space="preserve">Expert principal : </w:t>
            </w:r>
            <w:r w:rsidRPr="00293B75">
              <w:rPr>
                <w:rFonts w:cs="Arial"/>
                <w:lang w:val="fr-FR"/>
              </w:rPr>
              <w:t xml:space="preserve">avoir les niveaux </w:t>
            </w:r>
            <w:r w:rsidRPr="00293B75">
              <w:rPr>
                <w:rFonts w:cs="Arial"/>
                <w:i/>
                <w:lang w:val="fr-FR"/>
              </w:rPr>
              <w:t>1 “absente”, 2 “tachée”, 3 “mouchetée”, 4 “marbrée”, 5 “marbrée et tachée”</w:t>
            </w:r>
            <w:r w:rsidRPr="00293B75">
              <w:rPr>
                <w:rFonts w:cs="Arial"/>
                <w:lang w:val="fr-FR"/>
              </w:rPr>
              <w:t xml:space="preserve">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car. 22</w:t>
            </w:r>
          </w:p>
        </w:tc>
        <w:tc>
          <w:tcPr>
            <w:tcW w:w="8060" w:type="dxa"/>
          </w:tcPr>
          <w:p w:rsidR="00A757BF" w:rsidRPr="00293B75" w:rsidRDefault="00A757BF" w:rsidP="00A757BF">
            <w:pPr>
              <w:rPr>
                <w:rFonts w:cs="Arial"/>
                <w:lang w:val="fr-FR"/>
              </w:rPr>
            </w:pPr>
            <w:r w:rsidRPr="00293B75">
              <w:rPr>
                <w:rFonts w:cs="Arial"/>
                <w:lang w:val="fr-FR"/>
              </w:rPr>
              <w:t>vérifier si MS est correct (apparaît comme VG en se fondant sur Ad. 22)</w:t>
            </w:r>
          </w:p>
          <w:p w:rsidR="00A757BF" w:rsidRPr="00293B75" w:rsidRDefault="00A757BF" w:rsidP="00A757BF">
            <w:pPr>
              <w:rPr>
                <w:rFonts w:cs="Arial"/>
                <w:lang w:val="fr-FR"/>
              </w:rPr>
            </w:pPr>
            <w:r w:rsidRPr="00293B75">
              <w:rPr>
                <w:rFonts w:cs="Arial"/>
                <w:i/>
                <w:lang w:val="fr-FR"/>
              </w:rPr>
              <w:t>Expert principal : indiquer comme VG</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8.1 (a)</w:t>
            </w:r>
          </w:p>
        </w:tc>
        <w:tc>
          <w:tcPr>
            <w:tcW w:w="8060" w:type="dxa"/>
          </w:tcPr>
          <w:p w:rsidR="00A757BF" w:rsidRPr="00293B75" w:rsidRDefault="00A757BF" w:rsidP="00A757BF">
            <w:pPr>
              <w:pStyle w:val="Default"/>
              <w:rPr>
                <w:color w:val="auto"/>
                <w:sz w:val="20"/>
                <w:szCs w:val="20"/>
                <w:lang w:val="fr-FR"/>
              </w:rPr>
            </w:pPr>
            <w:r w:rsidRPr="00293B75">
              <w:rPr>
                <w:color w:val="auto"/>
                <w:sz w:val="20"/>
                <w:szCs w:val="20"/>
                <w:lang w:val="fr-FR"/>
              </w:rPr>
              <w:t>doit être libellé comme suit “Fleur : Les observations doivent être faites sur des fleurs complètement ouvertes à l’époque de floraison.”</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3</w:t>
            </w:r>
          </w:p>
        </w:tc>
        <w:tc>
          <w:tcPr>
            <w:tcW w:w="8060" w:type="dxa"/>
          </w:tcPr>
          <w:p w:rsidR="00A757BF" w:rsidRPr="00293B75" w:rsidRDefault="00A757BF" w:rsidP="00A757BF">
            <w:pPr>
              <w:rPr>
                <w:rFonts w:cs="Arial"/>
                <w:lang w:val="fr-FR"/>
              </w:rPr>
            </w:pPr>
            <w:r w:rsidRPr="00293B75">
              <w:rPr>
                <w:rFonts w:cs="Arial"/>
                <w:lang w:val="fr-FR"/>
              </w:rPr>
              <w:noBreakHyphen/>
              <w:t xml:space="preserve"> doit être libellé comme suit “</w:t>
            </w:r>
            <w:r w:rsidRPr="00293B75">
              <w:rPr>
                <w:lang w:val="fr-FR"/>
              </w:rPr>
              <w:t>La pigmentation anthocyanique doit être observée à la base de la ramification</w:t>
            </w:r>
            <w:r w:rsidRPr="00293B75">
              <w:rPr>
                <w:rFonts w:cs="Arial"/>
                <w:lang w:val="fr-FR"/>
              </w:rPr>
              <w:t>.”</w:t>
            </w:r>
          </w:p>
          <w:p w:rsidR="00A757BF" w:rsidRPr="00293B75" w:rsidRDefault="00A757BF" w:rsidP="00A757BF">
            <w:pPr>
              <w:rPr>
                <w:rFonts w:cs="Arial"/>
                <w:lang w:val="fr-FR"/>
              </w:rPr>
            </w:pPr>
            <w:r w:rsidRPr="00293B75">
              <w:rPr>
                <w:rFonts w:cs="Arial"/>
                <w:lang w:val="fr-FR"/>
              </w:rPr>
              <w:t>supprimer les photographies</w:t>
            </w:r>
          </w:p>
          <w:p w:rsidR="00A757BF" w:rsidRPr="00293B75" w:rsidRDefault="00A757BF" w:rsidP="00A757BF">
            <w:pPr>
              <w:rPr>
                <w:rFonts w:cs="Arial"/>
                <w:lang w:val="fr-FR"/>
              </w:rPr>
            </w:pPr>
            <w:r w:rsidRPr="00293B75">
              <w:rPr>
                <w:rFonts w:cs="Arial"/>
                <w:lang w:val="fr-FR"/>
              </w:rPr>
              <w:t>ajouter une explication sur la partie à observer</w:t>
            </w:r>
          </w:p>
          <w:p w:rsidR="00A757BF" w:rsidRPr="00293B75" w:rsidRDefault="00A757BF" w:rsidP="00A757BF">
            <w:pPr>
              <w:rPr>
                <w:rFonts w:cs="Arial"/>
                <w:lang w:val="fr-FR"/>
              </w:rPr>
            </w:pPr>
            <w:r w:rsidRPr="00293B75">
              <w:rPr>
                <w:rFonts w:cs="Arial"/>
                <w:i/>
                <w:lang w:val="fr-FR"/>
              </w:rPr>
              <w:t>Expert principal : a fourni une nouvelle illustration indiquant la partie à observer</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4</w:t>
            </w:r>
          </w:p>
        </w:tc>
        <w:tc>
          <w:tcPr>
            <w:tcW w:w="8060"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La hauteur des plantes doit être mesurée lorsque toutes les plantes ont au moins une fleur ouverte</w:t>
            </w:r>
            <w:r w:rsidRPr="00293B75">
              <w:rPr>
                <w:rFonts w:cs="Arial"/>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5</w:t>
            </w:r>
          </w:p>
        </w:tc>
        <w:tc>
          <w:tcPr>
            <w:tcW w:w="8060"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L’intensité de la ramification doit être mesurée lorsque toutes les plantes ont au moins une fleur ouverte</w:t>
            </w:r>
            <w:r w:rsidRPr="00293B75">
              <w:rPr>
                <w:rFonts w:cs="Arial"/>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7</w:t>
            </w:r>
          </w:p>
        </w:tc>
        <w:tc>
          <w:tcPr>
            <w:tcW w:w="8060" w:type="dxa"/>
          </w:tcPr>
          <w:p w:rsidR="00A757BF" w:rsidRPr="00293B75" w:rsidRDefault="00A757BF" w:rsidP="00A757BF">
            <w:pPr>
              <w:autoSpaceDE w:val="0"/>
              <w:autoSpaceDN w:val="0"/>
              <w:adjustRightInd w:val="0"/>
              <w:rPr>
                <w:rFonts w:cs="Arial"/>
                <w:lang w:val="fr-FR"/>
              </w:rPr>
            </w:pPr>
            <w:r w:rsidRPr="00293B75">
              <w:rPr>
                <w:rFonts w:cs="Arial"/>
                <w:lang w:val="fr-FR"/>
              </w:rPr>
              <w:t>ajouter une explication sur la partie de la foliole à observer</w:t>
            </w:r>
          </w:p>
          <w:p w:rsidR="00A757BF" w:rsidRPr="00293B75" w:rsidRDefault="00A757BF" w:rsidP="00A757BF">
            <w:pPr>
              <w:autoSpaceDE w:val="0"/>
              <w:autoSpaceDN w:val="0"/>
              <w:adjustRightInd w:val="0"/>
              <w:rPr>
                <w:rFonts w:cs="Arial"/>
                <w:i/>
                <w:lang w:val="fr-FR"/>
              </w:rPr>
            </w:pPr>
            <w:r w:rsidRPr="00293B75">
              <w:rPr>
                <w:rFonts w:cs="Arial"/>
                <w:i/>
                <w:lang w:val="fr-FR"/>
              </w:rPr>
              <w:t xml:space="preserve">fournie par l’Expert principal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9</w:t>
            </w:r>
          </w:p>
        </w:tc>
        <w:tc>
          <w:tcPr>
            <w:tcW w:w="8060"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Les observations doivent être faites au premier étage floral à l’époque de floraison</w:t>
            </w:r>
            <w:r w:rsidRPr="00293B75">
              <w:rPr>
                <w:rFonts w:cs="Arial"/>
                <w:lang w:val="fr-FR"/>
              </w:rPr>
              <w:t xml:space="preserve">.”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14</w:t>
            </w:r>
          </w:p>
        </w:tc>
        <w:tc>
          <w:tcPr>
            <w:tcW w:w="8060"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Le nombre d’ovules peut être observé</w:t>
            </w:r>
          </w:p>
          <w:p w:rsidR="00A757BF" w:rsidRPr="00293B75" w:rsidRDefault="00A757BF" w:rsidP="00A757BF">
            <w:pPr>
              <w:numPr>
                <w:ilvl w:val="0"/>
                <w:numId w:val="30"/>
              </w:numPr>
              <w:ind w:left="219" w:hanging="219"/>
              <w:jc w:val="left"/>
              <w:rPr>
                <w:rFonts w:cs="Arial"/>
                <w:lang w:val="fr-FR"/>
              </w:rPr>
            </w:pPr>
            <w:r w:rsidRPr="00293B75">
              <w:rPr>
                <w:lang w:val="fr-FR"/>
              </w:rPr>
              <w:t>avant le développement des graines, lorsque la gousse est plate, en comptant chaque ovule</w:t>
            </w:r>
          </w:p>
          <w:p w:rsidR="00A757BF" w:rsidRPr="00293B75" w:rsidRDefault="00A757BF" w:rsidP="00A757BF">
            <w:pPr>
              <w:ind w:left="219"/>
              <w:rPr>
                <w:rFonts w:cs="Arial"/>
                <w:lang w:val="fr-FR"/>
              </w:rPr>
            </w:pPr>
            <w:r w:rsidRPr="00293B75">
              <w:rPr>
                <w:rFonts w:cs="Arial"/>
                <w:lang w:val="fr-FR"/>
              </w:rPr>
              <w:t>ou</w:t>
            </w:r>
          </w:p>
          <w:p w:rsidR="00A757BF" w:rsidRPr="00293B75" w:rsidRDefault="00A757BF" w:rsidP="00A757BF">
            <w:pPr>
              <w:numPr>
                <w:ilvl w:val="0"/>
                <w:numId w:val="30"/>
              </w:numPr>
              <w:ind w:left="219" w:hanging="219"/>
              <w:jc w:val="left"/>
              <w:rPr>
                <w:rFonts w:cs="Arial"/>
                <w:lang w:val="fr-FR"/>
              </w:rPr>
            </w:pPr>
            <w:r w:rsidRPr="00293B75">
              <w:rPr>
                <w:lang w:val="fr-FR"/>
              </w:rPr>
              <w:t>à l’époque de maturité de la graine sèche, lorsque la gousse est complètement sèche (mais avant la déhiscence de la gousse), en comptant les ovules développés et les ovules non développés</w:t>
            </w:r>
            <w:r w:rsidRPr="00293B75">
              <w:rPr>
                <w:rFonts w:cs="Arial"/>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17 à 21</w:t>
            </w:r>
          </w:p>
        </w:tc>
        <w:tc>
          <w:tcPr>
            <w:tcW w:w="8060" w:type="dxa"/>
          </w:tcPr>
          <w:p w:rsidR="00A757BF" w:rsidRPr="00293B75" w:rsidRDefault="00A757BF" w:rsidP="00A757BF">
            <w:pPr>
              <w:rPr>
                <w:rFonts w:cs="Arial"/>
                <w:lang w:val="fr-FR"/>
              </w:rPr>
            </w:pPr>
            <w:r w:rsidRPr="00293B75">
              <w:rPr>
                <w:rFonts w:cs="Arial"/>
                <w:lang w:val="fr-FR"/>
              </w:rPr>
              <w:t>à supprimer si déplacé au 8.1</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19</w:t>
            </w:r>
          </w:p>
        </w:tc>
        <w:tc>
          <w:tcPr>
            <w:tcW w:w="8060" w:type="dxa"/>
          </w:tcPr>
          <w:p w:rsidR="00A757BF" w:rsidRPr="00293B75" w:rsidRDefault="00A757BF" w:rsidP="00A757BF">
            <w:pPr>
              <w:rPr>
                <w:rFonts w:cs="Arial"/>
                <w:lang w:val="fr-FR"/>
              </w:rPr>
            </w:pPr>
            <w:r w:rsidRPr="00293B75">
              <w:rPr>
                <w:rFonts w:cs="Arial"/>
                <w:lang w:val="fr-FR"/>
              </w:rPr>
              <w:t>doit être libellé comme suit “</w:t>
            </w:r>
            <w:r w:rsidRPr="00293B75">
              <w:rPr>
                <w:lang w:val="fr-FR"/>
              </w:rPr>
              <w:t xml:space="preserve">La couleur principale est celle qui occupe la plus grande surface, la couleur secondaire est celle qui occupe la deuxième plus grande surface.  </w:t>
            </w:r>
            <w:r w:rsidRPr="00293B75">
              <w:rPr>
                <w:rFonts w:cs="Arial"/>
                <w:sz w:val="19"/>
                <w:szCs w:val="19"/>
                <w:lang w:val="fr-CH"/>
              </w:rPr>
              <w:t>Lorsque les surfaces des couleurs principale et secondaire sont trop similaires pour pouvoir déterminer de manière fiable quelle est la couleur qui occupe la plus grande surface</w:t>
            </w:r>
            <w:r w:rsidRPr="00293B75">
              <w:rPr>
                <w:lang w:val="fr-FR"/>
              </w:rPr>
              <w:t>, la couleur la plus foncée est considérée comme la couleur principale</w:t>
            </w:r>
            <w:r w:rsidRPr="00293B75">
              <w:rPr>
                <w:rFonts w:cs="Arial"/>
                <w:lang w:val="fr-FR"/>
              </w:rPr>
              <w:t>.”</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20</w:t>
            </w:r>
          </w:p>
        </w:tc>
        <w:tc>
          <w:tcPr>
            <w:tcW w:w="8060" w:type="dxa"/>
          </w:tcPr>
          <w:p w:rsidR="00A757BF" w:rsidRPr="00293B75" w:rsidRDefault="00A757BF" w:rsidP="00A757BF">
            <w:pPr>
              <w:rPr>
                <w:rFonts w:cs="Arial"/>
                <w:lang w:val="fr-FR"/>
              </w:rPr>
            </w:pPr>
            <w:r w:rsidRPr="00293B75">
              <w:rPr>
                <w:rFonts w:cs="Arial"/>
                <w:lang w:val="fr-FR"/>
              </w:rPr>
              <w:t>les photographies sont présentées à l’envers</w:t>
            </w:r>
          </w:p>
          <w:p w:rsidR="00A757BF" w:rsidRPr="00293B75" w:rsidRDefault="00A757BF" w:rsidP="00A757BF">
            <w:pPr>
              <w:rPr>
                <w:rFonts w:cs="Arial"/>
                <w:lang w:val="fr-FR"/>
              </w:rPr>
            </w:pPr>
            <w:r w:rsidRPr="00293B75">
              <w:rPr>
                <w:rFonts w:cs="Arial"/>
                <w:lang w:val="fr-FR"/>
              </w:rPr>
              <w:t>améliorer l’illustration</w:t>
            </w:r>
          </w:p>
          <w:p w:rsidR="00A757BF" w:rsidRPr="00293B75" w:rsidRDefault="00A757BF" w:rsidP="00A757BF">
            <w:pPr>
              <w:rPr>
                <w:rFonts w:cs="Arial"/>
                <w:i/>
                <w:lang w:val="fr-FR"/>
              </w:rPr>
            </w:pPr>
            <w:r w:rsidRPr="00293B75">
              <w:rPr>
                <w:rFonts w:cs="Arial"/>
                <w:i/>
                <w:lang w:val="fr-FR"/>
              </w:rPr>
              <w:t xml:space="preserve">prévu par l’Expert principal </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22</w:t>
            </w:r>
          </w:p>
        </w:tc>
        <w:tc>
          <w:tcPr>
            <w:tcW w:w="8060" w:type="dxa"/>
          </w:tcPr>
          <w:p w:rsidR="00A757BF" w:rsidRPr="00293B75" w:rsidRDefault="00A757BF" w:rsidP="00A757BF">
            <w:pPr>
              <w:rPr>
                <w:rFonts w:cs="Arial"/>
                <w:lang w:val="fr-FR"/>
              </w:rPr>
            </w:pPr>
            <w:r w:rsidRPr="00293B75">
              <w:rPr>
                <w:rFonts w:cs="Arial"/>
                <w:lang w:val="fr-FR"/>
              </w:rPr>
              <w:t>les caractères 10 à 12 sont observés à 50% de la floraison (voir 8.1 (a)).  Il convient vraisemblablement de définir ce moment comme le moment de la floraison.  Vérifier par conséquent s’il convient de libeller comme suit :</w:t>
            </w:r>
          </w:p>
          <w:p w:rsidR="00A757BF" w:rsidRPr="00293B75" w:rsidRDefault="00A757BF" w:rsidP="00A757BF">
            <w:pPr>
              <w:rPr>
                <w:rFonts w:cs="Arial"/>
                <w:lang w:val="fr-FR"/>
              </w:rPr>
            </w:pPr>
            <w:r w:rsidRPr="00293B75">
              <w:rPr>
                <w:rFonts w:cs="Arial"/>
                <w:lang w:val="fr-FR"/>
              </w:rPr>
              <w:t>“</w:t>
            </w:r>
            <w:r w:rsidRPr="00293B75">
              <w:rPr>
                <w:lang w:val="fr-FR"/>
              </w:rPr>
              <w:t>L’observation doit être faite sur 20 plantes par variété et par répétition.  L’époque de floraison a lieu lorsque 50% des plantes ont au moins une fleur ouverte.  La note est donnée sur la base des variétés indiquées à titre d’exemple</w:t>
            </w:r>
            <w:r w:rsidRPr="00293B75">
              <w:rPr>
                <w:rFonts w:cs="Arial"/>
                <w:lang w:val="fr-FR"/>
              </w:rPr>
              <w:t>.”</w:t>
            </w:r>
          </w:p>
          <w:p w:rsidR="00A757BF" w:rsidRPr="00293B75" w:rsidRDefault="00A757BF" w:rsidP="00A757BF">
            <w:pPr>
              <w:autoSpaceDE w:val="0"/>
              <w:autoSpaceDN w:val="0"/>
              <w:adjustRightInd w:val="0"/>
              <w:rPr>
                <w:rFonts w:cs="Arial"/>
                <w:i/>
                <w:highlight w:val="yellow"/>
                <w:lang w:val="fr-FR"/>
              </w:rPr>
            </w:pPr>
            <w:r w:rsidRPr="00293B75">
              <w:rPr>
                <w:rFonts w:cs="Arial"/>
                <w:i/>
                <w:lang w:val="fr-FR"/>
              </w:rPr>
              <w:t xml:space="preserve">Expert principal : accepté </w:t>
            </w:r>
          </w:p>
        </w:tc>
      </w:tr>
    </w:tbl>
    <w:p w:rsidR="00A757BF" w:rsidRPr="00293B75" w:rsidRDefault="00A757BF" w:rsidP="00A757BF">
      <w:pPr>
        <w:jc w:val="left"/>
        <w:rPr>
          <w:rFonts w:cs="Arial"/>
          <w:lang w:val="fr-FR"/>
        </w:rPr>
      </w:pPr>
    </w:p>
    <w:p w:rsidR="00130C25" w:rsidRDefault="00130C25">
      <w:pPr>
        <w:jc w:val="left"/>
        <w:rPr>
          <w:rFonts w:cs="Arial"/>
          <w:lang w:val="fr-FR"/>
        </w:rPr>
      </w:pPr>
    </w:p>
    <w:p w:rsidR="00A757BF" w:rsidRPr="00293B75" w:rsidRDefault="00A757BF" w:rsidP="00A757BF">
      <w:pPr>
        <w:autoSpaceDE w:val="0"/>
        <w:autoSpaceDN w:val="0"/>
        <w:adjustRightInd w:val="0"/>
        <w:ind w:firstLine="567"/>
        <w:rPr>
          <w:rFonts w:cs="Arial"/>
          <w:lang w:val="fr-FR"/>
        </w:rPr>
      </w:pPr>
      <w:r w:rsidRPr="00293B75">
        <w:rPr>
          <w:rFonts w:cs="Arial"/>
          <w:lang w:val="fr-FR"/>
        </w:rPr>
        <w:t>b)</w:t>
      </w:r>
      <w:r w:rsidRPr="00293B75">
        <w:rPr>
          <w:rFonts w:cs="Arial"/>
          <w:lang w:val="fr-FR"/>
        </w:rPr>
        <w:tab/>
        <w:t>Modifications proposées par le TC</w:t>
      </w:r>
      <w:r w:rsidRPr="00293B75">
        <w:rPr>
          <w:rFonts w:cs="Arial"/>
          <w:lang w:val="fr-FR"/>
        </w:rPr>
        <w:noBreakHyphen/>
        <w:t>EDC en mars 2015, qui doivent être incorporées dans le document soumis au TC :</w:t>
      </w:r>
    </w:p>
    <w:p w:rsidR="00A757BF" w:rsidRPr="00293B75" w:rsidRDefault="00A757BF" w:rsidP="00A757BF">
      <w:pPr>
        <w:autoSpaceDE w:val="0"/>
        <w:autoSpaceDN w:val="0"/>
        <w:adjustRightInd w:val="0"/>
        <w:ind w:firstLine="567"/>
        <w:rPr>
          <w:rFonts w:cs="Arial"/>
          <w:u w:val="single"/>
          <w:lang w:val="fr-FR"/>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7"/>
      </w:tblGrid>
      <w:tr w:rsidR="00293B75" w:rsidRPr="00293B75" w:rsidTr="00A757BF">
        <w:trPr>
          <w:cantSplit/>
        </w:trPr>
        <w:tc>
          <w:tcPr>
            <w:tcW w:w="1573"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Généralités</w:t>
            </w:r>
          </w:p>
        </w:tc>
        <w:tc>
          <w:tcPr>
            <w:tcW w:w="8067" w:type="dxa"/>
            <w:tcBorders>
              <w:top w:val="single" w:sz="4" w:space="0" w:color="auto"/>
              <w:left w:val="single" w:sz="4" w:space="0" w:color="auto"/>
              <w:bottom w:val="single" w:sz="4" w:space="0" w:color="auto"/>
              <w:right w:val="single" w:sz="4" w:space="0" w:color="auto"/>
            </w:tcBorders>
          </w:tcPr>
          <w:p w:rsidR="00A757BF" w:rsidRPr="00293B75" w:rsidRDefault="00A757BF" w:rsidP="00A757BF">
            <w:pPr>
              <w:rPr>
                <w:rFonts w:cs="Arial"/>
                <w:lang w:val="fr-FR"/>
              </w:rPr>
            </w:pPr>
            <w:r w:rsidRPr="00293B75">
              <w:rPr>
                <w:rFonts w:cs="Arial"/>
                <w:lang w:val="fr-FR"/>
              </w:rPr>
              <w:t>l’Expert principal doit confirmer que tous les droits de propriété intellectuelle sur les photographies, les illustrations et le texte ont été respectés</w:t>
            </w:r>
          </w:p>
        </w:tc>
      </w:tr>
      <w:tr w:rsidR="00293B75" w:rsidRPr="00293B75" w:rsidTr="00A757BF">
        <w:trPr>
          <w:cantSplit/>
        </w:trPr>
        <w:tc>
          <w:tcPr>
            <w:tcW w:w="1573" w:type="dxa"/>
          </w:tcPr>
          <w:p w:rsidR="00A757BF" w:rsidRPr="00293B75" w:rsidRDefault="00A757BF" w:rsidP="00A757BF">
            <w:pPr>
              <w:rPr>
                <w:rFonts w:cs="Arial"/>
                <w:lang w:val="fr-FR"/>
              </w:rPr>
            </w:pPr>
            <w:r w:rsidRPr="00293B75">
              <w:rPr>
                <w:rFonts w:cs="Arial"/>
                <w:lang w:val="fr-FR"/>
              </w:rPr>
              <w:t>Ad. 20</w:t>
            </w:r>
          </w:p>
        </w:tc>
        <w:tc>
          <w:tcPr>
            <w:tcW w:w="8067" w:type="dxa"/>
          </w:tcPr>
          <w:p w:rsidR="00A757BF" w:rsidRPr="00293B75" w:rsidRDefault="00A757BF" w:rsidP="00A757BF">
            <w:pPr>
              <w:rPr>
                <w:rFonts w:cs="Arial"/>
                <w:lang w:val="fr-FR"/>
              </w:rPr>
            </w:pPr>
            <w:r w:rsidRPr="00293B75">
              <w:rPr>
                <w:rFonts w:cs="Arial"/>
                <w:lang w:val="fr-FR"/>
              </w:rPr>
              <w:t>supprimer la colonne du niveau 1</w:t>
            </w:r>
          </w:p>
        </w:tc>
      </w:tr>
    </w:tbl>
    <w:p w:rsidR="00A757BF" w:rsidRPr="00293B75" w:rsidRDefault="00A757BF" w:rsidP="00A757BF">
      <w:pPr>
        <w:jc w:val="left"/>
        <w:rPr>
          <w:rFonts w:cs="Arial"/>
          <w:u w:val="single"/>
          <w:lang w:val="fr-FR"/>
        </w:rPr>
      </w:pPr>
    </w:p>
    <w:p w:rsidR="00A757BF" w:rsidRPr="00293B75" w:rsidRDefault="00A757BF" w:rsidP="00A757BF">
      <w:pPr>
        <w:jc w:val="left"/>
        <w:rPr>
          <w:rFonts w:cs="Arial"/>
          <w:lang w:val="fr-FR"/>
        </w:rPr>
      </w:pPr>
    </w:p>
    <w:p w:rsidR="00A757BF" w:rsidRPr="00293B75" w:rsidRDefault="00A757BF" w:rsidP="00A757BF">
      <w:pPr>
        <w:rPr>
          <w:rFonts w:cs="Arial"/>
          <w:lang w:val="fr-FR"/>
        </w:rPr>
      </w:pPr>
    </w:p>
    <w:p w:rsidR="001312D2" w:rsidRPr="00293B75" w:rsidRDefault="00A757BF" w:rsidP="00D1218A">
      <w:pPr>
        <w:jc w:val="right"/>
        <w:rPr>
          <w:rFonts w:cstheme="majorHAnsi"/>
          <w:lang w:val="fr-FR"/>
        </w:rPr>
      </w:pPr>
      <w:r w:rsidRPr="00293B75">
        <w:rPr>
          <w:rFonts w:cs="Arial"/>
          <w:lang w:val="fr-FR"/>
        </w:rPr>
        <w:t>[Fin de l’annexe II et du document]</w:t>
      </w:r>
    </w:p>
    <w:sectPr w:rsidR="001312D2" w:rsidRPr="00293B75" w:rsidSect="00FE442F">
      <w:headerReference w:type="default" r:id="rId19"/>
      <w:headerReference w:type="first" r:id="rId20"/>
      <w:footerReference w:type="first" r:id="rId2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CD1" w:rsidRDefault="00096CD1" w:rsidP="006655D3">
      <w:r>
        <w:separator/>
      </w:r>
    </w:p>
    <w:p w:rsidR="00096CD1" w:rsidRDefault="00096CD1" w:rsidP="006655D3"/>
    <w:p w:rsidR="00096CD1" w:rsidRDefault="00096CD1" w:rsidP="006655D3"/>
  </w:endnote>
  <w:endnote w:type="continuationSeparator" w:id="0">
    <w:p w:rsidR="00096CD1" w:rsidRDefault="00096CD1" w:rsidP="006655D3">
      <w:r>
        <w:separator/>
      </w:r>
    </w:p>
    <w:p w:rsidR="00096CD1" w:rsidRPr="0084638E" w:rsidRDefault="00096CD1">
      <w:pPr>
        <w:pStyle w:val="Footer"/>
        <w:spacing w:after="60"/>
        <w:rPr>
          <w:sz w:val="18"/>
          <w:lang w:val="fr-FR"/>
        </w:rPr>
      </w:pPr>
      <w:r w:rsidRPr="0084638E">
        <w:rPr>
          <w:sz w:val="18"/>
          <w:lang w:val="fr-FR"/>
        </w:rPr>
        <w:t>[Suite de la note de la page précédente]</w:t>
      </w:r>
    </w:p>
    <w:p w:rsidR="00096CD1" w:rsidRPr="0084638E" w:rsidRDefault="00096CD1" w:rsidP="006655D3">
      <w:pPr>
        <w:rPr>
          <w:lang w:val="fr-FR"/>
        </w:rPr>
      </w:pPr>
    </w:p>
    <w:p w:rsidR="00096CD1" w:rsidRPr="0084638E" w:rsidRDefault="00096CD1" w:rsidP="006655D3">
      <w:pPr>
        <w:rPr>
          <w:lang w:val="fr-FR"/>
        </w:rPr>
      </w:pPr>
    </w:p>
  </w:endnote>
  <w:endnote w:type="continuationNotice" w:id="1">
    <w:p w:rsidR="00096CD1" w:rsidRPr="0084638E" w:rsidRDefault="00096CD1" w:rsidP="006655D3">
      <w:pPr>
        <w:rPr>
          <w:lang w:val="fr-FR"/>
        </w:rPr>
      </w:pPr>
      <w:r w:rsidRPr="0084638E">
        <w:rPr>
          <w:lang w:val="fr-FR"/>
        </w:rPr>
        <w:t>[Suite de la note page suivante]</w:t>
      </w:r>
    </w:p>
    <w:p w:rsidR="00096CD1" w:rsidRPr="0084638E" w:rsidRDefault="00096CD1" w:rsidP="006655D3">
      <w:pPr>
        <w:rPr>
          <w:lang w:val="fr-FR"/>
        </w:rPr>
      </w:pPr>
    </w:p>
    <w:p w:rsidR="00096CD1" w:rsidRPr="0084638E" w:rsidRDefault="00096CD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D1" w:rsidRPr="002F6E14" w:rsidRDefault="00096CD1" w:rsidP="002F6E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D1" w:rsidRPr="00111ED3" w:rsidRDefault="00096CD1" w:rsidP="00111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CD1" w:rsidRDefault="00096CD1" w:rsidP="006655D3">
      <w:r>
        <w:separator/>
      </w:r>
    </w:p>
  </w:footnote>
  <w:footnote w:type="continuationSeparator" w:id="0">
    <w:p w:rsidR="00096CD1" w:rsidRDefault="00096CD1" w:rsidP="006655D3">
      <w:r>
        <w:separator/>
      </w:r>
    </w:p>
  </w:footnote>
  <w:footnote w:type="continuationNotice" w:id="1">
    <w:p w:rsidR="00096CD1" w:rsidRPr="00AB530F" w:rsidRDefault="00096CD1" w:rsidP="00AB530F">
      <w:pPr>
        <w:pStyle w:val="Footer"/>
      </w:pPr>
    </w:p>
  </w:footnote>
  <w:footnote w:id="2">
    <w:p w:rsidR="00096CD1" w:rsidRPr="00293B75" w:rsidRDefault="00096CD1" w:rsidP="00DB5A93">
      <w:pPr>
        <w:pStyle w:val="FootnoteText"/>
        <w:rPr>
          <w:lang w:val="fr-CH"/>
        </w:rPr>
      </w:pPr>
      <w:r>
        <w:rPr>
          <w:rStyle w:val="FootnoteReference"/>
        </w:rPr>
        <w:footnoteRef/>
      </w:r>
      <w:r>
        <w:t xml:space="preserve"> </w:t>
      </w:r>
      <w:r w:rsidRPr="00293B75">
        <w:tab/>
      </w:r>
      <w:proofErr w:type="gramStart"/>
      <w:r w:rsidRPr="00293B75">
        <w:t>Journée des obtenteurs.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D1" w:rsidRDefault="00096CD1" w:rsidP="007A0026">
    <w:pPr>
      <w:pStyle w:val="Header"/>
    </w:pPr>
    <w:r>
      <w:t xml:space="preserve">TC/51/39 </w:t>
    </w:r>
  </w:p>
  <w:p w:rsidR="00096CD1" w:rsidRDefault="00096CD1">
    <w:pPr>
      <w:pStyle w:val="Header"/>
    </w:pPr>
    <w:proofErr w:type="gramStart"/>
    <w:r>
      <w:t>page</w:t>
    </w:r>
    <w:proofErr w:type="gramEnd"/>
    <w:r>
      <w:t xml:space="preserve"> </w:t>
    </w:r>
    <w:r>
      <w:fldChar w:fldCharType="begin"/>
    </w:r>
    <w:r>
      <w:instrText xml:space="preserve"> PAGE   \* MERGEFORMAT </w:instrText>
    </w:r>
    <w:r>
      <w:fldChar w:fldCharType="separate"/>
    </w:r>
    <w:r w:rsidR="0059078F">
      <w:rPr>
        <w:noProof/>
      </w:rPr>
      <w:t>33</w:t>
    </w:r>
    <w:r>
      <w:rPr>
        <w:noProof/>
      </w:rPr>
      <w:fldChar w:fldCharType="end"/>
    </w:r>
    <w:r>
      <w:rPr>
        <w:noProof/>
      </w:rPr>
      <w:t xml:space="preserve"> </w:t>
    </w:r>
  </w:p>
  <w:p w:rsidR="00096CD1" w:rsidRDefault="00096C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D1" w:rsidRDefault="00096CD1" w:rsidP="007A0026">
    <w:pPr>
      <w:pStyle w:val="Header"/>
    </w:pPr>
    <w:r>
      <w:t xml:space="preserve">TC/51/39 </w:t>
    </w:r>
  </w:p>
  <w:p w:rsidR="00096CD1" w:rsidRDefault="00096CD1" w:rsidP="007A0026">
    <w:pPr>
      <w:pStyle w:val="Header"/>
    </w:pPr>
    <w:r w:rsidRPr="0032029D">
      <w:rPr>
        <w:lang w:val="pt-BR"/>
      </w:rPr>
      <w:t>Annex I / Annexe I / Anlage I / Anexo</w:t>
    </w:r>
    <w:r>
      <w:rPr>
        <w:lang w:val="pt-BR"/>
      </w:rPr>
      <w:t xml:space="preserve"> I</w:t>
    </w:r>
  </w:p>
  <w:p w:rsidR="00096CD1" w:rsidRDefault="00096CD1">
    <w:pPr>
      <w:pStyle w:val="Header"/>
    </w:pPr>
    <w:proofErr w:type="gramStart"/>
    <w:r>
      <w:t>page</w:t>
    </w:r>
    <w:proofErr w:type="gramEnd"/>
    <w:r>
      <w:t xml:space="preserve"> </w:t>
    </w:r>
    <w:r>
      <w:fldChar w:fldCharType="begin"/>
    </w:r>
    <w:r>
      <w:instrText xml:space="preserve"> PAGE   \* MERGEFORMAT </w:instrText>
    </w:r>
    <w:r>
      <w:fldChar w:fldCharType="separate"/>
    </w:r>
    <w:r w:rsidR="0059078F">
      <w:rPr>
        <w:noProof/>
      </w:rPr>
      <w:t>8</w:t>
    </w:r>
    <w:r>
      <w:rPr>
        <w:noProof/>
      </w:rPr>
      <w:fldChar w:fldCharType="end"/>
    </w:r>
    <w:r>
      <w:rPr>
        <w:noProof/>
      </w:rPr>
      <w:t xml:space="preserve"> / </w:t>
    </w:r>
    <w:r w:rsidRPr="0032029D">
      <w:rPr>
        <w:lang w:val="pt-BR"/>
      </w:rPr>
      <w:t xml:space="preserve">Seite </w:t>
    </w:r>
    <w:r>
      <w:rPr>
        <w:rStyle w:val="PageNumber"/>
      </w:rPr>
      <w:fldChar w:fldCharType="begin"/>
    </w:r>
    <w:r w:rsidRPr="0032029D">
      <w:rPr>
        <w:rStyle w:val="PageNumber"/>
        <w:lang w:val="pt-BR"/>
      </w:rPr>
      <w:instrText xml:space="preserve"> PAGE </w:instrText>
    </w:r>
    <w:r>
      <w:rPr>
        <w:rStyle w:val="PageNumber"/>
      </w:rPr>
      <w:fldChar w:fldCharType="separate"/>
    </w:r>
    <w:r w:rsidR="0059078F">
      <w:rPr>
        <w:rStyle w:val="PageNumber"/>
        <w:noProof/>
        <w:lang w:val="pt-BR"/>
      </w:rPr>
      <w:t>8</w:t>
    </w:r>
    <w:r>
      <w:rPr>
        <w:rStyle w:val="PageNumber"/>
      </w:rPr>
      <w:fldChar w:fldCharType="end"/>
    </w:r>
    <w:r w:rsidRPr="0032029D">
      <w:rPr>
        <w:rStyle w:val="PageNumber"/>
        <w:lang w:val="pt-BR"/>
      </w:rPr>
      <w:t xml:space="preserve"> </w:t>
    </w:r>
    <w:r w:rsidRPr="0032029D">
      <w:rPr>
        <w:lang w:val="pt-BR"/>
      </w:rPr>
      <w:t xml:space="preserve">/ página </w:t>
    </w:r>
    <w:r>
      <w:fldChar w:fldCharType="begin"/>
    </w:r>
    <w:r w:rsidRPr="0032029D">
      <w:rPr>
        <w:lang w:val="pt-BR"/>
      </w:rPr>
      <w:instrText xml:space="preserve"> PAGE  \* MERGEFORMAT </w:instrText>
    </w:r>
    <w:r>
      <w:fldChar w:fldCharType="separate"/>
    </w:r>
    <w:r w:rsidR="0059078F">
      <w:rPr>
        <w:noProof/>
        <w:lang w:val="pt-BR"/>
      </w:rPr>
      <w:t>8</w:t>
    </w:r>
    <w:r>
      <w:fldChar w:fldCharType="end"/>
    </w:r>
  </w:p>
  <w:p w:rsidR="00096CD1" w:rsidRDefault="00096C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D1" w:rsidRDefault="00096CD1" w:rsidP="007A0026">
    <w:pPr>
      <w:pStyle w:val="Header"/>
    </w:pPr>
    <w:r>
      <w:t xml:space="preserve">TC/51/39 </w:t>
    </w:r>
  </w:p>
  <w:p w:rsidR="00096CD1" w:rsidRDefault="00096CD1">
    <w:pPr>
      <w:pStyle w:val="Header"/>
    </w:pPr>
    <w:r>
      <w:t xml:space="preserve">Annexe II, page </w:t>
    </w:r>
    <w:r>
      <w:fldChar w:fldCharType="begin"/>
    </w:r>
    <w:r>
      <w:instrText xml:space="preserve"> PAGE   \* MERGEFORMAT </w:instrText>
    </w:r>
    <w:r>
      <w:fldChar w:fldCharType="separate"/>
    </w:r>
    <w:r w:rsidR="0059078F">
      <w:rPr>
        <w:noProof/>
      </w:rPr>
      <w:t>10</w:t>
    </w:r>
    <w:r>
      <w:rPr>
        <w:noProof/>
      </w:rPr>
      <w:fldChar w:fldCharType="end"/>
    </w:r>
    <w:r>
      <w:rPr>
        <w:noProof/>
      </w:rPr>
      <w:t xml:space="preserve"> </w:t>
    </w:r>
  </w:p>
  <w:p w:rsidR="00096CD1" w:rsidRDefault="00096CD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CD1" w:rsidRDefault="00096CD1">
    <w:pPr>
      <w:pStyle w:val="Header"/>
    </w:pPr>
    <w:r>
      <w:t>TC/51/39</w:t>
    </w:r>
  </w:p>
  <w:p w:rsidR="00096CD1" w:rsidRDefault="00096CD1">
    <w:pPr>
      <w:pStyle w:val="Header"/>
    </w:pPr>
  </w:p>
  <w:p w:rsidR="00096CD1" w:rsidRDefault="00096CD1">
    <w:pPr>
      <w:pStyle w:val="Header"/>
    </w:pPr>
    <w:r>
      <w:t>ANNEXE II</w:t>
    </w:r>
  </w:p>
  <w:p w:rsidR="00096CD1" w:rsidRDefault="00096C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446FE"/>
    <w:multiLevelType w:val="hybridMultilevel"/>
    <w:tmpl w:val="623C0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EF5886"/>
    <w:multiLevelType w:val="hybridMultilevel"/>
    <w:tmpl w:val="D79622BA"/>
    <w:lvl w:ilvl="0" w:tplc="AFFCFE9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95D18"/>
    <w:multiLevelType w:val="singleLevel"/>
    <w:tmpl w:val="04090017"/>
    <w:lvl w:ilvl="0">
      <w:start w:val="1"/>
      <w:numFmt w:val="lowerLetter"/>
      <w:lvlText w:val="%1)"/>
      <w:lvlJc w:val="left"/>
      <w:pPr>
        <w:ind w:left="360" w:hanging="360"/>
      </w:pPr>
    </w:lvl>
  </w:abstractNum>
  <w:abstractNum w:abstractNumId="4">
    <w:nsid w:val="12F72F8B"/>
    <w:multiLevelType w:val="hybridMultilevel"/>
    <w:tmpl w:val="ADCAA96E"/>
    <w:lvl w:ilvl="0" w:tplc="0409000F">
      <w:start w:val="1"/>
      <w:numFmt w:val="decimal"/>
      <w:lvlText w:val="%1."/>
      <w:lvlJc w:val="left"/>
      <w:pPr>
        <w:ind w:left="1211" w:hanging="360"/>
      </w:pPr>
    </w:lvl>
    <w:lvl w:ilvl="1" w:tplc="85D01282">
      <w:start w:val="1"/>
      <w:numFmt w:val="lowerLetter"/>
      <w:lvlText w:val="(%2)"/>
      <w:lvlJc w:val="left"/>
      <w:pPr>
        <w:ind w:left="1943" w:hanging="372"/>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6520C"/>
    <w:multiLevelType w:val="hybridMultilevel"/>
    <w:tmpl w:val="A6D2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16D14F1"/>
    <w:multiLevelType w:val="hybridMultilevel"/>
    <w:tmpl w:val="135CE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52A2F"/>
    <w:multiLevelType w:val="singleLevel"/>
    <w:tmpl w:val="04090017"/>
    <w:lvl w:ilvl="0">
      <w:start w:val="1"/>
      <w:numFmt w:val="lowerLetter"/>
      <w:lvlText w:val="%1)"/>
      <w:lvlJc w:val="left"/>
      <w:pPr>
        <w:ind w:left="360" w:hanging="360"/>
      </w:pPr>
    </w:lvl>
  </w:abstractNum>
  <w:abstractNum w:abstractNumId="13">
    <w:nsid w:val="2B3E11E2"/>
    <w:multiLevelType w:val="hybridMultilevel"/>
    <w:tmpl w:val="80444E96"/>
    <w:lvl w:ilvl="0" w:tplc="61600200">
      <w:start w:val="1"/>
      <w:numFmt w:val="bullet"/>
      <w:lvlText w:val="•"/>
      <w:lvlJc w:val="left"/>
      <w:pPr>
        <w:tabs>
          <w:tab w:val="num" w:pos="720"/>
        </w:tabs>
        <w:ind w:left="720" w:hanging="360"/>
      </w:pPr>
      <w:rPr>
        <w:rFonts w:ascii="Arial" w:hAnsi="Arial" w:hint="default"/>
      </w:rPr>
    </w:lvl>
    <w:lvl w:ilvl="1" w:tplc="2E004164">
      <w:start w:val="1864"/>
      <w:numFmt w:val="bullet"/>
      <w:lvlText w:val="–"/>
      <w:lvlJc w:val="left"/>
      <w:pPr>
        <w:tabs>
          <w:tab w:val="num" w:pos="1440"/>
        </w:tabs>
        <w:ind w:left="1440" w:hanging="360"/>
      </w:pPr>
      <w:rPr>
        <w:rFonts w:ascii="Arial" w:hAnsi="Arial" w:hint="default"/>
      </w:rPr>
    </w:lvl>
    <w:lvl w:ilvl="2" w:tplc="0004F5D2" w:tentative="1">
      <w:start w:val="1"/>
      <w:numFmt w:val="bullet"/>
      <w:lvlText w:val="•"/>
      <w:lvlJc w:val="left"/>
      <w:pPr>
        <w:tabs>
          <w:tab w:val="num" w:pos="2160"/>
        </w:tabs>
        <w:ind w:left="2160" w:hanging="360"/>
      </w:pPr>
      <w:rPr>
        <w:rFonts w:ascii="Arial" w:hAnsi="Arial" w:hint="default"/>
      </w:rPr>
    </w:lvl>
    <w:lvl w:ilvl="3" w:tplc="3D4870DC" w:tentative="1">
      <w:start w:val="1"/>
      <w:numFmt w:val="bullet"/>
      <w:lvlText w:val="•"/>
      <w:lvlJc w:val="left"/>
      <w:pPr>
        <w:tabs>
          <w:tab w:val="num" w:pos="2880"/>
        </w:tabs>
        <w:ind w:left="2880" w:hanging="360"/>
      </w:pPr>
      <w:rPr>
        <w:rFonts w:ascii="Arial" w:hAnsi="Arial" w:hint="default"/>
      </w:rPr>
    </w:lvl>
    <w:lvl w:ilvl="4" w:tplc="1E9EE928" w:tentative="1">
      <w:start w:val="1"/>
      <w:numFmt w:val="bullet"/>
      <w:lvlText w:val="•"/>
      <w:lvlJc w:val="left"/>
      <w:pPr>
        <w:tabs>
          <w:tab w:val="num" w:pos="3600"/>
        </w:tabs>
        <w:ind w:left="3600" w:hanging="360"/>
      </w:pPr>
      <w:rPr>
        <w:rFonts w:ascii="Arial" w:hAnsi="Arial" w:hint="default"/>
      </w:rPr>
    </w:lvl>
    <w:lvl w:ilvl="5" w:tplc="2612FC78" w:tentative="1">
      <w:start w:val="1"/>
      <w:numFmt w:val="bullet"/>
      <w:lvlText w:val="•"/>
      <w:lvlJc w:val="left"/>
      <w:pPr>
        <w:tabs>
          <w:tab w:val="num" w:pos="4320"/>
        </w:tabs>
        <w:ind w:left="4320" w:hanging="360"/>
      </w:pPr>
      <w:rPr>
        <w:rFonts w:ascii="Arial" w:hAnsi="Arial" w:hint="default"/>
      </w:rPr>
    </w:lvl>
    <w:lvl w:ilvl="6" w:tplc="1FCC54D8" w:tentative="1">
      <w:start w:val="1"/>
      <w:numFmt w:val="bullet"/>
      <w:lvlText w:val="•"/>
      <w:lvlJc w:val="left"/>
      <w:pPr>
        <w:tabs>
          <w:tab w:val="num" w:pos="5040"/>
        </w:tabs>
        <w:ind w:left="5040" w:hanging="360"/>
      </w:pPr>
      <w:rPr>
        <w:rFonts w:ascii="Arial" w:hAnsi="Arial" w:hint="default"/>
      </w:rPr>
    </w:lvl>
    <w:lvl w:ilvl="7" w:tplc="52BC7CD6" w:tentative="1">
      <w:start w:val="1"/>
      <w:numFmt w:val="bullet"/>
      <w:lvlText w:val="•"/>
      <w:lvlJc w:val="left"/>
      <w:pPr>
        <w:tabs>
          <w:tab w:val="num" w:pos="5760"/>
        </w:tabs>
        <w:ind w:left="5760" w:hanging="360"/>
      </w:pPr>
      <w:rPr>
        <w:rFonts w:ascii="Arial" w:hAnsi="Arial" w:hint="default"/>
      </w:rPr>
    </w:lvl>
    <w:lvl w:ilvl="8" w:tplc="8530EAC8" w:tentative="1">
      <w:start w:val="1"/>
      <w:numFmt w:val="bullet"/>
      <w:lvlText w:val="•"/>
      <w:lvlJc w:val="left"/>
      <w:pPr>
        <w:tabs>
          <w:tab w:val="num" w:pos="6480"/>
        </w:tabs>
        <w:ind w:left="6480" w:hanging="360"/>
      </w:pPr>
      <w:rPr>
        <w:rFonts w:ascii="Arial" w:hAnsi="Arial" w:hint="default"/>
      </w:rPr>
    </w:lvl>
  </w:abstractNum>
  <w:abstractNum w:abstractNumId="14">
    <w:nsid w:val="334A4B92"/>
    <w:multiLevelType w:val="singleLevel"/>
    <w:tmpl w:val="0409000F"/>
    <w:lvl w:ilvl="0">
      <w:start w:val="1"/>
      <w:numFmt w:val="decimal"/>
      <w:lvlText w:val="%1."/>
      <w:lvlJc w:val="left"/>
      <w:pPr>
        <w:tabs>
          <w:tab w:val="num" w:pos="360"/>
        </w:tabs>
        <w:ind w:left="360" w:hanging="360"/>
      </w:pPr>
    </w:lvl>
  </w:abstractNum>
  <w:abstractNum w:abstractNumId="15">
    <w:nsid w:val="33521739"/>
    <w:multiLevelType w:val="hybridMultilevel"/>
    <w:tmpl w:val="338CF4E4"/>
    <w:lvl w:ilvl="0" w:tplc="6F881EC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31E7F"/>
    <w:multiLevelType w:val="hybridMultilevel"/>
    <w:tmpl w:val="28C45210"/>
    <w:lvl w:ilvl="0" w:tplc="E7D0A81E">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35A82EAE"/>
    <w:multiLevelType w:val="hybridMultilevel"/>
    <w:tmpl w:val="D64E01D0"/>
    <w:lvl w:ilvl="0" w:tplc="CBE49D1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4D4BFB"/>
    <w:multiLevelType w:val="hybridMultilevel"/>
    <w:tmpl w:val="5F6C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E62735"/>
    <w:multiLevelType w:val="hybridMultilevel"/>
    <w:tmpl w:val="0854D8B0"/>
    <w:lvl w:ilvl="0" w:tplc="D124CC2A">
      <w:start w:val="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530C4336"/>
    <w:multiLevelType w:val="hybridMultilevel"/>
    <w:tmpl w:val="906CE284"/>
    <w:lvl w:ilvl="0" w:tplc="3F4A44D8">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7D0907"/>
    <w:multiLevelType w:val="hybridMultilevel"/>
    <w:tmpl w:val="6E229894"/>
    <w:lvl w:ilvl="0" w:tplc="12E0936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8D7300"/>
    <w:multiLevelType w:val="hybridMultilevel"/>
    <w:tmpl w:val="1A6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C22635"/>
    <w:multiLevelType w:val="hybridMultilevel"/>
    <w:tmpl w:val="CBB43C8C"/>
    <w:lvl w:ilvl="0" w:tplc="3B78C056">
      <w:start w:val="1"/>
      <w:numFmt w:val="bullet"/>
      <w:lvlText w:val="•"/>
      <w:lvlJc w:val="left"/>
      <w:pPr>
        <w:tabs>
          <w:tab w:val="num" w:pos="720"/>
        </w:tabs>
        <w:ind w:left="720" w:hanging="360"/>
      </w:pPr>
      <w:rPr>
        <w:rFonts w:ascii="Arial" w:hAnsi="Arial" w:hint="default"/>
      </w:rPr>
    </w:lvl>
    <w:lvl w:ilvl="1" w:tplc="232E220A">
      <w:start w:val="2249"/>
      <w:numFmt w:val="bullet"/>
      <w:lvlText w:val="–"/>
      <w:lvlJc w:val="left"/>
      <w:pPr>
        <w:tabs>
          <w:tab w:val="num" w:pos="1440"/>
        </w:tabs>
        <w:ind w:left="1440" w:hanging="360"/>
      </w:pPr>
      <w:rPr>
        <w:rFonts w:ascii="Arial" w:hAnsi="Arial" w:hint="default"/>
      </w:rPr>
    </w:lvl>
    <w:lvl w:ilvl="2" w:tplc="56CC4ABE" w:tentative="1">
      <w:start w:val="1"/>
      <w:numFmt w:val="bullet"/>
      <w:lvlText w:val="•"/>
      <w:lvlJc w:val="left"/>
      <w:pPr>
        <w:tabs>
          <w:tab w:val="num" w:pos="2160"/>
        </w:tabs>
        <w:ind w:left="2160" w:hanging="360"/>
      </w:pPr>
      <w:rPr>
        <w:rFonts w:ascii="Arial" w:hAnsi="Arial" w:hint="default"/>
      </w:rPr>
    </w:lvl>
    <w:lvl w:ilvl="3" w:tplc="C45A2C30" w:tentative="1">
      <w:start w:val="1"/>
      <w:numFmt w:val="bullet"/>
      <w:lvlText w:val="•"/>
      <w:lvlJc w:val="left"/>
      <w:pPr>
        <w:tabs>
          <w:tab w:val="num" w:pos="2880"/>
        </w:tabs>
        <w:ind w:left="2880" w:hanging="360"/>
      </w:pPr>
      <w:rPr>
        <w:rFonts w:ascii="Arial" w:hAnsi="Arial" w:hint="default"/>
      </w:rPr>
    </w:lvl>
    <w:lvl w:ilvl="4" w:tplc="9948CDE8" w:tentative="1">
      <w:start w:val="1"/>
      <w:numFmt w:val="bullet"/>
      <w:lvlText w:val="•"/>
      <w:lvlJc w:val="left"/>
      <w:pPr>
        <w:tabs>
          <w:tab w:val="num" w:pos="3600"/>
        </w:tabs>
        <w:ind w:left="3600" w:hanging="360"/>
      </w:pPr>
      <w:rPr>
        <w:rFonts w:ascii="Arial" w:hAnsi="Arial" w:hint="default"/>
      </w:rPr>
    </w:lvl>
    <w:lvl w:ilvl="5" w:tplc="BD8AE3BC" w:tentative="1">
      <w:start w:val="1"/>
      <w:numFmt w:val="bullet"/>
      <w:lvlText w:val="•"/>
      <w:lvlJc w:val="left"/>
      <w:pPr>
        <w:tabs>
          <w:tab w:val="num" w:pos="4320"/>
        </w:tabs>
        <w:ind w:left="4320" w:hanging="360"/>
      </w:pPr>
      <w:rPr>
        <w:rFonts w:ascii="Arial" w:hAnsi="Arial" w:hint="default"/>
      </w:rPr>
    </w:lvl>
    <w:lvl w:ilvl="6" w:tplc="279AAF3A" w:tentative="1">
      <w:start w:val="1"/>
      <w:numFmt w:val="bullet"/>
      <w:lvlText w:val="•"/>
      <w:lvlJc w:val="left"/>
      <w:pPr>
        <w:tabs>
          <w:tab w:val="num" w:pos="5040"/>
        </w:tabs>
        <w:ind w:left="5040" w:hanging="360"/>
      </w:pPr>
      <w:rPr>
        <w:rFonts w:ascii="Arial" w:hAnsi="Arial" w:hint="default"/>
      </w:rPr>
    </w:lvl>
    <w:lvl w:ilvl="7" w:tplc="E10E83F6" w:tentative="1">
      <w:start w:val="1"/>
      <w:numFmt w:val="bullet"/>
      <w:lvlText w:val="•"/>
      <w:lvlJc w:val="left"/>
      <w:pPr>
        <w:tabs>
          <w:tab w:val="num" w:pos="5760"/>
        </w:tabs>
        <w:ind w:left="5760" w:hanging="360"/>
      </w:pPr>
      <w:rPr>
        <w:rFonts w:ascii="Arial" w:hAnsi="Arial" w:hint="default"/>
      </w:rPr>
    </w:lvl>
    <w:lvl w:ilvl="8" w:tplc="DD2EE926" w:tentative="1">
      <w:start w:val="1"/>
      <w:numFmt w:val="bullet"/>
      <w:lvlText w:val="•"/>
      <w:lvlJc w:val="left"/>
      <w:pPr>
        <w:tabs>
          <w:tab w:val="num" w:pos="6480"/>
        </w:tabs>
        <w:ind w:left="6480" w:hanging="360"/>
      </w:pPr>
      <w:rPr>
        <w:rFonts w:ascii="Arial" w:hAnsi="Arial" w:hint="default"/>
      </w:rPr>
    </w:lvl>
  </w:abstractNum>
  <w:abstractNum w:abstractNumId="32">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8"/>
  </w:num>
  <w:num w:numId="2">
    <w:abstractNumId w:val="20"/>
  </w:num>
  <w:num w:numId="3">
    <w:abstractNumId w:val="32"/>
  </w:num>
  <w:num w:numId="4">
    <w:abstractNumId w:val="26"/>
  </w:num>
  <w:num w:numId="5">
    <w:abstractNumId w:val="33"/>
  </w:num>
  <w:num w:numId="6">
    <w:abstractNumId w:val="22"/>
  </w:num>
  <w:num w:numId="7">
    <w:abstractNumId w:val="34"/>
  </w:num>
  <w:num w:numId="8">
    <w:abstractNumId w:val="6"/>
  </w:num>
  <w:num w:numId="9">
    <w:abstractNumId w:val="27"/>
  </w:num>
  <w:num w:numId="10">
    <w:abstractNumId w:val="25"/>
  </w:num>
  <w:num w:numId="11">
    <w:abstractNumId w:val="2"/>
  </w:num>
  <w:num w:numId="12">
    <w:abstractNumId w:val="11"/>
  </w:num>
  <w:num w:numId="13">
    <w:abstractNumId w:val="5"/>
  </w:num>
  <w:num w:numId="14">
    <w:abstractNumId w:val="5"/>
    <w:lvlOverride w:ilvl="0">
      <w:startOverride w:val="1"/>
    </w:lvlOverride>
  </w:num>
  <w:num w:numId="15">
    <w:abstractNumId w:val="10"/>
  </w:num>
  <w:num w:numId="16">
    <w:abstractNumId w:val="5"/>
    <w:lvlOverride w:ilvl="0">
      <w:startOverride w:val="1"/>
    </w:lvlOverride>
  </w:num>
  <w:num w:numId="17">
    <w:abstractNumId w:val="21"/>
  </w:num>
  <w:num w:numId="18">
    <w:abstractNumId w:val="16"/>
  </w:num>
  <w:num w:numId="19">
    <w:abstractNumId w:val="14"/>
  </w:num>
  <w:num w:numId="20">
    <w:abstractNumId w:val="12"/>
  </w:num>
  <w:num w:numId="21">
    <w:abstractNumId w:val="4"/>
  </w:num>
  <w:num w:numId="22">
    <w:abstractNumId w:val="0"/>
  </w:num>
  <w:num w:numId="23">
    <w:abstractNumId w:val="23"/>
  </w:num>
  <w:num w:numId="24">
    <w:abstractNumId w:val="3"/>
  </w:num>
  <w:num w:numId="25">
    <w:abstractNumId w:val="13"/>
  </w:num>
  <w:num w:numId="26">
    <w:abstractNumId w:val="31"/>
  </w:num>
  <w:num w:numId="27">
    <w:abstractNumId w:val="18"/>
  </w:num>
  <w:num w:numId="28">
    <w:abstractNumId w:val="30"/>
  </w:num>
  <w:num w:numId="29">
    <w:abstractNumId w:val="8"/>
  </w:num>
  <w:num w:numId="30">
    <w:abstractNumId w:val="19"/>
  </w:num>
  <w:num w:numId="31">
    <w:abstractNumId w:val="9"/>
  </w:num>
  <w:num w:numId="32">
    <w:abstractNumId w:val="7"/>
  </w:num>
  <w:num w:numId="33">
    <w:abstractNumId w:val="29"/>
  </w:num>
  <w:num w:numId="34">
    <w:abstractNumId w:val="15"/>
  </w:num>
  <w:num w:numId="35">
    <w:abstractNumId w:val="1"/>
  </w:num>
  <w:num w:numId="36">
    <w:abstractNumId w:val="17"/>
  </w:num>
  <w:num w:numId="37">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POV_Beta|WIPONew"/>
    <w:docVar w:name="TermBaseURL" w:val="empty"/>
    <w:docVar w:name="TextBases" w:val="WorkspaceFTS\EN-FR\UPOV|UPOV\Meetings|UPOV\Other|UPOV\Publications|UPOV\Technical Guidelines"/>
    <w:docVar w:name="TextBaseURL" w:val="empty"/>
    <w:docVar w:name="UILng" w:val="en"/>
  </w:docVars>
  <w:rsids>
    <w:rsidRoot w:val="00216695"/>
    <w:rsid w:val="000008ED"/>
    <w:rsid w:val="00003099"/>
    <w:rsid w:val="00003433"/>
    <w:rsid w:val="00004203"/>
    <w:rsid w:val="00004F77"/>
    <w:rsid w:val="0000510A"/>
    <w:rsid w:val="00006DDE"/>
    <w:rsid w:val="00010130"/>
    <w:rsid w:val="00010CF3"/>
    <w:rsid w:val="00011E27"/>
    <w:rsid w:val="00011FA8"/>
    <w:rsid w:val="00012767"/>
    <w:rsid w:val="000148BC"/>
    <w:rsid w:val="00024627"/>
    <w:rsid w:val="00024AB8"/>
    <w:rsid w:val="0002688D"/>
    <w:rsid w:val="00026940"/>
    <w:rsid w:val="00030854"/>
    <w:rsid w:val="00031D57"/>
    <w:rsid w:val="00036028"/>
    <w:rsid w:val="000378FC"/>
    <w:rsid w:val="0004069B"/>
    <w:rsid w:val="0004387B"/>
    <w:rsid w:val="00044642"/>
    <w:rsid w:val="000446B9"/>
    <w:rsid w:val="000460A3"/>
    <w:rsid w:val="00046B30"/>
    <w:rsid w:val="00047B06"/>
    <w:rsid w:val="00047E21"/>
    <w:rsid w:val="00050407"/>
    <w:rsid w:val="00050E16"/>
    <w:rsid w:val="000512C5"/>
    <w:rsid w:val="000516D2"/>
    <w:rsid w:val="00053377"/>
    <w:rsid w:val="00053C5D"/>
    <w:rsid w:val="000607BA"/>
    <w:rsid w:val="00060B7A"/>
    <w:rsid w:val="00062060"/>
    <w:rsid w:val="00064101"/>
    <w:rsid w:val="00065D35"/>
    <w:rsid w:val="00065FD6"/>
    <w:rsid w:val="000726E6"/>
    <w:rsid w:val="0007301C"/>
    <w:rsid w:val="000762AF"/>
    <w:rsid w:val="00076EEE"/>
    <w:rsid w:val="00076F8F"/>
    <w:rsid w:val="00077370"/>
    <w:rsid w:val="000836C5"/>
    <w:rsid w:val="00085505"/>
    <w:rsid w:val="00085998"/>
    <w:rsid w:val="0008747A"/>
    <w:rsid w:val="000911C7"/>
    <w:rsid w:val="00096CD1"/>
    <w:rsid w:val="000977D0"/>
    <w:rsid w:val="00097C8B"/>
    <w:rsid w:val="000A0DEF"/>
    <w:rsid w:val="000B03FD"/>
    <w:rsid w:val="000B08EF"/>
    <w:rsid w:val="000B452A"/>
    <w:rsid w:val="000B4538"/>
    <w:rsid w:val="000C02CA"/>
    <w:rsid w:val="000C4914"/>
    <w:rsid w:val="000C5A72"/>
    <w:rsid w:val="000C6004"/>
    <w:rsid w:val="000C7021"/>
    <w:rsid w:val="000D0CFF"/>
    <w:rsid w:val="000D0D1D"/>
    <w:rsid w:val="000D1261"/>
    <w:rsid w:val="000D14A8"/>
    <w:rsid w:val="000D4323"/>
    <w:rsid w:val="000D4546"/>
    <w:rsid w:val="000D4F60"/>
    <w:rsid w:val="000D6BBC"/>
    <w:rsid w:val="000D7780"/>
    <w:rsid w:val="000D7BFB"/>
    <w:rsid w:val="000E3B2F"/>
    <w:rsid w:val="000E63AC"/>
    <w:rsid w:val="000E66F6"/>
    <w:rsid w:val="000F061A"/>
    <w:rsid w:val="000F2BDF"/>
    <w:rsid w:val="000F2F11"/>
    <w:rsid w:val="000F5065"/>
    <w:rsid w:val="000F69D2"/>
    <w:rsid w:val="00100EA8"/>
    <w:rsid w:val="00101B87"/>
    <w:rsid w:val="00103B54"/>
    <w:rsid w:val="00105929"/>
    <w:rsid w:val="00106F02"/>
    <w:rsid w:val="00110A7B"/>
    <w:rsid w:val="00111ED3"/>
    <w:rsid w:val="00112ADC"/>
    <w:rsid w:val="001131D5"/>
    <w:rsid w:val="00113CEC"/>
    <w:rsid w:val="00114CE3"/>
    <w:rsid w:val="001236C5"/>
    <w:rsid w:val="00123D96"/>
    <w:rsid w:val="001256E5"/>
    <w:rsid w:val="00130C25"/>
    <w:rsid w:val="00131226"/>
    <w:rsid w:val="001312D2"/>
    <w:rsid w:val="001322CF"/>
    <w:rsid w:val="00132A8B"/>
    <w:rsid w:val="0013349E"/>
    <w:rsid w:val="001403B4"/>
    <w:rsid w:val="001406A9"/>
    <w:rsid w:val="00141DB8"/>
    <w:rsid w:val="00142568"/>
    <w:rsid w:val="00145A70"/>
    <w:rsid w:val="00150912"/>
    <w:rsid w:val="0015134A"/>
    <w:rsid w:val="00154E3E"/>
    <w:rsid w:val="0015753D"/>
    <w:rsid w:val="00157781"/>
    <w:rsid w:val="00162B7C"/>
    <w:rsid w:val="00163088"/>
    <w:rsid w:val="0016333C"/>
    <w:rsid w:val="0017278A"/>
    <w:rsid w:val="00173B63"/>
    <w:rsid w:val="00173D9F"/>
    <w:rsid w:val="0017474A"/>
    <w:rsid w:val="0017554A"/>
    <w:rsid w:val="001758C6"/>
    <w:rsid w:val="00176B7A"/>
    <w:rsid w:val="00176FF0"/>
    <w:rsid w:val="00177925"/>
    <w:rsid w:val="00182B99"/>
    <w:rsid w:val="00183997"/>
    <w:rsid w:val="00183A58"/>
    <w:rsid w:val="00184655"/>
    <w:rsid w:val="001851ED"/>
    <w:rsid w:val="0018603B"/>
    <w:rsid w:val="001871F4"/>
    <w:rsid w:val="0019555C"/>
    <w:rsid w:val="0019644B"/>
    <w:rsid w:val="001977E1"/>
    <w:rsid w:val="001A5F6A"/>
    <w:rsid w:val="001A6336"/>
    <w:rsid w:val="001A6D8B"/>
    <w:rsid w:val="001B56EA"/>
    <w:rsid w:val="001B60B3"/>
    <w:rsid w:val="001C2105"/>
    <w:rsid w:val="001C2807"/>
    <w:rsid w:val="001C3D3D"/>
    <w:rsid w:val="001D1DDE"/>
    <w:rsid w:val="001D284A"/>
    <w:rsid w:val="001D35FE"/>
    <w:rsid w:val="001D5C35"/>
    <w:rsid w:val="001E134C"/>
    <w:rsid w:val="001E7E24"/>
    <w:rsid w:val="001E7F92"/>
    <w:rsid w:val="001F26D8"/>
    <w:rsid w:val="001F6FEF"/>
    <w:rsid w:val="001F7489"/>
    <w:rsid w:val="00204577"/>
    <w:rsid w:val="002073A6"/>
    <w:rsid w:val="0021332C"/>
    <w:rsid w:val="00213982"/>
    <w:rsid w:val="00216695"/>
    <w:rsid w:val="002172F2"/>
    <w:rsid w:val="00217621"/>
    <w:rsid w:val="00217C2F"/>
    <w:rsid w:val="00221291"/>
    <w:rsid w:val="00221A25"/>
    <w:rsid w:val="00221E16"/>
    <w:rsid w:val="00221FCD"/>
    <w:rsid w:val="002256E2"/>
    <w:rsid w:val="002261A1"/>
    <w:rsid w:val="00227CAC"/>
    <w:rsid w:val="00230037"/>
    <w:rsid w:val="002302B3"/>
    <w:rsid w:val="002315D1"/>
    <w:rsid w:val="00232A57"/>
    <w:rsid w:val="00233D14"/>
    <w:rsid w:val="002345C7"/>
    <w:rsid w:val="00235A48"/>
    <w:rsid w:val="00235D66"/>
    <w:rsid w:val="00243477"/>
    <w:rsid w:val="0024416D"/>
    <w:rsid w:val="00245163"/>
    <w:rsid w:val="00245D31"/>
    <w:rsid w:val="00247B3C"/>
    <w:rsid w:val="00247FF8"/>
    <w:rsid w:val="002504D6"/>
    <w:rsid w:val="00252C32"/>
    <w:rsid w:val="00262D19"/>
    <w:rsid w:val="00267745"/>
    <w:rsid w:val="00271911"/>
    <w:rsid w:val="00276505"/>
    <w:rsid w:val="002800A0"/>
    <w:rsid w:val="00280100"/>
    <w:rsid w:val="002801B3"/>
    <w:rsid w:val="00280A90"/>
    <w:rsid w:val="00281060"/>
    <w:rsid w:val="00281479"/>
    <w:rsid w:val="00285735"/>
    <w:rsid w:val="002865AC"/>
    <w:rsid w:val="00290045"/>
    <w:rsid w:val="00293B75"/>
    <w:rsid w:val="002940E8"/>
    <w:rsid w:val="002A0316"/>
    <w:rsid w:val="002A0C26"/>
    <w:rsid w:val="002A21A8"/>
    <w:rsid w:val="002A2492"/>
    <w:rsid w:val="002A368A"/>
    <w:rsid w:val="002A3B0B"/>
    <w:rsid w:val="002A50CF"/>
    <w:rsid w:val="002A6E50"/>
    <w:rsid w:val="002A6EE0"/>
    <w:rsid w:val="002B08C7"/>
    <w:rsid w:val="002B1D9A"/>
    <w:rsid w:val="002B36BE"/>
    <w:rsid w:val="002B42EE"/>
    <w:rsid w:val="002B4E0E"/>
    <w:rsid w:val="002C256A"/>
    <w:rsid w:val="002C384F"/>
    <w:rsid w:val="002C5451"/>
    <w:rsid w:val="002C6A32"/>
    <w:rsid w:val="002C733A"/>
    <w:rsid w:val="002D3EF0"/>
    <w:rsid w:val="002D5299"/>
    <w:rsid w:val="002E1017"/>
    <w:rsid w:val="002E2155"/>
    <w:rsid w:val="002E3964"/>
    <w:rsid w:val="002F1915"/>
    <w:rsid w:val="002F6E14"/>
    <w:rsid w:val="002F765F"/>
    <w:rsid w:val="003018A0"/>
    <w:rsid w:val="003042F3"/>
    <w:rsid w:val="0030564A"/>
    <w:rsid w:val="00305A7F"/>
    <w:rsid w:val="003113F2"/>
    <w:rsid w:val="00312879"/>
    <w:rsid w:val="00312CED"/>
    <w:rsid w:val="00312FF3"/>
    <w:rsid w:val="003132F8"/>
    <w:rsid w:val="00313714"/>
    <w:rsid w:val="003152FE"/>
    <w:rsid w:val="003260D3"/>
    <w:rsid w:val="003263C1"/>
    <w:rsid w:val="00327436"/>
    <w:rsid w:val="003306D3"/>
    <w:rsid w:val="003312D4"/>
    <w:rsid w:val="003324E3"/>
    <w:rsid w:val="003356F1"/>
    <w:rsid w:val="003371D7"/>
    <w:rsid w:val="0034338B"/>
    <w:rsid w:val="00344BD6"/>
    <w:rsid w:val="003543DF"/>
    <w:rsid w:val="0035528D"/>
    <w:rsid w:val="00356703"/>
    <w:rsid w:val="00361821"/>
    <w:rsid w:val="00367060"/>
    <w:rsid w:val="003706C0"/>
    <w:rsid w:val="0037146F"/>
    <w:rsid w:val="00382C0D"/>
    <w:rsid w:val="003858A3"/>
    <w:rsid w:val="003928D0"/>
    <w:rsid w:val="003951FA"/>
    <w:rsid w:val="00395578"/>
    <w:rsid w:val="003A2BFC"/>
    <w:rsid w:val="003B1475"/>
    <w:rsid w:val="003B44F5"/>
    <w:rsid w:val="003C3B45"/>
    <w:rsid w:val="003D0521"/>
    <w:rsid w:val="003D1074"/>
    <w:rsid w:val="003D227C"/>
    <w:rsid w:val="003D2B4D"/>
    <w:rsid w:val="003D39F6"/>
    <w:rsid w:val="003D6E45"/>
    <w:rsid w:val="003E1FFB"/>
    <w:rsid w:val="003E4596"/>
    <w:rsid w:val="003E51A8"/>
    <w:rsid w:val="003E5E59"/>
    <w:rsid w:val="00401BEA"/>
    <w:rsid w:val="00402453"/>
    <w:rsid w:val="00407C37"/>
    <w:rsid w:val="00410AF0"/>
    <w:rsid w:val="00416CF0"/>
    <w:rsid w:val="00417E05"/>
    <w:rsid w:val="00420F11"/>
    <w:rsid w:val="00422654"/>
    <w:rsid w:val="004242EB"/>
    <w:rsid w:val="004338B7"/>
    <w:rsid w:val="004440E0"/>
    <w:rsid w:val="00444A88"/>
    <w:rsid w:val="00445098"/>
    <w:rsid w:val="00446BDB"/>
    <w:rsid w:val="00454CE8"/>
    <w:rsid w:val="00461F8F"/>
    <w:rsid w:val="00470BE2"/>
    <w:rsid w:val="00472F48"/>
    <w:rsid w:val="00473188"/>
    <w:rsid w:val="00473A68"/>
    <w:rsid w:val="004742FE"/>
    <w:rsid w:val="00474DA4"/>
    <w:rsid w:val="00476B4D"/>
    <w:rsid w:val="00477A0B"/>
    <w:rsid w:val="00477CD5"/>
    <w:rsid w:val="004805FA"/>
    <w:rsid w:val="0048132D"/>
    <w:rsid w:val="00482CD4"/>
    <w:rsid w:val="004870CA"/>
    <w:rsid w:val="00490940"/>
    <w:rsid w:val="00492EEA"/>
    <w:rsid w:val="004935D2"/>
    <w:rsid w:val="004940FF"/>
    <w:rsid w:val="00497229"/>
    <w:rsid w:val="004A114C"/>
    <w:rsid w:val="004A3030"/>
    <w:rsid w:val="004A60FA"/>
    <w:rsid w:val="004B1E14"/>
    <w:rsid w:val="004B6E5F"/>
    <w:rsid w:val="004C7FB7"/>
    <w:rsid w:val="004D03C3"/>
    <w:rsid w:val="004D047D"/>
    <w:rsid w:val="004D0748"/>
    <w:rsid w:val="004D317C"/>
    <w:rsid w:val="004D3D31"/>
    <w:rsid w:val="004D525D"/>
    <w:rsid w:val="004D71ED"/>
    <w:rsid w:val="004E05A0"/>
    <w:rsid w:val="004E2B34"/>
    <w:rsid w:val="004F305A"/>
    <w:rsid w:val="004F37BB"/>
    <w:rsid w:val="004F4DA3"/>
    <w:rsid w:val="004F6D74"/>
    <w:rsid w:val="0050216F"/>
    <w:rsid w:val="00504101"/>
    <w:rsid w:val="00505936"/>
    <w:rsid w:val="005060DC"/>
    <w:rsid w:val="00507AE8"/>
    <w:rsid w:val="00510F3F"/>
    <w:rsid w:val="00512164"/>
    <w:rsid w:val="00513AF6"/>
    <w:rsid w:val="00513CE3"/>
    <w:rsid w:val="00513EB9"/>
    <w:rsid w:val="00516C3F"/>
    <w:rsid w:val="00520297"/>
    <w:rsid w:val="00520DC8"/>
    <w:rsid w:val="005263AD"/>
    <w:rsid w:val="00527E08"/>
    <w:rsid w:val="005338F9"/>
    <w:rsid w:val="00533D02"/>
    <w:rsid w:val="00534B1E"/>
    <w:rsid w:val="00535AD1"/>
    <w:rsid w:val="00537637"/>
    <w:rsid w:val="00541280"/>
    <w:rsid w:val="00541EC1"/>
    <w:rsid w:val="0054281C"/>
    <w:rsid w:val="005476EB"/>
    <w:rsid w:val="00550E30"/>
    <w:rsid w:val="0055129D"/>
    <w:rsid w:val="0055268D"/>
    <w:rsid w:val="00553466"/>
    <w:rsid w:val="005535E5"/>
    <w:rsid w:val="00557F0A"/>
    <w:rsid w:val="00560C72"/>
    <w:rsid w:val="005614AD"/>
    <w:rsid w:val="00562281"/>
    <w:rsid w:val="00563619"/>
    <w:rsid w:val="005703EC"/>
    <w:rsid w:val="00570EBD"/>
    <w:rsid w:val="00576BE4"/>
    <w:rsid w:val="00580129"/>
    <w:rsid w:val="00582A6E"/>
    <w:rsid w:val="0058370A"/>
    <w:rsid w:val="0058509E"/>
    <w:rsid w:val="00586541"/>
    <w:rsid w:val="00586C57"/>
    <w:rsid w:val="0059078F"/>
    <w:rsid w:val="0059200B"/>
    <w:rsid w:val="00592A30"/>
    <w:rsid w:val="00593CDF"/>
    <w:rsid w:val="00595B5F"/>
    <w:rsid w:val="005A1318"/>
    <w:rsid w:val="005A2983"/>
    <w:rsid w:val="005A2F85"/>
    <w:rsid w:val="005A400A"/>
    <w:rsid w:val="005B3E44"/>
    <w:rsid w:val="005B4D84"/>
    <w:rsid w:val="005B5643"/>
    <w:rsid w:val="005B685D"/>
    <w:rsid w:val="005C36C5"/>
    <w:rsid w:val="005C3812"/>
    <w:rsid w:val="005C5B72"/>
    <w:rsid w:val="005C682D"/>
    <w:rsid w:val="005D6432"/>
    <w:rsid w:val="005E105F"/>
    <w:rsid w:val="005E2E1D"/>
    <w:rsid w:val="005E58EE"/>
    <w:rsid w:val="005E68A6"/>
    <w:rsid w:val="005F3545"/>
    <w:rsid w:val="005F3EBE"/>
    <w:rsid w:val="005F674D"/>
    <w:rsid w:val="006001AB"/>
    <w:rsid w:val="00601A66"/>
    <w:rsid w:val="00604546"/>
    <w:rsid w:val="00604C40"/>
    <w:rsid w:val="00606D1B"/>
    <w:rsid w:val="00607524"/>
    <w:rsid w:val="00607E57"/>
    <w:rsid w:val="0061171D"/>
    <w:rsid w:val="00612379"/>
    <w:rsid w:val="0061355C"/>
    <w:rsid w:val="00614C59"/>
    <w:rsid w:val="0061555F"/>
    <w:rsid w:val="006160BF"/>
    <w:rsid w:val="006218D1"/>
    <w:rsid w:val="00622B9F"/>
    <w:rsid w:val="00622F1B"/>
    <w:rsid w:val="00624ECF"/>
    <w:rsid w:val="006310C2"/>
    <w:rsid w:val="00641200"/>
    <w:rsid w:val="00652FCB"/>
    <w:rsid w:val="00664781"/>
    <w:rsid w:val="0066522F"/>
    <w:rsid w:val="006655D3"/>
    <w:rsid w:val="006655E4"/>
    <w:rsid w:val="00666915"/>
    <w:rsid w:val="0066735B"/>
    <w:rsid w:val="00667404"/>
    <w:rsid w:val="00670760"/>
    <w:rsid w:val="006709D1"/>
    <w:rsid w:val="00671D71"/>
    <w:rsid w:val="00675861"/>
    <w:rsid w:val="0067732C"/>
    <w:rsid w:val="00684371"/>
    <w:rsid w:val="00684669"/>
    <w:rsid w:val="00685D53"/>
    <w:rsid w:val="0068693F"/>
    <w:rsid w:val="00687620"/>
    <w:rsid w:val="00687EB4"/>
    <w:rsid w:val="00690FFD"/>
    <w:rsid w:val="0069141B"/>
    <w:rsid w:val="00692809"/>
    <w:rsid w:val="00694DAF"/>
    <w:rsid w:val="00696758"/>
    <w:rsid w:val="006A5D2E"/>
    <w:rsid w:val="006B0974"/>
    <w:rsid w:val="006B17D2"/>
    <w:rsid w:val="006C224E"/>
    <w:rsid w:val="006C393B"/>
    <w:rsid w:val="006C4BF4"/>
    <w:rsid w:val="006C6365"/>
    <w:rsid w:val="006D1048"/>
    <w:rsid w:val="006D19E8"/>
    <w:rsid w:val="006D34E4"/>
    <w:rsid w:val="006D780A"/>
    <w:rsid w:val="006E06CA"/>
    <w:rsid w:val="006E0912"/>
    <w:rsid w:val="006E14DA"/>
    <w:rsid w:val="006E2FC2"/>
    <w:rsid w:val="006E3E1A"/>
    <w:rsid w:val="006E3FCC"/>
    <w:rsid w:val="006E7AD5"/>
    <w:rsid w:val="006F167E"/>
    <w:rsid w:val="006F1931"/>
    <w:rsid w:val="007005BA"/>
    <w:rsid w:val="00701704"/>
    <w:rsid w:val="00702EC0"/>
    <w:rsid w:val="00707DC9"/>
    <w:rsid w:val="0071125D"/>
    <w:rsid w:val="0071146B"/>
    <w:rsid w:val="00715B60"/>
    <w:rsid w:val="00715C66"/>
    <w:rsid w:val="0071760C"/>
    <w:rsid w:val="007206EB"/>
    <w:rsid w:val="007210EC"/>
    <w:rsid w:val="00721A11"/>
    <w:rsid w:val="0072350A"/>
    <w:rsid w:val="00723D26"/>
    <w:rsid w:val="00724EB2"/>
    <w:rsid w:val="007302E7"/>
    <w:rsid w:val="00730727"/>
    <w:rsid w:val="007318ED"/>
    <w:rsid w:val="00732DEC"/>
    <w:rsid w:val="00733129"/>
    <w:rsid w:val="0073318C"/>
    <w:rsid w:val="00735078"/>
    <w:rsid w:val="00735BD5"/>
    <w:rsid w:val="007404BA"/>
    <w:rsid w:val="00741B2B"/>
    <w:rsid w:val="007556F6"/>
    <w:rsid w:val="007566A9"/>
    <w:rsid w:val="00756D1C"/>
    <w:rsid w:val="00760EEF"/>
    <w:rsid w:val="0076212E"/>
    <w:rsid w:val="0076258C"/>
    <w:rsid w:val="00762CBF"/>
    <w:rsid w:val="00764DD9"/>
    <w:rsid w:val="00770F53"/>
    <w:rsid w:val="00777EE5"/>
    <w:rsid w:val="00784836"/>
    <w:rsid w:val="00785B60"/>
    <w:rsid w:val="007864A5"/>
    <w:rsid w:val="0078731E"/>
    <w:rsid w:val="00787D0F"/>
    <w:rsid w:val="0079023E"/>
    <w:rsid w:val="007A0026"/>
    <w:rsid w:val="007A2854"/>
    <w:rsid w:val="007A713C"/>
    <w:rsid w:val="007B577C"/>
    <w:rsid w:val="007B6E7C"/>
    <w:rsid w:val="007C1A3B"/>
    <w:rsid w:val="007C42FB"/>
    <w:rsid w:val="007C4D65"/>
    <w:rsid w:val="007C5A76"/>
    <w:rsid w:val="007D0B9D"/>
    <w:rsid w:val="007D19B0"/>
    <w:rsid w:val="007D4BCA"/>
    <w:rsid w:val="007D4DA3"/>
    <w:rsid w:val="007D4F9E"/>
    <w:rsid w:val="007D5A3E"/>
    <w:rsid w:val="007D72DB"/>
    <w:rsid w:val="007E02E8"/>
    <w:rsid w:val="007E0B0B"/>
    <w:rsid w:val="007E0F9F"/>
    <w:rsid w:val="007E3408"/>
    <w:rsid w:val="007F0281"/>
    <w:rsid w:val="007F498F"/>
    <w:rsid w:val="007F53AF"/>
    <w:rsid w:val="007F63CD"/>
    <w:rsid w:val="00800DC5"/>
    <w:rsid w:val="0080295D"/>
    <w:rsid w:val="00803B45"/>
    <w:rsid w:val="00804825"/>
    <w:rsid w:val="00804DC2"/>
    <w:rsid w:val="00806489"/>
    <w:rsid w:val="0080679D"/>
    <w:rsid w:val="008108B0"/>
    <w:rsid w:val="00810AF0"/>
    <w:rsid w:val="00811B20"/>
    <w:rsid w:val="00812B1E"/>
    <w:rsid w:val="0081517E"/>
    <w:rsid w:val="00816E94"/>
    <w:rsid w:val="00817124"/>
    <w:rsid w:val="00820567"/>
    <w:rsid w:val="008215F7"/>
    <w:rsid w:val="0082296E"/>
    <w:rsid w:val="00823A67"/>
    <w:rsid w:val="00824099"/>
    <w:rsid w:val="00824842"/>
    <w:rsid w:val="00825042"/>
    <w:rsid w:val="00826015"/>
    <w:rsid w:val="00830C4D"/>
    <w:rsid w:val="008317B3"/>
    <w:rsid w:val="00831EBF"/>
    <w:rsid w:val="0083218B"/>
    <w:rsid w:val="00835F71"/>
    <w:rsid w:val="008371ED"/>
    <w:rsid w:val="0084142E"/>
    <w:rsid w:val="0084638E"/>
    <w:rsid w:val="0084699E"/>
    <w:rsid w:val="0085038B"/>
    <w:rsid w:val="00851412"/>
    <w:rsid w:val="00852636"/>
    <w:rsid w:val="008532F1"/>
    <w:rsid w:val="008538A7"/>
    <w:rsid w:val="008542DC"/>
    <w:rsid w:val="00855330"/>
    <w:rsid w:val="0086015C"/>
    <w:rsid w:val="00862E7F"/>
    <w:rsid w:val="00863785"/>
    <w:rsid w:val="00863F52"/>
    <w:rsid w:val="00867940"/>
    <w:rsid w:val="00867AC1"/>
    <w:rsid w:val="00870579"/>
    <w:rsid w:val="0087115D"/>
    <w:rsid w:val="00872BC0"/>
    <w:rsid w:val="00875B4C"/>
    <w:rsid w:val="00877730"/>
    <w:rsid w:val="00880650"/>
    <w:rsid w:val="00886136"/>
    <w:rsid w:val="00886306"/>
    <w:rsid w:val="008908B0"/>
    <w:rsid w:val="0089444E"/>
    <w:rsid w:val="00894671"/>
    <w:rsid w:val="00896790"/>
    <w:rsid w:val="00897A76"/>
    <w:rsid w:val="008A4BA3"/>
    <w:rsid w:val="008A60E7"/>
    <w:rsid w:val="008A661E"/>
    <w:rsid w:val="008A743F"/>
    <w:rsid w:val="008A7C8C"/>
    <w:rsid w:val="008B22CB"/>
    <w:rsid w:val="008B285E"/>
    <w:rsid w:val="008B2A53"/>
    <w:rsid w:val="008B5002"/>
    <w:rsid w:val="008C0970"/>
    <w:rsid w:val="008C0B55"/>
    <w:rsid w:val="008C0C92"/>
    <w:rsid w:val="008C7F8E"/>
    <w:rsid w:val="008D09D6"/>
    <w:rsid w:val="008D0BC5"/>
    <w:rsid w:val="008D2CF7"/>
    <w:rsid w:val="008D3A53"/>
    <w:rsid w:val="008D7F10"/>
    <w:rsid w:val="008E0016"/>
    <w:rsid w:val="008E3653"/>
    <w:rsid w:val="008E4E63"/>
    <w:rsid w:val="008E5D35"/>
    <w:rsid w:val="008F6B94"/>
    <w:rsid w:val="008F7D44"/>
    <w:rsid w:val="00900C26"/>
    <w:rsid w:val="0090197F"/>
    <w:rsid w:val="00901C22"/>
    <w:rsid w:val="0090276F"/>
    <w:rsid w:val="00903113"/>
    <w:rsid w:val="0090479F"/>
    <w:rsid w:val="00905384"/>
    <w:rsid w:val="009057D3"/>
    <w:rsid w:val="00906DDC"/>
    <w:rsid w:val="009070EF"/>
    <w:rsid w:val="009115ED"/>
    <w:rsid w:val="00915267"/>
    <w:rsid w:val="00915F2C"/>
    <w:rsid w:val="00916A77"/>
    <w:rsid w:val="009178F8"/>
    <w:rsid w:val="00922037"/>
    <w:rsid w:val="009254F1"/>
    <w:rsid w:val="00926652"/>
    <w:rsid w:val="00930184"/>
    <w:rsid w:val="00930345"/>
    <w:rsid w:val="00931DDA"/>
    <w:rsid w:val="00934E09"/>
    <w:rsid w:val="00936253"/>
    <w:rsid w:val="00937F3C"/>
    <w:rsid w:val="0094102C"/>
    <w:rsid w:val="00941E00"/>
    <w:rsid w:val="0094524F"/>
    <w:rsid w:val="00947EFD"/>
    <w:rsid w:val="009500EE"/>
    <w:rsid w:val="00952DD4"/>
    <w:rsid w:val="009569A3"/>
    <w:rsid w:val="00963195"/>
    <w:rsid w:val="00963ABA"/>
    <w:rsid w:val="00967941"/>
    <w:rsid w:val="00970FED"/>
    <w:rsid w:val="00973F4D"/>
    <w:rsid w:val="009775B0"/>
    <w:rsid w:val="00980A01"/>
    <w:rsid w:val="00982FD6"/>
    <w:rsid w:val="009834A0"/>
    <w:rsid w:val="00986BDC"/>
    <w:rsid w:val="00992D82"/>
    <w:rsid w:val="00993503"/>
    <w:rsid w:val="00994F33"/>
    <w:rsid w:val="00995AEA"/>
    <w:rsid w:val="009964CF"/>
    <w:rsid w:val="00997029"/>
    <w:rsid w:val="009A140D"/>
    <w:rsid w:val="009A281D"/>
    <w:rsid w:val="009A339E"/>
    <w:rsid w:val="009B01FD"/>
    <w:rsid w:val="009B1688"/>
    <w:rsid w:val="009B1D05"/>
    <w:rsid w:val="009B440E"/>
    <w:rsid w:val="009B5689"/>
    <w:rsid w:val="009C1A7D"/>
    <w:rsid w:val="009C2352"/>
    <w:rsid w:val="009C44FD"/>
    <w:rsid w:val="009C5911"/>
    <w:rsid w:val="009D0661"/>
    <w:rsid w:val="009D19AF"/>
    <w:rsid w:val="009D5D10"/>
    <w:rsid w:val="009D690D"/>
    <w:rsid w:val="009E0451"/>
    <w:rsid w:val="009E2251"/>
    <w:rsid w:val="009E24A4"/>
    <w:rsid w:val="009E5E31"/>
    <w:rsid w:val="009E65B6"/>
    <w:rsid w:val="009E720E"/>
    <w:rsid w:val="009F0871"/>
    <w:rsid w:val="009F43C0"/>
    <w:rsid w:val="009F46A4"/>
    <w:rsid w:val="00A04A5C"/>
    <w:rsid w:val="00A06176"/>
    <w:rsid w:val="00A10FC2"/>
    <w:rsid w:val="00A1475E"/>
    <w:rsid w:val="00A20DAF"/>
    <w:rsid w:val="00A213CC"/>
    <w:rsid w:val="00A24C10"/>
    <w:rsid w:val="00A24DD5"/>
    <w:rsid w:val="00A30A8F"/>
    <w:rsid w:val="00A310A3"/>
    <w:rsid w:val="00A31CF7"/>
    <w:rsid w:val="00A33CD6"/>
    <w:rsid w:val="00A33DF4"/>
    <w:rsid w:val="00A40711"/>
    <w:rsid w:val="00A4181B"/>
    <w:rsid w:val="00A41CE7"/>
    <w:rsid w:val="00A42AC3"/>
    <w:rsid w:val="00A430CF"/>
    <w:rsid w:val="00A519A2"/>
    <w:rsid w:val="00A52651"/>
    <w:rsid w:val="00A52C71"/>
    <w:rsid w:val="00A54309"/>
    <w:rsid w:val="00A54906"/>
    <w:rsid w:val="00A600BF"/>
    <w:rsid w:val="00A6044A"/>
    <w:rsid w:val="00A678C0"/>
    <w:rsid w:val="00A70757"/>
    <w:rsid w:val="00A72A41"/>
    <w:rsid w:val="00A74764"/>
    <w:rsid w:val="00A757BF"/>
    <w:rsid w:val="00A76D42"/>
    <w:rsid w:val="00A81B34"/>
    <w:rsid w:val="00A86916"/>
    <w:rsid w:val="00A87F3B"/>
    <w:rsid w:val="00A91A30"/>
    <w:rsid w:val="00A92CDF"/>
    <w:rsid w:val="00A94F4D"/>
    <w:rsid w:val="00A975E2"/>
    <w:rsid w:val="00AA1EA6"/>
    <w:rsid w:val="00AA5AB9"/>
    <w:rsid w:val="00AB2A83"/>
    <w:rsid w:val="00AB2B93"/>
    <w:rsid w:val="00AB530F"/>
    <w:rsid w:val="00AB7E5B"/>
    <w:rsid w:val="00AC04DB"/>
    <w:rsid w:val="00AC0E15"/>
    <w:rsid w:val="00AC5F30"/>
    <w:rsid w:val="00AD1E2E"/>
    <w:rsid w:val="00AD2815"/>
    <w:rsid w:val="00AD2CB6"/>
    <w:rsid w:val="00AD31F3"/>
    <w:rsid w:val="00AD5031"/>
    <w:rsid w:val="00AD7EFA"/>
    <w:rsid w:val="00AE0EF1"/>
    <w:rsid w:val="00AE2937"/>
    <w:rsid w:val="00AE6FF4"/>
    <w:rsid w:val="00AF66B2"/>
    <w:rsid w:val="00B014CE"/>
    <w:rsid w:val="00B03408"/>
    <w:rsid w:val="00B052A1"/>
    <w:rsid w:val="00B06B7F"/>
    <w:rsid w:val="00B07301"/>
    <w:rsid w:val="00B10595"/>
    <w:rsid w:val="00B11E35"/>
    <w:rsid w:val="00B1217C"/>
    <w:rsid w:val="00B12A33"/>
    <w:rsid w:val="00B17DEB"/>
    <w:rsid w:val="00B17FC6"/>
    <w:rsid w:val="00B224DE"/>
    <w:rsid w:val="00B324D4"/>
    <w:rsid w:val="00B37BFC"/>
    <w:rsid w:val="00B40958"/>
    <w:rsid w:val="00B42CC9"/>
    <w:rsid w:val="00B46575"/>
    <w:rsid w:val="00B46CF3"/>
    <w:rsid w:val="00B50157"/>
    <w:rsid w:val="00B50A8B"/>
    <w:rsid w:val="00B50E76"/>
    <w:rsid w:val="00B51021"/>
    <w:rsid w:val="00B55306"/>
    <w:rsid w:val="00B5540E"/>
    <w:rsid w:val="00B567AC"/>
    <w:rsid w:val="00B57269"/>
    <w:rsid w:val="00B6238F"/>
    <w:rsid w:val="00B62F4A"/>
    <w:rsid w:val="00B65566"/>
    <w:rsid w:val="00B664E2"/>
    <w:rsid w:val="00B7083C"/>
    <w:rsid w:val="00B7267F"/>
    <w:rsid w:val="00B7295C"/>
    <w:rsid w:val="00B739AF"/>
    <w:rsid w:val="00B73F0D"/>
    <w:rsid w:val="00B74303"/>
    <w:rsid w:val="00B749C1"/>
    <w:rsid w:val="00B766E4"/>
    <w:rsid w:val="00B76828"/>
    <w:rsid w:val="00B8125E"/>
    <w:rsid w:val="00B84BBD"/>
    <w:rsid w:val="00B86878"/>
    <w:rsid w:val="00B87982"/>
    <w:rsid w:val="00B90535"/>
    <w:rsid w:val="00B90967"/>
    <w:rsid w:val="00B96DCF"/>
    <w:rsid w:val="00BA2996"/>
    <w:rsid w:val="00BA2C0C"/>
    <w:rsid w:val="00BA2FB2"/>
    <w:rsid w:val="00BA3114"/>
    <w:rsid w:val="00BA43FB"/>
    <w:rsid w:val="00BA51CF"/>
    <w:rsid w:val="00BA53F1"/>
    <w:rsid w:val="00BA556B"/>
    <w:rsid w:val="00BA694F"/>
    <w:rsid w:val="00BB52FB"/>
    <w:rsid w:val="00BB7E90"/>
    <w:rsid w:val="00BC094E"/>
    <w:rsid w:val="00BC127D"/>
    <w:rsid w:val="00BC1FE6"/>
    <w:rsid w:val="00BC36FC"/>
    <w:rsid w:val="00BC3D84"/>
    <w:rsid w:val="00BC46FB"/>
    <w:rsid w:val="00BD122E"/>
    <w:rsid w:val="00BD65E7"/>
    <w:rsid w:val="00BD71B1"/>
    <w:rsid w:val="00BE340C"/>
    <w:rsid w:val="00BE3A23"/>
    <w:rsid w:val="00BE6C0F"/>
    <w:rsid w:val="00BE71F2"/>
    <w:rsid w:val="00BE7A37"/>
    <w:rsid w:val="00BF0253"/>
    <w:rsid w:val="00BF0C1D"/>
    <w:rsid w:val="00BF6E3A"/>
    <w:rsid w:val="00BF7CF6"/>
    <w:rsid w:val="00C03F96"/>
    <w:rsid w:val="00C05E63"/>
    <w:rsid w:val="00C061B6"/>
    <w:rsid w:val="00C0641F"/>
    <w:rsid w:val="00C178A8"/>
    <w:rsid w:val="00C22988"/>
    <w:rsid w:val="00C23BB1"/>
    <w:rsid w:val="00C2446C"/>
    <w:rsid w:val="00C26415"/>
    <w:rsid w:val="00C328E4"/>
    <w:rsid w:val="00C352EE"/>
    <w:rsid w:val="00C352FC"/>
    <w:rsid w:val="00C36AE5"/>
    <w:rsid w:val="00C3760A"/>
    <w:rsid w:val="00C41F17"/>
    <w:rsid w:val="00C473D2"/>
    <w:rsid w:val="00C47A4A"/>
    <w:rsid w:val="00C51F70"/>
    <w:rsid w:val="00C526F3"/>
    <w:rsid w:val="00C5280D"/>
    <w:rsid w:val="00C57789"/>
    <w:rsid w:val="00C5791C"/>
    <w:rsid w:val="00C61143"/>
    <w:rsid w:val="00C647AB"/>
    <w:rsid w:val="00C64CE0"/>
    <w:rsid w:val="00C66290"/>
    <w:rsid w:val="00C72B7A"/>
    <w:rsid w:val="00C734C6"/>
    <w:rsid w:val="00C82FF2"/>
    <w:rsid w:val="00C91B72"/>
    <w:rsid w:val="00C973F2"/>
    <w:rsid w:val="00CA0B25"/>
    <w:rsid w:val="00CA304C"/>
    <w:rsid w:val="00CA3399"/>
    <w:rsid w:val="00CA5C8D"/>
    <w:rsid w:val="00CA7218"/>
    <w:rsid w:val="00CA774A"/>
    <w:rsid w:val="00CA7F57"/>
    <w:rsid w:val="00CB1B17"/>
    <w:rsid w:val="00CB2E25"/>
    <w:rsid w:val="00CC11B0"/>
    <w:rsid w:val="00CC23C0"/>
    <w:rsid w:val="00CC55CA"/>
    <w:rsid w:val="00CD096D"/>
    <w:rsid w:val="00CD0AAE"/>
    <w:rsid w:val="00CD10BF"/>
    <w:rsid w:val="00CD4380"/>
    <w:rsid w:val="00CD696B"/>
    <w:rsid w:val="00CE090D"/>
    <w:rsid w:val="00CE327F"/>
    <w:rsid w:val="00CE54E5"/>
    <w:rsid w:val="00CE6CE8"/>
    <w:rsid w:val="00CF0457"/>
    <w:rsid w:val="00CF1FE5"/>
    <w:rsid w:val="00CF49C9"/>
    <w:rsid w:val="00CF7E36"/>
    <w:rsid w:val="00D00E3D"/>
    <w:rsid w:val="00D02232"/>
    <w:rsid w:val="00D06073"/>
    <w:rsid w:val="00D10589"/>
    <w:rsid w:val="00D10C9C"/>
    <w:rsid w:val="00D1218A"/>
    <w:rsid w:val="00D1301D"/>
    <w:rsid w:val="00D150DC"/>
    <w:rsid w:val="00D16E8E"/>
    <w:rsid w:val="00D20422"/>
    <w:rsid w:val="00D2239D"/>
    <w:rsid w:val="00D23E93"/>
    <w:rsid w:val="00D24239"/>
    <w:rsid w:val="00D2448D"/>
    <w:rsid w:val="00D32F6E"/>
    <w:rsid w:val="00D33755"/>
    <w:rsid w:val="00D3708D"/>
    <w:rsid w:val="00D37C92"/>
    <w:rsid w:val="00D40426"/>
    <w:rsid w:val="00D40D72"/>
    <w:rsid w:val="00D428D2"/>
    <w:rsid w:val="00D46762"/>
    <w:rsid w:val="00D474CF"/>
    <w:rsid w:val="00D53DAB"/>
    <w:rsid w:val="00D560E0"/>
    <w:rsid w:val="00D5626F"/>
    <w:rsid w:val="00D57C96"/>
    <w:rsid w:val="00D70818"/>
    <w:rsid w:val="00D755FD"/>
    <w:rsid w:val="00D75BDE"/>
    <w:rsid w:val="00D76906"/>
    <w:rsid w:val="00D76FCA"/>
    <w:rsid w:val="00D80B5C"/>
    <w:rsid w:val="00D81B5D"/>
    <w:rsid w:val="00D86574"/>
    <w:rsid w:val="00D876E6"/>
    <w:rsid w:val="00D87757"/>
    <w:rsid w:val="00D91203"/>
    <w:rsid w:val="00D9345F"/>
    <w:rsid w:val="00D95174"/>
    <w:rsid w:val="00D9558B"/>
    <w:rsid w:val="00DA0922"/>
    <w:rsid w:val="00DA1C8D"/>
    <w:rsid w:val="00DA2B9D"/>
    <w:rsid w:val="00DA6F36"/>
    <w:rsid w:val="00DB1579"/>
    <w:rsid w:val="00DB5344"/>
    <w:rsid w:val="00DB596E"/>
    <w:rsid w:val="00DB5A93"/>
    <w:rsid w:val="00DB7773"/>
    <w:rsid w:val="00DC004F"/>
    <w:rsid w:val="00DC00EA"/>
    <w:rsid w:val="00DC131C"/>
    <w:rsid w:val="00DC51E7"/>
    <w:rsid w:val="00DC5599"/>
    <w:rsid w:val="00DC56DC"/>
    <w:rsid w:val="00DD0E96"/>
    <w:rsid w:val="00DD0F78"/>
    <w:rsid w:val="00DD2CFD"/>
    <w:rsid w:val="00DD59CE"/>
    <w:rsid w:val="00DD606B"/>
    <w:rsid w:val="00DD62E0"/>
    <w:rsid w:val="00DE0209"/>
    <w:rsid w:val="00DE1212"/>
    <w:rsid w:val="00DE4549"/>
    <w:rsid w:val="00DE563E"/>
    <w:rsid w:val="00DE5E8F"/>
    <w:rsid w:val="00DE7F71"/>
    <w:rsid w:val="00DF0A2F"/>
    <w:rsid w:val="00DF19EA"/>
    <w:rsid w:val="00DF1CF6"/>
    <w:rsid w:val="00DF4B91"/>
    <w:rsid w:val="00DF73BE"/>
    <w:rsid w:val="00E0209A"/>
    <w:rsid w:val="00E043F9"/>
    <w:rsid w:val="00E07A6E"/>
    <w:rsid w:val="00E07AC5"/>
    <w:rsid w:val="00E1304E"/>
    <w:rsid w:val="00E16851"/>
    <w:rsid w:val="00E20461"/>
    <w:rsid w:val="00E2063A"/>
    <w:rsid w:val="00E266CC"/>
    <w:rsid w:val="00E27362"/>
    <w:rsid w:val="00E32DD1"/>
    <w:rsid w:val="00E32F7E"/>
    <w:rsid w:val="00E33134"/>
    <w:rsid w:val="00E3751F"/>
    <w:rsid w:val="00E418EC"/>
    <w:rsid w:val="00E41B43"/>
    <w:rsid w:val="00E42AA6"/>
    <w:rsid w:val="00E42DFA"/>
    <w:rsid w:val="00E43BC0"/>
    <w:rsid w:val="00E52149"/>
    <w:rsid w:val="00E52213"/>
    <w:rsid w:val="00E52E0C"/>
    <w:rsid w:val="00E534CD"/>
    <w:rsid w:val="00E53CC0"/>
    <w:rsid w:val="00E53F28"/>
    <w:rsid w:val="00E557D3"/>
    <w:rsid w:val="00E563F3"/>
    <w:rsid w:val="00E6292E"/>
    <w:rsid w:val="00E64E17"/>
    <w:rsid w:val="00E66A99"/>
    <w:rsid w:val="00E72D49"/>
    <w:rsid w:val="00E7314A"/>
    <w:rsid w:val="00E7593C"/>
    <w:rsid w:val="00E760C2"/>
    <w:rsid w:val="00E7678A"/>
    <w:rsid w:val="00E85172"/>
    <w:rsid w:val="00E86233"/>
    <w:rsid w:val="00E90457"/>
    <w:rsid w:val="00E9134A"/>
    <w:rsid w:val="00E935F1"/>
    <w:rsid w:val="00E938B1"/>
    <w:rsid w:val="00E93F27"/>
    <w:rsid w:val="00E94A03"/>
    <w:rsid w:val="00E94A81"/>
    <w:rsid w:val="00EA1FFB"/>
    <w:rsid w:val="00EA2C30"/>
    <w:rsid w:val="00EA6FA5"/>
    <w:rsid w:val="00EB048E"/>
    <w:rsid w:val="00EB2166"/>
    <w:rsid w:val="00EB6879"/>
    <w:rsid w:val="00EC14DD"/>
    <w:rsid w:val="00EC2CEE"/>
    <w:rsid w:val="00EC2D77"/>
    <w:rsid w:val="00ED0CD5"/>
    <w:rsid w:val="00ED1669"/>
    <w:rsid w:val="00ED2B45"/>
    <w:rsid w:val="00ED3239"/>
    <w:rsid w:val="00ED5AA8"/>
    <w:rsid w:val="00ED694B"/>
    <w:rsid w:val="00EE1C35"/>
    <w:rsid w:val="00EE1FFC"/>
    <w:rsid w:val="00EE34DF"/>
    <w:rsid w:val="00EE5C9D"/>
    <w:rsid w:val="00EF2F89"/>
    <w:rsid w:val="00EF3C25"/>
    <w:rsid w:val="00EF3C9B"/>
    <w:rsid w:val="00EF48EC"/>
    <w:rsid w:val="00EF69D1"/>
    <w:rsid w:val="00F032D5"/>
    <w:rsid w:val="00F107A7"/>
    <w:rsid w:val="00F10882"/>
    <w:rsid w:val="00F116CB"/>
    <w:rsid w:val="00F11DD9"/>
    <w:rsid w:val="00F1237A"/>
    <w:rsid w:val="00F20CC9"/>
    <w:rsid w:val="00F210F4"/>
    <w:rsid w:val="00F22CBD"/>
    <w:rsid w:val="00F235C7"/>
    <w:rsid w:val="00F23910"/>
    <w:rsid w:val="00F256B3"/>
    <w:rsid w:val="00F267C9"/>
    <w:rsid w:val="00F27409"/>
    <w:rsid w:val="00F41EB5"/>
    <w:rsid w:val="00F42217"/>
    <w:rsid w:val="00F43892"/>
    <w:rsid w:val="00F43C1D"/>
    <w:rsid w:val="00F441A0"/>
    <w:rsid w:val="00F445F3"/>
    <w:rsid w:val="00F44D6D"/>
    <w:rsid w:val="00F45372"/>
    <w:rsid w:val="00F46CEB"/>
    <w:rsid w:val="00F472F2"/>
    <w:rsid w:val="00F47992"/>
    <w:rsid w:val="00F50FD3"/>
    <w:rsid w:val="00F52363"/>
    <w:rsid w:val="00F55207"/>
    <w:rsid w:val="00F560F7"/>
    <w:rsid w:val="00F56DE4"/>
    <w:rsid w:val="00F56FB6"/>
    <w:rsid w:val="00F57F65"/>
    <w:rsid w:val="00F61AC1"/>
    <w:rsid w:val="00F625B9"/>
    <w:rsid w:val="00F63255"/>
    <w:rsid w:val="00F6334D"/>
    <w:rsid w:val="00F64204"/>
    <w:rsid w:val="00F70E65"/>
    <w:rsid w:val="00F72186"/>
    <w:rsid w:val="00F7250F"/>
    <w:rsid w:val="00F7443B"/>
    <w:rsid w:val="00F74E2A"/>
    <w:rsid w:val="00F80C38"/>
    <w:rsid w:val="00F81B29"/>
    <w:rsid w:val="00F828BE"/>
    <w:rsid w:val="00F84AE0"/>
    <w:rsid w:val="00F87DE7"/>
    <w:rsid w:val="00F87FFA"/>
    <w:rsid w:val="00F9027D"/>
    <w:rsid w:val="00F9074A"/>
    <w:rsid w:val="00F919E9"/>
    <w:rsid w:val="00F95FF4"/>
    <w:rsid w:val="00F96880"/>
    <w:rsid w:val="00F97CAB"/>
    <w:rsid w:val="00FA49AB"/>
    <w:rsid w:val="00FA716C"/>
    <w:rsid w:val="00FB0394"/>
    <w:rsid w:val="00FB0E27"/>
    <w:rsid w:val="00FB1AAA"/>
    <w:rsid w:val="00FB28C6"/>
    <w:rsid w:val="00FB4449"/>
    <w:rsid w:val="00FC0419"/>
    <w:rsid w:val="00FC162C"/>
    <w:rsid w:val="00FC4113"/>
    <w:rsid w:val="00FC49CC"/>
    <w:rsid w:val="00FC4EB8"/>
    <w:rsid w:val="00FC580E"/>
    <w:rsid w:val="00FC6102"/>
    <w:rsid w:val="00FC6512"/>
    <w:rsid w:val="00FD4467"/>
    <w:rsid w:val="00FD74F8"/>
    <w:rsid w:val="00FD788B"/>
    <w:rsid w:val="00FE08F6"/>
    <w:rsid w:val="00FE1192"/>
    <w:rsid w:val="00FE2012"/>
    <w:rsid w:val="00FE2260"/>
    <w:rsid w:val="00FE39C7"/>
    <w:rsid w:val="00FE442F"/>
    <w:rsid w:val="00FE500E"/>
    <w:rsid w:val="00FE589D"/>
    <w:rsid w:val="00FE5A1B"/>
    <w:rsid w:val="00FF12C3"/>
    <w:rsid w:val="00FF2B38"/>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qFormat/>
    <w:rsid w:val="00534B1E"/>
    <w:pPr>
      <w:keepNext/>
      <w:jc w:val="both"/>
      <w:outlineLvl w:val="0"/>
    </w:pPr>
    <w:rPr>
      <w:rFonts w:ascii="Arial" w:hAnsi="Arial"/>
      <w:caps/>
    </w:rPr>
  </w:style>
  <w:style w:type="paragraph" w:styleId="Heading2">
    <w:name w:val="heading 2"/>
    <w:next w:val="Normal"/>
    <w:link w:val="Heading2Char"/>
    <w:qFormat/>
    <w:rsid w:val="00534B1E"/>
    <w:pPr>
      <w:keepNext/>
      <w:jc w:val="both"/>
      <w:outlineLvl w:val="1"/>
    </w:pPr>
    <w:rPr>
      <w:rFonts w:ascii="Arial" w:hAnsi="Arial"/>
      <w:u w:val="single"/>
    </w:rPr>
  </w:style>
  <w:style w:type="paragraph" w:styleId="Heading3">
    <w:name w:val="heading 3"/>
    <w:next w:val="Normal"/>
    <w:link w:val="Heading3Char"/>
    <w:qFormat/>
    <w:rsid w:val="00DD2CFD"/>
    <w:pPr>
      <w:keepNext/>
      <w:jc w:val="both"/>
      <w:outlineLvl w:val="2"/>
    </w:pPr>
    <w:rPr>
      <w:rFonts w:ascii="Arial" w:hAnsi="Arial"/>
      <w:i/>
      <w:color w:val="008000"/>
      <w:lang w:val="fr-FR"/>
    </w:rPr>
  </w:style>
  <w:style w:type="paragraph" w:styleId="Heading4">
    <w:name w:val="heading 4"/>
    <w:next w:val="Normal"/>
    <w:link w:val="Heading4Char"/>
    <w:qFormat/>
    <w:rsid w:val="00CC55CA"/>
    <w:pPr>
      <w:keepNext/>
      <w:ind w:left="567"/>
      <w:jc w:val="both"/>
      <w:outlineLvl w:val="3"/>
    </w:pPr>
    <w:rPr>
      <w:rFonts w:ascii="Arial" w:hAnsi="Arial"/>
      <w:i/>
    </w:rPr>
  </w:style>
  <w:style w:type="paragraph" w:styleId="Heading5">
    <w:name w:val="heading 5"/>
    <w:next w:val="Normal"/>
    <w:link w:val="Heading5Char"/>
    <w:qFormat/>
    <w:rsid w:val="003951FA"/>
    <w:pPr>
      <w:keepNext/>
      <w:ind w:left="567"/>
      <w:jc w:val="both"/>
      <w:outlineLvl w:val="4"/>
    </w:pPr>
    <w:rPr>
      <w:rFonts w:ascii="Arial" w:hAnsi="Arial" w:cs="Arial"/>
      <w:snapToGrid w:val="0"/>
      <w:color w:val="008000"/>
      <w:u w:val="single"/>
      <w:lang w:val="fr-FR"/>
    </w:rPr>
  </w:style>
  <w:style w:type="paragraph" w:styleId="Heading6">
    <w:name w:val="heading 6"/>
    <w:basedOn w:val="Normal"/>
    <w:next w:val="Normal"/>
    <w:link w:val="Heading6Char"/>
    <w:qFormat/>
    <w:rsid w:val="00216695"/>
    <w:pPr>
      <w:outlineLvl w:val="5"/>
    </w:pPr>
    <w:rPr>
      <w:lang w:val="es-ES_tradnl"/>
    </w:rPr>
  </w:style>
  <w:style w:type="paragraph" w:styleId="Heading7">
    <w:name w:val="heading 7"/>
    <w:basedOn w:val="Normal"/>
    <w:next w:val="Normal"/>
    <w:link w:val="Heading7Char"/>
    <w:qFormat/>
    <w:rsid w:val="00216695"/>
    <w:pPr>
      <w:spacing w:before="240" w:after="60"/>
      <w:outlineLvl w:val="6"/>
    </w:pPr>
    <w:rPr>
      <w:szCs w:val="24"/>
    </w:rPr>
  </w:style>
  <w:style w:type="paragraph" w:styleId="Heading8">
    <w:name w:val="heading 8"/>
    <w:basedOn w:val="Normal"/>
    <w:next w:val="Normal"/>
    <w:link w:val="Heading8Char"/>
    <w:qFormat/>
    <w:rsid w:val="00216695"/>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216695"/>
    <w:rPr>
      <w:rFonts w:ascii="Arial" w:hAnsi="Arial"/>
      <w:lang w:val="es-ES_tradnl"/>
    </w:rPr>
  </w:style>
  <w:style w:type="character" w:customStyle="1" w:styleId="Heading7Char">
    <w:name w:val="Heading 7 Char"/>
    <w:basedOn w:val="DefaultParagraphFont"/>
    <w:link w:val="Heading7"/>
    <w:rsid w:val="00216695"/>
    <w:rPr>
      <w:rFonts w:ascii="Arial" w:hAnsi="Arial"/>
      <w:szCs w:val="24"/>
    </w:rPr>
  </w:style>
  <w:style w:type="character" w:customStyle="1" w:styleId="Heading8Char">
    <w:name w:val="Heading 8 Char"/>
    <w:basedOn w:val="DefaultParagraphFont"/>
    <w:link w:val="Heading8"/>
    <w:rsid w:val="00216695"/>
    <w:rPr>
      <w:rFonts w:ascii="Arial" w:hAnsi="Arial"/>
      <w:u w:val="single"/>
    </w:rPr>
  </w:style>
  <w:style w:type="character" w:customStyle="1" w:styleId="Heading2Char">
    <w:name w:val="Heading 2 Char"/>
    <w:link w:val="Heading2"/>
    <w:rsid w:val="00593CDF"/>
    <w:rPr>
      <w:rFonts w:ascii="Arial" w:hAnsi="Arial"/>
      <w:u w:val="single"/>
    </w:rPr>
  </w:style>
  <w:style w:type="character" w:customStyle="1" w:styleId="Heading3Char">
    <w:name w:val="Heading 3 Char"/>
    <w:link w:val="Heading3"/>
    <w:locked/>
    <w:rsid w:val="00DD2CFD"/>
    <w:rPr>
      <w:rFonts w:ascii="Arial" w:hAnsi="Arial"/>
      <w:i/>
      <w:color w:val="008000"/>
      <w:lang w:val="fr-FR"/>
    </w:rPr>
  </w:style>
  <w:style w:type="character" w:customStyle="1" w:styleId="Heading4Char">
    <w:name w:val="Heading 4 Char"/>
    <w:link w:val="Heading4"/>
    <w:rsid w:val="00CC55CA"/>
    <w:rPr>
      <w:rFonts w:ascii="Arial" w:hAnsi="Arial"/>
      <w:i/>
    </w:rPr>
  </w:style>
  <w:style w:type="character" w:customStyle="1" w:styleId="FooterChar">
    <w:name w:val="Footer Char"/>
    <w:aliases w:val="doc_path_name Char"/>
    <w:link w:val="Footer"/>
    <w:rsid w:val="00216695"/>
    <w:rPr>
      <w:rFonts w:ascii="Arial" w:hAnsi="Arial"/>
      <w:sz w:val="14"/>
    </w:rPr>
  </w:style>
  <w:style w:type="character" w:customStyle="1" w:styleId="DecisionParagraphsChar">
    <w:name w:val="DecisionParagraphs Char"/>
    <w:link w:val="DecisionParagraphs"/>
    <w:rsid w:val="00216695"/>
    <w:rPr>
      <w:rFonts w:ascii="Arial" w:hAnsi="Arial"/>
      <w:i/>
    </w:rPr>
  </w:style>
  <w:style w:type="character" w:customStyle="1" w:styleId="BodyTextChar">
    <w:name w:val="Body Text Char"/>
    <w:link w:val="BodyText"/>
    <w:locked/>
    <w:rsid w:val="00216695"/>
    <w:rPr>
      <w:rFonts w:ascii="Arial" w:hAnsi="Arial"/>
    </w:rPr>
  </w:style>
  <w:style w:type="character" w:customStyle="1" w:styleId="plcountryChar">
    <w:name w:val="plcountry Char"/>
    <w:link w:val="plcountry"/>
    <w:rsid w:val="00216695"/>
    <w:rPr>
      <w:rFonts w:ascii="Arial" w:hAnsi="Arial"/>
      <w:caps/>
      <w:noProof/>
      <w:snapToGrid w:val="0"/>
      <w:u w:val="single"/>
    </w:rPr>
  </w:style>
  <w:style w:type="character" w:customStyle="1" w:styleId="pldetailsChar">
    <w:name w:val="pldetails Char"/>
    <w:link w:val="pldetails"/>
    <w:rsid w:val="00216695"/>
    <w:rPr>
      <w:rFonts w:ascii="Arial" w:hAnsi="Arial"/>
      <w:noProof/>
      <w:snapToGrid w:val="0"/>
    </w:rPr>
  </w:style>
  <w:style w:type="table" w:styleId="TableGrid">
    <w:name w:val="Table Grid"/>
    <w:basedOn w:val="TableNormal"/>
    <w:rsid w:val="0021669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16695"/>
    <w:pPr>
      <w:tabs>
        <w:tab w:val="decimal" w:pos="907"/>
        <w:tab w:val="left" w:pos="1077"/>
      </w:tabs>
    </w:pPr>
    <w:rPr>
      <w:rFonts w:ascii="Times New Roman" w:eastAsia="MS Mincho" w:hAnsi="Times New Roman"/>
      <w:sz w:val="24"/>
    </w:rPr>
  </w:style>
  <w:style w:type="paragraph" w:customStyle="1" w:styleId="n">
    <w:name w:val="n"/>
    <w:basedOn w:val="Header"/>
    <w:rsid w:val="00216695"/>
    <w:pPr>
      <w:tabs>
        <w:tab w:val="center" w:pos="4536"/>
        <w:tab w:val="right" w:pos="9072"/>
      </w:tabs>
    </w:pPr>
    <w:rPr>
      <w:rFonts w:ascii="Times New Roman" w:hAnsi="Times New Roman"/>
      <w:sz w:val="24"/>
    </w:rPr>
  </w:style>
  <w:style w:type="paragraph" w:customStyle="1" w:styleId="Normalt">
    <w:name w:val="Normalt"/>
    <w:basedOn w:val="Normal"/>
    <w:rsid w:val="0021669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216695"/>
    <w:pPr>
      <w:keepNext/>
    </w:pPr>
    <w:rPr>
      <w:b/>
      <w:bCs/>
    </w:rPr>
  </w:style>
  <w:style w:type="paragraph" w:styleId="NormalWeb">
    <w:name w:val="Normal (Web)"/>
    <w:basedOn w:val="Normal"/>
    <w:rsid w:val="00216695"/>
    <w:pPr>
      <w:spacing w:before="100" w:beforeAutospacing="1" w:after="100" w:afterAutospacing="1"/>
      <w:jc w:val="left"/>
    </w:pPr>
    <w:rPr>
      <w:szCs w:val="24"/>
    </w:rPr>
  </w:style>
  <w:style w:type="paragraph" w:customStyle="1" w:styleId="pdflink">
    <w:name w:val="pdflink"/>
    <w:basedOn w:val="Normal"/>
    <w:next w:val="Normal"/>
    <w:rsid w:val="00216695"/>
    <w:rPr>
      <w:color w:val="800000"/>
      <w:u w:val="words"/>
    </w:rPr>
  </w:style>
  <w:style w:type="paragraph" w:customStyle="1" w:styleId="Draft">
    <w:name w:val="Draft"/>
    <w:basedOn w:val="Normal"/>
    <w:next w:val="preparedby"/>
    <w:rsid w:val="00216695"/>
    <w:pPr>
      <w:spacing w:before="720" w:after="480"/>
      <w:jc w:val="center"/>
    </w:pPr>
    <w:rPr>
      <w:caps/>
      <w:sz w:val="28"/>
    </w:rPr>
  </w:style>
  <w:style w:type="paragraph" w:customStyle="1" w:styleId="tqparabox">
    <w:name w:val="tqparabox"/>
    <w:basedOn w:val="Normal"/>
    <w:rsid w:val="00216695"/>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216695"/>
    <w:pPr>
      <w:ind w:left="567"/>
    </w:pPr>
    <w:rPr>
      <w:lang w:val="es-ES_tradnl"/>
    </w:rPr>
  </w:style>
  <w:style w:type="character" w:customStyle="1" w:styleId="BodyTextIndentChar">
    <w:name w:val="Body Text Indent Char"/>
    <w:basedOn w:val="DefaultParagraphFont"/>
    <w:link w:val="BodyTextIndent"/>
    <w:rsid w:val="00216695"/>
    <w:rPr>
      <w:rFonts w:ascii="Arial" w:hAnsi="Arial"/>
      <w:lang w:val="es-ES_tradnl"/>
    </w:rPr>
  </w:style>
  <w:style w:type="paragraph" w:customStyle="1" w:styleId="twpcheck">
    <w:name w:val="twpcheck"/>
    <w:basedOn w:val="Normal"/>
    <w:rsid w:val="00216695"/>
    <w:pPr>
      <w:spacing w:before="80" w:after="80"/>
      <w:jc w:val="left"/>
    </w:pPr>
    <w:rPr>
      <w:rFonts w:cs="Arial"/>
      <w:snapToGrid w:val="0"/>
      <w:sz w:val="16"/>
      <w:szCs w:val="16"/>
    </w:rPr>
  </w:style>
  <w:style w:type="paragraph" w:customStyle="1" w:styleId="DecisionInvitingPara">
    <w:name w:val="Decision Inviting Para."/>
    <w:basedOn w:val="Normal"/>
    <w:rsid w:val="00216695"/>
    <w:pPr>
      <w:ind w:left="4536"/>
    </w:pPr>
    <w:rPr>
      <w:i/>
      <w:lang w:val="es-ES_tradnl"/>
    </w:rPr>
  </w:style>
  <w:style w:type="paragraph" w:customStyle="1" w:styleId="Enttepair">
    <w:name w:val="Entête_pair"/>
    <w:basedOn w:val="Normal"/>
    <w:next w:val="Normal"/>
    <w:rsid w:val="00216695"/>
    <w:pPr>
      <w:pBdr>
        <w:bottom w:val="single" w:sz="4" w:space="1" w:color="auto"/>
      </w:pBdr>
      <w:jc w:val="left"/>
    </w:pPr>
    <w:rPr>
      <w:szCs w:val="24"/>
    </w:rPr>
  </w:style>
  <w:style w:type="paragraph" w:customStyle="1" w:styleId="Entteimpair">
    <w:name w:val="Entête_impair"/>
    <w:basedOn w:val="Normal"/>
    <w:next w:val="Normal"/>
    <w:rsid w:val="00216695"/>
    <w:pPr>
      <w:pBdr>
        <w:bottom w:val="single" w:sz="4" w:space="1" w:color="auto"/>
      </w:pBdr>
      <w:jc w:val="right"/>
    </w:pPr>
  </w:style>
  <w:style w:type="paragraph" w:styleId="ListBullet">
    <w:name w:val="List Bullet"/>
    <w:basedOn w:val="Normal"/>
    <w:autoRedefine/>
    <w:rsid w:val="00216695"/>
    <w:pPr>
      <w:tabs>
        <w:tab w:val="num" w:pos="360"/>
      </w:tabs>
      <w:ind w:left="360" w:hanging="360"/>
    </w:pPr>
    <w:rPr>
      <w:bCs/>
      <w:szCs w:val="24"/>
      <w:lang w:val="es-ES" w:eastAsia="zh-CN"/>
    </w:rPr>
  </w:style>
  <w:style w:type="character" w:styleId="FollowedHyperlink">
    <w:name w:val="FollowedHyperlink"/>
    <w:rsid w:val="00216695"/>
    <w:rPr>
      <w:color w:val="606420"/>
      <w:u w:val="single"/>
    </w:rPr>
  </w:style>
  <w:style w:type="paragraph" w:styleId="BlockText">
    <w:name w:val="Block Text"/>
    <w:basedOn w:val="Normal"/>
    <w:rsid w:val="00216695"/>
    <w:pPr>
      <w:ind w:left="567" w:right="566"/>
    </w:pPr>
    <w:rPr>
      <w:sz w:val="22"/>
    </w:rPr>
  </w:style>
  <w:style w:type="paragraph" w:styleId="CommentText">
    <w:name w:val="annotation text"/>
    <w:basedOn w:val="Normal"/>
    <w:link w:val="CommentTextChar"/>
    <w:rsid w:val="00216695"/>
    <w:rPr>
      <w:sz w:val="22"/>
      <w:lang w:val="es-ES_tradnl"/>
    </w:rPr>
  </w:style>
  <w:style w:type="character" w:customStyle="1" w:styleId="CommentTextChar">
    <w:name w:val="Comment Text Char"/>
    <w:basedOn w:val="DefaultParagraphFont"/>
    <w:link w:val="CommentText"/>
    <w:rsid w:val="00216695"/>
    <w:rPr>
      <w:rFonts w:ascii="Arial" w:hAnsi="Arial"/>
      <w:sz w:val="22"/>
      <w:lang w:val="es-ES_tradnl"/>
    </w:rPr>
  </w:style>
  <w:style w:type="paragraph" w:customStyle="1" w:styleId="Committee">
    <w:name w:val="Committee"/>
    <w:basedOn w:val="Title"/>
    <w:rsid w:val="00216695"/>
    <w:rPr>
      <w:caps w:val="0"/>
    </w:rPr>
  </w:style>
  <w:style w:type="paragraph" w:customStyle="1" w:styleId="TitleofSection">
    <w:name w:val="Title of Section"/>
    <w:basedOn w:val="TitleofDoc"/>
    <w:rsid w:val="00216695"/>
    <w:pPr>
      <w:spacing w:before="120" w:after="120"/>
    </w:pPr>
    <w:rPr>
      <w:b/>
      <w:caps w:val="0"/>
      <w:lang w:eastAsia="de-DE"/>
    </w:rPr>
  </w:style>
  <w:style w:type="paragraph" w:customStyle="1" w:styleId="TOCAnnex">
    <w:name w:val="TOC Annex"/>
    <w:basedOn w:val="Normal"/>
    <w:rsid w:val="00216695"/>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216695"/>
    <w:rPr>
      <w:rFonts w:ascii="Courier New" w:hAnsi="Courier New" w:cs="Courier New"/>
      <w:lang w:eastAsia="fr-FR"/>
    </w:rPr>
  </w:style>
  <w:style w:type="character" w:customStyle="1" w:styleId="PlainTextChar">
    <w:name w:val="Plain Text Char"/>
    <w:basedOn w:val="DefaultParagraphFont"/>
    <w:link w:val="PlainText"/>
    <w:rsid w:val="00216695"/>
    <w:rPr>
      <w:rFonts w:ascii="Courier New" w:hAnsi="Courier New" w:cs="Courier New"/>
      <w:lang w:eastAsia="fr-FR"/>
    </w:rPr>
  </w:style>
  <w:style w:type="paragraph" w:customStyle="1" w:styleId="Default">
    <w:name w:val="Default"/>
    <w:basedOn w:val="Normal"/>
    <w:rsid w:val="00216695"/>
    <w:pPr>
      <w:jc w:val="left"/>
    </w:pPr>
    <w:rPr>
      <w:rFonts w:eastAsia="SimSun" w:cs="Arial"/>
      <w:color w:val="000000"/>
      <w:sz w:val="24"/>
      <w:szCs w:val="24"/>
    </w:rPr>
  </w:style>
  <w:style w:type="paragraph" w:customStyle="1" w:styleId="tgcharnumber">
    <w:name w:val="tg_char_number"/>
    <w:basedOn w:val="Normal"/>
    <w:rsid w:val="00216695"/>
    <w:pPr>
      <w:keepNext/>
      <w:spacing w:before="80" w:after="80"/>
      <w:jc w:val="center"/>
    </w:pPr>
    <w:rPr>
      <w:b/>
      <w:sz w:val="16"/>
    </w:rPr>
  </w:style>
  <w:style w:type="paragraph" w:customStyle="1" w:styleId="tgchartitle">
    <w:name w:val="tg_char_title"/>
    <w:basedOn w:val="Normal"/>
    <w:rsid w:val="00216695"/>
    <w:pPr>
      <w:spacing w:before="80" w:after="80"/>
      <w:jc w:val="left"/>
    </w:pPr>
    <w:rPr>
      <w:b/>
      <w:sz w:val="16"/>
    </w:rPr>
  </w:style>
  <w:style w:type="paragraph" w:customStyle="1" w:styleId="tgchartext">
    <w:name w:val="tg_char_text"/>
    <w:basedOn w:val="Normal"/>
    <w:rsid w:val="00216695"/>
    <w:pPr>
      <w:spacing w:before="80" w:after="80"/>
      <w:jc w:val="left"/>
    </w:pPr>
    <w:rPr>
      <w:sz w:val="16"/>
    </w:rPr>
  </w:style>
  <w:style w:type="paragraph" w:styleId="ListParagraph">
    <w:name w:val="List Paragraph"/>
    <w:basedOn w:val="Normal"/>
    <w:uiPriority w:val="34"/>
    <w:qFormat/>
    <w:rsid w:val="00BA2FB2"/>
    <w:pPr>
      <w:ind w:left="720"/>
      <w:contextualSpacing/>
    </w:pPr>
  </w:style>
  <w:style w:type="paragraph" w:customStyle="1" w:styleId="dec">
    <w:name w:val="dec"/>
    <w:basedOn w:val="Normal"/>
    <w:link w:val="decChar"/>
    <w:qFormat/>
    <w:rsid w:val="00FC6512"/>
    <w:pPr>
      <w:ind w:left="4536"/>
    </w:pPr>
    <w:rPr>
      <w:i/>
      <w:spacing w:val="-2"/>
    </w:rPr>
  </w:style>
  <w:style w:type="character" w:customStyle="1" w:styleId="decChar">
    <w:name w:val="dec Char"/>
    <w:basedOn w:val="DefaultParagraphFont"/>
    <w:link w:val="dec"/>
    <w:rsid w:val="00FC6512"/>
    <w:rPr>
      <w:rFonts w:ascii="Arial" w:hAnsi="Arial"/>
      <w:i/>
      <w:spacing w:val="-2"/>
    </w:rPr>
  </w:style>
  <w:style w:type="paragraph" w:customStyle="1" w:styleId="EndOfDoc0">
    <w:name w:val="EndOfDoc"/>
    <w:basedOn w:val="Normal"/>
    <w:rsid w:val="00B74303"/>
    <w:pPr>
      <w:ind w:left="4536"/>
      <w:jc w:val="center"/>
    </w:pPr>
    <w:rPr>
      <w:rFonts w:ascii="Times New Roman" w:hAnsi="Times New Roman"/>
      <w:sz w:val="24"/>
    </w:rPr>
  </w:style>
  <w:style w:type="paragraph" w:customStyle="1" w:styleId="decisionpara">
    <w:name w:val="decision para"/>
    <w:basedOn w:val="Normal"/>
    <w:rsid w:val="00A40711"/>
    <w:pPr>
      <w:spacing w:line="240" w:lineRule="atLeast"/>
      <w:ind w:left="4536"/>
      <w:outlineLvl w:val="0"/>
    </w:pPr>
    <w:rPr>
      <w:rFonts w:ascii="Times New Roman" w:hAnsi="Times New Roman"/>
      <w:i/>
      <w:sz w:val="24"/>
    </w:rPr>
  </w:style>
  <w:style w:type="character" w:customStyle="1" w:styleId="HeaderChar">
    <w:name w:val="Header Char"/>
    <w:basedOn w:val="DefaultParagraphFont"/>
    <w:link w:val="Header"/>
    <w:uiPriority w:val="99"/>
    <w:rsid w:val="000008ED"/>
    <w:rPr>
      <w:rFonts w:ascii="Arial" w:hAnsi="Arial"/>
      <w:lang w:val="fr-FR"/>
    </w:rPr>
  </w:style>
  <w:style w:type="character" w:customStyle="1" w:styleId="FootnoteTextChar">
    <w:name w:val="Footnote Text Char"/>
    <w:basedOn w:val="DefaultParagraphFont"/>
    <w:link w:val="FootnoteText"/>
    <w:rsid w:val="00232A57"/>
    <w:rPr>
      <w:rFonts w:ascii="Arial" w:hAnsi="Arial"/>
      <w:sz w:val="16"/>
    </w:rPr>
  </w:style>
  <w:style w:type="paragraph" w:customStyle="1" w:styleId="quote1">
    <w:name w:val="quote1"/>
    <w:basedOn w:val="Normal"/>
    <w:semiHidden/>
    <w:rsid w:val="00006DDE"/>
    <w:pPr>
      <w:ind w:left="567" w:right="565" w:firstLine="567"/>
    </w:pPr>
    <w:rPr>
      <w:snapToGrid w:val="0"/>
      <w:sz w:val="22"/>
      <w:szCs w:val="22"/>
    </w:rPr>
  </w:style>
  <w:style w:type="paragraph" w:styleId="TOC6">
    <w:name w:val="toc 6"/>
    <w:basedOn w:val="Normal"/>
    <w:next w:val="Normal"/>
    <w:autoRedefine/>
    <w:rsid w:val="00006DDE"/>
    <w:pPr>
      <w:ind w:left="1200"/>
    </w:pPr>
  </w:style>
  <w:style w:type="paragraph" w:styleId="E-mailSignature">
    <w:name w:val="E-mail Signature"/>
    <w:basedOn w:val="Normal"/>
    <w:link w:val="E-mailSignatureChar"/>
    <w:rsid w:val="00006DDE"/>
  </w:style>
  <w:style w:type="character" w:customStyle="1" w:styleId="E-mailSignatureChar">
    <w:name w:val="E-mail Signature Char"/>
    <w:basedOn w:val="DefaultParagraphFont"/>
    <w:link w:val="E-mailSignature"/>
    <w:rsid w:val="00006DDE"/>
    <w:rPr>
      <w:rFonts w:ascii="Arial" w:hAnsi="Arial"/>
    </w:rPr>
  </w:style>
  <w:style w:type="character" w:styleId="Emphasis">
    <w:name w:val="Emphasis"/>
    <w:basedOn w:val="DefaultParagraphFont"/>
    <w:qFormat/>
    <w:rsid w:val="00006DDE"/>
    <w:rPr>
      <w:i/>
      <w:iCs/>
    </w:rPr>
  </w:style>
  <w:style w:type="paragraph" w:styleId="EnvelopeAddress">
    <w:name w:val="envelope address"/>
    <w:basedOn w:val="Normal"/>
    <w:rsid w:val="00006DDE"/>
    <w:pPr>
      <w:framePr w:w="7920" w:h="1980" w:hRule="exact" w:hSpace="180" w:wrap="auto" w:hAnchor="page" w:xAlign="center" w:yAlign="bottom"/>
      <w:ind w:left="2880"/>
    </w:pPr>
    <w:rPr>
      <w:rFonts w:cs="Arial"/>
      <w:szCs w:val="24"/>
    </w:rPr>
  </w:style>
  <w:style w:type="paragraph" w:styleId="EnvelopeReturn">
    <w:name w:val="envelope return"/>
    <w:basedOn w:val="Normal"/>
    <w:rsid w:val="00006DDE"/>
    <w:rPr>
      <w:rFonts w:cs="Arial"/>
    </w:rPr>
  </w:style>
  <w:style w:type="character" w:styleId="HTMLAcronym">
    <w:name w:val="HTML Acronym"/>
    <w:basedOn w:val="DefaultParagraphFont"/>
    <w:rsid w:val="00006DDE"/>
  </w:style>
  <w:style w:type="paragraph" w:styleId="HTMLAddress">
    <w:name w:val="HTML Address"/>
    <w:basedOn w:val="Normal"/>
    <w:link w:val="HTMLAddressChar"/>
    <w:rsid w:val="00006DDE"/>
    <w:rPr>
      <w:i/>
      <w:iCs/>
    </w:rPr>
  </w:style>
  <w:style w:type="character" w:customStyle="1" w:styleId="HTMLAddressChar">
    <w:name w:val="HTML Address Char"/>
    <w:basedOn w:val="DefaultParagraphFont"/>
    <w:link w:val="HTMLAddress"/>
    <w:rsid w:val="00006DDE"/>
    <w:rPr>
      <w:rFonts w:ascii="Arial" w:hAnsi="Arial"/>
      <w:i/>
      <w:iCs/>
    </w:rPr>
  </w:style>
  <w:style w:type="character" w:styleId="HTMLCite">
    <w:name w:val="HTML Cite"/>
    <w:basedOn w:val="DefaultParagraphFont"/>
    <w:rsid w:val="00006DDE"/>
    <w:rPr>
      <w:i/>
      <w:iCs/>
    </w:rPr>
  </w:style>
  <w:style w:type="character" w:styleId="HTMLCode">
    <w:name w:val="HTML Code"/>
    <w:basedOn w:val="DefaultParagraphFont"/>
    <w:rsid w:val="00006DDE"/>
    <w:rPr>
      <w:rFonts w:ascii="Courier New" w:hAnsi="Courier New" w:cs="Courier New"/>
      <w:sz w:val="20"/>
      <w:szCs w:val="20"/>
    </w:rPr>
  </w:style>
  <w:style w:type="character" w:styleId="HTMLDefinition">
    <w:name w:val="HTML Definition"/>
    <w:basedOn w:val="DefaultParagraphFont"/>
    <w:rsid w:val="00006DDE"/>
    <w:rPr>
      <w:i/>
      <w:iCs/>
    </w:rPr>
  </w:style>
  <w:style w:type="character" w:styleId="HTMLKeyboard">
    <w:name w:val="HTML Keyboard"/>
    <w:basedOn w:val="DefaultParagraphFont"/>
    <w:rsid w:val="00006DDE"/>
    <w:rPr>
      <w:rFonts w:ascii="Courier New" w:hAnsi="Courier New" w:cs="Courier New"/>
      <w:sz w:val="20"/>
      <w:szCs w:val="20"/>
    </w:rPr>
  </w:style>
  <w:style w:type="paragraph" w:styleId="HTMLPreformatted">
    <w:name w:val="HTML Preformatted"/>
    <w:basedOn w:val="Normal"/>
    <w:link w:val="HTMLPreformattedChar"/>
    <w:rsid w:val="00006DDE"/>
    <w:rPr>
      <w:rFonts w:ascii="Courier New" w:hAnsi="Courier New" w:cs="Courier New"/>
    </w:rPr>
  </w:style>
  <w:style w:type="character" w:customStyle="1" w:styleId="HTMLPreformattedChar">
    <w:name w:val="HTML Preformatted Char"/>
    <w:basedOn w:val="DefaultParagraphFont"/>
    <w:link w:val="HTMLPreformatted"/>
    <w:rsid w:val="00006DDE"/>
    <w:rPr>
      <w:rFonts w:ascii="Courier New" w:hAnsi="Courier New" w:cs="Courier New"/>
    </w:rPr>
  </w:style>
  <w:style w:type="character" w:styleId="HTMLSample">
    <w:name w:val="HTML Sample"/>
    <w:basedOn w:val="DefaultParagraphFont"/>
    <w:rsid w:val="00006DDE"/>
    <w:rPr>
      <w:rFonts w:ascii="Courier New" w:hAnsi="Courier New" w:cs="Courier New"/>
    </w:rPr>
  </w:style>
  <w:style w:type="character" w:styleId="HTMLTypewriter">
    <w:name w:val="HTML Typewriter"/>
    <w:basedOn w:val="DefaultParagraphFont"/>
    <w:rsid w:val="00006DDE"/>
    <w:rPr>
      <w:rFonts w:ascii="Courier New" w:hAnsi="Courier New" w:cs="Courier New"/>
      <w:sz w:val="20"/>
      <w:szCs w:val="20"/>
    </w:rPr>
  </w:style>
  <w:style w:type="character" w:styleId="HTMLVariable">
    <w:name w:val="HTML Variable"/>
    <w:basedOn w:val="DefaultParagraphFont"/>
    <w:rsid w:val="00006DDE"/>
    <w:rPr>
      <w:i/>
      <w:iCs/>
    </w:rPr>
  </w:style>
  <w:style w:type="character" w:styleId="LineNumber">
    <w:name w:val="line number"/>
    <w:basedOn w:val="DefaultParagraphFont"/>
    <w:rsid w:val="00006DDE"/>
  </w:style>
  <w:style w:type="paragraph" w:styleId="List">
    <w:name w:val="List"/>
    <w:basedOn w:val="Normal"/>
    <w:rsid w:val="00006DDE"/>
    <w:pPr>
      <w:ind w:left="360" w:hanging="360"/>
    </w:pPr>
  </w:style>
  <w:style w:type="paragraph" w:styleId="List2">
    <w:name w:val="List 2"/>
    <w:basedOn w:val="Normal"/>
    <w:rsid w:val="00006DDE"/>
    <w:pPr>
      <w:ind w:left="720" w:hanging="360"/>
    </w:pPr>
  </w:style>
  <w:style w:type="paragraph" w:styleId="List3">
    <w:name w:val="List 3"/>
    <w:basedOn w:val="Normal"/>
    <w:rsid w:val="00006DDE"/>
    <w:pPr>
      <w:ind w:left="1080" w:hanging="360"/>
    </w:pPr>
  </w:style>
  <w:style w:type="paragraph" w:styleId="List4">
    <w:name w:val="List 4"/>
    <w:basedOn w:val="Normal"/>
    <w:rsid w:val="00006DDE"/>
    <w:pPr>
      <w:ind w:left="1440" w:hanging="360"/>
    </w:pPr>
  </w:style>
  <w:style w:type="paragraph" w:styleId="List5">
    <w:name w:val="List 5"/>
    <w:basedOn w:val="Normal"/>
    <w:rsid w:val="00006DDE"/>
    <w:pPr>
      <w:ind w:left="1800" w:hanging="360"/>
    </w:pPr>
  </w:style>
  <w:style w:type="paragraph" w:styleId="ListBullet2">
    <w:name w:val="List Bullet 2"/>
    <w:basedOn w:val="Normal"/>
    <w:rsid w:val="00006DDE"/>
    <w:pPr>
      <w:tabs>
        <w:tab w:val="num" w:pos="720"/>
      </w:tabs>
      <w:ind w:left="720" w:hanging="360"/>
    </w:pPr>
  </w:style>
  <w:style w:type="paragraph" w:styleId="ListBullet3">
    <w:name w:val="List Bullet 3"/>
    <w:basedOn w:val="Normal"/>
    <w:rsid w:val="00006DDE"/>
    <w:pPr>
      <w:tabs>
        <w:tab w:val="num" w:pos="1080"/>
      </w:tabs>
      <w:ind w:left="1080" w:hanging="360"/>
    </w:pPr>
  </w:style>
  <w:style w:type="paragraph" w:styleId="ListBullet4">
    <w:name w:val="List Bullet 4"/>
    <w:basedOn w:val="Normal"/>
    <w:rsid w:val="00006DDE"/>
    <w:pPr>
      <w:tabs>
        <w:tab w:val="num" w:pos="1440"/>
      </w:tabs>
      <w:ind w:left="1440" w:hanging="360"/>
    </w:pPr>
  </w:style>
  <w:style w:type="paragraph" w:styleId="ListBullet5">
    <w:name w:val="List Bullet 5"/>
    <w:basedOn w:val="Normal"/>
    <w:rsid w:val="00006DDE"/>
    <w:pPr>
      <w:tabs>
        <w:tab w:val="num" w:pos="1800"/>
      </w:tabs>
      <w:ind w:left="1800" w:hanging="360"/>
    </w:pPr>
  </w:style>
  <w:style w:type="paragraph" w:styleId="ListContinue">
    <w:name w:val="List Continue"/>
    <w:basedOn w:val="Normal"/>
    <w:rsid w:val="00006DDE"/>
    <w:pPr>
      <w:spacing w:after="120"/>
      <w:ind w:left="360"/>
    </w:pPr>
  </w:style>
  <w:style w:type="paragraph" w:styleId="ListContinue2">
    <w:name w:val="List Continue 2"/>
    <w:basedOn w:val="Normal"/>
    <w:rsid w:val="00006DDE"/>
    <w:pPr>
      <w:spacing w:after="120"/>
      <w:ind w:left="720"/>
    </w:pPr>
  </w:style>
  <w:style w:type="paragraph" w:styleId="ListContinue3">
    <w:name w:val="List Continue 3"/>
    <w:basedOn w:val="Normal"/>
    <w:rsid w:val="00006DDE"/>
    <w:pPr>
      <w:spacing w:after="120"/>
      <w:ind w:left="1080"/>
    </w:pPr>
  </w:style>
  <w:style w:type="paragraph" w:styleId="ListContinue4">
    <w:name w:val="List Continue 4"/>
    <w:basedOn w:val="Normal"/>
    <w:rsid w:val="00006DDE"/>
    <w:pPr>
      <w:spacing w:after="120"/>
      <w:ind w:left="1440"/>
    </w:pPr>
  </w:style>
  <w:style w:type="paragraph" w:styleId="ListContinue5">
    <w:name w:val="List Continue 5"/>
    <w:basedOn w:val="Normal"/>
    <w:rsid w:val="00006DDE"/>
    <w:pPr>
      <w:spacing w:after="120"/>
      <w:ind w:left="1800"/>
    </w:pPr>
  </w:style>
  <w:style w:type="paragraph" w:styleId="ListNumber">
    <w:name w:val="List Number"/>
    <w:basedOn w:val="Normal"/>
    <w:rsid w:val="00006DDE"/>
    <w:pPr>
      <w:tabs>
        <w:tab w:val="num" w:pos="360"/>
      </w:tabs>
      <w:ind w:left="360" w:hanging="360"/>
    </w:pPr>
  </w:style>
  <w:style w:type="paragraph" w:styleId="ListNumber2">
    <w:name w:val="List Number 2"/>
    <w:basedOn w:val="Normal"/>
    <w:rsid w:val="00006DDE"/>
    <w:pPr>
      <w:tabs>
        <w:tab w:val="num" w:pos="720"/>
      </w:tabs>
      <w:ind w:left="720" w:hanging="360"/>
    </w:pPr>
  </w:style>
  <w:style w:type="paragraph" w:styleId="ListNumber3">
    <w:name w:val="List Number 3"/>
    <w:basedOn w:val="Normal"/>
    <w:rsid w:val="00006DDE"/>
    <w:pPr>
      <w:tabs>
        <w:tab w:val="num" w:pos="1080"/>
      </w:tabs>
      <w:ind w:left="1080" w:hanging="360"/>
    </w:pPr>
  </w:style>
  <w:style w:type="paragraph" w:styleId="ListNumber4">
    <w:name w:val="List Number 4"/>
    <w:basedOn w:val="Normal"/>
    <w:rsid w:val="00006DDE"/>
    <w:pPr>
      <w:tabs>
        <w:tab w:val="num" w:pos="1440"/>
      </w:tabs>
      <w:ind w:left="1440" w:hanging="360"/>
    </w:pPr>
  </w:style>
  <w:style w:type="paragraph" w:styleId="ListNumber5">
    <w:name w:val="List Number 5"/>
    <w:basedOn w:val="Normal"/>
    <w:rsid w:val="00006DDE"/>
    <w:pPr>
      <w:tabs>
        <w:tab w:val="num" w:pos="1800"/>
      </w:tabs>
      <w:ind w:left="1800" w:hanging="360"/>
    </w:pPr>
  </w:style>
  <w:style w:type="paragraph" w:styleId="MessageHeader">
    <w:name w:val="Message Header"/>
    <w:basedOn w:val="Normal"/>
    <w:link w:val="MessageHeaderChar"/>
    <w:rsid w:val="00006DD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06DDE"/>
    <w:rPr>
      <w:rFonts w:ascii="Arial" w:hAnsi="Arial" w:cs="Arial"/>
      <w:szCs w:val="24"/>
      <w:shd w:val="pct20" w:color="auto" w:fill="auto"/>
    </w:rPr>
  </w:style>
  <w:style w:type="paragraph" w:styleId="NoteHeading">
    <w:name w:val="Note Heading"/>
    <w:basedOn w:val="Normal"/>
    <w:next w:val="Normal"/>
    <w:link w:val="NoteHeadingChar"/>
    <w:rsid w:val="00006DDE"/>
  </w:style>
  <w:style w:type="character" w:customStyle="1" w:styleId="NoteHeadingChar">
    <w:name w:val="Note Heading Char"/>
    <w:basedOn w:val="DefaultParagraphFont"/>
    <w:link w:val="NoteHeading"/>
    <w:rsid w:val="00006DDE"/>
    <w:rPr>
      <w:rFonts w:ascii="Arial" w:hAnsi="Arial"/>
    </w:rPr>
  </w:style>
  <w:style w:type="paragraph" w:styleId="Salutation">
    <w:name w:val="Salutation"/>
    <w:basedOn w:val="Normal"/>
    <w:next w:val="Normal"/>
    <w:link w:val="SalutationChar"/>
    <w:rsid w:val="00006DDE"/>
  </w:style>
  <w:style w:type="character" w:customStyle="1" w:styleId="SalutationChar">
    <w:name w:val="Salutation Char"/>
    <w:basedOn w:val="DefaultParagraphFont"/>
    <w:link w:val="Salutation"/>
    <w:rsid w:val="00006DDE"/>
    <w:rPr>
      <w:rFonts w:ascii="Arial" w:hAnsi="Arial"/>
    </w:rPr>
  </w:style>
  <w:style w:type="character" w:styleId="Strong">
    <w:name w:val="Strong"/>
    <w:basedOn w:val="DefaultParagraphFont"/>
    <w:qFormat/>
    <w:rsid w:val="00006DDE"/>
    <w:rPr>
      <w:b/>
      <w:bCs/>
    </w:rPr>
  </w:style>
  <w:style w:type="paragraph" w:styleId="Subtitle">
    <w:name w:val="Subtitle"/>
    <w:basedOn w:val="Normal"/>
    <w:link w:val="SubtitleChar"/>
    <w:qFormat/>
    <w:rsid w:val="00006DDE"/>
    <w:pPr>
      <w:spacing w:after="60"/>
      <w:jc w:val="center"/>
      <w:outlineLvl w:val="1"/>
    </w:pPr>
    <w:rPr>
      <w:rFonts w:cs="Arial"/>
      <w:szCs w:val="24"/>
    </w:rPr>
  </w:style>
  <w:style w:type="character" w:customStyle="1" w:styleId="SubtitleChar">
    <w:name w:val="Subtitle Char"/>
    <w:basedOn w:val="DefaultParagraphFont"/>
    <w:link w:val="Subtitle"/>
    <w:rsid w:val="00006DDE"/>
    <w:rPr>
      <w:rFonts w:ascii="Arial" w:hAnsi="Arial" w:cs="Arial"/>
      <w:szCs w:val="24"/>
    </w:rPr>
  </w:style>
  <w:style w:type="table" w:styleId="Table3Deffects1">
    <w:name w:val="Table 3D effects 1"/>
    <w:basedOn w:val="TableNormal"/>
    <w:rsid w:val="00006DD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6DD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6DD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6DD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6DD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6DD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6DD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6DD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6DD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6DD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6DD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6DD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6DD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6DD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6DD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6DD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6DD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6DD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6DD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6DD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6DD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6DD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6DD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6DD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6DD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6DD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6DD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6DD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6DD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6DD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6DD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6DD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6DD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6DD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6DD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6DD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6D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6DD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6DD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6DD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06DDE"/>
    <w:pPr>
      <w:ind w:left="1440"/>
    </w:pPr>
  </w:style>
  <w:style w:type="paragraph" w:styleId="TOC8">
    <w:name w:val="toc 8"/>
    <w:basedOn w:val="Normal"/>
    <w:next w:val="Normal"/>
    <w:autoRedefine/>
    <w:rsid w:val="00006DDE"/>
    <w:pPr>
      <w:ind w:left="1680"/>
    </w:pPr>
  </w:style>
  <w:style w:type="paragraph" w:styleId="TOC9">
    <w:name w:val="toc 9"/>
    <w:basedOn w:val="Normal"/>
    <w:next w:val="Normal"/>
    <w:autoRedefine/>
    <w:rsid w:val="00006DDE"/>
    <w:pPr>
      <w:ind w:left="1920"/>
    </w:pPr>
  </w:style>
  <w:style w:type="paragraph" w:styleId="Caption">
    <w:name w:val="caption"/>
    <w:basedOn w:val="Normal"/>
    <w:next w:val="Normal"/>
    <w:qFormat/>
    <w:rsid w:val="00006DDE"/>
    <w:pPr>
      <w:framePr w:w="11102" w:hSpace="181" w:wrap="around" w:vAnchor="page" w:hAnchor="page" w:x="438" w:y="15985" w:anchorLock="1"/>
      <w:jc w:val="center"/>
    </w:pPr>
    <w:rPr>
      <w:b/>
      <w:snapToGrid w:val="0"/>
    </w:rPr>
  </w:style>
  <w:style w:type="paragraph" w:customStyle="1" w:styleId="Chapter">
    <w:name w:val="Chapter"/>
    <w:basedOn w:val="Normal"/>
    <w:semiHidden/>
    <w:rsid w:val="00006DDE"/>
    <w:pPr>
      <w:jc w:val="center"/>
    </w:pPr>
    <w:rPr>
      <w:b/>
      <w:caps/>
      <w:szCs w:val="24"/>
    </w:rPr>
  </w:style>
  <w:style w:type="paragraph" w:customStyle="1" w:styleId="Notetoarticle">
    <w:name w:val="Note to article"/>
    <w:basedOn w:val="Normal"/>
    <w:semiHidden/>
    <w:rsid w:val="00006DDE"/>
  </w:style>
  <w:style w:type="character" w:styleId="CommentReference">
    <w:name w:val="annotation reference"/>
    <w:basedOn w:val="DefaultParagraphFont"/>
    <w:rsid w:val="00006DDE"/>
    <w:rPr>
      <w:rFonts w:cs="Times New Roman"/>
      <w:sz w:val="16"/>
      <w:szCs w:val="16"/>
    </w:rPr>
  </w:style>
  <w:style w:type="paragraph" w:styleId="Revision">
    <w:name w:val="Revision"/>
    <w:hidden/>
    <w:uiPriority w:val="99"/>
    <w:semiHidden/>
    <w:rsid w:val="00006DDE"/>
    <w:rPr>
      <w:rFonts w:ascii="Arial" w:hAnsi="Arial"/>
    </w:rPr>
  </w:style>
  <w:style w:type="paragraph" w:styleId="CommentSubject">
    <w:name w:val="annotation subject"/>
    <w:basedOn w:val="CommentText"/>
    <w:next w:val="CommentText"/>
    <w:link w:val="CommentSubjectChar"/>
    <w:rsid w:val="00006DDE"/>
    <w:rPr>
      <w:b/>
      <w:bCs/>
      <w:sz w:val="20"/>
      <w:lang w:val="en-US"/>
    </w:rPr>
  </w:style>
  <w:style w:type="character" w:customStyle="1" w:styleId="CommentSubjectChar">
    <w:name w:val="Comment Subject Char"/>
    <w:basedOn w:val="CommentTextChar"/>
    <w:link w:val="CommentSubject"/>
    <w:rsid w:val="00006DDE"/>
    <w:rPr>
      <w:rFonts w:ascii="Arial" w:hAnsi="Arial"/>
      <w:b/>
      <w:bCs/>
      <w:sz w:val="22"/>
      <w:lang w:val="es-ES_tradnl"/>
    </w:rPr>
  </w:style>
  <w:style w:type="paragraph" w:customStyle="1" w:styleId="Normaltg">
    <w:name w:val="Normaltg"/>
    <w:basedOn w:val="Normal"/>
    <w:link w:val="NormaltgChar"/>
    <w:rsid w:val="00006DDE"/>
    <w:rPr>
      <w:rFonts w:cs="Angsana New"/>
      <w:szCs w:val="24"/>
      <w:lang w:eastAsia="ja-JP" w:bidi="th-TH"/>
    </w:rPr>
  </w:style>
  <w:style w:type="character" w:customStyle="1" w:styleId="NormaltgChar">
    <w:name w:val="Normaltg Char"/>
    <w:link w:val="Normaltg"/>
    <w:rsid w:val="00006DDE"/>
    <w:rPr>
      <w:rFonts w:ascii="Arial" w:hAnsi="Arial" w:cs="Angsana New"/>
      <w:szCs w:val="24"/>
      <w:lang w:eastAsia="ja-JP" w:bidi="th-TH"/>
    </w:rPr>
  </w:style>
  <w:style w:type="character" w:customStyle="1" w:styleId="Heading5Char">
    <w:name w:val="Heading 5 Char"/>
    <w:link w:val="Heading5"/>
    <w:rsid w:val="003951FA"/>
    <w:rPr>
      <w:rFonts w:ascii="Arial" w:hAnsi="Arial" w:cs="Arial"/>
      <w:snapToGrid w:val="0"/>
      <w:color w:val="008000"/>
      <w:u w:val="single"/>
      <w:lang w:val="fr-FR"/>
    </w:rPr>
  </w:style>
  <w:style w:type="character" w:customStyle="1" w:styleId="hps">
    <w:name w:val="hps"/>
    <w:basedOn w:val="DefaultParagraphFont"/>
    <w:rsid w:val="00520DC8"/>
  </w:style>
  <w:style w:type="character" w:customStyle="1" w:styleId="Standaardalinea-lettertype">
    <w:name w:val="Standaardalinea-lettertype"/>
    <w:rsid w:val="00520DC8"/>
  </w:style>
  <w:style w:type="character" w:customStyle="1" w:styleId="shorttext">
    <w:name w:val="short_text"/>
    <w:basedOn w:val="DefaultParagraphFont"/>
    <w:rsid w:val="00A75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qFormat/>
    <w:rsid w:val="00534B1E"/>
    <w:pPr>
      <w:keepNext/>
      <w:jc w:val="both"/>
      <w:outlineLvl w:val="0"/>
    </w:pPr>
    <w:rPr>
      <w:rFonts w:ascii="Arial" w:hAnsi="Arial"/>
      <w:caps/>
    </w:rPr>
  </w:style>
  <w:style w:type="paragraph" w:styleId="Heading2">
    <w:name w:val="heading 2"/>
    <w:next w:val="Normal"/>
    <w:link w:val="Heading2Char"/>
    <w:qFormat/>
    <w:rsid w:val="00534B1E"/>
    <w:pPr>
      <w:keepNext/>
      <w:jc w:val="both"/>
      <w:outlineLvl w:val="1"/>
    </w:pPr>
    <w:rPr>
      <w:rFonts w:ascii="Arial" w:hAnsi="Arial"/>
      <w:u w:val="single"/>
    </w:rPr>
  </w:style>
  <w:style w:type="paragraph" w:styleId="Heading3">
    <w:name w:val="heading 3"/>
    <w:next w:val="Normal"/>
    <w:link w:val="Heading3Char"/>
    <w:qFormat/>
    <w:rsid w:val="00DD2CFD"/>
    <w:pPr>
      <w:keepNext/>
      <w:jc w:val="both"/>
      <w:outlineLvl w:val="2"/>
    </w:pPr>
    <w:rPr>
      <w:rFonts w:ascii="Arial" w:hAnsi="Arial"/>
      <w:i/>
      <w:color w:val="008000"/>
      <w:lang w:val="fr-FR"/>
    </w:rPr>
  </w:style>
  <w:style w:type="paragraph" w:styleId="Heading4">
    <w:name w:val="heading 4"/>
    <w:next w:val="Normal"/>
    <w:link w:val="Heading4Char"/>
    <w:qFormat/>
    <w:rsid w:val="00CC55CA"/>
    <w:pPr>
      <w:keepNext/>
      <w:ind w:left="567"/>
      <w:jc w:val="both"/>
      <w:outlineLvl w:val="3"/>
    </w:pPr>
    <w:rPr>
      <w:rFonts w:ascii="Arial" w:hAnsi="Arial"/>
      <w:i/>
    </w:rPr>
  </w:style>
  <w:style w:type="paragraph" w:styleId="Heading5">
    <w:name w:val="heading 5"/>
    <w:next w:val="Normal"/>
    <w:link w:val="Heading5Char"/>
    <w:qFormat/>
    <w:rsid w:val="003951FA"/>
    <w:pPr>
      <w:keepNext/>
      <w:ind w:left="567"/>
      <w:jc w:val="both"/>
      <w:outlineLvl w:val="4"/>
    </w:pPr>
    <w:rPr>
      <w:rFonts w:ascii="Arial" w:hAnsi="Arial" w:cs="Arial"/>
      <w:snapToGrid w:val="0"/>
      <w:color w:val="008000"/>
      <w:u w:val="single"/>
      <w:lang w:val="fr-FR"/>
    </w:rPr>
  </w:style>
  <w:style w:type="paragraph" w:styleId="Heading6">
    <w:name w:val="heading 6"/>
    <w:basedOn w:val="Normal"/>
    <w:next w:val="Normal"/>
    <w:link w:val="Heading6Char"/>
    <w:qFormat/>
    <w:rsid w:val="00216695"/>
    <w:pPr>
      <w:outlineLvl w:val="5"/>
    </w:pPr>
    <w:rPr>
      <w:lang w:val="es-ES_tradnl"/>
    </w:rPr>
  </w:style>
  <w:style w:type="paragraph" w:styleId="Heading7">
    <w:name w:val="heading 7"/>
    <w:basedOn w:val="Normal"/>
    <w:next w:val="Normal"/>
    <w:link w:val="Heading7Char"/>
    <w:qFormat/>
    <w:rsid w:val="00216695"/>
    <w:pPr>
      <w:spacing w:before="240" w:after="60"/>
      <w:outlineLvl w:val="6"/>
    </w:pPr>
    <w:rPr>
      <w:szCs w:val="24"/>
    </w:rPr>
  </w:style>
  <w:style w:type="paragraph" w:styleId="Heading8">
    <w:name w:val="heading 8"/>
    <w:basedOn w:val="Normal"/>
    <w:next w:val="Normal"/>
    <w:link w:val="Heading8Char"/>
    <w:qFormat/>
    <w:rsid w:val="00216695"/>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216695"/>
    <w:rPr>
      <w:rFonts w:ascii="Arial" w:hAnsi="Arial"/>
      <w:lang w:val="es-ES_tradnl"/>
    </w:rPr>
  </w:style>
  <w:style w:type="character" w:customStyle="1" w:styleId="Heading7Char">
    <w:name w:val="Heading 7 Char"/>
    <w:basedOn w:val="DefaultParagraphFont"/>
    <w:link w:val="Heading7"/>
    <w:rsid w:val="00216695"/>
    <w:rPr>
      <w:rFonts w:ascii="Arial" w:hAnsi="Arial"/>
      <w:szCs w:val="24"/>
    </w:rPr>
  </w:style>
  <w:style w:type="character" w:customStyle="1" w:styleId="Heading8Char">
    <w:name w:val="Heading 8 Char"/>
    <w:basedOn w:val="DefaultParagraphFont"/>
    <w:link w:val="Heading8"/>
    <w:rsid w:val="00216695"/>
    <w:rPr>
      <w:rFonts w:ascii="Arial" w:hAnsi="Arial"/>
      <w:u w:val="single"/>
    </w:rPr>
  </w:style>
  <w:style w:type="character" w:customStyle="1" w:styleId="Heading2Char">
    <w:name w:val="Heading 2 Char"/>
    <w:link w:val="Heading2"/>
    <w:rsid w:val="00593CDF"/>
    <w:rPr>
      <w:rFonts w:ascii="Arial" w:hAnsi="Arial"/>
      <w:u w:val="single"/>
    </w:rPr>
  </w:style>
  <w:style w:type="character" w:customStyle="1" w:styleId="Heading3Char">
    <w:name w:val="Heading 3 Char"/>
    <w:link w:val="Heading3"/>
    <w:locked/>
    <w:rsid w:val="00DD2CFD"/>
    <w:rPr>
      <w:rFonts w:ascii="Arial" w:hAnsi="Arial"/>
      <w:i/>
      <w:color w:val="008000"/>
      <w:lang w:val="fr-FR"/>
    </w:rPr>
  </w:style>
  <w:style w:type="character" w:customStyle="1" w:styleId="Heading4Char">
    <w:name w:val="Heading 4 Char"/>
    <w:link w:val="Heading4"/>
    <w:rsid w:val="00CC55CA"/>
    <w:rPr>
      <w:rFonts w:ascii="Arial" w:hAnsi="Arial"/>
      <w:i/>
    </w:rPr>
  </w:style>
  <w:style w:type="character" w:customStyle="1" w:styleId="FooterChar">
    <w:name w:val="Footer Char"/>
    <w:aliases w:val="doc_path_name Char"/>
    <w:link w:val="Footer"/>
    <w:rsid w:val="00216695"/>
    <w:rPr>
      <w:rFonts w:ascii="Arial" w:hAnsi="Arial"/>
      <w:sz w:val="14"/>
    </w:rPr>
  </w:style>
  <w:style w:type="character" w:customStyle="1" w:styleId="DecisionParagraphsChar">
    <w:name w:val="DecisionParagraphs Char"/>
    <w:link w:val="DecisionParagraphs"/>
    <w:rsid w:val="00216695"/>
    <w:rPr>
      <w:rFonts w:ascii="Arial" w:hAnsi="Arial"/>
      <w:i/>
    </w:rPr>
  </w:style>
  <w:style w:type="character" w:customStyle="1" w:styleId="BodyTextChar">
    <w:name w:val="Body Text Char"/>
    <w:link w:val="BodyText"/>
    <w:locked/>
    <w:rsid w:val="00216695"/>
    <w:rPr>
      <w:rFonts w:ascii="Arial" w:hAnsi="Arial"/>
    </w:rPr>
  </w:style>
  <w:style w:type="character" w:customStyle="1" w:styleId="plcountryChar">
    <w:name w:val="plcountry Char"/>
    <w:link w:val="plcountry"/>
    <w:rsid w:val="00216695"/>
    <w:rPr>
      <w:rFonts w:ascii="Arial" w:hAnsi="Arial"/>
      <w:caps/>
      <w:noProof/>
      <w:snapToGrid w:val="0"/>
      <w:u w:val="single"/>
    </w:rPr>
  </w:style>
  <w:style w:type="character" w:customStyle="1" w:styleId="pldetailsChar">
    <w:name w:val="pldetails Char"/>
    <w:link w:val="pldetails"/>
    <w:rsid w:val="00216695"/>
    <w:rPr>
      <w:rFonts w:ascii="Arial" w:hAnsi="Arial"/>
      <w:noProof/>
      <w:snapToGrid w:val="0"/>
    </w:rPr>
  </w:style>
  <w:style w:type="table" w:styleId="TableGrid">
    <w:name w:val="Table Grid"/>
    <w:basedOn w:val="TableNormal"/>
    <w:rsid w:val="0021669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216695"/>
    <w:pPr>
      <w:tabs>
        <w:tab w:val="decimal" w:pos="907"/>
        <w:tab w:val="left" w:pos="1077"/>
      </w:tabs>
    </w:pPr>
    <w:rPr>
      <w:rFonts w:ascii="Times New Roman" w:eastAsia="MS Mincho" w:hAnsi="Times New Roman"/>
      <w:sz w:val="24"/>
    </w:rPr>
  </w:style>
  <w:style w:type="paragraph" w:customStyle="1" w:styleId="n">
    <w:name w:val="n"/>
    <w:basedOn w:val="Header"/>
    <w:rsid w:val="00216695"/>
    <w:pPr>
      <w:tabs>
        <w:tab w:val="center" w:pos="4536"/>
        <w:tab w:val="right" w:pos="9072"/>
      </w:tabs>
    </w:pPr>
    <w:rPr>
      <w:rFonts w:ascii="Times New Roman" w:hAnsi="Times New Roman"/>
      <w:sz w:val="24"/>
    </w:rPr>
  </w:style>
  <w:style w:type="paragraph" w:customStyle="1" w:styleId="Normalt">
    <w:name w:val="Normalt"/>
    <w:basedOn w:val="Normal"/>
    <w:rsid w:val="00216695"/>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216695"/>
    <w:pPr>
      <w:keepNext/>
    </w:pPr>
    <w:rPr>
      <w:b/>
      <w:bCs/>
    </w:rPr>
  </w:style>
  <w:style w:type="paragraph" w:styleId="NormalWeb">
    <w:name w:val="Normal (Web)"/>
    <w:basedOn w:val="Normal"/>
    <w:rsid w:val="00216695"/>
    <w:pPr>
      <w:spacing w:before="100" w:beforeAutospacing="1" w:after="100" w:afterAutospacing="1"/>
      <w:jc w:val="left"/>
    </w:pPr>
    <w:rPr>
      <w:szCs w:val="24"/>
    </w:rPr>
  </w:style>
  <w:style w:type="paragraph" w:customStyle="1" w:styleId="pdflink">
    <w:name w:val="pdflink"/>
    <w:basedOn w:val="Normal"/>
    <w:next w:val="Normal"/>
    <w:rsid w:val="00216695"/>
    <w:rPr>
      <w:color w:val="800000"/>
      <w:u w:val="words"/>
    </w:rPr>
  </w:style>
  <w:style w:type="paragraph" w:customStyle="1" w:styleId="Draft">
    <w:name w:val="Draft"/>
    <w:basedOn w:val="Normal"/>
    <w:next w:val="preparedby"/>
    <w:rsid w:val="00216695"/>
    <w:pPr>
      <w:spacing w:before="720" w:after="480"/>
      <w:jc w:val="center"/>
    </w:pPr>
    <w:rPr>
      <w:caps/>
      <w:sz w:val="28"/>
    </w:rPr>
  </w:style>
  <w:style w:type="paragraph" w:customStyle="1" w:styleId="tqparabox">
    <w:name w:val="tqparabox"/>
    <w:basedOn w:val="Normal"/>
    <w:rsid w:val="00216695"/>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216695"/>
    <w:pPr>
      <w:ind w:left="567"/>
    </w:pPr>
    <w:rPr>
      <w:lang w:val="es-ES_tradnl"/>
    </w:rPr>
  </w:style>
  <w:style w:type="character" w:customStyle="1" w:styleId="BodyTextIndentChar">
    <w:name w:val="Body Text Indent Char"/>
    <w:basedOn w:val="DefaultParagraphFont"/>
    <w:link w:val="BodyTextIndent"/>
    <w:rsid w:val="00216695"/>
    <w:rPr>
      <w:rFonts w:ascii="Arial" w:hAnsi="Arial"/>
      <w:lang w:val="es-ES_tradnl"/>
    </w:rPr>
  </w:style>
  <w:style w:type="paragraph" w:customStyle="1" w:styleId="twpcheck">
    <w:name w:val="twpcheck"/>
    <w:basedOn w:val="Normal"/>
    <w:rsid w:val="00216695"/>
    <w:pPr>
      <w:spacing w:before="80" w:after="80"/>
      <w:jc w:val="left"/>
    </w:pPr>
    <w:rPr>
      <w:rFonts w:cs="Arial"/>
      <w:snapToGrid w:val="0"/>
      <w:sz w:val="16"/>
      <w:szCs w:val="16"/>
    </w:rPr>
  </w:style>
  <w:style w:type="paragraph" w:customStyle="1" w:styleId="DecisionInvitingPara">
    <w:name w:val="Decision Inviting Para."/>
    <w:basedOn w:val="Normal"/>
    <w:rsid w:val="00216695"/>
    <w:pPr>
      <w:ind w:left="4536"/>
    </w:pPr>
    <w:rPr>
      <w:i/>
      <w:lang w:val="es-ES_tradnl"/>
    </w:rPr>
  </w:style>
  <w:style w:type="paragraph" w:customStyle="1" w:styleId="Enttepair">
    <w:name w:val="Entête_pair"/>
    <w:basedOn w:val="Normal"/>
    <w:next w:val="Normal"/>
    <w:rsid w:val="00216695"/>
    <w:pPr>
      <w:pBdr>
        <w:bottom w:val="single" w:sz="4" w:space="1" w:color="auto"/>
      </w:pBdr>
      <w:jc w:val="left"/>
    </w:pPr>
    <w:rPr>
      <w:szCs w:val="24"/>
    </w:rPr>
  </w:style>
  <w:style w:type="paragraph" w:customStyle="1" w:styleId="Entteimpair">
    <w:name w:val="Entête_impair"/>
    <w:basedOn w:val="Normal"/>
    <w:next w:val="Normal"/>
    <w:rsid w:val="00216695"/>
    <w:pPr>
      <w:pBdr>
        <w:bottom w:val="single" w:sz="4" w:space="1" w:color="auto"/>
      </w:pBdr>
      <w:jc w:val="right"/>
    </w:pPr>
  </w:style>
  <w:style w:type="paragraph" w:styleId="ListBullet">
    <w:name w:val="List Bullet"/>
    <w:basedOn w:val="Normal"/>
    <w:autoRedefine/>
    <w:rsid w:val="00216695"/>
    <w:pPr>
      <w:tabs>
        <w:tab w:val="num" w:pos="360"/>
      </w:tabs>
      <w:ind w:left="360" w:hanging="360"/>
    </w:pPr>
    <w:rPr>
      <w:bCs/>
      <w:szCs w:val="24"/>
      <w:lang w:val="es-ES" w:eastAsia="zh-CN"/>
    </w:rPr>
  </w:style>
  <w:style w:type="character" w:styleId="FollowedHyperlink">
    <w:name w:val="FollowedHyperlink"/>
    <w:rsid w:val="00216695"/>
    <w:rPr>
      <w:color w:val="606420"/>
      <w:u w:val="single"/>
    </w:rPr>
  </w:style>
  <w:style w:type="paragraph" w:styleId="BlockText">
    <w:name w:val="Block Text"/>
    <w:basedOn w:val="Normal"/>
    <w:rsid w:val="00216695"/>
    <w:pPr>
      <w:ind w:left="567" w:right="566"/>
    </w:pPr>
    <w:rPr>
      <w:sz w:val="22"/>
    </w:rPr>
  </w:style>
  <w:style w:type="paragraph" w:styleId="CommentText">
    <w:name w:val="annotation text"/>
    <w:basedOn w:val="Normal"/>
    <w:link w:val="CommentTextChar"/>
    <w:rsid w:val="00216695"/>
    <w:rPr>
      <w:sz w:val="22"/>
      <w:lang w:val="es-ES_tradnl"/>
    </w:rPr>
  </w:style>
  <w:style w:type="character" w:customStyle="1" w:styleId="CommentTextChar">
    <w:name w:val="Comment Text Char"/>
    <w:basedOn w:val="DefaultParagraphFont"/>
    <w:link w:val="CommentText"/>
    <w:rsid w:val="00216695"/>
    <w:rPr>
      <w:rFonts w:ascii="Arial" w:hAnsi="Arial"/>
      <w:sz w:val="22"/>
      <w:lang w:val="es-ES_tradnl"/>
    </w:rPr>
  </w:style>
  <w:style w:type="paragraph" w:customStyle="1" w:styleId="Committee">
    <w:name w:val="Committee"/>
    <w:basedOn w:val="Title"/>
    <w:rsid w:val="00216695"/>
    <w:rPr>
      <w:caps w:val="0"/>
    </w:rPr>
  </w:style>
  <w:style w:type="paragraph" w:customStyle="1" w:styleId="TitleofSection">
    <w:name w:val="Title of Section"/>
    <w:basedOn w:val="TitleofDoc"/>
    <w:rsid w:val="00216695"/>
    <w:pPr>
      <w:spacing w:before="120" w:after="120"/>
    </w:pPr>
    <w:rPr>
      <w:b/>
      <w:caps w:val="0"/>
      <w:lang w:eastAsia="de-DE"/>
    </w:rPr>
  </w:style>
  <w:style w:type="paragraph" w:customStyle="1" w:styleId="TOCAnnex">
    <w:name w:val="TOC Annex"/>
    <w:basedOn w:val="Normal"/>
    <w:rsid w:val="00216695"/>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216695"/>
    <w:rPr>
      <w:rFonts w:ascii="Courier New" w:hAnsi="Courier New" w:cs="Courier New"/>
      <w:lang w:eastAsia="fr-FR"/>
    </w:rPr>
  </w:style>
  <w:style w:type="character" w:customStyle="1" w:styleId="PlainTextChar">
    <w:name w:val="Plain Text Char"/>
    <w:basedOn w:val="DefaultParagraphFont"/>
    <w:link w:val="PlainText"/>
    <w:rsid w:val="00216695"/>
    <w:rPr>
      <w:rFonts w:ascii="Courier New" w:hAnsi="Courier New" w:cs="Courier New"/>
      <w:lang w:eastAsia="fr-FR"/>
    </w:rPr>
  </w:style>
  <w:style w:type="paragraph" w:customStyle="1" w:styleId="Default">
    <w:name w:val="Default"/>
    <w:basedOn w:val="Normal"/>
    <w:rsid w:val="00216695"/>
    <w:pPr>
      <w:jc w:val="left"/>
    </w:pPr>
    <w:rPr>
      <w:rFonts w:eastAsia="SimSun" w:cs="Arial"/>
      <w:color w:val="000000"/>
      <w:sz w:val="24"/>
      <w:szCs w:val="24"/>
    </w:rPr>
  </w:style>
  <w:style w:type="paragraph" w:customStyle="1" w:styleId="tgcharnumber">
    <w:name w:val="tg_char_number"/>
    <w:basedOn w:val="Normal"/>
    <w:rsid w:val="00216695"/>
    <w:pPr>
      <w:keepNext/>
      <w:spacing w:before="80" w:after="80"/>
      <w:jc w:val="center"/>
    </w:pPr>
    <w:rPr>
      <w:b/>
      <w:sz w:val="16"/>
    </w:rPr>
  </w:style>
  <w:style w:type="paragraph" w:customStyle="1" w:styleId="tgchartitle">
    <w:name w:val="tg_char_title"/>
    <w:basedOn w:val="Normal"/>
    <w:rsid w:val="00216695"/>
    <w:pPr>
      <w:spacing w:before="80" w:after="80"/>
      <w:jc w:val="left"/>
    </w:pPr>
    <w:rPr>
      <w:b/>
      <w:sz w:val="16"/>
    </w:rPr>
  </w:style>
  <w:style w:type="paragraph" w:customStyle="1" w:styleId="tgchartext">
    <w:name w:val="tg_char_text"/>
    <w:basedOn w:val="Normal"/>
    <w:rsid w:val="00216695"/>
    <w:pPr>
      <w:spacing w:before="80" w:after="80"/>
      <w:jc w:val="left"/>
    </w:pPr>
    <w:rPr>
      <w:sz w:val="16"/>
    </w:rPr>
  </w:style>
  <w:style w:type="paragraph" w:styleId="ListParagraph">
    <w:name w:val="List Paragraph"/>
    <w:basedOn w:val="Normal"/>
    <w:uiPriority w:val="34"/>
    <w:qFormat/>
    <w:rsid w:val="00BA2FB2"/>
    <w:pPr>
      <w:ind w:left="720"/>
      <w:contextualSpacing/>
    </w:pPr>
  </w:style>
  <w:style w:type="paragraph" w:customStyle="1" w:styleId="dec">
    <w:name w:val="dec"/>
    <w:basedOn w:val="Normal"/>
    <w:link w:val="decChar"/>
    <w:qFormat/>
    <w:rsid w:val="00FC6512"/>
    <w:pPr>
      <w:ind w:left="4536"/>
    </w:pPr>
    <w:rPr>
      <w:i/>
      <w:spacing w:val="-2"/>
    </w:rPr>
  </w:style>
  <w:style w:type="character" w:customStyle="1" w:styleId="decChar">
    <w:name w:val="dec Char"/>
    <w:basedOn w:val="DefaultParagraphFont"/>
    <w:link w:val="dec"/>
    <w:rsid w:val="00FC6512"/>
    <w:rPr>
      <w:rFonts w:ascii="Arial" w:hAnsi="Arial"/>
      <w:i/>
      <w:spacing w:val="-2"/>
    </w:rPr>
  </w:style>
  <w:style w:type="paragraph" w:customStyle="1" w:styleId="EndOfDoc0">
    <w:name w:val="EndOfDoc"/>
    <w:basedOn w:val="Normal"/>
    <w:rsid w:val="00B74303"/>
    <w:pPr>
      <w:ind w:left="4536"/>
      <w:jc w:val="center"/>
    </w:pPr>
    <w:rPr>
      <w:rFonts w:ascii="Times New Roman" w:hAnsi="Times New Roman"/>
      <w:sz w:val="24"/>
    </w:rPr>
  </w:style>
  <w:style w:type="paragraph" w:customStyle="1" w:styleId="decisionpara">
    <w:name w:val="decision para"/>
    <w:basedOn w:val="Normal"/>
    <w:rsid w:val="00A40711"/>
    <w:pPr>
      <w:spacing w:line="240" w:lineRule="atLeast"/>
      <w:ind w:left="4536"/>
      <w:outlineLvl w:val="0"/>
    </w:pPr>
    <w:rPr>
      <w:rFonts w:ascii="Times New Roman" w:hAnsi="Times New Roman"/>
      <w:i/>
      <w:sz w:val="24"/>
    </w:rPr>
  </w:style>
  <w:style w:type="character" w:customStyle="1" w:styleId="HeaderChar">
    <w:name w:val="Header Char"/>
    <w:basedOn w:val="DefaultParagraphFont"/>
    <w:link w:val="Header"/>
    <w:uiPriority w:val="99"/>
    <w:rsid w:val="000008ED"/>
    <w:rPr>
      <w:rFonts w:ascii="Arial" w:hAnsi="Arial"/>
      <w:lang w:val="fr-FR"/>
    </w:rPr>
  </w:style>
  <w:style w:type="character" w:customStyle="1" w:styleId="FootnoteTextChar">
    <w:name w:val="Footnote Text Char"/>
    <w:basedOn w:val="DefaultParagraphFont"/>
    <w:link w:val="FootnoteText"/>
    <w:rsid w:val="00232A57"/>
    <w:rPr>
      <w:rFonts w:ascii="Arial" w:hAnsi="Arial"/>
      <w:sz w:val="16"/>
    </w:rPr>
  </w:style>
  <w:style w:type="paragraph" w:customStyle="1" w:styleId="quote1">
    <w:name w:val="quote1"/>
    <w:basedOn w:val="Normal"/>
    <w:semiHidden/>
    <w:rsid w:val="00006DDE"/>
    <w:pPr>
      <w:ind w:left="567" w:right="565" w:firstLine="567"/>
    </w:pPr>
    <w:rPr>
      <w:snapToGrid w:val="0"/>
      <w:sz w:val="22"/>
      <w:szCs w:val="22"/>
    </w:rPr>
  </w:style>
  <w:style w:type="paragraph" w:styleId="TOC6">
    <w:name w:val="toc 6"/>
    <w:basedOn w:val="Normal"/>
    <w:next w:val="Normal"/>
    <w:autoRedefine/>
    <w:rsid w:val="00006DDE"/>
    <w:pPr>
      <w:ind w:left="1200"/>
    </w:pPr>
  </w:style>
  <w:style w:type="paragraph" w:styleId="E-mailSignature">
    <w:name w:val="E-mail Signature"/>
    <w:basedOn w:val="Normal"/>
    <w:link w:val="E-mailSignatureChar"/>
    <w:rsid w:val="00006DDE"/>
  </w:style>
  <w:style w:type="character" w:customStyle="1" w:styleId="E-mailSignatureChar">
    <w:name w:val="E-mail Signature Char"/>
    <w:basedOn w:val="DefaultParagraphFont"/>
    <w:link w:val="E-mailSignature"/>
    <w:rsid w:val="00006DDE"/>
    <w:rPr>
      <w:rFonts w:ascii="Arial" w:hAnsi="Arial"/>
    </w:rPr>
  </w:style>
  <w:style w:type="character" w:styleId="Emphasis">
    <w:name w:val="Emphasis"/>
    <w:basedOn w:val="DefaultParagraphFont"/>
    <w:qFormat/>
    <w:rsid w:val="00006DDE"/>
    <w:rPr>
      <w:i/>
      <w:iCs/>
    </w:rPr>
  </w:style>
  <w:style w:type="paragraph" w:styleId="EnvelopeAddress">
    <w:name w:val="envelope address"/>
    <w:basedOn w:val="Normal"/>
    <w:rsid w:val="00006DDE"/>
    <w:pPr>
      <w:framePr w:w="7920" w:h="1980" w:hRule="exact" w:hSpace="180" w:wrap="auto" w:hAnchor="page" w:xAlign="center" w:yAlign="bottom"/>
      <w:ind w:left="2880"/>
    </w:pPr>
    <w:rPr>
      <w:rFonts w:cs="Arial"/>
      <w:szCs w:val="24"/>
    </w:rPr>
  </w:style>
  <w:style w:type="paragraph" w:styleId="EnvelopeReturn">
    <w:name w:val="envelope return"/>
    <w:basedOn w:val="Normal"/>
    <w:rsid w:val="00006DDE"/>
    <w:rPr>
      <w:rFonts w:cs="Arial"/>
    </w:rPr>
  </w:style>
  <w:style w:type="character" w:styleId="HTMLAcronym">
    <w:name w:val="HTML Acronym"/>
    <w:basedOn w:val="DefaultParagraphFont"/>
    <w:rsid w:val="00006DDE"/>
  </w:style>
  <w:style w:type="paragraph" w:styleId="HTMLAddress">
    <w:name w:val="HTML Address"/>
    <w:basedOn w:val="Normal"/>
    <w:link w:val="HTMLAddressChar"/>
    <w:rsid w:val="00006DDE"/>
    <w:rPr>
      <w:i/>
      <w:iCs/>
    </w:rPr>
  </w:style>
  <w:style w:type="character" w:customStyle="1" w:styleId="HTMLAddressChar">
    <w:name w:val="HTML Address Char"/>
    <w:basedOn w:val="DefaultParagraphFont"/>
    <w:link w:val="HTMLAddress"/>
    <w:rsid w:val="00006DDE"/>
    <w:rPr>
      <w:rFonts w:ascii="Arial" w:hAnsi="Arial"/>
      <w:i/>
      <w:iCs/>
    </w:rPr>
  </w:style>
  <w:style w:type="character" w:styleId="HTMLCite">
    <w:name w:val="HTML Cite"/>
    <w:basedOn w:val="DefaultParagraphFont"/>
    <w:rsid w:val="00006DDE"/>
    <w:rPr>
      <w:i/>
      <w:iCs/>
    </w:rPr>
  </w:style>
  <w:style w:type="character" w:styleId="HTMLCode">
    <w:name w:val="HTML Code"/>
    <w:basedOn w:val="DefaultParagraphFont"/>
    <w:rsid w:val="00006DDE"/>
    <w:rPr>
      <w:rFonts w:ascii="Courier New" w:hAnsi="Courier New" w:cs="Courier New"/>
      <w:sz w:val="20"/>
      <w:szCs w:val="20"/>
    </w:rPr>
  </w:style>
  <w:style w:type="character" w:styleId="HTMLDefinition">
    <w:name w:val="HTML Definition"/>
    <w:basedOn w:val="DefaultParagraphFont"/>
    <w:rsid w:val="00006DDE"/>
    <w:rPr>
      <w:i/>
      <w:iCs/>
    </w:rPr>
  </w:style>
  <w:style w:type="character" w:styleId="HTMLKeyboard">
    <w:name w:val="HTML Keyboard"/>
    <w:basedOn w:val="DefaultParagraphFont"/>
    <w:rsid w:val="00006DDE"/>
    <w:rPr>
      <w:rFonts w:ascii="Courier New" w:hAnsi="Courier New" w:cs="Courier New"/>
      <w:sz w:val="20"/>
      <w:szCs w:val="20"/>
    </w:rPr>
  </w:style>
  <w:style w:type="paragraph" w:styleId="HTMLPreformatted">
    <w:name w:val="HTML Preformatted"/>
    <w:basedOn w:val="Normal"/>
    <w:link w:val="HTMLPreformattedChar"/>
    <w:rsid w:val="00006DDE"/>
    <w:rPr>
      <w:rFonts w:ascii="Courier New" w:hAnsi="Courier New" w:cs="Courier New"/>
    </w:rPr>
  </w:style>
  <w:style w:type="character" w:customStyle="1" w:styleId="HTMLPreformattedChar">
    <w:name w:val="HTML Preformatted Char"/>
    <w:basedOn w:val="DefaultParagraphFont"/>
    <w:link w:val="HTMLPreformatted"/>
    <w:rsid w:val="00006DDE"/>
    <w:rPr>
      <w:rFonts w:ascii="Courier New" w:hAnsi="Courier New" w:cs="Courier New"/>
    </w:rPr>
  </w:style>
  <w:style w:type="character" w:styleId="HTMLSample">
    <w:name w:val="HTML Sample"/>
    <w:basedOn w:val="DefaultParagraphFont"/>
    <w:rsid w:val="00006DDE"/>
    <w:rPr>
      <w:rFonts w:ascii="Courier New" w:hAnsi="Courier New" w:cs="Courier New"/>
    </w:rPr>
  </w:style>
  <w:style w:type="character" w:styleId="HTMLTypewriter">
    <w:name w:val="HTML Typewriter"/>
    <w:basedOn w:val="DefaultParagraphFont"/>
    <w:rsid w:val="00006DDE"/>
    <w:rPr>
      <w:rFonts w:ascii="Courier New" w:hAnsi="Courier New" w:cs="Courier New"/>
      <w:sz w:val="20"/>
      <w:szCs w:val="20"/>
    </w:rPr>
  </w:style>
  <w:style w:type="character" w:styleId="HTMLVariable">
    <w:name w:val="HTML Variable"/>
    <w:basedOn w:val="DefaultParagraphFont"/>
    <w:rsid w:val="00006DDE"/>
    <w:rPr>
      <w:i/>
      <w:iCs/>
    </w:rPr>
  </w:style>
  <w:style w:type="character" w:styleId="LineNumber">
    <w:name w:val="line number"/>
    <w:basedOn w:val="DefaultParagraphFont"/>
    <w:rsid w:val="00006DDE"/>
  </w:style>
  <w:style w:type="paragraph" w:styleId="List">
    <w:name w:val="List"/>
    <w:basedOn w:val="Normal"/>
    <w:rsid w:val="00006DDE"/>
    <w:pPr>
      <w:ind w:left="360" w:hanging="360"/>
    </w:pPr>
  </w:style>
  <w:style w:type="paragraph" w:styleId="List2">
    <w:name w:val="List 2"/>
    <w:basedOn w:val="Normal"/>
    <w:rsid w:val="00006DDE"/>
    <w:pPr>
      <w:ind w:left="720" w:hanging="360"/>
    </w:pPr>
  </w:style>
  <w:style w:type="paragraph" w:styleId="List3">
    <w:name w:val="List 3"/>
    <w:basedOn w:val="Normal"/>
    <w:rsid w:val="00006DDE"/>
    <w:pPr>
      <w:ind w:left="1080" w:hanging="360"/>
    </w:pPr>
  </w:style>
  <w:style w:type="paragraph" w:styleId="List4">
    <w:name w:val="List 4"/>
    <w:basedOn w:val="Normal"/>
    <w:rsid w:val="00006DDE"/>
    <w:pPr>
      <w:ind w:left="1440" w:hanging="360"/>
    </w:pPr>
  </w:style>
  <w:style w:type="paragraph" w:styleId="List5">
    <w:name w:val="List 5"/>
    <w:basedOn w:val="Normal"/>
    <w:rsid w:val="00006DDE"/>
    <w:pPr>
      <w:ind w:left="1800" w:hanging="360"/>
    </w:pPr>
  </w:style>
  <w:style w:type="paragraph" w:styleId="ListBullet2">
    <w:name w:val="List Bullet 2"/>
    <w:basedOn w:val="Normal"/>
    <w:rsid w:val="00006DDE"/>
    <w:pPr>
      <w:tabs>
        <w:tab w:val="num" w:pos="720"/>
      </w:tabs>
      <w:ind w:left="720" w:hanging="360"/>
    </w:pPr>
  </w:style>
  <w:style w:type="paragraph" w:styleId="ListBullet3">
    <w:name w:val="List Bullet 3"/>
    <w:basedOn w:val="Normal"/>
    <w:rsid w:val="00006DDE"/>
    <w:pPr>
      <w:tabs>
        <w:tab w:val="num" w:pos="1080"/>
      </w:tabs>
      <w:ind w:left="1080" w:hanging="360"/>
    </w:pPr>
  </w:style>
  <w:style w:type="paragraph" w:styleId="ListBullet4">
    <w:name w:val="List Bullet 4"/>
    <w:basedOn w:val="Normal"/>
    <w:rsid w:val="00006DDE"/>
    <w:pPr>
      <w:tabs>
        <w:tab w:val="num" w:pos="1440"/>
      </w:tabs>
      <w:ind w:left="1440" w:hanging="360"/>
    </w:pPr>
  </w:style>
  <w:style w:type="paragraph" w:styleId="ListBullet5">
    <w:name w:val="List Bullet 5"/>
    <w:basedOn w:val="Normal"/>
    <w:rsid w:val="00006DDE"/>
    <w:pPr>
      <w:tabs>
        <w:tab w:val="num" w:pos="1800"/>
      </w:tabs>
      <w:ind w:left="1800" w:hanging="360"/>
    </w:pPr>
  </w:style>
  <w:style w:type="paragraph" w:styleId="ListContinue">
    <w:name w:val="List Continue"/>
    <w:basedOn w:val="Normal"/>
    <w:rsid w:val="00006DDE"/>
    <w:pPr>
      <w:spacing w:after="120"/>
      <w:ind w:left="360"/>
    </w:pPr>
  </w:style>
  <w:style w:type="paragraph" w:styleId="ListContinue2">
    <w:name w:val="List Continue 2"/>
    <w:basedOn w:val="Normal"/>
    <w:rsid w:val="00006DDE"/>
    <w:pPr>
      <w:spacing w:after="120"/>
      <w:ind w:left="720"/>
    </w:pPr>
  </w:style>
  <w:style w:type="paragraph" w:styleId="ListContinue3">
    <w:name w:val="List Continue 3"/>
    <w:basedOn w:val="Normal"/>
    <w:rsid w:val="00006DDE"/>
    <w:pPr>
      <w:spacing w:after="120"/>
      <w:ind w:left="1080"/>
    </w:pPr>
  </w:style>
  <w:style w:type="paragraph" w:styleId="ListContinue4">
    <w:name w:val="List Continue 4"/>
    <w:basedOn w:val="Normal"/>
    <w:rsid w:val="00006DDE"/>
    <w:pPr>
      <w:spacing w:after="120"/>
      <w:ind w:left="1440"/>
    </w:pPr>
  </w:style>
  <w:style w:type="paragraph" w:styleId="ListContinue5">
    <w:name w:val="List Continue 5"/>
    <w:basedOn w:val="Normal"/>
    <w:rsid w:val="00006DDE"/>
    <w:pPr>
      <w:spacing w:after="120"/>
      <w:ind w:left="1800"/>
    </w:pPr>
  </w:style>
  <w:style w:type="paragraph" w:styleId="ListNumber">
    <w:name w:val="List Number"/>
    <w:basedOn w:val="Normal"/>
    <w:rsid w:val="00006DDE"/>
    <w:pPr>
      <w:tabs>
        <w:tab w:val="num" w:pos="360"/>
      </w:tabs>
      <w:ind w:left="360" w:hanging="360"/>
    </w:pPr>
  </w:style>
  <w:style w:type="paragraph" w:styleId="ListNumber2">
    <w:name w:val="List Number 2"/>
    <w:basedOn w:val="Normal"/>
    <w:rsid w:val="00006DDE"/>
    <w:pPr>
      <w:tabs>
        <w:tab w:val="num" w:pos="720"/>
      </w:tabs>
      <w:ind w:left="720" w:hanging="360"/>
    </w:pPr>
  </w:style>
  <w:style w:type="paragraph" w:styleId="ListNumber3">
    <w:name w:val="List Number 3"/>
    <w:basedOn w:val="Normal"/>
    <w:rsid w:val="00006DDE"/>
    <w:pPr>
      <w:tabs>
        <w:tab w:val="num" w:pos="1080"/>
      </w:tabs>
      <w:ind w:left="1080" w:hanging="360"/>
    </w:pPr>
  </w:style>
  <w:style w:type="paragraph" w:styleId="ListNumber4">
    <w:name w:val="List Number 4"/>
    <w:basedOn w:val="Normal"/>
    <w:rsid w:val="00006DDE"/>
    <w:pPr>
      <w:tabs>
        <w:tab w:val="num" w:pos="1440"/>
      </w:tabs>
      <w:ind w:left="1440" w:hanging="360"/>
    </w:pPr>
  </w:style>
  <w:style w:type="paragraph" w:styleId="ListNumber5">
    <w:name w:val="List Number 5"/>
    <w:basedOn w:val="Normal"/>
    <w:rsid w:val="00006DDE"/>
    <w:pPr>
      <w:tabs>
        <w:tab w:val="num" w:pos="1800"/>
      </w:tabs>
      <w:ind w:left="1800" w:hanging="360"/>
    </w:pPr>
  </w:style>
  <w:style w:type="paragraph" w:styleId="MessageHeader">
    <w:name w:val="Message Header"/>
    <w:basedOn w:val="Normal"/>
    <w:link w:val="MessageHeaderChar"/>
    <w:rsid w:val="00006DDE"/>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006DDE"/>
    <w:rPr>
      <w:rFonts w:ascii="Arial" w:hAnsi="Arial" w:cs="Arial"/>
      <w:szCs w:val="24"/>
      <w:shd w:val="pct20" w:color="auto" w:fill="auto"/>
    </w:rPr>
  </w:style>
  <w:style w:type="paragraph" w:styleId="NoteHeading">
    <w:name w:val="Note Heading"/>
    <w:basedOn w:val="Normal"/>
    <w:next w:val="Normal"/>
    <w:link w:val="NoteHeadingChar"/>
    <w:rsid w:val="00006DDE"/>
  </w:style>
  <w:style w:type="character" w:customStyle="1" w:styleId="NoteHeadingChar">
    <w:name w:val="Note Heading Char"/>
    <w:basedOn w:val="DefaultParagraphFont"/>
    <w:link w:val="NoteHeading"/>
    <w:rsid w:val="00006DDE"/>
    <w:rPr>
      <w:rFonts w:ascii="Arial" w:hAnsi="Arial"/>
    </w:rPr>
  </w:style>
  <w:style w:type="paragraph" w:styleId="Salutation">
    <w:name w:val="Salutation"/>
    <w:basedOn w:val="Normal"/>
    <w:next w:val="Normal"/>
    <w:link w:val="SalutationChar"/>
    <w:rsid w:val="00006DDE"/>
  </w:style>
  <w:style w:type="character" w:customStyle="1" w:styleId="SalutationChar">
    <w:name w:val="Salutation Char"/>
    <w:basedOn w:val="DefaultParagraphFont"/>
    <w:link w:val="Salutation"/>
    <w:rsid w:val="00006DDE"/>
    <w:rPr>
      <w:rFonts w:ascii="Arial" w:hAnsi="Arial"/>
    </w:rPr>
  </w:style>
  <w:style w:type="character" w:styleId="Strong">
    <w:name w:val="Strong"/>
    <w:basedOn w:val="DefaultParagraphFont"/>
    <w:qFormat/>
    <w:rsid w:val="00006DDE"/>
    <w:rPr>
      <w:b/>
      <w:bCs/>
    </w:rPr>
  </w:style>
  <w:style w:type="paragraph" w:styleId="Subtitle">
    <w:name w:val="Subtitle"/>
    <w:basedOn w:val="Normal"/>
    <w:link w:val="SubtitleChar"/>
    <w:qFormat/>
    <w:rsid w:val="00006DDE"/>
    <w:pPr>
      <w:spacing w:after="60"/>
      <w:jc w:val="center"/>
      <w:outlineLvl w:val="1"/>
    </w:pPr>
    <w:rPr>
      <w:rFonts w:cs="Arial"/>
      <w:szCs w:val="24"/>
    </w:rPr>
  </w:style>
  <w:style w:type="character" w:customStyle="1" w:styleId="SubtitleChar">
    <w:name w:val="Subtitle Char"/>
    <w:basedOn w:val="DefaultParagraphFont"/>
    <w:link w:val="Subtitle"/>
    <w:rsid w:val="00006DDE"/>
    <w:rPr>
      <w:rFonts w:ascii="Arial" w:hAnsi="Arial" w:cs="Arial"/>
      <w:szCs w:val="24"/>
    </w:rPr>
  </w:style>
  <w:style w:type="table" w:styleId="Table3Deffects1">
    <w:name w:val="Table 3D effects 1"/>
    <w:basedOn w:val="TableNormal"/>
    <w:rsid w:val="00006DD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06DD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06DD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06DD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06DD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06DD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06DD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06DD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06DD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06DD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06DD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06DD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06DD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06DD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06DD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06DD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06DD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06DD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06DD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06DD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06DD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06DD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06DD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06DD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06DD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06DD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06DD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06DD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06DD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06DD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06DD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006DD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06DD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06DD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06DD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06DD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06DD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06DD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06DD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06DD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06DD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06DDE"/>
    <w:pPr>
      <w:ind w:left="1440"/>
    </w:pPr>
  </w:style>
  <w:style w:type="paragraph" w:styleId="TOC8">
    <w:name w:val="toc 8"/>
    <w:basedOn w:val="Normal"/>
    <w:next w:val="Normal"/>
    <w:autoRedefine/>
    <w:rsid w:val="00006DDE"/>
    <w:pPr>
      <w:ind w:left="1680"/>
    </w:pPr>
  </w:style>
  <w:style w:type="paragraph" w:styleId="TOC9">
    <w:name w:val="toc 9"/>
    <w:basedOn w:val="Normal"/>
    <w:next w:val="Normal"/>
    <w:autoRedefine/>
    <w:rsid w:val="00006DDE"/>
    <w:pPr>
      <w:ind w:left="1920"/>
    </w:pPr>
  </w:style>
  <w:style w:type="paragraph" w:styleId="Caption">
    <w:name w:val="caption"/>
    <w:basedOn w:val="Normal"/>
    <w:next w:val="Normal"/>
    <w:qFormat/>
    <w:rsid w:val="00006DDE"/>
    <w:pPr>
      <w:framePr w:w="11102" w:hSpace="181" w:wrap="around" w:vAnchor="page" w:hAnchor="page" w:x="438" w:y="15985" w:anchorLock="1"/>
      <w:jc w:val="center"/>
    </w:pPr>
    <w:rPr>
      <w:b/>
      <w:snapToGrid w:val="0"/>
    </w:rPr>
  </w:style>
  <w:style w:type="paragraph" w:customStyle="1" w:styleId="Chapter">
    <w:name w:val="Chapter"/>
    <w:basedOn w:val="Normal"/>
    <w:semiHidden/>
    <w:rsid w:val="00006DDE"/>
    <w:pPr>
      <w:jc w:val="center"/>
    </w:pPr>
    <w:rPr>
      <w:b/>
      <w:caps/>
      <w:szCs w:val="24"/>
    </w:rPr>
  </w:style>
  <w:style w:type="paragraph" w:customStyle="1" w:styleId="Notetoarticle">
    <w:name w:val="Note to article"/>
    <w:basedOn w:val="Normal"/>
    <w:semiHidden/>
    <w:rsid w:val="00006DDE"/>
  </w:style>
  <w:style w:type="character" w:styleId="CommentReference">
    <w:name w:val="annotation reference"/>
    <w:basedOn w:val="DefaultParagraphFont"/>
    <w:rsid w:val="00006DDE"/>
    <w:rPr>
      <w:rFonts w:cs="Times New Roman"/>
      <w:sz w:val="16"/>
      <w:szCs w:val="16"/>
    </w:rPr>
  </w:style>
  <w:style w:type="paragraph" w:styleId="Revision">
    <w:name w:val="Revision"/>
    <w:hidden/>
    <w:uiPriority w:val="99"/>
    <w:semiHidden/>
    <w:rsid w:val="00006DDE"/>
    <w:rPr>
      <w:rFonts w:ascii="Arial" w:hAnsi="Arial"/>
    </w:rPr>
  </w:style>
  <w:style w:type="paragraph" w:styleId="CommentSubject">
    <w:name w:val="annotation subject"/>
    <w:basedOn w:val="CommentText"/>
    <w:next w:val="CommentText"/>
    <w:link w:val="CommentSubjectChar"/>
    <w:rsid w:val="00006DDE"/>
    <w:rPr>
      <w:b/>
      <w:bCs/>
      <w:sz w:val="20"/>
      <w:lang w:val="en-US"/>
    </w:rPr>
  </w:style>
  <w:style w:type="character" w:customStyle="1" w:styleId="CommentSubjectChar">
    <w:name w:val="Comment Subject Char"/>
    <w:basedOn w:val="CommentTextChar"/>
    <w:link w:val="CommentSubject"/>
    <w:rsid w:val="00006DDE"/>
    <w:rPr>
      <w:rFonts w:ascii="Arial" w:hAnsi="Arial"/>
      <w:b/>
      <w:bCs/>
      <w:sz w:val="22"/>
      <w:lang w:val="es-ES_tradnl"/>
    </w:rPr>
  </w:style>
  <w:style w:type="paragraph" w:customStyle="1" w:styleId="Normaltg">
    <w:name w:val="Normaltg"/>
    <w:basedOn w:val="Normal"/>
    <w:link w:val="NormaltgChar"/>
    <w:rsid w:val="00006DDE"/>
    <w:rPr>
      <w:rFonts w:cs="Angsana New"/>
      <w:szCs w:val="24"/>
      <w:lang w:eastAsia="ja-JP" w:bidi="th-TH"/>
    </w:rPr>
  </w:style>
  <w:style w:type="character" w:customStyle="1" w:styleId="NormaltgChar">
    <w:name w:val="Normaltg Char"/>
    <w:link w:val="Normaltg"/>
    <w:rsid w:val="00006DDE"/>
    <w:rPr>
      <w:rFonts w:ascii="Arial" w:hAnsi="Arial" w:cs="Angsana New"/>
      <w:szCs w:val="24"/>
      <w:lang w:eastAsia="ja-JP" w:bidi="th-TH"/>
    </w:rPr>
  </w:style>
  <w:style w:type="character" w:customStyle="1" w:styleId="Heading5Char">
    <w:name w:val="Heading 5 Char"/>
    <w:link w:val="Heading5"/>
    <w:rsid w:val="003951FA"/>
    <w:rPr>
      <w:rFonts w:ascii="Arial" w:hAnsi="Arial" w:cs="Arial"/>
      <w:snapToGrid w:val="0"/>
      <w:color w:val="008000"/>
      <w:u w:val="single"/>
      <w:lang w:val="fr-FR"/>
    </w:rPr>
  </w:style>
  <w:style w:type="character" w:customStyle="1" w:styleId="hps">
    <w:name w:val="hps"/>
    <w:basedOn w:val="DefaultParagraphFont"/>
    <w:rsid w:val="00520DC8"/>
  </w:style>
  <w:style w:type="character" w:customStyle="1" w:styleId="Standaardalinea-lettertype">
    <w:name w:val="Standaardalinea-lettertype"/>
    <w:rsid w:val="00520DC8"/>
  </w:style>
  <w:style w:type="character" w:customStyle="1" w:styleId="shorttext">
    <w:name w:val="short_text"/>
    <w:basedOn w:val="DefaultParagraphFont"/>
    <w:rsid w:val="00A75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76694">
      <w:bodyDiv w:val="1"/>
      <w:marLeft w:val="0"/>
      <w:marRight w:val="0"/>
      <w:marTop w:val="0"/>
      <w:marBottom w:val="0"/>
      <w:divBdr>
        <w:top w:val="none" w:sz="0" w:space="0" w:color="auto"/>
        <w:left w:val="none" w:sz="0" w:space="0" w:color="auto"/>
        <w:bottom w:val="none" w:sz="0" w:space="0" w:color="auto"/>
        <w:right w:val="none" w:sz="0" w:space="0" w:color="auto"/>
      </w:divBdr>
    </w:div>
    <w:div w:id="240330653">
      <w:bodyDiv w:val="1"/>
      <w:marLeft w:val="0"/>
      <w:marRight w:val="0"/>
      <w:marTop w:val="0"/>
      <w:marBottom w:val="0"/>
      <w:divBdr>
        <w:top w:val="none" w:sz="0" w:space="0" w:color="auto"/>
        <w:left w:val="none" w:sz="0" w:space="0" w:color="auto"/>
        <w:bottom w:val="none" w:sz="0" w:space="0" w:color="auto"/>
        <w:right w:val="none" w:sz="0" w:space="0" w:color="auto"/>
      </w:divBdr>
    </w:div>
    <w:div w:id="247613932">
      <w:bodyDiv w:val="1"/>
      <w:marLeft w:val="0"/>
      <w:marRight w:val="0"/>
      <w:marTop w:val="0"/>
      <w:marBottom w:val="0"/>
      <w:divBdr>
        <w:top w:val="none" w:sz="0" w:space="0" w:color="auto"/>
        <w:left w:val="none" w:sz="0" w:space="0" w:color="auto"/>
        <w:bottom w:val="none" w:sz="0" w:space="0" w:color="auto"/>
        <w:right w:val="none" w:sz="0" w:space="0" w:color="auto"/>
      </w:divBdr>
    </w:div>
    <w:div w:id="258683170">
      <w:bodyDiv w:val="1"/>
      <w:marLeft w:val="0"/>
      <w:marRight w:val="0"/>
      <w:marTop w:val="0"/>
      <w:marBottom w:val="0"/>
      <w:divBdr>
        <w:top w:val="none" w:sz="0" w:space="0" w:color="auto"/>
        <w:left w:val="none" w:sz="0" w:space="0" w:color="auto"/>
        <w:bottom w:val="none" w:sz="0" w:space="0" w:color="auto"/>
        <w:right w:val="none" w:sz="0" w:space="0" w:color="auto"/>
      </w:divBdr>
    </w:div>
    <w:div w:id="261769243">
      <w:bodyDiv w:val="1"/>
      <w:marLeft w:val="0"/>
      <w:marRight w:val="0"/>
      <w:marTop w:val="0"/>
      <w:marBottom w:val="0"/>
      <w:divBdr>
        <w:top w:val="none" w:sz="0" w:space="0" w:color="auto"/>
        <w:left w:val="none" w:sz="0" w:space="0" w:color="auto"/>
        <w:bottom w:val="none" w:sz="0" w:space="0" w:color="auto"/>
        <w:right w:val="none" w:sz="0" w:space="0" w:color="auto"/>
      </w:divBdr>
    </w:div>
    <w:div w:id="331493812">
      <w:bodyDiv w:val="1"/>
      <w:marLeft w:val="0"/>
      <w:marRight w:val="0"/>
      <w:marTop w:val="0"/>
      <w:marBottom w:val="0"/>
      <w:divBdr>
        <w:top w:val="none" w:sz="0" w:space="0" w:color="auto"/>
        <w:left w:val="none" w:sz="0" w:space="0" w:color="auto"/>
        <w:bottom w:val="none" w:sz="0" w:space="0" w:color="auto"/>
        <w:right w:val="none" w:sz="0" w:space="0" w:color="auto"/>
      </w:divBdr>
    </w:div>
    <w:div w:id="350764612">
      <w:bodyDiv w:val="1"/>
      <w:marLeft w:val="0"/>
      <w:marRight w:val="0"/>
      <w:marTop w:val="0"/>
      <w:marBottom w:val="0"/>
      <w:divBdr>
        <w:top w:val="none" w:sz="0" w:space="0" w:color="auto"/>
        <w:left w:val="none" w:sz="0" w:space="0" w:color="auto"/>
        <w:bottom w:val="none" w:sz="0" w:space="0" w:color="auto"/>
        <w:right w:val="none" w:sz="0" w:space="0" w:color="auto"/>
      </w:divBdr>
    </w:div>
    <w:div w:id="431323978">
      <w:bodyDiv w:val="1"/>
      <w:marLeft w:val="0"/>
      <w:marRight w:val="0"/>
      <w:marTop w:val="0"/>
      <w:marBottom w:val="0"/>
      <w:divBdr>
        <w:top w:val="none" w:sz="0" w:space="0" w:color="auto"/>
        <w:left w:val="none" w:sz="0" w:space="0" w:color="auto"/>
        <w:bottom w:val="none" w:sz="0" w:space="0" w:color="auto"/>
        <w:right w:val="none" w:sz="0" w:space="0" w:color="auto"/>
      </w:divBdr>
    </w:div>
    <w:div w:id="439761548">
      <w:bodyDiv w:val="1"/>
      <w:marLeft w:val="0"/>
      <w:marRight w:val="0"/>
      <w:marTop w:val="0"/>
      <w:marBottom w:val="0"/>
      <w:divBdr>
        <w:top w:val="none" w:sz="0" w:space="0" w:color="auto"/>
        <w:left w:val="none" w:sz="0" w:space="0" w:color="auto"/>
        <w:bottom w:val="none" w:sz="0" w:space="0" w:color="auto"/>
        <w:right w:val="none" w:sz="0" w:space="0" w:color="auto"/>
      </w:divBdr>
    </w:div>
    <w:div w:id="480080480">
      <w:bodyDiv w:val="1"/>
      <w:marLeft w:val="0"/>
      <w:marRight w:val="0"/>
      <w:marTop w:val="0"/>
      <w:marBottom w:val="0"/>
      <w:divBdr>
        <w:top w:val="none" w:sz="0" w:space="0" w:color="auto"/>
        <w:left w:val="none" w:sz="0" w:space="0" w:color="auto"/>
        <w:bottom w:val="none" w:sz="0" w:space="0" w:color="auto"/>
        <w:right w:val="none" w:sz="0" w:space="0" w:color="auto"/>
      </w:divBdr>
    </w:div>
    <w:div w:id="637497206">
      <w:bodyDiv w:val="1"/>
      <w:marLeft w:val="0"/>
      <w:marRight w:val="0"/>
      <w:marTop w:val="0"/>
      <w:marBottom w:val="0"/>
      <w:divBdr>
        <w:top w:val="none" w:sz="0" w:space="0" w:color="auto"/>
        <w:left w:val="none" w:sz="0" w:space="0" w:color="auto"/>
        <w:bottom w:val="none" w:sz="0" w:space="0" w:color="auto"/>
        <w:right w:val="none" w:sz="0" w:space="0" w:color="auto"/>
      </w:divBdr>
    </w:div>
    <w:div w:id="645017558">
      <w:bodyDiv w:val="1"/>
      <w:marLeft w:val="0"/>
      <w:marRight w:val="0"/>
      <w:marTop w:val="0"/>
      <w:marBottom w:val="0"/>
      <w:divBdr>
        <w:top w:val="none" w:sz="0" w:space="0" w:color="auto"/>
        <w:left w:val="none" w:sz="0" w:space="0" w:color="auto"/>
        <w:bottom w:val="none" w:sz="0" w:space="0" w:color="auto"/>
        <w:right w:val="none" w:sz="0" w:space="0" w:color="auto"/>
      </w:divBdr>
    </w:div>
    <w:div w:id="647631286">
      <w:bodyDiv w:val="1"/>
      <w:marLeft w:val="0"/>
      <w:marRight w:val="0"/>
      <w:marTop w:val="0"/>
      <w:marBottom w:val="0"/>
      <w:divBdr>
        <w:top w:val="none" w:sz="0" w:space="0" w:color="auto"/>
        <w:left w:val="none" w:sz="0" w:space="0" w:color="auto"/>
        <w:bottom w:val="none" w:sz="0" w:space="0" w:color="auto"/>
        <w:right w:val="none" w:sz="0" w:space="0" w:color="auto"/>
      </w:divBdr>
    </w:div>
    <w:div w:id="721169840">
      <w:bodyDiv w:val="1"/>
      <w:marLeft w:val="0"/>
      <w:marRight w:val="0"/>
      <w:marTop w:val="0"/>
      <w:marBottom w:val="0"/>
      <w:divBdr>
        <w:top w:val="none" w:sz="0" w:space="0" w:color="auto"/>
        <w:left w:val="none" w:sz="0" w:space="0" w:color="auto"/>
        <w:bottom w:val="none" w:sz="0" w:space="0" w:color="auto"/>
        <w:right w:val="none" w:sz="0" w:space="0" w:color="auto"/>
      </w:divBdr>
    </w:div>
    <w:div w:id="786780318">
      <w:bodyDiv w:val="1"/>
      <w:marLeft w:val="0"/>
      <w:marRight w:val="0"/>
      <w:marTop w:val="0"/>
      <w:marBottom w:val="0"/>
      <w:divBdr>
        <w:top w:val="none" w:sz="0" w:space="0" w:color="auto"/>
        <w:left w:val="none" w:sz="0" w:space="0" w:color="auto"/>
        <w:bottom w:val="none" w:sz="0" w:space="0" w:color="auto"/>
        <w:right w:val="none" w:sz="0" w:space="0" w:color="auto"/>
      </w:divBdr>
    </w:div>
    <w:div w:id="893349642">
      <w:bodyDiv w:val="1"/>
      <w:marLeft w:val="0"/>
      <w:marRight w:val="0"/>
      <w:marTop w:val="0"/>
      <w:marBottom w:val="0"/>
      <w:divBdr>
        <w:top w:val="none" w:sz="0" w:space="0" w:color="auto"/>
        <w:left w:val="none" w:sz="0" w:space="0" w:color="auto"/>
        <w:bottom w:val="none" w:sz="0" w:space="0" w:color="auto"/>
        <w:right w:val="none" w:sz="0" w:space="0" w:color="auto"/>
      </w:divBdr>
    </w:div>
    <w:div w:id="960233841">
      <w:bodyDiv w:val="1"/>
      <w:marLeft w:val="0"/>
      <w:marRight w:val="0"/>
      <w:marTop w:val="0"/>
      <w:marBottom w:val="0"/>
      <w:divBdr>
        <w:top w:val="none" w:sz="0" w:space="0" w:color="auto"/>
        <w:left w:val="none" w:sz="0" w:space="0" w:color="auto"/>
        <w:bottom w:val="none" w:sz="0" w:space="0" w:color="auto"/>
        <w:right w:val="none" w:sz="0" w:space="0" w:color="auto"/>
      </w:divBdr>
    </w:div>
    <w:div w:id="1035813576">
      <w:bodyDiv w:val="1"/>
      <w:marLeft w:val="0"/>
      <w:marRight w:val="0"/>
      <w:marTop w:val="0"/>
      <w:marBottom w:val="0"/>
      <w:divBdr>
        <w:top w:val="none" w:sz="0" w:space="0" w:color="auto"/>
        <w:left w:val="none" w:sz="0" w:space="0" w:color="auto"/>
        <w:bottom w:val="none" w:sz="0" w:space="0" w:color="auto"/>
        <w:right w:val="none" w:sz="0" w:space="0" w:color="auto"/>
      </w:divBdr>
    </w:div>
    <w:div w:id="1167482704">
      <w:bodyDiv w:val="1"/>
      <w:marLeft w:val="0"/>
      <w:marRight w:val="0"/>
      <w:marTop w:val="0"/>
      <w:marBottom w:val="0"/>
      <w:divBdr>
        <w:top w:val="none" w:sz="0" w:space="0" w:color="auto"/>
        <w:left w:val="none" w:sz="0" w:space="0" w:color="auto"/>
        <w:bottom w:val="none" w:sz="0" w:space="0" w:color="auto"/>
        <w:right w:val="none" w:sz="0" w:space="0" w:color="auto"/>
      </w:divBdr>
    </w:div>
    <w:div w:id="1222714787">
      <w:bodyDiv w:val="1"/>
      <w:marLeft w:val="0"/>
      <w:marRight w:val="0"/>
      <w:marTop w:val="0"/>
      <w:marBottom w:val="0"/>
      <w:divBdr>
        <w:top w:val="none" w:sz="0" w:space="0" w:color="auto"/>
        <w:left w:val="none" w:sz="0" w:space="0" w:color="auto"/>
        <w:bottom w:val="none" w:sz="0" w:space="0" w:color="auto"/>
        <w:right w:val="none" w:sz="0" w:space="0" w:color="auto"/>
      </w:divBdr>
    </w:div>
    <w:div w:id="1351688116">
      <w:bodyDiv w:val="1"/>
      <w:marLeft w:val="0"/>
      <w:marRight w:val="0"/>
      <w:marTop w:val="0"/>
      <w:marBottom w:val="0"/>
      <w:divBdr>
        <w:top w:val="none" w:sz="0" w:space="0" w:color="auto"/>
        <w:left w:val="none" w:sz="0" w:space="0" w:color="auto"/>
        <w:bottom w:val="none" w:sz="0" w:space="0" w:color="auto"/>
        <w:right w:val="none" w:sz="0" w:space="0" w:color="auto"/>
      </w:divBdr>
    </w:div>
    <w:div w:id="1401631982">
      <w:bodyDiv w:val="1"/>
      <w:marLeft w:val="0"/>
      <w:marRight w:val="0"/>
      <w:marTop w:val="0"/>
      <w:marBottom w:val="0"/>
      <w:divBdr>
        <w:top w:val="none" w:sz="0" w:space="0" w:color="auto"/>
        <w:left w:val="none" w:sz="0" w:space="0" w:color="auto"/>
        <w:bottom w:val="none" w:sz="0" w:space="0" w:color="auto"/>
        <w:right w:val="none" w:sz="0" w:space="0" w:color="auto"/>
      </w:divBdr>
    </w:div>
    <w:div w:id="1413774428">
      <w:bodyDiv w:val="1"/>
      <w:marLeft w:val="0"/>
      <w:marRight w:val="0"/>
      <w:marTop w:val="0"/>
      <w:marBottom w:val="0"/>
      <w:divBdr>
        <w:top w:val="none" w:sz="0" w:space="0" w:color="auto"/>
        <w:left w:val="none" w:sz="0" w:space="0" w:color="auto"/>
        <w:bottom w:val="none" w:sz="0" w:space="0" w:color="auto"/>
        <w:right w:val="none" w:sz="0" w:space="0" w:color="auto"/>
      </w:divBdr>
    </w:div>
    <w:div w:id="1456220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ov.int/test_guidelines/fr/" TargetMode="External"/><Relationship Id="rId18" Type="http://schemas.openxmlformats.org/officeDocument/2006/relationships/hyperlink" Target="http://www.cropj.com/dewir_6_1_2012_23_30.pdf"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upov.int/edocs/tgpdocs/fr/tgp_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pov.int/test_guidelines/fr/list_supersede.j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C5116-3174-46C5-9D65-FCA08693A0E6}">
  <ds:schemaRefs>
    <ds:schemaRef ds:uri="http://schemas.openxmlformats.org/officeDocument/2006/bibliography"/>
  </ds:schemaRefs>
</ds:datastoreItem>
</file>

<file path=customXml/itemProps2.xml><?xml version="1.0" encoding="utf-8"?>
<ds:datastoreItem xmlns:ds="http://schemas.openxmlformats.org/officeDocument/2006/customXml" ds:itemID="{C4EA51D6-2A70-4BF5-BAE8-BDFC87C71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60</Pages>
  <Words>29983</Words>
  <Characters>169656</Characters>
  <Application>Microsoft Office Word</Application>
  <DocSecurity>0</DocSecurity>
  <Lines>1413</Lines>
  <Paragraphs>398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199241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keywords>NGR/ko</cp:keywords>
  <cp:lastModifiedBy>SANCHEZ-VIZCAINO GOMEZ Rosa Maria</cp:lastModifiedBy>
  <cp:revision>38</cp:revision>
  <cp:lastPrinted>2015-11-13T09:21:00Z</cp:lastPrinted>
  <dcterms:created xsi:type="dcterms:W3CDTF">2015-04-08T08:01:00Z</dcterms:created>
  <dcterms:modified xsi:type="dcterms:W3CDTF">2015-11-13T09:21:00Z</dcterms:modified>
</cp:coreProperties>
</file>