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B14750" w:rsidRPr="00A66BF2" w:rsidTr="00AF4E5A">
        <w:trPr>
          <w:trHeight w:val="1760"/>
        </w:trPr>
        <w:tc>
          <w:tcPr>
            <w:tcW w:w="4243" w:type="dxa"/>
          </w:tcPr>
          <w:p w:rsidR="00B14750" w:rsidRPr="00097FE6" w:rsidRDefault="00B14750" w:rsidP="00AF4E5A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B14750" w:rsidRPr="00097FE6" w:rsidRDefault="00B14750" w:rsidP="00AF4E5A">
            <w:pPr>
              <w:pStyle w:val="LogoUPOV"/>
              <w:rPr>
                <w:lang w:val="fr-FR"/>
              </w:rPr>
            </w:pPr>
            <w:r w:rsidRPr="00097FE6">
              <w:rPr>
                <w:noProof/>
              </w:rPr>
              <w:drawing>
                <wp:inline distT="0" distB="0" distL="0" distR="0" wp14:anchorId="359F6F30" wp14:editId="40794D6B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A17213" w:rsidRDefault="00B14750" w:rsidP="00AF4E5A">
            <w:pPr>
              <w:pStyle w:val="Lettrine"/>
              <w:rPr>
                <w:lang w:val="fr-FR"/>
              </w:rPr>
            </w:pPr>
            <w:r w:rsidRPr="00097FE6">
              <w:rPr>
                <w:lang w:val="fr-FR"/>
              </w:rPr>
              <w:t>F</w:t>
            </w:r>
          </w:p>
          <w:p w:rsidR="00A17213" w:rsidRDefault="00B14750" w:rsidP="00AF4E5A">
            <w:pPr>
              <w:pStyle w:val="Docoriginal"/>
              <w:rPr>
                <w:lang w:val="fr-FR"/>
              </w:rPr>
            </w:pPr>
            <w:r w:rsidRPr="00097FE6">
              <w:rPr>
                <w:lang w:val="fr-FR"/>
              </w:rPr>
              <w:t>TC/51/</w:t>
            </w:r>
            <w:bookmarkStart w:id="1" w:name="Code"/>
            <w:bookmarkEnd w:id="1"/>
            <w:r w:rsidRPr="00097FE6">
              <w:rPr>
                <w:lang w:val="fr-FR"/>
              </w:rPr>
              <w:t>3</w:t>
            </w:r>
          </w:p>
          <w:p w:rsidR="00A17213" w:rsidRDefault="00B14750" w:rsidP="00AF4E5A">
            <w:pPr>
              <w:pStyle w:val="Docoriginal"/>
              <w:rPr>
                <w:b w:val="0"/>
                <w:spacing w:val="0"/>
                <w:lang w:val="fr-FR"/>
              </w:rPr>
            </w:pPr>
            <w:r w:rsidRPr="00097FE6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064E56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097FE6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097FE6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Original"/>
            <w:bookmarkEnd w:id="2"/>
            <w:r w:rsidRPr="00097FE6">
              <w:rPr>
                <w:b w:val="0"/>
                <w:spacing w:val="0"/>
                <w:lang w:val="fr-FR"/>
              </w:rPr>
              <w:t>anglais</w:t>
            </w:r>
          </w:p>
          <w:p w:rsidR="00B14750" w:rsidRPr="00097FE6" w:rsidRDefault="00B14750" w:rsidP="005510C4">
            <w:pPr>
              <w:pStyle w:val="Docoriginal"/>
              <w:rPr>
                <w:lang w:val="fr-FR"/>
              </w:rPr>
            </w:pPr>
            <w:r w:rsidRPr="00097FE6">
              <w:rPr>
                <w:spacing w:val="0"/>
                <w:lang w:val="fr-FR"/>
              </w:rPr>
              <w:t>DATE</w:t>
            </w:r>
            <w:r w:rsidR="00064E56">
              <w:rPr>
                <w:spacing w:val="0"/>
                <w:lang w:val="fr-FR"/>
              </w:rPr>
              <w:t> </w:t>
            </w:r>
            <w:r w:rsidRPr="00097FE6">
              <w:rPr>
                <w:spacing w:val="0"/>
                <w:lang w:val="fr-FR"/>
              </w:rPr>
              <w:t>:</w:t>
            </w:r>
            <w:r w:rsidRPr="00097FE6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3" w:name="Date"/>
            <w:bookmarkEnd w:id="3"/>
            <w:r w:rsidR="005510C4" w:rsidRPr="005510C4">
              <w:rPr>
                <w:b w:val="0"/>
                <w:spacing w:val="0"/>
                <w:lang w:val="fr-FR"/>
              </w:rPr>
              <w:t>1</w:t>
            </w:r>
            <w:r w:rsidRPr="005510C4">
              <w:rPr>
                <w:b w:val="0"/>
                <w:spacing w:val="0"/>
                <w:lang w:val="fr-FR"/>
              </w:rPr>
              <w:t> février 2015</w:t>
            </w:r>
          </w:p>
        </w:tc>
      </w:tr>
      <w:tr w:rsidR="00B14750" w:rsidRPr="00A66BF2" w:rsidTr="00AF4E5A">
        <w:tc>
          <w:tcPr>
            <w:tcW w:w="10131" w:type="dxa"/>
            <w:gridSpan w:val="3"/>
          </w:tcPr>
          <w:p w:rsidR="00B14750" w:rsidRPr="00097FE6" w:rsidRDefault="00B14750" w:rsidP="00AF4E5A">
            <w:pPr>
              <w:pStyle w:val="upove"/>
              <w:rPr>
                <w:sz w:val="28"/>
                <w:lang w:val="fr-FR"/>
              </w:rPr>
            </w:pPr>
            <w:r w:rsidRPr="00097FE6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B14750" w:rsidRPr="00097FE6" w:rsidTr="00AF4E5A">
        <w:tc>
          <w:tcPr>
            <w:tcW w:w="10131" w:type="dxa"/>
            <w:gridSpan w:val="3"/>
          </w:tcPr>
          <w:p w:rsidR="00B14750" w:rsidRPr="00097FE6" w:rsidRDefault="00B14750" w:rsidP="00AF4E5A">
            <w:pPr>
              <w:pStyle w:val="Country"/>
              <w:rPr>
                <w:lang w:val="fr-FR"/>
              </w:rPr>
            </w:pPr>
            <w:r w:rsidRPr="00097FE6">
              <w:rPr>
                <w:lang w:val="fr-FR"/>
              </w:rPr>
              <w:t>Genève</w:t>
            </w:r>
          </w:p>
        </w:tc>
      </w:tr>
    </w:tbl>
    <w:p w:rsidR="00A17213" w:rsidRDefault="00B14750" w:rsidP="00B14750">
      <w:pPr>
        <w:pStyle w:val="Sessiontc"/>
        <w:rPr>
          <w:lang w:val="fr-FR"/>
        </w:rPr>
      </w:pPr>
      <w:r w:rsidRPr="00097FE6">
        <w:rPr>
          <w:lang w:val="fr-FR"/>
        </w:rPr>
        <w:t>Comité TECHNIQUE</w:t>
      </w:r>
    </w:p>
    <w:p w:rsidR="00A17213" w:rsidRDefault="00B14750" w:rsidP="00B14750">
      <w:pPr>
        <w:pStyle w:val="Sessiontcplacedate"/>
        <w:rPr>
          <w:lang w:val="fr-FR"/>
        </w:rPr>
      </w:pPr>
      <w:r w:rsidRPr="00097FE6">
        <w:rPr>
          <w:lang w:val="fr-FR"/>
        </w:rPr>
        <w:t>Cinquante et unième</w:t>
      </w:r>
      <w:r w:rsidR="00064E56">
        <w:rPr>
          <w:lang w:val="fr-FR"/>
        </w:rPr>
        <w:t> </w:t>
      </w:r>
      <w:r w:rsidRPr="00097FE6">
        <w:rPr>
          <w:lang w:val="fr-FR"/>
        </w:rPr>
        <w:t xml:space="preserve">session </w:t>
      </w:r>
      <w:r w:rsidRPr="00097FE6">
        <w:rPr>
          <w:lang w:val="fr-FR"/>
        </w:rPr>
        <w:br/>
        <w:t>Genève, 23</w:t>
      </w:r>
      <w:r w:rsidR="00A66BF2">
        <w:rPr>
          <w:lang w:val="fr-FR"/>
        </w:rPr>
        <w:t>–</w:t>
      </w:r>
      <w:r w:rsidRPr="00097FE6">
        <w:rPr>
          <w:lang w:val="fr-FR"/>
        </w:rPr>
        <w:t>2</w:t>
      </w:r>
      <w:r w:rsidR="00402F0A" w:rsidRPr="00097FE6">
        <w:rPr>
          <w:lang w:val="fr-FR"/>
        </w:rPr>
        <w:t>5</w:t>
      </w:r>
      <w:r w:rsidR="00402F0A">
        <w:rPr>
          <w:lang w:val="fr-FR"/>
        </w:rPr>
        <w:t> </w:t>
      </w:r>
      <w:r w:rsidR="00402F0A" w:rsidRPr="00097FE6">
        <w:rPr>
          <w:lang w:val="fr-FR"/>
        </w:rPr>
        <w:t>mars</w:t>
      </w:r>
      <w:r w:rsidR="00402F0A">
        <w:rPr>
          <w:lang w:val="fr-FR"/>
        </w:rPr>
        <w:t> </w:t>
      </w:r>
      <w:r w:rsidR="00402F0A" w:rsidRPr="00097FE6">
        <w:rPr>
          <w:lang w:val="fr-FR"/>
        </w:rPr>
        <w:t>20</w:t>
      </w:r>
      <w:r w:rsidRPr="00097FE6">
        <w:rPr>
          <w:lang w:val="fr-FR"/>
        </w:rPr>
        <w:t>15</w:t>
      </w:r>
    </w:p>
    <w:p w:rsidR="00A17213" w:rsidRDefault="00724EF9" w:rsidP="006655D3">
      <w:pPr>
        <w:pStyle w:val="Titleofdoc0"/>
        <w:rPr>
          <w:lang w:val="fr-FR"/>
        </w:rPr>
      </w:pPr>
      <w:r w:rsidRPr="00724EF9">
        <w:rPr>
          <w:lang w:val="fr-FR"/>
        </w:rPr>
        <w:t>Questions dÉcoulant des travaux des groupes de travail techniques</w:t>
      </w:r>
    </w:p>
    <w:p w:rsidR="00A17213" w:rsidRDefault="00B14750" w:rsidP="00050E16">
      <w:pPr>
        <w:pStyle w:val="preparedby1"/>
        <w:rPr>
          <w:lang w:val="fr-FR"/>
        </w:rPr>
      </w:pPr>
      <w:bookmarkStart w:id="4" w:name="Prepared"/>
      <w:bookmarkEnd w:id="4"/>
      <w:r w:rsidRPr="00097FE6">
        <w:rPr>
          <w:lang w:val="fr-FR"/>
        </w:rPr>
        <w:t>Document établi par le Bureau de l</w:t>
      </w:r>
      <w:r w:rsidR="00402F0A">
        <w:rPr>
          <w:lang w:val="fr-FR"/>
        </w:rPr>
        <w:t>’</w:t>
      </w:r>
      <w:r w:rsidRPr="00097FE6">
        <w:rPr>
          <w:lang w:val="fr-FR"/>
        </w:rPr>
        <w:t>Union</w:t>
      </w:r>
      <w:r w:rsidRPr="00097FE6">
        <w:rPr>
          <w:lang w:val="fr-FR"/>
        </w:rPr>
        <w:br/>
      </w:r>
      <w:r w:rsidRPr="00097FE6">
        <w:rPr>
          <w:lang w:val="fr-FR"/>
        </w:rPr>
        <w:br/>
      </w:r>
      <w:r w:rsidRPr="00097FE6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402F0A">
        <w:rPr>
          <w:color w:val="A6A6A6" w:themeColor="background1" w:themeShade="A6"/>
          <w:lang w:val="fr-FR"/>
        </w:rPr>
        <w:t>’</w:t>
      </w:r>
      <w:r w:rsidRPr="00097FE6">
        <w:rPr>
          <w:color w:val="A6A6A6" w:themeColor="background1" w:themeShade="A6"/>
          <w:lang w:val="fr-FR"/>
        </w:rPr>
        <w:t>UPOV</w:t>
      </w:r>
    </w:p>
    <w:p w:rsidR="00A17213" w:rsidRPr="009415C9" w:rsidRDefault="00BF1A76" w:rsidP="00305162">
      <w:pPr>
        <w:rPr>
          <w:lang w:val="fr-FR"/>
        </w:rPr>
      </w:pPr>
      <w:r w:rsidRPr="00097FE6">
        <w:rPr>
          <w:color w:val="000000"/>
          <w:lang w:val="fr-FR"/>
        </w:rPr>
        <w:fldChar w:fldCharType="begin"/>
      </w:r>
      <w:r w:rsidRPr="00097FE6">
        <w:rPr>
          <w:color w:val="000000"/>
          <w:lang w:val="fr-FR"/>
        </w:rPr>
        <w:instrText xml:space="preserve"> AUTONUM  </w:instrText>
      </w:r>
      <w:r w:rsidRPr="00097FE6">
        <w:rPr>
          <w:color w:val="000000"/>
          <w:lang w:val="fr-FR"/>
        </w:rPr>
        <w:fldChar w:fldCharType="end"/>
      </w:r>
      <w:r w:rsidRPr="00097FE6">
        <w:rPr>
          <w:color w:val="000000"/>
          <w:lang w:val="fr-FR"/>
        </w:rPr>
        <w:tab/>
      </w:r>
      <w:r w:rsidR="00305162" w:rsidRPr="009415C9">
        <w:rPr>
          <w:lang w:val="fr-FR"/>
        </w:rPr>
        <w:t xml:space="preserve">Le présent document résume certaines questions découlant des </w:t>
      </w:r>
      <w:r w:rsidR="001972CC" w:rsidRPr="009415C9">
        <w:rPr>
          <w:lang w:val="fr-FR"/>
        </w:rPr>
        <w:t xml:space="preserve">travaux </w:t>
      </w:r>
      <w:r w:rsidR="00305162" w:rsidRPr="009415C9">
        <w:rPr>
          <w:lang w:val="fr-FR"/>
        </w:rPr>
        <w:t>des groupes de travail techniques (ci</w:t>
      </w:r>
      <w:r w:rsidR="00105F8E" w:rsidRPr="009415C9">
        <w:rPr>
          <w:lang w:val="fr-FR"/>
        </w:rPr>
        <w:noBreakHyphen/>
      </w:r>
      <w:r w:rsidR="00305162" w:rsidRPr="009415C9">
        <w:rPr>
          <w:lang w:val="fr-FR"/>
        </w:rPr>
        <w:t xml:space="preserve">après dénommés “TWP”) </w:t>
      </w:r>
      <w:r w:rsidR="001972CC" w:rsidRPr="009415C9">
        <w:rPr>
          <w:lang w:val="fr-FR"/>
        </w:rPr>
        <w:t xml:space="preserve">à leurs sessions de 2014 </w:t>
      </w:r>
      <w:r w:rsidR="00305162" w:rsidRPr="009415C9">
        <w:rPr>
          <w:lang w:val="fr-FR"/>
        </w:rPr>
        <w:t>qui ne relèvent pas de points précis de l</w:t>
      </w:r>
      <w:r w:rsidR="00402F0A" w:rsidRPr="009415C9">
        <w:rPr>
          <w:lang w:val="fr-FR"/>
        </w:rPr>
        <w:t>’</w:t>
      </w:r>
      <w:r w:rsidR="00305162" w:rsidRPr="009415C9">
        <w:rPr>
          <w:lang w:val="fr-FR"/>
        </w:rPr>
        <w:t>ordre du jour.</w:t>
      </w:r>
      <w:r w:rsidRPr="009415C9">
        <w:rPr>
          <w:lang w:val="fr-FR"/>
        </w:rPr>
        <w:t xml:space="preserve">  </w:t>
      </w:r>
      <w:r w:rsidR="00305162" w:rsidRPr="009415C9">
        <w:rPr>
          <w:lang w:val="fr-FR"/>
        </w:rPr>
        <w:t>Ces questions sont regroupées en deux</w:t>
      </w:r>
      <w:r w:rsidR="00064E56" w:rsidRPr="009415C9">
        <w:rPr>
          <w:lang w:val="fr-FR"/>
        </w:rPr>
        <w:t> </w:t>
      </w:r>
      <w:r w:rsidR="00305162" w:rsidRPr="009415C9">
        <w:rPr>
          <w:lang w:val="fr-FR"/>
        </w:rPr>
        <w:t>parties.</w:t>
      </w:r>
      <w:r w:rsidRPr="009415C9">
        <w:rPr>
          <w:lang w:val="fr-FR"/>
        </w:rPr>
        <w:t xml:space="preserve">  </w:t>
      </w:r>
      <w:r w:rsidR="00CA582A" w:rsidRPr="009415C9">
        <w:rPr>
          <w:lang w:val="fr-FR"/>
        </w:rPr>
        <w:t>La première</w:t>
      </w:r>
      <w:r w:rsidR="00334561" w:rsidRPr="009415C9">
        <w:rPr>
          <w:lang w:val="fr-FR"/>
        </w:rPr>
        <w:t>, intitulée “Questions pour information et décision éventuelle du Comité technique (TC)”, recense les questions soulevées par</w:t>
      </w:r>
      <w:r w:rsidR="00402F0A" w:rsidRPr="009415C9">
        <w:rPr>
          <w:lang w:val="fr-FR"/>
        </w:rPr>
        <w:t xml:space="preserve"> les TWP</w:t>
      </w:r>
      <w:r w:rsidR="00334561" w:rsidRPr="009415C9">
        <w:rPr>
          <w:lang w:val="fr-FR"/>
        </w:rPr>
        <w:t xml:space="preserve"> qui peuvent nécessiter </w:t>
      </w:r>
      <w:r w:rsidR="001972CC" w:rsidRPr="009415C9">
        <w:rPr>
          <w:lang w:val="fr-FR"/>
        </w:rPr>
        <w:t>une</w:t>
      </w:r>
      <w:r w:rsidR="00334561" w:rsidRPr="009415C9">
        <w:rPr>
          <w:lang w:val="fr-FR"/>
        </w:rPr>
        <w:t xml:space="preserve"> prise de décision par le</w:t>
      </w:r>
      <w:r w:rsidR="00402F0A" w:rsidRPr="009415C9">
        <w:rPr>
          <w:lang w:val="fr-FR"/>
        </w:rPr>
        <w:t> TC</w:t>
      </w:r>
      <w:r w:rsidRPr="009415C9">
        <w:rPr>
          <w:lang w:val="fr-FR"/>
        </w:rPr>
        <w:t xml:space="preserve">.  </w:t>
      </w:r>
      <w:r w:rsidR="00334561" w:rsidRPr="009415C9">
        <w:rPr>
          <w:lang w:val="fr-FR"/>
        </w:rPr>
        <w:t>Le Bureau de l</w:t>
      </w:r>
      <w:r w:rsidR="00402F0A" w:rsidRPr="009415C9">
        <w:rPr>
          <w:lang w:val="fr-FR"/>
        </w:rPr>
        <w:t>’</w:t>
      </w:r>
      <w:r w:rsidR="00334561" w:rsidRPr="009415C9">
        <w:rPr>
          <w:lang w:val="fr-FR"/>
        </w:rPr>
        <w:t>Union (ci</w:t>
      </w:r>
      <w:r w:rsidR="00105F8E" w:rsidRPr="009415C9">
        <w:rPr>
          <w:lang w:val="fr-FR"/>
        </w:rPr>
        <w:noBreakHyphen/>
      </w:r>
      <w:r w:rsidR="00334561" w:rsidRPr="009415C9">
        <w:rPr>
          <w:lang w:val="fr-FR"/>
        </w:rPr>
        <w:t>après dénommé “Bureau”) a précisé les questions au sujet desquelles le</w:t>
      </w:r>
      <w:r w:rsidR="00402F0A" w:rsidRPr="009415C9">
        <w:rPr>
          <w:lang w:val="fr-FR"/>
        </w:rPr>
        <w:t> TC</w:t>
      </w:r>
      <w:r w:rsidR="00334561" w:rsidRPr="009415C9">
        <w:rPr>
          <w:lang w:val="fr-FR"/>
        </w:rPr>
        <w:t xml:space="preserve"> peut souhaiter prendre une décision en présentant un paragraphe contenant une proposition de décision</w:t>
      </w:r>
      <w:r w:rsidRPr="009415C9">
        <w:rPr>
          <w:lang w:val="fr-FR"/>
        </w:rPr>
        <w:t xml:space="preserve">.  </w:t>
      </w:r>
      <w:r w:rsidR="00305162" w:rsidRPr="009415C9">
        <w:rPr>
          <w:lang w:val="fr-FR"/>
        </w:rPr>
        <w:t xml:space="preserve">La </w:t>
      </w:r>
      <w:r w:rsidR="00CD2FC0" w:rsidRPr="009415C9">
        <w:rPr>
          <w:lang w:val="fr-FR"/>
        </w:rPr>
        <w:t>seconde</w:t>
      </w:r>
      <w:r w:rsidR="00305162" w:rsidRPr="009415C9">
        <w:rPr>
          <w:lang w:val="fr-FR"/>
        </w:rPr>
        <w:t> partie, “Questions pour information”</w:t>
      </w:r>
      <w:r w:rsidR="00CD2FC0" w:rsidRPr="009415C9">
        <w:rPr>
          <w:lang w:val="fr-FR"/>
        </w:rPr>
        <w:t>,</w:t>
      </w:r>
      <w:r w:rsidR="00305162" w:rsidRPr="009415C9">
        <w:rPr>
          <w:lang w:val="fr-FR"/>
        </w:rPr>
        <w:t xml:space="preserve"> est communiquée pour l</w:t>
      </w:r>
      <w:r w:rsidR="00402F0A" w:rsidRPr="009415C9">
        <w:rPr>
          <w:lang w:val="fr-FR"/>
        </w:rPr>
        <w:t>’</w:t>
      </w:r>
      <w:r w:rsidR="00305162" w:rsidRPr="009415C9">
        <w:rPr>
          <w:lang w:val="fr-FR"/>
        </w:rPr>
        <w:t>information du</w:t>
      </w:r>
      <w:r w:rsidR="00402F0A" w:rsidRPr="009415C9">
        <w:rPr>
          <w:lang w:val="fr-FR"/>
        </w:rPr>
        <w:t> TC</w:t>
      </w:r>
      <w:r w:rsidR="00CD2FC0" w:rsidRPr="009415C9">
        <w:rPr>
          <w:lang w:val="fr-FR"/>
        </w:rPr>
        <w:t>, mais n</w:t>
      </w:r>
      <w:r w:rsidR="00402F0A" w:rsidRPr="009415C9">
        <w:rPr>
          <w:lang w:val="fr-FR"/>
        </w:rPr>
        <w:t>’</w:t>
      </w:r>
      <w:r w:rsidR="00CD2FC0" w:rsidRPr="009415C9">
        <w:rPr>
          <w:lang w:val="fr-FR"/>
        </w:rPr>
        <w:t>appelle pas de décision à ce stade.</w:t>
      </w:r>
    </w:p>
    <w:p w:rsidR="00A17213" w:rsidRPr="009415C9" w:rsidRDefault="00A17213" w:rsidP="00BF1A76">
      <w:pPr>
        <w:tabs>
          <w:tab w:val="left" w:pos="567"/>
          <w:tab w:val="left" w:pos="1701"/>
        </w:tabs>
        <w:ind w:left="1695" w:hanging="1695"/>
        <w:rPr>
          <w:rFonts w:eastAsia="PMingLiU"/>
          <w:szCs w:val="24"/>
          <w:lang w:val="fr-FR"/>
        </w:rPr>
      </w:pPr>
    </w:p>
    <w:p w:rsidR="00A17213" w:rsidRPr="009415C9" w:rsidRDefault="00BF1A76" w:rsidP="00305162">
      <w:pPr>
        <w:rPr>
          <w:lang w:val="fr-FR"/>
        </w:rPr>
      </w:pPr>
      <w:r w:rsidRPr="009415C9">
        <w:rPr>
          <w:lang w:val="fr-FR"/>
        </w:rPr>
        <w:fldChar w:fldCharType="begin"/>
      </w:r>
      <w:r w:rsidRPr="009415C9">
        <w:rPr>
          <w:lang w:val="fr-FR"/>
        </w:rPr>
        <w:instrText xml:space="preserve"> AUTONUM  </w:instrText>
      </w:r>
      <w:r w:rsidRPr="009415C9">
        <w:rPr>
          <w:lang w:val="fr-FR"/>
        </w:rPr>
        <w:fldChar w:fldCharType="end"/>
      </w:r>
      <w:r w:rsidRPr="009415C9">
        <w:rPr>
          <w:lang w:val="fr-FR"/>
        </w:rPr>
        <w:tab/>
      </w:r>
      <w:r w:rsidR="00305162" w:rsidRPr="009415C9">
        <w:rPr>
          <w:lang w:val="fr-FR"/>
        </w:rPr>
        <w:t>Le présent document est structuré comme suit :</w:t>
      </w:r>
    </w:p>
    <w:p w:rsidR="00A17213" w:rsidRDefault="00A17213" w:rsidP="00BF1A76">
      <w:pPr>
        <w:rPr>
          <w:lang w:val="fr-FR"/>
        </w:rPr>
      </w:pPr>
    </w:p>
    <w:sdt>
      <w:sdtPr>
        <w:rPr>
          <w:caps w:val="0"/>
          <w:smallCaps/>
          <w:lang w:val="fr-FR"/>
        </w:rPr>
        <w:id w:val="1911728516"/>
        <w:docPartObj>
          <w:docPartGallery w:val="Table of Contents"/>
          <w:docPartUnique/>
        </w:docPartObj>
      </w:sdtPr>
      <w:sdtEndPr>
        <w:rPr>
          <w:b/>
          <w:bCs/>
          <w:smallCaps w:val="0"/>
          <w:noProof/>
        </w:rPr>
      </w:sdtEndPr>
      <w:sdtContent>
        <w:p w:rsidR="005A441E" w:rsidRDefault="00BF1A76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 w:rsidRPr="00097FE6">
            <w:rPr>
              <w:smallCaps/>
              <w:lang w:val="fr-FR"/>
            </w:rPr>
            <w:fldChar w:fldCharType="begin"/>
          </w:r>
          <w:r w:rsidRPr="00097FE6">
            <w:rPr>
              <w:lang w:val="fr-FR"/>
            </w:rPr>
            <w:instrText xml:space="preserve"> TOC \o "1-3" \h \z \u </w:instrText>
          </w:r>
          <w:r w:rsidRPr="00097FE6">
            <w:rPr>
              <w:smallCaps/>
              <w:lang w:val="fr-FR"/>
            </w:rPr>
            <w:fldChar w:fldCharType="separate"/>
          </w:r>
          <w:hyperlink w:anchor="_Toc411329130" w:history="1">
            <w:r w:rsidR="005A441E" w:rsidRPr="0045077D">
              <w:rPr>
                <w:rStyle w:val="Hyperlink"/>
                <w:rFonts w:eastAsia="PMingLiU"/>
                <w:noProof/>
                <w:lang w:val="fr-FR"/>
              </w:rPr>
              <w:t>Questions pour information et dÉcision Éventuelle du ComitÉ technique (TC)</w:t>
            </w:r>
            <w:r w:rsidR="005A441E">
              <w:rPr>
                <w:noProof/>
                <w:webHidden/>
              </w:rPr>
              <w:tab/>
            </w:r>
            <w:r w:rsidR="005A441E">
              <w:rPr>
                <w:noProof/>
                <w:webHidden/>
              </w:rPr>
              <w:fldChar w:fldCharType="begin"/>
            </w:r>
            <w:r w:rsidR="005A441E">
              <w:rPr>
                <w:noProof/>
                <w:webHidden/>
              </w:rPr>
              <w:instrText xml:space="preserve"> PAGEREF _Toc411329130 \h </w:instrText>
            </w:r>
            <w:r w:rsidR="005A441E">
              <w:rPr>
                <w:noProof/>
                <w:webHidden/>
              </w:rPr>
            </w:r>
            <w:r w:rsidR="005A441E">
              <w:rPr>
                <w:noProof/>
                <w:webHidden/>
              </w:rPr>
              <w:fldChar w:fldCharType="separate"/>
            </w:r>
            <w:r w:rsidR="00F73DA1">
              <w:rPr>
                <w:noProof/>
                <w:webHidden/>
              </w:rPr>
              <w:t>2</w:t>
            </w:r>
            <w:r w:rsidR="005A441E">
              <w:rPr>
                <w:noProof/>
                <w:webHidden/>
              </w:rPr>
              <w:fldChar w:fldCharType="end"/>
            </w:r>
          </w:hyperlink>
        </w:p>
        <w:p w:rsidR="0013111A" w:rsidRDefault="0013111A">
          <w:pPr>
            <w:pStyle w:val="TOC1"/>
          </w:pPr>
        </w:p>
        <w:p w:rsidR="005A441E" w:rsidRDefault="00F73DA1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411329131" w:history="1">
            <w:r w:rsidR="005A441E" w:rsidRPr="0045077D">
              <w:rPr>
                <w:rStyle w:val="Hyperlink"/>
                <w:noProof/>
                <w:lang w:val="fr-FR"/>
              </w:rPr>
              <w:t>Questions pour information</w:t>
            </w:r>
            <w:r w:rsidR="005A441E">
              <w:rPr>
                <w:noProof/>
                <w:webHidden/>
              </w:rPr>
              <w:tab/>
            </w:r>
            <w:r w:rsidR="005A441E">
              <w:rPr>
                <w:noProof/>
                <w:webHidden/>
              </w:rPr>
              <w:fldChar w:fldCharType="begin"/>
            </w:r>
            <w:r w:rsidR="005A441E">
              <w:rPr>
                <w:noProof/>
                <w:webHidden/>
              </w:rPr>
              <w:instrText xml:space="preserve"> PAGEREF _Toc411329131 \h </w:instrText>
            </w:r>
            <w:r w:rsidR="005A441E">
              <w:rPr>
                <w:noProof/>
                <w:webHidden/>
              </w:rPr>
            </w:r>
            <w:r w:rsidR="005A441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5A441E">
              <w:rPr>
                <w:noProof/>
                <w:webHidden/>
              </w:rPr>
              <w:fldChar w:fldCharType="end"/>
            </w:r>
          </w:hyperlink>
        </w:p>
        <w:p w:rsidR="005A441E" w:rsidRDefault="00F73DA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11329132" w:history="1">
            <w:r w:rsidR="005A441E" w:rsidRPr="0045077D">
              <w:rPr>
                <w:rStyle w:val="Hyperlink"/>
                <w:noProof/>
                <w:lang w:val="fr-FR"/>
              </w:rPr>
              <w:t>Durée des examens DHS dans le secteur des fruits</w:t>
            </w:r>
            <w:r w:rsidR="005A441E">
              <w:rPr>
                <w:noProof/>
                <w:webHidden/>
              </w:rPr>
              <w:tab/>
            </w:r>
            <w:r w:rsidR="005A441E">
              <w:rPr>
                <w:noProof/>
                <w:webHidden/>
              </w:rPr>
              <w:fldChar w:fldCharType="begin"/>
            </w:r>
            <w:r w:rsidR="005A441E">
              <w:rPr>
                <w:noProof/>
                <w:webHidden/>
              </w:rPr>
              <w:instrText xml:space="preserve"> PAGEREF _Toc411329132 \h </w:instrText>
            </w:r>
            <w:r w:rsidR="005A441E">
              <w:rPr>
                <w:noProof/>
                <w:webHidden/>
              </w:rPr>
            </w:r>
            <w:r w:rsidR="005A441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5A441E">
              <w:rPr>
                <w:noProof/>
                <w:webHidden/>
              </w:rPr>
              <w:fldChar w:fldCharType="end"/>
            </w:r>
          </w:hyperlink>
        </w:p>
        <w:p w:rsidR="005A441E" w:rsidRDefault="00F73DA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11329133" w:history="1">
            <w:r w:rsidR="005A441E" w:rsidRPr="0045077D">
              <w:rPr>
                <w:rStyle w:val="Hyperlink"/>
                <w:noProof/>
                <w:lang w:val="fr-FR"/>
              </w:rPr>
              <w:t>Utilisation de caractères de résistance aux maladies dans l’examen DHS</w:t>
            </w:r>
            <w:r w:rsidR="005A441E">
              <w:rPr>
                <w:noProof/>
                <w:webHidden/>
              </w:rPr>
              <w:tab/>
            </w:r>
            <w:r w:rsidR="005A441E">
              <w:rPr>
                <w:noProof/>
                <w:webHidden/>
              </w:rPr>
              <w:fldChar w:fldCharType="begin"/>
            </w:r>
            <w:r w:rsidR="005A441E">
              <w:rPr>
                <w:noProof/>
                <w:webHidden/>
              </w:rPr>
              <w:instrText xml:space="preserve"> PAGEREF _Toc411329133 \h </w:instrText>
            </w:r>
            <w:r w:rsidR="005A441E">
              <w:rPr>
                <w:noProof/>
                <w:webHidden/>
              </w:rPr>
            </w:r>
            <w:r w:rsidR="005A441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5A441E">
              <w:rPr>
                <w:noProof/>
                <w:webHidden/>
              </w:rPr>
              <w:fldChar w:fldCharType="end"/>
            </w:r>
          </w:hyperlink>
        </w:p>
        <w:p w:rsidR="005A441E" w:rsidRDefault="00F73DA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11329134" w:history="1">
            <w:r w:rsidR="005A441E" w:rsidRPr="0045077D">
              <w:rPr>
                <w:rStyle w:val="Hyperlink"/>
                <w:noProof/>
                <w:lang w:val="fr-FR"/>
              </w:rPr>
              <w:t>Enregistreurs de données</w:t>
            </w:r>
            <w:r w:rsidR="005A441E">
              <w:rPr>
                <w:noProof/>
                <w:webHidden/>
              </w:rPr>
              <w:tab/>
            </w:r>
            <w:r w:rsidR="005A441E">
              <w:rPr>
                <w:noProof/>
                <w:webHidden/>
              </w:rPr>
              <w:fldChar w:fldCharType="begin"/>
            </w:r>
            <w:r w:rsidR="005A441E">
              <w:rPr>
                <w:noProof/>
                <w:webHidden/>
              </w:rPr>
              <w:instrText xml:space="preserve"> PAGEREF _Toc411329134 \h </w:instrText>
            </w:r>
            <w:r w:rsidR="005A441E">
              <w:rPr>
                <w:noProof/>
                <w:webHidden/>
              </w:rPr>
            </w:r>
            <w:r w:rsidR="005A441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A441E">
              <w:rPr>
                <w:noProof/>
                <w:webHidden/>
              </w:rPr>
              <w:fldChar w:fldCharType="end"/>
            </w:r>
          </w:hyperlink>
        </w:p>
        <w:p w:rsidR="005A441E" w:rsidRDefault="00F73DA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11329135" w:history="1">
            <w:r w:rsidR="005A441E" w:rsidRPr="0045077D">
              <w:rPr>
                <w:rStyle w:val="Hyperlink"/>
                <w:noProof/>
                <w:lang w:val="fr-FR"/>
              </w:rPr>
              <w:t>Expériences avec de nouveaux types et espèces</w:t>
            </w:r>
            <w:r w:rsidR="005A441E">
              <w:rPr>
                <w:noProof/>
                <w:webHidden/>
              </w:rPr>
              <w:tab/>
            </w:r>
            <w:r w:rsidR="005A441E">
              <w:rPr>
                <w:noProof/>
                <w:webHidden/>
              </w:rPr>
              <w:fldChar w:fldCharType="begin"/>
            </w:r>
            <w:r w:rsidR="005A441E">
              <w:rPr>
                <w:noProof/>
                <w:webHidden/>
              </w:rPr>
              <w:instrText xml:space="preserve"> PAGEREF _Toc411329135 \h </w:instrText>
            </w:r>
            <w:r w:rsidR="005A441E">
              <w:rPr>
                <w:noProof/>
                <w:webHidden/>
              </w:rPr>
            </w:r>
            <w:r w:rsidR="005A441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A441E">
              <w:rPr>
                <w:noProof/>
                <w:webHidden/>
              </w:rPr>
              <w:fldChar w:fldCharType="end"/>
            </w:r>
          </w:hyperlink>
        </w:p>
        <w:p w:rsidR="005A441E" w:rsidRDefault="00F73DA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11329136" w:history="1">
            <w:r w:rsidR="005A441E" w:rsidRPr="0045077D">
              <w:rPr>
                <w:rStyle w:val="Hyperlink"/>
                <w:noProof/>
              </w:rPr>
              <w:t>Groupe de travail technique sur les plantes ornementales et les arbres forestiers</w:t>
            </w:r>
            <w:r w:rsidR="005A441E">
              <w:rPr>
                <w:noProof/>
                <w:webHidden/>
              </w:rPr>
              <w:tab/>
            </w:r>
            <w:r w:rsidR="005A441E">
              <w:rPr>
                <w:noProof/>
                <w:webHidden/>
              </w:rPr>
              <w:fldChar w:fldCharType="begin"/>
            </w:r>
            <w:r w:rsidR="005A441E">
              <w:rPr>
                <w:noProof/>
                <w:webHidden/>
              </w:rPr>
              <w:instrText xml:space="preserve"> PAGEREF _Toc411329136 \h </w:instrText>
            </w:r>
            <w:r w:rsidR="005A441E">
              <w:rPr>
                <w:noProof/>
                <w:webHidden/>
              </w:rPr>
            </w:r>
            <w:r w:rsidR="005A441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A441E">
              <w:rPr>
                <w:noProof/>
                <w:webHidden/>
              </w:rPr>
              <w:fldChar w:fldCharType="end"/>
            </w:r>
          </w:hyperlink>
        </w:p>
        <w:p w:rsidR="005A441E" w:rsidRDefault="00F73DA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11329137" w:history="1">
            <w:r w:rsidR="005A441E" w:rsidRPr="0045077D">
              <w:rPr>
                <w:rStyle w:val="Hyperlink"/>
                <w:noProof/>
              </w:rPr>
              <w:t>Groupe de travail technique sur les plantes fruitières</w:t>
            </w:r>
            <w:r w:rsidR="005A441E">
              <w:rPr>
                <w:noProof/>
                <w:webHidden/>
              </w:rPr>
              <w:tab/>
            </w:r>
            <w:r w:rsidR="005A441E">
              <w:rPr>
                <w:noProof/>
                <w:webHidden/>
              </w:rPr>
              <w:fldChar w:fldCharType="begin"/>
            </w:r>
            <w:r w:rsidR="005A441E">
              <w:rPr>
                <w:noProof/>
                <w:webHidden/>
              </w:rPr>
              <w:instrText xml:space="preserve"> PAGEREF _Toc411329137 \h </w:instrText>
            </w:r>
            <w:r w:rsidR="005A441E">
              <w:rPr>
                <w:noProof/>
                <w:webHidden/>
              </w:rPr>
            </w:r>
            <w:r w:rsidR="005A441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A441E">
              <w:rPr>
                <w:noProof/>
                <w:webHidden/>
              </w:rPr>
              <w:fldChar w:fldCharType="end"/>
            </w:r>
          </w:hyperlink>
        </w:p>
        <w:p w:rsidR="005A441E" w:rsidRDefault="00F73DA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11329138" w:history="1">
            <w:r w:rsidR="005A441E" w:rsidRPr="0045077D">
              <w:rPr>
                <w:rStyle w:val="Hyperlink"/>
                <w:noProof/>
              </w:rPr>
              <w:t>Groupe de travail technique sur les systèmes d’automatisation et les programmes d’ordinateur</w:t>
            </w:r>
            <w:r w:rsidR="005A441E">
              <w:rPr>
                <w:noProof/>
                <w:webHidden/>
              </w:rPr>
              <w:tab/>
            </w:r>
            <w:r w:rsidR="005A441E">
              <w:rPr>
                <w:noProof/>
                <w:webHidden/>
              </w:rPr>
              <w:fldChar w:fldCharType="begin"/>
            </w:r>
            <w:r w:rsidR="005A441E">
              <w:rPr>
                <w:noProof/>
                <w:webHidden/>
              </w:rPr>
              <w:instrText xml:space="preserve"> PAGEREF _Toc411329138 \h </w:instrText>
            </w:r>
            <w:r w:rsidR="005A441E">
              <w:rPr>
                <w:noProof/>
                <w:webHidden/>
              </w:rPr>
            </w:r>
            <w:r w:rsidR="005A441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A441E">
              <w:rPr>
                <w:noProof/>
                <w:webHidden/>
              </w:rPr>
              <w:fldChar w:fldCharType="end"/>
            </w:r>
          </w:hyperlink>
        </w:p>
        <w:p w:rsidR="005A441E" w:rsidRDefault="00F73DA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11329139" w:history="1">
            <w:r w:rsidR="005A441E" w:rsidRPr="0045077D">
              <w:rPr>
                <w:rStyle w:val="Hyperlink"/>
                <w:noProof/>
              </w:rPr>
              <w:t>Groupe de travail technique sur les plantes potagères</w:t>
            </w:r>
            <w:r w:rsidR="005A441E">
              <w:rPr>
                <w:noProof/>
                <w:webHidden/>
              </w:rPr>
              <w:tab/>
            </w:r>
            <w:r w:rsidR="005A441E">
              <w:rPr>
                <w:noProof/>
                <w:webHidden/>
              </w:rPr>
              <w:fldChar w:fldCharType="begin"/>
            </w:r>
            <w:r w:rsidR="005A441E">
              <w:rPr>
                <w:noProof/>
                <w:webHidden/>
              </w:rPr>
              <w:instrText xml:space="preserve"> PAGEREF _Toc411329139 \h </w:instrText>
            </w:r>
            <w:r w:rsidR="005A441E">
              <w:rPr>
                <w:noProof/>
                <w:webHidden/>
              </w:rPr>
            </w:r>
            <w:r w:rsidR="005A441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A441E">
              <w:rPr>
                <w:noProof/>
                <w:webHidden/>
              </w:rPr>
              <w:fldChar w:fldCharType="end"/>
            </w:r>
          </w:hyperlink>
        </w:p>
        <w:p w:rsidR="005A441E" w:rsidRDefault="00F73DA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11329140" w:history="1">
            <w:r w:rsidR="005A441E" w:rsidRPr="0045077D">
              <w:rPr>
                <w:rStyle w:val="Hyperlink"/>
                <w:noProof/>
              </w:rPr>
              <w:t>Groupe de travail technique sur les plantes agricoles</w:t>
            </w:r>
            <w:r w:rsidR="005A441E">
              <w:rPr>
                <w:noProof/>
                <w:webHidden/>
              </w:rPr>
              <w:tab/>
            </w:r>
            <w:r w:rsidR="005A441E">
              <w:rPr>
                <w:noProof/>
                <w:webHidden/>
              </w:rPr>
              <w:fldChar w:fldCharType="begin"/>
            </w:r>
            <w:r w:rsidR="005A441E">
              <w:rPr>
                <w:noProof/>
                <w:webHidden/>
              </w:rPr>
              <w:instrText xml:space="preserve"> PAGEREF _Toc411329140 \h </w:instrText>
            </w:r>
            <w:r w:rsidR="005A441E">
              <w:rPr>
                <w:noProof/>
                <w:webHidden/>
              </w:rPr>
            </w:r>
            <w:r w:rsidR="005A441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A441E">
              <w:rPr>
                <w:noProof/>
                <w:webHidden/>
              </w:rPr>
              <w:fldChar w:fldCharType="end"/>
            </w:r>
          </w:hyperlink>
        </w:p>
        <w:p w:rsidR="005A441E" w:rsidRDefault="00F73DA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11329141" w:history="1">
            <w:r w:rsidR="005A441E" w:rsidRPr="0045077D">
              <w:rPr>
                <w:rStyle w:val="Hyperlink"/>
                <w:noProof/>
                <w:lang w:val="fr-FR"/>
              </w:rPr>
              <w:t>Gestion des collections de variétés aux fins de l’examen DHS</w:t>
            </w:r>
            <w:r w:rsidR="005A441E">
              <w:rPr>
                <w:noProof/>
                <w:webHidden/>
              </w:rPr>
              <w:tab/>
            </w:r>
            <w:r w:rsidR="005A441E">
              <w:rPr>
                <w:noProof/>
                <w:webHidden/>
              </w:rPr>
              <w:fldChar w:fldCharType="begin"/>
            </w:r>
            <w:r w:rsidR="005A441E">
              <w:rPr>
                <w:noProof/>
                <w:webHidden/>
              </w:rPr>
              <w:instrText xml:space="preserve"> PAGEREF _Toc411329141 \h </w:instrText>
            </w:r>
            <w:r w:rsidR="005A441E">
              <w:rPr>
                <w:noProof/>
                <w:webHidden/>
              </w:rPr>
            </w:r>
            <w:r w:rsidR="005A441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5A441E">
              <w:rPr>
                <w:noProof/>
                <w:webHidden/>
              </w:rPr>
              <w:fldChar w:fldCharType="end"/>
            </w:r>
          </w:hyperlink>
        </w:p>
        <w:p w:rsidR="005A441E" w:rsidRDefault="00F73DA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11329142" w:history="1">
            <w:r w:rsidR="005A441E" w:rsidRPr="0045077D">
              <w:rPr>
                <w:rStyle w:val="Hyperlink"/>
                <w:noProof/>
                <w:lang w:val="fr-FR"/>
              </w:rPr>
              <w:t>Utilisation de méthodes statistiques dans l’examen DHS</w:t>
            </w:r>
            <w:r w:rsidR="005A441E">
              <w:rPr>
                <w:noProof/>
                <w:webHidden/>
              </w:rPr>
              <w:tab/>
            </w:r>
            <w:r w:rsidR="005A441E">
              <w:rPr>
                <w:noProof/>
                <w:webHidden/>
              </w:rPr>
              <w:fldChar w:fldCharType="begin"/>
            </w:r>
            <w:r w:rsidR="005A441E">
              <w:rPr>
                <w:noProof/>
                <w:webHidden/>
              </w:rPr>
              <w:instrText xml:space="preserve"> PAGEREF _Toc411329142 \h </w:instrText>
            </w:r>
            <w:r w:rsidR="005A441E">
              <w:rPr>
                <w:noProof/>
                <w:webHidden/>
              </w:rPr>
            </w:r>
            <w:r w:rsidR="005A441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5A441E">
              <w:rPr>
                <w:noProof/>
                <w:webHidden/>
              </w:rPr>
              <w:fldChar w:fldCharType="end"/>
            </w:r>
          </w:hyperlink>
        </w:p>
        <w:p w:rsidR="00A17213" w:rsidRDefault="00BF1A76" w:rsidP="00BF1A76">
          <w:pPr>
            <w:rPr>
              <w:lang w:val="fr-FR"/>
            </w:rPr>
          </w:pPr>
          <w:r w:rsidRPr="00097FE6">
            <w:rPr>
              <w:b/>
              <w:bCs/>
              <w:noProof/>
              <w:lang w:val="fr-FR"/>
            </w:rPr>
            <w:fldChar w:fldCharType="end"/>
          </w:r>
        </w:p>
      </w:sdtContent>
    </w:sdt>
    <w:p w:rsidR="00A17213" w:rsidRPr="009415C9" w:rsidRDefault="00BF1A76" w:rsidP="00305162">
      <w:pPr>
        <w:keepNext/>
        <w:rPr>
          <w:lang w:val="fr-FR"/>
        </w:rPr>
      </w:pPr>
      <w:r w:rsidRPr="00097FE6">
        <w:rPr>
          <w:color w:val="000000"/>
          <w:lang w:val="fr-FR"/>
        </w:rPr>
        <w:lastRenderedPageBreak/>
        <w:fldChar w:fldCharType="begin"/>
      </w:r>
      <w:r w:rsidRPr="00097FE6">
        <w:rPr>
          <w:color w:val="000000"/>
          <w:lang w:val="fr-FR"/>
        </w:rPr>
        <w:instrText xml:space="preserve"> AUTONUM  </w:instrText>
      </w:r>
      <w:r w:rsidRPr="00097FE6">
        <w:rPr>
          <w:color w:val="000000"/>
          <w:lang w:val="fr-FR"/>
        </w:rPr>
        <w:fldChar w:fldCharType="end"/>
      </w:r>
      <w:r w:rsidRPr="00097FE6">
        <w:rPr>
          <w:color w:val="000000"/>
          <w:lang w:val="fr-FR"/>
        </w:rPr>
        <w:tab/>
      </w:r>
      <w:r w:rsidR="00305162" w:rsidRPr="009415C9">
        <w:rPr>
          <w:lang w:val="fr-FR"/>
        </w:rPr>
        <w:t>Les abréviations ci</w:t>
      </w:r>
      <w:r w:rsidR="00105F8E" w:rsidRPr="009415C9">
        <w:rPr>
          <w:lang w:val="fr-FR"/>
        </w:rPr>
        <w:noBreakHyphen/>
      </w:r>
      <w:r w:rsidR="00305162" w:rsidRPr="009415C9">
        <w:rPr>
          <w:lang w:val="fr-FR"/>
        </w:rPr>
        <w:t>après sont utilisées dans le présent document :</w:t>
      </w:r>
    </w:p>
    <w:p w:rsidR="00A17213" w:rsidRPr="009415C9" w:rsidRDefault="00A17213" w:rsidP="00BF1A76">
      <w:pPr>
        <w:keepNext/>
        <w:ind w:left="1692" w:hanging="1125"/>
        <w:jc w:val="left"/>
        <w:rPr>
          <w:lang w:val="fr-FR"/>
        </w:rPr>
      </w:pPr>
    </w:p>
    <w:p w:rsidR="00402F0A" w:rsidRPr="009415C9" w:rsidRDefault="00BF1A76" w:rsidP="00305162">
      <w:pPr>
        <w:keepNext/>
        <w:tabs>
          <w:tab w:val="left" w:pos="567"/>
          <w:tab w:val="left" w:pos="1701"/>
        </w:tabs>
        <w:rPr>
          <w:lang w:val="fr-FR"/>
        </w:rPr>
      </w:pPr>
      <w:r w:rsidRPr="009415C9">
        <w:rPr>
          <w:lang w:val="fr-FR"/>
        </w:rPr>
        <w:tab/>
      </w:r>
      <w:r w:rsidR="00305162" w:rsidRPr="009415C9">
        <w:rPr>
          <w:lang w:val="fr-FR"/>
        </w:rPr>
        <w:t>CAJ</w:t>
      </w:r>
      <w:r w:rsidR="00064E56" w:rsidRPr="009415C9">
        <w:rPr>
          <w:lang w:val="fr-FR"/>
        </w:rPr>
        <w:t> :</w:t>
      </w:r>
      <w:r w:rsidR="00305162" w:rsidRPr="009415C9">
        <w:rPr>
          <w:lang w:val="fr-FR"/>
        </w:rPr>
        <w:t xml:space="preserve"> </w:t>
      </w:r>
      <w:r w:rsidR="00097FE6" w:rsidRPr="009415C9">
        <w:rPr>
          <w:lang w:val="fr-FR"/>
        </w:rPr>
        <w:tab/>
      </w:r>
      <w:r w:rsidR="00305162" w:rsidRPr="009415C9">
        <w:rPr>
          <w:lang w:val="fr-FR"/>
        </w:rPr>
        <w:t>Comité administratif et juridique</w:t>
      </w:r>
    </w:p>
    <w:p w:rsidR="00A17213" w:rsidRPr="009415C9" w:rsidRDefault="00BF1A76" w:rsidP="00305162">
      <w:pPr>
        <w:keepNext/>
        <w:tabs>
          <w:tab w:val="left" w:pos="567"/>
          <w:tab w:val="left" w:pos="1701"/>
        </w:tabs>
        <w:rPr>
          <w:lang w:val="fr-FR"/>
        </w:rPr>
      </w:pPr>
      <w:r w:rsidRPr="009415C9">
        <w:rPr>
          <w:lang w:val="fr-FR"/>
        </w:rPr>
        <w:tab/>
      </w:r>
      <w:r w:rsidR="00305162" w:rsidRPr="009415C9">
        <w:rPr>
          <w:lang w:val="fr-FR"/>
        </w:rPr>
        <w:t>TC</w:t>
      </w:r>
      <w:r w:rsidR="00064E56" w:rsidRPr="009415C9">
        <w:rPr>
          <w:lang w:val="fr-FR"/>
        </w:rPr>
        <w:t> :</w:t>
      </w:r>
      <w:r w:rsidR="00305162" w:rsidRPr="009415C9">
        <w:rPr>
          <w:lang w:val="fr-FR"/>
        </w:rPr>
        <w:t xml:space="preserve"> </w:t>
      </w:r>
      <w:r w:rsidR="00097FE6" w:rsidRPr="009415C9">
        <w:rPr>
          <w:lang w:val="fr-FR"/>
        </w:rPr>
        <w:tab/>
      </w:r>
      <w:r w:rsidR="00305162" w:rsidRPr="009415C9">
        <w:rPr>
          <w:lang w:val="fr-FR"/>
        </w:rPr>
        <w:t>Comité technique</w:t>
      </w:r>
    </w:p>
    <w:p w:rsidR="00A17213" w:rsidRPr="009415C9" w:rsidRDefault="00BF1A76" w:rsidP="00305162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9415C9">
        <w:rPr>
          <w:rFonts w:eastAsia="PMingLiU"/>
          <w:szCs w:val="24"/>
          <w:lang w:val="fr-FR"/>
        </w:rPr>
        <w:tab/>
      </w:r>
      <w:r w:rsidR="00305162" w:rsidRPr="009415C9">
        <w:rPr>
          <w:rFonts w:eastAsia="PMingLiU"/>
          <w:szCs w:val="24"/>
          <w:lang w:val="fr-FR"/>
        </w:rPr>
        <w:t>TC</w:t>
      </w:r>
      <w:r w:rsidR="00105F8E" w:rsidRPr="009415C9">
        <w:rPr>
          <w:rFonts w:eastAsia="PMingLiU"/>
          <w:szCs w:val="24"/>
          <w:lang w:val="fr-FR"/>
        </w:rPr>
        <w:noBreakHyphen/>
      </w:r>
      <w:r w:rsidR="00305162" w:rsidRPr="009415C9">
        <w:rPr>
          <w:rFonts w:eastAsia="PMingLiU"/>
          <w:szCs w:val="24"/>
          <w:lang w:val="fr-FR"/>
        </w:rPr>
        <w:t>EDC</w:t>
      </w:r>
      <w:r w:rsidR="00064E56" w:rsidRPr="009415C9">
        <w:rPr>
          <w:rFonts w:eastAsia="PMingLiU"/>
          <w:szCs w:val="24"/>
          <w:lang w:val="fr-FR"/>
        </w:rPr>
        <w:t xml:space="preserve"> : </w:t>
      </w:r>
      <w:r w:rsidR="00097FE6" w:rsidRPr="009415C9">
        <w:rPr>
          <w:rFonts w:eastAsia="PMingLiU"/>
          <w:szCs w:val="24"/>
          <w:lang w:val="fr-FR"/>
        </w:rPr>
        <w:tab/>
      </w:r>
      <w:r w:rsidR="00305162" w:rsidRPr="009415C9">
        <w:rPr>
          <w:rFonts w:eastAsia="PMingLiU"/>
          <w:szCs w:val="24"/>
          <w:lang w:val="fr-FR"/>
        </w:rPr>
        <w:t>Comité de rédaction élargi</w:t>
      </w:r>
    </w:p>
    <w:p w:rsidR="00A17213" w:rsidRPr="009415C9" w:rsidRDefault="00BF1A76" w:rsidP="00305162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9415C9">
        <w:rPr>
          <w:rFonts w:eastAsia="PMingLiU"/>
          <w:szCs w:val="24"/>
          <w:lang w:val="fr-FR"/>
        </w:rPr>
        <w:tab/>
      </w:r>
      <w:r w:rsidR="00305162" w:rsidRPr="009415C9">
        <w:rPr>
          <w:rFonts w:eastAsia="PMingLiU"/>
          <w:szCs w:val="24"/>
          <w:lang w:val="fr-FR"/>
        </w:rPr>
        <w:t>TWA</w:t>
      </w:r>
      <w:r w:rsidR="00064E56" w:rsidRPr="009415C9">
        <w:rPr>
          <w:rFonts w:eastAsia="PMingLiU"/>
          <w:szCs w:val="24"/>
          <w:lang w:val="fr-FR"/>
        </w:rPr>
        <w:t> :</w:t>
      </w:r>
      <w:r w:rsidR="00305162" w:rsidRPr="009415C9">
        <w:rPr>
          <w:rFonts w:eastAsia="PMingLiU"/>
          <w:szCs w:val="24"/>
          <w:lang w:val="fr-FR"/>
        </w:rPr>
        <w:t xml:space="preserve"> </w:t>
      </w:r>
      <w:r w:rsidR="00097FE6" w:rsidRPr="009415C9">
        <w:rPr>
          <w:rFonts w:eastAsia="PMingLiU"/>
          <w:szCs w:val="24"/>
          <w:lang w:val="fr-FR"/>
        </w:rPr>
        <w:tab/>
      </w:r>
      <w:r w:rsidR="00305162" w:rsidRPr="009415C9">
        <w:rPr>
          <w:rFonts w:eastAsia="PMingLiU"/>
          <w:szCs w:val="24"/>
          <w:lang w:val="fr-FR"/>
        </w:rPr>
        <w:t>Groupe de travail technique sur les plantes agricoles</w:t>
      </w:r>
    </w:p>
    <w:p w:rsidR="00A17213" w:rsidRPr="009415C9" w:rsidRDefault="00BF1A76" w:rsidP="00097FE6">
      <w:pPr>
        <w:keepNext/>
        <w:tabs>
          <w:tab w:val="left" w:pos="567"/>
          <w:tab w:val="left" w:pos="1701"/>
        </w:tabs>
        <w:ind w:left="1695" w:hanging="1695"/>
        <w:rPr>
          <w:rFonts w:eastAsia="PMingLiU"/>
          <w:szCs w:val="24"/>
          <w:lang w:val="fr-FR"/>
        </w:rPr>
      </w:pPr>
      <w:r w:rsidRPr="009415C9">
        <w:rPr>
          <w:rFonts w:eastAsia="PMingLiU"/>
          <w:szCs w:val="24"/>
          <w:lang w:val="fr-FR"/>
        </w:rPr>
        <w:tab/>
      </w:r>
      <w:r w:rsidR="00305162" w:rsidRPr="009415C9">
        <w:rPr>
          <w:rFonts w:eastAsia="PMingLiU"/>
          <w:szCs w:val="24"/>
          <w:lang w:val="fr-FR"/>
        </w:rPr>
        <w:t>TWC</w:t>
      </w:r>
      <w:r w:rsidR="00064E56" w:rsidRPr="009415C9">
        <w:rPr>
          <w:rFonts w:eastAsia="PMingLiU"/>
          <w:szCs w:val="24"/>
          <w:lang w:val="fr-FR"/>
        </w:rPr>
        <w:t> :</w:t>
      </w:r>
      <w:r w:rsidR="00305162" w:rsidRPr="009415C9">
        <w:rPr>
          <w:rFonts w:eastAsia="PMingLiU"/>
          <w:szCs w:val="24"/>
          <w:lang w:val="fr-FR"/>
        </w:rPr>
        <w:t xml:space="preserve"> </w:t>
      </w:r>
      <w:r w:rsidR="00097FE6" w:rsidRPr="009415C9">
        <w:rPr>
          <w:rFonts w:eastAsia="PMingLiU"/>
          <w:szCs w:val="24"/>
          <w:lang w:val="fr-FR"/>
        </w:rPr>
        <w:tab/>
      </w:r>
      <w:r w:rsidR="00305162" w:rsidRPr="009415C9">
        <w:rPr>
          <w:rFonts w:eastAsia="PMingLiU"/>
          <w:szCs w:val="24"/>
          <w:lang w:val="fr-FR"/>
        </w:rPr>
        <w:t>Groupe de travail technique sur les systèmes d</w:t>
      </w:r>
      <w:r w:rsidR="00402F0A" w:rsidRPr="009415C9">
        <w:rPr>
          <w:rFonts w:eastAsia="PMingLiU"/>
          <w:szCs w:val="24"/>
          <w:lang w:val="fr-FR"/>
        </w:rPr>
        <w:t>’</w:t>
      </w:r>
      <w:r w:rsidR="00305162" w:rsidRPr="009415C9">
        <w:rPr>
          <w:rFonts w:eastAsia="PMingLiU"/>
          <w:szCs w:val="24"/>
          <w:lang w:val="fr-FR"/>
        </w:rPr>
        <w:t>automatisation et les programmes d</w:t>
      </w:r>
      <w:r w:rsidR="00402F0A" w:rsidRPr="009415C9">
        <w:rPr>
          <w:rFonts w:eastAsia="PMingLiU"/>
          <w:szCs w:val="24"/>
          <w:lang w:val="fr-FR"/>
        </w:rPr>
        <w:t>’</w:t>
      </w:r>
      <w:r w:rsidR="00305162" w:rsidRPr="009415C9">
        <w:rPr>
          <w:rFonts w:eastAsia="PMingLiU"/>
          <w:szCs w:val="24"/>
          <w:lang w:val="fr-FR"/>
        </w:rPr>
        <w:t>ordinateur</w:t>
      </w:r>
    </w:p>
    <w:p w:rsidR="00A17213" w:rsidRPr="009415C9" w:rsidRDefault="00BF1A76" w:rsidP="00305162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9415C9">
        <w:rPr>
          <w:rFonts w:eastAsia="PMingLiU"/>
          <w:szCs w:val="24"/>
          <w:lang w:val="fr-FR"/>
        </w:rPr>
        <w:tab/>
      </w:r>
      <w:r w:rsidR="00305162" w:rsidRPr="009415C9">
        <w:rPr>
          <w:rFonts w:eastAsia="PMingLiU"/>
          <w:szCs w:val="24"/>
          <w:lang w:val="fr-FR"/>
        </w:rPr>
        <w:t>TWF</w:t>
      </w:r>
      <w:r w:rsidR="00064E56" w:rsidRPr="009415C9">
        <w:rPr>
          <w:rFonts w:eastAsia="PMingLiU"/>
          <w:szCs w:val="24"/>
          <w:lang w:val="fr-FR"/>
        </w:rPr>
        <w:t> </w:t>
      </w:r>
      <w:r w:rsidR="00305162" w:rsidRPr="009415C9">
        <w:rPr>
          <w:rFonts w:eastAsia="PMingLiU"/>
          <w:szCs w:val="24"/>
          <w:lang w:val="fr-FR"/>
        </w:rPr>
        <w:t xml:space="preserve">: </w:t>
      </w:r>
      <w:r w:rsidR="00097FE6" w:rsidRPr="009415C9">
        <w:rPr>
          <w:rFonts w:eastAsia="PMingLiU"/>
          <w:szCs w:val="24"/>
          <w:lang w:val="fr-FR"/>
        </w:rPr>
        <w:tab/>
      </w:r>
      <w:r w:rsidR="00305162" w:rsidRPr="009415C9">
        <w:rPr>
          <w:rFonts w:eastAsia="PMingLiU"/>
          <w:szCs w:val="24"/>
          <w:lang w:val="fr-FR"/>
        </w:rPr>
        <w:t>Groupe de travail technique sur les plantes fruitières</w:t>
      </w:r>
    </w:p>
    <w:p w:rsidR="00A17213" w:rsidRPr="009415C9" w:rsidRDefault="00BF1A76" w:rsidP="00305162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9415C9">
        <w:rPr>
          <w:rFonts w:eastAsia="PMingLiU"/>
          <w:szCs w:val="24"/>
          <w:lang w:val="fr-FR"/>
        </w:rPr>
        <w:tab/>
      </w:r>
      <w:r w:rsidR="00097FE6" w:rsidRPr="009415C9">
        <w:rPr>
          <w:rFonts w:eastAsia="PMingLiU"/>
          <w:szCs w:val="24"/>
          <w:lang w:val="fr-FR"/>
        </w:rPr>
        <w:t>TWO :</w:t>
      </w:r>
      <w:r w:rsidR="00064E56" w:rsidRPr="009415C9">
        <w:rPr>
          <w:rFonts w:eastAsia="PMingLiU"/>
          <w:szCs w:val="24"/>
          <w:lang w:val="fr-FR"/>
        </w:rPr>
        <w:t xml:space="preserve"> </w:t>
      </w:r>
      <w:r w:rsidR="00097FE6" w:rsidRPr="009415C9">
        <w:rPr>
          <w:rFonts w:eastAsia="PMingLiU"/>
          <w:szCs w:val="24"/>
          <w:lang w:val="fr-FR"/>
        </w:rPr>
        <w:tab/>
      </w:r>
      <w:r w:rsidR="00305162" w:rsidRPr="009415C9">
        <w:rPr>
          <w:rFonts w:eastAsia="PMingLiU"/>
          <w:szCs w:val="24"/>
          <w:lang w:val="fr-FR"/>
        </w:rPr>
        <w:t>Groupe de travail technique sur les plantes ornementales et les arbres forestiers</w:t>
      </w:r>
    </w:p>
    <w:p w:rsidR="00A17213" w:rsidRPr="009415C9" w:rsidRDefault="00BF1A76" w:rsidP="00305162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9415C9">
        <w:rPr>
          <w:rFonts w:eastAsia="PMingLiU"/>
          <w:szCs w:val="24"/>
          <w:lang w:val="fr-FR"/>
        </w:rPr>
        <w:tab/>
      </w:r>
      <w:r w:rsidR="00305162" w:rsidRPr="009415C9">
        <w:rPr>
          <w:rFonts w:eastAsia="PMingLiU"/>
          <w:szCs w:val="24"/>
          <w:lang w:val="fr-FR"/>
        </w:rPr>
        <w:t>TWP</w:t>
      </w:r>
      <w:r w:rsidR="00064E56" w:rsidRPr="009415C9">
        <w:rPr>
          <w:rFonts w:eastAsia="PMingLiU"/>
          <w:szCs w:val="24"/>
          <w:lang w:val="fr-FR"/>
        </w:rPr>
        <w:t> </w:t>
      </w:r>
      <w:r w:rsidR="00305162" w:rsidRPr="009415C9">
        <w:rPr>
          <w:rFonts w:eastAsia="PMingLiU"/>
          <w:szCs w:val="24"/>
          <w:lang w:val="fr-FR"/>
        </w:rPr>
        <w:t xml:space="preserve">: </w:t>
      </w:r>
      <w:r w:rsidR="00097FE6" w:rsidRPr="009415C9">
        <w:rPr>
          <w:rFonts w:eastAsia="PMingLiU"/>
          <w:szCs w:val="24"/>
          <w:lang w:val="fr-FR"/>
        </w:rPr>
        <w:tab/>
      </w:r>
      <w:r w:rsidR="00305162" w:rsidRPr="009415C9">
        <w:rPr>
          <w:rFonts w:eastAsia="PMingLiU"/>
          <w:szCs w:val="24"/>
          <w:lang w:val="fr-FR"/>
        </w:rPr>
        <w:t>Groupes de travail techniques</w:t>
      </w:r>
    </w:p>
    <w:p w:rsidR="00A17213" w:rsidRPr="009415C9" w:rsidRDefault="00BF1A76" w:rsidP="00305162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9415C9">
        <w:rPr>
          <w:rFonts w:eastAsia="PMingLiU"/>
          <w:szCs w:val="24"/>
          <w:lang w:val="fr-FR"/>
        </w:rPr>
        <w:tab/>
      </w:r>
      <w:r w:rsidR="00305162" w:rsidRPr="009415C9">
        <w:rPr>
          <w:rFonts w:eastAsia="PMingLiU"/>
          <w:szCs w:val="24"/>
          <w:lang w:val="fr-FR"/>
        </w:rPr>
        <w:t>TWV</w:t>
      </w:r>
      <w:r w:rsidR="00064E56" w:rsidRPr="009415C9">
        <w:rPr>
          <w:rFonts w:eastAsia="PMingLiU"/>
          <w:szCs w:val="24"/>
          <w:lang w:val="fr-FR"/>
        </w:rPr>
        <w:t> :</w:t>
      </w:r>
      <w:r w:rsidR="00305162" w:rsidRPr="009415C9">
        <w:rPr>
          <w:rFonts w:eastAsia="PMingLiU"/>
          <w:szCs w:val="24"/>
          <w:lang w:val="fr-FR"/>
        </w:rPr>
        <w:t xml:space="preserve"> </w:t>
      </w:r>
      <w:r w:rsidR="00097FE6" w:rsidRPr="009415C9">
        <w:rPr>
          <w:rFonts w:eastAsia="PMingLiU"/>
          <w:szCs w:val="24"/>
          <w:lang w:val="fr-FR"/>
        </w:rPr>
        <w:tab/>
      </w:r>
      <w:r w:rsidR="00305162" w:rsidRPr="009415C9">
        <w:rPr>
          <w:rFonts w:eastAsia="PMingLiU"/>
          <w:szCs w:val="24"/>
          <w:lang w:val="fr-FR"/>
        </w:rPr>
        <w:t>Groupe de travail technique sur les plantes potagères</w:t>
      </w:r>
    </w:p>
    <w:p w:rsidR="00A17213" w:rsidRPr="009415C9" w:rsidRDefault="00A17213" w:rsidP="00BF1A76">
      <w:pPr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</w:p>
    <w:p w:rsidR="00A17213" w:rsidRPr="009415C9" w:rsidRDefault="00A17213" w:rsidP="00BF1A76">
      <w:pPr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</w:p>
    <w:p w:rsidR="00A17213" w:rsidRPr="009415C9" w:rsidRDefault="00305162" w:rsidP="00305162">
      <w:pPr>
        <w:pStyle w:val="Heading1"/>
        <w:rPr>
          <w:rFonts w:eastAsia="PMingLiU"/>
          <w:szCs w:val="24"/>
          <w:lang w:val="fr-FR"/>
        </w:rPr>
      </w:pPr>
      <w:bookmarkStart w:id="5" w:name="_Toc411329130"/>
      <w:r w:rsidRPr="009415C9">
        <w:rPr>
          <w:rFonts w:eastAsia="PMingLiU"/>
          <w:szCs w:val="24"/>
          <w:lang w:val="fr-FR"/>
        </w:rPr>
        <w:t>Questions pour information et dÉcision Éventuelle du ComitÉ technique (TC)</w:t>
      </w:r>
      <w:bookmarkEnd w:id="5"/>
    </w:p>
    <w:p w:rsidR="00A17213" w:rsidRPr="009415C9" w:rsidRDefault="00A17213" w:rsidP="00BF1A76">
      <w:pPr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</w:p>
    <w:p w:rsidR="00A17213" w:rsidRPr="009415C9" w:rsidRDefault="00B16331" w:rsidP="00287DA1">
      <w:pPr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9415C9">
        <w:rPr>
          <w:rFonts w:eastAsia="PMingLiU"/>
          <w:szCs w:val="24"/>
          <w:lang w:val="fr-FR"/>
        </w:rPr>
        <w:fldChar w:fldCharType="begin"/>
      </w:r>
      <w:r w:rsidRPr="009415C9">
        <w:rPr>
          <w:rFonts w:eastAsia="PMingLiU"/>
          <w:szCs w:val="24"/>
          <w:lang w:val="fr-FR"/>
        </w:rPr>
        <w:instrText xml:space="preserve"> AUTONUM  </w:instrText>
      </w:r>
      <w:r w:rsidRPr="009415C9">
        <w:rPr>
          <w:rFonts w:eastAsia="PMingLiU"/>
          <w:szCs w:val="24"/>
          <w:lang w:val="fr-FR"/>
        </w:rPr>
        <w:fldChar w:fldCharType="end"/>
      </w:r>
      <w:r w:rsidRPr="009415C9">
        <w:rPr>
          <w:rFonts w:eastAsia="PMingLiU"/>
          <w:szCs w:val="24"/>
          <w:lang w:val="fr-FR"/>
        </w:rPr>
        <w:tab/>
      </w:r>
      <w:r w:rsidR="00287DA1" w:rsidRPr="009415C9">
        <w:rPr>
          <w:rFonts w:eastAsia="PMingLiU"/>
          <w:szCs w:val="24"/>
          <w:lang w:val="fr-FR"/>
        </w:rPr>
        <w:t>Il n</w:t>
      </w:r>
      <w:r w:rsidR="00402F0A" w:rsidRPr="009415C9">
        <w:rPr>
          <w:rFonts w:eastAsia="PMingLiU"/>
          <w:szCs w:val="24"/>
          <w:lang w:val="fr-FR"/>
        </w:rPr>
        <w:t>’</w:t>
      </w:r>
      <w:r w:rsidR="00287DA1" w:rsidRPr="009415C9">
        <w:rPr>
          <w:rFonts w:eastAsia="PMingLiU"/>
          <w:szCs w:val="24"/>
          <w:lang w:val="fr-FR"/>
        </w:rPr>
        <w:t xml:space="preserve">y a </w:t>
      </w:r>
      <w:r w:rsidR="007B7D17" w:rsidRPr="009415C9">
        <w:rPr>
          <w:rFonts w:eastAsia="PMingLiU"/>
          <w:szCs w:val="24"/>
          <w:lang w:val="fr-FR"/>
        </w:rPr>
        <w:t>aucune</w:t>
      </w:r>
      <w:r w:rsidR="00287DA1" w:rsidRPr="009415C9">
        <w:rPr>
          <w:rFonts w:eastAsia="PMingLiU"/>
          <w:szCs w:val="24"/>
          <w:lang w:val="fr-FR"/>
        </w:rPr>
        <w:t xml:space="preserve"> question pour décision du </w:t>
      </w:r>
      <w:r w:rsidR="00105F8E" w:rsidRPr="009415C9">
        <w:rPr>
          <w:rFonts w:eastAsia="PMingLiU"/>
          <w:szCs w:val="24"/>
          <w:lang w:val="fr-FR"/>
        </w:rPr>
        <w:t>Comité technique à sa cinquante </w:t>
      </w:r>
      <w:r w:rsidR="00287DA1" w:rsidRPr="009415C9">
        <w:rPr>
          <w:rFonts w:eastAsia="PMingLiU"/>
          <w:szCs w:val="24"/>
          <w:lang w:val="fr-FR"/>
        </w:rPr>
        <w:t>et</w:t>
      </w:r>
      <w:r w:rsidR="00105F8E" w:rsidRPr="009415C9">
        <w:rPr>
          <w:rFonts w:eastAsia="PMingLiU"/>
          <w:szCs w:val="24"/>
          <w:lang w:val="fr-FR"/>
        </w:rPr>
        <w:t> </w:t>
      </w:r>
      <w:r w:rsidR="00287DA1" w:rsidRPr="009415C9">
        <w:rPr>
          <w:rFonts w:eastAsia="PMingLiU"/>
          <w:szCs w:val="24"/>
          <w:lang w:val="fr-FR"/>
        </w:rPr>
        <w:t>unième</w:t>
      </w:r>
      <w:r w:rsidR="00064E56" w:rsidRPr="009415C9">
        <w:rPr>
          <w:rFonts w:eastAsia="PMingLiU"/>
          <w:szCs w:val="24"/>
          <w:lang w:val="fr-FR"/>
        </w:rPr>
        <w:t> </w:t>
      </w:r>
      <w:r w:rsidR="00287DA1" w:rsidRPr="009415C9">
        <w:rPr>
          <w:rFonts w:eastAsia="PMingLiU"/>
          <w:szCs w:val="24"/>
          <w:lang w:val="fr-FR"/>
        </w:rPr>
        <w:t>session.</w:t>
      </w:r>
    </w:p>
    <w:p w:rsidR="00A17213" w:rsidRPr="009415C9" w:rsidRDefault="00A17213" w:rsidP="00BF1A76">
      <w:pPr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</w:p>
    <w:p w:rsidR="00A17213" w:rsidRPr="009415C9" w:rsidRDefault="00A17213" w:rsidP="00BF1A76">
      <w:pPr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</w:p>
    <w:p w:rsidR="00A17213" w:rsidRPr="009415C9" w:rsidRDefault="00305162" w:rsidP="00305162">
      <w:pPr>
        <w:pStyle w:val="Heading1"/>
        <w:rPr>
          <w:lang w:val="fr-FR"/>
        </w:rPr>
      </w:pPr>
      <w:bookmarkStart w:id="6" w:name="_Toc411329131"/>
      <w:r w:rsidRPr="009415C9">
        <w:rPr>
          <w:lang w:val="fr-FR"/>
        </w:rPr>
        <w:t>Questions pour information</w:t>
      </w:r>
      <w:bookmarkEnd w:id="6"/>
    </w:p>
    <w:p w:rsidR="00A17213" w:rsidRDefault="00A17213" w:rsidP="00BF1A76">
      <w:pPr>
        <w:ind w:firstLine="567"/>
        <w:rPr>
          <w:i/>
          <w:lang w:val="fr-FR"/>
        </w:rPr>
      </w:pPr>
    </w:p>
    <w:p w:rsidR="00A17213" w:rsidRDefault="00287DA1" w:rsidP="00287DA1">
      <w:pPr>
        <w:pStyle w:val="Heading2"/>
        <w:rPr>
          <w:lang w:val="fr-FR"/>
        </w:rPr>
      </w:pPr>
      <w:bookmarkStart w:id="7" w:name="_Toc411329132"/>
      <w:r w:rsidRPr="00287DA1">
        <w:rPr>
          <w:color w:val="000000"/>
          <w:lang w:val="fr-FR"/>
        </w:rPr>
        <w:t>Durée des examens DHS dans le secteur des fruits</w:t>
      </w:r>
      <w:bookmarkEnd w:id="7"/>
    </w:p>
    <w:p w:rsidR="00A17213" w:rsidRDefault="00A17213" w:rsidP="003E606F">
      <w:pPr>
        <w:rPr>
          <w:lang w:val="fr-FR"/>
        </w:rPr>
      </w:pPr>
    </w:p>
    <w:p w:rsidR="00A17213" w:rsidRDefault="003E606F" w:rsidP="00287DA1">
      <w:pPr>
        <w:rPr>
          <w:lang w:val="fr-FR"/>
        </w:rPr>
      </w:pPr>
      <w:r w:rsidRPr="00097FE6">
        <w:rPr>
          <w:lang w:val="fr-FR"/>
        </w:rPr>
        <w:fldChar w:fldCharType="begin"/>
      </w:r>
      <w:r w:rsidRPr="00097FE6">
        <w:rPr>
          <w:lang w:val="fr-FR"/>
        </w:rPr>
        <w:instrText xml:space="preserve"> AUTONUM  </w:instrText>
      </w:r>
      <w:r w:rsidRPr="00097FE6">
        <w:rPr>
          <w:lang w:val="fr-FR"/>
        </w:rPr>
        <w:fldChar w:fldCharType="end"/>
      </w:r>
      <w:r w:rsidRPr="00097FE6">
        <w:rPr>
          <w:lang w:val="fr-FR"/>
        </w:rPr>
        <w:tab/>
      </w:r>
      <w:r w:rsidR="000E1C37" w:rsidRPr="00287DA1">
        <w:rPr>
          <w:color w:val="000000"/>
          <w:lang w:val="fr-FR"/>
        </w:rPr>
        <w:t>À sa quarante</w:t>
      </w:r>
      <w:r w:rsidR="00105F8E">
        <w:rPr>
          <w:color w:val="000000"/>
          <w:lang w:val="fr-FR"/>
        </w:rPr>
        <w:noBreakHyphen/>
      </w:r>
      <w:r w:rsidR="000E1C37" w:rsidRPr="00287DA1">
        <w:rPr>
          <w:color w:val="000000"/>
          <w:lang w:val="fr-FR"/>
        </w:rPr>
        <w:t>cinquième session,</w:t>
      </w:r>
      <w:r w:rsidR="00402F0A" w:rsidRPr="00287DA1">
        <w:rPr>
          <w:color w:val="000000"/>
          <w:lang w:val="fr-FR"/>
        </w:rPr>
        <w:t xml:space="preserve"> </w:t>
      </w:r>
      <w:r w:rsidR="00402F0A">
        <w:rPr>
          <w:color w:val="000000"/>
          <w:lang w:val="fr-FR"/>
        </w:rPr>
        <w:t>l</w:t>
      </w:r>
      <w:r w:rsidR="00402F0A" w:rsidRPr="00287DA1">
        <w:rPr>
          <w:color w:val="000000"/>
          <w:lang w:val="fr-FR"/>
        </w:rPr>
        <w:t>e</w:t>
      </w:r>
      <w:r w:rsidR="00402F0A">
        <w:rPr>
          <w:color w:val="000000"/>
          <w:lang w:val="fr-FR"/>
        </w:rPr>
        <w:t> </w:t>
      </w:r>
      <w:r w:rsidR="00402F0A" w:rsidRPr="00287DA1">
        <w:rPr>
          <w:color w:val="000000"/>
          <w:lang w:val="fr-FR"/>
        </w:rPr>
        <w:t>TWF</w:t>
      </w:r>
      <w:r w:rsidR="00287DA1" w:rsidRPr="00287DA1">
        <w:rPr>
          <w:color w:val="000000"/>
          <w:lang w:val="fr-FR"/>
        </w:rPr>
        <w:t xml:space="preserve"> a examiné le document TWF/45/27 “Use of Disease Resistance Char</w:t>
      </w:r>
      <w:r w:rsidR="000E1C37">
        <w:rPr>
          <w:color w:val="000000"/>
          <w:lang w:val="fr-FR"/>
        </w:rPr>
        <w:t>acteristics in DUS Examination”</w:t>
      </w:r>
      <w:r w:rsidR="00287DA1" w:rsidRPr="00287DA1">
        <w:rPr>
          <w:color w:val="000000"/>
          <w:lang w:val="fr-FR"/>
        </w:rPr>
        <w:t xml:space="preserve"> présenté par </w:t>
      </w:r>
      <w:r w:rsidR="000E1C37">
        <w:rPr>
          <w:color w:val="000000"/>
          <w:lang w:val="fr-FR"/>
        </w:rPr>
        <w:t>un expert de l</w:t>
      </w:r>
      <w:r w:rsidR="00402F0A">
        <w:rPr>
          <w:color w:val="000000"/>
          <w:lang w:val="fr-FR"/>
        </w:rPr>
        <w:t>’</w:t>
      </w:r>
      <w:r w:rsidR="000E1C37">
        <w:rPr>
          <w:color w:val="000000"/>
          <w:lang w:val="fr-FR"/>
        </w:rPr>
        <w:t>Union européenne</w:t>
      </w:r>
      <w:r w:rsidR="001972CC">
        <w:rPr>
          <w:color w:val="000000"/>
          <w:lang w:val="fr-FR"/>
        </w:rPr>
        <w:t>, qui portait</w:t>
      </w:r>
      <w:r w:rsidR="00287DA1" w:rsidRPr="00287DA1">
        <w:rPr>
          <w:color w:val="000000"/>
          <w:lang w:val="fr-FR"/>
        </w:rPr>
        <w:t xml:space="preserve"> sur la durée de l</w:t>
      </w:r>
      <w:r w:rsidR="00402F0A">
        <w:rPr>
          <w:color w:val="000000"/>
          <w:lang w:val="fr-FR"/>
        </w:rPr>
        <w:t>’</w:t>
      </w:r>
      <w:r w:rsidR="00287DA1" w:rsidRPr="00287DA1">
        <w:rPr>
          <w:color w:val="000000"/>
          <w:lang w:val="fr-FR"/>
        </w:rPr>
        <w:t>examen</w:t>
      </w:r>
      <w:r w:rsidR="00064E56">
        <w:rPr>
          <w:color w:val="000000"/>
          <w:lang w:val="fr-FR"/>
        </w:rPr>
        <w:t> </w:t>
      </w:r>
      <w:r w:rsidR="00287DA1" w:rsidRPr="00287DA1">
        <w:rPr>
          <w:color w:val="000000"/>
          <w:lang w:val="fr-FR"/>
        </w:rPr>
        <w:t>DHS dans le secteur des fruits.</w:t>
      </w:r>
    </w:p>
    <w:p w:rsidR="00A17213" w:rsidRDefault="00A17213" w:rsidP="003E606F">
      <w:pPr>
        <w:rPr>
          <w:lang w:val="fr-FR"/>
        </w:rPr>
      </w:pPr>
    </w:p>
    <w:p w:rsidR="00A17213" w:rsidRDefault="003E606F" w:rsidP="00287DA1">
      <w:pPr>
        <w:rPr>
          <w:lang w:val="fr-FR"/>
        </w:rPr>
      </w:pPr>
      <w:r w:rsidRPr="00097FE6">
        <w:rPr>
          <w:lang w:val="fr-FR"/>
        </w:rPr>
        <w:fldChar w:fldCharType="begin"/>
      </w:r>
      <w:r w:rsidRPr="00097FE6">
        <w:rPr>
          <w:lang w:val="fr-FR"/>
        </w:rPr>
        <w:instrText xml:space="preserve"> AUTONUM  </w:instrText>
      </w:r>
      <w:r w:rsidRPr="00097FE6">
        <w:rPr>
          <w:lang w:val="fr-FR"/>
        </w:rPr>
        <w:fldChar w:fldCharType="end"/>
      </w:r>
      <w:r w:rsidRPr="00097FE6">
        <w:rPr>
          <w:lang w:val="fr-FR"/>
        </w:rPr>
        <w:tab/>
      </w:r>
      <w:r w:rsidR="00287DA1" w:rsidRPr="00287DA1">
        <w:rPr>
          <w:color w:val="000000"/>
          <w:lang w:val="fr-FR"/>
        </w:rPr>
        <w:t xml:space="preserve">Le TWF a </w:t>
      </w:r>
      <w:r w:rsidR="000E1C37">
        <w:rPr>
          <w:color w:val="000000"/>
          <w:lang w:val="fr-FR"/>
        </w:rPr>
        <w:t>écouté</w:t>
      </w:r>
      <w:r w:rsidR="00287DA1" w:rsidRPr="00287DA1">
        <w:rPr>
          <w:color w:val="000000"/>
          <w:lang w:val="fr-FR"/>
        </w:rPr>
        <w:t xml:space="preserve"> un exposé </w:t>
      </w:r>
      <w:r w:rsidR="001972CC">
        <w:rPr>
          <w:color w:val="000000"/>
          <w:lang w:val="fr-FR"/>
        </w:rPr>
        <w:t>d’</w:t>
      </w:r>
      <w:r w:rsidR="00287DA1" w:rsidRPr="00287DA1">
        <w:rPr>
          <w:color w:val="000000"/>
          <w:lang w:val="fr-FR"/>
        </w:rPr>
        <w:t>un expert de l</w:t>
      </w:r>
      <w:r w:rsidR="00402F0A">
        <w:rPr>
          <w:color w:val="000000"/>
          <w:lang w:val="fr-FR"/>
        </w:rPr>
        <w:t>’</w:t>
      </w:r>
      <w:r w:rsidR="00287DA1" w:rsidRPr="00287DA1">
        <w:rPr>
          <w:color w:val="000000"/>
          <w:lang w:val="fr-FR"/>
        </w:rPr>
        <w:t>Union européenne sur un projet de l</w:t>
      </w:r>
      <w:r w:rsidR="00402F0A">
        <w:rPr>
          <w:color w:val="000000"/>
          <w:lang w:val="fr-FR"/>
        </w:rPr>
        <w:t>’</w:t>
      </w:r>
      <w:r w:rsidR="00287DA1" w:rsidRPr="00287DA1">
        <w:rPr>
          <w:color w:val="000000"/>
          <w:lang w:val="fr-FR"/>
        </w:rPr>
        <w:t>Office communautaire des variétés végétales (OCVV) de l</w:t>
      </w:r>
      <w:r w:rsidR="00402F0A">
        <w:rPr>
          <w:color w:val="000000"/>
          <w:lang w:val="fr-FR"/>
        </w:rPr>
        <w:t>’</w:t>
      </w:r>
      <w:r w:rsidR="00287DA1" w:rsidRPr="00287DA1">
        <w:rPr>
          <w:color w:val="000000"/>
          <w:lang w:val="fr-FR"/>
        </w:rPr>
        <w:t xml:space="preserve">Union européenne </w:t>
      </w:r>
      <w:r w:rsidR="000E1C37">
        <w:rPr>
          <w:color w:val="000000"/>
          <w:lang w:val="fr-FR"/>
        </w:rPr>
        <w:t>concernant</w:t>
      </w:r>
      <w:r w:rsidR="00287DA1" w:rsidRPr="00287DA1">
        <w:rPr>
          <w:color w:val="000000"/>
          <w:lang w:val="fr-FR"/>
        </w:rPr>
        <w:t xml:space="preserve"> la “Réduction du nombre de périodes d</w:t>
      </w:r>
      <w:r w:rsidR="00402F0A">
        <w:rPr>
          <w:color w:val="000000"/>
          <w:lang w:val="fr-FR"/>
        </w:rPr>
        <w:t>’</w:t>
      </w:r>
      <w:r w:rsidR="00287DA1" w:rsidRPr="00287DA1">
        <w:rPr>
          <w:color w:val="000000"/>
          <w:lang w:val="fr-FR"/>
        </w:rPr>
        <w:t>observation obligatoires dans l</w:t>
      </w:r>
      <w:r w:rsidR="00402F0A">
        <w:rPr>
          <w:color w:val="000000"/>
          <w:lang w:val="fr-FR"/>
        </w:rPr>
        <w:t>’</w:t>
      </w:r>
      <w:r w:rsidR="00287DA1" w:rsidRPr="00287DA1">
        <w:rPr>
          <w:color w:val="000000"/>
          <w:lang w:val="fr-FR"/>
        </w:rPr>
        <w:t>examen</w:t>
      </w:r>
      <w:r w:rsidR="00064E56">
        <w:rPr>
          <w:color w:val="000000"/>
          <w:lang w:val="fr-FR"/>
        </w:rPr>
        <w:t> </w:t>
      </w:r>
      <w:r w:rsidR="00287DA1" w:rsidRPr="00287DA1">
        <w:rPr>
          <w:color w:val="000000"/>
          <w:lang w:val="fr-FR"/>
        </w:rPr>
        <w:t>DHS de variétés candidates dans le secteur des plantes fruitières”.</w:t>
      </w:r>
      <w:r w:rsidRPr="00105F8E">
        <w:rPr>
          <w:color w:val="000000"/>
          <w:lang w:val="fr-FR"/>
        </w:rPr>
        <w:t xml:space="preserve"> </w:t>
      </w:r>
      <w:r w:rsidR="00064E56">
        <w:rPr>
          <w:color w:val="000000"/>
          <w:lang w:val="fr-FR"/>
        </w:rPr>
        <w:t xml:space="preserve"> </w:t>
      </w:r>
      <w:r w:rsidR="000E1C37">
        <w:rPr>
          <w:lang w:val="fr-FR"/>
        </w:rPr>
        <w:t>L</w:t>
      </w:r>
      <w:r w:rsidR="00402F0A">
        <w:rPr>
          <w:color w:val="000000"/>
          <w:lang w:val="fr-FR"/>
        </w:rPr>
        <w:t>’</w:t>
      </w:r>
      <w:r w:rsidR="00287DA1" w:rsidRPr="00287DA1">
        <w:rPr>
          <w:color w:val="000000"/>
          <w:lang w:val="fr-FR"/>
        </w:rPr>
        <w:t xml:space="preserve">exposé est reproduit dans le document </w:t>
      </w:r>
      <w:r w:rsidR="00287DA1" w:rsidRPr="001972CC">
        <w:rPr>
          <w:color w:val="000000"/>
          <w:lang w:val="fr-FR"/>
        </w:rPr>
        <w:t>TWF/45/27</w:t>
      </w:r>
      <w:r w:rsidR="00064E56" w:rsidRPr="001972CC">
        <w:rPr>
          <w:color w:val="000000"/>
          <w:lang w:val="fr-FR"/>
        </w:rPr>
        <w:t> </w:t>
      </w:r>
      <w:r w:rsidR="00287DA1" w:rsidRPr="001972CC">
        <w:rPr>
          <w:color w:val="000000"/>
          <w:lang w:val="fr-FR"/>
        </w:rPr>
        <w:t>Add.</w:t>
      </w:r>
    </w:p>
    <w:p w:rsidR="00A17213" w:rsidRDefault="00A17213" w:rsidP="003E606F">
      <w:pPr>
        <w:rPr>
          <w:lang w:val="fr-FR"/>
        </w:rPr>
      </w:pPr>
    </w:p>
    <w:p w:rsidR="00402F0A" w:rsidRDefault="003E606F" w:rsidP="002E2E04">
      <w:pPr>
        <w:rPr>
          <w:lang w:val="fr-FR"/>
        </w:rPr>
      </w:pPr>
      <w:r w:rsidRPr="00097FE6">
        <w:rPr>
          <w:lang w:val="fr-FR"/>
        </w:rPr>
        <w:fldChar w:fldCharType="begin"/>
      </w:r>
      <w:r w:rsidRPr="00097FE6">
        <w:rPr>
          <w:lang w:val="fr-FR"/>
        </w:rPr>
        <w:instrText xml:space="preserve"> AUTONUM  </w:instrText>
      </w:r>
      <w:r w:rsidRPr="00097FE6">
        <w:rPr>
          <w:lang w:val="fr-FR"/>
        </w:rPr>
        <w:fldChar w:fldCharType="end"/>
      </w:r>
      <w:r w:rsidRPr="00097FE6">
        <w:rPr>
          <w:lang w:val="fr-FR"/>
        </w:rPr>
        <w:tab/>
      </w:r>
      <w:r w:rsidR="0086126C" w:rsidRPr="0086126C">
        <w:rPr>
          <w:color w:val="000000"/>
          <w:lang w:val="fr-FR"/>
        </w:rPr>
        <w:t>Le TWF est convenu que le texte standard utilisé actuellement dans certains principes directeurs d</w:t>
      </w:r>
      <w:r w:rsidR="00402F0A">
        <w:rPr>
          <w:color w:val="000000"/>
          <w:lang w:val="fr-FR"/>
        </w:rPr>
        <w:t>’</w:t>
      </w:r>
      <w:r w:rsidR="0086126C" w:rsidRPr="0086126C">
        <w:rPr>
          <w:color w:val="000000"/>
          <w:lang w:val="fr-FR"/>
        </w:rPr>
        <w:t>examen relatifs aux plantes fruitières concernant la durée minimale et le nombre de cycles de végétation pouvait être amélioré dans certains cas.</w:t>
      </w:r>
      <w:r w:rsidRPr="00105F8E">
        <w:rPr>
          <w:color w:val="000000"/>
          <w:lang w:val="fr-FR"/>
        </w:rPr>
        <w:t xml:space="preserve"> </w:t>
      </w:r>
      <w:r w:rsidR="00064E56">
        <w:rPr>
          <w:color w:val="000000"/>
          <w:lang w:val="fr-FR"/>
        </w:rPr>
        <w:t xml:space="preserve"> </w:t>
      </w:r>
      <w:r w:rsidR="002E2E04" w:rsidRPr="002E2E04">
        <w:rPr>
          <w:color w:val="000000"/>
          <w:lang w:val="fr-FR"/>
        </w:rPr>
        <w:t>Il a donc demandé aux experts principaux de proposer un texte approprié pour les projets de principes directeurs d</w:t>
      </w:r>
      <w:r w:rsidR="00402F0A">
        <w:rPr>
          <w:color w:val="000000"/>
          <w:lang w:val="fr-FR"/>
        </w:rPr>
        <w:t>’</w:t>
      </w:r>
      <w:r w:rsidR="002E2E04" w:rsidRPr="002E2E04">
        <w:rPr>
          <w:color w:val="000000"/>
          <w:lang w:val="fr-FR"/>
        </w:rPr>
        <w:t>examen en</w:t>
      </w:r>
      <w:r w:rsidR="00064E56">
        <w:rPr>
          <w:color w:val="000000"/>
          <w:lang w:val="fr-FR"/>
        </w:rPr>
        <w:t> </w:t>
      </w:r>
      <w:r w:rsidR="002E2E04" w:rsidRPr="002E2E04">
        <w:rPr>
          <w:color w:val="000000"/>
          <w:lang w:val="fr-FR"/>
        </w:rPr>
        <w:t>2015 et à l</w:t>
      </w:r>
      <w:r w:rsidR="00402F0A">
        <w:rPr>
          <w:color w:val="000000"/>
          <w:lang w:val="fr-FR"/>
        </w:rPr>
        <w:t>’</w:t>
      </w:r>
      <w:r w:rsidR="002E2E04" w:rsidRPr="002E2E04">
        <w:rPr>
          <w:color w:val="000000"/>
          <w:lang w:val="fr-FR"/>
        </w:rPr>
        <w:t>expert de l</w:t>
      </w:r>
      <w:r w:rsidR="00402F0A">
        <w:rPr>
          <w:color w:val="000000"/>
          <w:lang w:val="fr-FR"/>
        </w:rPr>
        <w:t>’</w:t>
      </w:r>
      <w:r w:rsidR="002E2E04" w:rsidRPr="002E2E04">
        <w:rPr>
          <w:color w:val="000000"/>
          <w:lang w:val="fr-FR"/>
        </w:rPr>
        <w:t>Union européenne de dresser la li</w:t>
      </w:r>
      <w:r w:rsidR="00E81C94">
        <w:rPr>
          <w:color w:val="000000"/>
          <w:lang w:val="fr-FR"/>
        </w:rPr>
        <w:t>s</w:t>
      </w:r>
      <w:r w:rsidR="002E2E04" w:rsidRPr="002E2E04">
        <w:rPr>
          <w:color w:val="000000"/>
          <w:lang w:val="fr-FR"/>
        </w:rPr>
        <w:t>te des options établies par les experts principaux et de s</w:t>
      </w:r>
      <w:r w:rsidR="00402F0A">
        <w:rPr>
          <w:color w:val="000000"/>
          <w:lang w:val="fr-FR"/>
        </w:rPr>
        <w:t>’</w:t>
      </w:r>
      <w:r w:rsidR="002E2E04" w:rsidRPr="002E2E04">
        <w:rPr>
          <w:color w:val="000000"/>
          <w:lang w:val="fr-FR"/>
        </w:rPr>
        <w:t>efforcer d</w:t>
      </w:r>
      <w:r w:rsidR="00402F0A">
        <w:rPr>
          <w:color w:val="000000"/>
          <w:lang w:val="fr-FR"/>
        </w:rPr>
        <w:t>’</w:t>
      </w:r>
      <w:r w:rsidR="002E2E04" w:rsidRPr="002E2E04">
        <w:rPr>
          <w:color w:val="000000"/>
          <w:lang w:val="fr-FR"/>
        </w:rPr>
        <w:t>élaborer de nouvelles options éventuelles de texte standard (voir les paragraphes</w:t>
      </w:r>
      <w:r w:rsidR="00064E56">
        <w:rPr>
          <w:color w:val="000000"/>
          <w:lang w:val="fr-FR"/>
        </w:rPr>
        <w:t> </w:t>
      </w:r>
      <w:r w:rsidR="002E2E04" w:rsidRPr="002E2E04">
        <w:rPr>
          <w:color w:val="000000"/>
          <w:lang w:val="fr-FR"/>
        </w:rPr>
        <w:t>74 à 76 du document TWF/45/32 “Report”).</w:t>
      </w:r>
    </w:p>
    <w:p w:rsidR="00A17213" w:rsidRDefault="00A17213" w:rsidP="00B16331">
      <w:pPr>
        <w:rPr>
          <w:lang w:val="fr-FR"/>
        </w:rPr>
      </w:pPr>
    </w:p>
    <w:p w:rsidR="00A17213" w:rsidRDefault="00A17213" w:rsidP="00B16331">
      <w:pPr>
        <w:rPr>
          <w:i/>
          <w:lang w:val="fr-FR"/>
        </w:rPr>
      </w:pPr>
    </w:p>
    <w:p w:rsidR="00A17213" w:rsidRDefault="002E2E04" w:rsidP="002E2E04">
      <w:pPr>
        <w:pStyle w:val="Heading2"/>
        <w:rPr>
          <w:lang w:val="fr-FR"/>
        </w:rPr>
      </w:pPr>
      <w:bookmarkStart w:id="8" w:name="_Toc411329133"/>
      <w:r w:rsidRPr="002E2E04">
        <w:rPr>
          <w:color w:val="000000"/>
          <w:lang w:val="fr-FR"/>
        </w:rPr>
        <w:t>Utilisation de caractères de résistance aux maladies dans l</w:t>
      </w:r>
      <w:r w:rsidR="00402F0A">
        <w:rPr>
          <w:color w:val="000000"/>
          <w:lang w:val="fr-FR"/>
        </w:rPr>
        <w:t>’</w:t>
      </w:r>
      <w:r w:rsidRPr="002E2E04">
        <w:rPr>
          <w:color w:val="000000"/>
          <w:lang w:val="fr-FR"/>
        </w:rPr>
        <w:t>examen DHS</w:t>
      </w:r>
      <w:bookmarkEnd w:id="8"/>
    </w:p>
    <w:p w:rsidR="00A17213" w:rsidRDefault="00A17213" w:rsidP="00E543E8">
      <w:pPr>
        <w:rPr>
          <w:lang w:val="fr-FR"/>
        </w:rPr>
      </w:pPr>
    </w:p>
    <w:p w:rsidR="00A17213" w:rsidRDefault="00CF4AF9" w:rsidP="00BA3E3C">
      <w:pPr>
        <w:autoSpaceDE w:val="0"/>
        <w:autoSpaceDN w:val="0"/>
        <w:adjustRightInd w:val="0"/>
        <w:rPr>
          <w:lang w:val="fr-FR"/>
        </w:rPr>
      </w:pPr>
      <w:r w:rsidRPr="00097FE6">
        <w:rPr>
          <w:lang w:val="fr-FR"/>
        </w:rPr>
        <w:fldChar w:fldCharType="begin"/>
      </w:r>
      <w:r w:rsidRPr="00097FE6">
        <w:rPr>
          <w:lang w:val="fr-FR"/>
        </w:rPr>
        <w:instrText xml:space="preserve"> AUTONUM  </w:instrText>
      </w:r>
      <w:r w:rsidRPr="00097FE6">
        <w:rPr>
          <w:lang w:val="fr-FR"/>
        </w:rPr>
        <w:fldChar w:fldCharType="end"/>
      </w:r>
      <w:r w:rsidRPr="00097FE6">
        <w:rPr>
          <w:lang w:val="fr-FR"/>
        </w:rPr>
        <w:tab/>
      </w:r>
      <w:r w:rsidR="00BA3E3C" w:rsidRPr="00BA3E3C">
        <w:rPr>
          <w:color w:val="000000"/>
          <w:lang w:val="fr-FR"/>
        </w:rPr>
        <w:t>Le TWV, à sa quarante</w:t>
      </w:r>
      <w:r w:rsidR="00105F8E">
        <w:rPr>
          <w:color w:val="000000"/>
          <w:lang w:val="fr-FR"/>
        </w:rPr>
        <w:noBreakHyphen/>
      </w:r>
      <w:r w:rsidR="007B7D17">
        <w:rPr>
          <w:color w:val="000000"/>
          <w:lang w:val="fr-FR"/>
        </w:rPr>
        <w:t>huitième session, a écouté l’</w:t>
      </w:r>
      <w:r w:rsidR="00BA3E3C" w:rsidRPr="00BA3E3C">
        <w:rPr>
          <w:color w:val="000000"/>
          <w:lang w:val="fr-FR"/>
        </w:rPr>
        <w:t>exposé d</w:t>
      </w:r>
      <w:r w:rsidR="00402F0A">
        <w:rPr>
          <w:color w:val="000000"/>
          <w:lang w:val="fr-FR"/>
        </w:rPr>
        <w:t>’</w:t>
      </w:r>
      <w:r w:rsidR="00BA3E3C" w:rsidRPr="00BA3E3C">
        <w:rPr>
          <w:color w:val="000000"/>
          <w:lang w:val="fr-FR"/>
        </w:rPr>
        <w:t>un expert de l</w:t>
      </w:r>
      <w:r w:rsidR="00402F0A">
        <w:rPr>
          <w:color w:val="000000"/>
          <w:lang w:val="fr-FR"/>
        </w:rPr>
        <w:t>’</w:t>
      </w:r>
      <w:r w:rsidR="00BA3E3C" w:rsidRPr="00BA3E3C">
        <w:rPr>
          <w:color w:val="000000"/>
          <w:lang w:val="fr-FR"/>
        </w:rPr>
        <w:t>Union européenne sur “l</w:t>
      </w:r>
      <w:r w:rsidR="00402F0A">
        <w:rPr>
          <w:color w:val="000000"/>
          <w:lang w:val="fr-FR"/>
        </w:rPr>
        <w:t>’</w:t>
      </w:r>
      <w:r w:rsidR="00BA3E3C" w:rsidRPr="00BA3E3C">
        <w:rPr>
          <w:color w:val="000000"/>
          <w:lang w:val="fr-FR"/>
        </w:rPr>
        <w:t>utilisation de caractères de résistance aux maladies dans l</w:t>
      </w:r>
      <w:r w:rsidR="00402F0A">
        <w:rPr>
          <w:color w:val="000000"/>
          <w:lang w:val="fr-FR"/>
        </w:rPr>
        <w:t>’</w:t>
      </w:r>
      <w:r w:rsidR="007B7D17">
        <w:rPr>
          <w:color w:val="000000"/>
          <w:lang w:val="fr-FR"/>
        </w:rPr>
        <w:t>examen DHS”, l’</w:t>
      </w:r>
      <w:r w:rsidR="00BA3E3C" w:rsidRPr="00BA3E3C">
        <w:rPr>
          <w:color w:val="000000"/>
          <w:lang w:val="fr-FR"/>
        </w:rPr>
        <w:t>exposé d</w:t>
      </w:r>
      <w:r w:rsidR="00402F0A">
        <w:rPr>
          <w:color w:val="000000"/>
          <w:lang w:val="fr-FR"/>
        </w:rPr>
        <w:t>’</w:t>
      </w:r>
      <w:r w:rsidR="00BA3E3C" w:rsidRPr="00BA3E3C">
        <w:rPr>
          <w:color w:val="000000"/>
          <w:lang w:val="fr-FR"/>
        </w:rPr>
        <w:t xml:space="preserve">un expert de la European Seed Association (ESA) </w:t>
      </w:r>
      <w:r w:rsidR="000E1C37">
        <w:rPr>
          <w:color w:val="000000"/>
          <w:lang w:val="fr-FR"/>
        </w:rPr>
        <w:t>sur une</w:t>
      </w:r>
      <w:r w:rsidR="00BA3E3C" w:rsidRPr="00BA3E3C">
        <w:rPr>
          <w:color w:val="000000"/>
          <w:lang w:val="fr-FR"/>
        </w:rPr>
        <w:t xml:space="preserve"> “</w:t>
      </w:r>
      <w:r w:rsidR="000E1C37">
        <w:rPr>
          <w:color w:val="000000"/>
          <w:lang w:val="fr-FR"/>
        </w:rPr>
        <w:t>enquête de l</w:t>
      </w:r>
      <w:r w:rsidR="00402F0A">
        <w:rPr>
          <w:color w:val="000000"/>
          <w:lang w:val="fr-FR"/>
        </w:rPr>
        <w:t>’</w:t>
      </w:r>
      <w:r w:rsidR="000E1C37">
        <w:rPr>
          <w:color w:val="000000"/>
          <w:lang w:val="fr-FR"/>
        </w:rPr>
        <w:t>OCVV concernant les caractères de résistance aux maladies dans les protocoles relatifs aux plantes potagères</w:t>
      </w:r>
      <w:r w:rsidR="007B7D17">
        <w:rPr>
          <w:color w:val="000000"/>
          <w:lang w:val="fr-FR"/>
        </w:rPr>
        <w:t>” et l’</w:t>
      </w:r>
      <w:r w:rsidR="00BA3E3C" w:rsidRPr="00BA3E3C">
        <w:rPr>
          <w:color w:val="000000"/>
          <w:lang w:val="fr-FR"/>
        </w:rPr>
        <w:t>exposé d</w:t>
      </w:r>
      <w:r w:rsidR="00402F0A">
        <w:rPr>
          <w:color w:val="000000"/>
          <w:lang w:val="fr-FR"/>
        </w:rPr>
        <w:t>’</w:t>
      </w:r>
      <w:r w:rsidR="00BA3E3C" w:rsidRPr="00BA3E3C">
        <w:rPr>
          <w:color w:val="000000"/>
          <w:lang w:val="fr-FR"/>
        </w:rPr>
        <w:t>un expert de l</w:t>
      </w:r>
      <w:r w:rsidR="00402F0A">
        <w:rPr>
          <w:color w:val="000000"/>
          <w:lang w:val="fr-FR"/>
        </w:rPr>
        <w:t>’</w:t>
      </w:r>
      <w:r w:rsidR="00BA3E3C" w:rsidRPr="00BA3E3C">
        <w:rPr>
          <w:color w:val="000000"/>
          <w:lang w:val="fr-FR"/>
        </w:rPr>
        <w:t xml:space="preserve">Italie </w:t>
      </w:r>
      <w:r w:rsidR="000E1C37">
        <w:rPr>
          <w:color w:val="000000"/>
          <w:lang w:val="fr-FR"/>
        </w:rPr>
        <w:t xml:space="preserve">présentant </w:t>
      </w:r>
      <w:r w:rsidR="00BA3E3C" w:rsidRPr="00BA3E3C">
        <w:rPr>
          <w:color w:val="000000"/>
          <w:lang w:val="fr-FR"/>
        </w:rPr>
        <w:t>“</w:t>
      </w:r>
      <w:r w:rsidR="000E1C37">
        <w:rPr>
          <w:color w:val="000000"/>
          <w:lang w:val="fr-FR"/>
        </w:rPr>
        <w:t>un aperçu des tests de résistance aux maladies menés sur des variétés de plantes potagères en Italie</w:t>
      </w:r>
      <w:r w:rsidR="00BA3E3C" w:rsidRPr="00BA3E3C">
        <w:rPr>
          <w:color w:val="000000"/>
          <w:lang w:val="fr-FR"/>
        </w:rPr>
        <w:t>”, qui sont reproduits dans le document TWV/48/27</w:t>
      </w:r>
      <w:r w:rsidR="00064E56">
        <w:rPr>
          <w:color w:val="000000"/>
          <w:lang w:val="fr-FR"/>
        </w:rPr>
        <w:t> </w:t>
      </w:r>
      <w:r w:rsidR="00BA3E3C" w:rsidRPr="00BA3E3C">
        <w:rPr>
          <w:color w:val="000000"/>
          <w:lang w:val="fr-FR"/>
        </w:rPr>
        <w:t>Add.</w:t>
      </w:r>
    </w:p>
    <w:p w:rsidR="00A17213" w:rsidRDefault="00A17213" w:rsidP="00E543E8">
      <w:pPr>
        <w:rPr>
          <w:lang w:val="fr-FR"/>
        </w:rPr>
      </w:pPr>
    </w:p>
    <w:p w:rsidR="00A17213" w:rsidRDefault="00CF4AF9" w:rsidP="00F50A13">
      <w:pPr>
        <w:rPr>
          <w:lang w:val="fr-FR"/>
        </w:rPr>
      </w:pPr>
      <w:r w:rsidRPr="00097FE6">
        <w:rPr>
          <w:lang w:val="fr-FR"/>
        </w:rPr>
        <w:fldChar w:fldCharType="begin"/>
      </w:r>
      <w:r w:rsidRPr="00097FE6">
        <w:rPr>
          <w:lang w:val="fr-FR"/>
        </w:rPr>
        <w:instrText xml:space="preserve"> AUTONUM  </w:instrText>
      </w:r>
      <w:r w:rsidRPr="00097FE6">
        <w:rPr>
          <w:lang w:val="fr-FR"/>
        </w:rPr>
        <w:fldChar w:fldCharType="end"/>
      </w:r>
      <w:r w:rsidRPr="00097FE6">
        <w:rPr>
          <w:lang w:val="fr-FR"/>
        </w:rPr>
        <w:tab/>
      </w:r>
      <w:r w:rsidR="00F50A13" w:rsidRPr="00F50A13">
        <w:rPr>
          <w:color w:val="000000"/>
          <w:lang w:val="fr-FR"/>
        </w:rPr>
        <w:t>Le TWV a reconnu l</w:t>
      </w:r>
      <w:r w:rsidR="00402F0A">
        <w:rPr>
          <w:color w:val="000000"/>
          <w:lang w:val="fr-FR"/>
        </w:rPr>
        <w:t>’</w:t>
      </w:r>
      <w:r w:rsidR="00F50A13" w:rsidRPr="00F50A13">
        <w:rPr>
          <w:color w:val="000000"/>
          <w:lang w:val="fr-FR"/>
        </w:rPr>
        <w:t>importance et l</w:t>
      </w:r>
      <w:r w:rsidR="00402F0A">
        <w:rPr>
          <w:color w:val="000000"/>
          <w:lang w:val="fr-FR"/>
        </w:rPr>
        <w:t>’</w:t>
      </w:r>
      <w:r w:rsidR="00F50A13" w:rsidRPr="00F50A13">
        <w:rPr>
          <w:color w:val="000000"/>
          <w:lang w:val="fr-FR"/>
        </w:rPr>
        <w:t>intérêt de l</w:t>
      </w:r>
      <w:r w:rsidR="00402F0A">
        <w:rPr>
          <w:color w:val="000000"/>
          <w:lang w:val="fr-FR"/>
        </w:rPr>
        <w:t>’</w:t>
      </w:r>
      <w:r w:rsidR="00F50A13" w:rsidRPr="00F50A13">
        <w:rPr>
          <w:color w:val="000000"/>
          <w:lang w:val="fr-FR"/>
        </w:rPr>
        <w:t>utilisation des caractères de résistance aux maladies dans les principes directeurs d</w:t>
      </w:r>
      <w:r w:rsidR="00402F0A">
        <w:rPr>
          <w:color w:val="000000"/>
          <w:lang w:val="fr-FR"/>
        </w:rPr>
        <w:t>’</w:t>
      </w:r>
      <w:r w:rsidR="00F50A13" w:rsidRPr="00F50A13">
        <w:rPr>
          <w:color w:val="000000"/>
          <w:lang w:val="fr-FR"/>
        </w:rPr>
        <w:t>examen de l</w:t>
      </w:r>
      <w:r w:rsidR="00402F0A">
        <w:rPr>
          <w:color w:val="000000"/>
          <w:lang w:val="fr-FR"/>
        </w:rPr>
        <w:t>’</w:t>
      </w:r>
      <w:r w:rsidR="00F50A13" w:rsidRPr="00F50A13">
        <w:rPr>
          <w:color w:val="000000"/>
          <w:lang w:val="fr-FR"/>
        </w:rPr>
        <w:t>UPOV.</w:t>
      </w:r>
      <w:r w:rsidRPr="00105F8E">
        <w:rPr>
          <w:color w:val="000000"/>
          <w:lang w:val="fr-FR"/>
        </w:rPr>
        <w:t xml:space="preserve"> </w:t>
      </w:r>
      <w:r w:rsidR="00064E56">
        <w:rPr>
          <w:color w:val="000000"/>
          <w:lang w:val="fr-FR"/>
        </w:rPr>
        <w:t xml:space="preserve"> </w:t>
      </w:r>
      <w:r w:rsidR="00F50A13" w:rsidRPr="00F50A13">
        <w:rPr>
          <w:color w:val="000000"/>
          <w:lang w:val="fr-FR"/>
        </w:rPr>
        <w:t xml:space="preserve">Il </w:t>
      </w:r>
      <w:r w:rsidR="001972CC">
        <w:rPr>
          <w:color w:val="000000"/>
          <w:lang w:val="fr-FR"/>
        </w:rPr>
        <w:t>a</w:t>
      </w:r>
      <w:r w:rsidR="00F50A13" w:rsidRPr="00F50A13">
        <w:rPr>
          <w:color w:val="000000"/>
          <w:lang w:val="fr-FR"/>
        </w:rPr>
        <w:t xml:space="preserve"> ensuite </w:t>
      </w:r>
      <w:r w:rsidR="001972CC">
        <w:rPr>
          <w:color w:val="000000"/>
          <w:lang w:val="fr-FR"/>
        </w:rPr>
        <w:t>reconnu</w:t>
      </w:r>
      <w:r w:rsidR="00F50A13" w:rsidRPr="00F50A13">
        <w:rPr>
          <w:color w:val="000000"/>
          <w:lang w:val="fr-FR"/>
        </w:rPr>
        <w:t xml:space="preserve"> qu</w:t>
      </w:r>
      <w:r w:rsidR="00402F0A">
        <w:rPr>
          <w:color w:val="000000"/>
          <w:lang w:val="fr-FR"/>
        </w:rPr>
        <w:t>’</w:t>
      </w:r>
      <w:r w:rsidR="00F50A13" w:rsidRPr="00F50A13">
        <w:rPr>
          <w:color w:val="000000"/>
          <w:lang w:val="fr-FR"/>
        </w:rPr>
        <w:t>il convenait d</w:t>
      </w:r>
      <w:r w:rsidR="00402F0A">
        <w:rPr>
          <w:color w:val="000000"/>
          <w:lang w:val="fr-FR"/>
        </w:rPr>
        <w:t>’</w:t>
      </w:r>
      <w:r w:rsidR="00F50A13" w:rsidRPr="00F50A13">
        <w:rPr>
          <w:color w:val="000000"/>
          <w:lang w:val="fr-FR"/>
        </w:rPr>
        <w:t>accorder une attention particulière à la révision ou à la rédaction des principes directeurs d</w:t>
      </w:r>
      <w:r w:rsidR="00402F0A">
        <w:rPr>
          <w:color w:val="000000"/>
          <w:lang w:val="fr-FR"/>
        </w:rPr>
        <w:t>’</w:t>
      </w:r>
      <w:r w:rsidR="00F50A13" w:rsidRPr="00F50A13">
        <w:rPr>
          <w:color w:val="000000"/>
          <w:lang w:val="fr-FR"/>
        </w:rPr>
        <w:t>examen pour les caractères de</w:t>
      </w:r>
      <w:r w:rsidR="000E1C37">
        <w:rPr>
          <w:color w:val="000000"/>
          <w:lang w:val="fr-FR"/>
        </w:rPr>
        <w:t xml:space="preserve"> résistance aux maladies afin d</w:t>
      </w:r>
      <w:r w:rsidR="00402F0A">
        <w:rPr>
          <w:color w:val="000000"/>
          <w:lang w:val="fr-FR"/>
        </w:rPr>
        <w:t>’</w:t>
      </w:r>
      <w:r w:rsidR="000E1C37">
        <w:rPr>
          <w:color w:val="000000"/>
          <w:lang w:val="fr-FR"/>
        </w:rPr>
        <w:t xml:space="preserve">élaborer </w:t>
      </w:r>
      <w:r w:rsidR="00F50A13" w:rsidRPr="00F50A13">
        <w:rPr>
          <w:color w:val="000000"/>
          <w:lang w:val="fr-FR"/>
        </w:rPr>
        <w:t xml:space="preserve">une méthode </w:t>
      </w:r>
      <w:r w:rsidR="000E1C37">
        <w:rPr>
          <w:color w:val="000000"/>
          <w:lang w:val="fr-FR"/>
        </w:rPr>
        <w:t>claire et complète (par exemple en ce qui concerne</w:t>
      </w:r>
      <w:r w:rsidR="00F50A13" w:rsidRPr="00F50A13">
        <w:rPr>
          <w:color w:val="000000"/>
          <w:lang w:val="fr-FR"/>
        </w:rPr>
        <w:t xml:space="preserve"> la disponibilité de l</w:t>
      </w:r>
      <w:r w:rsidR="00402F0A">
        <w:rPr>
          <w:color w:val="000000"/>
          <w:lang w:val="fr-FR"/>
        </w:rPr>
        <w:t>’</w:t>
      </w:r>
      <w:r w:rsidR="00F50A13" w:rsidRPr="00F50A13">
        <w:rPr>
          <w:color w:val="000000"/>
          <w:lang w:val="fr-FR"/>
        </w:rPr>
        <w:t>isolat).</w:t>
      </w:r>
    </w:p>
    <w:p w:rsidR="00A17213" w:rsidRDefault="00A17213" w:rsidP="00E543E8">
      <w:pPr>
        <w:rPr>
          <w:lang w:val="fr-FR"/>
        </w:rPr>
      </w:pPr>
    </w:p>
    <w:p w:rsidR="00A17213" w:rsidRDefault="00CF4AF9" w:rsidP="0046636F">
      <w:pPr>
        <w:autoSpaceDE w:val="0"/>
        <w:autoSpaceDN w:val="0"/>
        <w:adjustRightInd w:val="0"/>
        <w:rPr>
          <w:lang w:val="fr-FR"/>
        </w:rPr>
      </w:pPr>
      <w:r w:rsidRPr="00097FE6">
        <w:rPr>
          <w:lang w:val="fr-FR"/>
        </w:rPr>
        <w:fldChar w:fldCharType="begin"/>
      </w:r>
      <w:r w:rsidRPr="00097FE6">
        <w:rPr>
          <w:lang w:val="fr-FR"/>
        </w:rPr>
        <w:instrText xml:space="preserve"> AUTONUM  </w:instrText>
      </w:r>
      <w:r w:rsidRPr="00097FE6">
        <w:rPr>
          <w:lang w:val="fr-FR"/>
        </w:rPr>
        <w:fldChar w:fldCharType="end"/>
      </w:r>
      <w:r w:rsidRPr="00097FE6">
        <w:rPr>
          <w:lang w:val="fr-FR"/>
        </w:rPr>
        <w:tab/>
      </w:r>
      <w:r w:rsidR="0046636F" w:rsidRPr="0046636F">
        <w:rPr>
          <w:color w:val="000000"/>
          <w:lang w:val="fr-FR"/>
        </w:rPr>
        <w:t xml:space="preserve">Le TWV a rappelé que les caractères avec astérisque </w:t>
      </w:r>
      <w:r w:rsidR="000E1C37">
        <w:rPr>
          <w:color w:val="000000"/>
          <w:lang w:val="fr-FR"/>
        </w:rPr>
        <w:t>étaient</w:t>
      </w:r>
      <w:r w:rsidR="0046636F" w:rsidRPr="0046636F">
        <w:rPr>
          <w:color w:val="000000"/>
          <w:lang w:val="fr-FR"/>
        </w:rPr>
        <w:t xml:space="preserve"> des “caractères qui sont importants pour l</w:t>
      </w:r>
      <w:r w:rsidR="00402F0A">
        <w:rPr>
          <w:color w:val="000000"/>
          <w:lang w:val="fr-FR"/>
        </w:rPr>
        <w:t>’</w:t>
      </w:r>
      <w:r w:rsidR="0046636F" w:rsidRPr="0046636F">
        <w:rPr>
          <w:color w:val="000000"/>
          <w:lang w:val="fr-FR"/>
        </w:rPr>
        <w:t>harmonisation internationale des descriptions variétales” (voir la note indicative GN 13 dans le document TGP/7, reproduite ci</w:t>
      </w:r>
      <w:r w:rsidR="00105F8E">
        <w:rPr>
          <w:color w:val="000000"/>
          <w:lang w:val="fr-FR"/>
        </w:rPr>
        <w:noBreakHyphen/>
      </w:r>
      <w:r w:rsidR="001972CC">
        <w:rPr>
          <w:color w:val="000000"/>
          <w:lang w:val="fr-FR"/>
        </w:rPr>
        <w:t>dessous)</w:t>
      </w:r>
      <w:r w:rsidR="0046636F" w:rsidRPr="0046636F">
        <w:rPr>
          <w:color w:val="000000"/>
          <w:lang w:val="fr-FR"/>
        </w:rPr>
        <w:t xml:space="preserve"> et que les principes directeurs d</w:t>
      </w:r>
      <w:r w:rsidR="00402F0A">
        <w:rPr>
          <w:color w:val="000000"/>
          <w:lang w:val="fr-FR"/>
        </w:rPr>
        <w:t>’</w:t>
      </w:r>
      <w:r w:rsidR="0046636F" w:rsidRPr="0046636F">
        <w:rPr>
          <w:color w:val="000000"/>
          <w:lang w:val="fr-FR"/>
        </w:rPr>
        <w:t>examen devaient êt</w:t>
      </w:r>
      <w:r w:rsidR="000E1C37">
        <w:rPr>
          <w:color w:val="000000"/>
          <w:lang w:val="fr-FR"/>
        </w:rPr>
        <w:t>r</w:t>
      </w:r>
      <w:r w:rsidR="0046636F" w:rsidRPr="0046636F">
        <w:rPr>
          <w:color w:val="000000"/>
          <w:lang w:val="fr-FR"/>
        </w:rPr>
        <w:t>e adoptés par tous les membres de l</w:t>
      </w:r>
      <w:r w:rsidR="00402F0A">
        <w:rPr>
          <w:color w:val="000000"/>
          <w:lang w:val="fr-FR"/>
        </w:rPr>
        <w:t>’</w:t>
      </w:r>
      <w:r w:rsidR="0046636F" w:rsidRPr="0046636F">
        <w:rPr>
          <w:color w:val="000000"/>
          <w:lang w:val="fr-FR"/>
        </w:rPr>
        <w:t xml:space="preserve">Union, </w:t>
      </w:r>
      <w:r w:rsidR="00402F0A">
        <w:rPr>
          <w:color w:val="000000"/>
          <w:lang w:val="fr-FR"/>
        </w:rPr>
        <w:t>y compris</w:t>
      </w:r>
      <w:r w:rsidR="0046636F" w:rsidRPr="0046636F">
        <w:rPr>
          <w:color w:val="000000"/>
          <w:lang w:val="fr-FR"/>
        </w:rPr>
        <w:t xml:space="preserve"> </w:t>
      </w:r>
      <w:r w:rsidR="000E1C37">
        <w:rPr>
          <w:color w:val="000000"/>
          <w:lang w:val="fr-FR"/>
        </w:rPr>
        <w:t>en ce qui concern</w:t>
      </w:r>
      <w:r w:rsidR="001972CC">
        <w:rPr>
          <w:color w:val="000000"/>
          <w:lang w:val="fr-FR"/>
        </w:rPr>
        <w:t>ait</w:t>
      </w:r>
      <w:r w:rsidR="000E1C37">
        <w:rPr>
          <w:color w:val="000000"/>
          <w:lang w:val="fr-FR"/>
        </w:rPr>
        <w:t xml:space="preserve"> </w:t>
      </w:r>
      <w:r w:rsidR="0046636F" w:rsidRPr="0046636F">
        <w:rPr>
          <w:color w:val="000000"/>
          <w:lang w:val="fr-FR"/>
        </w:rPr>
        <w:t>l</w:t>
      </w:r>
      <w:r w:rsidR="0046636F">
        <w:rPr>
          <w:color w:val="000000"/>
          <w:lang w:val="fr-FR"/>
        </w:rPr>
        <w:t>e</w:t>
      </w:r>
      <w:r w:rsidR="0046636F" w:rsidRPr="0046636F">
        <w:rPr>
          <w:color w:val="000000"/>
          <w:lang w:val="fr-FR"/>
        </w:rPr>
        <w:t xml:space="preserve"> choix des caractères avec astérisque.</w:t>
      </w:r>
    </w:p>
    <w:p w:rsidR="00A17213" w:rsidRDefault="00A17213" w:rsidP="00CF4AF9">
      <w:pPr>
        <w:autoSpaceDE w:val="0"/>
        <w:autoSpaceDN w:val="0"/>
        <w:adjustRightInd w:val="0"/>
        <w:ind w:right="-425"/>
        <w:rPr>
          <w:lang w:val="fr-FR"/>
        </w:rPr>
      </w:pPr>
    </w:p>
    <w:p w:rsidR="00A17213" w:rsidRPr="009415C9" w:rsidRDefault="00097FE6" w:rsidP="00305162">
      <w:pPr>
        <w:keepNext/>
        <w:ind w:left="567"/>
        <w:rPr>
          <w:i/>
          <w:sz w:val="18"/>
          <w:lang w:val="fr-FR"/>
        </w:rPr>
      </w:pPr>
      <w:r w:rsidRPr="009415C9">
        <w:rPr>
          <w:sz w:val="18"/>
          <w:u w:val="single"/>
          <w:lang w:val="fr-FR"/>
        </w:rPr>
        <w:lastRenderedPageBreak/>
        <w:t>“</w:t>
      </w:r>
      <w:r w:rsidR="00305162" w:rsidRPr="009415C9">
        <w:rPr>
          <w:sz w:val="18"/>
          <w:u w:val="single"/>
          <w:lang w:val="fr-FR"/>
        </w:rPr>
        <w:t>GN 13</w:t>
      </w:r>
      <w:r w:rsidR="00305162" w:rsidRPr="009415C9">
        <w:rPr>
          <w:sz w:val="18"/>
          <w:lang w:val="fr-FR"/>
        </w:rPr>
        <w:tab/>
      </w:r>
      <w:r w:rsidR="00305162" w:rsidRPr="009415C9">
        <w:rPr>
          <w:sz w:val="18"/>
          <w:u w:val="single"/>
          <w:lang w:val="fr-FR"/>
        </w:rPr>
        <w:t>Caractères ayant des fonctions particulières</w:t>
      </w:r>
    </w:p>
    <w:p w:rsidR="00A17213" w:rsidRPr="009415C9" w:rsidRDefault="00A17213" w:rsidP="001604A0">
      <w:pPr>
        <w:keepNext/>
        <w:ind w:left="567"/>
        <w:rPr>
          <w:i/>
          <w:sz w:val="18"/>
          <w:lang w:val="fr-FR"/>
        </w:rPr>
      </w:pPr>
    </w:p>
    <w:p w:rsidR="00A17213" w:rsidRPr="009415C9" w:rsidRDefault="00097FE6" w:rsidP="00305162">
      <w:pPr>
        <w:keepNext/>
        <w:ind w:left="567"/>
        <w:rPr>
          <w:i/>
          <w:sz w:val="18"/>
          <w:u w:val="single"/>
          <w:lang w:val="fr-FR"/>
        </w:rPr>
      </w:pPr>
      <w:r w:rsidRPr="009415C9">
        <w:rPr>
          <w:i/>
          <w:sz w:val="18"/>
          <w:lang w:val="fr-FR"/>
        </w:rPr>
        <w:t>“</w:t>
      </w:r>
      <w:r w:rsidR="00305162" w:rsidRPr="009415C9">
        <w:rPr>
          <w:i/>
          <w:sz w:val="18"/>
          <w:lang w:val="fr-FR"/>
        </w:rPr>
        <w:t>1.</w:t>
      </w:r>
      <w:r w:rsidR="00305162" w:rsidRPr="009415C9">
        <w:rPr>
          <w:sz w:val="18"/>
          <w:lang w:val="fr-FR"/>
        </w:rPr>
        <w:tab/>
      </w:r>
      <w:r w:rsidR="00305162" w:rsidRPr="009415C9">
        <w:rPr>
          <w:i/>
          <w:sz w:val="18"/>
          <w:lang w:val="fr-FR"/>
        </w:rPr>
        <w:t>Caractères avec astérisque (Chapitre</w:t>
      </w:r>
      <w:r w:rsidR="00064E56" w:rsidRPr="009415C9">
        <w:rPr>
          <w:i/>
          <w:sz w:val="18"/>
          <w:lang w:val="fr-FR"/>
        </w:rPr>
        <w:t> </w:t>
      </w:r>
      <w:r w:rsidR="00305162" w:rsidRPr="009415C9">
        <w:rPr>
          <w:i/>
          <w:sz w:val="18"/>
          <w:lang w:val="fr-FR"/>
        </w:rPr>
        <w:t>7 du modèle</w:t>
      </w:r>
      <w:r w:rsidR="00064E56" w:rsidRPr="009415C9">
        <w:rPr>
          <w:sz w:val="18"/>
          <w:lang w:val="fr-FR"/>
        </w:rPr>
        <w:t> </w:t>
      </w:r>
      <w:r w:rsidR="00305162" w:rsidRPr="009415C9">
        <w:rPr>
          <w:sz w:val="18"/>
          <w:lang w:val="fr-FR"/>
        </w:rPr>
        <w:t>:</w:t>
      </w:r>
      <w:r w:rsidR="00305162" w:rsidRPr="009415C9">
        <w:rPr>
          <w:i/>
          <w:sz w:val="18"/>
          <w:lang w:val="fr-FR"/>
        </w:rPr>
        <w:t xml:space="preserve"> colonne</w:t>
      </w:r>
      <w:r w:rsidR="00305162" w:rsidRPr="009415C9">
        <w:rPr>
          <w:sz w:val="18"/>
          <w:lang w:val="fr-FR"/>
        </w:rPr>
        <w:t xml:space="preserve"> </w:t>
      </w:r>
      <w:r w:rsidR="00305162" w:rsidRPr="009415C9">
        <w:rPr>
          <w:i/>
          <w:sz w:val="18"/>
          <w:lang w:val="fr-FR"/>
        </w:rPr>
        <w:t>1, en</w:t>
      </w:r>
      <w:r w:rsidR="00105F8E" w:rsidRPr="009415C9">
        <w:rPr>
          <w:i/>
          <w:sz w:val="18"/>
          <w:lang w:val="fr-FR"/>
        </w:rPr>
        <w:noBreakHyphen/>
      </w:r>
      <w:r w:rsidR="00305162" w:rsidRPr="009415C9">
        <w:rPr>
          <w:i/>
          <w:sz w:val="18"/>
          <w:lang w:val="fr-FR"/>
        </w:rPr>
        <w:t>tête, rang 2)</w:t>
      </w:r>
    </w:p>
    <w:p w:rsidR="00A17213" w:rsidRPr="009415C9" w:rsidRDefault="00A17213" w:rsidP="001604A0">
      <w:pPr>
        <w:keepNext/>
        <w:ind w:left="567"/>
        <w:rPr>
          <w:i/>
          <w:sz w:val="18"/>
          <w:lang w:val="fr-FR"/>
        </w:rPr>
      </w:pPr>
    </w:p>
    <w:p w:rsidR="00A17213" w:rsidRPr="009415C9" w:rsidRDefault="00097FE6" w:rsidP="00305162">
      <w:pPr>
        <w:ind w:left="567" w:right="567"/>
        <w:rPr>
          <w:sz w:val="18"/>
          <w:szCs w:val="18"/>
          <w:lang w:val="fr-FR"/>
        </w:rPr>
      </w:pPr>
      <w:r w:rsidRPr="009415C9">
        <w:rPr>
          <w:sz w:val="18"/>
          <w:szCs w:val="18"/>
          <w:lang w:val="fr-FR"/>
        </w:rPr>
        <w:t>“</w:t>
      </w:r>
      <w:r w:rsidR="00305162" w:rsidRPr="009415C9">
        <w:rPr>
          <w:sz w:val="18"/>
          <w:szCs w:val="18"/>
          <w:lang w:val="fr-FR"/>
        </w:rPr>
        <w:t>1.1</w:t>
      </w:r>
      <w:r w:rsidR="00305162" w:rsidRPr="009415C9">
        <w:rPr>
          <w:sz w:val="18"/>
          <w:szCs w:val="18"/>
          <w:lang w:val="fr-FR"/>
        </w:rPr>
        <w:tab/>
        <w:t>Selon l</w:t>
      </w:r>
      <w:r w:rsidR="00402F0A" w:rsidRPr="009415C9">
        <w:rPr>
          <w:sz w:val="18"/>
          <w:szCs w:val="18"/>
          <w:lang w:val="fr-FR"/>
        </w:rPr>
        <w:t>’</w:t>
      </w:r>
      <w:r w:rsidR="00305162" w:rsidRPr="009415C9">
        <w:rPr>
          <w:sz w:val="18"/>
          <w:szCs w:val="18"/>
          <w:lang w:val="fr-FR"/>
        </w:rPr>
        <w:t>in</w:t>
      </w:r>
      <w:r w:rsidR="00B6349E" w:rsidRPr="009415C9">
        <w:rPr>
          <w:sz w:val="18"/>
          <w:szCs w:val="18"/>
          <w:lang w:val="fr-FR"/>
        </w:rPr>
        <w:t>troduction générale (chapitre</w:t>
      </w:r>
      <w:r w:rsidR="00064E56" w:rsidRPr="009415C9">
        <w:rPr>
          <w:sz w:val="18"/>
          <w:szCs w:val="18"/>
          <w:lang w:val="fr-FR"/>
        </w:rPr>
        <w:t> </w:t>
      </w:r>
      <w:r w:rsidR="00B6349E" w:rsidRPr="009415C9">
        <w:rPr>
          <w:sz w:val="18"/>
          <w:szCs w:val="18"/>
          <w:lang w:val="fr-FR"/>
        </w:rPr>
        <w:t>4.</w:t>
      </w:r>
      <w:r w:rsidR="00305162" w:rsidRPr="009415C9">
        <w:rPr>
          <w:sz w:val="18"/>
          <w:szCs w:val="18"/>
          <w:lang w:val="fr-FR"/>
        </w:rPr>
        <w:t>8, tableau</w:t>
      </w:r>
      <w:r w:rsidR="00064E56" w:rsidRPr="009415C9">
        <w:rPr>
          <w:sz w:val="18"/>
          <w:szCs w:val="18"/>
          <w:lang w:val="fr-FR"/>
        </w:rPr>
        <w:t> </w:t>
      </w:r>
      <w:r w:rsidR="00305162" w:rsidRPr="009415C9">
        <w:rPr>
          <w:sz w:val="18"/>
          <w:szCs w:val="18"/>
          <w:lang w:val="fr-FR"/>
        </w:rPr>
        <w:t>: catégories fonctionnelles de caractères), les caractères avec astérisque sont des “caractères qui sont importants pour l</w:t>
      </w:r>
      <w:r w:rsidR="00402F0A" w:rsidRPr="009415C9">
        <w:rPr>
          <w:sz w:val="18"/>
          <w:szCs w:val="18"/>
          <w:lang w:val="fr-FR"/>
        </w:rPr>
        <w:t>’</w:t>
      </w:r>
      <w:r w:rsidR="00305162" w:rsidRPr="009415C9">
        <w:rPr>
          <w:sz w:val="18"/>
          <w:szCs w:val="18"/>
          <w:lang w:val="fr-FR"/>
        </w:rPr>
        <w:t>harmonisation internationale des descriptions variétales”.</w:t>
      </w:r>
      <w:r w:rsidR="00CF4AF9" w:rsidRPr="009415C9">
        <w:rPr>
          <w:sz w:val="18"/>
          <w:lang w:val="fr-FR"/>
        </w:rPr>
        <w:t xml:space="preserve">  </w:t>
      </w:r>
      <w:r w:rsidR="00305162" w:rsidRPr="009415C9">
        <w:rPr>
          <w:sz w:val="18"/>
          <w:szCs w:val="18"/>
          <w:lang w:val="fr-FR"/>
        </w:rPr>
        <w:t>Les critères de sélection d</w:t>
      </w:r>
      <w:r w:rsidR="00402F0A" w:rsidRPr="009415C9">
        <w:rPr>
          <w:sz w:val="18"/>
          <w:szCs w:val="18"/>
          <w:lang w:val="fr-FR"/>
        </w:rPr>
        <w:t>’</w:t>
      </w:r>
      <w:r w:rsidR="00305162" w:rsidRPr="009415C9">
        <w:rPr>
          <w:sz w:val="18"/>
          <w:szCs w:val="18"/>
          <w:lang w:val="fr-FR"/>
        </w:rPr>
        <w:t>un caractère avec astérisque sont les suivants</w:t>
      </w:r>
      <w:r w:rsidR="00064E56" w:rsidRPr="009415C9">
        <w:rPr>
          <w:sz w:val="18"/>
          <w:szCs w:val="18"/>
          <w:lang w:val="fr-FR"/>
        </w:rPr>
        <w:t> </w:t>
      </w:r>
      <w:r w:rsidR="00305162" w:rsidRPr="009415C9">
        <w:rPr>
          <w:sz w:val="18"/>
          <w:szCs w:val="18"/>
          <w:lang w:val="fr-FR"/>
        </w:rPr>
        <w:t>:</w:t>
      </w:r>
    </w:p>
    <w:p w:rsidR="00A17213" w:rsidRPr="009415C9" w:rsidRDefault="00A17213" w:rsidP="00745649">
      <w:pPr>
        <w:ind w:left="567" w:right="567"/>
        <w:rPr>
          <w:sz w:val="18"/>
          <w:szCs w:val="18"/>
          <w:lang w:val="fr-FR"/>
        </w:rPr>
      </w:pPr>
    </w:p>
    <w:p w:rsidR="00A17213" w:rsidRPr="009415C9" w:rsidRDefault="00097FE6" w:rsidP="00305162">
      <w:pPr>
        <w:ind w:left="567" w:right="567"/>
        <w:rPr>
          <w:sz w:val="18"/>
          <w:szCs w:val="18"/>
          <w:lang w:val="fr-FR"/>
        </w:rPr>
      </w:pPr>
      <w:r w:rsidRPr="009415C9">
        <w:rPr>
          <w:sz w:val="18"/>
          <w:szCs w:val="18"/>
          <w:lang w:val="fr-FR"/>
        </w:rPr>
        <w:t>“</w:t>
      </w:r>
      <w:r w:rsidR="00305162" w:rsidRPr="009415C9">
        <w:rPr>
          <w:sz w:val="18"/>
          <w:szCs w:val="18"/>
          <w:lang w:val="fr-FR"/>
        </w:rPr>
        <w:t>a)</w:t>
      </w:r>
      <w:r w:rsidR="00305162" w:rsidRPr="009415C9">
        <w:rPr>
          <w:sz w:val="18"/>
          <w:szCs w:val="18"/>
          <w:lang w:val="fr-FR"/>
        </w:rPr>
        <w:tab/>
        <w:t>il doit s</w:t>
      </w:r>
      <w:r w:rsidR="00402F0A" w:rsidRPr="009415C9">
        <w:rPr>
          <w:sz w:val="18"/>
          <w:szCs w:val="18"/>
          <w:lang w:val="fr-FR"/>
        </w:rPr>
        <w:t>’</w:t>
      </w:r>
      <w:r w:rsidR="00305162" w:rsidRPr="009415C9">
        <w:rPr>
          <w:sz w:val="18"/>
          <w:szCs w:val="18"/>
          <w:lang w:val="fr-FR"/>
        </w:rPr>
        <w:t>agir d</w:t>
      </w:r>
      <w:r w:rsidR="00402F0A" w:rsidRPr="009415C9">
        <w:rPr>
          <w:sz w:val="18"/>
          <w:szCs w:val="18"/>
          <w:lang w:val="fr-FR"/>
        </w:rPr>
        <w:t>’</w:t>
      </w:r>
      <w:r w:rsidR="00305162" w:rsidRPr="009415C9">
        <w:rPr>
          <w:sz w:val="18"/>
          <w:szCs w:val="18"/>
          <w:lang w:val="fr-FR"/>
        </w:rPr>
        <w:t>un caractère figurant dans les principes directeurs d</w:t>
      </w:r>
      <w:r w:rsidR="00402F0A" w:rsidRPr="009415C9">
        <w:rPr>
          <w:sz w:val="18"/>
          <w:szCs w:val="18"/>
          <w:lang w:val="fr-FR"/>
        </w:rPr>
        <w:t>’</w:t>
      </w:r>
      <w:r w:rsidR="00305162" w:rsidRPr="009415C9">
        <w:rPr>
          <w:sz w:val="18"/>
          <w:szCs w:val="18"/>
          <w:lang w:val="fr-FR"/>
        </w:rPr>
        <w:t>examen;</w:t>
      </w:r>
    </w:p>
    <w:p w:rsidR="00A17213" w:rsidRPr="009415C9" w:rsidRDefault="00A17213" w:rsidP="00745649">
      <w:pPr>
        <w:ind w:left="567" w:right="567" w:hanging="992"/>
        <w:rPr>
          <w:sz w:val="18"/>
          <w:szCs w:val="18"/>
          <w:lang w:val="fr-FR"/>
        </w:rPr>
      </w:pPr>
    </w:p>
    <w:p w:rsidR="00A17213" w:rsidRPr="009415C9" w:rsidRDefault="00305162" w:rsidP="00305162">
      <w:pPr>
        <w:ind w:left="567" w:right="567"/>
        <w:rPr>
          <w:sz w:val="18"/>
          <w:szCs w:val="18"/>
          <w:lang w:val="fr-FR"/>
        </w:rPr>
      </w:pPr>
      <w:r w:rsidRPr="009415C9">
        <w:rPr>
          <w:sz w:val="18"/>
          <w:szCs w:val="18"/>
          <w:lang w:val="fr-FR"/>
        </w:rPr>
        <w:t>“b)</w:t>
      </w:r>
      <w:r w:rsidR="00B6349E" w:rsidRPr="009415C9">
        <w:rPr>
          <w:sz w:val="18"/>
          <w:szCs w:val="18"/>
          <w:lang w:val="fr-FR"/>
        </w:rPr>
        <w:tab/>
      </w:r>
      <w:r w:rsidRPr="009415C9">
        <w:rPr>
          <w:sz w:val="18"/>
          <w:szCs w:val="18"/>
          <w:lang w:val="fr-FR"/>
        </w:rPr>
        <w:t>il doit toujours être pris en considération dans l</w:t>
      </w:r>
      <w:r w:rsidR="00402F0A" w:rsidRPr="009415C9">
        <w:rPr>
          <w:sz w:val="18"/>
          <w:szCs w:val="18"/>
          <w:lang w:val="fr-FR"/>
        </w:rPr>
        <w:t>’</w:t>
      </w:r>
      <w:r w:rsidRPr="009415C9">
        <w:rPr>
          <w:sz w:val="18"/>
          <w:szCs w:val="18"/>
          <w:lang w:val="fr-FR"/>
        </w:rPr>
        <w:t>examen</w:t>
      </w:r>
      <w:r w:rsidR="00064E56" w:rsidRPr="009415C9">
        <w:rPr>
          <w:sz w:val="18"/>
          <w:szCs w:val="18"/>
          <w:lang w:val="fr-FR"/>
        </w:rPr>
        <w:t> </w:t>
      </w:r>
      <w:r w:rsidRPr="009415C9">
        <w:rPr>
          <w:sz w:val="18"/>
          <w:szCs w:val="18"/>
          <w:lang w:val="fr-FR"/>
        </w:rPr>
        <w:t>DHS et être inclus dans la description variétale par tous les membres de l</w:t>
      </w:r>
      <w:r w:rsidR="00402F0A" w:rsidRPr="009415C9">
        <w:rPr>
          <w:sz w:val="18"/>
          <w:szCs w:val="18"/>
          <w:lang w:val="fr-FR"/>
        </w:rPr>
        <w:t>’</w:t>
      </w:r>
      <w:r w:rsidRPr="009415C9">
        <w:rPr>
          <w:sz w:val="18"/>
          <w:szCs w:val="18"/>
          <w:lang w:val="fr-FR"/>
        </w:rPr>
        <w:t>Union, sauf lorsque cela est contre</w:t>
      </w:r>
      <w:r w:rsidR="00105F8E" w:rsidRPr="009415C9">
        <w:rPr>
          <w:sz w:val="18"/>
          <w:szCs w:val="18"/>
          <w:lang w:val="fr-FR"/>
        </w:rPr>
        <w:noBreakHyphen/>
      </w:r>
      <w:r w:rsidRPr="009415C9">
        <w:rPr>
          <w:sz w:val="18"/>
          <w:szCs w:val="18"/>
          <w:lang w:val="fr-FR"/>
        </w:rPr>
        <w:t>indiqué compte tenu du niveau d</w:t>
      </w:r>
      <w:r w:rsidR="00402F0A" w:rsidRPr="009415C9">
        <w:rPr>
          <w:sz w:val="18"/>
          <w:szCs w:val="18"/>
          <w:lang w:val="fr-FR"/>
        </w:rPr>
        <w:t>’</w:t>
      </w:r>
      <w:r w:rsidRPr="009415C9">
        <w:rPr>
          <w:sz w:val="18"/>
          <w:szCs w:val="18"/>
          <w:lang w:val="fr-FR"/>
        </w:rPr>
        <w:t>expression d</w:t>
      </w:r>
      <w:r w:rsidR="00402F0A" w:rsidRPr="009415C9">
        <w:rPr>
          <w:sz w:val="18"/>
          <w:szCs w:val="18"/>
          <w:lang w:val="fr-FR"/>
        </w:rPr>
        <w:t>’</w:t>
      </w:r>
      <w:r w:rsidRPr="009415C9">
        <w:rPr>
          <w:sz w:val="18"/>
          <w:szCs w:val="18"/>
          <w:lang w:val="fr-FR"/>
        </w:rPr>
        <w:t>un caractère précédent ou des conditions de milieu régionales;</w:t>
      </w:r>
    </w:p>
    <w:p w:rsidR="00A17213" w:rsidRPr="009415C9" w:rsidRDefault="00A17213" w:rsidP="00745649">
      <w:pPr>
        <w:ind w:left="567" w:right="567" w:hanging="992"/>
        <w:rPr>
          <w:sz w:val="18"/>
          <w:szCs w:val="18"/>
          <w:lang w:val="fr-FR"/>
        </w:rPr>
      </w:pPr>
    </w:p>
    <w:p w:rsidR="00A17213" w:rsidRPr="009415C9" w:rsidRDefault="00097FE6" w:rsidP="00305162">
      <w:pPr>
        <w:ind w:left="567" w:right="567"/>
        <w:rPr>
          <w:sz w:val="18"/>
          <w:szCs w:val="18"/>
          <w:lang w:val="fr-FR"/>
        </w:rPr>
      </w:pPr>
      <w:r w:rsidRPr="009415C9">
        <w:rPr>
          <w:sz w:val="18"/>
          <w:szCs w:val="18"/>
          <w:lang w:val="fr-FR"/>
        </w:rPr>
        <w:t>“</w:t>
      </w:r>
      <w:r w:rsidR="00305162" w:rsidRPr="009415C9">
        <w:rPr>
          <w:sz w:val="18"/>
          <w:szCs w:val="18"/>
          <w:lang w:val="fr-FR"/>
        </w:rPr>
        <w:t>c)</w:t>
      </w:r>
      <w:r w:rsidR="00305162" w:rsidRPr="009415C9">
        <w:rPr>
          <w:sz w:val="18"/>
          <w:szCs w:val="18"/>
          <w:lang w:val="fr-FR"/>
        </w:rPr>
        <w:tab/>
        <w:t>il doit être utile pour l</w:t>
      </w:r>
      <w:r w:rsidR="00402F0A" w:rsidRPr="009415C9">
        <w:rPr>
          <w:sz w:val="18"/>
          <w:szCs w:val="18"/>
          <w:lang w:val="fr-FR"/>
        </w:rPr>
        <w:t>’</w:t>
      </w:r>
      <w:r w:rsidR="00305162" w:rsidRPr="009415C9">
        <w:rPr>
          <w:sz w:val="18"/>
          <w:szCs w:val="18"/>
          <w:lang w:val="fr-FR"/>
        </w:rPr>
        <w:t>harmonisation internationale des descriptions variétales;</w:t>
      </w:r>
    </w:p>
    <w:p w:rsidR="00A17213" w:rsidRPr="009415C9" w:rsidRDefault="00A17213" w:rsidP="00745649">
      <w:pPr>
        <w:ind w:left="567" w:right="567"/>
        <w:rPr>
          <w:sz w:val="18"/>
          <w:szCs w:val="18"/>
          <w:lang w:val="fr-FR"/>
        </w:rPr>
      </w:pPr>
    </w:p>
    <w:p w:rsidR="00A17213" w:rsidRPr="009415C9" w:rsidRDefault="00305162" w:rsidP="00305162">
      <w:pPr>
        <w:ind w:left="567" w:right="567"/>
        <w:rPr>
          <w:sz w:val="18"/>
          <w:szCs w:val="18"/>
          <w:lang w:val="fr-FR"/>
        </w:rPr>
      </w:pPr>
      <w:r w:rsidRPr="009415C9">
        <w:rPr>
          <w:sz w:val="18"/>
          <w:szCs w:val="18"/>
          <w:lang w:val="fr-FR"/>
        </w:rPr>
        <w:t>“d)</w:t>
      </w:r>
      <w:r w:rsidR="00097FE6" w:rsidRPr="009415C9">
        <w:rPr>
          <w:sz w:val="18"/>
          <w:szCs w:val="18"/>
          <w:lang w:val="fr-FR"/>
        </w:rPr>
        <w:tab/>
      </w:r>
      <w:r w:rsidRPr="009415C9">
        <w:rPr>
          <w:sz w:val="18"/>
          <w:szCs w:val="18"/>
          <w:lang w:val="fr-FR"/>
        </w:rPr>
        <w:t>un soin particulier doit être apporté au choix des caractè</w:t>
      </w:r>
      <w:r w:rsidR="00097FE6" w:rsidRPr="009415C9">
        <w:rPr>
          <w:sz w:val="18"/>
          <w:szCs w:val="18"/>
          <w:lang w:val="fr-FR"/>
        </w:rPr>
        <w:t>res de résistance à la maladie.</w:t>
      </w:r>
    </w:p>
    <w:p w:rsidR="00A17213" w:rsidRPr="009415C9" w:rsidRDefault="00A17213" w:rsidP="00745649">
      <w:pPr>
        <w:ind w:left="567" w:right="567" w:hanging="992"/>
        <w:rPr>
          <w:sz w:val="18"/>
          <w:szCs w:val="18"/>
          <w:lang w:val="fr-FR"/>
        </w:rPr>
      </w:pPr>
    </w:p>
    <w:p w:rsidR="00A17213" w:rsidRPr="009415C9" w:rsidRDefault="00097FE6" w:rsidP="00305162">
      <w:pPr>
        <w:ind w:left="567" w:right="567"/>
        <w:rPr>
          <w:sz w:val="18"/>
          <w:szCs w:val="18"/>
          <w:lang w:val="fr-FR"/>
        </w:rPr>
      </w:pPr>
      <w:r w:rsidRPr="009415C9">
        <w:rPr>
          <w:sz w:val="18"/>
          <w:szCs w:val="18"/>
          <w:lang w:val="fr-FR"/>
        </w:rPr>
        <w:t>“</w:t>
      </w:r>
      <w:r w:rsidR="00305162" w:rsidRPr="009415C9">
        <w:rPr>
          <w:sz w:val="18"/>
          <w:szCs w:val="18"/>
          <w:lang w:val="fr-FR"/>
        </w:rPr>
        <w:t>1.2</w:t>
      </w:r>
      <w:r w:rsidR="00305162" w:rsidRPr="009415C9">
        <w:rPr>
          <w:sz w:val="18"/>
          <w:szCs w:val="18"/>
          <w:lang w:val="fr-FR"/>
        </w:rPr>
        <w:tab/>
        <w:t>Il convient de préciser que le critère visé sous le point</w:t>
      </w:r>
      <w:r w:rsidR="00064E56" w:rsidRPr="009415C9">
        <w:rPr>
          <w:sz w:val="18"/>
          <w:szCs w:val="18"/>
          <w:lang w:val="fr-FR"/>
        </w:rPr>
        <w:t> </w:t>
      </w:r>
      <w:r w:rsidR="00305162" w:rsidRPr="009415C9">
        <w:rPr>
          <w:sz w:val="18"/>
          <w:szCs w:val="18"/>
          <w:lang w:val="fr-FR"/>
        </w:rPr>
        <w:t>b) est rédigé de manière à s</w:t>
      </w:r>
      <w:r w:rsidR="00402F0A" w:rsidRPr="009415C9">
        <w:rPr>
          <w:sz w:val="18"/>
          <w:szCs w:val="18"/>
          <w:lang w:val="fr-FR"/>
        </w:rPr>
        <w:t>’</w:t>
      </w:r>
      <w:r w:rsidR="00305162" w:rsidRPr="009415C9">
        <w:rPr>
          <w:sz w:val="18"/>
          <w:szCs w:val="18"/>
          <w:lang w:val="fr-FR"/>
        </w:rPr>
        <w:t>assurer que les membres de l</w:t>
      </w:r>
      <w:r w:rsidR="00402F0A" w:rsidRPr="009415C9">
        <w:rPr>
          <w:sz w:val="18"/>
          <w:szCs w:val="18"/>
          <w:lang w:val="fr-FR"/>
        </w:rPr>
        <w:t>’</w:t>
      </w:r>
      <w:r w:rsidR="00305162" w:rsidRPr="009415C9">
        <w:rPr>
          <w:sz w:val="18"/>
          <w:szCs w:val="18"/>
          <w:lang w:val="fr-FR"/>
        </w:rPr>
        <w:t>Union qui ne sont pas en mesure d</w:t>
      </w:r>
      <w:r w:rsidR="00402F0A" w:rsidRPr="009415C9">
        <w:rPr>
          <w:sz w:val="18"/>
          <w:szCs w:val="18"/>
          <w:lang w:val="fr-FR"/>
        </w:rPr>
        <w:t>’</w:t>
      </w:r>
      <w:r w:rsidR="00305162" w:rsidRPr="009415C9">
        <w:rPr>
          <w:sz w:val="18"/>
          <w:szCs w:val="18"/>
          <w:lang w:val="fr-FR"/>
        </w:rPr>
        <w:t>examiner le caractère ne s</w:t>
      </w:r>
      <w:r w:rsidR="00402F0A" w:rsidRPr="009415C9">
        <w:rPr>
          <w:sz w:val="18"/>
          <w:szCs w:val="18"/>
          <w:lang w:val="fr-FR"/>
        </w:rPr>
        <w:t>’</w:t>
      </w:r>
      <w:r w:rsidR="00305162" w:rsidRPr="009415C9">
        <w:rPr>
          <w:sz w:val="18"/>
          <w:szCs w:val="18"/>
          <w:lang w:val="fr-FR"/>
        </w:rPr>
        <w:t>opposent pas pour cette raison au choix du caractère en tant que caractère avec astérisque.</w:t>
      </w:r>
      <w:r w:rsidR="00CF4AF9" w:rsidRPr="009415C9">
        <w:rPr>
          <w:sz w:val="18"/>
          <w:lang w:val="fr-FR"/>
        </w:rPr>
        <w:t xml:space="preserve">  </w:t>
      </w:r>
      <w:r w:rsidR="00305162" w:rsidRPr="009415C9">
        <w:rPr>
          <w:sz w:val="18"/>
          <w:szCs w:val="18"/>
          <w:lang w:val="fr-FR"/>
        </w:rPr>
        <w:t>Ainsi, tout caractère qui satisfait à ces critères, et notamment qui est utile pour l</w:t>
      </w:r>
      <w:r w:rsidR="00402F0A" w:rsidRPr="009415C9">
        <w:rPr>
          <w:sz w:val="18"/>
          <w:szCs w:val="18"/>
          <w:lang w:val="fr-FR"/>
        </w:rPr>
        <w:t>’</w:t>
      </w:r>
      <w:r w:rsidR="00305162" w:rsidRPr="009415C9">
        <w:rPr>
          <w:sz w:val="18"/>
          <w:szCs w:val="18"/>
          <w:lang w:val="fr-FR"/>
        </w:rPr>
        <w:t>harmonisation internationale des descriptions variétales, doit être retenu comme caractère avec astérisque, même s</w:t>
      </w:r>
      <w:r w:rsidR="00402F0A" w:rsidRPr="009415C9">
        <w:rPr>
          <w:sz w:val="18"/>
          <w:szCs w:val="18"/>
          <w:lang w:val="fr-FR"/>
        </w:rPr>
        <w:t>’</w:t>
      </w:r>
      <w:r w:rsidR="00305162" w:rsidRPr="009415C9">
        <w:rPr>
          <w:sz w:val="18"/>
          <w:szCs w:val="18"/>
          <w:lang w:val="fr-FR"/>
        </w:rPr>
        <w:t>il ne peut être examiné pour toutes les variétés ou par tous les membres de l</w:t>
      </w:r>
      <w:r w:rsidR="00402F0A" w:rsidRPr="009415C9">
        <w:rPr>
          <w:sz w:val="18"/>
          <w:szCs w:val="18"/>
          <w:lang w:val="fr-FR"/>
        </w:rPr>
        <w:t>’</w:t>
      </w:r>
      <w:r w:rsidR="00305162" w:rsidRPr="009415C9">
        <w:rPr>
          <w:sz w:val="18"/>
          <w:szCs w:val="18"/>
          <w:lang w:val="fr-FR"/>
        </w:rPr>
        <w:t>Union.</w:t>
      </w:r>
      <w:r w:rsidR="00CF4AF9" w:rsidRPr="009415C9">
        <w:rPr>
          <w:sz w:val="18"/>
          <w:lang w:val="fr-FR"/>
        </w:rPr>
        <w:t xml:space="preserve">  </w:t>
      </w:r>
      <w:r w:rsidR="00305162" w:rsidRPr="009415C9">
        <w:rPr>
          <w:sz w:val="18"/>
          <w:szCs w:val="18"/>
          <w:lang w:val="fr-FR"/>
        </w:rPr>
        <w:t>Le plafond du nombre de caractères avec astérisque devrait donc être déterminé par le nombre nécessaire pour établir des descriptions variétales utiles et harmonisées au niveau international.”</w:t>
      </w:r>
    </w:p>
    <w:p w:rsidR="00402F0A" w:rsidRPr="009415C9" w:rsidRDefault="00402F0A" w:rsidP="00CF4AF9">
      <w:pPr>
        <w:autoSpaceDE w:val="0"/>
        <w:autoSpaceDN w:val="0"/>
        <w:adjustRightInd w:val="0"/>
        <w:ind w:right="-425"/>
        <w:rPr>
          <w:sz w:val="18"/>
          <w:szCs w:val="18"/>
          <w:lang w:val="fr-FR"/>
        </w:rPr>
      </w:pPr>
    </w:p>
    <w:p w:rsidR="00402F0A" w:rsidRDefault="00CF4AF9" w:rsidP="00A17213">
      <w:pPr>
        <w:autoSpaceDE w:val="0"/>
        <w:autoSpaceDN w:val="0"/>
        <w:adjustRightInd w:val="0"/>
        <w:rPr>
          <w:lang w:val="fr-FR"/>
        </w:rPr>
      </w:pPr>
      <w:r w:rsidRPr="00097FE6">
        <w:rPr>
          <w:lang w:val="fr-FR"/>
        </w:rPr>
        <w:fldChar w:fldCharType="begin"/>
      </w:r>
      <w:r w:rsidRPr="00097FE6">
        <w:rPr>
          <w:lang w:val="fr-FR"/>
        </w:rPr>
        <w:instrText xml:space="preserve"> AUTONUM  </w:instrText>
      </w:r>
      <w:r w:rsidRPr="00097FE6">
        <w:rPr>
          <w:lang w:val="fr-FR"/>
        </w:rPr>
        <w:fldChar w:fldCharType="end"/>
      </w:r>
      <w:r w:rsidRPr="00097FE6">
        <w:rPr>
          <w:lang w:val="fr-FR"/>
        </w:rPr>
        <w:tab/>
      </w:r>
      <w:r w:rsidR="00A17213" w:rsidRPr="00A17213">
        <w:rPr>
          <w:color w:val="000000"/>
          <w:lang w:val="fr-FR"/>
        </w:rPr>
        <w:t>Le TWV est convenu qu</w:t>
      </w:r>
      <w:r w:rsidR="00402F0A">
        <w:rPr>
          <w:color w:val="000000"/>
          <w:lang w:val="fr-FR"/>
        </w:rPr>
        <w:t>’</w:t>
      </w:r>
      <w:r w:rsidR="00A17213" w:rsidRPr="00A17213">
        <w:rPr>
          <w:color w:val="000000"/>
          <w:lang w:val="fr-FR"/>
        </w:rPr>
        <w:t>il conviendrait peut</w:t>
      </w:r>
      <w:r w:rsidR="00105F8E">
        <w:rPr>
          <w:color w:val="000000"/>
          <w:lang w:val="fr-FR"/>
        </w:rPr>
        <w:noBreakHyphen/>
      </w:r>
      <w:r w:rsidR="00A17213" w:rsidRPr="00A17213">
        <w:rPr>
          <w:color w:val="000000"/>
          <w:lang w:val="fr-FR"/>
        </w:rPr>
        <w:t>être de réviser le document TGP/7 afin a) d</w:t>
      </w:r>
      <w:r w:rsidR="00402F0A">
        <w:rPr>
          <w:color w:val="000000"/>
          <w:lang w:val="fr-FR"/>
        </w:rPr>
        <w:t>’</w:t>
      </w:r>
      <w:r w:rsidR="00A17213" w:rsidRPr="00A17213">
        <w:rPr>
          <w:color w:val="000000"/>
          <w:lang w:val="fr-FR"/>
        </w:rPr>
        <w:t>introduire un délai avant que les caractères de résistance aux maladies signalés par un astéri</w:t>
      </w:r>
      <w:r w:rsidR="00E81C94">
        <w:rPr>
          <w:color w:val="000000"/>
          <w:lang w:val="fr-FR"/>
        </w:rPr>
        <w:t>s</w:t>
      </w:r>
      <w:r w:rsidR="00A17213" w:rsidRPr="00A17213">
        <w:rPr>
          <w:color w:val="000000"/>
          <w:lang w:val="fr-FR"/>
        </w:rPr>
        <w:t xml:space="preserve">que </w:t>
      </w:r>
      <w:r w:rsidR="00B6349E">
        <w:rPr>
          <w:color w:val="000000"/>
          <w:lang w:val="fr-FR"/>
        </w:rPr>
        <w:t xml:space="preserve">ne </w:t>
      </w:r>
      <w:r w:rsidR="00A17213" w:rsidRPr="00A17213">
        <w:rPr>
          <w:color w:val="000000"/>
          <w:lang w:val="fr-FR"/>
        </w:rPr>
        <w:t>doivent être examinés par tous les membres de l</w:t>
      </w:r>
      <w:r w:rsidR="00402F0A">
        <w:rPr>
          <w:color w:val="000000"/>
          <w:lang w:val="fr-FR"/>
        </w:rPr>
        <w:t>’</w:t>
      </w:r>
      <w:r w:rsidR="00A17213" w:rsidRPr="00A17213">
        <w:rPr>
          <w:color w:val="000000"/>
          <w:lang w:val="fr-FR"/>
        </w:rPr>
        <w:t>Union;  et b)</w:t>
      </w:r>
      <w:r w:rsidR="00064E56">
        <w:rPr>
          <w:color w:val="000000"/>
          <w:lang w:val="fr-FR"/>
        </w:rPr>
        <w:t> </w:t>
      </w:r>
      <w:r w:rsidR="00A17213" w:rsidRPr="00A17213">
        <w:rPr>
          <w:color w:val="000000"/>
          <w:lang w:val="fr-FR"/>
        </w:rPr>
        <w:t>de fournir des orientations sur un texte standard complémentaire</w:t>
      </w:r>
      <w:r w:rsidR="001972CC">
        <w:rPr>
          <w:color w:val="000000"/>
          <w:lang w:val="fr-FR"/>
        </w:rPr>
        <w:t xml:space="preserve"> relatif à</w:t>
      </w:r>
      <w:r w:rsidR="00A17213" w:rsidRPr="00A17213">
        <w:rPr>
          <w:color w:val="000000"/>
          <w:lang w:val="fr-FR"/>
        </w:rPr>
        <w:t xml:space="preserve"> l</w:t>
      </w:r>
      <w:r w:rsidR="00402F0A">
        <w:rPr>
          <w:color w:val="000000"/>
          <w:lang w:val="fr-FR"/>
        </w:rPr>
        <w:t>’</w:t>
      </w:r>
      <w:r w:rsidR="00A17213" w:rsidRPr="00A17213">
        <w:rPr>
          <w:color w:val="000000"/>
          <w:lang w:val="fr-FR"/>
        </w:rPr>
        <w:t>homogénéité pour les plantes résistantes chez une variété sensible (voir les paragraphes</w:t>
      </w:r>
      <w:r w:rsidR="00064E56">
        <w:rPr>
          <w:color w:val="000000"/>
          <w:lang w:val="fr-FR"/>
        </w:rPr>
        <w:t> </w:t>
      </w:r>
      <w:r w:rsidR="00A17213" w:rsidRPr="00A17213">
        <w:rPr>
          <w:color w:val="000000"/>
          <w:lang w:val="fr-FR"/>
        </w:rPr>
        <w:t>85 à 88 du document TWV/48/43 “Report”).</w:t>
      </w:r>
    </w:p>
    <w:p w:rsidR="00A17213" w:rsidRDefault="00A17213" w:rsidP="00CF4AF9">
      <w:pPr>
        <w:ind w:right="-425"/>
        <w:rPr>
          <w:lang w:val="fr-FR"/>
        </w:rPr>
      </w:pPr>
    </w:p>
    <w:p w:rsidR="00A17213" w:rsidRDefault="00A17213" w:rsidP="00BF1A76">
      <w:pPr>
        <w:rPr>
          <w:caps/>
          <w:highlight w:val="yellow"/>
          <w:lang w:val="fr-FR"/>
        </w:rPr>
      </w:pPr>
    </w:p>
    <w:p w:rsidR="00A17213" w:rsidRPr="009415C9" w:rsidRDefault="00305162" w:rsidP="00305162">
      <w:pPr>
        <w:pStyle w:val="Heading2"/>
        <w:rPr>
          <w:lang w:val="fr-FR"/>
        </w:rPr>
      </w:pPr>
      <w:bookmarkStart w:id="9" w:name="_Toc411329134"/>
      <w:r w:rsidRPr="009415C9">
        <w:rPr>
          <w:lang w:val="fr-FR"/>
        </w:rPr>
        <w:t>Enregistreurs de données</w:t>
      </w:r>
      <w:bookmarkEnd w:id="9"/>
    </w:p>
    <w:p w:rsidR="00A17213" w:rsidRPr="009415C9" w:rsidRDefault="00A17213" w:rsidP="00E32B2C">
      <w:pPr>
        <w:autoSpaceDE w:val="0"/>
        <w:autoSpaceDN w:val="0"/>
        <w:adjustRightInd w:val="0"/>
        <w:jc w:val="left"/>
        <w:rPr>
          <w:szCs w:val="24"/>
          <w:lang w:val="fr-FR"/>
        </w:rPr>
      </w:pPr>
    </w:p>
    <w:p w:rsidR="00A17213" w:rsidRPr="009415C9" w:rsidRDefault="00E32B2C" w:rsidP="00A8602B">
      <w:pPr>
        <w:autoSpaceDE w:val="0"/>
        <w:autoSpaceDN w:val="0"/>
        <w:adjustRightInd w:val="0"/>
        <w:rPr>
          <w:lang w:val="fr-FR"/>
        </w:rPr>
      </w:pPr>
      <w:r w:rsidRPr="009415C9">
        <w:rPr>
          <w:lang w:val="fr-FR"/>
        </w:rPr>
        <w:fldChar w:fldCharType="begin"/>
      </w:r>
      <w:r w:rsidRPr="009415C9">
        <w:rPr>
          <w:lang w:val="fr-FR"/>
        </w:rPr>
        <w:instrText xml:space="preserve"> AUTONUM  </w:instrText>
      </w:r>
      <w:r w:rsidRPr="009415C9">
        <w:rPr>
          <w:lang w:val="fr-FR"/>
        </w:rPr>
        <w:fldChar w:fldCharType="end"/>
      </w:r>
      <w:r w:rsidRPr="009415C9">
        <w:rPr>
          <w:lang w:val="fr-FR"/>
        </w:rPr>
        <w:tab/>
      </w:r>
      <w:r w:rsidR="00A8602B" w:rsidRPr="009415C9">
        <w:rPr>
          <w:lang w:val="fr-FR"/>
        </w:rPr>
        <w:t>À sa trente</w:t>
      </w:r>
      <w:r w:rsidR="00105F8E" w:rsidRPr="009415C9">
        <w:rPr>
          <w:lang w:val="fr-FR"/>
        </w:rPr>
        <w:noBreakHyphen/>
      </w:r>
      <w:r w:rsidR="00A8602B" w:rsidRPr="009415C9">
        <w:rPr>
          <w:lang w:val="fr-FR"/>
        </w:rPr>
        <w:t>deuxième session,</w:t>
      </w:r>
      <w:r w:rsidR="00402F0A" w:rsidRPr="009415C9">
        <w:rPr>
          <w:lang w:val="fr-FR"/>
        </w:rPr>
        <w:t xml:space="preserve"> le TWC</w:t>
      </w:r>
      <w:r w:rsidR="00A8602B" w:rsidRPr="009415C9">
        <w:rPr>
          <w:lang w:val="fr-FR"/>
        </w:rPr>
        <w:t xml:space="preserve"> a examiné le document TWC/32/27 “Updated Survey on Hand</w:t>
      </w:r>
      <w:r w:rsidR="00105F8E" w:rsidRPr="009415C9">
        <w:rPr>
          <w:lang w:val="fr-FR"/>
        </w:rPr>
        <w:noBreakHyphen/>
      </w:r>
      <w:r w:rsidR="00A8602B" w:rsidRPr="009415C9">
        <w:rPr>
          <w:lang w:val="fr-FR"/>
        </w:rPr>
        <w:t xml:space="preserve">Held Capture Devices” et pris note du résumé des </w:t>
      </w:r>
      <w:r w:rsidR="00B6349E" w:rsidRPr="009415C9">
        <w:rPr>
          <w:lang w:val="fr-FR"/>
        </w:rPr>
        <w:t>renseignements fourni</w:t>
      </w:r>
      <w:r w:rsidR="00A8602B" w:rsidRPr="009415C9">
        <w:rPr>
          <w:lang w:val="fr-FR"/>
        </w:rPr>
        <w:t>s par les membres</w:t>
      </w:r>
      <w:r w:rsidR="00402F0A" w:rsidRPr="009415C9">
        <w:rPr>
          <w:lang w:val="fr-FR"/>
        </w:rPr>
        <w:t xml:space="preserve"> du TWC</w:t>
      </w:r>
      <w:r w:rsidR="00A8602B" w:rsidRPr="009415C9">
        <w:rPr>
          <w:lang w:val="fr-FR"/>
        </w:rPr>
        <w:t xml:space="preserve"> sur l</w:t>
      </w:r>
      <w:r w:rsidR="00402F0A" w:rsidRPr="009415C9">
        <w:rPr>
          <w:lang w:val="fr-FR"/>
        </w:rPr>
        <w:t>’</w:t>
      </w:r>
      <w:r w:rsidR="00A8602B" w:rsidRPr="009415C9">
        <w:rPr>
          <w:lang w:val="fr-FR"/>
        </w:rPr>
        <w:t>utilisation des enregistreurs de données aux fins de l</w:t>
      </w:r>
      <w:r w:rsidR="00402F0A" w:rsidRPr="009415C9">
        <w:rPr>
          <w:lang w:val="fr-FR"/>
        </w:rPr>
        <w:t>’</w:t>
      </w:r>
      <w:r w:rsidR="00A8602B" w:rsidRPr="009415C9">
        <w:rPr>
          <w:lang w:val="fr-FR"/>
        </w:rPr>
        <w:t xml:space="preserve">enregistrement des données dans les essais DHS </w:t>
      </w:r>
      <w:r w:rsidR="00B6349E" w:rsidRPr="009415C9">
        <w:rPr>
          <w:lang w:val="fr-FR"/>
        </w:rPr>
        <w:t>figurant</w:t>
      </w:r>
      <w:r w:rsidR="00A8602B" w:rsidRPr="009415C9">
        <w:rPr>
          <w:lang w:val="fr-FR"/>
        </w:rPr>
        <w:t xml:space="preserve"> à l</w:t>
      </w:r>
      <w:r w:rsidR="00402F0A" w:rsidRPr="009415C9">
        <w:rPr>
          <w:lang w:val="fr-FR"/>
        </w:rPr>
        <w:t>’</w:t>
      </w:r>
      <w:r w:rsidR="00A8602B" w:rsidRPr="009415C9">
        <w:rPr>
          <w:lang w:val="fr-FR"/>
        </w:rPr>
        <w:t>annexe</w:t>
      </w:r>
      <w:r w:rsidR="00064E56" w:rsidRPr="009415C9">
        <w:rPr>
          <w:lang w:val="fr-FR"/>
        </w:rPr>
        <w:t> </w:t>
      </w:r>
      <w:r w:rsidR="00A8602B" w:rsidRPr="009415C9">
        <w:rPr>
          <w:lang w:val="fr-FR"/>
        </w:rPr>
        <w:t>I du document TWC/32/27, qui serait inclus dans le document UPOV/INF/22 “Logiciels et équipements utilisés par les membres de l</w:t>
      </w:r>
      <w:r w:rsidR="00402F0A" w:rsidRPr="009415C9">
        <w:rPr>
          <w:lang w:val="fr-FR"/>
        </w:rPr>
        <w:t>’</w:t>
      </w:r>
      <w:r w:rsidR="00A8602B" w:rsidRPr="009415C9">
        <w:rPr>
          <w:lang w:val="fr-FR"/>
        </w:rPr>
        <w:t>Union” sous réserve de son adoption par le Conseil.</w:t>
      </w:r>
    </w:p>
    <w:p w:rsidR="00A17213" w:rsidRPr="009415C9" w:rsidRDefault="00A17213" w:rsidP="00E32B2C">
      <w:pPr>
        <w:autoSpaceDE w:val="0"/>
        <w:autoSpaceDN w:val="0"/>
        <w:adjustRightInd w:val="0"/>
        <w:rPr>
          <w:lang w:val="fr-FR"/>
        </w:rPr>
      </w:pPr>
    </w:p>
    <w:p w:rsidR="00402F0A" w:rsidRPr="009415C9" w:rsidRDefault="00E32B2C" w:rsidP="002127E3">
      <w:pPr>
        <w:autoSpaceDE w:val="0"/>
        <w:autoSpaceDN w:val="0"/>
        <w:adjustRightInd w:val="0"/>
        <w:rPr>
          <w:lang w:val="fr-FR"/>
        </w:rPr>
      </w:pPr>
      <w:r w:rsidRPr="009415C9">
        <w:rPr>
          <w:lang w:val="fr-FR"/>
        </w:rPr>
        <w:fldChar w:fldCharType="begin"/>
      </w:r>
      <w:r w:rsidRPr="009415C9">
        <w:rPr>
          <w:lang w:val="fr-FR"/>
        </w:rPr>
        <w:instrText xml:space="preserve"> AUTONUM  </w:instrText>
      </w:r>
      <w:r w:rsidRPr="009415C9">
        <w:rPr>
          <w:lang w:val="fr-FR"/>
        </w:rPr>
        <w:fldChar w:fldCharType="end"/>
      </w:r>
      <w:r w:rsidRPr="009415C9">
        <w:rPr>
          <w:lang w:val="fr-FR"/>
        </w:rPr>
        <w:tab/>
      </w:r>
      <w:r w:rsidR="007B7D17" w:rsidRPr="009415C9">
        <w:rPr>
          <w:lang w:val="fr-FR"/>
        </w:rPr>
        <w:t>Le TWC a écouté l’</w:t>
      </w:r>
      <w:r w:rsidR="002127E3" w:rsidRPr="009415C9">
        <w:rPr>
          <w:lang w:val="fr-FR"/>
        </w:rPr>
        <w:t xml:space="preserve">exposé </w:t>
      </w:r>
      <w:r w:rsidR="001972CC" w:rsidRPr="009415C9">
        <w:rPr>
          <w:lang w:val="fr-FR"/>
        </w:rPr>
        <w:t>d’</w:t>
      </w:r>
      <w:r w:rsidR="002127E3" w:rsidRPr="009415C9">
        <w:rPr>
          <w:lang w:val="fr-FR"/>
        </w:rPr>
        <w:t>un expert de l</w:t>
      </w:r>
      <w:r w:rsidR="00402F0A" w:rsidRPr="009415C9">
        <w:rPr>
          <w:lang w:val="fr-FR"/>
        </w:rPr>
        <w:t>’</w:t>
      </w:r>
      <w:r w:rsidR="002127E3" w:rsidRPr="009415C9">
        <w:rPr>
          <w:lang w:val="fr-FR"/>
        </w:rPr>
        <w:t>Allemagne sur l</w:t>
      </w:r>
      <w:r w:rsidR="00402F0A" w:rsidRPr="009415C9">
        <w:rPr>
          <w:lang w:val="fr-FR"/>
        </w:rPr>
        <w:t>’</w:t>
      </w:r>
      <w:r w:rsidR="002127E3" w:rsidRPr="009415C9">
        <w:rPr>
          <w:lang w:val="fr-FR"/>
        </w:rPr>
        <w:t>utilisation des dispositifs portatifs de saisie de données dans le cadre de l</w:t>
      </w:r>
      <w:r w:rsidR="00402F0A" w:rsidRPr="009415C9">
        <w:rPr>
          <w:lang w:val="fr-FR"/>
        </w:rPr>
        <w:t>’</w:t>
      </w:r>
      <w:r w:rsidR="002127E3" w:rsidRPr="009415C9">
        <w:rPr>
          <w:lang w:val="fr-FR"/>
        </w:rPr>
        <w:t>examen</w:t>
      </w:r>
      <w:r w:rsidR="00064E56" w:rsidRPr="009415C9">
        <w:rPr>
          <w:lang w:val="fr-FR"/>
        </w:rPr>
        <w:t> </w:t>
      </w:r>
      <w:r w:rsidR="002127E3" w:rsidRPr="009415C9">
        <w:rPr>
          <w:lang w:val="fr-FR"/>
        </w:rPr>
        <w:t xml:space="preserve">DHS en Allemagne, </w:t>
      </w:r>
      <w:r w:rsidR="00B6349E" w:rsidRPr="009415C9">
        <w:rPr>
          <w:lang w:val="fr-FR"/>
        </w:rPr>
        <w:t>qui</w:t>
      </w:r>
      <w:r w:rsidR="002127E3" w:rsidRPr="009415C9">
        <w:rPr>
          <w:lang w:val="fr-FR"/>
        </w:rPr>
        <w:t xml:space="preserve"> est reproduit </w:t>
      </w:r>
      <w:r w:rsidR="001972CC" w:rsidRPr="009415C9">
        <w:rPr>
          <w:lang w:val="fr-FR"/>
        </w:rPr>
        <w:t>à</w:t>
      </w:r>
      <w:r w:rsidR="002127E3" w:rsidRPr="009415C9">
        <w:rPr>
          <w:lang w:val="fr-FR"/>
        </w:rPr>
        <w:t xml:space="preserve"> l</w:t>
      </w:r>
      <w:r w:rsidR="00402F0A" w:rsidRPr="009415C9">
        <w:rPr>
          <w:lang w:val="fr-FR"/>
        </w:rPr>
        <w:t>’</w:t>
      </w:r>
      <w:r w:rsidR="002127E3" w:rsidRPr="009415C9">
        <w:rPr>
          <w:lang w:val="fr-FR"/>
        </w:rPr>
        <w:t>annexe</w:t>
      </w:r>
      <w:r w:rsidR="00064E56" w:rsidRPr="009415C9">
        <w:rPr>
          <w:lang w:val="fr-FR"/>
        </w:rPr>
        <w:t> </w:t>
      </w:r>
      <w:r w:rsidR="002127E3" w:rsidRPr="009415C9">
        <w:rPr>
          <w:lang w:val="fr-FR"/>
        </w:rPr>
        <w:t>II du document TWC/32/27 (voir les paragraphes</w:t>
      </w:r>
      <w:r w:rsidR="00064E56" w:rsidRPr="009415C9">
        <w:rPr>
          <w:lang w:val="fr-FR"/>
        </w:rPr>
        <w:t> </w:t>
      </w:r>
      <w:r w:rsidR="002127E3" w:rsidRPr="009415C9">
        <w:rPr>
          <w:lang w:val="fr-FR"/>
        </w:rPr>
        <w:t>99 à 102 du document TWC/32/28 “Report”).</w:t>
      </w:r>
    </w:p>
    <w:p w:rsidR="00A17213" w:rsidRPr="009415C9" w:rsidRDefault="00A17213" w:rsidP="00E32B2C">
      <w:pPr>
        <w:autoSpaceDE w:val="0"/>
        <w:autoSpaceDN w:val="0"/>
        <w:adjustRightInd w:val="0"/>
        <w:rPr>
          <w:lang w:val="fr-FR"/>
        </w:rPr>
      </w:pPr>
    </w:p>
    <w:p w:rsidR="00A17213" w:rsidRPr="009415C9" w:rsidRDefault="00E32B2C" w:rsidP="0090261E">
      <w:pPr>
        <w:rPr>
          <w:rFonts w:cs="Arial"/>
          <w:lang w:val="fr-FR"/>
        </w:rPr>
      </w:pPr>
      <w:r w:rsidRPr="009415C9">
        <w:rPr>
          <w:lang w:val="fr-FR"/>
        </w:rPr>
        <w:fldChar w:fldCharType="begin"/>
      </w:r>
      <w:r w:rsidRPr="009415C9">
        <w:rPr>
          <w:lang w:val="fr-FR"/>
        </w:rPr>
        <w:instrText xml:space="preserve"> AUTONUM  </w:instrText>
      </w:r>
      <w:r w:rsidRPr="009415C9">
        <w:rPr>
          <w:lang w:val="fr-FR"/>
        </w:rPr>
        <w:fldChar w:fldCharType="end"/>
      </w:r>
      <w:r w:rsidRPr="009415C9">
        <w:rPr>
          <w:lang w:val="fr-FR"/>
        </w:rPr>
        <w:tab/>
      </w:r>
      <w:r w:rsidR="0090261E" w:rsidRPr="009415C9">
        <w:rPr>
          <w:lang w:val="fr-FR"/>
        </w:rPr>
        <w:t xml:space="preserve">Le </w:t>
      </w:r>
      <w:r w:rsidR="00402F0A" w:rsidRPr="009415C9">
        <w:rPr>
          <w:lang w:val="fr-FR"/>
        </w:rPr>
        <w:t>document TC</w:t>
      </w:r>
      <w:r w:rsidR="0090261E" w:rsidRPr="009415C9">
        <w:rPr>
          <w:lang w:val="fr-FR"/>
        </w:rPr>
        <w:t>/51/8 “Échange et utilisation de logiciels et d</w:t>
      </w:r>
      <w:r w:rsidR="00402F0A" w:rsidRPr="009415C9">
        <w:rPr>
          <w:lang w:val="fr-FR"/>
        </w:rPr>
        <w:t>’</w:t>
      </w:r>
      <w:r w:rsidR="0090261E" w:rsidRPr="009415C9">
        <w:rPr>
          <w:lang w:val="fr-FR"/>
        </w:rPr>
        <w:t>équipements” présente une proposition concernant l</w:t>
      </w:r>
      <w:r w:rsidR="00402F0A" w:rsidRPr="009415C9">
        <w:rPr>
          <w:lang w:val="fr-FR"/>
        </w:rPr>
        <w:t>’</w:t>
      </w:r>
      <w:r w:rsidR="0090261E" w:rsidRPr="009415C9">
        <w:rPr>
          <w:lang w:val="fr-FR"/>
        </w:rPr>
        <w:t>inclusion, dans le document UPOV/INF/22 “Logiciels et équipements utilisés par les membres de l</w:t>
      </w:r>
      <w:r w:rsidR="00402F0A" w:rsidRPr="009415C9">
        <w:rPr>
          <w:lang w:val="fr-FR"/>
        </w:rPr>
        <w:t>’</w:t>
      </w:r>
      <w:r w:rsidR="0090261E" w:rsidRPr="009415C9">
        <w:rPr>
          <w:lang w:val="fr-FR"/>
        </w:rPr>
        <w:t xml:space="preserve">Union”, </w:t>
      </w:r>
      <w:r w:rsidR="00B6349E" w:rsidRPr="009415C9">
        <w:rPr>
          <w:lang w:val="fr-FR"/>
        </w:rPr>
        <w:t>de renseignements</w:t>
      </w:r>
      <w:r w:rsidR="0090261E" w:rsidRPr="009415C9">
        <w:rPr>
          <w:lang w:val="fr-FR"/>
        </w:rPr>
        <w:t xml:space="preserve"> sur l</w:t>
      </w:r>
      <w:r w:rsidR="00402F0A" w:rsidRPr="009415C9">
        <w:rPr>
          <w:lang w:val="fr-FR"/>
        </w:rPr>
        <w:t>’</w:t>
      </w:r>
      <w:r w:rsidR="0090261E" w:rsidRPr="009415C9">
        <w:rPr>
          <w:lang w:val="fr-FR"/>
        </w:rPr>
        <w:t>utilisation des enregistreurs de données dans le cadre des essais DHS.</w:t>
      </w:r>
    </w:p>
    <w:p w:rsidR="00A17213" w:rsidRPr="009415C9" w:rsidRDefault="00A17213" w:rsidP="00BF1A76">
      <w:pPr>
        <w:rPr>
          <w:caps/>
          <w:highlight w:val="yellow"/>
          <w:lang w:val="fr-FR"/>
        </w:rPr>
      </w:pPr>
    </w:p>
    <w:p w:rsidR="00A17213" w:rsidRPr="009415C9" w:rsidRDefault="00305162" w:rsidP="00305162">
      <w:pPr>
        <w:pStyle w:val="Heading2"/>
        <w:rPr>
          <w:lang w:val="fr-FR"/>
        </w:rPr>
      </w:pPr>
      <w:bookmarkStart w:id="10" w:name="_Toc411329135"/>
      <w:r w:rsidRPr="009415C9">
        <w:rPr>
          <w:lang w:val="fr-FR"/>
        </w:rPr>
        <w:t>Expériences avec de nouveaux types et espèces</w:t>
      </w:r>
      <w:bookmarkEnd w:id="10"/>
    </w:p>
    <w:p w:rsidR="00A17213" w:rsidRPr="009415C9" w:rsidRDefault="00A17213" w:rsidP="00BF1A76">
      <w:pPr>
        <w:rPr>
          <w:lang w:val="fr-FR"/>
        </w:rPr>
      </w:pPr>
    </w:p>
    <w:p w:rsidR="00A17213" w:rsidRPr="009415C9" w:rsidRDefault="00305162" w:rsidP="00B6349E">
      <w:pPr>
        <w:pStyle w:val="Heading3"/>
        <w:rPr>
          <w:color w:val="auto"/>
        </w:rPr>
      </w:pPr>
      <w:bookmarkStart w:id="11" w:name="_Toc411329136"/>
      <w:r w:rsidRPr="009415C9">
        <w:rPr>
          <w:color w:val="auto"/>
        </w:rPr>
        <w:t>Groupe de travail technique sur les plantes ornementales et les arbres forestiers</w:t>
      </w:r>
      <w:bookmarkEnd w:id="11"/>
    </w:p>
    <w:p w:rsidR="00A17213" w:rsidRPr="009415C9" w:rsidRDefault="00A17213" w:rsidP="00BF1A76">
      <w:pPr>
        <w:rPr>
          <w:lang w:val="fr-FR"/>
        </w:rPr>
      </w:pPr>
    </w:p>
    <w:p w:rsidR="00A17213" w:rsidRPr="009415C9" w:rsidRDefault="00BF1A76" w:rsidP="00764C22">
      <w:pPr>
        <w:rPr>
          <w:snapToGrid w:val="0"/>
          <w:lang w:val="fr-FR"/>
        </w:rPr>
      </w:pPr>
      <w:r w:rsidRPr="009415C9">
        <w:rPr>
          <w:snapToGrid w:val="0"/>
          <w:lang w:val="fr-FR"/>
        </w:rPr>
        <w:fldChar w:fldCharType="begin"/>
      </w:r>
      <w:r w:rsidRPr="009415C9">
        <w:rPr>
          <w:snapToGrid w:val="0"/>
          <w:lang w:val="fr-FR"/>
        </w:rPr>
        <w:instrText xml:space="preserve"> AUTONUM  </w:instrText>
      </w:r>
      <w:r w:rsidRPr="009415C9">
        <w:rPr>
          <w:snapToGrid w:val="0"/>
          <w:lang w:val="fr-FR"/>
        </w:rPr>
        <w:fldChar w:fldCharType="end"/>
      </w:r>
      <w:r w:rsidRPr="009415C9">
        <w:rPr>
          <w:snapToGrid w:val="0"/>
          <w:lang w:val="fr-FR"/>
        </w:rPr>
        <w:tab/>
      </w:r>
      <w:r w:rsidR="00764C22" w:rsidRPr="009415C9">
        <w:rPr>
          <w:snapToGrid w:val="0"/>
          <w:lang w:val="fr-FR"/>
        </w:rPr>
        <w:t>À sa quarante</w:t>
      </w:r>
      <w:r w:rsidR="00105F8E" w:rsidRPr="009415C9">
        <w:rPr>
          <w:snapToGrid w:val="0"/>
          <w:lang w:val="fr-FR"/>
        </w:rPr>
        <w:noBreakHyphen/>
      </w:r>
      <w:r w:rsidR="00764C22" w:rsidRPr="009415C9">
        <w:rPr>
          <w:snapToGrid w:val="0"/>
          <w:lang w:val="fr-FR"/>
        </w:rPr>
        <w:t>septième session,</w:t>
      </w:r>
      <w:r w:rsidR="00402F0A" w:rsidRPr="009415C9">
        <w:rPr>
          <w:snapToGrid w:val="0"/>
          <w:lang w:val="fr-FR"/>
        </w:rPr>
        <w:t xml:space="preserve"> le TWO</w:t>
      </w:r>
      <w:r w:rsidR="00764C22" w:rsidRPr="009415C9">
        <w:rPr>
          <w:snapToGrid w:val="0"/>
          <w:lang w:val="fr-FR"/>
        </w:rPr>
        <w:t xml:space="preserve"> a été</w:t>
      </w:r>
      <w:r w:rsidR="00E81C94" w:rsidRPr="009415C9">
        <w:rPr>
          <w:snapToGrid w:val="0"/>
          <w:lang w:val="fr-FR"/>
        </w:rPr>
        <w:t xml:space="preserve"> informé par un expert de la No</w:t>
      </w:r>
      <w:r w:rsidR="00764C22" w:rsidRPr="009415C9">
        <w:rPr>
          <w:snapToGrid w:val="0"/>
          <w:lang w:val="fr-FR"/>
        </w:rPr>
        <w:t>u</w:t>
      </w:r>
      <w:r w:rsidR="00E81C94" w:rsidRPr="009415C9">
        <w:rPr>
          <w:snapToGrid w:val="0"/>
          <w:lang w:val="fr-FR"/>
        </w:rPr>
        <w:t>v</w:t>
      </w:r>
      <w:r w:rsidR="00764C22" w:rsidRPr="009415C9">
        <w:rPr>
          <w:snapToGrid w:val="0"/>
          <w:lang w:val="fr-FR"/>
        </w:rPr>
        <w:t>elle</w:t>
      </w:r>
      <w:r w:rsidR="00105F8E" w:rsidRPr="009415C9">
        <w:rPr>
          <w:snapToGrid w:val="0"/>
          <w:lang w:val="fr-FR"/>
        </w:rPr>
        <w:noBreakHyphen/>
      </w:r>
      <w:r w:rsidR="00764C22" w:rsidRPr="009415C9">
        <w:rPr>
          <w:snapToGrid w:val="0"/>
          <w:lang w:val="fr-FR"/>
        </w:rPr>
        <w:t xml:space="preserve">Zélande que des demandes de protection de nouvelles variétés de </w:t>
      </w:r>
      <w:r w:rsidR="00764C22" w:rsidRPr="009415C9">
        <w:rPr>
          <w:i/>
          <w:snapToGrid w:val="0"/>
          <w:lang w:val="fr-FR"/>
        </w:rPr>
        <w:t>Loropetalum</w:t>
      </w:r>
      <w:r w:rsidR="00764C22" w:rsidRPr="009415C9">
        <w:rPr>
          <w:snapToGrid w:val="0"/>
          <w:lang w:val="fr-FR"/>
        </w:rPr>
        <w:t xml:space="preserve"> avaient été déposées</w:t>
      </w:r>
      <w:r w:rsidR="00E81C94" w:rsidRPr="009415C9">
        <w:rPr>
          <w:snapToGrid w:val="0"/>
          <w:lang w:val="fr-FR"/>
        </w:rPr>
        <w:t xml:space="preserve"> </w:t>
      </w:r>
      <w:r w:rsidR="00764C22" w:rsidRPr="009415C9">
        <w:rPr>
          <w:snapToGrid w:val="0"/>
          <w:lang w:val="fr-FR"/>
        </w:rPr>
        <w:t>(voir le paragraphe</w:t>
      </w:r>
      <w:r w:rsidR="00064E56" w:rsidRPr="009415C9">
        <w:rPr>
          <w:snapToGrid w:val="0"/>
          <w:lang w:val="fr-FR"/>
        </w:rPr>
        <w:t> </w:t>
      </w:r>
      <w:r w:rsidR="00764C22" w:rsidRPr="009415C9">
        <w:rPr>
          <w:snapToGrid w:val="0"/>
          <w:lang w:val="fr-FR"/>
        </w:rPr>
        <w:t>70 du document TWO/47/28 “Report”).</w:t>
      </w:r>
    </w:p>
    <w:p w:rsidR="00A17213" w:rsidRPr="009415C9" w:rsidRDefault="00A17213" w:rsidP="00BF1A76">
      <w:pPr>
        <w:rPr>
          <w:lang w:val="fr-FR"/>
        </w:rPr>
      </w:pPr>
    </w:p>
    <w:p w:rsidR="00A17213" w:rsidRPr="009415C9" w:rsidRDefault="00764C22" w:rsidP="00B6349E">
      <w:pPr>
        <w:pStyle w:val="Heading3"/>
        <w:rPr>
          <w:color w:val="auto"/>
        </w:rPr>
      </w:pPr>
      <w:bookmarkStart w:id="12" w:name="_Toc411329137"/>
      <w:r w:rsidRPr="009415C9">
        <w:rPr>
          <w:color w:val="auto"/>
        </w:rPr>
        <w:t>Groupe de travail technique sur les plantes fruitières</w:t>
      </w:r>
      <w:bookmarkEnd w:id="12"/>
    </w:p>
    <w:p w:rsidR="00A17213" w:rsidRPr="009415C9" w:rsidRDefault="00A17213" w:rsidP="00BF1A76">
      <w:pPr>
        <w:rPr>
          <w:lang w:val="fr-FR"/>
        </w:rPr>
      </w:pPr>
    </w:p>
    <w:p w:rsidR="00A17213" w:rsidRDefault="00256DED" w:rsidP="00900E2B">
      <w:pPr>
        <w:rPr>
          <w:lang w:val="fr-FR"/>
        </w:rPr>
      </w:pPr>
      <w:r w:rsidRPr="009415C9">
        <w:rPr>
          <w:lang w:val="fr-FR"/>
        </w:rPr>
        <w:fldChar w:fldCharType="begin"/>
      </w:r>
      <w:r w:rsidRPr="009415C9">
        <w:rPr>
          <w:lang w:val="fr-FR"/>
        </w:rPr>
        <w:instrText xml:space="preserve"> AUTONUM  </w:instrText>
      </w:r>
      <w:r w:rsidRPr="009415C9">
        <w:rPr>
          <w:lang w:val="fr-FR"/>
        </w:rPr>
        <w:fldChar w:fldCharType="end"/>
      </w:r>
      <w:r w:rsidRPr="009415C9">
        <w:rPr>
          <w:lang w:val="fr-FR"/>
        </w:rPr>
        <w:tab/>
      </w:r>
      <w:r w:rsidR="00900E2B" w:rsidRPr="009415C9">
        <w:rPr>
          <w:lang w:val="fr-FR"/>
        </w:rPr>
        <w:t>Le TWF a reçu des informations de l</w:t>
      </w:r>
      <w:r w:rsidR="00402F0A" w:rsidRPr="009415C9">
        <w:rPr>
          <w:lang w:val="fr-FR"/>
        </w:rPr>
        <w:t>’</w:t>
      </w:r>
      <w:r w:rsidR="00900E2B" w:rsidRPr="009415C9">
        <w:rPr>
          <w:lang w:val="fr-FR"/>
        </w:rPr>
        <w:t xml:space="preserve">expert de </w:t>
      </w:r>
      <w:r w:rsidR="00E81C94" w:rsidRPr="009415C9">
        <w:rPr>
          <w:lang w:val="fr-FR"/>
        </w:rPr>
        <w:t>l</w:t>
      </w:r>
      <w:r w:rsidR="00402F0A" w:rsidRPr="009415C9">
        <w:rPr>
          <w:lang w:val="fr-FR"/>
        </w:rPr>
        <w:t>’</w:t>
      </w:r>
      <w:r w:rsidR="00E81C94" w:rsidRPr="009415C9">
        <w:rPr>
          <w:lang w:val="fr-FR"/>
        </w:rPr>
        <w:t>Espagne conc</w:t>
      </w:r>
      <w:r w:rsidR="00E81C94">
        <w:rPr>
          <w:color w:val="000000"/>
          <w:lang w:val="fr-FR"/>
        </w:rPr>
        <w:t>ernant l</w:t>
      </w:r>
      <w:r w:rsidR="00402F0A">
        <w:rPr>
          <w:color w:val="000000"/>
          <w:lang w:val="fr-FR"/>
        </w:rPr>
        <w:t>’</w:t>
      </w:r>
      <w:r w:rsidR="00E81C94">
        <w:rPr>
          <w:color w:val="000000"/>
          <w:lang w:val="fr-FR"/>
        </w:rPr>
        <w:t>examen de</w:t>
      </w:r>
      <w:r w:rsidR="00900E2B" w:rsidRPr="00900E2B">
        <w:rPr>
          <w:color w:val="000000"/>
          <w:lang w:val="fr-FR"/>
        </w:rPr>
        <w:t xml:space="preserve"> </w:t>
      </w:r>
      <w:r w:rsidR="00900E2B" w:rsidRPr="00E81C94">
        <w:rPr>
          <w:i/>
          <w:color w:val="000000"/>
          <w:lang w:val="fr-FR"/>
        </w:rPr>
        <w:t>Diospyros kaki</w:t>
      </w:r>
      <w:r w:rsidR="00900E2B" w:rsidRPr="00900E2B">
        <w:rPr>
          <w:color w:val="000000"/>
          <w:lang w:val="fr-FR"/>
        </w:rPr>
        <w:t xml:space="preserve"> (nom commun</w:t>
      </w:r>
      <w:r w:rsidR="00064E56">
        <w:rPr>
          <w:color w:val="000000"/>
          <w:lang w:val="fr-FR"/>
        </w:rPr>
        <w:t> </w:t>
      </w:r>
      <w:r w:rsidR="00900E2B" w:rsidRPr="00900E2B">
        <w:rPr>
          <w:color w:val="000000"/>
          <w:lang w:val="fr-FR"/>
        </w:rPr>
        <w:t xml:space="preserve">: plaqueminier), </w:t>
      </w:r>
      <w:r w:rsidR="00900E2B" w:rsidRPr="00E81C94">
        <w:rPr>
          <w:i/>
          <w:color w:val="000000"/>
          <w:lang w:val="fr-FR"/>
        </w:rPr>
        <w:t>Punica granatum</w:t>
      </w:r>
      <w:r w:rsidR="00900E2B" w:rsidRPr="00900E2B">
        <w:rPr>
          <w:color w:val="000000"/>
          <w:lang w:val="fr-FR"/>
        </w:rPr>
        <w:t xml:space="preserve"> (nom commun</w:t>
      </w:r>
      <w:r w:rsidR="00064E56">
        <w:rPr>
          <w:color w:val="000000"/>
          <w:lang w:val="fr-FR"/>
        </w:rPr>
        <w:t> </w:t>
      </w:r>
      <w:r w:rsidR="00900E2B" w:rsidRPr="00900E2B">
        <w:rPr>
          <w:color w:val="000000"/>
          <w:lang w:val="fr-FR"/>
        </w:rPr>
        <w:t xml:space="preserve">: grenadier) et </w:t>
      </w:r>
      <w:r w:rsidR="00900E2B" w:rsidRPr="00E81C94">
        <w:rPr>
          <w:i/>
          <w:color w:val="000000"/>
          <w:lang w:val="fr-FR"/>
        </w:rPr>
        <w:t>Eriobotrya japonica</w:t>
      </w:r>
      <w:r w:rsidR="00900E2B" w:rsidRPr="00900E2B">
        <w:rPr>
          <w:color w:val="000000"/>
          <w:lang w:val="fr-FR"/>
        </w:rPr>
        <w:t xml:space="preserve"> (nom commun</w:t>
      </w:r>
      <w:r w:rsidR="00064E56">
        <w:rPr>
          <w:color w:val="000000"/>
          <w:lang w:val="fr-FR"/>
        </w:rPr>
        <w:t> </w:t>
      </w:r>
      <w:r w:rsidR="00900E2B" w:rsidRPr="00900E2B">
        <w:rPr>
          <w:color w:val="000000"/>
          <w:lang w:val="fr-FR"/>
        </w:rPr>
        <w:t>: néflier du Japon).</w:t>
      </w:r>
      <w:r w:rsidRPr="00105F8E">
        <w:rPr>
          <w:color w:val="000000"/>
          <w:lang w:val="fr-FR"/>
        </w:rPr>
        <w:t xml:space="preserve">  </w:t>
      </w:r>
      <w:r w:rsidR="00900E2B" w:rsidRPr="00900E2B">
        <w:rPr>
          <w:color w:val="000000"/>
          <w:lang w:val="fr-FR"/>
        </w:rPr>
        <w:t>L</w:t>
      </w:r>
      <w:r w:rsidR="00402F0A">
        <w:rPr>
          <w:color w:val="000000"/>
          <w:lang w:val="fr-FR"/>
        </w:rPr>
        <w:t>’</w:t>
      </w:r>
      <w:r w:rsidR="00900E2B" w:rsidRPr="00900E2B">
        <w:rPr>
          <w:color w:val="000000"/>
          <w:lang w:val="fr-FR"/>
        </w:rPr>
        <w:t>expert de l</w:t>
      </w:r>
      <w:r w:rsidR="00402F0A">
        <w:rPr>
          <w:color w:val="000000"/>
          <w:lang w:val="fr-FR"/>
        </w:rPr>
        <w:t>’</w:t>
      </w:r>
      <w:r w:rsidR="00900E2B" w:rsidRPr="00900E2B">
        <w:rPr>
          <w:color w:val="000000"/>
          <w:lang w:val="fr-FR"/>
        </w:rPr>
        <w:t xml:space="preserve">Espagne a accepté de faire un exposé sur ces espèces à la session du TWF </w:t>
      </w:r>
      <w:r w:rsidR="00E14944">
        <w:rPr>
          <w:color w:val="000000"/>
          <w:lang w:val="fr-FR"/>
        </w:rPr>
        <w:t>de</w:t>
      </w:r>
      <w:r w:rsidR="00900E2B" w:rsidRPr="00900E2B">
        <w:rPr>
          <w:color w:val="000000"/>
          <w:lang w:val="fr-FR"/>
        </w:rPr>
        <w:t> 2015.</w:t>
      </w:r>
    </w:p>
    <w:p w:rsidR="00A17213" w:rsidRDefault="00574C63" w:rsidP="00574C63">
      <w:pPr>
        <w:tabs>
          <w:tab w:val="left" w:pos="7830"/>
        </w:tabs>
        <w:jc w:val="left"/>
        <w:rPr>
          <w:lang w:val="fr-FR"/>
        </w:rPr>
      </w:pPr>
      <w:r>
        <w:rPr>
          <w:lang w:val="fr-FR"/>
        </w:rPr>
        <w:tab/>
      </w:r>
    </w:p>
    <w:p w:rsidR="00A17213" w:rsidRPr="009415C9" w:rsidRDefault="00256DED" w:rsidP="00B33B4A">
      <w:pPr>
        <w:rPr>
          <w:lang w:val="fr-FR"/>
        </w:rPr>
      </w:pPr>
      <w:r w:rsidRPr="009415C9">
        <w:rPr>
          <w:lang w:val="fr-FR"/>
        </w:rPr>
        <w:lastRenderedPageBreak/>
        <w:fldChar w:fldCharType="begin"/>
      </w:r>
      <w:r w:rsidRPr="009415C9">
        <w:rPr>
          <w:lang w:val="fr-FR"/>
        </w:rPr>
        <w:instrText xml:space="preserve"> AUTONUM  </w:instrText>
      </w:r>
      <w:r w:rsidRPr="009415C9">
        <w:rPr>
          <w:lang w:val="fr-FR"/>
        </w:rPr>
        <w:fldChar w:fldCharType="end"/>
      </w:r>
      <w:r w:rsidRPr="009415C9">
        <w:rPr>
          <w:lang w:val="fr-FR"/>
        </w:rPr>
        <w:tab/>
      </w:r>
      <w:r w:rsidR="00B33B4A" w:rsidRPr="009415C9">
        <w:rPr>
          <w:lang w:val="fr-FR"/>
        </w:rPr>
        <w:t>Le TWF a reçu des informations de l</w:t>
      </w:r>
      <w:r w:rsidR="00402F0A" w:rsidRPr="009415C9">
        <w:rPr>
          <w:lang w:val="fr-FR"/>
        </w:rPr>
        <w:t>’</w:t>
      </w:r>
      <w:r w:rsidR="00B33B4A" w:rsidRPr="009415C9">
        <w:rPr>
          <w:lang w:val="fr-FR"/>
        </w:rPr>
        <w:t>expert de l</w:t>
      </w:r>
      <w:r w:rsidR="00402F0A" w:rsidRPr="009415C9">
        <w:rPr>
          <w:lang w:val="fr-FR"/>
        </w:rPr>
        <w:t>’</w:t>
      </w:r>
      <w:r w:rsidR="00B33B4A" w:rsidRPr="009415C9">
        <w:rPr>
          <w:lang w:val="fr-FR"/>
        </w:rPr>
        <w:t>Allemagne concernant l</w:t>
      </w:r>
      <w:r w:rsidR="00402F0A" w:rsidRPr="009415C9">
        <w:rPr>
          <w:lang w:val="fr-FR"/>
        </w:rPr>
        <w:t>’</w:t>
      </w:r>
      <w:r w:rsidR="00B33B4A" w:rsidRPr="009415C9">
        <w:rPr>
          <w:lang w:val="fr-FR"/>
        </w:rPr>
        <w:t>examen d</w:t>
      </w:r>
      <w:r w:rsidR="00E81C94" w:rsidRPr="009415C9">
        <w:rPr>
          <w:lang w:val="fr-FR"/>
        </w:rPr>
        <w:t>e</w:t>
      </w:r>
      <w:r w:rsidR="00B33B4A" w:rsidRPr="009415C9">
        <w:rPr>
          <w:lang w:val="fr-FR"/>
        </w:rPr>
        <w:t xml:space="preserve"> </w:t>
      </w:r>
      <w:r w:rsidR="00B33B4A" w:rsidRPr="009415C9">
        <w:rPr>
          <w:i/>
          <w:lang w:val="fr-FR"/>
        </w:rPr>
        <w:t>Lycium barbarum</w:t>
      </w:r>
      <w:r w:rsidR="00B33B4A" w:rsidRPr="009415C9">
        <w:rPr>
          <w:lang w:val="fr-FR"/>
        </w:rPr>
        <w:t xml:space="preserve"> (nom commun</w:t>
      </w:r>
      <w:r w:rsidR="00064E56" w:rsidRPr="009415C9">
        <w:rPr>
          <w:lang w:val="fr-FR"/>
        </w:rPr>
        <w:t> </w:t>
      </w:r>
      <w:r w:rsidR="00B33B4A" w:rsidRPr="009415C9">
        <w:rPr>
          <w:lang w:val="fr-FR"/>
        </w:rPr>
        <w:t>: lyciet commun, baie de goji).</w:t>
      </w:r>
      <w:r w:rsidRPr="009415C9">
        <w:rPr>
          <w:lang w:val="fr-FR"/>
        </w:rPr>
        <w:t xml:space="preserve">  </w:t>
      </w:r>
      <w:r w:rsidR="00B33B4A" w:rsidRPr="009415C9">
        <w:rPr>
          <w:lang w:val="fr-FR"/>
        </w:rPr>
        <w:t>L</w:t>
      </w:r>
      <w:r w:rsidR="00402F0A" w:rsidRPr="009415C9">
        <w:rPr>
          <w:lang w:val="fr-FR"/>
        </w:rPr>
        <w:t>’</w:t>
      </w:r>
      <w:r w:rsidR="00B33B4A" w:rsidRPr="009415C9">
        <w:rPr>
          <w:lang w:val="fr-FR"/>
        </w:rPr>
        <w:t>expert de l</w:t>
      </w:r>
      <w:r w:rsidR="00402F0A" w:rsidRPr="009415C9">
        <w:rPr>
          <w:lang w:val="fr-FR"/>
        </w:rPr>
        <w:t>’</w:t>
      </w:r>
      <w:r w:rsidR="00B33B4A" w:rsidRPr="009415C9">
        <w:rPr>
          <w:lang w:val="fr-FR"/>
        </w:rPr>
        <w:t xml:space="preserve">Allemagne a accepté de faire un exposé sur ces espèces à la session du TWF </w:t>
      </w:r>
      <w:r w:rsidR="00E14944" w:rsidRPr="009415C9">
        <w:rPr>
          <w:lang w:val="fr-FR"/>
        </w:rPr>
        <w:t>de </w:t>
      </w:r>
      <w:r w:rsidR="00B33B4A" w:rsidRPr="009415C9">
        <w:rPr>
          <w:lang w:val="fr-FR"/>
        </w:rPr>
        <w:t>2015.</w:t>
      </w:r>
    </w:p>
    <w:p w:rsidR="00A17213" w:rsidRPr="009415C9" w:rsidRDefault="00A17213" w:rsidP="00CF4AF9">
      <w:pPr>
        <w:rPr>
          <w:lang w:val="fr-FR"/>
        </w:rPr>
      </w:pPr>
    </w:p>
    <w:p w:rsidR="00A17213" w:rsidRPr="009415C9" w:rsidRDefault="00256DED" w:rsidP="00EC244C">
      <w:pPr>
        <w:rPr>
          <w:lang w:val="fr-FR"/>
        </w:rPr>
      </w:pPr>
      <w:r w:rsidRPr="009415C9">
        <w:rPr>
          <w:lang w:val="fr-FR"/>
        </w:rPr>
        <w:fldChar w:fldCharType="begin"/>
      </w:r>
      <w:r w:rsidRPr="009415C9">
        <w:rPr>
          <w:lang w:val="fr-FR"/>
        </w:rPr>
        <w:instrText xml:space="preserve"> AUTONUM  </w:instrText>
      </w:r>
      <w:r w:rsidRPr="009415C9">
        <w:rPr>
          <w:lang w:val="fr-FR"/>
        </w:rPr>
        <w:fldChar w:fldCharType="end"/>
      </w:r>
      <w:r w:rsidRPr="009415C9">
        <w:rPr>
          <w:lang w:val="fr-FR"/>
        </w:rPr>
        <w:tab/>
      </w:r>
      <w:r w:rsidR="00EC244C" w:rsidRPr="009415C9">
        <w:rPr>
          <w:lang w:val="fr-FR"/>
        </w:rPr>
        <w:t>Le TWF a reçu des informations de l</w:t>
      </w:r>
      <w:r w:rsidR="00402F0A" w:rsidRPr="009415C9">
        <w:rPr>
          <w:lang w:val="fr-FR"/>
        </w:rPr>
        <w:t>’</w:t>
      </w:r>
      <w:r w:rsidR="00EC244C" w:rsidRPr="009415C9">
        <w:rPr>
          <w:lang w:val="fr-FR"/>
        </w:rPr>
        <w:t>expert de l</w:t>
      </w:r>
      <w:r w:rsidR="00402F0A" w:rsidRPr="009415C9">
        <w:rPr>
          <w:lang w:val="fr-FR"/>
        </w:rPr>
        <w:t>’</w:t>
      </w:r>
      <w:r w:rsidR="00EC244C" w:rsidRPr="009415C9">
        <w:rPr>
          <w:lang w:val="fr-FR"/>
        </w:rPr>
        <w:t>Union e</w:t>
      </w:r>
      <w:r w:rsidR="00957B4B" w:rsidRPr="009415C9">
        <w:rPr>
          <w:lang w:val="fr-FR"/>
        </w:rPr>
        <w:t>uropéenne concernant l</w:t>
      </w:r>
      <w:r w:rsidR="00402F0A" w:rsidRPr="009415C9">
        <w:rPr>
          <w:lang w:val="fr-FR"/>
        </w:rPr>
        <w:t>’</w:t>
      </w:r>
      <w:r w:rsidR="00957B4B" w:rsidRPr="009415C9">
        <w:rPr>
          <w:lang w:val="fr-FR"/>
        </w:rPr>
        <w:t>examen d</w:t>
      </w:r>
      <w:r w:rsidR="00402F0A" w:rsidRPr="009415C9">
        <w:rPr>
          <w:lang w:val="fr-FR"/>
        </w:rPr>
        <w:t>’</w:t>
      </w:r>
      <w:r w:rsidR="00957B4B" w:rsidRPr="009415C9">
        <w:rPr>
          <w:lang w:val="fr-FR"/>
        </w:rPr>
        <w:t>un</w:t>
      </w:r>
      <w:r w:rsidR="00EC244C" w:rsidRPr="009415C9">
        <w:rPr>
          <w:lang w:val="fr-FR"/>
        </w:rPr>
        <w:t xml:space="preserve"> type de myrtille ayant des besoins moyens en froid.</w:t>
      </w:r>
      <w:r w:rsidRPr="009415C9">
        <w:rPr>
          <w:lang w:val="fr-FR"/>
        </w:rPr>
        <w:t xml:space="preserve">  </w:t>
      </w:r>
      <w:r w:rsidR="00EC244C" w:rsidRPr="009415C9">
        <w:rPr>
          <w:lang w:val="fr-FR"/>
        </w:rPr>
        <w:t>L</w:t>
      </w:r>
      <w:r w:rsidR="00402F0A" w:rsidRPr="009415C9">
        <w:rPr>
          <w:lang w:val="fr-FR"/>
        </w:rPr>
        <w:t>’</w:t>
      </w:r>
      <w:r w:rsidR="00EC244C" w:rsidRPr="009415C9">
        <w:rPr>
          <w:lang w:val="fr-FR"/>
        </w:rPr>
        <w:t>expert de l</w:t>
      </w:r>
      <w:r w:rsidR="00402F0A" w:rsidRPr="009415C9">
        <w:rPr>
          <w:lang w:val="fr-FR"/>
        </w:rPr>
        <w:t>’</w:t>
      </w:r>
      <w:r w:rsidR="00EC244C" w:rsidRPr="009415C9">
        <w:rPr>
          <w:lang w:val="fr-FR"/>
        </w:rPr>
        <w:t>Union européenne a accepté de faire un exposé sur cette espèce à la session</w:t>
      </w:r>
      <w:r w:rsidR="00402F0A" w:rsidRPr="009415C9">
        <w:rPr>
          <w:lang w:val="fr-FR"/>
        </w:rPr>
        <w:t xml:space="preserve"> du TWF</w:t>
      </w:r>
      <w:r w:rsidR="00EC244C" w:rsidRPr="009415C9">
        <w:rPr>
          <w:lang w:val="fr-FR"/>
        </w:rPr>
        <w:t xml:space="preserve"> </w:t>
      </w:r>
      <w:r w:rsidR="00E14944" w:rsidRPr="009415C9">
        <w:rPr>
          <w:lang w:val="fr-FR"/>
        </w:rPr>
        <w:t>de </w:t>
      </w:r>
      <w:r w:rsidR="00EC244C" w:rsidRPr="009415C9">
        <w:rPr>
          <w:lang w:val="fr-FR"/>
        </w:rPr>
        <w:t>2015</w:t>
      </w:r>
      <w:r w:rsidR="00957B4B" w:rsidRPr="009415C9">
        <w:rPr>
          <w:lang w:val="fr-FR"/>
        </w:rPr>
        <w:t>.</w:t>
      </w:r>
    </w:p>
    <w:p w:rsidR="00A17213" w:rsidRPr="009415C9" w:rsidRDefault="00A17213" w:rsidP="00256DED">
      <w:pPr>
        <w:rPr>
          <w:lang w:val="fr-FR"/>
        </w:rPr>
      </w:pPr>
    </w:p>
    <w:p w:rsidR="00A17213" w:rsidRPr="009415C9" w:rsidRDefault="00256DED" w:rsidP="002116D8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  <w:lang w:val="fr-FR"/>
        </w:rPr>
      </w:pPr>
      <w:r w:rsidRPr="009415C9">
        <w:rPr>
          <w:rFonts w:ascii="Arial" w:hAnsi="Arial" w:cs="Arial"/>
          <w:sz w:val="20"/>
          <w:szCs w:val="20"/>
          <w:lang w:val="fr-FR"/>
        </w:rPr>
        <w:fldChar w:fldCharType="begin"/>
      </w:r>
      <w:r w:rsidRPr="009415C9">
        <w:rPr>
          <w:rFonts w:ascii="Arial" w:hAnsi="Arial" w:cs="Arial"/>
          <w:sz w:val="20"/>
          <w:szCs w:val="20"/>
          <w:lang w:val="fr-FR"/>
        </w:rPr>
        <w:instrText xml:space="preserve"> AUTONUM  </w:instrText>
      </w:r>
      <w:r w:rsidRPr="009415C9">
        <w:rPr>
          <w:rFonts w:ascii="Arial" w:hAnsi="Arial" w:cs="Arial"/>
          <w:sz w:val="20"/>
          <w:szCs w:val="20"/>
          <w:lang w:val="fr-FR"/>
        </w:rPr>
        <w:fldChar w:fldCharType="end"/>
      </w:r>
      <w:r w:rsidRPr="009415C9">
        <w:rPr>
          <w:rFonts w:ascii="Arial" w:hAnsi="Arial" w:cs="Arial"/>
          <w:sz w:val="20"/>
          <w:szCs w:val="20"/>
          <w:lang w:val="fr-FR"/>
        </w:rPr>
        <w:tab/>
      </w:r>
      <w:r w:rsidR="002116D8" w:rsidRPr="009415C9">
        <w:rPr>
          <w:rFonts w:ascii="Arial" w:hAnsi="Arial" w:cs="Arial"/>
          <w:sz w:val="20"/>
          <w:szCs w:val="20"/>
          <w:lang w:val="fr-FR"/>
        </w:rPr>
        <w:t>Le TWF a reçu des informations de l</w:t>
      </w:r>
      <w:r w:rsidR="00402F0A" w:rsidRPr="009415C9">
        <w:rPr>
          <w:rFonts w:ascii="Arial" w:hAnsi="Arial" w:cs="Arial"/>
          <w:sz w:val="20"/>
          <w:szCs w:val="20"/>
          <w:lang w:val="fr-FR"/>
        </w:rPr>
        <w:t>’</w:t>
      </w:r>
      <w:r w:rsidR="002116D8" w:rsidRPr="009415C9">
        <w:rPr>
          <w:rFonts w:ascii="Arial" w:hAnsi="Arial" w:cs="Arial"/>
          <w:sz w:val="20"/>
          <w:szCs w:val="20"/>
          <w:lang w:val="fr-FR"/>
        </w:rPr>
        <w:t>expert du Mexique concernant l</w:t>
      </w:r>
      <w:r w:rsidR="00402F0A" w:rsidRPr="009415C9">
        <w:rPr>
          <w:rFonts w:ascii="Arial" w:hAnsi="Arial" w:cs="Arial"/>
          <w:sz w:val="20"/>
          <w:szCs w:val="20"/>
          <w:lang w:val="fr-FR"/>
        </w:rPr>
        <w:t>’</w:t>
      </w:r>
      <w:r w:rsidR="002116D8" w:rsidRPr="009415C9">
        <w:rPr>
          <w:rFonts w:ascii="Arial" w:hAnsi="Arial" w:cs="Arial"/>
          <w:sz w:val="20"/>
          <w:szCs w:val="20"/>
          <w:lang w:val="fr-FR"/>
        </w:rPr>
        <w:t>examen d</w:t>
      </w:r>
      <w:r w:rsidR="00E81C94" w:rsidRPr="009415C9">
        <w:rPr>
          <w:rFonts w:ascii="Arial" w:hAnsi="Arial" w:cs="Arial"/>
          <w:sz w:val="20"/>
          <w:szCs w:val="20"/>
          <w:lang w:val="fr-FR"/>
        </w:rPr>
        <w:t>e</w:t>
      </w:r>
      <w:r w:rsidR="002116D8" w:rsidRPr="009415C9">
        <w:rPr>
          <w:rFonts w:ascii="Arial" w:hAnsi="Arial" w:cs="Arial"/>
          <w:sz w:val="20"/>
          <w:szCs w:val="20"/>
          <w:lang w:val="fr-FR"/>
        </w:rPr>
        <w:t xml:space="preserve"> </w:t>
      </w:r>
      <w:r w:rsidR="002116D8" w:rsidRPr="009415C9">
        <w:rPr>
          <w:rFonts w:ascii="Arial" w:hAnsi="Arial" w:cs="Arial"/>
          <w:i/>
          <w:sz w:val="20"/>
          <w:szCs w:val="20"/>
          <w:lang w:val="fr-FR"/>
        </w:rPr>
        <w:t>Jatropha curcas L</w:t>
      </w:r>
      <w:r w:rsidR="002116D8" w:rsidRPr="009415C9">
        <w:rPr>
          <w:rFonts w:ascii="Arial" w:hAnsi="Arial"/>
          <w:i/>
          <w:sz w:val="20"/>
          <w:lang w:val="fr-FR"/>
        </w:rPr>
        <w:t>.</w:t>
      </w:r>
      <w:r w:rsidR="001972CC" w:rsidRPr="009415C9">
        <w:rPr>
          <w:rFonts w:ascii="Arial" w:hAnsi="Arial" w:cs="Arial"/>
          <w:i/>
          <w:sz w:val="20"/>
          <w:szCs w:val="20"/>
          <w:lang w:val="fr-FR"/>
        </w:rPr>
        <w:t xml:space="preserve">  </w:t>
      </w:r>
      <w:r w:rsidR="002116D8" w:rsidRPr="009415C9">
        <w:rPr>
          <w:rFonts w:ascii="Arial" w:hAnsi="Arial" w:cs="Arial"/>
          <w:sz w:val="20"/>
          <w:szCs w:val="20"/>
          <w:lang w:val="fr-FR"/>
        </w:rPr>
        <w:t>L</w:t>
      </w:r>
      <w:r w:rsidR="00402F0A" w:rsidRPr="009415C9">
        <w:rPr>
          <w:rFonts w:ascii="Arial" w:hAnsi="Arial" w:cs="Arial"/>
          <w:sz w:val="20"/>
          <w:szCs w:val="20"/>
          <w:lang w:val="fr-FR"/>
        </w:rPr>
        <w:t>’</w:t>
      </w:r>
      <w:r w:rsidR="002116D8" w:rsidRPr="009415C9">
        <w:rPr>
          <w:rFonts w:ascii="Arial" w:hAnsi="Arial" w:cs="Arial"/>
          <w:sz w:val="20"/>
          <w:szCs w:val="20"/>
          <w:lang w:val="fr-FR"/>
        </w:rPr>
        <w:t>expert du Mexique a accepté de faire un exposé sur ces espèces à la session</w:t>
      </w:r>
      <w:r w:rsidR="00402F0A" w:rsidRPr="009415C9">
        <w:rPr>
          <w:rFonts w:ascii="Arial" w:hAnsi="Arial" w:cs="Arial"/>
          <w:sz w:val="20"/>
          <w:szCs w:val="20"/>
          <w:lang w:val="fr-FR"/>
        </w:rPr>
        <w:t xml:space="preserve"> du TWF</w:t>
      </w:r>
      <w:r w:rsidR="002116D8" w:rsidRPr="009415C9">
        <w:rPr>
          <w:rFonts w:ascii="Arial" w:hAnsi="Arial" w:cs="Arial"/>
          <w:sz w:val="20"/>
          <w:szCs w:val="20"/>
          <w:lang w:val="fr-FR"/>
        </w:rPr>
        <w:t xml:space="preserve"> </w:t>
      </w:r>
      <w:r w:rsidR="00E14944" w:rsidRPr="009415C9">
        <w:rPr>
          <w:rFonts w:ascii="Arial" w:hAnsi="Arial" w:cs="Arial"/>
          <w:sz w:val="20"/>
          <w:szCs w:val="20"/>
          <w:lang w:val="fr-FR"/>
        </w:rPr>
        <w:t>de</w:t>
      </w:r>
      <w:r w:rsidR="00E14944" w:rsidRPr="009415C9">
        <w:rPr>
          <w:lang w:val="fr-FR"/>
        </w:rPr>
        <w:t> </w:t>
      </w:r>
      <w:r w:rsidR="002116D8" w:rsidRPr="009415C9">
        <w:rPr>
          <w:rFonts w:ascii="Arial" w:hAnsi="Arial" w:cs="Arial"/>
          <w:sz w:val="20"/>
          <w:szCs w:val="20"/>
          <w:lang w:val="fr-FR"/>
        </w:rPr>
        <w:t>2015.</w:t>
      </w:r>
    </w:p>
    <w:p w:rsidR="00A17213" w:rsidRPr="009415C9" w:rsidRDefault="00A17213" w:rsidP="00256DED">
      <w:pPr>
        <w:jc w:val="left"/>
        <w:rPr>
          <w:lang w:val="fr-FR"/>
        </w:rPr>
      </w:pPr>
    </w:p>
    <w:p w:rsidR="00A17213" w:rsidRPr="009415C9" w:rsidRDefault="00256DED" w:rsidP="002116D8">
      <w:pPr>
        <w:rPr>
          <w:lang w:val="fr-FR"/>
        </w:rPr>
      </w:pPr>
      <w:r w:rsidRPr="009415C9">
        <w:rPr>
          <w:lang w:val="fr-FR"/>
        </w:rPr>
        <w:fldChar w:fldCharType="begin"/>
      </w:r>
      <w:r w:rsidRPr="009415C9">
        <w:rPr>
          <w:lang w:val="fr-FR"/>
        </w:rPr>
        <w:instrText xml:space="preserve"> AUTONUM  </w:instrText>
      </w:r>
      <w:r w:rsidRPr="009415C9">
        <w:rPr>
          <w:lang w:val="fr-FR"/>
        </w:rPr>
        <w:fldChar w:fldCharType="end"/>
      </w:r>
      <w:r w:rsidRPr="009415C9">
        <w:rPr>
          <w:lang w:val="fr-FR"/>
        </w:rPr>
        <w:tab/>
      </w:r>
      <w:r w:rsidR="007B7D17" w:rsidRPr="009415C9">
        <w:rPr>
          <w:lang w:val="fr-FR"/>
        </w:rPr>
        <w:t>Le TWF a écouté l’</w:t>
      </w:r>
      <w:r w:rsidR="002116D8" w:rsidRPr="009415C9">
        <w:rPr>
          <w:lang w:val="fr-FR"/>
        </w:rPr>
        <w:t xml:space="preserve">exposé </w:t>
      </w:r>
      <w:r w:rsidR="001972CC" w:rsidRPr="009415C9">
        <w:rPr>
          <w:lang w:val="fr-FR"/>
        </w:rPr>
        <w:t xml:space="preserve">d’un expert d’Oman </w:t>
      </w:r>
      <w:r w:rsidR="002116D8" w:rsidRPr="009415C9">
        <w:rPr>
          <w:lang w:val="fr-FR"/>
        </w:rPr>
        <w:t>sur le palmier dattier (</w:t>
      </w:r>
      <w:r w:rsidR="002116D8" w:rsidRPr="009415C9">
        <w:rPr>
          <w:i/>
          <w:lang w:val="fr-FR"/>
        </w:rPr>
        <w:t>Phoenix dactylifera</w:t>
      </w:r>
      <w:r w:rsidR="001972CC" w:rsidRPr="009415C9">
        <w:rPr>
          <w:lang w:val="fr-FR"/>
        </w:rPr>
        <w:t xml:space="preserve">) </w:t>
      </w:r>
      <w:r w:rsidR="002116D8" w:rsidRPr="009415C9">
        <w:rPr>
          <w:lang w:val="fr-FR"/>
        </w:rPr>
        <w:t>qui est reproduit à l</w:t>
      </w:r>
      <w:r w:rsidR="00402F0A" w:rsidRPr="009415C9">
        <w:rPr>
          <w:lang w:val="fr-FR"/>
        </w:rPr>
        <w:t>’</w:t>
      </w:r>
      <w:r w:rsidR="002116D8" w:rsidRPr="009415C9">
        <w:rPr>
          <w:lang w:val="fr-FR"/>
        </w:rPr>
        <w:t>annexe</w:t>
      </w:r>
      <w:r w:rsidR="00064E56" w:rsidRPr="009415C9">
        <w:rPr>
          <w:lang w:val="fr-FR"/>
        </w:rPr>
        <w:t> </w:t>
      </w:r>
      <w:r w:rsidR="002116D8" w:rsidRPr="009415C9">
        <w:rPr>
          <w:lang w:val="fr-FR"/>
        </w:rPr>
        <w:t>IV du document TWF/45/32 “Report” (voir les paragraphes</w:t>
      </w:r>
      <w:r w:rsidR="00064E56" w:rsidRPr="009415C9">
        <w:rPr>
          <w:lang w:val="fr-FR"/>
        </w:rPr>
        <w:t> </w:t>
      </w:r>
      <w:r w:rsidR="002116D8" w:rsidRPr="009415C9">
        <w:rPr>
          <w:lang w:val="fr-FR"/>
        </w:rPr>
        <w:t>69 à 73 du document TWF/45/32 “Report”).</w:t>
      </w:r>
    </w:p>
    <w:p w:rsidR="00A17213" w:rsidRPr="009415C9" w:rsidRDefault="00A17213" w:rsidP="00BF1A76">
      <w:pPr>
        <w:rPr>
          <w:lang w:val="fr-FR"/>
        </w:rPr>
      </w:pPr>
    </w:p>
    <w:p w:rsidR="00A17213" w:rsidRPr="009415C9" w:rsidRDefault="002116D8" w:rsidP="00B6349E">
      <w:pPr>
        <w:pStyle w:val="Heading3"/>
        <w:rPr>
          <w:color w:val="auto"/>
        </w:rPr>
      </w:pPr>
      <w:bookmarkStart w:id="13" w:name="_Toc411329138"/>
      <w:r w:rsidRPr="009415C9">
        <w:rPr>
          <w:color w:val="auto"/>
        </w:rPr>
        <w:t>Groupe de travail technique sur les systèmes d</w:t>
      </w:r>
      <w:r w:rsidR="00402F0A" w:rsidRPr="009415C9">
        <w:rPr>
          <w:color w:val="auto"/>
        </w:rPr>
        <w:t>’</w:t>
      </w:r>
      <w:r w:rsidRPr="009415C9">
        <w:rPr>
          <w:color w:val="auto"/>
        </w:rPr>
        <w:t>automatisation et les programmes d</w:t>
      </w:r>
      <w:r w:rsidR="00402F0A" w:rsidRPr="009415C9">
        <w:rPr>
          <w:color w:val="auto"/>
        </w:rPr>
        <w:t>’</w:t>
      </w:r>
      <w:r w:rsidRPr="009415C9">
        <w:rPr>
          <w:color w:val="auto"/>
        </w:rPr>
        <w:t>ordinateur</w:t>
      </w:r>
      <w:bookmarkEnd w:id="13"/>
    </w:p>
    <w:p w:rsidR="00A17213" w:rsidRPr="009415C9" w:rsidRDefault="00A17213" w:rsidP="00BF1A76">
      <w:pPr>
        <w:rPr>
          <w:lang w:val="fr-FR"/>
        </w:rPr>
      </w:pPr>
    </w:p>
    <w:p w:rsidR="00A17213" w:rsidRPr="009415C9" w:rsidRDefault="001D57FF" w:rsidP="00574C63">
      <w:pPr>
        <w:rPr>
          <w:lang w:val="fr-FR"/>
        </w:rPr>
      </w:pPr>
      <w:r w:rsidRPr="009415C9">
        <w:rPr>
          <w:lang w:val="fr-FR"/>
        </w:rPr>
        <w:fldChar w:fldCharType="begin"/>
      </w:r>
      <w:r w:rsidRPr="009415C9">
        <w:rPr>
          <w:lang w:val="fr-FR"/>
        </w:rPr>
        <w:instrText xml:space="preserve"> AUTONUM  </w:instrText>
      </w:r>
      <w:r w:rsidRPr="009415C9">
        <w:rPr>
          <w:lang w:val="fr-FR"/>
        </w:rPr>
        <w:fldChar w:fldCharType="end"/>
      </w:r>
      <w:r w:rsidRPr="009415C9">
        <w:rPr>
          <w:lang w:val="fr-FR"/>
        </w:rPr>
        <w:tab/>
      </w:r>
      <w:r w:rsidR="00574C63" w:rsidRPr="009415C9">
        <w:rPr>
          <w:lang w:val="fr-FR"/>
        </w:rPr>
        <w:t>À sa trente</w:t>
      </w:r>
      <w:r w:rsidR="00105F8E" w:rsidRPr="009415C9">
        <w:rPr>
          <w:lang w:val="fr-FR"/>
        </w:rPr>
        <w:noBreakHyphen/>
      </w:r>
      <w:r w:rsidR="00574C63" w:rsidRPr="009415C9">
        <w:rPr>
          <w:lang w:val="fr-FR"/>
        </w:rPr>
        <w:t>troisième</w:t>
      </w:r>
      <w:r w:rsidR="00064E56" w:rsidRPr="009415C9">
        <w:rPr>
          <w:lang w:val="fr-FR"/>
        </w:rPr>
        <w:t> </w:t>
      </w:r>
      <w:r w:rsidR="00574C63" w:rsidRPr="009415C9">
        <w:rPr>
          <w:lang w:val="fr-FR"/>
        </w:rPr>
        <w:t>session,</w:t>
      </w:r>
      <w:r w:rsidR="00402F0A" w:rsidRPr="009415C9">
        <w:rPr>
          <w:lang w:val="fr-FR"/>
        </w:rPr>
        <w:t xml:space="preserve"> le TWC</w:t>
      </w:r>
      <w:r w:rsidR="00574C63" w:rsidRPr="009415C9">
        <w:rPr>
          <w:lang w:val="fr-FR"/>
        </w:rPr>
        <w:t xml:space="preserve"> a écouté un rapport verbal présenté par un expert du Brésil sur des expériences avec de nouveaux types et espèces dans le pays concernant l</w:t>
      </w:r>
      <w:r w:rsidR="00402F0A" w:rsidRPr="009415C9">
        <w:rPr>
          <w:lang w:val="fr-FR"/>
        </w:rPr>
        <w:t>’</w:t>
      </w:r>
      <w:r w:rsidR="00574C63" w:rsidRPr="009415C9">
        <w:rPr>
          <w:lang w:val="fr-FR"/>
        </w:rPr>
        <w:t>élaboration de principes directeurs d</w:t>
      </w:r>
      <w:r w:rsidR="00402F0A" w:rsidRPr="009415C9">
        <w:rPr>
          <w:lang w:val="fr-FR"/>
        </w:rPr>
        <w:t>’</w:t>
      </w:r>
      <w:r w:rsidR="00574C63" w:rsidRPr="009415C9">
        <w:rPr>
          <w:lang w:val="fr-FR"/>
        </w:rPr>
        <w:t xml:space="preserve">examen nationaux pour </w:t>
      </w:r>
      <w:r w:rsidR="00574C63" w:rsidRPr="009415C9">
        <w:rPr>
          <w:i/>
          <w:lang w:val="fr-FR"/>
        </w:rPr>
        <w:t>Centrosema pubescens</w:t>
      </w:r>
      <w:r w:rsidR="00574C63" w:rsidRPr="009415C9">
        <w:rPr>
          <w:lang w:val="fr-FR"/>
        </w:rPr>
        <w:t xml:space="preserve">, </w:t>
      </w:r>
      <w:r w:rsidR="00574C63" w:rsidRPr="009415C9">
        <w:rPr>
          <w:i/>
          <w:lang w:val="fr-FR"/>
        </w:rPr>
        <w:t>Galactia striata</w:t>
      </w:r>
      <w:r w:rsidR="00574C63" w:rsidRPr="009415C9">
        <w:rPr>
          <w:lang w:val="fr-FR"/>
        </w:rPr>
        <w:t xml:space="preserve">, </w:t>
      </w:r>
      <w:r w:rsidR="00574C63" w:rsidRPr="009415C9">
        <w:rPr>
          <w:i/>
          <w:lang w:val="fr-FR"/>
        </w:rPr>
        <w:t>Calopogonium mucunoides</w:t>
      </w:r>
      <w:r w:rsidR="00574C63" w:rsidRPr="009415C9">
        <w:rPr>
          <w:lang w:val="fr-FR"/>
        </w:rPr>
        <w:t xml:space="preserve"> et </w:t>
      </w:r>
      <w:r w:rsidR="00574C63" w:rsidRPr="009415C9">
        <w:rPr>
          <w:i/>
          <w:lang w:val="fr-FR"/>
        </w:rPr>
        <w:t>Neonotonia wightii</w:t>
      </w:r>
      <w:r w:rsidR="00574C63" w:rsidRPr="009415C9">
        <w:rPr>
          <w:lang w:val="fr-FR"/>
        </w:rPr>
        <w:t>, pour lesquels des demandes de protection des obtentions végétales ont été déposées (voir le paragraphe</w:t>
      </w:r>
      <w:r w:rsidR="00064E56" w:rsidRPr="009415C9">
        <w:rPr>
          <w:lang w:val="fr-FR"/>
        </w:rPr>
        <w:t> </w:t>
      </w:r>
      <w:r w:rsidR="00574C63" w:rsidRPr="009415C9">
        <w:rPr>
          <w:lang w:val="fr-FR"/>
        </w:rPr>
        <w:t>103 du document TWC/32/28 “Report”).</w:t>
      </w:r>
    </w:p>
    <w:p w:rsidR="00A17213" w:rsidRPr="009415C9" w:rsidRDefault="00A17213" w:rsidP="00BF1A76">
      <w:pPr>
        <w:rPr>
          <w:lang w:val="fr-FR"/>
        </w:rPr>
      </w:pPr>
    </w:p>
    <w:p w:rsidR="00A17213" w:rsidRPr="009415C9" w:rsidRDefault="00305162" w:rsidP="00B6349E">
      <w:pPr>
        <w:pStyle w:val="Heading3"/>
        <w:rPr>
          <w:color w:val="auto"/>
        </w:rPr>
      </w:pPr>
      <w:bookmarkStart w:id="14" w:name="_Toc411329139"/>
      <w:r w:rsidRPr="009415C9">
        <w:rPr>
          <w:color w:val="auto"/>
        </w:rPr>
        <w:t>Groupe de travail technique sur les plantes potagères</w:t>
      </w:r>
      <w:bookmarkEnd w:id="14"/>
    </w:p>
    <w:p w:rsidR="00A17213" w:rsidRPr="009415C9" w:rsidRDefault="00A17213" w:rsidP="00BF1A76">
      <w:pPr>
        <w:rPr>
          <w:lang w:val="fr-FR"/>
        </w:rPr>
      </w:pPr>
    </w:p>
    <w:p w:rsidR="00A17213" w:rsidRPr="009415C9" w:rsidRDefault="00CF4AF9" w:rsidP="00574C63">
      <w:pPr>
        <w:rPr>
          <w:lang w:val="fr-FR"/>
        </w:rPr>
      </w:pPr>
      <w:r w:rsidRPr="009415C9">
        <w:rPr>
          <w:lang w:val="fr-FR"/>
        </w:rPr>
        <w:fldChar w:fldCharType="begin"/>
      </w:r>
      <w:r w:rsidRPr="009415C9">
        <w:rPr>
          <w:lang w:val="fr-FR"/>
        </w:rPr>
        <w:instrText xml:space="preserve"> AUTONUM  </w:instrText>
      </w:r>
      <w:r w:rsidRPr="009415C9">
        <w:rPr>
          <w:lang w:val="fr-FR"/>
        </w:rPr>
        <w:fldChar w:fldCharType="end"/>
      </w:r>
      <w:r w:rsidRPr="009415C9">
        <w:rPr>
          <w:lang w:val="fr-FR"/>
        </w:rPr>
        <w:tab/>
      </w:r>
      <w:r w:rsidR="00574C63" w:rsidRPr="009415C9">
        <w:rPr>
          <w:lang w:val="fr-FR"/>
        </w:rPr>
        <w:t>Le TWV a reçu des informations de l</w:t>
      </w:r>
      <w:r w:rsidR="00402F0A" w:rsidRPr="009415C9">
        <w:rPr>
          <w:lang w:val="fr-FR"/>
        </w:rPr>
        <w:t>’</w:t>
      </w:r>
      <w:r w:rsidR="00574C63" w:rsidRPr="009415C9">
        <w:rPr>
          <w:lang w:val="fr-FR"/>
        </w:rPr>
        <w:t>expert de l</w:t>
      </w:r>
      <w:r w:rsidR="00402F0A" w:rsidRPr="009415C9">
        <w:rPr>
          <w:lang w:val="fr-FR"/>
        </w:rPr>
        <w:t>’</w:t>
      </w:r>
      <w:r w:rsidR="00574C63" w:rsidRPr="009415C9">
        <w:rPr>
          <w:lang w:val="fr-FR"/>
        </w:rPr>
        <w:t>Espagne concernant l</w:t>
      </w:r>
      <w:r w:rsidR="00402F0A" w:rsidRPr="009415C9">
        <w:rPr>
          <w:lang w:val="fr-FR"/>
        </w:rPr>
        <w:t>’</w:t>
      </w:r>
      <w:r w:rsidR="00574C63" w:rsidRPr="009415C9">
        <w:rPr>
          <w:lang w:val="fr-FR"/>
        </w:rPr>
        <w:t>examen d</w:t>
      </w:r>
      <w:r w:rsidR="00402F0A" w:rsidRPr="009415C9">
        <w:rPr>
          <w:lang w:val="fr-FR"/>
        </w:rPr>
        <w:t>’</w:t>
      </w:r>
      <w:r w:rsidR="00574C63" w:rsidRPr="009415C9">
        <w:rPr>
          <w:lang w:val="fr-FR"/>
        </w:rPr>
        <w:t>un</w:t>
      </w:r>
      <w:r w:rsidR="00FD7BB9" w:rsidRPr="009415C9">
        <w:rPr>
          <w:lang w:val="fr-FR"/>
        </w:rPr>
        <w:t>e nouvelle hybridation</w:t>
      </w:r>
      <w:r w:rsidR="00574C63" w:rsidRPr="009415C9">
        <w:rPr>
          <w:lang w:val="fr-FR"/>
        </w:rPr>
        <w:t xml:space="preserve"> de Tomato Rootstock (</w:t>
      </w:r>
      <w:r w:rsidR="00574C63" w:rsidRPr="009415C9">
        <w:rPr>
          <w:i/>
          <w:lang w:val="fr-FR"/>
        </w:rPr>
        <w:t>Solanum pimpinellifolium</w:t>
      </w:r>
      <w:r w:rsidR="00574C63" w:rsidRPr="009415C9">
        <w:rPr>
          <w:lang w:val="fr-FR"/>
        </w:rPr>
        <w:t xml:space="preserve"> x </w:t>
      </w:r>
      <w:r w:rsidR="00574C63" w:rsidRPr="009415C9">
        <w:rPr>
          <w:i/>
          <w:lang w:val="fr-FR"/>
        </w:rPr>
        <w:t>Solanum habrochaites</w:t>
      </w:r>
      <w:r w:rsidR="00574C63" w:rsidRPr="009415C9">
        <w:rPr>
          <w:lang w:val="fr-FR"/>
        </w:rPr>
        <w:t xml:space="preserve">). </w:t>
      </w:r>
      <w:r w:rsidRPr="009415C9">
        <w:rPr>
          <w:lang w:val="fr-FR"/>
        </w:rPr>
        <w:t xml:space="preserve"> </w:t>
      </w:r>
      <w:r w:rsidR="00574C63" w:rsidRPr="009415C9">
        <w:rPr>
          <w:lang w:val="fr-FR"/>
        </w:rPr>
        <w:t>L</w:t>
      </w:r>
      <w:r w:rsidR="00402F0A" w:rsidRPr="009415C9">
        <w:rPr>
          <w:lang w:val="fr-FR"/>
        </w:rPr>
        <w:t>’</w:t>
      </w:r>
      <w:r w:rsidR="00574C63" w:rsidRPr="009415C9">
        <w:rPr>
          <w:lang w:val="fr-FR"/>
        </w:rPr>
        <w:t>expert de l</w:t>
      </w:r>
      <w:r w:rsidR="00402F0A" w:rsidRPr="009415C9">
        <w:rPr>
          <w:lang w:val="fr-FR"/>
        </w:rPr>
        <w:t>’</w:t>
      </w:r>
      <w:r w:rsidR="00574C63" w:rsidRPr="009415C9">
        <w:rPr>
          <w:lang w:val="fr-FR"/>
        </w:rPr>
        <w:t>Espagne a accepté de faire un exposé sur ce</w:t>
      </w:r>
      <w:r w:rsidR="00957B4B" w:rsidRPr="009415C9">
        <w:rPr>
          <w:lang w:val="fr-FR"/>
        </w:rPr>
        <w:t>tte hybridation</w:t>
      </w:r>
      <w:r w:rsidR="00574C63" w:rsidRPr="009415C9">
        <w:rPr>
          <w:lang w:val="fr-FR"/>
        </w:rPr>
        <w:t xml:space="preserve"> à la session</w:t>
      </w:r>
      <w:r w:rsidR="00402F0A" w:rsidRPr="009415C9">
        <w:rPr>
          <w:lang w:val="fr-FR"/>
        </w:rPr>
        <w:t xml:space="preserve"> du TWV</w:t>
      </w:r>
      <w:r w:rsidR="00574C63" w:rsidRPr="009415C9">
        <w:rPr>
          <w:lang w:val="fr-FR"/>
        </w:rPr>
        <w:t xml:space="preserve"> </w:t>
      </w:r>
      <w:r w:rsidR="00E14944" w:rsidRPr="009415C9">
        <w:rPr>
          <w:lang w:val="fr-FR"/>
        </w:rPr>
        <w:t>de </w:t>
      </w:r>
      <w:r w:rsidR="00574C63" w:rsidRPr="009415C9">
        <w:rPr>
          <w:lang w:val="fr-FR"/>
        </w:rPr>
        <w:t>2015.</w:t>
      </w:r>
    </w:p>
    <w:p w:rsidR="00A17213" w:rsidRPr="009415C9" w:rsidRDefault="00A17213" w:rsidP="00CF4AF9">
      <w:pPr>
        <w:rPr>
          <w:lang w:val="fr-FR"/>
        </w:rPr>
      </w:pPr>
    </w:p>
    <w:p w:rsidR="00A17213" w:rsidRPr="009415C9" w:rsidRDefault="00CF4AF9" w:rsidP="00574C63">
      <w:pPr>
        <w:rPr>
          <w:lang w:val="fr-FR"/>
        </w:rPr>
      </w:pPr>
      <w:r w:rsidRPr="009415C9">
        <w:rPr>
          <w:lang w:val="fr-FR"/>
        </w:rPr>
        <w:fldChar w:fldCharType="begin"/>
      </w:r>
      <w:r w:rsidRPr="009415C9">
        <w:rPr>
          <w:lang w:val="fr-FR"/>
        </w:rPr>
        <w:instrText xml:space="preserve"> AUTONUM  </w:instrText>
      </w:r>
      <w:r w:rsidRPr="009415C9">
        <w:rPr>
          <w:lang w:val="fr-FR"/>
        </w:rPr>
        <w:fldChar w:fldCharType="end"/>
      </w:r>
      <w:r w:rsidRPr="009415C9">
        <w:rPr>
          <w:lang w:val="fr-FR"/>
        </w:rPr>
        <w:tab/>
      </w:r>
      <w:r w:rsidR="00574C63" w:rsidRPr="009415C9">
        <w:rPr>
          <w:lang w:val="fr-FR"/>
        </w:rPr>
        <w:t>Le TWV a reçu des informations de l</w:t>
      </w:r>
      <w:r w:rsidR="00402F0A" w:rsidRPr="009415C9">
        <w:rPr>
          <w:lang w:val="fr-FR"/>
        </w:rPr>
        <w:t>’</w:t>
      </w:r>
      <w:r w:rsidR="00574C63" w:rsidRPr="009415C9">
        <w:rPr>
          <w:lang w:val="fr-FR"/>
        </w:rPr>
        <w:t>expert de la France concernant l</w:t>
      </w:r>
      <w:r w:rsidR="00402F0A" w:rsidRPr="009415C9">
        <w:rPr>
          <w:lang w:val="fr-FR"/>
        </w:rPr>
        <w:t>’</w:t>
      </w:r>
      <w:r w:rsidR="00574C63" w:rsidRPr="009415C9">
        <w:rPr>
          <w:lang w:val="fr-FR"/>
        </w:rPr>
        <w:t xml:space="preserve">examen de </w:t>
      </w:r>
      <w:r w:rsidR="00574C63" w:rsidRPr="009415C9">
        <w:rPr>
          <w:i/>
          <w:lang w:val="fr-FR"/>
        </w:rPr>
        <w:t>Stevia rebaudiana</w:t>
      </w:r>
      <w:r w:rsidR="00574C63" w:rsidRPr="009415C9">
        <w:rPr>
          <w:lang w:val="fr-FR"/>
        </w:rPr>
        <w:t>.</w:t>
      </w:r>
      <w:r w:rsidRPr="009415C9">
        <w:rPr>
          <w:lang w:val="fr-FR"/>
        </w:rPr>
        <w:t xml:space="preserve">  </w:t>
      </w:r>
      <w:r w:rsidR="00574C63" w:rsidRPr="009415C9">
        <w:rPr>
          <w:lang w:val="fr-FR"/>
        </w:rPr>
        <w:t>L</w:t>
      </w:r>
      <w:r w:rsidR="00402F0A" w:rsidRPr="009415C9">
        <w:rPr>
          <w:lang w:val="fr-FR"/>
        </w:rPr>
        <w:t>’</w:t>
      </w:r>
      <w:r w:rsidR="00574C63" w:rsidRPr="009415C9">
        <w:rPr>
          <w:lang w:val="fr-FR"/>
        </w:rPr>
        <w:t xml:space="preserve">expert de la France a accepté de faire un exposé sur cette espèce à la session du TWF </w:t>
      </w:r>
      <w:r w:rsidR="001972CC" w:rsidRPr="009415C9">
        <w:rPr>
          <w:lang w:val="fr-FR"/>
        </w:rPr>
        <w:t>de</w:t>
      </w:r>
      <w:r w:rsidR="00574C63" w:rsidRPr="009415C9">
        <w:rPr>
          <w:lang w:val="fr-FR"/>
        </w:rPr>
        <w:t> 2015.</w:t>
      </w:r>
    </w:p>
    <w:p w:rsidR="00A17213" w:rsidRPr="009415C9" w:rsidRDefault="00A17213" w:rsidP="00CF4AF9">
      <w:pPr>
        <w:rPr>
          <w:lang w:val="fr-FR"/>
        </w:rPr>
      </w:pPr>
    </w:p>
    <w:p w:rsidR="00A17213" w:rsidRPr="009415C9" w:rsidRDefault="00CF4AF9" w:rsidP="0071499A">
      <w:pPr>
        <w:rPr>
          <w:lang w:val="fr-FR"/>
        </w:rPr>
      </w:pPr>
      <w:r w:rsidRPr="009415C9">
        <w:rPr>
          <w:lang w:val="fr-FR"/>
        </w:rPr>
        <w:fldChar w:fldCharType="begin"/>
      </w:r>
      <w:r w:rsidRPr="009415C9">
        <w:rPr>
          <w:lang w:val="fr-FR"/>
        </w:rPr>
        <w:instrText xml:space="preserve"> AUTONUM  </w:instrText>
      </w:r>
      <w:r w:rsidRPr="009415C9">
        <w:rPr>
          <w:lang w:val="fr-FR"/>
        </w:rPr>
        <w:fldChar w:fldCharType="end"/>
      </w:r>
      <w:r w:rsidRPr="009415C9">
        <w:rPr>
          <w:lang w:val="fr-FR"/>
        </w:rPr>
        <w:tab/>
      </w:r>
      <w:r w:rsidR="0071499A" w:rsidRPr="009415C9">
        <w:rPr>
          <w:lang w:val="fr-FR"/>
        </w:rPr>
        <w:t>Le TWV a reçu des informations de l</w:t>
      </w:r>
      <w:r w:rsidR="00402F0A" w:rsidRPr="009415C9">
        <w:rPr>
          <w:lang w:val="fr-FR"/>
        </w:rPr>
        <w:t>’</w:t>
      </w:r>
      <w:r w:rsidR="0071499A" w:rsidRPr="009415C9">
        <w:rPr>
          <w:lang w:val="fr-FR"/>
        </w:rPr>
        <w:t>expert des Pays</w:t>
      </w:r>
      <w:r w:rsidR="00105F8E" w:rsidRPr="009415C9">
        <w:rPr>
          <w:lang w:val="fr-FR"/>
        </w:rPr>
        <w:noBreakHyphen/>
      </w:r>
      <w:r w:rsidR="0071499A" w:rsidRPr="009415C9">
        <w:rPr>
          <w:lang w:val="fr-FR"/>
        </w:rPr>
        <w:t>Bas concernant l</w:t>
      </w:r>
      <w:r w:rsidR="00402F0A" w:rsidRPr="009415C9">
        <w:rPr>
          <w:lang w:val="fr-FR"/>
        </w:rPr>
        <w:t>’</w:t>
      </w:r>
      <w:r w:rsidR="0071499A" w:rsidRPr="009415C9">
        <w:rPr>
          <w:lang w:val="fr-FR"/>
        </w:rPr>
        <w:t>examen d</w:t>
      </w:r>
      <w:r w:rsidR="00402F0A" w:rsidRPr="009415C9">
        <w:rPr>
          <w:lang w:val="fr-FR"/>
        </w:rPr>
        <w:t>’</w:t>
      </w:r>
      <w:r w:rsidR="0071499A" w:rsidRPr="009415C9">
        <w:rPr>
          <w:lang w:val="fr-FR"/>
        </w:rPr>
        <w:t>algues et de véritables semences de pomme de terre.</w:t>
      </w:r>
      <w:r w:rsidRPr="009415C9">
        <w:rPr>
          <w:lang w:val="fr-FR"/>
        </w:rPr>
        <w:t xml:space="preserve">  </w:t>
      </w:r>
      <w:r w:rsidR="0071499A" w:rsidRPr="009415C9">
        <w:rPr>
          <w:lang w:val="fr-FR"/>
        </w:rPr>
        <w:t>L</w:t>
      </w:r>
      <w:r w:rsidR="00402F0A" w:rsidRPr="009415C9">
        <w:rPr>
          <w:lang w:val="fr-FR"/>
        </w:rPr>
        <w:t>’</w:t>
      </w:r>
      <w:r w:rsidR="0071499A" w:rsidRPr="009415C9">
        <w:rPr>
          <w:lang w:val="fr-FR"/>
        </w:rPr>
        <w:t>expert des Pays</w:t>
      </w:r>
      <w:r w:rsidR="00105F8E" w:rsidRPr="009415C9">
        <w:rPr>
          <w:lang w:val="fr-FR"/>
        </w:rPr>
        <w:noBreakHyphen/>
      </w:r>
      <w:r w:rsidR="0071499A" w:rsidRPr="009415C9">
        <w:rPr>
          <w:lang w:val="fr-FR"/>
        </w:rPr>
        <w:t>Bas a accepté de faire un exposé sur c</w:t>
      </w:r>
      <w:r w:rsidR="00E14944" w:rsidRPr="009415C9">
        <w:rPr>
          <w:lang w:val="fr-FR"/>
        </w:rPr>
        <w:t>es espèces à la session</w:t>
      </w:r>
      <w:r w:rsidR="00402F0A" w:rsidRPr="009415C9">
        <w:rPr>
          <w:lang w:val="fr-FR"/>
        </w:rPr>
        <w:t xml:space="preserve"> du TWF</w:t>
      </w:r>
      <w:r w:rsidR="00E14944" w:rsidRPr="009415C9">
        <w:rPr>
          <w:lang w:val="fr-FR"/>
        </w:rPr>
        <w:t xml:space="preserve"> de </w:t>
      </w:r>
      <w:r w:rsidR="0071499A" w:rsidRPr="009415C9">
        <w:rPr>
          <w:lang w:val="fr-FR"/>
        </w:rPr>
        <w:t>2015.</w:t>
      </w:r>
    </w:p>
    <w:p w:rsidR="00A17213" w:rsidRPr="009415C9" w:rsidRDefault="00A17213" w:rsidP="00CF4AF9">
      <w:pPr>
        <w:rPr>
          <w:lang w:val="fr-FR"/>
        </w:rPr>
      </w:pPr>
    </w:p>
    <w:p w:rsidR="00402F0A" w:rsidRPr="009415C9" w:rsidRDefault="00CF4AF9" w:rsidP="005134A6">
      <w:pPr>
        <w:rPr>
          <w:lang w:val="fr-FR"/>
        </w:rPr>
      </w:pPr>
      <w:r w:rsidRPr="009415C9">
        <w:rPr>
          <w:lang w:val="fr-FR"/>
        </w:rPr>
        <w:fldChar w:fldCharType="begin"/>
      </w:r>
      <w:r w:rsidRPr="009415C9">
        <w:rPr>
          <w:lang w:val="fr-FR"/>
        </w:rPr>
        <w:instrText xml:space="preserve"> AUTONUM  </w:instrText>
      </w:r>
      <w:r w:rsidRPr="009415C9">
        <w:rPr>
          <w:lang w:val="fr-FR"/>
        </w:rPr>
        <w:fldChar w:fldCharType="end"/>
      </w:r>
      <w:r w:rsidRPr="009415C9">
        <w:rPr>
          <w:lang w:val="fr-FR"/>
        </w:rPr>
        <w:tab/>
      </w:r>
      <w:r w:rsidR="005134A6" w:rsidRPr="009415C9">
        <w:rPr>
          <w:lang w:val="fr-FR"/>
        </w:rPr>
        <w:t>Le TWV a reçu des informations de l</w:t>
      </w:r>
      <w:r w:rsidR="00402F0A" w:rsidRPr="009415C9">
        <w:rPr>
          <w:lang w:val="fr-FR"/>
        </w:rPr>
        <w:t>’</w:t>
      </w:r>
      <w:r w:rsidR="005134A6" w:rsidRPr="009415C9">
        <w:rPr>
          <w:lang w:val="fr-FR"/>
        </w:rPr>
        <w:t>expert du Japon concernant l</w:t>
      </w:r>
      <w:r w:rsidR="00402F0A" w:rsidRPr="009415C9">
        <w:rPr>
          <w:lang w:val="fr-FR"/>
        </w:rPr>
        <w:t>’</w:t>
      </w:r>
      <w:r w:rsidR="005134A6" w:rsidRPr="009415C9">
        <w:rPr>
          <w:lang w:val="fr-FR"/>
        </w:rPr>
        <w:t>examen de la poire</w:t>
      </w:r>
      <w:r w:rsidR="00105F8E" w:rsidRPr="009415C9">
        <w:rPr>
          <w:lang w:val="fr-FR"/>
        </w:rPr>
        <w:noBreakHyphen/>
      </w:r>
      <w:r w:rsidR="005134A6" w:rsidRPr="009415C9">
        <w:rPr>
          <w:lang w:val="fr-FR"/>
        </w:rPr>
        <w:t>melon (</w:t>
      </w:r>
      <w:r w:rsidR="005134A6" w:rsidRPr="009415C9">
        <w:rPr>
          <w:i/>
          <w:lang w:val="fr-FR"/>
        </w:rPr>
        <w:t>Solanum muricatum</w:t>
      </w:r>
      <w:r w:rsidR="005134A6" w:rsidRPr="009415C9">
        <w:rPr>
          <w:lang w:val="fr-FR"/>
        </w:rPr>
        <w:t>) (voir les paragraphes</w:t>
      </w:r>
      <w:r w:rsidR="00064E56" w:rsidRPr="009415C9">
        <w:rPr>
          <w:lang w:val="fr-FR"/>
        </w:rPr>
        <w:t> </w:t>
      </w:r>
      <w:r w:rsidR="005134A6" w:rsidRPr="009415C9">
        <w:rPr>
          <w:lang w:val="fr-FR"/>
        </w:rPr>
        <w:t>81 à 84 du document TWV/48/43 “Report”).</w:t>
      </w:r>
    </w:p>
    <w:p w:rsidR="00A17213" w:rsidRPr="009415C9" w:rsidRDefault="00A17213" w:rsidP="00BF1A76">
      <w:pPr>
        <w:rPr>
          <w:lang w:val="fr-FR"/>
        </w:rPr>
      </w:pPr>
    </w:p>
    <w:p w:rsidR="00A17213" w:rsidRPr="009415C9" w:rsidRDefault="00305162" w:rsidP="00B6349E">
      <w:pPr>
        <w:pStyle w:val="Heading3"/>
        <w:rPr>
          <w:color w:val="auto"/>
        </w:rPr>
      </w:pPr>
      <w:bookmarkStart w:id="15" w:name="_Toc411329140"/>
      <w:r w:rsidRPr="009415C9">
        <w:rPr>
          <w:color w:val="auto"/>
        </w:rPr>
        <w:t>Groupe de travail technique sur les plantes agricoles</w:t>
      </w:r>
      <w:bookmarkEnd w:id="15"/>
    </w:p>
    <w:p w:rsidR="00A17213" w:rsidRPr="009415C9" w:rsidRDefault="00A17213" w:rsidP="00BF1A76">
      <w:pPr>
        <w:rPr>
          <w:lang w:val="fr-FR"/>
        </w:rPr>
      </w:pPr>
    </w:p>
    <w:p w:rsidR="00A17213" w:rsidRDefault="00BF1A76" w:rsidP="0030365E">
      <w:pPr>
        <w:rPr>
          <w:lang w:val="fr-FR"/>
        </w:rPr>
      </w:pPr>
      <w:r w:rsidRPr="009415C9">
        <w:rPr>
          <w:lang w:val="fr-FR"/>
        </w:rPr>
        <w:fldChar w:fldCharType="begin"/>
      </w:r>
      <w:r w:rsidRPr="009415C9">
        <w:rPr>
          <w:lang w:val="fr-FR"/>
        </w:rPr>
        <w:instrText xml:space="preserve"> AUTONUM  </w:instrText>
      </w:r>
      <w:r w:rsidRPr="009415C9">
        <w:rPr>
          <w:lang w:val="fr-FR"/>
        </w:rPr>
        <w:fldChar w:fldCharType="end"/>
      </w:r>
      <w:r w:rsidRPr="009415C9">
        <w:rPr>
          <w:lang w:val="fr-FR"/>
        </w:rPr>
        <w:tab/>
      </w:r>
      <w:r w:rsidR="006E40A4" w:rsidRPr="009415C9">
        <w:rPr>
          <w:lang w:val="fr-FR"/>
        </w:rPr>
        <w:t>À sa quarante</w:t>
      </w:r>
      <w:r w:rsidR="00105F8E" w:rsidRPr="009415C9">
        <w:rPr>
          <w:lang w:val="fr-FR"/>
        </w:rPr>
        <w:noBreakHyphen/>
      </w:r>
      <w:r w:rsidR="006E40A4" w:rsidRPr="009415C9">
        <w:rPr>
          <w:lang w:val="fr-FR"/>
        </w:rPr>
        <w:t>troisième</w:t>
      </w:r>
      <w:r w:rsidR="00064E56" w:rsidRPr="009415C9">
        <w:rPr>
          <w:lang w:val="fr-FR"/>
        </w:rPr>
        <w:t> </w:t>
      </w:r>
      <w:r w:rsidR="006E40A4" w:rsidRPr="009415C9">
        <w:rPr>
          <w:lang w:val="fr-FR"/>
        </w:rPr>
        <w:t>session</w:t>
      </w:r>
      <w:r w:rsidR="00E81C94" w:rsidRPr="009415C9">
        <w:rPr>
          <w:lang w:val="fr-FR"/>
        </w:rPr>
        <w:t>,</w:t>
      </w:r>
      <w:r w:rsidR="00402F0A" w:rsidRPr="009415C9">
        <w:rPr>
          <w:lang w:val="fr-FR"/>
        </w:rPr>
        <w:t xml:space="preserve"> le TWA</w:t>
      </w:r>
      <w:r w:rsidR="00E81C94" w:rsidRPr="009415C9">
        <w:rPr>
          <w:lang w:val="fr-FR"/>
        </w:rPr>
        <w:t xml:space="preserve"> a suivi par voie élect</w:t>
      </w:r>
      <w:r w:rsidR="006E40A4" w:rsidRPr="009415C9">
        <w:rPr>
          <w:lang w:val="fr-FR"/>
        </w:rPr>
        <w:t>r</w:t>
      </w:r>
      <w:r w:rsidR="00E81C94" w:rsidRPr="009415C9">
        <w:rPr>
          <w:lang w:val="fr-FR"/>
        </w:rPr>
        <w:t>o</w:t>
      </w:r>
      <w:r w:rsidR="006E40A4" w:rsidRPr="009415C9">
        <w:rPr>
          <w:lang w:val="fr-FR"/>
        </w:rPr>
        <w:t>nique un exposé d</w:t>
      </w:r>
      <w:r w:rsidR="00402F0A" w:rsidRPr="009415C9">
        <w:rPr>
          <w:lang w:val="fr-FR"/>
        </w:rPr>
        <w:t>’</w:t>
      </w:r>
      <w:r w:rsidR="006E40A4" w:rsidRPr="009415C9">
        <w:rPr>
          <w:lang w:val="fr-FR"/>
        </w:rPr>
        <w:t>un expert de la Nouvelle</w:t>
      </w:r>
      <w:r w:rsidR="00105F8E" w:rsidRPr="009415C9">
        <w:rPr>
          <w:lang w:val="fr-FR"/>
        </w:rPr>
        <w:noBreakHyphen/>
      </w:r>
      <w:r w:rsidR="006E40A4" w:rsidRPr="009415C9">
        <w:rPr>
          <w:lang w:val="fr-FR"/>
        </w:rPr>
        <w:t xml:space="preserve">Zélande sur des expériences menées avec des endophytes fongiques du genre </w:t>
      </w:r>
      <w:r w:rsidR="006E40A4" w:rsidRPr="009415C9">
        <w:rPr>
          <w:i/>
          <w:lang w:val="fr-FR"/>
        </w:rPr>
        <w:t>Neotyphodium</w:t>
      </w:r>
      <w:r w:rsidR="006E40A4" w:rsidRPr="009415C9">
        <w:rPr>
          <w:lang w:val="fr-FR"/>
        </w:rPr>
        <w:t>.</w:t>
      </w:r>
      <w:r w:rsidR="00E81C94" w:rsidRPr="009415C9">
        <w:rPr>
          <w:lang w:val="fr-FR"/>
        </w:rPr>
        <w:t xml:space="preserve"> </w:t>
      </w:r>
      <w:r w:rsidR="001C28E8" w:rsidRPr="009415C9">
        <w:rPr>
          <w:lang w:val="fr-FR"/>
        </w:rPr>
        <w:t xml:space="preserve"> </w:t>
      </w:r>
      <w:r w:rsidR="0030365E" w:rsidRPr="009415C9">
        <w:rPr>
          <w:lang w:val="fr-FR"/>
        </w:rPr>
        <w:t xml:space="preserve">Cet exposé </w:t>
      </w:r>
      <w:r w:rsidR="00E81C94" w:rsidRPr="009415C9">
        <w:rPr>
          <w:lang w:val="fr-FR"/>
        </w:rPr>
        <w:t>est reproduit dans une</w:t>
      </w:r>
      <w:r w:rsidR="0030365E" w:rsidRPr="009415C9">
        <w:rPr>
          <w:lang w:val="fr-FR"/>
        </w:rPr>
        <w:t xml:space="preserve"> annexe du document TWA/43/25 “Reports on Developments in </w:t>
      </w:r>
      <w:r w:rsidR="0030365E" w:rsidRPr="0030365E">
        <w:rPr>
          <w:color w:val="000000"/>
          <w:lang w:val="fr-FR"/>
        </w:rPr>
        <w:t>Plant Variety Protection from Members and Observers”.</w:t>
      </w:r>
    </w:p>
    <w:p w:rsidR="00A17213" w:rsidRDefault="00A17213" w:rsidP="001C28E8">
      <w:pPr>
        <w:rPr>
          <w:lang w:val="fr-FR"/>
        </w:rPr>
      </w:pPr>
    </w:p>
    <w:p w:rsidR="00402F0A" w:rsidRDefault="001C28E8" w:rsidP="00F82A65">
      <w:pPr>
        <w:rPr>
          <w:lang w:val="fr-FR"/>
        </w:rPr>
      </w:pPr>
      <w:r w:rsidRPr="00097FE6">
        <w:rPr>
          <w:lang w:val="fr-FR"/>
        </w:rPr>
        <w:fldChar w:fldCharType="begin"/>
      </w:r>
      <w:r w:rsidRPr="00097FE6">
        <w:rPr>
          <w:lang w:val="fr-FR"/>
        </w:rPr>
        <w:instrText xml:space="preserve"> AUTONUM  </w:instrText>
      </w:r>
      <w:r w:rsidRPr="00097FE6">
        <w:rPr>
          <w:lang w:val="fr-FR"/>
        </w:rPr>
        <w:fldChar w:fldCharType="end"/>
      </w:r>
      <w:r w:rsidRPr="00097FE6">
        <w:rPr>
          <w:lang w:val="fr-FR"/>
        </w:rPr>
        <w:tab/>
      </w:r>
      <w:r w:rsidR="00F82A65" w:rsidRPr="00F82A65">
        <w:rPr>
          <w:color w:val="000000"/>
          <w:lang w:val="fr-FR"/>
        </w:rPr>
        <w:t xml:space="preserve">Le TWA a pris note des différents cas de figure </w:t>
      </w:r>
      <w:r w:rsidR="00957B4B">
        <w:rPr>
          <w:color w:val="000000"/>
          <w:lang w:val="fr-FR"/>
        </w:rPr>
        <w:t xml:space="preserve">existants </w:t>
      </w:r>
      <w:r w:rsidR="00957B4B" w:rsidRPr="00F82A65">
        <w:rPr>
          <w:color w:val="000000"/>
          <w:lang w:val="fr-FR"/>
        </w:rPr>
        <w:t>parmi les membres de l</w:t>
      </w:r>
      <w:r w:rsidR="00402F0A">
        <w:rPr>
          <w:color w:val="000000"/>
          <w:lang w:val="fr-FR"/>
        </w:rPr>
        <w:t>’</w:t>
      </w:r>
      <w:r w:rsidR="00957B4B" w:rsidRPr="00F82A65">
        <w:rPr>
          <w:color w:val="000000"/>
          <w:lang w:val="fr-FR"/>
        </w:rPr>
        <w:t xml:space="preserve">UPOV </w:t>
      </w:r>
      <w:r w:rsidR="00957B4B">
        <w:rPr>
          <w:color w:val="000000"/>
          <w:lang w:val="fr-FR"/>
        </w:rPr>
        <w:t>en ce qui concerne</w:t>
      </w:r>
      <w:r w:rsidR="00F82A65" w:rsidRPr="00F82A65">
        <w:rPr>
          <w:color w:val="000000"/>
          <w:lang w:val="fr-FR"/>
        </w:rPr>
        <w:t xml:space="preserve"> la possibilité de protéger les variétés d</w:t>
      </w:r>
      <w:r w:rsidR="00402F0A">
        <w:rPr>
          <w:color w:val="000000"/>
          <w:lang w:val="fr-FR"/>
        </w:rPr>
        <w:t>’</w:t>
      </w:r>
      <w:r w:rsidR="00F82A65" w:rsidRPr="00F82A65">
        <w:rPr>
          <w:color w:val="000000"/>
          <w:lang w:val="fr-FR"/>
        </w:rPr>
        <w:t>endophytes fongiques.</w:t>
      </w:r>
    </w:p>
    <w:p w:rsidR="00A17213" w:rsidRDefault="00A17213" w:rsidP="001C28E8">
      <w:pPr>
        <w:rPr>
          <w:lang w:val="fr-FR"/>
        </w:rPr>
      </w:pPr>
    </w:p>
    <w:p w:rsidR="00A17213" w:rsidRDefault="001C28E8" w:rsidP="00782B0B">
      <w:pPr>
        <w:rPr>
          <w:lang w:val="fr-FR"/>
        </w:rPr>
      </w:pPr>
      <w:r w:rsidRPr="00097FE6">
        <w:rPr>
          <w:lang w:val="fr-FR"/>
        </w:rPr>
        <w:fldChar w:fldCharType="begin"/>
      </w:r>
      <w:r w:rsidRPr="00097FE6">
        <w:rPr>
          <w:lang w:val="fr-FR"/>
        </w:rPr>
        <w:instrText xml:space="preserve"> AUTONUM  </w:instrText>
      </w:r>
      <w:r w:rsidRPr="00097FE6">
        <w:rPr>
          <w:lang w:val="fr-FR"/>
        </w:rPr>
        <w:fldChar w:fldCharType="end"/>
      </w:r>
      <w:r w:rsidRPr="00097FE6">
        <w:rPr>
          <w:lang w:val="fr-FR"/>
        </w:rPr>
        <w:tab/>
      </w:r>
      <w:r w:rsidR="00782B0B" w:rsidRPr="00782B0B">
        <w:rPr>
          <w:color w:val="000000"/>
          <w:lang w:val="fr-FR"/>
        </w:rPr>
        <w:t>Le TWA est convenu de demander à un expert de l</w:t>
      </w:r>
      <w:r w:rsidR="00402F0A">
        <w:rPr>
          <w:color w:val="000000"/>
          <w:lang w:val="fr-FR"/>
        </w:rPr>
        <w:t>’</w:t>
      </w:r>
      <w:r w:rsidR="00782B0B" w:rsidRPr="00782B0B">
        <w:rPr>
          <w:color w:val="000000"/>
          <w:lang w:val="fr-FR"/>
        </w:rPr>
        <w:t>Office communautaire des variétés végétales (OCVV) de l</w:t>
      </w:r>
      <w:r w:rsidR="00402F0A">
        <w:rPr>
          <w:color w:val="000000"/>
          <w:lang w:val="fr-FR"/>
        </w:rPr>
        <w:t>’</w:t>
      </w:r>
      <w:r w:rsidR="00782B0B" w:rsidRPr="00782B0B">
        <w:rPr>
          <w:color w:val="000000"/>
          <w:lang w:val="fr-FR"/>
        </w:rPr>
        <w:t xml:space="preserve">Union européenne de présenter </w:t>
      </w:r>
      <w:r w:rsidR="001972CC" w:rsidRPr="00782B0B">
        <w:rPr>
          <w:color w:val="000000"/>
          <w:lang w:val="fr-FR"/>
        </w:rPr>
        <w:t>en</w:t>
      </w:r>
      <w:r w:rsidR="001972CC">
        <w:rPr>
          <w:color w:val="000000"/>
          <w:lang w:val="fr-FR"/>
        </w:rPr>
        <w:t> </w:t>
      </w:r>
      <w:r w:rsidR="001972CC" w:rsidRPr="00782B0B">
        <w:rPr>
          <w:color w:val="000000"/>
          <w:lang w:val="fr-FR"/>
        </w:rPr>
        <w:t>2016</w:t>
      </w:r>
      <w:r w:rsidR="001972CC">
        <w:rPr>
          <w:color w:val="000000"/>
          <w:lang w:val="fr-FR"/>
        </w:rPr>
        <w:t xml:space="preserve"> </w:t>
      </w:r>
      <w:r w:rsidR="00782B0B" w:rsidRPr="00782B0B">
        <w:rPr>
          <w:color w:val="000000"/>
          <w:lang w:val="fr-FR"/>
        </w:rPr>
        <w:t>un exposé sur les résultats d</w:t>
      </w:r>
      <w:r w:rsidR="00402F0A">
        <w:rPr>
          <w:color w:val="000000"/>
          <w:lang w:val="fr-FR"/>
        </w:rPr>
        <w:t>’</w:t>
      </w:r>
      <w:r w:rsidR="00782B0B" w:rsidRPr="00782B0B">
        <w:rPr>
          <w:color w:val="000000"/>
          <w:lang w:val="fr-FR"/>
        </w:rPr>
        <w:t>une étude visant à évaluer les effets éventuels d</w:t>
      </w:r>
      <w:r w:rsidR="00402F0A">
        <w:rPr>
          <w:color w:val="000000"/>
          <w:lang w:val="fr-FR"/>
        </w:rPr>
        <w:t>’</w:t>
      </w:r>
      <w:r w:rsidR="00782B0B" w:rsidRPr="00782B0B">
        <w:rPr>
          <w:color w:val="000000"/>
          <w:lang w:val="fr-FR"/>
        </w:rPr>
        <w:t xml:space="preserve">une infection </w:t>
      </w:r>
      <w:r w:rsidR="00957B4B">
        <w:rPr>
          <w:color w:val="000000"/>
          <w:lang w:val="fr-FR"/>
        </w:rPr>
        <w:t xml:space="preserve">à base </w:t>
      </w:r>
      <w:r w:rsidR="00782B0B" w:rsidRPr="00782B0B">
        <w:rPr>
          <w:color w:val="000000"/>
          <w:lang w:val="fr-FR"/>
        </w:rPr>
        <w:t>d</w:t>
      </w:r>
      <w:r w:rsidR="00402F0A">
        <w:rPr>
          <w:color w:val="000000"/>
          <w:lang w:val="fr-FR"/>
        </w:rPr>
        <w:t>’</w:t>
      </w:r>
      <w:r w:rsidR="00782B0B" w:rsidRPr="00782B0B">
        <w:rPr>
          <w:color w:val="000000"/>
          <w:lang w:val="fr-FR"/>
        </w:rPr>
        <w:t>endophytes chez le ray</w:t>
      </w:r>
      <w:r w:rsidR="00782B0B" w:rsidRPr="00782B0B">
        <w:rPr>
          <w:rFonts w:ascii="MS Gothic" w:eastAsia="MS Gothic" w:hAnsi="MS Gothic" w:cs="MS Gothic" w:hint="eastAsia"/>
          <w:color w:val="000000"/>
          <w:lang w:val="fr-FR"/>
        </w:rPr>
        <w:t>‑</w:t>
      </w:r>
      <w:r w:rsidR="00782B0B" w:rsidRPr="00782B0B">
        <w:rPr>
          <w:color w:val="000000"/>
          <w:lang w:val="fr-FR"/>
        </w:rPr>
        <w:t>grass et la fétuque élevée sur l</w:t>
      </w:r>
      <w:r w:rsidR="00402F0A">
        <w:rPr>
          <w:color w:val="000000"/>
          <w:lang w:val="fr-FR"/>
        </w:rPr>
        <w:t>’</w:t>
      </w:r>
      <w:r w:rsidR="00782B0B" w:rsidRPr="00782B0B">
        <w:rPr>
          <w:color w:val="000000"/>
          <w:lang w:val="fr-FR"/>
        </w:rPr>
        <w:t>expression de caractères DHS.</w:t>
      </w:r>
    </w:p>
    <w:p w:rsidR="00A17213" w:rsidRDefault="00A17213" w:rsidP="001C28E8">
      <w:pPr>
        <w:rPr>
          <w:lang w:val="fr-FR"/>
        </w:rPr>
      </w:pPr>
    </w:p>
    <w:p w:rsidR="00A17213" w:rsidRDefault="001C28E8" w:rsidP="001650D9">
      <w:pPr>
        <w:rPr>
          <w:rFonts w:eastAsia="PMingLiU" w:cs="Arial"/>
          <w:szCs w:val="24"/>
          <w:lang w:val="fr-FR"/>
        </w:rPr>
      </w:pPr>
      <w:r w:rsidRPr="00097FE6">
        <w:rPr>
          <w:lang w:val="fr-FR"/>
        </w:rPr>
        <w:fldChar w:fldCharType="begin"/>
      </w:r>
      <w:r w:rsidRPr="00097FE6">
        <w:rPr>
          <w:lang w:val="fr-FR"/>
        </w:rPr>
        <w:instrText xml:space="preserve"> AUTONUM  </w:instrText>
      </w:r>
      <w:r w:rsidRPr="00097FE6">
        <w:rPr>
          <w:lang w:val="fr-FR"/>
        </w:rPr>
        <w:fldChar w:fldCharType="end"/>
      </w:r>
      <w:r w:rsidRPr="00097FE6">
        <w:rPr>
          <w:lang w:val="fr-FR"/>
        </w:rPr>
        <w:tab/>
      </w:r>
      <w:r w:rsidR="007B7D17">
        <w:rPr>
          <w:color w:val="000000"/>
          <w:lang w:val="fr-FR"/>
        </w:rPr>
        <w:t>Le TWA a écouté l’</w:t>
      </w:r>
      <w:r w:rsidR="00782B0B" w:rsidRPr="00782B0B">
        <w:rPr>
          <w:color w:val="000000"/>
          <w:lang w:val="fr-FR"/>
        </w:rPr>
        <w:t xml:space="preserve">exposé </w:t>
      </w:r>
      <w:r w:rsidR="001972CC">
        <w:rPr>
          <w:color w:val="000000"/>
          <w:lang w:val="fr-FR"/>
        </w:rPr>
        <w:t>d’</w:t>
      </w:r>
      <w:r w:rsidR="00782B0B" w:rsidRPr="00782B0B">
        <w:rPr>
          <w:color w:val="000000"/>
          <w:lang w:val="fr-FR"/>
        </w:rPr>
        <w:t>un expert de l</w:t>
      </w:r>
      <w:r w:rsidR="00402F0A">
        <w:rPr>
          <w:color w:val="000000"/>
          <w:lang w:val="fr-FR"/>
        </w:rPr>
        <w:t>’</w:t>
      </w:r>
      <w:r w:rsidR="00782B0B" w:rsidRPr="00782B0B">
        <w:rPr>
          <w:color w:val="000000"/>
          <w:lang w:val="fr-FR"/>
        </w:rPr>
        <w:t xml:space="preserve">Argentine sur des expériences avec </w:t>
      </w:r>
      <w:r w:rsidR="00782B0B" w:rsidRPr="00782B0B">
        <w:rPr>
          <w:i/>
          <w:color w:val="000000"/>
          <w:lang w:val="fr-FR"/>
        </w:rPr>
        <w:t>Cyamopsis tetragonoloba</w:t>
      </w:r>
      <w:r w:rsidR="00782B0B" w:rsidRPr="00782B0B">
        <w:rPr>
          <w:color w:val="000000"/>
          <w:lang w:val="fr-FR"/>
        </w:rPr>
        <w:t>.</w:t>
      </w:r>
      <w:r w:rsidRPr="00105F8E">
        <w:rPr>
          <w:color w:val="000000"/>
          <w:lang w:val="fr-FR"/>
        </w:rPr>
        <w:t xml:space="preserve"> </w:t>
      </w:r>
      <w:r w:rsidR="00064E56">
        <w:rPr>
          <w:color w:val="000000"/>
          <w:lang w:val="fr-FR"/>
        </w:rPr>
        <w:t xml:space="preserve"> </w:t>
      </w:r>
      <w:r w:rsidR="001650D9" w:rsidRPr="001650D9">
        <w:rPr>
          <w:color w:val="000000"/>
          <w:lang w:val="fr-FR"/>
        </w:rPr>
        <w:t>L</w:t>
      </w:r>
      <w:r w:rsidR="00402F0A">
        <w:rPr>
          <w:color w:val="000000"/>
          <w:lang w:val="fr-FR"/>
        </w:rPr>
        <w:t>’</w:t>
      </w:r>
      <w:r w:rsidR="001650D9" w:rsidRPr="001650D9">
        <w:rPr>
          <w:color w:val="000000"/>
          <w:lang w:val="fr-FR"/>
        </w:rPr>
        <w:t>exposé fait l</w:t>
      </w:r>
      <w:r w:rsidR="00402F0A">
        <w:rPr>
          <w:color w:val="000000"/>
          <w:lang w:val="fr-FR"/>
        </w:rPr>
        <w:t>’</w:t>
      </w:r>
      <w:r w:rsidR="001650D9" w:rsidRPr="001650D9">
        <w:rPr>
          <w:color w:val="000000"/>
          <w:lang w:val="fr-FR"/>
        </w:rPr>
        <w:t>objet d</w:t>
      </w:r>
      <w:r w:rsidR="00402F0A">
        <w:rPr>
          <w:color w:val="000000"/>
          <w:lang w:val="fr-FR"/>
        </w:rPr>
        <w:t>’</w:t>
      </w:r>
      <w:r w:rsidR="001650D9" w:rsidRPr="001650D9">
        <w:rPr>
          <w:color w:val="000000"/>
          <w:lang w:val="fr-FR"/>
        </w:rPr>
        <w:t>une annexe du document TWA/43/25 “Reports on Developments in Plant Variety Protection from Members and Observers” (voir les paragraphes</w:t>
      </w:r>
      <w:r w:rsidR="00064E56">
        <w:rPr>
          <w:color w:val="000000"/>
          <w:lang w:val="fr-FR"/>
        </w:rPr>
        <w:t> </w:t>
      </w:r>
      <w:r w:rsidR="001650D9" w:rsidRPr="001650D9">
        <w:rPr>
          <w:color w:val="000000"/>
          <w:lang w:val="fr-FR"/>
        </w:rPr>
        <w:t>73 à 76 du document TWA/43/27 “Report”).</w:t>
      </w:r>
    </w:p>
    <w:p w:rsidR="00A17213" w:rsidRDefault="00A17213" w:rsidP="00BF1A76">
      <w:pPr>
        <w:rPr>
          <w:color w:val="000000"/>
          <w:lang w:val="fr-FR"/>
        </w:rPr>
      </w:pPr>
    </w:p>
    <w:p w:rsidR="00402F0A" w:rsidRDefault="001650D9" w:rsidP="001650D9">
      <w:pPr>
        <w:pStyle w:val="Heading2"/>
        <w:rPr>
          <w:lang w:val="fr-FR"/>
        </w:rPr>
      </w:pPr>
      <w:bookmarkStart w:id="16" w:name="_Toc411329141"/>
      <w:r w:rsidRPr="001650D9">
        <w:rPr>
          <w:color w:val="000000"/>
          <w:lang w:val="fr-FR"/>
        </w:rPr>
        <w:lastRenderedPageBreak/>
        <w:t>Gestion des collections de variétés aux fins de l</w:t>
      </w:r>
      <w:r w:rsidR="00402F0A">
        <w:rPr>
          <w:color w:val="000000"/>
          <w:lang w:val="fr-FR"/>
        </w:rPr>
        <w:t>’</w:t>
      </w:r>
      <w:r w:rsidRPr="001650D9">
        <w:rPr>
          <w:color w:val="000000"/>
          <w:lang w:val="fr-FR"/>
        </w:rPr>
        <w:t>examen</w:t>
      </w:r>
      <w:r w:rsidR="00064E56">
        <w:rPr>
          <w:color w:val="000000"/>
          <w:lang w:val="fr-FR"/>
        </w:rPr>
        <w:t> </w:t>
      </w:r>
      <w:r w:rsidRPr="001650D9">
        <w:rPr>
          <w:color w:val="000000"/>
          <w:lang w:val="fr-FR"/>
        </w:rPr>
        <w:t>DHS</w:t>
      </w:r>
      <w:bookmarkEnd w:id="16"/>
    </w:p>
    <w:p w:rsidR="00A17213" w:rsidRDefault="00A17213" w:rsidP="006430A7">
      <w:pPr>
        <w:keepNext/>
        <w:rPr>
          <w:lang w:val="fr-FR"/>
        </w:rPr>
      </w:pPr>
    </w:p>
    <w:p w:rsidR="00A17213" w:rsidRDefault="00BB0C3B" w:rsidP="00B31446">
      <w:pPr>
        <w:jc w:val="left"/>
        <w:rPr>
          <w:rFonts w:cs="Arial"/>
          <w:lang w:val="fr-FR"/>
        </w:rPr>
      </w:pPr>
      <w:r w:rsidRPr="00097FE6">
        <w:rPr>
          <w:iCs/>
          <w:snapToGrid w:val="0"/>
          <w:lang w:val="fr-FR"/>
        </w:rPr>
        <w:fldChar w:fldCharType="begin"/>
      </w:r>
      <w:r w:rsidRPr="00097FE6">
        <w:rPr>
          <w:iCs/>
          <w:snapToGrid w:val="0"/>
          <w:lang w:val="fr-FR"/>
        </w:rPr>
        <w:instrText xml:space="preserve"> AUTONUM  </w:instrText>
      </w:r>
      <w:r w:rsidRPr="00097FE6">
        <w:rPr>
          <w:snapToGrid w:val="0"/>
          <w:lang w:val="fr-FR"/>
        </w:rPr>
        <w:fldChar w:fldCharType="end"/>
      </w:r>
      <w:r w:rsidRPr="00097FE6">
        <w:rPr>
          <w:snapToGrid w:val="0"/>
          <w:lang w:val="fr-FR"/>
        </w:rPr>
        <w:tab/>
      </w:r>
      <w:r w:rsidR="007B7D17">
        <w:rPr>
          <w:snapToGrid w:val="0"/>
          <w:color w:val="000000"/>
          <w:lang w:val="fr-FR"/>
        </w:rPr>
        <w:t>Le TWF a écouté l’</w:t>
      </w:r>
      <w:r w:rsidR="00B31446" w:rsidRPr="00B31446">
        <w:rPr>
          <w:snapToGrid w:val="0"/>
          <w:color w:val="000000"/>
          <w:lang w:val="fr-FR"/>
        </w:rPr>
        <w:t xml:space="preserve">exposé </w:t>
      </w:r>
      <w:r w:rsidR="001972CC">
        <w:rPr>
          <w:snapToGrid w:val="0"/>
          <w:color w:val="000000"/>
          <w:lang w:val="fr-FR"/>
        </w:rPr>
        <w:t>d’</w:t>
      </w:r>
      <w:r w:rsidR="00B31446" w:rsidRPr="00B31446">
        <w:rPr>
          <w:snapToGrid w:val="0"/>
          <w:color w:val="000000"/>
          <w:lang w:val="fr-FR"/>
        </w:rPr>
        <w:t>un expert de l</w:t>
      </w:r>
      <w:r w:rsidR="00402F0A">
        <w:rPr>
          <w:snapToGrid w:val="0"/>
          <w:color w:val="000000"/>
          <w:lang w:val="fr-FR"/>
        </w:rPr>
        <w:t>’</w:t>
      </w:r>
      <w:r w:rsidR="00B31446" w:rsidRPr="00B31446">
        <w:rPr>
          <w:snapToGrid w:val="0"/>
          <w:color w:val="000000"/>
          <w:lang w:val="fr-FR"/>
        </w:rPr>
        <w:t>Union européenne intitulé</w:t>
      </w:r>
      <w:r w:rsidR="00957B4B">
        <w:rPr>
          <w:snapToGrid w:val="0"/>
          <w:color w:val="000000"/>
          <w:lang w:val="fr-FR"/>
        </w:rPr>
        <w:t xml:space="preserve"> </w:t>
      </w:r>
      <w:r w:rsidR="00B31446" w:rsidRPr="00B31446">
        <w:rPr>
          <w:snapToGrid w:val="0"/>
          <w:color w:val="000000"/>
          <w:lang w:val="fr-FR"/>
        </w:rPr>
        <w:t>“Management of variety collection for DUS examination”</w:t>
      </w:r>
      <w:r w:rsidR="001972CC">
        <w:rPr>
          <w:snapToGrid w:val="0"/>
          <w:color w:val="000000"/>
          <w:lang w:val="fr-FR"/>
        </w:rPr>
        <w:t>,</w:t>
      </w:r>
      <w:r w:rsidR="00B31446" w:rsidRPr="00B31446">
        <w:rPr>
          <w:snapToGrid w:val="0"/>
          <w:color w:val="000000"/>
          <w:lang w:val="fr-FR"/>
        </w:rPr>
        <w:t xml:space="preserve"> </w:t>
      </w:r>
      <w:r w:rsidR="00957B4B">
        <w:rPr>
          <w:snapToGrid w:val="0"/>
          <w:color w:val="000000"/>
          <w:lang w:val="fr-FR"/>
        </w:rPr>
        <w:t>qui</w:t>
      </w:r>
      <w:r w:rsidR="00B31446" w:rsidRPr="00B31446">
        <w:rPr>
          <w:snapToGrid w:val="0"/>
          <w:color w:val="000000"/>
          <w:lang w:val="fr-FR"/>
        </w:rPr>
        <w:t xml:space="preserve"> est reproduit dans le document TWF/45/26 (voir le paragraphe</w:t>
      </w:r>
      <w:r w:rsidR="00064E56">
        <w:rPr>
          <w:snapToGrid w:val="0"/>
          <w:color w:val="000000"/>
          <w:lang w:val="fr-FR"/>
        </w:rPr>
        <w:t> </w:t>
      </w:r>
      <w:r w:rsidR="00B31446" w:rsidRPr="00B31446">
        <w:rPr>
          <w:snapToGrid w:val="0"/>
          <w:color w:val="000000"/>
          <w:lang w:val="fr-FR"/>
        </w:rPr>
        <w:t>65 du document TWF/45/32 “Report”).</w:t>
      </w:r>
    </w:p>
    <w:p w:rsidR="00A17213" w:rsidRDefault="00A17213" w:rsidP="00D107D9">
      <w:pPr>
        <w:jc w:val="left"/>
        <w:rPr>
          <w:rFonts w:cs="Arial"/>
          <w:lang w:val="fr-FR"/>
        </w:rPr>
      </w:pPr>
    </w:p>
    <w:p w:rsidR="00A17213" w:rsidRDefault="0013225E" w:rsidP="00BF1DA6">
      <w:pPr>
        <w:rPr>
          <w:lang w:val="fr-FR"/>
        </w:rPr>
      </w:pPr>
      <w:r w:rsidRPr="00097FE6">
        <w:rPr>
          <w:lang w:val="fr-FR"/>
        </w:rPr>
        <w:fldChar w:fldCharType="begin"/>
      </w:r>
      <w:r w:rsidRPr="00097FE6">
        <w:rPr>
          <w:lang w:val="fr-FR"/>
        </w:rPr>
        <w:instrText xml:space="preserve"> AUTONUM  </w:instrText>
      </w:r>
      <w:r w:rsidRPr="00097FE6">
        <w:rPr>
          <w:lang w:val="fr-FR"/>
        </w:rPr>
        <w:fldChar w:fldCharType="end"/>
      </w:r>
      <w:r w:rsidRPr="00097FE6">
        <w:rPr>
          <w:lang w:val="fr-FR"/>
        </w:rPr>
        <w:tab/>
      </w:r>
      <w:r w:rsidR="00BF1DA6" w:rsidRPr="00BF1DA6">
        <w:rPr>
          <w:color w:val="000000"/>
          <w:lang w:val="fr-FR"/>
        </w:rPr>
        <w:t>Le TWV a noté qu</w:t>
      </w:r>
      <w:r w:rsidR="00402F0A">
        <w:rPr>
          <w:color w:val="000000"/>
          <w:lang w:val="fr-FR"/>
        </w:rPr>
        <w:t>’</w:t>
      </w:r>
      <w:r w:rsidR="00BF1DA6" w:rsidRPr="00BF1DA6">
        <w:rPr>
          <w:color w:val="000000"/>
          <w:lang w:val="fr-FR"/>
        </w:rPr>
        <w:t>un expert de la France présenterait un exposé à sa quarante</w:t>
      </w:r>
      <w:r w:rsidR="00105F8E">
        <w:rPr>
          <w:color w:val="000000"/>
          <w:lang w:val="fr-FR"/>
        </w:rPr>
        <w:noBreakHyphen/>
      </w:r>
      <w:r w:rsidR="00BF1DA6" w:rsidRPr="00BF1DA6">
        <w:rPr>
          <w:color w:val="000000"/>
          <w:lang w:val="fr-FR"/>
        </w:rPr>
        <w:t>neuvième</w:t>
      </w:r>
      <w:r w:rsidR="00064E56">
        <w:rPr>
          <w:color w:val="000000"/>
          <w:lang w:val="fr-FR"/>
        </w:rPr>
        <w:t> </w:t>
      </w:r>
      <w:r w:rsidR="00BF1DA6" w:rsidRPr="00BF1DA6">
        <w:rPr>
          <w:color w:val="000000"/>
          <w:lang w:val="fr-FR"/>
        </w:rPr>
        <w:t xml:space="preserve">session sur la </w:t>
      </w:r>
      <w:r w:rsidR="00064E56">
        <w:rPr>
          <w:color w:val="000000"/>
          <w:lang w:val="fr-FR"/>
        </w:rPr>
        <w:t>“</w:t>
      </w:r>
      <w:r w:rsidR="00957B4B">
        <w:rPr>
          <w:color w:val="000000"/>
          <w:lang w:val="fr-FR"/>
        </w:rPr>
        <w:t>g</w:t>
      </w:r>
      <w:r w:rsidR="00BF1DA6" w:rsidRPr="00BF1DA6">
        <w:rPr>
          <w:color w:val="000000"/>
          <w:lang w:val="fr-FR"/>
        </w:rPr>
        <w:t>estion des collections de référence” (voir le paragraphe</w:t>
      </w:r>
      <w:r w:rsidR="00064E56">
        <w:rPr>
          <w:color w:val="000000"/>
          <w:lang w:val="fr-FR"/>
        </w:rPr>
        <w:t> </w:t>
      </w:r>
      <w:r w:rsidR="00BF1DA6" w:rsidRPr="00BF1DA6">
        <w:rPr>
          <w:color w:val="000000"/>
          <w:lang w:val="fr-FR"/>
        </w:rPr>
        <w:t>113 du document TWV/48/43 “Report”).</w:t>
      </w:r>
    </w:p>
    <w:p w:rsidR="00A17213" w:rsidRDefault="00A17213" w:rsidP="00553D37">
      <w:pPr>
        <w:rPr>
          <w:lang w:val="fr-FR"/>
        </w:rPr>
      </w:pPr>
    </w:p>
    <w:p w:rsidR="00A17213" w:rsidRDefault="00BF1DA6" w:rsidP="00BF1DA6">
      <w:pPr>
        <w:pStyle w:val="Heading2"/>
        <w:rPr>
          <w:lang w:val="fr-FR"/>
        </w:rPr>
      </w:pPr>
      <w:bookmarkStart w:id="17" w:name="_Toc411329142"/>
      <w:r w:rsidRPr="00BF1DA6">
        <w:rPr>
          <w:color w:val="000000"/>
          <w:lang w:val="fr-FR"/>
        </w:rPr>
        <w:t>Utilisation de méthodes statistiques dans l</w:t>
      </w:r>
      <w:r w:rsidR="00402F0A">
        <w:rPr>
          <w:color w:val="000000"/>
          <w:lang w:val="fr-FR"/>
        </w:rPr>
        <w:t>’</w:t>
      </w:r>
      <w:r w:rsidRPr="00BF1DA6">
        <w:rPr>
          <w:color w:val="000000"/>
          <w:lang w:val="fr-FR"/>
        </w:rPr>
        <w:t>examen DHS</w:t>
      </w:r>
      <w:bookmarkEnd w:id="17"/>
    </w:p>
    <w:p w:rsidR="00A17213" w:rsidRDefault="00A17213" w:rsidP="00553D37">
      <w:pPr>
        <w:rPr>
          <w:lang w:val="fr-FR"/>
        </w:rPr>
      </w:pPr>
    </w:p>
    <w:p w:rsidR="00A17213" w:rsidRDefault="00553D37" w:rsidP="00E81C94">
      <w:pPr>
        <w:rPr>
          <w:lang w:val="fr-FR"/>
        </w:rPr>
      </w:pPr>
      <w:r w:rsidRPr="00097FE6">
        <w:rPr>
          <w:lang w:val="fr-FR"/>
        </w:rPr>
        <w:fldChar w:fldCharType="begin"/>
      </w:r>
      <w:r w:rsidRPr="00097FE6">
        <w:rPr>
          <w:lang w:val="fr-FR"/>
        </w:rPr>
        <w:instrText xml:space="preserve"> AUTONUM  </w:instrText>
      </w:r>
      <w:r w:rsidRPr="00097FE6">
        <w:rPr>
          <w:lang w:val="fr-FR"/>
        </w:rPr>
        <w:fldChar w:fldCharType="end"/>
      </w:r>
      <w:r w:rsidRPr="00097FE6">
        <w:rPr>
          <w:lang w:val="fr-FR"/>
        </w:rPr>
        <w:tab/>
      </w:r>
      <w:r w:rsidR="007B7D17">
        <w:rPr>
          <w:color w:val="000000"/>
          <w:lang w:val="fr-FR"/>
        </w:rPr>
        <w:t>Le TWV a écouté l’</w:t>
      </w:r>
      <w:r w:rsidR="00E81C94" w:rsidRPr="00E81C94">
        <w:rPr>
          <w:color w:val="000000"/>
          <w:lang w:val="fr-FR"/>
        </w:rPr>
        <w:t xml:space="preserve">exposé </w:t>
      </w:r>
      <w:r w:rsidR="001972CC">
        <w:rPr>
          <w:color w:val="000000"/>
          <w:lang w:val="fr-FR"/>
        </w:rPr>
        <w:t>d’</w:t>
      </w:r>
      <w:r w:rsidR="00E81C94" w:rsidRPr="00E81C94">
        <w:rPr>
          <w:color w:val="000000"/>
          <w:lang w:val="fr-FR"/>
        </w:rPr>
        <w:t>un expert des Pays</w:t>
      </w:r>
      <w:r w:rsidR="00105F8E">
        <w:rPr>
          <w:color w:val="000000"/>
          <w:lang w:val="fr-FR"/>
        </w:rPr>
        <w:noBreakHyphen/>
      </w:r>
      <w:r w:rsidR="00E81C94" w:rsidRPr="00E81C94">
        <w:rPr>
          <w:color w:val="000000"/>
          <w:lang w:val="fr-FR"/>
        </w:rPr>
        <w:t>Bas sur “l</w:t>
      </w:r>
      <w:r w:rsidR="00402F0A">
        <w:rPr>
          <w:color w:val="000000"/>
          <w:lang w:val="fr-FR"/>
        </w:rPr>
        <w:t>’</w:t>
      </w:r>
      <w:r w:rsidR="00E81C94" w:rsidRPr="00E81C94">
        <w:rPr>
          <w:color w:val="000000"/>
          <w:lang w:val="fr-FR"/>
        </w:rPr>
        <w:t>utilisation de méthodes statistiques dans l</w:t>
      </w:r>
      <w:r w:rsidR="00402F0A">
        <w:rPr>
          <w:color w:val="000000"/>
          <w:lang w:val="fr-FR"/>
        </w:rPr>
        <w:t>’</w:t>
      </w:r>
      <w:r w:rsidR="00E81C94" w:rsidRPr="00E81C94">
        <w:rPr>
          <w:color w:val="000000"/>
          <w:lang w:val="fr-FR"/>
        </w:rPr>
        <w:t>examen DHS”</w:t>
      </w:r>
      <w:r w:rsidR="001972CC">
        <w:rPr>
          <w:color w:val="000000"/>
          <w:lang w:val="fr-FR"/>
        </w:rPr>
        <w:t>,</w:t>
      </w:r>
      <w:r w:rsidR="00E81C94" w:rsidRPr="00E81C94">
        <w:rPr>
          <w:color w:val="000000"/>
          <w:lang w:val="fr-FR"/>
        </w:rPr>
        <w:t xml:space="preserve"> qui est reproduit dans un additif au document TWV/48/26 (voir le paragraphe</w:t>
      </w:r>
      <w:r w:rsidR="00064E56">
        <w:rPr>
          <w:color w:val="000000"/>
          <w:lang w:val="fr-FR"/>
        </w:rPr>
        <w:t> </w:t>
      </w:r>
      <w:r w:rsidR="00E81C94" w:rsidRPr="00E81C94">
        <w:rPr>
          <w:color w:val="000000"/>
          <w:lang w:val="fr-FR"/>
        </w:rPr>
        <w:t>112 du document TWV/48/43 “Report”).</w:t>
      </w:r>
    </w:p>
    <w:p w:rsidR="00A17213" w:rsidRDefault="00A17213" w:rsidP="00BF1A76">
      <w:pPr>
        <w:rPr>
          <w:caps/>
          <w:lang w:val="fr-FR"/>
        </w:rPr>
      </w:pPr>
    </w:p>
    <w:p w:rsidR="00A17213" w:rsidRDefault="00B60B59" w:rsidP="00E81C94">
      <w:pPr>
        <w:pStyle w:val="DecisionParagraphs"/>
        <w:rPr>
          <w:lang w:val="fr-FR"/>
        </w:rPr>
      </w:pPr>
      <w:r w:rsidRPr="00097FE6">
        <w:rPr>
          <w:lang w:val="fr-FR"/>
        </w:rPr>
        <w:fldChar w:fldCharType="begin"/>
      </w:r>
      <w:r w:rsidRPr="00097FE6">
        <w:rPr>
          <w:lang w:val="fr-FR"/>
        </w:rPr>
        <w:instrText xml:space="preserve"> AUTONUM  </w:instrText>
      </w:r>
      <w:r w:rsidRPr="00097FE6">
        <w:rPr>
          <w:lang w:val="fr-FR"/>
        </w:rPr>
        <w:fldChar w:fldCharType="end"/>
      </w:r>
      <w:r w:rsidRPr="00097FE6">
        <w:rPr>
          <w:lang w:val="fr-FR"/>
        </w:rPr>
        <w:tab/>
      </w:r>
      <w:r w:rsidR="00E81C94" w:rsidRPr="00E81C94">
        <w:rPr>
          <w:color w:val="000000"/>
          <w:lang w:val="fr-FR"/>
        </w:rPr>
        <w:t>Le</w:t>
      </w:r>
      <w:r w:rsidR="00402F0A">
        <w:rPr>
          <w:color w:val="000000"/>
          <w:lang w:val="fr-FR"/>
        </w:rPr>
        <w:t> TC</w:t>
      </w:r>
      <w:r w:rsidR="00E81C94" w:rsidRPr="00E81C94">
        <w:rPr>
          <w:color w:val="000000"/>
          <w:lang w:val="fr-FR"/>
        </w:rPr>
        <w:t xml:space="preserve"> est invité à prendre note des faits nouveaux intervenus au sein</w:t>
      </w:r>
      <w:r w:rsidR="00402F0A" w:rsidRPr="00E81C94">
        <w:rPr>
          <w:color w:val="000000"/>
          <w:lang w:val="fr-FR"/>
        </w:rPr>
        <w:t xml:space="preserve"> des</w:t>
      </w:r>
      <w:r w:rsidR="00402F0A">
        <w:rPr>
          <w:color w:val="000000"/>
          <w:lang w:val="fr-FR"/>
        </w:rPr>
        <w:t> </w:t>
      </w:r>
      <w:r w:rsidR="00402F0A" w:rsidRPr="00E81C94">
        <w:rPr>
          <w:color w:val="000000"/>
          <w:lang w:val="fr-FR"/>
        </w:rPr>
        <w:t>TWP</w:t>
      </w:r>
      <w:r w:rsidR="00E81C94" w:rsidRPr="00E81C94">
        <w:rPr>
          <w:color w:val="000000"/>
          <w:lang w:val="fr-FR"/>
        </w:rPr>
        <w:t xml:space="preserve"> concernant</w:t>
      </w:r>
    </w:p>
    <w:p w:rsidR="00A17213" w:rsidRDefault="00A17213" w:rsidP="0028693C">
      <w:pPr>
        <w:pStyle w:val="DecisionParagraphs"/>
        <w:ind w:left="5387" w:hanging="567"/>
        <w:rPr>
          <w:lang w:val="fr-FR"/>
        </w:rPr>
      </w:pPr>
    </w:p>
    <w:p w:rsidR="00A17213" w:rsidRPr="00041073" w:rsidRDefault="00E81C94" w:rsidP="00E81C94">
      <w:pPr>
        <w:pStyle w:val="DecisionParagraphs"/>
        <w:numPr>
          <w:ilvl w:val="0"/>
          <w:numId w:val="5"/>
        </w:numPr>
        <w:tabs>
          <w:tab w:val="left" w:pos="5954"/>
        </w:tabs>
        <w:ind w:left="5387" w:hanging="567"/>
        <w:rPr>
          <w:lang w:val="fr-FR"/>
        </w:rPr>
      </w:pPr>
      <w:r w:rsidRPr="00E81C94">
        <w:rPr>
          <w:color w:val="000000"/>
          <w:lang w:val="fr-FR"/>
        </w:rPr>
        <w:t>l</w:t>
      </w:r>
      <w:r w:rsidRPr="00041073">
        <w:rPr>
          <w:lang w:val="fr-FR"/>
        </w:rPr>
        <w:t>a durée des examens DHS dans le secteur des fruits;</w:t>
      </w:r>
    </w:p>
    <w:p w:rsidR="00A17213" w:rsidRPr="00041073" w:rsidRDefault="00A17213" w:rsidP="0028693C">
      <w:pPr>
        <w:pStyle w:val="DecisionParagraphs"/>
        <w:tabs>
          <w:tab w:val="left" w:pos="5954"/>
        </w:tabs>
        <w:ind w:left="5387" w:hanging="567"/>
        <w:rPr>
          <w:lang w:val="fr-FR"/>
        </w:rPr>
      </w:pPr>
    </w:p>
    <w:p w:rsidR="00A17213" w:rsidRPr="00041073" w:rsidRDefault="00E81C94" w:rsidP="00E81C94">
      <w:pPr>
        <w:pStyle w:val="DecisionParagraphs"/>
        <w:numPr>
          <w:ilvl w:val="0"/>
          <w:numId w:val="5"/>
        </w:numPr>
        <w:tabs>
          <w:tab w:val="left" w:pos="5954"/>
        </w:tabs>
        <w:ind w:left="5387" w:hanging="567"/>
        <w:rPr>
          <w:lang w:val="fr-FR"/>
        </w:rPr>
      </w:pPr>
      <w:r w:rsidRPr="00041073">
        <w:rPr>
          <w:lang w:val="fr-FR"/>
        </w:rPr>
        <w:t>l</w:t>
      </w:r>
      <w:r w:rsidR="00402F0A" w:rsidRPr="00041073">
        <w:rPr>
          <w:lang w:val="fr-FR"/>
        </w:rPr>
        <w:t>’</w:t>
      </w:r>
      <w:r w:rsidRPr="00041073">
        <w:rPr>
          <w:lang w:val="fr-FR"/>
        </w:rPr>
        <w:t>utilisation de caractères de résistance aux maladies dans l</w:t>
      </w:r>
      <w:r w:rsidR="00402F0A" w:rsidRPr="00041073">
        <w:rPr>
          <w:lang w:val="fr-FR"/>
        </w:rPr>
        <w:t>’</w:t>
      </w:r>
      <w:r w:rsidRPr="00041073">
        <w:rPr>
          <w:lang w:val="fr-FR"/>
        </w:rPr>
        <w:t>examen DHS;</w:t>
      </w:r>
    </w:p>
    <w:p w:rsidR="00A17213" w:rsidRPr="00041073" w:rsidRDefault="00A17213" w:rsidP="0028693C">
      <w:pPr>
        <w:pStyle w:val="DecisionParagraphs"/>
        <w:tabs>
          <w:tab w:val="left" w:pos="5954"/>
        </w:tabs>
        <w:ind w:left="5387" w:hanging="567"/>
        <w:rPr>
          <w:lang w:val="fr-FR"/>
        </w:rPr>
      </w:pPr>
    </w:p>
    <w:p w:rsidR="00A17213" w:rsidRPr="00041073" w:rsidRDefault="00E81C94" w:rsidP="00E81C94">
      <w:pPr>
        <w:pStyle w:val="DecisionParagraphs"/>
        <w:numPr>
          <w:ilvl w:val="0"/>
          <w:numId w:val="5"/>
        </w:numPr>
        <w:tabs>
          <w:tab w:val="left" w:pos="5954"/>
        </w:tabs>
        <w:ind w:left="5387" w:hanging="567"/>
        <w:rPr>
          <w:lang w:val="fr-FR"/>
        </w:rPr>
      </w:pPr>
      <w:r w:rsidRPr="00041073">
        <w:rPr>
          <w:lang w:val="fr-FR"/>
        </w:rPr>
        <w:t>les enregistreurs de données;</w:t>
      </w:r>
    </w:p>
    <w:p w:rsidR="00A17213" w:rsidRPr="00041073" w:rsidRDefault="00A17213" w:rsidP="0028693C">
      <w:pPr>
        <w:pStyle w:val="DecisionParagraphs"/>
        <w:tabs>
          <w:tab w:val="left" w:pos="5954"/>
        </w:tabs>
        <w:ind w:left="5387" w:hanging="567"/>
        <w:rPr>
          <w:lang w:val="fr-FR"/>
        </w:rPr>
      </w:pPr>
    </w:p>
    <w:p w:rsidR="00A17213" w:rsidRPr="00041073" w:rsidRDefault="00E81C94" w:rsidP="00E81C94">
      <w:pPr>
        <w:pStyle w:val="DecisionParagraphs"/>
        <w:numPr>
          <w:ilvl w:val="0"/>
          <w:numId w:val="5"/>
        </w:numPr>
        <w:tabs>
          <w:tab w:val="left" w:pos="5954"/>
        </w:tabs>
        <w:ind w:left="5387" w:hanging="567"/>
        <w:rPr>
          <w:lang w:val="fr-FR"/>
        </w:rPr>
      </w:pPr>
      <w:r w:rsidRPr="00041073">
        <w:rPr>
          <w:lang w:val="fr-FR"/>
        </w:rPr>
        <w:t>des expériences avec de nouveaux types et espèces;</w:t>
      </w:r>
    </w:p>
    <w:p w:rsidR="00A17213" w:rsidRPr="00041073" w:rsidRDefault="00A17213" w:rsidP="0028693C">
      <w:pPr>
        <w:pStyle w:val="ListParagraph"/>
        <w:tabs>
          <w:tab w:val="left" w:pos="5387"/>
        </w:tabs>
        <w:ind w:left="5387" w:hanging="567"/>
        <w:rPr>
          <w:lang w:val="fr-FR"/>
        </w:rPr>
      </w:pPr>
    </w:p>
    <w:p w:rsidR="00A17213" w:rsidRPr="00041073" w:rsidRDefault="00E81C94" w:rsidP="00E81C94">
      <w:pPr>
        <w:pStyle w:val="DecisionParagraphs"/>
        <w:numPr>
          <w:ilvl w:val="0"/>
          <w:numId w:val="5"/>
        </w:numPr>
        <w:tabs>
          <w:tab w:val="left" w:pos="5954"/>
        </w:tabs>
        <w:ind w:left="5387" w:hanging="567"/>
        <w:rPr>
          <w:lang w:val="fr-FR"/>
        </w:rPr>
      </w:pPr>
      <w:r w:rsidRPr="00041073">
        <w:rPr>
          <w:lang w:val="fr-FR"/>
        </w:rPr>
        <w:t>la gestion des collections de variétés aux fins de l</w:t>
      </w:r>
      <w:r w:rsidR="00402F0A" w:rsidRPr="00041073">
        <w:rPr>
          <w:lang w:val="fr-FR"/>
        </w:rPr>
        <w:t>’</w:t>
      </w:r>
      <w:r w:rsidRPr="00041073">
        <w:rPr>
          <w:lang w:val="fr-FR"/>
        </w:rPr>
        <w:t>examen</w:t>
      </w:r>
      <w:r w:rsidR="00064E56" w:rsidRPr="00041073">
        <w:rPr>
          <w:lang w:val="fr-FR"/>
        </w:rPr>
        <w:t> </w:t>
      </w:r>
      <w:r w:rsidRPr="00041073">
        <w:rPr>
          <w:lang w:val="fr-FR"/>
        </w:rPr>
        <w:t>DHS;  et</w:t>
      </w:r>
    </w:p>
    <w:p w:rsidR="00A17213" w:rsidRPr="00041073" w:rsidRDefault="00A17213" w:rsidP="0028693C">
      <w:pPr>
        <w:pStyle w:val="ListParagraph"/>
        <w:tabs>
          <w:tab w:val="left" w:pos="5387"/>
        </w:tabs>
        <w:ind w:left="5387" w:hanging="567"/>
        <w:rPr>
          <w:lang w:val="fr-FR"/>
        </w:rPr>
      </w:pPr>
    </w:p>
    <w:p w:rsidR="00A17213" w:rsidRPr="00041073" w:rsidRDefault="00E81C94" w:rsidP="00E81C94">
      <w:pPr>
        <w:pStyle w:val="DecisionParagraphs"/>
        <w:numPr>
          <w:ilvl w:val="0"/>
          <w:numId w:val="5"/>
        </w:numPr>
        <w:tabs>
          <w:tab w:val="left" w:pos="5954"/>
        </w:tabs>
        <w:ind w:left="5387" w:hanging="567"/>
        <w:rPr>
          <w:lang w:val="fr-FR"/>
        </w:rPr>
      </w:pPr>
      <w:r w:rsidRPr="00041073">
        <w:rPr>
          <w:lang w:val="fr-FR"/>
        </w:rPr>
        <w:t>l</w:t>
      </w:r>
      <w:r w:rsidR="00402F0A" w:rsidRPr="00041073">
        <w:rPr>
          <w:lang w:val="fr-FR"/>
        </w:rPr>
        <w:t>’</w:t>
      </w:r>
      <w:r w:rsidRPr="00041073">
        <w:rPr>
          <w:lang w:val="fr-FR"/>
        </w:rPr>
        <w:t>utilisation de méthodes statistiques dans l</w:t>
      </w:r>
      <w:r w:rsidR="00402F0A" w:rsidRPr="00041073">
        <w:rPr>
          <w:lang w:val="fr-FR"/>
        </w:rPr>
        <w:t>’</w:t>
      </w:r>
      <w:r w:rsidRPr="00041073">
        <w:rPr>
          <w:lang w:val="fr-FR"/>
        </w:rPr>
        <w:t>examen DHS;</w:t>
      </w:r>
    </w:p>
    <w:p w:rsidR="00A17213" w:rsidRDefault="00A17213" w:rsidP="00822236">
      <w:pPr>
        <w:pStyle w:val="ListParagraph"/>
        <w:rPr>
          <w:lang w:val="fr-FR"/>
        </w:rPr>
      </w:pPr>
    </w:p>
    <w:p w:rsidR="00A17213" w:rsidRDefault="00E81C94" w:rsidP="00E81C94">
      <w:pPr>
        <w:pStyle w:val="DecisionParagraphs"/>
        <w:tabs>
          <w:tab w:val="left" w:pos="5954"/>
        </w:tabs>
        <w:rPr>
          <w:lang w:val="fr-FR"/>
        </w:rPr>
      </w:pPr>
      <w:r w:rsidRPr="00E81C94">
        <w:rPr>
          <w:color w:val="000000"/>
          <w:lang w:val="fr-FR"/>
        </w:rPr>
        <w:t>comm</w:t>
      </w:r>
      <w:r>
        <w:rPr>
          <w:color w:val="000000"/>
          <w:lang w:val="fr-FR"/>
        </w:rPr>
        <w:t>e</w:t>
      </w:r>
      <w:r w:rsidRPr="00E81C94">
        <w:rPr>
          <w:color w:val="000000"/>
          <w:lang w:val="fr-FR"/>
        </w:rPr>
        <w:t xml:space="preserve"> indiqué dans le présent document.</w:t>
      </w:r>
    </w:p>
    <w:p w:rsidR="00A17213" w:rsidRDefault="00A17213" w:rsidP="00BF1A76">
      <w:pPr>
        <w:rPr>
          <w:lang w:val="fr-FR"/>
        </w:rPr>
      </w:pPr>
    </w:p>
    <w:p w:rsidR="00A17213" w:rsidRDefault="00A17213" w:rsidP="00BF1A76">
      <w:pPr>
        <w:rPr>
          <w:lang w:val="fr-FR"/>
        </w:rPr>
      </w:pPr>
    </w:p>
    <w:p w:rsidR="00402F0A" w:rsidRDefault="00402F0A" w:rsidP="00BF1A76">
      <w:pPr>
        <w:rPr>
          <w:lang w:val="fr-FR"/>
        </w:rPr>
      </w:pPr>
    </w:p>
    <w:p w:rsidR="00A17213" w:rsidRPr="00041073" w:rsidRDefault="00305162" w:rsidP="00305162">
      <w:pPr>
        <w:jc w:val="right"/>
        <w:rPr>
          <w:lang w:val="fr-FR"/>
        </w:rPr>
      </w:pPr>
      <w:r w:rsidRPr="00041073">
        <w:rPr>
          <w:lang w:val="fr-FR"/>
        </w:rPr>
        <w:t>[Fin du document]</w:t>
      </w:r>
    </w:p>
    <w:p w:rsidR="00A17213" w:rsidRDefault="00A17213" w:rsidP="00993700">
      <w:pPr>
        <w:jc w:val="right"/>
        <w:rPr>
          <w:lang w:val="fr-FR"/>
        </w:rPr>
      </w:pPr>
    </w:p>
    <w:p w:rsidR="00A17213" w:rsidRDefault="00A17213" w:rsidP="00993700">
      <w:pPr>
        <w:jc w:val="right"/>
        <w:rPr>
          <w:lang w:val="fr-FR"/>
        </w:rPr>
      </w:pPr>
    </w:p>
    <w:p w:rsidR="00BE4987" w:rsidRPr="00097FE6" w:rsidRDefault="00BE4987" w:rsidP="00993700">
      <w:pPr>
        <w:jc w:val="right"/>
        <w:rPr>
          <w:lang w:val="fr-FR"/>
        </w:rPr>
      </w:pPr>
    </w:p>
    <w:sectPr w:rsidR="00BE4987" w:rsidRPr="00097FE6" w:rsidSect="00105F8E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49" w:rsidRDefault="00745649" w:rsidP="006655D3">
      <w:r>
        <w:separator/>
      </w:r>
    </w:p>
    <w:p w:rsidR="00745649" w:rsidRDefault="00745649" w:rsidP="006655D3"/>
    <w:p w:rsidR="00745649" w:rsidRDefault="00745649" w:rsidP="006655D3"/>
  </w:endnote>
  <w:endnote w:type="continuationSeparator" w:id="0">
    <w:p w:rsidR="00745649" w:rsidRDefault="00745649" w:rsidP="006655D3">
      <w:r>
        <w:separator/>
      </w:r>
    </w:p>
    <w:p w:rsidR="00745649" w:rsidRPr="007136B8" w:rsidRDefault="00745649" w:rsidP="0028091E">
      <w:pPr>
        <w:pStyle w:val="Footer"/>
        <w:rPr>
          <w:lang w:val="fr-CH"/>
        </w:rPr>
      </w:pPr>
      <w:r w:rsidRPr="007136B8">
        <w:rPr>
          <w:lang w:val="fr-CH"/>
        </w:rPr>
        <w:t>[Suite de la note de la page précédente]</w:t>
      </w:r>
    </w:p>
    <w:p w:rsidR="00745649" w:rsidRPr="007136B8" w:rsidRDefault="00745649" w:rsidP="006655D3">
      <w:pPr>
        <w:rPr>
          <w:lang w:val="fr-CH"/>
        </w:rPr>
      </w:pPr>
    </w:p>
    <w:p w:rsidR="00745649" w:rsidRPr="007136B8" w:rsidRDefault="00745649" w:rsidP="006655D3">
      <w:pPr>
        <w:rPr>
          <w:lang w:val="fr-CH"/>
        </w:rPr>
      </w:pPr>
    </w:p>
  </w:endnote>
  <w:endnote w:type="continuationNotice" w:id="1">
    <w:p w:rsidR="00745649" w:rsidRPr="007136B8" w:rsidRDefault="00745649" w:rsidP="006655D3">
      <w:pPr>
        <w:rPr>
          <w:lang w:val="fr-CH"/>
        </w:rPr>
      </w:pPr>
      <w:r w:rsidRPr="007136B8">
        <w:rPr>
          <w:lang w:val="fr-CH"/>
        </w:rPr>
        <w:t>[Suite de la note page suivante]</w:t>
      </w:r>
    </w:p>
    <w:p w:rsidR="00745649" w:rsidRPr="007136B8" w:rsidRDefault="00745649" w:rsidP="006655D3">
      <w:pPr>
        <w:rPr>
          <w:lang w:val="fr-CH"/>
        </w:rPr>
      </w:pPr>
    </w:p>
    <w:p w:rsidR="00745649" w:rsidRPr="007136B8" w:rsidRDefault="00745649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49" w:rsidRDefault="00745649" w:rsidP="006655D3">
      <w:r>
        <w:separator/>
      </w:r>
    </w:p>
  </w:footnote>
  <w:footnote w:type="continuationSeparator" w:id="0">
    <w:p w:rsidR="00745649" w:rsidRDefault="00745649" w:rsidP="006655D3">
      <w:r>
        <w:separator/>
      </w:r>
    </w:p>
  </w:footnote>
  <w:footnote w:type="continuationNotice" w:id="1">
    <w:p w:rsidR="00745649" w:rsidRPr="00AB530F" w:rsidRDefault="00745649" w:rsidP="0028091E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31" w:rsidRDefault="00B16331" w:rsidP="00B16331">
    <w:pPr>
      <w:pStyle w:val="Header"/>
      <w:rPr>
        <w:lang w:val="en-US"/>
      </w:rPr>
    </w:pPr>
    <w:r>
      <w:rPr>
        <w:lang w:val="en-US"/>
      </w:rPr>
      <w:t>TC/51/3</w:t>
    </w:r>
  </w:p>
  <w:p w:rsidR="00B16331" w:rsidRDefault="00B16331" w:rsidP="00B16331">
    <w:pPr>
      <w:pStyle w:val="Header"/>
      <w:rPr>
        <w:lang w:val="en-US"/>
      </w:rPr>
    </w:pPr>
    <w:r>
      <w:rPr>
        <w:lang w:val="en-US"/>
      </w:rPr>
      <w:t xml:space="preserve">page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F73DA1">
      <w:rPr>
        <w:noProof/>
      </w:rPr>
      <w:t>5</w:t>
    </w:r>
    <w:r w:rsidRPr="00832298">
      <w:fldChar w:fldCharType="end"/>
    </w:r>
  </w:p>
  <w:p w:rsidR="00B16331" w:rsidRDefault="00B16331" w:rsidP="00B1633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5D44"/>
    <w:multiLevelType w:val="hybridMultilevel"/>
    <w:tmpl w:val="9DAA3494"/>
    <w:lvl w:ilvl="0" w:tplc="178E0748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3104F1"/>
    <w:multiLevelType w:val="hybridMultilevel"/>
    <w:tmpl w:val="9DAA3494"/>
    <w:lvl w:ilvl="0" w:tplc="178E0748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B23B3A"/>
    <w:multiLevelType w:val="hybridMultilevel"/>
    <w:tmpl w:val="EB18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7227D"/>
    <w:multiLevelType w:val="hybridMultilevel"/>
    <w:tmpl w:val="83D2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53705"/>
    <w:multiLevelType w:val="hybridMultilevel"/>
    <w:tmpl w:val="711804E4"/>
    <w:lvl w:ilvl="0" w:tplc="04090017">
      <w:start w:val="1"/>
      <w:numFmt w:val="lowerLetter"/>
      <w:lvlText w:val="%1)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5">
    <w:nsid w:val="7F595D9F"/>
    <w:multiLevelType w:val="hybridMultilevel"/>
    <w:tmpl w:val="F9BC4AAA"/>
    <w:lvl w:ilvl="0" w:tplc="8826A950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Duplicates DB|WIPONew|PreTradBeta|UPOV_Beta"/>
    <w:docVar w:name="TermBaseURL" w:val="empty"/>
    <w:docVar w:name="TextBases" w:val="UPOV\Meetings|UPOV\Other|UPOV\Publications|UPOV\Technical Guidelines|Treaties\Model Laws|Treaties\Other Laws and Agreements|Treaties\WIPO-administered|Trademarks\Meetings|Trademarks\Other|Trademarks\Publications|Patents\Meetings|Patents\Other|Patents\Publications|IP in General\Academy|IP in General\Arbitration and Mediation|IP in General\Meetings|IP in General\Other|IP in General\Press Room|IP in General\Publications|IP in General\SpeechDG2014|Glossaries\EN-FR|Copyright\Meetings|Copyright\Other|Copyright\Publications|Budget and Finance\Meetings|Budget and Finance\Other|Budget and Finance\Publications|Administrative\Meetings|Administrative\Other|Administrative\Publications|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MP|WorkspaceFTS\EN-FR\PCT|WorkspaceFTS\EN-FR\PLT|WorkspaceFTS\EN-FR\SCCR|WorkspaceFTS\EN-FR\SCP|WorkspaceFTS\EN-FR\SCT|WorkspaceFTS\EN-FR\UPOV|WorkspaceFTS\EN-FR\WO_CC|WorkspaceFTS\EN-FR\WO_GA|WorkspaceFTS\EN-FR\WO_PBC"/>
    <w:docVar w:name="TextBaseURL" w:val="empty"/>
    <w:docVar w:name="UILng" w:val="en"/>
  </w:docVars>
  <w:rsids>
    <w:rsidRoot w:val="007136B8"/>
    <w:rsid w:val="00010CF3"/>
    <w:rsid w:val="00011E27"/>
    <w:rsid w:val="000148BC"/>
    <w:rsid w:val="0001533C"/>
    <w:rsid w:val="00024AB8"/>
    <w:rsid w:val="00030854"/>
    <w:rsid w:val="00036028"/>
    <w:rsid w:val="00041073"/>
    <w:rsid w:val="00044642"/>
    <w:rsid w:val="000446B9"/>
    <w:rsid w:val="00047E21"/>
    <w:rsid w:val="00050E16"/>
    <w:rsid w:val="000624EF"/>
    <w:rsid w:val="00064E56"/>
    <w:rsid w:val="00085505"/>
    <w:rsid w:val="00091A4C"/>
    <w:rsid w:val="00097FE6"/>
    <w:rsid w:val="000C50BD"/>
    <w:rsid w:val="000C7021"/>
    <w:rsid w:val="000D6BBC"/>
    <w:rsid w:val="000D7780"/>
    <w:rsid w:val="000E1C37"/>
    <w:rsid w:val="000F039B"/>
    <w:rsid w:val="000F2F11"/>
    <w:rsid w:val="00105929"/>
    <w:rsid w:val="00105F8E"/>
    <w:rsid w:val="001131D5"/>
    <w:rsid w:val="00120C14"/>
    <w:rsid w:val="0013111A"/>
    <w:rsid w:val="0013225E"/>
    <w:rsid w:val="00141DB8"/>
    <w:rsid w:val="001604A0"/>
    <w:rsid w:val="001650D9"/>
    <w:rsid w:val="0017474A"/>
    <w:rsid w:val="001758C6"/>
    <w:rsid w:val="00182B99"/>
    <w:rsid w:val="00191C02"/>
    <w:rsid w:val="001972CC"/>
    <w:rsid w:val="001B6A72"/>
    <w:rsid w:val="001C28E8"/>
    <w:rsid w:val="001D57FF"/>
    <w:rsid w:val="002116D8"/>
    <w:rsid w:val="002127E3"/>
    <w:rsid w:val="0021332C"/>
    <w:rsid w:val="00213982"/>
    <w:rsid w:val="00225950"/>
    <w:rsid w:val="0024416D"/>
    <w:rsid w:val="00256DED"/>
    <w:rsid w:val="00271872"/>
    <w:rsid w:val="00271911"/>
    <w:rsid w:val="002800A0"/>
    <w:rsid w:val="002801B3"/>
    <w:rsid w:val="0028091E"/>
    <w:rsid w:val="00281060"/>
    <w:rsid w:val="00284A12"/>
    <w:rsid w:val="0028693C"/>
    <w:rsid w:val="00287DA1"/>
    <w:rsid w:val="002940E8"/>
    <w:rsid w:val="00295ACF"/>
    <w:rsid w:val="002A6E50"/>
    <w:rsid w:val="002C256A"/>
    <w:rsid w:val="002D7111"/>
    <w:rsid w:val="002E2E04"/>
    <w:rsid w:val="0030365E"/>
    <w:rsid w:val="00305162"/>
    <w:rsid w:val="00305A7F"/>
    <w:rsid w:val="003152FE"/>
    <w:rsid w:val="00327436"/>
    <w:rsid w:val="00333671"/>
    <w:rsid w:val="00334561"/>
    <w:rsid w:val="00341245"/>
    <w:rsid w:val="00344BD6"/>
    <w:rsid w:val="0035528D"/>
    <w:rsid w:val="00361821"/>
    <w:rsid w:val="003A09A9"/>
    <w:rsid w:val="003D227C"/>
    <w:rsid w:val="003D2B4D"/>
    <w:rsid w:val="003D59DE"/>
    <w:rsid w:val="003E606F"/>
    <w:rsid w:val="003F2D31"/>
    <w:rsid w:val="00402F0A"/>
    <w:rsid w:val="00405890"/>
    <w:rsid w:val="004327A8"/>
    <w:rsid w:val="00444A88"/>
    <w:rsid w:val="00454700"/>
    <w:rsid w:val="004573C5"/>
    <w:rsid w:val="0046636F"/>
    <w:rsid w:val="00474DA4"/>
    <w:rsid w:val="00476B4D"/>
    <w:rsid w:val="004805FA"/>
    <w:rsid w:val="004935D2"/>
    <w:rsid w:val="004A4499"/>
    <w:rsid w:val="004B1215"/>
    <w:rsid w:val="004D047D"/>
    <w:rsid w:val="004D3623"/>
    <w:rsid w:val="004D678E"/>
    <w:rsid w:val="004F305A"/>
    <w:rsid w:val="00512164"/>
    <w:rsid w:val="00512964"/>
    <w:rsid w:val="005134A6"/>
    <w:rsid w:val="00520297"/>
    <w:rsid w:val="005338F9"/>
    <w:rsid w:val="0054281C"/>
    <w:rsid w:val="00545642"/>
    <w:rsid w:val="005510C4"/>
    <w:rsid w:val="0055268D"/>
    <w:rsid w:val="00553D37"/>
    <w:rsid w:val="00574C63"/>
    <w:rsid w:val="00576BE4"/>
    <w:rsid w:val="0058674B"/>
    <w:rsid w:val="005A400A"/>
    <w:rsid w:val="005A441E"/>
    <w:rsid w:val="00601F09"/>
    <w:rsid w:val="00612379"/>
    <w:rsid w:val="0061555F"/>
    <w:rsid w:val="00641200"/>
    <w:rsid w:val="00641CCF"/>
    <w:rsid w:val="006430A7"/>
    <w:rsid w:val="00651ADF"/>
    <w:rsid w:val="006641DA"/>
    <w:rsid w:val="006655D3"/>
    <w:rsid w:val="00667404"/>
    <w:rsid w:val="00680459"/>
    <w:rsid w:val="00687EB4"/>
    <w:rsid w:val="006B17D2"/>
    <w:rsid w:val="006C224E"/>
    <w:rsid w:val="006D10DC"/>
    <w:rsid w:val="006D6C36"/>
    <w:rsid w:val="006D780A"/>
    <w:rsid w:val="006E40A4"/>
    <w:rsid w:val="0071062E"/>
    <w:rsid w:val="007136B8"/>
    <w:rsid w:val="0071499A"/>
    <w:rsid w:val="007165A7"/>
    <w:rsid w:val="0071667D"/>
    <w:rsid w:val="0072379E"/>
    <w:rsid w:val="00724EF9"/>
    <w:rsid w:val="00725910"/>
    <w:rsid w:val="00732DEC"/>
    <w:rsid w:val="00735BD5"/>
    <w:rsid w:val="00745649"/>
    <w:rsid w:val="007556F6"/>
    <w:rsid w:val="0075596B"/>
    <w:rsid w:val="00760EEF"/>
    <w:rsid w:val="00764C22"/>
    <w:rsid w:val="00777EE5"/>
    <w:rsid w:val="00782B0B"/>
    <w:rsid w:val="00784836"/>
    <w:rsid w:val="0079023E"/>
    <w:rsid w:val="007A11E3"/>
    <w:rsid w:val="007A2854"/>
    <w:rsid w:val="007A611A"/>
    <w:rsid w:val="007B08B1"/>
    <w:rsid w:val="007B7D17"/>
    <w:rsid w:val="007D0B9D"/>
    <w:rsid w:val="007D19B0"/>
    <w:rsid w:val="007E761F"/>
    <w:rsid w:val="007F498F"/>
    <w:rsid w:val="007F74D2"/>
    <w:rsid w:val="0080679D"/>
    <w:rsid w:val="008108B0"/>
    <w:rsid w:val="00811B20"/>
    <w:rsid w:val="00811C6F"/>
    <w:rsid w:val="00822236"/>
    <w:rsid w:val="0082296E"/>
    <w:rsid w:val="00824099"/>
    <w:rsid w:val="00824B6E"/>
    <w:rsid w:val="00846D7C"/>
    <w:rsid w:val="00856477"/>
    <w:rsid w:val="0086126C"/>
    <w:rsid w:val="00867AC1"/>
    <w:rsid w:val="008918AE"/>
    <w:rsid w:val="008A1B91"/>
    <w:rsid w:val="008A743F"/>
    <w:rsid w:val="008C0970"/>
    <w:rsid w:val="008D0BC5"/>
    <w:rsid w:val="008D2CF7"/>
    <w:rsid w:val="00900827"/>
    <w:rsid w:val="00900C26"/>
    <w:rsid w:val="00900E2B"/>
    <w:rsid w:val="0090197F"/>
    <w:rsid w:val="0090261E"/>
    <w:rsid w:val="00906DDC"/>
    <w:rsid w:val="00934E09"/>
    <w:rsid w:val="00936253"/>
    <w:rsid w:val="009415C9"/>
    <w:rsid w:val="00946FED"/>
    <w:rsid w:val="00952DD4"/>
    <w:rsid w:val="00957B4B"/>
    <w:rsid w:val="00970FED"/>
    <w:rsid w:val="0098004A"/>
    <w:rsid w:val="00992D82"/>
    <w:rsid w:val="00993700"/>
    <w:rsid w:val="00997029"/>
    <w:rsid w:val="009B3398"/>
    <w:rsid w:val="009B440E"/>
    <w:rsid w:val="009B6D97"/>
    <w:rsid w:val="009D1A89"/>
    <w:rsid w:val="009D690D"/>
    <w:rsid w:val="009E56FD"/>
    <w:rsid w:val="009E65B6"/>
    <w:rsid w:val="00A003F0"/>
    <w:rsid w:val="00A059CD"/>
    <w:rsid w:val="00A10122"/>
    <w:rsid w:val="00A17213"/>
    <w:rsid w:val="00A24C10"/>
    <w:rsid w:val="00A42AC3"/>
    <w:rsid w:val="00A430CF"/>
    <w:rsid w:val="00A54309"/>
    <w:rsid w:val="00A66BF2"/>
    <w:rsid w:val="00A8602B"/>
    <w:rsid w:val="00AB2B93"/>
    <w:rsid w:val="00AB530F"/>
    <w:rsid w:val="00AB5CAC"/>
    <w:rsid w:val="00AB7E5B"/>
    <w:rsid w:val="00AE0EF1"/>
    <w:rsid w:val="00AE2937"/>
    <w:rsid w:val="00AE357C"/>
    <w:rsid w:val="00B07301"/>
    <w:rsid w:val="00B14750"/>
    <w:rsid w:val="00B16331"/>
    <w:rsid w:val="00B224DE"/>
    <w:rsid w:val="00B31446"/>
    <w:rsid w:val="00B324D4"/>
    <w:rsid w:val="00B33B4A"/>
    <w:rsid w:val="00B46575"/>
    <w:rsid w:val="00B60B59"/>
    <w:rsid w:val="00B6349E"/>
    <w:rsid w:val="00B84BBD"/>
    <w:rsid w:val="00B91AB3"/>
    <w:rsid w:val="00BA3E3C"/>
    <w:rsid w:val="00BA43FB"/>
    <w:rsid w:val="00BB0C3B"/>
    <w:rsid w:val="00BC127D"/>
    <w:rsid w:val="00BC1FE6"/>
    <w:rsid w:val="00BE17BD"/>
    <w:rsid w:val="00BE4987"/>
    <w:rsid w:val="00BF1A76"/>
    <w:rsid w:val="00BF1DA6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2D6E"/>
    <w:rsid w:val="00CA304C"/>
    <w:rsid w:val="00CA582A"/>
    <w:rsid w:val="00CA774A"/>
    <w:rsid w:val="00CC11B0"/>
    <w:rsid w:val="00CC3E5A"/>
    <w:rsid w:val="00CD2FC0"/>
    <w:rsid w:val="00CF4AF9"/>
    <w:rsid w:val="00CF7E36"/>
    <w:rsid w:val="00D107D9"/>
    <w:rsid w:val="00D362D4"/>
    <w:rsid w:val="00D3708D"/>
    <w:rsid w:val="00D40426"/>
    <w:rsid w:val="00D45EBA"/>
    <w:rsid w:val="00D57C96"/>
    <w:rsid w:val="00D91203"/>
    <w:rsid w:val="00D95174"/>
    <w:rsid w:val="00DA6F36"/>
    <w:rsid w:val="00DB2525"/>
    <w:rsid w:val="00DB596E"/>
    <w:rsid w:val="00DB7773"/>
    <w:rsid w:val="00DC00EA"/>
    <w:rsid w:val="00DF5ED0"/>
    <w:rsid w:val="00E14944"/>
    <w:rsid w:val="00E1651D"/>
    <w:rsid w:val="00E32B2C"/>
    <w:rsid w:val="00E32F7E"/>
    <w:rsid w:val="00E364D5"/>
    <w:rsid w:val="00E45A06"/>
    <w:rsid w:val="00E543E8"/>
    <w:rsid w:val="00E62F80"/>
    <w:rsid w:val="00E72D49"/>
    <w:rsid w:val="00E7593C"/>
    <w:rsid w:val="00E7678A"/>
    <w:rsid w:val="00E81C94"/>
    <w:rsid w:val="00E935F1"/>
    <w:rsid w:val="00E94A81"/>
    <w:rsid w:val="00EA1FFB"/>
    <w:rsid w:val="00EA5E5D"/>
    <w:rsid w:val="00EB048E"/>
    <w:rsid w:val="00EC244C"/>
    <w:rsid w:val="00ED0F23"/>
    <w:rsid w:val="00ED16C7"/>
    <w:rsid w:val="00EE34DF"/>
    <w:rsid w:val="00EE7225"/>
    <w:rsid w:val="00EF2F89"/>
    <w:rsid w:val="00F1237A"/>
    <w:rsid w:val="00F22CBD"/>
    <w:rsid w:val="00F27769"/>
    <w:rsid w:val="00F45372"/>
    <w:rsid w:val="00F50A13"/>
    <w:rsid w:val="00F560F7"/>
    <w:rsid w:val="00F6334D"/>
    <w:rsid w:val="00F71627"/>
    <w:rsid w:val="00F73DA1"/>
    <w:rsid w:val="00F82A65"/>
    <w:rsid w:val="00FA49AB"/>
    <w:rsid w:val="00FB1A86"/>
    <w:rsid w:val="00FD5047"/>
    <w:rsid w:val="00FD7BB9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0F039B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B6349E"/>
    <w:pPr>
      <w:keepNext/>
      <w:jc w:val="both"/>
      <w:outlineLvl w:val="2"/>
    </w:pPr>
    <w:rPr>
      <w:rFonts w:ascii="Arial" w:hAnsi="Arial"/>
      <w:i/>
      <w:color w:val="008000"/>
      <w:lang w:val="fr-FR"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28091E"/>
    <w:pPr>
      <w:jc w:val="right"/>
    </w:pPr>
    <w:rPr>
      <w:rFonts w:ascii="Arial" w:hAnsi="Arial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641CCF"/>
    <w:pPr>
      <w:tabs>
        <w:tab w:val="right" w:leader="dot" w:pos="9639"/>
      </w:tabs>
      <w:ind w:right="851"/>
      <w:contextualSpacing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0F039B"/>
    <w:rPr>
      <w:rFonts w:ascii="Arial" w:hAnsi="Arial"/>
      <w:u w:val="single"/>
    </w:rPr>
  </w:style>
  <w:style w:type="character" w:customStyle="1" w:styleId="DecisionParagraphsChar">
    <w:name w:val="DecisionParagraphs Char"/>
    <w:basedOn w:val="DefaultParagraphFont"/>
    <w:link w:val="DecisionParagraphs"/>
    <w:rsid w:val="00BF1A76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BF1A76"/>
    <w:pPr>
      <w:ind w:left="720"/>
      <w:contextualSpacing/>
    </w:pPr>
  </w:style>
  <w:style w:type="paragraph" w:customStyle="1" w:styleId="Style1">
    <w:name w:val="Style1"/>
    <w:basedOn w:val="Normal"/>
    <w:rsid w:val="00BF1A76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0F039B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B6349E"/>
    <w:pPr>
      <w:keepNext/>
      <w:jc w:val="both"/>
      <w:outlineLvl w:val="2"/>
    </w:pPr>
    <w:rPr>
      <w:rFonts w:ascii="Arial" w:hAnsi="Arial"/>
      <w:i/>
      <w:color w:val="008000"/>
      <w:lang w:val="fr-FR"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28091E"/>
    <w:pPr>
      <w:jc w:val="right"/>
    </w:pPr>
    <w:rPr>
      <w:rFonts w:ascii="Arial" w:hAnsi="Arial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641CCF"/>
    <w:pPr>
      <w:tabs>
        <w:tab w:val="right" w:leader="dot" w:pos="9639"/>
      </w:tabs>
      <w:ind w:right="851"/>
      <w:contextualSpacing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0F039B"/>
    <w:rPr>
      <w:rFonts w:ascii="Arial" w:hAnsi="Arial"/>
      <w:u w:val="single"/>
    </w:rPr>
  </w:style>
  <w:style w:type="character" w:customStyle="1" w:styleId="DecisionParagraphsChar">
    <w:name w:val="DecisionParagraphs Char"/>
    <w:basedOn w:val="DefaultParagraphFont"/>
    <w:link w:val="DecisionParagraphs"/>
    <w:rsid w:val="00BF1A76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BF1A76"/>
    <w:pPr>
      <w:ind w:left="720"/>
      <w:contextualSpacing/>
    </w:pPr>
  </w:style>
  <w:style w:type="paragraph" w:customStyle="1" w:styleId="Style1">
    <w:name w:val="Style1"/>
    <w:basedOn w:val="Normal"/>
    <w:rsid w:val="00BF1A76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21F17-00B7-4323-87B8-6BE472CA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2262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15791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PASIEKA Allie</dc:creator>
  <cp:keywords>MHF/DB/mhf</cp:keywords>
  <cp:lastModifiedBy>LONG Victoria</cp:lastModifiedBy>
  <cp:revision>50</cp:revision>
  <cp:lastPrinted>2015-02-11T13:58:00Z</cp:lastPrinted>
  <dcterms:created xsi:type="dcterms:W3CDTF">2015-02-09T09:55:00Z</dcterms:created>
  <dcterms:modified xsi:type="dcterms:W3CDTF">2015-02-11T13:58:00Z</dcterms:modified>
</cp:coreProperties>
</file>