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23E7D" w:rsidRPr="00462C97" w:rsidTr="004A7D9D">
        <w:trPr>
          <w:trHeight w:val="1760"/>
        </w:trPr>
        <w:tc>
          <w:tcPr>
            <w:tcW w:w="4243" w:type="dxa"/>
          </w:tcPr>
          <w:p w:rsidR="00023E7D" w:rsidRPr="005B6B82" w:rsidRDefault="00023E7D" w:rsidP="004802F4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023E7D" w:rsidRPr="005B6B82" w:rsidRDefault="00023E7D" w:rsidP="004802F4">
            <w:pPr>
              <w:pStyle w:val="LogoUPOV"/>
              <w:rPr>
                <w:lang w:val="fr-FR"/>
              </w:rPr>
            </w:pPr>
            <w:r w:rsidRPr="005B6B82">
              <w:rPr>
                <w:noProof/>
              </w:rPr>
              <w:drawing>
                <wp:inline distT="0" distB="0" distL="0" distR="0" wp14:anchorId="3D388082" wp14:editId="3BA6C1E2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23E7D" w:rsidRPr="005B6B82" w:rsidRDefault="00023E7D" w:rsidP="004802F4">
            <w:pPr>
              <w:pStyle w:val="Lettrine"/>
              <w:spacing w:line="240" w:lineRule="auto"/>
              <w:rPr>
                <w:lang w:val="fr-FR"/>
              </w:rPr>
            </w:pPr>
            <w:r w:rsidRPr="005B6B82">
              <w:rPr>
                <w:lang w:val="fr-FR"/>
              </w:rPr>
              <w:t>F</w:t>
            </w:r>
          </w:p>
          <w:p w:rsidR="00023E7D" w:rsidRPr="005B6B82" w:rsidRDefault="00023E7D" w:rsidP="004802F4">
            <w:pPr>
              <w:pStyle w:val="Docoriginal"/>
              <w:spacing w:line="240" w:lineRule="auto"/>
              <w:rPr>
                <w:lang w:val="fr-FR"/>
              </w:rPr>
            </w:pPr>
            <w:r w:rsidRPr="005B6B82">
              <w:rPr>
                <w:lang w:val="fr-FR"/>
              </w:rPr>
              <w:t>TC/51/</w:t>
            </w:r>
            <w:bookmarkStart w:id="0" w:name="Code"/>
            <w:bookmarkEnd w:id="0"/>
            <w:r w:rsidR="004A7D9D" w:rsidRPr="005B6B82">
              <w:rPr>
                <w:lang w:val="fr-FR"/>
              </w:rPr>
              <w:t>24</w:t>
            </w:r>
          </w:p>
          <w:p w:rsidR="00023E7D" w:rsidRPr="005B6B82" w:rsidRDefault="00023E7D" w:rsidP="004802F4">
            <w:pPr>
              <w:pStyle w:val="Docoriginal"/>
              <w:spacing w:line="240" w:lineRule="auto"/>
              <w:rPr>
                <w:b w:val="0"/>
                <w:spacing w:val="0"/>
                <w:lang w:val="fr-FR"/>
              </w:rPr>
            </w:pPr>
            <w:r w:rsidRPr="005B6B82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9307C6" w:rsidRPr="005B6B82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5B6B82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5B6B82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5B6B82">
              <w:rPr>
                <w:b w:val="0"/>
                <w:spacing w:val="0"/>
                <w:lang w:val="fr-FR"/>
              </w:rPr>
              <w:t>anglais</w:t>
            </w:r>
          </w:p>
          <w:p w:rsidR="00023E7D" w:rsidRPr="005B6B82" w:rsidRDefault="00023E7D" w:rsidP="00462C97">
            <w:pPr>
              <w:pStyle w:val="Docoriginal"/>
              <w:spacing w:line="240" w:lineRule="auto"/>
              <w:rPr>
                <w:lang w:val="fr-FR"/>
              </w:rPr>
            </w:pPr>
            <w:r w:rsidRPr="005B6B82">
              <w:rPr>
                <w:spacing w:val="0"/>
                <w:lang w:val="fr-FR"/>
              </w:rPr>
              <w:t>DATE</w:t>
            </w:r>
            <w:r w:rsidR="009307C6" w:rsidRPr="005B6B82">
              <w:rPr>
                <w:spacing w:val="0"/>
                <w:lang w:val="fr-FR"/>
              </w:rPr>
              <w:t> </w:t>
            </w:r>
            <w:r w:rsidRPr="005B6B82">
              <w:rPr>
                <w:spacing w:val="0"/>
                <w:lang w:val="fr-FR"/>
              </w:rPr>
              <w:t>:</w:t>
            </w:r>
            <w:bookmarkStart w:id="2" w:name="Date"/>
            <w:bookmarkEnd w:id="2"/>
            <w:r w:rsidR="004A7D9D" w:rsidRPr="005B6B82">
              <w:rPr>
                <w:rStyle w:val="StyleDocoriginalNotBold1"/>
                <w:spacing w:val="0"/>
                <w:lang w:val="fr-FR"/>
              </w:rPr>
              <w:t xml:space="preserve"> </w:t>
            </w:r>
            <w:r w:rsidR="00462C97" w:rsidRPr="00462C97">
              <w:rPr>
                <w:b w:val="0"/>
                <w:spacing w:val="0"/>
                <w:lang w:val="fr-FR"/>
              </w:rPr>
              <w:t>1 février</w:t>
            </w:r>
            <w:r w:rsidR="004A7D9D" w:rsidRPr="00462C97">
              <w:rPr>
                <w:b w:val="0"/>
                <w:spacing w:val="0"/>
                <w:lang w:val="fr-FR"/>
              </w:rPr>
              <w:t> </w:t>
            </w:r>
            <w:r w:rsidRPr="00462C97">
              <w:rPr>
                <w:b w:val="0"/>
                <w:spacing w:val="0"/>
                <w:lang w:val="fr-FR"/>
              </w:rPr>
              <w:t>2015</w:t>
            </w:r>
          </w:p>
        </w:tc>
      </w:tr>
      <w:tr w:rsidR="00023E7D" w:rsidRPr="008155B3" w:rsidTr="004A7D9D">
        <w:tc>
          <w:tcPr>
            <w:tcW w:w="10131" w:type="dxa"/>
            <w:gridSpan w:val="3"/>
          </w:tcPr>
          <w:p w:rsidR="00023E7D" w:rsidRPr="005B6B82" w:rsidRDefault="00023E7D" w:rsidP="004802F4">
            <w:pPr>
              <w:pStyle w:val="upove"/>
              <w:rPr>
                <w:sz w:val="28"/>
                <w:lang w:val="fr-FR"/>
              </w:rPr>
            </w:pPr>
            <w:r w:rsidRPr="005B6B82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023E7D" w:rsidRPr="005B6B82" w:rsidTr="004A7D9D">
        <w:tc>
          <w:tcPr>
            <w:tcW w:w="10131" w:type="dxa"/>
            <w:gridSpan w:val="3"/>
          </w:tcPr>
          <w:p w:rsidR="00023E7D" w:rsidRPr="005B6B82" w:rsidRDefault="00023E7D" w:rsidP="004802F4">
            <w:pPr>
              <w:pStyle w:val="Country"/>
              <w:rPr>
                <w:lang w:val="fr-FR"/>
              </w:rPr>
            </w:pPr>
            <w:r w:rsidRPr="005B6B82">
              <w:rPr>
                <w:lang w:val="fr-FR"/>
              </w:rPr>
              <w:t>Genève</w:t>
            </w:r>
          </w:p>
        </w:tc>
      </w:tr>
    </w:tbl>
    <w:p w:rsidR="00023E7D" w:rsidRPr="005B6B82" w:rsidRDefault="00023E7D" w:rsidP="004802F4">
      <w:pPr>
        <w:pStyle w:val="Sessiontc"/>
        <w:rPr>
          <w:lang w:val="fr-FR"/>
        </w:rPr>
      </w:pPr>
      <w:r w:rsidRPr="005B6B82">
        <w:rPr>
          <w:lang w:val="fr-FR"/>
        </w:rPr>
        <w:t>Comité TECHNIQUE</w:t>
      </w:r>
    </w:p>
    <w:p w:rsidR="00023E7D" w:rsidRPr="005B6B82" w:rsidRDefault="00023E7D" w:rsidP="004802F4">
      <w:pPr>
        <w:pStyle w:val="Sessiontcplacedate"/>
        <w:rPr>
          <w:lang w:val="fr-FR"/>
        </w:rPr>
      </w:pPr>
      <w:r w:rsidRPr="005B6B82">
        <w:rPr>
          <w:lang w:val="fr-FR"/>
        </w:rPr>
        <w:t>Cinquante</w:t>
      </w:r>
      <w:r w:rsidR="004A7D9D" w:rsidRPr="005B6B82">
        <w:rPr>
          <w:lang w:val="fr-FR"/>
        </w:rPr>
        <w:t> </w:t>
      </w:r>
      <w:r w:rsidRPr="005B6B82">
        <w:rPr>
          <w:lang w:val="fr-FR"/>
        </w:rPr>
        <w:t>et</w:t>
      </w:r>
      <w:r w:rsidR="004A7D9D" w:rsidRPr="005B6B82">
        <w:rPr>
          <w:lang w:val="fr-FR"/>
        </w:rPr>
        <w:t> </w:t>
      </w:r>
      <w:r w:rsidRPr="005B6B82">
        <w:rPr>
          <w:lang w:val="fr-FR"/>
        </w:rPr>
        <w:t>unième</w:t>
      </w:r>
      <w:r w:rsidR="009307C6" w:rsidRPr="005B6B82">
        <w:rPr>
          <w:lang w:val="fr-FR"/>
        </w:rPr>
        <w:t> </w:t>
      </w:r>
      <w:r w:rsidRPr="005B6B82">
        <w:rPr>
          <w:lang w:val="fr-FR"/>
        </w:rPr>
        <w:t xml:space="preserve">session </w:t>
      </w:r>
      <w:r w:rsidRPr="005B6B82">
        <w:rPr>
          <w:lang w:val="fr-FR"/>
        </w:rPr>
        <w:br/>
        <w:t>Genève, 23</w:t>
      </w:r>
      <w:r w:rsidR="00462C97">
        <w:rPr>
          <w:lang w:val="fr-FR"/>
        </w:rPr>
        <w:t>–</w:t>
      </w:r>
      <w:r w:rsidRPr="005B6B82">
        <w:rPr>
          <w:lang w:val="fr-FR"/>
        </w:rPr>
        <w:t>2</w:t>
      </w:r>
      <w:r w:rsidR="004F302C" w:rsidRPr="005B6B82">
        <w:rPr>
          <w:lang w:val="fr-FR"/>
        </w:rPr>
        <w:t>5 mars 20</w:t>
      </w:r>
      <w:r w:rsidRPr="005B6B82">
        <w:rPr>
          <w:lang w:val="fr-FR"/>
        </w:rPr>
        <w:t>15</w:t>
      </w:r>
    </w:p>
    <w:p w:rsidR="007A701A" w:rsidRPr="005B6B82" w:rsidRDefault="004A7D9D" w:rsidP="004802F4">
      <w:pPr>
        <w:pStyle w:val="Titleofdoc0"/>
        <w:rPr>
          <w:lang w:val="fr-FR"/>
        </w:rPr>
      </w:pPr>
      <w:r w:rsidRPr="005B6B82">
        <w:rPr>
          <w:lang w:val="fr-FR"/>
        </w:rPr>
        <w:t>Ré</w:t>
      </w:r>
      <w:r w:rsidR="00BA47C9" w:rsidRPr="005B6B82">
        <w:rPr>
          <w:lang w:val="fr-FR"/>
        </w:rPr>
        <w:t xml:space="preserve">vision </w:t>
      </w:r>
      <w:r w:rsidRPr="005B6B82">
        <w:rPr>
          <w:lang w:val="fr-FR"/>
        </w:rPr>
        <w:t>du</w:t>
      </w:r>
      <w:r w:rsidR="00BA47C9" w:rsidRPr="005B6B82">
        <w:rPr>
          <w:lang w:val="fr-FR"/>
        </w:rPr>
        <w:t xml:space="preserve"> document TGP/10</w:t>
      </w:r>
      <w:r w:rsidR="00216193" w:rsidRPr="005B6B82">
        <w:rPr>
          <w:lang w:val="fr-FR"/>
        </w:rPr>
        <w:t> :</w:t>
      </w:r>
      <w:r w:rsidR="00BA47C9" w:rsidRPr="005B6B82">
        <w:rPr>
          <w:lang w:val="fr-FR"/>
        </w:rPr>
        <w:t xml:space="preserve"> </w:t>
      </w:r>
      <w:r w:rsidR="00216193" w:rsidRPr="005B6B82">
        <w:rPr>
          <w:lang w:val="fr-FR"/>
        </w:rPr>
        <w:t>nouvelle section : évaluation de l</w:t>
      </w:r>
      <w:r w:rsidR="004F302C" w:rsidRPr="005B6B82">
        <w:rPr>
          <w:lang w:val="fr-FR"/>
        </w:rPr>
        <w:t>’</w:t>
      </w:r>
      <w:r w:rsidR="00216193" w:rsidRPr="005B6B82">
        <w:rPr>
          <w:lang w:val="fr-FR"/>
        </w:rPr>
        <w:t>homogénéité d</w:t>
      </w:r>
      <w:r w:rsidR="004F302C" w:rsidRPr="005B6B82">
        <w:rPr>
          <w:lang w:val="fr-FR"/>
        </w:rPr>
        <w:t>’</w:t>
      </w:r>
      <w:r w:rsidR="00216193" w:rsidRPr="005B6B82">
        <w:rPr>
          <w:lang w:val="fr-FR"/>
        </w:rPr>
        <w:t>après les plantes hors</w:t>
      </w:r>
      <w:r w:rsidR="001272D3" w:rsidRPr="005B6B82">
        <w:rPr>
          <w:lang w:val="fr-FR"/>
        </w:rPr>
        <w:noBreakHyphen/>
      </w:r>
      <w:r w:rsidR="00216193" w:rsidRPr="005B6B82">
        <w:rPr>
          <w:lang w:val="fr-FR"/>
        </w:rPr>
        <w:t>type sur la ba</w:t>
      </w:r>
      <w:r w:rsidR="004802F4">
        <w:rPr>
          <w:lang w:val="fr-FR"/>
        </w:rPr>
        <w:t>se de plusieurs échantillons ou </w:t>
      </w:r>
      <w:r w:rsidR="00216193" w:rsidRPr="005B6B82">
        <w:rPr>
          <w:lang w:val="fr-FR"/>
        </w:rPr>
        <w:t>sous</w:t>
      </w:r>
      <w:r w:rsidR="001272D3" w:rsidRPr="005B6B82">
        <w:rPr>
          <w:lang w:val="fr-FR"/>
        </w:rPr>
        <w:noBreakHyphen/>
      </w:r>
      <w:r w:rsidR="00216193" w:rsidRPr="005B6B82">
        <w:rPr>
          <w:lang w:val="fr-FR"/>
        </w:rPr>
        <w:t>échantillons</w:t>
      </w:r>
    </w:p>
    <w:p w:rsidR="007A701A" w:rsidRPr="005B6B82" w:rsidRDefault="00023E7D" w:rsidP="004802F4">
      <w:pPr>
        <w:pStyle w:val="preparedby1"/>
        <w:rPr>
          <w:lang w:val="fr-FR"/>
        </w:rPr>
      </w:pPr>
      <w:bookmarkStart w:id="3" w:name="Prepared"/>
      <w:bookmarkEnd w:id="3"/>
      <w:r w:rsidRPr="005B6B82">
        <w:rPr>
          <w:lang w:val="fr-FR"/>
        </w:rPr>
        <w:t>Document établi par le Bureau de l</w:t>
      </w:r>
      <w:r w:rsidR="004F302C" w:rsidRPr="005B6B82">
        <w:rPr>
          <w:lang w:val="fr-FR"/>
        </w:rPr>
        <w:t>’</w:t>
      </w:r>
      <w:r w:rsidRPr="005B6B82">
        <w:rPr>
          <w:lang w:val="fr-FR"/>
        </w:rPr>
        <w:t>Union</w:t>
      </w:r>
      <w:r w:rsidRPr="005B6B82">
        <w:rPr>
          <w:lang w:val="fr-FR"/>
        </w:rPr>
        <w:br/>
      </w:r>
      <w:r w:rsidRPr="005B6B82">
        <w:rPr>
          <w:lang w:val="fr-FR"/>
        </w:rPr>
        <w:br/>
      </w:r>
      <w:r w:rsidRPr="005B6B82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4F302C" w:rsidRPr="005B6B82">
        <w:rPr>
          <w:color w:val="A6A6A6" w:themeColor="background1" w:themeShade="A6"/>
          <w:lang w:val="fr-FR"/>
        </w:rPr>
        <w:t>’</w:t>
      </w:r>
      <w:r w:rsidRPr="005B6B82">
        <w:rPr>
          <w:color w:val="A6A6A6" w:themeColor="background1" w:themeShade="A6"/>
          <w:lang w:val="fr-FR"/>
        </w:rPr>
        <w:t>UPOV</w:t>
      </w:r>
    </w:p>
    <w:p w:rsidR="004F302C" w:rsidRPr="004802F4" w:rsidRDefault="003F7E71" w:rsidP="004802F4">
      <w:pPr>
        <w:autoSpaceDE w:val="0"/>
        <w:autoSpaceDN w:val="0"/>
        <w:adjustRightInd w:val="0"/>
        <w:rPr>
          <w:rFonts w:eastAsia="MS Mincho"/>
          <w:szCs w:val="24"/>
          <w:lang w:val="fr-FR" w:eastAsia="ja-JP"/>
        </w:rPr>
      </w:pPr>
      <w:r w:rsidRPr="005B6B82">
        <w:rPr>
          <w:szCs w:val="24"/>
          <w:lang w:val="fr-FR"/>
        </w:rPr>
        <w:fldChar w:fldCharType="begin"/>
      </w:r>
      <w:r w:rsidRPr="005B6B82">
        <w:rPr>
          <w:szCs w:val="24"/>
          <w:lang w:val="fr-FR"/>
        </w:rPr>
        <w:instrText xml:space="preserve"> AUTONUM  </w:instrText>
      </w:r>
      <w:r w:rsidRPr="005B6B82">
        <w:rPr>
          <w:szCs w:val="24"/>
          <w:lang w:val="fr-FR"/>
        </w:rPr>
        <w:fldChar w:fldCharType="end"/>
      </w:r>
      <w:r w:rsidRPr="005B6B82">
        <w:rPr>
          <w:szCs w:val="24"/>
          <w:lang w:val="fr-FR"/>
        </w:rPr>
        <w:tab/>
      </w:r>
      <w:r w:rsidR="00216193" w:rsidRPr="004802F4">
        <w:rPr>
          <w:szCs w:val="24"/>
          <w:lang w:val="fr-FR"/>
        </w:rPr>
        <w:t xml:space="preserve">Le présent document a pour objet de présenter une proposition de révision du </w:t>
      </w:r>
      <w:r w:rsidRPr="004802F4">
        <w:rPr>
          <w:rFonts w:eastAsia="MS Mincho"/>
          <w:szCs w:val="24"/>
          <w:lang w:val="fr-FR" w:eastAsia="ja-JP"/>
        </w:rPr>
        <w:t>document TGP/10 “Exam</w:t>
      </w:r>
      <w:r w:rsidR="00216193" w:rsidRPr="004802F4">
        <w:rPr>
          <w:rFonts w:eastAsia="MS Mincho"/>
          <w:szCs w:val="24"/>
          <w:lang w:val="fr-FR" w:eastAsia="ja-JP"/>
        </w:rPr>
        <w:t>en de l</w:t>
      </w:r>
      <w:r w:rsidR="004F302C" w:rsidRPr="004802F4">
        <w:rPr>
          <w:rFonts w:eastAsia="MS Mincho"/>
          <w:szCs w:val="24"/>
          <w:lang w:val="fr-FR" w:eastAsia="ja-JP"/>
        </w:rPr>
        <w:t>’</w:t>
      </w:r>
      <w:r w:rsidR="00216193" w:rsidRPr="004802F4">
        <w:rPr>
          <w:rFonts w:eastAsia="MS Mincho"/>
          <w:szCs w:val="24"/>
          <w:lang w:val="fr-FR" w:eastAsia="ja-JP"/>
        </w:rPr>
        <w:t>homogénéité</w:t>
      </w:r>
      <w:r w:rsidRPr="004802F4">
        <w:rPr>
          <w:rFonts w:eastAsia="MS Mincho"/>
          <w:szCs w:val="24"/>
          <w:lang w:val="fr-FR" w:eastAsia="ja-JP"/>
        </w:rPr>
        <w:t xml:space="preserve">” </w:t>
      </w:r>
      <w:r w:rsidR="00216193" w:rsidRPr="004802F4">
        <w:rPr>
          <w:rFonts w:eastAsia="MS Mincho"/>
          <w:szCs w:val="24"/>
          <w:lang w:val="fr-FR" w:eastAsia="ja-JP"/>
        </w:rPr>
        <w:t xml:space="preserve">afin de donner des </w:t>
      </w:r>
      <w:r w:rsidR="001D6242" w:rsidRPr="004802F4">
        <w:rPr>
          <w:rFonts w:eastAsia="MS Mincho"/>
          <w:szCs w:val="24"/>
          <w:lang w:val="fr-FR" w:eastAsia="ja-JP"/>
        </w:rPr>
        <w:t>orientations</w:t>
      </w:r>
      <w:r w:rsidR="00216193" w:rsidRPr="004802F4">
        <w:rPr>
          <w:rFonts w:eastAsia="MS Mincho"/>
          <w:szCs w:val="24"/>
          <w:lang w:val="fr-FR" w:eastAsia="ja-JP"/>
        </w:rPr>
        <w:t xml:space="preserve"> sur l</w:t>
      </w:r>
      <w:r w:rsidR="004F302C" w:rsidRPr="004802F4">
        <w:rPr>
          <w:rFonts w:eastAsia="MS Mincho"/>
          <w:szCs w:val="24"/>
          <w:lang w:val="fr-FR" w:eastAsia="ja-JP"/>
        </w:rPr>
        <w:t>’</w:t>
      </w:r>
      <w:r w:rsidR="00216193" w:rsidRPr="004802F4">
        <w:rPr>
          <w:rFonts w:eastAsia="MS Mincho"/>
          <w:szCs w:val="24"/>
          <w:lang w:val="fr-FR" w:eastAsia="ja-JP"/>
        </w:rPr>
        <w:t>évaluation de l</w:t>
      </w:r>
      <w:r w:rsidR="004F302C" w:rsidRPr="004802F4">
        <w:rPr>
          <w:rFonts w:eastAsia="MS Mincho"/>
          <w:szCs w:val="24"/>
          <w:lang w:val="fr-FR" w:eastAsia="ja-JP"/>
        </w:rPr>
        <w:t>’</w:t>
      </w:r>
      <w:r w:rsidR="00216193" w:rsidRPr="004802F4">
        <w:rPr>
          <w:rFonts w:eastAsia="MS Mincho"/>
          <w:szCs w:val="24"/>
          <w:lang w:val="fr-FR" w:eastAsia="ja-JP"/>
        </w:rPr>
        <w:t>homogénéité d</w:t>
      </w:r>
      <w:r w:rsidR="004F302C" w:rsidRPr="004802F4">
        <w:rPr>
          <w:rFonts w:eastAsia="MS Mincho"/>
          <w:szCs w:val="24"/>
          <w:lang w:val="fr-FR" w:eastAsia="ja-JP"/>
        </w:rPr>
        <w:t>’</w:t>
      </w:r>
      <w:r w:rsidR="00216193" w:rsidRPr="004802F4">
        <w:rPr>
          <w:rFonts w:eastAsia="MS Mincho"/>
          <w:szCs w:val="24"/>
          <w:lang w:val="fr-FR" w:eastAsia="ja-JP"/>
        </w:rPr>
        <w:t>après les</w:t>
      </w:r>
      <w:r w:rsidR="00A31842">
        <w:rPr>
          <w:rFonts w:eastAsia="MS Mincho"/>
          <w:szCs w:val="24"/>
          <w:lang w:val="fr-FR" w:eastAsia="ja-JP"/>
        </w:rPr>
        <w:t> </w:t>
      </w:r>
      <w:r w:rsidR="00216193" w:rsidRPr="004802F4">
        <w:rPr>
          <w:rFonts w:eastAsia="MS Mincho"/>
          <w:szCs w:val="24"/>
          <w:lang w:val="fr-FR" w:eastAsia="ja-JP"/>
        </w:rPr>
        <w:t xml:space="preserve">plantes </w:t>
      </w:r>
      <w:r w:rsidR="00707A69" w:rsidRPr="004802F4">
        <w:rPr>
          <w:rFonts w:eastAsia="MS Mincho"/>
          <w:szCs w:val="24"/>
          <w:lang w:val="fr-FR" w:eastAsia="ja-JP"/>
        </w:rPr>
        <w:t>hors-type</w:t>
      </w:r>
      <w:r w:rsidR="00216193" w:rsidRPr="004802F4">
        <w:rPr>
          <w:rFonts w:eastAsia="MS Mincho"/>
          <w:szCs w:val="24"/>
          <w:lang w:val="fr-FR" w:eastAsia="ja-JP"/>
        </w:rPr>
        <w:t xml:space="preserve"> sur la base de plusieurs échantillons ou sous</w:t>
      </w:r>
      <w:r w:rsidR="001272D3" w:rsidRPr="004802F4">
        <w:rPr>
          <w:rFonts w:eastAsia="MS Mincho"/>
          <w:szCs w:val="24"/>
          <w:lang w:val="fr-FR" w:eastAsia="ja-JP"/>
        </w:rPr>
        <w:noBreakHyphen/>
      </w:r>
      <w:r w:rsidR="00216193" w:rsidRPr="004802F4">
        <w:rPr>
          <w:rFonts w:eastAsia="MS Mincho"/>
          <w:szCs w:val="24"/>
          <w:lang w:val="fr-FR" w:eastAsia="ja-JP"/>
        </w:rPr>
        <w:t>échantillons</w:t>
      </w:r>
      <w:r w:rsidRPr="004802F4">
        <w:rPr>
          <w:rFonts w:eastAsia="MS Mincho"/>
          <w:szCs w:val="24"/>
          <w:lang w:val="fr-FR" w:eastAsia="ja-JP"/>
        </w:rPr>
        <w:t>.</w:t>
      </w:r>
    </w:p>
    <w:p w:rsidR="007A701A" w:rsidRPr="004802F4" w:rsidRDefault="007A701A" w:rsidP="004802F4">
      <w:pPr>
        <w:autoSpaceDE w:val="0"/>
        <w:autoSpaceDN w:val="0"/>
        <w:adjustRightInd w:val="0"/>
        <w:rPr>
          <w:rFonts w:eastAsia="MS Mincho"/>
          <w:szCs w:val="24"/>
          <w:lang w:val="fr-FR" w:eastAsia="ja-JP"/>
        </w:rPr>
      </w:pPr>
    </w:p>
    <w:p w:rsidR="007A701A" w:rsidRPr="004802F4" w:rsidRDefault="003F7E71" w:rsidP="004802F4">
      <w:pPr>
        <w:rPr>
          <w:rFonts w:cs="Arial"/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7A701A" w:rsidRPr="004802F4">
        <w:rPr>
          <w:lang w:val="fr-FR"/>
        </w:rPr>
        <w:t>Les abréviations ci</w:t>
      </w:r>
      <w:r w:rsidR="001272D3" w:rsidRPr="004802F4">
        <w:rPr>
          <w:lang w:val="fr-FR"/>
        </w:rPr>
        <w:noBreakHyphen/>
      </w:r>
      <w:r w:rsidR="007A701A" w:rsidRPr="004802F4">
        <w:rPr>
          <w:lang w:val="fr-FR"/>
        </w:rPr>
        <w:t>après sont utilisées dans le présent document :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7A701A" w:rsidRPr="004802F4" w:rsidRDefault="003F7E71" w:rsidP="004802F4">
      <w:pPr>
        <w:rPr>
          <w:rFonts w:cs="Arial"/>
          <w:lang w:val="fr-FR"/>
        </w:rPr>
      </w:pPr>
      <w:r w:rsidRPr="004802F4">
        <w:rPr>
          <w:rFonts w:cs="Arial"/>
          <w:lang w:val="fr-FR"/>
        </w:rPr>
        <w:tab/>
      </w:r>
      <w:r w:rsidR="007A701A" w:rsidRPr="004802F4">
        <w:rPr>
          <w:rFonts w:cs="Arial"/>
          <w:lang w:val="fr-FR"/>
        </w:rPr>
        <w:t>TC</w:t>
      </w:r>
      <w:r w:rsidR="009307C6" w:rsidRPr="004802F4">
        <w:rPr>
          <w:rFonts w:cs="Arial"/>
          <w:lang w:val="fr-FR"/>
        </w:rPr>
        <w:t> :</w:t>
      </w:r>
      <w:r w:rsidR="007A701A" w:rsidRPr="004802F4">
        <w:rPr>
          <w:rFonts w:cs="Arial"/>
          <w:lang w:val="fr-FR"/>
        </w:rPr>
        <w:t xml:space="preserve"> </w:t>
      </w:r>
      <w:r w:rsidR="004A7D9D" w:rsidRPr="004802F4">
        <w:rPr>
          <w:rFonts w:cs="Arial"/>
          <w:lang w:val="fr-FR"/>
        </w:rPr>
        <w:tab/>
      </w:r>
      <w:r w:rsidR="004A7D9D" w:rsidRPr="004802F4">
        <w:rPr>
          <w:rFonts w:cs="Arial"/>
          <w:lang w:val="fr-FR"/>
        </w:rPr>
        <w:tab/>
      </w:r>
      <w:r w:rsidR="007A701A" w:rsidRPr="004802F4">
        <w:rPr>
          <w:rFonts w:cs="Arial"/>
          <w:lang w:val="fr-FR"/>
        </w:rPr>
        <w:t>Comité technique</w:t>
      </w:r>
    </w:p>
    <w:p w:rsidR="007A701A" w:rsidRPr="004802F4" w:rsidRDefault="003F7E71" w:rsidP="004802F4">
      <w:pPr>
        <w:rPr>
          <w:rFonts w:eastAsia="PMingLiU" w:cs="Arial"/>
          <w:szCs w:val="24"/>
          <w:lang w:val="fr-FR"/>
        </w:rPr>
      </w:pPr>
      <w:r w:rsidRPr="004802F4">
        <w:rPr>
          <w:rFonts w:eastAsia="PMingLiU" w:cs="Arial"/>
          <w:szCs w:val="24"/>
          <w:lang w:val="fr-FR"/>
        </w:rPr>
        <w:tab/>
      </w:r>
      <w:r w:rsidR="007A701A" w:rsidRPr="004802F4">
        <w:rPr>
          <w:rFonts w:eastAsia="PMingLiU" w:cs="Arial"/>
          <w:szCs w:val="24"/>
          <w:lang w:val="fr-FR"/>
        </w:rPr>
        <w:t>TC</w:t>
      </w:r>
      <w:r w:rsidR="001272D3" w:rsidRPr="004802F4">
        <w:rPr>
          <w:rFonts w:eastAsia="PMingLiU" w:cs="Arial"/>
          <w:szCs w:val="24"/>
          <w:lang w:val="fr-FR"/>
        </w:rPr>
        <w:noBreakHyphen/>
      </w:r>
      <w:r w:rsidR="007A701A" w:rsidRPr="004802F4">
        <w:rPr>
          <w:rFonts w:eastAsia="PMingLiU" w:cs="Arial"/>
          <w:szCs w:val="24"/>
          <w:lang w:val="fr-FR"/>
        </w:rPr>
        <w:t>EDC</w:t>
      </w:r>
      <w:r w:rsidR="009307C6" w:rsidRPr="004802F4">
        <w:rPr>
          <w:rFonts w:eastAsia="PMingLiU" w:cs="Arial"/>
          <w:szCs w:val="24"/>
          <w:lang w:val="fr-FR"/>
        </w:rPr>
        <w:t xml:space="preserve"> : </w:t>
      </w:r>
      <w:r w:rsidR="004A7D9D" w:rsidRPr="004802F4">
        <w:rPr>
          <w:rFonts w:eastAsia="PMingLiU" w:cs="Arial"/>
          <w:szCs w:val="24"/>
          <w:lang w:val="fr-FR"/>
        </w:rPr>
        <w:tab/>
      </w:r>
      <w:r w:rsidR="007A701A" w:rsidRPr="004802F4">
        <w:rPr>
          <w:rFonts w:eastAsia="PMingLiU" w:cs="Arial"/>
          <w:szCs w:val="24"/>
          <w:lang w:val="fr-FR"/>
        </w:rPr>
        <w:t>Comité de rédaction élargi</w:t>
      </w:r>
    </w:p>
    <w:p w:rsidR="007A701A" w:rsidRPr="004802F4" w:rsidRDefault="003F7E71" w:rsidP="004802F4">
      <w:pPr>
        <w:rPr>
          <w:rFonts w:eastAsia="PMingLiU" w:cs="Arial"/>
          <w:szCs w:val="24"/>
          <w:lang w:val="fr-FR"/>
        </w:rPr>
      </w:pPr>
      <w:r w:rsidRPr="004802F4">
        <w:rPr>
          <w:rFonts w:eastAsia="PMingLiU" w:cs="Arial"/>
          <w:szCs w:val="24"/>
          <w:lang w:val="fr-FR"/>
        </w:rPr>
        <w:tab/>
      </w:r>
      <w:r w:rsidR="007A701A" w:rsidRPr="004802F4">
        <w:rPr>
          <w:rFonts w:eastAsia="PMingLiU" w:cs="Arial"/>
          <w:szCs w:val="24"/>
          <w:lang w:val="fr-FR"/>
        </w:rPr>
        <w:t>TWA</w:t>
      </w:r>
      <w:r w:rsidR="009307C6" w:rsidRPr="004802F4">
        <w:rPr>
          <w:rFonts w:eastAsia="PMingLiU" w:cs="Arial"/>
          <w:szCs w:val="24"/>
          <w:lang w:val="fr-FR"/>
        </w:rPr>
        <w:t> :</w:t>
      </w:r>
      <w:r w:rsidR="007A701A" w:rsidRPr="004802F4">
        <w:rPr>
          <w:rFonts w:eastAsia="PMingLiU" w:cs="Arial"/>
          <w:szCs w:val="24"/>
          <w:lang w:val="fr-FR"/>
        </w:rPr>
        <w:t xml:space="preserve"> </w:t>
      </w:r>
      <w:r w:rsidR="004A7D9D" w:rsidRPr="004802F4">
        <w:rPr>
          <w:rFonts w:eastAsia="PMingLiU" w:cs="Arial"/>
          <w:szCs w:val="24"/>
          <w:lang w:val="fr-FR"/>
        </w:rPr>
        <w:tab/>
      </w:r>
      <w:r w:rsidR="007A701A" w:rsidRPr="004802F4">
        <w:rPr>
          <w:rFonts w:eastAsia="PMingLiU" w:cs="Arial"/>
          <w:szCs w:val="24"/>
          <w:lang w:val="fr-FR"/>
        </w:rPr>
        <w:t>Groupe de travail technique sur les plantes agricoles</w:t>
      </w:r>
    </w:p>
    <w:p w:rsidR="007A701A" w:rsidRPr="004802F4" w:rsidRDefault="007A701A" w:rsidP="004802F4">
      <w:pPr>
        <w:ind w:left="1692" w:hanging="1125"/>
        <w:rPr>
          <w:rFonts w:eastAsia="PMingLiU" w:cs="Arial"/>
          <w:szCs w:val="24"/>
          <w:lang w:val="fr-FR"/>
        </w:rPr>
      </w:pPr>
      <w:r w:rsidRPr="004802F4">
        <w:rPr>
          <w:rFonts w:eastAsia="PMingLiU" w:cs="Arial"/>
          <w:szCs w:val="24"/>
          <w:lang w:val="fr-FR"/>
        </w:rPr>
        <w:t>TWC</w:t>
      </w:r>
      <w:r w:rsidR="009307C6" w:rsidRPr="004802F4">
        <w:rPr>
          <w:rFonts w:eastAsia="PMingLiU" w:cs="Arial"/>
          <w:szCs w:val="24"/>
          <w:lang w:val="fr-FR"/>
        </w:rPr>
        <w:t> :</w:t>
      </w:r>
      <w:r w:rsidRPr="004802F4">
        <w:rPr>
          <w:rFonts w:eastAsia="PMingLiU" w:cs="Arial"/>
          <w:szCs w:val="24"/>
          <w:lang w:val="fr-FR"/>
        </w:rPr>
        <w:t xml:space="preserve"> </w:t>
      </w:r>
      <w:r w:rsidR="004A7D9D" w:rsidRPr="004802F4">
        <w:rPr>
          <w:rFonts w:eastAsia="PMingLiU" w:cs="Arial"/>
          <w:szCs w:val="24"/>
          <w:lang w:val="fr-FR"/>
        </w:rPr>
        <w:tab/>
      </w:r>
      <w:r w:rsidRPr="004802F4">
        <w:rPr>
          <w:rFonts w:eastAsia="PMingLiU" w:cs="Arial"/>
          <w:szCs w:val="24"/>
          <w:lang w:val="fr-FR"/>
        </w:rPr>
        <w:t>Groupe de travail technique sur les systèmes d</w:t>
      </w:r>
      <w:r w:rsidR="004F302C" w:rsidRPr="004802F4">
        <w:rPr>
          <w:rFonts w:eastAsia="PMingLiU" w:cs="Arial"/>
          <w:szCs w:val="24"/>
          <w:lang w:val="fr-FR"/>
        </w:rPr>
        <w:t>’</w:t>
      </w:r>
      <w:r w:rsidRPr="004802F4">
        <w:rPr>
          <w:rFonts w:eastAsia="PMingLiU" w:cs="Arial"/>
          <w:szCs w:val="24"/>
          <w:lang w:val="fr-FR"/>
        </w:rPr>
        <w:t>automatisation et les programmes d</w:t>
      </w:r>
      <w:r w:rsidR="004F302C" w:rsidRPr="004802F4">
        <w:rPr>
          <w:rFonts w:eastAsia="PMingLiU" w:cs="Arial"/>
          <w:szCs w:val="24"/>
          <w:lang w:val="fr-FR"/>
        </w:rPr>
        <w:t>’</w:t>
      </w:r>
      <w:r w:rsidRPr="004802F4">
        <w:rPr>
          <w:rFonts w:eastAsia="PMingLiU" w:cs="Arial"/>
          <w:szCs w:val="24"/>
          <w:lang w:val="fr-FR"/>
        </w:rPr>
        <w:t>ordinateur</w:t>
      </w:r>
    </w:p>
    <w:p w:rsidR="007A701A" w:rsidRPr="004802F4" w:rsidRDefault="003F7E71" w:rsidP="004802F4">
      <w:pPr>
        <w:rPr>
          <w:rFonts w:eastAsia="PMingLiU" w:cs="Arial"/>
          <w:szCs w:val="24"/>
          <w:lang w:val="fr-FR"/>
        </w:rPr>
      </w:pPr>
      <w:r w:rsidRPr="004802F4">
        <w:rPr>
          <w:rFonts w:eastAsia="PMingLiU" w:cs="Arial"/>
          <w:szCs w:val="24"/>
          <w:lang w:val="fr-FR"/>
        </w:rPr>
        <w:tab/>
      </w:r>
      <w:r w:rsidR="007A701A" w:rsidRPr="004802F4">
        <w:rPr>
          <w:rFonts w:eastAsia="PMingLiU" w:cs="Arial"/>
          <w:szCs w:val="24"/>
          <w:lang w:val="fr-FR"/>
        </w:rPr>
        <w:t>TWF</w:t>
      </w:r>
      <w:r w:rsidR="009307C6" w:rsidRPr="004802F4">
        <w:rPr>
          <w:rFonts w:eastAsia="PMingLiU" w:cs="Arial"/>
          <w:szCs w:val="24"/>
          <w:lang w:val="fr-FR"/>
        </w:rPr>
        <w:t> </w:t>
      </w:r>
      <w:r w:rsidR="007A701A" w:rsidRPr="004802F4">
        <w:rPr>
          <w:rFonts w:eastAsia="PMingLiU" w:cs="Arial"/>
          <w:szCs w:val="24"/>
          <w:lang w:val="fr-FR"/>
        </w:rPr>
        <w:t xml:space="preserve">: </w:t>
      </w:r>
      <w:r w:rsidR="004A7D9D" w:rsidRPr="004802F4">
        <w:rPr>
          <w:rFonts w:eastAsia="PMingLiU" w:cs="Arial"/>
          <w:szCs w:val="24"/>
          <w:lang w:val="fr-FR"/>
        </w:rPr>
        <w:tab/>
      </w:r>
      <w:r w:rsidR="007A701A" w:rsidRPr="004802F4">
        <w:rPr>
          <w:rFonts w:eastAsia="PMingLiU" w:cs="Arial"/>
          <w:szCs w:val="24"/>
          <w:lang w:val="fr-FR"/>
        </w:rPr>
        <w:t>Groupe de travail technique sur les plantes fruitières</w:t>
      </w:r>
    </w:p>
    <w:p w:rsidR="007A701A" w:rsidRPr="004802F4" w:rsidRDefault="003F7E71" w:rsidP="004802F4">
      <w:pPr>
        <w:rPr>
          <w:rFonts w:eastAsia="PMingLiU" w:cs="Arial"/>
          <w:szCs w:val="24"/>
          <w:lang w:val="fr-FR"/>
        </w:rPr>
      </w:pPr>
      <w:r w:rsidRPr="004802F4">
        <w:rPr>
          <w:rFonts w:eastAsia="PMingLiU" w:cs="Arial"/>
          <w:szCs w:val="24"/>
          <w:lang w:val="fr-FR"/>
        </w:rPr>
        <w:tab/>
      </w:r>
      <w:r w:rsidR="007A701A" w:rsidRPr="004802F4">
        <w:rPr>
          <w:rFonts w:eastAsia="PMingLiU" w:cs="Arial"/>
          <w:szCs w:val="24"/>
          <w:lang w:val="fr-FR"/>
        </w:rPr>
        <w:t>TWO</w:t>
      </w:r>
      <w:r w:rsidR="004A7D9D" w:rsidRPr="004802F4">
        <w:rPr>
          <w:rFonts w:eastAsia="PMingLiU" w:cs="Arial"/>
          <w:szCs w:val="24"/>
          <w:lang w:val="fr-FR"/>
        </w:rPr>
        <w:t> :</w:t>
      </w:r>
      <w:r w:rsidR="007A701A" w:rsidRPr="004802F4">
        <w:rPr>
          <w:rFonts w:eastAsia="PMingLiU" w:cs="Arial"/>
          <w:szCs w:val="24"/>
          <w:lang w:val="fr-FR"/>
        </w:rPr>
        <w:t xml:space="preserve"> </w:t>
      </w:r>
      <w:r w:rsidR="004A7D9D" w:rsidRPr="004802F4">
        <w:rPr>
          <w:rFonts w:eastAsia="PMingLiU" w:cs="Arial"/>
          <w:szCs w:val="24"/>
          <w:lang w:val="fr-FR"/>
        </w:rPr>
        <w:tab/>
      </w:r>
      <w:r w:rsidR="007A701A" w:rsidRPr="004802F4">
        <w:rPr>
          <w:rFonts w:eastAsia="PMingLiU" w:cs="Arial"/>
          <w:szCs w:val="24"/>
          <w:lang w:val="fr-FR"/>
        </w:rPr>
        <w:t>Groupe de travail technique sur les plantes ornementales et les arbres forestiers</w:t>
      </w:r>
    </w:p>
    <w:p w:rsidR="007A701A" w:rsidRPr="004802F4" w:rsidRDefault="003F7E71" w:rsidP="004802F4">
      <w:pPr>
        <w:rPr>
          <w:rFonts w:eastAsia="PMingLiU" w:cs="Arial"/>
          <w:szCs w:val="24"/>
          <w:lang w:val="fr-FR"/>
        </w:rPr>
      </w:pPr>
      <w:r w:rsidRPr="004802F4">
        <w:rPr>
          <w:rFonts w:eastAsia="PMingLiU" w:cs="Arial"/>
          <w:szCs w:val="24"/>
          <w:lang w:val="fr-FR"/>
        </w:rPr>
        <w:tab/>
      </w:r>
      <w:r w:rsidR="007A701A" w:rsidRPr="004802F4">
        <w:rPr>
          <w:rFonts w:eastAsia="PMingLiU" w:cs="Arial"/>
          <w:szCs w:val="24"/>
          <w:lang w:val="fr-FR"/>
        </w:rPr>
        <w:t>TWP</w:t>
      </w:r>
      <w:r w:rsidR="009307C6" w:rsidRPr="004802F4">
        <w:rPr>
          <w:rFonts w:eastAsia="PMingLiU" w:cs="Arial"/>
          <w:szCs w:val="24"/>
          <w:lang w:val="fr-FR"/>
        </w:rPr>
        <w:t> </w:t>
      </w:r>
      <w:r w:rsidR="007A701A" w:rsidRPr="004802F4">
        <w:rPr>
          <w:rFonts w:eastAsia="PMingLiU" w:cs="Arial"/>
          <w:szCs w:val="24"/>
          <w:lang w:val="fr-FR"/>
        </w:rPr>
        <w:t xml:space="preserve">: </w:t>
      </w:r>
      <w:r w:rsidR="004A7D9D" w:rsidRPr="004802F4">
        <w:rPr>
          <w:rFonts w:eastAsia="PMingLiU" w:cs="Arial"/>
          <w:szCs w:val="24"/>
          <w:lang w:val="fr-FR"/>
        </w:rPr>
        <w:tab/>
      </w:r>
      <w:r w:rsidR="007A701A" w:rsidRPr="004802F4">
        <w:rPr>
          <w:rFonts w:eastAsia="PMingLiU" w:cs="Arial"/>
          <w:szCs w:val="24"/>
          <w:lang w:val="fr-FR"/>
        </w:rPr>
        <w:t>Groupes de travail techniques</w:t>
      </w:r>
    </w:p>
    <w:p w:rsidR="007A701A" w:rsidRPr="004802F4" w:rsidRDefault="003F7E71" w:rsidP="004802F4">
      <w:pPr>
        <w:rPr>
          <w:rFonts w:eastAsia="PMingLiU" w:cs="Arial"/>
          <w:szCs w:val="24"/>
          <w:lang w:val="fr-FR"/>
        </w:rPr>
      </w:pPr>
      <w:r w:rsidRPr="004802F4">
        <w:rPr>
          <w:rFonts w:eastAsia="PMingLiU" w:cs="Arial"/>
          <w:szCs w:val="24"/>
          <w:lang w:val="fr-FR"/>
        </w:rPr>
        <w:tab/>
      </w:r>
      <w:r w:rsidR="007A701A" w:rsidRPr="004802F4">
        <w:rPr>
          <w:rFonts w:eastAsia="PMingLiU" w:cs="Arial"/>
          <w:szCs w:val="24"/>
          <w:lang w:val="fr-FR"/>
        </w:rPr>
        <w:t>TWV</w:t>
      </w:r>
      <w:r w:rsidR="009307C6" w:rsidRPr="004802F4">
        <w:rPr>
          <w:rFonts w:eastAsia="PMingLiU" w:cs="Arial"/>
          <w:szCs w:val="24"/>
          <w:lang w:val="fr-FR"/>
        </w:rPr>
        <w:t> :</w:t>
      </w:r>
      <w:r w:rsidR="007A701A" w:rsidRPr="004802F4">
        <w:rPr>
          <w:rFonts w:eastAsia="PMingLiU" w:cs="Arial"/>
          <w:szCs w:val="24"/>
          <w:lang w:val="fr-FR"/>
        </w:rPr>
        <w:t xml:space="preserve"> </w:t>
      </w:r>
      <w:r w:rsidR="004A7D9D" w:rsidRPr="004802F4">
        <w:rPr>
          <w:rFonts w:eastAsia="PMingLiU" w:cs="Arial"/>
          <w:szCs w:val="24"/>
          <w:lang w:val="fr-FR"/>
        </w:rPr>
        <w:tab/>
      </w:r>
      <w:r w:rsidR="007A701A" w:rsidRPr="004802F4">
        <w:rPr>
          <w:rFonts w:eastAsia="PMingLiU" w:cs="Arial"/>
          <w:szCs w:val="24"/>
          <w:lang w:val="fr-FR"/>
        </w:rPr>
        <w:t>Groupe de travail technique sur les plantes potagères</w:t>
      </w:r>
    </w:p>
    <w:p w:rsidR="007A701A" w:rsidRPr="004802F4" w:rsidRDefault="007A701A" w:rsidP="004802F4">
      <w:pPr>
        <w:rPr>
          <w:rFonts w:eastAsia="PMingLiU" w:cs="Arial"/>
          <w:szCs w:val="24"/>
          <w:lang w:val="fr-FR"/>
        </w:rPr>
      </w:pPr>
    </w:p>
    <w:p w:rsidR="007A701A" w:rsidRPr="004802F4" w:rsidRDefault="003F7E71" w:rsidP="004802F4">
      <w:pPr>
        <w:autoSpaceDE w:val="0"/>
        <w:autoSpaceDN w:val="0"/>
        <w:adjustRightInd w:val="0"/>
        <w:spacing w:before="120"/>
        <w:rPr>
          <w:rFonts w:eastAsia="MS Mincho"/>
          <w:szCs w:val="24"/>
          <w:lang w:val="fr-FR" w:eastAsia="ja-JP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7A701A" w:rsidRPr="004802F4">
        <w:rPr>
          <w:lang w:val="fr-FR"/>
        </w:rPr>
        <w:t>Le présent document est structuré comme suit :</w:t>
      </w:r>
    </w:p>
    <w:p w:rsidR="007A701A" w:rsidRPr="004802F4" w:rsidRDefault="007A701A" w:rsidP="004802F4">
      <w:pPr>
        <w:autoSpaceDE w:val="0"/>
        <w:autoSpaceDN w:val="0"/>
        <w:adjustRightInd w:val="0"/>
        <w:spacing w:before="120"/>
        <w:rPr>
          <w:rFonts w:eastAsia="MS Mincho"/>
          <w:szCs w:val="24"/>
          <w:lang w:val="fr-FR" w:eastAsia="ja-JP"/>
        </w:rPr>
      </w:pPr>
    </w:p>
    <w:p w:rsidR="004802F4" w:rsidRDefault="003F7E7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FR" w:eastAsia="fr-FR"/>
        </w:rPr>
      </w:pPr>
      <w:r w:rsidRPr="004802F4">
        <w:rPr>
          <w:snapToGrid w:val="0"/>
          <w:lang w:val="fr-FR"/>
        </w:rPr>
        <w:fldChar w:fldCharType="begin"/>
      </w:r>
      <w:r w:rsidRPr="004802F4">
        <w:rPr>
          <w:snapToGrid w:val="0"/>
          <w:lang w:val="fr-FR"/>
        </w:rPr>
        <w:instrText xml:space="preserve"> TOC \o "1-3" \h \z \u </w:instrText>
      </w:r>
      <w:r w:rsidRPr="004802F4">
        <w:rPr>
          <w:snapToGrid w:val="0"/>
          <w:lang w:val="fr-FR"/>
        </w:rPr>
        <w:fldChar w:fldCharType="separate"/>
      </w:r>
      <w:hyperlink w:anchor="_Toc411499180" w:history="1">
        <w:r w:rsidR="004802F4" w:rsidRPr="00A200F1">
          <w:rPr>
            <w:rStyle w:val="Hyperlink"/>
            <w:rFonts w:eastAsia="MS Mincho"/>
            <w:noProof/>
            <w:lang w:val="fr-FR" w:eastAsia="ja-JP"/>
          </w:rPr>
          <w:t>rappel</w:t>
        </w:r>
        <w:r w:rsidR="004802F4">
          <w:rPr>
            <w:noProof/>
            <w:webHidden/>
          </w:rPr>
          <w:tab/>
        </w:r>
        <w:r w:rsidR="004802F4">
          <w:rPr>
            <w:noProof/>
            <w:webHidden/>
          </w:rPr>
          <w:fldChar w:fldCharType="begin"/>
        </w:r>
        <w:r w:rsidR="004802F4">
          <w:rPr>
            <w:noProof/>
            <w:webHidden/>
          </w:rPr>
          <w:instrText xml:space="preserve"> PAGEREF _Toc411499180 \h </w:instrText>
        </w:r>
        <w:r w:rsidR="004802F4">
          <w:rPr>
            <w:noProof/>
            <w:webHidden/>
          </w:rPr>
        </w:r>
        <w:r w:rsidR="004802F4">
          <w:rPr>
            <w:noProof/>
            <w:webHidden/>
          </w:rPr>
          <w:fldChar w:fldCharType="separate"/>
        </w:r>
        <w:r w:rsidR="00FD5EAC">
          <w:rPr>
            <w:noProof/>
            <w:webHidden/>
          </w:rPr>
          <w:t>2</w:t>
        </w:r>
        <w:r w:rsidR="004802F4">
          <w:rPr>
            <w:noProof/>
            <w:webHidden/>
          </w:rPr>
          <w:fldChar w:fldCharType="end"/>
        </w:r>
      </w:hyperlink>
    </w:p>
    <w:p w:rsidR="004802F4" w:rsidRDefault="00CE59C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FR" w:eastAsia="fr-FR"/>
        </w:rPr>
      </w:pPr>
      <w:hyperlink w:anchor="_Toc411499181" w:history="1">
        <w:r w:rsidR="004802F4" w:rsidRPr="00A200F1">
          <w:rPr>
            <w:rStyle w:val="Hyperlink"/>
            <w:noProof/>
            <w:lang w:val="fr-FR"/>
          </w:rPr>
          <w:t>faits nouveaux en 2014</w:t>
        </w:r>
        <w:r w:rsidR="004802F4">
          <w:rPr>
            <w:noProof/>
            <w:webHidden/>
          </w:rPr>
          <w:tab/>
        </w:r>
        <w:r w:rsidR="004802F4">
          <w:rPr>
            <w:noProof/>
            <w:webHidden/>
          </w:rPr>
          <w:fldChar w:fldCharType="begin"/>
        </w:r>
        <w:r w:rsidR="004802F4">
          <w:rPr>
            <w:noProof/>
            <w:webHidden/>
          </w:rPr>
          <w:instrText xml:space="preserve"> PAGEREF _Toc411499181 \h </w:instrText>
        </w:r>
        <w:r w:rsidR="004802F4">
          <w:rPr>
            <w:noProof/>
            <w:webHidden/>
          </w:rPr>
        </w:r>
        <w:r w:rsidR="004802F4">
          <w:rPr>
            <w:noProof/>
            <w:webHidden/>
          </w:rPr>
          <w:fldChar w:fldCharType="separate"/>
        </w:r>
        <w:r w:rsidR="00FD5EAC">
          <w:rPr>
            <w:noProof/>
            <w:webHidden/>
          </w:rPr>
          <w:t>2</w:t>
        </w:r>
        <w:r w:rsidR="004802F4">
          <w:rPr>
            <w:noProof/>
            <w:webHidden/>
          </w:rPr>
          <w:fldChar w:fldCharType="end"/>
        </w:r>
      </w:hyperlink>
    </w:p>
    <w:p w:rsidR="004802F4" w:rsidRDefault="00CE59C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fr-FR"/>
        </w:rPr>
      </w:pPr>
      <w:hyperlink w:anchor="_Toc411499182" w:history="1">
        <w:r w:rsidR="004802F4" w:rsidRPr="00A200F1">
          <w:rPr>
            <w:rStyle w:val="Hyperlink"/>
            <w:noProof/>
            <w:lang w:val="fr-FR"/>
          </w:rPr>
          <w:t>Comité technique</w:t>
        </w:r>
        <w:r w:rsidR="004802F4">
          <w:rPr>
            <w:noProof/>
            <w:webHidden/>
          </w:rPr>
          <w:tab/>
        </w:r>
        <w:r w:rsidR="004802F4">
          <w:rPr>
            <w:noProof/>
            <w:webHidden/>
          </w:rPr>
          <w:fldChar w:fldCharType="begin"/>
        </w:r>
        <w:r w:rsidR="004802F4">
          <w:rPr>
            <w:noProof/>
            <w:webHidden/>
          </w:rPr>
          <w:instrText xml:space="preserve"> PAGEREF _Toc411499182 \h </w:instrText>
        </w:r>
        <w:r w:rsidR="004802F4">
          <w:rPr>
            <w:noProof/>
            <w:webHidden/>
          </w:rPr>
        </w:r>
        <w:r w:rsidR="004802F4">
          <w:rPr>
            <w:noProof/>
            <w:webHidden/>
          </w:rPr>
          <w:fldChar w:fldCharType="separate"/>
        </w:r>
        <w:r w:rsidR="00FD5EAC">
          <w:rPr>
            <w:noProof/>
            <w:webHidden/>
          </w:rPr>
          <w:t>2</w:t>
        </w:r>
        <w:r w:rsidR="004802F4">
          <w:rPr>
            <w:noProof/>
            <w:webHidden/>
          </w:rPr>
          <w:fldChar w:fldCharType="end"/>
        </w:r>
      </w:hyperlink>
    </w:p>
    <w:p w:rsidR="004802F4" w:rsidRDefault="00CE59C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fr-FR"/>
        </w:rPr>
      </w:pPr>
      <w:hyperlink w:anchor="_Toc411499183" w:history="1">
        <w:r w:rsidR="004802F4" w:rsidRPr="00A200F1">
          <w:rPr>
            <w:rStyle w:val="Hyperlink"/>
            <w:noProof/>
            <w:lang w:val="fr-FR"/>
          </w:rPr>
          <w:t>Groupes de travail techniques</w:t>
        </w:r>
        <w:r w:rsidR="004802F4">
          <w:rPr>
            <w:noProof/>
            <w:webHidden/>
          </w:rPr>
          <w:tab/>
        </w:r>
        <w:r w:rsidR="004802F4">
          <w:rPr>
            <w:noProof/>
            <w:webHidden/>
          </w:rPr>
          <w:fldChar w:fldCharType="begin"/>
        </w:r>
        <w:r w:rsidR="004802F4">
          <w:rPr>
            <w:noProof/>
            <w:webHidden/>
          </w:rPr>
          <w:instrText xml:space="preserve"> PAGEREF _Toc411499183 \h </w:instrText>
        </w:r>
        <w:r w:rsidR="004802F4">
          <w:rPr>
            <w:noProof/>
            <w:webHidden/>
          </w:rPr>
        </w:r>
        <w:r w:rsidR="004802F4">
          <w:rPr>
            <w:noProof/>
            <w:webHidden/>
          </w:rPr>
          <w:fldChar w:fldCharType="separate"/>
        </w:r>
        <w:r w:rsidR="00FD5EAC">
          <w:rPr>
            <w:noProof/>
            <w:webHidden/>
          </w:rPr>
          <w:t>2</w:t>
        </w:r>
        <w:r w:rsidR="004802F4">
          <w:rPr>
            <w:noProof/>
            <w:webHidden/>
          </w:rPr>
          <w:fldChar w:fldCharType="end"/>
        </w:r>
      </w:hyperlink>
    </w:p>
    <w:p w:rsidR="004802F4" w:rsidRDefault="00CE59C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411499184" w:history="1">
        <w:r w:rsidR="004802F4" w:rsidRPr="00A200F1">
          <w:rPr>
            <w:rStyle w:val="Hyperlink"/>
            <w:noProof/>
          </w:rPr>
          <w:t>Groupe de travail technique sur les plantes ornementales et les arbres forestiers</w:t>
        </w:r>
        <w:r w:rsidR="004802F4">
          <w:rPr>
            <w:noProof/>
            <w:webHidden/>
          </w:rPr>
          <w:tab/>
        </w:r>
        <w:r w:rsidR="004802F4">
          <w:rPr>
            <w:noProof/>
            <w:webHidden/>
          </w:rPr>
          <w:fldChar w:fldCharType="begin"/>
        </w:r>
        <w:r w:rsidR="004802F4">
          <w:rPr>
            <w:noProof/>
            <w:webHidden/>
          </w:rPr>
          <w:instrText xml:space="preserve"> PAGEREF _Toc411499184 \h </w:instrText>
        </w:r>
        <w:r w:rsidR="004802F4">
          <w:rPr>
            <w:noProof/>
            <w:webHidden/>
          </w:rPr>
        </w:r>
        <w:r w:rsidR="004802F4">
          <w:rPr>
            <w:noProof/>
            <w:webHidden/>
          </w:rPr>
          <w:fldChar w:fldCharType="separate"/>
        </w:r>
        <w:r w:rsidR="00FD5EAC">
          <w:rPr>
            <w:noProof/>
            <w:webHidden/>
          </w:rPr>
          <w:t>2</w:t>
        </w:r>
        <w:r w:rsidR="004802F4">
          <w:rPr>
            <w:noProof/>
            <w:webHidden/>
          </w:rPr>
          <w:fldChar w:fldCharType="end"/>
        </w:r>
      </w:hyperlink>
    </w:p>
    <w:p w:rsidR="004802F4" w:rsidRDefault="00CE59C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411499185" w:history="1">
        <w:r w:rsidR="004802F4" w:rsidRPr="00A200F1">
          <w:rPr>
            <w:rStyle w:val="Hyperlink"/>
            <w:noProof/>
          </w:rPr>
          <w:t>Groupe de travail technique sur les plantes fruitières</w:t>
        </w:r>
        <w:r w:rsidR="004802F4">
          <w:rPr>
            <w:noProof/>
            <w:webHidden/>
          </w:rPr>
          <w:tab/>
        </w:r>
        <w:r w:rsidR="004802F4">
          <w:rPr>
            <w:noProof/>
            <w:webHidden/>
          </w:rPr>
          <w:fldChar w:fldCharType="begin"/>
        </w:r>
        <w:r w:rsidR="004802F4">
          <w:rPr>
            <w:noProof/>
            <w:webHidden/>
          </w:rPr>
          <w:instrText xml:space="preserve"> PAGEREF _Toc411499185 \h </w:instrText>
        </w:r>
        <w:r w:rsidR="004802F4">
          <w:rPr>
            <w:noProof/>
            <w:webHidden/>
          </w:rPr>
        </w:r>
        <w:r w:rsidR="004802F4">
          <w:rPr>
            <w:noProof/>
            <w:webHidden/>
          </w:rPr>
          <w:fldChar w:fldCharType="separate"/>
        </w:r>
        <w:r w:rsidR="00FD5EAC">
          <w:rPr>
            <w:noProof/>
            <w:webHidden/>
          </w:rPr>
          <w:t>2</w:t>
        </w:r>
        <w:r w:rsidR="004802F4">
          <w:rPr>
            <w:noProof/>
            <w:webHidden/>
          </w:rPr>
          <w:fldChar w:fldCharType="end"/>
        </w:r>
      </w:hyperlink>
    </w:p>
    <w:p w:rsidR="004802F4" w:rsidRDefault="00CE59C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411499186" w:history="1">
        <w:r w:rsidR="004802F4" w:rsidRPr="00A200F1">
          <w:rPr>
            <w:rStyle w:val="Hyperlink"/>
            <w:noProof/>
          </w:rPr>
          <w:t>Groupe de travail technique sur les systèmes d’automatisation et les programmes d’ordinateur</w:t>
        </w:r>
        <w:r w:rsidR="004802F4">
          <w:rPr>
            <w:noProof/>
            <w:webHidden/>
          </w:rPr>
          <w:tab/>
        </w:r>
        <w:r w:rsidR="004802F4">
          <w:rPr>
            <w:noProof/>
            <w:webHidden/>
          </w:rPr>
          <w:fldChar w:fldCharType="begin"/>
        </w:r>
        <w:r w:rsidR="004802F4">
          <w:rPr>
            <w:noProof/>
            <w:webHidden/>
          </w:rPr>
          <w:instrText xml:space="preserve"> PAGEREF _Toc411499186 \h </w:instrText>
        </w:r>
        <w:r w:rsidR="004802F4">
          <w:rPr>
            <w:noProof/>
            <w:webHidden/>
          </w:rPr>
        </w:r>
        <w:r w:rsidR="004802F4">
          <w:rPr>
            <w:noProof/>
            <w:webHidden/>
          </w:rPr>
          <w:fldChar w:fldCharType="separate"/>
        </w:r>
        <w:r w:rsidR="00FD5EAC">
          <w:rPr>
            <w:noProof/>
            <w:webHidden/>
          </w:rPr>
          <w:t>3</w:t>
        </w:r>
        <w:r w:rsidR="004802F4">
          <w:rPr>
            <w:noProof/>
            <w:webHidden/>
          </w:rPr>
          <w:fldChar w:fldCharType="end"/>
        </w:r>
      </w:hyperlink>
    </w:p>
    <w:p w:rsidR="004802F4" w:rsidRDefault="00CE59C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411499187" w:history="1">
        <w:r w:rsidR="004802F4" w:rsidRPr="00A200F1">
          <w:rPr>
            <w:rStyle w:val="Hyperlink"/>
            <w:noProof/>
            <w:lang w:eastAsia="de-DE" w:bidi="de-DE"/>
          </w:rPr>
          <w:t>Groupe de travail technique sur les plantes potagères</w:t>
        </w:r>
        <w:r w:rsidR="004802F4">
          <w:rPr>
            <w:noProof/>
            <w:webHidden/>
          </w:rPr>
          <w:tab/>
        </w:r>
        <w:r w:rsidR="004802F4">
          <w:rPr>
            <w:noProof/>
            <w:webHidden/>
          </w:rPr>
          <w:fldChar w:fldCharType="begin"/>
        </w:r>
        <w:r w:rsidR="004802F4">
          <w:rPr>
            <w:noProof/>
            <w:webHidden/>
          </w:rPr>
          <w:instrText xml:space="preserve"> PAGEREF _Toc411499187 \h </w:instrText>
        </w:r>
        <w:r w:rsidR="004802F4">
          <w:rPr>
            <w:noProof/>
            <w:webHidden/>
          </w:rPr>
        </w:r>
        <w:r w:rsidR="004802F4">
          <w:rPr>
            <w:noProof/>
            <w:webHidden/>
          </w:rPr>
          <w:fldChar w:fldCharType="separate"/>
        </w:r>
        <w:r w:rsidR="00FD5EAC">
          <w:rPr>
            <w:noProof/>
            <w:webHidden/>
          </w:rPr>
          <w:t>4</w:t>
        </w:r>
        <w:r w:rsidR="004802F4">
          <w:rPr>
            <w:noProof/>
            <w:webHidden/>
          </w:rPr>
          <w:fldChar w:fldCharType="end"/>
        </w:r>
      </w:hyperlink>
    </w:p>
    <w:p w:rsidR="004802F4" w:rsidRDefault="00CE59CF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hyperlink w:anchor="_Toc411499188" w:history="1">
        <w:r w:rsidR="004802F4" w:rsidRPr="00A200F1">
          <w:rPr>
            <w:rStyle w:val="Hyperlink"/>
            <w:noProof/>
          </w:rPr>
          <w:t>Groupe de travail technique sur les plantes agricoles</w:t>
        </w:r>
        <w:r w:rsidR="004802F4">
          <w:rPr>
            <w:noProof/>
            <w:webHidden/>
          </w:rPr>
          <w:tab/>
        </w:r>
        <w:r w:rsidR="004802F4">
          <w:rPr>
            <w:noProof/>
            <w:webHidden/>
          </w:rPr>
          <w:fldChar w:fldCharType="begin"/>
        </w:r>
        <w:r w:rsidR="004802F4">
          <w:rPr>
            <w:noProof/>
            <w:webHidden/>
          </w:rPr>
          <w:instrText xml:space="preserve"> PAGEREF _Toc411499188 \h </w:instrText>
        </w:r>
        <w:r w:rsidR="004802F4">
          <w:rPr>
            <w:noProof/>
            <w:webHidden/>
          </w:rPr>
        </w:r>
        <w:r w:rsidR="004802F4">
          <w:rPr>
            <w:noProof/>
            <w:webHidden/>
          </w:rPr>
          <w:fldChar w:fldCharType="separate"/>
        </w:r>
        <w:r w:rsidR="00FD5EAC">
          <w:rPr>
            <w:noProof/>
            <w:webHidden/>
          </w:rPr>
          <w:t>4</w:t>
        </w:r>
        <w:r w:rsidR="004802F4">
          <w:rPr>
            <w:noProof/>
            <w:webHidden/>
          </w:rPr>
          <w:fldChar w:fldCharType="end"/>
        </w:r>
      </w:hyperlink>
    </w:p>
    <w:p w:rsidR="004802F4" w:rsidRDefault="00CE59C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FR" w:eastAsia="fr-FR"/>
        </w:rPr>
      </w:pPr>
      <w:hyperlink w:anchor="_Toc411499189" w:history="1">
        <w:r w:rsidR="004802F4" w:rsidRPr="00A200F1">
          <w:rPr>
            <w:rStyle w:val="Hyperlink"/>
            <w:noProof/>
            <w:lang w:val="fr-FR"/>
          </w:rPr>
          <w:t>observations du Comité de rédaction élargi à sa réunion de janvier 2015</w:t>
        </w:r>
        <w:r w:rsidR="004802F4">
          <w:rPr>
            <w:noProof/>
            <w:webHidden/>
          </w:rPr>
          <w:tab/>
        </w:r>
        <w:r w:rsidR="004802F4">
          <w:rPr>
            <w:noProof/>
            <w:webHidden/>
          </w:rPr>
          <w:fldChar w:fldCharType="begin"/>
        </w:r>
        <w:r w:rsidR="004802F4">
          <w:rPr>
            <w:noProof/>
            <w:webHidden/>
          </w:rPr>
          <w:instrText xml:space="preserve"> PAGEREF _Toc411499189 \h </w:instrText>
        </w:r>
        <w:r w:rsidR="004802F4">
          <w:rPr>
            <w:noProof/>
            <w:webHidden/>
          </w:rPr>
        </w:r>
        <w:r w:rsidR="004802F4">
          <w:rPr>
            <w:noProof/>
            <w:webHidden/>
          </w:rPr>
          <w:fldChar w:fldCharType="separate"/>
        </w:r>
        <w:r w:rsidR="00FD5EAC">
          <w:rPr>
            <w:noProof/>
            <w:webHidden/>
          </w:rPr>
          <w:t>5</w:t>
        </w:r>
        <w:r w:rsidR="004802F4">
          <w:rPr>
            <w:noProof/>
            <w:webHidden/>
          </w:rPr>
          <w:fldChar w:fldCharType="end"/>
        </w:r>
      </w:hyperlink>
    </w:p>
    <w:p w:rsidR="004802F4" w:rsidRDefault="00CE59C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FR" w:eastAsia="fr-FR"/>
        </w:rPr>
      </w:pPr>
      <w:hyperlink w:anchor="_Toc411499190" w:history="1">
        <w:r w:rsidR="004802F4" w:rsidRPr="00A200F1">
          <w:rPr>
            <w:rStyle w:val="Hyperlink"/>
            <w:noProof/>
            <w:lang w:val="fr-FR"/>
          </w:rPr>
          <w:t>rÉSumÉ des méthodes</w:t>
        </w:r>
        <w:r w:rsidR="004802F4">
          <w:rPr>
            <w:noProof/>
            <w:webHidden/>
          </w:rPr>
          <w:tab/>
        </w:r>
        <w:r w:rsidR="004802F4">
          <w:rPr>
            <w:noProof/>
            <w:webHidden/>
          </w:rPr>
          <w:fldChar w:fldCharType="begin"/>
        </w:r>
        <w:r w:rsidR="004802F4">
          <w:rPr>
            <w:noProof/>
            <w:webHidden/>
          </w:rPr>
          <w:instrText xml:space="preserve"> PAGEREF _Toc411499190 \h </w:instrText>
        </w:r>
        <w:r w:rsidR="004802F4">
          <w:rPr>
            <w:noProof/>
            <w:webHidden/>
          </w:rPr>
        </w:r>
        <w:r w:rsidR="004802F4">
          <w:rPr>
            <w:noProof/>
            <w:webHidden/>
          </w:rPr>
          <w:fldChar w:fldCharType="separate"/>
        </w:r>
        <w:r w:rsidR="00FD5EAC">
          <w:rPr>
            <w:noProof/>
            <w:webHidden/>
          </w:rPr>
          <w:t>5</w:t>
        </w:r>
        <w:r w:rsidR="004802F4">
          <w:rPr>
            <w:noProof/>
            <w:webHidden/>
          </w:rPr>
          <w:fldChar w:fldCharType="end"/>
        </w:r>
      </w:hyperlink>
    </w:p>
    <w:p w:rsidR="007A701A" w:rsidRPr="004802F4" w:rsidRDefault="003F7E71" w:rsidP="004802F4">
      <w:pPr>
        <w:rPr>
          <w:snapToGrid w:val="0"/>
          <w:lang w:val="fr-FR"/>
        </w:rPr>
      </w:pPr>
      <w:r w:rsidRPr="004802F4">
        <w:rPr>
          <w:snapToGrid w:val="0"/>
          <w:lang w:val="fr-FR"/>
        </w:rPr>
        <w:fldChar w:fldCharType="end"/>
      </w:r>
    </w:p>
    <w:p w:rsidR="007A701A" w:rsidRPr="004802F4" w:rsidRDefault="004A7D9D" w:rsidP="004802F4">
      <w:pPr>
        <w:keepNext/>
        <w:keepLines/>
        <w:rPr>
          <w:rFonts w:eastAsia="MS Mincho"/>
          <w:szCs w:val="24"/>
          <w:lang w:val="fr-FR" w:eastAsia="ja-JP"/>
        </w:rPr>
      </w:pPr>
      <w:r w:rsidRPr="004802F4">
        <w:rPr>
          <w:rFonts w:eastAsia="MS Mincho"/>
          <w:szCs w:val="24"/>
          <w:lang w:val="fr-FR" w:eastAsia="ja-JP"/>
        </w:rPr>
        <w:lastRenderedPageBreak/>
        <w:t xml:space="preserve">ANNEXE I : </w:t>
      </w:r>
      <w:r w:rsidRPr="004802F4">
        <w:rPr>
          <w:rFonts w:eastAsia="MS Mincho"/>
          <w:szCs w:val="24"/>
          <w:lang w:val="fr-FR" w:eastAsia="ja-JP"/>
        </w:rPr>
        <w:tab/>
      </w:r>
      <w:r w:rsidRPr="004802F4">
        <w:rPr>
          <w:rFonts w:eastAsia="MS Mincho"/>
          <w:szCs w:val="24"/>
          <w:lang w:val="fr-FR" w:eastAsia="ja-JP"/>
        </w:rPr>
        <w:tab/>
      </w:r>
      <w:r w:rsidR="007A701A" w:rsidRPr="004802F4">
        <w:rPr>
          <w:rFonts w:eastAsia="MS Mincho"/>
          <w:szCs w:val="24"/>
          <w:lang w:val="fr-FR" w:eastAsia="ja-JP"/>
        </w:rPr>
        <w:t>Situation A : Deux cycles de végétation en un seul endroit</w:t>
      </w:r>
    </w:p>
    <w:p w:rsidR="007A701A" w:rsidRPr="004802F4" w:rsidRDefault="007A701A" w:rsidP="004802F4">
      <w:pPr>
        <w:keepNext/>
        <w:keepLines/>
        <w:tabs>
          <w:tab w:val="left" w:pos="1701"/>
        </w:tabs>
        <w:autoSpaceDE w:val="0"/>
        <w:autoSpaceDN w:val="0"/>
        <w:adjustRightInd w:val="0"/>
        <w:rPr>
          <w:rFonts w:eastAsia="MS Mincho"/>
          <w:szCs w:val="24"/>
          <w:lang w:val="fr-FR" w:eastAsia="ja-JP"/>
        </w:rPr>
      </w:pPr>
      <w:r w:rsidRPr="004802F4">
        <w:rPr>
          <w:rFonts w:eastAsia="MS Mincho"/>
          <w:szCs w:val="24"/>
          <w:lang w:val="fr-FR" w:eastAsia="ja-JP"/>
        </w:rPr>
        <w:t xml:space="preserve">ANNEXE II : </w:t>
      </w:r>
      <w:r w:rsidR="004A7D9D" w:rsidRPr="004802F4">
        <w:rPr>
          <w:rFonts w:eastAsia="MS Mincho"/>
          <w:szCs w:val="24"/>
          <w:lang w:val="fr-FR" w:eastAsia="ja-JP"/>
        </w:rPr>
        <w:tab/>
      </w:r>
      <w:r w:rsidRPr="004802F4">
        <w:rPr>
          <w:rFonts w:eastAsia="MS Mincho"/>
          <w:szCs w:val="24"/>
          <w:lang w:val="fr-FR" w:eastAsia="ja-JP"/>
        </w:rPr>
        <w:t>Situation B : Deux endroits de végétation la même année</w:t>
      </w:r>
    </w:p>
    <w:p w:rsidR="007A701A" w:rsidRPr="004802F4" w:rsidRDefault="007A701A" w:rsidP="004802F4">
      <w:pPr>
        <w:keepNext/>
        <w:keepLines/>
        <w:tabs>
          <w:tab w:val="left" w:pos="1701"/>
        </w:tabs>
        <w:autoSpaceDE w:val="0"/>
        <w:autoSpaceDN w:val="0"/>
        <w:adjustRightInd w:val="0"/>
        <w:rPr>
          <w:rFonts w:eastAsia="MS Mincho"/>
          <w:szCs w:val="24"/>
          <w:lang w:val="fr-FR" w:eastAsia="ja-JP"/>
        </w:rPr>
      </w:pPr>
      <w:r w:rsidRPr="004802F4">
        <w:rPr>
          <w:rFonts w:eastAsia="MS Mincho"/>
          <w:szCs w:val="24"/>
          <w:lang w:val="fr-FR" w:eastAsia="ja-JP"/>
        </w:rPr>
        <w:t xml:space="preserve">ANNEXE III : </w:t>
      </w:r>
      <w:r w:rsidR="004A7D9D" w:rsidRPr="004802F4">
        <w:rPr>
          <w:rFonts w:eastAsia="MS Mincho"/>
          <w:szCs w:val="24"/>
          <w:lang w:val="fr-FR" w:eastAsia="ja-JP"/>
        </w:rPr>
        <w:tab/>
      </w:r>
      <w:r w:rsidRPr="004802F4">
        <w:rPr>
          <w:rFonts w:eastAsia="MS Mincho"/>
          <w:szCs w:val="24"/>
          <w:lang w:val="fr-FR" w:eastAsia="ja-JP"/>
        </w:rPr>
        <w:t>Situation C : Plus d</w:t>
      </w:r>
      <w:r w:rsidR="004F302C" w:rsidRPr="004802F4">
        <w:rPr>
          <w:rFonts w:eastAsia="MS Mincho"/>
          <w:szCs w:val="24"/>
          <w:lang w:val="fr-FR" w:eastAsia="ja-JP"/>
        </w:rPr>
        <w:t>’</w:t>
      </w:r>
      <w:r w:rsidRPr="004802F4">
        <w:rPr>
          <w:rFonts w:eastAsia="MS Mincho"/>
          <w:szCs w:val="24"/>
          <w:lang w:val="fr-FR" w:eastAsia="ja-JP"/>
        </w:rPr>
        <w:t>un examen/essai durant le même cycle de végétation</w:t>
      </w:r>
    </w:p>
    <w:p w:rsidR="004F302C" w:rsidRPr="004802F4" w:rsidRDefault="007A701A" w:rsidP="004802F4">
      <w:pPr>
        <w:tabs>
          <w:tab w:val="left" w:pos="1701"/>
        </w:tabs>
        <w:autoSpaceDE w:val="0"/>
        <w:autoSpaceDN w:val="0"/>
        <w:adjustRightInd w:val="0"/>
        <w:rPr>
          <w:rFonts w:eastAsia="MS Mincho"/>
          <w:szCs w:val="24"/>
          <w:lang w:val="fr-FR" w:eastAsia="ja-JP"/>
        </w:rPr>
      </w:pPr>
      <w:r w:rsidRPr="004802F4">
        <w:rPr>
          <w:rFonts w:eastAsia="MS Mincho"/>
          <w:szCs w:val="24"/>
          <w:lang w:val="fr-FR" w:eastAsia="ja-JP"/>
        </w:rPr>
        <w:t>A</w:t>
      </w:r>
      <w:r w:rsidR="004A7D9D" w:rsidRPr="004802F4">
        <w:rPr>
          <w:rFonts w:eastAsia="MS Mincho"/>
          <w:szCs w:val="24"/>
          <w:lang w:val="fr-FR" w:eastAsia="ja-JP"/>
        </w:rPr>
        <w:t>NNEXE</w:t>
      </w:r>
      <w:r w:rsidRPr="004802F4">
        <w:rPr>
          <w:rFonts w:eastAsia="MS Mincho"/>
          <w:szCs w:val="24"/>
          <w:lang w:val="fr-FR" w:eastAsia="ja-JP"/>
        </w:rPr>
        <w:t xml:space="preserve"> IV : </w:t>
      </w:r>
      <w:r w:rsidR="004A7D9D" w:rsidRPr="004802F4">
        <w:rPr>
          <w:rFonts w:eastAsia="MS Mincho"/>
          <w:szCs w:val="24"/>
          <w:lang w:val="fr-FR" w:eastAsia="ja-JP"/>
        </w:rPr>
        <w:tab/>
      </w:r>
      <w:r w:rsidRPr="004802F4">
        <w:rPr>
          <w:rFonts w:eastAsia="MS Mincho"/>
          <w:szCs w:val="24"/>
          <w:lang w:val="fr-FR" w:eastAsia="ja-JP"/>
        </w:rPr>
        <w:t>Situation D : Évaluation de sous</w:t>
      </w:r>
      <w:r w:rsidR="001272D3" w:rsidRPr="004802F4">
        <w:rPr>
          <w:rFonts w:eastAsia="MS Mincho"/>
          <w:szCs w:val="24"/>
          <w:lang w:val="fr-FR" w:eastAsia="ja-JP"/>
        </w:rPr>
        <w:noBreakHyphen/>
      </w:r>
      <w:r w:rsidRPr="004802F4">
        <w:rPr>
          <w:rFonts w:eastAsia="MS Mincho"/>
          <w:szCs w:val="24"/>
          <w:lang w:val="fr-FR" w:eastAsia="ja-JP"/>
        </w:rPr>
        <w:t>échantillons dans le cadre d</w:t>
      </w:r>
      <w:r w:rsidR="004F302C" w:rsidRPr="004802F4">
        <w:rPr>
          <w:rFonts w:eastAsia="MS Mincho"/>
          <w:szCs w:val="24"/>
          <w:lang w:val="fr-FR" w:eastAsia="ja-JP"/>
        </w:rPr>
        <w:t>’</w:t>
      </w:r>
      <w:r w:rsidRPr="004802F4">
        <w:rPr>
          <w:rFonts w:eastAsia="MS Mincho"/>
          <w:szCs w:val="24"/>
          <w:lang w:val="fr-FR" w:eastAsia="ja-JP"/>
        </w:rPr>
        <w:t>un seul examen/essai</w:t>
      </w:r>
    </w:p>
    <w:p w:rsidR="007A701A" w:rsidRPr="004802F4" w:rsidRDefault="003F7E71" w:rsidP="004802F4">
      <w:pPr>
        <w:ind w:left="1701" w:hanging="1701"/>
        <w:rPr>
          <w:lang w:val="fr-FR"/>
        </w:rPr>
      </w:pPr>
      <w:r w:rsidRPr="004802F4">
        <w:rPr>
          <w:rFonts w:eastAsia="MS Mincho"/>
          <w:szCs w:val="24"/>
          <w:lang w:val="fr-FR" w:eastAsia="ja-JP"/>
        </w:rPr>
        <w:t>ANNEX</w:t>
      </w:r>
      <w:r w:rsidR="004A7D9D" w:rsidRPr="004802F4">
        <w:rPr>
          <w:rFonts w:eastAsia="MS Mincho"/>
          <w:szCs w:val="24"/>
          <w:lang w:val="fr-FR" w:eastAsia="ja-JP"/>
        </w:rPr>
        <w:t>E</w:t>
      </w:r>
      <w:r w:rsidRPr="004802F4">
        <w:rPr>
          <w:rFonts w:eastAsia="MS Mincho"/>
          <w:szCs w:val="24"/>
          <w:lang w:val="fr-FR" w:eastAsia="ja-JP"/>
        </w:rPr>
        <w:t xml:space="preserve"> V</w:t>
      </w:r>
      <w:r w:rsidR="00216193" w:rsidRPr="004802F4">
        <w:rPr>
          <w:rFonts w:eastAsia="MS Mincho"/>
          <w:szCs w:val="24"/>
          <w:lang w:val="fr-FR" w:eastAsia="ja-JP"/>
        </w:rPr>
        <w:t> :</w:t>
      </w:r>
      <w:r w:rsidR="009307C6" w:rsidRPr="004802F4">
        <w:rPr>
          <w:rFonts w:eastAsia="MS Mincho"/>
          <w:szCs w:val="24"/>
          <w:lang w:val="fr-FR" w:eastAsia="ja-JP"/>
        </w:rPr>
        <w:t xml:space="preserve"> </w:t>
      </w:r>
      <w:r w:rsidR="003C2DC8" w:rsidRPr="004802F4">
        <w:rPr>
          <w:rFonts w:eastAsia="MS Mincho"/>
          <w:szCs w:val="24"/>
          <w:lang w:val="fr-FR" w:eastAsia="ja-JP"/>
        </w:rPr>
        <w:tab/>
        <w:t>Utilisation d</w:t>
      </w:r>
      <w:r w:rsidR="004F302C" w:rsidRPr="004802F4">
        <w:rPr>
          <w:rFonts w:eastAsia="MS Mincho"/>
          <w:szCs w:val="24"/>
          <w:lang w:val="fr-FR" w:eastAsia="ja-JP"/>
        </w:rPr>
        <w:t>’</w:t>
      </w:r>
      <w:r w:rsidR="003C2DC8" w:rsidRPr="004802F4">
        <w:rPr>
          <w:rFonts w:eastAsia="MS Mincho"/>
          <w:szCs w:val="24"/>
          <w:lang w:val="fr-FR" w:eastAsia="ja-JP"/>
        </w:rPr>
        <w:t>une méthode par étapes</w:t>
      </w:r>
      <w:r w:rsidR="003C2DC8" w:rsidRPr="004802F4">
        <w:rPr>
          <w:lang w:val="fr-FR"/>
        </w:rPr>
        <w:t xml:space="preserve"> dans la procédure applicable aux plantes </w:t>
      </w:r>
      <w:r w:rsidR="00707A69" w:rsidRPr="004802F4">
        <w:rPr>
          <w:lang w:val="fr-FR"/>
        </w:rPr>
        <w:t>hors</w:t>
      </w:r>
      <w:r w:rsidR="00ED74D3" w:rsidRPr="004802F4">
        <w:rPr>
          <w:lang w:val="fr-FR"/>
        </w:rPr>
        <w:noBreakHyphen/>
      </w:r>
      <w:r w:rsidR="00707A69" w:rsidRPr="004802F4">
        <w:rPr>
          <w:lang w:val="fr-FR"/>
        </w:rPr>
        <w:t>type</w:t>
      </w:r>
      <w:r w:rsidR="003C2DC8" w:rsidRPr="004802F4">
        <w:rPr>
          <w:lang w:val="fr-FR"/>
        </w:rPr>
        <w:t xml:space="preserve"> dans </w:t>
      </w:r>
      <w:r w:rsidR="00F107D4" w:rsidRPr="004802F4">
        <w:rPr>
          <w:lang w:val="fr-FR"/>
        </w:rPr>
        <w:t>le</w:t>
      </w:r>
      <w:r w:rsidR="003C2DC8" w:rsidRPr="004802F4">
        <w:rPr>
          <w:lang w:val="fr-FR"/>
        </w:rPr>
        <w:t xml:space="preserve"> même cycle de végétation</w:t>
      </w:r>
    </w:p>
    <w:p w:rsidR="004A7D9D" w:rsidRDefault="004A7D9D" w:rsidP="004802F4">
      <w:pPr>
        <w:pStyle w:val="Heading1"/>
        <w:rPr>
          <w:rFonts w:eastAsia="MS Mincho"/>
          <w:lang w:val="fr-FR" w:eastAsia="ja-JP"/>
        </w:rPr>
      </w:pPr>
    </w:p>
    <w:p w:rsidR="007A701A" w:rsidRPr="004802F4" w:rsidRDefault="007A701A" w:rsidP="004802F4">
      <w:pPr>
        <w:pStyle w:val="Heading1"/>
        <w:rPr>
          <w:rFonts w:eastAsia="MS Mincho"/>
          <w:lang w:val="fr-FR" w:eastAsia="ja-JP"/>
        </w:rPr>
      </w:pPr>
      <w:bookmarkStart w:id="4" w:name="_Toc411499180"/>
      <w:r w:rsidRPr="004802F4">
        <w:rPr>
          <w:rFonts w:eastAsia="MS Mincho"/>
          <w:lang w:val="fr-FR" w:eastAsia="ja-JP"/>
        </w:rPr>
        <w:t>rappel</w:t>
      </w:r>
      <w:bookmarkEnd w:id="4"/>
    </w:p>
    <w:p w:rsidR="007A701A" w:rsidRPr="004802F4" w:rsidRDefault="007A701A" w:rsidP="004802F4">
      <w:pPr>
        <w:rPr>
          <w:rFonts w:eastAsia="MS Mincho"/>
          <w:lang w:val="fr-FR" w:eastAsia="ja-JP"/>
        </w:rPr>
      </w:pPr>
    </w:p>
    <w:p w:rsidR="007A701A" w:rsidRPr="004802F4" w:rsidRDefault="003F7E71" w:rsidP="004802F4">
      <w:pPr>
        <w:rPr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3C2DC8" w:rsidRPr="004802F4">
        <w:rPr>
          <w:szCs w:val="24"/>
          <w:lang w:val="fr-FR"/>
        </w:rPr>
        <w:t xml:space="preserve">Les informations générales sur cette </w:t>
      </w:r>
      <w:r w:rsidR="00707A69" w:rsidRPr="004802F4">
        <w:rPr>
          <w:szCs w:val="24"/>
          <w:lang w:val="fr-FR"/>
        </w:rPr>
        <w:t>question</w:t>
      </w:r>
      <w:r w:rsidR="003C2DC8" w:rsidRPr="004802F4">
        <w:rPr>
          <w:szCs w:val="24"/>
          <w:lang w:val="fr-FR"/>
        </w:rPr>
        <w:t xml:space="preserve"> sont fournies dans les</w:t>
      </w:r>
      <w:r w:rsidRPr="004802F4">
        <w:rPr>
          <w:szCs w:val="24"/>
          <w:lang w:val="fr-FR"/>
        </w:rPr>
        <w:t xml:space="preserve"> </w:t>
      </w:r>
      <w:r w:rsidR="004F302C" w:rsidRPr="004802F4">
        <w:rPr>
          <w:szCs w:val="24"/>
          <w:lang w:val="fr-FR"/>
        </w:rPr>
        <w:t>documents TC</w:t>
      </w:r>
      <w:r w:rsidRPr="004802F4">
        <w:rPr>
          <w:szCs w:val="24"/>
          <w:lang w:val="fr-FR"/>
        </w:rPr>
        <w:t>/48/14 “</w:t>
      </w:r>
      <w:r w:rsidR="003C2DC8" w:rsidRPr="004802F4">
        <w:rPr>
          <w:szCs w:val="24"/>
          <w:lang w:val="fr-FR"/>
        </w:rPr>
        <w:t>Évaluation de l</w:t>
      </w:r>
      <w:r w:rsidR="004F302C" w:rsidRPr="004802F4">
        <w:rPr>
          <w:szCs w:val="24"/>
          <w:lang w:val="fr-FR"/>
        </w:rPr>
        <w:t>’</w:t>
      </w:r>
      <w:r w:rsidR="003C2DC8" w:rsidRPr="004802F4">
        <w:rPr>
          <w:szCs w:val="24"/>
          <w:lang w:val="fr-FR"/>
        </w:rPr>
        <w:t>homogénéité d</w:t>
      </w:r>
      <w:r w:rsidR="004F302C" w:rsidRPr="004802F4">
        <w:rPr>
          <w:szCs w:val="24"/>
          <w:lang w:val="fr-FR"/>
        </w:rPr>
        <w:t>’</w:t>
      </w:r>
      <w:r w:rsidR="003C2DC8" w:rsidRPr="004802F4">
        <w:rPr>
          <w:szCs w:val="24"/>
          <w:lang w:val="fr-FR"/>
        </w:rPr>
        <w:t xml:space="preserve">après les plantes </w:t>
      </w:r>
      <w:r w:rsidR="00A15565" w:rsidRPr="004802F4">
        <w:rPr>
          <w:szCs w:val="24"/>
          <w:lang w:val="fr-FR"/>
        </w:rPr>
        <w:t>hors</w:t>
      </w:r>
      <w:r w:rsidR="00A15565" w:rsidRPr="004802F4">
        <w:rPr>
          <w:szCs w:val="24"/>
          <w:lang w:val="fr-FR"/>
        </w:rPr>
        <w:noBreakHyphen/>
      </w:r>
      <w:r w:rsidR="00707A69" w:rsidRPr="004802F4">
        <w:rPr>
          <w:szCs w:val="24"/>
          <w:lang w:val="fr-FR"/>
        </w:rPr>
        <w:t>type</w:t>
      </w:r>
      <w:r w:rsidR="003C2DC8" w:rsidRPr="004802F4">
        <w:rPr>
          <w:lang w:val="fr-FR"/>
        </w:rPr>
        <w:t xml:space="preserve"> sur la base de plusieurs échantillons ou sous</w:t>
      </w:r>
      <w:r w:rsidR="001272D3" w:rsidRPr="004802F4">
        <w:rPr>
          <w:lang w:val="fr-FR"/>
        </w:rPr>
        <w:noBreakHyphen/>
      </w:r>
      <w:r w:rsidR="003C2DC8" w:rsidRPr="004802F4">
        <w:rPr>
          <w:lang w:val="fr-FR"/>
        </w:rPr>
        <w:t>échantillons</w:t>
      </w:r>
      <w:r w:rsidRPr="004802F4">
        <w:rPr>
          <w:lang w:val="fr-FR"/>
        </w:rPr>
        <w:t xml:space="preserve">” </w:t>
      </w:r>
      <w:r w:rsidR="003C2DC8" w:rsidRPr="004802F4">
        <w:rPr>
          <w:lang w:val="fr-FR"/>
        </w:rPr>
        <w:t>et</w:t>
      </w:r>
      <w:r w:rsidR="004F302C" w:rsidRPr="004802F4">
        <w:rPr>
          <w:lang w:val="fr-FR"/>
        </w:rPr>
        <w:t> TC</w:t>
      </w:r>
      <w:r w:rsidRPr="004802F4">
        <w:rPr>
          <w:lang w:val="fr-FR"/>
        </w:rPr>
        <w:t>/50/12 “</w:t>
      </w:r>
      <w:r w:rsidR="003C2DC8" w:rsidRPr="004802F4">
        <w:rPr>
          <w:lang w:val="fr-FR"/>
        </w:rPr>
        <w:t>Évaluation de l</w:t>
      </w:r>
      <w:r w:rsidR="004F302C" w:rsidRPr="004802F4">
        <w:rPr>
          <w:lang w:val="fr-FR"/>
        </w:rPr>
        <w:t>’</w:t>
      </w:r>
      <w:r w:rsidR="003C2DC8" w:rsidRPr="004802F4">
        <w:rPr>
          <w:lang w:val="fr-FR"/>
        </w:rPr>
        <w:t>homogénéité d</w:t>
      </w:r>
      <w:r w:rsidR="004F302C" w:rsidRPr="004802F4">
        <w:rPr>
          <w:lang w:val="fr-FR"/>
        </w:rPr>
        <w:t>’</w:t>
      </w:r>
      <w:r w:rsidR="003C2DC8" w:rsidRPr="004802F4">
        <w:rPr>
          <w:lang w:val="fr-FR"/>
        </w:rPr>
        <w:t xml:space="preserve">après les plantes </w:t>
      </w:r>
      <w:r w:rsidR="00A15565" w:rsidRPr="004802F4">
        <w:rPr>
          <w:lang w:val="fr-FR"/>
        </w:rPr>
        <w:t>hors</w:t>
      </w:r>
      <w:r w:rsidR="00A15565" w:rsidRPr="004802F4">
        <w:rPr>
          <w:lang w:val="fr-FR"/>
        </w:rPr>
        <w:noBreakHyphen/>
      </w:r>
      <w:r w:rsidR="00707A69" w:rsidRPr="004802F4">
        <w:rPr>
          <w:lang w:val="fr-FR"/>
        </w:rPr>
        <w:t>type</w:t>
      </w:r>
      <w:r w:rsidR="003C2DC8" w:rsidRPr="004802F4">
        <w:rPr>
          <w:lang w:val="fr-FR"/>
        </w:rPr>
        <w:t xml:space="preserve"> sur la base de plusieurs échantillons ou sous</w:t>
      </w:r>
      <w:r w:rsidR="001272D3" w:rsidRPr="004802F4">
        <w:rPr>
          <w:lang w:val="fr-FR"/>
        </w:rPr>
        <w:noBreakHyphen/>
      </w:r>
      <w:r w:rsidR="003C2DC8" w:rsidRPr="004802F4">
        <w:rPr>
          <w:lang w:val="fr-FR"/>
        </w:rPr>
        <w:t>échantillons</w:t>
      </w:r>
      <w:r w:rsidRPr="004802F4">
        <w:rPr>
          <w:lang w:val="fr-FR"/>
        </w:rPr>
        <w:t>”.</w:t>
      </w:r>
    </w:p>
    <w:p w:rsidR="004802F4" w:rsidRPr="004802F4" w:rsidRDefault="004802F4" w:rsidP="004802F4">
      <w:pPr>
        <w:rPr>
          <w:lang w:val="fr-FR"/>
        </w:rPr>
      </w:pPr>
    </w:p>
    <w:p w:rsidR="007A701A" w:rsidRPr="004802F4" w:rsidRDefault="007A701A" w:rsidP="004802F4">
      <w:pPr>
        <w:pStyle w:val="Heading1"/>
        <w:rPr>
          <w:lang w:val="fr-FR"/>
        </w:rPr>
      </w:pPr>
      <w:bookmarkStart w:id="5" w:name="_Toc411499181"/>
      <w:r w:rsidRPr="004802F4">
        <w:rPr>
          <w:lang w:val="fr-FR"/>
        </w:rPr>
        <w:t>faits nouveaux en 2014</w:t>
      </w:r>
      <w:bookmarkEnd w:id="5"/>
    </w:p>
    <w:p w:rsidR="007A701A" w:rsidRPr="004802F4" w:rsidRDefault="007A701A" w:rsidP="004802F4">
      <w:pPr>
        <w:rPr>
          <w:caps/>
          <w:lang w:val="fr-FR"/>
        </w:rPr>
      </w:pPr>
    </w:p>
    <w:p w:rsidR="007A701A" w:rsidRPr="004802F4" w:rsidRDefault="007A701A" w:rsidP="004802F4">
      <w:pPr>
        <w:pStyle w:val="Heading2"/>
        <w:rPr>
          <w:lang w:val="fr-FR"/>
        </w:rPr>
      </w:pPr>
      <w:bookmarkStart w:id="6" w:name="_Toc411499182"/>
      <w:bookmarkStart w:id="7" w:name="_Toc380151005"/>
      <w:r w:rsidRPr="004802F4">
        <w:rPr>
          <w:lang w:val="fr-FR"/>
        </w:rPr>
        <w:t>Comité technique</w:t>
      </w:r>
      <w:bookmarkEnd w:id="6"/>
    </w:p>
    <w:p w:rsidR="007A701A" w:rsidRPr="004802F4" w:rsidRDefault="007A701A" w:rsidP="004802F4">
      <w:pPr>
        <w:rPr>
          <w:lang w:val="fr-FR"/>
        </w:rPr>
      </w:pPr>
    </w:p>
    <w:p w:rsidR="007A701A" w:rsidRPr="004802F4" w:rsidRDefault="003F7E71" w:rsidP="004802F4">
      <w:pPr>
        <w:rPr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7A701A" w:rsidRPr="004802F4">
        <w:rPr>
          <w:lang w:val="fr-FR"/>
        </w:rPr>
        <w:t xml:space="preserve">Le comité </w:t>
      </w:r>
      <w:r w:rsidR="00B94B5A" w:rsidRPr="004802F4">
        <w:rPr>
          <w:lang w:val="fr-FR"/>
        </w:rPr>
        <w:t xml:space="preserve">a </w:t>
      </w:r>
      <w:r w:rsidR="007A701A" w:rsidRPr="004802F4">
        <w:rPr>
          <w:lang w:val="fr-FR"/>
        </w:rPr>
        <w:t>examin</w:t>
      </w:r>
      <w:r w:rsidR="00B94B5A" w:rsidRPr="004802F4">
        <w:rPr>
          <w:lang w:val="fr-FR"/>
        </w:rPr>
        <w:t>é</w:t>
      </w:r>
      <w:r w:rsidR="007A701A" w:rsidRPr="004802F4">
        <w:rPr>
          <w:lang w:val="fr-FR"/>
        </w:rPr>
        <w:t xml:space="preserve"> le </w:t>
      </w:r>
      <w:r w:rsidR="004F302C" w:rsidRPr="004802F4">
        <w:rPr>
          <w:lang w:val="fr-FR"/>
        </w:rPr>
        <w:t>document TC</w:t>
      </w:r>
      <w:r w:rsidR="007A701A" w:rsidRPr="004802F4">
        <w:rPr>
          <w:lang w:val="fr-FR"/>
        </w:rPr>
        <w:t>/50/12.</w:t>
      </w:r>
    </w:p>
    <w:p w:rsidR="007A701A" w:rsidRPr="004802F4" w:rsidRDefault="007A701A" w:rsidP="004802F4">
      <w:pPr>
        <w:rPr>
          <w:lang w:val="fr-FR"/>
        </w:rPr>
      </w:pPr>
    </w:p>
    <w:p w:rsidR="007A701A" w:rsidRPr="004802F4" w:rsidRDefault="003F7E71" w:rsidP="004802F4">
      <w:pPr>
        <w:rPr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B94B5A" w:rsidRPr="004802F4">
        <w:rPr>
          <w:lang w:val="fr-FR"/>
        </w:rPr>
        <w:t>Le</w:t>
      </w:r>
      <w:r w:rsidR="004F302C" w:rsidRPr="004802F4">
        <w:rPr>
          <w:lang w:val="fr-FR"/>
        </w:rPr>
        <w:t> TC</w:t>
      </w:r>
      <w:r w:rsidR="00B94B5A" w:rsidRPr="004802F4">
        <w:rPr>
          <w:lang w:val="fr-FR"/>
        </w:rPr>
        <w:t xml:space="preserve"> a pris note que</w:t>
      </w:r>
      <w:r w:rsidR="004F302C" w:rsidRPr="004802F4">
        <w:rPr>
          <w:lang w:val="fr-FR"/>
        </w:rPr>
        <w:t xml:space="preserve"> le TWC</w:t>
      </w:r>
      <w:r w:rsidR="00B94B5A" w:rsidRPr="004802F4">
        <w:rPr>
          <w:lang w:val="fr-FR"/>
        </w:rPr>
        <w:t xml:space="preserve"> avait proposé de fournir des informations plus détaillées et une analyse plus approfondie relatives aux conséquences qu</w:t>
      </w:r>
      <w:r w:rsidR="004F302C" w:rsidRPr="004802F4">
        <w:rPr>
          <w:lang w:val="fr-FR"/>
        </w:rPr>
        <w:t>’</w:t>
      </w:r>
      <w:r w:rsidR="00B94B5A" w:rsidRPr="004802F4">
        <w:rPr>
          <w:lang w:val="fr-FR"/>
        </w:rPr>
        <w:t>aurait l</w:t>
      </w:r>
      <w:r w:rsidR="004F302C" w:rsidRPr="004802F4">
        <w:rPr>
          <w:lang w:val="fr-FR"/>
        </w:rPr>
        <w:t>’</w:t>
      </w:r>
      <w:r w:rsidR="00B94B5A" w:rsidRPr="004802F4">
        <w:rPr>
          <w:lang w:val="fr-FR"/>
        </w:rPr>
        <w:t xml:space="preserve">application des différentes méthodes présentées dans les situations </w:t>
      </w:r>
      <w:r w:rsidR="001D6242" w:rsidRPr="004802F4">
        <w:rPr>
          <w:lang w:val="fr-FR"/>
        </w:rPr>
        <w:t xml:space="preserve">A, B, C et D à sa session en 2014, comme indiqué dans le paragraphe 33 du </w:t>
      </w:r>
      <w:r w:rsidR="004F302C" w:rsidRPr="004802F4">
        <w:rPr>
          <w:lang w:val="fr-FR"/>
        </w:rPr>
        <w:t>document TC</w:t>
      </w:r>
      <w:r w:rsidRPr="004802F4">
        <w:rPr>
          <w:lang w:val="fr-FR"/>
        </w:rPr>
        <w:t xml:space="preserve">/50/12.  </w:t>
      </w:r>
      <w:r w:rsidR="001D6242" w:rsidRPr="004802F4">
        <w:rPr>
          <w:lang w:val="fr-FR"/>
        </w:rPr>
        <w:t>Le</w:t>
      </w:r>
      <w:r w:rsidR="004F302C" w:rsidRPr="004802F4">
        <w:rPr>
          <w:lang w:val="fr-FR"/>
        </w:rPr>
        <w:t> TC</w:t>
      </w:r>
      <w:r w:rsidR="001D6242" w:rsidRPr="004802F4">
        <w:rPr>
          <w:lang w:val="fr-FR"/>
        </w:rPr>
        <w:t xml:space="preserve"> est convenu que le document devrait être modifié pour expliquer que, dans les situations A et B, une variété pourrait être rejetée après un seul cycle de </w:t>
      </w:r>
      <w:r w:rsidR="00A15565" w:rsidRPr="004802F4">
        <w:rPr>
          <w:lang w:val="fr-FR"/>
        </w:rPr>
        <w:t>végétation</w:t>
      </w:r>
      <w:r w:rsidR="001D6242" w:rsidRPr="004802F4">
        <w:rPr>
          <w:lang w:val="fr-FR"/>
        </w:rPr>
        <w:t xml:space="preserve"> dans certaines circonstances.</w:t>
      </w:r>
    </w:p>
    <w:p w:rsidR="007A701A" w:rsidRPr="004802F4" w:rsidRDefault="007A701A" w:rsidP="004802F4">
      <w:pPr>
        <w:rPr>
          <w:i/>
          <w:lang w:val="fr-FR"/>
        </w:rPr>
      </w:pPr>
    </w:p>
    <w:p w:rsidR="007A701A" w:rsidRPr="004802F4" w:rsidRDefault="003F7E71" w:rsidP="004802F4">
      <w:pPr>
        <w:rPr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7A701A" w:rsidRPr="004802F4">
        <w:rPr>
          <w:lang w:val="fr-FR"/>
        </w:rPr>
        <w:t>Le</w:t>
      </w:r>
      <w:r w:rsidR="004F302C" w:rsidRPr="004802F4">
        <w:rPr>
          <w:lang w:val="fr-FR"/>
        </w:rPr>
        <w:t> TC</w:t>
      </w:r>
      <w:r w:rsidR="007A701A" w:rsidRPr="004802F4">
        <w:rPr>
          <w:lang w:val="fr-FR"/>
        </w:rPr>
        <w:t xml:space="preserve"> a pris note que</w:t>
      </w:r>
      <w:r w:rsidR="004F302C" w:rsidRPr="004802F4">
        <w:rPr>
          <w:lang w:val="fr-FR"/>
        </w:rPr>
        <w:t xml:space="preserve"> le TWC</w:t>
      </w:r>
      <w:r w:rsidR="007A701A" w:rsidRPr="004802F4">
        <w:rPr>
          <w:lang w:val="fr-FR"/>
        </w:rPr>
        <w:t xml:space="preserve"> avait proposé que la base statistique du nombre acceptable de plantes </w:t>
      </w:r>
      <w:r w:rsidR="00707A69" w:rsidRPr="004802F4">
        <w:rPr>
          <w:lang w:val="fr-FR"/>
        </w:rPr>
        <w:t>hors-type</w:t>
      </w:r>
      <w:r w:rsidR="007A701A" w:rsidRPr="004802F4">
        <w:rPr>
          <w:lang w:val="fr-FR"/>
        </w:rPr>
        <w:t xml:space="preserve"> dans la situation D soit examinée à sa session en</w:t>
      </w:r>
      <w:r w:rsidR="009307C6" w:rsidRPr="004802F4">
        <w:rPr>
          <w:lang w:val="fr-FR"/>
        </w:rPr>
        <w:t> </w:t>
      </w:r>
      <w:r w:rsidR="007A701A" w:rsidRPr="004802F4">
        <w:rPr>
          <w:lang w:val="fr-FR"/>
        </w:rPr>
        <w:t>2014, comme indiqué dans les paragraphes</w:t>
      </w:r>
      <w:r w:rsidR="009307C6" w:rsidRPr="004802F4">
        <w:rPr>
          <w:lang w:val="fr-FR"/>
        </w:rPr>
        <w:t> </w:t>
      </w:r>
      <w:r w:rsidR="007A701A" w:rsidRPr="004802F4">
        <w:rPr>
          <w:lang w:val="fr-FR"/>
        </w:rPr>
        <w:t xml:space="preserve">34 et 35 du </w:t>
      </w:r>
      <w:r w:rsidR="004F302C" w:rsidRPr="004802F4">
        <w:rPr>
          <w:lang w:val="fr-FR"/>
        </w:rPr>
        <w:t>document TC</w:t>
      </w:r>
      <w:r w:rsidR="007A701A" w:rsidRPr="004802F4">
        <w:rPr>
          <w:lang w:val="fr-FR"/>
        </w:rPr>
        <w:t>/50/12.</w:t>
      </w:r>
    </w:p>
    <w:p w:rsidR="007A701A" w:rsidRPr="004802F4" w:rsidRDefault="007A701A" w:rsidP="004802F4">
      <w:pPr>
        <w:rPr>
          <w:lang w:val="fr-FR"/>
        </w:rPr>
      </w:pPr>
    </w:p>
    <w:p w:rsidR="007A701A" w:rsidRPr="004802F4" w:rsidRDefault="003F7E71" w:rsidP="004802F4">
      <w:pPr>
        <w:rPr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7A701A" w:rsidRPr="004802F4">
        <w:rPr>
          <w:lang w:val="fr-FR"/>
        </w:rPr>
        <w:t>Le</w:t>
      </w:r>
      <w:r w:rsidR="004F302C" w:rsidRPr="004802F4">
        <w:rPr>
          <w:lang w:val="fr-FR"/>
        </w:rPr>
        <w:t> TC</w:t>
      </w:r>
      <w:r w:rsidR="007A701A" w:rsidRPr="004802F4">
        <w:rPr>
          <w:lang w:val="fr-FR"/>
        </w:rPr>
        <w:t xml:space="preserve"> a accepté d</w:t>
      </w:r>
      <w:r w:rsidR="004F302C" w:rsidRPr="004802F4">
        <w:rPr>
          <w:lang w:val="fr-FR"/>
        </w:rPr>
        <w:t>’</w:t>
      </w:r>
      <w:r w:rsidR="007A701A" w:rsidRPr="004802F4">
        <w:rPr>
          <w:lang w:val="fr-FR"/>
        </w:rPr>
        <w:t>élaborer dans le document TGP/10 des orientations pour les situations A, B, C et D, comme indiqué dans les annexes</w:t>
      </w:r>
      <w:r w:rsidR="009307C6" w:rsidRPr="004802F4">
        <w:rPr>
          <w:lang w:val="fr-FR"/>
        </w:rPr>
        <w:t> </w:t>
      </w:r>
      <w:r w:rsidR="007A701A" w:rsidRPr="004802F4">
        <w:rPr>
          <w:lang w:val="fr-FR"/>
        </w:rPr>
        <w:t xml:space="preserve">I à IV du </w:t>
      </w:r>
      <w:r w:rsidR="004F302C" w:rsidRPr="004802F4">
        <w:rPr>
          <w:lang w:val="fr-FR"/>
        </w:rPr>
        <w:t>document TC</w:t>
      </w:r>
      <w:r w:rsidR="007A701A" w:rsidRPr="004802F4">
        <w:rPr>
          <w:lang w:val="fr-FR"/>
        </w:rPr>
        <w:t>/50/12, après examen des observations par</w:t>
      </w:r>
      <w:r w:rsidR="004F302C" w:rsidRPr="004802F4">
        <w:rPr>
          <w:lang w:val="fr-FR"/>
        </w:rPr>
        <w:t xml:space="preserve"> le TWC</w:t>
      </w:r>
      <w:r w:rsidR="007A701A" w:rsidRPr="004802F4">
        <w:rPr>
          <w:lang w:val="fr-FR"/>
        </w:rPr>
        <w:t>.</w:t>
      </w:r>
    </w:p>
    <w:p w:rsidR="007A701A" w:rsidRPr="004802F4" w:rsidRDefault="007A701A" w:rsidP="004802F4">
      <w:pPr>
        <w:rPr>
          <w:lang w:val="fr-FR"/>
        </w:rPr>
      </w:pPr>
    </w:p>
    <w:p w:rsidR="007A701A" w:rsidRPr="004802F4" w:rsidRDefault="003F7E71" w:rsidP="004802F4">
      <w:pPr>
        <w:rPr>
          <w:rFonts w:cs="Arial"/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="001D6242" w:rsidRPr="004802F4">
        <w:rPr>
          <w:lang w:val="fr-FR"/>
        </w:rPr>
        <w:tab/>
        <w:t>Le</w:t>
      </w:r>
      <w:r w:rsidR="004F302C" w:rsidRPr="004802F4">
        <w:rPr>
          <w:lang w:val="fr-FR"/>
        </w:rPr>
        <w:t> TC</w:t>
      </w:r>
      <w:r w:rsidR="001D6242" w:rsidRPr="004802F4">
        <w:rPr>
          <w:lang w:val="fr-FR"/>
        </w:rPr>
        <w:t xml:space="preserve"> est convenu que le paragraphe</w:t>
      </w:r>
      <w:r w:rsidR="009307C6" w:rsidRPr="004802F4">
        <w:rPr>
          <w:lang w:val="fr-FR"/>
        </w:rPr>
        <w:t> </w:t>
      </w:r>
      <w:r w:rsidR="001D6242" w:rsidRPr="004802F4">
        <w:rPr>
          <w:lang w:val="fr-FR"/>
        </w:rPr>
        <w:t xml:space="preserve">6 du </w:t>
      </w:r>
      <w:r w:rsidRPr="004802F4">
        <w:rPr>
          <w:lang w:val="fr-FR"/>
        </w:rPr>
        <w:t>document TGP/10</w:t>
      </w:r>
      <w:r w:rsidR="001D6242" w:rsidRPr="004802F4">
        <w:rPr>
          <w:lang w:val="fr-FR"/>
        </w:rPr>
        <w:t xml:space="preserve"> devrait être pris en considération lors de l</w:t>
      </w:r>
      <w:r w:rsidR="004F302C" w:rsidRPr="004802F4">
        <w:rPr>
          <w:lang w:val="fr-FR"/>
        </w:rPr>
        <w:t>’</w:t>
      </w:r>
      <w:r w:rsidR="001D6242" w:rsidRPr="004802F4">
        <w:rPr>
          <w:lang w:val="fr-FR"/>
        </w:rPr>
        <w:t>examen de l</w:t>
      </w:r>
      <w:r w:rsidR="004F302C" w:rsidRPr="004802F4">
        <w:rPr>
          <w:lang w:val="fr-FR"/>
        </w:rPr>
        <w:t>’</w:t>
      </w:r>
      <w:r w:rsidR="001D6242" w:rsidRPr="004802F4">
        <w:rPr>
          <w:lang w:val="fr-FR"/>
        </w:rPr>
        <w:t>élaboration éventuelle d</w:t>
      </w:r>
      <w:r w:rsidR="004F302C" w:rsidRPr="004802F4">
        <w:rPr>
          <w:lang w:val="fr-FR"/>
        </w:rPr>
        <w:t>’</w:t>
      </w:r>
      <w:r w:rsidR="001D6242" w:rsidRPr="004802F4">
        <w:rPr>
          <w:lang w:val="fr-FR"/>
        </w:rPr>
        <w:t>orientations sur la méthode présentée dans la situation C, comme indiqué à l</w:t>
      </w:r>
      <w:r w:rsidR="004F302C" w:rsidRPr="004802F4">
        <w:rPr>
          <w:lang w:val="fr-FR"/>
        </w:rPr>
        <w:t>’</w:t>
      </w:r>
      <w:r w:rsidR="001D6242" w:rsidRPr="004802F4">
        <w:rPr>
          <w:lang w:val="fr-FR"/>
        </w:rPr>
        <w:t>annexe</w:t>
      </w:r>
      <w:r w:rsidR="009307C6" w:rsidRPr="004802F4">
        <w:rPr>
          <w:lang w:val="fr-FR"/>
        </w:rPr>
        <w:t> </w:t>
      </w:r>
      <w:r w:rsidR="001D6242" w:rsidRPr="004802F4">
        <w:rPr>
          <w:lang w:val="fr-FR"/>
        </w:rPr>
        <w:t xml:space="preserve">III du </w:t>
      </w:r>
      <w:r w:rsidR="004F302C" w:rsidRPr="004802F4">
        <w:rPr>
          <w:lang w:val="fr-FR"/>
        </w:rPr>
        <w:t>document TC</w:t>
      </w:r>
      <w:r w:rsidRPr="004802F4">
        <w:rPr>
          <w:lang w:val="fr-FR"/>
        </w:rPr>
        <w:t>/50/12 (</w:t>
      </w:r>
      <w:r w:rsidR="001D6242" w:rsidRPr="004802F4">
        <w:rPr>
          <w:lang w:val="fr-FR"/>
        </w:rPr>
        <w:t>voir les paragraphes</w:t>
      </w:r>
      <w:r w:rsidR="009307C6" w:rsidRPr="004802F4">
        <w:rPr>
          <w:lang w:val="fr-FR"/>
        </w:rPr>
        <w:t> </w:t>
      </w:r>
      <w:r w:rsidR="001D6242" w:rsidRPr="004802F4">
        <w:rPr>
          <w:lang w:val="fr-FR"/>
        </w:rPr>
        <w:t xml:space="preserve">123 à 127 du </w:t>
      </w:r>
      <w:r w:rsidR="004F302C" w:rsidRPr="004802F4">
        <w:rPr>
          <w:lang w:val="fr-FR"/>
        </w:rPr>
        <w:t>document TC</w:t>
      </w:r>
      <w:r w:rsidRPr="004802F4">
        <w:rPr>
          <w:lang w:val="fr-FR"/>
        </w:rPr>
        <w:t>/50/36 “</w:t>
      </w:r>
      <w:r w:rsidR="001D6242" w:rsidRPr="004802F4">
        <w:rPr>
          <w:lang w:val="fr-FR"/>
        </w:rPr>
        <w:t>Compte rendu des conclusions</w:t>
      </w:r>
      <w:r w:rsidRPr="004802F4">
        <w:rPr>
          <w:lang w:val="fr-FR"/>
        </w:rPr>
        <w:t>”).</w:t>
      </w:r>
    </w:p>
    <w:p w:rsidR="007A701A" w:rsidRPr="004802F4" w:rsidRDefault="007A701A" w:rsidP="004802F4">
      <w:pPr>
        <w:rPr>
          <w:lang w:val="fr-FR"/>
        </w:rPr>
      </w:pPr>
    </w:p>
    <w:p w:rsidR="007A701A" w:rsidRPr="004802F4" w:rsidRDefault="007A701A" w:rsidP="004802F4">
      <w:pPr>
        <w:pStyle w:val="Heading2"/>
        <w:rPr>
          <w:lang w:val="fr-FR"/>
        </w:rPr>
      </w:pPr>
      <w:bookmarkStart w:id="8" w:name="_Toc411499183"/>
      <w:r w:rsidRPr="004802F4">
        <w:rPr>
          <w:lang w:val="fr-FR"/>
        </w:rPr>
        <w:t>Groupes de travail techniques</w:t>
      </w:r>
      <w:bookmarkEnd w:id="8"/>
    </w:p>
    <w:p w:rsidR="007A701A" w:rsidRPr="004802F4" w:rsidRDefault="007A701A" w:rsidP="004802F4">
      <w:pPr>
        <w:rPr>
          <w:lang w:val="fr-FR"/>
        </w:rPr>
      </w:pPr>
    </w:p>
    <w:p w:rsidR="004F302C" w:rsidRPr="004802F4" w:rsidRDefault="007A701A" w:rsidP="004802F4">
      <w:pPr>
        <w:pStyle w:val="Heading3"/>
        <w:rPr>
          <w:lang w:val="fr-FR"/>
        </w:rPr>
      </w:pPr>
      <w:bookmarkStart w:id="9" w:name="_Toc411499184"/>
      <w:r w:rsidRPr="004802F4">
        <w:rPr>
          <w:lang w:val="fr-FR"/>
        </w:rPr>
        <w:t>Groupe de travail technique sur les plantes ornementales et les arbres forestiers</w:t>
      </w:r>
      <w:bookmarkEnd w:id="9"/>
    </w:p>
    <w:p w:rsidR="007A701A" w:rsidRPr="004802F4" w:rsidRDefault="007A701A" w:rsidP="004802F4">
      <w:pPr>
        <w:rPr>
          <w:rFonts w:eastAsia="MS Mincho"/>
          <w:lang w:val="fr-FR" w:eastAsia="ja-JP"/>
        </w:rPr>
      </w:pPr>
    </w:p>
    <w:p w:rsidR="004F302C" w:rsidRPr="004802F4" w:rsidRDefault="003F7E71" w:rsidP="004802F4">
      <w:pPr>
        <w:rPr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1D6242" w:rsidRPr="004802F4">
        <w:rPr>
          <w:lang w:val="fr-FR"/>
        </w:rPr>
        <w:t xml:space="preserve">Le TWO a examiné le </w:t>
      </w:r>
      <w:r w:rsidRPr="004802F4">
        <w:rPr>
          <w:lang w:val="fr-FR"/>
        </w:rPr>
        <w:t xml:space="preserve">document TWO/47/9 </w:t>
      </w:r>
      <w:r w:rsidR="001D6242" w:rsidRPr="004802F4">
        <w:rPr>
          <w:lang w:val="fr-FR"/>
        </w:rPr>
        <w:t>et les situations décrites aux annexes</w:t>
      </w:r>
      <w:r w:rsidR="009307C6" w:rsidRPr="004802F4">
        <w:rPr>
          <w:lang w:val="fr-FR"/>
        </w:rPr>
        <w:t> </w:t>
      </w:r>
      <w:r w:rsidR="001D6242" w:rsidRPr="004802F4">
        <w:rPr>
          <w:lang w:val="fr-FR"/>
        </w:rPr>
        <w:t>I à IV comme base pour l</w:t>
      </w:r>
      <w:r w:rsidR="004F302C" w:rsidRPr="004802F4">
        <w:rPr>
          <w:lang w:val="fr-FR"/>
        </w:rPr>
        <w:t>’</w:t>
      </w:r>
      <w:r w:rsidR="001D6242" w:rsidRPr="004802F4">
        <w:rPr>
          <w:lang w:val="fr-FR"/>
        </w:rPr>
        <w:t>élaboration d</w:t>
      </w:r>
      <w:r w:rsidR="004F302C" w:rsidRPr="004802F4">
        <w:rPr>
          <w:lang w:val="fr-FR"/>
        </w:rPr>
        <w:t>’</w:t>
      </w:r>
      <w:r w:rsidR="001D6242" w:rsidRPr="004802F4">
        <w:rPr>
          <w:lang w:val="fr-FR"/>
        </w:rPr>
        <w:t>orientations dans le</w:t>
      </w:r>
      <w:r w:rsidRPr="004802F4">
        <w:rPr>
          <w:lang w:val="fr-FR"/>
        </w:rPr>
        <w:t xml:space="preserve"> document TGP/10.</w:t>
      </w:r>
    </w:p>
    <w:p w:rsidR="007A701A" w:rsidRPr="004802F4" w:rsidRDefault="007A701A" w:rsidP="004802F4">
      <w:pPr>
        <w:rPr>
          <w:lang w:val="fr-FR"/>
        </w:rPr>
      </w:pPr>
    </w:p>
    <w:p w:rsidR="007A701A" w:rsidRPr="004802F4" w:rsidRDefault="003F7E71" w:rsidP="004802F4">
      <w:pPr>
        <w:rPr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1D6242" w:rsidRPr="004802F4">
        <w:rPr>
          <w:lang w:val="fr-FR"/>
        </w:rPr>
        <w:t xml:space="preserve">Il est convenu que des précisions devraient </w:t>
      </w:r>
      <w:r w:rsidR="003C789F" w:rsidRPr="004802F4">
        <w:rPr>
          <w:lang w:val="fr-FR"/>
        </w:rPr>
        <w:t xml:space="preserve">être </w:t>
      </w:r>
      <w:r w:rsidR="001D6242" w:rsidRPr="004802F4">
        <w:rPr>
          <w:lang w:val="fr-FR"/>
        </w:rPr>
        <w:t xml:space="preserve">fournies </w:t>
      </w:r>
      <w:r w:rsidR="003C789F" w:rsidRPr="004802F4">
        <w:rPr>
          <w:lang w:val="fr-FR"/>
        </w:rPr>
        <w:t>quant à la décision à prendre dans la situation B, option</w:t>
      </w:r>
      <w:r w:rsidRPr="004802F4">
        <w:rPr>
          <w:lang w:val="fr-FR"/>
        </w:rPr>
        <w:t xml:space="preserve"> a) “</w:t>
      </w:r>
      <w:r w:rsidR="003C789F" w:rsidRPr="004802F4">
        <w:rPr>
          <w:lang w:val="fr-FR"/>
        </w:rPr>
        <w:t>l</w:t>
      </w:r>
      <w:r w:rsidR="004F302C" w:rsidRPr="004802F4">
        <w:rPr>
          <w:lang w:val="fr-FR"/>
        </w:rPr>
        <w:t>’</w:t>
      </w:r>
      <w:r w:rsidR="003C789F" w:rsidRPr="004802F4">
        <w:rPr>
          <w:lang w:val="fr-FR"/>
        </w:rPr>
        <w:t>essai est répété aux deux</w:t>
      </w:r>
      <w:r w:rsidR="009307C6" w:rsidRPr="004802F4">
        <w:rPr>
          <w:lang w:val="fr-FR"/>
        </w:rPr>
        <w:t> </w:t>
      </w:r>
      <w:r w:rsidR="003C789F" w:rsidRPr="004802F4">
        <w:rPr>
          <w:lang w:val="fr-FR"/>
        </w:rPr>
        <w:t>endroits une deuxième année</w:t>
      </w:r>
      <w:r w:rsidRPr="004802F4">
        <w:rPr>
          <w:lang w:val="fr-FR"/>
        </w:rPr>
        <w:t xml:space="preserve">”, </w:t>
      </w:r>
      <w:r w:rsidR="003C789F" w:rsidRPr="004802F4">
        <w:rPr>
          <w:lang w:val="fr-FR"/>
        </w:rPr>
        <w:t>dans le cas où, après avoir répété l</w:t>
      </w:r>
      <w:r w:rsidR="004F302C" w:rsidRPr="004802F4">
        <w:rPr>
          <w:lang w:val="fr-FR"/>
        </w:rPr>
        <w:t>’</w:t>
      </w:r>
      <w:r w:rsidR="003C789F" w:rsidRPr="004802F4">
        <w:rPr>
          <w:lang w:val="fr-FR"/>
        </w:rPr>
        <w:t>essai une deuxième année, la variété se situe dans les limites de la norme d</w:t>
      </w:r>
      <w:r w:rsidR="004F302C" w:rsidRPr="004802F4">
        <w:rPr>
          <w:lang w:val="fr-FR"/>
        </w:rPr>
        <w:t>’</w:t>
      </w:r>
      <w:r w:rsidR="003C789F" w:rsidRPr="004802F4">
        <w:rPr>
          <w:lang w:val="fr-FR"/>
        </w:rPr>
        <w:t>homogénéité en un endroit de végétation mais ne l</w:t>
      </w:r>
      <w:r w:rsidR="004F302C" w:rsidRPr="004802F4">
        <w:rPr>
          <w:lang w:val="fr-FR"/>
        </w:rPr>
        <w:t>’</w:t>
      </w:r>
      <w:r w:rsidR="003C789F" w:rsidRPr="004802F4">
        <w:rPr>
          <w:lang w:val="fr-FR"/>
        </w:rPr>
        <w:t>est pas dans l</w:t>
      </w:r>
      <w:r w:rsidR="004F302C" w:rsidRPr="004802F4">
        <w:rPr>
          <w:lang w:val="fr-FR"/>
        </w:rPr>
        <w:t>’</w:t>
      </w:r>
      <w:r w:rsidR="003C789F" w:rsidRPr="004802F4">
        <w:rPr>
          <w:lang w:val="fr-FR"/>
        </w:rPr>
        <w:t>autre</w:t>
      </w:r>
      <w:r w:rsidRPr="004802F4">
        <w:rPr>
          <w:rFonts w:eastAsia="SimSun"/>
          <w:szCs w:val="24"/>
          <w:lang w:val="fr-FR" w:eastAsia="zh-CN"/>
        </w:rPr>
        <w:t xml:space="preserve"> </w:t>
      </w:r>
      <w:r w:rsidRPr="004802F4">
        <w:rPr>
          <w:lang w:val="fr-FR"/>
        </w:rPr>
        <w:t>(</w:t>
      </w:r>
      <w:r w:rsidR="003C789F" w:rsidRPr="004802F4">
        <w:rPr>
          <w:lang w:val="fr-FR"/>
        </w:rPr>
        <w:t>voir les paragraphes</w:t>
      </w:r>
      <w:r w:rsidR="009307C6" w:rsidRPr="004802F4">
        <w:rPr>
          <w:lang w:val="fr-FR"/>
        </w:rPr>
        <w:t> </w:t>
      </w:r>
      <w:r w:rsidR="003C789F" w:rsidRPr="004802F4">
        <w:rPr>
          <w:lang w:val="fr-FR"/>
        </w:rPr>
        <w:t>61 et 62 du</w:t>
      </w:r>
      <w:r w:rsidRPr="004802F4">
        <w:rPr>
          <w:lang w:val="fr-FR"/>
        </w:rPr>
        <w:t xml:space="preserve"> document TWO/47/28 “</w:t>
      </w:r>
      <w:r w:rsidR="008155B3">
        <w:rPr>
          <w:lang w:val="fr-FR"/>
        </w:rPr>
        <w:t>Report</w:t>
      </w:r>
      <w:r w:rsidRPr="004802F4">
        <w:rPr>
          <w:lang w:val="fr-FR"/>
        </w:rPr>
        <w:t>”)</w:t>
      </w:r>
      <w:r w:rsidRPr="004802F4">
        <w:rPr>
          <w:rFonts w:eastAsia="SimSun"/>
          <w:szCs w:val="24"/>
          <w:lang w:val="fr-FR" w:eastAsia="zh-CN"/>
        </w:rPr>
        <w:t>.</w:t>
      </w:r>
    </w:p>
    <w:p w:rsidR="007A701A" w:rsidRPr="004802F4" w:rsidRDefault="007A701A" w:rsidP="004802F4">
      <w:pPr>
        <w:rPr>
          <w:rFonts w:eastAsia="MS Mincho"/>
          <w:lang w:val="fr-FR" w:eastAsia="ja-JP"/>
        </w:rPr>
      </w:pPr>
    </w:p>
    <w:p w:rsidR="004F302C" w:rsidRPr="004802F4" w:rsidRDefault="007A701A" w:rsidP="004802F4">
      <w:pPr>
        <w:pStyle w:val="Heading3"/>
        <w:rPr>
          <w:lang w:val="fr-FR"/>
        </w:rPr>
      </w:pPr>
      <w:bookmarkStart w:id="10" w:name="_Toc411499185"/>
      <w:r w:rsidRPr="004802F4">
        <w:rPr>
          <w:lang w:val="fr-FR"/>
        </w:rPr>
        <w:t>Groupe de travail technique sur les plantes fruitières</w:t>
      </w:r>
      <w:bookmarkEnd w:id="10"/>
    </w:p>
    <w:p w:rsidR="007A701A" w:rsidRPr="004802F4" w:rsidRDefault="007A701A" w:rsidP="004802F4">
      <w:pPr>
        <w:rPr>
          <w:rFonts w:eastAsia="MS Mincho"/>
          <w:lang w:val="fr-FR" w:eastAsia="ja-JP"/>
        </w:rPr>
      </w:pPr>
    </w:p>
    <w:p w:rsidR="007A701A" w:rsidRPr="004802F4" w:rsidRDefault="003F7E71" w:rsidP="004802F4">
      <w:pPr>
        <w:rPr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913B87" w:rsidRPr="004802F4">
        <w:rPr>
          <w:lang w:val="fr-FR"/>
        </w:rPr>
        <w:t>Le TWF a examiné le document</w:t>
      </w:r>
      <w:r w:rsidRPr="004802F4">
        <w:rPr>
          <w:lang w:val="fr-FR"/>
        </w:rPr>
        <w:t xml:space="preserve"> TWF/45/9 </w:t>
      </w:r>
      <w:r w:rsidR="00913B87" w:rsidRPr="004802F4">
        <w:rPr>
          <w:lang w:val="fr-FR"/>
        </w:rPr>
        <w:t>et les situations décrites aux annexes</w:t>
      </w:r>
      <w:r w:rsidR="009307C6" w:rsidRPr="004802F4">
        <w:rPr>
          <w:lang w:val="fr-FR"/>
        </w:rPr>
        <w:t> </w:t>
      </w:r>
      <w:r w:rsidR="00913B87" w:rsidRPr="004802F4">
        <w:rPr>
          <w:lang w:val="fr-FR"/>
        </w:rPr>
        <w:t xml:space="preserve">I à IV comme </w:t>
      </w:r>
      <w:r w:rsidR="00817C25" w:rsidRPr="004802F4">
        <w:rPr>
          <w:lang w:val="fr-FR"/>
        </w:rPr>
        <w:t>base</w:t>
      </w:r>
      <w:r w:rsidR="00913B87" w:rsidRPr="004802F4">
        <w:rPr>
          <w:lang w:val="fr-FR"/>
        </w:rPr>
        <w:t xml:space="preserve"> pour l</w:t>
      </w:r>
      <w:r w:rsidR="004F302C" w:rsidRPr="004802F4">
        <w:rPr>
          <w:lang w:val="fr-FR"/>
        </w:rPr>
        <w:t>’</w:t>
      </w:r>
      <w:r w:rsidR="00913B87" w:rsidRPr="004802F4">
        <w:rPr>
          <w:lang w:val="fr-FR"/>
        </w:rPr>
        <w:t>élaboration d</w:t>
      </w:r>
      <w:r w:rsidR="004F302C" w:rsidRPr="004802F4">
        <w:rPr>
          <w:lang w:val="fr-FR"/>
        </w:rPr>
        <w:t>’</w:t>
      </w:r>
      <w:r w:rsidR="00913B87" w:rsidRPr="004802F4">
        <w:rPr>
          <w:lang w:val="fr-FR"/>
        </w:rPr>
        <w:t xml:space="preserve">orientations dans le </w:t>
      </w:r>
      <w:r w:rsidRPr="004802F4">
        <w:rPr>
          <w:lang w:val="fr-FR"/>
        </w:rPr>
        <w:t>document TGP/10.</w:t>
      </w:r>
    </w:p>
    <w:p w:rsidR="007A701A" w:rsidRPr="004802F4" w:rsidRDefault="007A701A" w:rsidP="004802F4">
      <w:pPr>
        <w:rPr>
          <w:lang w:val="fr-FR"/>
        </w:rPr>
      </w:pPr>
    </w:p>
    <w:p w:rsidR="007A701A" w:rsidRPr="004802F4" w:rsidRDefault="003F7E71" w:rsidP="004802F4">
      <w:pPr>
        <w:rPr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DC0CD8" w:rsidRPr="004802F4">
        <w:rPr>
          <w:lang w:val="fr-FR"/>
        </w:rPr>
        <w:t>Le TWF a souscrit à l</w:t>
      </w:r>
      <w:r w:rsidR="004F302C" w:rsidRPr="004802F4">
        <w:rPr>
          <w:lang w:val="fr-FR"/>
        </w:rPr>
        <w:t>’</w:t>
      </w:r>
      <w:r w:rsidR="00DC0CD8" w:rsidRPr="004802F4">
        <w:rPr>
          <w:lang w:val="fr-FR"/>
        </w:rPr>
        <w:t>observation formulée par</w:t>
      </w:r>
      <w:r w:rsidR="004F302C" w:rsidRPr="004802F4">
        <w:rPr>
          <w:lang w:val="fr-FR"/>
        </w:rPr>
        <w:t xml:space="preserve"> le TWO</w:t>
      </w:r>
      <w:r w:rsidRPr="004802F4">
        <w:rPr>
          <w:lang w:val="fr-FR"/>
        </w:rPr>
        <w:t xml:space="preserve"> </w:t>
      </w:r>
      <w:r w:rsidR="00DC0CD8" w:rsidRPr="004802F4">
        <w:rPr>
          <w:lang w:val="fr-FR"/>
        </w:rPr>
        <w:t>à sa quarante</w:t>
      </w:r>
      <w:r w:rsidR="001272D3" w:rsidRPr="004802F4">
        <w:rPr>
          <w:lang w:val="fr-FR"/>
        </w:rPr>
        <w:noBreakHyphen/>
      </w:r>
      <w:r w:rsidR="00DC0CD8" w:rsidRPr="004802F4">
        <w:rPr>
          <w:lang w:val="fr-FR"/>
        </w:rPr>
        <w:t>septième session, selon laquelle des précisions devraient être fournies quant à la décision à prendre dans la situation B, option a) “l</w:t>
      </w:r>
      <w:r w:rsidR="004F302C" w:rsidRPr="004802F4">
        <w:rPr>
          <w:lang w:val="fr-FR"/>
        </w:rPr>
        <w:t>’</w:t>
      </w:r>
      <w:r w:rsidR="00DC0CD8" w:rsidRPr="004802F4">
        <w:rPr>
          <w:lang w:val="fr-FR"/>
        </w:rPr>
        <w:t>essai est répété aux deux</w:t>
      </w:r>
      <w:r w:rsidR="009307C6" w:rsidRPr="004802F4">
        <w:rPr>
          <w:lang w:val="fr-FR"/>
        </w:rPr>
        <w:t> </w:t>
      </w:r>
      <w:r w:rsidR="00DC0CD8" w:rsidRPr="004802F4">
        <w:rPr>
          <w:lang w:val="fr-FR"/>
        </w:rPr>
        <w:t>endroits une deuxième année”, dans le cas où, après avoir répété l</w:t>
      </w:r>
      <w:r w:rsidR="004F302C" w:rsidRPr="004802F4">
        <w:rPr>
          <w:lang w:val="fr-FR"/>
        </w:rPr>
        <w:t>’</w:t>
      </w:r>
      <w:r w:rsidR="00DC0CD8" w:rsidRPr="004802F4">
        <w:rPr>
          <w:lang w:val="fr-FR"/>
        </w:rPr>
        <w:t>essai une deuxième année, la variété se situe dans les limites de la norme d</w:t>
      </w:r>
      <w:r w:rsidR="004F302C" w:rsidRPr="004802F4">
        <w:rPr>
          <w:lang w:val="fr-FR"/>
        </w:rPr>
        <w:t>’</w:t>
      </w:r>
      <w:r w:rsidR="00DC0CD8" w:rsidRPr="004802F4">
        <w:rPr>
          <w:lang w:val="fr-FR"/>
        </w:rPr>
        <w:t>homogénéité en un endroit de végétation ou une année mais ne l</w:t>
      </w:r>
      <w:r w:rsidR="004F302C" w:rsidRPr="004802F4">
        <w:rPr>
          <w:lang w:val="fr-FR"/>
        </w:rPr>
        <w:t>’</w:t>
      </w:r>
      <w:r w:rsidR="00DC0CD8" w:rsidRPr="004802F4">
        <w:rPr>
          <w:lang w:val="fr-FR"/>
        </w:rPr>
        <w:t>est pas dans l</w:t>
      </w:r>
      <w:r w:rsidR="004F302C" w:rsidRPr="004802F4">
        <w:rPr>
          <w:lang w:val="fr-FR"/>
        </w:rPr>
        <w:t>’</w:t>
      </w:r>
      <w:r w:rsidR="00DC0CD8" w:rsidRPr="004802F4">
        <w:rPr>
          <w:lang w:val="fr-FR"/>
        </w:rPr>
        <w:t>autre</w:t>
      </w:r>
      <w:r w:rsidR="00DC0CD8" w:rsidRPr="004802F4">
        <w:rPr>
          <w:rFonts w:eastAsia="SimSun"/>
          <w:szCs w:val="24"/>
          <w:lang w:val="fr-FR" w:eastAsia="zh-CN"/>
        </w:rPr>
        <w:t xml:space="preserve"> endroit de végétation ou année</w:t>
      </w:r>
      <w:r w:rsidRPr="004802F4">
        <w:rPr>
          <w:rFonts w:eastAsia="SimSun"/>
          <w:szCs w:val="24"/>
          <w:lang w:val="fr-FR" w:eastAsia="zh-CN"/>
        </w:rPr>
        <w:t>.</w:t>
      </w:r>
    </w:p>
    <w:p w:rsidR="007A701A" w:rsidRPr="004802F4" w:rsidRDefault="007A701A" w:rsidP="004802F4">
      <w:pPr>
        <w:rPr>
          <w:lang w:val="fr-FR"/>
        </w:rPr>
      </w:pPr>
    </w:p>
    <w:p w:rsidR="007A701A" w:rsidRPr="004802F4" w:rsidRDefault="003F7E71" w:rsidP="004802F4">
      <w:pPr>
        <w:rPr>
          <w:lang w:val="fr-FR"/>
        </w:rPr>
      </w:pPr>
      <w:r w:rsidRPr="004802F4">
        <w:rPr>
          <w:lang w:val="fr-FR"/>
        </w:rPr>
        <w:lastRenderedPageBreak/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DC0CD8" w:rsidRPr="004802F4">
        <w:rPr>
          <w:lang w:val="fr-FR"/>
        </w:rPr>
        <w:t>Le TWF est convenu que ces méthodes n</w:t>
      </w:r>
      <w:r w:rsidR="004F302C" w:rsidRPr="004802F4">
        <w:rPr>
          <w:lang w:val="fr-FR"/>
        </w:rPr>
        <w:t>’</w:t>
      </w:r>
      <w:r w:rsidR="00DC0CD8" w:rsidRPr="004802F4">
        <w:rPr>
          <w:lang w:val="fr-FR"/>
        </w:rPr>
        <w:t xml:space="preserve">étaient pas pertinentes en ce qui concerne les plantes fruitières, car les variétés multipliées par voie végétative ne semblaient pas être examinées </w:t>
      </w:r>
      <w:r w:rsidR="000D30AE" w:rsidRPr="004802F4">
        <w:rPr>
          <w:lang w:val="fr-FR"/>
        </w:rPr>
        <w:t>dans ce document</w:t>
      </w:r>
      <w:r w:rsidRPr="004802F4">
        <w:rPr>
          <w:lang w:val="fr-FR"/>
        </w:rPr>
        <w:t xml:space="preserve"> (</w:t>
      </w:r>
      <w:r w:rsidR="000D30AE" w:rsidRPr="004802F4">
        <w:rPr>
          <w:lang w:val="fr-FR"/>
        </w:rPr>
        <w:t>voir les paragraphes</w:t>
      </w:r>
      <w:r w:rsidR="009307C6" w:rsidRPr="004802F4">
        <w:rPr>
          <w:lang w:val="fr-FR"/>
        </w:rPr>
        <w:t> </w:t>
      </w:r>
      <w:r w:rsidR="000D30AE" w:rsidRPr="004802F4">
        <w:rPr>
          <w:lang w:val="fr-FR"/>
        </w:rPr>
        <w:t>66 à 68 du</w:t>
      </w:r>
      <w:r w:rsidRPr="004802F4">
        <w:rPr>
          <w:lang w:val="fr-FR"/>
        </w:rPr>
        <w:t xml:space="preserve"> document TWF/45/32 “</w:t>
      </w:r>
      <w:r w:rsidR="008155B3">
        <w:rPr>
          <w:lang w:val="fr-FR"/>
        </w:rPr>
        <w:t>Report</w:t>
      </w:r>
      <w:r w:rsidRPr="004802F4">
        <w:rPr>
          <w:lang w:val="fr-FR"/>
        </w:rPr>
        <w:t>”).</w:t>
      </w:r>
    </w:p>
    <w:p w:rsidR="007A701A" w:rsidRPr="004802F4" w:rsidRDefault="007A701A" w:rsidP="004802F4">
      <w:pPr>
        <w:rPr>
          <w:rFonts w:eastAsia="MS Mincho"/>
          <w:lang w:val="fr-FR" w:eastAsia="ja-JP"/>
        </w:rPr>
      </w:pPr>
    </w:p>
    <w:p w:rsidR="004F302C" w:rsidRPr="004802F4" w:rsidRDefault="007A701A" w:rsidP="004802F4">
      <w:pPr>
        <w:pStyle w:val="Heading3"/>
        <w:rPr>
          <w:lang w:val="fr-FR"/>
        </w:rPr>
      </w:pPr>
      <w:bookmarkStart w:id="11" w:name="_Toc411499186"/>
      <w:r w:rsidRPr="004802F4">
        <w:rPr>
          <w:lang w:val="fr-FR"/>
        </w:rPr>
        <w:t>Groupe de travail technique sur les systèmes d</w:t>
      </w:r>
      <w:r w:rsidR="004F302C" w:rsidRPr="004802F4">
        <w:rPr>
          <w:lang w:val="fr-FR"/>
        </w:rPr>
        <w:t>’</w:t>
      </w:r>
      <w:r w:rsidRPr="004802F4">
        <w:rPr>
          <w:lang w:val="fr-FR"/>
        </w:rPr>
        <w:t>automatisation et les programmes d</w:t>
      </w:r>
      <w:r w:rsidR="004F302C" w:rsidRPr="004802F4">
        <w:rPr>
          <w:lang w:val="fr-FR"/>
        </w:rPr>
        <w:t>’</w:t>
      </w:r>
      <w:r w:rsidRPr="004802F4">
        <w:rPr>
          <w:lang w:val="fr-FR"/>
        </w:rPr>
        <w:t>ordinateur</w:t>
      </w:r>
      <w:bookmarkEnd w:id="11"/>
    </w:p>
    <w:p w:rsidR="007A701A" w:rsidRPr="004802F4" w:rsidRDefault="007A701A" w:rsidP="004802F4">
      <w:pPr>
        <w:rPr>
          <w:lang w:val="fr-FR"/>
        </w:rPr>
      </w:pPr>
    </w:p>
    <w:p w:rsidR="004F302C" w:rsidRPr="004802F4" w:rsidRDefault="003F7E71" w:rsidP="004802F4">
      <w:pPr>
        <w:rPr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817C25" w:rsidRPr="004802F4">
        <w:rPr>
          <w:lang w:val="fr-FR"/>
        </w:rPr>
        <w:t>Le TWC a examiné le document</w:t>
      </w:r>
      <w:r w:rsidRPr="004802F4">
        <w:rPr>
          <w:lang w:val="fr-FR"/>
        </w:rPr>
        <w:t xml:space="preserve"> TWC/32/9.</w:t>
      </w:r>
    </w:p>
    <w:p w:rsidR="007A701A" w:rsidRPr="004802F4" w:rsidRDefault="007A701A" w:rsidP="004802F4">
      <w:pPr>
        <w:rPr>
          <w:lang w:val="fr-FR"/>
        </w:rPr>
      </w:pPr>
    </w:p>
    <w:p w:rsidR="007A701A" w:rsidRPr="004802F4" w:rsidRDefault="003F7E71" w:rsidP="004802F4">
      <w:pPr>
        <w:rPr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817C25" w:rsidRPr="004802F4">
        <w:rPr>
          <w:lang w:val="fr-FR"/>
        </w:rPr>
        <w:t xml:space="preserve">Le TWC est convenu que les valeurs pour les </w:t>
      </w:r>
      <w:r w:rsidR="005711FD" w:rsidRPr="004802F4">
        <w:rPr>
          <w:lang w:val="fr-FR"/>
        </w:rPr>
        <w:t>probabilités d</w:t>
      </w:r>
      <w:r w:rsidR="004F302C" w:rsidRPr="004802F4">
        <w:rPr>
          <w:lang w:val="fr-FR"/>
        </w:rPr>
        <w:t>’</w:t>
      </w:r>
      <w:r w:rsidR="00817C25" w:rsidRPr="004802F4">
        <w:rPr>
          <w:lang w:val="fr-FR"/>
        </w:rPr>
        <w:t>erreurs de type I et de type II devraient figurer dans chacun des exemples décrits dans les situations A et B pour l</w:t>
      </w:r>
      <w:r w:rsidR="004F302C" w:rsidRPr="004802F4">
        <w:rPr>
          <w:lang w:val="fr-FR"/>
        </w:rPr>
        <w:t>’</w:t>
      </w:r>
      <w:r w:rsidR="00817C25" w:rsidRPr="004802F4">
        <w:rPr>
          <w:lang w:val="fr-FR"/>
        </w:rPr>
        <w:t>élaboration d</w:t>
      </w:r>
      <w:r w:rsidR="004F302C" w:rsidRPr="004802F4">
        <w:rPr>
          <w:lang w:val="fr-FR"/>
        </w:rPr>
        <w:t>’</w:t>
      </w:r>
      <w:r w:rsidR="00817C25" w:rsidRPr="004802F4">
        <w:rPr>
          <w:lang w:val="fr-FR"/>
        </w:rPr>
        <w:t>orientations dans le document</w:t>
      </w:r>
      <w:r w:rsidRPr="004802F4">
        <w:rPr>
          <w:lang w:val="fr-FR"/>
        </w:rPr>
        <w:t xml:space="preserve"> TGP/10. </w:t>
      </w:r>
      <w:r w:rsidR="00817C25" w:rsidRPr="004802F4">
        <w:rPr>
          <w:lang w:val="fr-FR"/>
        </w:rPr>
        <w:t xml:space="preserve"> L</w:t>
      </w:r>
      <w:r w:rsidR="004F302C" w:rsidRPr="004802F4">
        <w:rPr>
          <w:lang w:val="fr-FR"/>
        </w:rPr>
        <w:t>’</w:t>
      </w:r>
      <w:r w:rsidR="00817C25" w:rsidRPr="004802F4">
        <w:rPr>
          <w:lang w:val="fr-FR"/>
        </w:rPr>
        <w:t>erreur de type I est associée à une décision</w:t>
      </w:r>
      <w:r w:rsidR="00BC0E18" w:rsidRPr="004802F4">
        <w:rPr>
          <w:lang w:val="fr-FR"/>
        </w:rPr>
        <w:t xml:space="preserve"> relative à l</w:t>
      </w:r>
      <w:r w:rsidR="00A15565" w:rsidRPr="004802F4">
        <w:rPr>
          <w:lang w:val="fr-FR"/>
        </w:rPr>
        <w:t>’hétérogénéité</w:t>
      </w:r>
      <w:r w:rsidR="00BC0E18" w:rsidRPr="004802F4">
        <w:rPr>
          <w:lang w:val="fr-FR"/>
        </w:rPr>
        <w:t xml:space="preserve"> (rejet de l</w:t>
      </w:r>
      <w:r w:rsidR="004F302C" w:rsidRPr="004802F4">
        <w:rPr>
          <w:lang w:val="fr-FR"/>
        </w:rPr>
        <w:t>’</w:t>
      </w:r>
      <w:r w:rsidR="00BC0E18" w:rsidRPr="004802F4">
        <w:rPr>
          <w:lang w:val="fr-FR"/>
        </w:rPr>
        <w:t>hypothèse nulle vraie)</w:t>
      </w:r>
      <w:r w:rsidR="00817C25" w:rsidRPr="004802F4">
        <w:rPr>
          <w:lang w:val="fr-FR"/>
        </w:rPr>
        <w:t xml:space="preserve"> </w:t>
      </w:r>
      <w:r w:rsidR="00BC0E18" w:rsidRPr="004802F4">
        <w:rPr>
          <w:lang w:val="fr-FR"/>
        </w:rPr>
        <w:t>et l</w:t>
      </w:r>
      <w:r w:rsidR="004F302C" w:rsidRPr="004802F4">
        <w:rPr>
          <w:lang w:val="fr-FR"/>
        </w:rPr>
        <w:t>’</w:t>
      </w:r>
      <w:r w:rsidR="00BC0E18" w:rsidRPr="004802F4">
        <w:rPr>
          <w:lang w:val="fr-FR"/>
        </w:rPr>
        <w:t>erreur de type II est associée à une décision relative à l</w:t>
      </w:r>
      <w:r w:rsidR="004F302C" w:rsidRPr="004802F4">
        <w:rPr>
          <w:lang w:val="fr-FR"/>
        </w:rPr>
        <w:t>’</w:t>
      </w:r>
      <w:r w:rsidR="00BC0E18" w:rsidRPr="004802F4">
        <w:rPr>
          <w:lang w:val="fr-FR"/>
        </w:rPr>
        <w:t xml:space="preserve">homogénéité </w:t>
      </w:r>
      <w:r w:rsidRPr="004802F4">
        <w:rPr>
          <w:lang w:val="fr-FR"/>
        </w:rPr>
        <w:t>(</w:t>
      </w:r>
      <w:r w:rsidR="00BC0E18" w:rsidRPr="004802F4">
        <w:rPr>
          <w:lang w:val="fr-FR"/>
        </w:rPr>
        <w:t>acceptation de l</w:t>
      </w:r>
      <w:r w:rsidR="004F302C" w:rsidRPr="004802F4">
        <w:rPr>
          <w:lang w:val="fr-FR"/>
        </w:rPr>
        <w:t>’</w:t>
      </w:r>
      <w:r w:rsidR="00BC0E18" w:rsidRPr="004802F4">
        <w:rPr>
          <w:lang w:val="fr-FR"/>
        </w:rPr>
        <w:t>hypothèse alternative</w:t>
      </w:r>
      <w:r w:rsidRPr="004802F4">
        <w:rPr>
          <w:lang w:val="fr-FR"/>
        </w:rPr>
        <w:t>).</w:t>
      </w:r>
    </w:p>
    <w:p w:rsidR="007A701A" w:rsidRPr="004802F4" w:rsidRDefault="007A701A" w:rsidP="004802F4">
      <w:pPr>
        <w:rPr>
          <w:lang w:val="fr-FR"/>
        </w:rPr>
      </w:pPr>
    </w:p>
    <w:p w:rsidR="007A701A" w:rsidRPr="004802F4" w:rsidRDefault="003F7E71" w:rsidP="004802F4">
      <w:pPr>
        <w:rPr>
          <w:szCs w:val="24"/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CE4A76" w:rsidRPr="004802F4">
        <w:rPr>
          <w:lang w:val="fr-FR"/>
        </w:rPr>
        <w:t>Le TWC est convenu que les orientations fournies dans le document</w:t>
      </w:r>
      <w:r w:rsidRPr="004802F4">
        <w:rPr>
          <w:szCs w:val="24"/>
          <w:lang w:val="fr-FR"/>
        </w:rPr>
        <w:t xml:space="preserve"> TGP/10 “</w:t>
      </w:r>
      <w:r w:rsidR="00CE4A76" w:rsidRPr="004802F4">
        <w:rPr>
          <w:szCs w:val="24"/>
          <w:lang w:val="fr-FR"/>
        </w:rPr>
        <w:t>Examen de l</w:t>
      </w:r>
      <w:r w:rsidR="004F302C" w:rsidRPr="004802F4">
        <w:rPr>
          <w:szCs w:val="24"/>
          <w:lang w:val="fr-FR"/>
        </w:rPr>
        <w:t>’</w:t>
      </w:r>
      <w:r w:rsidR="00CE4A76" w:rsidRPr="004802F4">
        <w:rPr>
          <w:szCs w:val="24"/>
          <w:lang w:val="fr-FR"/>
        </w:rPr>
        <w:t>homogénéité</w:t>
      </w:r>
      <w:r w:rsidRPr="004802F4">
        <w:rPr>
          <w:szCs w:val="24"/>
          <w:lang w:val="fr-FR"/>
        </w:rPr>
        <w:t xml:space="preserve">”, </w:t>
      </w:r>
      <w:r w:rsidR="00CE4A76" w:rsidRPr="004802F4">
        <w:rPr>
          <w:szCs w:val="24"/>
          <w:lang w:val="fr-FR"/>
        </w:rPr>
        <w:t>section</w:t>
      </w:r>
      <w:r w:rsidR="009307C6" w:rsidRPr="004802F4">
        <w:rPr>
          <w:szCs w:val="24"/>
          <w:lang w:val="fr-FR"/>
        </w:rPr>
        <w:t> </w:t>
      </w:r>
      <w:r w:rsidRPr="004802F4">
        <w:rPr>
          <w:szCs w:val="24"/>
          <w:lang w:val="fr-FR"/>
        </w:rPr>
        <w:t>6 “Combin</w:t>
      </w:r>
      <w:r w:rsidR="00CE4A76" w:rsidRPr="004802F4">
        <w:rPr>
          <w:szCs w:val="24"/>
          <w:lang w:val="fr-FR"/>
        </w:rPr>
        <w:t>aison des observations</w:t>
      </w:r>
      <w:r w:rsidRPr="004802F4">
        <w:rPr>
          <w:szCs w:val="24"/>
          <w:lang w:val="fr-FR"/>
        </w:rPr>
        <w:t xml:space="preserve">” </w:t>
      </w:r>
      <w:r w:rsidR="00CE4A76" w:rsidRPr="004802F4">
        <w:rPr>
          <w:szCs w:val="24"/>
          <w:lang w:val="fr-FR"/>
        </w:rPr>
        <w:t>étaient suffisantes en ce qui concerne la situation C</w:t>
      </w:r>
      <w:r w:rsidRPr="004802F4">
        <w:rPr>
          <w:szCs w:val="24"/>
          <w:lang w:val="fr-FR"/>
        </w:rPr>
        <w:t xml:space="preserve"> “</w:t>
      </w:r>
      <w:r w:rsidR="00B81BED" w:rsidRPr="004802F4">
        <w:rPr>
          <w:rFonts w:eastAsia="MS Mincho"/>
          <w:szCs w:val="24"/>
          <w:lang w:val="fr-FR" w:eastAsia="ja-JP"/>
        </w:rPr>
        <w:t>Plus d</w:t>
      </w:r>
      <w:r w:rsidR="004F302C" w:rsidRPr="004802F4">
        <w:rPr>
          <w:rFonts w:eastAsia="MS Mincho"/>
          <w:szCs w:val="24"/>
          <w:lang w:val="fr-FR" w:eastAsia="ja-JP"/>
        </w:rPr>
        <w:t>’</w:t>
      </w:r>
      <w:r w:rsidR="00B81BED" w:rsidRPr="004802F4">
        <w:rPr>
          <w:rFonts w:eastAsia="MS Mincho"/>
          <w:szCs w:val="24"/>
          <w:lang w:val="fr-FR" w:eastAsia="ja-JP"/>
        </w:rPr>
        <w:t>un échantillon ou sous</w:t>
      </w:r>
      <w:r w:rsidR="001272D3" w:rsidRPr="004802F4">
        <w:rPr>
          <w:rFonts w:eastAsia="MS Mincho"/>
          <w:szCs w:val="24"/>
          <w:lang w:val="fr-FR" w:eastAsia="ja-JP"/>
        </w:rPr>
        <w:noBreakHyphen/>
      </w:r>
      <w:r w:rsidR="00B81BED" w:rsidRPr="004802F4">
        <w:rPr>
          <w:rFonts w:eastAsia="MS Mincho"/>
          <w:szCs w:val="24"/>
          <w:lang w:val="fr-FR" w:eastAsia="ja-JP"/>
        </w:rPr>
        <w:t>échantillon pour un caractère dans le même cycle de végétation</w:t>
      </w:r>
      <w:r w:rsidRPr="004802F4">
        <w:rPr>
          <w:szCs w:val="24"/>
          <w:lang w:val="fr-FR"/>
        </w:rPr>
        <w:t xml:space="preserve">”, </w:t>
      </w:r>
      <w:r w:rsidR="00CE4A76" w:rsidRPr="004802F4">
        <w:rPr>
          <w:szCs w:val="24"/>
          <w:lang w:val="fr-FR"/>
        </w:rPr>
        <w:t>figurant à l</w:t>
      </w:r>
      <w:r w:rsidR="004F302C" w:rsidRPr="004802F4">
        <w:rPr>
          <w:szCs w:val="24"/>
          <w:lang w:val="fr-FR"/>
        </w:rPr>
        <w:t>’</w:t>
      </w:r>
      <w:r w:rsidR="00CE4A76" w:rsidRPr="004802F4">
        <w:rPr>
          <w:szCs w:val="24"/>
          <w:lang w:val="fr-FR"/>
        </w:rPr>
        <w:t>annexe</w:t>
      </w:r>
      <w:r w:rsidR="009307C6" w:rsidRPr="004802F4">
        <w:rPr>
          <w:szCs w:val="24"/>
          <w:lang w:val="fr-FR"/>
        </w:rPr>
        <w:t> </w:t>
      </w:r>
      <w:r w:rsidR="00CE4A76" w:rsidRPr="004802F4">
        <w:rPr>
          <w:szCs w:val="24"/>
          <w:lang w:val="fr-FR"/>
        </w:rPr>
        <w:t>III</w:t>
      </w:r>
      <w:r w:rsidRPr="004802F4">
        <w:rPr>
          <w:szCs w:val="24"/>
          <w:lang w:val="fr-FR"/>
        </w:rPr>
        <w:t xml:space="preserve"> </w:t>
      </w:r>
      <w:r w:rsidR="004F302C" w:rsidRPr="004802F4">
        <w:rPr>
          <w:szCs w:val="24"/>
          <w:lang w:val="fr-FR"/>
        </w:rPr>
        <w:t>document TW</w:t>
      </w:r>
      <w:r w:rsidRPr="004802F4">
        <w:rPr>
          <w:szCs w:val="24"/>
          <w:lang w:val="fr-FR"/>
        </w:rPr>
        <w:t xml:space="preserve">C/32/9. </w:t>
      </w:r>
      <w:r w:rsidR="004F302C" w:rsidRPr="004802F4">
        <w:rPr>
          <w:rFonts w:eastAsia="SimSun"/>
          <w:szCs w:val="24"/>
          <w:lang w:val="fr-FR" w:eastAsia="zh-CN"/>
        </w:rPr>
        <w:t xml:space="preserve"> Le TWC</w:t>
      </w:r>
      <w:r w:rsidR="00C01EAE" w:rsidRPr="004802F4">
        <w:rPr>
          <w:rFonts w:eastAsia="SimSun"/>
          <w:szCs w:val="24"/>
          <w:lang w:val="fr-FR" w:eastAsia="zh-CN"/>
        </w:rPr>
        <w:t xml:space="preserve"> est convenu que l</w:t>
      </w:r>
      <w:r w:rsidR="004F302C" w:rsidRPr="004802F4">
        <w:rPr>
          <w:rFonts w:eastAsia="SimSun"/>
          <w:szCs w:val="24"/>
          <w:lang w:val="fr-FR" w:eastAsia="zh-CN"/>
        </w:rPr>
        <w:t>’</w:t>
      </w:r>
      <w:r w:rsidR="00C01EAE" w:rsidRPr="004802F4">
        <w:rPr>
          <w:rFonts w:eastAsia="SimSun"/>
          <w:szCs w:val="24"/>
          <w:lang w:val="fr-FR" w:eastAsia="zh-CN"/>
        </w:rPr>
        <w:t>exemple donné pourrait être considéré comme un examen spécial et que les résultats de l</w:t>
      </w:r>
      <w:r w:rsidR="004F302C" w:rsidRPr="004802F4">
        <w:rPr>
          <w:rFonts w:eastAsia="SimSun"/>
          <w:szCs w:val="24"/>
          <w:lang w:val="fr-FR" w:eastAsia="zh-CN"/>
        </w:rPr>
        <w:t>’</w:t>
      </w:r>
      <w:r w:rsidR="00C01EAE" w:rsidRPr="004802F4">
        <w:rPr>
          <w:rFonts w:eastAsia="SimSun"/>
          <w:szCs w:val="24"/>
          <w:lang w:val="fr-FR" w:eastAsia="zh-CN"/>
        </w:rPr>
        <w:t>évaluation de l</w:t>
      </w:r>
      <w:r w:rsidR="004F302C" w:rsidRPr="004802F4">
        <w:rPr>
          <w:rFonts w:eastAsia="SimSun"/>
          <w:szCs w:val="24"/>
          <w:lang w:val="fr-FR" w:eastAsia="zh-CN"/>
        </w:rPr>
        <w:t>’</w:t>
      </w:r>
      <w:r w:rsidR="00C01EAE" w:rsidRPr="004802F4">
        <w:rPr>
          <w:rFonts w:eastAsia="SimSun"/>
          <w:szCs w:val="24"/>
          <w:lang w:val="fr-FR" w:eastAsia="zh-CN"/>
        </w:rPr>
        <w:t>homogénéité devraient être considérés de manière indépendante</w:t>
      </w:r>
      <w:r w:rsidRPr="004802F4">
        <w:rPr>
          <w:rFonts w:eastAsia="SimSun"/>
          <w:szCs w:val="24"/>
          <w:lang w:val="fr-FR" w:eastAsia="zh-CN"/>
        </w:rPr>
        <w:t>.</w:t>
      </w:r>
    </w:p>
    <w:p w:rsidR="007A701A" w:rsidRPr="004802F4" w:rsidRDefault="007A701A" w:rsidP="004802F4">
      <w:pPr>
        <w:rPr>
          <w:szCs w:val="24"/>
          <w:lang w:val="fr-FR"/>
        </w:rPr>
      </w:pPr>
    </w:p>
    <w:p w:rsidR="004F302C" w:rsidRPr="004802F4" w:rsidRDefault="003F7E71" w:rsidP="004802F4">
      <w:pPr>
        <w:rPr>
          <w:szCs w:val="24"/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BE5584" w:rsidRPr="004802F4">
        <w:rPr>
          <w:lang w:val="fr-FR"/>
        </w:rPr>
        <w:t xml:space="preserve">En ce qui concerne la situation </w:t>
      </w:r>
      <w:r w:rsidRPr="004802F4">
        <w:rPr>
          <w:lang w:val="fr-FR"/>
        </w:rPr>
        <w:t>D,</w:t>
      </w:r>
      <w:r w:rsidR="004F302C" w:rsidRPr="004802F4">
        <w:rPr>
          <w:lang w:val="fr-FR"/>
        </w:rPr>
        <w:t xml:space="preserve"> le TWC</w:t>
      </w:r>
      <w:r w:rsidR="00BE5584" w:rsidRPr="004802F4">
        <w:rPr>
          <w:lang w:val="fr-FR"/>
        </w:rPr>
        <w:t xml:space="preserve"> a examiné l</w:t>
      </w:r>
      <w:r w:rsidR="004F302C" w:rsidRPr="004802F4">
        <w:rPr>
          <w:lang w:val="fr-FR"/>
        </w:rPr>
        <w:t>’</w:t>
      </w:r>
      <w:r w:rsidR="00BE5584" w:rsidRPr="004802F4">
        <w:rPr>
          <w:lang w:val="fr-FR"/>
        </w:rPr>
        <w:t xml:space="preserve">utilisation </w:t>
      </w:r>
      <w:r w:rsidR="00BE5584" w:rsidRPr="004802F4">
        <w:rPr>
          <w:rFonts w:eastAsia="MS Mincho"/>
          <w:szCs w:val="24"/>
          <w:lang w:val="fr-FR" w:eastAsia="ja-JP"/>
        </w:rPr>
        <w:t>d</w:t>
      </w:r>
      <w:r w:rsidR="004F302C" w:rsidRPr="004802F4">
        <w:rPr>
          <w:rFonts w:eastAsia="MS Mincho"/>
          <w:szCs w:val="24"/>
          <w:lang w:val="fr-FR" w:eastAsia="ja-JP"/>
        </w:rPr>
        <w:t>’</w:t>
      </w:r>
      <w:r w:rsidR="00BE5584" w:rsidRPr="004802F4">
        <w:rPr>
          <w:rFonts w:eastAsia="MS Mincho"/>
          <w:szCs w:val="24"/>
          <w:lang w:val="fr-FR" w:eastAsia="ja-JP"/>
        </w:rPr>
        <w:t>une méthode par étapes</w:t>
      </w:r>
      <w:r w:rsidR="00BE5584" w:rsidRPr="004802F4">
        <w:rPr>
          <w:lang w:val="fr-FR"/>
        </w:rPr>
        <w:t xml:space="preserve"> dans la procédure applicable aux plantes </w:t>
      </w:r>
      <w:r w:rsidR="00707A69" w:rsidRPr="004802F4">
        <w:rPr>
          <w:lang w:val="fr-FR"/>
        </w:rPr>
        <w:t>hors-type</w:t>
      </w:r>
      <w:r w:rsidR="00BE5584" w:rsidRPr="004802F4">
        <w:rPr>
          <w:lang w:val="fr-FR"/>
        </w:rPr>
        <w:t xml:space="preserve"> dans </w:t>
      </w:r>
      <w:r w:rsidR="00F107D4" w:rsidRPr="004802F4">
        <w:rPr>
          <w:lang w:val="fr-FR"/>
        </w:rPr>
        <w:t>le</w:t>
      </w:r>
      <w:r w:rsidR="00BE5584" w:rsidRPr="004802F4">
        <w:rPr>
          <w:lang w:val="fr-FR"/>
        </w:rPr>
        <w:t xml:space="preserve"> même cycle de végétation et la base statistique du nombre acceptable de plantes </w:t>
      </w:r>
      <w:r w:rsidR="00707A69" w:rsidRPr="004802F4">
        <w:rPr>
          <w:lang w:val="fr-FR"/>
        </w:rPr>
        <w:t>hors-type</w:t>
      </w:r>
      <w:r w:rsidR="00BE5584" w:rsidRPr="004802F4">
        <w:rPr>
          <w:lang w:val="fr-FR"/>
        </w:rPr>
        <w:t xml:space="preserve"> dans le sous</w:t>
      </w:r>
      <w:r w:rsidR="001272D3" w:rsidRPr="004802F4">
        <w:rPr>
          <w:lang w:val="fr-FR"/>
        </w:rPr>
        <w:noBreakHyphen/>
      </w:r>
      <w:r w:rsidR="00BE5584" w:rsidRPr="004802F4">
        <w:rPr>
          <w:lang w:val="fr-FR"/>
        </w:rPr>
        <w:t xml:space="preserve">échantillon de </w:t>
      </w:r>
      <w:r w:rsidR="002D2E1B" w:rsidRPr="004802F4">
        <w:rPr>
          <w:lang w:val="fr-FR"/>
        </w:rPr>
        <w:t>20 </w:t>
      </w:r>
      <w:r w:rsidR="00BE5584" w:rsidRPr="004802F4">
        <w:rPr>
          <w:lang w:val="fr-FR"/>
        </w:rPr>
        <w:t>plantes utilisé dans le contexte d</w:t>
      </w:r>
      <w:r w:rsidR="004F302C" w:rsidRPr="004802F4">
        <w:rPr>
          <w:lang w:val="fr-FR"/>
        </w:rPr>
        <w:t>’</w:t>
      </w:r>
      <w:r w:rsidR="00BE5584" w:rsidRPr="004802F4">
        <w:rPr>
          <w:lang w:val="fr-FR"/>
        </w:rPr>
        <w:t xml:space="preserve">un échantillon de </w:t>
      </w:r>
      <w:r w:rsidR="002D2E1B" w:rsidRPr="004802F4">
        <w:rPr>
          <w:lang w:val="fr-FR"/>
        </w:rPr>
        <w:t>100 </w:t>
      </w:r>
      <w:r w:rsidR="00BE5584" w:rsidRPr="004802F4">
        <w:rPr>
          <w:lang w:val="fr-FR"/>
        </w:rPr>
        <w:t>plantes, comme indiqué dans l</w:t>
      </w:r>
      <w:r w:rsidR="004F302C" w:rsidRPr="004802F4">
        <w:rPr>
          <w:lang w:val="fr-FR"/>
        </w:rPr>
        <w:t>’</w:t>
      </w:r>
      <w:r w:rsidR="00BE5584" w:rsidRPr="004802F4">
        <w:rPr>
          <w:lang w:val="fr-FR"/>
        </w:rPr>
        <w:t>annexe</w:t>
      </w:r>
      <w:r w:rsidR="009307C6" w:rsidRPr="004802F4">
        <w:rPr>
          <w:lang w:val="fr-FR"/>
        </w:rPr>
        <w:t> </w:t>
      </w:r>
      <w:r w:rsidR="00BE5584" w:rsidRPr="004802F4">
        <w:rPr>
          <w:lang w:val="fr-FR"/>
        </w:rPr>
        <w:t>V du document TWC/31/22, qui a été introduit par un expert de l</w:t>
      </w:r>
      <w:r w:rsidR="004F302C" w:rsidRPr="004802F4">
        <w:rPr>
          <w:lang w:val="fr-FR"/>
        </w:rPr>
        <w:t>’</w:t>
      </w:r>
      <w:r w:rsidR="00BE5584" w:rsidRPr="004802F4">
        <w:rPr>
          <w:lang w:val="fr-FR"/>
        </w:rPr>
        <w:t>Allemagne</w:t>
      </w:r>
      <w:r w:rsidRPr="004802F4">
        <w:rPr>
          <w:szCs w:val="24"/>
          <w:lang w:val="fr-FR"/>
        </w:rPr>
        <w:t>.</w:t>
      </w:r>
    </w:p>
    <w:p w:rsidR="007A701A" w:rsidRPr="004802F4" w:rsidRDefault="007A701A" w:rsidP="004802F4">
      <w:pPr>
        <w:rPr>
          <w:szCs w:val="24"/>
          <w:lang w:val="fr-FR"/>
        </w:rPr>
      </w:pPr>
    </w:p>
    <w:p w:rsidR="004F302C" w:rsidRPr="004802F4" w:rsidRDefault="003F7E71" w:rsidP="004802F4">
      <w:pPr>
        <w:rPr>
          <w:szCs w:val="24"/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5177E8" w:rsidRPr="004802F4">
        <w:rPr>
          <w:lang w:val="fr-FR"/>
        </w:rPr>
        <w:t>Le TWC est convenu q</w:t>
      </w:r>
      <w:r w:rsidR="005711FD" w:rsidRPr="004802F4">
        <w:rPr>
          <w:lang w:val="fr-FR"/>
        </w:rPr>
        <w:t>ue les probabilités d</w:t>
      </w:r>
      <w:r w:rsidR="004F302C" w:rsidRPr="004802F4">
        <w:rPr>
          <w:lang w:val="fr-FR"/>
        </w:rPr>
        <w:t>’</w:t>
      </w:r>
      <w:r w:rsidR="005711FD" w:rsidRPr="004802F4">
        <w:rPr>
          <w:lang w:val="fr-FR"/>
        </w:rPr>
        <w:t>erreurs de type I et de t</w:t>
      </w:r>
      <w:r w:rsidR="005177E8" w:rsidRPr="004802F4">
        <w:rPr>
          <w:lang w:val="fr-FR"/>
        </w:rPr>
        <w:t xml:space="preserve">ype II utilisées dans la base statistique du nombre acceptable de plantes </w:t>
      </w:r>
      <w:r w:rsidR="00707A69" w:rsidRPr="004802F4">
        <w:rPr>
          <w:lang w:val="fr-FR"/>
        </w:rPr>
        <w:t>hors-type</w:t>
      </w:r>
      <w:r w:rsidR="005177E8" w:rsidRPr="004802F4">
        <w:rPr>
          <w:lang w:val="fr-FR"/>
        </w:rPr>
        <w:t xml:space="preserve"> dans le sous</w:t>
      </w:r>
      <w:r w:rsidR="001272D3" w:rsidRPr="004802F4">
        <w:rPr>
          <w:lang w:val="fr-FR"/>
        </w:rPr>
        <w:noBreakHyphen/>
      </w:r>
      <w:r w:rsidR="005177E8" w:rsidRPr="004802F4">
        <w:rPr>
          <w:lang w:val="fr-FR"/>
        </w:rPr>
        <w:t xml:space="preserve">échantillon de </w:t>
      </w:r>
      <w:r w:rsidR="002D2E1B" w:rsidRPr="004802F4">
        <w:rPr>
          <w:lang w:val="fr-FR"/>
        </w:rPr>
        <w:t>20 </w:t>
      </w:r>
      <w:r w:rsidR="005177E8" w:rsidRPr="004802F4">
        <w:rPr>
          <w:lang w:val="fr-FR"/>
        </w:rPr>
        <w:t>plantes utilisé dans le contexte d</w:t>
      </w:r>
      <w:r w:rsidR="004F302C" w:rsidRPr="004802F4">
        <w:rPr>
          <w:lang w:val="fr-FR"/>
        </w:rPr>
        <w:t>’</w:t>
      </w:r>
      <w:r w:rsidR="005177E8" w:rsidRPr="004802F4">
        <w:rPr>
          <w:lang w:val="fr-FR"/>
        </w:rPr>
        <w:t xml:space="preserve">un échantillon de </w:t>
      </w:r>
      <w:r w:rsidR="002D2E1B" w:rsidRPr="004802F4">
        <w:rPr>
          <w:lang w:val="fr-FR"/>
        </w:rPr>
        <w:t>100 </w:t>
      </w:r>
      <w:r w:rsidR="005177E8" w:rsidRPr="004802F4">
        <w:rPr>
          <w:lang w:val="fr-FR"/>
        </w:rPr>
        <w:t>plantes étaient comparables à celles</w:t>
      </w:r>
      <w:r w:rsidR="00650322" w:rsidRPr="004802F4">
        <w:rPr>
          <w:lang w:val="fr-FR"/>
        </w:rPr>
        <w:t xml:space="preserve"> de</w:t>
      </w:r>
      <w:r w:rsidR="005177E8" w:rsidRPr="004802F4">
        <w:rPr>
          <w:lang w:val="fr-FR"/>
        </w:rPr>
        <w:t xml:space="preserve"> l</w:t>
      </w:r>
      <w:r w:rsidR="004F302C" w:rsidRPr="004802F4">
        <w:rPr>
          <w:lang w:val="fr-FR"/>
        </w:rPr>
        <w:t>’</w:t>
      </w:r>
      <w:r w:rsidR="005177E8" w:rsidRPr="004802F4">
        <w:rPr>
          <w:lang w:val="fr-FR"/>
        </w:rPr>
        <w:t xml:space="preserve">échantillon </w:t>
      </w:r>
      <w:r w:rsidR="00650322" w:rsidRPr="004802F4">
        <w:rPr>
          <w:lang w:val="fr-FR"/>
        </w:rPr>
        <w:t xml:space="preserve">tout entier </w:t>
      </w:r>
      <w:r w:rsidR="005177E8" w:rsidRPr="004802F4">
        <w:rPr>
          <w:lang w:val="fr-FR"/>
        </w:rPr>
        <w:t>pour l</w:t>
      </w:r>
      <w:r w:rsidR="004F302C" w:rsidRPr="004802F4">
        <w:rPr>
          <w:lang w:val="fr-FR"/>
        </w:rPr>
        <w:t>’</w:t>
      </w:r>
      <w:r w:rsidR="005177E8" w:rsidRPr="004802F4">
        <w:rPr>
          <w:lang w:val="fr-FR"/>
        </w:rPr>
        <w:t>exemple fourni pour le blé et l</w:t>
      </w:r>
      <w:r w:rsidR="004F302C" w:rsidRPr="004802F4">
        <w:rPr>
          <w:lang w:val="fr-FR"/>
        </w:rPr>
        <w:t>’</w:t>
      </w:r>
      <w:r w:rsidR="005177E8" w:rsidRPr="004802F4">
        <w:rPr>
          <w:lang w:val="fr-FR"/>
        </w:rPr>
        <w:t>orge</w:t>
      </w:r>
      <w:r w:rsidRPr="004802F4">
        <w:rPr>
          <w:szCs w:val="24"/>
          <w:lang w:val="fr-FR"/>
        </w:rPr>
        <w:t>.</w:t>
      </w:r>
    </w:p>
    <w:p w:rsidR="007A701A" w:rsidRPr="004802F4" w:rsidRDefault="007A701A" w:rsidP="004802F4">
      <w:pPr>
        <w:rPr>
          <w:szCs w:val="24"/>
          <w:lang w:val="fr-FR"/>
        </w:rPr>
      </w:pPr>
    </w:p>
    <w:p w:rsidR="007A701A" w:rsidRPr="004802F4" w:rsidRDefault="003F7E71" w:rsidP="004802F4">
      <w:pPr>
        <w:rPr>
          <w:rFonts w:cs="Arial"/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5177E8" w:rsidRPr="004802F4">
        <w:rPr>
          <w:lang w:val="fr-FR"/>
        </w:rPr>
        <w:t xml:space="preserve">Le TWC a noté que la </w:t>
      </w:r>
      <w:r w:rsidR="005177E8" w:rsidRPr="004802F4">
        <w:rPr>
          <w:rFonts w:eastAsia="MS Mincho"/>
          <w:szCs w:val="24"/>
          <w:lang w:val="fr-FR" w:eastAsia="ja-JP"/>
        </w:rPr>
        <w:t>méthode par étapes</w:t>
      </w:r>
      <w:r w:rsidR="005177E8" w:rsidRPr="004802F4">
        <w:rPr>
          <w:lang w:val="fr-FR"/>
        </w:rPr>
        <w:t xml:space="preserve"> dans la procédure applicable aux plantes </w:t>
      </w:r>
      <w:r w:rsidR="00707A69" w:rsidRPr="004802F4">
        <w:rPr>
          <w:lang w:val="fr-FR"/>
        </w:rPr>
        <w:t>hors-type</w:t>
      </w:r>
      <w:r w:rsidR="005177E8" w:rsidRPr="004802F4">
        <w:rPr>
          <w:lang w:val="fr-FR"/>
        </w:rPr>
        <w:t xml:space="preserve"> visait à réduire les coûts sans toutefois accroître les risques dans l</w:t>
      </w:r>
      <w:r w:rsidR="004F302C" w:rsidRPr="004802F4">
        <w:rPr>
          <w:lang w:val="fr-FR"/>
        </w:rPr>
        <w:t>’</w:t>
      </w:r>
      <w:r w:rsidR="005177E8" w:rsidRPr="004802F4">
        <w:rPr>
          <w:lang w:val="fr-FR"/>
        </w:rPr>
        <w:t>évaluation de l</w:t>
      </w:r>
      <w:r w:rsidR="004F302C" w:rsidRPr="004802F4">
        <w:rPr>
          <w:lang w:val="fr-FR"/>
        </w:rPr>
        <w:t>’</w:t>
      </w:r>
      <w:r w:rsidR="005177E8" w:rsidRPr="004802F4">
        <w:rPr>
          <w:lang w:val="fr-FR"/>
        </w:rPr>
        <w:t>homogénéité</w:t>
      </w:r>
      <w:r w:rsidRPr="004802F4">
        <w:rPr>
          <w:szCs w:val="24"/>
          <w:lang w:val="fr-FR"/>
        </w:rPr>
        <w:t xml:space="preserve">. </w:t>
      </w:r>
      <w:r w:rsidR="004F302C" w:rsidRPr="004802F4">
        <w:rPr>
          <w:szCs w:val="24"/>
          <w:lang w:val="fr-FR"/>
        </w:rPr>
        <w:t xml:space="preserve"> Le TWC</w:t>
      </w:r>
      <w:r w:rsidR="005177E8" w:rsidRPr="004802F4">
        <w:rPr>
          <w:szCs w:val="24"/>
          <w:lang w:val="fr-FR"/>
        </w:rPr>
        <w:t xml:space="preserve"> est convenu </w:t>
      </w:r>
      <w:r w:rsidR="0029739F" w:rsidRPr="004802F4">
        <w:rPr>
          <w:szCs w:val="24"/>
          <w:lang w:val="fr-FR"/>
        </w:rPr>
        <w:t>de proposer les orientations ci</w:t>
      </w:r>
      <w:r w:rsidR="001272D3" w:rsidRPr="004802F4">
        <w:rPr>
          <w:szCs w:val="24"/>
          <w:lang w:val="fr-FR"/>
        </w:rPr>
        <w:noBreakHyphen/>
      </w:r>
      <w:r w:rsidR="0029739F" w:rsidRPr="004802F4">
        <w:rPr>
          <w:szCs w:val="24"/>
          <w:lang w:val="fr-FR"/>
        </w:rPr>
        <w:t>après</w:t>
      </w:r>
      <w:r w:rsidRPr="004802F4">
        <w:rPr>
          <w:szCs w:val="24"/>
          <w:lang w:val="fr-FR"/>
        </w:rPr>
        <w:t xml:space="preserve"> </w:t>
      </w:r>
      <w:r w:rsidRPr="004802F4">
        <w:rPr>
          <w:lang w:val="fr-FR"/>
        </w:rPr>
        <w:t>(</w:t>
      </w:r>
      <w:r w:rsidR="0029739F" w:rsidRPr="004802F4">
        <w:rPr>
          <w:lang w:val="fr-FR"/>
        </w:rPr>
        <w:t>voir les paragraphes</w:t>
      </w:r>
      <w:r w:rsidR="009307C6" w:rsidRPr="004802F4">
        <w:rPr>
          <w:lang w:val="fr-FR"/>
        </w:rPr>
        <w:t> </w:t>
      </w:r>
      <w:r w:rsidR="0029739F" w:rsidRPr="004802F4">
        <w:rPr>
          <w:lang w:val="fr-FR"/>
        </w:rPr>
        <w:t>19 à 24 du</w:t>
      </w:r>
      <w:r w:rsidRPr="004802F4">
        <w:rPr>
          <w:lang w:val="fr-FR"/>
        </w:rPr>
        <w:t xml:space="preserve"> document TWC/32/28 “</w:t>
      </w:r>
      <w:r w:rsidR="008155B3">
        <w:rPr>
          <w:lang w:val="fr-FR"/>
        </w:rPr>
        <w:t>Report</w:t>
      </w:r>
      <w:r w:rsidRPr="004802F4">
        <w:rPr>
          <w:lang w:val="fr-FR"/>
        </w:rPr>
        <w:t>”)</w:t>
      </w:r>
      <w:r w:rsidR="0029739F" w:rsidRPr="004802F4">
        <w:rPr>
          <w:lang w:val="fr-FR"/>
        </w:rPr>
        <w:t> :</w:t>
      </w:r>
    </w:p>
    <w:p w:rsidR="007A701A" w:rsidRPr="004802F4" w:rsidRDefault="007A701A" w:rsidP="004802F4">
      <w:pPr>
        <w:ind w:left="567" w:right="567"/>
        <w:jc w:val="left"/>
        <w:rPr>
          <w:sz w:val="18"/>
          <w:lang w:val="fr-FR"/>
        </w:rPr>
      </w:pPr>
    </w:p>
    <w:p w:rsidR="007A701A" w:rsidRPr="004802F4" w:rsidRDefault="007A701A" w:rsidP="004802F4">
      <w:pPr>
        <w:ind w:left="567" w:right="567"/>
        <w:rPr>
          <w:rFonts w:cs="Arial"/>
          <w:sz w:val="18"/>
          <w:lang w:val="fr-FR"/>
        </w:rPr>
      </w:pPr>
    </w:p>
    <w:p w:rsidR="007A701A" w:rsidRPr="004802F4" w:rsidRDefault="00EC1BE7" w:rsidP="004802F4">
      <w:pPr>
        <w:ind w:left="567" w:right="567"/>
        <w:rPr>
          <w:sz w:val="18"/>
          <w:szCs w:val="24"/>
          <w:lang w:val="fr-FR"/>
        </w:rPr>
      </w:pPr>
      <w:r w:rsidRPr="004802F4">
        <w:rPr>
          <w:sz w:val="18"/>
          <w:szCs w:val="24"/>
          <w:lang w:val="fr-FR"/>
        </w:rPr>
        <w:t>“</w:t>
      </w:r>
      <w:r w:rsidR="0029739F" w:rsidRPr="004802F4">
        <w:rPr>
          <w:sz w:val="18"/>
          <w:szCs w:val="24"/>
          <w:lang w:val="fr-FR"/>
        </w:rPr>
        <w:t>SITUATION D : ÉVALUATION DE SOUS</w:t>
      </w:r>
      <w:r w:rsidR="001272D3" w:rsidRPr="004802F4">
        <w:rPr>
          <w:sz w:val="18"/>
          <w:szCs w:val="24"/>
          <w:lang w:val="fr-FR"/>
        </w:rPr>
        <w:noBreakHyphen/>
      </w:r>
      <w:r w:rsidR="0029739F" w:rsidRPr="004802F4">
        <w:rPr>
          <w:sz w:val="18"/>
          <w:szCs w:val="24"/>
          <w:lang w:val="fr-FR"/>
        </w:rPr>
        <w:t>ÉCHANTILLONS DANS LE CADRE D</w:t>
      </w:r>
      <w:r w:rsidR="004F302C" w:rsidRPr="004802F4">
        <w:rPr>
          <w:sz w:val="18"/>
          <w:szCs w:val="24"/>
          <w:lang w:val="fr-FR"/>
        </w:rPr>
        <w:t>’</w:t>
      </w:r>
      <w:r w:rsidR="0029739F" w:rsidRPr="004802F4">
        <w:rPr>
          <w:sz w:val="18"/>
          <w:szCs w:val="24"/>
          <w:lang w:val="fr-FR"/>
        </w:rPr>
        <w:t>UN SEUL EXAMEN/ESSAI</w:t>
      </w:r>
    </w:p>
    <w:p w:rsidR="007A701A" w:rsidRPr="004802F4" w:rsidRDefault="007A701A" w:rsidP="004802F4">
      <w:pPr>
        <w:ind w:left="567" w:right="567"/>
        <w:rPr>
          <w:sz w:val="18"/>
          <w:szCs w:val="24"/>
          <w:lang w:val="fr-FR"/>
        </w:rPr>
      </w:pPr>
    </w:p>
    <w:p w:rsidR="007A701A" w:rsidRPr="004802F4" w:rsidRDefault="004A7D9D" w:rsidP="004802F4">
      <w:pPr>
        <w:ind w:left="567"/>
        <w:rPr>
          <w:b/>
          <w:sz w:val="18"/>
          <w:lang w:val="fr-FR"/>
        </w:rPr>
      </w:pPr>
      <w:r w:rsidRPr="004802F4">
        <w:rPr>
          <w:b/>
          <w:sz w:val="18"/>
          <w:lang w:val="fr-FR"/>
        </w:rPr>
        <w:t>“</w:t>
      </w:r>
      <w:r w:rsidR="007A701A" w:rsidRPr="004802F4">
        <w:rPr>
          <w:b/>
          <w:sz w:val="18"/>
          <w:lang w:val="fr-FR"/>
        </w:rPr>
        <w:t>Méthode : Utilisation du sous</w:t>
      </w:r>
      <w:r w:rsidR="001272D3" w:rsidRPr="004802F4">
        <w:rPr>
          <w:b/>
          <w:sz w:val="18"/>
          <w:lang w:val="fr-FR"/>
        </w:rPr>
        <w:noBreakHyphen/>
      </w:r>
      <w:r w:rsidR="007A701A" w:rsidRPr="004802F4">
        <w:rPr>
          <w:b/>
          <w:sz w:val="18"/>
          <w:lang w:val="fr-FR"/>
        </w:rPr>
        <w:t>échantillon comme première étape d</w:t>
      </w:r>
      <w:r w:rsidR="004F302C" w:rsidRPr="004802F4">
        <w:rPr>
          <w:b/>
          <w:sz w:val="18"/>
          <w:lang w:val="fr-FR"/>
        </w:rPr>
        <w:t>’</w:t>
      </w:r>
      <w:r w:rsidR="007A701A" w:rsidRPr="004802F4">
        <w:rPr>
          <w:b/>
          <w:sz w:val="18"/>
          <w:lang w:val="fr-FR"/>
        </w:rPr>
        <w:t>évaluation</w:t>
      </w:r>
    </w:p>
    <w:p w:rsidR="007A701A" w:rsidRPr="004802F4" w:rsidRDefault="007A701A" w:rsidP="004802F4">
      <w:pPr>
        <w:ind w:left="567" w:right="567"/>
        <w:rPr>
          <w:rFonts w:cs="Arial"/>
          <w:sz w:val="18"/>
          <w:lang w:val="fr-FR"/>
        </w:rPr>
      </w:pPr>
    </w:p>
    <w:p w:rsidR="007A701A" w:rsidRPr="004802F4" w:rsidRDefault="003F7E71" w:rsidP="004802F4">
      <w:pPr>
        <w:ind w:left="567" w:right="567"/>
        <w:rPr>
          <w:rFonts w:cs="Arial"/>
          <w:sz w:val="18"/>
          <w:lang w:val="fr-FR"/>
        </w:rPr>
      </w:pPr>
      <w:r w:rsidRPr="004802F4">
        <w:rPr>
          <w:rFonts w:cs="Arial"/>
          <w:sz w:val="18"/>
          <w:lang w:val="fr-FR"/>
        </w:rPr>
        <w:t>“</w:t>
      </w:r>
      <w:r w:rsidR="0029739F" w:rsidRPr="004802F4">
        <w:rPr>
          <w:rFonts w:cs="Arial"/>
          <w:sz w:val="18"/>
          <w:lang w:val="fr-FR"/>
        </w:rPr>
        <w:t xml:space="preserve">Une variété est réputée homogène si </w:t>
      </w:r>
      <w:r w:rsidR="00650322" w:rsidRPr="004802F4">
        <w:rPr>
          <w:rFonts w:cs="Arial"/>
          <w:sz w:val="18"/>
          <w:lang w:val="fr-FR"/>
        </w:rPr>
        <w:t xml:space="preserve">le nombre de plantes </w:t>
      </w:r>
      <w:r w:rsidR="00707A69" w:rsidRPr="004802F4">
        <w:rPr>
          <w:rFonts w:cs="Arial"/>
          <w:sz w:val="18"/>
          <w:lang w:val="fr-FR"/>
        </w:rPr>
        <w:t>hors-type</w:t>
      </w:r>
      <w:r w:rsidR="00650322" w:rsidRPr="004802F4">
        <w:rPr>
          <w:rFonts w:cs="Arial"/>
          <w:sz w:val="18"/>
          <w:lang w:val="fr-FR"/>
        </w:rPr>
        <w:t xml:space="preserve"> ne dépasse pas une limite inférieure prédéfinie dans le sous</w:t>
      </w:r>
      <w:r w:rsidR="001272D3" w:rsidRPr="004802F4">
        <w:rPr>
          <w:rFonts w:cs="Arial"/>
          <w:sz w:val="18"/>
          <w:lang w:val="fr-FR"/>
        </w:rPr>
        <w:noBreakHyphen/>
      </w:r>
      <w:r w:rsidR="00650322" w:rsidRPr="004802F4">
        <w:rPr>
          <w:rFonts w:cs="Arial"/>
          <w:sz w:val="18"/>
          <w:lang w:val="fr-FR"/>
        </w:rPr>
        <w:t>échantillon</w:t>
      </w:r>
      <w:r w:rsidR="0029739F" w:rsidRPr="004802F4">
        <w:rPr>
          <w:rFonts w:cs="Arial"/>
          <w:sz w:val="18"/>
          <w:lang w:val="fr-FR"/>
        </w:rPr>
        <w:t>.</w:t>
      </w:r>
    </w:p>
    <w:p w:rsidR="007A701A" w:rsidRPr="004802F4" w:rsidRDefault="007A701A" w:rsidP="004802F4">
      <w:pPr>
        <w:ind w:left="567" w:right="567"/>
        <w:rPr>
          <w:rFonts w:cs="Arial"/>
          <w:sz w:val="18"/>
          <w:lang w:val="fr-FR"/>
        </w:rPr>
      </w:pPr>
    </w:p>
    <w:p w:rsidR="007A701A" w:rsidRPr="004802F4" w:rsidRDefault="003F7E71" w:rsidP="004802F4">
      <w:pPr>
        <w:ind w:left="567" w:right="567"/>
        <w:rPr>
          <w:rFonts w:cs="Arial"/>
          <w:sz w:val="18"/>
          <w:lang w:val="fr-FR"/>
        </w:rPr>
      </w:pPr>
      <w:r w:rsidRPr="004802F4">
        <w:rPr>
          <w:rFonts w:cs="Arial"/>
          <w:sz w:val="18"/>
          <w:lang w:val="fr-FR"/>
        </w:rPr>
        <w:t>“</w:t>
      </w:r>
      <w:r w:rsidR="0029739F" w:rsidRPr="004802F4">
        <w:rPr>
          <w:rFonts w:eastAsia="SimSun"/>
          <w:sz w:val="18"/>
          <w:szCs w:val="18"/>
          <w:lang w:val="fr-FR" w:eastAsia="zh-CN"/>
        </w:rPr>
        <w:t xml:space="preserve">Une variété est réputée non homogène si le nombre de plantes </w:t>
      </w:r>
      <w:r w:rsidR="00707A69" w:rsidRPr="004802F4">
        <w:rPr>
          <w:rFonts w:eastAsia="SimSun"/>
          <w:sz w:val="18"/>
          <w:szCs w:val="18"/>
          <w:lang w:val="fr-FR" w:eastAsia="zh-CN"/>
        </w:rPr>
        <w:t>hors-type</w:t>
      </w:r>
      <w:r w:rsidR="0029739F" w:rsidRPr="004802F4">
        <w:rPr>
          <w:rFonts w:eastAsia="SimSun"/>
          <w:sz w:val="18"/>
          <w:szCs w:val="18"/>
          <w:lang w:val="fr-FR" w:eastAsia="zh-CN"/>
        </w:rPr>
        <w:t xml:space="preserve"> dépasse une limi</w:t>
      </w:r>
      <w:r w:rsidR="00650322" w:rsidRPr="004802F4">
        <w:rPr>
          <w:rFonts w:eastAsia="SimSun"/>
          <w:sz w:val="18"/>
          <w:szCs w:val="18"/>
          <w:lang w:val="fr-FR" w:eastAsia="zh-CN"/>
        </w:rPr>
        <w:t>te supérieure prédéfinie dans le sous</w:t>
      </w:r>
      <w:r w:rsidR="001272D3" w:rsidRPr="004802F4">
        <w:rPr>
          <w:rFonts w:eastAsia="SimSun"/>
          <w:sz w:val="18"/>
          <w:szCs w:val="18"/>
          <w:lang w:val="fr-FR" w:eastAsia="zh-CN"/>
        </w:rPr>
        <w:noBreakHyphen/>
      </w:r>
      <w:r w:rsidR="00650322" w:rsidRPr="004802F4">
        <w:rPr>
          <w:rFonts w:eastAsia="SimSun"/>
          <w:sz w:val="18"/>
          <w:szCs w:val="18"/>
          <w:lang w:val="fr-FR" w:eastAsia="zh-CN"/>
        </w:rPr>
        <w:t>échantillon</w:t>
      </w:r>
      <w:r w:rsidR="0029739F" w:rsidRPr="004802F4">
        <w:rPr>
          <w:rFonts w:eastAsia="SimSun"/>
          <w:sz w:val="18"/>
          <w:szCs w:val="18"/>
          <w:lang w:val="fr-FR" w:eastAsia="zh-CN"/>
        </w:rPr>
        <w:t>.</w:t>
      </w:r>
    </w:p>
    <w:p w:rsidR="007A701A" w:rsidRPr="004802F4" w:rsidRDefault="007A701A" w:rsidP="004802F4">
      <w:pPr>
        <w:ind w:left="567" w:right="567"/>
        <w:rPr>
          <w:rFonts w:cs="Arial"/>
          <w:sz w:val="18"/>
          <w:lang w:val="fr-FR"/>
        </w:rPr>
      </w:pPr>
    </w:p>
    <w:p w:rsidR="007A701A" w:rsidRPr="004802F4" w:rsidRDefault="003F7E71" w:rsidP="004802F4">
      <w:pPr>
        <w:ind w:left="567" w:right="567"/>
        <w:rPr>
          <w:rFonts w:cs="Arial"/>
          <w:sz w:val="18"/>
          <w:lang w:val="fr-FR"/>
        </w:rPr>
      </w:pPr>
      <w:r w:rsidRPr="004802F4">
        <w:rPr>
          <w:rFonts w:cs="Arial"/>
          <w:sz w:val="18"/>
          <w:lang w:val="fr-FR"/>
        </w:rPr>
        <w:t>“</w:t>
      </w:r>
      <w:r w:rsidR="00650322" w:rsidRPr="004802F4">
        <w:rPr>
          <w:rFonts w:cs="Arial"/>
          <w:sz w:val="18"/>
          <w:lang w:val="fr-FR"/>
        </w:rPr>
        <w:t xml:space="preserve">Si le nombre de plantes </w:t>
      </w:r>
      <w:r w:rsidR="00707A69" w:rsidRPr="004802F4">
        <w:rPr>
          <w:rFonts w:cs="Arial"/>
          <w:sz w:val="18"/>
          <w:lang w:val="fr-FR"/>
        </w:rPr>
        <w:t>hors-type</w:t>
      </w:r>
      <w:r w:rsidR="00650322" w:rsidRPr="004802F4">
        <w:rPr>
          <w:rFonts w:cs="Arial"/>
          <w:sz w:val="18"/>
          <w:lang w:val="fr-FR"/>
        </w:rPr>
        <w:t xml:space="preserve"> se situe entre les limites inférieure et supérieure prédéfinies, l</w:t>
      </w:r>
      <w:r w:rsidR="004F302C" w:rsidRPr="004802F4">
        <w:rPr>
          <w:rFonts w:cs="Arial"/>
          <w:sz w:val="18"/>
          <w:lang w:val="fr-FR"/>
        </w:rPr>
        <w:t>’</w:t>
      </w:r>
      <w:r w:rsidR="00650322" w:rsidRPr="004802F4">
        <w:rPr>
          <w:rFonts w:cs="Arial"/>
          <w:sz w:val="18"/>
          <w:lang w:val="fr-FR"/>
        </w:rPr>
        <w:t>échantillon tout entier est évalué</w:t>
      </w:r>
      <w:r w:rsidRPr="004802F4">
        <w:rPr>
          <w:rFonts w:cs="Arial"/>
          <w:sz w:val="18"/>
          <w:lang w:val="fr-FR"/>
        </w:rPr>
        <w:t xml:space="preserve">. </w:t>
      </w:r>
      <w:r w:rsidR="00650322" w:rsidRPr="004802F4">
        <w:rPr>
          <w:rFonts w:cs="Arial"/>
          <w:sz w:val="18"/>
          <w:lang w:val="fr-FR"/>
        </w:rPr>
        <w:t xml:space="preserve"> Les limites inférieure et supérieure </w:t>
      </w:r>
      <w:r w:rsidR="004A5024" w:rsidRPr="004802F4">
        <w:rPr>
          <w:rFonts w:cs="Arial"/>
          <w:sz w:val="18"/>
          <w:lang w:val="fr-FR"/>
        </w:rPr>
        <w:t>doivent être</w:t>
      </w:r>
      <w:r w:rsidR="00650322" w:rsidRPr="004802F4">
        <w:rPr>
          <w:rFonts w:cs="Arial"/>
          <w:sz w:val="18"/>
          <w:lang w:val="fr-FR"/>
        </w:rPr>
        <w:t xml:space="preserve"> choisies compte tenu </w:t>
      </w:r>
      <w:r w:rsidR="005711FD" w:rsidRPr="004802F4">
        <w:rPr>
          <w:rFonts w:cs="Arial"/>
          <w:sz w:val="18"/>
          <w:lang w:val="fr-FR"/>
        </w:rPr>
        <w:t xml:space="preserve">des probabilités </w:t>
      </w:r>
      <w:r w:rsidR="00650322" w:rsidRPr="004802F4">
        <w:rPr>
          <w:rFonts w:cs="Arial"/>
          <w:sz w:val="18"/>
          <w:lang w:val="fr-FR"/>
        </w:rPr>
        <w:t>d</w:t>
      </w:r>
      <w:r w:rsidR="004F302C" w:rsidRPr="004802F4">
        <w:rPr>
          <w:rFonts w:cs="Arial"/>
          <w:sz w:val="18"/>
          <w:lang w:val="fr-FR"/>
        </w:rPr>
        <w:t>’</w:t>
      </w:r>
      <w:r w:rsidR="00E14B9D" w:rsidRPr="004802F4">
        <w:rPr>
          <w:rFonts w:cs="Arial"/>
          <w:sz w:val="18"/>
          <w:lang w:val="fr-FR"/>
        </w:rPr>
        <w:t>erreurs de type I et de type </w:t>
      </w:r>
      <w:r w:rsidR="00650322" w:rsidRPr="004802F4">
        <w:rPr>
          <w:rFonts w:cs="Arial"/>
          <w:sz w:val="18"/>
          <w:lang w:val="fr-FR"/>
        </w:rPr>
        <w:t xml:space="preserve">II </w:t>
      </w:r>
      <w:r w:rsidR="005711FD" w:rsidRPr="004802F4">
        <w:rPr>
          <w:rFonts w:cs="Arial"/>
          <w:sz w:val="18"/>
          <w:lang w:val="fr-FR"/>
        </w:rPr>
        <w:t xml:space="preserve">comparables </w:t>
      </w:r>
      <w:r w:rsidR="00A15565" w:rsidRPr="004802F4">
        <w:rPr>
          <w:rFonts w:cs="Arial"/>
          <w:sz w:val="18"/>
          <w:lang w:val="fr-FR"/>
        </w:rPr>
        <w:t>entre</w:t>
      </w:r>
      <w:r w:rsidR="00650322" w:rsidRPr="004802F4">
        <w:rPr>
          <w:rFonts w:cs="Arial"/>
          <w:sz w:val="18"/>
          <w:lang w:val="fr-FR"/>
        </w:rPr>
        <w:t xml:space="preserve"> le sous</w:t>
      </w:r>
      <w:r w:rsidR="001272D3" w:rsidRPr="004802F4">
        <w:rPr>
          <w:rFonts w:cs="Arial"/>
          <w:sz w:val="18"/>
          <w:lang w:val="fr-FR"/>
        </w:rPr>
        <w:noBreakHyphen/>
      </w:r>
      <w:r w:rsidR="00650322" w:rsidRPr="004802F4">
        <w:rPr>
          <w:rFonts w:cs="Arial"/>
          <w:sz w:val="18"/>
          <w:lang w:val="fr-FR"/>
        </w:rPr>
        <w:t>échantillon et l</w:t>
      </w:r>
      <w:r w:rsidR="004F302C" w:rsidRPr="004802F4">
        <w:rPr>
          <w:rFonts w:cs="Arial"/>
          <w:sz w:val="18"/>
          <w:lang w:val="fr-FR"/>
        </w:rPr>
        <w:t>’</w:t>
      </w:r>
      <w:r w:rsidR="00650322" w:rsidRPr="004802F4">
        <w:rPr>
          <w:rFonts w:cs="Arial"/>
          <w:sz w:val="18"/>
          <w:lang w:val="fr-FR"/>
        </w:rPr>
        <w:t>échantillon tout entier</w:t>
      </w:r>
      <w:r w:rsidRPr="004802F4">
        <w:rPr>
          <w:rFonts w:cs="Arial"/>
          <w:sz w:val="18"/>
          <w:lang w:val="fr-FR"/>
        </w:rPr>
        <w:t>.</w:t>
      </w:r>
    </w:p>
    <w:p w:rsidR="007A701A" w:rsidRPr="004802F4" w:rsidRDefault="007A701A" w:rsidP="004802F4">
      <w:pPr>
        <w:ind w:left="567" w:right="567"/>
        <w:rPr>
          <w:rFonts w:cs="Arial"/>
          <w:sz w:val="18"/>
          <w:lang w:val="fr-FR"/>
        </w:rPr>
      </w:pPr>
    </w:p>
    <w:p w:rsidR="007A701A" w:rsidRPr="004802F4" w:rsidRDefault="00EC1BE7" w:rsidP="004802F4">
      <w:pPr>
        <w:ind w:left="567" w:right="567"/>
        <w:rPr>
          <w:rFonts w:cs="Arial"/>
          <w:sz w:val="18"/>
          <w:lang w:val="fr-FR"/>
        </w:rPr>
      </w:pPr>
      <w:r w:rsidRPr="004802F4">
        <w:rPr>
          <w:rFonts w:cs="Arial"/>
          <w:sz w:val="18"/>
          <w:lang w:val="fr-FR"/>
        </w:rPr>
        <w:t>“</w:t>
      </w:r>
      <w:r w:rsidR="007A701A" w:rsidRPr="004802F4">
        <w:rPr>
          <w:rFonts w:cs="Arial"/>
          <w:sz w:val="18"/>
          <w:lang w:val="fr-FR"/>
        </w:rPr>
        <w:t>Exemple</w:t>
      </w:r>
      <w:r w:rsidR="00B330C4" w:rsidRPr="004802F4">
        <w:rPr>
          <w:rFonts w:cs="Arial"/>
          <w:sz w:val="18"/>
          <w:lang w:val="fr-FR"/>
        </w:rPr>
        <w:t> :</w:t>
      </w:r>
    </w:p>
    <w:p w:rsidR="007A701A" w:rsidRPr="004802F4" w:rsidRDefault="007A701A" w:rsidP="004802F4">
      <w:pPr>
        <w:ind w:left="567" w:right="567"/>
        <w:rPr>
          <w:rFonts w:cs="Arial"/>
          <w:sz w:val="18"/>
          <w:lang w:val="fr-FR"/>
        </w:rPr>
      </w:pPr>
    </w:p>
    <w:p w:rsidR="007A701A" w:rsidRPr="004802F4" w:rsidRDefault="00EC1BE7" w:rsidP="004802F4">
      <w:pPr>
        <w:autoSpaceDE w:val="0"/>
        <w:autoSpaceDN w:val="0"/>
        <w:adjustRightInd w:val="0"/>
        <w:ind w:left="567" w:right="567"/>
        <w:rPr>
          <w:rFonts w:cs="Arial"/>
          <w:sz w:val="18"/>
          <w:lang w:val="fr-FR"/>
        </w:rPr>
      </w:pPr>
      <w:r w:rsidRPr="004802F4">
        <w:rPr>
          <w:rFonts w:cs="Arial"/>
          <w:sz w:val="18"/>
          <w:lang w:val="fr-FR"/>
        </w:rPr>
        <w:t>“</w:t>
      </w:r>
      <w:r w:rsidR="007A701A" w:rsidRPr="004802F4">
        <w:rPr>
          <w:rFonts w:cs="Arial"/>
          <w:sz w:val="18"/>
          <w:lang w:val="fr-FR"/>
        </w:rPr>
        <w:t xml:space="preserve">Dans un échantillon de </w:t>
      </w:r>
      <w:r w:rsidR="002D2E1B" w:rsidRPr="004802F4">
        <w:rPr>
          <w:rFonts w:cs="Arial"/>
          <w:sz w:val="18"/>
          <w:lang w:val="fr-FR"/>
        </w:rPr>
        <w:t>100 </w:t>
      </w:r>
      <w:r w:rsidR="007A701A" w:rsidRPr="004802F4">
        <w:rPr>
          <w:rFonts w:cs="Arial"/>
          <w:sz w:val="18"/>
          <w:lang w:val="fr-FR"/>
        </w:rPr>
        <w:t xml:space="preserve">plantes, le nombre acceptable de plantes </w:t>
      </w:r>
      <w:r w:rsidR="00707A69" w:rsidRPr="004802F4">
        <w:rPr>
          <w:rFonts w:cs="Arial"/>
          <w:sz w:val="18"/>
          <w:lang w:val="fr-FR"/>
        </w:rPr>
        <w:t>hors-type</w:t>
      </w:r>
      <w:r w:rsidR="007A701A" w:rsidRPr="004802F4">
        <w:rPr>
          <w:rFonts w:cs="Arial"/>
          <w:sz w:val="18"/>
          <w:lang w:val="fr-FR"/>
        </w:rPr>
        <w:t xml:space="preserve"> est de 3 (sur la base d</w:t>
      </w:r>
      <w:r w:rsidR="004F302C" w:rsidRPr="004802F4">
        <w:rPr>
          <w:rFonts w:cs="Arial"/>
          <w:sz w:val="18"/>
          <w:lang w:val="fr-FR"/>
        </w:rPr>
        <w:t>’</w:t>
      </w:r>
      <w:r w:rsidR="007A701A" w:rsidRPr="004802F4">
        <w:rPr>
          <w:rFonts w:cs="Arial"/>
          <w:sz w:val="18"/>
          <w:lang w:val="fr-FR"/>
        </w:rPr>
        <w:t>une norme de population de 1% et d</w:t>
      </w:r>
      <w:r w:rsidR="004F302C" w:rsidRPr="004802F4">
        <w:rPr>
          <w:rFonts w:cs="Arial"/>
          <w:sz w:val="18"/>
          <w:lang w:val="fr-FR"/>
        </w:rPr>
        <w:t>’</w:t>
      </w:r>
      <w:r w:rsidR="007A701A" w:rsidRPr="004802F4">
        <w:rPr>
          <w:rFonts w:cs="Arial"/>
          <w:sz w:val="18"/>
          <w:lang w:val="fr-FR"/>
        </w:rPr>
        <w:t>une probabilité d</w:t>
      </w:r>
      <w:r w:rsidR="004F302C" w:rsidRPr="004802F4">
        <w:rPr>
          <w:rFonts w:cs="Arial"/>
          <w:sz w:val="18"/>
          <w:lang w:val="fr-FR"/>
        </w:rPr>
        <w:t>’</w:t>
      </w:r>
      <w:r w:rsidR="007A701A" w:rsidRPr="004802F4">
        <w:rPr>
          <w:rFonts w:cs="Arial"/>
          <w:sz w:val="18"/>
          <w:lang w:val="fr-FR"/>
        </w:rPr>
        <w:t>acceptation d</w:t>
      </w:r>
      <w:r w:rsidR="004F302C" w:rsidRPr="004802F4">
        <w:rPr>
          <w:rFonts w:cs="Arial"/>
          <w:sz w:val="18"/>
          <w:lang w:val="fr-FR"/>
        </w:rPr>
        <w:t>’</w:t>
      </w:r>
      <w:r w:rsidR="007A701A" w:rsidRPr="004802F4">
        <w:rPr>
          <w:rFonts w:cs="Arial"/>
          <w:sz w:val="18"/>
          <w:lang w:val="fr-FR"/>
        </w:rPr>
        <w:t>au moins 95%).</w:t>
      </w:r>
    </w:p>
    <w:p w:rsidR="007A701A" w:rsidRPr="004802F4" w:rsidRDefault="007A701A" w:rsidP="004802F4">
      <w:pPr>
        <w:autoSpaceDE w:val="0"/>
        <w:autoSpaceDN w:val="0"/>
        <w:adjustRightInd w:val="0"/>
        <w:ind w:left="567" w:right="567"/>
        <w:rPr>
          <w:rFonts w:cs="Arial"/>
          <w:sz w:val="18"/>
          <w:lang w:val="fr-FR"/>
        </w:rPr>
      </w:pPr>
    </w:p>
    <w:p w:rsidR="007A701A" w:rsidRPr="004802F4" w:rsidRDefault="00EC1BE7" w:rsidP="004802F4">
      <w:pPr>
        <w:autoSpaceDE w:val="0"/>
        <w:autoSpaceDN w:val="0"/>
        <w:adjustRightInd w:val="0"/>
        <w:ind w:left="567" w:right="567"/>
        <w:rPr>
          <w:rFonts w:cs="Arial"/>
          <w:sz w:val="18"/>
          <w:lang w:val="fr-FR"/>
        </w:rPr>
      </w:pPr>
      <w:r w:rsidRPr="004802F4">
        <w:rPr>
          <w:rFonts w:cs="Arial"/>
          <w:sz w:val="18"/>
          <w:lang w:val="fr-FR"/>
        </w:rPr>
        <w:t>“</w:t>
      </w:r>
      <w:r w:rsidR="007A701A" w:rsidRPr="004802F4">
        <w:rPr>
          <w:rFonts w:cs="Arial"/>
          <w:sz w:val="18"/>
          <w:lang w:val="fr-FR"/>
        </w:rPr>
        <w:t>Dans un sous</w:t>
      </w:r>
      <w:r w:rsidR="001272D3" w:rsidRPr="004802F4">
        <w:rPr>
          <w:rFonts w:cs="Arial"/>
          <w:sz w:val="18"/>
          <w:lang w:val="fr-FR"/>
        </w:rPr>
        <w:noBreakHyphen/>
      </w:r>
      <w:r w:rsidR="007A701A" w:rsidRPr="004802F4">
        <w:rPr>
          <w:rFonts w:cs="Arial"/>
          <w:sz w:val="18"/>
          <w:lang w:val="fr-FR"/>
        </w:rPr>
        <w:t>échantillon de 20 plantes utilisé dans le contexte de l</w:t>
      </w:r>
      <w:r w:rsidR="004F302C" w:rsidRPr="004802F4">
        <w:rPr>
          <w:rFonts w:cs="Arial"/>
          <w:sz w:val="18"/>
          <w:lang w:val="fr-FR"/>
        </w:rPr>
        <w:t>’</w:t>
      </w:r>
      <w:r w:rsidR="007A701A" w:rsidRPr="004802F4">
        <w:rPr>
          <w:rFonts w:cs="Arial"/>
          <w:sz w:val="18"/>
          <w:lang w:val="fr-FR"/>
        </w:rPr>
        <w:t>échantillon de 100 plantes ci</w:t>
      </w:r>
      <w:r w:rsidR="001272D3" w:rsidRPr="004802F4">
        <w:rPr>
          <w:rFonts w:cs="Arial"/>
          <w:sz w:val="18"/>
          <w:lang w:val="fr-FR"/>
        </w:rPr>
        <w:noBreakHyphen/>
      </w:r>
      <w:r w:rsidR="007A701A" w:rsidRPr="004802F4">
        <w:rPr>
          <w:rFonts w:cs="Arial"/>
          <w:sz w:val="18"/>
          <w:lang w:val="fr-FR"/>
        </w:rPr>
        <w:t>dessus :</w:t>
      </w:r>
    </w:p>
    <w:p w:rsidR="007A701A" w:rsidRPr="004802F4" w:rsidRDefault="007A701A" w:rsidP="004802F4">
      <w:pPr>
        <w:autoSpaceDE w:val="0"/>
        <w:autoSpaceDN w:val="0"/>
        <w:adjustRightInd w:val="0"/>
        <w:ind w:left="1134" w:right="567"/>
        <w:rPr>
          <w:rFonts w:cs="Arial"/>
          <w:sz w:val="18"/>
          <w:lang w:val="fr-FR"/>
        </w:rPr>
      </w:pPr>
    </w:p>
    <w:p w:rsidR="007A701A" w:rsidRPr="004802F4" w:rsidRDefault="00EC1BE7" w:rsidP="004802F4">
      <w:pPr>
        <w:ind w:left="1134" w:right="567"/>
        <w:rPr>
          <w:rFonts w:cs="Arial"/>
          <w:sz w:val="18"/>
          <w:lang w:val="fr-FR"/>
        </w:rPr>
      </w:pPr>
      <w:r w:rsidRPr="004802F4">
        <w:rPr>
          <w:rFonts w:cs="Arial"/>
          <w:sz w:val="18"/>
          <w:lang w:val="fr-FR"/>
        </w:rPr>
        <w:t>“</w:t>
      </w:r>
      <w:r w:rsidR="007A701A" w:rsidRPr="004802F4">
        <w:rPr>
          <w:rFonts w:cs="Arial"/>
          <w:sz w:val="18"/>
          <w:lang w:val="fr-FR"/>
        </w:rPr>
        <w:t xml:space="preserve">Une variété est réputée homogène si aucune plante </w:t>
      </w:r>
      <w:r w:rsidR="00707A69" w:rsidRPr="004802F4">
        <w:rPr>
          <w:rFonts w:cs="Arial"/>
          <w:sz w:val="18"/>
          <w:lang w:val="fr-FR"/>
        </w:rPr>
        <w:t>hors-type</w:t>
      </w:r>
      <w:r w:rsidR="007A701A" w:rsidRPr="004802F4">
        <w:rPr>
          <w:rFonts w:cs="Arial"/>
          <w:sz w:val="18"/>
          <w:lang w:val="fr-FR"/>
        </w:rPr>
        <w:t xml:space="preserve"> n</w:t>
      </w:r>
      <w:r w:rsidR="004F302C" w:rsidRPr="004802F4">
        <w:rPr>
          <w:rFonts w:cs="Arial"/>
          <w:sz w:val="18"/>
          <w:lang w:val="fr-FR"/>
        </w:rPr>
        <w:t>’</w:t>
      </w:r>
      <w:r w:rsidR="007A701A" w:rsidRPr="004802F4">
        <w:rPr>
          <w:rFonts w:cs="Arial"/>
          <w:sz w:val="18"/>
          <w:lang w:val="fr-FR"/>
        </w:rPr>
        <w:t>est observée dans un sous</w:t>
      </w:r>
      <w:r w:rsidR="001272D3" w:rsidRPr="004802F4">
        <w:rPr>
          <w:rFonts w:cs="Arial"/>
          <w:sz w:val="18"/>
          <w:lang w:val="fr-FR"/>
        </w:rPr>
        <w:noBreakHyphen/>
      </w:r>
      <w:r w:rsidR="007A701A" w:rsidRPr="004802F4">
        <w:rPr>
          <w:rFonts w:cs="Arial"/>
          <w:sz w:val="18"/>
          <w:lang w:val="fr-FR"/>
        </w:rPr>
        <w:t>échantillon.</w:t>
      </w:r>
    </w:p>
    <w:p w:rsidR="007A701A" w:rsidRPr="004802F4" w:rsidRDefault="007A701A" w:rsidP="004802F4">
      <w:pPr>
        <w:ind w:left="1134" w:right="567"/>
        <w:rPr>
          <w:rFonts w:cs="Arial"/>
          <w:sz w:val="18"/>
          <w:lang w:val="fr-FR"/>
        </w:rPr>
      </w:pPr>
    </w:p>
    <w:p w:rsidR="007A701A" w:rsidRPr="004802F4" w:rsidRDefault="00EC1BE7" w:rsidP="004802F4">
      <w:pPr>
        <w:ind w:left="1134" w:right="567"/>
        <w:rPr>
          <w:rFonts w:cs="Arial"/>
          <w:sz w:val="18"/>
          <w:lang w:val="fr-FR"/>
        </w:rPr>
      </w:pPr>
      <w:r w:rsidRPr="004802F4">
        <w:rPr>
          <w:rFonts w:cs="Arial"/>
          <w:sz w:val="18"/>
          <w:lang w:val="fr-FR"/>
        </w:rPr>
        <w:t>“</w:t>
      </w:r>
      <w:r w:rsidR="007A701A" w:rsidRPr="004802F4">
        <w:rPr>
          <w:rFonts w:cs="Arial"/>
          <w:sz w:val="18"/>
          <w:lang w:val="fr-FR"/>
        </w:rPr>
        <w:t xml:space="preserve">Une variété est réputée non homogène si le nombre de plantes </w:t>
      </w:r>
      <w:r w:rsidR="00707A69" w:rsidRPr="004802F4">
        <w:rPr>
          <w:rFonts w:cs="Arial"/>
          <w:sz w:val="18"/>
          <w:lang w:val="fr-FR"/>
        </w:rPr>
        <w:t>hors-type</w:t>
      </w:r>
      <w:r w:rsidR="007A701A" w:rsidRPr="004802F4">
        <w:rPr>
          <w:rFonts w:cs="Arial"/>
          <w:sz w:val="18"/>
          <w:lang w:val="fr-FR"/>
        </w:rPr>
        <w:t xml:space="preserve"> dans le sous</w:t>
      </w:r>
      <w:r w:rsidR="001272D3" w:rsidRPr="004802F4">
        <w:rPr>
          <w:rFonts w:cs="Arial"/>
          <w:sz w:val="18"/>
          <w:lang w:val="fr-FR"/>
        </w:rPr>
        <w:noBreakHyphen/>
      </w:r>
      <w:r w:rsidR="007A701A" w:rsidRPr="004802F4">
        <w:rPr>
          <w:rFonts w:cs="Arial"/>
          <w:sz w:val="18"/>
          <w:lang w:val="fr-FR"/>
        </w:rPr>
        <w:t>échantillon dépasse 3.</w:t>
      </w:r>
    </w:p>
    <w:p w:rsidR="007A701A" w:rsidRPr="004802F4" w:rsidRDefault="007A701A" w:rsidP="004802F4">
      <w:pPr>
        <w:ind w:left="1134" w:right="567"/>
        <w:rPr>
          <w:rFonts w:cs="Arial"/>
          <w:sz w:val="18"/>
          <w:lang w:val="fr-FR"/>
        </w:rPr>
      </w:pPr>
    </w:p>
    <w:p w:rsidR="007A701A" w:rsidRPr="004802F4" w:rsidRDefault="00EC1BE7" w:rsidP="004802F4">
      <w:pPr>
        <w:ind w:left="1134" w:right="567"/>
        <w:rPr>
          <w:rFonts w:cs="Arial"/>
          <w:sz w:val="18"/>
          <w:lang w:val="fr-FR"/>
        </w:rPr>
      </w:pPr>
      <w:r w:rsidRPr="004802F4">
        <w:rPr>
          <w:rFonts w:cs="Arial"/>
          <w:sz w:val="18"/>
          <w:lang w:val="fr-FR"/>
        </w:rPr>
        <w:t>“</w:t>
      </w:r>
      <w:r w:rsidR="007A701A" w:rsidRPr="004802F4">
        <w:rPr>
          <w:rFonts w:cs="Arial"/>
          <w:sz w:val="18"/>
          <w:lang w:val="fr-FR"/>
        </w:rPr>
        <w:t xml:space="preserve">Si le nombre de plantes </w:t>
      </w:r>
      <w:r w:rsidR="00707A69" w:rsidRPr="004802F4">
        <w:rPr>
          <w:rFonts w:cs="Arial"/>
          <w:sz w:val="18"/>
          <w:lang w:val="fr-FR"/>
        </w:rPr>
        <w:t>hors-type</w:t>
      </w:r>
      <w:r w:rsidR="007A701A" w:rsidRPr="004802F4">
        <w:rPr>
          <w:rFonts w:cs="Arial"/>
          <w:sz w:val="18"/>
          <w:lang w:val="fr-FR"/>
        </w:rPr>
        <w:t xml:space="preserve"> varie entre 1 et 3, l</w:t>
      </w:r>
      <w:r w:rsidR="004F302C" w:rsidRPr="004802F4">
        <w:rPr>
          <w:rFonts w:cs="Arial"/>
          <w:sz w:val="18"/>
          <w:lang w:val="fr-FR"/>
        </w:rPr>
        <w:t>’</w:t>
      </w:r>
      <w:r w:rsidR="007A701A" w:rsidRPr="004802F4">
        <w:rPr>
          <w:rFonts w:cs="Arial"/>
          <w:sz w:val="18"/>
          <w:lang w:val="fr-FR"/>
        </w:rPr>
        <w:t>échantillon tout entier de 100 plantes est évalué.</w:t>
      </w:r>
    </w:p>
    <w:p w:rsidR="007A701A" w:rsidRPr="004802F4" w:rsidRDefault="007A701A" w:rsidP="004802F4">
      <w:pPr>
        <w:ind w:left="567" w:right="567"/>
        <w:rPr>
          <w:rFonts w:cs="Arial"/>
          <w:sz w:val="18"/>
          <w:lang w:val="fr-FR"/>
        </w:rPr>
      </w:pPr>
    </w:p>
    <w:p w:rsidR="007A701A" w:rsidRPr="004802F4" w:rsidRDefault="003F7E71" w:rsidP="004802F4">
      <w:pPr>
        <w:ind w:left="567" w:right="567"/>
        <w:rPr>
          <w:rFonts w:cs="Arial"/>
          <w:b/>
          <w:sz w:val="18"/>
          <w:lang w:val="fr-FR"/>
        </w:rPr>
      </w:pPr>
      <w:r w:rsidRPr="004802F4">
        <w:rPr>
          <w:rFonts w:cs="Arial"/>
          <w:sz w:val="18"/>
          <w:lang w:val="fr-FR"/>
        </w:rPr>
        <w:t>“</w:t>
      </w:r>
      <w:r w:rsidR="00B330C4" w:rsidRPr="004802F4">
        <w:rPr>
          <w:rFonts w:cs="Arial"/>
          <w:sz w:val="18"/>
          <w:lang w:val="fr-FR"/>
        </w:rPr>
        <w:t>L</w:t>
      </w:r>
      <w:r w:rsidR="004F302C" w:rsidRPr="004802F4">
        <w:rPr>
          <w:rFonts w:cs="Arial"/>
          <w:sz w:val="18"/>
          <w:lang w:val="fr-FR"/>
        </w:rPr>
        <w:t>’</w:t>
      </w:r>
      <w:r w:rsidR="00B330C4" w:rsidRPr="004802F4">
        <w:rPr>
          <w:rFonts w:cs="Arial"/>
          <w:sz w:val="18"/>
          <w:lang w:val="fr-FR"/>
        </w:rPr>
        <w:t>annexe</w:t>
      </w:r>
      <w:r w:rsidR="009307C6" w:rsidRPr="004802F4">
        <w:rPr>
          <w:rFonts w:cs="Arial"/>
          <w:sz w:val="18"/>
          <w:lang w:val="fr-FR"/>
        </w:rPr>
        <w:t> </w:t>
      </w:r>
      <w:r w:rsidRPr="004802F4">
        <w:rPr>
          <w:rFonts w:cs="Arial"/>
          <w:sz w:val="18"/>
          <w:lang w:val="fr-FR"/>
        </w:rPr>
        <w:t xml:space="preserve">V </w:t>
      </w:r>
      <w:r w:rsidR="00B330C4" w:rsidRPr="004802F4">
        <w:rPr>
          <w:rFonts w:cs="Arial"/>
          <w:sz w:val="18"/>
          <w:lang w:val="fr-FR"/>
        </w:rPr>
        <w:t>du</w:t>
      </w:r>
      <w:r w:rsidRPr="004802F4">
        <w:rPr>
          <w:rFonts w:cs="Arial"/>
          <w:sz w:val="18"/>
          <w:lang w:val="fr-FR"/>
        </w:rPr>
        <w:t xml:space="preserve"> document TWC/32/9 </w:t>
      </w:r>
      <w:r w:rsidR="00B330C4" w:rsidRPr="004802F4">
        <w:rPr>
          <w:rFonts w:cs="Arial"/>
          <w:sz w:val="18"/>
          <w:lang w:val="fr-FR"/>
        </w:rPr>
        <w:t xml:space="preserve">donne une description complète de la base </w:t>
      </w:r>
      <w:r w:rsidR="00707A69" w:rsidRPr="004802F4">
        <w:rPr>
          <w:rFonts w:cs="Arial"/>
          <w:sz w:val="18"/>
          <w:lang w:val="fr-FR"/>
        </w:rPr>
        <w:t>statistique</w:t>
      </w:r>
      <w:r w:rsidR="00B330C4" w:rsidRPr="004802F4">
        <w:rPr>
          <w:rFonts w:cs="Arial"/>
          <w:sz w:val="18"/>
          <w:lang w:val="fr-FR"/>
        </w:rPr>
        <w:t xml:space="preserve"> </w:t>
      </w:r>
      <w:r w:rsidR="002B4479" w:rsidRPr="004802F4">
        <w:rPr>
          <w:rFonts w:cs="Arial"/>
          <w:sz w:val="18"/>
          <w:lang w:val="fr-FR"/>
        </w:rPr>
        <w:t xml:space="preserve">utilisée </w:t>
      </w:r>
      <w:r w:rsidR="00B330C4" w:rsidRPr="004802F4">
        <w:rPr>
          <w:rFonts w:cs="Arial"/>
          <w:sz w:val="18"/>
          <w:lang w:val="fr-FR"/>
        </w:rPr>
        <w:t>pour cette méthode</w:t>
      </w:r>
      <w:r w:rsidRPr="004802F4">
        <w:rPr>
          <w:rFonts w:cs="Arial"/>
          <w:sz w:val="18"/>
          <w:lang w:val="fr-FR"/>
        </w:rPr>
        <w:t>.”</w:t>
      </w:r>
    </w:p>
    <w:p w:rsidR="007A701A" w:rsidRDefault="007A701A" w:rsidP="004802F4">
      <w:pPr>
        <w:rPr>
          <w:lang w:val="fr-FR" w:eastAsia="de-DE" w:bidi="de-DE"/>
        </w:rPr>
      </w:pPr>
    </w:p>
    <w:p w:rsidR="00CE59CF" w:rsidRPr="004802F4" w:rsidRDefault="00CE59CF" w:rsidP="004802F4">
      <w:pPr>
        <w:rPr>
          <w:lang w:val="fr-FR" w:eastAsia="de-DE" w:bidi="de-DE"/>
        </w:rPr>
      </w:pPr>
    </w:p>
    <w:p w:rsidR="004F302C" w:rsidRPr="004802F4" w:rsidRDefault="007A701A" w:rsidP="004802F4">
      <w:pPr>
        <w:pStyle w:val="Heading3"/>
        <w:rPr>
          <w:lang w:val="fr-FR" w:eastAsia="de-DE" w:bidi="de-DE"/>
        </w:rPr>
      </w:pPr>
      <w:bookmarkStart w:id="12" w:name="_Toc411499187"/>
      <w:r w:rsidRPr="004802F4">
        <w:rPr>
          <w:lang w:val="fr-FR" w:eastAsia="de-DE" w:bidi="de-DE"/>
        </w:rPr>
        <w:t>Groupe de travail technique sur les plantes potagères</w:t>
      </w:r>
      <w:bookmarkEnd w:id="12"/>
    </w:p>
    <w:p w:rsidR="007A701A" w:rsidRPr="004802F4" w:rsidRDefault="007A701A" w:rsidP="004802F4">
      <w:pPr>
        <w:rPr>
          <w:lang w:val="fr-FR"/>
        </w:rPr>
      </w:pPr>
    </w:p>
    <w:p w:rsidR="007A701A" w:rsidRPr="004802F4" w:rsidRDefault="003F7E71" w:rsidP="004802F4">
      <w:pPr>
        <w:ind w:right="-425"/>
        <w:rPr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50736D" w:rsidRPr="004802F4">
        <w:rPr>
          <w:lang w:val="fr-FR"/>
        </w:rPr>
        <w:t xml:space="preserve">Le TWV a examiné le </w:t>
      </w:r>
      <w:r w:rsidRPr="004802F4">
        <w:rPr>
          <w:lang w:val="fr-FR"/>
        </w:rPr>
        <w:t xml:space="preserve">document TWV/48/9 </w:t>
      </w:r>
      <w:r w:rsidR="0050736D" w:rsidRPr="004802F4">
        <w:rPr>
          <w:lang w:val="fr-FR"/>
        </w:rPr>
        <w:t>et les situations décrites aux annexes</w:t>
      </w:r>
      <w:r w:rsidR="009307C6" w:rsidRPr="004802F4">
        <w:rPr>
          <w:lang w:val="fr-FR"/>
        </w:rPr>
        <w:t> </w:t>
      </w:r>
      <w:r w:rsidR="0050736D" w:rsidRPr="004802F4">
        <w:rPr>
          <w:lang w:val="fr-FR"/>
        </w:rPr>
        <w:t>I à IV comme base pour l</w:t>
      </w:r>
      <w:r w:rsidR="004F302C" w:rsidRPr="004802F4">
        <w:rPr>
          <w:lang w:val="fr-FR"/>
        </w:rPr>
        <w:t>’</w:t>
      </w:r>
      <w:r w:rsidR="0050736D" w:rsidRPr="004802F4">
        <w:rPr>
          <w:lang w:val="fr-FR"/>
        </w:rPr>
        <w:t>élaboration d</w:t>
      </w:r>
      <w:r w:rsidR="004F302C" w:rsidRPr="004802F4">
        <w:rPr>
          <w:lang w:val="fr-FR"/>
        </w:rPr>
        <w:t>’</w:t>
      </w:r>
      <w:r w:rsidR="0050736D" w:rsidRPr="004802F4">
        <w:rPr>
          <w:lang w:val="fr-FR"/>
        </w:rPr>
        <w:t xml:space="preserve">orientations dans le </w:t>
      </w:r>
      <w:r w:rsidRPr="004802F4">
        <w:rPr>
          <w:rFonts w:cs="Arial"/>
          <w:lang w:val="fr-FR"/>
        </w:rPr>
        <w:t>document TGP/10.</w:t>
      </w:r>
    </w:p>
    <w:p w:rsidR="007A701A" w:rsidRPr="004802F4" w:rsidRDefault="007A701A" w:rsidP="004802F4">
      <w:pPr>
        <w:rPr>
          <w:lang w:val="fr-FR"/>
        </w:rPr>
      </w:pPr>
    </w:p>
    <w:p w:rsidR="007A701A" w:rsidRPr="004802F4" w:rsidRDefault="003F7E71" w:rsidP="004802F4">
      <w:pPr>
        <w:ind w:right="-425"/>
        <w:rPr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C6640B" w:rsidRPr="004802F4">
        <w:rPr>
          <w:lang w:val="fr-FR"/>
        </w:rPr>
        <w:t>Le TWV est convenu de la nécessité d</w:t>
      </w:r>
      <w:r w:rsidR="004F302C" w:rsidRPr="004802F4">
        <w:rPr>
          <w:lang w:val="fr-FR"/>
        </w:rPr>
        <w:t>’</w:t>
      </w:r>
      <w:r w:rsidR="00C6640B" w:rsidRPr="004802F4">
        <w:rPr>
          <w:lang w:val="fr-FR"/>
        </w:rPr>
        <w:t>évaluer l</w:t>
      </w:r>
      <w:r w:rsidR="004F302C" w:rsidRPr="004802F4">
        <w:rPr>
          <w:lang w:val="fr-FR"/>
        </w:rPr>
        <w:t>’</w:t>
      </w:r>
      <w:r w:rsidR="00C6640B" w:rsidRPr="004802F4">
        <w:rPr>
          <w:lang w:val="fr-FR"/>
        </w:rPr>
        <w:t>homogénéité dans chaque cycle de végétation indépendant et a indiqué qu</w:t>
      </w:r>
      <w:r w:rsidR="004F302C" w:rsidRPr="004802F4">
        <w:rPr>
          <w:lang w:val="fr-FR"/>
        </w:rPr>
        <w:t>’</w:t>
      </w:r>
      <w:r w:rsidR="00C6640B" w:rsidRPr="004802F4">
        <w:rPr>
          <w:lang w:val="fr-FR"/>
        </w:rPr>
        <w:t>il n</w:t>
      </w:r>
      <w:r w:rsidR="004F302C" w:rsidRPr="004802F4">
        <w:rPr>
          <w:lang w:val="fr-FR"/>
        </w:rPr>
        <w:t>’</w:t>
      </w:r>
      <w:r w:rsidR="00C6640B" w:rsidRPr="004802F4">
        <w:rPr>
          <w:lang w:val="fr-FR"/>
        </w:rPr>
        <w:t>était pas favorable à l</w:t>
      </w:r>
      <w:r w:rsidR="004F302C" w:rsidRPr="004802F4">
        <w:rPr>
          <w:lang w:val="fr-FR"/>
        </w:rPr>
        <w:t>’</w:t>
      </w:r>
      <w:r w:rsidR="00C6640B" w:rsidRPr="004802F4">
        <w:rPr>
          <w:lang w:val="fr-FR"/>
        </w:rPr>
        <w:t>idée de combiner les résultats de deux</w:t>
      </w:r>
      <w:r w:rsidR="009307C6" w:rsidRPr="004802F4">
        <w:rPr>
          <w:lang w:val="fr-FR"/>
        </w:rPr>
        <w:t> </w:t>
      </w:r>
      <w:r w:rsidR="00C6640B" w:rsidRPr="004802F4">
        <w:rPr>
          <w:lang w:val="fr-FR"/>
        </w:rPr>
        <w:t xml:space="preserve">cycles </w:t>
      </w:r>
      <w:r w:rsidRPr="004802F4">
        <w:rPr>
          <w:lang w:val="fr-FR"/>
        </w:rPr>
        <w:t>(</w:t>
      </w:r>
      <w:r w:rsidR="00C6640B" w:rsidRPr="004802F4">
        <w:rPr>
          <w:lang w:val="fr-FR"/>
        </w:rPr>
        <w:t>voir les paragraphes</w:t>
      </w:r>
      <w:r w:rsidR="009307C6" w:rsidRPr="004802F4">
        <w:rPr>
          <w:lang w:val="fr-FR"/>
        </w:rPr>
        <w:t> </w:t>
      </w:r>
      <w:r w:rsidR="00C6640B" w:rsidRPr="004802F4">
        <w:rPr>
          <w:lang w:val="fr-FR"/>
        </w:rPr>
        <w:t>79 et 80 du</w:t>
      </w:r>
      <w:r w:rsidRPr="004802F4">
        <w:rPr>
          <w:lang w:val="fr-FR"/>
        </w:rPr>
        <w:t xml:space="preserve"> document TWV/48/43 “</w:t>
      </w:r>
      <w:r w:rsidR="008155B3">
        <w:rPr>
          <w:lang w:val="fr-FR"/>
        </w:rPr>
        <w:t>Report</w:t>
      </w:r>
      <w:r w:rsidRPr="004802F4">
        <w:rPr>
          <w:lang w:val="fr-FR"/>
        </w:rPr>
        <w:t>”).</w:t>
      </w:r>
    </w:p>
    <w:p w:rsidR="007A701A" w:rsidRPr="004802F4" w:rsidRDefault="007A701A" w:rsidP="004802F4">
      <w:pPr>
        <w:rPr>
          <w:lang w:val="fr-FR"/>
        </w:rPr>
      </w:pPr>
    </w:p>
    <w:p w:rsidR="007A701A" w:rsidRPr="004802F4" w:rsidRDefault="007A701A" w:rsidP="004802F4">
      <w:pPr>
        <w:pStyle w:val="Heading3"/>
        <w:rPr>
          <w:lang w:val="fr-FR"/>
        </w:rPr>
      </w:pPr>
      <w:bookmarkStart w:id="13" w:name="_Toc411499188"/>
      <w:r w:rsidRPr="004802F4">
        <w:rPr>
          <w:lang w:val="fr-FR"/>
        </w:rPr>
        <w:t>Groupe de travail technique sur les plantes agricoles</w:t>
      </w:r>
      <w:bookmarkEnd w:id="13"/>
    </w:p>
    <w:p w:rsidR="007A701A" w:rsidRPr="004802F4" w:rsidRDefault="007A701A" w:rsidP="004802F4">
      <w:pPr>
        <w:rPr>
          <w:lang w:val="fr-FR"/>
        </w:rPr>
      </w:pPr>
    </w:p>
    <w:p w:rsidR="007A701A" w:rsidRPr="004802F4" w:rsidRDefault="003F7E71" w:rsidP="004802F4">
      <w:pPr>
        <w:rPr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2A17B6" w:rsidRPr="004802F4">
        <w:rPr>
          <w:lang w:val="fr-FR"/>
        </w:rPr>
        <w:t xml:space="preserve">Le TWA a examiné le </w:t>
      </w:r>
      <w:r w:rsidRPr="004802F4">
        <w:rPr>
          <w:lang w:val="fr-FR"/>
        </w:rPr>
        <w:t>document TWA/43/9,</w:t>
      </w:r>
      <w:r w:rsidR="002A17B6" w:rsidRPr="004802F4">
        <w:rPr>
          <w:lang w:val="fr-FR"/>
        </w:rPr>
        <w:t xml:space="preserve"> </w:t>
      </w:r>
      <w:r w:rsidR="004F302C" w:rsidRPr="004802F4">
        <w:rPr>
          <w:lang w:val="fr-FR"/>
        </w:rPr>
        <w:t>y compris</w:t>
      </w:r>
      <w:r w:rsidR="002A17B6" w:rsidRPr="004802F4">
        <w:rPr>
          <w:lang w:val="fr-FR"/>
        </w:rPr>
        <w:t xml:space="preserve"> les annexes</w:t>
      </w:r>
      <w:r w:rsidR="009307C6" w:rsidRPr="004802F4">
        <w:rPr>
          <w:lang w:val="fr-FR"/>
        </w:rPr>
        <w:t> </w:t>
      </w:r>
      <w:r w:rsidRPr="004802F4">
        <w:rPr>
          <w:lang w:val="fr-FR"/>
        </w:rPr>
        <w:t xml:space="preserve">I </w:t>
      </w:r>
      <w:r w:rsidR="002A17B6" w:rsidRPr="004802F4">
        <w:rPr>
          <w:lang w:val="fr-FR"/>
        </w:rPr>
        <w:t>à</w:t>
      </w:r>
      <w:r w:rsidRPr="004802F4">
        <w:rPr>
          <w:lang w:val="fr-FR"/>
        </w:rPr>
        <w:t xml:space="preserve"> IV, </w:t>
      </w:r>
      <w:r w:rsidR="002A17B6" w:rsidRPr="004802F4">
        <w:rPr>
          <w:lang w:val="fr-FR"/>
        </w:rPr>
        <w:t>comme base pour l</w:t>
      </w:r>
      <w:r w:rsidR="004F302C" w:rsidRPr="004802F4">
        <w:rPr>
          <w:lang w:val="fr-FR"/>
        </w:rPr>
        <w:t>’</w:t>
      </w:r>
      <w:r w:rsidR="002A17B6" w:rsidRPr="004802F4">
        <w:rPr>
          <w:lang w:val="fr-FR"/>
        </w:rPr>
        <w:t>élaboration d</w:t>
      </w:r>
      <w:r w:rsidR="004F302C" w:rsidRPr="004802F4">
        <w:rPr>
          <w:lang w:val="fr-FR"/>
        </w:rPr>
        <w:t>’</w:t>
      </w:r>
      <w:r w:rsidR="002A17B6" w:rsidRPr="004802F4">
        <w:rPr>
          <w:lang w:val="fr-FR"/>
        </w:rPr>
        <w:t>orientations dans le</w:t>
      </w:r>
      <w:r w:rsidRPr="004802F4">
        <w:rPr>
          <w:lang w:val="fr-FR"/>
        </w:rPr>
        <w:t xml:space="preserve"> document TGP/10.</w:t>
      </w:r>
    </w:p>
    <w:p w:rsidR="007A701A" w:rsidRPr="004802F4" w:rsidRDefault="007A701A" w:rsidP="004802F4">
      <w:pPr>
        <w:rPr>
          <w:lang w:val="fr-FR"/>
        </w:rPr>
      </w:pPr>
    </w:p>
    <w:p w:rsidR="007A701A" w:rsidRPr="004802F4" w:rsidRDefault="003F7E71" w:rsidP="004802F4">
      <w:pPr>
        <w:rPr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3971F6" w:rsidRPr="004802F4">
        <w:rPr>
          <w:lang w:val="fr-FR"/>
        </w:rPr>
        <w:t>Le TWA a noté que</w:t>
      </w:r>
      <w:r w:rsidR="004F302C" w:rsidRPr="004802F4">
        <w:rPr>
          <w:lang w:val="fr-FR"/>
        </w:rPr>
        <w:t xml:space="preserve"> le TWC</w:t>
      </w:r>
      <w:r w:rsidR="003971F6" w:rsidRPr="004802F4">
        <w:rPr>
          <w:lang w:val="fr-FR"/>
        </w:rPr>
        <w:t xml:space="preserve"> avait été invité à </w:t>
      </w:r>
      <w:r w:rsidR="00A15565" w:rsidRPr="004802F4">
        <w:rPr>
          <w:lang w:val="fr-FR"/>
        </w:rPr>
        <w:t>présenter</w:t>
      </w:r>
      <w:r w:rsidR="003971F6" w:rsidRPr="004802F4">
        <w:rPr>
          <w:lang w:val="fr-FR"/>
        </w:rPr>
        <w:t xml:space="preserve"> une analyse </w:t>
      </w:r>
      <w:r w:rsidR="00A15565" w:rsidRPr="004802F4">
        <w:rPr>
          <w:lang w:val="fr-FR"/>
        </w:rPr>
        <w:t>relative aux</w:t>
      </w:r>
      <w:r w:rsidR="003971F6" w:rsidRPr="004802F4">
        <w:rPr>
          <w:lang w:val="fr-FR"/>
        </w:rPr>
        <w:t xml:space="preserve"> conséquences qu</w:t>
      </w:r>
      <w:r w:rsidR="00A15565" w:rsidRPr="004802F4">
        <w:rPr>
          <w:lang w:val="fr-FR"/>
        </w:rPr>
        <w:t>’aurait</w:t>
      </w:r>
      <w:r w:rsidR="003971F6" w:rsidRPr="004802F4">
        <w:rPr>
          <w:lang w:val="fr-FR"/>
        </w:rPr>
        <w:t xml:space="preserve"> l</w:t>
      </w:r>
      <w:r w:rsidR="004F302C" w:rsidRPr="004802F4">
        <w:rPr>
          <w:lang w:val="fr-FR"/>
        </w:rPr>
        <w:t>’</w:t>
      </w:r>
      <w:r w:rsidR="003971F6" w:rsidRPr="004802F4">
        <w:rPr>
          <w:lang w:val="fr-FR"/>
        </w:rPr>
        <w:t>application des différentes méthodes présentées aux annexes du</w:t>
      </w:r>
      <w:r w:rsidRPr="004802F4">
        <w:rPr>
          <w:lang w:val="fr-FR"/>
        </w:rPr>
        <w:t xml:space="preserve"> document TWA/43/9 </w:t>
      </w:r>
      <w:r w:rsidR="003971F6" w:rsidRPr="004802F4">
        <w:rPr>
          <w:lang w:val="fr-FR"/>
        </w:rPr>
        <w:t>et</w:t>
      </w:r>
      <w:r w:rsidR="003A1477">
        <w:rPr>
          <w:lang w:val="fr-FR"/>
        </w:rPr>
        <w:t> </w:t>
      </w:r>
      <w:r w:rsidR="003971F6" w:rsidRPr="004802F4">
        <w:rPr>
          <w:lang w:val="fr-FR"/>
        </w:rPr>
        <w:t xml:space="preserve">notamment </w:t>
      </w:r>
      <w:r w:rsidR="00A15565" w:rsidRPr="004802F4">
        <w:rPr>
          <w:lang w:val="fr-FR"/>
        </w:rPr>
        <w:t>sur la pertinence de la méthode </w:t>
      </w:r>
      <w:r w:rsidR="003971F6" w:rsidRPr="004802F4">
        <w:rPr>
          <w:lang w:val="fr-FR"/>
        </w:rPr>
        <w:t xml:space="preserve">2 </w:t>
      </w:r>
      <w:r w:rsidR="00A15565" w:rsidRPr="004802F4">
        <w:rPr>
          <w:lang w:val="fr-FR"/>
        </w:rPr>
        <w:t>dans les situations A et </w:t>
      </w:r>
      <w:r w:rsidR="00B5223D" w:rsidRPr="004802F4">
        <w:rPr>
          <w:lang w:val="fr-FR"/>
        </w:rPr>
        <w:t>B</w:t>
      </w:r>
      <w:r w:rsidRPr="004802F4">
        <w:rPr>
          <w:lang w:val="fr-FR"/>
        </w:rPr>
        <w:t>.</w:t>
      </w:r>
    </w:p>
    <w:p w:rsidR="007A701A" w:rsidRPr="004802F4" w:rsidRDefault="007A701A" w:rsidP="004802F4">
      <w:pPr>
        <w:rPr>
          <w:lang w:val="fr-FR"/>
        </w:rPr>
      </w:pPr>
    </w:p>
    <w:p w:rsidR="007A701A" w:rsidRPr="004802F4" w:rsidRDefault="003F7E71" w:rsidP="004802F4">
      <w:pPr>
        <w:rPr>
          <w:rFonts w:eastAsiaTheme="minorEastAsia"/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B5223D" w:rsidRPr="004802F4">
        <w:rPr>
          <w:lang w:val="fr-FR"/>
        </w:rPr>
        <w:t>Le TWA a souscrit à l</w:t>
      </w:r>
      <w:r w:rsidR="004F302C" w:rsidRPr="004802F4">
        <w:rPr>
          <w:lang w:val="fr-FR"/>
        </w:rPr>
        <w:t>’</w:t>
      </w:r>
      <w:r w:rsidR="00B5223D" w:rsidRPr="004802F4">
        <w:rPr>
          <w:lang w:val="fr-FR"/>
        </w:rPr>
        <w:t>observation formulée par</w:t>
      </w:r>
      <w:r w:rsidR="004F302C" w:rsidRPr="004802F4">
        <w:rPr>
          <w:lang w:val="fr-FR"/>
        </w:rPr>
        <w:t xml:space="preserve"> le TWV</w:t>
      </w:r>
      <w:r w:rsidR="00B5223D" w:rsidRPr="004802F4">
        <w:rPr>
          <w:lang w:val="fr-FR"/>
        </w:rPr>
        <w:t xml:space="preserve"> concernant la nécessité d</w:t>
      </w:r>
      <w:r w:rsidR="004F302C" w:rsidRPr="004802F4">
        <w:rPr>
          <w:lang w:val="fr-FR"/>
        </w:rPr>
        <w:t>’</w:t>
      </w:r>
      <w:r w:rsidR="00B5223D" w:rsidRPr="004802F4">
        <w:rPr>
          <w:lang w:val="fr-FR"/>
        </w:rPr>
        <w:t>évaluer l</w:t>
      </w:r>
      <w:r w:rsidR="004F302C" w:rsidRPr="004802F4">
        <w:rPr>
          <w:lang w:val="fr-FR"/>
        </w:rPr>
        <w:t>’</w:t>
      </w:r>
      <w:r w:rsidR="00B5223D" w:rsidRPr="004802F4">
        <w:rPr>
          <w:lang w:val="fr-FR"/>
        </w:rPr>
        <w:t>homogénéité dans chaque cycle de végétation indépendant et a indiqué qu</w:t>
      </w:r>
      <w:r w:rsidR="004F302C" w:rsidRPr="004802F4">
        <w:rPr>
          <w:lang w:val="fr-FR"/>
        </w:rPr>
        <w:t>’</w:t>
      </w:r>
      <w:r w:rsidR="00B5223D" w:rsidRPr="004802F4">
        <w:rPr>
          <w:lang w:val="fr-FR"/>
        </w:rPr>
        <w:t>il n</w:t>
      </w:r>
      <w:r w:rsidR="004F302C" w:rsidRPr="004802F4">
        <w:rPr>
          <w:lang w:val="fr-FR"/>
        </w:rPr>
        <w:t>’</w:t>
      </w:r>
      <w:r w:rsidR="00B5223D" w:rsidRPr="004802F4">
        <w:rPr>
          <w:lang w:val="fr-FR"/>
        </w:rPr>
        <w:t>était pas favorable non plus à l</w:t>
      </w:r>
      <w:r w:rsidR="004F302C" w:rsidRPr="004802F4">
        <w:rPr>
          <w:lang w:val="fr-FR"/>
        </w:rPr>
        <w:t>’</w:t>
      </w:r>
      <w:r w:rsidR="00B5223D" w:rsidRPr="004802F4">
        <w:rPr>
          <w:lang w:val="fr-FR"/>
        </w:rPr>
        <w:t>idée de combiner les résultats de deux</w:t>
      </w:r>
      <w:r w:rsidR="009307C6" w:rsidRPr="004802F4">
        <w:rPr>
          <w:lang w:val="fr-FR"/>
        </w:rPr>
        <w:t> </w:t>
      </w:r>
      <w:r w:rsidR="00B5223D" w:rsidRPr="004802F4">
        <w:rPr>
          <w:lang w:val="fr-FR"/>
        </w:rPr>
        <w:t>cycles</w:t>
      </w:r>
      <w:r w:rsidRPr="004802F4">
        <w:rPr>
          <w:rFonts w:eastAsiaTheme="minorEastAsia"/>
          <w:lang w:val="fr-FR"/>
        </w:rPr>
        <w:t>.</w:t>
      </w:r>
    </w:p>
    <w:p w:rsidR="007A701A" w:rsidRPr="004802F4" w:rsidRDefault="007A701A" w:rsidP="004802F4">
      <w:pPr>
        <w:rPr>
          <w:rFonts w:eastAsiaTheme="minorEastAsia"/>
          <w:lang w:val="fr-FR"/>
        </w:rPr>
      </w:pPr>
    </w:p>
    <w:p w:rsidR="004F302C" w:rsidRPr="004802F4" w:rsidRDefault="003F7E71" w:rsidP="004802F4">
      <w:pPr>
        <w:rPr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B5223D" w:rsidRPr="004802F4">
        <w:rPr>
          <w:lang w:val="fr-FR"/>
        </w:rPr>
        <w:t>Le TWA est convenu qu</w:t>
      </w:r>
      <w:r w:rsidR="004F302C" w:rsidRPr="004802F4">
        <w:rPr>
          <w:lang w:val="fr-FR"/>
        </w:rPr>
        <w:t>’</w:t>
      </w:r>
      <w:r w:rsidR="00B5223D" w:rsidRPr="004802F4">
        <w:rPr>
          <w:lang w:val="fr-FR"/>
        </w:rPr>
        <w:t>un paragraphe d</w:t>
      </w:r>
      <w:r w:rsidR="004F302C" w:rsidRPr="004802F4">
        <w:rPr>
          <w:lang w:val="fr-FR"/>
        </w:rPr>
        <w:t>’</w:t>
      </w:r>
      <w:r w:rsidR="00B5223D" w:rsidRPr="004802F4">
        <w:rPr>
          <w:lang w:val="fr-FR"/>
        </w:rPr>
        <w:t>introduction devrait être ajouté en ce qui concerne la situation B afin d</w:t>
      </w:r>
      <w:r w:rsidR="004F302C" w:rsidRPr="004802F4">
        <w:rPr>
          <w:lang w:val="fr-FR"/>
        </w:rPr>
        <w:t>’</w:t>
      </w:r>
      <w:r w:rsidR="00B5223D" w:rsidRPr="004802F4">
        <w:rPr>
          <w:lang w:val="fr-FR"/>
        </w:rPr>
        <w:t xml:space="preserve">expliquer que les années pourraient être remplacées par les </w:t>
      </w:r>
      <w:r w:rsidR="00A15565" w:rsidRPr="004802F4">
        <w:rPr>
          <w:lang w:val="fr-FR"/>
        </w:rPr>
        <w:t>endroits</w:t>
      </w:r>
      <w:r w:rsidR="00B5223D" w:rsidRPr="004802F4">
        <w:rPr>
          <w:lang w:val="fr-FR"/>
        </w:rPr>
        <w:t xml:space="preserve"> où se déroulent les essais pour l</w:t>
      </w:r>
      <w:r w:rsidR="004F302C" w:rsidRPr="004802F4">
        <w:rPr>
          <w:lang w:val="fr-FR"/>
        </w:rPr>
        <w:t>’</w:t>
      </w:r>
      <w:r w:rsidR="00B5223D" w:rsidRPr="004802F4">
        <w:rPr>
          <w:lang w:val="fr-FR"/>
        </w:rPr>
        <w:t>examen</w:t>
      </w:r>
      <w:r w:rsidR="009307C6" w:rsidRPr="004802F4">
        <w:rPr>
          <w:lang w:val="fr-FR"/>
        </w:rPr>
        <w:t> </w:t>
      </w:r>
      <w:r w:rsidR="00B5223D" w:rsidRPr="004802F4">
        <w:rPr>
          <w:lang w:val="fr-FR"/>
        </w:rPr>
        <w:t xml:space="preserve">DHS uniquement lorsque certaines conditions </w:t>
      </w:r>
      <w:r w:rsidR="00A15565" w:rsidRPr="004802F4">
        <w:rPr>
          <w:lang w:val="fr-FR"/>
        </w:rPr>
        <w:t xml:space="preserve">requises </w:t>
      </w:r>
      <w:r w:rsidR="00B5223D" w:rsidRPr="004802F4">
        <w:rPr>
          <w:lang w:val="fr-FR"/>
        </w:rPr>
        <w:t xml:space="preserve">sont satisfaites, par exemple aucune interaction </w:t>
      </w:r>
      <w:r w:rsidR="00B81BED" w:rsidRPr="004802F4">
        <w:rPr>
          <w:lang w:val="fr-FR"/>
        </w:rPr>
        <w:t>génotype</w:t>
      </w:r>
      <w:r w:rsidR="001272D3" w:rsidRPr="004802F4">
        <w:rPr>
          <w:lang w:val="fr-FR"/>
        </w:rPr>
        <w:noBreakHyphen/>
      </w:r>
      <w:r w:rsidR="00B81BED" w:rsidRPr="004802F4">
        <w:rPr>
          <w:lang w:val="fr-FR"/>
        </w:rPr>
        <w:t>environnement significative en ce qui concerne l</w:t>
      </w:r>
      <w:r w:rsidR="004F302C" w:rsidRPr="004802F4">
        <w:rPr>
          <w:lang w:val="fr-FR"/>
        </w:rPr>
        <w:t>’</w:t>
      </w:r>
      <w:r w:rsidR="00B81BED" w:rsidRPr="004802F4">
        <w:rPr>
          <w:lang w:val="fr-FR"/>
        </w:rPr>
        <w:t>un quelconque des caractères utilisés dans l</w:t>
      </w:r>
      <w:r w:rsidR="004F302C" w:rsidRPr="004802F4">
        <w:rPr>
          <w:lang w:val="fr-FR"/>
        </w:rPr>
        <w:t>’</w:t>
      </w:r>
      <w:r w:rsidR="00B81BED" w:rsidRPr="004802F4">
        <w:rPr>
          <w:lang w:val="fr-FR"/>
        </w:rPr>
        <w:t>examen</w:t>
      </w:r>
      <w:r w:rsidR="009307C6" w:rsidRPr="004802F4">
        <w:rPr>
          <w:lang w:val="fr-FR"/>
        </w:rPr>
        <w:t> </w:t>
      </w:r>
      <w:r w:rsidR="00B81BED" w:rsidRPr="004802F4">
        <w:rPr>
          <w:lang w:val="fr-FR"/>
        </w:rPr>
        <w:t>DHS</w:t>
      </w:r>
      <w:r w:rsidRPr="004802F4">
        <w:rPr>
          <w:lang w:val="fr-FR"/>
        </w:rPr>
        <w:t>.</w:t>
      </w:r>
    </w:p>
    <w:p w:rsidR="007A701A" w:rsidRPr="004802F4" w:rsidRDefault="007A701A" w:rsidP="004802F4">
      <w:pPr>
        <w:rPr>
          <w:lang w:val="fr-FR"/>
        </w:rPr>
      </w:pPr>
    </w:p>
    <w:p w:rsidR="004F302C" w:rsidRPr="004802F4" w:rsidRDefault="003F7E71" w:rsidP="004802F4">
      <w:pPr>
        <w:rPr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B81BED" w:rsidRPr="004802F4">
        <w:rPr>
          <w:lang w:val="fr-FR"/>
        </w:rPr>
        <w:t>Le TWA a souscrit à l</w:t>
      </w:r>
      <w:r w:rsidR="004F302C" w:rsidRPr="004802F4">
        <w:rPr>
          <w:lang w:val="fr-FR"/>
        </w:rPr>
        <w:t>’</w:t>
      </w:r>
      <w:r w:rsidR="00B81BED" w:rsidRPr="004802F4">
        <w:rPr>
          <w:lang w:val="fr-FR"/>
        </w:rPr>
        <w:t>observation formulée par</w:t>
      </w:r>
      <w:r w:rsidR="004F302C" w:rsidRPr="004802F4">
        <w:rPr>
          <w:lang w:val="fr-FR"/>
        </w:rPr>
        <w:t xml:space="preserve"> le TWC</w:t>
      </w:r>
      <w:r w:rsidR="00B81BED" w:rsidRPr="004802F4">
        <w:rPr>
          <w:lang w:val="fr-FR"/>
        </w:rPr>
        <w:t xml:space="preserve"> selon laquelle les orientations fournies dans le document</w:t>
      </w:r>
      <w:r w:rsidR="00B81BED" w:rsidRPr="004802F4">
        <w:rPr>
          <w:szCs w:val="24"/>
          <w:lang w:val="fr-FR"/>
        </w:rPr>
        <w:t xml:space="preserve"> TGP/10 “Examen de l</w:t>
      </w:r>
      <w:r w:rsidR="004F302C" w:rsidRPr="004802F4">
        <w:rPr>
          <w:szCs w:val="24"/>
          <w:lang w:val="fr-FR"/>
        </w:rPr>
        <w:t>’</w:t>
      </w:r>
      <w:r w:rsidR="00B81BED" w:rsidRPr="004802F4">
        <w:rPr>
          <w:szCs w:val="24"/>
          <w:lang w:val="fr-FR"/>
        </w:rPr>
        <w:t>homogénéité”, section</w:t>
      </w:r>
      <w:r w:rsidR="009307C6" w:rsidRPr="004802F4">
        <w:rPr>
          <w:szCs w:val="24"/>
          <w:lang w:val="fr-FR"/>
        </w:rPr>
        <w:t> </w:t>
      </w:r>
      <w:r w:rsidR="00B81BED" w:rsidRPr="004802F4">
        <w:rPr>
          <w:szCs w:val="24"/>
          <w:lang w:val="fr-FR"/>
        </w:rPr>
        <w:t>6 “Combinaison des observations” étaient suffisantes en ce qui concerne la situation C “</w:t>
      </w:r>
      <w:r w:rsidR="00B81BED" w:rsidRPr="004802F4">
        <w:rPr>
          <w:rFonts w:eastAsia="MS Mincho"/>
          <w:szCs w:val="24"/>
          <w:lang w:val="fr-FR" w:eastAsia="ja-JP"/>
        </w:rPr>
        <w:t>Plus d</w:t>
      </w:r>
      <w:r w:rsidR="004F302C" w:rsidRPr="004802F4">
        <w:rPr>
          <w:rFonts w:eastAsia="MS Mincho"/>
          <w:szCs w:val="24"/>
          <w:lang w:val="fr-FR" w:eastAsia="ja-JP"/>
        </w:rPr>
        <w:t>’</w:t>
      </w:r>
      <w:r w:rsidR="00B81BED" w:rsidRPr="004802F4">
        <w:rPr>
          <w:rFonts w:eastAsia="MS Mincho"/>
          <w:szCs w:val="24"/>
          <w:lang w:val="fr-FR" w:eastAsia="ja-JP"/>
        </w:rPr>
        <w:t>un échantillon ou sous</w:t>
      </w:r>
      <w:r w:rsidR="001272D3" w:rsidRPr="004802F4">
        <w:rPr>
          <w:rFonts w:eastAsia="MS Mincho"/>
          <w:szCs w:val="24"/>
          <w:lang w:val="fr-FR" w:eastAsia="ja-JP"/>
        </w:rPr>
        <w:noBreakHyphen/>
      </w:r>
      <w:r w:rsidR="00B81BED" w:rsidRPr="004802F4">
        <w:rPr>
          <w:rFonts w:eastAsia="MS Mincho"/>
          <w:szCs w:val="24"/>
          <w:lang w:val="fr-FR" w:eastAsia="ja-JP"/>
        </w:rPr>
        <w:t>échantillon pour un caractère dans le même cycle de végétation</w:t>
      </w:r>
      <w:r w:rsidR="00B81BED" w:rsidRPr="004802F4">
        <w:rPr>
          <w:szCs w:val="24"/>
          <w:lang w:val="fr-FR"/>
        </w:rPr>
        <w:t>”, figurant à l</w:t>
      </w:r>
      <w:r w:rsidR="004F302C" w:rsidRPr="004802F4">
        <w:rPr>
          <w:szCs w:val="24"/>
          <w:lang w:val="fr-FR"/>
        </w:rPr>
        <w:t>’</w:t>
      </w:r>
      <w:r w:rsidR="00B81BED" w:rsidRPr="004802F4">
        <w:rPr>
          <w:szCs w:val="24"/>
          <w:lang w:val="fr-FR"/>
        </w:rPr>
        <w:t>annexe</w:t>
      </w:r>
      <w:r w:rsidR="009307C6" w:rsidRPr="004802F4">
        <w:rPr>
          <w:szCs w:val="24"/>
          <w:lang w:val="fr-FR"/>
        </w:rPr>
        <w:t> </w:t>
      </w:r>
      <w:r w:rsidR="00B81BED" w:rsidRPr="004802F4">
        <w:rPr>
          <w:szCs w:val="24"/>
          <w:lang w:val="fr-FR"/>
        </w:rPr>
        <w:t xml:space="preserve">III </w:t>
      </w:r>
      <w:r w:rsidR="004F302C" w:rsidRPr="004802F4">
        <w:rPr>
          <w:szCs w:val="24"/>
          <w:lang w:val="fr-FR"/>
        </w:rPr>
        <w:t xml:space="preserve">document </w:t>
      </w:r>
      <w:r w:rsidR="004F302C" w:rsidRPr="004802F4">
        <w:rPr>
          <w:lang w:val="fr-FR"/>
        </w:rPr>
        <w:t>TW</w:t>
      </w:r>
      <w:r w:rsidRPr="004802F4">
        <w:rPr>
          <w:lang w:val="fr-FR"/>
        </w:rPr>
        <w:t>A/43/9.</w:t>
      </w:r>
    </w:p>
    <w:p w:rsidR="007A701A" w:rsidRPr="004802F4" w:rsidRDefault="007A701A" w:rsidP="004802F4">
      <w:pPr>
        <w:rPr>
          <w:lang w:val="fr-FR"/>
        </w:rPr>
      </w:pPr>
    </w:p>
    <w:p w:rsidR="004F302C" w:rsidRPr="004802F4" w:rsidRDefault="003F7E71" w:rsidP="004802F4">
      <w:pPr>
        <w:rPr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9862B7" w:rsidRPr="004802F4">
        <w:rPr>
          <w:lang w:val="fr-FR"/>
        </w:rPr>
        <w:t>Le TWA a souscrit à l</w:t>
      </w:r>
      <w:r w:rsidR="004F302C" w:rsidRPr="004802F4">
        <w:rPr>
          <w:lang w:val="fr-FR"/>
        </w:rPr>
        <w:t>’</w:t>
      </w:r>
      <w:r w:rsidR="009862B7" w:rsidRPr="004802F4">
        <w:rPr>
          <w:lang w:val="fr-FR"/>
        </w:rPr>
        <w:t>observation formulée par</w:t>
      </w:r>
      <w:r w:rsidR="004F302C" w:rsidRPr="004802F4">
        <w:rPr>
          <w:lang w:val="fr-FR"/>
        </w:rPr>
        <w:t xml:space="preserve"> le TWC</w:t>
      </w:r>
      <w:r w:rsidR="009862B7" w:rsidRPr="004802F4">
        <w:rPr>
          <w:lang w:val="fr-FR"/>
        </w:rPr>
        <w:t xml:space="preserve"> selon laquelle les orientations dans la situation D devraient être libellées comme suit</w:t>
      </w:r>
      <w:r w:rsidRPr="004802F4">
        <w:rPr>
          <w:lang w:val="fr-FR"/>
        </w:rPr>
        <w:t xml:space="preserve"> (</w:t>
      </w:r>
      <w:r w:rsidR="009862B7" w:rsidRPr="004802F4">
        <w:rPr>
          <w:lang w:val="fr-FR"/>
        </w:rPr>
        <w:t>voir les paragraphes</w:t>
      </w:r>
      <w:r w:rsidR="009307C6" w:rsidRPr="004802F4">
        <w:rPr>
          <w:lang w:val="fr-FR"/>
        </w:rPr>
        <w:t> </w:t>
      </w:r>
      <w:r w:rsidR="009862B7" w:rsidRPr="004802F4">
        <w:rPr>
          <w:lang w:val="fr-FR"/>
        </w:rPr>
        <w:t xml:space="preserve">66 à 71 du </w:t>
      </w:r>
      <w:r w:rsidR="004F302C" w:rsidRPr="004802F4">
        <w:rPr>
          <w:lang w:val="fr-FR"/>
        </w:rPr>
        <w:t>document TW</w:t>
      </w:r>
      <w:r w:rsidRPr="004802F4">
        <w:rPr>
          <w:lang w:val="fr-FR"/>
        </w:rPr>
        <w:t>A/43/27 “</w:t>
      </w:r>
      <w:r w:rsidR="008155B3">
        <w:rPr>
          <w:lang w:val="fr-FR"/>
        </w:rPr>
        <w:t>Report</w:t>
      </w:r>
      <w:r w:rsidRPr="004802F4">
        <w:rPr>
          <w:lang w:val="fr-FR"/>
        </w:rPr>
        <w:t>”)</w:t>
      </w:r>
      <w:r w:rsidR="009862B7" w:rsidRPr="004802F4">
        <w:rPr>
          <w:lang w:val="fr-FR"/>
        </w:rPr>
        <w:t> :</w:t>
      </w:r>
    </w:p>
    <w:p w:rsidR="009862B7" w:rsidRPr="004802F4" w:rsidRDefault="009862B7" w:rsidP="004802F4">
      <w:pPr>
        <w:ind w:left="567" w:right="567"/>
        <w:jc w:val="left"/>
        <w:rPr>
          <w:sz w:val="18"/>
          <w:lang w:val="fr-FR"/>
        </w:rPr>
      </w:pPr>
    </w:p>
    <w:p w:rsidR="009862B7" w:rsidRPr="004802F4" w:rsidRDefault="009862B7" w:rsidP="004802F4">
      <w:pPr>
        <w:ind w:left="567" w:right="567"/>
        <w:rPr>
          <w:rFonts w:cs="Arial"/>
          <w:sz w:val="18"/>
          <w:lang w:val="fr-FR"/>
        </w:rPr>
      </w:pPr>
    </w:p>
    <w:p w:rsidR="009862B7" w:rsidRPr="004802F4" w:rsidRDefault="009862B7" w:rsidP="004802F4">
      <w:pPr>
        <w:ind w:left="567" w:right="567"/>
        <w:rPr>
          <w:sz w:val="18"/>
          <w:szCs w:val="24"/>
          <w:lang w:val="fr-FR"/>
        </w:rPr>
      </w:pPr>
      <w:r w:rsidRPr="004802F4">
        <w:rPr>
          <w:sz w:val="18"/>
          <w:szCs w:val="24"/>
          <w:lang w:val="fr-FR"/>
        </w:rPr>
        <w:t>“SITUATION D : ÉVALUATION DE SOUS</w:t>
      </w:r>
      <w:r w:rsidR="001272D3" w:rsidRPr="004802F4">
        <w:rPr>
          <w:sz w:val="18"/>
          <w:szCs w:val="24"/>
          <w:lang w:val="fr-FR"/>
        </w:rPr>
        <w:noBreakHyphen/>
      </w:r>
      <w:r w:rsidRPr="004802F4">
        <w:rPr>
          <w:sz w:val="18"/>
          <w:szCs w:val="24"/>
          <w:lang w:val="fr-FR"/>
        </w:rPr>
        <w:t>ÉCHANTILLONS DANS LE CADRE D</w:t>
      </w:r>
      <w:r w:rsidR="004F302C" w:rsidRPr="004802F4">
        <w:rPr>
          <w:sz w:val="18"/>
          <w:szCs w:val="24"/>
          <w:lang w:val="fr-FR"/>
        </w:rPr>
        <w:t>’</w:t>
      </w:r>
      <w:r w:rsidRPr="004802F4">
        <w:rPr>
          <w:sz w:val="18"/>
          <w:szCs w:val="24"/>
          <w:lang w:val="fr-FR"/>
        </w:rPr>
        <w:t>UN SEUL EXAMEN/ESSAI</w:t>
      </w:r>
    </w:p>
    <w:p w:rsidR="009862B7" w:rsidRPr="004802F4" w:rsidRDefault="009862B7" w:rsidP="004802F4">
      <w:pPr>
        <w:ind w:left="567" w:right="567"/>
        <w:rPr>
          <w:sz w:val="18"/>
          <w:szCs w:val="24"/>
          <w:lang w:val="fr-FR"/>
        </w:rPr>
      </w:pPr>
    </w:p>
    <w:p w:rsidR="009862B7" w:rsidRPr="004802F4" w:rsidRDefault="009862B7" w:rsidP="004802F4">
      <w:pPr>
        <w:ind w:left="567"/>
        <w:rPr>
          <w:b/>
          <w:sz w:val="18"/>
          <w:lang w:val="fr-FR"/>
        </w:rPr>
      </w:pPr>
      <w:r w:rsidRPr="004802F4">
        <w:rPr>
          <w:b/>
          <w:sz w:val="18"/>
          <w:lang w:val="fr-FR"/>
        </w:rPr>
        <w:t>“Méthode : Utilisation du sous</w:t>
      </w:r>
      <w:r w:rsidR="001272D3" w:rsidRPr="004802F4">
        <w:rPr>
          <w:b/>
          <w:sz w:val="18"/>
          <w:lang w:val="fr-FR"/>
        </w:rPr>
        <w:noBreakHyphen/>
      </w:r>
      <w:r w:rsidRPr="004802F4">
        <w:rPr>
          <w:b/>
          <w:sz w:val="18"/>
          <w:lang w:val="fr-FR"/>
        </w:rPr>
        <w:t>échantillon comme première étape d</w:t>
      </w:r>
      <w:r w:rsidR="004F302C" w:rsidRPr="004802F4">
        <w:rPr>
          <w:b/>
          <w:sz w:val="18"/>
          <w:lang w:val="fr-FR"/>
        </w:rPr>
        <w:t>’</w:t>
      </w:r>
      <w:r w:rsidRPr="004802F4">
        <w:rPr>
          <w:b/>
          <w:sz w:val="18"/>
          <w:lang w:val="fr-FR"/>
        </w:rPr>
        <w:t>évaluation</w:t>
      </w:r>
    </w:p>
    <w:p w:rsidR="009862B7" w:rsidRPr="004802F4" w:rsidRDefault="009862B7" w:rsidP="004802F4">
      <w:pPr>
        <w:ind w:left="567" w:right="567"/>
        <w:rPr>
          <w:rFonts w:cs="Arial"/>
          <w:sz w:val="18"/>
          <w:lang w:val="fr-FR"/>
        </w:rPr>
      </w:pPr>
    </w:p>
    <w:p w:rsidR="009862B7" w:rsidRPr="004802F4" w:rsidRDefault="009862B7" w:rsidP="004802F4">
      <w:pPr>
        <w:ind w:left="567" w:right="567"/>
        <w:rPr>
          <w:rFonts w:cs="Arial"/>
          <w:sz w:val="18"/>
          <w:lang w:val="fr-FR"/>
        </w:rPr>
      </w:pPr>
      <w:r w:rsidRPr="004802F4">
        <w:rPr>
          <w:rFonts w:cs="Arial"/>
          <w:sz w:val="18"/>
          <w:lang w:val="fr-FR"/>
        </w:rPr>
        <w:t xml:space="preserve">“Une variété est réputée homogène si le nombre de plantes </w:t>
      </w:r>
      <w:r w:rsidR="00707A69" w:rsidRPr="004802F4">
        <w:rPr>
          <w:rFonts w:cs="Arial"/>
          <w:sz w:val="18"/>
          <w:lang w:val="fr-FR"/>
        </w:rPr>
        <w:t>hors-type</w:t>
      </w:r>
      <w:r w:rsidRPr="004802F4">
        <w:rPr>
          <w:rFonts w:cs="Arial"/>
          <w:sz w:val="18"/>
          <w:lang w:val="fr-FR"/>
        </w:rPr>
        <w:t xml:space="preserve"> ne dépasse pas une limite inférieure prédéfinie dans le sous</w:t>
      </w:r>
      <w:r w:rsidR="001272D3" w:rsidRPr="004802F4">
        <w:rPr>
          <w:rFonts w:cs="Arial"/>
          <w:sz w:val="18"/>
          <w:lang w:val="fr-FR"/>
        </w:rPr>
        <w:noBreakHyphen/>
      </w:r>
      <w:r w:rsidRPr="004802F4">
        <w:rPr>
          <w:rFonts w:cs="Arial"/>
          <w:sz w:val="18"/>
          <w:lang w:val="fr-FR"/>
        </w:rPr>
        <w:t>échantillon.</w:t>
      </w:r>
    </w:p>
    <w:p w:rsidR="009862B7" w:rsidRPr="004802F4" w:rsidRDefault="009862B7" w:rsidP="004802F4">
      <w:pPr>
        <w:ind w:left="567" w:right="567"/>
        <w:rPr>
          <w:rFonts w:cs="Arial"/>
          <w:sz w:val="18"/>
          <w:lang w:val="fr-FR"/>
        </w:rPr>
      </w:pPr>
    </w:p>
    <w:p w:rsidR="009862B7" w:rsidRPr="004802F4" w:rsidRDefault="009862B7" w:rsidP="004802F4">
      <w:pPr>
        <w:ind w:left="567" w:right="567"/>
        <w:rPr>
          <w:rFonts w:cs="Arial"/>
          <w:sz w:val="18"/>
          <w:lang w:val="fr-FR"/>
        </w:rPr>
      </w:pPr>
      <w:r w:rsidRPr="004802F4">
        <w:rPr>
          <w:rFonts w:cs="Arial"/>
          <w:sz w:val="18"/>
          <w:lang w:val="fr-FR"/>
        </w:rPr>
        <w:t>“</w:t>
      </w:r>
      <w:r w:rsidRPr="004802F4">
        <w:rPr>
          <w:rFonts w:eastAsia="SimSun"/>
          <w:sz w:val="18"/>
          <w:szCs w:val="18"/>
          <w:lang w:val="fr-FR" w:eastAsia="zh-CN"/>
        </w:rPr>
        <w:t xml:space="preserve">Une variété est réputée non homogène si le nombre de plantes </w:t>
      </w:r>
      <w:r w:rsidR="00707A69" w:rsidRPr="004802F4">
        <w:rPr>
          <w:rFonts w:eastAsia="SimSun"/>
          <w:sz w:val="18"/>
          <w:szCs w:val="18"/>
          <w:lang w:val="fr-FR" w:eastAsia="zh-CN"/>
        </w:rPr>
        <w:t>hors-type</w:t>
      </w:r>
      <w:r w:rsidRPr="004802F4">
        <w:rPr>
          <w:rFonts w:eastAsia="SimSun"/>
          <w:sz w:val="18"/>
          <w:szCs w:val="18"/>
          <w:lang w:val="fr-FR" w:eastAsia="zh-CN"/>
        </w:rPr>
        <w:t xml:space="preserve"> dépasse une limite supérieure prédéfinie dans le sous</w:t>
      </w:r>
      <w:r w:rsidR="001272D3" w:rsidRPr="004802F4">
        <w:rPr>
          <w:rFonts w:eastAsia="SimSun"/>
          <w:sz w:val="18"/>
          <w:szCs w:val="18"/>
          <w:lang w:val="fr-FR" w:eastAsia="zh-CN"/>
        </w:rPr>
        <w:noBreakHyphen/>
      </w:r>
      <w:r w:rsidRPr="004802F4">
        <w:rPr>
          <w:rFonts w:eastAsia="SimSun"/>
          <w:sz w:val="18"/>
          <w:szCs w:val="18"/>
          <w:lang w:val="fr-FR" w:eastAsia="zh-CN"/>
        </w:rPr>
        <w:t>échantillon.</w:t>
      </w:r>
    </w:p>
    <w:p w:rsidR="009862B7" w:rsidRPr="004802F4" w:rsidRDefault="009862B7" w:rsidP="004802F4">
      <w:pPr>
        <w:ind w:left="567" w:right="567"/>
        <w:rPr>
          <w:rFonts w:cs="Arial"/>
          <w:sz w:val="18"/>
          <w:lang w:val="fr-FR"/>
        </w:rPr>
      </w:pPr>
    </w:p>
    <w:p w:rsidR="009862B7" w:rsidRPr="004802F4" w:rsidRDefault="009862B7" w:rsidP="004802F4">
      <w:pPr>
        <w:ind w:left="567" w:right="567"/>
        <w:rPr>
          <w:rFonts w:cs="Arial"/>
          <w:sz w:val="18"/>
          <w:lang w:val="fr-FR"/>
        </w:rPr>
      </w:pPr>
      <w:r w:rsidRPr="004802F4">
        <w:rPr>
          <w:rFonts w:cs="Arial"/>
          <w:sz w:val="18"/>
          <w:lang w:val="fr-FR"/>
        </w:rPr>
        <w:t xml:space="preserve">“Si le nombre de plantes </w:t>
      </w:r>
      <w:r w:rsidR="00707A69" w:rsidRPr="004802F4">
        <w:rPr>
          <w:rFonts w:cs="Arial"/>
          <w:sz w:val="18"/>
          <w:lang w:val="fr-FR"/>
        </w:rPr>
        <w:t>hors-type</w:t>
      </w:r>
      <w:r w:rsidRPr="004802F4">
        <w:rPr>
          <w:rFonts w:cs="Arial"/>
          <w:sz w:val="18"/>
          <w:lang w:val="fr-FR"/>
        </w:rPr>
        <w:t xml:space="preserve"> se situe entre les limites inférieure et supérieure prédéfinies, l</w:t>
      </w:r>
      <w:r w:rsidR="004F302C" w:rsidRPr="004802F4">
        <w:rPr>
          <w:rFonts w:cs="Arial"/>
          <w:sz w:val="18"/>
          <w:lang w:val="fr-FR"/>
        </w:rPr>
        <w:t>’</w:t>
      </w:r>
      <w:r w:rsidRPr="004802F4">
        <w:rPr>
          <w:rFonts w:cs="Arial"/>
          <w:sz w:val="18"/>
          <w:lang w:val="fr-FR"/>
        </w:rPr>
        <w:t xml:space="preserve">échantillon tout entier est évalué.  Les limites inférieure et supérieure </w:t>
      </w:r>
      <w:r w:rsidR="004A5024" w:rsidRPr="004802F4">
        <w:rPr>
          <w:rFonts w:cs="Arial"/>
          <w:sz w:val="18"/>
          <w:lang w:val="fr-FR"/>
        </w:rPr>
        <w:t>doivent être</w:t>
      </w:r>
      <w:r w:rsidRPr="004802F4">
        <w:rPr>
          <w:rFonts w:cs="Arial"/>
          <w:sz w:val="18"/>
          <w:lang w:val="fr-FR"/>
        </w:rPr>
        <w:t xml:space="preserve"> choisies compte tenu </w:t>
      </w:r>
      <w:r w:rsidR="005711FD" w:rsidRPr="004802F4">
        <w:rPr>
          <w:rFonts w:cs="Arial"/>
          <w:sz w:val="18"/>
          <w:lang w:val="fr-FR"/>
        </w:rPr>
        <w:t xml:space="preserve">de probabilités </w:t>
      </w:r>
      <w:r w:rsidRPr="004802F4">
        <w:rPr>
          <w:rFonts w:cs="Arial"/>
          <w:sz w:val="18"/>
          <w:lang w:val="fr-FR"/>
        </w:rPr>
        <w:t>d</w:t>
      </w:r>
      <w:r w:rsidR="004F302C" w:rsidRPr="004802F4">
        <w:rPr>
          <w:rFonts w:cs="Arial"/>
          <w:sz w:val="18"/>
          <w:lang w:val="fr-FR"/>
        </w:rPr>
        <w:t>’</w:t>
      </w:r>
      <w:r w:rsidRPr="004802F4">
        <w:rPr>
          <w:rFonts w:cs="Arial"/>
          <w:sz w:val="18"/>
          <w:lang w:val="fr-FR"/>
        </w:rPr>
        <w:t xml:space="preserve">erreurs de type I et de type II </w:t>
      </w:r>
      <w:r w:rsidR="005711FD" w:rsidRPr="004802F4">
        <w:rPr>
          <w:rFonts w:cs="Arial"/>
          <w:sz w:val="18"/>
          <w:lang w:val="fr-FR"/>
        </w:rPr>
        <w:t xml:space="preserve">comparables </w:t>
      </w:r>
      <w:r w:rsidR="00A15565" w:rsidRPr="004802F4">
        <w:rPr>
          <w:rFonts w:cs="Arial"/>
          <w:sz w:val="18"/>
          <w:lang w:val="fr-FR"/>
        </w:rPr>
        <w:t>entre</w:t>
      </w:r>
      <w:r w:rsidRPr="004802F4">
        <w:rPr>
          <w:rFonts w:cs="Arial"/>
          <w:sz w:val="18"/>
          <w:lang w:val="fr-FR"/>
        </w:rPr>
        <w:t xml:space="preserve"> le sous</w:t>
      </w:r>
      <w:r w:rsidR="001272D3" w:rsidRPr="004802F4">
        <w:rPr>
          <w:rFonts w:cs="Arial"/>
          <w:sz w:val="18"/>
          <w:lang w:val="fr-FR"/>
        </w:rPr>
        <w:noBreakHyphen/>
      </w:r>
      <w:r w:rsidRPr="004802F4">
        <w:rPr>
          <w:rFonts w:cs="Arial"/>
          <w:sz w:val="18"/>
          <w:lang w:val="fr-FR"/>
        </w:rPr>
        <w:t>échantillon et l</w:t>
      </w:r>
      <w:r w:rsidR="004F302C" w:rsidRPr="004802F4">
        <w:rPr>
          <w:rFonts w:cs="Arial"/>
          <w:sz w:val="18"/>
          <w:lang w:val="fr-FR"/>
        </w:rPr>
        <w:t>’</w:t>
      </w:r>
      <w:r w:rsidRPr="004802F4">
        <w:rPr>
          <w:rFonts w:cs="Arial"/>
          <w:sz w:val="18"/>
          <w:lang w:val="fr-FR"/>
        </w:rPr>
        <w:t>échantillon tout entier.</w:t>
      </w:r>
    </w:p>
    <w:p w:rsidR="009862B7" w:rsidRPr="004802F4" w:rsidRDefault="009862B7" w:rsidP="004802F4">
      <w:pPr>
        <w:ind w:left="567" w:right="567"/>
        <w:rPr>
          <w:rFonts w:cs="Arial"/>
          <w:sz w:val="18"/>
          <w:lang w:val="fr-FR"/>
        </w:rPr>
      </w:pPr>
    </w:p>
    <w:p w:rsidR="009862B7" w:rsidRPr="004802F4" w:rsidRDefault="009862B7" w:rsidP="004802F4">
      <w:pPr>
        <w:ind w:left="567" w:right="567"/>
        <w:rPr>
          <w:rFonts w:cs="Arial"/>
          <w:sz w:val="18"/>
          <w:lang w:val="fr-FR"/>
        </w:rPr>
      </w:pPr>
      <w:r w:rsidRPr="004802F4">
        <w:rPr>
          <w:rFonts w:cs="Arial"/>
          <w:sz w:val="18"/>
          <w:lang w:val="fr-FR"/>
        </w:rPr>
        <w:t>“Exemple :</w:t>
      </w:r>
    </w:p>
    <w:p w:rsidR="009862B7" w:rsidRPr="004802F4" w:rsidRDefault="009862B7" w:rsidP="004802F4">
      <w:pPr>
        <w:ind w:left="567" w:right="567"/>
        <w:rPr>
          <w:rFonts w:cs="Arial"/>
          <w:sz w:val="18"/>
          <w:lang w:val="fr-FR"/>
        </w:rPr>
      </w:pPr>
    </w:p>
    <w:p w:rsidR="009862B7" w:rsidRPr="004802F4" w:rsidRDefault="009862B7" w:rsidP="004802F4">
      <w:pPr>
        <w:autoSpaceDE w:val="0"/>
        <w:autoSpaceDN w:val="0"/>
        <w:adjustRightInd w:val="0"/>
        <w:ind w:left="567" w:right="567"/>
        <w:rPr>
          <w:rFonts w:cs="Arial"/>
          <w:sz w:val="18"/>
          <w:lang w:val="fr-FR"/>
        </w:rPr>
      </w:pPr>
      <w:r w:rsidRPr="004802F4">
        <w:rPr>
          <w:rFonts w:cs="Arial"/>
          <w:sz w:val="18"/>
          <w:lang w:val="fr-FR"/>
        </w:rPr>
        <w:t xml:space="preserve">“Dans un échantillon de </w:t>
      </w:r>
      <w:r w:rsidR="002D2E1B" w:rsidRPr="004802F4">
        <w:rPr>
          <w:rFonts w:cs="Arial"/>
          <w:sz w:val="18"/>
          <w:lang w:val="fr-FR"/>
        </w:rPr>
        <w:t>100 </w:t>
      </w:r>
      <w:r w:rsidRPr="004802F4">
        <w:rPr>
          <w:rFonts w:cs="Arial"/>
          <w:sz w:val="18"/>
          <w:lang w:val="fr-FR"/>
        </w:rPr>
        <w:t xml:space="preserve">plantes, le nombre acceptable de plantes </w:t>
      </w:r>
      <w:r w:rsidR="00707A69" w:rsidRPr="004802F4">
        <w:rPr>
          <w:rFonts w:cs="Arial"/>
          <w:sz w:val="18"/>
          <w:lang w:val="fr-FR"/>
        </w:rPr>
        <w:t>hors-type</w:t>
      </w:r>
      <w:r w:rsidRPr="004802F4">
        <w:rPr>
          <w:rFonts w:cs="Arial"/>
          <w:sz w:val="18"/>
          <w:lang w:val="fr-FR"/>
        </w:rPr>
        <w:t xml:space="preserve"> est de 3 (sur la base d</w:t>
      </w:r>
      <w:r w:rsidR="004F302C" w:rsidRPr="004802F4">
        <w:rPr>
          <w:rFonts w:cs="Arial"/>
          <w:sz w:val="18"/>
          <w:lang w:val="fr-FR"/>
        </w:rPr>
        <w:t>’</w:t>
      </w:r>
      <w:r w:rsidRPr="004802F4">
        <w:rPr>
          <w:rFonts w:cs="Arial"/>
          <w:sz w:val="18"/>
          <w:lang w:val="fr-FR"/>
        </w:rPr>
        <w:t>une norme de population de 1% et d</w:t>
      </w:r>
      <w:r w:rsidR="004F302C" w:rsidRPr="004802F4">
        <w:rPr>
          <w:rFonts w:cs="Arial"/>
          <w:sz w:val="18"/>
          <w:lang w:val="fr-FR"/>
        </w:rPr>
        <w:t>’</w:t>
      </w:r>
      <w:r w:rsidRPr="004802F4">
        <w:rPr>
          <w:rFonts w:cs="Arial"/>
          <w:sz w:val="18"/>
          <w:lang w:val="fr-FR"/>
        </w:rPr>
        <w:t>une probabilité d</w:t>
      </w:r>
      <w:r w:rsidR="004F302C" w:rsidRPr="004802F4">
        <w:rPr>
          <w:rFonts w:cs="Arial"/>
          <w:sz w:val="18"/>
          <w:lang w:val="fr-FR"/>
        </w:rPr>
        <w:t>’</w:t>
      </w:r>
      <w:r w:rsidRPr="004802F4">
        <w:rPr>
          <w:rFonts w:cs="Arial"/>
          <w:sz w:val="18"/>
          <w:lang w:val="fr-FR"/>
        </w:rPr>
        <w:t>acceptation d</w:t>
      </w:r>
      <w:r w:rsidR="004F302C" w:rsidRPr="004802F4">
        <w:rPr>
          <w:rFonts w:cs="Arial"/>
          <w:sz w:val="18"/>
          <w:lang w:val="fr-FR"/>
        </w:rPr>
        <w:t>’</w:t>
      </w:r>
      <w:r w:rsidRPr="004802F4">
        <w:rPr>
          <w:rFonts w:cs="Arial"/>
          <w:sz w:val="18"/>
          <w:lang w:val="fr-FR"/>
        </w:rPr>
        <w:t>au moins 95%).</w:t>
      </w:r>
    </w:p>
    <w:p w:rsidR="009862B7" w:rsidRPr="004802F4" w:rsidRDefault="009862B7" w:rsidP="004802F4">
      <w:pPr>
        <w:autoSpaceDE w:val="0"/>
        <w:autoSpaceDN w:val="0"/>
        <w:adjustRightInd w:val="0"/>
        <w:ind w:left="567" w:right="567"/>
        <w:rPr>
          <w:rFonts w:cs="Arial"/>
          <w:sz w:val="18"/>
          <w:lang w:val="fr-FR"/>
        </w:rPr>
      </w:pPr>
    </w:p>
    <w:p w:rsidR="009862B7" w:rsidRPr="004802F4" w:rsidRDefault="009862B7" w:rsidP="004802F4">
      <w:pPr>
        <w:autoSpaceDE w:val="0"/>
        <w:autoSpaceDN w:val="0"/>
        <w:adjustRightInd w:val="0"/>
        <w:ind w:left="567" w:right="567"/>
        <w:rPr>
          <w:rFonts w:cs="Arial"/>
          <w:sz w:val="18"/>
          <w:lang w:val="fr-FR"/>
        </w:rPr>
      </w:pPr>
      <w:r w:rsidRPr="004802F4">
        <w:rPr>
          <w:rFonts w:cs="Arial"/>
          <w:sz w:val="18"/>
          <w:lang w:val="fr-FR"/>
        </w:rPr>
        <w:t>“Dans un sous</w:t>
      </w:r>
      <w:r w:rsidR="001272D3" w:rsidRPr="004802F4">
        <w:rPr>
          <w:rFonts w:cs="Arial"/>
          <w:sz w:val="18"/>
          <w:lang w:val="fr-FR"/>
        </w:rPr>
        <w:noBreakHyphen/>
      </w:r>
      <w:r w:rsidRPr="004802F4">
        <w:rPr>
          <w:rFonts w:cs="Arial"/>
          <w:sz w:val="18"/>
          <w:lang w:val="fr-FR"/>
        </w:rPr>
        <w:t>échantillon de 20 plantes utilisé dans le contexte de l</w:t>
      </w:r>
      <w:r w:rsidR="004F302C" w:rsidRPr="004802F4">
        <w:rPr>
          <w:rFonts w:cs="Arial"/>
          <w:sz w:val="18"/>
          <w:lang w:val="fr-FR"/>
        </w:rPr>
        <w:t>’</w:t>
      </w:r>
      <w:r w:rsidRPr="004802F4">
        <w:rPr>
          <w:rFonts w:cs="Arial"/>
          <w:sz w:val="18"/>
          <w:lang w:val="fr-FR"/>
        </w:rPr>
        <w:t>échantillon de 100 plantes ci</w:t>
      </w:r>
      <w:r w:rsidR="001272D3" w:rsidRPr="004802F4">
        <w:rPr>
          <w:rFonts w:cs="Arial"/>
          <w:sz w:val="18"/>
          <w:lang w:val="fr-FR"/>
        </w:rPr>
        <w:noBreakHyphen/>
      </w:r>
      <w:r w:rsidRPr="004802F4">
        <w:rPr>
          <w:rFonts w:cs="Arial"/>
          <w:sz w:val="18"/>
          <w:lang w:val="fr-FR"/>
        </w:rPr>
        <w:t>dessus :</w:t>
      </w:r>
    </w:p>
    <w:p w:rsidR="009862B7" w:rsidRPr="004802F4" w:rsidRDefault="009862B7" w:rsidP="004802F4">
      <w:pPr>
        <w:autoSpaceDE w:val="0"/>
        <w:autoSpaceDN w:val="0"/>
        <w:adjustRightInd w:val="0"/>
        <w:ind w:left="1134" w:right="567"/>
        <w:rPr>
          <w:rFonts w:cs="Arial"/>
          <w:sz w:val="18"/>
          <w:lang w:val="fr-FR"/>
        </w:rPr>
      </w:pPr>
    </w:p>
    <w:p w:rsidR="009862B7" w:rsidRPr="004802F4" w:rsidRDefault="009862B7" w:rsidP="004802F4">
      <w:pPr>
        <w:ind w:left="1134" w:right="567"/>
        <w:rPr>
          <w:rFonts w:cs="Arial"/>
          <w:sz w:val="18"/>
          <w:lang w:val="fr-FR"/>
        </w:rPr>
      </w:pPr>
      <w:r w:rsidRPr="004802F4">
        <w:rPr>
          <w:rFonts w:cs="Arial"/>
          <w:sz w:val="18"/>
          <w:lang w:val="fr-FR"/>
        </w:rPr>
        <w:t xml:space="preserve">“Une variété est réputée homogène si aucune plante </w:t>
      </w:r>
      <w:r w:rsidR="00707A69" w:rsidRPr="004802F4">
        <w:rPr>
          <w:rFonts w:cs="Arial"/>
          <w:sz w:val="18"/>
          <w:lang w:val="fr-FR"/>
        </w:rPr>
        <w:t>hors-type</w:t>
      </w:r>
      <w:r w:rsidRPr="004802F4">
        <w:rPr>
          <w:rFonts w:cs="Arial"/>
          <w:sz w:val="18"/>
          <w:lang w:val="fr-FR"/>
        </w:rPr>
        <w:t xml:space="preserve"> n</w:t>
      </w:r>
      <w:r w:rsidR="004F302C" w:rsidRPr="004802F4">
        <w:rPr>
          <w:rFonts w:cs="Arial"/>
          <w:sz w:val="18"/>
          <w:lang w:val="fr-FR"/>
        </w:rPr>
        <w:t>’</w:t>
      </w:r>
      <w:r w:rsidRPr="004802F4">
        <w:rPr>
          <w:rFonts w:cs="Arial"/>
          <w:sz w:val="18"/>
          <w:lang w:val="fr-FR"/>
        </w:rPr>
        <w:t>est observée dans un sous</w:t>
      </w:r>
      <w:r w:rsidR="001272D3" w:rsidRPr="004802F4">
        <w:rPr>
          <w:rFonts w:cs="Arial"/>
          <w:sz w:val="18"/>
          <w:lang w:val="fr-FR"/>
        </w:rPr>
        <w:noBreakHyphen/>
      </w:r>
      <w:r w:rsidRPr="004802F4">
        <w:rPr>
          <w:rFonts w:cs="Arial"/>
          <w:sz w:val="18"/>
          <w:lang w:val="fr-FR"/>
        </w:rPr>
        <w:t>échantillon.</w:t>
      </w:r>
    </w:p>
    <w:p w:rsidR="009862B7" w:rsidRPr="004802F4" w:rsidRDefault="009862B7" w:rsidP="004802F4">
      <w:pPr>
        <w:ind w:left="1134" w:right="567"/>
        <w:rPr>
          <w:rFonts w:cs="Arial"/>
          <w:sz w:val="18"/>
          <w:lang w:val="fr-FR"/>
        </w:rPr>
      </w:pPr>
    </w:p>
    <w:p w:rsidR="009862B7" w:rsidRPr="004802F4" w:rsidRDefault="009862B7" w:rsidP="004802F4">
      <w:pPr>
        <w:ind w:left="1134" w:right="567"/>
        <w:rPr>
          <w:rFonts w:cs="Arial"/>
          <w:sz w:val="18"/>
          <w:lang w:val="fr-FR"/>
        </w:rPr>
      </w:pPr>
      <w:r w:rsidRPr="004802F4">
        <w:rPr>
          <w:rFonts w:cs="Arial"/>
          <w:sz w:val="18"/>
          <w:lang w:val="fr-FR"/>
        </w:rPr>
        <w:t xml:space="preserve">“Une variété est réputée non homogène si le nombre de plantes </w:t>
      </w:r>
      <w:r w:rsidR="00707A69" w:rsidRPr="004802F4">
        <w:rPr>
          <w:rFonts w:cs="Arial"/>
          <w:sz w:val="18"/>
          <w:lang w:val="fr-FR"/>
        </w:rPr>
        <w:t>hors-type</w:t>
      </w:r>
      <w:r w:rsidRPr="004802F4">
        <w:rPr>
          <w:rFonts w:cs="Arial"/>
          <w:sz w:val="18"/>
          <w:lang w:val="fr-FR"/>
        </w:rPr>
        <w:t xml:space="preserve"> dans le sous</w:t>
      </w:r>
      <w:r w:rsidR="001272D3" w:rsidRPr="004802F4">
        <w:rPr>
          <w:rFonts w:cs="Arial"/>
          <w:sz w:val="18"/>
          <w:lang w:val="fr-FR"/>
        </w:rPr>
        <w:noBreakHyphen/>
      </w:r>
      <w:r w:rsidRPr="004802F4">
        <w:rPr>
          <w:rFonts w:cs="Arial"/>
          <w:sz w:val="18"/>
          <w:lang w:val="fr-FR"/>
        </w:rPr>
        <w:t>échantillon dépasse 3.</w:t>
      </w:r>
    </w:p>
    <w:p w:rsidR="009862B7" w:rsidRPr="004802F4" w:rsidRDefault="009862B7" w:rsidP="004802F4">
      <w:pPr>
        <w:ind w:left="1134" w:right="567"/>
        <w:rPr>
          <w:rFonts w:cs="Arial"/>
          <w:sz w:val="18"/>
          <w:lang w:val="fr-FR"/>
        </w:rPr>
      </w:pPr>
    </w:p>
    <w:p w:rsidR="009862B7" w:rsidRPr="004802F4" w:rsidRDefault="009862B7" w:rsidP="004802F4">
      <w:pPr>
        <w:ind w:left="1134" w:right="567"/>
        <w:rPr>
          <w:rFonts w:cs="Arial"/>
          <w:sz w:val="18"/>
          <w:lang w:val="fr-FR"/>
        </w:rPr>
      </w:pPr>
      <w:r w:rsidRPr="004802F4">
        <w:rPr>
          <w:rFonts w:cs="Arial"/>
          <w:sz w:val="18"/>
          <w:lang w:val="fr-FR"/>
        </w:rPr>
        <w:t xml:space="preserve">“Si le nombre de plantes </w:t>
      </w:r>
      <w:r w:rsidR="00707A69" w:rsidRPr="004802F4">
        <w:rPr>
          <w:rFonts w:cs="Arial"/>
          <w:sz w:val="18"/>
          <w:lang w:val="fr-FR"/>
        </w:rPr>
        <w:t>hors-type</w:t>
      </w:r>
      <w:r w:rsidRPr="004802F4">
        <w:rPr>
          <w:rFonts w:cs="Arial"/>
          <w:sz w:val="18"/>
          <w:lang w:val="fr-FR"/>
        </w:rPr>
        <w:t xml:space="preserve"> varie entre 1 et 3, l</w:t>
      </w:r>
      <w:r w:rsidR="004F302C" w:rsidRPr="004802F4">
        <w:rPr>
          <w:rFonts w:cs="Arial"/>
          <w:sz w:val="18"/>
          <w:lang w:val="fr-FR"/>
        </w:rPr>
        <w:t>’</w:t>
      </w:r>
      <w:r w:rsidRPr="004802F4">
        <w:rPr>
          <w:rFonts w:cs="Arial"/>
          <w:sz w:val="18"/>
          <w:lang w:val="fr-FR"/>
        </w:rPr>
        <w:t>échantillon tout entier de 100 plantes est évalué.</w:t>
      </w:r>
    </w:p>
    <w:p w:rsidR="009862B7" w:rsidRPr="004802F4" w:rsidRDefault="009862B7" w:rsidP="004802F4">
      <w:pPr>
        <w:ind w:left="567" w:right="567"/>
        <w:rPr>
          <w:rFonts w:cs="Arial"/>
          <w:sz w:val="18"/>
          <w:lang w:val="fr-FR"/>
        </w:rPr>
      </w:pPr>
    </w:p>
    <w:p w:rsidR="009862B7" w:rsidRPr="004802F4" w:rsidRDefault="009862B7" w:rsidP="004802F4">
      <w:pPr>
        <w:ind w:left="567" w:right="567"/>
        <w:rPr>
          <w:rFonts w:cs="Arial"/>
          <w:b/>
          <w:sz w:val="18"/>
          <w:lang w:val="fr-FR"/>
        </w:rPr>
      </w:pPr>
      <w:r w:rsidRPr="004802F4">
        <w:rPr>
          <w:rFonts w:cs="Arial"/>
          <w:sz w:val="18"/>
          <w:lang w:val="fr-FR"/>
        </w:rPr>
        <w:t>“L</w:t>
      </w:r>
      <w:r w:rsidR="004F302C" w:rsidRPr="004802F4">
        <w:rPr>
          <w:rFonts w:cs="Arial"/>
          <w:sz w:val="18"/>
          <w:lang w:val="fr-FR"/>
        </w:rPr>
        <w:t>’</w:t>
      </w:r>
      <w:r w:rsidRPr="004802F4">
        <w:rPr>
          <w:rFonts w:cs="Arial"/>
          <w:sz w:val="18"/>
          <w:lang w:val="fr-FR"/>
        </w:rPr>
        <w:t>annexe</w:t>
      </w:r>
      <w:r w:rsidR="009307C6" w:rsidRPr="004802F4">
        <w:rPr>
          <w:rFonts w:cs="Arial"/>
          <w:sz w:val="18"/>
          <w:lang w:val="fr-FR"/>
        </w:rPr>
        <w:t> </w:t>
      </w:r>
      <w:r w:rsidRPr="004802F4">
        <w:rPr>
          <w:rFonts w:cs="Arial"/>
          <w:sz w:val="18"/>
          <w:lang w:val="fr-FR"/>
        </w:rPr>
        <w:t xml:space="preserve">V du document TWC/32/9 donne une description complète de la base </w:t>
      </w:r>
      <w:r w:rsidR="00707A69" w:rsidRPr="004802F4">
        <w:rPr>
          <w:rFonts w:cs="Arial"/>
          <w:sz w:val="18"/>
          <w:lang w:val="fr-FR"/>
        </w:rPr>
        <w:t>statistique</w:t>
      </w:r>
      <w:r w:rsidRPr="004802F4">
        <w:rPr>
          <w:rFonts w:cs="Arial"/>
          <w:sz w:val="18"/>
          <w:lang w:val="fr-FR"/>
        </w:rPr>
        <w:t xml:space="preserve"> utilisée pour cette méthode.”</w:t>
      </w:r>
    </w:p>
    <w:p w:rsidR="009862B7" w:rsidRPr="004802F4" w:rsidRDefault="009862B7" w:rsidP="004802F4">
      <w:pPr>
        <w:pStyle w:val="Heading2"/>
        <w:rPr>
          <w:lang w:val="fr-FR" w:eastAsia="de-DE" w:bidi="de-DE"/>
        </w:rPr>
      </w:pPr>
    </w:p>
    <w:p w:rsidR="007A701A" w:rsidRPr="004802F4" w:rsidRDefault="007A701A" w:rsidP="004802F4">
      <w:pPr>
        <w:rPr>
          <w:lang w:val="fr-FR"/>
        </w:rPr>
      </w:pPr>
    </w:p>
    <w:p w:rsidR="007A701A" w:rsidRPr="004802F4" w:rsidRDefault="007A701A" w:rsidP="004802F4">
      <w:pPr>
        <w:pStyle w:val="Heading1"/>
        <w:rPr>
          <w:lang w:val="fr-FR"/>
        </w:rPr>
      </w:pPr>
      <w:bookmarkStart w:id="14" w:name="_Toc411499189"/>
      <w:r w:rsidRPr="004802F4">
        <w:rPr>
          <w:lang w:val="fr-FR"/>
        </w:rPr>
        <w:t xml:space="preserve">observations </w:t>
      </w:r>
      <w:r w:rsidR="002C64D7" w:rsidRPr="004802F4">
        <w:rPr>
          <w:lang w:val="fr-FR"/>
        </w:rPr>
        <w:t xml:space="preserve">du </w:t>
      </w:r>
      <w:r w:rsidRPr="004802F4">
        <w:rPr>
          <w:lang w:val="fr-FR"/>
        </w:rPr>
        <w:t>Comité de rédaction élargi à sa réunion de janvier 2015</w:t>
      </w:r>
      <w:bookmarkEnd w:id="14"/>
    </w:p>
    <w:p w:rsidR="007A701A" w:rsidRPr="004802F4" w:rsidRDefault="007A701A" w:rsidP="004802F4">
      <w:pPr>
        <w:rPr>
          <w:rFonts w:cs="Arial"/>
          <w:snapToGrid w:val="0"/>
          <w:lang w:val="fr-FR"/>
        </w:rPr>
      </w:pPr>
    </w:p>
    <w:p w:rsidR="007A701A" w:rsidRPr="004802F4" w:rsidRDefault="00556453" w:rsidP="004802F4">
      <w:pPr>
        <w:rPr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2C64D7" w:rsidRPr="004802F4">
        <w:rPr>
          <w:lang w:val="fr-FR"/>
        </w:rPr>
        <w:t xml:space="preserve">À sa réunion tenue à Genève les 7 et </w:t>
      </w:r>
      <w:r w:rsidR="004F302C" w:rsidRPr="004802F4">
        <w:rPr>
          <w:lang w:val="fr-FR"/>
        </w:rPr>
        <w:t>8 janvier 20</w:t>
      </w:r>
      <w:r w:rsidR="002C64D7" w:rsidRPr="004802F4">
        <w:rPr>
          <w:lang w:val="fr-FR"/>
        </w:rPr>
        <w:t>15, le</w:t>
      </w:r>
      <w:r w:rsidR="004F302C" w:rsidRPr="004802F4">
        <w:rPr>
          <w:lang w:val="fr-FR"/>
        </w:rPr>
        <w:t> TC</w:t>
      </w:r>
      <w:r w:rsidR="001272D3" w:rsidRPr="004802F4">
        <w:rPr>
          <w:lang w:val="fr-FR"/>
        </w:rPr>
        <w:noBreakHyphen/>
      </w:r>
      <w:r w:rsidR="004F302C" w:rsidRPr="004802F4">
        <w:rPr>
          <w:lang w:val="fr-FR"/>
        </w:rPr>
        <w:t>EDC</w:t>
      </w:r>
      <w:r w:rsidR="002C64D7" w:rsidRPr="004802F4">
        <w:rPr>
          <w:lang w:val="fr-FR"/>
        </w:rPr>
        <w:t xml:space="preserve"> a examiné le </w:t>
      </w:r>
      <w:r w:rsidR="004F302C" w:rsidRPr="004802F4">
        <w:rPr>
          <w:lang w:val="fr-FR"/>
        </w:rPr>
        <w:t>document TC</w:t>
      </w:r>
      <w:r w:rsidR="001272D3" w:rsidRPr="004802F4">
        <w:rPr>
          <w:lang w:val="fr-FR"/>
        </w:rPr>
        <w:noBreakHyphen/>
      </w:r>
      <w:r w:rsidR="004F302C" w:rsidRPr="004802F4">
        <w:rPr>
          <w:lang w:val="fr-FR"/>
        </w:rPr>
        <w:t>EDC</w:t>
      </w:r>
      <w:r w:rsidRPr="004802F4">
        <w:rPr>
          <w:lang w:val="fr-FR"/>
        </w:rPr>
        <w:t>/</w:t>
      </w:r>
      <w:proofErr w:type="spellStart"/>
      <w:r w:rsidRPr="004802F4">
        <w:rPr>
          <w:lang w:val="fr-FR"/>
        </w:rPr>
        <w:t>Jan15</w:t>
      </w:r>
      <w:proofErr w:type="spellEnd"/>
      <w:r w:rsidRPr="004802F4">
        <w:rPr>
          <w:lang w:val="fr-FR"/>
        </w:rPr>
        <w:t>/</w:t>
      </w:r>
      <w:r w:rsidR="00046408" w:rsidRPr="004802F4">
        <w:rPr>
          <w:lang w:val="fr-FR"/>
        </w:rPr>
        <w:t>5</w:t>
      </w:r>
      <w:r w:rsidRPr="004802F4">
        <w:rPr>
          <w:lang w:val="fr-FR"/>
        </w:rPr>
        <w:t xml:space="preserve"> “</w:t>
      </w:r>
      <w:proofErr w:type="spellStart"/>
      <w:r w:rsidR="00046408" w:rsidRPr="004802F4">
        <w:rPr>
          <w:lang w:val="fr-FR"/>
        </w:rPr>
        <w:t>Revision</w:t>
      </w:r>
      <w:proofErr w:type="spellEnd"/>
      <w:r w:rsidR="00046408" w:rsidRPr="004802F4">
        <w:rPr>
          <w:lang w:val="fr-FR"/>
        </w:rPr>
        <w:t xml:space="preserve"> of document TGP</w:t>
      </w:r>
      <w:r w:rsidR="00046408" w:rsidRPr="004802F4">
        <w:rPr>
          <w:rFonts w:cs="Arial"/>
          <w:snapToGrid w:val="0"/>
          <w:lang w:val="fr-FR"/>
        </w:rPr>
        <w:t>/10</w:t>
      </w:r>
      <w:r w:rsidR="009307C6" w:rsidRPr="004802F4">
        <w:rPr>
          <w:rFonts w:cs="Arial"/>
          <w:snapToGrid w:val="0"/>
          <w:lang w:val="fr-FR"/>
        </w:rPr>
        <w:t> </w:t>
      </w:r>
      <w:r w:rsidR="00046408" w:rsidRPr="004802F4">
        <w:rPr>
          <w:rFonts w:cs="Arial"/>
          <w:snapToGrid w:val="0"/>
          <w:lang w:val="fr-FR"/>
        </w:rPr>
        <w:t>: New Section</w:t>
      </w:r>
      <w:r w:rsidR="009307C6" w:rsidRPr="004802F4">
        <w:rPr>
          <w:rFonts w:cs="Arial"/>
          <w:snapToGrid w:val="0"/>
          <w:lang w:val="fr-FR"/>
        </w:rPr>
        <w:t> </w:t>
      </w:r>
      <w:r w:rsidR="00046408" w:rsidRPr="004802F4">
        <w:rPr>
          <w:rFonts w:cs="Arial"/>
          <w:snapToGrid w:val="0"/>
          <w:lang w:val="fr-FR"/>
        </w:rPr>
        <w:t xml:space="preserve">: </w:t>
      </w:r>
      <w:proofErr w:type="spellStart"/>
      <w:r w:rsidR="00046408" w:rsidRPr="004802F4">
        <w:rPr>
          <w:rFonts w:cs="Arial"/>
          <w:snapToGrid w:val="0"/>
          <w:lang w:val="fr-FR"/>
        </w:rPr>
        <w:t>Assessing</w:t>
      </w:r>
      <w:proofErr w:type="spellEnd"/>
      <w:r w:rsidR="00046408" w:rsidRPr="004802F4">
        <w:rPr>
          <w:rFonts w:cs="Arial"/>
          <w:snapToGrid w:val="0"/>
          <w:lang w:val="fr-FR"/>
        </w:rPr>
        <w:t xml:space="preserve"> </w:t>
      </w:r>
      <w:proofErr w:type="spellStart"/>
      <w:r w:rsidR="00046408" w:rsidRPr="004802F4">
        <w:rPr>
          <w:rFonts w:cs="Arial"/>
          <w:snapToGrid w:val="0"/>
          <w:lang w:val="fr-FR"/>
        </w:rPr>
        <w:t>uniformity</w:t>
      </w:r>
      <w:proofErr w:type="spellEnd"/>
      <w:r w:rsidR="00046408" w:rsidRPr="004802F4">
        <w:rPr>
          <w:rFonts w:cs="Arial"/>
          <w:snapToGrid w:val="0"/>
          <w:lang w:val="fr-FR"/>
        </w:rPr>
        <w:t xml:space="preserve"> by off</w:t>
      </w:r>
      <w:r w:rsidR="001272D3" w:rsidRPr="004802F4">
        <w:rPr>
          <w:rFonts w:cs="Arial"/>
          <w:snapToGrid w:val="0"/>
          <w:lang w:val="fr-FR"/>
        </w:rPr>
        <w:noBreakHyphen/>
      </w:r>
      <w:r w:rsidR="00046408" w:rsidRPr="004802F4">
        <w:rPr>
          <w:rFonts w:cs="Arial"/>
          <w:snapToGrid w:val="0"/>
          <w:lang w:val="fr-FR"/>
        </w:rPr>
        <w:t xml:space="preserve">types on basis of more </w:t>
      </w:r>
      <w:proofErr w:type="spellStart"/>
      <w:r w:rsidR="00046408" w:rsidRPr="004802F4">
        <w:rPr>
          <w:rFonts w:cs="Arial"/>
          <w:snapToGrid w:val="0"/>
          <w:lang w:val="fr-FR"/>
        </w:rPr>
        <w:t>than</w:t>
      </w:r>
      <w:proofErr w:type="spellEnd"/>
      <w:r w:rsidR="00046408" w:rsidRPr="004802F4">
        <w:rPr>
          <w:rFonts w:cs="Arial"/>
          <w:snapToGrid w:val="0"/>
          <w:lang w:val="fr-FR"/>
        </w:rPr>
        <w:t xml:space="preserve"> one </w:t>
      </w:r>
      <w:proofErr w:type="spellStart"/>
      <w:r w:rsidR="00046408" w:rsidRPr="004802F4">
        <w:rPr>
          <w:rFonts w:cs="Arial"/>
          <w:snapToGrid w:val="0"/>
          <w:lang w:val="fr-FR"/>
        </w:rPr>
        <w:t>sample</w:t>
      </w:r>
      <w:proofErr w:type="spellEnd"/>
      <w:r w:rsidR="00046408" w:rsidRPr="004802F4">
        <w:rPr>
          <w:rFonts w:cs="Arial"/>
          <w:snapToGrid w:val="0"/>
          <w:lang w:val="fr-FR"/>
        </w:rPr>
        <w:t xml:space="preserve"> or </w:t>
      </w:r>
      <w:proofErr w:type="spellStart"/>
      <w:r w:rsidR="00046408" w:rsidRPr="004802F4">
        <w:rPr>
          <w:rFonts w:cs="Arial"/>
          <w:snapToGrid w:val="0"/>
          <w:lang w:val="fr-FR"/>
        </w:rPr>
        <w:t>sub</w:t>
      </w:r>
      <w:r w:rsidR="001272D3" w:rsidRPr="004802F4">
        <w:rPr>
          <w:rFonts w:cs="Arial"/>
          <w:snapToGrid w:val="0"/>
          <w:lang w:val="fr-FR"/>
        </w:rPr>
        <w:noBreakHyphen/>
      </w:r>
      <w:r w:rsidR="00046408" w:rsidRPr="004802F4">
        <w:rPr>
          <w:rFonts w:cs="Arial"/>
          <w:snapToGrid w:val="0"/>
          <w:lang w:val="fr-FR"/>
        </w:rPr>
        <w:t>samples</w:t>
      </w:r>
      <w:proofErr w:type="spellEnd"/>
      <w:r w:rsidRPr="004802F4">
        <w:rPr>
          <w:lang w:val="fr-FR"/>
        </w:rPr>
        <w:t xml:space="preserve">” </w:t>
      </w:r>
      <w:r w:rsidR="002C64D7" w:rsidRPr="004802F4">
        <w:rPr>
          <w:lang w:val="fr-FR"/>
        </w:rPr>
        <w:t>et a formulé les observations ci</w:t>
      </w:r>
      <w:r w:rsidR="001272D3" w:rsidRPr="004802F4">
        <w:rPr>
          <w:lang w:val="fr-FR"/>
        </w:rPr>
        <w:noBreakHyphen/>
      </w:r>
      <w:r w:rsidR="002C64D7" w:rsidRPr="004802F4">
        <w:rPr>
          <w:lang w:val="fr-FR"/>
        </w:rPr>
        <w:t>après :</w:t>
      </w:r>
    </w:p>
    <w:p w:rsidR="00241E23" w:rsidRPr="004802F4" w:rsidRDefault="00241E23" w:rsidP="004802F4">
      <w:pPr>
        <w:rPr>
          <w:lang w:val="fr-F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"/>
        <w:gridCol w:w="8208"/>
      </w:tblGrid>
      <w:tr w:rsidR="004802F4" w:rsidRPr="008155B3" w:rsidTr="00241E23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3" w:rsidRPr="004802F4" w:rsidRDefault="00241E23" w:rsidP="004802F4">
            <w:pPr>
              <w:jc w:val="left"/>
              <w:rPr>
                <w:rFonts w:cs="Arial"/>
                <w:lang w:val="fr-FR"/>
              </w:rPr>
            </w:pPr>
            <w:r w:rsidRPr="004802F4">
              <w:rPr>
                <w:rFonts w:cs="Arial"/>
                <w:lang w:val="fr-FR"/>
              </w:rPr>
              <w:t>Annex</w:t>
            </w:r>
            <w:r w:rsidR="00EC1BE7" w:rsidRPr="004802F4">
              <w:rPr>
                <w:rFonts w:cs="Arial"/>
                <w:lang w:val="fr-FR"/>
              </w:rPr>
              <w:t>e</w:t>
            </w:r>
            <w:r w:rsidR="009307C6" w:rsidRPr="004802F4">
              <w:rPr>
                <w:rFonts w:cs="Arial"/>
                <w:lang w:val="fr-FR"/>
              </w:rPr>
              <w:t> </w:t>
            </w:r>
            <w:r w:rsidRPr="004802F4">
              <w:rPr>
                <w:rFonts w:cs="Arial"/>
                <w:lang w:val="fr-FR"/>
              </w:rPr>
              <w:t xml:space="preserve">I, </w:t>
            </w:r>
            <w:r w:rsidR="009E51D4" w:rsidRPr="004802F4">
              <w:rPr>
                <w:rFonts w:cs="Arial"/>
                <w:lang w:val="fr-FR"/>
              </w:rPr>
              <w:t>m</w:t>
            </w:r>
            <w:r w:rsidR="002C64D7" w:rsidRPr="004802F4">
              <w:rPr>
                <w:rFonts w:cs="Arial"/>
                <w:lang w:val="fr-FR"/>
              </w:rPr>
              <w:t>éthode</w:t>
            </w:r>
            <w:r w:rsidRPr="004802F4">
              <w:rPr>
                <w:rFonts w:cs="Arial"/>
                <w:lang w:val="fr-FR"/>
              </w:rPr>
              <w:t xml:space="preserve"> 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3" w:rsidRPr="004802F4" w:rsidRDefault="002C64D7" w:rsidP="004802F4">
            <w:pPr>
              <w:keepNext/>
              <w:keepLines/>
              <w:rPr>
                <w:rFonts w:cs="Arial"/>
                <w:lang w:val="fr-FR"/>
              </w:rPr>
            </w:pPr>
            <w:r w:rsidRPr="004802F4">
              <w:rPr>
                <w:rFonts w:cs="Arial"/>
                <w:lang w:val="fr-FR"/>
              </w:rPr>
              <w:t>Supprimer</w:t>
            </w:r>
            <w:r w:rsidR="00241E23" w:rsidRPr="004802F4">
              <w:rPr>
                <w:rFonts w:cs="Arial"/>
                <w:lang w:val="fr-FR"/>
              </w:rPr>
              <w:t xml:space="preserve"> </w:t>
            </w:r>
            <w:r w:rsidRPr="004802F4">
              <w:rPr>
                <w:rFonts w:cs="Arial"/>
                <w:lang w:val="fr-FR"/>
              </w:rPr>
              <w:t xml:space="preserve">au troisième paragraphe </w:t>
            </w:r>
            <w:r w:rsidR="00241E23" w:rsidRPr="004802F4">
              <w:rPr>
                <w:rFonts w:cs="Arial"/>
                <w:lang w:val="fr-FR"/>
              </w:rPr>
              <w:t>“</w:t>
            </w:r>
            <w:r w:rsidRPr="004802F4">
              <w:rPr>
                <w:rFonts w:cs="Arial"/>
                <w:lang w:val="fr-FR"/>
              </w:rPr>
              <w:t>après consultation du demandeur”.</w:t>
            </w:r>
          </w:p>
        </w:tc>
      </w:tr>
      <w:tr w:rsidR="004802F4" w:rsidRPr="008155B3" w:rsidTr="00241E23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3" w:rsidRPr="004802F4" w:rsidRDefault="00241E23" w:rsidP="004802F4">
            <w:pPr>
              <w:jc w:val="left"/>
              <w:rPr>
                <w:rFonts w:cs="Arial"/>
                <w:lang w:val="fr-FR"/>
              </w:rPr>
            </w:pPr>
            <w:r w:rsidRPr="004802F4">
              <w:rPr>
                <w:rFonts w:cs="Arial"/>
                <w:lang w:val="fr-FR"/>
              </w:rPr>
              <w:t>Annexes</w:t>
            </w:r>
            <w:r w:rsidR="009307C6" w:rsidRPr="004802F4">
              <w:rPr>
                <w:rFonts w:cs="Arial"/>
                <w:lang w:val="fr-FR"/>
              </w:rPr>
              <w:t> </w:t>
            </w:r>
            <w:r w:rsidRPr="004802F4">
              <w:rPr>
                <w:rFonts w:cs="Arial"/>
                <w:lang w:val="fr-FR"/>
              </w:rPr>
              <w:t xml:space="preserve">I </w:t>
            </w:r>
            <w:r w:rsidR="00EC1BE7" w:rsidRPr="004802F4">
              <w:rPr>
                <w:rFonts w:cs="Arial"/>
                <w:lang w:val="fr-FR"/>
              </w:rPr>
              <w:t>et </w:t>
            </w:r>
            <w:r w:rsidRPr="004802F4">
              <w:rPr>
                <w:rFonts w:cs="Arial"/>
                <w:lang w:val="fr-FR"/>
              </w:rPr>
              <w:t>II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23" w:rsidRPr="004802F4" w:rsidRDefault="002C64D7" w:rsidP="004802F4">
            <w:pPr>
              <w:keepNext/>
              <w:keepLines/>
              <w:rPr>
                <w:rFonts w:cs="Arial"/>
                <w:lang w:val="fr-FR"/>
              </w:rPr>
            </w:pPr>
            <w:r w:rsidRPr="004802F4">
              <w:rPr>
                <w:rFonts w:cs="Arial"/>
                <w:lang w:val="fr-FR"/>
              </w:rPr>
              <w:t>Afin de mieux comprendre quels sont les risques, les avantages, les coûts et autres éléments pertinents, inviter les membres de l</w:t>
            </w:r>
            <w:r w:rsidR="004F302C" w:rsidRPr="004802F4">
              <w:rPr>
                <w:rFonts w:cs="Arial"/>
                <w:lang w:val="fr-FR"/>
              </w:rPr>
              <w:t>’</w:t>
            </w:r>
            <w:r w:rsidRPr="004802F4">
              <w:rPr>
                <w:rFonts w:cs="Arial"/>
                <w:lang w:val="fr-FR"/>
              </w:rPr>
              <w:t>Union à présenter</w:t>
            </w:r>
            <w:r w:rsidR="004F302C" w:rsidRPr="004802F4">
              <w:rPr>
                <w:rFonts w:cs="Arial"/>
                <w:lang w:val="fr-FR"/>
              </w:rPr>
              <w:t xml:space="preserve"> aux TWP</w:t>
            </w:r>
            <w:r w:rsidRPr="004802F4">
              <w:rPr>
                <w:rFonts w:cs="Arial"/>
                <w:lang w:val="fr-FR"/>
              </w:rPr>
              <w:t xml:space="preserve"> et au</w:t>
            </w:r>
            <w:r w:rsidR="004F302C" w:rsidRPr="004802F4">
              <w:rPr>
                <w:rFonts w:cs="Arial"/>
                <w:lang w:val="fr-FR"/>
              </w:rPr>
              <w:t> TC</w:t>
            </w:r>
            <w:r w:rsidRPr="004802F4">
              <w:rPr>
                <w:rFonts w:cs="Arial"/>
                <w:lang w:val="fr-FR"/>
              </w:rPr>
              <w:t xml:space="preserve"> des informations sur ce qui justifie leur utilisation d</w:t>
            </w:r>
            <w:r w:rsidR="00170A4D" w:rsidRPr="004802F4">
              <w:rPr>
                <w:rFonts w:cs="Arial"/>
                <w:lang w:val="fr-FR"/>
              </w:rPr>
              <w:t>e la</w:t>
            </w:r>
            <w:r w:rsidRPr="004802F4">
              <w:rPr>
                <w:rFonts w:cs="Arial"/>
                <w:lang w:val="fr-FR"/>
              </w:rPr>
              <w:t xml:space="preserve"> méthode 1 ou 2.</w:t>
            </w:r>
          </w:p>
        </w:tc>
      </w:tr>
      <w:tr w:rsidR="004802F4" w:rsidRPr="008155B3" w:rsidTr="00E17DFC">
        <w:tc>
          <w:tcPr>
            <w:tcW w:w="1431" w:type="dxa"/>
          </w:tcPr>
          <w:p w:rsidR="00046408" w:rsidRPr="004802F4" w:rsidRDefault="007A701A" w:rsidP="004802F4">
            <w:pPr>
              <w:jc w:val="left"/>
              <w:rPr>
                <w:rFonts w:cs="Arial"/>
                <w:lang w:val="fr-FR"/>
              </w:rPr>
            </w:pPr>
            <w:r w:rsidRPr="004802F4">
              <w:rPr>
                <w:rFonts w:cs="Arial"/>
                <w:lang w:val="fr-FR"/>
              </w:rPr>
              <w:t>A</w:t>
            </w:r>
            <w:r w:rsidR="009E51D4" w:rsidRPr="004802F4">
              <w:rPr>
                <w:rFonts w:cs="Arial"/>
                <w:lang w:val="fr-FR"/>
              </w:rPr>
              <w:t>nnexe </w:t>
            </w:r>
            <w:r w:rsidRPr="004802F4">
              <w:rPr>
                <w:rFonts w:cs="Arial"/>
                <w:lang w:val="fr-FR"/>
              </w:rPr>
              <w:t>II</w:t>
            </w:r>
          </w:p>
        </w:tc>
        <w:tc>
          <w:tcPr>
            <w:tcW w:w="8208" w:type="dxa"/>
          </w:tcPr>
          <w:p w:rsidR="004F302C" w:rsidRPr="004802F4" w:rsidRDefault="0050580C" w:rsidP="004802F4">
            <w:pPr>
              <w:keepNext/>
              <w:keepLines/>
              <w:rPr>
                <w:rFonts w:cs="Arial"/>
                <w:lang w:val="fr-FR"/>
              </w:rPr>
            </w:pPr>
            <w:r w:rsidRPr="004802F4">
              <w:rPr>
                <w:rFonts w:cs="Arial"/>
                <w:lang w:val="fr-FR"/>
              </w:rPr>
              <w:t>Les s</w:t>
            </w:r>
            <w:r w:rsidR="0093233E" w:rsidRPr="004802F4">
              <w:rPr>
                <w:rFonts w:cs="Arial"/>
                <w:lang w:val="fr-FR"/>
              </w:rPr>
              <w:t xml:space="preserve">ituations </w:t>
            </w:r>
            <w:r w:rsidRPr="004802F4">
              <w:rPr>
                <w:rFonts w:cs="Arial"/>
                <w:lang w:val="fr-FR"/>
              </w:rPr>
              <w:t>A et</w:t>
            </w:r>
            <w:r w:rsidR="00046408" w:rsidRPr="004802F4">
              <w:rPr>
                <w:rFonts w:cs="Arial"/>
                <w:lang w:val="fr-FR"/>
              </w:rPr>
              <w:t xml:space="preserve"> B </w:t>
            </w:r>
            <w:r w:rsidRPr="004802F4">
              <w:rPr>
                <w:rFonts w:cs="Arial"/>
                <w:lang w:val="fr-FR"/>
              </w:rPr>
              <w:t>devraient être combinées et des précisions devraient être fournies afin d</w:t>
            </w:r>
            <w:r w:rsidR="004F302C" w:rsidRPr="004802F4">
              <w:rPr>
                <w:rFonts w:cs="Arial"/>
                <w:lang w:val="fr-FR"/>
              </w:rPr>
              <w:t>’</w:t>
            </w:r>
            <w:r w:rsidRPr="004802F4">
              <w:rPr>
                <w:rFonts w:cs="Arial"/>
                <w:lang w:val="fr-FR"/>
              </w:rPr>
              <w:t>indiquer que deux</w:t>
            </w:r>
            <w:r w:rsidR="009307C6" w:rsidRPr="004802F4">
              <w:rPr>
                <w:rFonts w:cs="Arial"/>
                <w:lang w:val="fr-FR"/>
              </w:rPr>
              <w:t> </w:t>
            </w:r>
            <w:r w:rsidRPr="004802F4">
              <w:rPr>
                <w:rFonts w:cs="Arial"/>
                <w:lang w:val="fr-FR"/>
              </w:rPr>
              <w:t>cycles de végétation indépendants pourraient avoir lieu en un seul endroit sur plusieurs années ou en différents endroits la même année</w:t>
            </w:r>
            <w:r w:rsidR="009441A6" w:rsidRPr="004802F4">
              <w:rPr>
                <w:rFonts w:cs="Arial"/>
                <w:lang w:val="fr-FR"/>
              </w:rPr>
              <w:t>,</w:t>
            </w:r>
            <w:r w:rsidR="00046408" w:rsidRPr="004802F4">
              <w:rPr>
                <w:rFonts w:cs="Arial"/>
                <w:lang w:val="fr-FR"/>
              </w:rPr>
              <w:t xml:space="preserve"> </w:t>
            </w:r>
            <w:r w:rsidRPr="004802F4">
              <w:rPr>
                <w:rFonts w:cs="Arial"/>
                <w:lang w:val="fr-FR"/>
              </w:rPr>
              <w:t>selon ce qui figure dans le document TGP/8</w:t>
            </w:r>
            <w:r w:rsidR="00A15565" w:rsidRPr="004802F4">
              <w:rPr>
                <w:rFonts w:cs="Arial"/>
                <w:lang w:val="fr-FR"/>
              </w:rPr>
              <w:t>,</w:t>
            </w:r>
            <w:r w:rsidRPr="004802F4">
              <w:rPr>
                <w:rFonts w:cs="Arial"/>
                <w:lang w:val="fr-FR"/>
              </w:rPr>
              <w:t xml:space="preserve"> première partie, sections</w:t>
            </w:r>
            <w:r w:rsidR="009307C6" w:rsidRPr="004802F4">
              <w:rPr>
                <w:rFonts w:cs="Arial"/>
                <w:lang w:val="fr-FR"/>
              </w:rPr>
              <w:t> </w:t>
            </w:r>
            <w:r w:rsidR="00046408" w:rsidRPr="004802F4">
              <w:rPr>
                <w:rFonts w:cs="Arial"/>
                <w:lang w:val="fr-FR"/>
              </w:rPr>
              <w:t xml:space="preserve">1.2 </w:t>
            </w:r>
            <w:r w:rsidRPr="004802F4">
              <w:rPr>
                <w:rFonts w:cs="Arial"/>
                <w:lang w:val="fr-FR"/>
              </w:rPr>
              <w:t>et</w:t>
            </w:r>
            <w:r w:rsidR="00046408" w:rsidRPr="004802F4">
              <w:rPr>
                <w:rFonts w:cs="Arial"/>
                <w:lang w:val="fr-FR"/>
              </w:rPr>
              <w:t xml:space="preserve"> 1.3.</w:t>
            </w:r>
          </w:p>
          <w:p w:rsidR="00241E23" w:rsidRPr="004802F4" w:rsidRDefault="00241E23" w:rsidP="004802F4">
            <w:pPr>
              <w:keepNext/>
              <w:keepLines/>
              <w:rPr>
                <w:rFonts w:cs="Arial"/>
                <w:lang w:val="fr-FR"/>
              </w:rPr>
            </w:pPr>
          </w:p>
        </w:tc>
      </w:tr>
      <w:tr w:rsidR="004802F4" w:rsidRPr="008155B3" w:rsidTr="00E17DFC">
        <w:tc>
          <w:tcPr>
            <w:tcW w:w="1431" w:type="dxa"/>
          </w:tcPr>
          <w:p w:rsidR="00046408" w:rsidRPr="004802F4" w:rsidRDefault="00046408" w:rsidP="004802F4">
            <w:pPr>
              <w:jc w:val="left"/>
              <w:rPr>
                <w:rFonts w:cs="Arial"/>
                <w:lang w:val="fr-FR"/>
              </w:rPr>
            </w:pPr>
            <w:r w:rsidRPr="004802F4">
              <w:rPr>
                <w:rFonts w:cs="Arial"/>
                <w:lang w:val="fr-FR"/>
              </w:rPr>
              <w:t>Annex</w:t>
            </w:r>
            <w:r w:rsidR="00EC1BE7" w:rsidRPr="004802F4">
              <w:rPr>
                <w:rFonts w:cs="Arial"/>
                <w:lang w:val="fr-FR"/>
              </w:rPr>
              <w:t>e</w:t>
            </w:r>
            <w:r w:rsidR="009307C6" w:rsidRPr="004802F4">
              <w:rPr>
                <w:rFonts w:cs="Arial"/>
                <w:lang w:val="fr-FR"/>
              </w:rPr>
              <w:t> </w:t>
            </w:r>
            <w:r w:rsidRPr="004802F4">
              <w:rPr>
                <w:rFonts w:cs="Arial"/>
                <w:lang w:val="fr-FR"/>
              </w:rPr>
              <w:t>IV</w:t>
            </w:r>
          </w:p>
        </w:tc>
        <w:tc>
          <w:tcPr>
            <w:tcW w:w="8208" w:type="dxa"/>
          </w:tcPr>
          <w:p w:rsidR="00046408" w:rsidRPr="004802F4" w:rsidRDefault="007C11A4" w:rsidP="004802F4">
            <w:pPr>
              <w:keepNext/>
              <w:keepLines/>
              <w:rPr>
                <w:rFonts w:cs="Arial"/>
                <w:lang w:val="fr-FR"/>
              </w:rPr>
            </w:pPr>
            <w:r w:rsidRPr="004802F4">
              <w:rPr>
                <w:rFonts w:cs="Arial"/>
                <w:lang w:val="fr-FR"/>
              </w:rPr>
              <w:t>I</w:t>
            </w:r>
            <w:r w:rsidR="00933B69" w:rsidRPr="004802F4">
              <w:rPr>
                <w:rFonts w:cs="Arial"/>
                <w:lang w:val="fr-FR"/>
              </w:rPr>
              <w:t>l conviendrait de préciser dans l</w:t>
            </w:r>
            <w:r w:rsidR="004F302C" w:rsidRPr="004802F4">
              <w:rPr>
                <w:rFonts w:cs="Arial"/>
                <w:lang w:val="fr-FR"/>
              </w:rPr>
              <w:t>’</w:t>
            </w:r>
            <w:r w:rsidR="00933B69" w:rsidRPr="004802F4">
              <w:rPr>
                <w:rFonts w:cs="Arial"/>
                <w:lang w:val="fr-FR"/>
              </w:rPr>
              <w:t xml:space="preserve">exemple donné que </w:t>
            </w:r>
            <w:r w:rsidR="00046408" w:rsidRPr="004802F4">
              <w:rPr>
                <w:rFonts w:cs="Arial"/>
                <w:lang w:val="fr-FR"/>
              </w:rPr>
              <w:t>“</w:t>
            </w:r>
            <w:r w:rsidR="00933B69" w:rsidRPr="004802F4">
              <w:rPr>
                <w:rFonts w:cs="Arial"/>
                <w:lang w:val="fr-FR"/>
              </w:rPr>
              <w:t>Dans l</w:t>
            </w:r>
            <w:r w:rsidR="004F302C" w:rsidRPr="004802F4">
              <w:rPr>
                <w:rFonts w:cs="Arial"/>
                <w:lang w:val="fr-FR"/>
              </w:rPr>
              <w:t>’</w:t>
            </w:r>
            <w:r w:rsidR="00933B69" w:rsidRPr="004802F4">
              <w:rPr>
                <w:rFonts w:cs="Arial"/>
                <w:lang w:val="fr-FR"/>
              </w:rPr>
              <w:t xml:space="preserve">échantillon de </w:t>
            </w:r>
            <w:r w:rsidR="002D2E1B" w:rsidRPr="004802F4">
              <w:rPr>
                <w:rFonts w:cs="Arial"/>
                <w:lang w:val="fr-FR"/>
              </w:rPr>
              <w:t>100 </w:t>
            </w:r>
            <w:r w:rsidR="00933B69" w:rsidRPr="004802F4">
              <w:rPr>
                <w:rFonts w:cs="Arial"/>
                <w:lang w:val="fr-FR"/>
              </w:rPr>
              <w:t xml:space="preserve">plantes, si le nombre de plantes </w:t>
            </w:r>
            <w:r w:rsidR="00707A69" w:rsidRPr="004802F4">
              <w:rPr>
                <w:rFonts w:cs="Arial"/>
                <w:lang w:val="fr-FR"/>
              </w:rPr>
              <w:t>hors-type</w:t>
            </w:r>
            <w:r w:rsidR="00933B69" w:rsidRPr="004802F4">
              <w:rPr>
                <w:rFonts w:cs="Arial"/>
                <w:lang w:val="fr-FR"/>
              </w:rPr>
              <w:t xml:space="preserve"> dépasse 3, la variété est réputée non homogène</w:t>
            </w:r>
            <w:r w:rsidR="00046408" w:rsidRPr="004802F4">
              <w:rPr>
                <w:rFonts w:cs="Arial"/>
                <w:lang w:val="fr-FR"/>
              </w:rPr>
              <w:t>”</w:t>
            </w:r>
            <w:r w:rsidR="009E51D4" w:rsidRPr="004802F4">
              <w:rPr>
                <w:rFonts w:cs="Arial"/>
                <w:lang w:val="fr-FR"/>
              </w:rPr>
              <w:t>.</w:t>
            </w:r>
          </w:p>
        </w:tc>
      </w:tr>
    </w:tbl>
    <w:p w:rsidR="007A701A" w:rsidRPr="004802F4" w:rsidRDefault="007A701A" w:rsidP="004802F4">
      <w:pPr>
        <w:rPr>
          <w:lang w:val="fr-FR"/>
        </w:rPr>
      </w:pPr>
    </w:p>
    <w:p w:rsidR="007A701A" w:rsidRPr="004802F4" w:rsidRDefault="007A701A" w:rsidP="004802F4">
      <w:pPr>
        <w:rPr>
          <w:lang w:val="fr-FR"/>
        </w:rPr>
      </w:pPr>
    </w:p>
    <w:p w:rsidR="007A701A" w:rsidRPr="004802F4" w:rsidRDefault="007A701A" w:rsidP="004802F4">
      <w:pPr>
        <w:pStyle w:val="Heading1"/>
        <w:rPr>
          <w:lang w:val="fr-FR"/>
        </w:rPr>
      </w:pPr>
      <w:bookmarkStart w:id="15" w:name="_Toc411499190"/>
      <w:bookmarkEnd w:id="7"/>
      <w:r w:rsidRPr="004802F4">
        <w:rPr>
          <w:lang w:val="fr-FR"/>
        </w:rPr>
        <w:t>rÉSumÉ des méthodes</w:t>
      </w:r>
      <w:bookmarkEnd w:id="15"/>
    </w:p>
    <w:p w:rsidR="007A701A" w:rsidRPr="004802F4" w:rsidRDefault="007A701A" w:rsidP="004802F4">
      <w:pPr>
        <w:rPr>
          <w:rFonts w:cs="Arial"/>
          <w:caps/>
          <w:snapToGrid w:val="0"/>
          <w:lang w:val="fr-FR"/>
        </w:rPr>
      </w:pPr>
    </w:p>
    <w:p w:rsidR="007A701A" w:rsidRPr="004802F4" w:rsidRDefault="003F7E71" w:rsidP="004802F4">
      <w:pPr>
        <w:rPr>
          <w:szCs w:val="24"/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1759DD" w:rsidRPr="004802F4">
        <w:rPr>
          <w:lang w:val="fr-FR"/>
        </w:rPr>
        <w:t>Les annexes</w:t>
      </w:r>
      <w:r w:rsidR="009307C6" w:rsidRPr="004802F4">
        <w:rPr>
          <w:lang w:val="fr-FR"/>
        </w:rPr>
        <w:t> </w:t>
      </w:r>
      <w:r w:rsidR="001759DD" w:rsidRPr="004802F4">
        <w:rPr>
          <w:lang w:val="fr-FR"/>
        </w:rPr>
        <w:t xml:space="preserve">I à IV du présent document résument différentes situations dans lesquelles différents échantillons sont combinés </w:t>
      </w:r>
      <w:r w:rsidR="00A15565" w:rsidRPr="004802F4">
        <w:rPr>
          <w:lang w:val="fr-FR"/>
        </w:rPr>
        <w:t>aux fins de</w:t>
      </w:r>
      <w:r w:rsidR="001759DD" w:rsidRPr="004802F4">
        <w:rPr>
          <w:lang w:val="fr-FR"/>
        </w:rPr>
        <w:t xml:space="preserve"> l</w:t>
      </w:r>
      <w:r w:rsidR="004F302C" w:rsidRPr="004802F4">
        <w:rPr>
          <w:lang w:val="fr-FR"/>
        </w:rPr>
        <w:t>’</w:t>
      </w:r>
      <w:r w:rsidR="001759DD" w:rsidRPr="004802F4">
        <w:rPr>
          <w:lang w:val="fr-FR"/>
        </w:rPr>
        <w:t>évaluation globale de l</w:t>
      </w:r>
      <w:r w:rsidR="004F302C" w:rsidRPr="004802F4">
        <w:rPr>
          <w:lang w:val="fr-FR"/>
        </w:rPr>
        <w:t>’</w:t>
      </w:r>
      <w:r w:rsidR="001759DD" w:rsidRPr="004802F4">
        <w:rPr>
          <w:lang w:val="fr-FR"/>
        </w:rPr>
        <w:t>homogénéité d</w:t>
      </w:r>
      <w:r w:rsidR="004F302C" w:rsidRPr="004802F4">
        <w:rPr>
          <w:lang w:val="fr-FR"/>
        </w:rPr>
        <w:t>’</w:t>
      </w:r>
      <w:r w:rsidR="001759DD" w:rsidRPr="004802F4">
        <w:rPr>
          <w:lang w:val="fr-FR"/>
        </w:rPr>
        <w:t>une variété</w:t>
      </w:r>
      <w:r w:rsidR="00A15565" w:rsidRPr="004802F4">
        <w:rPr>
          <w:lang w:val="fr-FR"/>
        </w:rPr>
        <w:t>,</w:t>
      </w:r>
      <w:r w:rsidR="001759DD" w:rsidRPr="004802F4">
        <w:rPr>
          <w:lang w:val="fr-FR"/>
        </w:rPr>
        <w:t xml:space="preserve"> conformément aux conclusions formulées par le</w:t>
      </w:r>
      <w:r w:rsidR="004F302C" w:rsidRPr="004802F4">
        <w:rPr>
          <w:lang w:val="fr-FR"/>
        </w:rPr>
        <w:t> TC</w:t>
      </w:r>
      <w:r w:rsidR="001759DD" w:rsidRPr="004802F4">
        <w:rPr>
          <w:lang w:val="fr-FR"/>
        </w:rPr>
        <w:t xml:space="preserve"> à sa cinquantième</w:t>
      </w:r>
      <w:r w:rsidR="009307C6" w:rsidRPr="004802F4">
        <w:rPr>
          <w:lang w:val="fr-FR"/>
        </w:rPr>
        <w:t> </w:t>
      </w:r>
      <w:r w:rsidR="001759DD" w:rsidRPr="004802F4">
        <w:rPr>
          <w:lang w:val="fr-FR"/>
        </w:rPr>
        <w:t>session sur la base des propositions faites par</w:t>
      </w:r>
      <w:r w:rsidR="004F302C" w:rsidRPr="004802F4">
        <w:rPr>
          <w:lang w:val="fr-FR"/>
        </w:rPr>
        <w:t xml:space="preserve"> les TWP</w:t>
      </w:r>
      <w:r w:rsidR="001759DD" w:rsidRPr="004802F4">
        <w:rPr>
          <w:lang w:val="fr-FR"/>
        </w:rPr>
        <w:t xml:space="preserve"> à leurs sessions en</w:t>
      </w:r>
      <w:r w:rsidR="009307C6" w:rsidRPr="004802F4">
        <w:rPr>
          <w:lang w:val="fr-FR"/>
        </w:rPr>
        <w:t> </w:t>
      </w:r>
      <w:r w:rsidR="001759DD" w:rsidRPr="004802F4">
        <w:rPr>
          <w:lang w:val="fr-FR"/>
        </w:rPr>
        <w:t>2014</w:t>
      </w:r>
      <w:r w:rsidR="00A15565" w:rsidRPr="004802F4">
        <w:rPr>
          <w:lang w:val="fr-FR"/>
        </w:rPr>
        <w:t>.</w:t>
      </w:r>
    </w:p>
    <w:p w:rsidR="003F7E71" w:rsidRPr="004802F4" w:rsidRDefault="003F7E71" w:rsidP="004802F4">
      <w:pPr>
        <w:jc w:val="left"/>
        <w:rPr>
          <w:szCs w:val="24"/>
          <w:lang w:val="fr-FR"/>
        </w:rPr>
      </w:pPr>
    </w:p>
    <w:tbl>
      <w:tblPr>
        <w:tblStyle w:val="TableGrid"/>
        <w:tblW w:w="0" w:type="auto"/>
        <w:jc w:val="center"/>
        <w:shd w:val="clear" w:color="auto" w:fill="E6E6E6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6664"/>
      </w:tblGrid>
      <w:tr w:rsidR="004802F4" w:rsidRPr="008155B3" w:rsidTr="003F7E71">
        <w:trPr>
          <w:cantSplit/>
          <w:jc w:val="center"/>
        </w:trPr>
        <w:tc>
          <w:tcPr>
            <w:tcW w:w="6664" w:type="dxa"/>
            <w:shd w:val="clear" w:color="auto" w:fill="E6E6E6"/>
          </w:tcPr>
          <w:p w:rsidR="007A701A" w:rsidRPr="004802F4" w:rsidRDefault="003F7E71" w:rsidP="004802F4">
            <w:pPr>
              <w:jc w:val="center"/>
              <w:rPr>
                <w:rFonts w:cs="Arial"/>
                <w:sz w:val="18"/>
                <w:szCs w:val="22"/>
                <w:u w:val="single"/>
                <w:lang w:val="fr-FR"/>
              </w:rPr>
            </w:pPr>
            <w:r w:rsidRPr="004802F4">
              <w:rPr>
                <w:rFonts w:cs="Arial"/>
                <w:sz w:val="18"/>
                <w:szCs w:val="22"/>
                <w:u w:val="single"/>
                <w:lang w:val="fr-FR"/>
              </w:rPr>
              <w:t xml:space="preserve">Note </w:t>
            </w:r>
            <w:r w:rsidR="001759DD" w:rsidRPr="004802F4">
              <w:rPr>
                <w:rFonts w:cs="Arial"/>
                <w:sz w:val="18"/>
                <w:szCs w:val="22"/>
                <w:u w:val="single"/>
                <w:lang w:val="fr-FR"/>
              </w:rPr>
              <w:t>concernant les révisions des annexes</w:t>
            </w:r>
            <w:r w:rsidR="009307C6" w:rsidRPr="004802F4">
              <w:rPr>
                <w:rFonts w:cs="Arial"/>
                <w:sz w:val="18"/>
                <w:szCs w:val="22"/>
                <w:u w:val="single"/>
                <w:lang w:val="fr-FR"/>
              </w:rPr>
              <w:t> </w:t>
            </w:r>
            <w:r w:rsidRPr="004802F4">
              <w:rPr>
                <w:rFonts w:cs="Arial"/>
                <w:sz w:val="18"/>
                <w:szCs w:val="22"/>
                <w:u w:val="single"/>
                <w:lang w:val="fr-FR"/>
              </w:rPr>
              <w:t xml:space="preserve">I </w:t>
            </w:r>
            <w:r w:rsidR="001759DD" w:rsidRPr="004802F4">
              <w:rPr>
                <w:rFonts w:cs="Arial"/>
                <w:sz w:val="18"/>
                <w:szCs w:val="22"/>
                <w:u w:val="single"/>
                <w:lang w:val="fr-FR"/>
              </w:rPr>
              <w:t>à</w:t>
            </w:r>
            <w:r w:rsidRPr="004802F4">
              <w:rPr>
                <w:rFonts w:cs="Arial"/>
                <w:sz w:val="18"/>
                <w:szCs w:val="22"/>
                <w:u w:val="single"/>
                <w:lang w:val="fr-FR"/>
              </w:rPr>
              <w:t xml:space="preserve"> IV</w:t>
            </w:r>
          </w:p>
          <w:p w:rsidR="007A701A" w:rsidRPr="004802F4" w:rsidRDefault="007A701A" w:rsidP="004802F4">
            <w:pPr>
              <w:rPr>
                <w:rFonts w:cs="Arial"/>
                <w:sz w:val="18"/>
                <w:szCs w:val="22"/>
                <w:u w:val="single"/>
                <w:lang w:val="fr-FR"/>
              </w:rPr>
            </w:pPr>
          </w:p>
          <w:p w:rsidR="007A701A" w:rsidRPr="004802F4" w:rsidRDefault="001759DD" w:rsidP="004802F4">
            <w:pPr>
              <w:rPr>
                <w:rFonts w:cs="Arial"/>
                <w:sz w:val="18"/>
                <w:szCs w:val="22"/>
                <w:lang w:val="fr-FR"/>
              </w:rPr>
            </w:pPr>
            <w:r w:rsidRPr="004802F4">
              <w:rPr>
                <w:rFonts w:cs="Arial"/>
                <w:b/>
                <w:strike/>
                <w:sz w:val="18"/>
                <w:szCs w:val="22"/>
                <w:lang w:val="fr-FR"/>
              </w:rPr>
              <w:t>Texte biffé</w:t>
            </w:r>
            <w:r w:rsidR="003F7E71" w:rsidRPr="004802F4">
              <w:rPr>
                <w:rFonts w:cs="Arial"/>
                <w:b/>
                <w:sz w:val="18"/>
                <w:szCs w:val="22"/>
                <w:lang w:val="fr-FR"/>
              </w:rPr>
              <w:t xml:space="preserve"> (</w:t>
            </w:r>
            <w:r w:rsidRPr="004802F4">
              <w:rPr>
                <w:rFonts w:cs="Arial"/>
                <w:b/>
                <w:sz w:val="18"/>
                <w:szCs w:val="22"/>
                <w:lang w:val="fr-FR"/>
              </w:rPr>
              <w:t>en surbrillance</w:t>
            </w:r>
            <w:r w:rsidR="003F7E71" w:rsidRPr="004802F4">
              <w:rPr>
                <w:rFonts w:cs="Arial"/>
                <w:b/>
                <w:sz w:val="18"/>
                <w:szCs w:val="22"/>
                <w:lang w:val="fr-FR"/>
              </w:rPr>
              <w:t>)</w:t>
            </w:r>
            <w:r w:rsidRPr="004802F4">
              <w:rPr>
                <w:rFonts w:cs="Arial"/>
                <w:sz w:val="18"/>
                <w:szCs w:val="22"/>
                <w:lang w:val="fr-FR"/>
              </w:rPr>
              <w:t> : indique une proposition de suppression dans le texte conformément aux modifications proposées par</w:t>
            </w:r>
            <w:r w:rsidR="004F302C" w:rsidRPr="004802F4">
              <w:rPr>
                <w:rFonts w:cs="Arial"/>
                <w:sz w:val="18"/>
                <w:szCs w:val="22"/>
                <w:lang w:val="fr-FR"/>
              </w:rPr>
              <w:t xml:space="preserve"> les TWP</w:t>
            </w:r>
            <w:r w:rsidRPr="004802F4">
              <w:rPr>
                <w:rFonts w:cs="Arial"/>
                <w:sz w:val="18"/>
                <w:szCs w:val="22"/>
                <w:lang w:val="fr-FR"/>
              </w:rPr>
              <w:t xml:space="preserve"> à leurs sessions en</w:t>
            </w:r>
            <w:r w:rsidR="009307C6" w:rsidRPr="004802F4">
              <w:rPr>
                <w:rFonts w:cs="Arial"/>
                <w:sz w:val="18"/>
                <w:szCs w:val="22"/>
                <w:lang w:val="fr-FR"/>
              </w:rPr>
              <w:t> </w:t>
            </w:r>
            <w:r w:rsidR="003F7E71" w:rsidRPr="004802F4">
              <w:rPr>
                <w:rFonts w:cs="Arial"/>
                <w:sz w:val="18"/>
                <w:szCs w:val="22"/>
                <w:lang w:val="fr-FR"/>
              </w:rPr>
              <w:t>2014.</w:t>
            </w:r>
          </w:p>
          <w:p w:rsidR="007A701A" w:rsidRPr="004802F4" w:rsidRDefault="007A701A" w:rsidP="004802F4">
            <w:pPr>
              <w:rPr>
                <w:rFonts w:cs="Arial"/>
                <w:sz w:val="18"/>
                <w:szCs w:val="22"/>
                <w:lang w:val="fr-FR"/>
              </w:rPr>
            </w:pPr>
          </w:p>
          <w:p w:rsidR="003F7E71" w:rsidRPr="004802F4" w:rsidRDefault="001759DD" w:rsidP="004802F4">
            <w:pPr>
              <w:rPr>
                <w:rFonts w:cs="Arial"/>
                <w:sz w:val="18"/>
                <w:szCs w:val="22"/>
                <w:lang w:val="fr-FR"/>
              </w:rPr>
            </w:pPr>
            <w:r w:rsidRPr="004802F4">
              <w:rPr>
                <w:rFonts w:cs="Arial"/>
                <w:b/>
                <w:sz w:val="18"/>
                <w:szCs w:val="22"/>
                <w:u w:val="single"/>
                <w:lang w:val="fr-FR"/>
              </w:rPr>
              <w:t>Texte souligné</w:t>
            </w:r>
            <w:r w:rsidR="003F7E71" w:rsidRPr="004802F4">
              <w:rPr>
                <w:rFonts w:cs="Arial"/>
                <w:b/>
                <w:sz w:val="18"/>
                <w:szCs w:val="22"/>
                <w:lang w:val="fr-FR"/>
              </w:rPr>
              <w:t xml:space="preserve"> (</w:t>
            </w:r>
            <w:r w:rsidRPr="004802F4">
              <w:rPr>
                <w:rFonts w:cs="Arial"/>
                <w:b/>
                <w:sz w:val="18"/>
                <w:szCs w:val="22"/>
                <w:lang w:val="fr-FR"/>
              </w:rPr>
              <w:t>en surbrillance</w:t>
            </w:r>
            <w:r w:rsidR="003F7E71" w:rsidRPr="004802F4">
              <w:rPr>
                <w:rFonts w:cs="Arial"/>
                <w:b/>
                <w:sz w:val="18"/>
                <w:szCs w:val="22"/>
                <w:lang w:val="fr-FR"/>
              </w:rPr>
              <w:t>)</w:t>
            </w:r>
            <w:r w:rsidRPr="004802F4">
              <w:rPr>
                <w:rFonts w:cs="Arial"/>
                <w:sz w:val="18"/>
                <w:szCs w:val="22"/>
                <w:lang w:val="fr-FR"/>
              </w:rPr>
              <w:t> : indique une proposition d</w:t>
            </w:r>
            <w:r w:rsidR="004F302C" w:rsidRPr="004802F4">
              <w:rPr>
                <w:rFonts w:cs="Arial"/>
                <w:sz w:val="18"/>
                <w:szCs w:val="22"/>
                <w:lang w:val="fr-FR"/>
              </w:rPr>
              <w:t>’</w:t>
            </w:r>
            <w:r w:rsidRPr="004802F4">
              <w:rPr>
                <w:rFonts w:cs="Arial"/>
                <w:sz w:val="18"/>
                <w:szCs w:val="22"/>
                <w:lang w:val="fr-FR"/>
              </w:rPr>
              <w:t>insertion dans le texte conformément aux modifications proposées par</w:t>
            </w:r>
            <w:r w:rsidR="004F302C" w:rsidRPr="004802F4">
              <w:rPr>
                <w:rFonts w:cs="Arial"/>
                <w:sz w:val="18"/>
                <w:szCs w:val="22"/>
                <w:lang w:val="fr-FR"/>
              </w:rPr>
              <w:t xml:space="preserve"> les TWP</w:t>
            </w:r>
            <w:r w:rsidRPr="004802F4">
              <w:rPr>
                <w:rFonts w:cs="Arial"/>
                <w:sz w:val="18"/>
                <w:szCs w:val="22"/>
                <w:lang w:val="fr-FR"/>
              </w:rPr>
              <w:t xml:space="preserve"> à leurs sessions en</w:t>
            </w:r>
            <w:r w:rsidR="009307C6" w:rsidRPr="004802F4">
              <w:rPr>
                <w:rFonts w:cs="Arial"/>
                <w:sz w:val="18"/>
                <w:szCs w:val="22"/>
                <w:lang w:val="fr-FR"/>
              </w:rPr>
              <w:t> </w:t>
            </w:r>
            <w:r w:rsidRPr="004802F4">
              <w:rPr>
                <w:rFonts w:cs="Arial"/>
                <w:sz w:val="18"/>
                <w:szCs w:val="22"/>
                <w:lang w:val="fr-FR"/>
              </w:rPr>
              <w:t>2014</w:t>
            </w:r>
            <w:r w:rsidR="003F7E71" w:rsidRPr="004802F4">
              <w:rPr>
                <w:rFonts w:cs="Arial"/>
                <w:sz w:val="18"/>
                <w:szCs w:val="22"/>
                <w:lang w:val="fr-FR"/>
              </w:rPr>
              <w:t>.</w:t>
            </w:r>
          </w:p>
        </w:tc>
      </w:tr>
    </w:tbl>
    <w:p w:rsidR="007A701A" w:rsidRPr="004802F4" w:rsidRDefault="007A701A" w:rsidP="004802F4">
      <w:pPr>
        <w:snapToGrid w:val="0"/>
        <w:jc w:val="left"/>
        <w:rPr>
          <w:szCs w:val="24"/>
          <w:lang w:val="fr-FR"/>
        </w:rPr>
      </w:pPr>
    </w:p>
    <w:p w:rsidR="007A701A" w:rsidRPr="004802F4" w:rsidRDefault="007A701A" w:rsidP="004802F4">
      <w:pPr>
        <w:autoSpaceDE w:val="0"/>
        <w:autoSpaceDN w:val="0"/>
        <w:adjustRightInd w:val="0"/>
        <w:snapToGrid w:val="0"/>
        <w:rPr>
          <w:i/>
          <w:szCs w:val="24"/>
          <w:lang w:val="fr-FR"/>
        </w:rPr>
      </w:pPr>
      <w:r w:rsidRPr="004802F4">
        <w:rPr>
          <w:i/>
          <w:szCs w:val="24"/>
          <w:lang w:val="fr-FR"/>
        </w:rPr>
        <w:t>Annexe</w:t>
      </w:r>
      <w:r w:rsidR="009307C6" w:rsidRPr="004802F4">
        <w:rPr>
          <w:i/>
          <w:szCs w:val="24"/>
          <w:lang w:val="fr-FR"/>
        </w:rPr>
        <w:t> </w:t>
      </w:r>
      <w:r w:rsidRPr="004802F4">
        <w:rPr>
          <w:i/>
          <w:szCs w:val="24"/>
          <w:lang w:val="fr-FR"/>
        </w:rPr>
        <w:t>I : Situation A : Deux cycles de végétation en un seul endroit</w:t>
      </w:r>
    </w:p>
    <w:p w:rsidR="007A701A" w:rsidRPr="004802F4" w:rsidRDefault="007A701A" w:rsidP="004802F4">
      <w:pPr>
        <w:autoSpaceDE w:val="0"/>
        <w:autoSpaceDN w:val="0"/>
        <w:adjustRightInd w:val="0"/>
        <w:snapToGrid w:val="0"/>
        <w:ind w:left="567"/>
        <w:rPr>
          <w:szCs w:val="24"/>
          <w:lang w:val="fr-FR"/>
        </w:rPr>
      </w:pPr>
    </w:p>
    <w:p w:rsidR="004F302C" w:rsidRPr="004802F4" w:rsidRDefault="007A701A" w:rsidP="004802F4">
      <w:pPr>
        <w:autoSpaceDE w:val="0"/>
        <w:autoSpaceDN w:val="0"/>
        <w:adjustRightInd w:val="0"/>
        <w:snapToGrid w:val="0"/>
        <w:ind w:left="567" w:firstLine="273"/>
        <w:rPr>
          <w:szCs w:val="24"/>
          <w:lang w:val="fr-FR"/>
        </w:rPr>
      </w:pPr>
      <w:r w:rsidRPr="004802F4">
        <w:rPr>
          <w:szCs w:val="24"/>
          <w:lang w:val="fr-FR"/>
        </w:rPr>
        <w:t>Méthode 1 : Troisième cycle de végétation si les résultats sont incompatibles</w:t>
      </w:r>
    </w:p>
    <w:p w:rsidR="007A701A" w:rsidRPr="004802F4" w:rsidRDefault="007A701A" w:rsidP="004802F4">
      <w:pPr>
        <w:autoSpaceDE w:val="0"/>
        <w:autoSpaceDN w:val="0"/>
        <w:adjustRightInd w:val="0"/>
        <w:snapToGrid w:val="0"/>
        <w:ind w:left="567" w:firstLine="273"/>
        <w:rPr>
          <w:szCs w:val="24"/>
          <w:lang w:val="fr-FR"/>
        </w:rPr>
      </w:pPr>
      <w:r w:rsidRPr="004802F4">
        <w:rPr>
          <w:szCs w:val="24"/>
          <w:lang w:val="fr-FR"/>
        </w:rPr>
        <w:t>Méthode 2 : Combiner les résultats de deux cycles de végétation</w:t>
      </w:r>
    </w:p>
    <w:p w:rsidR="007A701A" w:rsidRPr="004802F4" w:rsidRDefault="007A701A" w:rsidP="004802F4">
      <w:pPr>
        <w:jc w:val="left"/>
        <w:rPr>
          <w:szCs w:val="24"/>
          <w:lang w:val="fr-FR"/>
        </w:rPr>
      </w:pPr>
    </w:p>
    <w:p w:rsidR="004F302C" w:rsidRPr="004802F4" w:rsidRDefault="007A701A" w:rsidP="004802F4">
      <w:pPr>
        <w:snapToGrid w:val="0"/>
        <w:jc w:val="left"/>
        <w:rPr>
          <w:i/>
          <w:szCs w:val="24"/>
          <w:lang w:val="fr-FR"/>
        </w:rPr>
      </w:pPr>
      <w:r w:rsidRPr="004802F4">
        <w:rPr>
          <w:i/>
          <w:szCs w:val="24"/>
          <w:lang w:val="fr-FR"/>
        </w:rPr>
        <w:t>Annexe</w:t>
      </w:r>
      <w:r w:rsidR="009307C6" w:rsidRPr="004802F4">
        <w:rPr>
          <w:i/>
          <w:szCs w:val="24"/>
          <w:lang w:val="fr-FR"/>
        </w:rPr>
        <w:t> </w:t>
      </w:r>
      <w:r w:rsidRPr="004802F4">
        <w:rPr>
          <w:i/>
          <w:szCs w:val="24"/>
          <w:lang w:val="fr-FR"/>
        </w:rPr>
        <w:t>II : Situation B : Deux endroits de végétation la même année</w:t>
      </w:r>
    </w:p>
    <w:p w:rsidR="007A701A" w:rsidRPr="004802F4" w:rsidRDefault="007A701A" w:rsidP="004802F4">
      <w:pPr>
        <w:snapToGrid w:val="0"/>
        <w:ind w:left="567"/>
        <w:jc w:val="left"/>
        <w:rPr>
          <w:lang w:val="fr-FR"/>
        </w:rPr>
      </w:pPr>
    </w:p>
    <w:p w:rsidR="004F302C" w:rsidRPr="004802F4" w:rsidRDefault="007A701A" w:rsidP="004802F4">
      <w:pPr>
        <w:snapToGrid w:val="0"/>
        <w:ind w:left="567" w:firstLine="273"/>
        <w:rPr>
          <w:szCs w:val="24"/>
          <w:lang w:val="fr-FR"/>
        </w:rPr>
      </w:pPr>
      <w:r w:rsidRPr="004802F4">
        <w:rPr>
          <w:szCs w:val="24"/>
          <w:lang w:val="fr-FR"/>
        </w:rPr>
        <w:t>Méthode 1 : Troisième cycle de végétation si les résultats sont incompatibles</w:t>
      </w:r>
    </w:p>
    <w:p w:rsidR="004F302C" w:rsidRPr="004802F4" w:rsidRDefault="007A701A" w:rsidP="004802F4">
      <w:pPr>
        <w:snapToGrid w:val="0"/>
        <w:ind w:left="567" w:firstLine="273"/>
        <w:rPr>
          <w:szCs w:val="24"/>
          <w:lang w:val="fr-FR"/>
        </w:rPr>
      </w:pPr>
      <w:r w:rsidRPr="004802F4">
        <w:rPr>
          <w:szCs w:val="24"/>
          <w:lang w:val="fr-FR"/>
        </w:rPr>
        <w:t>Méthode 2 : Combiner les résultats de deux endroits</w:t>
      </w:r>
    </w:p>
    <w:p w:rsidR="007A701A" w:rsidRPr="004802F4" w:rsidRDefault="007A701A" w:rsidP="004802F4">
      <w:pPr>
        <w:autoSpaceDE w:val="0"/>
        <w:autoSpaceDN w:val="0"/>
        <w:adjustRightInd w:val="0"/>
        <w:snapToGrid w:val="0"/>
        <w:ind w:left="567"/>
        <w:rPr>
          <w:szCs w:val="24"/>
          <w:lang w:val="fr-FR"/>
        </w:rPr>
      </w:pPr>
    </w:p>
    <w:p w:rsidR="007A701A" w:rsidRPr="004802F4" w:rsidRDefault="007A701A" w:rsidP="003A1477">
      <w:pPr>
        <w:keepNext/>
        <w:snapToGrid w:val="0"/>
        <w:jc w:val="left"/>
        <w:rPr>
          <w:i/>
          <w:strike/>
          <w:highlight w:val="lightGray"/>
          <w:lang w:val="fr-FR"/>
        </w:rPr>
      </w:pPr>
      <w:r w:rsidRPr="004802F4">
        <w:rPr>
          <w:i/>
          <w:strike/>
          <w:highlight w:val="lightGray"/>
          <w:lang w:val="fr-FR"/>
        </w:rPr>
        <w:lastRenderedPageBreak/>
        <w:t>Annexe</w:t>
      </w:r>
      <w:r w:rsidR="009307C6" w:rsidRPr="004802F4">
        <w:rPr>
          <w:i/>
          <w:strike/>
          <w:highlight w:val="lightGray"/>
          <w:lang w:val="fr-FR"/>
        </w:rPr>
        <w:t> </w:t>
      </w:r>
      <w:r w:rsidRPr="004802F4">
        <w:rPr>
          <w:i/>
          <w:strike/>
          <w:highlight w:val="lightGray"/>
          <w:lang w:val="fr-FR"/>
        </w:rPr>
        <w:t>III : Situation C : Plus d</w:t>
      </w:r>
      <w:r w:rsidR="004F302C" w:rsidRPr="004802F4">
        <w:rPr>
          <w:i/>
          <w:strike/>
          <w:highlight w:val="lightGray"/>
          <w:lang w:val="fr-FR"/>
        </w:rPr>
        <w:t>’</w:t>
      </w:r>
      <w:r w:rsidRPr="004802F4">
        <w:rPr>
          <w:i/>
          <w:strike/>
          <w:highlight w:val="lightGray"/>
          <w:lang w:val="fr-FR"/>
        </w:rPr>
        <w:t>un examen/essai durant le même cycle de végétation</w:t>
      </w:r>
    </w:p>
    <w:p w:rsidR="007A701A" w:rsidRPr="004802F4" w:rsidRDefault="007A701A" w:rsidP="004802F4">
      <w:pPr>
        <w:snapToGrid w:val="0"/>
        <w:ind w:left="567"/>
        <w:jc w:val="left"/>
        <w:rPr>
          <w:i/>
          <w:strike/>
          <w:highlight w:val="lightGray"/>
          <w:lang w:val="fr-FR"/>
        </w:rPr>
      </w:pPr>
    </w:p>
    <w:p w:rsidR="007A701A" w:rsidRPr="004802F4" w:rsidRDefault="003E4724" w:rsidP="004802F4">
      <w:pPr>
        <w:snapToGrid w:val="0"/>
        <w:ind w:left="567" w:firstLine="273"/>
        <w:jc w:val="left"/>
        <w:rPr>
          <w:lang w:val="fr-FR"/>
        </w:rPr>
      </w:pPr>
      <w:r w:rsidRPr="004802F4">
        <w:rPr>
          <w:strike/>
          <w:highlight w:val="lightGray"/>
          <w:lang w:val="fr-FR"/>
        </w:rPr>
        <w:t>Méthode : Cycle de végétation additionnel si les résultats sont incompatibles</w:t>
      </w:r>
      <w:r w:rsidR="003F7E71" w:rsidRPr="004802F4">
        <w:rPr>
          <w:strike/>
          <w:lang w:val="fr-FR"/>
        </w:rPr>
        <w:t xml:space="preserve"> </w:t>
      </w:r>
      <w:r w:rsidR="003F7E71" w:rsidRPr="004802F4">
        <w:rPr>
          <w:lang w:val="fr-FR"/>
        </w:rPr>
        <w:t>(</w:t>
      </w:r>
      <w:r w:rsidRPr="004802F4">
        <w:rPr>
          <w:lang w:val="fr-FR"/>
        </w:rPr>
        <w:t>à supprimer</w:t>
      </w:r>
      <w:r w:rsidR="003F7E71" w:rsidRPr="004802F4">
        <w:rPr>
          <w:lang w:val="fr-FR"/>
        </w:rPr>
        <w:t>)</w:t>
      </w:r>
    </w:p>
    <w:p w:rsidR="007A701A" w:rsidRPr="004802F4" w:rsidRDefault="007A701A" w:rsidP="004802F4">
      <w:pPr>
        <w:autoSpaceDE w:val="0"/>
        <w:autoSpaceDN w:val="0"/>
        <w:adjustRightInd w:val="0"/>
        <w:snapToGrid w:val="0"/>
        <w:ind w:left="567"/>
        <w:rPr>
          <w:szCs w:val="24"/>
          <w:lang w:val="fr-FR"/>
        </w:rPr>
      </w:pPr>
    </w:p>
    <w:p w:rsidR="004F302C" w:rsidRPr="004802F4" w:rsidRDefault="007A701A" w:rsidP="004802F4">
      <w:pPr>
        <w:snapToGrid w:val="0"/>
        <w:jc w:val="left"/>
        <w:rPr>
          <w:i/>
          <w:szCs w:val="24"/>
          <w:lang w:val="fr-FR"/>
        </w:rPr>
      </w:pPr>
      <w:r w:rsidRPr="004802F4">
        <w:rPr>
          <w:i/>
          <w:szCs w:val="24"/>
          <w:lang w:val="fr-FR"/>
        </w:rPr>
        <w:t>Annexe</w:t>
      </w:r>
      <w:r w:rsidR="009307C6" w:rsidRPr="004802F4">
        <w:rPr>
          <w:i/>
          <w:szCs w:val="24"/>
          <w:lang w:val="fr-FR"/>
        </w:rPr>
        <w:t> </w:t>
      </w:r>
      <w:r w:rsidRPr="004802F4">
        <w:rPr>
          <w:i/>
          <w:szCs w:val="24"/>
          <w:lang w:val="fr-FR"/>
        </w:rPr>
        <w:t>IV : Situation D : Évaluation de sous</w:t>
      </w:r>
      <w:r w:rsidR="001272D3" w:rsidRPr="004802F4">
        <w:rPr>
          <w:i/>
          <w:szCs w:val="24"/>
          <w:lang w:val="fr-FR"/>
        </w:rPr>
        <w:noBreakHyphen/>
      </w:r>
      <w:r w:rsidRPr="004802F4">
        <w:rPr>
          <w:i/>
          <w:szCs w:val="24"/>
          <w:lang w:val="fr-FR"/>
        </w:rPr>
        <w:t>échantillons dans le cadre d</w:t>
      </w:r>
      <w:r w:rsidR="004F302C" w:rsidRPr="004802F4">
        <w:rPr>
          <w:i/>
          <w:szCs w:val="24"/>
          <w:lang w:val="fr-FR"/>
        </w:rPr>
        <w:t>’</w:t>
      </w:r>
      <w:r w:rsidRPr="004802F4">
        <w:rPr>
          <w:i/>
          <w:szCs w:val="24"/>
          <w:lang w:val="fr-FR"/>
        </w:rPr>
        <w:t>un seul examen/essai</w:t>
      </w:r>
    </w:p>
    <w:p w:rsidR="007A701A" w:rsidRPr="004802F4" w:rsidRDefault="007A701A" w:rsidP="004802F4">
      <w:pPr>
        <w:snapToGrid w:val="0"/>
        <w:ind w:left="567"/>
        <w:jc w:val="left"/>
        <w:rPr>
          <w:i/>
          <w:szCs w:val="24"/>
          <w:lang w:val="fr-FR"/>
        </w:rPr>
      </w:pPr>
    </w:p>
    <w:p w:rsidR="004F302C" w:rsidRPr="004802F4" w:rsidRDefault="007A701A" w:rsidP="004802F4">
      <w:pPr>
        <w:snapToGrid w:val="0"/>
        <w:ind w:left="567" w:firstLine="273"/>
        <w:jc w:val="left"/>
        <w:rPr>
          <w:szCs w:val="24"/>
          <w:lang w:val="fr-FR"/>
        </w:rPr>
      </w:pPr>
      <w:r w:rsidRPr="004802F4">
        <w:rPr>
          <w:szCs w:val="24"/>
          <w:lang w:val="fr-FR"/>
        </w:rPr>
        <w:t>Méthode :</w:t>
      </w:r>
      <w:r w:rsidRPr="004802F4">
        <w:rPr>
          <w:i/>
          <w:szCs w:val="24"/>
          <w:lang w:val="fr-FR"/>
        </w:rPr>
        <w:t xml:space="preserve"> </w:t>
      </w:r>
      <w:r w:rsidRPr="004802F4">
        <w:rPr>
          <w:szCs w:val="24"/>
          <w:lang w:val="fr-FR"/>
        </w:rPr>
        <w:t>Sous</w:t>
      </w:r>
      <w:r w:rsidR="001272D3" w:rsidRPr="004802F4">
        <w:rPr>
          <w:szCs w:val="24"/>
          <w:lang w:val="fr-FR"/>
        </w:rPr>
        <w:noBreakHyphen/>
      </w:r>
      <w:r w:rsidRPr="004802F4">
        <w:rPr>
          <w:szCs w:val="24"/>
          <w:lang w:val="fr-FR"/>
        </w:rPr>
        <w:t>échantillon comme première étape d</w:t>
      </w:r>
      <w:r w:rsidR="004F302C" w:rsidRPr="004802F4">
        <w:rPr>
          <w:szCs w:val="24"/>
          <w:lang w:val="fr-FR"/>
        </w:rPr>
        <w:t>’</w:t>
      </w:r>
      <w:r w:rsidRPr="004802F4">
        <w:rPr>
          <w:szCs w:val="24"/>
          <w:lang w:val="fr-FR"/>
        </w:rPr>
        <w:t>évaluation</w:t>
      </w:r>
    </w:p>
    <w:p w:rsidR="007A701A" w:rsidRPr="004802F4" w:rsidRDefault="007A701A" w:rsidP="004802F4">
      <w:pPr>
        <w:snapToGrid w:val="0"/>
        <w:jc w:val="left"/>
        <w:rPr>
          <w:szCs w:val="24"/>
          <w:lang w:val="fr-FR"/>
        </w:rPr>
      </w:pPr>
    </w:p>
    <w:p w:rsidR="007A701A" w:rsidRPr="004802F4" w:rsidRDefault="003F7E71" w:rsidP="004802F4">
      <w:pPr>
        <w:rPr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7A701A" w:rsidRPr="004802F4">
        <w:rPr>
          <w:lang w:val="fr-FR"/>
        </w:rPr>
        <w:t>Le résumé qui figure dans les annexes I à IV porte uniquement sur des situations dans lesquelles plus d</w:t>
      </w:r>
      <w:r w:rsidR="004F302C" w:rsidRPr="004802F4">
        <w:rPr>
          <w:lang w:val="fr-FR"/>
        </w:rPr>
        <w:t>’</w:t>
      </w:r>
      <w:r w:rsidR="007A701A" w:rsidRPr="004802F4">
        <w:rPr>
          <w:lang w:val="fr-FR"/>
        </w:rPr>
        <w:t>un échantillon ou sous</w:t>
      </w:r>
      <w:r w:rsidR="001272D3" w:rsidRPr="004802F4">
        <w:rPr>
          <w:lang w:val="fr-FR"/>
        </w:rPr>
        <w:noBreakHyphen/>
      </w:r>
      <w:r w:rsidR="007A701A" w:rsidRPr="004802F4">
        <w:rPr>
          <w:lang w:val="fr-FR"/>
        </w:rPr>
        <w:t>échantillon concerne l</w:t>
      </w:r>
      <w:r w:rsidR="004F302C" w:rsidRPr="004802F4">
        <w:rPr>
          <w:lang w:val="fr-FR"/>
        </w:rPr>
        <w:t>’</w:t>
      </w:r>
      <w:r w:rsidR="007A701A" w:rsidRPr="004802F4">
        <w:rPr>
          <w:lang w:val="fr-FR"/>
        </w:rPr>
        <w:t>examen du même caractère.</w:t>
      </w:r>
      <w:r w:rsidRPr="004802F4">
        <w:rPr>
          <w:lang w:val="fr-FR"/>
        </w:rPr>
        <w:t xml:space="preserve">  </w:t>
      </w:r>
      <w:r w:rsidR="007A701A" w:rsidRPr="004802F4">
        <w:rPr>
          <w:lang w:val="fr-FR"/>
        </w:rPr>
        <w:t>Lorsque les échantillons ou sous</w:t>
      </w:r>
      <w:r w:rsidR="001272D3" w:rsidRPr="004802F4">
        <w:rPr>
          <w:lang w:val="fr-FR"/>
        </w:rPr>
        <w:noBreakHyphen/>
      </w:r>
      <w:r w:rsidR="007A701A" w:rsidRPr="004802F4">
        <w:rPr>
          <w:lang w:val="fr-FR"/>
        </w:rPr>
        <w:t>échantillons (p. ex. examen spécial) sont différents pour examiner un caractère différent, il n</w:t>
      </w:r>
      <w:r w:rsidR="004F302C" w:rsidRPr="004802F4">
        <w:rPr>
          <w:lang w:val="fr-FR"/>
        </w:rPr>
        <w:t>’</w:t>
      </w:r>
      <w:r w:rsidR="007A701A" w:rsidRPr="004802F4">
        <w:rPr>
          <w:lang w:val="fr-FR"/>
        </w:rPr>
        <w:t>est pas obligatoire de combiner les résultats car une variété doit être homogène pour tous les caractères pertinents.</w:t>
      </w:r>
    </w:p>
    <w:p w:rsidR="007A701A" w:rsidRPr="004802F4" w:rsidRDefault="007A701A" w:rsidP="004802F4">
      <w:pPr>
        <w:jc w:val="left"/>
        <w:rPr>
          <w:szCs w:val="24"/>
          <w:lang w:val="fr-FR"/>
        </w:rPr>
      </w:pPr>
    </w:p>
    <w:p w:rsidR="007A701A" w:rsidRPr="004802F4" w:rsidRDefault="003F7E71" w:rsidP="004802F4">
      <w:pPr>
        <w:jc w:val="left"/>
        <w:rPr>
          <w:szCs w:val="24"/>
          <w:lang w:val="fr-FR"/>
        </w:rPr>
      </w:pPr>
      <w:r w:rsidRPr="004802F4">
        <w:rPr>
          <w:szCs w:val="24"/>
          <w:lang w:val="fr-FR"/>
        </w:rPr>
        <w:fldChar w:fldCharType="begin"/>
      </w:r>
      <w:r w:rsidRPr="004802F4">
        <w:rPr>
          <w:szCs w:val="24"/>
          <w:lang w:val="fr-FR"/>
        </w:rPr>
        <w:instrText xml:space="preserve"> AUTONUM  </w:instrText>
      </w:r>
      <w:r w:rsidRPr="004802F4">
        <w:rPr>
          <w:szCs w:val="24"/>
          <w:lang w:val="fr-FR"/>
        </w:rPr>
        <w:fldChar w:fldCharType="end"/>
      </w:r>
      <w:r w:rsidRPr="004802F4">
        <w:rPr>
          <w:szCs w:val="24"/>
          <w:lang w:val="fr-FR"/>
        </w:rPr>
        <w:tab/>
      </w:r>
      <w:r w:rsidR="003E4724" w:rsidRPr="004802F4">
        <w:rPr>
          <w:szCs w:val="24"/>
          <w:lang w:val="fr-FR"/>
        </w:rPr>
        <w:t>L</w:t>
      </w:r>
      <w:r w:rsidR="004F302C" w:rsidRPr="004802F4">
        <w:rPr>
          <w:szCs w:val="24"/>
          <w:lang w:val="fr-FR"/>
        </w:rPr>
        <w:t>’</w:t>
      </w:r>
      <w:r w:rsidR="003E4724" w:rsidRPr="004802F4">
        <w:rPr>
          <w:szCs w:val="24"/>
          <w:lang w:val="fr-FR"/>
        </w:rPr>
        <w:t>annexe</w:t>
      </w:r>
      <w:r w:rsidR="009307C6" w:rsidRPr="004802F4">
        <w:rPr>
          <w:szCs w:val="24"/>
          <w:lang w:val="fr-FR"/>
        </w:rPr>
        <w:t> </w:t>
      </w:r>
      <w:r w:rsidR="003E4724" w:rsidRPr="004802F4">
        <w:rPr>
          <w:szCs w:val="24"/>
          <w:lang w:val="fr-FR"/>
        </w:rPr>
        <w:t>V du présent document présente un mémorandum soumis par les experts de l</w:t>
      </w:r>
      <w:r w:rsidR="004F302C" w:rsidRPr="004802F4">
        <w:rPr>
          <w:szCs w:val="24"/>
          <w:lang w:val="fr-FR"/>
        </w:rPr>
        <w:t>’</w:t>
      </w:r>
      <w:r w:rsidR="003E4724" w:rsidRPr="004802F4">
        <w:rPr>
          <w:szCs w:val="24"/>
          <w:lang w:val="fr-FR"/>
        </w:rPr>
        <w:t>Allemagne concernant l</w:t>
      </w:r>
      <w:r w:rsidR="004F302C" w:rsidRPr="004802F4">
        <w:rPr>
          <w:szCs w:val="24"/>
          <w:lang w:val="fr-FR"/>
        </w:rPr>
        <w:t>’</w:t>
      </w:r>
      <w:r w:rsidR="003E4724" w:rsidRPr="004802F4">
        <w:rPr>
          <w:szCs w:val="24"/>
          <w:lang w:val="fr-FR"/>
        </w:rPr>
        <w:t xml:space="preserve">utilisation </w:t>
      </w:r>
      <w:r w:rsidR="003E4724" w:rsidRPr="004802F4">
        <w:rPr>
          <w:rFonts w:eastAsia="MS Mincho"/>
          <w:szCs w:val="24"/>
          <w:lang w:val="fr-FR" w:eastAsia="ja-JP"/>
        </w:rPr>
        <w:t>d</w:t>
      </w:r>
      <w:r w:rsidR="004F302C" w:rsidRPr="004802F4">
        <w:rPr>
          <w:rFonts w:eastAsia="MS Mincho"/>
          <w:szCs w:val="24"/>
          <w:lang w:val="fr-FR" w:eastAsia="ja-JP"/>
        </w:rPr>
        <w:t>’</w:t>
      </w:r>
      <w:r w:rsidR="003E4724" w:rsidRPr="004802F4">
        <w:rPr>
          <w:rFonts w:eastAsia="MS Mincho"/>
          <w:szCs w:val="24"/>
          <w:lang w:val="fr-FR" w:eastAsia="ja-JP"/>
        </w:rPr>
        <w:t>une méthode par étapes</w:t>
      </w:r>
      <w:r w:rsidR="003E4724" w:rsidRPr="004802F4">
        <w:rPr>
          <w:lang w:val="fr-FR"/>
        </w:rPr>
        <w:t xml:space="preserve"> dans la procédure applicable aux plantes </w:t>
      </w:r>
      <w:r w:rsidR="00707A69" w:rsidRPr="004802F4">
        <w:rPr>
          <w:lang w:val="fr-FR"/>
        </w:rPr>
        <w:t>hors-type</w:t>
      </w:r>
      <w:r w:rsidR="003E4724" w:rsidRPr="004802F4">
        <w:rPr>
          <w:lang w:val="fr-FR"/>
        </w:rPr>
        <w:t xml:space="preserve"> dans </w:t>
      </w:r>
      <w:r w:rsidR="00F107D4" w:rsidRPr="004802F4">
        <w:rPr>
          <w:lang w:val="fr-FR"/>
        </w:rPr>
        <w:t>le</w:t>
      </w:r>
      <w:r w:rsidR="003E4724" w:rsidRPr="004802F4">
        <w:rPr>
          <w:lang w:val="fr-FR"/>
        </w:rPr>
        <w:t xml:space="preserve"> même cycle de végétation dans la situation </w:t>
      </w:r>
      <w:r w:rsidRPr="004802F4">
        <w:rPr>
          <w:lang w:val="fr-FR"/>
        </w:rPr>
        <w:t>D.</w:t>
      </w:r>
    </w:p>
    <w:p w:rsidR="009E51D4" w:rsidRPr="004802F4" w:rsidRDefault="009E51D4" w:rsidP="004802F4">
      <w:pPr>
        <w:pStyle w:val="DecisionParagraphs"/>
        <w:tabs>
          <w:tab w:val="num" w:pos="5387"/>
        </w:tabs>
        <w:rPr>
          <w:lang w:val="fr-FR"/>
        </w:rPr>
      </w:pPr>
    </w:p>
    <w:p w:rsidR="004F302C" w:rsidRPr="004802F4" w:rsidRDefault="003F7E71" w:rsidP="004802F4">
      <w:pPr>
        <w:pStyle w:val="DecisionParagraphs"/>
        <w:tabs>
          <w:tab w:val="num" w:pos="5387"/>
        </w:tabs>
        <w:rPr>
          <w:lang w:val="fr-FR"/>
        </w:rPr>
      </w:pPr>
      <w:r w:rsidRPr="004802F4">
        <w:rPr>
          <w:lang w:val="fr-FR"/>
        </w:rPr>
        <w:fldChar w:fldCharType="begin"/>
      </w:r>
      <w:r w:rsidRPr="004802F4">
        <w:rPr>
          <w:lang w:val="fr-FR"/>
        </w:rPr>
        <w:instrText xml:space="preserve"> AUTONUM  </w:instrText>
      </w:r>
      <w:r w:rsidRPr="004802F4">
        <w:rPr>
          <w:lang w:val="fr-FR"/>
        </w:rPr>
        <w:fldChar w:fldCharType="end"/>
      </w:r>
      <w:r w:rsidRPr="004802F4">
        <w:rPr>
          <w:lang w:val="fr-FR"/>
        </w:rPr>
        <w:tab/>
      </w:r>
      <w:r w:rsidR="007A701A" w:rsidRPr="004802F4">
        <w:rPr>
          <w:lang w:val="fr-FR"/>
        </w:rPr>
        <w:t>Le</w:t>
      </w:r>
      <w:r w:rsidR="004F302C" w:rsidRPr="004802F4">
        <w:rPr>
          <w:lang w:val="fr-FR"/>
        </w:rPr>
        <w:t> TC</w:t>
      </w:r>
      <w:r w:rsidR="007A701A" w:rsidRPr="004802F4">
        <w:rPr>
          <w:lang w:val="fr-FR"/>
        </w:rPr>
        <w:t xml:space="preserve"> est invité à examiner :</w:t>
      </w:r>
    </w:p>
    <w:p w:rsidR="007A701A" w:rsidRPr="004802F4" w:rsidRDefault="007A701A" w:rsidP="004802F4">
      <w:pPr>
        <w:pStyle w:val="DecisionParagraphs"/>
        <w:tabs>
          <w:tab w:val="num" w:pos="5387"/>
        </w:tabs>
        <w:rPr>
          <w:highlight w:val="yellow"/>
          <w:lang w:val="fr-FR"/>
        </w:rPr>
      </w:pPr>
    </w:p>
    <w:p w:rsidR="007A701A" w:rsidRPr="004802F4" w:rsidRDefault="007507E7" w:rsidP="004802F4">
      <w:pPr>
        <w:pStyle w:val="DecisionParagraphs"/>
        <w:numPr>
          <w:ilvl w:val="0"/>
          <w:numId w:val="2"/>
        </w:numPr>
        <w:tabs>
          <w:tab w:val="clear" w:pos="5387"/>
          <w:tab w:val="left" w:pos="5954"/>
        </w:tabs>
        <w:ind w:left="4820" w:firstLine="567"/>
        <w:rPr>
          <w:lang w:val="fr-FR"/>
        </w:rPr>
      </w:pPr>
      <w:r w:rsidRPr="004802F4">
        <w:rPr>
          <w:szCs w:val="24"/>
          <w:lang w:val="fr-FR"/>
        </w:rPr>
        <w:t>les propositions faites par</w:t>
      </w:r>
      <w:r w:rsidR="004F302C" w:rsidRPr="004802F4">
        <w:rPr>
          <w:szCs w:val="24"/>
          <w:lang w:val="fr-FR"/>
        </w:rPr>
        <w:t xml:space="preserve"> les TWP</w:t>
      </w:r>
      <w:r w:rsidRPr="004802F4">
        <w:rPr>
          <w:szCs w:val="24"/>
          <w:lang w:val="fr-FR"/>
        </w:rPr>
        <w:t xml:space="preserve"> à leurs sessions en</w:t>
      </w:r>
      <w:r w:rsidR="009307C6" w:rsidRPr="004802F4">
        <w:rPr>
          <w:szCs w:val="24"/>
          <w:lang w:val="fr-FR"/>
        </w:rPr>
        <w:t> </w:t>
      </w:r>
      <w:r w:rsidRPr="004802F4">
        <w:rPr>
          <w:szCs w:val="24"/>
          <w:lang w:val="fr-FR"/>
        </w:rPr>
        <w:t>2014 et par le</w:t>
      </w:r>
      <w:r w:rsidR="004F302C" w:rsidRPr="004802F4">
        <w:rPr>
          <w:szCs w:val="24"/>
          <w:lang w:val="fr-FR"/>
        </w:rPr>
        <w:t> TC</w:t>
      </w:r>
      <w:r w:rsidR="001272D3" w:rsidRPr="004802F4">
        <w:rPr>
          <w:szCs w:val="24"/>
          <w:lang w:val="fr-FR"/>
        </w:rPr>
        <w:noBreakHyphen/>
      </w:r>
      <w:r w:rsidR="004F302C" w:rsidRPr="004802F4">
        <w:rPr>
          <w:szCs w:val="24"/>
          <w:lang w:val="fr-FR"/>
        </w:rPr>
        <w:t>EDC</w:t>
      </w:r>
      <w:r w:rsidRPr="004802F4">
        <w:rPr>
          <w:szCs w:val="24"/>
          <w:lang w:val="fr-FR"/>
        </w:rPr>
        <w:t xml:space="preserve"> à sa réunion en </w:t>
      </w:r>
      <w:r w:rsidR="004F302C" w:rsidRPr="004802F4">
        <w:rPr>
          <w:szCs w:val="24"/>
          <w:lang w:val="fr-FR"/>
        </w:rPr>
        <w:t>janvier 20</w:t>
      </w:r>
      <w:r w:rsidRPr="004802F4">
        <w:rPr>
          <w:szCs w:val="24"/>
          <w:lang w:val="fr-FR"/>
        </w:rPr>
        <w:t>15</w:t>
      </w:r>
      <w:r w:rsidR="00727D66" w:rsidRPr="004802F4">
        <w:rPr>
          <w:szCs w:val="24"/>
          <w:lang w:val="fr-FR"/>
        </w:rPr>
        <w:t xml:space="preserve">, </w:t>
      </w:r>
      <w:r w:rsidRPr="004802F4">
        <w:rPr>
          <w:szCs w:val="24"/>
          <w:lang w:val="fr-FR"/>
        </w:rPr>
        <w:t>concernant le projet d</w:t>
      </w:r>
      <w:r w:rsidR="004F302C" w:rsidRPr="004802F4">
        <w:rPr>
          <w:szCs w:val="24"/>
          <w:lang w:val="fr-FR"/>
        </w:rPr>
        <w:t>’</w:t>
      </w:r>
      <w:r w:rsidRPr="004802F4">
        <w:rPr>
          <w:szCs w:val="24"/>
          <w:lang w:val="fr-FR"/>
        </w:rPr>
        <w:t>orientations à inclure dans une future version révisée du document</w:t>
      </w:r>
      <w:r w:rsidR="00727D66" w:rsidRPr="004802F4">
        <w:rPr>
          <w:lang w:val="fr-FR"/>
        </w:rPr>
        <w:t xml:space="preserve"> TGP/10,</w:t>
      </w:r>
      <w:r w:rsidR="00727D66" w:rsidRPr="004802F4">
        <w:rPr>
          <w:szCs w:val="24"/>
          <w:lang w:val="fr-FR"/>
        </w:rPr>
        <w:t xml:space="preserve"> </w:t>
      </w:r>
      <w:r w:rsidRPr="004802F4">
        <w:rPr>
          <w:szCs w:val="24"/>
          <w:lang w:val="fr-FR"/>
        </w:rPr>
        <w:t>présentées aux annexes</w:t>
      </w:r>
      <w:r w:rsidR="009307C6" w:rsidRPr="004802F4">
        <w:rPr>
          <w:szCs w:val="24"/>
          <w:lang w:val="fr-FR"/>
        </w:rPr>
        <w:t> </w:t>
      </w:r>
      <w:r w:rsidRPr="004802F4">
        <w:rPr>
          <w:szCs w:val="24"/>
          <w:lang w:val="fr-FR"/>
        </w:rPr>
        <w:t>I à IV du présent document</w:t>
      </w:r>
      <w:r w:rsidR="00727D66" w:rsidRPr="004802F4">
        <w:rPr>
          <w:szCs w:val="24"/>
          <w:lang w:val="fr-FR"/>
        </w:rPr>
        <w:t>;</w:t>
      </w:r>
    </w:p>
    <w:p w:rsidR="007A701A" w:rsidRPr="004802F4" w:rsidRDefault="007A701A" w:rsidP="004802F4">
      <w:pPr>
        <w:pStyle w:val="DecisionParagraphs"/>
        <w:tabs>
          <w:tab w:val="clear" w:pos="5387"/>
          <w:tab w:val="left" w:pos="5954"/>
        </w:tabs>
        <w:ind w:left="5387"/>
        <w:rPr>
          <w:lang w:val="fr-FR"/>
        </w:rPr>
      </w:pPr>
    </w:p>
    <w:p w:rsidR="007A701A" w:rsidRPr="004802F4" w:rsidRDefault="00A15565" w:rsidP="004802F4">
      <w:pPr>
        <w:pStyle w:val="DecisionParagraphs"/>
        <w:keepLines/>
        <w:numPr>
          <w:ilvl w:val="0"/>
          <w:numId w:val="2"/>
        </w:numPr>
        <w:tabs>
          <w:tab w:val="clear" w:pos="5387"/>
          <w:tab w:val="left" w:pos="5954"/>
        </w:tabs>
        <w:ind w:left="4820" w:firstLine="567"/>
        <w:rPr>
          <w:lang w:val="fr-FR"/>
        </w:rPr>
      </w:pPr>
      <w:r w:rsidRPr="004802F4">
        <w:rPr>
          <w:rFonts w:cs="Arial"/>
          <w:lang w:val="fr-FR"/>
        </w:rPr>
        <w:t>si les</w:t>
      </w:r>
      <w:r w:rsidR="007507E7" w:rsidRPr="004802F4">
        <w:rPr>
          <w:rFonts w:cs="Arial"/>
          <w:lang w:val="fr-FR"/>
        </w:rPr>
        <w:t xml:space="preserve"> situations A et B </w:t>
      </w:r>
      <w:r w:rsidRPr="004802F4">
        <w:rPr>
          <w:rFonts w:cs="Arial"/>
          <w:lang w:val="fr-FR"/>
        </w:rPr>
        <w:t>présentées aux annexes I et II</w:t>
      </w:r>
      <w:r w:rsidR="007507E7" w:rsidRPr="004802F4">
        <w:rPr>
          <w:rFonts w:cs="Arial"/>
          <w:lang w:val="fr-FR"/>
        </w:rPr>
        <w:t xml:space="preserve"> </w:t>
      </w:r>
      <w:r w:rsidRPr="004802F4">
        <w:rPr>
          <w:rFonts w:cs="Arial"/>
          <w:lang w:val="fr-FR"/>
        </w:rPr>
        <w:t xml:space="preserve">du présent document </w:t>
      </w:r>
      <w:r w:rsidR="007507E7" w:rsidRPr="004802F4">
        <w:rPr>
          <w:rFonts w:cs="Arial"/>
          <w:lang w:val="fr-FR"/>
        </w:rPr>
        <w:t>devraient être combinées et des précisions fournies afin d</w:t>
      </w:r>
      <w:r w:rsidR="004F302C" w:rsidRPr="004802F4">
        <w:rPr>
          <w:rFonts w:cs="Arial"/>
          <w:lang w:val="fr-FR"/>
        </w:rPr>
        <w:t>’</w:t>
      </w:r>
      <w:r w:rsidR="007507E7" w:rsidRPr="004802F4">
        <w:rPr>
          <w:rFonts w:cs="Arial"/>
          <w:lang w:val="fr-FR"/>
        </w:rPr>
        <w:t>indiquer que deux</w:t>
      </w:r>
      <w:r w:rsidR="009307C6" w:rsidRPr="004802F4">
        <w:rPr>
          <w:rFonts w:cs="Arial"/>
          <w:lang w:val="fr-FR"/>
        </w:rPr>
        <w:t> </w:t>
      </w:r>
      <w:r w:rsidR="007507E7" w:rsidRPr="004802F4">
        <w:rPr>
          <w:rFonts w:cs="Arial"/>
          <w:lang w:val="fr-FR"/>
        </w:rPr>
        <w:t>cycles de végétation indépendants pourraient avoir lieu en un seul endroit sur plusieurs années ou en différents endroits la même année, selon ce qui figure dans le document TGP/8</w:t>
      </w:r>
      <w:r w:rsidRPr="004802F4">
        <w:rPr>
          <w:rFonts w:cs="Arial"/>
          <w:lang w:val="fr-FR"/>
        </w:rPr>
        <w:t>,</w:t>
      </w:r>
      <w:r w:rsidR="007507E7" w:rsidRPr="004802F4">
        <w:rPr>
          <w:rFonts w:cs="Arial"/>
          <w:lang w:val="fr-FR"/>
        </w:rPr>
        <w:t xml:space="preserve"> première partie, sections</w:t>
      </w:r>
      <w:r w:rsidR="009307C6" w:rsidRPr="004802F4">
        <w:rPr>
          <w:rFonts w:cs="Arial"/>
          <w:lang w:val="fr-FR"/>
        </w:rPr>
        <w:t> </w:t>
      </w:r>
      <w:r w:rsidR="007507E7" w:rsidRPr="004802F4">
        <w:rPr>
          <w:rFonts w:cs="Arial"/>
          <w:lang w:val="fr-FR"/>
        </w:rPr>
        <w:t>1.2 et 1.3</w:t>
      </w:r>
      <w:r w:rsidR="00727D66" w:rsidRPr="004802F4">
        <w:rPr>
          <w:lang w:val="fr-FR"/>
        </w:rPr>
        <w:t>;</w:t>
      </w:r>
      <w:r w:rsidR="007507E7" w:rsidRPr="004802F4">
        <w:rPr>
          <w:lang w:val="fr-FR"/>
        </w:rPr>
        <w:t xml:space="preserve"> </w:t>
      </w:r>
      <w:r w:rsidR="00727D66" w:rsidRPr="004802F4">
        <w:rPr>
          <w:lang w:val="fr-FR"/>
        </w:rPr>
        <w:t xml:space="preserve"> </w:t>
      </w:r>
      <w:r w:rsidR="007507E7" w:rsidRPr="004802F4">
        <w:rPr>
          <w:lang w:val="fr-FR"/>
        </w:rPr>
        <w:t>et</w:t>
      </w:r>
    </w:p>
    <w:p w:rsidR="007A701A" w:rsidRPr="004802F4" w:rsidRDefault="007A701A" w:rsidP="004802F4">
      <w:pPr>
        <w:pStyle w:val="DecisionParagraphs"/>
        <w:tabs>
          <w:tab w:val="num" w:pos="5387"/>
          <w:tab w:val="left" w:pos="5954"/>
        </w:tabs>
        <w:ind w:firstLine="567"/>
        <w:rPr>
          <w:highlight w:val="yellow"/>
          <w:lang w:val="fr-FR"/>
        </w:rPr>
      </w:pPr>
    </w:p>
    <w:p w:rsidR="007A701A" w:rsidRPr="004802F4" w:rsidRDefault="007507E7" w:rsidP="004802F4">
      <w:pPr>
        <w:pStyle w:val="DecisionParagraphs"/>
        <w:numPr>
          <w:ilvl w:val="0"/>
          <w:numId w:val="2"/>
        </w:numPr>
        <w:tabs>
          <w:tab w:val="clear" w:pos="5387"/>
          <w:tab w:val="left" w:pos="5954"/>
        </w:tabs>
        <w:ind w:left="4820" w:firstLine="567"/>
        <w:rPr>
          <w:lang w:val="fr-FR"/>
        </w:rPr>
      </w:pPr>
      <w:r w:rsidRPr="004802F4">
        <w:rPr>
          <w:lang w:val="fr-FR"/>
        </w:rPr>
        <w:t>s</w:t>
      </w:r>
      <w:r w:rsidR="004F302C" w:rsidRPr="004802F4">
        <w:rPr>
          <w:lang w:val="fr-FR"/>
        </w:rPr>
        <w:t>’</w:t>
      </w:r>
      <w:r w:rsidRPr="004802F4">
        <w:rPr>
          <w:lang w:val="fr-FR"/>
        </w:rPr>
        <w:t>il conviendrait d</w:t>
      </w:r>
      <w:r w:rsidR="004F302C" w:rsidRPr="004802F4">
        <w:rPr>
          <w:lang w:val="fr-FR"/>
        </w:rPr>
        <w:t>’</w:t>
      </w:r>
      <w:r w:rsidRPr="004802F4">
        <w:rPr>
          <w:lang w:val="fr-FR"/>
        </w:rPr>
        <w:t xml:space="preserve">inviter </w:t>
      </w:r>
      <w:r w:rsidRPr="004802F4">
        <w:rPr>
          <w:rFonts w:cs="Arial"/>
          <w:lang w:val="fr-FR"/>
        </w:rPr>
        <w:t>les membres de l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Union à présenter</w:t>
      </w:r>
      <w:r w:rsidR="004F302C" w:rsidRPr="004802F4">
        <w:rPr>
          <w:rFonts w:cs="Arial"/>
          <w:lang w:val="fr-FR"/>
        </w:rPr>
        <w:t xml:space="preserve"> aux TWP</w:t>
      </w:r>
      <w:r w:rsidRPr="004802F4">
        <w:rPr>
          <w:rFonts w:cs="Arial"/>
          <w:lang w:val="fr-FR"/>
        </w:rPr>
        <w:t xml:space="preserve"> et au</w:t>
      </w:r>
      <w:r w:rsidR="004F302C" w:rsidRPr="004802F4">
        <w:rPr>
          <w:rFonts w:cs="Arial"/>
          <w:lang w:val="fr-FR"/>
        </w:rPr>
        <w:t> TC</w:t>
      </w:r>
      <w:r w:rsidRPr="004802F4">
        <w:rPr>
          <w:rFonts w:cs="Arial"/>
          <w:lang w:val="fr-FR"/>
        </w:rPr>
        <w:t xml:space="preserve"> des informations sur </w:t>
      </w:r>
      <w:r w:rsidR="00170A4D" w:rsidRPr="004802F4">
        <w:rPr>
          <w:rFonts w:cs="Arial"/>
          <w:lang w:val="fr-FR"/>
        </w:rPr>
        <w:t xml:space="preserve">les risques, les avantages, les coûts et autres éléments pertinents </w:t>
      </w:r>
      <w:r w:rsidRPr="004802F4">
        <w:rPr>
          <w:rFonts w:cs="Arial"/>
          <w:lang w:val="fr-FR"/>
        </w:rPr>
        <w:t>qui justifie</w:t>
      </w:r>
      <w:r w:rsidR="00170A4D" w:rsidRPr="004802F4">
        <w:rPr>
          <w:rFonts w:cs="Arial"/>
          <w:lang w:val="fr-FR"/>
        </w:rPr>
        <w:t>n</w:t>
      </w:r>
      <w:r w:rsidRPr="004802F4">
        <w:rPr>
          <w:rFonts w:cs="Arial"/>
          <w:lang w:val="fr-FR"/>
        </w:rPr>
        <w:t xml:space="preserve">t leur </w:t>
      </w:r>
      <w:r w:rsidR="00170A4D" w:rsidRPr="004802F4">
        <w:rPr>
          <w:rFonts w:cs="Arial"/>
          <w:lang w:val="fr-FR"/>
        </w:rPr>
        <w:t>choix</w:t>
      </w:r>
      <w:r w:rsidRPr="004802F4">
        <w:rPr>
          <w:rFonts w:cs="Arial"/>
          <w:lang w:val="fr-FR"/>
        </w:rPr>
        <w:t xml:space="preserve"> de</w:t>
      </w:r>
      <w:r w:rsidR="00170A4D" w:rsidRPr="004802F4">
        <w:rPr>
          <w:rFonts w:cs="Arial"/>
          <w:lang w:val="fr-FR"/>
        </w:rPr>
        <w:t xml:space="preserve"> la</w:t>
      </w:r>
      <w:r w:rsidRPr="004802F4">
        <w:rPr>
          <w:rFonts w:cs="Arial"/>
          <w:lang w:val="fr-FR"/>
        </w:rPr>
        <w:t xml:space="preserve"> méthode 1 ou 2</w:t>
      </w:r>
      <w:r w:rsidR="00170A4D" w:rsidRPr="004802F4">
        <w:rPr>
          <w:rFonts w:cs="Arial"/>
          <w:lang w:val="fr-FR"/>
        </w:rPr>
        <w:t>,</w:t>
      </w:r>
      <w:r w:rsidR="00170A4D" w:rsidRPr="004802F4">
        <w:rPr>
          <w:lang w:val="fr-FR"/>
        </w:rPr>
        <w:t xml:space="preserve"> indiquées aux annexes</w:t>
      </w:r>
      <w:r w:rsidR="009307C6" w:rsidRPr="004802F4">
        <w:rPr>
          <w:lang w:val="fr-FR"/>
        </w:rPr>
        <w:t> </w:t>
      </w:r>
      <w:r w:rsidR="00170A4D" w:rsidRPr="004802F4">
        <w:rPr>
          <w:lang w:val="fr-FR"/>
        </w:rPr>
        <w:t xml:space="preserve">I et II du présent document, </w:t>
      </w:r>
      <w:r w:rsidR="00A15565" w:rsidRPr="004802F4">
        <w:rPr>
          <w:lang w:val="fr-FR"/>
        </w:rPr>
        <w:t>aux fins de</w:t>
      </w:r>
      <w:r w:rsidR="00170A4D" w:rsidRPr="004802F4">
        <w:rPr>
          <w:lang w:val="fr-FR"/>
        </w:rPr>
        <w:t xml:space="preserve"> l</w:t>
      </w:r>
      <w:r w:rsidR="004F302C" w:rsidRPr="004802F4">
        <w:rPr>
          <w:lang w:val="fr-FR"/>
        </w:rPr>
        <w:t>’</w:t>
      </w:r>
      <w:r w:rsidR="00170A4D" w:rsidRPr="004802F4">
        <w:rPr>
          <w:lang w:val="fr-FR"/>
        </w:rPr>
        <w:t>évaluation de l</w:t>
      </w:r>
      <w:r w:rsidR="004F302C" w:rsidRPr="004802F4">
        <w:rPr>
          <w:lang w:val="fr-FR"/>
        </w:rPr>
        <w:t>’</w:t>
      </w:r>
      <w:r w:rsidR="00170A4D" w:rsidRPr="004802F4">
        <w:rPr>
          <w:lang w:val="fr-FR"/>
        </w:rPr>
        <w:t>homogénéité d</w:t>
      </w:r>
      <w:r w:rsidR="004F302C" w:rsidRPr="004802F4">
        <w:rPr>
          <w:lang w:val="fr-FR"/>
        </w:rPr>
        <w:t>’</w:t>
      </w:r>
      <w:r w:rsidR="00170A4D" w:rsidRPr="004802F4">
        <w:rPr>
          <w:lang w:val="fr-FR"/>
        </w:rPr>
        <w:t xml:space="preserve">après les plantes </w:t>
      </w:r>
      <w:r w:rsidR="00707A69" w:rsidRPr="004802F4">
        <w:rPr>
          <w:lang w:val="fr-FR"/>
        </w:rPr>
        <w:t>hors-type</w:t>
      </w:r>
      <w:r w:rsidR="00170A4D" w:rsidRPr="004802F4">
        <w:rPr>
          <w:lang w:val="fr-FR"/>
        </w:rPr>
        <w:t xml:space="preserve"> sur la base de plusieurs échantillons ou sous</w:t>
      </w:r>
      <w:r w:rsidR="001272D3" w:rsidRPr="004802F4">
        <w:rPr>
          <w:lang w:val="fr-FR"/>
        </w:rPr>
        <w:noBreakHyphen/>
      </w:r>
      <w:r w:rsidR="00170A4D" w:rsidRPr="004802F4">
        <w:rPr>
          <w:lang w:val="fr-FR"/>
        </w:rPr>
        <w:t>échantillons.</w:t>
      </w:r>
    </w:p>
    <w:p w:rsidR="007A701A" w:rsidRPr="004802F4" w:rsidRDefault="007A701A" w:rsidP="004802F4">
      <w:pPr>
        <w:rPr>
          <w:lang w:val="fr-FR"/>
        </w:rPr>
      </w:pPr>
    </w:p>
    <w:p w:rsidR="007A701A" w:rsidRPr="004802F4" w:rsidRDefault="007A701A" w:rsidP="004802F4">
      <w:pPr>
        <w:jc w:val="right"/>
        <w:rPr>
          <w:lang w:val="fr-FR"/>
        </w:rPr>
      </w:pPr>
    </w:p>
    <w:p w:rsidR="007A701A" w:rsidRPr="004802F4" w:rsidRDefault="007A701A" w:rsidP="004802F4">
      <w:pPr>
        <w:jc w:val="right"/>
        <w:rPr>
          <w:lang w:val="fr-FR"/>
        </w:rPr>
      </w:pPr>
    </w:p>
    <w:p w:rsidR="007A701A" w:rsidRPr="004802F4" w:rsidRDefault="007A701A" w:rsidP="004802F4">
      <w:pPr>
        <w:jc w:val="right"/>
        <w:rPr>
          <w:lang w:val="fr-FR"/>
        </w:rPr>
      </w:pPr>
      <w:r w:rsidRPr="004802F4">
        <w:rPr>
          <w:lang w:val="fr-FR"/>
        </w:rPr>
        <w:t>[Les annexes suivent]</w:t>
      </w:r>
    </w:p>
    <w:p w:rsidR="007A701A" w:rsidRPr="004802F4" w:rsidRDefault="007A701A" w:rsidP="004802F4">
      <w:pPr>
        <w:rPr>
          <w:lang w:val="fr-FR"/>
        </w:rPr>
      </w:pPr>
    </w:p>
    <w:p w:rsidR="003F7E71" w:rsidRPr="004802F4" w:rsidRDefault="003F7E71" w:rsidP="004802F4">
      <w:pPr>
        <w:rPr>
          <w:snapToGrid w:val="0"/>
          <w:lang w:val="fr-FR"/>
        </w:rPr>
        <w:sectPr w:rsidR="003F7E71" w:rsidRPr="004802F4" w:rsidSect="0094458C">
          <w:headerReference w:type="default" r:id="rId10"/>
          <w:pgSz w:w="11907" w:h="16840" w:code="9"/>
          <w:pgMar w:top="510" w:right="1134" w:bottom="993" w:left="1134" w:header="510" w:footer="680" w:gutter="0"/>
          <w:cols w:space="720"/>
          <w:titlePg/>
          <w:docGrid w:linePitch="272"/>
        </w:sect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802F4" w:rsidRPr="008155B3" w:rsidTr="003F7E71">
        <w:trPr>
          <w:trHeight w:val="350"/>
        </w:trPr>
        <w:tc>
          <w:tcPr>
            <w:tcW w:w="10206" w:type="dxa"/>
          </w:tcPr>
          <w:p w:rsidR="003F7E71" w:rsidRPr="004802F4" w:rsidRDefault="00EC1BE7" w:rsidP="004802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SimSun"/>
                <w:szCs w:val="24"/>
                <w:lang w:val="fr-FR" w:eastAsia="zh-CN"/>
              </w:rPr>
            </w:pPr>
            <w:r w:rsidRPr="004802F4">
              <w:rPr>
                <w:rFonts w:eastAsia="SimSun"/>
                <w:szCs w:val="24"/>
                <w:lang w:val="fr-FR" w:eastAsia="zh-CN"/>
              </w:rPr>
              <w:lastRenderedPageBreak/>
              <w:t>SITUATION</w:t>
            </w:r>
            <w:r w:rsidR="007A701A" w:rsidRPr="004802F4">
              <w:rPr>
                <w:rFonts w:eastAsia="SimSun"/>
                <w:szCs w:val="24"/>
                <w:lang w:val="fr-FR" w:eastAsia="zh-CN"/>
              </w:rPr>
              <w:t xml:space="preserve"> A : </w:t>
            </w:r>
            <w:r w:rsidRPr="004802F4">
              <w:rPr>
                <w:rFonts w:eastAsia="SimSun"/>
                <w:szCs w:val="24"/>
                <w:lang w:val="fr-FR" w:eastAsia="zh-CN"/>
              </w:rPr>
              <w:t>DEUX CYCLES DE VÉGÉTATION EN UN SEUL ENDROIT</w:t>
            </w:r>
          </w:p>
        </w:tc>
      </w:tr>
      <w:tr w:rsidR="004802F4" w:rsidRPr="008155B3" w:rsidTr="00B96C28">
        <w:trPr>
          <w:trHeight w:val="2061"/>
        </w:trPr>
        <w:tc>
          <w:tcPr>
            <w:tcW w:w="10206" w:type="dxa"/>
          </w:tcPr>
          <w:p w:rsidR="007A701A" w:rsidRPr="009B0414" w:rsidRDefault="007A701A" w:rsidP="004802F4">
            <w:pPr>
              <w:rPr>
                <w:b/>
                <w:sz w:val="16"/>
                <w:szCs w:val="24"/>
                <w:lang w:val="fr-FR"/>
              </w:rPr>
            </w:pPr>
          </w:p>
          <w:p w:rsidR="004F302C" w:rsidRPr="004802F4" w:rsidRDefault="007A701A" w:rsidP="004802F4">
            <w:pPr>
              <w:rPr>
                <w:b/>
                <w:szCs w:val="24"/>
                <w:lang w:val="fr-FR"/>
              </w:rPr>
            </w:pPr>
            <w:r w:rsidRPr="004802F4">
              <w:rPr>
                <w:b/>
                <w:szCs w:val="24"/>
                <w:lang w:val="fr-FR"/>
              </w:rPr>
              <w:t>Méthode 1 : Troisième cycle de végétation si les résultats sont incompatibles</w:t>
            </w:r>
          </w:p>
          <w:p w:rsidR="007A701A" w:rsidRPr="009B0414" w:rsidRDefault="007A701A" w:rsidP="004802F4">
            <w:pPr>
              <w:rPr>
                <w:b/>
                <w:sz w:val="16"/>
                <w:szCs w:val="24"/>
                <w:lang w:val="fr-FR"/>
              </w:rPr>
            </w:pPr>
          </w:p>
          <w:p w:rsidR="007A701A" w:rsidRPr="004802F4" w:rsidRDefault="007A701A" w:rsidP="004802F4">
            <w:pPr>
              <w:rPr>
                <w:rFonts w:eastAsia="SimSun"/>
                <w:szCs w:val="24"/>
                <w:lang w:val="fr-FR" w:eastAsia="zh-CN"/>
              </w:rPr>
            </w:pPr>
            <w:r w:rsidRPr="004802F4">
              <w:rPr>
                <w:rFonts w:eastAsia="SimSun"/>
                <w:szCs w:val="24"/>
                <w:lang w:val="fr-FR" w:eastAsia="zh-CN"/>
              </w:rPr>
              <w:t>Une variété est réputée homogène si elle se situe dans les limites de la norme d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>homogénéité sur les deux</w:t>
            </w:r>
            <w:r w:rsidR="009307C6" w:rsidRPr="004802F4">
              <w:rPr>
                <w:rFonts w:eastAsia="SimSun"/>
                <w:szCs w:val="24"/>
                <w:lang w:val="fr-FR" w:eastAsia="zh-CN"/>
              </w:rPr>
              <w:t> </w:t>
            </w:r>
            <w:r w:rsidRPr="004802F4">
              <w:rPr>
                <w:rFonts w:eastAsia="SimSun"/>
                <w:szCs w:val="24"/>
                <w:lang w:val="fr-FR" w:eastAsia="zh-CN"/>
              </w:rPr>
              <w:t>cycles de végétation.</w:t>
            </w:r>
          </w:p>
          <w:p w:rsidR="007A701A" w:rsidRPr="009B0414" w:rsidRDefault="007A701A" w:rsidP="004802F4">
            <w:pPr>
              <w:rPr>
                <w:rFonts w:eastAsia="SimSun"/>
                <w:sz w:val="16"/>
                <w:szCs w:val="24"/>
                <w:lang w:val="fr-FR" w:eastAsia="zh-CN"/>
              </w:rPr>
            </w:pPr>
          </w:p>
          <w:p w:rsidR="007A701A" w:rsidRPr="004802F4" w:rsidRDefault="007A701A" w:rsidP="004802F4">
            <w:pPr>
              <w:rPr>
                <w:rFonts w:eastAsia="SimSun"/>
                <w:szCs w:val="24"/>
                <w:lang w:val="fr-FR" w:eastAsia="zh-CN"/>
              </w:rPr>
            </w:pPr>
            <w:r w:rsidRPr="004802F4">
              <w:rPr>
                <w:rFonts w:eastAsia="SimSun"/>
                <w:szCs w:val="24"/>
                <w:lang w:val="fr-FR" w:eastAsia="zh-CN"/>
              </w:rPr>
              <w:t>Une variété est réputée non homogène si elle ne se situe pas dans les limites de la norme d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>homogénéité sur les deux</w:t>
            </w:r>
            <w:r w:rsidR="009307C6" w:rsidRPr="004802F4">
              <w:rPr>
                <w:rFonts w:eastAsia="SimSun"/>
                <w:szCs w:val="24"/>
                <w:lang w:val="fr-FR" w:eastAsia="zh-CN"/>
              </w:rPr>
              <w:t> </w:t>
            </w:r>
            <w:r w:rsidRPr="004802F4">
              <w:rPr>
                <w:rFonts w:eastAsia="SimSun"/>
                <w:szCs w:val="24"/>
                <w:lang w:val="fr-FR" w:eastAsia="zh-CN"/>
              </w:rPr>
              <w:t>cycles de végétation.</w:t>
            </w:r>
          </w:p>
          <w:p w:rsidR="007A701A" w:rsidRPr="009B0414" w:rsidRDefault="007A701A" w:rsidP="004802F4">
            <w:pPr>
              <w:rPr>
                <w:rFonts w:eastAsia="SimSun"/>
                <w:sz w:val="16"/>
                <w:szCs w:val="24"/>
                <w:lang w:val="fr-FR" w:eastAsia="zh-CN"/>
              </w:rPr>
            </w:pPr>
          </w:p>
          <w:p w:rsidR="007A701A" w:rsidRPr="004802F4" w:rsidRDefault="007A701A" w:rsidP="004802F4">
            <w:pPr>
              <w:keepNext/>
              <w:keepLines/>
              <w:rPr>
                <w:rFonts w:eastAsia="SimSun"/>
                <w:szCs w:val="24"/>
                <w:lang w:val="fr-FR" w:eastAsia="zh-CN"/>
              </w:rPr>
            </w:pPr>
            <w:r w:rsidRPr="004802F4">
              <w:rPr>
                <w:rFonts w:eastAsia="SimSun"/>
                <w:szCs w:val="24"/>
                <w:lang w:val="fr-FR" w:eastAsia="zh-CN"/>
              </w:rPr>
              <w:t>Si, à l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>issue des deux cycles de végétation, la variété se situe dans les limites de la norme d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>homogénéité pour un cycle et pas l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>autre, l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 xml:space="preserve">homogénéité peut être évaluée sur un troisième cycle de végétation </w:t>
            </w:r>
            <w:r w:rsidRPr="004802F4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t>après consultation du demandeur</w:t>
            </w:r>
            <w:r w:rsidRPr="004802F4">
              <w:rPr>
                <w:rFonts w:eastAsia="SimSun"/>
                <w:szCs w:val="24"/>
                <w:lang w:val="fr-FR" w:eastAsia="zh-CN"/>
              </w:rPr>
              <w:t>.</w:t>
            </w:r>
            <w:r w:rsidR="003F7E71" w:rsidRPr="004802F4">
              <w:rPr>
                <w:rFonts w:eastAsia="SimSun"/>
                <w:lang w:val="fr-FR"/>
              </w:rPr>
              <w:t xml:space="preserve">  </w:t>
            </w:r>
            <w:r w:rsidRPr="004802F4">
              <w:rPr>
                <w:rFonts w:eastAsia="SimSun"/>
                <w:szCs w:val="24"/>
                <w:lang w:val="fr-FR" w:eastAsia="zh-CN"/>
              </w:rPr>
              <w:t>Si, pour ce troisième cycle, elle se situe dans les limites de la norme d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>homogénéité, elle est réputée homogène.</w:t>
            </w:r>
            <w:r w:rsidR="003F7E71" w:rsidRPr="004802F4">
              <w:rPr>
                <w:rFonts w:eastAsia="SimSun"/>
                <w:lang w:val="fr-FR"/>
              </w:rPr>
              <w:t xml:space="preserve">  </w:t>
            </w:r>
            <w:r w:rsidRPr="004802F4">
              <w:rPr>
                <w:rFonts w:eastAsia="SimSun"/>
                <w:szCs w:val="24"/>
                <w:lang w:val="fr-FR" w:eastAsia="zh-CN"/>
              </w:rPr>
              <w:t>Si, à la fin du troisième cycle de végétation, la variété ne se situe pas dans la norme d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>homogénéité, elle est réputée non homogène.</w:t>
            </w:r>
          </w:p>
          <w:p w:rsidR="007A701A" w:rsidRPr="009B0414" w:rsidRDefault="007A701A" w:rsidP="004802F4">
            <w:pPr>
              <w:keepNext/>
              <w:keepLines/>
              <w:rPr>
                <w:sz w:val="16"/>
                <w:szCs w:val="24"/>
                <w:lang w:val="fr-FR"/>
              </w:rPr>
            </w:pPr>
          </w:p>
          <w:p w:rsidR="007A701A" w:rsidRPr="004802F4" w:rsidRDefault="007A701A" w:rsidP="004802F4">
            <w:pPr>
              <w:keepNext/>
              <w:keepLines/>
              <w:rPr>
                <w:rFonts w:eastAsia="SimSun"/>
                <w:szCs w:val="24"/>
                <w:lang w:val="fr-FR" w:eastAsia="zh-CN"/>
              </w:rPr>
            </w:pPr>
            <w:r w:rsidRPr="004802F4">
              <w:rPr>
                <w:rFonts w:eastAsia="SimSun"/>
                <w:szCs w:val="24"/>
                <w:lang w:val="fr-FR" w:eastAsia="zh-CN"/>
              </w:rPr>
              <w:t>Il faut faire preuve de prudence lorsqu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>on examine des résultats très différents dans chacun des cycles de végétation, notamment lorsqu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 xml:space="preserve">un type de plante </w:t>
            </w:r>
            <w:r w:rsidR="00707A69" w:rsidRPr="004802F4">
              <w:rPr>
                <w:rFonts w:eastAsia="SimSun"/>
                <w:szCs w:val="24"/>
                <w:lang w:val="fr-FR" w:eastAsia="zh-CN"/>
              </w:rPr>
              <w:t>hors-type</w:t>
            </w:r>
            <w:r w:rsidRPr="004802F4">
              <w:rPr>
                <w:rFonts w:eastAsia="SimSun"/>
                <w:szCs w:val="24"/>
                <w:lang w:val="fr-FR" w:eastAsia="zh-CN"/>
              </w:rPr>
              <w:t xml:space="preserve"> a été observé à un niveau élevé dans un cycle de végétation tout en étant absent dans un autre.</w:t>
            </w:r>
          </w:p>
          <w:p w:rsidR="007A701A" w:rsidRPr="009B0414" w:rsidRDefault="007A701A" w:rsidP="004802F4">
            <w:pPr>
              <w:keepNext/>
              <w:keepLines/>
              <w:rPr>
                <w:rFonts w:eastAsia="SimSun"/>
                <w:sz w:val="16"/>
                <w:szCs w:val="24"/>
                <w:lang w:val="fr-FR" w:eastAsia="zh-CN"/>
              </w:rPr>
            </w:pPr>
          </w:p>
          <w:p w:rsidR="007A701A" w:rsidRPr="004802F4" w:rsidRDefault="00A16ABF" w:rsidP="004802F4">
            <w:pPr>
              <w:keepNext/>
              <w:keepLines/>
              <w:rPr>
                <w:rFonts w:eastAsia="SimSun"/>
                <w:szCs w:val="24"/>
                <w:lang w:val="fr-FR" w:eastAsia="zh-CN"/>
              </w:rPr>
            </w:pPr>
            <w:r w:rsidRPr="004802F4">
              <w:rPr>
                <w:rFonts w:eastAsia="SimSun"/>
                <w:szCs w:val="24"/>
                <w:lang w:val="fr-FR" w:eastAsia="zh-CN"/>
              </w:rPr>
              <w:t>Dans certaines circonstances, une variété peut être rejetée après un seul cycle de végétation</w:t>
            </w:r>
            <w:r w:rsidR="003F7E71" w:rsidRPr="004802F4">
              <w:rPr>
                <w:rFonts w:eastAsia="SimSun"/>
                <w:szCs w:val="24"/>
                <w:lang w:val="fr-FR" w:eastAsia="zh-CN"/>
              </w:rPr>
              <w:t>.</w:t>
            </w:r>
          </w:p>
          <w:p w:rsidR="007A701A" w:rsidRPr="009B0414" w:rsidRDefault="007A701A" w:rsidP="004802F4">
            <w:pPr>
              <w:keepNext/>
              <w:keepLines/>
              <w:rPr>
                <w:rFonts w:eastAsia="SimSun"/>
                <w:sz w:val="16"/>
                <w:szCs w:val="24"/>
                <w:lang w:val="fr-FR" w:eastAsia="zh-CN"/>
              </w:rPr>
            </w:pPr>
          </w:p>
          <w:p w:rsidR="007A701A" w:rsidRPr="004802F4" w:rsidRDefault="007A701A" w:rsidP="004802F4">
            <w:pPr>
              <w:rPr>
                <w:b/>
                <w:szCs w:val="24"/>
                <w:lang w:val="fr-FR"/>
              </w:rPr>
            </w:pPr>
            <w:r w:rsidRPr="004802F4">
              <w:rPr>
                <w:b/>
                <w:szCs w:val="24"/>
                <w:lang w:val="fr-FR"/>
              </w:rPr>
              <w:t>Méthode 2 : Combiner les résultats de deux cycles de végétation</w:t>
            </w:r>
          </w:p>
          <w:p w:rsidR="007A701A" w:rsidRPr="009B0414" w:rsidRDefault="007A701A" w:rsidP="004802F4">
            <w:pPr>
              <w:keepNext/>
              <w:keepLines/>
              <w:rPr>
                <w:rFonts w:eastAsia="MS Mincho"/>
                <w:sz w:val="16"/>
                <w:lang w:val="fr-FR" w:eastAsia="ja-JP"/>
              </w:rPr>
            </w:pPr>
          </w:p>
          <w:p w:rsidR="007A701A" w:rsidRPr="004802F4" w:rsidRDefault="007A701A" w:rsidP="004802F4">
            <w:pPr>
              <w:rPr>
                <w:rFonts w:eastAsia="SimSun"/>
                <w:lang w:val="fr-FR" w:eastAsia="zh-CN"/>
              </w:rPr>
            </w:pPr>
            <w:r w:rsidRPr="004802F4">
              <w:rPr>
                <w:rFonts w:eastAsia="SimSun"/>
                <w:lang w:val="fr-FR" w:eastAsia="zh-CN"/>
              </w:rPr>
              <w:t>Une variété est réputée homogène si elle se situe dans les limites de la norme d</w:t>
            </w:r>
            <w:r w:rsidR="004F302C" w:rsidRPr="004802F4">
              <w:rPr>
                <w:rFonts w:eastAsia="SimSun"/>
                <w:lang w:val="fr-FR" w:eastAsia="zh-CN"/>
              </w:rPr>
              <w:t>’</w:t>
            </w:r>
            <w:r w:rsidRPr="004802F4">
              <w:rPr>
                <w:rFonts w:eastAsia="SimSun"/>
                <w:lang w:val="fr-FR" w:eastAsia="zh-CN"/>
              </w:rPr>
              <w:t>homogénéité sur les deux</w:t>
            </w:r>
            <w:r w:rsidR="009307C6" w:rsidRPr="004802F4">
              <w:rPr>
                <w:rFonts w:eastAsia="SimSun"/>
                <w:lang w:val="fr-FR" w:eastAsia="zh-CN"/>
              </w:rPr>
              <w:t> </w:t>
            </w:r>
            <w:r w:rsidRPr="004802F4">
              <w:rPr>
                <w:rFonts w:eastAsia="SimSun"/>
                <w:lang w:val="fr-FR" w:eastAsia="zh-CN"/>
              </w:rPr>
              <w:t>cycles de végétation.</w:t>
            </w:r>
          </w:p>
          <w:p w:rsidR="007A701A" w:rsidRPr="009B0414" w:rsidRDefault="007A701A" w:rsidP="004802F4">
            <w:pPr>
              <w:rPr>
                <w:rFonts w:eastAsia="SimSun"/>
                <w:sz w:val="16"/>
                <w:lang w:val="fr-FR" w:eastAsia="zh-CN"/>
              </w:rPr>
            </w:pPr>
          </w:p>
          <w:p w:rsidR="007A701A" w:rsidRPr="004802F4" w:rsidRDefault="007A701A" w:rsidP="004802F4">
            <w:pPr>
              <w:rPr>
                <w:rFonts w:eastAsia="SimSun"/>
                <w:lang w:val="fr-FR" w:eastAsia="zh-CN"/>
              </w:rPr>
            </w:pPr>
            <w:r w:rsidRPr="004802F4">
              <w:rPr>
                <w:rFonts w:eastAsia="SimSun"/>
                <w:lang w:val="fr-FR" w:eastAsia="zh-CN"/>
              </w:rPr>
              <w:t>Une variété est réputée non homogène si elle ne se situe pas dans les limites de la norme d</w:t>
            </w:r>
            <w:r w:rsidR="004F302C" w:rsidRPr="004802F4">
              <w:rPr>
                <w:rFonts w:eastAsia="SimSun"/>
                <w:lang w:val="fr-FR" w:eastAsia="zh-CN"/>
              </w:rPr>
              <w:t>’</w:t>
            </w:r>
            <w:r w:rsidRPr="004802F4">
              <w:rPr>
                <w:rFonts w:eastAsia="SimSun"/>
                <w:lang w:val="fr-FR" w:eastAsia="zh-CN"/>
              </w:rPr>
              <w:t>homogénéité sur les deux</w:t>
            </w:r>
            <w:r w:rsidR="009307C6" w:rsidRPr="004802F4">
              <w:rPr>
                <w:rFonts w:eastAsia="SimSun"/>
                <w:lang w:val="fr-FR" w:eastAsia="zh-CN"/>
              </w:rPr>
              <w:t> </w:t>
            </w:r>
            <w:r w:rsidRPr="004802F4">
              <w:rPr>
                <w:rFonts w:eastAsia="SimSun"/>
                <w:lang w:val="fr-FR" w:eastAsia="zh-CN"/>
              </w:rPr>
              <w:t>cycles de végétation.</w:t>
            </w:r>
          </w:p>
          <w:p w:rsidR="007A701A" w:rsidRPr="009B0414" w:rsidRDefault="007A701A" w:rsidP="004802F4">
            <w:pPr>
              <w:rPr>
                <w:rFonts w:eastAsia="SimSun"/>
                <w:sz w:val="16"/>
                <w:lang w:val="fr-FR" w:eastAsia="zh-CN"/>
              </w:rPr>
            </w:pPr>
          </w:p>
          <w:p w:rsidR="007A701A" w:rsidRPr="004802F4" w:rsidRDefault="007A701A" w:rsidP="004802F4">
            <w:pPr>
              <w:keepNext/>
              <w:keepLines/>
              <w:rPr>
                <w:rFonts w:eastAsia="SimSun"/>
                <w:lang w:val="fr-FR" w:eastAsia="zh-CN"/>
              </w:rPr>
            </w:pPr>
            <w:r w:rsidRPr="004802F4">
              <w:rPr>
                <w:rFonts w:eastAsia="SimSun"/>
                <w:lang w:val="fr-FR" w:eastAsia="zh-CN"/>
              </w:rPr>
              <w:t>Si, à l</w:t>
            </w:r>
            <w:r w:rsidR="004F302C" w:rsidRPr="004802F4">
              <w:rPr>
                <w:rFonts w:eastAsia="SimSun"/>
                <w:lang w:val="fr-FR" w:eastAsia="zh-CN"/>
              </w:rPr>
              <w:t>’</w:t>
            </w:r>
            <w:r w:rsidRPr="004802F4">
              <w:rPr>
                <w:rFonts w:eastAsia="SimSun"/>
                <w:lang w:val="fr-FR" w:eastAsia="zh-CN"/>
              </w:rPr>
              <w:t>issue des deux cycles de végétation, la variété se situe dans les limites de la norme d</w:t>
            </w:r>
            <w:r w:rsidR="004F302C" w:rsidRPr="004802F4">
              <w:rPr>
                <w:rFonts w:eastAsia="SimSun"/>
                <w:lang w:val="fr-FR" w:eastAsia="zh-CN"/>
              </w:rPr>
              <w:t>’</w:t>
            </w:r>
            <w:r w:rsidRPr="004802F4">
              <w:rPr>
                <w:rFonts w:eastAsia="SimSun"/>
                <w:lang w:val="fr-FR" w:eastAsia="zh-CN"/>
              </w:rPr>
              <w:t>homogénéité pour un cycle et pas l</w:t>
            </w:r>
            <w:r w:rsidR="004F302C" w:rsidRPr="004802F4">
              <w:rPr>
                <w:rFonts w:eastAsia="SimSun"/>
                <w:lang w:val="fr-FR" w:eastAsia="zh-CN"/>
              </w:rPr>
              <w:t>’</w:t>
            </w:r>
            <w:r w:rsidRPr="004802F4">
              <w:rPr>
                <w:rFonts w:eastAsia="SimSun"/>
                <w:lang w:val="fr-FR" w:eastAsia="zh-CN"/>
              </w:rPr>
              <w:t xml:space="preserve">autre, une variété est réputée homogène si le nombre total de plantes </w:t>
            </w:r>
            <w:r w:rsidR="00707A69" w:rsidRPr="004802F4">
              <w:rPr>
                <w:rFonts w:eastAsia="SimSun"/>
                <w:lang w:val="fr-FR" w:eastAsia="zh-CN"/>
              </w:rPr>
              <w:t>hors-type</w:t>
            </w:r>
            <w:r w:rsidRPr="004802F4">
              <w:rPr>
                <w:rFonts w:eastAsia="SimSun"/>
                <w:lang w:val="fr-FR" w:eastAsia="zh-CN"/>
              </w:rPr>
              <w:t xml:space="preserve"> à l</w:t>
            </w:r>
            <w:r w:rsidR="004F302C" w:rsidRPr="004802F4">
              <w:rPr>
                <w:rFonts w:eastAsia="SimSun"/>
                <w:lang w:val="fr-FR" w:eastAsia="zh-CN"/>
              </w:rPr>
              <w:t>’</w:t>
            </w:r>
            <w:r w:rsidRPr="004802F4">
              <w:rPr>
                <w:rFonts w:eastAsia="SimSun"/>
                <w:lang w:val="fr-FR" w:eastAsia="zh-CN"/>
              </w:rPr>
              <w:t xml:space="preserve">issue des deux cycles de végétation ne dépasse pas le nombre de plantes </w:t>
            </w:r>
            <w:r w:rsidR="00707A69" w:rsidRPr="004802F4">
              <w:rPr>
                <w:rFonts w:eastAsia="SimSun"/>
                <w:lang w:val="fr-FR" w:eastAsia="zh-CN"/>
              </w:rPr>
              <w:t>hors-type</w:t>
            </w:r>
            <w:r w:rsidRPr="004802F4">
              <w:rPr>
                <w:rFonts w:eastAsia="SimSun"/>
                <w:lang w:val="fr-FR" w:eastAsia="zh-CN"/>
              </w:rPr>
              <w:t xml:space="preserve"> autorisé pour l</w:t>
            </w:r>
            <w:r w:rsidR="004F302C" w:rsidRPr="004802F4">
              <w:rPr>
                <w:rFonts w:eastAsia="SimSun"/>
                <w:lang w:val="fr-FR" w:eastAsia="zh-CN"/>
              </w:rPr>
              <w:t>’</w:t>
            </w:r>
            <w:r w:rsidRPr="004802F4">
              <w:rPr>
                <w:rFonts w:eastAsia="SimSun"/>
                <w:lang w:val="fr-FR" w:eastAsia="zh-CN"/>
              </w:rPr>
              <w:t>échantillon combiné.</w:t>
            </w:r>
          </w:p>
          <w:p w:rsidR="007A701A" w:rsidRPr="009B0414" w:rsidRDefault="007A701A" w:rsidP="004802F4">
            <w:pPr>
              <w:keepNext/>
              <w:keepLines/>
              <w:ind w:right="459"/>
              <w:rPr>
                <w:rFonts w:eastAsia="SimSun"/>
                <w:sz w:val="16"/>
                <w:lang w:val="fr-FR" w:eastAsia="zh-CN"/>
              </w:rPr>
            </w:pPr>
          </w:p>
          <w:p w:rsidR="007A701A" w:rsidRPr="004802F4" w:rsidRDefault="007A701A" w:rsidP="004802F4">
            <w:pPr>
              <w:keepNext/>
              <w:keepLines/>
              <w:rPr>
                <w:rFonts w:eastAsia="SimSun"/>
                <w:lang w:val="fr-FR" w:eastAsia="zh-CN"/>
              </w:rPr>
            </w:pPr>
            <w:r w:rsidRPr="004802F4">
              <w:rPr>
                <w:rFonts w:eastAsia="SimSun"/>
                <w:lang w:val="fr-FR" w:eastAsia="zh-CN"/>
              </w:rPr>
              <w:t>Il faut faire preuve de prudence lorsqu</w:t>
            </w:r>
            <w:r w:rsidR="004F302C" w:rsidRPr="004802F4">
              <w:rPr>
                <w:rFonts w:eastAsia="SimSun"/>
                <w:lang w:val="fr-FR" w:eastAsia="zh-CN"/>
              </w:rPr>
              <w:t>’</w:t>
            </w:r>
            <w:r w:rsidRPr="004802F4">
              <w:rPr>
                <w:rFonts w:eastAsia="SimSun"/>
                <w:lang w:val="fr-FR" w:eastAsia="zh-CN"/>
              </w:rPr>
              <w:t>on examine des résultats très différents dans chacun des cycles de végétation, notamment lorsqu</w:t>
            </w:r>
            <w:r w:rsidR="004F302C" w:rsidRPr="004802F4">
              <w:rPr>
                <w:rFonts w:eastAsia="SimSun"/>
                <w:lang w:val="fr-FR" w:eastAsia="zh-CN"/>
              </w:rPr>
              <w:t>’</w:t>
            </w:r>
            <w:r w:rsidRPr="004802F4">
              <w:rPr>
                <w:rFonts w:eastAsia="SimSun"/>
                <w:lang w:val="fr-FR" w:eastAsia="zh-CN"/>
              </w:rPr>
              <w:t xml:space="preserve">un type de plante </w:t>
            </w:r>
            <w:r w:rsidR="00707A69" w:rsidRPr="004802F4">
              <w:rPr>
                <w:rFonts w:eastAsia="SimSun"/>
                <w:lang w:val="fr-FR" w:eastAsia="zh-CN"/>
              </w:rPr>
              <w:t>hors-type</w:t>
            </w:r>
            <w:r w:rsidRPr="004802F4">
              <w:rPr>
                <w:rFonts w:eastAsia="SimSun"/>
                <w:lang w:val="fr-FR" w:eastAsia="zh-CN"/>
              </w:rPr>
              <w:t xml:space="preserve"> a été observé à un niveau élevé dans un cycle de végétation tout en étant absent dans un autre.</w:t>
            </w:r>
          </w:p>
          <w:p w:rsidR="007A701A" w:rsidRPr="009B0414" w:rsidRDefault="007A701A" w:rsidP="004802F4">
            <w:pPr>
              <w:keepNext/>
              <w:keepLines/>
              <w:rPr>
                <w:rFonts w:eastAsia="SimSun"/>
                <w:sz w:val="16"/>
                <w:szCs w:val="24"/>
                <w:lang w:val="fr-FR" w:eastAsia="zh-CN"/>
              </w:rPr>
            </w:pPr>
          </w:p>
          <w:p w:rsidR="00A16ABF" w:rsidRPr="004802F4" w:rsidRDefault="00A16ABF" w:rsidP="004802F4">
            <w:pPr>
              <w:keepNext/>
              <w:keepLines/>
              <w:rPr>
                <w:rFonts w:eastAsia="SimSun"/>
                <w:szCs w:val="24"/>
                <w:lang w:val="fr-FR" w:eastAsia="zh-CN"/>
              </w:rPr>
            </w:pPr>
            <w:r w:rsidRPr="004802F4">
              <w:rPr>
                <w:rFonts w:eastAsia="SimSun"/>
                <w:szCs w:val="24"/>
                <w:lang w:val="fr-FR" w:eastAsia="zh-CN"/>
              </w:rPr>
              <w:t>Dans certaines circonstances, une variété peut être rejetée après un seul cycle de végétation.</w:t>
            </w:r>
          </w:p>
          <w:p w:rsidR="007A701A" w:rsidRPr="009B0414" w:rsidRDefault="007A701A" w:rsidP="004802F4">
            <w:pPr>
              <w:keepNext/>
              <w:keepLines/>
              <w:rPr>
                <w:rFonts w:eastAsia="SimSun"/>
                <w:sz w:val="16"/>
                <w:szCs w:val="24"/>
                <w:lang w:val="fr-FR" w:eastAsia="zh-CN"/>
              </w:rPr>
            </w:pPr>
          </w:p>
          <w:p w:rsidR="007A701A" w:rsidRPr="004802F4" w:rsidRDefault="00CE59CF" w:rsidP="004802F4">
            <w:pPr>
              <w:keepNext/>
              <w:keepLines/>
              <w:jc w:val="left"/>
              <w:rPr>
                <w:szCs w:val="24"/>
                <w:lang w:val="fr-FR"/>
              </w:rPr>
            </w:pPr>
            <w:r>
              <w:rPr>
                <w:rFonts w:eastAsia="SimSun"/>
                <w:szCs w:val="24"/>
                <w:lang w:val="fr-FR" w:eastAsia="zh-CN"/>
              </w:rPr>
              <w:pict>
                <v:rect id="_x0000_i1025" style="width:0;height:1.5pt" o:hralign="center" o:hrstd="t" o:hr="t" fillcolor="#a0a0a0" stroked="f"/>
              </w:pict>
            </w:r>
            <w:r w:rsidR="00B96C28" w:rsidRPr="004802F4">
              <w:rPr>
                <w:szCs w:val="24"/>
                <w:lang w:val="fr-FR"/>
              </w:rPr>
              <w:t>Exe</w:t>
            </w:r>
            <w:r w:rsidR="003F7E71" w:rsidRPr="004802F4">
              <w:rPr>
                <w:szCs w:val="24"/>
                <w:lang w:val="fr-FR"/>
              </w:rPr>
              <w:t>mple</w:t>
            </w:r>
            <w:r w:rsidR="009307C6" w:rsidRPr="004802F4">
              <w:rPr>
                <w:szCs w:val="24"/>
                <w:lang w:val="fr-FR"/>
              </w:rPr>
              <w:t> </w:t>
            </w:r>
            <w:r w:rsidR="003F7E71" w:rsidRPr="004802F4">
              <w:rPr>
                <w:szCs w:val="24"/>
                <w:lang w:val="fr-FR"/>
              </w:rPr>
              <w:t>:</w:t>
            </w:r>
          </w:p>
          <w:p w:rsidR="003F7E71" w:rsidRPr="004802F4" w:rsidRDefault="003F7E71" w:rsidP="004802F4">
            <w:pPr>
              <w:keepNext/>
              <w:keepLines/>
              <w:rPr>
                <w:rFonts w:eastAsia="SimSun"/>
                <w:sz w:val="10"/>
                <w:szCs w:val="24"/>
                <w:lang w:val="fr-FR" w:eastAsia="zh-CN"/>
              </w:rPr>
            </w:pPr>
          </w:p>
          <w:tbl>
            <w:tblPr>
              <w:tblW w:w="8335" w:type="dxa"/>
              <w:tblInd w:w="600" w:type="dxa"/>
              <w:tblLook w:val="04A0" w:firstRow="1" w:lastRow="0" w:firstColumn="1" w:lastColumn="0" w:noHBand="0" w:noVBand="1"/>
            </w:tblPr>
            <w:tblGrid>
              <w:gridCol w:w="285"/>
              <w:gridCol w:w="835"/>
              <w:gridCol w:w="1134"/>
              <w:gridCol w:w="180"/>
              <w:gridCol w:w="954"/>
              <w:gridCol w:w="1807"/>
              <w:gridCol w:w="1208"/>
              <w:gridCol w:w="1932"/>
            </w:tblGrid>
            <w:tr w:rsidR="004802F4" w:rsidRPr="004802F4" w:rsidTr="004802F4">
              <w:trPr>
                <w:trHeight w:val="255"/>
              </w:trPr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:rsidR="003F7E71" w:rsidRPr="004802F4" w:rsidRDefault="003F7E71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</w:p>
              </w:tc>
              <w:tc>
                <w:tcPr>
                  <w:tcW w:w="7215" w:type="dxa"/>
                  <w:gridSpan w:val="6"/>
                  <w:tcBorders>
                    <w:top w:val="nil"/>
                    <w:right w:val="nil"/>
                  </w:tcBorders>
                  <w:shd w:val="clear" w:color="auto" w:fill="auto"/>
                  <w:vAlign w:val="bottom"/>
                </w:tcPr>
                <w:p w:rsidR="003F7E71" w:rsidRPr="004802F4" w:rsidRDefault="00EC1BE7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Norme de population </w:t>
                  </w:r>
                  <w:r w:rsidR="00A041D6" w:rsidRPr="004802F4">
                    <w:rPr>
                      <w:rFonts w:cs="Arial"/>
                      <w:lang w:val="fr-FR"/>
                    </w:rPr>
                    <w:t>: 1</w:t>
                  </w:r>
                  <w:r w:rsidR="009307C6" w:rsidRPr="004802F4">
                    <w:rPr>
                      <w:rFonts w:cs="Arial"/>
                      <w:lang w:val="fr-FR"/>
                    </w:rPr>
                    <w:t>%</w:t>
                  </w:r>
                  <w:r w:rsidR="003F7E71" w:rsidRPr="004802F4">
                    <w:rPr>
                      <w:rFonts w:cs="Arial"/>
                      <w:lang w:val="fr-FR"/>
                    </w:rPr>
                    <w:t xml:space="preserve"> </w:t>
                  </w:r>
                </w:p>
              </w:tc>
            </w:tr>
            <w:tr w:rsidR="004802F4" w:rsidRPr="004802F4" w:rsidTr="004802F4">
              <w:trPr>
                <w:trHeight w:val="270"/>
              </w:trPr>
              <w:tc>
                <w:tcPr>
                  <w:tcW w:w="1120" w:type="dxa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7E71" w:rsidRPr="004802F4" w:rsidRDefault="003F7E71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</w:p>
              </w:tc>
              <w:tc>
                <w:tcPr>
                  <w:tcW w:w="7215" w:type="dxa"/>
                  <w:gridSpan w:val="6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3F7E71" w:rsidRPr="004802F4" w:rsidRDefault="00A041D6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Probabilité d</w:t>
                  </w:r>
                  <w:r w:rsidR="004F302C" w:rsidRPr="004802F4">
                    <w:rPr>
                      <w:rFonts w:cs="Arial"/>
                      <w:lang w:val="fr-FR"/>
                    </w:rPr>
                    <w:t>’</w:t>
                  </w:r>
                  <w:r w:rsidRPr="004802F4">
                    <w:rPr>
                      <w:rFonts w:cs="Arial"/>
                      <w:lang w:val="fr-FR"/>
                    </w:rPr>
                    <w:t>acceptation : 95%</w:t>
                  </w:r>
                </w:p>
              </w:tc>
            </w:tr>
            <w:tr w:rsidR="004802F4" w:rsidRPr="008155B3" w:rsidTr="004802F4">
              <w:trPr>
                <w:gridBefore w:val="2"/>
                <w:wBefore w:w="1120" w:type="dxa"/>
                <w:trHeight w:val="255"/>
              </w:trPr>
              <w:tc>
                <w:tcPr>
                  <w:tcW w:w="72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3F7E71" w:rsidRPr="004802F4" w:rsidRDefault="00A041D6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Taille de l</w:t>
                  </w:r>
                  <w:r w:rsidR="004F302C" w:rsidRPr="004802F4">
                    <w:rPr>
                      <w:rFonts w:cs="Arial"/>
                      <w:lang w:val="fr-FR"/>
                    </w:rPr>
                    <w:t>’</w:t>
                  </w:r>
                  <w:r w:rsidRPr="004802F4">
                    <w:rPr>
                      <w:rFonts w:cs="Arial"/>
                      <w:lang w:val="fr-FR"/>
                    </w:rPr>
                    <w:t>échantillon dans chacun des cycles de végétation 1 et 2</w:t>
                  </w:r>
                  <w:r w:rsidR="00EC1BE7" w:rsidRPr="004802F4">
                    <w:rPr>
                      <w:rFonts w:cs="Arial"/>
                      <w:lang w:val="fr-FR"/>
                    </w:rPr>
                    <w:t xml:space="preserve"> = 50</w:t>
                  </w:r>
                </w:p>
              </w:tc>
            </w:tr>
            <w:tr w:rsidR="004802F4" w:rsidRPr="008155B3" w:rsidTr="004802F4">
              <w:trPr>
                <w:gridBefore w:val="2"/>
                <w:wBefore w:w="1120" w:type="dxa"/>
                <w:trHeight w:val="270"/>
              </w:trPr>
              <w:tc>
                <w:tcPr>
                  <w:tcW w:w="7215" w:type="dxa"/>
                  <w:gridSpan w:val="6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</w:tcPr>
                <w:p w:rsidR="003F7E71" w:rsidRPr="004802F4" w:rsidRDefault="00A16ABF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 xml:space="preserve">Nombre maximum de plantes </w:t>
                  </w:r>
                  <w:r w:rsidR="00707A69" w:rsidRPr="004802F4">
                    <w:rPr>
                      <w:rFonts w:cs="Arial"/>
                      <w:lang w:val="fr-FR"/>
                    </w:rPr>
                    <w:t>hors-type</w:t>
                  </w:r>
                  <w:r w:rsidRPr="004802F4">
                    <w:rPr>
                      <w:rFonts w:cs="Arial"/>
                      <w:lang w:val="fr-FR"/>
                    </w:rPr>
                    <w:t xml:space="preserve"> = 2</w:t>
                  </w:r>
                </w:p>
              </w:tc>
            </w:tr>
            <w:tr w:rsidR="004802F4" w:rsidRPr="008155B3" w:rsidTr="004802F4">
              <w:trPr>
                <w:gridBefore w:val="2"/>
                <w:wBefore w:w="1120" w:type="dxa"/>
                <w:trHeight w:val="270"/>
              </w:trPr>
              <w:tc>
                <w:tcPr>
                  <w:tcW w:w="721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7E71" w:rsidRPr="004802F4" w:rsidRDefault="00A041D6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Taille de l</w:t>
                  </w:r>
                  <w:r w:rsidR="004F302C" w:rsidRPr="004802F4">
                    <w:rPr>
                      <w:rFonts w:cs="Arial"/>
                      <w:lang w:val="fr-FR"/>
                    </w:rPr>
                    <w:t>’</w:t>
                  </w:r>
                  <w:r w:rsidRPr="004802F4">
                    <w:rPr>
                      <w:rFonts w:cs="Arial"/>
                      <w:lang w:val="fr-FR"/>
                    </w:rPr>
                    <w:t>échantillon dans les cycles de végétation 1 et 2 combinés</w:t>
                  </w:r>
                  <w:r w:rsidR="00EC1BE7" w:rsidRPr="004802F4">
                    <w:rPr>
                      <w:rFonts w:cs="Arial"/>
                      <w:lang w:val="fr-FR"/>
                    </w:rPr>
                    <w:t xml:space="preserve"> = 100</w:t>
                  </w:r>
                </w:p>
              </w:tc>
            </w:tr>
            <w:tr w:rsidR="004802F4" w:rsidRPr="008155B3" w:rsidTr="004802F4">
              <w:trPr>
                <w:gridBefore w:val="2"/>
                <w:wBefore w:w="1120" w:type="dxa"/>
                <w:trHeight w:val="270"/>
              </w:trPr>
              <w:tc>
                <w:tcPr>
                  <w:tcW w:w="7215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7E71" w:rsidRPr="004802F4" w:rsidRDefault="00A16ABF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 xml:space="preserve">Nombre maximum de plantes </w:t>
                  </w:r>
                  <w:r w:rsidR="00707A69" w:rsidRPr="004802F4">
                    <w:rPr>
                      <w:rFonts w:cs="Arial"/>
                      <w:lang w:val="fr-FR"/>
                    </w:rPr>
                    <w:t>hors-type</w:t>
                  </w:r>
                  <w:r w:rsidRPr="004802F4">
                    <w:rPr>
                      <w:rFonts w:cs="Arial"/>
                      <w:lang w:val="fr-FR"/>
                    </w:rPr>
                    <w:t xml:space="preserve"> = 3</w:t>
                  </w:r>
                </w:p>
              </w:tc>
            </w:tr>
            <w:tr w:rsidR="004802F4" w:rsidRPr="008155B3" w:rsidTr="004802F4">
              <w:trPr>
                <w:gridBefore w:val="2"/>
                <w:wBefore w:w="1120" w:type="dxa"/>
                <w:trHeight w:val="170"/>
              </w:trPr>
              <w:tc>
                <w:tcPr>
                  <w:tcW w:w="13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7E71" w:rsidRPr="004802F4" w:rsidRDefault="003F7E71" w:rsidP="004802F4">
                  <w:pPr>
                    <w:jc w:val="left"/>
                    <w:rPr>
                      <w:rFonts w:cs="Arial"/>
                      <w:sz w:val="10"/>
                      <w:szCs w:val="10"/>
                      <w:lang w:val="fr-FR"/>
                    </w:rPr>
                  </w:pPr>
                  <w:r w:rsidRPr="004802F4">
                    <w:rPr>
                      <w:rFonts w:cs="Arial"/>
                      <w:sz w:val="10"/>
                      <w:szCs w:val="10"/>
                      <w:lang w:val="fr-FR"/>
                    </w:rPr>
                    <w:t> 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7E71" w:rsidRPr="004802F4" w:rsidRDefault="003F7E71" w:rsidP="004802F4">
                  <w:pPr>
                    <w:jc w:val="left"/>
                    <w:rPr>
                      <w:rFonts w:cs="Arial"/>
                      <w:sz w:val="10"/>
                      <w:szCs w:val="10"/>
                      <w:lang w:val="fr-FR"/>
                    </w:rPr>
                  </w:pPr>
                  <w:r w:rsidRPr="004802F4">
                    <w:rPr>
                      <w:rFonts w:cs="Arial"/>
                      <w:sz w:val="10"/>
                      <w:szCs w:val="10"/>
                      <w:lang w:val="fr-FR"/>
                    </w:rPr>
                    <w:t> </w:t>
                  </w:r>
                </w:p>
              </w:tc>
              <w:tc>
                <w:tcPr>
                  <w:tcW w:w="18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7E71" w:rsidRPr="004802F4" w:rsidRDefault="003F7E71" w:rsidP="004802F4">
                  <w:pPr>
                    <w:jc w:val="left"/>
                    <w:rPr>
                      <w:rFonts w:cs="Arial"/>
                      <w:sz w:val="10"/>
                      <w:szCs w:val="10"/>
                      <w:lang w:val="fr-FR"/>
                    </w:rPr>
                  </w:pPr>
                  <w:r w:rsidRPr="004802F4">
                    <w:rPr>
                      <w:rFonts w:cs="Arial"/>
                      <w:sz w:val="10"/>
                      <w:szCs w:val="10"/>
                      <w:lang w:val="fr-FR"/>
                    </w:rPr>
                    <w:t> </w:t>
                  </w:r>
                </w:p>
              </w:tc>
              <w:tc>
                <w:tcPr>
                  <w:tcW w:w="31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7E71" w:rsidRPr="004802F4" w:rsidRDefault="003F7E71" w:rsidP="004802F4">
                  <w:pPr>
                    <w:jc w:val="left"/>
                    <w:rPr>
                      <w:rFonts w:cs="Arial"/>
                      <w:sz w:val="10"/>
                      <w:szCs w:val="10"/>
                      <w:lang w:val="fr-FR"/>
                    </w:rPr>
                  </w:pPr>
                  <w:r w:rsidRPr="004802F4">
                    <w:rPr>
                      <w:rFonts w:cs="Arial"/>
                      <w:sz w:val="10"/>
                      <w:szCs w:val="10"/>
                      <w:lang w:val="fr-FR"/>
                    </w:rPr>
                    <w:t> </w:t>
                  </w:r>
                </w:p>
              </w:tc>
            </w:tr>
            <w:tr w:rsidR="004802F4" w:rsidRPr="004802F4" w:rsidTr="004802F4">
              <w:trPr>
                <w:gridBefore w:val="1"/>
                <w:wBefore w:w="285" w:type="dxa"/>
                <w:trHeight w:val="380"/>
              </w:trPr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7E71" w:rsidRPr="004802F4" w:rsidRDefault="003F7E71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 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Cycle de végétation</w:t>
                  </w:r>
                </w:p>
              </w:tc>
              <w:tc>
                <w:tcPr>
                  <w:tcW w:w="494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Décision</w:t>
                  </w:r>
                </w:p>
              </w:tc>
            </w:tr>
            <w:tr w:rsidR="004802F4" w:rsidRPr="004802F4" w:rsidTr="004802F4">
              <w:trPr>
                <w:gridBefore w:val="1"/>
                <w:wBefore w:w="285" w:type="dxa"/>
                <w:trHeight w:val="236"/>
              </w:trPr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7E71" w:rsidRPr="004802F4" w:rsidRDefault="003F7E71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7E71" w:rsidRPr="004802F4" w:rsidRDefault="00A041D6" w:rsidP="004802F4">
                  <w:pPr>
                    <w:spacing w:after="100" w:afterAutospacing="1"/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Premier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Deuxième</w:t>
                  </w:r>
                </w:p>
              </w:tc>
              <w:tc>
                <w:tcPr>
                  <w:tcW w:w="301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Méthode 1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Méthode 2</w:t>
                  </w:r>
                </w:p>
              </w:tc>
            </w:tr>
            <w:tr w:rsidR="004802F4" w:rsidRPr="008155B3" w:rsidTr="004802F4">
              <w:trPr>
                <w:gridBefore w:val="1"/>
                <w:wBefore w:w="285" w:type="dxa"/>
                <w:trHeight w:val="240"/>
              </w:trPr>
              <w:tc>
                <w:tcPr>
                  <w:tcW w:w="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F7E71" w:rsidRPr="004802F4" w:rsidRDefault="00A041D6" w:rsidP="009B041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 xml:space="preserve">Nombre de plantes </w:t>
                  </w:r>
                  <w:r w:rsidR="009B0414">
                    <w:rPr>
                      <w:rFonts w:cs="Arial"/>
                      <w:lang w:val="fr-FR"/>
                    </w:rPr>
                    <w:br/>
                  </w:r>
                  <w:r w:rsidR="00707A69" w:rsidRPr="004802F4">
                    <w:rPr>
                      <w:rFonts w:cs="Arial"/>
                      <w:lang w:val="fr-FR"/>
                    </w:rPr>
                    <w:t>hors</w:t>
                  </w:r>
                  <w:r w:rsidR="009B0414">
                    <w:rPr>
                      <w:rFonts w:cs="Arial"/>
                      <w:lang w:val="fr-FR"/>
                    </w:rPr>
                    <w:t>-</w:t>
                  </w:r>
                  <w:r w:rsidR="00707A69" w:rsidRPr="004802F4">
                    <w:rPr>
                      <w:rFonts w:cs="Arial"/>
                      <w:lang w:val="fr-FR"/>
                    </w:rPr>
                    <w:t>type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3F7E71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3F7E71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2</w:t>
                  </w:r>
                </w:p>
              </w:tc>
              <w:tc>
                <w:tcPr>
                  <w:tcW w:w="301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homogène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homogène</w:t>
                  </w:r>
                </w:p>
              </w:tc>
            </w:tr>
            <w:tr w:rsidR="004802F4" w:rsidRPr="008155B3" w:rsidTr="004802F4">
              <w:trPr>
                <w:gridBefore w:val="1"/>
                <w:wBefore w:w="285" w:type="dxa"/>
                <w:trHeight w:val="273"/>
              </w:trPr>
              <w:tc>
                <w:tcPr>
                  <w:tcW w:w="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7E71" w:rsidRPr="004802F4" w:rsidRDefault="003F7E71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7E71" w:rsidRPr="004802F4" w:rsidRDefault="003F7E71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7E71" w:rsidRPr="004802F4" w:rsidRDefault="003F7E71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3</w:t>
                  </w:r>
                </w:p>
              </w:tc>
              <w:tc>
                <w:tcPr>
                  <w:tcW w:w="301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troisième cycle de végétation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homogène</w:t>
                  </w:r>
                </w:p>
              </w:tc>
            </w:tr>
            <w:tr w:rsidR="004802F4" w:rsidRPr="008155B3" w:rsidTr="004802F4">
              <w:trPr>
                <w:gridBefore w:val="1"/>
                <w:wBefore w:w="285" w:type="dxa"/>
                <w:trHeight w:val="248"/>
              </w:trPr>
              <w:tc>
                <w:tcPr>
                  <w:tcW w:w="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7E71" w:rsidRPr="004802F4" w:rsidRDefault="003F7E71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7E71" w:rsidRPr="004802F4" w:rsidRDefault="003F7E71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7E71" w:rsidRPr="004802F4" w:rsidRDefault="003F7E71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3</w:t>
                  </w:r>
                </w:p>
              </w:tc>
              <w:tc>
                <w:tcPr>
                  <w:tcW w:w="301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troisième cycle de végétation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non homogène</w:t>
                  </w:r>
                </w:p>
              </w:tc>
            </w:tr>
            <w:tr w:rsidR="004802F4" w:rsidRPr="008155B3" w:rsidTr="004802F4">
              <w:trPr>
                <w:gridBefore w:val="1"/>
                <w:wBefore w:w="285" w:type="dxa"/>
                <w:trHeight w:val="267"/>
              </w:trPr>
              <w:tc>
                <w:tcPr>
                  <w:tcW w:w="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7E71" w:rsidRPr="004802F4" w:rsidRDefault="003F7E71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3F7E71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3F7E71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10*</w:t>
                  </w:r>
                </w:p>
              </w:tc>
              <w:tc>
                <w:tcPr>
                  <w:tcW w:w="30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troisième cycle de végétation</w:t>
                  </w:r>
                  <w:r w:rsidR="00A15565" w:rsidRPr="004802F4">
                    <w:rPr>
                      <w:rFonts w:eastAsia="SimSun"/>
                      <w:sz w:val="18"/>
                      <w:lang w:val="fr-FR" w:eastAsia="zh-CN"/>
                    </w:rPr>
                    <w:t>*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non homogène</w:t>
                  </w:r>
                  <w:r w:rsidR="00A15565" w:rsidRPr="004802F4">
                    <w:rPr>
                      <w:rFonts w:eastAsia="SimSun"/>
                      <w:sz w:val="18"/>
                      <w:lang w:val="fr-FR" w:eastAsia="zh-CN"/>
                    </w:rPr>
                    <w:t>*</w:t>
                  </w:r>
                </w:p>
              </w:tc>
            </w:tr>
            <w:tr w:rsidR="004802F4" w:rsidRPr="008155B3" w:rsidTr="004802F4">
              <w:trPr>
                <w:gridBefore w:val="1"/>
                <w:wBefore w:w="285" w:type="dxa"/>
                <w:trHeight w:val="266"/>
              </w:trPr>
              <w:tc>
                <w:tcPr>
                  <w:tcW w:w="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7E71" w:rsidRPr="004802F4" w:rsidRDefault="003F7E71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3F7E71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10**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3F7E71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0</w:t>
                  </w:r>
                </w:p>
              </w:tc>
              <w:tc>
                <w:tcPr>
                  <w:tcW w:w="301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troisième cycle de végétation</w:t>
                  </w:r>
                  <w:r w:rsidR="00A15565" w:rsidRPr="004802F4">
                    <w:rPr>
                      <w:rFonts w:eastAsia="SimSun"/>
                      <w:sz w:val="18"/>
                      <w:szCs w:val="24"/>
                      <w:lang w:val="fr-FR" w:eastAsia="zh-CN"/>
                    </w:rPr>
                    <w:t>**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non homogène</w:t>
                  </w:r>
                  <w:r w:rsidR="00A15565" w:rsidRPr="004802F4">
                    <w:rPr>
                      <w:rFonts w:eastAsia="SimSun"/>
                      <w:sz w:val="18"/>
                      <w:szCs w:val="24"/>
                      <w:lang w:val="fr-FR" w:eastAsia="zh-CN"/>
                    </w:rPr>
                    <w:t>**</w:t>
                  </w:r>
                </w:p>
              </w:tc>
            </w:tr>
          </w:tbl>
          <w:p w:rsidR="007A701A" w:rsidRPr="009B0414" w:rsidRDefault="007A701A" w:rsidP="004802F4">
            <w:pPr>
              <w:pStyle w:val="Titleofdoc0"/>
              <w:spacing w:before="0"/>
              <w:jc w:val="both"/>
              <w:rPr>
                <w:sz w:val="8"/>
                <w:szCs w:val="24"/>
                <w:lang w:val="fr-FR"/>
              </w:rPr>
            </w:pPr>
          </w:p>
          <w:p w:rsidR="007A701A" w:rsidRPr="004802F4" w:rsidRDefault="00B96C28" w:rsidP="004802F4">
            <w:pPr>
              <w:keepNext/>
              <w:keepLines/>
              <w:ind w:left="1026"/>
              <w:rPr>
                <w:rFonts w:eastAsia="SimSun"/>
                <w:sz w:val="18"/>
                <w:lang w:val="fr-FR" w:eastAsia="zh-CN"/>
              </w:rPr>
            </w:pPr>
            <w:r w:rsidRPr="004802F4">
              <w:rPr>
                <w:rFonts w:eastAsia="SimSun"/>
                <w:sz w:val="18"/>
                <w:lang w:val="fr-FR" w:eastAsia="zh-CN"/>
              </w:rPr>
              <w:t xml:space="preserve">* </w:t>
            </w:r>
            <w:r w:rsidR="00A041D6" w:rsidRPr="004802F4">
              <w:rPr>
                <w:rFonts w:eastAsia="SimSun"/>
                <w:sz w:val="18"/>
                <w:lang w:val="fr-FR" w:eastAsia="zh-CN"/>
              </w:rPr>
              <w:t>Il faut faire preuve de prudence lorsqu</w:t>
            </w:r>
            <w:r w:rsidR="004F302C" w:rsidRPr="004802F4">
              <w:rPr>
                <w:rFonts w:eastAsia="SimSun"/>
                <w:sz w:val="18"/>
                <w:lang w:val="fr-FR" w:eastAsia="zh-CN"/>
              </w:rPr>
              <w:t>’</w:t>
            </w:r>
            <w:r w:rsidR="00A041D6" w:rsidRPr="004802F4">
              <w:rPr>
                <w:rFonts w:eastAsia="SimSun"/>
                <w:sz w:val="18"/>
                <w:lang w:val="fr-FR" w:eastAsia="zh-CN"/>
              </w:rPr>
              <w:t>on examine des résultats très différents dans chacun des cycles de végétation, notamment lorsqu</w:t>
            </w:r>
            <w:r w:rsidR="004F302C" w:rsidRPr="004802F4">
              <w:rPr>
                <w:rFonts w:eastAsia="SimSun"/>
                <w:sz w:val="18"/>
                <w:lang w:val="fr-FR" w:eastAsia="zh-CN"/>
              </w:rPr>
              <w:t>’</w:t>
            </w:r>
            <w:r w:rsidR="00A041D6" w:rsidRPr="004802F4">
              <w:rPr>
                <w:rFonts w:eastAsia="SimSun"/>
                <w:sz w:val="18"/>
                <w:lang w:val="fr-FR" w:eastAsia="zh-CN"/>
              </w:rPr>
              <w:t xml:space="preserve">un type de plante </w:t>
            </w:r>
            <w:r w:rsidR="00707A69" w:rsidRPr="004802F4">
              <w:rPr>
                <w:rFonts w:eastAsia="SimSun"/>
                <w:sz w:val="18"/>
                <w:lang w:val="fr-FR" w:eastAsia="zh-CN"/>
              </w:rPr>
              <w:t>hors-type</w:t>
            </w:r>
            <w:r w:rsidR="00A041D6" w:rsidRPr="004802F4">
              <w:rPr>
                <w:rFonts w:eastAsia="SimSun"/>
                <w:sz w:val="18"/>
                <w:lang w:val="fr-FR" w:eastAsia="zh-CN"/>
              </w:rPr>
              <w:t xml:space="preserve"> a été observé à un niveau élevé dans un cycle de végétation tout en étant absent dans un autre.</w:t>
            </w:r>
          </w:p>
          <w:p w:rsidR="007A701A" w:rsidRPr="009B0414" w:rsidRDefault="007A701A" w:rsidP="004802F4">
            <w:pPr>
              <w:keepNext/>
              <w:keepLines/>
              <w:ind w:left="1026"/>
              <w:rPr>
                <w:rFonts w:eastAsia="SimSun"/>
                <w:sz w:val="10"/>
                <w:szCs w:val="24"/>
                <w:lang w:val="fr-FR" w:eastAsia="zh-CN"/>
              </w:rPr>
            </w:pPr>
          </w:p>
          <w:p w:rsidR="003F7E71" w:rsidRPr="004802F4" w:rsidRDefault="003F7E71" w:rsidP="004802F4">
            <w:pPr>
              <w:keepNext/>
              <w:keepLines/>
              <w:ind w:left="1026"/>
              <w:rPr>
                <w:b/>
                <w:szCs w:val="24"/>
                <w:lang w:val="fr-FR"/>
              </w:rPr>
            </w:pPr>
            <w:r w:rsidRPr="004802F4">
              <w:rPr>
                <w:rFonts w:eastAsia="SimSun"/>
                <w:sz w:val="18"/>
                <w:szCs w:val="24"/>
                <w:lang w:val="fr-FR" w:eastAsia="zh-CN"/>
              </w:rPr>
              <w:t xml:space="preserve">** </w:t>
            </w:r>
            <w:r w:rsidR="009748B1" w:rsidRPr="004802F4">
              <w:rPr>
                <w:rFonts w:eastAsia="SimSun"/>
                <w:sz w:val="18"/>
                <w:szCs w:val="24"/>
                <w:lang w:val="fr-FR" w:eastAsia="zh-CN"/>
              </w:rPr>
              <w:t>Dans certaines circonstances, une variété peut être rejetée après un seul cycle de végétation.</w:t>
            </w:r>
          </w:p>
        </w:tc>
      </w:tr>
    </w:tbl>
    <w:p w:rsidR="009E51D4" w:rsidRPr="004802F4" w:rsidRDefault="009E51D4" w:rsidP="004802F4">
      <w:pPr>
        <w:rPr>
          <w:rFonts w:eastAsia="MS Mincho"/>
          <w:lang w:val="fr-FR" w:eastAsia="ja-JP"/>
        </w:rPr>
      </w:pPr>
    </w:p>
    <w:p w:rsidR="007A701A" w:rsidRPr="004802F4" w:rsidRDefault="00A041D6" w:rsidP="009B0414">
      <w:pPr>
        <w:jc w:val="right"/>
        <w:rPr>
          <w:rFonts w:eastAsia="MS Mincho"/>
          <w:lang w:val="fr-FR" w:eastAsia="ja-JP"/>
        </w:rPr>
      </w:pPr>
      <w:r w:rsidRPr="004802F4">
        <w:rPr>
          <w:rFonts w:eastAsia="MS Mincho"/>
          <w:lang w:val="fr-FR" w:eastAsia="ja-JP"/>
        </w:rPr>
        <w:t>[L</w:t>
      </w:r>
      <w:r w:rsidR="004F302C" w:rsidRPr="004802F4">
        <w:rPr>
          <w:rFonts w:eastAsia="MS Mincho"/>
          <w:lang w:val="fr-FR" w:eastAsia="ja-JP"/>
        </w:rPr>
        <w:t>’</w:t>
      </w:r>
      <w:r w:rsidRPr="004802F4">
        <w:rPr>
          <w:rFonts w:eastAsia="MS Mincho"/>
          <w:lang w:val="fr-FR" w:eastAsia="ja-JP"/>
        </w:rPr>
        <w:t>annexe</w:t>
      </w:r>
      <w:r w:rsidR="009307C6" w:rsidRPr="004802F4">
        <w:rPr>
          <w:rFonts w:eastAsia="MS Mincho"/>
          <w:lang w:val="fr-FR" w:eastAsia="ja-JP"/>
        </w:rPr>
        <w:t> </w:t>
      </w:r>
      <w:r w:rsidRPr="004802F4">
        <w:rPr>
          <w:rFonts w:eastAsia="MS Mincho"/>
          <w:lang w:val="fr-FR" w:eastAsia="ja-JP"/>
        </w:rPr>
        <w:t>II suit]</w:t>
      </w:r>
    </w:p>
    <w:p w:rsidR="003F7E71" w:rsidRPr="004802F4" w:rsidRDefault="003F7E71" w:rsidP="004802F4">
      <w:pPr>
        <w:rPr>
          <w:lang w:val="fr-FR"/>
        </w:rPr>
        <w:sectPr w:rsidR="003F7E71" w:rsidRPr="004802F4" w:rsidSect="0094458C">
          <w:headerReference w:type="default" r:id="rId11"/>
          <w:headerReference w:type="first" r:id="rId12"/>
          <w:footerReference w:type="first" r:id="rId13"/>
          <w:pgSz w:w="11907" w:h="16840" w:code="9"/>
          <w:pgMar w:top="510" w:right="1134" w:bottom="709" w:left="1134" w:header="510" w:footer="680" w:gutter="0"/>
          <w:cols w:space="720"/>
          <w:titlePg/>
          <w:docGrid w:linePitch="272"/>
        </w:sect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802F4" w:rsidRPr="008155B3" w:rsidTr="003F7E71">
        <w:trPr>
          <w:trHeight w:val="291"/>
        </w:trPr>
        <w:tc>
          <w:tcPr>
            <w:tcW w:w="10206" w:type="dxa"/>
          </w:tcPr>
          <w:p w:rsidR="003F7E71" w:rsidRPr="004802F4" w:rsidRDefault="00B96C28" w:rsidP="004802F4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SimSun"/>
                <w:szCs w:val="24"/>
                <w:lang w:val="fr-FR" w:eastAsia="zh-CN"/>
              </w:rPr>
            </w:pPr>
            <w:r w:rsidRPr="004802F4">
              <w:rPr>
                <w:rFonts w:eastAsia="SimSun"/>
                <w:szCs w:val="24"/>
                <w:lang w:val="fr-FR" w:eastAsia="zh-CN"/>
              </w:rPr>
              <w:lastRenderedPageBreak/>
              <w:t>SITUATION B : DEUX ENDROITS DE VÉGÉTATION LA MÊME ANNÉE</w:t>
            </w:r>
          </w:p>
        </w:tc>
      </w:tr>
      <w:tr w:rsidR="004802F4" w:rsidRPr="008155B3" w:rsidTr="00B96C28">
        <w:trPr>
          <w:trHeight w:val="917"/>
        </w:trPr>
        <w:tc>
          <w:tcPr>
            <w:tcW w:w="10206" w:type="dxa"/>
          </w:tcPr>
          <w:p w:rsidR="007A701A" w:rsidRPr="009B0414" w:rsidRDefault="007A701A" w:rsidP="004802F4">
            <w:pPr>
              <w:rPr>
                <w:b/>
                <w:sz w:val="14"/>
                <w:szCs w:val="24"/>
                <w:highlight w:val="lightGray"/>
                <w:u w:val="single"/>
                <w:lang w:val="fr-FR"/>
              </w:rPr>
            </w:pPr>
          </w:p>
          <w:p w:rsidR="004F302C" w:rsidRPr="004802F4" w:rsidRDefault="00A041D6" w:rsidP="004802F4">
            <w:pPr>
              <w:rPr>
                <w:b/>
                <w:szCs w:val="24"/>
                <w:lang w:val="fr-FR"/>
              </w:rPr>
            </w:pPr>
            <w:r w:rsidRPr="004802F4">
              <w:rPr>
                <w:b/>
                <w:szCs w:val="24"/>
                <w:lang w:val="fr-FR"/>
              </w:rPr>
              <w:t>Méthode 1 : Troisième cycle de végétation si les résultats sont incompatibles</w:t>
            </w:r>
          </w:p>
          <w:p w:rsidR="007A701A" w:rsidRPr="009B0414" w:rsidRDefault="007A701A" w:rsidP="004802F4">
            <w:pPr>
              <w:rPr>
                <w:rFonts w:eastAsia="SimSun"/>
                <w:sz w:val="14"/>
                <w:szCs w:val="24"/>
                <w:lang w:val="fr-FR" w:eastAsia="zh-CN"/>
              </w:rPr>
            </w:pPr>
          </w:p>
          <w:p w:rsidR="007A701A" w:rsidRPr="004802F4" w:rsidRDefault="00A041D6" w:rsidP="004802F4">
            <w:pPr>
              <w:rPr>
                <w:rFonts w:eastAsia="SimSun"/>
                <w:szCs w:val="24"/>
                <w:lang w:val="fr-FR" w:eastAsia="zh-CN"/>
              </w:rPr>
            </w:pPr>
            <w:r w:rsidRPr="004802F4">
              <w:rPr>
                <w:rFonts w:eastAsia="SimSun"/>
                <w:szCs w:val="24"/>
                <w:lang w:val="fr-FR" w:eastAsia="zh-CN"/>
              </w:rPr>
              <w:t>Une variété est réputée homogène si elle se situe dans les limites de la norme d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>homogénéité aux deux endroits de végétation.</w:t>
            </w:r>
          </w:p>
          <w:p w:rsidR="007A701A" w:rsidRPr="009B0414" w:rsidRDefault="007A701A" w:rsidP="004802F4">
            <w:pPr>
              <w:rPr>
                <w:rFonts w:eastAsia="SimSun"/>
                <w:sz w:val="14"/>
                <w:szCs w:val="24"/>
                <w:lang w:val="fr-FR" w:eastAsia="zh-CN"/>
              </w:rPr>
            </w:pPr>
          </w:p>
          <w:p w:rsidR="007A701A" w:rsidRPr="004802F4" w:rsidRDefault="00A041D6" w:rsidP="004802F4">
            <w:pPr>
              <w:rPr>
                <w:rFonts w:eastAsia="SimSun"/>
                <w:szCs w:val="24"/>
                <w:lang w:val="fr-FR" w:eastAsia="zh-CN"/>
              </w:rPr>
            </w:pPr>
            <w:r w:rsidRPr="004802F4">
              <w:rPr>
                <w:rFonts w:eastAsia="SimSun"/>
                <w:szCs w:val="24"/>
                <w:lang w:val="fr-FR" w:eastAsia="zh-CN"/>
              </w:rPr>
              <w:t>Une variété est réputée non homogène si elle ne se situe pas dans les limites de la norme d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>homogénéité aux deux endroits de végétation.</w:t>
            </w:r>
          </w:p>
          <w:p w:rsidR="007A701A" w:rsidRPr="009B0414" w:rsidRDefault="007A701A" w:rsidP="004802F4">
            <w:pPr>
              <w:rPr>
                <w:rFonts w:eastAsia="SimSun"/>
                <w:sz w:val="14"/>
                <w:szCs w:val="24"/>
                <w:lang w:val="fr-FR" w:eastAsia="zh-CN"/>
              </w:rPr>
            </w:pPr>
          </w:p>
          <w:p w:rsidR="007A701A" w:rsidRPr="004802F4" w:rsidRDefault="00504732" w:rsidP="004802F4">
            <w:pPr>
              <w:keepNext/>
              <w:keepLines/>
              <w:rPr>
                <w:rFonts w:eastAsia="SimSun"/>
                <w:szCs w:val="24"/>
                <w:lang w:val="fr-FR" w:eastAsia="zh-CN"/>
              </w:rPr>
            </w:pPr>
            <w:r w:rsidRPr="004802F4">
              <w:rPr>
                <w:rFonts w:eastAsia="SimSun"/>
                <w:szCs w:val="24"/>
                <w:lang w:val="fr-FR" w:eastAsia="zh-CN"/>
              </w:rPr>
              <w:t>Si la variété se situe dans les limites de la norme d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>homogénéité en un endroit de végétation mais pas dans l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 xml:space="preserve">autre, alors </w:t>
            </w:r>
            <w:r w:rsidRPr="004802F4">
              <w:rPr>
                <w:rFonts w:eastAsia="SimSun"/>
                <w:highlight w:val="lightGray"/>
                <w:u w:val="single"/>
                <w:lang w:val="fr-FR" w:eastAsia="zh-CN"/>
              </w:rPr>
              <w:t>l</w:t>
            </w:r>
            <w:r w:rsidR="004F302C" w:rsidRPr="004802F4">
              <w:rPr>
                <w:rFonts w:eastAsia="SimSun"/>
                <w:highlight w:val="lightGray"/>
                <w:u w:val="single"/>
                <w:lang w:val="fr-FR" w:eastAsia="zh-CN"/>
              </w:rPr>
              <w:t>’</w:t>
            </w:r>
            <w:r w:rsidRPr="004802F4">
              <w:rPr>
                <w:rFonts w:eastAsia="SimSun"/>
                <w:highlight w:val="lightGray"/>
                <w:u w:val="single"/>
                <w:lang w:val="fr-FR" w:eastAsia="zh-CN"/>
              </w:rPr>
              <w:t>essai est répété à un des deux</w:t>
            </w:r>
            <w:r w:rsidR="009307C6" w:rsidRPr="004802F4">
              <w:rPr>
                <w:rFonts w:eastAsia="SimSun"/>
                <w:highlight w:val="lightGray"/>
                <w:u w:val="single"/>
                <w:lang w:val="fr-FR" w:eastAsia="zh-CN"/>
              </w:rPr>
              <w:t> </w:t>
            </w:r>
            <w:r w:rsidRPr="004802F4">
              <w:rPr>
                <w:rFonts w:eastAsia="SimSun"/>
                <w:highlight w:val="lightGray"/>
                <w:u w:val="single"/>
                <w:lang w:val="fr-FR" w:eastAsia="zh-CN"/>
              </w:rPr>
              <w:t>endroits</w:t>
            </w:r>
            <w:r w:rsidR="0030455C" w:rsidRPr="004802F4">
              <w:rPr>
                <w:rFonts w:eastAsia="SimSun"/>
                <w:u w:val="single"/>
                <w:lang w:val="fr-FR" w:eastAsia="zh-CN"/>
              </w:rPr>
              <w:t>.</w:t>
            </w:r>
          </w:p>
          <w:p w:rsidR="007A701A" w:rsidRPr="009B0414" w:rsidRDefault="007A701A" w:rsidP="004802F4">
            <w:pPr>
              <w:keepNext/>
              <w:keepLines/>
              <w:rPr>
                <w:rFonts w:eastAsia="SimSun"/>
                <w:sz w:val="14"/>
                <w:szCs w:val="24"/>
                <w:lang w:val="fr-FR" w:eastAsia="zh-CN"/>
              </w:rPr>
            </w:pPr>
          </w:p>
          <w:p w:rsidR="007A701A" w:rsidRPr="004802F4" w:rsidRDefault="00A041D6" w:rsidP="004802F4">
            <w:pPr>
              <w:keepNext/>
              <w:keepLines/>
              <w:ind w:left="561" w:right="709"/>
              <w:rPr>
                <w:rFonts w:eastAsia="SimSun"/>
                <w:strike/>
                <w:highlight w:val="lightGray"/>
                <w:lang w:val="fr-FR" w:eastAsia="zh-CN"/>
              </w:rPr>
            </w:pPr>
            <w:r w:rsidRPr="004802F4">
              <w:rPr>
                <w:rFonts w:eastAsia="SimSun"/>
                <w:strike/>
                <w:highlight w:val="lightGray"/>
                <w:lang w:val="fr-FR" w:eastAsia="zh-CN"/>
              </w:rPr>
              <w:t xml:space="preserve">option a) </w:t>
            </w:r>
            <w:r w:rsidR="00B96C28" w:rsidRPr="004802F4">
              <w:rPr>
                <w:rFonts w:eastAsia="SimSun"/>
                <w:strike/>
                <w:highlight w:val="lightGray"/>
                <w:lang w:val="fr-FR" w:eastAsia="zh-CN"/>
              </w:rPr>
              <w:tab/>
            </w:r>
            <w:r w:rsidRPr="004802F4">
              <w:rPr>
                <w:rFonts w:eastAsia="SimSun"/>
                <w:strike/>
                <w:highlight w:val="lightGray"/>
                <w:lang w:val="fr-FR" w:eastAsia="zh-CN"/>
              </w:rPr>
              <w:t>l</w:t>
            </w:r>
            <w:r w:rsidR="004F302C" w:rsidRPr="004802F4">
              <w:rPr>
                <w:rFonts w:eastAsia="SimSun"/>
                <w:strike/>
                <w:highlight w:val="lightGray"/>
                <w:lang w:val="fr-FR" w:eastAsia="zh-CN"/>
              </w:rPr>
              <w:t>’</w:t>
            </w:r>
            <w:r w:rsidRPr="004802F4">
              <w:rPr>
                <w:rFonts w:eastAsia="SimSun"/>
                <w:strike/>
                <w:highlight w:val="lightGray"/>
                <w:lang w:val="fr-FR" w:eastAsia="zh-CN"/>
              </w:rPr>
              <w:t>essai est répété aux deux endroits une deuxième année;</w:t>
            </w:r>
          </w:p>
          <w:p w:rsidR="007A701A" w:rsidRPr="009B0414" w:rsidRDefault="007A701A" w:rsidP="004802F4">
            <w:pPr>
              <w:keepNext/>
              <w:keepLines/>
              <w:ind w:left="561" w:right="709"/>
              <w:rPr>
                <w:rFonts w:eastAsia="SimSun"/>
                <w:strike/>
                <w:sz w:val="14"/>
                <w:highlight w:val="lightGray"/>
                <w:lang w:val="fr-FR" w:eastAsia="zh-CN"/>
              </w:rPr>
            </w:pPr>
          </w:p>
          <w:p w:rsidR="007A701A" w:rsidRPr="004802F4" w:rsidRDefault="00A041D6" w:rsidP="004802F4">
            <w:pPr>
              <w:keepNext/>
              <w:keepLines/>
              <w:ind w:left="561" w:right="709"/>
              <w:rPr>
                <w:rFonts w:eastAsia="SimSun"/>
                <w:strike/>
                <w:lang w:val="fr-FR" w:eastAsia="zh-CN"/>
              </w:rPr>
            </w:pPr>
            <w:r w:rsidRPr="004802F4">
              <w:rPr>
                <w:rFonts w:eastAsia="SimSun"/>
                <w:strike/>
                <w:highlight w:val="lightGray"/>
                <w:lang w:val="fr-FR" w:eastAsia="zh-CN"/>
              </w:rPr>
              <w:t xml:space="preserve">option b) </w:t>
            </w:r>
            <w:r w:rsidR="00B96C28" w:rsidRPr="004802F4">
              <w:rPr>
                <w:rFonts w:eastAsia="SimSun"/>
                <w:strike/>
                <w:highlight w:val="lightGray"/>
                <w:lang w:val="fr-FR" w:eastAsia="zh-CN"/>
              </w:rPr>
              <w:tab/>
            </w:r>
            <w:r w:rsidRPr="004802F4">
              <w:rPr>
                <w:rFonts w:eastAsia="SimSun"/>
                <w:strike/>
                <w:highlight w:val="lightGray"/>
                <w:lang w:val="fr-FR" w:eastAsia="zh-CN"/>
              </w:rPr>
              <w:t>l</w:t>
            </w:r>
            <w:r w:rsidR="004F302C" w:rsidRPr="004802F4">
              <w:rPr>
                <w:rFonts w:eastAsia="SimSun"/>
                <w:strike/>
                <w:highlight w:val="lightGray"/>
                <w:lang w:val="fr-FR" w:eastAsia="zh-CN"/>
              </w:rPr>
              <w:t>’</w:t>
            </w:r>
            <w:r w:rsidRPr="004802F4">
              <w:rPr>
                <w:rFonts w:eastAsia="SimSun"/>
                <w:strike/>
                <w:highlight w:val="lightGray"/>
                <w:lang w:val="fr-FR" w:eastAsia="zh-CN"/>
              </w:rPr>
              <w:t>essai est répété à la station principale (endroit)</w:t>
            </w:r>
          </w:p>
          <w:p w:rsidR="007A701A" w:rsidRPr="009B0414" w:rsidRDefault="007A701A" w:rsidP="004802F4">
            <w:pPr>
              <w:keepNext/>
              <w:keepLines/>
              <w:ind w:left="561" w:right="709"/>
              <w:rPr>
                <w:sz w:val="14"/>
                <w:lang w:val="fr-FR"/>
              </w:rPr>
            </w:pPr>
          </w:p>
          <w:p w:rsidR="007A701A" w:rsidRPr="004802F4" w:rsidRDefault="00A041D6" w:rsidP="004802F4">
            <w:pPr>
              <w:keepNext/>
              <w:keepLines/>
              <w:rPr>
                <w:rFonts w:eastAsia="SimSun"/>
                <w:szCs w:val="24"/>
                <w:lang w:val="fr-FR" w:eastAsia="zh-CN"/>
              </w:rPr>
            </w:pPr>
            <w:r w:rsidRPr="004802F4">
              <w:rPr>
                <w:rFonts w:eastAsia="SimSun"/>
                <w:szCs w:val="24"/>
                <w:lang w:val="fr-FR" w:eastAsia="zh-CN"/>
              </w:rPr>
              <w:t>Il faut faire preuve de prudence lorsqu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>on examine des résultats très différents dans chacun des cycles de végétation, notamment lorsqu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 xml:space="preserve">un type de plante </w:t>
            </w:r>
            <w:r w:rsidR="00707A69" w:rsidRPr="004802F4">
              <w:rPr>
                <w:rFonts w:eastAsia="SimSun"/>
                <w:szCs w:val="24"/>
                <w:lang w:val="fr-FR" w:eastAsia="zh-CN"/>
              </w:rPr>
              <w:t>hors-type</w:t>
            </w:r>
            <w:r w:rsidRPr="004802F4">
              <w:rPr>
                <w:rFonts w:eastAsia="SimSun"/>
                <w:szCs w:val="24"/>
                <w:lang w:val="fr-FR" w:eastAsia="zh-CN"/>
              </w:rPr>
              <w:t xml:space="preserve"> a été observé à un niveau élevé dans un cycle de végétation tout en étant absent dans un autre.</w:t>
            </w:r>
          </w:p>
          <w:p w:rsidR="007A701A" w:rsidRPr="009B0414" w:rsidRDefault="007A701A" w:rsidP="004802F4">
            <w:pPr>
              <w:keepNext/>
              <w:keepLines/>
              <w:rPr>
                <w:rFonts w:eastAsia="SimSun"/>
                <w:sz w:val="14"/>
                <w:szCs w:val="24"/>
                <w:lang w:val="fr-FR" w:eastAsia="zh-CN"/>
              </w:rPr>
            </w:pPr>
          </w:p>
          <w:p w:rsidR="00504732" w:rsidRPr="004802F4" w:rsidRDefault="00504732" w:rsidP="004802F4">
            <w:pPr>
              <w:keepNext/>
              <w:keepLines/>
              <w:rPr>
                <w:rFonts w:eastAsia="SimSun"/>
                <w:szCs w:val="24"/>
                <w:lang w:val="fr-FR" w:eastAsia="zh-CN"/>
              </w:rPr>
            </w:pPr>
            <w:r w:rsidRPr="004802F4">
              <w:rPr>
                <w:rFonts w:eastAsia="SimSun"/>
                <w:szCs w:val="24"/>
                <w:lang w:val="fr-FR" w:eastAsia="zh-CN"/>
              </w:rPr>
              <w:t xml:space="preserve">Dans certaines circonstances, une variété peut être rejetée après un seul </w:t>
            </w:r>
            <w:r w:rsidR="00A15565" w:rsidRPr="004802F4">
              <w:rPr>
                <w:rFonts w:eastAsia="SimSun"/>
                <w:szCs w:val="24"/>
                <w:lang w:val="fr-FR" w:eastAsia="zh-CN"/>
              </w:rPr>
              <w:t>essai en un endroit de</w:t>
            </w:r>
            <w:r w:rsidRPr="004802F4">
              <w:rPr>
                <w:rFonts w:eastAsia="SimSun"/>
                <w:szCs w:val="24"/>
                <w:lang w:val="fr-FR" w:eastAsia="zh-CN"/>
              </w:rPr>
              <w:t xml:space="preserve"> végétation.</w:t>
            </w:r>
          </w:p>
          <w:p w:rsidR="007A701A" w:rsidRPr="009B0414" w:rsidRDefault="007A701A" w:rsidP="004802F4">
            <w:pPr>
              <w:rPr>
                <w:sz w:val="14"/>
                <w:lang w:val="fr-FR"/>
              </w:rPr>
            </w:pPr>
          </w:p>
          <w:p w:rsidR="004F302C" w:rsidRPr="004802F4" w:rsidRDefault="00A041D6" w:rsidP="004802F4">
            <w:pPr>
              <w:rPr>
                <w:rFonts w:eastAsia="SimSun"/>
                <w:b/>
                <w:szCs w:val="24"/>
                <w:lang w:val="fr-FR" w:eastAsia="zh-CN"/>
              </w:rPr>
            </w:pPr>
            <w:r w:rsidRPr="004802F4">
              <w:rPr>
                <w:rFonts w:eastAsia="SimSun"/>
                <w:b/>
                <w:szCs w:val="24"/>
                <w:lang w:val="fr-FR" w:eastAsia="zh-CN"/>
              </w:rPr>
              <w:t>Méthode 2 : Combiner les résultats de deux endroits</w:t>
            </w:r>
          </w:p>
          <w:p w:rsidR="007A701A" w:rsidRPr="009B0414" w:rsidRDefault="007A701A" w:rsidP="004802F4">
            <w:pPr>
              <w:rPr>
                <w:rFonts w:eastAsia="SimSun"/>
                <w:b/>
                <w:sz w:val="14"/>
                <w:szCs w:val="24"/>
                <w:lang w:val="fr-FR" w:eastAsia="zh-CN"/>
              </w:rPr>
            </w:pPr>
          </w:p>
          <w:p w:rsidR="007A701A" w:rsidRPr="004802F4" w:rsidRDefault="00A041D6" w:rsidP="004802F4">
            <w:pPr>
              <w:rPr>
                <w:rFonts w:eastAsia="SimSun"/>
                <w:szCs w:val="24"/>
                <w:lang w:val="fr-FR" w:eastAsia="zh-CN"/>
              </w:rPr>
            </w:pPr>
            <w:r w:rsidRPr="004802F4">
              <w:rPr>
                <w:rFonts w:eastAsia="SimSun"/>
                <w:szCs w:val="24"/>
                <w:lang w:val="fr-FR" w:eastAsia="zh-CN"/>
              </w:rPr>
              <w:t>Une variété est réputée homogène si elle se situe dans les limites de la norme d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>homogénéité aux deux endroits.</w:t>
            </w:r>
          </w:p>
          <w:p w:rsidR="007A701A" w:rsidRPr="009B0414" w:rsidRDefault="007A701A" w:rsidP="004802F4">
            <w:pPr>
              <w:rPr>
                <w:rFonts w:eastAsia="SimSun"/>
                <w:sz w:val="14"/>
                <w:szCs w:val="24"/>
                <w:lang w:val="fr-FR" w:eastAsia="zh-CN"/>
              </w:rPr>
            </w:pPr>
          </w:p>
          <w:p w:rsidR="007A701A" w:rsidRPr="004802F4" w:rsidRDefault="00A041D6" w:rsidP="004802F4">
            <w:pPr>
              <w:keepNext/>
              <w:keepLines/>
              <w:tabs>
                <w:tab w:val="left" w:pos="1985"/>
              </w:tabs>
              <w:rPr>
                <w:rFonts w:eastAsia="SimSun"/>
                <w:szCs w:val="24"/>
                <w:lang w:val="fr-FR" w:eastAsia="zh-CN"/>
              </w:rPr>
            </w:pPr>
            <w:r w:rsidRPr="004802F4">
              <w:rPr>
                <w:rFonts w:eastAsia="SimSun"/>
                <w:szCs w:val="24"/>
                <w:lang w:val="fr-FR" w:eastAsia="zh-CN"/>
              </w:rPr>
              <w:t>Une variété est réputée non homogène si elle ne se situe pas dans les limites de la norme d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>homogénéité aux deux endroits.</w:t>
            </w:r>
          </w:p>
          <w:p w:rsidR="007A701A" w:rsidRPr="009B0414" w:rsidRDefault="007A701A" w:rsidP="004802F4">
            <w:pPr>
              <w:keepNext/>
              <w:keepLines/>
              <w:tabs>
                <w:tab w:val="left" w:pos="1985"/>
              </w:tabs>
              <w:rPr>
                <w:rFonts w:eastAsia="SimSun"/>
                <w:sz w:val="14"/>
                <w:szCs w:val="24"/>
                <w:lang w:val="fr-FR" w:eastAsia="zh-CN"/>
              </w:rPr>
            </w:pPr>
          </w:p>
          <w:p w:rsidR="007A701A" w:rsidRPr="004802F4" w:rsidRDefault="00A041D6" w:rsidP="004802F4">
            <w:pPr>
              <w:rPr>
                <w:rFonts w:eastAsia="SimSun"/>
                <w:szCs w:val="24"/>
                <w:lang w:val="fr-FR" w:eastAsia="zh-CN"/>
              </w:rPr>
            </w:pPr>
            <w:r w:rsidRPr="004802F4">
              <w:rPr>
                <w:rFonts w:eastAsia="SimSun"/>
                <w:szCs w:val="24"/>
                <w:lang w:val="fr-FR" w:eastAsia="zh-CN"/>
              </w:rPr>
              <w:t>Si la variété se situe dans les limites de la norme d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>homogénéité en un endroit de végétation mais pas dans l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>autre, une variété est réputée se situer dans les limites de la norme d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 xml:space="preserve">homogénéité si le nombre de plantes ou parties de plantes </w:t>
            </w:r>
            <w:r w:rsidR="00707A69" w:rsidRPr="004802F4">
              <w:rPr>
                <w:rFonts w:eastAsia="SimSun"/>
                <w:szCs w:val="24"/>
                <w:lang w:val="fr-FR" w:eastAsia="zh-CN"/>
              </w:rPr>
              <w:t>hors-type</w:t>
            </w:r>
            <w:r w:rsidRPr="004802F4">
              <w:rPr>
                <w:rFonts w:eastAsia="SimSun"/>
                <w:szCs w:val="24"/>
                <w:lang w:val="fr-FR" w:eastAsia="zh-CN"/>
              </w:rPr>
              <w:t xml:space="preserve"> ne dépasse pas le nombre de plantes </w:t>
            </w:r>
            <w:r w:rsidR="00707A69" w:rsidRPr="004802F4">
              <w:rPr>
                <w:rFonts w:eastAsia="SimSun"/>
                <w:szCs w:val="24"/>
                <w:lang w:val="fr-FR" w:eastAsia="zh-CN"/>
              </w:rPr>
              <w:t>hors-type</w:t>
            </w:r>
            <w:r w:rsidRPr="004802F4">
              <w:rPr>
                <w:rFonts w:eastAsia="SimSun"/>
                <w:szCs w:val="24"/>
                <w:lang w:val="fr-FR" w:eastAsia="zh-CN"/>
              </w:rPr>
              <w:t xml:space="preserve"> autorisé pour l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>échantillon combiné (deux endroits).</w:t>
            </w:r>
          </w:p>
          <w:p w:rsidR="007A701A" w:rsidRPr="009B0414" w:rsidRDefault="007A701A" w:rsidP="004802F4">
            <w:pPr>
              <w:keepNext/>
              <w:keepLines/>
              <w:rPr>
                <w:rFonts w:eastAsia="SimSun"/>
                <w:sz w:val="14"/>
                <w:szCs w:val="24"/>
                <w:lang w:val="fr-FR" w:eastAsia="zh-CN"/>
              </w:rPr>
            </w:pPr>
          </w:p>
          <w:p w:rsidR="007A701A" w:rsidRPr="004802F4" w:rsidRDefault="00A041D6" w:rsidP="004802F4">
            <w:pPr>
              <w:keepNext/>
              <w:keepLines/>
              <w:rPr>
                <w:szCs w:val="24"/>
                <w:lang w:val="fr-FR"/>
              </w:rPr>
            </w:pPr>
            <w:r w:rsidRPr="004802F4">
              <w:rPr>
                <w:szCs w:val="24"/>
                <w:lang w:val="fr-FR"/>
              </w:rPr>
              <w:t>Il faut faire preuve de prudence lorsqu</w:t>
            </w:r>
            <w:r w:rsidR="004F302C" w:rsidRPr="004802F4">
              <w:rPr>
                <w:szCs w:val="24"/>
                <w:lang w:val="fr-FR"/>
              </w:rPr>
              <w:t>’</w:t>
            </w:r>
            <w:r w:rsidRPr="004802F4">
              <w:rPr>
                <w:szCs w:val="24"/>
                <w:lang w:val="fr-FR"/>
              </w:rPr>
              <w:t>on examine des résultats très différents dans chacun des cycles de végétation, notamment lorsqu</w:t>
            </w:r>
            <w:r w:rsidR="004F302C" w:rsidRPr="004802F4">
              <w:rPr>
                <w:szCs w:val="24"/>
                <w:lang w:val="fr-FR"/>
              </w:rPr>
              <w:t>’</w:t>
            </w:r>
            <w:r w:rsidRPr="004802F4">
              <w:rPr>
                <w:szCs w:val="24"/>
                <w:lang w:val="fr-FR"/>
              </w:rPr>
              <w:t xml:space="preserve">un type de plante </w:t>
            </w:r>
            <w:r w:rsidR="00707A69" w:rsidRPr="004802F4">
              <w:rPr>
                <w:szCs w:val="24"/>
                <w:lang w:val="fr-FR"/>
              </w:rPr>
              <w:t>hors-type</w:t>
            </w:r>
            <w:r w:rsidRPr="004802F4">
              <w:rPr>
                <w:szCs w:val="24"/>
                <w:lang w:val="fr-FR"/>
              </w:rPr>
              <w:t xml:space="preserve"> a été observé à un niveau élevé dans un cycle de végétation tout en étant absent dans un autre.</w:t>
            </w:r>
          </w:p>
          <w:p w:rsidR="007A701A" w:rsidRPr="009B0414" w:rsidRDefault="007A701A" w:rsidP="004802F4">
            <w:pPr>
              <w:keepNext/>
              <w:keepLines/>
              <w:rPr>
                <w:rFonts w:eastAsia="SimSun"/>
                <w:sz w:val="14"/>
                <w:szCs w:val="24"/>
                <w:lang w:val="fr-FR" w:eastAsia="zh-CN"/>
              </w:rPr>
            </w:pPr>
          </w:p>
          <w:p w:rsidR="00504732" w:rsidRPr="004802F4" w:rsidRDefault="00504732" w:rsidP="004802F4">
            <w:pPr>
              <w:keepNext/>
              <w:keepLines/>
              <w:rPr>
                <w:rFonts w:eastAsia="SimSun"/>
                <w:szCs w:val="24"/>
                <w:lang w:val="fr-FR" w:eastAsia="zh-CN"/>
              </w:rPr>
            </w:pPr>
            <w:r w:rsidRPr="004802F4">
              <w:rPr>
                <w:rFonts w:eastAsia="SimSun"/>
                <w:szCs w:val="24"/>
                <w:lang w:val="fr-FR" w:eastAsia="zh-CN"/>
              </w:rPr>
              <w:t xml:space="preserve">Dans certaines circonstances, une variété peut être rejetée après un </w:t>
            </w:r>
            <w:r w:rsidR="00A15565" w:rsidRPr="004802F4">
              <w:rPr>
                <w:rFonts w:eastAsia="SimSun"/>
                <w:szCs w:val="24"/>
                <w:lang w:val="fr-FR" w:eastAsia="zh-CN"/>
              </w:rPr>
              <w:t>seul essai en un endroit de végétation</w:t>
            </w:r>
            <w:r w:rsidRPr="004802F4">
              <w:rPr>
                <w:rFonts w:eastAsia="SimSun"/>
                <w:szCs w:val="24"/>
                <w:lang w:val="fr-FR" w:eastAsia="zh-CN"/>
              </w:rPr>
              <w:t>.</w:t>
            </w:r>
          </w:p>
          <w:p w:rsidR="007A701A" w:rsidRPr="009B0414" w:rsidRDefault="007A701A" w:rsidP="004802F4">
            <w:pPr>
              <w:rPr>
                <w:sz w:val="14"/>
                <w:szCs w:val="24"/>
                <w:lang w:val="fr-FR"/>
              </w:rPr>
            </w:pPr>
          </w:p>
          <w:p w:rsidR="003F7E71" w:rsidRPr="009B0414" w:rsidRDefault="00CE59CF" w:rsidP="004802F4">
            <w:pPr>
              <w:rPr>
                <w:szCs w:val="24"/>
                <w:lang w:val="fr-FR"/>
              </w:rPr>
            </w:pPr>
            <w:r>
              <w:rPr>
                <w:rFonts w:eastAsia="SimSun"/>
                <w:szCs w:val="24"/>
                <w:lang w:val="fr-FR" w:eastAsia="zh-CN"/>
              </w:rPr>
              <w:pict>
                <v:rect id="_x0000_i1026" style="width:0;height:1.5pt" o:hralign="center" o:hrstd="t" o:hr="t" fillcolor="#a0a0a0" stroked="f"/>
              </w:pict>
            </w:r>
            <w:r w:rsidR="00B96C28" w:rsidRPr="004802F4">
              <w:rPr>
                <w:szCs w:val="24"/>
                <w:lang w:val="fr-FR"/>
              </w:rPr>
              <w:t>Exe</w:t>
            </w:r>
            <w:r w:rsidR="003F7E71" w:rsidRPr="004802F4">
              <w:rPr>
                <w:szCs w:val="24"/>
                <w:lang w:val="fr-FR"/>
              </w:rPr>
              <w:t>mple</w:t>
            </w:r>
            <w:r w:rsidR="00504732" w:rsidRPr="004802F4">
              <w:rPr>
                <w:szCs w:val="24"/>
                <w:lang w:val="fr-FR"/>
              </w:rPr>
              <w:t> :</w:t>
            </w:r>
          </w:p>
          <w:tbl>
            <w:tblPr>
              <w:tblW w:w="6946" w:type="dxa"/>
              <w:tblInd w:w="1593" w:type="dxa"/>
              <w:tblLook w:val="04A0" w:firstRow="1" w:lastRow="0" w:firstColumn="1" w:lastColumn="0" w:noHBand="0" w:noVBand="1"/>
            </w:tblPr>
            <w:tblGrid>
              <w:gridCol w:w="6946"/>
            </w:tblGrid>
            <w:tr w:rsidR="004802F4" w:rsidRPr="004802F4" w:rsidTr="009B0414">
              <w:trPr>
                <w:trHeight w:val="255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7E71" w:rsidRPr="004802F4" w:rsidRDefault="00B96C28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Norme de population =</w:t>
                  </w:r>
                  <w:r w:rsidR="00A041D6" w:rsidRPr="004802F4">
                    <w:rPr>
                      <w:rFonts w:cs="Arial"/>
                      <w:lang w:val="fr-FR"/>
                    </w:rPr>
                    <w:t xml:space="preserve"> 1</w:t>
                  </w:r>
                  <w:r w:rsidR="009307C6" w:rsidRPr="004802F4">
                    <w:rPr>
                      <w:rFonts w:cs="Arial"/>
                      <w:lang w:val="fr-FR"/>
                    </w:rPr>
                    <w:t>%</w:t>
                  </w:r>
                  <w:r w:rsidR="003F7E71" w:rsidRPr="004802F4">
                    <w:rPr>
                      <w:rFonts w:cs="Arial"/>
                      <w:lang w:val="fr-FR"/>
                    </w:rPr>
                    <w:t xml:space="preserve"> </w:t>
                  </w:r>
                </w:p>
              </w:tc>
            </w:tr>
            <w:tr w:rsidR="004802F4" w:rsidRPr="004802F4" w:rsidTr="009B0414">
              <w:trPr>
                <w:trHeight w:val="270"/>
              </w:trPr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F7E71" w:rsidRPr="004802F4" w:rsidRDefault="00B96C28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Probabilité d</w:t>
                  </w:r>
                  <w:r w:rsidR="004F302C" w:rsidRPr="004802F4">
                    <w:rPr>
                      <w:rFonts w:cs="Arial"/>
                      <w:lang w:val="fr-FR"/>
                    </w:rPr>
                    <w:t>’</w:t>
                  </w:r>
                  <w:r w:rsidRPr="004802F4">
                    <w:rPr>
                      <w:rFonts w:cs="Arial"/>
                      <w:lang w:val="fr-FR"/>
                    </w:rPr>
                    <w:t>acceptation =</w:t>
                  </w:r>
                  <w:r w:rsidR="00A041D6" w:rsidRPr="004802F4">
                    <w:rPr>
                      <w:rFonts w:cs="Arial"/>
                      <w:lang w:val="fr-FR"/>
                    </w:rPr>
                    <w:t xml:space="preserve"> 95%</w:t>
                  </w:r>
                </w:p>
              </w:tc>
            </w:tr>
            <w:tr w:rsidR="004802F4" w:rsidRPr="008155B3" w:rsidTr="009B0414">
              <w:trPr>
                <w:trHeight w:val="255"/>
              </w:trPr>
              <w:tc>
                <w:tcPr>
                  <w:tcW w:w="694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7E71" w:rsidRPr="004802F4" w:rsidRDefault="00504732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Taille de l</w:t>
                  </w:r>
                  <w:r w:rsidR="004F302C" w:rsidRPr="004802F4">
                    <w:rPr>
                      <w:rFonts w:cs="Arial"/>
                      <w:lang w:val="fr-FR"/>
                    </w:rPr>
                    <w:t>’</w:t>
                  </w:r>
                  <w:r w:rsidRPr="004802F4">
                    <w:rPr>
                      <w:rFonts w:cs="Arial"/>
                      <w:lang w:val="fr-FR"/>
                    </w:rPr>
                    <w:t xml:space="preserve">échantillon dans chacun des </w:t>
                  </w:r>
                  <w:r w:rsidR="00531C0A" w:rsidRPr="004802F4">
                    <w:rPr>
                      <w:rFonts w:cs="Arial"/>
                      <w:lang w:val="fr-FR"/>
                    </w:rPr>
                    <w:t>endroits de végétation</w:t>
                  </w:r>
                  <w:r w:rsidR="003F7E71" w:rsidRPr="004802F4">
                    <w:rPr>
                      <w:rFonts w:cs="Arial"/>
                      <w:lang w:val="fr-FR"/>
                    </w:rPr>
                    <w:t xml:space="preserve"> 1 </w:t>
                  </w:r>
                  <w:r w:rsidR="00531C0A" w:rsidRPr="004802F4">
                    <w:rPr>
                      <w:rFonts w:cs="Arial"/>
                      <w:lang w:val="fr-FR"/>
                    </w:rPr>
                    <w:t>et</w:t>
                  </w:r>
                  <w:r w:rsidR="003F7E71" w:rsidRPr="004802F4">
                    <w:rPr>
                      <w:rFonts w:cs="Arial"/>
                      <w:lang w:val="fr-FR"/>
                    </w:rPr>
                    <w:t xml:space="preserve"> 2 = 50</w:t>
                  </w:r>
                </w:p>
              </w:tc>
            </w:tr>
            <w:tr w:rsidR="004802F4" w:rsidRPr="008155B3" w:rsidTr="009B0414">
              <w:trPr>
                <w:trHeight w:val="27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7E71" w:rsidRPr="004802F4" w:rsidRDefault="00531C0A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 xml:space="preserve">Nombre maximum de plantes </w:t>
                  </w:r>
                  <w:r w:rsidR="00707A69" w:rsidRPr="004802F4">
                    <w:rPr>
                      <w:rFonts w:cs="Arial"/>
                      <w:lang w:val="fr-FR"/>
                    </w:rPr>
                    <w:t>hors-type</w:t>
                  </w:r>
                  <w:r w:rsidR="003F7E71" w:rsidRPr="004802F4">
                    <w:rPr>
                      <w:rFonts w:cs="Arial"/>
                      <w:lang w:val="fr-FR"/>
                    </w:rPr>
                    <w:t xml:space="preserve"> = 2</w:t>
                  </w:r>
                </w:p>
              </w:tc>
            </w:tr>
            <w:tr w:rsidR="004802F4" w:rsidRPr="008155B3" w:rsidTr="009B0414">
              <w:trPr>
                <w:trHeight w:val="27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7E71" w:rsidRPr="004802F4" w:rsidRDefault="00531C0A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Taille de l</w:t>
                  </w:r>
                  <w:r w:rsidR="004F302C" w:rsidRPr="004802F4">
                    <w:rPr>
                      <w:rFonts w:cs="Arial"/>
                      <w:lang w:val="fr-FR"/>
                    </w:rPr>
                    <w:t>’</w:t>
                  </w:r>
                  <w:r w:rsidRPr="004802F4">
                    <w:rPr>
                      <w:rFonts w:cs="Arial"/>
                      <w:lang w:val="fr-FR"/>
                    </w:rPr>
                    <w:t>échantillon dans les endroits de végétation</w:t>
                  </w:r>
                  <w:r w:rsidR="003F7E71" w:rsidRPr="004802F4">
                    <w:rPr>
                      <w:rFonts w:cs="Arial"/>
                      <w:lang w:val="fr-FR"/>
                    </w:rPr>
                    <w:t xml:space="preserve"> 1 </w:t>
                  </w:r>
                  <w:r w:rsidRPr="004802F4">
                    <w:rPr>
                      <w:rFonts w:cs="Arial"/>
                      <w:lang w:val="fr-FR"/>
                    </w:rPr>
                    <w:t>et</w:t>
                  </w:r>
                  <w:r w:rsidR="003F7E71" w:rsidRPr="004802F4">
                    <w:rPr>
                      <w:rFonts w:cs="Arial"/>
                      <w:lang w:val="fr-FR"/>
                    </w:rPr>
                    <w:t xml:space="preserve"> 2 </w:t>
                  </w:r>
                  <w:r w:rsidRPr="004802F4">
                    <w:rPr>
                      <w:rFonts w:cs="Arial"/>
                      <w:lang w:val="fr-FR"/>
                    </w:rPr>
                    <w:t>combinés</w:t>
                  </w:r>
                  <w:r w:rsidR="003F7E71" w:rsidRPr="004802F4">
                    <w:rPr>
                      <w:rFonts w:cs="Arial"/>
                      <w:lang w:val="fr-FR"/>
                    </w:rPr>
                    <w:t xml:space="preserve"> = 100</w:t>
                  </w:r>
                </w:p>
              </w:tc>
            </w:tr>
            <w:tr w:rsidR="004802F4" w:rsidRPr="008155B3" w:rsidTr="009B0414">
              <w:trPr>
                <w:trHeight w:val="270"/>
              </w:trPr>
              <w:tc>
                <w:tcPr>
                  <w:tcW w:w="6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7E71" w:rsidRPr="004802F4" w:rsidRDefault="00531C0A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 xml:space="preserve">Nombre maximum de plantes </w:t>
                  </w:r>
                  <w:r w:rsidR="00707A69" w:rsidRPr="004802F4">
                    <w:rPr>
                      <w:rFonts w:cs="Arial"/>
                      <w:lang w:val="fr-FR"/>
                    </w:rPr>
                    <w:t>hors-type</w:t>
                  </w:r>
                  <w:r w:rsidR="003F7E71" w:rsidRPr="004802F4">
                    <w:rPr>
                      <w:rFonts w:cs="Arial"/>
                      <w:lang w:val="fr-FR"/>
                    </w:rPr>
                    <w:t xml:space="preserve"> = 3</w:t>
                  </w:r>
                </w:p>
              </w:tc>
            </w:tr>
          </w:tbl>
          <w:p w:rsidR="003F7E71" w:rsidRPr="009B0414" w:rsidRDefault="003F7E71" w:rsidP="004802F4">
            <w:pPr>
              <w:pStyle w:val="Titleofdoc0"/>
              <w:spacing w:before="0"/>
              <w:jc w:val="both"/>
              <w:rPr>
                <w:sz w:val="12"/>
                <w:szCs w:val="24"/>
                <w:lang w:val="fr-FR"/>
              </w:rPr>
            </w:pPr>
          </w:p>
          <w:tbl>
            <w:tblPr>
              <w:tblW w:w="7645" w:type="dxa"/>
              <w:tblInd w:w="884" w:type="dxa"/>
              <w:tblLook w:val="04A0" w:firstRow="1" w:lastRow="0" w:firstColumn="1" w:lastColumn="0" w:noHBand="0" w:noVBand="1"/>
            </w:tblPr>
            <w:tblGrid>
              <w:gridCol w:w="709"/>
              <w:gridCol w:w="1417"/>
              <w:gridCol w:w="1443"/>
              <w:gridCol w:w="2270"/>
              <w:gridCol w:w="1806"/>
            </w:tblGrid>
            <w:tr w:rsidR="004802F4" w:rsidRPr="004802F4" w:rsidTr="009B0414">
              <w:trPr>
                <w:trHeight w:val="366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7E71" w:rsidRPr="004802F4" w:rsidRDefault="003F7E71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 </w:t>
                  </w:r>
                </w:p>
              </w:tc>
              <w:tc>
                <w:tcPr>
                  <w:tcW w:w="28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531C0A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Endroit de végétation</w:t>
                  </w:r>
                </w:p>
              </w:tc>
              <w:tc>
                <w:tcPr>
                  <w:tcW w:w="40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Décision</w:t>
                  </w:r>
                </w:p>
              </w:tc>
            </w:tr>
            <w:tr w:rsidR="004802F4" w:rsidRPr="004802F4" w:rsidTr="009B0414">
              <w:trPr>
                <w:trHeight w:val="273"/>
              </w:trPr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7E71" w:rsidRPr="004802F4" w:rsidRDefault="003F7E71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Premier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Deuxième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Méthode 1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Méthode 2</w:t>
                  </w:r>
                </w:p>
              </w:tc>
            </w:tr>
            <w:tr w:rsidR="004802F4" w:rsidRPr="008155B3" w:rsidTr="009B0414">
              <w:trPr>
                <w:trHeight w:val="266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 xml:space="preserve">Nombre de plantes </w:t>
                  </w:r>
                  <w:r w:rsidR="009B0414">
                    <w:rPr>
                      <w:rFonts w:cs="Arial"/>
                      <w:lang w:val="fr-FR"/>
                    </w:rPr>
                    <w:br/>
                  </w:r>
                  <w:r w:rsidR="00707A69" w:rsidRPr="004802F4">
                    <w:rPr>
                      <w:rFonts w:cs="Arial"/>
                      <w:lang w:val="fr-FR"/>
                    </w:rPr>
                    <w:t>hors-type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3F7E71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3F7E71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2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B96C28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homogène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F7E71" w:rsidRPr="004802F4" w:rsidRDefault="00B96C28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homogène</w:t>
                  </w:r>
                </w:p>
              </w:tc>
            </w:tr>
            <w:tr w:rsidR="004802F4" w:rsidRPr="008155B3" w:rsidTr="009B0414">
              <w:trPr>
                <w:trHeight w:val="257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7E71" w:rsidRPr="004802F4" w:rsidRDefault="003F7E71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7E71" w:rsidRPr="004802F4" w:rsidRDefault="003F7E71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7E71" w:rsidRPr="004802F4" w:rsidRDefault="003F7E71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3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7E71" w:rsidRPr="004802F4" w:rsidRDefault="00531C0A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répétition de l</w:t>
                  </w:r>
                  <w:r w:rsidR="004F302C" w:rsidRPr="004802F4">
                    <w:rPr>
                      <w:rFonts w:cs="Arial"/>
                      <w:lang w:val="fr-FR"/>
                    </w:rPr>
                    <w:t>’</w:t>
                  </w:r>
                  <w:r w:rsidRPr="004802F4">
                    <w:rPr>
                      <w:rFonts w:cs="Arial"/>
                      <w:lang w:val="fr-FR"/>
                    </w:rPr>
                    <w:t>essai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7E71" w:rsidRPr="004802F4" w:rsidRDefault="00B96C28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homogène</w:t>
                  </w:r>
                </w:p>
              </w:tc>
            </w:tr>
            <w:tr w:rsidR="004802F4" w:rsidRPr="008155B3" w:rsidTr="009B0414">
              <w:trPr>
                <w:trHeight w:val="260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7E71" w:rsidRPr="004802F4" w:rsidRDefault="003F7E71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7E71" w:rsidRPr="004802F4" w:rsidRDefault="003F7E71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7E71" w:rsidRPr="004802F4" w:rsidRDefault="003F7E71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3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7E71" w:rsidRPr="004802F4" w:rsidRDefault="00531C0A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répétition de l</w:t>
                  </w:r>
                  <w:r w:rsidR="004F302C" w:rsidRPr="004802F4">
                    <w:rPr>
                      <w:rFonts w:cs="Arial"/>
                      <w:lang w:val="fr-FR"/>
                    </w:rPr>
                    <w:t>’</w:t>
                  </w:r>
                  <w:r w:rsidRPr="004802F4">
                    <w:rPr>
                      <w:rFonts w:cs="Arial"/>
                      <w:lang w:val="fr-FR"/>
                    </w:rPr>
                    <w:t>essai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non homogène</w:t>
                  </w:r>
                </w:p>
              </w:tc>
            </w:tr>
            <w:tr w:rsidR="004802F4" w:rsidRPr="008155B3" w:rsidTr="009B0414">
              <w:trPr>
                <w:trHeight w:val="279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F7E71" w:rsidRPr="004802F4" w:rsidRDefault="003F7E71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3F7E71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3F7E71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10*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7E71" w:rsidRPr="004802F4" w:rsidRDefault="00531C0A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répétition de l</w:t>
                  </w:r>
                  <w:r w:rsidR="004F302C" w:rsidRPr="004802F4">
                    <w:rPr>
                      <w:rFonts w:cs="Arial"/>
                      <w:lang w:val="fr-FR"/>
                    </w:rPr>
                    <w:t>’</w:t>
                  </w:r>
                  <w:r w:rsidRPr="004802F4">
                    <w:rPr>
                      <w:rFonts w:cs="Arial"/>
                      <w:lang w:val="fr-FR"/>
                    </w:rPr>
                    <w:t>essai*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non homogène</w:t>
                  </w:r>
                  <w:r w:rsidR="00B96C28" w:rsidRPr="004802F4">
                    <w:rPr>
                      <w:rFonts w:cs="Arial"/>
                      <w:lang w:val="fr-FR"/>
                    </w:rPr>
                    <w:t>*</w:t>
                  </w:r>
                </w:p>
              </w:tc>
            </w:tr>
            <w:tr w:rsidR="004802F4" w:rsidRPr="008155B3" w:rsidTr="009B0414">
              <w:trPr>
                <w:trHeight w:val="265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7E71" w:rsidRPr="004802F4" w:rsidRDefault="003F7E71" w:rsidP="004802F4">
                  <w:pPr>
                    <w:jc w:val="left"/>
                    <w:rPr>
                      <w:rFonts w:cs="Arial"/>
                      <w:lang w:val="fr-FR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3F7E71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10**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3F7E71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0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531C0A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répétition de l</w:t>
                  </w:r>
                  <w:r w:rsidR="004F302C" w:rsidRPr="004802F4">
                    <w:rPr>
                      <w:rFonts w:cs="Arial"/>
                      <w:lang w:val="fr-FR"/>
                    </w:rPr>
                    <w:t>’</w:t>
                  </w:r>
                  <w:r w:rsidRPr="004802F4">
                    <w:rPr>
                      <w:rFonts w:cs="Arial"/>
                      <w:lang w:val="fr-FR"/>
                    </w:rPr>
                    <w:t>essai**</w:t>
                  </w:r>
                </w:p>
              </w:tc>
              <w:tc>
                <w:tcPr>
                  <w:tcW w:w="18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7E71" w:rsidRPr="004802F4" w:rsidRDefault="00A041D6" w:rsidP="004802F4">
                  <w:pPr>
                    <w:jc w:val="center"/>
                    <w:rPr>
                      <w:rFonts w:cs="Arial"/>
                      <w:lang w:val="fr-FR"/>
                    </w:rPr>
                  </w:pPr>
                  <w:r w:rsidRPr="004802F4">
                    <w:rPr>
                      <w:rFonts w:cs="Arial"/>
                      <w:lang w:val="fr-FR"/>
                    </w:rPr>
                    <w:t>non homogène</w:t>
                  </w:r>
                  <w:r w:rsidR="00B96C28" w:rsidRPr="004802F4">
                    <w:rPr>
                      <w:rFonts w:cs="Arial"/>
                      <w:lang w:val="fr-FR"/>
                    </w:rPr>
                    <w:t>**</w:t>
                  </w:r>
                </w:p>
              </w:tc>
            </w:tr>
          </w:tbl>
          <w:p w:rsidR="007A701A" w:rsidRPr="009B0414" w:rsidRDefault="007A701A" w:rsidP="004802F4">
            <w:pPr>
              <w:pStyle w:val="Titleofdoc0"/>
              <w:spacing w:before="0"/>
              <w:jc w:val="both"/>
              <w:rPr>
                <w:sz w:val="8"/>
                <w:szCs w:val="24"/>
                <w:lang w:val="fr-FR"/>
              </w:rPr>
            </w:pPr>
          </w:p>
          <w:p w:rsidR="007A701A" w:rsidRPr="004802F4" w:rsidRDefault="00B96C28" w:rsidP="004802F4">
            <w:pPr>
              <w:keepNext/>
              <w:keepLines/>
              <w:ind w:left="884"/>
              <w:rPr>
                <w:rFonts w:eastAsia="SimSun"/>
                <w:sz w:val="18"/>
                <w:lang w:val="fr-FR" w:eastAsia="zh-CN"/>
              </w:rPr>
            </w:pPr>
            <w:r w:rsidRPr="004802F4">
              <w:rPr>
                <w:rFonts w:eastAsia="SimSun"/>
                <w:sz w:val="18"/>
                <w:lang w:val="fr-FR" w:eastAsia="zh-CN"/>
              </w:rPr>
              <w:t xml:space="preserve">* </w:t>
            </w:r>
            <w:r w:rsidR="00A041D6" w:rsidRPr="004802F4">
              <w:rPr>
                <w:rFonts w:eastAsia="SimSun"/>
                <w:sz w:val="18"/>
                <w:lang w:val="fr-FR" w:eastAsia="zh-CN"/>
              </w:rPr>
              <w:t>Il faut faire preuve de prudence lorsqu</w:t>
            </w:r>
            <w:r w:rsidR="004F302C" w:rsidRPr="004802F4">
              <w:rPr>
                <w:rFonts w:eastAsia="SimSun"/>
                <w:sz w:val="18"/>
                <w:lang w:val="fr-FR" w:eastAsia="zh-CN"/>
              </w:rPr>
              <w:t>’</w:t>
            </w:r>
            <w:r w:rsidR="00A041D6" w:rsidRPr="004802F4">
              <w:rPr>
                <w:rFonts w:eastAsia="SimSun"/>
                <w:sz w:val="18"/>
                <w:lang w:val="fr-FR" w:eastAsia="zh-CN"/>
              </w:rPr>
              <w:t>on examine des résultats très différents dans chacun des cycles de végétation, notamment lorsqu</w:t>
            </w:r>
            <w:r w:rsidR="004F302C" w:rsidRPr="004802F4">
              <w:rPr>
                <w:rFonts w:eastAsia="SimSun"/>
                <w:sz w:val="18"/>
                <w:lang w:val="fr-FR" w:eastAsia="zh-CN"/>
              </w:rPr>
              <w:t>’</w:t>
            </w:r>
            <w:r w:rsidR="00A041D6" w:rsidRPr="004802F4">
              <w:rPr>
                <w:rFonts w:eastAsia="SimSun"/>
                <w:sz w:val="18"/>
                <w:lang w:val="fr-FR" w:eastAsia="zh-CN"/>
              </w:rPr>
              <w:t xml:space="preserve">un type de plante </w:t>
            </w:r>
            <w:r w:rsidR="00707A69" w:rsidRPr="004802F4">
              <w:rPr>
                <w:rFonts w:eastAsia="SimSun"/>
                <w:sz w:val="18"/>
                <w:lang w:val="fr-FR" w:eastAsia="zh-CN"/>
              </w:rPr>
              <w:t>hors-type</w:t>
            </w:r>
            <w:r w:rsidR="00A041D6" w:rsidRPr="004802F4">
              <w:rPr>
                <w:rFonts w:eastAsia="SimSun"/>
                <w:sz w:val="18"/>
                <w:lang w:val="fr-FR" w:eastAsia="zh-CN"/>
              </w:rPr>
              <w:t xml:space="preserve"> a été observé à un niveau élevé dans un cycle de végétation tout en étant absent dans un autre.</w:t>
            </w:r>
          </w:p>
          <w:p w:rsidR="007A701A" w:rsidRPr="009B0414" w:rsidRDefault="007A701A" w:rsidP="004802F4">
            <w:pPr>
              <w:keepNext/>
              <w:keepLines/>
              <w:ind w:left="884"/>
              <w:rPr>
                <w:rFonts w:eastAsia="SimSun"/>
                <w:sz w:val="8"/>
                <w:szCs w:val="24"/>
                <w:lang w:val="fr-FR" w:eastAsia="zh-CN"/>
              </w:rPr>
            </w:pPr>
          </w:p>
          <w:p w:rsidR="003F7E71" w:rsidRPr="004802F4" w:rsidRDefault="003F7E71" w:rsidP="004802F4">
            <w:pPr>
              <w:keepNext/>
              <w:keepLines/>
              <w:ind w:left="885"/>
              <w:rPr>
                <w:rFonts w:eastAsia="SimSun"/>
                <w:szCs w:val="24"/>
                <w:lang w:val="fr-FR" w:eastAsia="zh-CN"/>
              </w:rPr>
            </w:pPr>
            <w:r w:rsidRPr="004802F4">
              <w:rPr>
                <w:rFonts w:eastAsia="SimSun"/>
                <w:sz w:val="18"/>
                <w:szCs w:val="24"/>
                <w:lang w:val="fr-FR" w:eastAsia="zh-CN"/>
              </w:rPr>
              <w:t xml:space="preserve">** </w:t>
            </w:r>
            <w:r w:rsidR="00531C0A" w:rsidRPr="004802F4">
              <w:rPr>
                <w:rFonts w:eastAsia="SimSun"/>
                <w:sz w:val="18"/>
                <w:szCs w:val="24"/>
                <w:lang w:val="fr-FR" w:eastAsia="zh-CN"/>
              </w:rPr>
              <w:t>Dans certaines circonstances, une variété peut être rejetée après un seul cycle de végétation</w:t>
            </w:r>
            <w:r w:rsidRPr="004802F4">
              <w:rPr>
                <w:rFonts w:eastAsia="SimSun"/>
                <w:sz w:val="18"/>
                <w:szCs w:val="24"/>
                <w:lang w:val="fr-FR" w:eastAsia="zh-CN"/>
              </w:rPr>
              <w:t>.</w:t>
            </w:r>
          </w:p>
        </w:tc>
      </w:tr>
    </w:tbl>
    <w:p w:rsidR="009E51D4" w:rsidRPr="004802F4" w:rsidRDefault="009E51D4" w:rsidP="004802F4">
      <w:pPr>
        <w:rPr>
          <w:lang w:val="fr-FR"/>
        </w:rPr>
      </w:pPr>
    </w:p>
    <w:p w:rsidR="007A701A" w:rsidRPr="004802F4" w:rsidRDefault="00A041D6" w:rsidP="009B0414">
      <w:pPr>
        <w:jc w:val="right"/>
        <w:rPr>
          <w:rFonts w:eastAsia="MS Mincho"/>
          <w:lang w:val="fr-FR" w:eastAsia="ja-JP"/>
        </w:rPr>
      </w:pPr>
      <w:r w:rsidRPr="004802F4">
        <w:rPr>
          <w:rFonts w:eastAsia="MS Mincho"/>
          <w:lang w:val="fr-FR" w:eastAsia="ja-JP"/>
        </w:rPr>
        <w:t>[L</w:t>
      </w:r>
      <w:r w:rsidR="004F302C" w:rsidRPr="004802F4">
        <w:rPr>
          <w:rFonts w:eastAsia="MS Mincho"/>
          <w:lang w:val="fr-FR" w:eastAsia="ja-JP"/>
        </w:rPr>
        <w:t>’</w:t>
      </w:r>
      <w:r w:rsidRPr="004802F4">
        <w:rPr>
          <w:rFonts w:eastAsia="MS Mincho"/>
          <w:lang w:val="fr-FR" w:eastAsia="ja-JP"/>
        </w:rPr>
        <w:t>annexe</w:t>
      </w:r>
      <w:r w:rsidR="009307C6" w:rsidRPr="004802F4">
        <w:rPr>
          <w:rFonts w:eastAsia="MS Mincho"/>
          <w:lang w:val="fr-FR" w:eastAsia="ja-JP"/>
        </w:rPr>
        <w:t> </w:t>
      </w:r>
      <w:r w:rsidRPr="004802F4">
        <w:rPr>
          <w:rFonts w:eastAsia="MS Mincho"/>
          <w:lang w:val="fr-FR" w:eastAsia="ja-JP"/>
        </w:rPr>
        <w:t>III suit]</w:t>
      </w:r>
    </w:p>
    <w:p w:rsidR="003F7E71" w:rsidRPr="004802F4" w:rsidRDefault="003F7E71" w:rsidP="004802F4">
      <w:pPr>
        <w:jc w:val="right"/>
        <w:rPr>
          <w:rFonts w:eastAsia="MS Mincho"/>
          <w:lang w:val="fr-FR" w:eastAsia="ja-JP"/>
        </w:rPr>
        <w:sectPr w:rsidR="003F7E71" w:rsidRPr="004802F4" w:rsidSect="0094458C">
          <w:headerReference w:type="default" r:id="rId14"/>
          <w:headerReference w:type="first" r:id="rId15"/>
          <w:pgSz w:w="11907" w:h="16840" w:code="9"/>
          <w:pgMar w:top="510" w:right="1134" w:bottom="851" w:left="1134" w:header="510" w:footer="680" w:gutter="0"/>
          <w:cols w:space="720"/>
          <w:titlePg/>
          <w:docGrid w:linePitch="272"/>
        </w:sect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4802F4" w:rsidRPr="008155B3" w:rsidTr="003F7E71">
        <w:trPr>
          <w:trHeight w:val="632"/>
        </w:trPr>
        <w:tc>
          <w:tcPr>
            <w:tcW w:w="9355" w:type="dxa"/>
          </w:tcPr>
          <w:p w:rsidR="003F7E71" w:rsidRPr="004802F4" w:rsidRDefault="00A041D6" w:rsidP="004802F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</w:pPr>
            <w:r w:rsidRPr="004802F4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lastRenderedPageBreak/>
              <w:t>SITUATION C : PLUS D</w:t>
            </w:r>
            <w:r w:rsidR="004F302C" w:rsidRPr="004802F4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t>’</w:t>
            </w:r>
            <w:r w:rsidRPr="004802F4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t>UN ÉCHANTILLON OU SOUS</w:t>
            </w:r>
            <w:r w:rsidR="001272D3" w:rsidRPr="004802F4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noBreakHyphen/>
            </w:r>
            <w:r w:rsidRPr="004802F4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t>ÉCHANTILLON POUR UN CARACTÈRE DANS LE MÊME CYCLE DE VÉGÉTATION</w:t>
            </w:r>
          </w:p>
        </w:tc>
      </w:tr>
      <w:tr w:rsidR="004802F4" w:rsidRPr="008155B3" w:rsidTr="009E51D4">
        <w:trPr>
          <w:trHeight w:val="2880"/>
        </w:trPr>
        <w:tc>
          <w:tcPr>
            <w:tcW w:w="9355" w:type="dxa"/>
          </w:tcPr>
          <w:p w:rsidR="007A701A" w:rsidRPr="004802F4" w:rsidRDefault="007A701A" w:rsidP="004802F4">
            <w:pPr>
              <w:rPr>
                <w:b/>
                <w:strike/>
                <w:szCs w:val="24"/>
                <w:highlight w:val="lightGray"/>
                <w:lang w:val="fr-FR"/>
              </w:rPr>
            </w:pPr>
          </w:p>
          <w:p w:rsidR="007A701A" w:rsidRPr="004802F4" w:rsidRDefault="00A041D6" w:rsidP="004802F4">
            <w:pPr>
              <w:rPr>
                <w:strike/>
                <w:highlight w:val="lightGray"/>
                <w:lang w:val="fr-FR"/>
              </w:rPr>
            </w:pPr>
            <w:r w:rsidRPr="004802F4">
              <w:rPr>
                <w:b/>
                <w:strike/>
                <w:highlight w:val="lightGray"/>
                <w:lang w:val="fr-FR"/>
              </w:rPr>
              <w:t>Méthode : Cycle de végétation additionnel si les résultats sont incompatibles</w:t>
            </w:r>
          </w:p>
          <w:p w:rsidR="007A701A" w:rsidRPr="004802F4" w:rsidRDefault="007A701A" w:rsidP="004802F4">
            <w:pPr>
              <w:jc w:val="left"/>
              <w:rPr>
                <w:rFonts w:eastAsia="MS Mincho"/>
                <w:strike/>
                <w:highlight w:val="lightGray"/>
                <w:lang w:val="fr-FR" w:eastAsia="ja-JP"/>
              </w:rPr>
            </w:pPr>
          </w:p>
          <w:p w:rsidR="007A701A" w:rsidRPr="004802F4" w:rsidRDefault="00A041D6" w:rsidP="004802F4">
            <w:pPr>
              <w:rPr>
                <w:strike/>
                <w:szCs w:val="24"/>
                <w:highlight w:val="lightGray"/>
                <w:u w:val="single"/>
                <w:lang w:val="fr-FR"/>
              </w:rPr>
            </w:pPr>
            <w:r w:rsidRPr="004802F4">
              <w:rPr>
                <w:strike/>
                <w:szCs w:val="24"/>
                <w:highlight w:val="lightGray"/>
                <w:u w:val="single"/>
                <w:lang w:val="fr-FR"/>
              </w:rPr>
              <w:t>Une variété est réputée homogène pour un caractère si elle se situe dans les limites de la norme d</w:t>
            </w:r>
            <w:r w:rsidR="004F302C" w:rsidRPr="004802F4">
              <w:rPr>
                <w:strike/>
                <w:szCs w:val="24"/>
                <w:highlight w:val="lightGray"/>
                <w:u w:val="single"/>
                <w:lang w:val="fr-FR"/>
              </w:rPr>
              <w:t>’</w:t>
            </w:r>
            <w:r w:rsidRPr="004802F4">
              <w:rPr>
                <w:strike/>
                <w:szCs w:val="24"/>
                <w:highlight w:val="lightGray"/>
                <w:u w:val="single"/>
                <w:lang w:val="fr-FR"/>
              </w:rPr>
              <w:t>homogénéité pour ce caractère dans tous les échantillons ou sous</w:t>
            </w:r>
            <w:r w:rsidR="001272D3" w:rsidRPr="004802F4">
              <w:rPr>
                <w:strike/>
                <w:szCs w:val="24"/>
                <w:highlight w:val="lightGray"/>
                <w:u w:val="single"/>
                <w:lang w:val="fr-FR"/>
              </w:rPr>
              <w:noBreakHyphen/>
            </w:r>
            <w:r w:rsidRPr="004802F4">
              <w:rPr>
                <w:strike/>
                <w:szCs w:val="24"/>
                <w:highlight w:val="lightGray"/>
                <w:u w:val="single"/>
                <w:lang w:val="fr-FR"/>
              </w:rPr>
              <w:t>échantillons.</w:t>
            </w:r>
          </w:p>
          <w:p w:rsidR="007A701A" w:rsidRPr="004802F4" w:rsidRDefault="007A701A" w:rsidP="004802F4">
            <w:pPr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</w:pPr>
          </w:p>
          <w:p w:rsidR="007A701A" w:rsidRPr="004802F4" w:rsidRDefault="00A041D6" w:rsidP="004802F4">
            <w:pPr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</w:pPr>
            <w:r w:rsidRPr="004802F4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t>Une variété est réputée non homogène si elle ne se situe pas dans les limites de la norme d</w:t>
            </w:r>
            <w:r w:rsidR="004F302C" w:rsidRPr="004802F4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t>’</w:t>
            </w:r>
            <w:r w:rsidRPr="004802F4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t>homogénéité pour le caractère dans tous les échantillons ou sous</w:t>
            </w:r>
            <w:r w:rsidR="001272D3" w:rsidRPr="004802F4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noBreakHyphen/>
            </w:r>
            <w:r w:rsidRPr="004802F4"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t>échantillons.</w:t>
            </w:r>
          </w:p>
          <w:p w:rsidR="007A701A" w:rsidRPr="004802F4" w:rsidRDefault="007A701A" w:rsidP="004802F4">
            <w:pPr>
              <w:rPr>
                <w:strike/>
                <w:szCs w:val="24"/>
                <w:highlight w:val="lightGray"/>
                <w:lang w:val="fr-FR"/>
              </w:rPr>
            </w:pPr>
          </w:p>
          <w:p w:rsidR="007A701A" w:rsidRPr="004802F4" w:rsidRDefault="00A041D6" w:rsidP="004802F4">
            <w:pPr>
              <w:rPr>
                <w:strike/>
                <w:szCs w:val="24"/>
                <w:highlight w:val="lightGray"/>
                <w:lang w:val="fr-FR"/>
              </w:rPr>
            </w:pPr>
            <w:r w:rsidRPr="004802F4">
              <w:rPr>
                <w:strike/>
                <w:szCs w:val="24"/>
                <w:highlight w:val="lightGray"/>
                <w:lang w:val="fr-FR"/>
              </w:rPr>
              <w:t>Lorsqu</w:t>
            </w:r>
            <w:r w:rsidR="004F302C" w:rsidRPr="004802F4">
              <w:rPr>
                <w:strike/>
                <w:szCs w:val="24"/>
                <w:highlight w:val="lightGray"/>
                <w:lang w:val="fr-FR"/>
              </w:rPr>
              <w:t>’</w:t>
            </w:r>
            <w:r w:rsidRPr="004802F4">
              <w:rPr>
                <w:strike/>
                <w:szCs w:val="24"/>
                <w:highlight w:val="lightGray"/>
                <w:lang w:val="fr-FR"/>
              </w:rPr>
              <w:t>une variété se situe dans les limites de la norme d</w:t>
            </w:r>
            <w:r w:rsidR="004F302C" w:rsidRPr="004802F4">
              <w:rPr>
                <w:strike/>
                <w:szCs w:val="24"/>
                <w:highlight w:val="lightGray"/>
                <w:lang w:val="fr-FR"/>
              </w:rPr>
              <w:t>’</w:t>
            </w:r>
            <w:r w:rsidRPr="004802F4">
              <w:rPr>
                <w:strike/>
                <w:szCs w:val="24"/>
                <w:highlight w:val="lightGray"/>
                <w:lang w:val="fr-FR"/>
              </w:rPr>
              <w:t>homogénéité pour le caractère dans un échantillon ou sous</w:t>
            </w:r>
            <w:r w:rsidR="001272D3" w:rsidRPr="004802F4">
              <w:rPr>
                <w:strike/>
                <w:szCs w:val="24"/>
                <w:highlight w:val="lightGray"/>
                <w:lang w:val="fr-FR"/>
              </w:rPr>
              <w:noBreakHyphen/>
            </w:r>
            <w:r w:rsidRPr="004802F4">
              <w:rPr>
                <w:strike/>
                <w:szCs w:val="24"/>
                <w:highlight w:val="lightGray"/>
                <w:lang w:val="fr-FR"/>
              </w:rPr>
              <w:t>échantillon (p. ex. essai principal) et pas dans l</w:t>
            </w:r>
            <w:r w:rsidR="004F302C" w:rsidRPr="004802F4">
              <w:rPr>
                <w:strike/>
                <w:szCs w:val="24"/>
                <w:highlight w:val="lightGray"/>
                <w:lang w:val="fr-FR"/>
              </w:rPr>
              <w:t>’</w:t>
            </w:r>
            <w:r w:rsidRPr="004802F4">
              <w:rPr>
                <w:strike/>
                <w:szCs w:val="24"/>
                <w:highlight w:val="lightGray"/>
                <w:lang w:val="fr-FR"/>
              </w:rPr>
              <w:t>autre (p. ex. parcelle d</w:t>
            </w:r>
            <w:r w:rsidR="004F302C" w:rsidRPr="004802F4">
              <w:rPr>
                <w:strike/>
                <w:szCs w:val="24"/>
                <w:highlight w:val="lightGray"/>
                <w:lang w:val="fr-FR"/>
              </w:rPr>
              <w:t>’</w:t>
            </w:r>
            <w:r w:rsidRPr="004802F4">
              <w:rPr>
                <w:strike/>
                <w:szCs w:val="24"/>
                <w:highlight w:val="lightGray"/>
                <w:lang w:val="fr-FR"/>
              </w:rPr>
              <w:t>épis</w:t>
            </w:r>
            <w:r w:rsidR="001272D3" w:rsidRPr="004802F4">
              <w:rPr>
                <w:strike/>
                <w:szCs w:val="24"/>
                <w:highlight w:val="lightGray"/>
                <w:lang w:val="fr-FR"/>
              </w:rPr>
              <w:noBreakHyphen/>
            </w:r>
            <w:r w:rsidRPr="004802F4">
              <w:rPr>
                <w:strike/>
                <w:szCs w:val="24"/>
                <w:highlight w:val="lightGray"/>
                <w:lang w:val="fr-FR"/>
              </w:rPr>
              <w:t>lignes), les deux échantillons ou sous</w:t>
            </w:r>
            <w:r w:rsidR="001272D3" w:rsidRPr="004802F4">
              <w:rPr>
                <w:strike/>
                <w:szCs w:val="24"/>
                <w:highlight w:val="lightGray"/>
                <w:lang w:val="fr-FR"/>
              </w:rPr>
              <w:noBreakHyphen/>
            </w:r>
            <w:r w:rsidRPr="004802F4">
              <w:rPr>
                <w:strike/>
                <w:szCs w:val="24"/>
                <w:highlight w:val="lightGray"/>
                <w:lang w:val="fr-FR"/>
              </w:rPr>
              <w:t>échantillons sont examinés dans le cadre d</w:t>
            </w:r>
            <w:r w:rsidR="004F302C" w:rsidRPr="004802F4">
              <w:rPr>
                <w:strike/>
                <w:szCs w:val="24"/>
                <w:highlight w:val="lightGray"/>
                <w:lang w:val="fr-FR"/>
              </w:rPr>
              <w:t>’</w:t>
            </w:r>
            <w:r w:rsidRPr="004802F4">
              <w:rPr>
                <w:strike/>
                <w:szCs w:val="24"/>
                <w:highlight w:val="lightGray"/>
                <w:lang w:val="fr-FR"/>
              </w:rPr>
              <w:t>un cycle de végétation additionnel.</w:t>
            </w:r>
          </w:p>
          <w:p w:rsidR="007A701A" w:rsidRPr="004802F4" w:rsidRDefault="00CE59CF" w:rsidP="004802F4">
            <w:pPr>
              <w:rPr>
                <w:strike/>
                <w:szCs w:val="24"/>
                <w:highlight w:val="lightGray"/>
                <w:lang w:val="fr-FR"/>
              </w:rPr>
            </w:pPr>
            <w:r>
              <w:rPr>
                <w:rFonts w:eastAsia="SimSun"/>
                <w:strike/>
                <w:szCs w:val="24"/>
                <w:highlight w:val="lightGray"/>
                <w:lang w:val="fr-FR" w:eastAsia="zh-CN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7A701A" w:rsidRPr="004802F4" w:rsidRDefault="007A701A" w:rsidP="004802F4">
            <w:pPr>
              <w:rPr>
                <w:strike/>
                <w:szCs w:val="24"/>
                <w:highlight w:val="lightGray"/>
                <w:lang w:val="fr-FR"/>
              </w:rPr>
            </w:pPr>
          </w:p>
          <w:p w:rsidR="007A701A" w:rsidRPr="004802F4" w:rsidRDefault="003F7E71" w:rsidP="004802F4">
            <w:pPr>
              <w:rPr>
                <w:strike/>
                <w:szCs w:val="24"/>
                <w:highlight w:val="lightGray"/>
                <w:lang w:val="fr-FR"/>
              </w:rPr>
            </w:pPr>
            <w:r w:rsidRPr="004802F4">
              <w:rPr>
                <w:strike/>
                <w:szCs w:val="24"/>
                <w:highlight w:val="lightGray"/>
                <w:u w:val="single"/>
                <w:lang w:val="fr-FR"/>
              </w:rPr>
              <w:t>Note</w:t>
            </w:r>
            <w:r w:rsidR="00701547" w:rsidRPr="004802F4">
              <w:rPr>
                <w:strike/>
                <w:szCs w:val="24"/>
                <w:highlight w:val="lightGray"/>
                <w:lang w:val="fr-FR"/>
              </w:rPr>
              <w:t> :</w:t>
            </w:r>
            <w:r w:rsidRPr="004802F4">
              <w:rPr>
                <w:strike/>
                <w:szCs w:val="24"/>
                <w:highlight w:val="lightGray"/>
                <w:lang w:val="fr-FR"/>
              </w:rPr>
              <w:t xml:space="preserve"> </w:t>
            </w:r>
            <w:r w:rsidR="00701547" w:rsidRPr="004802F4">
              <w:rPr>
                <w:strike/>
                <w:szCs w:val="24"/>
                <w:highlight w:val="lightGray"/>
                <w:lang w:val="fr-FR"/>
              </w:rPr>
              <w:t>déterminer si la situation C est déjà couverte par le document</w:t>
            </w:r>
            <w:r w:rsidRPr="004802F4">
              <w:rPr>
                <w:strike/>
                <w:szCs w:val="24"/>
                <w:highlight w:val="lightGray"/>
                <w:lang w:val="fr-FR"/>
              </w:rPr>
              <w:t xml:space="preserve"> TGP/10 “Exa</w:t>
            </w:r>
            <w:r w:rsidR="00701547" w:rsidRPr="004802F4">
              <w:rPr>
                <w:strike/>
                <w:szCs w:val="24"/>
                <w:highlight w:val="lightGray"/>
                <w:lang w:val="fr-FR"/>
              </w:rPr>
              <w:t>men de l</w:t>
            </w:r>
            <w:r w:rsidR="004F302C" w:rsidRPr="004802F4">
              <w:rPr>
                <w:strike/>
                <w:szCs w:val="24"/>
                <w:highlight w:val="lightGray"/>
                <w:lang w:val="fr-FR"/>
              </w:rPr>
              <w:t>’</w:t>
            </w:r>
            <w:r w:rsidR="00701547" w:rsidRPr="004802F4">
              <w:rPr>
                <w:strike/>
                <w:szCs w:val="24"/>
                <w:highlight w:val="lightGray"/>
                <w:lang w:val="fr-FR"/>
              </w:rPr>
              <w:t>homogénéité</w:t>
            </w:r>
            <w:r w:rsidR="002D2E1B" w:rsidRPr="004802F4">
              <w:rPr>
                <w:strike/>
                <w:szCs w:val="24"/>
                <w:highlight w:val="lightGray"/>
                <w:lang w:val="fr-FR"/>
              </w:rPr>
              <w:t>”</w:t>
            </w:r>
            <w:r w:rsidR="001164C6" w:rsidRPr="004802F4">
              <w:rPr>
                <w:strike/>
                <w:szCs w:val="24"/>
                <w:highlight w:val="lightGray"/>
                <w:lang w:val="fr-FR"/>
              </w:rPr>
              <w:t>, s</w:t>
            </w:r>
            <w:r w:rsidRPr="004802F4">
              <w:rPr>
                <w:strike/>
                <w:szCs w:val="24"/>
                <w:highlight w:val="lightGray"/>
                <w:lang w:val="fr-FR"/>
              </w:rPr>
              <w:t>ection</w:t>
            </w:r>
            <w:r w:rsidR="009307C6" w:rsidRPr="004802F4">
              <w:rPr>
                <w:strike/>
                <w:szCs w:val="24"/>
                <w:highlight w:val="lightGray"/>
                <w:lang w:val="fr-FR"/>
              </w:rPr>
              <w:t> </w:t>
            </w:r>
            <w:r w:rsidRPr="004802F4">
              <w:rPr>
                <w:strike/>
                <w:szCs w:val="24"/>
                <w:highlight w:val="lightGray"/>
                <w:lang w:val="fr-FR"/>
              </w:rPr>
              <w:t>6 “Combin</w:t>
            </w:r>
            <w:r w:rsidR="001164C6" w:rsidRPr="004802F4">
              <w:rPr>
                <w:strike/>
                <w:szCs w:val="24"/>
                <w:highlight w:val="lightGray"/>
                <w:lang w:val="fr-FR"/>
              </w:rPr>
              <w:t>aison des observations</w:t>
            </w:r>
            <w:r w:rsidRPr="004802F4">
              <w:rPr>
                <w:strike/>
                <w:szCs w:val="24"/>
                <w:highlight w:val="lightGray"/>
                <w:lang w:val="fr-FR"/>
              </w:rPr>
              <w:t>”.</w:t>
            </w:r>
          </w:p>
          <w:p w:rsidR="007A701A" w:rsidRPr="004802F4" w:rsidRDefault="007A701A" w:rsidP="004802F4">
            <w:pPr>
              <w:rPr>
                <w:strike/>
                <w:szCs w:val="24"/>
                <w:highlight w:val="lightGray"/>
                <w:lang w:val="fr-FR"/>
              </w:rPr>
            </w:pPr>
          </w:p>
          <w:p w:rsidR="007A701A" w:rsidRPr="004802F4" w:rsidRDefault="003F7E71" w:rsidP="004802F4">
            <w:pPr>
              <w:ind w:left="33"/>
              <w:rPr>
                <w:strike/>
                <w:snapToGrid w:val="0"/>
                <w:highlight w:val="lightGray"/>
                <w:lang w:val="fr-FR"/>
              </w:rPr>
            </w:pPr>
            <w:r w:rsidRPr="004802F4">
              <w:rPr>
                <w:strike/>
                <w:snapToGrid w:val="0"/>
                <w:highlight w:val="lightGray"/>
                <w:lang w:val="fr-FR"/>
              </w:rPr>
              <w:t>Extra</w:t>
            </w:r>
            <w:r w:rsidR="001164C6" w:rsidRPr="004802F4">
              <w:rPr>
                <w:strike/>
                <w:snapToGrid w:val="0"/>
                <w:highlight w:val="lightGray"/>
                <w:lang w:val="fr-FR"/>
              </w:rPr>
              <w:t>i</w:t>
            </w:r>
            <w:r w:rsidRPr="004802F4">
              <w:rPr>
                <w:strike/>
                <w:snapToGrid w:val="0"/>
                <w:highlight w:val="lightGray"/>
                <w:lang w:val="fr-FR"/>
              </w:rPr>
              <w:t xml:space="preserve">t </w:t>
            </w:r>
            <w:r w:rsidR="001164C6" w:rsidRPr="004802F4">
              <w:rPr>
                <w:strike/>
                <w:snapToGrid w:val="0"/>
                <w:highlight w:val="lightGray"/>
                <w:lang w:val="fr-FR"/>
              </w:rPr>
              <w:t xml:space="preserve">tiré du </w:t>
            </w:r>
            <w:r w:rsidRPr="004802F4">
              <w:rPr>
                <w:strike/>
                <w:snapToGrid w:val="0"/>
                <w:highlight w:val="lightGray"/>
                <w:lang w:val="fr-FR"/>
              </w:rPr>
              <w:t>docu</w:t>
            </w:r>
            <w:r w:rsidR="001164C6" w:rsidRPr="004802F4">
              <w:rPr>
                <w:strike/>
                <w:snapToGrid w:val="0"/>
                <w:highlight w:val="lightGray"/>
                <w:lang w:val="fr-FR"/>
              </w:rPr>
              <w:t>ment TGP/10 “Examen de l</w:t>
            </w:r>
            <w:r w:rsidR="004F302C" w:rsidRPr="004802F4">
              <w:rPr>
                <w:strike/>
                <w:snapToGrid w:val="0"/>
                <w:highlight w:val="lightGray"/>
                <w:lang w:val="fr-FR"/>
              </w:rPr>
              <w:t>’</w:t>
            </w:r>
            <w:r w:rsidR="001164C6" w:rsidRPr="004802F4">
              <w:rPr>
                <w:strike/>
                <w:snapToGrid w:val="0"/>
                <w:highlight w:val="lightGray"/>
                <w:lang w:val="fr-FR"/>
              </w:rPr>
              <w:t>homogénéité</w:t>
            </w:r>
            <w:r w:rsidRPr="004802F4">
              <w:rPr>
                <w:strike/>
                <w:snapToGrid w:val="0"/>
                <w:highlight w:val="lightGray"/>
                <w:lang w:val="fr-FR"/>
              </w:rPr>
              <w:t>”</w:t>
            </w:r>
          </w:p>
          <w:p w:rsidR="007A701A" w:rsidRPr="004802F4" w:rsidRDefault="007A701A" w:rsidP="004802F4">
            <w:pPr>
              <w:ind w:left="426"/>
              <w:rPr>
                <w:strike/>
                <w:snapToGrid w:val="0"/>
                <w:highlight w:val="lightGray"/>
                <w:lang w:val="fr-FR"/>
              </w:rPr>
            </w:pPr>
          </w:p>
          <w:p w:rsidR="007A701A" w:rsidRPr="004802F4" w:rsidRDefault="009E51D4" w:rsidP="004802F4">
            <w:pPr>
              <w:ind w:left="742" w:right="601"/>
              <w:rPr>
                <w:strike/>
                <w:snapToGrid w:val="0"/>
                <w:sz w:val="18"/>
                <w:highlight w:val="lightGray"/>
                <w:lang w:val="fr-FR"/>
              </w:rPr>
            </w:pPr>
            <w:r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“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SECTION 6 : Combinaison d</w:t>
            </w:r>
            <w:r w:rsidR="00B96C28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es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 xml:space="preserve"> observations</w:t>
            </w:r>
          </w:p>
          <w:p w:rsidR="007A701A" w:rsidRPr="004802F4" w:rsidRDefault="007A701A" w:rsidP="004802F4">
            <w:pPr>
              <w:ind w:left="742" w:right="601"/>
              <w:rPr>
                <w:strike/>
                <w:snapToGrid w:val="0"/>
                <w:sz w:val="18"/>
                <w:highlight w:val="lightGray"/>
                <w:lang w:val="fr-FR"/>
              </w:rPr>
            </w:pPr>
          </w:p>
          <w:p w:rsidR="007A701A" w:rsidRPr="004802F4" w:rsidRDefault="003F7E71" w:rsidP="004802F4">
            <w:pPr>
              <w:ind w:left="742" w:right="601"/>
              <w:rPr>
                <w:strike/>
                <w:snapToGrid w:val="0"/>
                <w:sz w:val="18"/>
                <w:highlight w:val="lightGray"/>
                <w:lang w:val="fr-FR"/>
              </w:rPr>
            </w:pPr>
            <w:r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[…]</w:t>
            </w:r>
          </w:p>
          <w:p w:rsidR="007A701A" w:rsidRPr="004802F4" w:rsidRDefault="007A701A" w:rsidP="004802F4">
            <w:pPr>
              <w:ind w:left="742" w:right="601"/>
              <w:rPr>
                <w:strike/>
                <w:snapToGrid w:val="0"/>
                <w:sz w:val="18"/>
                <w:highlight w:val="lightGray"/>
                <w:lang w:val="fr-FR"/>
              </w:rPr>
            </w:pPr>
          </w:p>
          <w:p w:rsidR="004F302C" w:rsidRPr="004802F4" w:rsidRDefault="009E51D4" w:rsidP="004802F4">
            <w:pPr>
              <w:ind w:left="742" w:right="601"/>
              <w:rPr>
                <w:strike/>
                <w:snapToGrid w:val="0"/>
                <w:sz w:val="18"/>
                <w:highlight w:val="lightGray"/>
                <w:lang w:val="fr-FR"/>
              </w:rPr>
            </w:pPr>
            <w:r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“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6</w:t>
            </w:r>
            <w:r w:rsidR="001164C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.</w:t>
            </w:r>
            <w:r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3</w:t>
            </w:r>
            <w:r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ab/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 xml:space="preserve">Plantes </w:t>
            </w:r>
            <w:r w:rsidR="00707A69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hors-type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 xml:space="preserve"> seulement : observation de différents caractères sur des échantillons différents</w:t>
            </w:r>
          </w:p>
          <w:p w:rsidR="007A701A" w:rsidRPr="004802F4" w:rsidRDefault="007A701A" w:rsidP="004802F4">
            <w:pPr>
              <w:ind w:left="742" w:right="601"/>
              <w:rPr>
                <w:strike/>
                <w:snapToGrid w:val="0"/>
                <w:sz w:val="18"/>
                <w:highlight w:val="lightGray"/>
                <w:lang w:val="fr-FR"/>
              </w:rPr>
            </w:pPr>
          </w:p>
          <w:p w:rsidR="007A701A" w:rsidRPr="004802F4" w:rsidRDefault="00835958" w:rsidP="004802F4">
            <w:pPr>
              <w:ind w:left="742" w:right="601"/>
              <w:rPr>
                <w:strike/>
                <w:snapToGrid w:val="0"/>
                <w:sz w:val="18"/>
                <w:lang w:val="fr-FR"/>
              </w:rPr>
            </w:pPr>
            <w:r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“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Dans de nombreux cas, on évalue l</w:t>
            </w:r>
            <w:r w:rsidR="004F302C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’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homogénéité en effectuant les observations sur des échantillons différents de plantes ou parties de plantes.</w:t>
            </w:r>
            <w:r w:rsidR="003F7E71" w:rsidRPr="004802F4">
              <w:rPr>
                <w:strike/>
                <w:sz w:val="18"/>
                <w:highlight w:val="lightGray"/>
                <w:lang w:val="fr-FR"/>
              </w:rPr>
              <w:t xml:space="preserve">  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Par exemple, pour évaluer l</w:t>
            </w:r>
            <w:r w:rsidR="004F302C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’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homogénéité du blé (voir les principes directeurs d</w:t>
            </w:r>
            <w:r w:rsidR="004F302C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’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examen de l</w:t>
            </w:r>
            <w:r w:rsidR="004F302C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’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UPOV pour le blé</w:t>
            </w:r>
            <w:r w:rsidR="009307C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 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: TG/3), certains caractères sont observés sur un échantillon de</w:t>
            </w:r>
            <w:r w:rsidR="009307C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 </w:t>
            </w:r>
            <w:r w:rsidR="002D2E1B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2000 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plantes, tandis que d</w:t>
            </w:r>
            <w:r w:rsidR="004F302C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’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 xml:space="preserve">autres sont observés sur un échantillon constitué de </w:t>
            </w:r>
            <w:r w:rsidR="002D2E1B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100 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 xml:space="preserve">parties de plantes prélevées sur </w:t>
            </w:r>
            <w:r w:rsidR="002D2E1B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100 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plantes.</w:t>
            </w:r>
            <w:r w:rsidR="003F7E71" w:rsidRPr="004802F4">
              <w:rPr>
                <w:strike/>
                <w:sz w:val="18"/>
                <w:highlight w:val="lightGray"/>
                <w:lang w:val="fr-FR"/>
              </w:rPr>
              <w:t xml:space="preserve">  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 xml:space="preserve">Les plantes </w:t>
            </w:r>
            <w:r w:rsidR="00707A69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hors-type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 xml:space="preserve"> observées sur la parcelle regroupant les </w:t>
            </w:r>
            <w:r w:rsidR="002D2E1B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2000 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plantes peuvent être écartées des observations suivantes.</w:t>
            </w:r>
            <w:r w:rsidR="003F7E71" w:rsidRPr="004802F4">
              <w:rPr>
                <w:strike/>
                <w:sz w:val="18"/>
                <w:highlight w:val="lightGray"/>
                <w:lang w:val="fr-FR"/>
              </w:rPr>
              <w:t xml:space="preserve">  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 xml:space="preserve">Quant aux parties de plantes prélevées sur les </w:t>
            </w:r>
            <w:r w:rsidR="002D2E1B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100 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plantes, normalement il n</w:t>
            </w:r>
            <w:r w:rsidR="004F302C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’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est pas possible de retrouver la plante d</w:t>
            </w:r>
            <w:r w:rsidR="004F302C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’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où provient la partie de plante sur la parcelle.</w:t>
            </w:r>
            <w:r w:rsidR="003F7E71" w:rsidRPr="004802F4">
              <w:rPr>
                <w:strike/>
                <w:sz w:val="18"/>
                <w:highlight w:val="lightGray"/>
                <w:lang w:val="fr-FR"/>
              </w:rPr>
              <w:t xml:space="preserve">  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Par conséquent, l</w:t>
            </w:r>
            <w:r w:rsidR="004F302C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’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 xml:space="preserve">échantillon composé des </w:t>
            </w:r>
            <w:r w:rsidR="002D2E1B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100 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 xml:space="preserve">parties de plantes est à considérer comme indépendant des </w:t>
            </w:r>
            <w:r w:rsidR="002D2E1B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2000 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plantes.</w:t>
            </w:r>
            <w:r w:rsidR="003F7E71" w:rsidRPr="004802F4">
              <w:rPr>
                <w:strike/>
                <w:sz w:val="18"/>
                <w:highlight w:val="lightGray"/>
                <w:lang w:val="fr-FR"/>
              </w:rPr>
              <w:t xml:space="preserve">  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Un autre échantillon indépendant de la variété est observé en vue de déterminer les caractères des semences.</w:t>
            </w:r>
            <w:r w:rsidR="003F7E71" w:rsidRPr="004802F4">
              <w:rPr>
                <w:strike/>
                <w:sz w:val="18"/>
                <w:highlight w:val="lightGray"/>
                <w:lang w:val="fr-FR"/>
              </w:rPr>
              <w:t xml:space="preserve">  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Dans pareils cas, l</w:t>
            </w:r>
            <w:r w:rsidR="004F302C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’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évaluation de l</w:t>
            </w:r>
            <w:r w:rsidR="004F302C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’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homogénéité doit porter sur tous les échantillons indépendants, et la norme de population appropriée doit être appliquée.</w:t>
            </w:r>
            <w:r w:rsidR="003F7E71" w:rsidRPr="004802F4">
              <w:rPr>
                <w:strike/>
                <w:sz w:val="18"/>
                <w:highlight w:val="lightGray"/>
                <w:lang w:val="fr-FR"/>
              </w:rPr>
              <w:t xml:space="preserve"> </w:t>
            </w:r>
            <w:r w:rsidR="009307C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 xml:space="preserve"> 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Il convient de considérer une variété comme homogène si les critères d</w:t>
            </w:r>
            <w:r w:rsidR="004F302C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’</w:t>
            </w:r>
            <w:r w:rsidR="00A041D6"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homogénéité sont véri</w:t>
            </w:r>
            <w:r w:rsidRPr="004802F4">
              <w:rPr>
                <w:strike/>
                <w:snapToGrid w:val="0"/>
                <w:sz w:val="18"/>
                <w:highlight w:val="lightGray"/>
                <w:lang w:val="fr-FR"/>
              </w:rPr>
              <w:t>fiés dans tous les échantillons.”</w:t>
            </w:r>
          </w:p>
          <w:p w:rsidR="007A701A" w:rsidRPr="004802F4" w:rsidRDefault="007A701A" w:rsidP="004802F4">
            <w:pPr>
              <w:rPr>
                <w:strike/>
                <w:szCs w:val="24"/>
                <w:lang w:val="fr-FR"/>
              </w:rPr>
            </w:pPr>
          </w:p>
          <w:p w:rsidR="003F7E71" w:rsidRPr="004802F4" w:rsidRDefault="003F7E71" w:rsidP="004802F4">
            <w:pPr>
              <w:rPr>
                <w:strike/>
                <w:szCs w:val="24"/>
                <w:lang w:val="fr-FR"/>
              </w:rPr>
            </w:pPr>
          </w:p>
        </w:tc>
      </w:tr>
    </w:tbl>
    <w:p w:rsidR="007A701A" w:rsidRPr="004802F4" w:rsidRDefault="007A701A" w:rsidP="004802F4">
      <w:pPr>
        <w:rPr>
          <w:snapToGrid w:val="0"/>
          <w:lang w:val="fr-FR"/>
        </w:rPr>
      </w:pPr>
    </w:p>
    <w:p w:rsidR="007A701A" w:rsidRPr="004802F4" w:rsidRDefault="007A701A" w:rsidP="004802F4">
      <w:pPr>
        <w:rPr>
          <w:snapToGrid w:val="0"/>
          <w:lang w:val="fr-FR"/>
        </w:rPr>
      </w:pPr>
    </w:p>
    <w:p w:rsidR="007A701A" w:rsidRPr="004802F4" w:rsidRDefault="007A701A" w:rsidP="004802F4">
      <w:pPr>
        <w:rPr>
          <w:snapToGrid w:val="0"/>
          <w:lang w:val="fr-FR"/>
        </w:rPr>
      </w:pPr>
    </w:p>
    <w:p w:rsidR="007A701A" w:rsidRPr="004802F4" w:rsidRDefault="00A041D6" w:rsidP="004802F4">
      <w:pPr>
        <w:jc w:val="right"/>
        <w:rPr>
          <w:lang w:val="fr-FR"/>
        </w:rPr>
      </w:pPr>
      <w:r w:rsidRPr="004802F4">
        <w:rPr>
          <w:lang w:val="fr-FR"/>
        </w:rPr>
        <w:t>[L</w:t>
      </w:r>
      <w:r w:rsidR="004F302C" w:rsidRPr="004802F4">
        <w:rPr>
          <w:lang w:val="fr-FR"/>
        </w:rPr>
        <w:t>’</w:t>
      </w:r>
      <w:r w:rsidRPr="004802F4">
        <w:rPr>
          <w:lang w:val="fr-FR"/>
        </w:rPr>
        <w:t>annexe</w:t>
      </w:r>
      <w:r w:rsidR="009307C6" w:rsidRPr="004802F4">
        <w:rPr>
          <w:lang w:val="fr-FR"/>
        </w:rPr>
        <w:t> </w:t>
      </w:r>
      <w:r w:rsidRPr="004802F4">
        <w:rPr>
          <w:lang w:val="fr-FR"/>
        </w:rPr>
        <w:t>IV suit]</w:t>
      </w:r>
    </w:p>
    <w:p w:rsidR="007A701A" w:rsidRPr="004802F4" w:rsidRDefault="007A701A" w:rsidP="004802F4">
      <w:pPr>
        <w:rPr>
          <w:snapToGrid w:val="0"/>
          <w:lang w:val="fr-FR"/>
        </w:rPr>
      </w:pPr>
    </w:p>
    <w:p w:rsidR="003F7E71" w:rsidRPr="004802F4" w:rsidRDefault="003F7E71" w:rsidP="004802F4">
      <w:pPr>
        <w:rPr>
          <w:snapToGrid w:val="0"/>
          <w:lang w:val="fr-FR"/>
        </w:rPr>
        <w:sectPr w:rsidR="003F7E71" w:rsidRPr="004802F4" w:rsidSect="0094458C">
          <w:headerReference w:type="first" r:id="rId16"/>
          <w:footerReference w:type="first" r:id="rId17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802F4" w:rsidRPr="008155B3" w:rsidTr="003F7E71">
        <w:trPr>
          <w:trHeight w:val="350"/>
        </w:trPr>
        <w:tc>
          <w:tcPr>
            <w:tcW w:w="10206" w:type="dxa"/>
          </w:tcPr>
          <w:p w:rsidR="003F7E71" w:rsidRPr="004802F4" w:rsidRDefault="00835958" w:rsidP="004802F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SimSun"/>
                <w:szCs w:val="24"/>
                <w:lang w:val="fr-FR" w:eastAsia="zh-CN"/>
              </w:rPr>
            </w:pPr>
            <w:r w:rsidRPr="004802F4">
              <w:rPr>
                <w:rFonts w:eastAsia="SimSun"/>
                <w:szCs w:val="24"/>
                <w:lang w:val="fr-FR" w:eastAsia="zh-CN"/>
              </w:rPr>
              <w:lastRenderedPageBreak/>
              <w:t>SITUATION D : ÉVALUATION DE SOUS</w:t>
            </w:r>
            <w:r w:rsidR="001272D3" w:rsidRPr="004802F4">
              <w:rPr>
                <w:rFonts w:eastAsia="SimSun"/>
                <w:szCs w:val="24"/>
                <w:lang w:val="fr-FR" w:eastAsia="zh-CN"/>
              </w:rPr>
              <w:noBreakHyphen/>
            </w:r>
            <w:r w:rsidRPr="004802F4">
              <w:rPr>
                <w:rFonts w:eastAsia="SimSun"/>
                <w:szCs w:val="24"/>
                <w:lang w:val="fr-FR" w:eastAsia="zh-CN"/>
              </w:rPr>
              <w:t>ÉCHANTILLONS DANS LE CADRE D</w:t>
            </w:r>
            <w:r w:rsidR="004F302C" w:rsidRPr="004802F4">
              <w:rPr>
                <w:rFonts w:eastAsia="SimSun"/>
                <w:szCs w:val="24"/>
                <w:lang w:val="fr-FR" w:eastAsia="zh-CN"/>
              </w:rPr>
              <w:t>’</w:t>
            </w:r>
            <w:r w:rsidRPr="004802F4">
              <w:rPr>
                <w:rFonts w:eastAsia="SimSun"/>
                <w:szCs w:val="24"/>
                <w:lang w:val="fr-FR" w:eastAsia="zh-CN"/>
              </w:rPr>
              <w:t>UN SEUL EXAMEN/ESSAI</w:t>
            </w:r>
          </w:p>
        </w:tc>
      </w:tr>
      <w:tr w:rsidR="004802F4" w:rsidRPr="008155B3" w:rsidTr="003F7E71">
        <w:trPr>
          <w:trHeight w:val="6949"/>
        </w:trPr>
        <w:tc>
          <w:tcPr>
            <w:tcW w:w="10206" w:type="dxa"/>
          </w:tcPr>
          <w:p w:rsidR="007A701A" w:rsidRPr="004802F4" w:rsidRDefault="007A701A" w:rsidP="004802F4">
            <w:pPr>
              <w:rPr>
                <w:lang w:val="fr-FR"/>
              </w:rPr>
            </w:pPr>
          </w:p>
          <w:p w:rsidR="007A701A" w:rsidRPr="004802F4" w:rsidRDefault="00A041D6" w:rsidP="004802F4">
            <w:pPr>
              <w:rPr>
                <w:b/>
                <w:lang w:val="fr-FR"/>
              </w:rPr>
            </w:pPr>
            <w:r w:rsidRPr="004802F4">
              <w:rPr>
                <w:b/>
                <w:lang w:val="fr-FR"/>
              </w:rPr>
              <w:t>Méthode : Utilisation du sous</w:t>
            </w:r>
            <w:r w:rsidR="001272D3" w:rsidRPr="004802F4">
              <w:rPr>
                <w:b/>
                <w:lang w:val="fr-FR"/>
              </w:rPr>
              <w:noBreakHyphen/>
            </w:r>
            <w:r w:rsidRPr="004802F4">
              <w:rPr>
                <w:b/>
                <w:lang w:val="fr-FR"/>
              </w:rPr>
              <w:t>échantillon comme première étape d</w:t>
            </w:r>
            <w:r w:rsidR="004F302C" w:rsidRPr="004802F4">
              <w:rPr>
                <w:b/>
                <w:lang w:val="fr-FR"/>
              </w:rPr>
              <w:t>’</w:t>
            </w:r>
            <w:r w:rsidRPr="004802F4">
              <w:rPr>
                <w:b/>
                <w:lang w:val="fr-FR"/>
              </w:rPr>
              <w:t>évaluation</w:t>
            </w:r>
          </w:p>
          <w:p w:rsidR="007A701A" w:rsidRPr="004802F4" w:rsidRDefault="007A701A" w:rsidP="004802F4">
            <w:pPr>
              <w:rPr>
                <w:b/>
                <w:lang w:val="fr-FR"/>
              </w:rPr>
            </w:pPr>
          </w:p>
          <w:p w:rsidR="007A701A" w:rsidRPr="004802F4" w:rsidRDefault="00AC29B7" w:rsidP="004802F4">
            <w:pPr>
              <w:rPr>
                <w:lang w:val="fr-FR"/>
              </w:rPr>
            </w:pPr>
            <w:r w:rsidRPr="004802F4">
              <w:rPr>
                <w:lang w:val="fr-FR"/>
              </w:rPr>
              <w:t xml:space="preserve">Une variété est réputée homogène si </w:t>
            </w:r>
            <w:r w:rsidRPr="004802F4">
              <w:rPr>
                <w:strike/>
                <w:highlight w:val="lightGray"/>
                <w:lang w:val="fr-FR"/>
              </w:rPr>
              <w:t>aucune</w:t>
            </w:r>
            <w:r w:rsidRPr="004802F4">
              <w:rPr>
                <w:highlight w:val="lightGray"/>
                <w:lang w:val="fr-FR"/>
              </w:rPr>
              <w:t xml:space="preserve"> </w:t>
            </w:r>
            <w:r w:rsidRPr="004802F4">
              <w:rPr>
                <w:highlight w:val="lightGray"/>
                <w:u w:val="single"/>
                <w:lang w:val="fr-FR"/>
              </w:rPr>
              <w:t>le nombre de</w:t>
            </w:r>
            <w:r w:rsidRPr="004802F4">
              <w:rPr>
                <w:lang w:val="fr-FR"/>
              </w:rPr>
              <w:t xml:space="preserve"> plante</w:t>
            </w:r>
            <w:r w:rsidRPr="004802F4">
              <w:rPr>
                <w:highlight w:val="lightGray"/>
                <w:u w:val="single"/>
                <w:lang w:val="fr-FR"/>
              </w:rPr>
              <w:t>s</w:t>
            </w:r>
            <w:r w:rsidRPr="004802F4">
              <w:rPr>
                <w:lang w:val="fr-FR"/>
              </w:rPr>
              <w:t xml:space="preserve"> </w:t>
            </w:r>
            <w:r w:rsidR="00707A69" w:rsidRPr="004802F4">
              <w:rPr>
                <w:lang w:val="fr-FR"/>
              </w:rPr>
              <w:t>hors-type</w:t>
            </w:r>
            <w:r w:rsidRPr="004802F4">
              <w:rPr>
                <w:lang w:val="fr-FR"/>
              </w:rPr>
              <w:t xml:space="preserve"> </w:t>
            </w:r>
            <w:r w:rsidR="00610D07" w:rsidRPr="004802F4">
              <w:rPr>
                <w:strike/>
                <w:highlight w:val="lightGray"/>
                <w:lang w:val="fr-FR"/>
              </w:rPr>
              <w:t>n</w:t>
            </w:r>
            <w:r w:rsidR="004F302C" w:rsidRPr="004802F4">
              <w:rPr>
                <w:strike/>
                <w:highlight w:val="lightGray"/>
                <w:lang w:val="fr-FR"/>
              </w:rPr>
              <w:t>’</w:t>
            </w:r>
            <w:r w:rsidR="00610D07" w:rsidRPr="004802F4">
              <w:rPr>
                <w:strike/>
                <w:highlight w:val="lightGray"/>
                <w:lang w:val="fr-FR"/>
              </w:rPr>
              <w:t>est observée</w:t>
            </w:r>
            <w:r w:rsidR="00610D07" w:rsidRPr="004802F4">
              <w:rPr>
                <w:highlight w:val="lightGray"/>
                <w:lang w:val="fr-FR"/>
              </w:rPr>
              <w:t xml:space="preserve"> </w:t>
            </w:r>
            <w:r w:rsidRPr="004802F4">
              <w:rPr>
                <w:highlight w:val="lightGray"/>
                <w:lang w:val="fr-FR"/>
              </w:rPr>
              <w:t>ne dépasse pas une limite inférieure prédéfinie</w:t>
            </w:r>
            <w:r w:rsidRPr="004802F4">
              <w:rPr>
                <w:lang w:val="fr-FR"/>
              </w:rPr>
              <w:t xml:space="preserve"> dans </w:t>
            </w:r>
            <w:proofErr w:type="spellStart"/>
            <w:r w:rsidR="00610D07" w:rsidRPr="004802F4">
              <w:rPr>
                <w:strike/>
                <w:highlight w:val="lightGray"/>
                <w:lang w:val="fr-FR"/>
              </w:rPr>
              <w:t>un</w:t>
            </w:r>
            <w:r w:rsidRPr="004802F4">
              <w:rPr>
                <w:highlight w:val="lightGray"/>
                <w:u w:val="single"/>
                <w:lang w:val="fr-FR"/>
              </w:rPr>
              <w:t>le</w:t>
            </w:r>
            <w:proofErr w:type="spellEnd"/>
            <w:r w:rsidRPr="004802F4">
              <w:rPr>
                <w:lang w:val="fr-FR"/>
              </w:rPr>
              <w:t xml:space="preserve"> sous échantillon.</w:t>
            </w:r>
          </w:p>
          <w:p w:rsidR="007A701A" w:rsidRPr="004802F4" w:rsidRDefault="007A701A" w:rsidP="004802F4">
            <w:pPr>
              <w:rPr>
                <w:lang w:val="fr-FR"/>
              </w:rPr>
            </w:pPr>
          </w:p>
          <w:p w:rsidR="00AC29B7" w:rsidRPr="004802F4" w:rsidRDefault="00AC29B7" w:rsidP="004802F4">
            <w:pPr>
              <w:rPr>
                <w:lang w:val="fr-FR"/>
              </w:rPr>
            </w:pPr>
            <w:r w:rsidRPr="004802F4">
              <w:rPr>
                <w:lang w:val="fr-FR"/>
              </w:rPr>
              <w:t xml:space="preserve">Une variété est réputée non homogène si le nombre de plantes </w:t>
            </w:r>
            <w:r w:rsidR="00707A69" w:rsidRPr="004802F4">
              <w:rPr>
                <w:lang w:val="fr-FR"/>
              </w:rPr>
              <w:t>hors-type</w:t>
            </w:r>
            <w:r w:rsidRPr="004802F4">
              <w:rPr>
                <w:lang w:val="fr-FR"/>
              </w:rPr>
              <w:t xml:space="preserve"> </w:t>
            </w:r>
            <w:r w:rsidR="00610D07" w:rsidRPr="004802F4">
              <w:rPr>
                <w:strike/>
                <w:highlight w:val="lightGray"/>
                <w:lang w:val="fr-FR"/>
              </w:rPr>
              <w:t>dans le sous</w:t>
            </w:r>
            <w:r w:rsidR="001272D3" w:rsidRPr="004802F4">
              <w:rPr>
                <w:strike/>
                <w:highlight w:val="lightGray"/>
                <w:lang w:val="fr-FR"/>
              </w:rPr>
              <w:noBreakHyphen/>
            </w:r>
            <w:r w:rsidR="00610D07" w:rsidRPr="004802F4">
              <w:rPr>
                <w:strike/>
                <w:highlight w:val="lightGray"/>
                <w:lang w:val="fr-FR"/>
              </w:rPr>
              <w:t>échantillon</w:t>
            </w:r>
            <w:r w:rsidR="00610D07" w:rsidRPr="004802F4">
              <w:rPr>
                <w:lang w:val="fr-FR"/>
              </w:rPr>
              <w:t xml:space="preserve"> </w:t>
            </w:r>
            <w:r w:rsidRPr="004802F4">
              <w:rPr>
                <w:lang w:val="fr-FR"/>
              </w:rPr>
              <w:t xml:space="preserve">dépasse </w:t>
            </w:r>
            <w:r w:rsidRPr="004802F4">
              <w:rPr>
                <w:highlight w:val="lightGray"/>
                <w:u w:val="single"/>
                <w:lang w:val="fr-FR"/>
              </w:rPr>
              <w:t>une limite supérieure prédéfinie dans le sous</w:t>
            </w:r>
            <w:r w:rsidR="001272D3" w:rsidRPr="004802F4">
              <w:rPr>
                <w:highlight w:val="lightGray"/>
                <w:u w:val="single"/>
                <w:lang w:val="fr-FR"/>
              </w:rPr>
              <w:noBreakHyphen/>
            </w:r>
            <w:r w:rsidRPr="004802F4">
              <w:rPr>
                <w:highlight w:val="lightGray"/>
                <w:u w:val="single"/>
                <w:lang w:val="fr-FR"/>
              </w:rPr>
              <w:t>échantillon</w:t>
            </w:r>
            <w:r w:rsidR="00610D07" w:rsidRPr="004802F4">
              <w:rPr>
                <w:highlight w:val="lightGray"/>
                <w:lang w:val="fr-FR"/>
              </w:rPr>
              <w:t xml:space="preserve"> </w:t>
            </w:r>
            <w:r w:rsidR="00610D07" w:rsidRPr="004802F4">
              <w:rPr>
                <w:strike/>
                <w:highlight w:val="lightGray"/>
                <w:lang w:val="fr-FR"/>
              </w:rPr>
              <w:t xml:space="preserve">le nombre accepté de plantes </w:t>
            </w:r>
            <w:r w:rsidR="00707A69" w:rsidRPr="004802F4">
              <w:rPr>
                <w:strike/>
                <w:highlight w:val="lightGray"/>
                <w:lang w:val="fr-FR"/>
              </w:rPr>
              <w:t>hors-type</w:t>
            </w:r>
            <w:r w:rsidR="00610D07" w:rsidRPr="004802F4">
              <w:rPr>
                <w:strike/>
                <w:highlight w:val="lightGray"/>
                <w:lang w:val="fr-FR"/>
              </w:rPr>
              <w:t xml:space="preserve"> pour l</w:t>
            </w:r>
            <w:r w:rsidR="004F302C" w:rsidRPr="004802F4">
              <w:rPr>
                <w:strike/>
                <w:highlight w:val="lightGray"/>
                <w:lang w:val="fr-FR"/>
              </w:rPr>
              <w:t>’</w:t>
            </w:r>
            <w:r w:rsidR="00610D07" w:rsidRPr="004802F4">
              <w:rPr>
                <w:strike/>
                <w:highlight w:val="lightGray"/>
                <w:lang w:val="fr-FR"/>
              </w:rPr>
              <w:t>échantillon tout entier</w:t>
            </w:r>
            <w:r w:rsidRPr="004802F4">
              <w:rPr>
                <w:lang w:val="fr-FR"/>
              </w:rPr>
              <w:t>.</w:t>
            </w:r>
          </w:p>
          <w:p w:rsidR="00AC29B7" w:rsidRPr="004802F4" w:rsidRDefault="00AC29B7" w:rsidP="004802F4">
            <w:pPr>
              <w:rPr>
                <w:lang w:val="fr-FR"/>
              </w:rPr>
            </w:pPr>
          </w:p>
          <w:p w:rsidR="007A701A" w:rsidRPr="004802F4" w:rsidRDefault="00AC29B7" w:rsidP="004802F4">
            <w:pPr>
              <w:rPr>
                <w:lang w:val="fr-FR"/>
              </w:rPr>
            </w:pPr>
            <w:r w:rsidRPr="004802F4">
              <w:rPr>
                <w:lang w:val="fr-FR"/>
              </w:rPr>
              <w:t xml:space="preserve">Si le nombre de plantes </w:t>
            </w:r>
            <w:r w:rsidR="00707A69" w:rsidRPr="004802F4">
              <w:rPr>
                <w:lang w:val="fr-FR"/>
              </w:rPr>
              <w:t>hors-type</w:t>
            </w:r>
            <w:r w:rsidRPr="004802F4">
              <w:rPr>
                <w:lang w:val="fr-FR"/>
              </w:rPr>
              <w:t xml:space="preserve"> </w:t>
            </w:r>
            <w:r w:rsidR="004A5024" w:rsidRPr="004802F4">
              <w:rPr>
                <w:strike/>
                <w:highlight w:val="lightGray"/>
                <w:lang w:val="fr-FR"/>
              </w:rPr>
              <w:t xml:space="preserve">est égal ou supérieur à un mais inférieur au nombre accepté de plantes </w:t>
            </w:r>
            <w:r w:rsidR="00707A69" w:rsidRPr="004802F4">
              <w:rPr>
                <w:strike/>
                <w:highlight w:val="lightGray"/>
                <w:lang w:val="fr-FR"/>
              </w:rPr>
              <w:t>hors-type</w:t>
            </w:r>
            <w:r w:rsidR="004A5024" w:rsidRPr="004802F4">
              <w:rPr>
                <w:strike/>
                <w:highlight w:val="lightGray"/>
                <w:lang w:val="fr-FR"/>
              </w:rPr>
              <w:t xml:space="preserve"> pour l</w:t>
            </w:r>
            <w:r w:rsidR="004F302C" w:rsidRPr="004802F4">
              <w:rPr>
                <w:strike/>
                <w:highlight w:val="lightGray"/>
                <w:lang w:val="fr-FR"/>
              </w:rPr>
              <w:t>’</w:t>
            </w:r>
            <w:r w:rsidR="004A5024" w:rsidRPr="004802F4">
              <w:rPr>
                <w:strike/>
                <w:highlight w:val="lightGray"/>
                <w:lang w:val="fr-FR"/>
              </w:rPr>
              <w:t>échantillon tout entier</w:t>
            </w:r>
            <w:r w:rsidR="004A5024" w:rsidRPr="004802F4">
              <w:rPr>
                <w:highlight w:val="lightGray"/>
                <w:lang w:val="fr-FR"/>
              </w:rPr>
              <w:t xml:space="preserve"> </w:t>
            </w:r>
            <w:r w:rsidRPr="004802F4">
              <w:rPr>
                <w:highlight w:val="lightGray"/>
                <w:lang w:val="fr-FR"/>
              </w:rPr>
              <w:t>se situe entre les limites inférieure et supérieure prédéfinies</w:t>
            </w:r>
            <w:r w:rsidRPr="004802F4">
              <w:rPr>
                <w:lang w:val="fr-FR"/>
              </w:rPr>
              <w:t>, l</w:t>
            </w:r>
            <w:r w:rsidR="004F302C" w:rsidRPr="004802F4">
              <w:rPr>
                <w:lang w:val="fr-FR"/>
              </w:rPr>
              <w:t>’</w:t>
            </w:r>
            <w:r w:rsidRPr="004802F4">
              <w:rPr>
                <w:lang w:val="fr-FR"/>
              </w:rPr>
              <w:t xml:space="preserve">échantillon tout entier est évalué.  </w:t>
            </w:r>
            <w:r w:rsidRPr="004802F4">
              <w:rPr>
                <w:highlight w:val="lightGray"/>
                <w:u w:val="single"/>
                <w:lang w:val="fr-FR"/>
              </w:rPr>
              <w:t xml:space="preserve">Les limites inférieure et supérieure </w:t>
            </w:r>
            <w:r w:rsidR="004A5024" w:rsidRPr="004802F4">
              <w:rPr>
                <w:highlight w:val="lightGray"/>
                <w:u w:val="single"/>
                <w:lang w:val="fr-FR"/>
              </w:rPr>
              <w:t>doivent être</w:t>
            </w:r>
            <w:r w:rsidRPr="004802F4">
              <w:rPr>
                <w:highlight w:val="lightGray"/>
                <w:u w:val="single"/>
                <w:lang w:val="fr-FR"/>
              </w:rPr>
              <w:t xml:space="preserve"> choisies compte tenu d</w:t>
            </w:r>
            <w:r w:rsidR="005711FD" w:rsidRPr="004802F4">
              <w:rPr>
                <w:highlight w:val="lightGray"/>
                <w:u w:val="single"/>
                <w:lang w:val="fr-FR"/>
              </w:rPr>
              <w:t>es probabilités d</w:t>
            </w:r>
            <w:r w:rsidR="004F302C" w:rsidRPr="004802F4">
              <w:rPr>
                <w:highlight w:val="lightGray"/>
                <w:u w:val="single"/>
                <w:lang w:val="fr-FR"/>
              </w:rPr>
              <w:t>’</w:t>
            </w:r>
            <w:r w:rsidRPr="004802F4">
              <w:rPr>
                <w:highlight w:val="lightGray"/>
                <w:u w:val="single"/>
                <w:lang w:val="fr-FR"/>
              </w:rPr>
              <w:t>erreurs de type</w:t>
            </w:r>
            <w:r w:rsidR="00A15565" w:rsidRPr="004802F4">
              <w:rPr>
                <w:highlight w:val="lightGray"/>
                <w:u w:val="single"/>
                <w:lang w:val="fr-FR"/>
              </w:rPr>
              <w:t> </w:t>
            </w:r>
            <w:r w:rsidRPr="004802F4">
              <w:rPr>
                <w:highlight w:val="lightGray"/>
                <w:u w:val="single"/>
                <w:lang w:val="fr-FR"/>
              </w:rPr>
              <w:t>I et de type</w:t>
            </w:r>
            <w:r w:rsidR="00A15565" w:rsidRPr="004802F4">
              <w:rPr>
                <w:highlight w:val="lightGray"/>
                <w:u w:val="single"/>
                <w:lang w:val="fr-FR"/>
              </w:rPr>
              <w:t> </w:t>
            </w:r>
            <w:r w:rsidRPr="004802F4">
              <w:rPr>
                <w:highlight w:val="lightGray"/>
                <w:u w:val="single"/>
                <w:lang w:val="fr-FR"/>
              </w:rPr>
              <w:t xml:space="preserve">II </w:t>
            </w:r>
            <w:r w:rsidR="005711FD" w:rsidRPr="004802F4">
              <w:rPr>
                <w:highlight w:val="lightGray"/>
                <w:u w:val="single"/>
                <w:lang w:val="fr-FR"/>
              </w:rPr>
              <w:t xml:space="preserve">comparables </w:t>
            </w:r>
            <w:r w:rsidR="00A15565" w:rsidRPr="004802F4">
              <w:rPr>
                <w:highlight w:val="lightGray"/>
                <w:u w:val="single"/>
                <w:lang w:val="fr-FR"/>
              </w:rPr>
              <w:t>entre</w:t>
            </w:r>
            <w:r w:rsidRPr="004802F4">
              <w:rPr>
                <w:highlight w:val="lightGray"/>
                <w:u w:val="single"/>
                <w:lang w:val="fr-FR"/>
              </w:rPr>
              <w:t xml:space="preserve"> le sous</w:t>
            </w:r>
            <w:r w:rsidR="001272D3" w:rsidRPr="004802F4">
              <w:rPr>
                <w:highlight w:val="lightGray"/>
                <w:u w:val="single"/>
                <w:lang w:val="fr-FR"/>
              </w:rPr>
              <w:noBreakHyphen/>
            </w:r>
            <w:r w:rsidRPr="004802F4">
              <w:rPr>
                <w:highlight w:val="lightGray"/>
                <w:u w:val="single"/>
                <w:lang w:val="fr-FR"/>
              </w:rPr>
              <w:t>échantillon et l</w:t>
            </w:r>
            <w:r w:rsidR="004F302C" w:rsidRPr="004802F4">
              <w:rPr>
                <w:highlight w:val="lightGray"/>
                <w:u w:val="single"/>
                <w:lang w:val="fr-FR"/>
              </w:rPr>
              <w:t>’</w:t>
            </w:r>
            <w:r w:rsidRPr="004802F4">
              <w:rPr>
                <w:highlight w:val="lightGray"/>
                <w:u w:val="single"/>
                <w:lang w:val="fr-FR"/>
              </w:rPr>
              <w:t>échantillon tout entier.</w:t>
            </w:r>
            <w:r w:rsidR="00CE59CF">
              <w:rPr>
                <w:rFonts w:eastAsia="SimSun"/>
                <w:szCs w:val="24"/>
                <w:lang w:val="fr-FR" w:eastAsia="zh-CN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7A701A" w:rsidRPr="004802F4" w:rsidRDefault="007A701A" w:rsidP="004802F4">
            <w:pPr>
              <w:rPr>
                <w:szCs w:val="24"/>
                <w:lang w:val="fr-FR"/>
              </w:rPr>
            </w:pPr>
          </w:p>
          <w:p w:rsidR="007A701A" w:rsidRPr="004802F4" w:rsidRDefault="00A041D6" w:rsidP="004802F4">
            <w:pPr>
              <w:rPr>
                <w:szCs w:val="24"/>
                <w:lang w:val="fr-FR"/>
              </w:rPr>
            </w:pPr>
            <w:r w:rsidRPr="004802F4">
              <w:rPr>
                <w:szCs w:val="24"/>
                <w:lang w:val="fr-FR"/>
              </w:rPr>
              <w:t>Exemple</w:t>
            </w:r>
            <w:r w:rsidR="00AC29B7" w:rsidRPr="004802F4">
              <w:rPr>
                <w:szCs w:val="24"/>
                <w:lang w:val="fr-FR"/>
              </w:rPr>
              <w:t> :</w:t>
            </w:r>
          </w:p>
          <w:p w:rsidR="007A701A" w:rsidRPr="004802F4" w:rsidRDefault="007A701A" w:rsidP="004802F4">
            <w:pPr>
              <w:rPr>
                <w:szCs w:val="24"/>
                <w:lang w:val="fr-FR"/>
              </w:rPr>
            </w:pPr>
          </w:p>
          <w:p w:rsidR="007A701A" w:rsidRPr="004802F4" w:rsidRDefault="003443D8" w:rsidP="004802F4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 w:rsidRPr="004802F4">
              <w:rPr>
                <w:szCs w:val="24"/>
                <w:lang w:val="fr-FR"/>
              </w:rPr>
              <w:t xml:space="preserve">Dans un échantillon de </w:t>
            </w:r>
            <w:r w:rsidR="002D2E1B" w:rsidRPr="004802F4">
              <w:rPr>
                <w:szCs w:val="24"/>
                <w:lang w:val="fr-FR"/>
              </w:rPr>
              <w:t>100 </w:t>
            </w:r>
            <w:r w:rsidRPr="004802F4">
              <w:rPr>
                <w:szCs w:val="24"/>
                <w:lang w:val="fr-FR"/>
              </w:rPr>
              <w:t xml:space="preserve">plantes, le nombre acceptable de plantes </w:t>
            </w:r>
            <w:r w:rsidR="00707A69" w:rsidRPr="004802F4">
              <w:rPr>
                <w:szCs w:val="24"/>
                <w:lang w:val="fr-FR"/>
              </w:rPr>
              <w:t>hors-type</w:t>
            </w:r>
            <w:r w:rsidRPr="004802F4">
              <w:rPr>
                <w:szCs w:val="24"/>
                <w:lang w:val="fr-FR"/>
              </w:rPr>
              <w:t xml:space="preserve"> est de 3 (sur la base d</w:t>
            </w:r>
            <w:r w:rsidR="004F302C" w:rsidRPr="004802F4">
              <w:rPr>
                <w:szCs w:val="24"/>
                <w:lang w:val="fr-FR"/>
              </w:rPr>
              <w:t>’</w:t>
            </w:r>
            <w:r w:rsidRPr="004802F4">
              <w:rPr>
                <w:szCs w:val="24"/>
                <w:lang w:val="fr-FR"/>
              </w:rPr>
              <w:t>une norme de population de 1% et d</w:t>
            </w:r>
            <w:r w:rsidR="004F302C" w:rsidRPr="004802F4">
              <w:rPr>
                <w:szCs w:val="24"/>
                <w:lang w:val="fr-FR"/>
              </w:rPr>
              <w:t>’</w:t>
            </w:r>
            <w:r w:rsidRPr="004802F4">
              <w:rPr>
                <w:szCs w:val="24"/>
                <w:lang w:val="fr-FR"/>
              </w:rPr>
              <w:t>une probabilité d</w:t>
            </w:r>
            <w:r w:rsidR="004F302C" w:rsidRPr="004802F4">
              <w:rPr>
                <w:szCs w:val="24"/>
                <w:lang w:val="fr-FR"/>
              </w:rPr>
              <w:t>’</w:t>
            </w:r>
            <w:r w:rsidRPr="004802F4">
              <w:rPr>
                <w:szCs w:val="24"/>
                <w:lang w:val="fr-FR"/>
              </w:rPr>
              <w:t>acceptation d</w:t>
            </w:r>
            <w:r w:rsidR="004F302C" w:rsidRPr="004802F4">
              <w:rPr>
                <w:szCs w:val="24"/>
                <w:lang w:val="fr-FR"/>
              </w:rPr>
              <w:t>’</w:t>
            </w:r>
            <w:r w:rsidRPr="004802F4">
              <w:rPr>
                <w:szCs w:val="24"/>
                <w:lang w:val="fr-FR"/>
              </w:rPr>
              <w:t>au moins 95%).</w:t>
            </w:r>
          </w:p>
          <w:p w:rsidR="007A701A" w:rsidRPr="004802F4" w:rsidRDefault="007A701A" w:rsidP="004802F4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</w:p>
          <w:p w:rsidR="007A701A" w:rsidRPr="004802F4" w:rsidRDefault="003443D8" w:rsidP="004802F4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 w:rsidRPr="004802F4">
              <w:rPr>
                <w:szCs w:val="24"/>
                <w:lang w:val="fr-FR"/>
              </w:rPr>
              <w:t>Dans un sous</w:t>
            </w:r>
            <w:r w:rsidR="001272D3" w:rsidRPr="004802F4">
              <w:rPr>
                <w:szCs w:val="24"/>
                <w:lang w:val="fr-FR"/>
              </w:rPr>
              <w:noBreakHyphen/>
            </w:r>
            <w:r w:rsidRPr="004802F4">
              <w:rPr>
                <w:szCs w:val="24"/>
                <w:lang w:val="fr-FR"/>
              </w:rPr>
              <w:t>échantillon de 20 plantes utilisé dans le contexte de l</w:t>
            </w:r>
            <w:r w:rsidR="004F302C" w:rsidRPr="004802F4">
              <w:rPr>
                <w:szCs w:val="24"/>
                <w:lang w:val="fr-FR"/>
              </w:rPr>
              <w:t>’</w:t>
            </w:r>
            <w:r w:rsidRPr="004802F4">
              <w:rPr>
                <w:szCs w:val="24"/>
                <w:lang w:val="fr-FR"/>
              </w:rPr>
              <w:t>échantillon de 100 plantes ci</w:t>
            </w:r>
            <w:r w:rsidR="001272D3" w:rsidRPr="004802F4">
              <w:rPr>
                <w:szCs w:val="24"/>
                <w:lang w:val="fr-FR"/>
              </w:rPr>
              <w:noBreakHyphen/>
            </w:r>
            <w:r w:rsidRPr="004802F4">
              <w:rPr>
                <w:szCs w:val="24"/>
                <w:lang w:val="fr-FR"/>
              </w:rPr>
              <w:t>dessus :</w:t>
            </w:r>
          </w:p>
          <w:p w:rsidR="007A701A" w:rsidRPr="004802F4" w:rsidRDefault="007A701A" w:rsidP="004802F4">
            <w:p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</w:p>
          <w:p w:rsidR="007A701A" w:rsidRPr="004802F4" w:rsidRDefault="003443D8" w:rsidP="004802F4">
            <w:pPr>
              <w:ind w:left="567"/>
              <w:rPr>
                <w:lang w:val="fr-FR"/>
              </w:rPr>
            </w:pPr>
            <w:r w:rsidRPr="004802F4">
              <w:rPr>
                <w:lang w:val="fr-FR"/>
              </w:rPr>
              <w:t xml:space="preserve">Une variété est réputée homogène si aucune plante </w:t>
            </w:r>
            <w:r w:rsidR="00707A69" w:rsidRPr="004802F4">
              <w:rPr>
                <w:lang w:val="fr-FR"/>
              </w:rPr>
              <w:t>hors-type</w:t>
            </w:r>
            <w:r w:rsidRPr="004802F4">
              <w:rPr>
                <w:lang w:val="fr-FR"/>
              </w:rPr>
              <w:t xml:space="preserve"> n</w:t>
            </w:r>
            <w:r w:rsidR="004F302C" w:rsidRPr="004802F4">
              <w:rPr>
                <w:lang w:val="fr-FR"/>
              </w:rPr>
              <w:t>’</w:t>
            </w:r>
            <w:r w:rsidRPr="004802F4">
              <w:rPr>
                <w:lang w:val="fr-FR"/>
              </w:rPr>
              <w:t>est observée dans un sous</w:t>
            </w:r>
            <w:r w:rsidR="001272D3" w:rsidRPr="004802F4">
              <w:rPr>
                <w:lang w:val="fr-FR"/>
              </w:rPr>
              <w:noBreakHyphen/>
            </w:r>
            <w:r w:rsidRPr="004802F4">
              <w:rPr>
                <w:lang w:val="fr-FR"/>
              </w:rPr>
              <w:t>échantillon.</w:t>
            </w:r>
          </w:p>
          <w:p w:rsidR="007A701A" w:rsidRPr="004802F4" w:rsidRDefault="007A701A" w:rsidP="004802F4">
            <w:pPr>
              <w:rPr>
                <w:lang w:val="fr-FR"/>
              </w:rPr>
            </w:pPr>
          </w:p>
          <w:p w:rsidR="007A701A" w:rsidRPr="004802F4" w:rsidRDefault="003443D8" w:rsidP="004802F4">
            <w:pPr>
              <w:ind w:left="567"/>
              <w:rPr>
                <w:lang w:val="fr-FR"/>
              </w:rPr>
            </w:pPr>
            <w:r w:rsidRPr="004802F4">
              <w:rPr>
                <w:lang w:val="fr-FR"/>
              </w:rPr>
              <w:t xml:space="preserve">Une variété est réputée non homogène si le nombre de plantes </w:t>
            </w:r>
            <w:r w:rsidR="00707A69" w:rsidRPr="004802F4">
              <w:rPr>
                <w:lang w:val="fr-FR"/>
              </w:rPr>
              <w:t>hors-type</w:t>
            </w:r>
            <w:r w:rsidRPr="004802F4">
              <w:rPr>
                <w:lang w:val="fr-FR"/>
              </w:rPr>
              <w:t xml:space="preserve"> dans le sous</w:t>
            </w:r>
            <w:r w:rsidR="001272D3" w:rsidRPr="004802F4">
              <w:rPr>
                <w:lang w:val="fr-FR"/>
              </w:rPr>
              <w:noBreakHyphen/>
            </w:r>
            <w:r w:rsidRPr="004802F4">
              <w:rPr>
                <w:lang w:val="fr-FR"/>
              </w:rPr>
              <w:t>échantillon dépasse 3.</w:t>
            </w:r>
          </w:p>
          <w:p w:rsidR="007A701A" w:rsidRPr="004802F4" w:rsidRDefault="007A701A" w:rsidP="004802F4">
            <w:pPr>
              <w:rPr>
                <w:lang w:val="fr-FR"/>
              </w:rPr>
            </w:pPr>
          </w:p>
          <w:p w:rsidR="007A701A" w:rsidRPr="004802F4" w:rsidRDefault="003443D8" w:rsidP="004802F4">
            <w:pPr>
              <w:ind w:left="567"/>
              <w:rPr>
                <w:lang w:val="fr-FR"/>
              </w:rPr>
            </w:pPr>
            <w:r w:rsidRPr="004802F4">
              <w:rPr>
                <w:lang w:val="fr-FR"/>
              </w:rPr>
              <w:t xml:space="preserve">Si le nombre de plantes </w:t>
            </w:r>
            <w:r w:rsidR="00707A69" w:rsidRPr="004802F4">
              <w:rPr>
                <w:lang w:val="fr-FR"/>
              </w:rPr>
              <w:t>hors-type</w:t>
            </w:r>
            <w:r w:rsidRPr="004802F4">
              <w:rPr>
                <w:lang w:val="fr-FR"/>
              </w:rPr>
              <w:t xml:space="preserve"> varie entre 1 et 3, l</w:t>
            </w:r>
            <w:r w:rsidR="004F302C" w:rsidRPr="004802F4">
              <w:rPr>
                <w:lang w:val="fr-FR"/>
              </w:rPr>
              <w:t>’</w:t>
            </w:r>
            <w:r w:rsidRPr="004802F4">
              <w:rPr>
                <w:lang w:val="fr-FR"/>
              </w:rPr>
              <w:t>échantillon tout entier de 100 plantes est évalué.</w:t>
            </w:r>
          </w:p>
          <w:p w:rsidR="007A701A" w:rsidRPr="004802F4" w:rsidRDefault="007A701A" w:rsidP="004802F4">
            <w:pPr>
              <w:ind w:left="567"/>
              <w:rPr>
                <w:lang w:val="fr-FR"/>
              </w:rPr>
            </w:pPr>
          </w:p>
          <w:p w:rsidR="007A701A" w:rsidRPr="004802F4" w:rsidRDefault="00AC29B7" w:rsidP="004802F4">
            <w:pPr>
              <w:ind w:left="567"/>
              <w:rPr>
                <w:u w:val="single"/>
                <w:lang w:val="fr-FR"/>
              </w:rPr>
            </w:pPr>
            <w:r w:rsidRPr="004802F4">
              <w:rPr>
                <w:rFonts w:cs="Arial"/>
                <w:highlight w:val="lightGray"/>
                <w:u w:val="single"/>
                <w:lang w:val="fr-FR"/>
              </w:rPr>
              <w:t>Dans l</w:t>
            </w:r>
            <w:r w:rsidR="004F302C" w:rsidRPr="004802F4">
              <w:rPr>
                <w:rFonts w:cs="Arial"/>
                <w:highlight w:val="lightGray"/>
                <w:u w:val="single"/>
                <w:lang w:val="fr-FR"/>
              </w:rPr>
              <w:t>’</w:t>
            </w:r>
            <w:r w:rsidRPr="004802F4">
              <w:rPr>
                <w:rFonts w:cs="Arial"/>
                <w:highlight w:val="lightGray"/>
                <w:u w:val="single"/>
                <w:lang w:val="fr-FR"/>
              </w:rPr>
              <w:t xml:space="preserve">échantillon de </w:t>
            </w:r>
            <w:r w:rsidR="002D2E1B" w:rsidRPr="004802F4">
              <w:rPr>
                <w:rFonts w:cs="Arial"/>
                <w:highlight w:val="lightGray"/>
                <w:u w:val="single"/>
                <w:lang w:val="fr-FR"/>
              </w:rPr>
              <w:t>100 </w:t>
            </w:r>
            <w:r w:rsidRPr="004802F4">
              <w:rPr>
                <w:rFonts w:cs="Arial"/>
                <w:highlight w:val="lightGray"/>
                <w:u w:val="single"/>
                <w:lang w:val="fr-FR"/>
              </w:rPr>
              <w:t>plante</w:t>
            </w:r>
            <w:r w:rsidR="00F107D4" w:rsidRPr="004802F4">
              <w:rPr>
                <w:rFonts w:cs="Arial"/>
                <w:highlight w:val="lightGray"/>
                <w:u w:val="single"/>
                <w:lang w:val="fr-FR"/>
              </w:rPr>
              <w:t xml:space="preserve">s, si le nombre de plantes </w:t>
            </w:r>
            <w:r w:rsidR="00707A69" w:rsidRPr="004802F4">
              <w:rPr>
                <w:rFonts w:cs="Arial"/>
                <w:highlight w:val="lightGray"/>
                <w:u w:val="single"/>
                <w:lang w:val="fr-FR"/>
              </w:rPr>
              <w:t>hors-type</w:t>
            </w:r>
            <w:r w:rsidRPr="004802F4">
              <w:rPr>
                <w:rFonts w:cs="Arial"/>
                <w:highlight w:val="lightGray"/>
                <w:u w:val="single"/>
                <w:lang w:val="fr-FR"/>
              </w:rPr>
              <w:t xml:space="preserve"> dépasse 3, la variété est réputée non homogène.</w:t>
            </w:r>
          </w:p>
          <w:p w:rsidR="007A701A" w:rsidRPr="004802F4" w:rsidRDefault="007A701A" w:rsidP="004802F4">
            <w:pPr>
              <w:ind w:left="34" w:right="600"/>
              <w:rPr>
                <w:highlight w:val="lightGray"/>
                <w:u w:val="single"/>
                <w:lang w:val="fr-FR"/>
              </w:rPr>
            </w:pPr>
          </w:p>
          <w:p w:rsidR="007A701A" w:rsidRPr="004802F4" w:rsidRDefault="003F7E71" w:rsidP="004802F4">
            <w:pPr>
              <w:ind w:left="34" w:right="600"/>
              <w:rPr>
                <w:strike/>
                <w:szCs w:val="24"/>
                <w:highlight w:val="lightGray"/>
                <w:lang w:val="fr-FR"/>
              </w:rPr>
            </w:pPr>
            <w:r w:rsidRPr="004802F4">
              <w:rPr>
                <w:strike/>
                <w:szCs w:val="24"/>
                <w:highlight w:val="lightGray"/>
                <w:lang w:val="fr-FR"/>
              </w:rPr>
              <w:t>(</w:t>
            </w:r>
            <w:r w:rsidR="00AC29B7" w:rsidRPr="004802F4">
              <w:rPr>
                <w:strike/>
                <w:szCs w:val="24"/>
                <w:highlight w:val="lightGray"/>
                <w:lang w:val="fr-FR"/>
              </w:rPr>
              <w:t>Les informations générales sur lesquelles se fonde cet exemple figurent à l</w:t>
            </w:r>
            <w:r w:rsidR="004F302C" w:rsidRPr="004802F4">
              <w:rPr>
                <w:strike/>
                <w:szCs w:val="24"/>
                <w:highlight w:val="lightGray"/>
                <w:lang w:val="fr-FR"/>
              </w:rPr>
              <w:t>’</w:t>
            </w:r>
            <w:r w:rsidR="00AC29B7" w:rsidRPr="004802F4">
              <w:rPr>
                <w:strike/>
                <w:szCs w:val="24"/>
                <w:highlight w:val="lightGray"/>
                <w:lang w:val="fr-FR"/>
              </w:rPr>
              <w:t>annexe</w:t>
            </w:r>
            <w:r w:rsidR="009307C6" w:rsidRPr="004802F4">
              <w:rPr>
                <w:strike/>
                <w:szCs w:val="24"/>
                <w:highlight w:val="lightGray"/>
                <w:lang w:val="fr-FR"/>
              </w:rPr>
              <w:t> </w:t>
            </w:r>
            <w:r w:rsidR="00AC29B7" w:rsidRPr="004802F4">
              <w:rPr>
                <w:strike/>
                <w:szCs w:val="24"/>
                <w:highlight w:val="lightGray"/>
                <w:lang w:val="fr-FR"/>
              </w:rPr>
              <w:t>I du présent document</w:t>
            </w:r>
            <w:r w:rsidR="00707A69" w:rsidRPr="004802F4">
              <w:rPr>
                <w:strike/>
                <w:szCs w:val="24"/>
                <w:highlight w:val="lightGray"/>
                <w:lang w:val="fr-FR"/>
              </w:rPr>
              <w:t>)</w:t>
            </w:r>
          </w:p>
          <w:p w:rsidR="007A701A" w:rsidRPr="004802F4" w:rsidRDefault="00AC29B7" w:rsidP="004802F4">
            <w:pPr>
              <w:ind w:left="34" w:right="600"/>
              <w:rPr>
                <w:szCs w:val="24"/>
                <w:u w:val="single"/>
                <w:lang w:val="fr-FR"/>
              </w:rPr>
            </w:pPr>
            <w:r w:rsidRPr="004802F4">
              <w:rPr>
                <w:szCs w:val="24"/>
                <w:highlight w:val="lightGray"/>
                <w:u w:val="single"/>
                <w:lang w:val="fr-FR"/>
              </w:rPr>
              <w:t>L</w:t>
            </w:r>
            <w:r w:rsidR="004F302C" w:rsidRPr="004802F4">
              <w:rPr>
                <w:szCs w:val="24"/>
                <w:highlight w:val="lightGray"/>
                <w:u w:val="single"/>
                <w:lang w:val="fr-FR"/>
              </w:rPr>
              <w:t>’</w:t>
            </w:r>
            <w:r w:rsidRPr="004802F4">
              <w:rPr>
                <w:szCs w:val="24"/>
                <w:highlight w:val="lightGray"/>
                <w:u w:val="single"/>
                <w:lang w:val="fr-FR"/>
              </w:rPr>
              <w:t>annexe</w:t>
            </w:r>
            <w:r w:rsidR="009307C6" w:rsidRPr="004802F4">
              <w:rPr>
                <w:szCs w:val="24"/>
                <w:highlight w:val="lightGray"/>
                <w:u w:val="single"/>
                <w:lang w:val="fr-FR"/>
              </w:rPr>
              <w:t> </w:t>
            </w:r>
            <w:r w:rsidRPr="004802F4">
              <w:rPr>
                <w:szCs w:val="24"/>
                <w:highlight w:val="lightGray"/>
                <w:u w:val="single"/>
                <w:lang w:val="fr-FR"/>
              </w:rPr>
              <w:t xml:space="preserve">V du document TWC/32/9 donne une description complète de la base </w:t>
            </w:r>
            <w:r w:rsidR="00707A69" w:rsidRPr="004802F4">
              <w:rPr>
                <w:szCs w:val="24"/>
                <w:highlight w:val="lightGray"/>
                <w:u w:val="single"/>
                <w:lang w:val="fr-FR"/>
              </w:rPr>
              <w:t>statistique</w:t>
            </w:r>
            <w:r w:rsidRPr="004802F4">
              <w:rPr>
                <w:szCs w:val="24"/>
                <w:highlight w:val="lightGray"/>
                <w:u w:val="single"/>
                <w:lang w:val="fr-FR"/>
              </w:rPr>
              <w:t xml:space="preserve"> utilisée pour cette méthode.</w:t>
            </w:r>
          </w:p>
          <w:p w:rsidR="003F7E71" w:rsidRPr="004802F4" w:rsidRDefault="003F7E71" w:rsidP="004802F4">
            <w:pPr>
              <w:ind w:left="34" w:right="600"/>
              <w:rPr>
                <w:szCs w:val="24"/>
                <w:lang w:val="fr-FR"/>
              </w:rPr>
            </w:pPr>
          </w:p>
        </w:tc>
      </w:tr>
    </w:tbl>
    <w:p w:rsidR="007A701A" w:rsidRPr="004802F4" w:rsidRDefault="007A701A" w:rsidP="004802F4">
      <w:pPr>
        <w:pStyle w:val="endofdoc"/>
        <w:rPr>
          <w:snapToGrid w:val="0"/>
          <w:lang w:val="fr-FR"/>
        </w:rPr>
      </w:pPr>
    </w:p>
    <w:p w:rsidR="007A701A" w:rsidRPr="004802F4" w:rsidRDefault="00835958" w:rsidP="004802F4">
      <w:pPr>
        <w:pStyle w:val="endofdoc"/>
        <w:rPr>
          <w:snapToGrid w:val="0"/>
          <w:lang w:val="fr-FR"/>
        </w:rPr>
      </w:pPr>
      <w:r w:rsidRPr="004802F4">
        <w:rPr>
          <w:snapToGrid w:val="0"/>
          <w:lang w:val="fr-FR"/>
        </w:rPr>
        <w:t>[L</w:t>
      </w:r>
      <w:r w:rsidR="004F302C" w:rsidRPr="004802F4">
        <w:rPr>
          <w:snapToGrid w:val="0"/>
          <w:lang w:val="fr-FR"/>
        </w:rPr>
        <w:t>’</w:t>
      </w:r>
      <w:r w:rsidRPr="004802F4">
        <w:rPr>
          <w:snapToGrid w:val="0"/>
          <w:lang w:val="fr-FR"/>
        </w:rPr>
        <w:t>annexe</w:t>
      </w:r>
      <w:r w:rsidR="009307C6" w:rsidRPr="004802F4">
        <w:rPr>
          <w:snapToGrid w:val="0"/>
          <w:lang w:val="fr-FR"/>
        </w:rPr>
        <w:t> </w:t>
      </w:r>
      <w:r w:rsidRPr="004802F4">
        <w:rPr>
          <w:snapToGrid w:val="0"/>
          <w:lang w:val="fr-FR"/>
        </w:rPr>
        <w:t>V suit</w:t>
      </w:r>
      <w:r w:rsidR="003F7E71" w:rsidRPr="004802F4">
        <w:rPr>
          <w:snapToGrid w:val="0"/>
          <w:lang w:val="fr-FR"/>
        </w:rPr>
        <w:t>]</w:t>
      </w:r>
    </w:p>
    <w:p w:rsidR="003F7E71" w:rsidRPr="004802F4" w:rsidRDefault="003F7E71" w:rsidP="004802F4">
      <w:pPr>
        <w:rPr>
          <w:lang w:val="fr-FR"/>
        </w:rPr>
        <w:sectPr w:rsidR="003F7E71" w:rsidRPr="004802F4" w:rsidSect="0094458C">
          <w:headerReference w:type="default" r:id="rId18"/>
          <w:headerReference w:type="first" r:id="rId19"/>
          <w:footerReference w:type="first" r:id="rId20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7A701A" w:rsidRPr="004802F4" w:rsidRDefault="0000354E" w:rsidP="004802F4">
      <w:pPr>
        <w:jc w:val="center"/>
        <w:rPr>
          <w:lang w:val="fr-FR"/>
        </w:rPr>
      </w:pPr>
      <w:r w:rsidRPr="004802F4">
        <w:rPr>
          <w:lang w:val="fr-FR"/>
        </w:rPr>
        <w:lastRenderedPageBreak/>
        <w:t>MÉ</w:t>
      </w:r>
      <w:r w:rsidR="003F7E71" w:rsidRPr="004802F4">
        <w:rPr>
          <w:lang w:val="fr-FR"/>
        </w:rPr>
        <w:t xml:space="preserve">MORANDUM </w:t>
      </w:r>
      <w:r w:rsidRPr="004802F4">
        <w:rPr>
          <w:lang w:val="fr-FR"/>
        </w:rPr>
        <w:t>DE L</w:t>
      </w:r>
      <w:r w:rsidR="004F302C" w:rsidRPr="004802F4">
        <w:rPr>
          <w:lang w:val="fr-FR"/>
        </w:rPr>
        <w:t>’</w:t>
      </w:r>
      <w:r w:rsidRPr="004802F4">
        <w:rPr>
          <w:lang w:val="fr-FR"/>
        </w:rPr>
        <w:t>EXPERT DE L</w:t>
      </w:r>
      <w:r w:rsidR="004F302C" w:rsidRPr="004802F4">
        <w:rPr>
          <w:lang w:val="fr-FR"/>
        </w:rPr>
        <w:t>’</w:t>
      </w:r>
      <w:r w:rsidRPr="004802F4">
        <w:rPr>
          <w:lang w:val="fr-FR"/>
        </w:rPr>
        <w:t>ALLEMAGNE</w:t>
      </w:r>
    </w:p>
    <w:p w:rsidR="007A701A" w:rsidRPr="004802F4" w:rsidRDefault="007A701A" w:rsidP="004802F4">
      <w:pPr>
        <w:rPr>
          <w:rFonts w:cs="Arial"/>
          <w:caps/>
          <w:sz w:val="22"/>
          <w:szCs w:val="22"/>
          <w:lang w:val="fr-FR"/>
        </w:rPr>
      </w:pPr>
    </w:p>
    <w:p w:rsidR="007A701A" w:rsidRPr="004802F4" w:rsidRDefault="00F107D4" w:rsidP="004802F4">
      <w:pPr>
        <w:rPr>
          <w:u w:val="single"/>
          <w:lang w:val="fr-FR"/>
        </w:rPr>
      </w:pPr>
      <w:r w:rsidRPr="004802F4">
        <w:rPr>
          <w:u w:val="single"/>
          <w:lang w:val="fr-FR"/>
        </w:rPr>
        <w:t>Utilisation d</w:t>
      </w:r>
      <w:r w:rsidR="004F302C" w:rsidRPr="004802F4">
        <w:rPr>
          <w:u w:val="single"/>
          <w:lang w:val="fr-FR"/>
        </w:rPr>
        <w:t>’</w:t>
      </w:r>
      <w:r w:rsidRPr="004802F4">
        <w:rPr>
          <w:u w:val="single"/>
          <w:lang w:val="fr-FR"/>
        </w:rPr>
        <w:t xml:space="preserve">une méthode par étapes dans la procédure applicable aux plantes </w:t>
      </w:r>
      <w:r w:rsidR="00707A69" w:rsidRPr="004802F4">
        <w:rPr>
          <w:u w:val="single"/>
          <w:lang w:val="fr-FR"/>
        </w:rPr>
        <w:t>hors-type</w:t>
      </w:r>
      <w:r w:rsidRPr="004802F4">
        <w:rPr>
          <w:u w:val="single"/>
          <w:lang w:val="fr-FR"/>
        </w:rPr>
        <w:t xml:space="preserve"> dans le même cycle de végétation</w:t>
      </w:r>
    </w:p>
    <w:p w:rsidR="007A701A" w:rsidRPr="004802F4" w:rsidRDefault="007A701A" w:rsidP="004802F4">
      <w:pPr>
        <w:rPr>
          <w:rFonts w:cs="Arial"/>
          <w:caps/>
          <w:lang w:val="fr-FR"/>
        </w:rPr>
      </w:pPr>
    </w:p>
    <w:p w:rsidR="007A701A" w:rsidRPr="004802F4" w:rsidRDefault="003443D8" w:rsidP="004802F4">
      <w:pPr>
        <w:rPr>
          <w:i/>
          <w:lang w:val="fr-FR"/>
        </w:rPr>
      </w:pPr>
      <w:r w:rsidRPr="004802F4">
        <w:rPr>
          <w:i/>
          <w:lang w:val="fr-FR"/>
        </w:rPr>
        <w:t>Rappel des faits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7A701A" w:rsidRPr="004802F4" w:rsidRDefault="003443D8" w:rsidP="004802F4">
      <w:pPr>
        <w:rPr>
          <w:rFonts w:cs="Arial"/>
          <w:lang w:val="fr-FR"/>
        </w:rPr>
      </w:pPr>
      <w:r w:rsidRPr="004802F4">
        <w:rPr>
          <w:rFonts w:cs="Arial"/>
          <w:lang w:val="fr-FR"/>
        </w:rPr>
        <w:t>Le</w:t>
      </w:r>
      <w:r w:rsidR="004F302C" w:rsidRPr="004802F4">
        <w:rPr>
          <w:rFonts w:cs="Arial"/>
          <w:lang w:val="fr-FR"/>
        </w:rPr>
        <w:t> TC</w:t>
      </w:r>
      <w:r w:rsidRPr="004802F4">
        <w:rPr>
          <w:rFonts w:cs="Arial"/>
          <w:lang w:val="fr-FR"/>
        </w:rPr>
        <w:t xml:space="preserve"> a pris note que</w:t>
      </w:r>
      <w:r w:rsidR="004F302C" w:rsidRPr="004802F4">
        <w:rPr>
          <w:rFonts w:cs="Arial"/>
          <w:lang w:val="fr-FR"/>
        </w:rPr>
        <w:t xml:space="preserve"> le TWC</w:t>
      </w:r>
      <w:r w:rsidRPr="004802F4">
        <w:rPr>
          <w:rFonts w:cs="Arial"/>
          <w:lang w:val="fr-FR"/>
        </w:rPr>
        <w:t xml:space="preserve"> avait proposé que la base statistique du nombre acceptable de plantes </w:t>
      </w:r>
      <w:r w:rsidR="00707A69" w:rsidRPr="004802F4">
        <w:rPr>
          <w:rFonts w:cs="Arial"/>
          <w:lang w:val="fr-FR"/>
        </w:rPr>
        <w:t>hors</w:t>
      </w:r>
      <w:r w:rsidR="00E14B9D" w:rsidRPr="004802F4">
        <w:rPr>
          <w:rFonts w:cs="Arial"/>
          <w:lang w:val="fr-FR"/>
        </w:rPr>
        <w:noBreakHyphen/>
      </w:r>
      <w:r w:rsidR="00707A69" w:rsidRPr="004802F4">
        <w:rPr>
          <w:rFonts w:cs="Arial"/>
          <w:lang w:val="fr-FR"/>
        </w:rPr>
        <w:t>type</w:t>
      </w:r>
      <w:r w:rsidRPr="004802F4">
        <w:rPr>
          <w:rFonts w:cs="Arial"/>
          <w:lang w:val="fr-FR"/>
        </w:rPr>
        <w:t xml:space="preserve"> dans la situation D soit examinée </w:t>
      </w:r>
      <w:r w:rsidR="00AC15F3" w:rsidRPr="004802F4">
        <w:rPr>
          <w:rFonts w:cs="Arial"/>
          <w:lang w:val="fr-FR"/>
        </w:rPr>
        <w:t xml:space="preserve">plus avant </w:t>
      </w:r>
      <w:r w:rsidRPr="004802F4">
        <w:rPr>
          <w:rFonts w:cs="Arial"/>
          <w:lang w:val="fr-FR"/>
        </w:rPr>
        <w:t>à sa session en</w:t>
      </w:r>
      <w:r w:rsidR="009307C6" w:rsidRPr="004802F4">
        <w:rPr>
          <w:rFonts w:cs="Arial"/>
          <w:lang w:val="fr-FR"/>
        </w:rPr>
        <w:t> </w:t>
      </w:r>
      <w:r w:rsidRPr="004802F4">
        <w:rPr>
          <w:rFonts w:cs="Arial"/>
          <w:lang w:val="fr-FR"/>
        </w:rPr>
        <w:t>2014, comme indiqué dans les paragraphes</w:t>
      </w:r>
      <w:r w:rsidR="009307C6" w:rsidRPr="004802F4">
        <w:rPr>
          <w:rFonts w:cs="Arial"/>
          <w:lang w:val="fr-FR"/>
        </w:rPr>
        <w:t> </w:t>
      </w:r>
      <w:r w:rsidRPr="004802F4">
        <w:rPr>
          <w:rFonts w:cs="Arial"/>
          <w:lang w:val="fr-FR"/>
        </w:rPr>
        <w:t xml:space="preserve">34 et 35 du </w:t>
      </w:r>
      <w:r w:rsidR="004F302C" w:rsidRPr="004802F4">
        <w:rPr>
          <w:rFonts w:cs="Arial"/>
          <w:lang w:val="fr-FR"/>
        </w:rPr>
        <w:t>document TC</w:t>
      </w:r>
      <w:r w:rsidRPr="004802F4">
        <w:rPr>
          <w:rFonts w:cs="Arial"/>
          <w:lang w:val="fr-FR"/>
        </w:rPr>
        <w:t>/50/12.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7A701A" w:rsidRPr="004802F4" w:rsidRDefault="00F107D4" w:rsidP="004802F4">
      <w:pPr>
        <w:rPr>
          <w:rFonts w:cs="Arial"/>
          <w:lang w:val="fr-FR"/>
        </w:rPr>
      </w:pPr>
      <w:r w:rsidRPr="004802F4">
        <w:rPr>
          <w:rFonts w:cs="Arial"/>
          <w:lang w:val="fr-FR"/>
        </w:rPr>
        <w:t xml:space="preserve">Le texte </w:t>
      </w:r>
      <w:r w:rsidR="00AC15F3" w:rsidRPr="004802F4">
        <w:rPr>
          <w:rFonts w:cs="Arial"/>
          <w:lang w:val="fr-FR"/>
        </w:rPr>
        <w:t>ci</w:t>
      </w:r>
      <w:r w:rsidR="00AC15F3" w:rsidRPr="004802F4">
        <w:rPr>
          <w:rFonts w:cs="Arial"/>
          <w:lang w:val="fr-FR"/>
        </w:rPr>
        <w:noBreakHyphen/>
        <w:t>après</w:t>
      </w:r>
      <w:r w:rsidRPr="004802F4">
        <w:rPr>
          <w:rFonts w:cs="Arial"/>
          <w:lang w:val="fr-FR"/>
        </w:rPr>
        <w:t xml:space="preserve"> est fondé sur l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annexe</w:t>
      </w:r>
      <w:r w:rsidR="009307C6" w:rsidRPr="004802F4">
        <w:rPr>
          <w:rFonts w:cs="Arial"/>
          <w:lang w:val="fr-FR"/>
        </w:rPr>
        <w:t> </w:t>
      </w:r>
      <w:r w:rsidRPr="004802F4">
        <w:rPr>
          <w:rFonts w:cs="Arial"/>
          <w:lang w:val="fr-FR"/>
        </w:rPr>
        <w:t>V du document TWC/3</w:t>
      </w:r>
      <w:r w:rsidR="00AC15F3" w:rsidRPr="004802F4">
        <w:rPr>
          <w:rFonts w:cs="Arial"/>
          <w:lang w:val="fr-FR"/>
        </w:rPr>
        <w:t>1</w:t>
      </w:r>
      <w:r w:rsidRPr="004802F4">
        <w:rPr>
          <w:rFonts w:cs="Arial"/>
          <w:lang w:val="fr-FR"/>
        </w:rPr>
        <w:t>/22.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4F302C" w:rsidRPr="004802F4" w:rsidRDefault="00F107D4" w:rsidP="004802F4">
      <w:pPr>
        <w:rPr>
          <w:rFonts w:cs="Arial"/>
          <w:lang w:val="fr-FR"/>
        </w:rPr>
      </w:pPr>
      <w:r w:rsidRPr="004802F4">
        <w:rPr>
          <w:rFonts w:cs="Arial"/>
          <w:lang w:val="fr-FR"/>
        </w:rPr>
        <w:t>La méthode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évaluation de l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 xml:space="preserve">homogénéité fondée sur les plantes </w:t>
      </w:r>
      <w:r w:rsidR="00707A69" w:rsidRPr="004802F4">
        <w:rPr>
          <w:rFonts w:cs="Arial"/>
          <w:lang w:val="fr-FR"/>
        </w:rPr>
        <w:t>hors-type</w:t>
      </w:r>
      <w:r w:rsidRPr="004802F4">
        <w:rPr>
          <w:rFonts w:cs="Arial"/>
          <w:lang w:val="fr-FR"/>
        </w:rPr>
        <w:t xml:space="preserve"> </w:t>
      </w:r>
      <w:r w:rsidR="003F7E71" w:rsidRPr="004802F4">
        <w:rPr>
          <w:rFonts w:cs="Arial"/>
          <w:lang w:val="fr-FR"/>
        </w:rPr>
        <w:t>(</w:t>
      </w:r>
      <w:r w:rsidRPr="004802F4">
        <w:rPr>
          <w:rFonts w:cs="Arial"/>
          <w:lang w:val="fr-FR"/>
        </w:rPr>
        <w:t xml:space="preserve">procédure applicable aux plantes </w:t>
      </w:r>
      <w:r w:rsidR="00707A69" w:rsidRPr="004802F4">
        <w:rPr>
          <w:rFonts w:cs="Arial"/>
          <w:lang w:val="fr-FR"/>
        </w:rPr>
        <w:t>hors-type</w:t>
      </w:r>
      <w:r w:rsidR="003F7E71" w:rsidRPr="004802F4">
        <w:rPr>
          <w:rFonts w:cs="Arial"/>
          <w:lang w:val="fr-FR"/>
        </w:rPr>
        <w:t xml:space="preserve">) </w:t>
      </w:r>
      <w:r w:rsidRPr="004802F4">
        <w:rPr>
          <w:rFonts w:cs="Arial"/>
          <w:lang w:val="fr-FR"/>
        </w:rPr>
        <w:t xml:space="preserve">a été décrite dans le </w:t>
      </w:r>
      <w:r w:rsidR="003F7E71" w:rsidRPr="004802F4">
        <w:rPr>
          <w:rFonts w:cs="Arial"/>
          <w:lang w:val="fr-FR"/>
        </w:rPr>
        <w:t xml:space="preserve">document TGP/8. </w:t>
      </w:r>
      <w:r w:rsidRPr="004802F4">
        <w:rPr>
          <w:rFonts w:cs="Arial"/>
          <w:lang w:val="fr-FR"/>
        </w:rPr>
        <w:t xml:space="preserve"> Le p</w:t>
      </w:r>
      <w:r w:rsidR="003F7E71" w:rsidRPr="004802F4">
        <w:rPr>
          <w:rFonts w:cs="Arial"/>
          <w:lang w:val="fr-FR"/>
        </w:rPr>
        <w:t>aragraph</w:t>
      </w:r>
      <w:r w:rsidRPr="004802F4">
        <w:rPr>
          <w:rFonts w:cs="Arial"/>
          <w:lang w:val="fr-FR"/>
        </w:rPr>
        <w:t>e</w:t>
      </w:r>
      <w:r w:rsidR="009307C6" w:rsidRPr="004802F4">
        <w:rPr>
          <w:rFonts w:cs="Arial"/>
          <w:lang w:val="fr-FR"/>
        </w:rPr>
        <w:t> </w:t>
      </w:r>
      <w:r w:rsidR="003F7E71" w:rsidRPr="004802F4">
        <w:rPr>
          <w:rFonts w:cs="Arial"/>
          <w:lang w:val="fr-FR"/>
        </w:rPr>
        <w:t xml:space="preserve">8.1.7 </w:t>
      </w:r>
      <w:r w:rsidRPr="004802F4">
        <w:rPr>
          <w:rFonts w:cs="Arial"/>
          <w:lang w:val="fr-FR"/>
        </w:rPr>
        <w:t>donne des orientations sur l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 xml:space="preserve">utilisation de la procédure applicable aux plantes </w:t>
      </w:r>
      <w:r w:rsidR="00707A69" w:rsidRPr="004802F4">
        <w:rPr>
          <w:rFonts w:cs="Arial"/>
          <w:lang w:val="fr-FR"/>
        </w:rPr>
        <w:t>hors-type</w:t>
      </w:r>
      <w:r w:rsidRPr="004802F4">
        <w:rPr>
          <w:rFonts w:cs="Arial"/>
          <w:lang w:val="fr-FR"/>
        </w:rPr>
        <w:t xml:space="preserve"> au</w:t>
      </w:r>
      <w:r w:rsidR="001272D3" w:rsidRPr="004802F4">
        <w:rPr>
          <w:rFonts w:cs="Arial"/>
          <w:lang w:val="fr-FR"/>
        </w:rPr>
        <w:noBreakHyphen/>
      </w:r>
      <w:r w:rsidRPr="004802F4">
        <w:rPr>
          <w:rFonts w:cs="Arial"/>
          <w:lang w:val="fr-FR"/>
        </w:rPr>
        <w:t>delà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 xml:space="preserve">un essai unique, </w:t>
      </w:r>
      <w:r w:rsidR="004F302C" w:rsidRPr="004802F4">
        <w:rPr>
          <w:rFonts w:cs="Arial"/>
          <w:lang w:val="fr-FR"/>
        </w:rPr>
        <w:t>y compris</w:t>
      </w:r>
      <w:r w:rsidRPr="004802F4">
        <w:rPr>
          <w:rFonts w:cs="Arial"/>
          <w:lang w:val="fr-FR"/>
        </w:rPr>
        <w:t xml:space="preserve"> sur un essai combiné, un essai en deux</w:t>
      </w:r>
      <w:r w:rsidR="009307C6" w:rsidRPr="004802F4">
        <w:rPr>
          <w:rFonts w:cs="Arial"/>
          <w:lang w:val="fr-FR"/>
        </w:rPr>
        <w:t> </w:t>
      </w:r>
      <w:r w:rsidRPr="004802F4">
        <w:rPr>
          <w:rFonts w:cs="Arial"/>
          <w:lang w:val="fr-FR"/>
        </w:rPr>
        <w:t>phases et les essais séquentiels</w:t>
      </w:r>
      <w:r w:rsidR="003F7E71" w:rsidRPr="004802F4">
        <w:rPr>
          <w:rFonts w:cs="Arial"/>
          <w:lang w:val="fr-FR"/>
        </w:rPr>
        <w:t>.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7A701A" w:rsidRPr="004802F4" w:rsidRDefault="00DB344E" w:rsidP="004802F4">
      <w:pPr>
        <w:rPr>
          <w:rFonts w:cs="Arial"/>
          <w:lang w:val="fr-FR"/>
        </w:rPr>
      </w:pPr>
      <w:r w:rsidRPr="004802F4">
        <w:rPr>
          <w:rFonts w:cs="Arial"/>
          <w:lang w:val="fr-FR"/>
        </w:rPr>
        <w:t>Un essai combiné se définit comme suit :</w:t>
      </w:r>
    </w:p>
    <w:p w:rsidR="007A701A" w:rsidRPr="004802F4" w:rsidRDefault="00AC15F3" w:rsidP="004802F4">
      <w:pPr>
        <w:rPr>
          <w:rFonts w:cs="Arial"/>
          <w:lang w:val="fr-FR"/>
        </w:rPr>
      </w:pPr>
      <w:proofErr w:type="gramStart"/>
      <w:r w:rsidRPr="004802F4">
        <w:rPr>
          <w:rFonts w:cs="Arial"/>
          <w:lang w:val="fr-FR"/>
        </w:rPr>
        <w:t>p</w:t>
      </w:r>
      <w:r w:rsidR="00DB344E" w:rsidRPr="004802F4">
        <w:rPr>
          <w:rFonts w:cs="Arial"/>
          <w:lang w:val="fr-FR"/>
        </w:rPr>
        <w:t>rendre</w:t>
      </w:r>
      <w:proofErr w:type="gramEnd"/>
      <w:r w:rsidR="00DB344E" w:rsidRPr="004802F4">
        <w:rPr>
          <w:rFonts w:cs="Arial"/>
          <w:lang w:val="fr-FR"/>
        </w:rPr>
        <w:t xml:space="preserve"> une décision après deux</w:t>
      </w:r>
      <w:r w:rsidR="009307C6" w:rsidRPr="004802F4">
        <w:rPr>
          <w:rFonts w:cs="Arial"/>
          <w:lang w:val="fr-FR"/>
        </w:rPr>
        <w:t> </w:t>
      </w:r>
      <w:r w:rsidR="00DB344E" w:rsidRPr="004802F4">
        <w:rPr>
          <w:rFonts w:cs="Arial"/>
          <w:lang w:val="fr-FR"/>
        </w:rPr>
        <w:t xml:space="preserve">(ou trois) années sur la base du nombre total de plantes examinées et du nombre total de plantes </w:t>
      </w:r>
      <w:r w:rsidR="00707A69" w:rsidRPr="004802F4">
        <w:rPr>
          <w:rFonts w:cs="Arial"/>
          <w:lang w:val="fr-FR"/>
        </w:rPr>
        <w:t>hors-type</w:t>
      </w:r>
      <w:r w:rsidR="00DB344E" w:rsidRPr="004802F4">
        <w:rPr>
          <w:rFonts w:cs="Arial"/>
          <w:lang w:val="fr-FR"/>
        </w:rPr>
        <w:t xml:space="preserve"> enregistrées</w:t>
      </w:r>
      <w:r w:rsidR="003F7E71" w:rsidRPr="004802F4">
        <w:rPr>
          <w:rFonts w:cs="Arial"/>
          <w:lang w:val="fr-FR"/>
        </w:rPr>
        <w:t>.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7A701A" w:rsidRPr="004802F4" w:rsidRDefault="00DB344E" w:rsidP="004802F4">
      <w:pPr>
        <w:rPr>
          <w:rFonts w:cs="Arial"/>
          <w:lang w:val="fr-FR"/>
        </w:rPr>
      </w:pPr>
      <w:r w:rsidRPr="004802F4">
        <w:rPr>
          <w:rFonts w:cs="Arial"/>
          <w:lang w:val="fr-FR"/>
        </w:rPr>
        <w:t>Un essai en deux</w:t>
      </w:r>
      <w:r w:rsidR="009307C6" w:rsidRPr="004802F4">
        <w:rPr>
          <w:rFonts w:cs="Arial"/>
          <w:lang w:val="fr-FR"/>
        </w:rPr>
        <w:t> </w:t>
      </w:r>
      <w:r w:rsidRPr="004802F4">
        <w:rPr>
          <w:rFonts w:cs="Arial"/>
          <w:lang w:val="fr-FR"/>
        </w:rPr>
        <w:t>phases se définit comme suit :</w:t>
      </w:r>
    </w:p>
    <w:p w:rsidR="007A701A" w:rsidRPr="004802F4" w:rsidRDefault="00AC15F3" w:rsidP="004802F4">
      <w:pPr>
        <w:rPr>
          <w:rFonts w:cs="Arial"/>
          <w:lang w:val="fr-FR"/>
        </w:rPr>
      </w:pPr>
      <w:proofErr w:type="gramStart"/>
      <w:r w:rsidRPr="004802F4">
        <w:rPr>
          <w:rFonts w:cs="Arial"/>
          <w:lang w:val="fr-FR"/>
        </w:rPr>
        <w:t>s</w:t>
      </w:r>
      <w:r w:rsidR="003443D8" w:rsidRPr="004802F4">
        <w:rPr>
          <w:rFonts w:cs="Arial"/>
          <w:lang w:val="fr-FR"/>
        </w:rPr>
        <w:t>e</w:t>
      </w:r>
      <w:proofErr w:type="gramEnd"/>
      <w:r w:rsidR="003443D8" w:rsidRPr="004802F4">
        <w:rPr>
          <w:rFonts w:cs="Arial"/>
          <w:lang w:val="fr-FR"/>
        </w:rPr>
        <w:t xml:space="preserve"> fonder sur les résultats obtenus la première année pour déterminer si une décision (rejet ou acceptation) peut être prise</w:t>
      </w:r>
      <w:r w:rsidR="00DB344E" w:rsidRPr="004802F4">
        <w:rPr>
          <w:rFonts w:cs="Arial"/>
          <w:lang w:val="fr-FR"/>
        </w:rPr>
        <w:t>.  S</w:t>
      </w:r>
      <w:r w:rsidR="00707A69" w:rsidRPr="004802F4">
        <w:rPr>
          <w:rFonts w:cs="Arial"/>
          <w:lang w:val="fr-FR"/>
        </w:rPr>
        <w:t>i</w:t>
      </w:r>
      <w:r w:rsidR="00DB344E" w:rsidRPr="004802F4">
        <w:rPr>
          <w:rFonts w:cs="Arial"/>
          <w:lang w:val="fr-FR"/>
        </w:rPr>
        <w:t xml:space="preserve"> aucune décision ne peut être prise, procéder à un examen lors de la deuxième année au terme de laquelle une décision sera prise.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4F302C" w:rsidRPr="004802F4" w:rsidRDefault="00DB344E" w:rsidP="004802F4">
      <w:pPr>
        <w:rPr>
          <w:rFonts w:cs="Arial"/>
          <w:lang w:val="fr-FR"/>
        </w:rPr>
      </w:pPr>
      <w:r w:rsidRPr="004802F4">
        <w:rPr>
          <w:rFonts w:cs="Arial"/>
          <w:lang w:val="fr-FR"/>
        </w:rPr>
        <w:t>Un essai séquentiel est un essai en plusieurs étapes dans lequel les règles concernant les décisions peuvent être arrêtées en fonction ou non des résultats de l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essai.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7A701A" w:rsidRPr="004802F4" w:rsidRDefault="00DB344E" w:rsidP="004802F4">
      <w:pPr>
        <w:rPr>
          <w:rFonts w:cs="Arial"/>
          <w:lang w:val="fr-FR"/>
        </w:rPr>
      </w:pPr>
      <w:r w:rsidRPr="004802F4">
        <w:rPr>
          <w:rFonts w:cs="Arial"/>
          <w:lang w:val="fr-FR"/>
        </w:rPr>
        <w:t>On trouvera un exemple spécifique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utilisation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un essai en deux</w:t>
      </w:r>
      <w:r w:rsidR="009307C6" w:rsidRPr="004802F4">
        <w:rPr>
          <w:rFonts w:cs="Arial"/>
          <w:lang w:val="fr-FR"/>
        </w:rPr>
        <w:t> </w:t>
      </w:r>
      <w:r w:rsidRPr="004802F4">
        <w:rPr>
          <w:rFonts w:cs="Arial"/>
          <w:lang w:val="fr-FR"/>
        </w:rPr>
        <w:t>phases à l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annexe</w:t>
      </w:r>
      <w:r w:rsidR="009307C6" w:rsidRPr="004802F4">
        <w:rPr>
          <w:rFonts w:cs="Arial"/>
          <w:lang w:val="fr-FR"/>
        </w:rPr>
        <w:t> </w:t>
      </w:r>
      <w:r w:rsidRPr="004802F4">
        <w:rPr>
          <w:rFonts w:cs="Arial"/>
          <w:lang w:val="fr-FR"/>
        </w:rPr>
        <w:t>I, page</w:t>
      </w:r>
      <w:r w:rsidR="009307C6" w:rsidRPr="004802F4">
        <w:rPr>
          <w:rFonts w:cs="Arial"/>
          <w:lang w:val="fr-FR"/>
        </w:rPr>
        <w:t> </w:t>
      </w:r>
      <w:r w:rsidRPr="004802F4">
        <w:rPr>
          <w:rFonts w:cs="Arial"/>
          <w:lang w:val="fr-FR"/>
        </w:rPr>
        <w:t xml:space="preserve">13, du document </w:t>
      </w:r>
      <w:r w:rsidR="003F7E71" w:rsidRPr="004802F4">
        <w:rPr>
          <w:rFonts w:cs="Arial"/>
          <w:lang w:val="fr-FR"/>
        </w:rPr>
        <w:t>TWC/29/09 “</w:t>
      </w:r>
      <w:proofErr w:type="spellStart"/>
      <w:r w:rsidR="003F7E71" w:rsidRPr="004802F4">
        <w:rPr>
          <w:rFonts w:cs="Arial"/>
          <w:lang w:val="fr-FR"/>
        </w:rPr>
        <w:t>Assessing</w:t>
      </w:r>
      <w:proofErr w:type="spellEnd"/>
      <w:r w:rsidR="003F7E71" w:rsidRPr="004802F4">
        <w:rPr>
          <w:rFonts w:cs="Arial"/>
          <w:lang w:val="fr-FR"/>
        </w:rPr>
        <w:t xml:space="preserve"> </w:t>
      </w:r>
      <w:proofErr w:type="spellStart"/>
      <w:r w:rsidR="003F7E71" w:rsidRPr="004802F4">
        <w:rPr>
          <w:rFonts w:cs="Arial"/>
          <w:lang w:val="fr-FR"/>
        </w:rPr>
        <w:t>uniformity</w:t>
      </w:r>
      <w:proofErr w:type="spellEnd"/>
      <w:r w:rsidR="003F7E71" w:rsidRPr="004802F4">
        <w:rPr>
          <w:rFonts w:cs="Arial"/>
          <w:lang w:val="fr-FR"/>
        </w:rPr>
        <w:t xml:space="preserve"> by off</w:t>
      </w:r>
      <w:r w:rsidR="001272D3" w:rsidRPr="004802F4">
        <w:rPr>
          <w:rFonts w:cs="Arial"/>
          <w:lang w:val="fr-FR"/>
        </w:rPr>
        <w:noBreakHyphen/>
      </w:r>
      <w:r w:rsidR="003F7E71" w:rsidRPr="004802F4">
        <w:rPr>
          <w:rFonts w:cs="Arial"/>
          <w:lang w:val="fr-FR"/>
        </w:rPr>
        <w:t xml:space="preserve">types on the basis of more </w:t>
      </w:r>
      <w:proofErr w:type="spellStart"/>
      <w:r w:rsidR="003F7E71" w:rsidRPr="004802F4">
        <w:rPr>
          <w:rFonts w:cs="Arial"/>
          <w:lang w:val="fr-FR"/>
        </w:rPr>
        <w:t>than</w:t>
      </w:r>
      <w:proofErr w:type="spellEnd"/>
      <w:r w:rsidR="003F7E71" w:rsidRPr="004802F4">
        <w:rPr>
          <w:rFonts w:cs="Arial"/>
          <w:lang w:val="fr-FR"/>
        </w:rPr>
        <w:t xml:space="preserve"> one </w:t>
      </w:r>
      <w:proofErr w:type="spellStart"/>
      <w:r w:rsidR="003F7E71" w:rsidRPr="004802F4">
        <w:rPr>
          <w:rFonts w:cs="Arial"/>
          <w:lang w:val="fr-FR"/>
        </w:rPr>
        <w:t>sample</w:t>
      </w:r>
      <w:proofErr w:type="spellEnd"/>
      <w:r w:rsidR="003F7E71" w:rsidRPr="004802F4">
        <w:rPr>
          <w:rFonts w:cs="Arial"/>
          <w:lang w:val="fr-FR"/>
        </w:rPr>
        <w:t xml:space="preserve"> or </w:t>
      </w:r>
      <w:proofErr w:type="spellStart"/>
      <w:r w:rsidR="003F7E71" w:rsidRPr="004802F4">
        <w:rPr>
          <w:rFonts w:cs="Arial"/>
          <w:lang w:val="fr-FR"/>
        </w:rPr>
        <w:t>sub</w:t>
      </w:r>
      <w:r w:rsidR="001272D3" w:rsidRPr="004802F4">
        <w:rPr>
          <w:rFonts w:cs="Arial"/>
          <w:lang w:val="fr-FR"/>
        </w:rPr>
        <w:noBreakHyphen/>
      </w:r>
      <w:r w:rsidR="003F7E71" w:rsidRPr="004802F4">
        <w:rPr>
          <w:rFonts w:cs="Arial"/>
          <w:lang w:val="fr-FR"/>
        </w:rPr>
        <w:t>sample</w:t>
      </w:r>
      <w:proofErr w:type="spellEnd"/>
      <w:r w:rsidR="003F7E71" w:rsidRPr="004802F4">
        <w:rPr>
          <w:rFonts w:cs="Arial"/>
          <w:lang w:val="fr-FR"/>
        </w:rPr>
        <w:t xml:space="preserve">”. </w:t>
      </w:r>
      <w:r w:rsidRPr="004802F4">
        <w:rPr>
          <w:rFonts w:cs="Arial"/>
          <w:lang w:val="fr-FR"/>
        </w:rPr>
        <w:t xml:space="preserve"> La méthode spécifique ci</w:t>
      </w:r>
      <w:r w:rsidR="001272D3" w:rsidRPr="004802F4">
        <w:rPr>
          <w:rFonts w:cs="Arial"/>
          <w:lang w:val="fr-FR"/>
        </w:rPr>
        <w:noBreakHyphen/>
      </w:r>
      <w:r w:rsidRPr="004802F4">
        <w:rPr>
          <w:rFonts w:cs="Arial"/>
          <w:lang w:val="fr-FR"/>
        </w:rPr>
        <w:t>après est appliquée par plusieurs offices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 xml:space="preserve">examen européens </w:t>
      </w:r>
      <w:r w:rsidR="00DA2387" w:rsidRPr="004802F4">
        <w:rPr>
          <w:rFonts w:cs="Arial"/>
          <w:lang w:val="fr-FR"/>
        </w:rPr>
        <w:t>au blé et à l</w:t>
      </w:r>
      <w:r w:rsidR="004F302C" w:rsidRPr="004802F4">
        <w:rPr>
          <w:rFonts w:cs="Arial"/>
          <w:lang w:val="fr-FR"/>
        </w:rPr>
        <w:t>’</w:t>
      </w:r>
      <w:r w:rsidR="00DA2387" w:rsidRPr="004802F4">
        <w:rPr>
          <w:rFonts w:cs="Arial"/>
          <w:lang w:val="fr-FR"/>
        </w:rPr>
        <w:t xml:space="preserve">orge </w:t>
      </w:r>
      <w:r w:rsidR="00AC15F3" w:rsidRPr="004802F4">
        <w:rPr>
          <w:rFonts w:cs="Arial"/>
          <w:lang w:val="fr-FR"/>
        </w:rPr>
        <w:t>aux fins de l’évaluation de</w:t>
      </w:r>
      <w:r w:rsidR="00DA2387" w:rsidRPr="004802F4">
        <w:rPr>
          <w:rFonts w:cs="Arial"/>
          <w:lang w:val="fr-FR"/>
        </w:rPr>
        <w:t xml:space="preserve"> l</w:t>
      </w:r>
      <w:r w:rsidR="004F302C" w:rsidRPr="004802F4">
        <w:rPr>
          <w:rFonts w:cs="Arial"/>
          <w:lang w:val="fr-FR"/>
        </w:rPr>
        <w:t>’</w:t>
      </w:r>
      <w:r w:rsidR="00DA2387" w:rsidRPr="004802F4">
        <w:rPr>
          <w:rFonts w:cs="Arial"/>
          <w:lang w:val="fr-FR"/>
        </w:rPr>
        <w:t xml:space="preserve">homogénéité </w:t>
      </w:r>
      <w:r w:rsidR="00AC15F3" w:rsidRPr="004802F4">
        <w:rPr>
          <w:rFonts w:cs="Arial"/>
          <w:lang w:val="fr-FR"/>
        </w:rPr>
        <w:t>dans le cas de</w:t>
      </w:r>
      <w:r w:rsidR="00DA2387" w:rsidRPr="004802F4">
        <w:rPr>
          <w:rFonts w:cs="Arial"/>
          <w:lang w:val="fr-FR"/>
        </w:rPr>
        <w:t xml:space="preserve"> caractères observés sur un échantillon de </w:t>
      </w:r>
      <w:r w:rsidR="002D2E1B" w:rsidRPr="004802F4">
        <w:rPr>
          <w:rFonts w:cs="Arial"/>
          <w:lang w:val="fr-FR"/>
        </w:rPr>
        <w:t>100 </w:t>
      </w:r>
      <w:r w:rsidR="00DA2387" w:rsidRPr="004802F4">
        <w:rPr>
          <w:rFonts w:cs="Arial"/>
          <w:lang w:val="fr-FR"/>
        </w:rPr>
        <w:t>plantes ou parties de plantes</w:t>
      </w:r>
      <w:r w:rsidR="003F7E71" w:rsidRPr="004802F4">
        <w:rPr>
          <w:rFonts w:cs="Arial"/>
          <w:lang w:val="fr-FR"/>
        </w:rPr>
        <w:t xml:space="preserve">. </w:t>
      </w:r>
      <w:r w:rsidR="00DA2387" w:rsidRPr="004802F4">
        <w:rPr>
          <w:rFonts w:cs="Arial"/>
          <w:lang w:val="fr-FR"/>
        </w:rPr>
        <w:t xml:space="preserve"> La norme de population est fixée à </w:t>
      </w:r>
      <w:r w:rsidR="003F7E71" w:rsidRPr="004802F4">
        <w:rPr>
          <w:rFonts w:cs="Arial"/>
          <w:lang w:val="fr-FR"/>
        </w:rPr>
        <w:t xml:space="preserve">1% </w:t>
      </w:r>
      <w:r w:rsidR="00DA2387" w:rsidRPr="004802F4">
        <w:rPr>
          <w:rFonts w:cs="Arial"/>
          <w:lang w:val="fr-FR"/>
        </w:rPr>
        <w:t>avec une probabilité d</w:t>
      </w:r>
      <w:r w:rsidR="004F302C" w:rsidRPr="004802F4">
        <w:rPr>
          <w:rFonts w:cs="Arial"/>
          <w:lang w:val="fr-FR"/>
        </w:rPr>
        <w:t>’</w:t>
      </w:r>
      <w:r w:rsidR="00DA2387" w:rsidRPr="004802F4">
        <w:rPr>
          <w:rFonts w:cs="Arial"/>
          <w:lang w:val="fr-FR"/>
        </w:rPr>
        <w:t>acceptation de 95% pour chaque décision</w:t>
      </w:r>
      <w:r w:rsidR="003F7E71" w:rsidRPr="004802F4">
        <w:rPr>
          <w:rFonts w:cs="Arial"/>
          <w:lang w:val="fr-FR"/>
        </w:rPr>
        <w:t>.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4F302C" w:rsidRPr="004802F4" w:rsidRDefault="003443D8" w:rsidP="004802F4">
      <w:pPr>
        <w:rPr>
          <w:rFonts w:cs="Arial"/>
          <w:lang w:val="fr-FR"/>
        </w:rPr>
      </w:pPr>
      <w:r w:rsidRPr="004802F4">
        <w:rPr>
          <w:rFonts w:cs="Arial"/>
          <w:lang w:val="fr-FR"/>
        </w:rPr>
        <w:t xml:space="preserve">La </w:t>
      </w:r>
      <w:r w:rsidR="00835958" w:rsidRPr="004802F4">
        <w:rPr>
          <w:rFonts w:cs="Arial"/>
          <w:lang w:val="fr-FR"/>
        </w:rPr>
        <w:t xml:space="preserve">première </w:t>
      </w:r>
      <w:r w:rsidR="00DA2387" w:rsidRPr="004802F4">
        <w:rPr>
          <w:rFonts w:cs="Arial"/>
          <w:lang w:val="fr-FR"/>
        </w:rPr>
        <w:t xml:space="preserve">étape </w:t>
      </w:r>
      <w:r w:rsidR="00835958" w:rsidRPr="004802F4">
        <w:rPr>
          <w:rFonts w:cs="Arial"/>
          <w:lang w:val="fr-FR"/>
        </w:rPr>
        <w:t>consiste à observer 20 </w:t>
      </w:r>
      <w:r w:rsidRPr="004802F4">
        <w:rPr>
          <w:rFonts w:cs="Arial"/>
          <w:lang w:val="fr-FR"/>
        </w:rPr>
        <w:t>plantes ou parties de plantes.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7A701A" w:rsidRPr="004802F4" w:rsidRDefault="00DA2387" w:rsidP="004802F4">
      <w:pPr>
        <w:pStyle w:val="ListParagraph"/>
        <w:numPr>
          <w:ilvl w:val="0"/>
          <w:numId w:val="1"/>
        </w:numPr>
        <w:rPr>
          <w:rFonts w:cs="Arial"/>
          <w:lang w:val="fr-FR"/>
        </w:rPr>
      </w:pPr>
      <w:r w:rsidRPr="004802F4">
        <w:rPr>
          <w:rFonts w:cs="Arial"/>
          <w:lang w:val="fr-FR"/>
        </w:rPr>
        <w:t>S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il n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 xml:space="preserve">y a aucune plante </w:t>
      </w:r>
      <w:r w:rsidR="00707A69" w:rsidRPr="004802F4">
        <w:rPr>
          <w:rFonts w:cs="Arial"/>
          <w:lang w:val="fr-FR"/>
        </w:rPr>
        <w:t>hors-type</w:t>
      </w:r>
      <w:r w:rsidR="00986F13" w:rsidRPr="004802F4">
        <w:rPr>
          <w:rFonts w:cs="Arial"/>
          <w:lang w:val="fr-FR"/>
        </w:rPr>
        <w:t xml:space="preserve"> dans les </w:t>
      </w:r>
      <w:r w:rsidR="002D2E1B" w:rsidRPr="004802F4">
        <w:rPr>
          <w:rFonts w:cs="Arial"/>
          <w:lang w:val="fr-FR"/>
        </w:rPr>
        <w:t>20 </w:t>
      </w:r>
      <w:r w:rsidR="003F7E71" w:rsidRPr="004802F4">
        <w:rPr>
          <w:rFonts w:cs="Arial"/>
          <w:lang w:val="fr-FR"/>
        </w:rPr>
        <w:t>plant</w:t>
      </w:r>
      <w:r w:rsidR="00986F13" w:rsidRPr="004802F4">
        <w:rPr>
          <w:rFonts w:cs="Arial"/>
          <w:lang w:val="fr-FR"/>
        </w:rPr>
        <w:t>e</w:t>
      </w:r>
      <w:r w:rsidR="003F7E71" w:rsidRPr="004802F4">
        <w:rPr>
          <w:rFonts w:cs="Arial"/>
          <w:lang w:val="fr-FR"/>
        </w:rPr>
        <w:t>s</w:t>
      </w:r>
      <w:r w:rsidR="00986F13" w:rsidRPr="004802F4">
        <w:rPr>
          <w:rFonts w:cs="Arial"/>
          <w:lang w:val="fr-FR"/>
        </w:rPr>
        <w:t xml:space="preserve">, pour la variété, le nombre de plantes </w:t>
      </w:r>
      <w:r w:rsidR="00707A69" w:rsidRPr="004802F4">
        <w:rPr>
          <w:rFonts w:cs="Arial"/>
          <w:lang w:val="fr-FR"/>
        </w:rPr>
        <w:t>hors</w:t>
      </w:r>
      <w:r w:rsidR="00E14B9D" w:rsidRPr="004802F4">
        <w:rPr>
          <w:rFonts w:cs="Arial"/>
          <w:lang w:val="fr-FR"/>
        </w:rPr>
        <w:noBreakHyphen/>
      </w:r>
      <w:r w:rsidR="00707A69" w:rsidRPr="004802F4">
        <w:rPr>
          <w:rFonts w:cs="Arial"/>
          <w:lang w:val="fr-FR"/>
        </w:rPr>
        <w:t>type</w:t>
      </w:r>
      <w:r w:rsidR="00986F13" w:rsidRPr="004802F4">
        <w:rPr>
          <w:rFonts w:cs="Arial"/>
          <w:lang w:val="fr-FR"/>
        </w:rPr>
        <w:t xml:space="preserve"> autorisées pour ce caractère sur ce cycle de végétation n</w:t>
      </w:r>
      <w:r w:rsidR="004F302C" w:rsidRPr="004802F4">
        <w:rPr>
          <w:rFonts w:cs="Arial"/>
          <w:lang w:val="fr-FR"/>
        </w:rPr>
        <w:t>’</w:t>
      </w:r>
      <w:r w:rsidR="00986F13" w:rsidRPr="004802F4">
        <w:rPr>
          <w:rFonts w:cs="Arial"/>
          <w:lang w:val="fr-FR"/>
        </w:rPr>
        <w:t>est pas dépassé.</w:t>
      </w:r>
    </w:p>
    <w:p w:rsidR="007A701A" w:rsidRPr="004802F4" w:rsidRDefault="00DA2387" w:rsidP="004802F4">
      <w:pPr>
        <w:pStyle w:val="ListParagraph"/>
        <w:numPr>
          <w:ilvl w:val="0"/>
          <w:numId w:val="1"/>
        </w:numPr>
        <w:rPr>
          <w:rFonts w:cs="Arial"/>
          <w:lang w:val="fr-FR"/>
        </w:rPr>
      </w:pPr>
      <w:r w:rsidRPr="004802F4">
        <w:rPr>
          <w:rFonts w:cs="Arial"/>
          <w:lang w:val="fr-FR"/>
        </w:rPr>
        <w:t>S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 xml:space="preserve">il y a plus de </w:t>
      </w:r>
      <w:r w:rsidR="002D2E1B" w:rsidRPr="004802F4">
        <w:rPr>
          <w:rFonts w:cs="Arial"/>
          <w:lang w:val="fr-FR"/>
        </w:rPr>
        <w:t>3 </w:t>
      </w:r>
      <w:r w:rsidRPr="004802F4">
        <w:rPr>
          <w:rFonts w:cs="Arial"/>
          <w:lang w:val="fr-FR"/>
        </w:rPr>
        <w:t xml:space="preserve">plantes </w:t>
      </w:r>
      <w:r w:rsidR="00707A69" w:rsidRPr="004802F4">
        <w:rPr>
          <w:rFonts w:cs="Arial"/>
          <w:lang w:val="fr-FR"/>
        </w:rPr>
        <w:t>hors-type</w:t>
      </w:r>
      <w:r w:rsidRPr="004802F4">
        <w:rPr>
          <w:rFonts w:cs="Arial"/>
          <w:lang w:val="fr-FR"/>
        </w:rPr>
        <w:t xml:space="preserve">, pour la variété, le nombre de plantes </w:t>
      </w:r>
      <w:r w:rsidR="00707A69" w:rsidRPr="004802F4">
        <w:rPr>
          <w:rFonts w:cs="Arial"/>
          <w:lang w:val="fr-FR"/>
        </w:rPr>
        <w:t>hors-type</w:t>
      </w:r>
      <w:r w:rsidRPr="004802F4">
        <w:rPr>
          <w:rFonts w:cs="Arial"/>
          <w:lang w:val="fr-FR"/>
        </w:rPr>
        <w:t xml:space="preserve"> autorisées pour ce caractère sur ce cycle de végétation est dépassé</w:t>
      </w:r>
      <w:r w:rsidR="003F7E71" w:rsidRPr="004802F4">
        <w:rPr>
          <w:rFonts w:cs="Arial"/>
          <w:lang w:val="fr-FR"/>
        </w:rPr>
        <w:t>.</w:t>
      </w:r>
    </w:p>
    <w:p w:rsidR="007A701A" w:rsidRPr="004802F4" w:rsidRDefault="00986F13" w:rsidP="004802F4">
      <w:pPr>
        <w:pStyle w:val="ListParagraph"/>
        <w:numPr>
          <w:ilvl w:val="0"/>
          <w:numId w:val="1"/>
        </w:numPr>
        <w:rPr>
          <w:rFonts w:cs="Arial"/>
          <w:lang w:val="fr-FR"/>
        </w:rPr>
      </w:pPr>
      <w:r w:rsidRPr="004802F4">
        <w:rPr>
          <w:rFonts w:cs="Arial"/>
          <w:lang w:val="fr-FR"/>
        </w:rPr>
        <w:t>S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 xml:space="preserve">il y a </w:t>
      </w:r>
      <w:r w:rsidR="002D2E1B" w:rsidRPr="004802F4">
        <w:rPr>
          <w:rFonts w:cs="Arial"/>
          <w:lang w:val="fr-FR"/>
        </w:rPr>
        <w:t>1</w:t>
      </w:r>
      <w:r w:rsidR="003F7E71" w:rsidRPr="004802F4">
        <w:rPr>
          <w:rFonts w:cs="Arial"/>
          <w:lang w:val="fr-FR"/>
        </w:rPr>
        <w:t xml:space="preserve">, </w:t>
      </w:r>
      <w:r w:rsidR="002D2E1B" w:rsidRPr="004802F4">
        <w:rPr>
          <w:rFonts w:cs="Arial"/>
          <w:lang w:val="fr-FR"/>
        </w:rPr>
        <w:t>2 </w:t>
      </w:r>
      <w:r w:rsidR="003F7E71" w:rsidRPr="004802F4">
        <w:rPr>
          <w:rFonts w:cs="Arial"/>
          <w:lang w:val="fr-FR"/>
        </w:rPr>
        <w:t>o</w:t>
      </w:r>
      <w:r w:rsidRPr="004802F4">
        <w:rPr>
          <w:rFonts w:cs="Arial"/>
          <w:lang w:val="fr-FR"/>
        </w:rPr>
        <w:t>u</w:t>
      </w:r>
      <w:r w:rsidR="003F7E71" w:rsidRPr="004802F4">
        <w:rPr>
          <w:rFonts w:cs="Arial"/>
          <w:lang w:val="fr-FR"/>
        </w:rPr>
        <w:t xml:space="preserve"> </w:t>
      </w:r>
      <w:r w:rsidR="002D2E1B" w:rsidRPr="004802F4">
        <w:rPr>
          <w:rFonts w:cs="Arial"/>
          <w:lang w:val="fr-FR"/>
        </w:rPr>
        <w:t>3 </w:t>
      </w:r>
      <w:r w:rsidRPr="004802F4">
        <w:rPr>
          <w:rFonts w:cs="Arial"/>
          <w:lang w:val="fr-FR"/>
        </w:rPr>
        <w:t xml:space="preserve">plantes </w:t>
      </w:r>
      <w:r w:rsidR="00707A69" w:rsidRPr="004802F4">
        <w:rPr>
          <w:rFonts w:cs="Arial"/>
          <w:lang w:val="fr-FR"/>
        </w:rPr>
        <w:t>hors-type</w:t>
      </w:r>
      <w:r w:rsidRPr="004802F4">
        <w:rPr>
          <w:rFonts w:cs="Arial"/>
          <w:lang w:val="fr-FR"/>
        </w:rPr>
        <w:t>, il faut alors passer à la seconde étape</w:t>
      </w:r>
      <w:r w:rsidR="003F7E71" w:rsidRPr="004802F4">
        <w:rPr>
          <w:rFonts w:cs="Arial"/>
          <w:lang w:val="fr-FR"/>
        </w:rPr>
        <w:t>.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7A701A" w:rsidRPr="004802F4" w:rsidRDefault="00986F13" w:rsidP="004802F4">
      <w:pPr>
        <w:rPr>
          <w:rFonts w:cs="Arial"/>
          <w:lang w:val="fr-FR"/>
        </w:rPr>
      </w:pPr>
      <w:r w:rsidRPr="004802F4">
        <w:rPr>
          <w:rFonts w:cs="Arial"/>
          <w:lang w:val="fr-FR"/>
        </w:rPr>
        <w:t xml:space="preserve">La seconde étape consiste à observer </w:t>
      </w:r>
      <w:r w:rsidR="002D2E1B" w:rsidRPr="004802F4">
        <w:rPr>
          <w:rFonts w:cs="Arial"/>
          <w:lang w:val="fr-FR"/>
        </w:rPr>
        <w:t>80 </w:t>
      </w:r>
      <w:r w:rsidRPr="004802F4">
        <w:rPr>
          <w:rFonts w:cs="Arial"/>
          <w:lang w:val="fr-FR"/>
        </w:rPr>
        <w:t>autres plantes ou parties de plantes</w:t>
      </w:r>
      <w:r w:rsidR="003F7E71" w:rsidRPr="004802F4">
        <w:rPr>
          <w:rFonts w:cs="Arial"/>
          <w:lang w:val="fr-FR"/>
        </w:rPr>
        <w:t>.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7A701A" w:rsidRPr="004802F4" w:rsidRDefault="00986F13" w:rsidP="004802F4">
      <w:pPr>
        <w:pStyle w:val="ListParagraph"/>
        <w:numPr>
          <w:ilvl w:val="0"/>
          <w:numId w:val="1"/>
        </w:numPr>
        <w:rPr>
          <w:rFonts w:cs="Arial"/>
          <w:lang w:val="fr-FR"/>
        </w:rPr>
      </w:pPr>
      <w:r w:rsidRPr="004802F4">
        <w:rPr>
          <w:rFonts w:cs="Arial"/>
          <w:lang w:val="fr-FR"/>
        </w:rPr>
        <w:t>S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il n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 xml:space="preserve">y a pas plus de </w:t>
      </w:r>
      <w:r w:rsidR="002D2E1B" w:rsidRPr="004802F4">
        <w:rPr>
          <w:rFonts w:cs="Arial"/>
          <w:lang w:val="fr-FR"/>
        </w:rPr>
        <w:t>3 </w:t>
      </w:r>
      <w:r w:rsidRPr="004802F4">
        <w:rPr>
          <w:rFonts w:cs="Arial"/>
          <w:lang w:val="fr-FR"/>
        </w:rPr>
        <w:t xml:space="preserve">plantes </w:t>
      </w:r>
      <w:r w:rsidR="00707A69" w:rsidRPr="004802F4">
        <w:rPr>
          <w:rFonts w:cs="Arial"/>
          <w:lang w:val="fr-FR"/>
        </w:rPr>
        <w:t>hors</w:t>
      </w:r>
      <w:r w:rsidR="00AC15F3" w:rsidRPr="004802F4">
        <w:rPr>
          <w:rFonts w:cs="Arial"/>
          <w:lang w:val="fr-FR"/>
        </w:rPr>
        <w:noBreakHyphen/>
      </w:r>
      <w:r w:rsidR="00707A69" w:rsidRPr="004802F4">
        <w:rPr>
          <w:rFonts w:cs="Arial"/>
          <w:lang w:val="fr-FR"/>
        </w:rPr>
        <w:t>type</w:t>
      </w:r>
      <w:r w:rsidRPr="004802F4">
        <w:rPr>
          <w:rFonts w:cs="Arial"/>
          <w:lang w:val="fr-FR"/>
        </w:rPr>
        <w:t xml:space="preserve"> </w:t>
      </w:r>
      <w:r w:rsidR="00AC15F3" w:rsidRPr="004802F4">
        <w:rPr>
          <w:rFonts w:cs="Arial"/>
          <w:lang w:val="fr-FR"/>
        </w:rPr>
        <w:t xml:space="preserve">dans les 100 plantes </w:t>
      </w:r>
      <w:r w:rsidRPr="004802F4">
        <w:rPr>
          <w:rFonts w:cs="Arial"/>
          <w:lang w:val="fr-FR"/>
        </w:rPr>
        <w:t>(20 à l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étape 1 + 80 à l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 xml:space="preserve">étape 2), pour la variété, le nombre de plantes </w:t>
      </w:r>
      <w:r w:rsidR="00707A69" w:rsidRPr="004802F4">
        <w:rPr>
          <w:rFonts w:cs="Arial"/>
          <w:lang w:val="fr-FR"/>
        </w:rPr>
        <w:t>hors</w:t>
      </w:r>
      <w:r w:rsidR="00AC15F3" w:rsidRPr="004802F4">
        <w:rPr>
          <w:rFonts w:cs="Arial"/>
          <w:lang w:val="fr-FR"/>
        </w:rPr>
        <w:noBreakHyphen/>
      </w:r>
      <w:r w:rsidR="00707A69" w:rsidRPr="004802F4">
        <w:rPr>
          <w:rFonts w:cs="Arial"/>
          <w:lang w:val="fr-FR"/>
        </w:rPr>
        <w:t>type</w:t>
      </w:r>
      <w:r w:rsidRPr="004802F4">
        <w:rPr>
          <w:rFonts w:cs="Arial"/>
          <w:lang w:val="fr-FR"/>
        </w:rPr>
        <w:t xml:space="preserve"> autorisées pour ce caractère sur ce cycle de végétation n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est pas dépassé.</w:t>
      </w:r>
    </w:p>
    <w:p w:rsidR="007A701A" w:rsidRPr="004802F4" w:rsidRDefault="00986F13" w:rsidP="004802F4">
      <w:pPr>
        <w:pStyle w:val="ListParagraph"/>
        <w:numPr>
          <w:ilvl w:val="0"/>
          <w:numId w:val="1"/>
        </w:numPr>
        <w:rPr>
          <w:rFonts w:cs="Arial"/>
          <w:lang w:val="fr-FR"/>
        </w:rPr>
      </w:pPr>
      <w:r w:rsidRPr="004802F4">
        <w:rPr>
          <w:rFonts w:cs="Arial"/>
          <w:lang w:val="fr-FR"/>
        </w:rPr>
        <w:t>S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 xml:space="preserve">il y a plus de </w:t>
      </w:r>
      <w:r w:rsidR="002D2E1B" w:rsidRPr="004802F4">
        <w:rPr>
          <w:rFonts w:cs="Arial"/>
          <w:lang w:val="fr-FR"/>
        </w:rPr>
        <w:t>3 </w:t>
      </w:r>
      <w:r w:rsidRPr="004802F4">
        <w:rPr>
          <w:rFonts w:cs="Arial"/>
          <w:lang w:val="fr-FR"/>
        </w:rPr>
        <w:t xml:space="preserve">plantes </w:t>
      </w:r>
      <w:r w:rsidR="00707A69" w:rsidRPr="004802F4">
        <w:rPr>
          <w:rFonts w:cs="Arial"/>
          <w:lang w:val="fr-FR"/>
        </w:rPr>
        <w:t>hors</w:t>
      </w:r>
      <w:r w:rsidR="00AC15F3" w:rsidRPr="004802F4">
        <w:rPr>
          <w:rFonts w:cs="Arial"/>
          <w:lang w:val="fr-FR"/>
        </w:rPr>
        <w:noBreakHyphen/>
      </w:r>
      <w:r w:rsidR="00707A69" w:rsidRPr="004802F4">
        <w:rPr>
          <w:rFonts w:cs="Arial"/>
          <w:lang w:val="fr-FR"/>
        </w:rPr>
        <w:t>type</w:t>
      </w:r>
      <w:r w:rsidRPr="004802F4">
        <w:rPr>
          <w:rFonts w:cs="Arial"/>
          <w:lang w:val="fr-FR"/>
        </w:rPr>
        <w:t xml:space="preserve"> </w:t>
      </w:r>
      <w:r w:rsidR="00AC15F3" w:rsidRPr="004802F4">
        <w:rPr>
          <w:rFonts w:cs="Arial"/>
          <w:lang w:val="fr-FR"/>
        </w:rPr>
        <w:t>dans les</w:t>
      </w:r>
      <w:r w:rsidRPr="004802F4">
        <w:rPr>
          <w:rFonts w:cs="Arial"/>
          <w:lang w:val="fr-FR"/>
        </w:rPr>
        <w:t xml:space="preserve"> 100</w:t>
      </w:r>
      <w:r w:rsidR="00AC15F3" w:rsidRPr="004802F4">
        <w:rPr>
          <w:rFonts w:cs="Arial"/>
          <w:lang w:val="fr-FR"/>
        </w:rPr>
        <w:t> plantes</w:t>
      </w:r>
      <w:r w:rsidRPr="004802F4">
        <w:rPr>
          <w:rFonts w:cs="Arial"/>
          <w:lang w:val="fr-FR"/>
        </w:rPr>
        <w:t xml:space="preserve"> (20 à l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étape 1 + 80 à l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 xml:space="preserve">étape 2), pour la variété, le nombre de plantes </w:t>
      </w:r>
      <w:r w:rsidR="00707A69" w:rsidRPr="004802F4">
        <w:rPr>
          <w:rFonts w:cs="Arial"/>
          <w:lang w:val="fr-FR"/>
        </w:rPr>
        <w:t>hors</w:t>
      </w:r>
      <w:r w:rsidR="00AC15F3" w:rsidRPr="004802F4">
        <w:rPr>
          <w:rFonts w:cs="Arial"/>
          <w:lang w:val="fr-FR"/>
        </w:rPr>
        <w:noBreakHyphen/>
      </w:r>
      <w:r w:rsidR="00707A69" w:rsidRPr="004802F4">
        <w:rPr>
          <w:rFonts w:cs="Arial"/>
          <w:lang w:val="fr-FR"/>
        </w:rPr>
        <w:t>type</w:t>
      </w:r>
      <w:r w:rsidRPr="004802F4">
        <w:rPr>
          <w:rFonts w:cs="Arial"/>
          <w:lang w:val="fr-FR"/>
        </w:rPr>
        <w:t xml:space="preserve"> autorisées pour ce caractère sur ce cycle de végétation est dépassé.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7A701A" w:rsidRPr="004802F4" w:rsidRDefault="00986F13" w:rsidP="004802F4">
      <w:pPr>
        <w:rPr>
          <w:rFonts w:cs="Arial"/>
          <w:lang w:val="fr-FR"/>
        </w:rPr>
      </w:pPr>
      <w:r w:rsidRPr="004802F4">
        <w:rPr>
          <w:rFonts w:cs="Arial"/>
          <w:lang w:val="fr-FR"/>
        </w:rPr>
        <w:t>La règle de décision se définit comme suit :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7A701A" w:rsidRPr="004802F4" w:rsidRDefault="00986F13" w:rsidP="004802F4">
      <w:pPr>
        <w:ind w:left="709" w:right="567"/>
        <w:rPr>
          <w:rFonts w:cs="Arial"/>
          <w:lang w:val="fr-FR"/>
        </w:rPr>
      </w:pPr>
      <w:r w:rsidRPr="004802F4">
        <w:rPr>
          <w:rFonts w:cs="Arial"/>
          <w:lang w:val="fr-FR"/>
        </w:rPr>
        <w:t>Une variété est considérée comme se situant dans les limites de la norme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homogénéité au cours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 xml:space="preserve">un cycle de végétation donné si le nombre de plantes </w:t>
      </w:r>
      <w:r w:rsidR="00707A69" w:rsidRPr="004802F4">
        <w:rPr>
          <w:rFonts w:cs="Arial"/>
          <w:lang w:val="fr-FR"/>
        </w:rPr>
        <w:t>hors</w:t>
      </w:r>
      <w:r w:rsidR="00AC15F3" w:rsidRPr="004802F4">
        <w:rPr>
          <w:rFonts w:cs="Arial"/>
          <w:lang w:val="fr-FR"/>
        </w:rPr>
        <w:noBreakHyphen/>
      </w:r>
      <w:r w:rsidR="00707A69" w:rsidRPr="004802F4">
        <w:rPr>
          <w:rFonts w:cs="Arial"/>
          <w:lang w:val="fr-FR"/>
        </w:rPr>
        <w:t>type</w:t>
      </w:r>
      <w:r w:rsidRPr="004802F4">
        <w:rPr>
          <w:rFonts w:cs="Arial"/>
          <w:lang w:val="fr-FR"/>
        </w:rPr>
        <w:t xml:space="preserve"> dans </w:t>
      </w:r>
      <w:r w:rsidR="00AC15F3" w:rsidRPr="004802F4">
        <w:rPr>
          <w:rFonts w:cs="Arial"/>
          <w:lang w:val="fr-FR"/>
        </w:rPr>
        <w:t>tous l</w:t>
      </w:r>
      <w:r w:rsidRPr="004802F4">
        <w:rPr>
          <w:rFonts w:cs="Arial"/>
          <w:lang w:val="fr-FR"/>
        </w:rPr>
        <w:t xml:space="preserve">es échantillons ne dépasse pas le nombre de plantes </w:t>
      </w:r>
      <w:r w:rsidR="00707A69" w:rsidRPr="004802F4">
        <w:rPr>
          <w:rFonts w:cs="Arial"/>
          <w:lang w:val="fr-FR"/>
        </w:rPr>
        <w:t>hors</w:t>
      </w:r>
      <w:r w:rsidR="00AC15F3" w:rsidRPr="004802F4">
        <w:rPr>
          <w:rFonts w:cs="Arial"/>
          <w:lang w:val="fr-FR"/>
        </w:rPr>
        <w:noBreakHyphen/>
      </w:r>
      <w:r w:rsidR="00707A69" w:rsidRPr="004802F4">
        <w:rPr>
          <w:rFonts w:cs="Arial"/>
          <w:lang w:val="fr-FR"/>
        </w:rPr>
        <w:t>type</w:t>
      </w:r>
      <w:r w:rsidRPr="004802F4">
        <w:rPr>
          <w:rFonts w:cs="Arial"/>
          <w:lang w:val="fr-FR"/>
        </w:rPr>
        <w:t xml:space="preserve"> autorisé</w:t>
      </w:r>
      <w:r w:rsidR="00AC15F3" w:rsidRPr="004802F4">
        <w:rPr>
          <w:rFonts w:cs="Arial"/>
          <w:lang w:val="fr-FR"/>
        </w:rPr>
        <w:t>es</w:t>
      </w:r>
      <w:r w:rsidRPr="004802F4">
        <w:rPr>
          <w:rFonts w:cs="Arial"/>
          <w:lang w:val="fr-FR"/>
        </w:rPr>
        <w:t xml:space="preserve"> dans l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un ou l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autre des échantillons.</w:t>
      </w:r>
    </w:p>
    <w:p w:rsidR="007A701A" w:rsidRPr="004802F4" w:rsidRDefault="007A701A" w:rsidP="004802F4">
      <w:pPr>
        <w:ind w:left="709" w:right="567"/>
        <w:rPr>
          <w:rFonts w:cs="Arial"/>
          <w:lang w:val="fr-FR"/>
        </w:rPr>
      </w:pPr>
    </w:p>
    <w:p w:rsidR="007A701A" w:rsidRPr="004802F4" w:rsidRDefault="003443D8" w:rsidP="004802F4">
      <w:pPr>
        <w:ind w:left="709" w:right="567"/>
        <w:rPr>
          <w:rFonts w:cs="Arial"/>
          <w:lang w:val="fr-FR"/>
        </w:rPr>
      </w:pPr>
      <w:r w:rsidRPr="004802F4">
        <w:rPr>
          <w:rFonts w:cs="Arial"/>
          <w:lang w:val="fr-FR"/>
        </w:rPr>
        <w:lastRenderedPageBreak/>
        <w:t>Une variété est réputée homogène si elle se situe dans les limites de la norme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homogénéité sur les deux cycles de végétation.</w:t>
      </w:r>
    </w:p>
    <w:p w:rsidR="00377D0F" w:rsidRPr="004802F4" w:rsidRDefault="00377D0F" w:rsidP="004802F4">
      <w:pPr>
        <w:ind w:left="709" w:right="567"/>
        <w:rPr>
          <w:rFonts w:cs="Arial"/>
          <w:lang w:val="fr-FR"/>
        </w:rPr>
      </w:pPr>
    </w:p>
    <w:p w:rsidR="007A701A" w:rsidRPr="004802F4" w:rsidRDefault="00986F13" w:rsidP="004802F4">
      <w:pPr>
        <w:ind w:left="709" w:right="567"/>
        <w:rPr>
          <w:rFonts w:cs="Arial"/>
          <w:lang w:val="fr-FR"/>
        </w:rPr>
      </w:pPr>
      <w:r w:rsidRPr="004802F4">
        <w:rPr>
          <w:rFonts w:cs="Arial"/>
          <w:lang w:val="fr-FR"/>
        </w:rPr>
        <w:t>Si, à l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issue des deux</w:t>
      </w:r>
      <w:r w:rsidR="009307C6" w:rsidRPr="004802F4">
        <w:rPr>
          <w:rFonts w:cs="Arial"/>
          <w:lang w:val="fr-FR"/>
        </w:rPr>
        <w:t> </w:t>
      </w:r>
      <w:r w:rsidRPr="004802F4">
        <w:rPr>
          <w:rFonts w:cs="Arial"/>
          <w:lang w:val="fr-FR"/>
        </w:rPr>
        <w:t>cycles de végétation, la variété se situe dans les limites de la norme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 xml:space="preserve">homogénéité </w:t>
      </w:r>
      <w:r w:rsidR="00AC15F3" w:rsidRPr="004802F4">
        <w:rPr>
          <w:rFonts w:cs="Arial"/>
          <w:lang w:val="fr-FR"/>
        </w:rPr>
        <w:t>s</w:t>
      </w:r>
      <w:r w:rsidRPr="004802F4">
        <w:rPr>
          <w:rFonts w:cs="Arial"/>
          <w:lang w:val="fr-FR"/>
        </w:rPr>
        <w:t>ur un cycle et pas l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autre, l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homogénéité est évaluée sur un troisième cycle de végétation</w:t>
      </w:r>
      <w:r w:rsidR="003F7E71" w:rsidRPr="004802F4">
        <w:rPr>
          <w:rFonts w:cs="Arial"/>
          <w:lang w:val="fr-FR"/>
        </w:rPr>
        <w:t xml:space="preserve">. </w:t>
      </w:r>
      <w:r w:rsidRPr="004802F4">
        <w:rPr>
          <w:rFonts w:cs="Arial"/>
          <w:lang w:val="fr-FR"/>
        </w:rPr>
        <w:t xml:space="preserve"> Si, </w:t>
      </w:r>
      <w:r w:rsidR="00AC15F3" w:rsidRPr="004802F4">
        <w:rPr>
          <w:rFonts w:cs="Arial"/>
          <w:lang w:val="fr-FR"/>
        </w:rPr>
        <w:t>s</w:t>
      </w:r>
      <w:r w:rsidRPr="004802F4">
        <w:rPr>
          <w:rFonts w:cs="Arial"/>
          <w:lang w:val="fr-FR"/>
        </w:rPr>
        <w:t>ur ce troisième cycle, elle se situe dans les limites de la norme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 xml:space="preserve">homogénéité, elle </w:t>
      </w:r>
      <w:r w:rsidR="00C4610E" w:rsidRPr="004802F4">
        <w:rPr>
          <w:rFonts w:cs="Arial"/>
          <w:lang w:val="fr-FR"/>
        </w:rPr>
        <w:t>est réputée homogène</w:t>
      </w:r>
      <w:r w:rsidR="003F7E71" w:rsidRPr="004802F4">
        <w:rPr>
          <w:rFonts w:cs="Arial"/>
          <w:lang w:val="fr-FR"/>
        </w:rPr>
        <w:t xml:space="preserve">. </w:t>
      </w:r>
      <w:r w:rsidRPr="004802F4">
        <w:rPr>
          <w:rFonts w:cs="Arial"/>
          <w:lang w:val="fr-FR"/>
        </w:rPr>
        <w:t xml:space="preserve"> </w:t>
      </w:r>
      <w:r w:rsidR="003443D8" w:rsidRPr="004802F4">
        <w:rPr>
          <w:rFonts w:cs="Arial"/>
          <w:lang w:val="fr-FR"/>
        </w:rPr>
        <w:t>Si, à la fin du troisième cycle de végétation, la variété ne se situe pas dans les limites de la norme d</w:t>
      </w:r>
      <w:r w:rsidR="004F302C" w:rsidRPr="004802F4">
        <w:rPr>
          <w:rFonts w:cs="Arial"/>
          <w:lang w:val="fr-FR"/>
        </w:rPr>
        <w:t>’</w:t>
      </w:r>
      <w:r w:rsidR="003443D8" w:rsidRPr="004802F4">
        <w:rPr>
          <w:rFonts w:cs="Arial"/>
          <w:lang w:val="fr-FR"/>
        </w:rPr>
        <w:t>homogénéité, elle est réputée non homogène.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7A701A" w:rsidRPr="004802F4" w:rsidRDefault="007A701A" w:rsidP="004802F4">
      <w:pPr>
        <w:rPr>
          <w:rFonts w:cs="Arial"/>
          <w:lang w:val="fr-FR"/>
        </w:rPr>
      </w:pPr>
    </w:p>
    <w:p w:rsidR="004F302C" w:rsidRPr="004802F4" w:rsidRDefault="00413DA4" w:rsidP="004802F4">
      <w:pPr>
        <w:rPr>
          <w:rFonts w:cs="Arial"/>
          <w:lang w:val="fr-FR"/>
        </w:rPr>
      </w:pPr>
      <w:r w:rsidRPr="004802F4">
        <w:rPr>
          <w:rFonts w:cs="Arial"/>
          <w:lang w:val="fr-FR"/>
        </w:rPr>
        <w:t xml:space="preserve">Cette méthode dite </w:t>
      </w:r>
      <w:r w:rsidR="009307C6" w:rsidRPr="004802F4">
        <w:rPr>
          <w:rFonts w:cs="Arial"/>
          <w:lang w:val="fr-FR"/>
        </w:rPr>
        <w:t>“</w:t>
      </w:r>
      <w:r w:rsidRPr="004802F4">
        <w:rPr>
          <w:rFonts w:cs="Arial"/>
          <w:lang w:val="fr-FR"/>
        </w:rPr>
        <w:t>en plusieurs étapes</w:t>
      </w:r>
      <w:r w:rsidR="009307C6" w:rsidRPr="004802F4">
        <w:rPr>
          <w:rFonts w:cs="Arial"/>
          <w:lang w:val="fr-FR"/>
        </w:rPr>
        <w:t>”</w:t>
      </w:r>
      <w:r w:rsidRPr="004802F4">
        <w:rPr>
          <w:rFonts w:cs="Arial"/>
          <w:lang w:val="fr-FR"/>
        </w:rPr>
        <w:t xml:space="preserve"> peut être utilisée pour un certain nombre de </w:t>
      </w:r>
      <w:r w:rsidR="002D2E1B" w:rsidRPr="004802F4">
        <w:rPr>
          <w:rFonts w:cs="Arial"/>
          <w:lang w:val="fr-FR"/>
        </w:rPr>
        <w:t>caractères</w:t>
      </w:r>
      <w:r w:rsidRPr="004802F4">
        <w:rPr>
          <w:rFonts w:cs="Arial"/>
          <w:lang w:val="fr-FR"/>
        </w:rPr>
        <w:t xml:space="preserve"> au cours de chaque cycle de végétation dans lequel les étapes sont représentées par les échantillons </w:t>
      </w:r>
      <w:r w:rsidR="003F7E71" w:rsidRPr="004802F4">
        <w:rPr>
          <w:rFonts w:cs="Arial"/>
          <w:lang w:val="fr-FR"/>
        </w:rPr>
        <w:t>(20 plant</w:t>
      </w:r>
      <w:r w:rsidRPr="004802F4">
        <w:rPr>
          <w:rFonts w:cs="Arial"/>
          <w:lang w:val="fr-FR"/>
        </w:rPr>
        <w:t>e</w:t>
      </w:r>
      <w:r w:rsidR="003F7E71" w:rsidRPr="004802F4">
        <w:rPr>
          <w:rFonts w:cs="Arial"/>
          <w:lang w:val="fr-FR"/>
        </w:rPr>
        <w:t>s o</w:t>
      </w:r>
      <w:r w:rsidRPr="004802F4">
        <w:rPr>
          <w:rFonts w:cs="Arial"/>
          <w:lang w:val="fr-FR"/>
        </w:rPr>
        <w:t>u</w:t>
      </w:r>
      <w:r w:rsidR="003F7E71" w:rsidRPr="004802F4">
        <w:rPr>
          <w:rFonts w:cs="Arial"/>
          <w:lang w:val="fr-FR"/>
        </w:rPr>
        <w:t xml:space="preserve"> </w:t>
      </w:r>
      <w:r w:rsidR="002D2E1B" w:rsidRPr="004802F4">
        <w:rPr>
          <w:rFonts w:cs="Arial"/>
          <w:lang w:val="fr-FR"/>
        </w:rPr>
        <w:t>20 </w:t>
      </w:r>
      <w:r w:rsidR="003F7E71" w:rsidRPr="004802F4">
        <w:rPr>
          <w:rFonts w:cs="Arial"/>
          <w:lang w:val="fr-FR"/>
        </w:rPr>
        <w:t xml:space="preserve">+ </w:t>
      </w:r>
      <w:r w:rsidR="002D2E1B" w:rsidRPr="004802F4">
        <w:rPr>
          <w:rFonts w:cs="Arial"/>
          <w:lang w:val="fr-FR"/>
        </w:rPr>
        <w:t>80 </w:t>
      </w:r>
      <w:r w:rsidR="003F7E71" w:rsidRPr="004802F4">
        <w:rPr>
          <w:rFonts w:cs="Arial"/>
          <w:lang w:val="fr-FR"/>
        </w:rPr>
        <w:t>plant</w:t>
      </w:r>
      <w:r w:rsidRPr="004802F4">
        <w:rPr>
          <w:rFonts w:cs="Arial"/>
          <w:lang w:val="fr-FR"/>
        </w:rPr>
        <w:t>e</w:t>
      </w:r>
      <w:r w:rsidR="003F7E71" w:rsidRPr="004802F4">
        <w:rPr>
          <w:rFonts w:cs="Arial"/>
          <w:lang w:val="fr-FR"/>
        </w:rPr>
        <w:t>s).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7A701A" w:rsidRPr="004802F4" w:rsidRDefault="00413DA4" w:rsidP="004802F4">
      <w:pPr>
        <w:rPr>
          <w:rFonts w:cs="Arial"/>
          <w:lang w:val="fr-FR"/>
        </w:rPr>
      </w:pPr>
      <w:r w:rsidRPr="004802F4">
        <w:rPr>
          <w:rFonts w:cs="Arial"/>
          <w:lang w:val="fr-FR"/>
        </w:rPr>
        <w:t xml:space="preserve">Pour comparer différents essais et règles de décision il est utile de comparer les </w:t>
      </w:r>
      <w:r w:rsidR="005711FD" w:rsidRPr="004802F4">
        <w:rPr>
          <w:rFonts w:cs="Arial"/>
          <w:lang w:val="fr-FR"/>
        </w:rPr>
        <w:t>probabilités d</w:t>
      </w:r>
      <w:r w:rsidR="004F302C" w:rsidRPr="004802F4">
        <w:rPr>
          <w:rFonts w:cs="Arial"/>
          <w:lang w:val="fr-FR"/>
        </w:rPr>
        <w:t>’</w:t>
      </w:r>
      <w:r w:rsidR="005711FD" w:rsidRPr="004802F4">
        <w:rPr>
          <w:rFonts w:cs="Arial"/>
          <w:lang w:val="fr-FR"/>
        </w:rPr>
        <w:t>erreurs</w:t>
      </w:r>
      <w:r w:rsidRPr="004802F4">
        <w:rPr>
          <w:rFonts w:cs="Arial"/>
          <w:lang w:val="fr-FR"/>
        </w:rPr>
        <w:t xml:space="preserve"> de type I et de type II appropriées.</w:t>
      </w:r>
      <w:r w:rsidR="003F7E71" w:rsidRPr="004802F4">
        <w:rPr>
          <w:rFonts w:cs="Arial"/>
          <w:lang w:val="fr-FR"/>
        </w:rPr>
        <w:t xml:space="preserve"> </w:t>
      </w:r>
      <w:r w:rsidRPr="004802F4">
        <w:rPr>
          <w:rFonts w:cs="Arial"/>
          <w:lang w:val="fr-FR"/>
        </w:rPr>
        <w:t xml:space="preserve"> Plusieurs idées de départ ont été présentées par les experts de la France dans le doc</w:t>
      </w:r>
      <w:r w:rsidR="003F7E71" w:rsidRPr="004802F4">
        <w:rPr>
          <w:rFonts w:cs="Arial"/>
          <w:lang w:val="fr-FR"/>
        </w:rPr>
        <w:t>ument TWC/13/17 “</w:t>
      </w:r>
      <w:proofErr w:type="spellStart"/>
      <w:r w:rsidR="003F7E71" w:rsidRPr="004802F4">
        <w:rPr>
          <w:rFonts w:cs="Arial"/>
          <w:lang w:val="fr-FR"/>
        </w:rPr>
        <w:t>Sequential</w:t>
      </w:r>
      <w:proofErr w:type="spellEnd"/>
      <w:r w:rsidR="003F7E71" w:rsidRPr="004802F4">
        <w:rPr>
          <w:rFonts w:cs="Arial"/>
          <w:lang w:val="fr-FR"/>
        </w:rPr>
        <w:t xml:space="preserve"> </w:t>
      </w:r>
      <w:proofErr w:type="spellStart"/>
      <w:r w:rsidR="003F7E71" w:rsidRPr="004802F4">
        <w:rPr>
          <w:rFonts w:cs="Arial"/>
          <w:lang w:val="fr-FR"/>
        </w:rPr>
        <w:t>analysis</w:t>
      </w:r>
      <w:proofErr w:type="spellEnd"/>
      <w:r w:rsidR="003F7E71" w:rsidRPr="004802F4">
        <w:rPr>
          <w:rFonts w:cs="Arial"/>
          <w:lang w:val="fr-FR"/>
        </w:rPr>
        <w:t>”.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7A701A" w:rsidRPr="004802F4" w:rsidRDefault="00106921" w:rsidP="004802F4">
      <w:pPr>
        <w:rPr>
          <w:rFonts w:cs="Arial"/>
          <w:lang w:val="fr-FR"/>
        </w:rPr>
      </w:pPr>
      <w:r w:rsidRPr="004802F4">
        <w:rPr>
          <w:rFonts w:cs="Arial"/>
          <w:lang w:val="fr-FR"/>
        </w:rPr>
        <w:t>Il convient de rappeler que toute décision relative à l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homogénéité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une variété est assortie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une probabilité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erreur de type II</w:t>
      </w:r>
      <w:r w:rsidR="003F7E71" w:rsidRPr="004802F4">
        <w:rPr>
          <w:rFonts w:cs="Arial"/>
          <w:lang w:val="fr-FR"/>
        </w:rPr>
        <w:t xml:space="preserve"> (</w:t>
      </w:r>
      <w:r w:rsidRPr="004802F4">
        <w:rPr>
          <w:rFonts w:cs="Arial"/>
          <w:lang w:val="fr-FR"/>
        </w:rPr>
        <w:t>acceptation de l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 xml:space="preserve">hypothèse nulle) tandis que toute décision relative à </w:t>
      </w:r>
      <w:r w:rsidR="00880316" w:rsidRPr="004802F4">
        <w:rPr>
          <w:rFonts w:cs="Arial"/>
          <w:lang w:val="fr-FR"/>
        </w:rPr>
        <w:t>l</w:t>
      </w:r>
      <w:r w:rsidR="004F302C" w:rsidRPr="004802F4">
        <w:rPr>
          <w:rFonts w:cs="Arial"/>
          <w:lang w:val="fr-FR"/>
        </w:rPr>
        <w:t>’</w:t>
      </w:r>
      <w:r w:rsidR="00880316" w:rsidRPr="004802F4">
        <w:rPr>
          <w:rFonts w:cs="Arial"/>
          <w:lang w:val="fr-FR"/>
        </w:rPr>
        <w:t>hétérogénéité</w:t>
      </w:r>
      <w:r w:rsidRPr="004802F4">
        <w:rPr>
          <w:rFonts w:cs="Arial"/>
          <w:lang w:val="fr-FR"/>
        </w:rPr>
        <w:t xml:space="preserve">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une variété est assortie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une probabilité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erreur de type</w:t>
      </w:r>
      <w:r w:rsidR="00E14B9D" w:rsidRPr="004802F4">
        <w:rPr>
          <w:rFonts w:cs="Arial"/>
          <w:lang w:val="fr-FR"/>
        </w:rPr>
        <w:t> </w:t>
      </w:r>
      <w:r w:rsidRPr="004802F4">
        <w:rPr>
          <w:rFonts w:cs="Arial"/>
          <w:lang w:val="fr-FR"/>
        </w:rPr>
        <w:t>I</w:t>
      </w:r>
      <w:r w:rsidR="003F7E71" w:rsidRPr="004802F4">
        <w:rPr>
          <w:rFonts w:cs="Arial"/>
          <w:lang w:val="fr-FR"/>
        </w:rPr>
        <w:t xml:space="preserve"> (r</w:t>
      </w:r>
      <w:r w:rsidRPr="004802F4">
        <w:rPr>
          <w:rFonts w:cs="Arial"/>
          <w:lang w:val="fr-FR"/>
        </w:rPr>
        <w:t>ejet de l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hypothèse nulle</w:t>
      </w:r>
      <w:r w:rsidR="003F7E71" w:rsidRPr="004802F4">
        <w:rPr>
          <w:rFonts w:cs="Arial"/>
          <w:lang w:val="fr-FR"/>
        </w:rPr>
        <w:t>).</w:t>
      </w:r>
      <w:r w:rsidR="003F7E71" w:rsidRPr="004802F4" w:rsidDel="002E0C26">
        <w:rPr>
          <w:rFonts w:cs="Arial"/>
          <w:lang w:val="fr-FR"/>
        </w:rPr>
        <w:t xml:space="preserve"> </w:t>
      </w:r>
      <w:r w:rsidRPr="004802F4">
        <w:rPr>
          <w:rFonts w:cs="Arial"/>
          <w:lang w:val="fr-FR"/>
        </w:rPr>
        <w:t xml:space="preserve"> </w:t>
      </w:r>
      <w:r w:rsidR="003361B7" w:rsidRPr="004802F4">
        <w:rPr>
          <w:rFonts w:cs="Arial"/>
          <w:lang w:val="fr-FR"/>
        </w:rPr>
        <w:t>Les éléments ci</w:t>
      </w:r>
      <w:r w:rsidR="001272D3" w:rsidRPr="004802F4">
        <w:rPr>
          <w:rFonts w:cs="Arial"/>
          <w:lang w:val="fr-FR"/>
        </w:rPr>
        <w:noBreakHyphen/>
      </w:r>
      <w:r w:rsidR="003361B7" w:rsidRPr="004802F4">
        <w:rPr>
          <w:rFonts w:cs="Arial"/>
          <w:lang w:val="fr-FR"/>
        </w:rPr>
        <w:t>après s</w:t>
      </w:r>
      <w:r w:rsidR="004F302C" w:rsidRPr="004802F4">
        <w:rPr>
          <w:rFonts w:cs="Arial"/>
          <w:lang w:val="fr-FR"/>
        </w:rPr>
        <w:t>’</w:t>
      </w:r>
      <w:r w:rsidR="003361B7" w:rsidRPr="004802F4">
        <w:rPr>
          <w:rFonts w:cs="Arial"/>
          <w:lang w:val="fr-FR"/>
        </w:rPr>
        <w:t>appliquent à l</w:t>
      </w:r>
      <w:r w:rsidR="004F302C" w:rsidRPr="004802F4">
        <w:rPr>
          <w:rFonts w:cs="Arial"/>
          <w:lang w:val="fr-FR"/>
        </w:rPr>
        <w:t>’</w:t>
      </w:r>
      <w:r w:rsidR="003361B7" w:rsidRPr="004802F4">
        <w:rPr>
          <w:rFonts w:cs="Arial"/>
          <w:lang w:val="fr-FR"/>
        </w:rPr>
        <w:t>exemple de céréale décrit :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7A701A" w:rsidRPr="004802F4" w:rsidRDefault="003361B7" w:rsidP="004802F4">
      <w:pPr>
        <w:rPr>
          <w:rFonts w:cs="Arial"/>
          <w:lang w:val="fr-FR"/>
        </w:rPr>
      </w:pPr>
      <w:r w:rsidRPr="004802F4">
        <w:rPr>
          <w:rFonts w:cs="Arial"/>
          <w:lang w:val="fr-FR"/>
        </w:rPr>
        <w:t>On part de l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hypothèse que l</w:t>
      </w:r>
      <w:r w:rsidR="007830F4" w:rsidRPr="004802F4">
        <w:rPr>
          <w:rFonts w:cs="Arial"/>
          <w:lang w:val="fr-FR"/>
        </w:rPr>
        <w:t>a</w:t>
      </w:r>
      <w:r w:rsidRPr="004802F4">
        <w:rPr>
          <w:rFonts w:cs="Arial"/>
          <w:lang w:val="fr-FR"/>
        </w:rPr>
        <w:t xml:space="preserve"> norme de population est de 1% e</w:t>
      </w:r>
      <w:r w:rsidR="00AC15F3" w:rsidRPr="004802F4">
        <w:rPr>
          <w:rFonts w:cs="Arial"/>
          <w:lang w:val="fr-FR"/>
        </w:rPr>
        <w:t>t</w:t>
      </w:r>
      <w:r w:rsidRPr="004802F4">
        <w:rPr>
          <w:rFonts w:cs="Arial"/>
          <w:lang w:val="fr-FR"/>
        </w:rPr>
        <w:t xml:space="preserve"> la probabilité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acceptation de 95%.</w:t>
      </w:r>
      <w:r w:rsidR="003F7E71" w:rsidRPr="004802F4">
        <w:rPr>
          <w:rFonts w:cs="Arial"/>
          <w:lang w:val="fr-FR"/>
        </w:rPr>
        <w:t xml:space="preserve"> </w:t>
      </w:r>
      <w:r w:rsidRPr="004802F4">
        <w:rPr>
          <w:rFonts w:cs="Arial"/>
          <w:lang w:val="fr-FR"/>
        </w:rPr>
        <w:t xml:space="preserve"> Le</w:t>
      </w:r>
      <w:r w:rsidR="003A1477">
        <w:rPr>
          <w:rFonts w:cs="Arial"/>
          <w:lang w:val="fr-FR"/>
        </w:rPr>
        <w:t> </w:t>
      </w:r>
      <w:r w:rsidRPr="004802F4">
        <w:rPr>
          <w:rFonts w:cs="Arial"/>
          <w:lang w:val="fr-FR"/>
        </w:rPr>
        <w:t xml:space="preserve">nombre de plantes </w:t>
      </w:r>
      <w:r w:rsidR="00707A69" w:rsidRPr="004802F4">
        <w:rPr>
          <w:rFonts w:cs="Arial"/>
          <w:lang w:val="fr-FR"/>
        </w:rPr>
        <w:t>hors</w:t>
      </w:r>
      <w:r w:rsidR="00E14B9D" w:rsidRPr="004802F4">
        <w:rPr>
          <w:rFonts w:cs="Arial"/>
          <w:lang w:val="fr-FR"/>
        </w:rPr>
        <w:noBreakHyphen/>
      </w:r>
      <w:r w:rsidR="00707A69" w:rsidRPr="004802F4">
        <w:rPr>
          <w:rFonts w:cs="Arial"/>
          <w:lang w:val="fr-FR"/>
        </w:rPr>
        <w:t>type</w:t>
      </w:r>
      <w:r w:rsidRPr="004802F4">
        <w:rPr>
          <w:rFonts w:cs="Arial"/>
          <w:lang w:val="fr-FR"/>
        </w:rPr>
        <w:t xml:space="preserve"> autorisé</w:t>
      </w:r>
      <w:r w:rsidR="00AC15F3" w:rsidRPr="004802F4">
        <w:rPr>
          <w:rFonts w:cs="Arial"/>
          <w:lang w:val="fr-FR"/>
        </w:rPr>
        <w:t>es</w:t>
      </w:r>
      <w:r w:rsidRPr="004802F4">
        <w:rPr>
          <w:rFonts w:cs="Arial"/>
          <w:lang w:val="fr-FR"/>
        </w:rPr>
        <w:t xml:space="preserve"> dans un échantillon de </w:t>
      </w:r>
      <w:r w:rsidR="002D2E1B" w:rsidRPr="004802F4">
        <w:rPr>
          <w:rFonts w:cs="Arial"/>
          <w:lang w:val="fr-FR"/>
        </w:rPr>
        <w:t>100 </w:t>
      </w:r>
      <w:r w:rsidRPr="004802F4">
        <w:rPr>
          <w:rFonts w:cs="Arial"/>
          <w:lang w:val="fr-FR"/>
        </w:rPr>
        <w:t>plantes est de</w:t>
      </w:r>
      <w:r w:rsidR="00E14B9D" w:rsidRPr="004802F4">
        <w:rPr>
          <w:rFonts w:cs="Arial"/>
          <w:lang w:val="fr-FR"/>
        </w:rPr>
        <w:t> </w:t>
      </w:r>
      <w:r w:rsidRPr="004802F4">
        <w:rPr>
          <w:rFonts w:cs="Arial"/>
          <w:lang w:val="fr-FR"/>
        </w:rPr>
        <w:t>3</w:t>
      </w:r>
      <w:r w:rsidR="003F7E71" w:rsidRPr="004802F4">
        <w:rPr>
          <w:rFonts w:cs="Arial"/>
          <w:lang w:val="fr-FR"/>
        </w:rPr>
        <w:t>.</w:t>
      </w:r>
      <w:r w:rsidRPr="004802F4">
        <w:rPr>
          <w:rFonts w:cs="Arial"/>
          <w:lang w:val="fr-FR"/>
        </w:rPr>
        <w:t xml:space="preserve">  Tous les risques sont évalués sur la base </w:t>
      </w:r>
      <w:r w:rsidR="007830F4" w:rsidRPr="004802F4">
        <w:rPr>
          <w:rFonts w:cs="Arial"/>
          <w:lang w:val="fr-FR"/>
        </w:rPr>
        <w:t>de la distribution binomiale</w:t>
      </w:r>
      <w:r w:rsidR="003F7E71" w:rsidRPr="004802F4">
        <w:rPr>
          <w:rFonts w:cs="Arial"/>
          <w:lang w:val="fr-FR"/>
        </w:rPr>
        <w:t xml:space="preserve">. </w:t>
      </w:r>
      <w:r w:rsidR="007830F4" w:rsidRPr="004802F4">
        <w:rPr>
          <w:rFonts w:cs="Arial"/>
          <w:lang w:val="fr-FR"/>
        </w:rPr>
        <w:t xml:space="preserve"> Pour calculer </w:t>
      </w:r>
      <w:r w:rsidR="005711FD" w:rsidRPr="004802F4">
        <w:rPr>
          <w:rFonts w:cs="Arial"/>
          <w:lang w:val="fr-FR"/>
        </w:rPr>
        <w:t>la probabilité d</w:t>
      </w:r>
      <w:r w:rsidR="004F302C" w:rsidRPr="004802F4">
        <w:rPr>
          <w:rFonts w:cs="Arial"/>
          <w:lang w:val="fr-FR"/>
        </w:rPr>
        <w:t>’</w:t>
      </w:r>
      <w:r w:rsidR="007830F4" w:rsidRPr="004802F4">
        <w:rPr>
          <w:rFonts w:cs="Arial"/>
          <w:lang w:val="fr-FR"/>
        </w:rPr>
        <w:t>erreur de type</w:t>
      </w:r>
      <w:r w:rsidR="00E14B9D" w:rsidRPr="004802F4">
        <w:rPr>
          <w:rFonts w:cs="Arial"/>
          <w:lang w:val="fr-FR"/>
        </w:rPr>
        <w:t> </w:t>
      </w:r>
      <w:r w:rsidR="007830F4" w:rsidRPr="004802F4">
        <w:rPr>
          <w:rFonts w:cs="Arial"/>
          <w:lang w:val="fr-FR"/>
        </w:rPr>
        <w:t>II, on part de l</w:t>
      </w:r>
      <w:r w:rsidR="004F302C" w:rsidRPr="004802F4">
        <w:rPr>
          <w:rFonts w:cs="Arial"/>
          <w:lang w:val="fr-FR"/>
        </w:rPr>
        <w:t>’</w:t>
      </w:r>
      <w:r w:rsidR="007830F4" w:rsidRPr="004802F4">
        <w:rPr>
          <w:rFonts w:cs="Arial"/>
          <w:lang w:val="fr-FR"/>
        </w:rPr>
        <w:t>hypothèse que la norme de population des variétés non homogènes est de 2%</w:t>
      </w:r>
      <w:r w:rsidR="003F7E71" w:rsidRPr="004802F4">
        <w:rPr>
          <w:rFonts w:cs="Arial"/>
          <w:lang w:val="fr-FR"/>
        </w:rPr>
        <w:t xml:space="preserve"> (</w:t>
      </w:r>
      <w:r w:rsidR="007830F4" w:rsidRPr="004802F4">
        <w:rPr>
          <w:rFonts w:cs="Arial"/>
          <w:lang w:val="fr-FR"/>
        </w:rPr>
        <w:t>deux fois</w:t>
      </w:r>
      <w:r w:rsidR="003F7E71" w:rsidRPr="004802F4">
        <w:rPr>
          <w:rFonts w:cs="Arial"/>
          <w:lang w:val="fr-FR"/>
        </w:rPr>
        <w:t xml:space="preserve"> 1%).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7A701A" w:rsidRPr="004802F4" w:rsidRDefault="007830F4" w:rsidP="004802F4">
      <w:pPr>
        <w:rPr>
          <w:rFonts w:cs="Arial"/>
          <w:lang w:val="fr-FR"/>
        </w:rPr>
      </w:pPr>
      <w:r w:rsidRPr="004802F4">
        <w:rPr>
          <w:rFonts w:cs="Arial"/>
          <w:lang w:val="fr-FR"/>
        </w:rPr>
        <w:t xml:space="preserve">Pour </w:t>
      </w:r>
      <w:r w:rsidR="002D2E1B" w:rsidRPr="004802F4">
        <w:rPr>
          <w:rFonts w:cs="Arial"/>
          <w:lang w:val="fr-FR"/>
        </w:rPr>
        <w:t>20 </w:t>
      </w:r>
      <w:r w:rsidRPr="004802F4">
        <w:rPr>
          <w:rFonts w:cs="Arial"/>
          <w:lang w:val="fr-FR"/>
        </w:rPr>
        <w:t xml:space="preserve">plantes, le nombre de plantes </w:t>
      </w:r>
      <w:r w:rsidR="00E14B9D" w:rsidRPr="004802F4">
        <w:rPr>
          <w:rFonts w:cs="Arial"/>
          <w:lang w:val="fr-FR"/>
        </w:rPr>
        <w:t>hors</w:t>
      </w:r>
      <w:r w:rsidR="00E14B9D" w:rsidRPr="004802F4">
        <w:rPr>
          <w:rFonts w:cs="Arial"/>
          <w:lang w:val="fr-FR"/>
        </w:rPr>
        <w:noBreakHyphen/>
      </w:r>
      <w:r w:rsidR="00707A69" w:rsidRPr="004802F4">
        <w:rPr>
          <w:rFonts w:cs="Arial"/>
          <w:lang w:val="fr-FR"/>
        </w:rPr>
        <w:t>type</w:t>
      </w:r>
      <w:r w:rsidRPr="004802F4">
        <w:rPr>
          <w:rFonts w:cs="Arial"/>
          <w:lang w:val="fr-FR"/>
        </w:rPr>
        <w:t xml:space="preserve"> autorisé</w:t>
      </w:r>
      <w:r w:rsidR="00AC15F3" w:rsidRPr="004802F4">
        <w:rPr>
          <w:rFonts w:cs="Arial"/>
          <w:lang w:val="fr-FR"/>
        </w:rPr>
        <w:t>es</w:t>
      </w:r>
      <w:r w:rsidRPr="004802F4">
        <w:rPr>
          <w:rFonts w:cs="Arial"/>
          <w:lang w:val="fr-FR"/>
        </w:rPr>
        <w:t xml:space="preserve"> est de </w:t>
      </w:r>
      <w:r w:rsidR="002D2E1B" w:rsidRPr="004802F4">
        <w:rPr>
          <w:rFonts w:cs="Arial"/>
          <w:lang w:val="fr-FR"/>
        </w:rPr>
        <w:t>1 </w:t>
      </w:r>
      <w:r w:rsidRPr="004802F4">
        <w:rPr>
          <w:rFonts w:cs="Arial"/>
          <w:lang w:val="fr-FR"/>
        </w:rPr>
        <w:t xml:space="preserve">plante.  Néanmoins, pour </w:t>
      </w:r>
      <w:r w:rsidR="002D2E1B" w:rsidRPr="004802F4">
        <w:rPr>
          <w:rFonts w:cs="Arial"/>
          <w:lang w:val="fr-FR"/>
        </w:rPr>
        <w:t>20 </w:t>
      </w:r>
      <w:r w:rsidRPr="004802F4">
        <w:rPr>
          <w:rFonts w:cs="Arial"/>
          <w:lang w:val="fr-FR"/>
        </w:rPr>
        <w:t>plantes dans la première étape de la procédure en deux</w:t>
      </w:r>
      <w:r w:rsidR="009307C6" w:rsidRPr="004802F4">
        <w:rPr>
          <w:rFonts w:cs="Arial"/>
          <w:lang w:val="fr-FR"/>
        </w:rPr>
        <w:t> </w:t>
      </w:r>
      <w:r w:rsidRPr="004802F4">
        <w:rPr>
          <w:rFonts w:cs="Arial"/>
          <w:lang w:val="fr-FR"/>
        </w:rPr>
        <w:t>étapes (voir ci</w:t>
      </w:r>
      <w:r w:rsidR="001272D3" w:rsidRPr="004802F4">
        <w:rPr>
          <w:rFonts w:cs="Arial"/>
          <w:lang w:val="fr-FR"/>
        </w:rPr>
        <w:noBreakHyphen/>
      </w:r>
      <w:r w:rsidRPr="004802F4">
        <w:rPr>
          <w:rFonts w:cs="Arial"/>
          <w:lang w:val="fr-FR"/>
        </w:rPr>
        <w:t>dessus</w:t>
      </w:r>
      <w:r w:rsidR="003F7E71" w:rsidRPr="004802F4">
        <w:rPr>
          <w:rFonts w:cs="Arial"/>
          <w:lang w:val="fr-FR"/>
        </w:rPr>
        <w:t>)</w:t>
      </w:r>
      <w:r w:rsidRPr="004802F4">
        <w:rPr>
          <w:rFonts w:cs="Arial"/>
          <w:lang w:val="fr-FR"/>
        </w:rPr>
        <w:t>, il est indiqué qu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 xml:space="preserve">aucune plante </w:t>
      </w:r>
      <w:r w:rsidR="00707A69" w:rsidRPr="004802F4">
        <w:rPr>
          <w:rFonts w:cs="Arial"/>
          <w:lang w:val="fr-FR"/>
        </w:rPr>
        <w:t>hors</w:t>
      </w:r>
      <w:r w:rsidR="00AC15F3" w:rsidRPr="004802F4">
        <w:rPr>
          <w:rFonts w:cs="Arial"/>
          <w:lang w:val="fr-FR"/>
        </w:rPr>
        <w:noBreakHyphen/>
      </w:r>
      <w:r w:rsidR="00707A69" w:rsidRPr="004802F4">
        <w:rPr>
          <w:rFonts w:cs="Arial"/>
          <w:lang w:val="fr-FR"/>
        </w:rPr>
        <w:t>type</w:t>
      </w:r>
      <w:r w:rsidRPr="004802F4">
        <w:rPr>
          <w:rFonts w:cs="Arial"/>
          <w:lang w:val="fr-FR"/>
        </w:rPr>
        <w:t xml:space="preserve"> n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est autorisée</w:t>
      </w:r>
      <w:r w:rsidR="003F7E71" w:rsidRPr="004802F4">
        <w:rPr>
          <w:rFonts w:cs="Arial"/>
          <w:lang w:val="fr-FR"/>
        </w:rPr>
        <w:t xml:space="preserve">. </w:t>
      </w:r>
      <w:r w:rsidRPr="004802F4">
        <w:rPr>
          <w:rFonts w:cs="Arial"/>
          <w:lang w:val="fr-FR"/>
        </w:rPr>
        <w:t>S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 xml:space="preserve">il y a </w:t>
      </w:r>
      <w:r w:rsidR="002D2E1B" w:rsidRPr="004802F4">
        <w:rPr>
          <w:rFonts w:cs="Arial"/>
          <w:lang w:val="fr-FR"/>
        </w:rPr>
        <w:t>20 </w:t>
      </w:r>
      <w:r w:rsidRPr="004802F4">
        <w:rPr>
          <w:rFonts w:cs="Arial"/>
          <w:lang w:val="fr-FR"/>
        </w:rPr>
        <w:t xml:space="preserve">plantes dans la première étape et aucune plante </w:t>
      </w:r>
      <w:r w:rsidR="00707A69" w:rsidRPr="004802F4">
        <w:rPr>
          <w:rFonts w:cs="Arial"/>
          <w:lang w:val="fr-FR"/>
        </w:rPr>
        <w:t>hors</w:t>
      </w:r>
      <w:r w:rsidR="00AC15F3" w:rsidRPr="004802F4">
        <w:rPr>
          <w:rFonts w:cs="Arial"/>
          <w:lang w:val="fr-FR"/>
        </w:rPr>
        <w:noBreakHyphen/>
      </w:r>
      <w:r w:rsidR="00707A69" w:rsidRPr="004802F4">
        <w:rPr>
          <w:rFonts w:cs="Arial"/>
          <w:lang w:val="fr-FR"/>
        </w:rPr>
        <w:t>type</w:t>
      </w:r>
      <w:r w:rsidRPr="004802F4">
        <w:rPr>
          <w:rFonts w:cs="Arial"/>
          <w:lang w:val="fr-FR"/>
        </w:rPr>
        <w:t>, l</w:t>
      </w:r>
      <w:r w:rsidR="00880316" w:rsidRPr="004802F4">
        <w:rPr>
          <w:rFonts w:cs="Arial"/>
          <w:lang w:val="fr-FR"/>
        </w:rPr>
        <w:t>a</w:t>
      </w:r>
      <w:r w:rsidR="003A1477">
        <w:rPr>
          <w:rFonts w:cs="Arial"/>
          <w:lang w:val="fr-FR"/>
        </w:rPr>
        <w:t> </w:t>
      </w:r>
      <w:r w:rsidR="00880316" w:rsidRPr="004802F4">
        <w:rPr>
          <w:rFonts w:cs="Arial"/>
          <w:lang w:val="fr-FR"/>
        </w:rPr>
        <w:t>probabilité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 xml:space="preserve">erreur de type II </w:t>
      </w:r>
      <w:r w:rsidR="00880316" w:rsidRPr="004802F4">
        <w:rPr>
          <w:rFonts w:cs="Arial"/>
          <w:lang w:val="fr-FR"/>
        </w:rPr>
        <w:t>(risque beta) est de</w:t>
      </w:r>
      <w:r w:rsidR="003F7E71" w:rsidRPr="004802F4">
        <w:rPr>
          <w:rFonts w:cs="Arial"/>
          <w:lang w:val="fr-FR"/>
        </w:rPr>
        <w:t xml:space="preserve"> 66</w:t>
      </w:r>
      <w:r w:rsidR="00880316" w:rsidRPr="004802F4">
        <w:rPr>
          <w:rFonts w:cs="Arial"/>
          <w:lang w:val="fr-FR"/>
        </w:rPr>
        <w:t>,</w:t>
      </w:r>
      <w:r w:rsidR="003F7E71" w:rsidRPr="004802F4">
        <w:rPr>
          <w:rFonts w:cs="Arial"/>
          <w:lang w:val="fr-FR"/>
        </w:rPr>
        <w:t xml:space="preserve">8%. </w:t>
      </w:r>
      <w:r w:rsidR="00880316" w:rsidRPr="004802F4">
        <w:rPr>
          <w:rFonts w:cs="Arial"/>
          <w:lang w:val="fr-FR"/>
        </w:rPr>
        <w:t xml:space="preserve"> Ce résultat est élevé, mais comparable à celui obtenu avec </w:t>
      </w:r>
      <w:r w:rsidR="002D2E1B" w:rsidRPr="004802F4">
        <w:rPr>
          <w:rFonts w:cs="Arial"/>
          <w:lang w:val="fr-FR"/>
        </w:rPr>
        <w:t>2 </w:t>
      </w:r>
      <w:r w:rsidR="00880316" w:rsidRPr="004802F4">
        <w:rPr>
          <w:rFonts w:cs="Arial"/>
          <w:lang w:val="fr-FR"/>
        </w:rPr>
        <w:t xml:space="preserve">plantes </w:t>
      </w:r>
      <w:r w:rsidR="00707A69" w:rsidRPr="004802F4">
        <w:rPr>
          <w:rFonts w:cs="Arial"/>
          <w:lang w:val="fr-FR"/>
        </w:rPr>
        <w:t>hors-type</w:t>
      </w:r>
      <w:r w:rsidR="00880316" w:rsidRPr="004802F4">
        <w:rPr>
          <w:rFonts w:cs="Arial"/>
          <w:lang w:val="fr-FR"/>
        </w:rPr>
        <w:t xml:space="preserve"> pour </w:t>
      </w:r>
      <w:r w:rsidR="002D2E1B" w:rsidRPr="004802F4">
        <w:rPr>
          <w:rFonts w:cs="Arial"/>
          <w:lang w:val="fr-FR"/>
        </w:rPr>
        <w:t>100 </w:t>
      </w:r>
      <w:r w:rsidR="00880316" w:rsidRPr="004802F4">
        <w:rPr>
          <w:rFonts w:cs="Arial"/>
          <w:lang w:val="fr-FR"/>
        </w:rPr>
        <w:t>plantes</w:t>
      </w:r>
      <w:r w:rsidR="003F7E71" w:rsidRPr="004802F4">
        <w:rPr>
          <w:rFonts w:cs="Arial"/>
          <w:lang w:val="fr-FR"/>
        </w:rPr>
        <w:t xml:space="preserve">. </w:t>
      </w:r>
      <w:r w:rsidR="00880316" w:rsidRPr="004802F4">
        <w:rPr>
          <w:rFonts w:cs="Arial"/>
          <w:lang w:val="fr-FR"/>
        </w:rPr>
        <w:t xml:space="preserve"> Dans ce cas, la probabilité d</w:t>
      </w:r>
      <w:r w:rsidR="004F302C" w:rsidRPr="004802F4">
        <w:rPr>
          <w:rFonts w:cs="Arial"/>
          <w:lang w:val="fr-FR"/>
        </w:rPr>
        <w:t>’</w:t>
      </w:r>
      <w:r w:rsidR="00880316" w:rsidRPr="004802F4">
        <w:rPr>
          <w:rFonts w:cs="Arial"/>
          <w:lang w:val="fr-FR"/>
        </w:rPr>
        <w:t>erreur de type</w:t>
      </w:r>
      <w:r w:rsidR="00AC15F3" w:rsidRPr="004802F4">
        <w:rPr>
          <w:rFonts w:cs="Arial"/>
          <w:lang w:val="fr-FR"/>
        </w:rPr>
        <w:t> </w:t>
      </w:r>
      <w:r w:rsidR="00880316" w:rsidRPr="004802F4">
        <w:rPr>
          <w:rFonts w:cs="Arial"/>
          <w:lang w:val="fr-FR"/>
        </w:rPr>
        <w:t>II est de 67,7%</w:t>
      </w:r>
      <w:r w:rsidR="003F7E71" w:rsidRPr="004802F4">
        <w:rPr>
          <w:rFonts w:cs="Arial"/>
          <w:lang w:val="fr-FR"/>
        </w:rPr>
        <w:t>.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7A701A" w:rsidRPr="004802F4" w:rsidRDefault="00880316" w:rsidP="004802F4">
      <w:pPr>
        <w:rPr>
          <w:rFonts w:cs="Arial"/>
          <w:lang w:val="fr-FR"/>
        </w:rPr>
      </w:pPr>
      <w:r w:rsidRPr="004802F4">
        <w:rPr>
          <w:rFonts w:cs="Arial"/>
          <w:lang w:val="fr-FR"/>
        </w:rPr>
        <w:t>En ce qui concerne la probabilité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erreur de type I, la probabilité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 xml:space="preserve">erreur effective est de 1,7% dans le cas de </w:t>
      </w:r>
      <w:r w:rsidR="002D2E1B" w:rsidRPr="004802F4">
        <w:rPr>
          <w:rFonts w:cs="Arial"/>
          <w:lang w:val="fr-FR"/>
        </w:rPr>
        <w:t>20 </w:t>
      </w:r>
      <w:r w:rsidRPr="004802F4">
        <w:rPr>
          <w:rFonts w:cs="Arial"/>
          <w:lang w:val="fr-FR"/>
        </w:rPr>
        <w:t xml:space="preserve">plantes et </w:t>
      </w:r>
      <w:r w:rsidR="002D2E1B" w:rsidRPr="004802F4">
        <w:rPr>
          <w:rFonts w:cs="Arial"/>
          <w:lang w:val="fr-FR"/>
        </w:rPr>
        <w:t>1 </w:t>
      </w:r>
      <w:r w:rsidRPr="004802F4">
        <w:rPr>
          <w:rFonts w:cs="Arial"/>
          <w:lang w:val="fr-FR"/>
        </w:rPr>
        <w:t xml:space="preserve">plante </w:t>
      </w:r>
      <w:r w:rsidR="00707A69" w:rsidRPr="004802F4">
        <w:rPr>
          <w:rFonts w:cs="Arial"/>
          <w:lang w:val="fr-FR"/>
        </w:rPr>
        <w:t>hors-type</w:t>
      </w:r>
      <w:r w:rsidRPr="004802F4">
        <w:rPr>
          <w:rFonts w:cs="Arial"/>
          <w:lang w:val="fr-FR"/>
        </w:rPr>
        <w:t xml:space="preserve">, et de 1,8% dans le cas de </w:t>
      </w:r>
      <w:r w:rsidR="002D2E1B" w:rsidRPr="004802F4">
        <w:rPr>
          <w:rFonts w:cs="Arial"/>
          <w:lang w:val="fr-FR"/>
        </w:rPr>
        <w:t>3 </w:t>
      </w:r>
      <w:r w:rsidRPr="004802F4">
        <w:rPr>
          <w:rFonts w:cs="Arial"/>
          <w:lang w:val="fr-FR"/>
        </w:rPr>
        <w:t xml:space="preserve">plantes </w:t>
      </w:r>
      <w:r w:rsidR="00707A69" w:rsidRPr="004802F4">
        <w:rPr>
          <w:rFonts w:cs="Arial"/>
          <w:lang w:val="fr-FR"/>
        </w:rPr>
        <w:t>hors-type</w:t>
      </w:r>
      <w:r w:rsidRPr="004802F4">
        <w:rPr>
          <w:rFonts w:cs="Arial"/>
          <w:lang w:val="fr-FR"/>
        </w:rPr>
        <w:t xml:space="preserve"> pour </w:t>
      </w:r>
      <w:r w:rsidR="002D2E1B" w:rsidRPr="004802F4">
        <w:rPr>
          <w:rFonts w:cs="Arial"/>
          <w:lang w:val="fr-FR"/>
        </w:rPr>
        <w:t>100 </w:t>
      </w:r>
      <w:r w:rsidR="003F7E71" w:rsidRPr="004802F4">
        <w:rPr>
          <w:rFonts w:cs="Arial"/>
          <w:lang w:val="fr-FR"/>
        </w:rPr>
        <w:t>plant</w:t>
      </w:r>
      <w:r w:rsidRPr="004802F4">
        <w:rPr>
          <w:rFonts w:cs="Arial"/>
          <w:lang w:val="fr-FR"/>
        </w:rPr>
        <w:t>e</w:t>
      </w:r>
      <w:r w:rsidR="003F7E71" w:rsidRPr="004802F4">
        <w:rPr>
          <w:rFonts w:cs="Arial"/>
          <w:lang w:val="fr-FR"/>
        </w:rPr>
        <w:t xml:space="preserve">s. </w:t>
      </w:r>
      <w:r w:rsidRPr="004802F4">
        <w:rPr>
          <w:rFonts w:cs="Arial"/>
          <w:lang w:val="fr-FR"/>
        </w:rPr>
        <w:t xml:space="preserve"> Une décision fondée sur un échantillon de </w:t>
      </w:r>
      <w:r w:rsidR="002D2E1B" w:rsidRPr="004802F4">
        <w:rPr>
          <w:rFonts w:cs="Arial"/>
          <w:lang w:val="fr-FR"/>
        </w:rPr>
        <w:t>20 </w:t>
      </w:r>
      <w:r w:rsidRPr="004802F4">
        <w:rPr>
          <w:rFonts w:cs="Arial"/>
          <w:lang w:val="fr-FR"/>
        </w:rPr>
        <w:t xml:space="preserve">plantes </w:t>
      </w:r>
      <w:r w:rsidR="00FE47A9" w:rsidRPr="004802F4">
        <w:rPr>
          <w:rFonts w:cs="Arial"/>
          <w:lang w:val="fr-FR"/>
        </w:rPr>
        <w:t>est</w:t>
      </w:r>
      <w:r w:rsidRPr="004802F4">
        <w:rPr>
          <w:rFonts w:cs="Arial"/>
          <w:lang w:val="fr-FR"/>
        </w:rPr>
        <w:t xml:space="preserve"> prise </w:t>
      </w:r>
      <w:r w:rsidR="00FE47A9" w:rsidRPr="004802F4">
        <w:rPr>
          <w:rFonts w:cs="Arial"/>
          <w:lang w:val="fr-FR"/>
        </w:rPr>
        <w:t>uniquement</w:t>
      </w:r>
      <w:r w:rsidRPr="004802F4">
        <w:rPr>
          <w:rFonts w:cs="Arial"/>
          <w:lang w:val="fr-FR"/>
        </w:rPr>
        <w:t xml:space="preserve"> s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il n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 xml:space="preserve">y a aucune plante </w:t>
      </w:r>
      <w:r w:rsidR="00707A69" w:rsidRPr="004802F4">
        <w:rPr>
          <w:rFonts w:cs="Arial"/>
          <w:lang w:val="fr-FR"/>
        </w:rPr>
        <w:t>hors</w:t>
      </w:r>
      <w:r w:rsidR="00AC15F3" w:rsidRPr="004802F4">
        <w:rPr>
          <w:rFonts w:cs="Arial"/>
          <w:lang w:val="fr-FR"/>
        </w:rPr>
        <w:noBreakHyphen/>
      </w:r>
      <w:r w:rsidR="00707A69" w:rsidRPr="004802F4">
        <w:rPr>
          <w:rFonts w:cs="Arial"/>
          <w:lang w:val="fr-FR"/>
        </w:rPr>
        <w:t>type</w:t>
      </w:r>
      <w:r w:rsidR="00FE47A9" w:rsidRPr="004802F4">
        <w:rPr>
          <w:rFonts w:cs="Arial"/>
          <w:lang w:val="fr-FR"/>
        </w:rPr>
        <w:t>, ce</w:t>
      </w:r>
      <w:r w:rsidRPr="004802F4">
        <w:rPr>
          <w:rFonts w:cs="Arial"/>
          <w:lang w:val="fr-FR"/>
        </w:rPr>
        <w:t xml:space="preserve"> qui représente une probabilité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 xml:space="preserve">erreur </w:t>
      </w:r>
      <w:r w:rsidR="00FE47A9" w:rsidRPr="004802F4">
        <w:rPr>
          <w:rFonts w:cs="Arial"/>
          <w:lang w:val="fr-FR"/>
        </w:rPr>
        <w:t xml:space="preserve">plus faible que dans le cas de la décision prise pour </w:t>
      </w:r>
      <w:r w:rsidR="002D2E1B" w:rsidRPr="004802F4">
        <w:rPr>
          <w:rFonts w:cs="Arial"/>
          <w:lang w:val="fr-FR"/>
        </w:rPr>
        <w:t>100 </w:t>
      </w:r>
      <w:r w:rsidR="00FE47A9" w:rsidRPr="004802F4">
        <w:rPr>
          <w:rFonts w:cs="Arial"/>
          <w:lang w:val="fr-FR"/>
        </w:rPr>
        <w:t>plantes.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4F302C" w:rsidRPr="004802F4" w:rsidRDefault="00FE47A9" w:rsidP="004802F4">
      <w:pPr>
        <w:rPr>
          <w:rFonts w:cs="Arial"/>
          <w:lang w:val="fr-FR"/>
        </w:rPr>
      </w:pPr>
      <w:r w:rsidRPr="004802F4">
        <w:rPr>
          <w:rFonts w:cs="Arial"/>
          <w:lang w:val="fr-FR"/>
        </w:rPr>
        <w:t xml:space="preserve">Dans le cas de </w:t>
      </w:r>
      <w:r w:rsidR="002D2E1B" w:rsidRPr="004802F4">
        <w:rPr>
          <w:rFonts w:cs="Arial"/>
          <w:lang w:val="fr-FR"/>
        </w:rPr>
        <w:t>20 </w:t>
      </w:r>
      <w:r w:rsidRPr="004802F4">
        <w:rPr>
          <w:rFonts w:cs="Arial"/>
          <w:lang w:val="fr-FR"/>
        </w:rPr>
        <w:t xml:space="preserve">plantes dans la première étape et plus de </w:t>
      </w:r>
      <w:r w:rsidR="002D2E1B" w:rsidRPr="004802F4">
        <w:rPr>
          <w:rFonts w:cs="Arial"/>
          <w:lang w:val="fr-FR"/>
        </w:rPr>
        <w:t>3 </w:t>
      </w:r>
      <w:r w:rsidR="00E14B9D" w:rsidRPr="004802F4">
        <w:rPr>
          <w:rFonts w:cs="Arial"/>
          <w:lang w:val="fr-FR"/>
        </w:rPr>
        <w:t>plantes hors</w:t>
      </w:r>
      <w:r w:rsidR="00E14B9D" w:rsidRPr="004802F4">
        <w:rPr>
          <w:rFonts w:cs="Arial"/>
          <w:lang w:val="fr-FR"/>
        </w:rPr>
        <w:noBreakHyphen/>
      </w:r>
      <w:r w:rsidRPr="004802F4">
        <w:rPr>
          <w:rFonts w:cs="Arial"/>
          <w:lang w:val="fr-FR"/>
        </w:rPr>
        <w:t>type, la probabilité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erreur de type I (risque alpha) est pratiquement nulle</w:t>
      </w:r>
      <w:r w:rsidR="003F7E71" w:rsidRPr="004802F4">
        <w:rPr>
          <w:rFonts w:cs="Arial"/>
          <w:lang w:val="fr-FR"/>
        </w:rPr>
        <w:t xml:space="preserve">. </w:t>
      </w:r>
      <w:r w:rsidRPr="004802F4">
        <w:rPr>
          <w:rFonts w:cs="Arial"/>
          <w:lang w:val="fr-FR"/>
        </w:rPr>
        <w:t xml:space="preserve"> Elle est très faible et inférieure à celle obtenue avec plus de </w:t>
      </w:r>
      <w:r w:rsidR="002D2E1B" w:rsidRPr="004802F4">
        <w:rPr>
          <w:rFonts w:cs="Arial"/>
          <w:lang w:val="fr-FR"/>
        </w:rPr>
        <w:t>3 </w:t>
      </w:r>
      <w:r w:rsidRPr="004802F4">
        <w:rPr>
          <w:rFonts w:cs="Arial"/>
          <w:lang w:val="fr-FR"/>
        </w:rPr>
        <w:t xml:space="preserve">plantes </w:t>
      </w:r>
      <w:r w:rsidR="00707A69" w:rsidRPr="004802F4">
        <w:rPr>
          <w:rFonts w:cs="Arial"/>
          <w:lang w:val="fr-FR"/>
        </w:rPr>
        <w:t>hors-type</w:t>
      </w:r>
      <w:r w:rsidRPr="004802F4">
        <w:rPr>
          <w:rFonts w:cs="Arial"/>
          <w:lang w:val="fr-FR"/>
        </w:rPr>
        <w:t xml:space="preserve"> pour </w:t>
      </w:r>
      <w:r w:rsidR="002D2E1B" w:rsidRPr="004802F4">
        <w:rPr>
          <w:rFonts w:cs="Arial"/>
          <w:lang w:val="fr-FR"/>
        </w:rPr>
        <w:t>100 </w:t>
      </w:r>
      <w:r w:rsidRPr="004802F4">
        <w:rPr>
          <w:rFonts w:cs="Arial"/>
          <w:lang w:val="fr-FR"/>
        </w:rPr>
        <w:t>plantes.  Dans ce cas, la probabilité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erreur de type I (risque alpha) est de 0,3%.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4F302C" w:rsidRPr="004802F4" w:rsidRDefault="001736F1" w:rsidP="004802F4">
      <w:pPr>
        <w:rPr>
          <w:rFonts w:cs="Arial"/>
          <w:lang w:val="fr-FR"/>
        </w:rPr>
      </w:pPr>
      <w:r w:rsidRPr="004802F4">
        <w:rPr>
          <w:rFonts w:cs="Arial"/>
          <w:lang w:val="fr-FR"/>
        </w:rPr>
        <w:t>Si, dan</w:t>
      </w:r>
      <w:r w:rsidR="00AC15F3" w:rsidRPr="004802F4">
        <w:rPr>
          <w:rFonts w:cs="Arial"/>
          <w:lang w:val="fr-FR"/>
        </w:rPr>
        <w:t>s</w:t>
      </w:r>
      <w:r w:rsidRPr="004802F4">
        <w:rPr>
          <w:rFonts w:cs="Arial"/>
          <w:lang w:val="fr-FR"/>
        </w:rPr>
        <w:t xml:space="preserve"> la première étape, il y a </w:t>
      </w:r>
      <w:r w:rsidR="002D2E1B" w:rsidRPr="004802F4">
        <w:rPr>
          <w:rFonts w:cs="Arial"/>
          <w:lang w:val="fr-FR"/>
        </w:rPr>
        <w:t>1</w:t>
      </w:r>
      <w:r w:rsidRPr="004802F4">
        <w:rPr>
          <w:rFonts w:cs="Arial"/>
          <w:lang w:val="fr-FR"/>
        </w:rPr>
        <w:t xml:space="preserve">, </w:t>
      </w:r>
      <w:r w:rsidR="002D2E1B" w:rsidRPr="004802F4">
        <w:rPr>
          <w:rFonts w:cs="Arial"/>
          <w:lang w:val="fr-FR"/>
        </w:rPr>
        <w:t>2</w:t>
      </w:r>
      <w:r w:rsidR="009C6584">
        <w:rPr>
          <w:rFonts w:cs="Arial"/>
          <w:lang w:val="fr-FR"/>
        </w:rPr>
        <w:t xml:space="preserve"> </w:t>
      </w:r>
      <w:bookmarkStart w:id="16" w:name="_GoBack"/>
      <w:bookmarkEnd w:id="16"/>
      <w:r w:rsidRPr="004802F4">
        <w:rPr>
          <w:rFonts w:cs="Arial"/>
          <w:lang w:val="fr-FR"/>
        </w:rPr>
        <w:t xml:space="preserve">ou </w:t>
      </w:r>
      <w:r w:rsidR="002D2E1B" w:rsidRPr="004802F4">
        <w:rPr>
          <w:rFonts w:cs="Arial"/>
          <w:lang w:val="fr-FR"/>
        </w:rPr>
        <w:t>3 </w:t>
      </w:r>
      <w:r w:rsidRPr="004802F4">
        <w:rPr>
          <w:rFonts w:cs="Arial"/>
          <w:lang w:val="fr-FR"/>
        </w:rPr>
        <w:t xml:space="preserve">plantes </w:t>
      </w:r>
      <w:r w:rsidR="00707A69" w:rsidRPr="004802F4">
        <w:rPr>
          <w:rFonts w:cs="Arial"/>
          <w:lang w:val="fr-FR"/>
        </w:rPr>
        <w:t>hors-type</w:t>
      </w:r>
      <w:r w:rsidRPr="004802F4">
        <w:rPr>
          <w:rFonts w:cs="Arial"/>
          <w:lang w:val="fr-FR"/>
        </w:rPr>
        <w:t xml:space="preserve"> dans </w:t>
      </w:r>
      <w:r w:rsidR="002D2E1B" w:rsidRPr="004802F4">
        <w:rPr>
          <w:rFonts w:cs="Arial"/>
          <w:lang w:val="fr-FR"/>
        </w:rPr>
        <w:t>20 </w:t>
      </w:r>
      <w:r w:rsidRPr="004802F4">
        <w:rPr>
          <w:rFonts w:cs="Arial"/>
          <w:lang w:val="fr-FR"/>
        </w:rPr>
        <w:t xml:space="preserve">plantes, les </w:t>
      </w:r>
      <w:r w:rsidR="002D2E1B" w:rsidRPr="004802F4">
        <w:rPr>
          <w:rFonts w:cs="Arial"/>
          <w:lang w:val="fr-FR"/>
        </w:rPr>
        <w:t>80 </w:t>
      </w:r>
      <w:r w:rsidRPr="004802F4">
        <w:rPr>
          <w:rFonts w:cs="Arial"/>
          <w:lang w:val="fr-FR"/>
        </w:rPr>
        <w:t xml:space="preserve">plantes suivantes sont évaluées et la décision est prise sur la base des </w:t>
      </w:r>
      <w:r w:rsidR="002D2E1B" w:rsidRPr="004802F4">
        <w:rPr>
          <w:rFonts w:cs="Arial"/>
          <w:lang w:val="fr-FR"/>
        </w:rPr>
        <w:t>100 </w:t>
      </w:r>
      <w:r w:rsidRPr="004802F4">
        <w:rPr>
          <w:rFonts w:cs="Arial"/>
          <w:lang w:val="fr-FR"/>
        </w:rPr>
        <w:t>plantes</w:t>
      </w:r>
      <w:r w:rsidR="003F7E71" w:rsidRPr="004802F4">
        <w:rPr>
          <w:rFonts w:cs="Arial"/>
          <w:lang w:val="fr-FR"/>
        </w:rPr>
        <w:t xml:space="preserve">. </w:t>
      </w:r>
      <w:r w:rsidRPr="004802F4">
        <w:rPr>
          <w:rFonts w:cs="Arial"/>
          <w:lang w:val="fr-FR"/>
        </w:rPr>
        <w:t xml:space="preserve"> Dans ce cas, les probabilités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erreur</w:t>
      </w:r>
      <w:r w:rsidR="00AC15F3" w:rsidRPr="004802F4">
        <w:rPr>
          <w:rFonts w:cs="Arial"/>
          <w:lang w:val="fr-FR"/>
        </w:rPr>
        <w:t>s</w:t>
      </w:r>
      <w:r w:rsidRPr="004802F4">
        <w:rPr>
          <w:rFonts w:cs="Arial"/>
          <w:lang w:val="fr-FR"/>
        </w:rPr>
        <w:t xml:space="preserve"> de type</w:t>
      </w:r>
      <w:r w:rsidR="00AC15F3" w:rsidRPr="004802F4">
        <w:rPr>
          <w:rFonts w:cs="Arial"/>
          <w:lang w:val="fr-FR"/>
        </w:rPr>
        <w:t> </w:t>
      </w:r>
      <w:r w:rsidRPr="004802F4">
        <w:rPr>
          <w:rFonts w:cs="Arial"/>
          <w:lang w:val="fr-FR"/>
        </w:rPr>
        <w:t xml:space="preserve">I et de type II doivent être évaluées </w:t>
      </w:r>
      <w:r w:rsidR="00AC15F3" w:rsidRPr="004802F4">
        <w:rPr>
          <w:rFonts w:cs="Arial"/>
          <w:lang w:val="fr-FR"/>
        </w:rPr>
        <w:t>au moyen</w:t>
      </w:r>
      <w:r w:rsidRPr="004802F4">
        <w:rPr>
          <w:rFonts w:cs="Arial"/>
          <w:lang w:val="fr-FR"/>
        </w:rPr>
        <w:t xml:space="preserve"> de formules spéciales ou du logiciel de la France</w:t>
      </w:r>
      <w:r w:rsidR="003F7E71" w:rsidRPr="004802F4">
        <w:rPr>
          <w:rFonts w:cs="Arial"/>
          <w:lang w:val="fr-FR"/>
        </w:rPr>
        <w:t xml:space="preserve"> (</w:t>
      </w:r>
      <w:hyperlink r:id="rId21" w:history="1">
        <w:r w:rsidR="003F7E71" w:rsidRPr="003A1477">
          <w:rPr>
            <w:rStyle w:val="Hyperlink"/>
            <w:rFonts w:cs="Arial"/>
            <w:lang w:val="fr-CH"/>
          </w:rPr>
          <w:t>http://www.seedtest.org/en/stats_tool_box_content</w:t>
        </w:r>
        <w:r w:rsidR="001272D3" w:rsidRPr="003A1477">
          <w:rPr>
            <w:rStyle w:val="Hyperlink"/>
            <w:rFonts w:cs="Arial"/>
            <w:lang w:val="fr-CH"/>
          </w:rPr>
          <w:noBreakHyphen/>
        </w:r>
        <w:r w:rsidR="001272D3" w:rsidRPr="003A1477">
          <w:rPr>
            <w:rStyle w:val="Hyperlink"/>
            <w:rFonts w:cs="Arial"/>
            <w:lang w:val="fr-CH"/>
          </w:rPr>
          <w:noBreakHyphen/>
        </w:r>
        <w:r w:rsidR="001272D3" w:rsidRPr="003A1477">
          <w:rPr>
            <w:rStyle w:val="Hyperlink"/>
            <w:rFonts w:cs="Arial"/>
            <w:lang w:val="fr-CH"/>
          </w:rPr>
          <w:noBreakHyphen/>
        </w:r>
        <w:r w:rsidR="003F7E71" w:rsidRPr="003A1477">
          <w:rPr>
            <w:rStyle w:val="Hyperlink"/>
            <w:rFonts w:cs="Arial"/>
            <w:lang w:val="fr-CH"/>
          </w:rPr>
          <w:t>1</w:t>
        </w:r>
        <w:r w:rsidR="001272D3" w:rsidRPr="003A1477">
          <w:rPr>
            <w:rStyle w:val="Hyperlink"/>
            <w:rFonts w:cs="Arial"/>
            <w:lang w:val="fr-CH"/>
          </w:rPr>
          <w:noBreakHyphen/>
        </w:r>
        <w:r w:rsidR="001272D3" w:rsidRPr="003A1477">
          <w:rPr>
            <w:rStyle w:val="Hyperlink"/>
            <w:rFonts w:cs="Arial"/>
            <w:lang w:val="fr-CH"/>
          </w:rPr>
          <w:noBreakHyphen/>
        </w:r>
        <w:r w:rsidR="003F7E71" w:rsidRPr="003A1477">
          <w:rPr>
            <w:rStyle w:val="Hyperlink"/>
            <w:rFonts w:cs="Arial"/>
            <w:lang w:val="fr-CH"/>
          </w:rPr>
          <w:t>1143.html</w:t>
        </w:r>
      </w:hyperlink>
      <w:r w:rsidR="003A1477" w:rsidRPr="003A1477">
        <w:rPr>
          <w:rStyle w:val="Hyperlink"/>
          <w:color w:val="auto"/>
          <w:u w:val="none"/>
          <w:lang w:val="fr-CH"/>
        </w:rPr>
        <w:t>).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7A701A" w:rsidRPr="004802F4" w:rsidRDefault="005711FD" w:rsidP="004802F4">
      <w:pPr>
        <w:rPr>
          <w:rFonts w:cs="Arial"/>
          <w:lang w:val="fr-FR"/>
        </w:rPr>
      </w:pPr>
      <w:r w:rsidRPr="004802F4">
        <w:rPr>
          <w:rFonts w:cs="Arial"/>
          <w:lang w:val="fr-FR"/>
        </w:rPr>
        <w:t>Il est ainsi possible de</w:t>
      </w:r>
      <w:r w:rsidR="00106AE4" w:rsidRPr="004802F4">
        <w:rPr>
          <w:rFonts w:cs="Arial"/>
          <w:lang w:val="fr-FR"/>
        </w:rPr>
        <w:t xml:space="preserve"> réaliser des comparaisons </w:t>
      </w:r>
      <w:r w:rsidR="00AC15F3" w:rsidRPr="004802F4">
        <w:rPr>
          <w:rFonts w:cs="Arial"/>
          <w:lang w:val="fr-FR"/>
        </w:rPr>
        <w:t>dans</w:t>
      </w:r>
      <w:r w:rsidR="00106AE4" w:rsidRPr="004802F4">
        <w:rPr>
          <w:rFonts w:cs="Arial"/>
          <w:lang w:val="fr-FR"/>
        </w:rPr>
        <w:t xml:space="preserve"> toutes les autres situations</w:t>
      </w:r>
      <w:r w:rsidR="003F7E71" w:rsidRPr="004802F4">
        <w:rPr>
          <w:rFonts w:cs="Arial"/>
          <w:lang w:val="fr-FR"/>
        </w:rPr>
        <w:t>.</w:t>
      </w:r>
    </w:p>
    <w:p w:rsidR="007A701A" w:rsidRPr="004802F4" w:rsidRDefault="007A701A" w:rsidP="004802F4">
      <w:pPr>
        <w:rPr>
          <w:rFonts w:cs="Arial"/>
          <w:lang w:val="fr-FR"/>
        </w:rPr>
      </w:pPr>
    </w:p>
    <w:p w:rsidR="007A701A" w:rsidRPr="004802F4" w:rsidRDefault="00106AE4" w:rsidP="004802F4">
      <w:pPr>
        <w:rPr>
          <w:rFonts w:cs="Arial"/>
          <w:lang w:val="fr-FR"/>
        </w:rPr>
      </w:pPr>
      <w:r w:rsidRPr="004802F4">
        <w:rPr>
          <w:rFonts w:cs="Arial"/>
          <w:lang w:val="fr-FR"/>
        </w:rPr>
        <w:t>La question qui reste en suspens est la suivante</w:t>
      </w:r>
      <w:r w:rsidR="009307C6" w:rsidRPr="004802F4">
        <w:rPr>
          <w:rFonts w:cs="Arial"/>
          <w:lang w:val="fr-FR"/>
        </w:rPr>
        <w:t> </w:t>
      </w:r>
      <w:r w:rsidRPr="004802F4">
        <w:rPr>
          <w:rFonts w:cs="Arial"/>
          <w:lang w:val="fr-FR"/>
        </w:rPr>
        <w:t>: faut</w:t>
      </w:r>
      <w:r w:rsidR="001272D3" w:rsidRPr="004802F4">
        <w:rPr>
          <w:rFonts w:cs="Arial"/>
          <w:lang w:val="fr-FR"/>
        </w:rPr>
        <w:noBreakHyphen/>
      </w:r>
      <w:r w:rsidRPr="004802F4">
        <w:rPr>
          <w:rFonts w:cs="Arial"/>
          <w:lang w:val="fr-FR"/>
        </w:rPr>
        <w:t>il une déclaration concernant les différents types d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erreurs pour chaque décision ou faut</w:t>
      </w:r>
      <w:r w:rsidR="001272D3" w:rsidRPr="004802F4">
        <w:rPr>
          <w:rFonts w:cs="Arial"/>
          <w:lang w:val="fr-FR"/>
        </w:rPr>
        <w:noBreakHyphen/>
      </w:r>
      <w:r w:rsidRPr="004802F4">
        <w:rPr>
          <w:rFonts w:cs="Arial"/>
          <w:lang w:val="fr-FR"/>
        </w:rPr>
        <w:t>il une déclaration pour toutes les décisions?</w:t>
      </w:r>
      <w:r w:rsidR="003F7E71" w:rsidRPr="004802F4">
        <w:rPr>
          <w:rFonts w:cs="Arial"/>
          <w:lang w:val="fr-FR"/>
        </w:rPr>
        <w:t xml:space="preserve"> </w:t>
      </w:r>
      <w:r w:rsidRPr="004802F4">
        <w:rPr>
          <w:rFonts w:cs="Arial"/>
          <w:lang w:val="fr-FR"/>
        </w:rPr>
        <w:t xml:space="preserve"> Cette question devrait être examinée avec les experts statistiques.</w:t>
      </w:r>
    </w:p>
    <w:p w:rsidR="007A701A" w:rsidRPr="004802F4" w:rsidRDefault="00127B05" w:rsidP="004802F4">
      <w:pPr>
        <w:rPr>
          <w:rFonts w:cs="Arial"/>
          <w:lang w:val="fr-FR"/>
        </w:rPr>
      </w:pPr>
      <w:r w:rsidRPr="004802F4">
        <w:rPr>
          <w:rFonts w:cs="Arial"/>
          <w:lang w:val="fr-FR"/>
        </w:rPr>
        <w:t>Du fait de la non</w:t>
      </w:r>
      <w:r w:rsidR="001272D3" w:rsidRPr="004802F4">
        <w:rPr>
          <w:rFonts w:cs="Arial"/>
          <w:lang w:val="fr-FR"/>
        </w:rPr>
        <w:noBreakHyphen/>
      </w:r>
      <w:r w:rsidRPr="004802F4">
        <w:rPr>
          <w:rFonts w:cs="Arial"/>
          <w:lang w:val="fr-FR"/>
        </w:rPr>
        <w:t>linéarité des formules, il n</w:t>
      </w:r>
      <w:r w:rsidR="004F302C" w:rsidRPr="004802F4">
        <w:rPr>
          <w:rFonts w:cs="Arial"/>
          <w:lang w:val="fr-FR"/>
        </w:rPr>
        <w:t>’</w:t>
      </w:r>
      <w:r w:rsidRPr="004802F4">
        <w:rPr>
          <w:rFonts w:cs="Arial"/>
          <w:lang w:val="fr-FR"/>
        </w:rPr>
        <w:t>existe pas de règles générales pour tous les cas pratiques utilisables dans l</w:t>
      </w:r>
      <w:r w:rsidR="00AC15F3" w:rsidRPr="004802F4">
        <w:rPr>
          <w:rFonts w:cs="Arial"/>
          <w:lang w:val="fr-FR"/>
        </w:rPr>
        <w:t xml:space="preserve">es </w:t>
      </w:r>
      <w:r w:rsidRPr="004802F4">
        <w:rPr>
          <w:rFonts w:cs="Arial"/>
          <w:lang w:val="fr-FR"/>
        </w:rPr>
        <w:t>examen</w:t>
      </w:r>
      <w:r w:rsidR="00AC15F3" w:rsidRPr="004802F4">
        <w:rPr>
          <w:rFonts w:cs="Arial"/>
          <w:lang w:val="fr-FR"/>
        </w:rPr>
        <w:t>s</w:t>
      </w:r>
      <w:r w:rsidR="009307C6" w:rsidRPr="004802F4">
        <w:rPr>
          <w:rFonts w:cs="Arial"/>
          <w:lang w:val="fr-FR"/>
        </w:rPr>
        <w:t> </w:t>
      </w:r>
      <w:r w:rsidRPr="004802F4">
        <w:rPr>
          <w:rFonts w:cs="Arial"/>
          <w:lang w:val="fr-FR"/>
        </w:rPr>
        <w:t>DHS</w:t>
      </w:r>
      <w:r w:rsidR="003F7E71" w:rsidRPr="004802F4">
        <w:rPr>
          <w:rFonts w:cs="Arial"/>
          <w:lang w:val="fr-FR"/>
        </w:rPr>
        <w:t>.</w:t>
      </w:r>
    </w:p>
    <w:p w:rsidR="007A701A" w:rsidRPr="004802F4" w:rsidRDefault="007A701A" w:rsidP="004802F4">
      <w:pPr>
        <w:rPr>
          <w:lang w:val="fr-FR"/>
        </w:rPr>
      </w:pPr>
    </w:p>
    <w:p w:rsidR="00050E16" w:rsidRPr="004802F4" w:rsidRDefault="003F7E71" w:rsidP="004802F4">
      <w:pPr>
        <w:pStyle w:val="endofdoc"/>
        <w:rPr>
          <w:lang w:val="fr-FR"/>
        </w:rPr>
      </w:pPr>
      <w:r w:rsidRPr="004802F4">
        <w:rPr>
          <w:snapToGrid w:val="0"/>
          <w:lang w:val="fr-FR"/>
        </w:rPr>
        <w:t>[</w:t>
      </w:r>
      <w:r w:rsidR="00835958" w:rsidRPr="004802F4">
        <w:rPr>
          <w:snapToGrid w:val="0"/>
          <w:lang w:val="fr-FR"/>
        </w:rPr>
        <w:t>Fin de l</w:t>
      </w:r>
      <w:r w:rsidR="004F302C" w:rsidRPr="004802F4">
        <w:rPr>
          <w:snapToGrid w:val="0"/>
          <w:lang w:val="fr-FR"/>
        </w:rPr>
        <w:t>’</w:t>
      </w:r>
      <w:r w:rsidR="00835958" w:rsidRPr="004802F4">
        <w:rPr>
          <w:snapToGrid w:val="0"/>
          <w:lang w:val="fr-FR"/>
        </w:rPr>
        <w:t>annexe </w:t>
      </w:r>
      <w:r w:rsidRPr="004802F4">
        <w:rPr>
          <w:snapToGrid w:val="0"/>
          <w:lang w:val="fr-FR"/>
        </w:rPr>
        <w:t xml:space="preserve">V </w:t>
      </w:r>
      <w:r w:rsidR="00835958" w:rsidRPr="004802F4">
        <w:rPr>
          <w:snapToGrid w:val="0"/>
          <w:lang w:val="fr-FR"/>
        </w:rPr>
        <w:t>et du</w:t>
      </w:r>
      <w:r w:rsidRPr="004802F4">
        <w:rPr>
          <w:snapToGrid w:val="0"/>
          <w:lang w:val="fr-FR"/>
        </w:rPr>
        <w:t xml:space="preserve"> document]</w:t>
      </w:r>
    </w:p>
    <w:sectPr w:rsidR="00050E16" w:rsidRPr="004802F4" w:rsidSect="0094458C">
      <w:headerReference w:type="default" r:id="rId22"/>
      <w:headerReference w:type="first" r:id="rId23"/>
      <w:footerReference w:type="first" r:id="rId24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CF" w:rsidRDefault="00CE59CF" w:rsidP="006655D3">
      <w:r>
        <w:separator/>
      </w:r>
    </w:p>
    <w:p w:rsidR="00CE59CF" w:rsidRDefault="00CE59CF" w:rsidP="006655D3"/>
    <w:p w:rsidR="00CE59CF" w:rsidRDefault="00CE59CF" w:rsidP="006655D3"/>
  </w:endnote>
  <w:endnote w:type="continuationSeparator" w:id="0">
    <w:p w:rsidR="00CE59CF" w:rsidRDefault="00CE59CF" w:rsidP="006655D3">
      <w:r>
        <w:separator/>
      </w:r>
    </w:p>
    <w:p w:rsidR="00CE59CF" w:rsidRPr="005C3F34" w:rsidRDefault="00CE59CF">
      <w:pPr>
        <w:pStyle w:val="Footer"/>
        <w:spacing w:after="60"/>
        <w:rPr>
          <w:sz w:val="18"/>
          <w:lang w:val="fr-CH"/>
        </w:rPr>
      </w:pPr>
      <w:r w:rsidRPr="005C3F34">
        <w:rPr>
          <w:sz w:val="18"/>
          <w:lang w:val="fr-CH"/>
        </w:rPr>
        <w:t>[Suite de la note de la page précédente]</w:t>
      </w:r>
    </w:p>
    <w:p w:rsidR="00CE59CF" w:rsidRPr="005C3F34" w:rsidRDefault="00CE59CF" w:rsidP="006655D3">
      <w:pPr>
        <w:rPr>
          <w:lang w:val="fr-CH"/>
        </w:rPr>
      </w:pPr>
    </w:p>
    <w:p w:rsidR="00CE59CF" w:rsidRPr="005C3F34" w:rsidRDefault="00CE59CF" w:rsidP="006655D3">
      <w:pPr>
        <w:rPr>
          <w:lang w:val="fr-CH"/>
        </w:rPr>
      </w:pPr>
    </w:p>
  </w:endnote>
  <w:endnote w:type="continuationNotice" w:id="1">
    <w:p w:rsidR="00CE59CF" w:rsidRPr="005C3F34" w:rsidRDefault="00CE59CF" w:rsidP="006655D3">
      <w:pPr>
        <w:rPr>
          <w:lang w:val="fr-CH"/>
        </w:rPr>
      </w:pPr>
      <w:r w:rsidRPr="005C3F34">
        <w:rPr>
          <w:lang w:val="fr-CH"/>
        </w:rPr>
        <w:t>[Suite de la note page suivante]</w:t>
      </w:r>
    </w:p>
    <w:p w:rsidR="00CE59CF" w:rsidRPr="005C3F34" w:rsidRDefault="00CE59CF" w:rsidP="006655D3">
      <w:pPr>
        <w:rPr>
          <w:lang w:val="fr-CH"/>
        </w:rPr>
      </w:pPr>
    </w:p>
    <w:p w:rsidR="00CE59CF" w:rsidRPr="005C3F34" w:rsidRDefault="00CE59CF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CF" w:rsidRPr="00E14B9D" w:rsidRDefault="00CE59CF" w:rsidP="00E14B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CF" w:rsidRPr="00E14B9D" w:rsidRDefault="00CE59CF" w:rsidP="00E14B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CF" w:rsidRPr="00AE0EF1" w:rsidRDefault="00CE59C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CF" w:rsidRPr="002B2BCF" w:rsidRDefault="00CE59CF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CF" w:rsidRDefault="00CE59CF" w:rsidP="006655D3">
      <w:r>
        <w:separator/>
      </w:r>
    </w:p>
  </w:footnote>
  <w:footnote w:type="continuationSeparator" w:id="0">
    <w:p w:rsidR="00CE59CF" w:rsidRDefault="00CE59CF" w:rsidP="006655D3">
      <w:r>
        <w:separator/>
      </w:r>
    </w:p>
  </w:footnote>
  <w:footnote w:type="continuationNotice" w:id="1">
    <w:p w:rsidR="00CE59CF" w:rsidRPr="00AB530F" w:rsidRDefault="00CE59C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CF" w:rsidRDefault="00CE59CF" w:rsidP="00EB048E">
    <w:pPr>
      <w:pStyle w:val="Header"/>
    </w:pPr>
    <w:r w:rsidRPr="00C5280D">
      <w:t>TC/</w:t>
    </w:r>
    <w:r>
      <w:t>51</w:t>
    </w:r>
    <w:r w:rsidRPr="00C5280D">
      <w:t>/</w:t>
    </w:r>
    <w:r>
      <w:t>24</w:t>
    </w:r>
  </w:p>
  <w:p w:rsidR="00CE59CF" w:rsidRPr="00C5280D" w:rsidRDefault="00CE59CF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FD5EAC">
      <w:rPr>
        <w:rStyle w:val="PageNumber"/>
        <w:noProof/>
      </w:rPr>
      <w:t>5</w:t>
    </w:r>
    <w:r w:rsidRPr="00C5280D">
      <w:rPr>
        <w:rStyle w:val="PageNumber"/>
      </w:rPr>
      <w:fldChar w:fldCharType="end"/>
    </w:r>
  </w:p>
  <w:p w:rsidR="00CE59CF" w:rsidRDefault="00CE59CF" w:rsidP="003F7E71">
    <w:pPr>
      <w:tabs>
        <w:tab w:val="left" w:pos="5556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CF" w:rsidRPr="0000354E" w:rsidRDefault="00CE59CF" w:rsidP="003F7E71">
    <w:pPr>
      <w:pStyle w:val="Header"/>
    </w:pPr>
    <w:r w:rsidRPr="0000354E">
      <w:t>TC/51/24</w:t>
    </w:r>
  </w:p>
  <w:p w:rsidR="00CE59CF" w:rsidRPr="0000354E" w:rsidRDefault="00CE59CF" w:rsidP="003F7E71">
    <w:pPr>
      <w:pStyle w:val="Header"/>
    </w:pPr>
  </w:p>
  <w:p w:rsidR="00CE59CF" w:rsidRPr="0000354E" w:rsidRDefault="00CE59CF" w:rsidP="003F7E71">
    <w:pPr>
      <w:pStyle w:val="Header"/>
    </w:pPr>
    <w:r w:rsidRPr="0000354E">
      <w:t>ANNEXE V</w:t>
    </w:r>
  </w:p>
  <w:p w:rsidR="00CE59CF" w:rsidRPr="0000354E" w:rsidRDefault="00CE59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CF" w:rsidRPr="00C5280D" w:rsidRDefault="00CE59CF" w:rsidP="00EB048E">
    <w:pPr>
      <w:pStyle w:val="Header"/>
      <w:rPr>
        <w:rStyle w:val="PageNumber"/>
      </w:rPr>
    </w:pPr>
    <w:r>
      <w:rPr>
        <w:rStyle w:val="PageNumber"/>
      </w:rPr>
      <w:t>TWO/47/9</w:t>
    </w:r>
  </w:p>
  <w:p w:rsidR="00CE59CF" w:rsidRPr="00C5280D" w:rsidRDefault="00CE59CF" w:rsidP="00EB048E">
    <w:pPr>
      <w:pStyle w:val="Header"/>
    </w:pPr>
    <w:r>
      <w:t>Annexe I</w:t>
    </w:r>
  </w:p>
  <w:p w:rsidR="00CE59CF" w:rsidRDefault="00CE59CF" w:rsidP="003F7E71">
    <w:pPr>
      <w:tabs>
        <w:tab w:val="left" w:pos="5556"/>
      </w:tabs>
    </w:pPr>
    <w:r>
      <w:tab/>
    </w:r>
  </w:p>
  <w:p w:rsidR="00CE59CF" w:rsidRPr="00C5280D" w:rsidRDefault="00CE59CF" w:rsidP="003F7E71">
    <w:pPr>
      <w:tabs>
        <w:tab w:val="left" w:pos="555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CF" w:rsidRDefault="00CE59CF" w:rsidP="003F7E71">
    <w:pPr>
      <w:pStyle w:val="Header"/>
    </w:pPr>
    <w:r w:rsidRPr="00C5280D">
      <w:t>TC/</w:t>
    </w:r>
    <w:r>
      <w:t>51</w:t>
    </w:r>
    <w:r w:rsidRPr="00C5280D">
      <w:t>/</w:t>
    </w:r>
    <w:r>
      <w:t>24</w:t>
    </w:r>
  </w:p>
  <w:p w:rsidR="00CE59CF" w:rsidRPr="005C056F" w:rsidRDefault="00CE59CF" w:rsidP="003F7E71">
    <w:pPr>
      <w:pStyle w:val="Header"/>
      <w:rPr>
        <w:rStyle w:val="PageNumber"/>
        <w:lang w:val="en-US"/>
      </w:rPr>
    </w:pPr>
  </w:p>
  <w:p w:rsidR="00CE59CF" w:rsidRPr="005C056F" w:rsidRDefault="00CE59CF" w:rsidP="003F7E71">
    <w:pPr>
      <w:pStyle w:val="Header"/>
      <w:rPr>
        <w:lang w:val="en-US"/>
      </w:rPr>
    </w:pPr>
    <w:r w:rsidRPr="005C056F">
      <w:rPr>
        <w:lang w:val="en-US"/>
      </w:rPr>
      <w:t>ANNEX</w:t>
    </w:r>
    <w:r>
      <w:rPr>
        <w:lang w:val="en-US"/>
      </w:rPr>
      <w:t>E</w:t>
    </w:r>
    <w:r w:rsidRPr="005C056F">
      <w:rPr>
        <w:lang w:val="en-US"/>
      </w:rPr>
      <w:t xml:space="preserve"> </w:t>
    </w:r>
    <w:r>
      <w:rPr>
        <w:lang w:val="en-US"/>
      </w:rPr>
      <w:t>I</w:t>
    </w:r>
  </w:p>
  <w:p w:rsidR="00CE59CF" w:rsidRPr="005C056F" w:rsidRDefault="00CE59CF" w:rsidP="003F7E71">
    <w:pPr>
      <w:pStyle w:val="Header"/>
      <w:rPr>
        <w:rFonts w:eastAsia="MS Mincho"/>
        <w:lang w:val="en-US" w:eastAsia="ja-JP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CF" w:rsidRPr="00C5280D" w:rsidRDefault="00CE59CF" w:rsidP="00EB048E">
    <w:pPr>
      <w:pStyle w:val="Header"/>
      <w:rPr>
        <w:rStyle w:val="PageNumber"/>
      </w:rPr>
    </w:pPr>
    <w:r>
      <w:rPr>
        <w:rStyle w:val="PageNumber"/>
      </w:rPr>
      <w:t>TWO/47/9</w:t>
    </w:r>
  </w:p>
  <w:p w:rsidR="00CE59CF" w:rsidRPr="00C5280D" w:rsidRDefault="00CE59CF" w:rsidP="00EB048E">
    <w:pPr>
      <w:pStyle w:val="Header"/>
    </w:pPr>
    <w:r>
      <w:t>Annexe II</w:t>
    </w:r>
  </w:p>
  <w:p w:rsidR="00CE59CF" w:rsidRDefault="00CE59CF" w:rsidP="003F7E71">
    <w:pPr>
      <w:tabs>
        <w:tab w:val="left" w:pos="5556"/>
      </w:tabs>
    </w:pPr>
    <w:r>
      <w:tab/>
    </w:r>
  </w:p>
  <w:p w:rsidR="00CE59CF" w:rsidRPr="00C5280D" w:rsidRDefault="00CE59CF" w:rsidP="003F7E71">
    <w:pPr>
      <w:tabs>
        <w:tab w:val="left" w:pos="5556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CF" w:rsidRDefault="00CE59CF" w:rsidP="003F7E71">
    <w:pPr>
      <w:pStyle w:val="Header"/>
    </w:pPr>
    <w:r w:rsidRPr="00C5280D">
      <w:t>TC/</w:t>
    </w:r>
    <w:r>
      <w:t>51</w:t>
    </w:r>
    <w:r w:rsidRPr="00C5280D">
      <w:t>/</w:t>
    </w:r>
    <w:r>
      <w:t>24</w:t>
    </w:r>
  </w:p>
  <w:p w:rsidR="00CE59CF" w:rsidRDefault="00CE59CF" w:rsidP="003F7E71">
    <w:pPr>
      <w:pStyle w:val="Header"/>
    </w:pPr>
  </w:p>
  <w:p w:rsidR="00CE59CF" w:rsidRPr="005C056F" w:rsidRDefault="00CE59CF" w:rsidP="003F7E71">
    <w:pPr>
      <w:pStyle w:val="Header"/>
      <w:rPr>
        <w:lang w:val="en-US"/>
      </w:rPr>
    </w:pPr>
    <w:r w:rsidRPr="005C056F">
      <w:rPr>
        <w:lang w:val="en-US"/>
      </w:rPr>
      <w:t>ANNEX</w:t>
    </w:r>
    <w:r>
      <w:rPr>
        <w:lang w:val="en-US"/>
      </w:rPr>
      <w:t>E</w:t>
    </w:r>
    <w:r w:rsidRPr="005C056F">
      <w:rPr>
        <w:lang w:val="en-US"/>
      </w:rPr>
      <w:t xml:space="preserve"> II</w:t>
    </w:r>
  </w:p>
  <w:p w:rsidR="00CE59CF" w:rsidRPr="005C056F" w:rsidRDefault="00CE59CF" w:rsidP="003F7E71">
    <w:pPr>
      <w:pStyle w:val="Header"/>
      <w:rPr>
        <w:rFonts w:eastAsia="MS Mincho"/>
        <w:lang w:val="en-US" w:eastAsia="ja-JP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CF" w:rsidRDefault="00CE59CF" w:rsidP="003F7E71">
    <w:pPr>
      <w:pStyle w:val="Header"/>
    </w:pPr>
    <w:r w:rsidRPr="00C5280D">
      <w:t>TC/</w:t>
    </w:r>
    <w:r>
      <w:t>51</w:t>
    </w:r>
    <w:r w:rsidRPr="00C5280D">
      <w:t>/</w:t>
    </w:r>
    <w:r>
      <w:t>24</w:t>
    </w:r>
  </w:p>
  <w:p w:rsidR="00CE59CF" w:rsidRPr="005C056F" w:rsidRDefault="00CE59CF" w:rsidP="003F7E71">
    <w:pPr>
      <w:pStyle w:val="Header"/>
      <w:rPr>
        <w:rStyle w:val="PageNumber"/>
        <w:lang w:val="en-US"/>
      </w:rPr>
    </w:pPr>
  </w:p>
  <w:p w:rsidR="00CE59CF" w:rsidRPr="005C056F" w:rsidRDefault="00CE59CF" w:rsidP="003F7E71">
    <w:pPr>
      <w:pStyle w:val="Header"/>
      <w:rPr>
        <w:lang w:val="en-US"/>
      </w:rPr>
    </w:pPr>
    <w:r w:rsidRPr="005C056F">
      <w:rPr>
        <w:lang w:val="en-US"/>
      </w:rPr>
      <w:t>ANNEX</w:t>
    </w:r>
    <w:r>
      <w:rPr>
        <w:lang w:val="en-US"/>
      </w:rPr>
      <w:t>E</w:t>
    </w:r>
    <w:r w:rsidRPr="005C056F">
      <w:rPr>
        <w:lang w:val="en-US"/>
      </w:rPr>
      <w:t xml:space="preserve"> III</w:t>
    </w:r>
  </w:p>
  <w:p w:rsidR="00CE59CF" w:rsidRPr="005C056F" w:rsidRDefault="00CE59CF" w:rsidP="003F7E71">
    <w:pPr>
      <w:pStyle w:val="Header"/>
      <w:rPr>
        <w:rFonts w:eastAsia="MS Mincho"/>
        <w:lang w:val="en-US" w:eastAsia="ja-JP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CF" w:rsidRPr="00832298" w:rsidRDefault="00CE59CF" w:rsidP="003F7E71">
    <w:pPr>
      <w:pStyle w:val="Header"/>
    </w:pPr>
    <w:r w:rsidRPr="00832298">
      <w:t>T</w:t>
    </w:r>
    <w:r>
      <w:t>WO/47</w:t>
    </w:r>
    <w:r w:rsidRPr="00832298">
      <w:t>/</w:t>
    </w:r>
    <w:r>
      <w:t>9</w:t>
    </w:r>
  </w:p>
  <w:p w:rsidR="00CE59CF" w:rsidRPr="00C5280D" w:rsidRDefault="00CE59CF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>
      <w:rPr>
        <w:noProof/>
      </w:rPr>
      <w:t>3</w:t>
    </w:r>
    <w:r w:rsidRPr="00832298">
      <w:fldChar w:fldCharType="end"/>
    </w:r>
  </w:p>
  <w:p w:rsidR="00CE59CF" w:rsidRPr="00C5280D" w:rsidRDefault="00CE59CF" w:rsidP="003F7E71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CF" w:rsidRDefault="00CE59CF" w:rsidP="003F7E71">
    <w:pPr>
      <w:pStyle w:val="Header"/>
    </w:pPr>
    <w:r w:rsidRPr="00C5280D">
      <w:t>TC/</w:t>
    </w:r>
    <w:r>
      <w:t>51</w:t>
    </w:r>
    <w:r w:rsidRPr="00C5280D">
      <w:t>/</w:t>
    </w:r>
    <w:r>
      <w:t>24</w:t>
    </w:r>
  </w:p>
  <w:p w:rsidR="00CE59CF" w:rsidRPr="005C056F" w:rsidRDefault="00CE59CF" w:rsidP="003F7E71">
    <w:pPr>
      <w:pStyle w:val="Header"/>
      <w:rPr>
        <w:lang w:val="en-US"/>
      </w:rPr>
    </w:pPr>
  </w:p>
  <w:p w:rsidR="00CE59CF" w:rsidRPr="005C056F" w:rsidRDefault="00CE59CF" w:rsidP="003F7E71">
    <w:pPr>
      <w:pStyle w:val="Header"/>
      <w:rPr>
        <w:lang w:val="en-US"/>
      </w:rPr>
    </w:pPr>
    <w:r w:rsidRPr="005C056F">
      <w:rPr>
        <w:lang w:val="en-US"/>
      </w:rPr>
      <w:t>ANNEX</w:t>
    </w:r>
    <w:r>
      <w:rPr>
        <w:lang w:val="en-US"/>
      </w:rPr>
      <w:t>E</w:t>
    </w:r>
    <w:r w:rsidRPr="005C056F">
      <w:rPr>
        <w:lang w:val="en-US"/>
      </w:rPr>
      <w:t xml:space="preserve"> IV</w:t>
    </w:r>
  </w:p>
  <w:p w:rsidR="00CE59CF" w:rsidRPr="005C056F" w:rsidRDefault="00CE59CF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9CF" w:rsidRPr="00C5280D" w:rsidRDefault="00CE59C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TC/51/24</w:t>
    </w:r>
  </w:p>
  <w:p w:rsidR="00CE59CF" w:rsidRPr="00C5280D" w:rsidRDefault="00CE59CF" w:rsidP="00EB048E">
    <w:pPr>
      <w:pStyle w:val="Header"/>
      <w:rPr>
        <w:lang w:val="en-US"/>
      </w:rPr>
    </w:pP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 V,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D5EA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CE59CF" w:rsidRPr="00C5280D" w:rsidRDefault="00CE59CF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3E39"/>
    <w:multiLevelType w:val="hybridMultilevel"/>
    <w:tmpl w:val="8D60FD50"/>
    <w:lvl w:ilvl="0" w:tplc="04090017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3" w:hanging="360"/>
      </w:pPr>
    </w:lvl>
    <w:lvl w:ilvl="2" w:tplc="0409001B" w:tentative="1">
      <w:start w:val="1"/>
      <w:numFmt w:val="lowerRoman"/>
      <w:lvlText w:val="%3."/>
      <w:lvlJc w:val="right"/>
      <w:pPr>
        <w:ind w:left="7033" w:hanging="180"/>
      </w:pPr>
    </w:lvl>
    <w:lvl w:ilvl="3" w:tplc="0409000F" w:tentative="1">
      <w:start w:val="1"/>
      <w:numFmt w:val="decimal"/>
      <w:lvlText w:val="%4."/>
      <w:lvlJc w:val="left"/>
      <w:pPr>
        <w:ind w:left="7753" w:hanging="360"/>
      </w:pPr>
    </w:lvl>
    <w:lvl w:ilvl="4" w:tplc="04090019" w:tentative="1">
      <w:start w:val="1"/>
      <w:numFmt w:val="lowerLetter"/>
      <w:lvlText w:val="%5."/>
      <w:lvlJc w:val="left"/>
      <w:pPr>
        <w:ind w:left="8473" w:hanging="360"/>
      </w:pPr>
    </w:lvl>
    <w:lvl w:ilvl="5" w:tplc="0409001B" w:tentative="1">
      <w:start w:val="1"/>
      <w:numFmt w:val="lowerRoman"/>
      <w:lvlText w:val="%6."/>
      <w:lvlJc w:val="right"/>
      <w:pPr>
        <w:ind w:left="9193" w:hanging="180"/>
      </w:pPr>
    </w:lvl>
    <w:lvl w:ilvl="6" w:tplc="0409000F" w:tentative="1">
      <w:start w:val="1"/>
      <w:numFmt w:val="decimal"/>
      <w:lvlText w:val="%7."/>
      <w:lvlJc w:val="left"/>
      <w:pPr>
        <w:ind w:left="9913" w:hanging="360"/>
      </w:pPr>
    </w:lvl>
    <w:lvl w:ilvl="7" w:tplc="04090019" w:tentative="1">
      <w:start w:val="1"/>
      <w:numFmt w:val="lowerLetter"/>
      <w:lvlText w:val="%8."/>
      <w:lvlJc w:val="left"/>
      <w:pPr>
        <w:ind w:left="10633" w:hanging="360"/>
      </w:pPr>
    </w:lvl>
    <w:lvl w:ilvl="8" w:tplc="0409001B" w:tentative="1">
      <w:start w:val="1"/>
      <w:numFmt w:val="lowerRoman"/>
      <w:lvlText w:val="%9."/>
      <w:lvlJc w:val="right"/>
      <w:pPr>
        <w:ind w:left="11353" w:hanging="180"/>
      </w:pPr>
    </w:lvl>
  </w:abstractNum>
  <w:abstractNum w:abstractNumId="1">
    <w:nsid w:val="757E2D8C"/>
    <w:multiLevelType w:val="hybridMultilevel"/>
    <w:tmpl w:val="D5CA2D2E"/>
    <w:lvl w:ilvl="0" w:tplc="D40C6B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PreTradBeta|WIPONew|AT.WIPO"/>
    <w:docVar w:name="TermBaseURL" w:val="empty"/>
    <w:docVar w:name="TextBases" w:val="WorkspaceFTS\EN-FR\UPOV|UPOV\Meetings|UPOV\Other|UPOV\Publications|UPOV\Technical Guidelines"/>
    <w:docVar w:name="TextBaseURL" w:val="empty"/>
    <w:docVar w:name="UILng" w:val="en"/>
  </w:docVars>
  <w:rsids>
    <w:rsidRoot w:val="005C3F34"/>
    <w:rsid w:val="0000354E"/>
    <w:rsid w:val="00010CF3"/>
    <w:rsid w:val="00011E27"/>
    <w:rsid w:val="000148BC"/>
    <w:rsid w:val="00023E7D"/>
    <w:rsid w:val="00024AB8"/>
    <w:rsid w:val="00030854"/>
    <w:rsid w:val="00036028"/>
    <w:rsid w:val="00044642"/>
    <w:rsid w:val="000446B9"/>
    <w:rsid w:val="00046408"/>
    <w:rsid w:val="00047E21"/>
    <w:rsid w:val="00050159"/>
    <w:rsid w:val="00050E16"/>
    <w:rsid w:val="00085505"/>
    <w:rsid w:val="0009449F"/>
    <w:rsid w:val="000C7021"/>
    <w:rsid w:val="000D30AE"/>
    <w:rsid w:val="000D6BBC"/>
    <w:rsid w:val="000D7780"/>
    <w:rsid w:val="000F204E"/>
    <w:rsid w:val="000F2F11"/>
    <w:rsid w:val="00105929"/>
    <w:rsid w:val="00106921"/>
    <w:rsid w:val="00106AE4"/>
    <w:rsid w:val="001131D5"/>
    <w:rsid w:val="001164C6"/>
    <w:rsid w:val="001272D3"/>
    <w:rsid w:val="00127B05"/>
    <w:rsid w:val="00141DB8"/>
    <w:rsid w:val="00170A4D"/>
    <w:rsid w:val="001736F1"/>
    <w:rsid w:val="0017474A"/>
    <w:rsid w:val="001758C6"/>
    <w:rsid w:val="001759DD"/>
    <w:rsid w:val="00182B99"/>
    <w:rsid w:val="001D6242"/>
    <w:rsid w:val="0021332C"/>
    <w:rsid w:val="00213982"/>
    <w:rsid w:val="00216193"/>
    <w:rsid w:val="00223391"/>
    <w:rsid w:val="00241E23"/>
    <w:rsid w:val="0024416D"/>
    <w:rsid w:val="00271911"/>
    <w:rsid w:val="002800A0"/>
    <w:rsid w:val="002801B3"/>
    <w:rsid w:val="00281060"/>
    <w:rsid w:val="002940E8"/>
    <w:rsid w:val="0029739F"/>
    <w:rsid w:val="002A17B6"/>
    <w:rsid w:val="002A6E50"/>
    <w:rsid w:val="002B2BCF"/>
    <w:rsid w:val="002B4479"/>
    <w:rsid w:val="002C256A"/>
    <w:rsid w:val="002C64D7"/>
    <w:rsid w:val="002D2E1B"/>
    <w:rsid w:val="002D42EF"/>
    <w:rsid w:val="0030455C"/>
    <w:rsid w:val="00305A7F"/>
    <w:rsid w:val="003152FE"/>
    <w:rsid w:val="00327436"/>
    <w:rsid w:val="003361B7"/>
    <w:rsid w:val="003443D8"/>
    <w:rsid w:val="00344BD6"/>
    <w:rsid w:val="0035528D"/>
    <w:rsid w:val="00361821"/>
    <w:rsid w:val="00377D0F"/>
    <w:rsid w:val="003971F6"/>
    <w:rsid w:val="003A1477"/>
    <w:rsid w:val="003A2A66"/>
    <w:rsid w:val="003C2DC8"/>
    <w:rsid w:val="003C789F"/>
    <w:rsid w:val="003D227C"/>
    <w:rsid w:val="003D2B4D"/>
    <w:rsid w:val="003E4724"/>
    <w:rsid w:val="003E768F"/>
    <w:rsid w:val="003F7E71"/>
    <w:rsid w:val="00410983"/>
    <w:rsid w:val="00413DA4"/>
    <w:rsid w:val="00432944"/>
    <w:rsid w:val="00444A88"/>
    <w:rsid w:val="004471F2"/>
    <w:rsid w:val="00462C97"/>
    <w:rsid w:val="00474DA4"/>
    <w:rsid w:val="00476B4D"/>
    <w:rsid w:val="004802F4"/>
    <w:rsid w:val="004805FA"/>
    <w:rsid w:val="0049090B"/>
    <w:rsid w:val="004935D2"/>
    <w:rsid w:val="004A095F"/>
    <w:rsid w:val="004A5024"/>
    <w:rsid w:val="004A7D9D"/>
    <w:rsid w:val="004B023D"/>
    <w:rsid w:val="004B1215"/>
    <w:rsid w:val="004D047D"/>
    <w:rsid w:val="004F302C"/>
    <w:rsid w:val="004F305A"/>
    <w:rsid w:val="00504732"/>
    <w:rsid w:val="0050580C"/>
    <w:rsid w:val="0050736D"/>
    <w:rsid w:val="00512164"/>
    <w:rsid w:val="005177E8"/>
    <w:rsid w:val="00520297"/>
    <w:rsid w:val="00531C0A"/>
    <w:rsid w:val="005338F9"/>
    <w:rsid w:val="0054281C"/>
    <w:rsid w:val="0055268D"/>
    <w:rsid w:val="00556453"/>
    <w:rsid w:val="005711FD"/>
    <w:rsid w:val="00576BE4"/>
    <w:rsid w:val="005A400A"/>
    <w:rsid w:val="005B6B82"/>
    <w:rsid w:val="005C3A93"/>
    <w:rsid w:val="005C3F34"/>
    <w:rsid w:val="005D1E52"/>
    <w:rsid w:val="006101A9"/>
    <w:rsid w:val="00610D07"/>
    <w:rsid w:val="00612379"/>
    <w:rsid w:val="0061555F"/>
    <w:rsid w:val="00641200"/>
    <w:rsid w:val="00650322"/>
    <w:rsid w:val="006571BE"/>
    <w:rsid w:val="006655D3"/>
    <w:rsid w:val="00665D97"/>
    <w:rsid w:val="00667404"/>
    <w:rsid w:val="00687EB4"/>
    <w:rsid w:val="006B17D2"/>
    <w:rsid w:val="006C224E"/>
    <w:rsid w:val="006D780A"/>
    <w:rsid w:val="006E5468"/>
    <w:rsid w:val="00701547"/>
    <w:rsid w:val="00707A69"/>
    <w:rsid w:val="00727D66"/>
    <w:rsid w:val="00732DEC"/>
    <w:rsid w:val="00735BD5"/>
    <w:rsid w:val="007507E7"/>
    <w:rsid w:val="007556F6"/>
    <w:rsid w:val="00760EEF"/>
    <w:rsid w:val="00777EE5"/>
    <w:rsid w:val="007830F4"/>
    <w:rsid w:val="00784836"/>
    <w:rsid w:val="0079023E"/>
    <w:rsid w:val="007A2854"/>
    <w:rsid w:val="007A701A"/>
    <w:rsid w:val="007C11A4"/>
    <w:rsid w:val="007D0B9D"/>
    <w:rsid w:val="007D19B0"/>
    <w:rsid w:val="007F498F"/>
    <w:rsid w:val="0080679D"/>
    <w:rsid w:val="008108B0"/>
    <w:rsid w:val="00811B20"/>
    <w:rsid w:val="008155B3"/>
    <w:rsid w:val="00817C25"/>
    <w:rsid w:val="0082296E"/>
    <w:rsid w:val="00824099"/>
    <w:rsid w:val="00835958"/>
    <w:rsid w:val="00846D7C"/>
    <w:rsid w:val="00867AC1"/>
    <w:rsid w:val="00880316"/>
    <w:rsid w:val="008A743F"/>
    <w:rsid w:val="008C0970"/>
    <w:rsid w:val="008D0BC5"/>
    <w:rsid w:val="008D2CF7"/>
    <w:rsid w:val="00900C26"/>
    <w:rsid w:val="0090197F"/>
    <w:rsid w:val="00902327"/>
    <w:rsid w:val="00906DDC"/>
    <w:rsid w:val="00913B87"/>
    <w:rsid w:val="009159E1"/>
    <w:rsid w:val="009307C6"/>
    <w:rsid w:val="0093233E"/>
    <w:rsid w:val="00933B69"/>
    <w:rsid w:val="00934E09"/>
    <w:rsid w:val="00936253"/>
    <w:rsid w:val="009441A6"/>
    <w:rsid w:val="0094458C"/>
    <w:rsid w:val="00952DD4"/>
    <w:rsid w:val="00970FED"/>
    <w:rsid w:val="009748B1"/>
    <w:rsid w:val="009862B7"/>
    <w:rsid w:val="00986F13"/>
    <w:rsid w:val="00992D82"/>
    <w:rsid w:val="00997029"/>
    <w:rsid w:val="009B0414"/>
    <w:rsid w:val="009B440E"/>
    <w:rsid w:val="009C6584"/>
    <w:rsid w:val="009D690D"/>
    <w:rsid w:val="009E51D4"/>
    <w:rsid w:val="009E65B6"/>
    <w:rsid w:val="009F4CDF"/>
    <w:rsid w:val="00A02465"/>
    <w:rsid w:val="00A041D6"/>
    <w:rsid w:val="00A15565"/>
    <w:rsid w:val="00A16ABF"/>
    <w:rsid w:val="00A24C10"/>
    <w:rsid w:val="00A31842"/>
    <w:rsid w:val="00A37833"/>
    <w:rsid w:val="00A42AC3"/>
    <w:rsid w:val="00A430CF"/>
    <w:rsid w:val="00A54309"/>
    <w:rsid w:val="00AB2B93"/>
    <w:rsid w:val="00AB530F"/>
    <w:rsid w:val="00AB7E5B"/>
    <w:rsid w:val="00AC15F3"/>
    <w:rsid w:val="00AC29B7"/>
    <w:rsid w:val="00AE0EF1"/>
    <w:rsid w:val="00AE2937"/>
    <w:rsid w:val="00B07301"/>
    <w:rsid w:val="00B224DE"/>
    <w:rsid w:val="00B324D4"/>
    <w:rsid w:val="00B330C4"/>
    <w:rsid w:val="00B33862"/>
    <w:rsid w:val="00B46575"/>
    <w:rsid w:val="00B5223D"/>
    <w:rsid w:val="00B707AB"/>
    <w:rsid w:val="00B81BED"/>
    <w:rsid w:val="00B84BBD"/>
    <w:rsid w:val="00B94B5A"/>
    <w:rsid w:val="00B96C28"/>
    <w:rsid w:val="00BA43FB"/>
    <w:rsid w:val="00BA47C9"/>
    <w:rsid w:val="00BA7B59"/>
    <w:rsid w:val="00BC0E18"/>
    <w:rsid w:val="00BC127D"/>
    <w:rsid w:val="00BC1FE6"/>
    <w:rsid w:val="00BE0525"/>
    <w:rsid w:val="00BE5584"/>
    <w:rsid w:val="00C01EAE"/>
    <w:rsid w:val="00C061B6"/>
    <w:rsid w:val="00C2446C"/>
    <w:rsid w:val="00C36AE5"/>
    <w:rsid w:val="00C41F17"/>
    <w:rsid w:val="00C4610E"/>
    <w:rsid w:val="00C50321"/>
    <w:rsid w:val="00C5280D"/>
    <w:rsid w:val="00C5791C"/>
    <w:rsid w:val="00C66290"/>
    <w:rsid w:val="00C6640B"/>
    <w:rsid w:val="00C72B7A"/>
    <w:rsid w:val="00C973F2"/>
    <w:rsid w:val="00CA304C"/>
    <w:rsid w:val="00CA774A"/>
    <w:rsid w:val="00CC11B0"/>
    <w:rsid w:val="00CE4A76"/>
    <w:rsid w:val="00CE59CF"/>
    <w:rsid w:val="00CF7E36"/>
    <w:rsid w:val="00D3708D"/>
    <w:rsid w:val="00D40426"/>
    <w:rsid w:val="00D57C96"/>
    <w:rsid w:val="00D91203"/>
    <w:rsid w:val="00D95174"/>
    <w:rsid w:val="00DA2387"/>
    <w:rsid w:val="00DA6F36"/>
    <w:rsid w:val="00DB1B22"/>
    <w:rsid w:val="00DB344E"/>
    <w:rsid w:val="00DB596E"/>
    <w:rsid w:val="00DB7773"/>
    <w:rsid w:val="00DC00EA"/>
    <w:rsid w:val="00DC0CD8"/>
    <w:rsid w:val="00DE1FB7"/>
    <w:rsid w:val="00E14B9D"/>
    <w:rsid w:val="00E17DFC"/>
    <w:rsid w:val="00E32F7E"/>
    <w:rsid w:val="00E72D49"/>
    <w:rsid w:val="00E7593C"/>
    <w:rsid w:val="00E7678A"/>
    <w:rsid w:val="00E935F1"/>
    <w:rsid w:val="00E94A81"/>
    <w:rsid w:val="00EA1FFB"/>
    <w:rsid w:val="00EB048E"/>
    <w:rsid w:val="00EC1BE7"/>
    <w:rsid w:val="00ED74D3"/>
    <w:rsid w:val="00EE34DF"/>
    <w:rsid w:val="00EF2F89"/>
    <w:rsid w:val="00F107D4"/>
    <w:rsid w:val="00F1237A"/>
    <w:rsid w:val="00F22CBD"/>
    <w:rsid w:val="00F44831"/>
    <w:rsid w:val="00F45372"/>
    <w:rsid w:val="00F560F7"/>
    <w:rsid w:val="00F6334D"/>
    <w:rsid w:val="00FA49AB"/>
    <w:rsid w:val="00FD239A"/>
    <w:rsid w:val="00FD5EAC"/>
    <w:rsid w:val="00FE39C7"/>
    <w:rsid w:val="00FE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4732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C1BE7"/>
    <w:pPr>
      <w:keepLines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665D97"/>
    <w:pPr>
      <w:tabs>
        <w:tab w:val="right" w:leader="dot" w:pos="9639"/>
      </w:tabs>
      <w:spacing w:before="60"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7E71"/>
    <w:pPr>
      <w:ind w:left="720"/>
      <w:contextualSpacing/>
    </w:pPr>
  </w:style>
  <w:style w:type="table" w:styleId="TableGrid">
    <w:name w:val="Table Grid"/>
    <w:basedOn w:val="TableNormal"/>
    <w:rsid w:val="003F7E7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56453"/>
    <w:rPr>
      <w:rFonts w:ascii="Arial" w:hAnsi="Arial"/>
      <w:caps/>
    </w:rPr>
  </w:style>
  <w:style w:type="character" w:styleId="FollowedHyperlink">
    <w:name w:val="FollowedHyperlink"/>
    <w:basedOn w:val="DefaultParagraphFont"/>
    <w:rsid w:val="00106A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4732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C1BE7"/>
    <w:pPr>
      <w:keepLines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665D97"/>
    <w:pPr>
      <w:tabs>
        <w:tab w:val="right" w:leader="dot" w:pos="9639"/>
      </w:tabs>
      <w:spacing w:before="60"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7E71"/>
    <w:pPr>
      <w:ind w:left="720"/>
      <w:contextualSpacing/>
    </w:pPr>
  </w:style>
  <w:style w:type="table" w:styleId="TableGrid">
    <w:name w:val="Table Grid"/>
    <w:basedOn w:val="TableNormal"/>
    <w:rsid w:val="003F7E7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556453"/>
    <w:rPr>
      <w:rFonts w:ascii="Arial" w:hAnsi="Arial"/>
      <w:caps/>
    </w:rPr>
  </w:style>
  <w:style w:type="character" w:styleId="FollowedHyperlink">
    <w:name w:val="FollowedHyperlink"/>
    <w:basedOn w:val="DefaultParagraphFont"/>
    <w:rsid w:val="00106A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eedtest.org/en/stats_tool_box_content---1--1143.html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505B-A62A-4F0A-BF75-323A8EF8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5782</Words>
  <Characters>31570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37278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PASIEKA Allie</dc:creator>
  <cp:keywords>MHF/MP/ko</cp:keywords>
  <cp:lastModifiedBy>LONG Victoria</cp:lastModifiedBy>
  <cp:revision>15</cp:revision>
  <cp:lastPrinted>2015-02-12T10:18:00Z</cp:lastPrinted>
  <dcterms:created xsi:type="dcterms:W3CDTF">2015-02-10T15:22:00Z</dcterms:created>
  <dcterms:modified xsi:type="dcterms:W3CDTF">2015-02-12T10:18:00Z</dcterms:modified>
</cp:coreProperties>
</file>