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733856" w:rsidRPr="00BB150E" w:rsidTr="00AD076F">
        <w:trPr>
          <w:trHeight w:val="1760"/>
        </w:trPr>
        <w:tc>
          <w:tcPr>
            <w:tcW w:w="4243" w:type="dxa"/>
          </w:tcPr>
          <w:p w:rsidR="00403C30" w:rsidRPr="00733856" w:rsidRDefault="00403C30" w:rsidP="00AD076F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403C30" w:rsidRPr="00733856" w:rsidRDefault="00403C30" w:rsidP="00AD076F">
            <w:pPr>
              <w:pStyle w:val="LogoUPOV"/>
              <w:rPr>
                <w:lang w:val="fr-FR"/>
              </w:rPr>
            </w:pPr>
            <w:r w:rsidRPr="00733856">
              <w:rPr>
                <w:noProof/>
              </w:rPr>
              <w:drawing>
                <wp:inline distT="0" distB="0" distL="0" distR="0" wp14:anchorId="3DFCD4C5" wp14:editId="277B4F2D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403C30" w:rsidRPr="00733856" w:rsidRDefault="00403C30" w:rsidP="00AD076F">
            <w:pPr>
              <w:pStyle w:val="Lettrine"/>
              <w:rPr>
                <w:lang w:val="fr-FR"/>
              </w:rPr>
            </w:pPr>
            <w:r w:rsidRPr="00733856">
              <w:rPr>
                <w:lang w:val="fr-FR"/>
              </w:rPr>
              <w:t>F</w:t>
            </w:r>
          </w:p>
          <w:p w:rsidR="00403C30" w:rsidRPr="00733856" w:rsidRDefault="00403C30" w:rsidP="00AD076F">
            <w:pPr>
              <w:pStyle w:val="Docoriginal"/>
              <w:rPr>
                <w:lang w:val="fr-FR"/>
              </w:rPr>
            </w:pPr>
            <w:r w:rsidRPr="00733856">
              <w:rPr>
                <w:lang w:val="fr-FR"/>
              </w:rPr>
              <w:t>TC/51/</w:t>
            </w:r>
            <w:bookmarkStart w:id="1" w:name="Code"/>
            <w:bookmarkEnd w:id="1"/>
            <w:r w:rsidRPr="00733856">
              <w:rPr>
                <w:lang w:val="fr-FR"/>
              </w:rPr>
              <w:t>20</w:t>
            </w:r>
          </w:p>
          <w:p w:rsidR="00403C30" w:rsidRPr="00733856" w:rsidRDefault="00403C30" w:rsidP="00AD076F">
            <w:pPr>
              <w:pStyle w:val="Docoriginal"/>
              <w:rPr>
                <w:b w:val="0"/>
                <w:spacing w:val="0"/>
                <w:lang w:val="fr-FR"/>
              </w:rPr>
            </w:pPr>
            <w:r w:rsidRPr="00733856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162BE2" w:rsidRPr="00733856">
              <w:rPr>
                <w:rStyle w:val="StyleDoclangBold"/>
                <w:b/>
                <w:bCs/>
                <w:spacing w:val="0"/>
                <w:lang w:val="fr-FR"/>
              </w:rPr>
              <w:t> </w:t>
            </w:r>
            <w:r w:rsidRPr="00733856">
              <w:rPr>
                <w:rStyle w:val="StyleDoclangBold"/>
                <w:b/>
                <w:bCs/>
                <w:spacing w:val="0"/>
                <w:lang w:val="fr-FR"/>
              </w:rPr>
              <w:t>:</w:t>
            </w:r>
            <w:r w:rsidRPr="00733856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2" w:name="Original"/>
            <w:bookmarkEnd w:id="2"/>
            <w:r w:rsidRPr="00733856">
              <w:rPr>
                <w:b w:val="0"/>
                <w:spacing w:val="0"/>
                <w:lang w:val="fr-FR"/>
              </w:rPr>
              <w:t>anglais</w:t>
            </w:r>
          </w:p>
          <w:p w:rsidR="00403C30" w:rsidRPr="00733856" w:rsidRDefault="00403C30" w:rsidP="00403C30">
            <w:pPr>
              <w:pStyle w:val="Docoriginal"/>
              <w:rPr>
                <w:lang w:val="fr-FR"/>
              </w:rPr>
            </w:pPr>
            <w:r w:rsidRPr="00733856">
              <w:rPr>
                <w:spacing w:val="0"/>
                <w:lang w:val="fr-FR"/>
              </w:rPr>
              <w:t>DATE</w:t>
            </w:r>
            <w:r w:rsidR="00162BE2" w:rsidRPr="00733856">
              <w:rPr>
                <w:spacing w:val="0"/>
                <w:lang w:val="fr-FR"/>
              </w:rPr>
              <w:t> </w:t>
            </w:r>
            <w:r w:rsidRPr="00733856">
              <w:rPr>
                <w:spacing w:val="0"/>
                <w:lang w:val="fr-FR"/>
              </w:rPr>
              <w:t>:</w:t>
            </w:r>
            <w:r w:rsidRPr="00733856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3" w:name="Date"/>
            <w:bookmarkEnd w:id="3"/>
            <w:r w:rsidRPr="00BC334C">
              <w:rPr>
                <w:rStyle w:val="StyleDocoriginalNotBold1"/>
                <w:spacing w:val="0"/>
                <w:lang w:val="fr-FR"/>
              </w:rPr>
              <w:t>2</w:t>
            </w:r>
            <w:r w:rsidR="007E244E" w:rsidRPr="00BC334C">
              <w:rPr>
                <w:rStyle w:val="StyleDocoriginalNotBold1"/>
                <w:spacing w:val="0"/>
                <w:lang w:val="fr-FR"/>
              </w:rPr>
              <w:t>5 janvier</w:t>
            </w:r>
            <w:r w:rsidRPr="00BC334C">
              <w:rPr>
                <w:rStyle w:val="StyleDocoriginalNotBold1"/>
                <w:spacing w:val="0"/>
                <w:lang w:val="fr-FR"/>
              </w:rPr>
              <w:t> </w:t>
            </w:r>
            <w:r w:rsidRPr="00BC334C">
              <w:rPr>
                <w:b w:val="0"/>
                <w:spacing w:val="0"/>
                <w:lang w:val="fr-FR"/>
              </w:rPr>
              <w:t>2015</w:t>
            </w:r>
          </w:p>
        </w:tc>
      </w:tr>
      <w:tr w:rsidR="00733856" w:rsidRPr="00BB150E" w:rsidTr="00AD076F">
        <w:tc>
          <w:tcPr>
            <w:tcW w:w="10131" w:type="dxa"/>
            <w:gridSpan w:val="3"/>
          </w:tcPr>
          <w:p w:rsidR="00403C30" w:rsidRPr="00733856" w:rsidRDefault="00403C30" w:rsidP="00AD076F">
            <w:pPr>
              <w:pStyle w:val="upove"/>
              <w:rPr>
                <w:sz w:val="28"/>
                <w:lang w:val="fr-FR"/>
              </w:rPr>
            </w:pPr>
            <w:r w:rsidRPr="00733856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733856" w:rsidRPr="00733856" w:rsidTr="00AD076F">
        <w:tc>
          <w:tcPr>
            <w:tcW w:w="10131" w:type="dxa"/>
            <w:gridSpan w:val="3"/>
          </w:tcPr>
          <w:p w:rsidR="00403C30" w:rsidRPr="00733856" w:rsidRDefault="00403C30" w:rsidP="00AD076F">
            <w:pPr>
              <w:pStyle w:val="Country"/>
              <w:rPr>
                <w:lang w:val="fr-FR"/>
              </w:rPr>
            </w:pPr>
            <w:r w:rsidRPr="00733856">
              <w:rPr>
                <w:lang w:val="fr-FR"/>
              </w:rPr>
              <w:t>Genève</w:t>
            </w:r>
          </w:p>
        </w:tc>
      </w:tr>
    </w:tbl>
    <w:p w:rsidR="00403C30" w:rsidRPr="00733856" w:rsidRDefault="00403C30" w:rsidP="00403C30">
      <w:pPr>
        <w:pStyle w:val="Sessiontc"/>
        <w:rPr>
          <w:lang w:val="fr-FR"/>
        </w:rPr>
      </w:pPr>
      <w:r w:rsidRPr="00733856">
        <w:rPr>
          <w:lang w:val="fr-FR"/>
        </w:rPr>
        <w:t>Comité TECHNIQUE</w:t>
      </w:r>
    </w:p>
    <w:p w:rsidR="00403C30" w:rsidRPr="00733856" w:rsidRDefault="00403C30" w:rsidP="00403C30">
      <w:pPr>
        <w:pStyle w:val="Sessiontcplacedate"/>
        <w:rPr>
          <w:lang w:val="fr-FR"/>
        </w:rPr>
      </w:pPr>
      <w:r w:rsidRPr="00733856">
        <w:rPr>
          <w:lang w:val="fr-FR"/>
        </w:rPr>
        <w:t xml:space="preserve">Cinquante et unième session </w:t>
      </w:r>
      <w:r w:rsidRPr="00733856">
        <w:rPr>
          <w:lang w:val="fr-FR"/>
        </w:rPr>
        <w:br/>
        <w:t xml:space="preserve">Genève, </w:t>
      </w:r>
      <w:r w:rsidR="00DC0799">
        <w:rPr>
          <w:lang w:val="fr-FR"/>
        </w:rPr>
        <w:t>23–</w:t>
      </w:r>
      <w:r w:rsidRPr="00733856">
        <w:rPr>
          <w:lang w:val="fr-FR"/>
        </w:rPr>
        <w:t>2</w:t>
      </w:r>
      <w:r w:rsidR="007E244E" w:rsidRPr="00733856">
        <w:rPr>
          <w:lang w:val="fr-FR"/>
        </w:rPr>
        <w:t>5 mars 20</w:t>
      </w:r>
      <w:r w:rsidRPr="00733856">
        <w:rPr>
          <w:lang w:val="fr-FR"/>
        </w:rPr>
        <w:t>15</w:t>
      </w:r>
    </w:p>
    <w:p w:rsidR="00B75F48" w:rsidRPr="00733856" w:rsidRDefault="00403C30" w:rsidP="006655D3">
      <w:pPr>
        <w:pStyle w:val="Titleofdoc0"/>
        <w:rPr>
          <w:lang w:val="fr-FR"/>
        </w:rPr>
      </w:pPr>
      <w:r w:rsidRPr="00733856">
        <w:rPr>
          <w:rFonts w:cs="Arial"/>
          <w:lang w:val="fr-FR"/>
        </w:rPr>
        <w:t>Ré</w:t>
      </w:r>
      <w:r w:rsidR="00E93231" w:rsidRPr="00733856">
        <w:rPr>
          <w:rFonts w:cs="Arial"/>
          <w:lang w:val="fr-FR"/>
        </w:rPr>
        <w:t xml:space="preserve">vision </w:t>
      </w:r>
      <w:r w:rsidRPr="00733856">
        <w:rPr>
          <w:rFonts w:cs="Arial"/>
          <w:lang w:val="fr-FR"/>
        </w:rPr>
        <w:t>du</w:t>
      </w:r>
      <w:r w:rsidR="00E93231" w:rsidRPr="00733856">
        <w:rPr>
          <w:rFonts w:cs="Arial"/>
          <w:lang w:val="fr-FR"/>
        </w:rPr>
        <w:t xml:space="preserve"> document TGP/8</w:t>
      </w:r>
      <w:r w:rsidRPr="00733856">
        <w:rPr>
          <w:rFonts w:cs="Arial"/>
          <w:lang w:val="fr-FR"/>
        </w:rPr>
        <w:t> </w:t>
      </w:r>
      <w:r w:rsidR="00E93231" w:rsidRPr="00733856">
        <w:rPr>
          <w:rFonts w:cs="Arial"/>
          <w:lang w:val="fr-FR"/>
        </w:rPr>
        <w:t>:</w:t>
      </w:r>
      <w:r w:rsidR="00D51394" w:rsidRPr="00733856">
        <w:rPr>
          <w:rFonts w:cs="Arial"/>
          <w:lang w:val="fr-FR"/>
        </w:rPr>
        <w:t xml:space="preserve"> </w:t>
      </w:r>
      <w:r w:rsidR="00D9519C" w:rsidRPr="00733856">
        <w:rPr>
          <w:rFonts w:cs="Arial"/>
          <w:lang w:val="fr-FR"/>
        </w:rPr>
        <w:t>deuxième partie</w:t>
      </w:r>
      <w:r w:rsidRPr="00733856">
        <w:rPr>
          <w:rFonts w:cs="Arial"/>
          <w:lang w:val="fr-FR"/>
        </w:rPr>
        <w:t> </w:t>
      </w:r>
      <w:r w:rsidR="00E93231" w:rsidRPr="00733856">
        <w:rPr>
          <w:rFonts w:cs="Arial"/>
          <w:lang w:val="fr-FR"/>
        </w:rPr>
        <w:t>:</w:t>
      </w:r>
      <w:r w:rsidR="00D51394" w:rsidRPr="00733856">
        <w:rPr>
          <w:rFonts w:cs="Arial"/>
          <w:lang w:val="fr-FR"/>
        </w:rPr>
        <w:t xml:space="preserve"> </w:t>
      </w:r>
      <w:r w:rsidR="008D5F1B" w:rsidRPr="00733856">
        <w:rPr>
          <w:rFonts w:cs="Arial"/>
          <w:lang w:val="fr-FR"/>
        </w:rPr>
        <w:br/>
      </w:r>
      <w:r w:rsidR="00D9519C" w:rsidRPr="00733856">
        <w:rPr>
          <w:rFonts w:cs="Arial"/>
          <w:lang w:val="fr-FR"/>
        </w:rPr>
        <w:t>techniques utilisées dans l</w:t>
      </w:r>
      <w:r w:rsidR="007E244E" w:rsidRPr="00733856">
        <w:rPr>
          <w:rFonts w:cs="Arial"/>
          <w:lang w:val="fr-FR"/>
        </w:rPr>
        <w:t>’</w:t>
      </w:r>
      <w:r w:rsidR="00D9519C" w:rsidRPr="00733856">
        <w:rPr>
          <w:rFonts w:cs="Arial"/>
          <w:lang w:val="fr-FR"/>
        </w:rPr>
        <w:t>examen dhs</w:t>
      </w:r>
      <w:proofErr w:type="gramStart"/>
      <w:r w:rsidR="00D51394" w:rsidRPr="00733856">
        <w:rPr>
          <w:rFonts w:cs="Arial"/>
          <w:lang w:val="fr-FR"/>
        </w:rPr>
        <w:t>,</w:t>
      </w:r>
      <w:proofErr w:type="gramEnd"/>
      <w:r w:rsidR="00D51394" w:rsidRPr="00733856">
        <w:rPr>
          <w:rFonts w:cs="Arial"/>
          <w:lang w:val="fr-FR"/>
        </w:rPr>
        <w:br/>
      </w:r>
      <w:r w:rsidR="00E93231" w:rsidRPr="00733856">
        <w:rPr>
          <w:rFonts w:cs="Arial"/>
          <w:lang w:val="fr-FR"/>
        </w:rPr>
        <w:t>N</w:t>
      </w:r>
      <w:r w:rsidR="00D9519C" w:rsidRPr="00733856">
        <w:rPr>
          <w:rFonts w:cs="Arial"/>
          <w:lang w:val="fr-FR"/>
        </w:rPr>
        <w:t>ouvelle</w:t>
      </w:r>
      <w:r w:rsidR="00E93231" w:rsidRPr="00733856">
        <w:rPr>
          <w:rFonts w:cs="Arial"/>
          <w:lang w:val="fr-FR"/>
        </w:rPr>
        <w:t> Section</w:t>
      </w:r>
      <w:r w:rsidR="00D9519C" w:rsidRPr="00733856">
        <w:rPr>
          <w:rFonts w:cs="Arial"/>
          <w:lang w:val="fr-FR"/>
        </w:rPr>
        <w:t> </w:t>
      </w:r>
      <w:r w:rsidR="00E93231" w:rsidRPr="00733856">
        <w:rPr>
          <w:rFonts w:cs="Arial"/>
          <w:lang w:val="fr-FR"/>
        </w:rPr>
        <w:t xml:space="preserve">: </w:t>
      </w:r>
      <w:r w:rsidR="00D9519C" w:rsidRPr="00733856">
        <w:rPr>
          <w:rFonts w:cs="Arial"/>
          <w:lang w:val="fr-FR"/>
        </w:rPr>
        <w:t xml:space="preserve">indications aux fins des essais </w:t>
      </w:r>
      <w:r w:rsidR="00D50187" w:rsidRPr="00733856">
        <w:rPr>
          <w:rFonts w:cs="Arial"/>
          <w:lang w:val="fr-FR"/>
        </w:rPr>
        <w:t xml:space="preserve">aveugles </w:t>
      </w:r>
      <w:r w:rsidR="00D9519C" w:rsidRPr="00733856">
        <w:rPr>
          <w:rFonts w:cs="Arial"/>
          <w:lang w:val="fr-FR"/>
        </w:rPr>
        <w:t>aléatoires</w:t>
      </w:r>
    </w:p>
    <w:p w:rsidR="00B75F48" w:rsidRPr="00733856" w:rsidRDefault="003105CC" w:rsidP="00767120">
      <w:pPr>
        <w:pStyle w:val="preparedby1"/>
        <w:rPr>
          <w:lang w:val="fr-FR"/>
        </w:rPr>
      </w:pPr>
      <w:bookmarkStart w:id="4" w:name="Prepared"/>
      <w:bookmarkEnd w:id="4"/>
      <w:r w:rsidRPr="00733856">
        <w:rPr>
          <w:lang w:val="fr-FR"/>
        </w:rPr>
        <w:t>Document établi par le Bureau de l</w:t>
      </w:r>
      <w:r w:rsidR="007E244E" w:rsidRPr="00733856">
        <w:rPr>
          <w:lang w:val="fr-FR"/>
        </w:rPr>
        <w:t>’</w:t>
      </w:r>
      <w:r w:rsidRPr="00733856">
        <w:rPr>
          <w:lang w:val="fr-FR"/>
        </w:rPr>
        <w:t>Union</w:t>
      </w:r>
      <w:r w:rsidRPr="00733856">
        <w:rPr>
          <w:lang w:val="fr-FR"/>
        </w:rPr>
        <w:br/>
      </w:r>
      <w:r w:rsidRPr="00733856">
        <w:rPr>
          <w:lang w:val="fr-FR"/>
        </w:rPr>
        <w:br/>
      </w:r>
      <w:r w:rsidRPr="00D9319B">
        <w:rPr>
          <w:color w:val="A6A6A6" w:themeColor="background1" w:themeShade="A6"/>
          <w:lang w:val="fr-CH"/>
        </w:rPr>
        <w:t>Avertissement : le présent document ne représente pas les principes ou les orientations de l</w:t>
      </w:r>
      <w:r w:rsidR="007E244E" w:rsidRPr="00D9319B">
        <w:rPr>
          <w:color w:val="A6A6A6" w:themeColor="background1" w:themeShade="A6"/>
          <w:lang w:val="fr-CH"/>
        </w:rPr>
        <w:t>’</w:t>
      </w:r>
      <w:r w:rsidRPr="00D9319B">
        <w:rPr>
          <w:color w:val="A6A6A6" w:themeColor="background1" w:themeShade="A6"/>
          <w:lang w:val="fr-CH"/>
        </w:rPr>
        <w:t>UPOV</w:t>
      </w:r>
    </w:p>
    <w:p w:rsidR="00B75F48" w:rsidRPr="00733856" w:rsidRDefault="004B4303" w:rsidP="004B4303">
      <w:pPr>
        <w:rPr>
          <w:rFonts w:cs="Arial"/>
          <w:lang w:val="fr-FR" w:eastAsia="ja-JP"/>
        </w:rPr>
      </w:pPr>
      <w:r w:rsidRPr="00733856">
        <w:rPr>
          <w:rFonts w:cs="Arial"/>
          <w:lang w:val="fr-FR" w:eastAsia="ja-JP"/>
        </w:rPr>
        <w:fldChar w:fldCharType="begin"/>
      </w:r>
      <w:r w:rsidRPr="00733856">
        <w:rPr>
          <w:rFonts w:cs="Arial"/>
          <w:lang w:val="fr-FR" w:eastAsia="ja-JP"/>
        </w:rPr>
        <w:instrText xml:space="preserve"> AUTONUM  </w:instrText>
      </w:r>
      <w:r w:rsidRPr="00733856">
        <w:rPr>
          <w:rFonts w:cs="Arial"/>
          <w:lang w:val="fr-FR" w:eastAsia="ja-JP"/>
        </w:rPr>
        <w:fldChar w:fldCharType="end"/>
      </w:r>
      <w:r w:rsidRPr="00733856">
        <w:rPr>
          <w:rFonts w:cs="Arial"/>
          <w:lang w:val="fr-FR" w:eastAsia="ja-JP"/>
        </w:rPr>
        <w:tab/>
      </w:r>
      <w:r w:rsidR="00D9519C" w:rsidRPr="00733856">
        <w:rPr>
          <w:rFonts w:cs="Arial"/>
          <w:lang w:val="fr-FR" w:eastAsia="ja-JP"/>
        </w:rPr>
        <w:t>Le présent document a pour objet de présenter une proposition relative à l</w:t>
      </w:r>
      <w:r w:rsidR="007E244E" w:rsidRPr="00733856">
        <w:rPr>
          <w:rFonts w:cs="Arial"/>
          <w:lang w:val="fr-FR" w:eastAsia="ja-JP"/>
        </w:rPr>
        <w:t>’</w:t>
      </w:r>
      <w:r w:rsidR="00D9519C" w:rsidRPr="00733856">
        <w:rPr>
          <w:rFonts w:cs="Arial"/>
          <w:lang w:val="fr-FR" w:eastAsia="ja-JP"/>
        </w:rPr>
        <w:t>élaboration d</w:t>
      </w:r>
      <w:r w:rsidR="007E244E" w:rsidRPr="00733856">
        <w:rPr>
          <w:rFonts w:cs="Arial"/>
          <w:lang w:val="fr-FR" w:eastAsia="ja-JP"/>
        </w:rPr>
        <w:t>’</w:t>
      </w:r>
      <w:r w:rsidR="00D9519C" w:rsidRPr="00733856">
        <w:rPr>
          <w:rFonts w:cs="Arial"/>
          <w:lang w:val="fr-FR" w:eastAsia="ja-JP"/>
        </w:rPr>
        <w:t xml:space="preserve">indications aux fins des essais </w:t>
      </w:r>
      <w:r w:rsidR="00D50187" w:rsidRPr="00733856">
        <w:rPr>
          <w:rFonts w:cs="Arial"/>
          <w:lang w:val="fr-FR" w:eastAsia="ja-JP"/>
        </w:rPr>
        <w:t xml:space="preserve">aveugles </w:t>
      </w:r>
      <w:r w:rsidR="00D9519C" w:rsidRPr="00733856">
        <w:rPr>
          <w:rFonts w:cs="Arial"/>
          <w:lang w:val="fr-FR" w:eastAsia="ja-JP"/>
        </w:rPr>
        <w:t>aléatoires qui serait incorporée dans une future version révisée du document</w:t>
      </w:r>
      <w:r w:rsidRPr="00733856">
        <w:rPr>
          <w:rFonts w:cs="Arial"/>
          <w:lang w:val="fr-FR" w:eastAsia="ja-JP"/>
        </w:rPr>
        <w:t xml:space="preserve"> TGP/8</w:t>
      </w:r>
      <w:r w:rsidRPr="00733856">
        <w:rPr>
          <w:lang w:val="fr-FR"/>
        </w:rPr>
        <w:t>.</w:t>
      </w:r>
    </w:p>
    <w:p w:rsidR="00B75F48" w:rsidRPr="00733856" w:rsidRDefault="00B75F48" w:rsidP="004B4303">
      <w:pPr>
        <w:rPr>
          <w:rFonts w:cs="Arial"/>
          <w:lang w:val="fr-FR" w:eastAsia="ja-JP"/>
        </w:rPr>
      </w:pPr>
    </w:p>
    <w:p w:rsidR="00B75F48" w:rsidRPr="00733856" w:rsidRDefault="004B4303" w:rsidP="00B75F48">
      <w:pPr>
        <w:rPr>
          <w:rFonts w:cs="Arial"/>
          <w:lang w:val="fr-FR"/>
        </w:rPr>
      </w:pPr>
      <w:r w:rsidRPr="00733856">
        <w:rPr>
          <w:rFonts w:cs="Arial"/>
          <w:lang w:val="fr-FR"/>
        </w:rPr>
        <w:fldChar w:fldCharType="begin"/>
      </w:r>
      <w:r w:rsidRPr="00733856">
        <w:rPr>
          <w:rFonts w:cs="Arial"/>
          <w:lang w:val="fr-FR"/>
        </w:rPr>
        <w:instrText xml:space="preserve"> AUTONUM  </w:instrText>
      </w:r>
      <w:r w:rsidRPr="00733856">
        <w:rPr>
          <w:rFonts w:cs="Arial"/>
          <w:lang w:val="fr-FR"/>
        </w:rPr>
        <w:fldChar w:fldCharType="end"/>
      </w:r>
      <w:r w:rsidRPr="00733856">
        <w:rPr>
          <w:rFonts w:cs="Arial"/>
          <w:lang w:val="fr-FR"/>
        </w:rPr>
        <w:tab/>
      </w:r>
      <w:r w:rsidR="00B75F48" w:rsidRPr="00733856">
        <w:rPr>
          <w:rFonts w:cs="Arial"/>
          <w:lang w:val="fr-FR"/>
        </w:rPr>
        <w:t>Les abréviations ci</w:t>
      </w:r>
      <w:r w:rsidR="008D5F1B" w:rsidRPr="00733856">
        <w:rPr>
          <w:rFonts w:cs="Arial"/>
          <w:lang w:val="fr-FR"/>
        </w:rPr>
        <w:noBreakHyphen/>
      </w:r>
      <w:r w:rsidR="00B75F48" w:rsidRPr="00733856">
        <w:rPr>
          <w:rFonts w:cs="Arial"/>
          <w:lang w:val="fr-FR"/>
        </w:rPr>
        <w:t>après sont utilisées dans le présent document :</w:t>
      </w:r>
    </w:p>
    <w:p w:rsidR="00B75F48" w:rsidRPr="00733856" w:rsidRDefault="00B75F48" w:rsidP="004B4303">
      <w:pPr>
        <w:rPr>
          <w:rFonts w:cs="Arial"/>
          <w:lang w:val="fr-FR"/>
        </w:rPr>
      </w:pPr>
    </w:p>
    <w:p w:rsidR="00B75F48" w:rsidRPr="00733856" w:rsidRDefault="004B4303" w:rsidP="00B75F48">
      <w:pPr>
        <w:rPr>
          <w:rFonts w:cs="Arial"/>
          <w:lang w:val="fr-FR"/>
        </w:rPr>
      </w:pPr>
      <w:r w:rsidRPr="00733856">
        <w:rPr>
          <w:rFonts w:cs="Arial"/>
          <w:lang w:val="fr-FR"/>
        </w:rPr>
        <w:tab/>
      </w:r>
      <w:r w:rsidR="00B75F48" w:rsidRPr="00733856">
        <w:rPr>
          <w:rFonts w:cs="Arial"/>
          <w:lang w:val="fr-FR"/>
        </w:rPr>
        <w:t>TC</w:t>
      </w:r>
      <w:r w:rsidR="00162BE2" w:rsidRPr="00733856">
        <w:rPr>
          <w:rFonts w:cs="Arial"/>
          <w:lang w:val="fr-FR"/>
        </w:rPr>
        <w:t> :</w:t>
      </w:r>
      <w:r w:rsidR="00B75F48" w:rsidRPr="00733856">
        <w:rPr>
          <w:rFonts w:cs="Arial"/>
          <w:lang w:val="fr-FR"/>
        </w:rPr>
        <w:t xml:space="preserve"> </w:t>
      </w:r>
      <w:r w:rsidR="00403C30" w:rsidRPr="00733856">
        <w:rPr>
          <w:rFonts w:cs="Arial"/>
          <w:lang w:val="fr-FR"/>
        </w:rPr>
        <w:tab/>
      </w:r>
      <w:r w:rsidR="00403C30" w:rsidRPr="00733856">
        <w:rPr>
          <w:rFonts w:cs="Arial"/>
          <w:lang w:val="fr-FR"/>
        </w:rPr>
        <w:tab/>
      </w:r>
      <w:r w:rsidR="00B75F48" w:rsidRPr="00733856">
        <w:rPr>
          <w:rFonts w:cs="Arial"/>
          <w:lang w:val="fr-FR"/>
        </w:rPr>
        <w:t>Comité technique</w:t>
      </w:r>
    </w:p>
    <w:p w:rsidR="00B75F48" w:rsidRPr="00733856" w:rsidRDefault="004B4303" w:rsidP="00B75F48">
      <w:pPr>
        <w:rPr>
          <w:rFonts w:eastAsia="PMingLiU" w:cs="Arial"/>
          <w:szCs w:val="24"/>
          <w:lang w:val="fr-FR"/>
        </w:rPr>
      </w:pPr>
      <w:r w:rsidRPr="00733856">
        <w:rPr>
          <w:rFonts w:eastAsia="PMingLiU" w:cs="Arial"/>
          <w:szCs w:val="24"/>
          <w:lang w:val="fr-FR"/>
        </w:rPr>
        <w:tab/>
      </w:r>
      <w:r w:rsidR="00B75F48" w:rsidRPr="00733856">
        <w:rPr>
          <w:rFonts w:eastAsia="PMingLiU" w:cs="Arial"/>
          <w:szCs w:val="24"/>
          <w:lang w:val="fr-FR"/>
        </w:rPr>
        <w:t>TC</w:t>
      </w:r>
      <w:r w:rsidR="008D5F1B" w:rsidRPr="00733856">
        <w:rPr>
          <w:rFonts w:eastAsia="PMingLiU" w:cs="Arial"/>
          <w:szCs w:val="24"/>
          <w:lang w:val="fr-FR"/>
        </w:rPr>
        <w:noBreakHyphen/>
      </w:r>
      <w:r w:rsidR="00B75F48" w:rsidRPr="00733856">
        <w:rPr>
          <w:rFonts w:eastAsia="PMingLiU" w:cs="Arial"/>
          <w:szCs w:val="24"/>
          <w:lang w:val="fr-FR"/>
        </w:rPr>
        <w:t>EDC</w:t>
      </w:r>
      <w:r w:rsidR="00162BE2" w:rsidRPr="00733856">
        <w:rPr>
          <w:rFonts w:eastAsia="PMingLiU" w:cs="Arial"/>
          <w:szCs w:val="24"/>
          <w:lang w:val="fr-FR"/>
        </w:rPr>
        <w:t xml:space="preserve"> : </w:t>
      </w:r>
      <w:r w:rsidR="00403C30" w:rsidRPr="00733856">
        <w:rPr>
          <w:rFonts w:eastAsia="PMingLiU" w:cs="Arial"/>
          <w:szCs w:val="24"/>
          <w:lang w:val="fr-FR"/>
        </w:rPr>
        <w:tab/>
      </w:r>
      <w:r w:rsidR="00B75F48" w:rsidRPr="00733856">
        <w:rPr>
          <w:rFonts w:eastAsia="PMingLiU" w:cs="Arial"/>
          <w:szCs w:val="24"/>
          <w:lang w:val="fr-FR"/>
        </w:rPr>
        <w:t>Comité de rédaction élargi</w:t>
      </w:r>
    </w:p>
    <w:p w:rsidR="00B75F48" w:rsidRPr="00733856" w:rsidRDefault="004B4303" w:rsidP="00B75F48">
      <w:pPr>
        <w:rPr>
          <w:rFonts w:eastAsia="PMingLiU" w:cs="Arial"/>
          <w:szCs w:val="24"/>
          <w:lang w:val="fr-FR"/>
        </w:rPr>
      </w:pPr>
      <w:r w:rsidRPr="00733856">
        <w:rPr>
          <w:rFonts w:eastAsia="PMingLiU" w:cs="Arial"/>
          <w:szCs w:val="24"/>
          <w:lang w:val="fr-FR"/>
        </w:rPr>
        <w:tab/>
      </w:r>
      <w:r w:rsidR="00B75F48" w:rsidRPr="00733856">
        <w:rPr>
          <w:rFonts w:eastAsia="PMingLiU" w:cs="Arial"/>
          <w:szCs w:val="24"/>
          <w:lang w:val="fr-FR"/>
        </w:rPr>
        <w:t>TWA</w:t>
      </w:r>
      <w:r w:rsidR="00162BE2" w:rsidRPr="00733856">
        <w:rPr>
          <w:rFonts w:eastAsia="PMingLiU" w:cs="Arial"/>
          <w:szCs w:val="24"/>
          <w:lang w:val="fr-FR"/>
        </w:rPr>
        <w:t> :</w:t>
      </w:r>
      <w:r w:rsidR="00B75F48" w:rsidRPr="00733856">
        <w:rPr>
          <w:rFonts w:eastAsia="PMingLiU" w:cs="Arial"/>
          <w:szCs w:val="24"/>
          <w:lang w:val="fr-FR"/>
        </w:rPr>
        <w:t xml:space="preserve"> </w:t>
      </w:r>
      <w:r w:rsidR="00403C30" w:rsidRPr="00733856">
        <w:rPr>
          <w:rFonts w:eastAsia="PMingLiU" w:cs="Arial"/>
          <w:szCs w:val="24"/>
          <w:lang w:val="fr-FR"/>
        </w:rPr>
        <w:tab/>
      </w:r>
      <w:r w:rsidR="00B75F48" w:rsidRPr="00733856">
        <w:rPr>
          <w:rFonts w:eastAsia="PMingLiU" w:cs="Arial"/>
          <w:szCs w:val="24"/>
          <w:lang w:val="fr-FR"/>
        </w:rPr>
        <w:t>Groupe de travail technique sur les plantes agricoles</w:t>
      </w:r>
    </w:p>
    <w:p w:rsidR="00B75F48" w:rsidRPr="00733856" w:rsidRDefault="00B75F48" w:rsidP="00403C30">
      <w:pPr>
        <w:ind w:left="1692" w:hanging="1125"/>
        <w:rPr>
          <w:rFonts w:eastAsia="PMingLiU" w:cs="Arial"/>
          <w:szCs w:val="24"/>
          <w:lang w:val="fr-FR"/>
        </w:rPr>
      </w:pPr>
      <w:r w:rsidRPr="00733856">
        <w:rPr>
          <w:rFonts w:eastAsia="PMingLiU" w:cs="Arial"/>
          <w:szCs w:val="24"/>
          <w:lang w:val="fr-FR"/>
        </w:rPr>
        <w:t>TWC</w:t>
      </w:r>
      <w:r w:rsidR="00162BE2" w:rsidRPr="00733856">
        <w:rPr>
          <w:rFonts w:eastAsia="PMingLiU" w:cs="Arial"/>
          <w:szCs w:val="24"/>
          <w:lang w:val="fr-FR"/>
        </w:rPr>
        <w:t> :</w:t>
      </w:r>
      <w:r w:rsidRPr="00733856">
        <w:rPr>
          <w:rFonts w:eastAsia="PMingLiU" w:cs="Arial"/>
          <w:szCs w:val="24"/>
          <w:lang w:val="fr-FR"/>
        </w:rPr>
        <w:t xml:space="preserve"> </w:t>
      </w:r>
      <w:r w:rsidR="00403C30" w:rsidRPr="00733856">
        <w:rPr>
          <w:rFonts w:eastAsia="PMingLiU" w:cs="Arial"/>
          <w:szCs w:val="24"/>
          <w:lang w:val="fr-FR"/>
        </w:rPr>
        <w:tab/>
      </w:r>
      <w:r w:rsidRPr="00733856">
        <w:rPr>
          <w:rFonts w:eastAsia="PMingLiU" w:cs="Arial"/>
          <w:szCs w:val="24"/>
          <w:lang w:val="fr-FR"/>
        </w:rPr>
        <w:t>Groupe de travail technique sur les systèmes d</w:t>
      </w:r>
      <w:r w:rsidR="007E244E" w:rsidRPr="00733856">
        <w:rPr>
          <w:rFonts w:eastAsia="PMingLiU" w:cs="Arial"/>
          <w:szCs w:val="24"/>
          <w:lang w:val="fr-FR"/>
        </w:rPr>
        <w:t>’</w:t>
      </w:r>
      <w:r w:rsidRPr="00733856">
        <w:rPr>
          <w:rFonts w:eastAsia="PMingLiU" w:cs="Arial"/>
          <w:szCs w:val="24"/>
          <w:lang w:val="fr-FR"/>
        </w:rPr>
        <w:t>automatisation et les programmes d</w:t>
      </w:r>
      <w:r w:rsidR="007E244E" w:rsidRPr="00733856">
        <w:rPr>
          <w:rFonts w:eastAsia="PMingLiU" w:cs="Arial"/>
          <w:szCs w:val="24"/>
          <w:lang w:val="fr-FR"/>
        </w:rPr>
        <w:t>’</w:t>
      </w:r>
      <w:r w:rsidRPr="00733856">
        <w:rPr>
          <w:rFonts w:eastAsia="PMingLiU" w:cs="Arial"/>
          <w:szCs w:val="24"/>
          <w:lang w:val="fr-FR"/>
        </w:rPr>
        <w:t>ordinateur</w:t>
      </w:r>
    </w:p>
    <w:p w:rsidR="00B75F48" w:rsidRPr="00733856" w:rsidRDefault="004B4303" w:rsidP="00B75F48">
      <w:pPr>
        <w:rPr>
          <w:rFonts w:eastAsia="PMingLiU" w:cs="Arial"/>
          <w:szCs w:val="24"/>
          <w:lang w:val="fr-FR"/>
        </w:rPr>
      </w:pPr>
      <w:r w:rsidRPr="00733856">
        <w:rPr>
          <w:rFonts w:eastAsia="PMingLiU" w:cs="Arial"/>
          <w:szCs w:val="24"/>
          <w:lang w:val="fr-FR"/>
        </w:rPr>
        <w:tab/>
      </w:r>
      <w:r w:rsidR="00B75F48" w:rsidRPr="00733856">
        <w:rPr>
          <w:rFonts w:eastAsia="PMingLiU" w:cs="Arial"/>
          <w:szCs w:val="24"/>
          <w:lang w:val="fr-FR"/>
        </w:rPr>
        <w:t>TWF</w:t>
      </w:r>
      <w:r w:rsidR="00162BE2" w:rsidRPr="00733856">
        <w:rPr>
          <w:rFonts w:eastAsia="PMingLiU" w:cs="Arial"/>
          <w:szCs w:val="24"/>
          <w:lang w:val="fr-FR"/>
        </w:rPr>
        <w:t> </w:t>
      </w:r>
      <w:r w:rsidR="00B75F48" w:rsidRPr="00733856">
        <w:rPr>
          <w:rFonts w:eastAsia="PMingLiU" w:cs="Arial"/>
          <w:szCs w:val="24"/>
          <w:lang w:val="fr-FR"/>
        </w:rPr>
        <w:t xml:space="preserve">: </w:t>
      </w:r>
      <w:r w:rsidR="00403C30" w:rsidRPr="00733856">
        <w:rPr>
          <w:rFonts w:eastAsia="PMingLiU" w:cs="Arial"/>
          <w:szCs w:val="24"/>
          <w:lang w:val="fr-FR"/>
        </w:rPr>
        <w:tab/>
      </w:r>
      <w:r w:rsidR="00B75F48" w:rsidRPr="00733856">
        <w:rPr>
          <w:rFonts w:eastAsia="PMingLiU" w:cs="Arial"/>
          <w:szCs w:val="24"/>
          <w:lang w:val="fr-FR"/>
        </w:rPr>
        <w:t>Groupe de travail technique sur les plantes fruitières</w:t>
      </w:r>
    </w:p>
    <w:p w:rsidR="00B75F48" w:rsidRPr="00733856" w:rsidRDefault="004B4303" w:rsidP="00B75F48">
      <w:pPr>
        <w:rPr>
          <w:rFonts w:eastAsia="PMingLiU" w:cs="Arial"/>
          <w:szCs w:val="24"/>
          <w:lang w:val="fr-FR"/>
        </w:rPr>
      </w:pPr>
      <w:r w:rsidRPr="00733856">
        <w:rPr>
          <w:rFonts w:eastAsia="PMingLiU" w:cs="Arial"/>
          <w:szCs w:val="24"/>
          <w:lang w:val="fr-FR"/>
        </w:rPr>
        <w:tab/>
      </w:r>
      <w:r w:rsidR="00403C30" w:rsidRPr="00733856">
        <w:rPr>
          <w:rFonts w:eastAsia="PMingLiU" w:cs="Arial"/>
          <w:szCs w:val="24"/>
          <w:lang w:val="fr-FR"/>
        </w:rPr>
        <w:t>TWO :</w:t>
      </w:r>
      <w:r w:rsidR="00162BE2" w:rsidRPr="00733856">
        <w:rPr>
          <w:rFonts w:eastAsia="PMingLiU" w:cs="Arial"/>
          <w:szCs w:val="24"/>
          <w:lang w:val="fr-FR"/>
        </w:rPr>
        <w:t xml:space="preserve"> </w:t>
      </w:r>
      <w:r w:rsidR="00403C30" w:rsidRPr="00733856">
        <w:rPr>
          <w:rFonts w:eastAsia="PMingLiU" w:cs="Arial"/>
          <w:szCs w:val="24"/>
          <w:lang w:val="fr-FR"/>
        </w:rPr>
        <w:tab/>
      </w:r>
      <w:r w:rsidR="00B75F48" w:rsidRPr="00733856">
        <w:rPr>
          <w:rFonts w:eastAsia="PMingLiU" w:cs="Arial"/>
          <w:szCs w:val="24"/>
          <w:lang w:val="fr-FR"/>
        </w:rPr>
        <w:t>Groupe de travail technique sur les plantes ornementales et les arbres forestiers</w:t>
      </w:r>
    </w:p>
    <w:p w:rsidR="00B75F48" w:rsidRPr="00733856" w:rsidRDefault="004B4303" w:rsidP="00B75F48">
      <w:pPr>
        <w:rPr>
          <w:rFonts w:eastAsia="PMingLiU" w:cs="Arial"/>
          <w:szCs w:val="24"/>
          <w:lang w:val="fr-FR"/>
        </w:rPr>
      </w:pPr>
      <w:r w:rsidRPr="00733856">
        <w:rPr>
          <w:rFonts w:eastAsia="PMingLiU" w:cs="Arial"/>
          <w:szCs w:val="24"/>
          <w:lang w:val="fr-FR"/>
        </w:rPr>
        <w:tab/>
      </w:r>
      <w:r w:rsidR="00B75F48" w:rsidRPr="00733856">
        <w:rPr>
          <w:rFonts w:eastAsia="PMingLiU" w:cs="Arial"/>
          <w:szCs w:val="24"/>
          <w:lang w:val="fr-FR"/>
        </w:rPr>
        <w:t>TWP</w:t>
      </w:r>
      <w:r w:rsidR="00162BE2" w:rsidRPr="00733856">
        <w:rPr>
          <w:rFonts w:eastAsia="PMingLiU" w:cs="Arial"/>
          <w:szCs w:val="24"/>
          <w:lang w:val="fr-FR"/>
        </w:rPr>
        <w:t> </w:t>
      </w:r>
      <w:r w:rsidR="00B75F48" w:rsidRPr="00733856">
        <w:rPr>
          <w:rFonts w:eastAsia="PMingLiU" w:cs="Arial"/>
          <w:szCs w:val="24"/>
          <w:lang w:val="fr-FR"/>
        </w:rPr>
        <w:t xml:space="preserve">: </w:t>
      </w:r>
      <w:r w:rsidR="00403C30" w:rsidRPr="00733856">
        <w:rPr>
          <w:rFonts w:eastAsia="PMingLiU" w:cs="Arial"/>
          <w:szCs w:val="24"/>
          <w:lang w:val="fr-FR"/>
        </w:rPr>
        <w:tab/>
      </w:r>
      <w:r w:rsidR="00B75F48" w:rsidRPr="00733856">
        <w:rPr>
          <w:rFonts w:eastAsia="PMingLiU" w:cs="Arial"/>
          <w:szCs w:val="24"/>
          <w:lang w:val="fr-FR"/>
        </w:rPr>
        <w:t>Groupes de travail techniques</w:t>
      </w:r>
    </w:p>
    <w:p w:rsidR="00B75F48" w:rsidRPr="00733856" w:rsidRDefault="004B4303" w:rsidP="00B75F48">
      <w:pPr>
        <w:rPr>
          <w:rFonts w:eastAsia="PMingLiU" w:cs="Arial"/>
          <w:szCs w:val="24"/>
          <w:lang w:val="fr-FR"/>
        </w:rPr>
      </w:pPr>
      <w:r w:rsidRPr="00733856">
        <w:rPr>
          <w:rFonts w:eastAsia="PMingLiU" w:cs="Arial"/>
          <w:szCs w:val="24"/>
          <w:lang w:val="fr-FR"/>
        </w:rPr>
        <w:tab/>
      </w:r>
      <w:r w:rsidR="00B75F48" w:rsidRPr="00733856">
        <w:rPr>
          <w:rFonts w:eastAsia="PMingLiU" w:cs="Arial"/>
          <w:szCs w:val="24"/>
          <w:lang w:val="fr-FR"/>
        </w:rPr>
        <w:t>TWV</w:t>
      </w:r>
      <w:r w:rsidR="00162BE2" w:rsidRPr="00733856">
        <w:rPr>
          <w:rFonts w:eastAsia="PMingLiU" w:cs="Arial"/>
          <w:szCs w:val="24"/>
          <w:lang w:val="fr-FR"/>
        </w:rPr>
        <w:t> :</w:t>
      </w:r>
      <w:r w:rsidR="00B75F48" w:rsidRPr="00733856">
        <w:rPr>
          <w:rFonts w:eastAsia="PMingLiU" w:cs="Arial"/>
          <w:szCs w:val="24"/>
          <w:lang w:val="fr-FR"/>
        </w:rPr>
        <w:t xml:space="preserve"> </w:t>
      </w:r>
      <w:r w:rsidR="00403C30" w:rsidRPr="00733856">
        <w:rPr>
          <w:rFonts w:eastAsia="PMingLiU" w:cs="Arial"/>
          <w:szCs w:val="24"/>
          <w:lang w:val="fr-FR"/>
        </w:rPr>
        <w:tab/>
      </w:r>
      <w:r w:rsidR="00B75F48" w:rsidRPr="00733856">
        <w:rPr>
          <w:rFonts w:eastAsia="PMingLiU" w:cs="Arial"/>
          <w:szCs w:val="24"/>
          <w:lang w:val="fr-FR"/>
        </w:rPr>
        <w:t>Groupe de travail technique sur les plantes potagères</w:t>
      </w:r>
    </w:p>
    <w:p w:rsidR="00B75F48" w:rsidRPr="00733856" w:rsidRDefault="00B75F48" w:rsidP="004B4303">
      <w:pPr>
        <w:rPr>
          <w:lang w:val="fr-FR"/>
        </w:rPr>
      </w:pPr>
    </w:p>
    <w:p w:rsidR="00B75F48" w:rsidRPr="00733856" w:rsidRDefault="004B4303" w:rsidP="00B75F48">
      <w:pPr>
        <w:autoSpaceDE w:val="0"/>
        <w:autoSpaceDN w:val="0"/>
        <w:adjustRightInd w:val="0"/>
        <w:spacing w:before="120"/>
        <w:rPr>
          <w:rFonts w:eastAsia="MS Mincho"/>
          <w:szCs w:val="24"/>
          <w:lang w:val="fr-FR" w:eastAsia="ja-JP"/>
        </w:rPr>
      </w:pPr>
      <w:r w:rsidRPr="00733856">
        <w:rPr>
          <w:lang w:val="fr-FR"/>
        </w:rPr>
        <w:fldChar w:fldCharType="begin"/>
      </w:r>
      <w:r w:rsidRPr="00733856">
        <w:rPr>
          <w:lang w:val="fr-FR"/>
        </w:rPr>
        <w:instrText xml:space="preserve"> AUTONUM  </w:instrText>
      </w:r>
      <w:r w:rsidRPr="00733856">
        <w:rPr>
          <w:lang w:val="fr-FR"/>
        </w:rPr>
        <w:fldChar w:fldCharType="end"/>
      </w:r>
      <w:r w:rsidRPr="00733856">
        <w:rPr>
          <w:lang w:val="fr-FR"/>
        </w:rPr>
        <w:tab/>
      </w:r>
      <w:r w:rsidR="00B75F48" w:rsidRPr="00733856">
        <w:rPr>
          <w:lang w:val="fr-FR"/>
        </w:rPr>
        <w:t>Le présent document est structuré comme suit :</w:t>
      </w:r>
    </w:p>
    <w:p w:rsidR="00B75F48" w:rsidRPr="00733856" w:rsidRDefault="00B75F48" w:rsidP="004B4303">
      <w:pPr>
        <w:autoSpaceDE w:val="0"/>
        <w:autoSpaceDN w:val="0"/>
        <w:adjustRightInd w:val="0"/>
        <w:rPr>
          <w:rFonts w:eastAsia="MS Mincho"/>
          <w:szCs w:val="16"/>
          <w:lang w:val="fr-FR" w:eastAsia="ja-JP"/>
        </w:rPr>
      </w:pPr>
    </w:p>
    <w:p w:rsidR="00D91999" w:rsidRPr="00733856" w:rsidRDefault="004B4303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733856">
        <w:rPr>
          <w:caps w:val="0"/>
          <w:noProof/>
          <w:lang w:val="fr-FR"/>
        </w:rPr>
        <w:fldChar w:fldCharType="begin"/>
      </w:r>
      <w:r w:rsidRPr="00733856">
        <w:rPr>
          <w:caps w:val="0"/>
          <w:lang w:val="fr-FR"/>
        </w:rPr>
        <w:instrText xml:space="preserve"> TOC \o "1-3" \h \z \u </w:instrText>
      </w:r>
      <w:r w:rsidRPr="00733856">
        <w:rPr>
          <w:caps w:val="0"/>
          <w:noProof/>
          <w:lang w:val="fr-FR"/>
        </w:rPr>
        <w:fldChar w:fldCharType="separate"/>
      </w:r>
      <w:hyperlink w:anchor="_Toc410813392" w:history="1">
        <w:r w:rsidR="00D91999" w:rsidRPr="00733856">
          <w:rPr>
            <w:rStyle w:val="Hyperlink"/>
            <w:noProof/>
            <w:color w:val="auto"/>
            <w:lang w:val="fr-FR"/>
          </w:rPr>
          <w:t>rappel</w:t>
        </w:r>
        <w:r w:rsidR="00D91999" w:rsidRPr="00733856">
          <w:rPr>
            <w:noProof/>
            <w:webHidden/>
          </w:rPr>
          <w:tab/>
        </w:r>
        <w:r w:rsidR="00D91999" w:rsidRPr="00733856">
          <w:rPr>
            <w:noProof/>
            <w:webHidden/>
          </w:rPr>
          <w:fldChar w:fldCharType="begin"/>
        </w:r>
        <w:r w:rsidR="00D91999" w:rsidRPr="00733856">
          <w:rPr>
            <w:noProof/>
            <w:webHidden/>
          </w:rPr>
          <w:instrText xml:space="preserve"> PAGEREF _Toc410813392 \h </w:instrText>
        </w:r>
        <w:r w:rsidR="00D91999" w:rsidRPr="00733856">
          <w:rPr>
            <w:noProof/>
            <w:webHidden/>
          </w:rPr>
        </w:r>
        <w:r w:rsidR="00D91999" w:rsidRPr="00733856">
          <w:rPr>
            <w:noProof/>
            <w:webHidden/>
          </w:rPr>
          <w:fldChar w:fldCharType="separate"/>
        </w:r>
        <w:r w:rsidR="00353DFF">
          <w:rPr>
            <w:noProof/>
            <w:webHidden/>
          </w:rPr>
          <w:t>2</w:t>
        </w:r>
        <w:r w:rsidR="00D91999" w:rsidRPr="00733856">
          <w:rPr>
            <w:noProof/>
            <w:webHidden/>
          </w:rPr>
          <w:fldChar w:fldCharType="end"/>
        </w:r>
      </w:hyperlink>
    </w:p>
    <w:p w:rsidR="00D91999" w:rsidRPr="00733856" w:rsidRDefault="00353DFF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410813393" w:history="1">
        <w:r w:rsidR="00D91999" w:rsidRPr="00733856">
          <w:rPr>
            <w:rStyle w:val="Hyperlink"/>
            <w:noProof/>
            <w:color w:val="auto"/>
            <w:lang w:val="fr-FR"/>
          </w:rPr>
          <w:t>observations du comitÉ technique en 2013</w:t>
        </w:r>
        <w:r w:rsidR="00D91999" w:rsidRPr="00733856">
          <w:rPr>
            <w:noProof/>
            <w:webHidden/>
          </w:rPr>
          <w:tab/>
        </w:r>
        <w:r w:rsidR="00D91999" w:rsidRPr="00733856">
          <w:rPr>
            <w:noProof/>
            <w:webHidden/>
          </w:rPr>
          <w:fldChar w:fldCharType="begin"/>
        </w:r>
        <w:r w:rsidR="00D91999" w:rsidRPr="00733856">
          <w:rPr>
            <w:noProof/>
            <w:webHidden/>
          </w:rPr>
          <w:instrText xml:space="preserve"> PAGEREF _Toc410813393 \h </w:instrText>
        </w:r>
        <w:r w:rsidR="00D91999" w:rsidRPr="00733856">
          <w:rPr>
            <w:noProof/>
            <w:webHidden/>
          </w:rPr>
        </w:r>
        <w:r w:rsidR="00D91999" w:rsidRPr="00733856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D91999" w:rsidRPr="00733856">
          <w:rPr>
            <w:noProof/>
            <w:webHidden/>
          </w:rPr>
          <w:fldChar w:fldCharType="end"/>
        </w:r>
      </w:hyperlink>
    </w:p>
    <w:p w:rsidR="00D91999" w:rsidRPr="00733856" w:rsidRDefault="00353DFF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410813394" w:history="1">
        <w:r w:rsidR="00D91999" w:rsidRPr="00733856">
          <w:rPr>
            <w:rStyle w:val="Hyperlink"/>
            <w:noProof/>
            <w:color w:val="auto"/>
            <w:lang w:val="fr-FR"/>
          </w:rPr>
          <w:t>observations DES groupes de travail techniques en 2013</w:t>
        </w:r>
        <w:r w:rsidR="00D91999" w:rsidRPr="00733856">
          <w:rPr>
            <w:noProof/>
            <w:webHidden/>
          </w:rPr>
          <w:tab/>
        </w:r>
        <w:r w:rsidR="00D91999" w:rsidRPr="00733856">
          <w:rPr>
            <w:noProof/>
            <w:webHidden/>
          </w:rPr>
          <w:fldChar w:fldCharType="begin"/>
        </w:r>
        <w:r w:rsidR="00D91999" w:rsidRPr="00733856">
          <w:rPr>
            <w:noProof/>
            <w:webHidden/>
          </w:rPr>
          <w:instrText xml:space="preserve"> PAGEREF _Toc410813394 \h </w:instrText>
        </w:r>
        <w:r w:rsidR="00D91999" w:rsidRPr="00733856">
          <w:rPr>
            <w:noProof/>
            <w:webHidden/>
          </w:rPr>
        </w:r>
        <w:r w:rsidR="00D91999" w:rsidRPr="00733856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D91999" w:rsidRPr="00733856">
          <w:rPr>
            <w:noProof/>
            <w:webHidden/>
          </w:rPr>
          <w:fldChar w:fldCharType="end"/>
        </w:r>
      </w:hyperlink>
    </w:p>
    <w:p w:rsidR="00D91999" w:rsidRPr="00733856" w:rsidRDefault="00353DFF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410813395" w:history="1">
        <w:r w:rsidR="00D91999" w:rsidRPr="00733856">
          <w:rPr>
            <w:rStyle w:val="Hyperlink"/>
            <w:noProof/>
            <w:color w:val="auto"/>
            <w:lang w:val="fr-FR"/>
          </w:rPr>
          <w:t>observations du comitÉ technique en 2014</w:t>
        </w:r>
        <w:r w:rsidR="00D91999" w:rsidRPr="00733856">
          <w:rPr>
            <w:noProof/>
            <w:webHidden/>
          </w:rPr>
          <w:tab/>
        </w:r>
        <w:r w:rsidR="00D91999" w:rsidRPr="00733856">
          <w:rPr>
            <w:noProof/>
            <w:webHidden/>
          </w:rPr>
          <w:fldChar w:fldCharType="begin"/>
        </w:r>
        <w:r w:rsidR="00D91999" w:rsidRPr="00733856">
          <w:rPr>
            <w:noProof/>
            <w:webHidden/>
          </w:rPr>
          <w:instrText xml:space="preserve"> PAGEREF _Toc410813395 \h </w:instrText>
        </w:r>
        <w:r w:rsidR="00D91999" w:rsidRPr="00733856">
          <w:rPr>
            <w:noProof/>
            <w:webHidden/>
          </w:rPr>
        </w:r>
        <w:r w:rsidR="00D91999" w:rsidRPr="00733856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D91999" w:rsidRPr="00733856">
          <w:rPr>
            <w:noProof/>
            <w:webHidden/>
          </w:rPr>
          <w:fldChar w:fldCharType="end"/>
        </w:r>
      </w:hyperlink>
    </w:p>
    <w:p w:rsidR="00D91999" w:rsidRPr="00733856" w:rsidRDefault="00353DFF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410813396" w:history="1">
        <w:r w:rsidR="00D91999" w:rsidRPr="00733856">
          <w:rPr>
            <w:rStyle w:val="Hyperlink"/>
            <w:noProof/>
            <w:color w:val="auto"/>
            <w:lang w:val="fr-FR"/>
          </w:rPr>
          <w:t>observations des groupes de travail techniques en 2014</w:t>
        </w:r>
        <w:r w:rsidR="00D91999" w:rsidRPr="00733856">
          <w:rPr>
            <w:noProof/>
            <w:webHidden/>
          </w:rPr>
          <w:tab/>
        </w:r>
        <w:r w:rsidR="00D91999" w:rsidRPr="00733856">
          <w:rPr>
            <w:noProof/>
            <w:webHidden/>
          </w:rPr>
          <w:fldChar w:fldCharType="begin"/>
        </w:r>
        <w:r w:rsidR="00D91999" w:rsidRPr="00733856">
          <w:rPr>
            <w:noProof/>
            <w:webHidden/>
          </w:rPr>
          <w:instrText xml:space="preserve"> PAGEREF _Toc410813396 \h </w:instrText>
        </w:r>
        <w:r w:rsidR="00D91999" w:rsidRPr="00733856">
          <w:rPr>
            <w:noProof/>
            <w:webHidden/>
          </w:rPr>
        </w:r>
        <w:r w:rsidR="00D91999" w:rsidRPr="00733856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D91999" w:rsidRPr="00733856">
          <w:rPr>
            <w:noProof/>
            <w:webHidden/>
          </w:rPr>
          <w:fldChar w:fldCharType="end"/>
        </w:r>
      </w:hyperlink>
    </w:p>
    <w:p w:rsidR="00D91999" w:rsidRPr="00733856" w:rsidRDefault="00353DFF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410813397" w:history="1">
        <w:r w:rsidR="00D91999" w:rsidRPr="00733856">
          <w:rPr>
            <w:rStyle w:val="Hyperlink"/>
            <w:noProof/>
            <w:color w:val="auto"/>
            <w:lang w:val="fr-FR"/>
          </w:rPr>
          <w:t>Étapes futures</w:t>
        </w:r>
        <w:r w:rsidR="00D91999" w:rsidRPr="00733856">
          <w:rPr>
            <w:noProof/>
            <w:webHidden/>
          </w:rPr>
          <w:tab/>
        </w:r>
        <w:r w:rsidR="00D91999" w:rsidRPr="00733856">
          <w:rPr>
            <w:noProof/>
            <w:webHidden/>
          </w:rPr>
          <w:fldChar w:fldCharType="begin"/>
        </w:r>
        <w:r w:rsidR="00D91999" w:rsidRPr="00733856">
          <w:rPr>
            <w:noProof/>
            <w:webHidden/>
          </w:rPr>
          <w:instrText xml:space="preserve"> PAGEREF _Toc410813397 \h </w:instrText>
        </w:r>
        <w:r w:rsidR="00D91999" w:rsidRPr="00733856">
          <w:rPr>
            <w:noProof/>
            <w:webHidden/>
          </w:rPr>
        </w:r>
        <w:r w:rsidR="00D91999" w:rsidRPr="00733856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D91999" w:rsidRPr="00733856">
          <w:rPr>
            <w:noProof/>
            <w:webHidden/>
          </w:rPr>
          <w:fldChar w:fldCharType="end"/>
        </w:r>
      </w:hyperlink>
    </w:p>
    <w:p w:rsidR="00B75F48" w:rsidRPr="00733856" w:rsidRDefault="004B4303" w:rsidP="004B4303">
      <w:pPr>
        <w:rPr>
          <w:rFonts w:eastAsia="MS Mincho"/>
          <w:szCs w:val="24"/>
          <w:lang w:val="fr-FR" w:eastAsia="ja-JP"/>
        </w:rPr>
      </w:pPr>
      <w:r w:rsidRPr="00733856">
        <w:rPr>
          <w:caps/>
          <w:lang w:val="fr-FR"/>
        </w:rPr>
        <w:fldChar w:fldCharType="end"/>
      </w:r>
    </w:p>
    <w:p w:rsidR="00B75F48" w:rsidRPr="00733856" w:rsidRDefault="004B4303" w:rsidP="004B4303">
      <w:pPr>
        <w:spacing w:after="60"/>
        <w:rPr>
          <w:caps/>
          <w:lang w:val="fr-FR"/>
        </w:rPr>
      </w:pPr>
      <w:r w:rsidRPr="00733856">
        <w:rPr>
          <w:rFonts w:eastAsia="MS Mincho"/>
          <w:szCs w:val="24"/>
          <w:lang w:val="fr-FR" w:eastAsia="ja-JP"/>
        </w:rPr>
        <w:t>ANNEX</w:t>
      </w:r>
      <w:r w:rsidR="003105CC" w:rsidRPr="00733856">
        <w:rPr>
          <w:rFonts w:eastAsia="MS Mincho"/>
          <w:szCs w:val="24"/>
          <w:lang w:val="fr-FR" w:eastAsia="ja-JP"/>
        </w:rPr>
        <w:t>E</w:t>
      </w:r>
      <w:r w:rsidRPr="00733856">
        <w:rPr>
          <w:rFonts w:eastAsia="MS Mincho"/>
          <w:szCs w:val="24"/>
          <w:lang w:val="fr-FR" w:eastAsia="ja-JP"/>
        </w:rPr>
        <w:t xml:space="preserve"> I</w:t>
      </w:r>
      <w:r w:rsidR="00D9519C" w:rsidRPr="00733856">
        <w:rPr>
          <w:rFonts w:eastAsia="MS Mincho"/>
          <w:szCs w:val="24"/>
          <w:lang w:val="fr-FR" w:eastAsia="ja-JP"/>
        </w:rPr>
        <w:t> </w:t>
      </w:r>
      <w:r w:rsidRPr="00733856">
        <w:rPr>
          <w:rFonts w:eastAsia="MS Mincho"/>
          <w:szCs w:val="24"/>
          <w:lang w:val="fr-FR" w:eastAsia="ja-JP"/>
        </w:rPr>
        <w:t>:</w:t>
      </w:r>
      <w:r w:rsidR="00162BE2" w:rsidRPr="00733856">
        <w:rPr>
          <w:rFonts w:eastAsia="MS Mincho"/>
          <w:szCs w:val="24"/>
          <w:lang w:val="fr-FR" w:eastAsia="ja-JP"/>
        </w:rPr>
        <w:t xml:space="preserve"> </w:t>
      </w:r>
      <w:r w:rsidRPr="00733856">
        <w:rPr>
          <w:rFonts w:eastAsia="MS Mincho"/>
          <w:szCs w:val="24"/>
          <w:lang w:val="fr-FR" w:eastAsia="ja-JP"/>
        </w:rPr>
        <w:tab/>
      </w:r>
      <w:r w:rsidRPr="00733856">
        <w:rPr>
          <w:rFonts w:eastAsia="MS Mincho"/>
          <w:szCs w:val="24"/>
          <w:lang w:val="fr-FR" w:eastAsia="ja-JP"/>
        </w:rPr>
        <w:tab/>
      </w:r>
      <w:r w:rsidR="00D9519C" w:rsidRPr="00733856">
        <w:rPr>
          <w:rFonts w:eastAsia="MS Mincho"/>
          <w:szCs w:val="24"/>
          <w:lang w:val="fr-FR" w:eastAsia="ja-JP"/>
        </w:rPr>
        <w:t>Projet d</w:t>
      </w:r>
      <w:r w:rsidR="007E244E" w:rsidRPr="00733856">
        <w:rPr>
          <w:rFonts w:eastAsia="MS Mincho"/>
          <w:szCs w:val="24"/>
          <w:lang w:val="fr-FR" w:eastAsia="ja-JP"/>
        </w:rPr>
        <w:t>’</w:t>
      </w:r>
      <w:r w:rsidR="00D9519C" w:rsidRPr="00733856">
        <w:rPr>
          <w:rFonts w:eastAsia="MS Mincho"/>
          <w:szCs w:val="24"/>
          <w:lang w:val="fr-FR" w:eastAsia="ja-JP"/>
        </w:rPr>
        <w:t>indications examiné par</w:t>
      </w:r>
      <w:r w:rsidR="007E244E" w:rsidRPr="00733856">
        <w:rPr>
          <w:rFonts w:eastAsia="MS Mincho"/>
          <w:szCs w:val="24"/>
          <w:lang w:val="fr-FR" w:eastAsia="ja-JP"/>
        </w:rPr>
        <w:t xml:space="preserve"> les TWP</w:t>
      </w:r>
      <w:r w:rsidR="00D9519C" w:rsidRPr="00733856">
        <w:rPr>
          <w:rFonts w:eastAsia="MS Mincho"/>
          <w:szCs w:val="24"/>
          <w:lang w:val="fr-FR" w:eastAsia="ja-JP"/>
        </w:rPr>
        <w:t xml:space="preserve"> à leurs sessions en</w:t>
      </w:r>
      <w:r w:rsidR="00162BE2" w:rsidRPr="00733856">
        <w:rPr>
          <w:rFonts w:eastAsia="MS Mincho"/>
          <w:szCs w:val="24"/>
          <w:lang w:val="fr-FR" w:eastAsia="ja-JP"/>
        </w:rPr>
        <w:t> </w:t>
      </w:r>
      <w:r w:rsidR="00D9519C" w:rsidRPr="00733856">
        <w:rPr>
          <w:rFonts w:eastAsia="MS Mincho"/>
          <w:szCs w:val="24"/>
          <w:lang w:val="fr-FR" w:eastAsia="ja-JP"/>
        </w:rPr>
        <w:t xml:space="preserve">2013 et </w:t>
      </w:r>
      <w:r w:rsidR="00A75D19" w:rsidRPr="00733856">
        <w:rPr>
          <w:rFonts w:eastAsia="MS Mincho"/>
          <w:szCs w:val="24"/>
          <w:lang w:val="fr-FR" w:eastAsia="ja-JP"/>
        </w:rPr>
        <w:t>en</w:t>
      </w:r>
      <w:r w:rsidR="00162BE2" w:rsidRPr="00733856">
        <w:rPr>
          <w:rFonts w:eastAsia="MS Mincho"/>
          <w:szCs w:val="24"/>
          <w:lang w:val="fr-FR" w:eastAsia="ja-JP"/>
        </w:rPr>
        <w:t> </w:t>
      </w:r>
      <w:r w:rsidR="00D9519C" w:rsidRPr="00733856">
        <w:rPr>
          <w:rFonts w:eastAsia="MS Mincho"/>
          <w:szCs w:val="24"/>
          <w:lang w:val="fr-FR" w:eastAsia="ja-JP"/>
        </w:rPr>
        <w:t>2014</w:t>
      </w:r>
    </w:p>
    <w:p w:rsidR="00B75F48" w:rsidRPr="00733856" w:rsidRDefault="004B4303" w:rsidP="004B4303">
      <w:pPr>
        <w:spacing w:after="60"/>
        <w:ind w:left="1701" w:hanging="1701"/>
        <w:rPr>
          <w:lang w:val="fr-FR"/>
        </w:rPr>
      </w:pPr>
      <w:r w:rsidRPr="00733856">
        <w:rPr>
          <w:rFonts w:eastAsia="MS Mincho"/>
          <w:szCs w:val="24"/>
          <w:lang w:val="fr-FR" w:eastAsia="ja-JP"/>
        </w:rPr>
        <w:t>ANNEX</w:t>
      </w:r>
      <w:r w:rsidR="003105CC" w:rsidRPr="00733856">
        <w:rPr>
          <w:rFonts w:eastAsia="MS Mincho"/>
          <w:szCs w:val="24"/>
          <w:lang w:val="fr-FR" w:eastAsia="ja-JP"/>
        </w:rPr>
        <w:t>E</w:t>
      </w:r>
      <w:r w:rsidRPr="00733856">
        <w:rPr>
          <w:rFonts w:eastAsia="MS Mincho"/>
          <w:szCs w:val="24"/>
          <w:lang w:val="fr-FR" w:eastAsia="ja-JP"/>
        </w:rPr>
        <w:t xml:space="preserve"> II</w:t>
      </w:r>
      <w:r w:rsidR="00D9519C" w:rsidRPr="00733856">
        <w:rPr>
          <w:rFonts w:eastAsia="MS Mincho"/>
          <w:szCs w:val="24"/>
          <w:lang w:val="fr-FR" w:eastAsia="ja-JP"/>
        </w:rPr>
        <w:t> </w:t>
      </w:r>
      <w:r w:rsidRPr="00733856">
        <w:rPr>
          <w:rFonts w:eastAsia="MS Mincho"/>
          <w:szCs w:val="24"/>
          <w:lang w:val="fr-FR" w:eastAsia="ja-JP"/>
        </w:rPr>
        <w:t>:</w:t>
      </w:r>
      <w:r w:rsidR="00162BE2" w:rsidRPr="00733856">
        <w:rPr>
          <w:rFonts w:eastAsia="MS Mincho"/>
          <w:szCs w:val="24"/>
          <w:lang w:val="fr-FR" w:eastAsia="ja-JP"/>
        </w:rPr>
        <w:t xml:space="preserve"> </w:t>
      </w:r>
      <w:r w:rsidRPr="00733856">
        <w:rPr>
          <w:rFonts w:eastAsia="MS Mincho"/>
          <w:szCs w:val="24"/>
          <w:lang w:val="fr-FR" w:eastAsia="ja-JP"/>
        </w:rPr>
        <w:tab/>
        <w:t>Extra</w:t>
      </w:r>
      <w:r w:rsidR="00D9519C" w:rsidRPr="00733856">
        <w:rPr>
          <w:rFonts w:eastAsia="MS Mincho"/>
          <w:szCs w:val="24"/>
          <w:lang w:val="fr-FR" w:eastAsia="ja-JP"/>
        </w:rPr>
        <w:t>it des d</w:t>
      </w:r>
      <w:r w:rsidRPr="00733856">
        <w:rPr>
          <w:rFonts w:eastAsia="MS Mincho"/>
          <w:szCs w:val="24"/>
          <w:lang w:val="fr-FR" w:eastAsia="ja-JP"/>
        </w:rPr>
        <w:t>ocuments TGP/9/1</w:t>
      </w:r>
      <w:r w:rsidR="00D9519C" w:rsidRPr="00733856">
        <w:rPr>
          <w:rFonts w:eastAsia="MS Mincho"/>
          <w:szCs w:val="24"/>
          <w:lang w:val="fr-FR" w:eastAsia="ja-JP"/>
        </w:rPr>
        <w:t> :</w:t>
      </w:r>
      <w:r w:rsidRPr="00733856">
        <w:rPr>
          <w:rFonts w:eastAsia="MS Mincho"/>
          <w:szCs w:val="24"/>
          <w:lang w:val="fr-FR" w:eastAsia="ja-JP"/>
        </w:rPr>
        <w:t xml:space="preserve"> Ex</w:t>
      </w:r>
      <w:r w:rsidR="003D4266" w:rsidRPr="00733856">
        <w:rPr>
          <w:rFonts w:eastAsia="MS Mincho"/>
          <w:szCs w:val="24"/>
          <w:lang w:val="fr-FR" w:eastAsia="ja-JP"/>
        </w:rPr>
        <w:t>amen de la distinction : s</w:t>
      </w:r>
      <w:r w:rsidRPr="00733856">
        <w:rPr>
          <w:rFonts w:eastAsia="MS Mincho"/>
          <w:szCs w:val="24"/>
          <w:lang w:val="fr-FR" w:eastAsia="ja-JP"/>
        </w:rPr>
        <w:t>ection 6 “</w:t>
      </w:r>
      <w:r w:rsidR="003D4266" w:rsidRPr="00733856">
        <w:rPr>
          <w:rFonts w:eastAsia="MS Mincho"/>
          <w:szCs w:val="24"/>
          <w:lang w:val="fr-FR" w:eastAsia="ja-JP"/>
        </w:rPr>
        <w:t>Procédures complémentaires</w:t>
      </w:r>
      <w:r w:rsidR="00162BE2" w:rsidRPr="00733856">
        <w:rPr>
          <w:rFonts w:eastAsia="MS Mincho"/>
          <w:szCs w:val="24"/>
          <w:lang w:val="fr-FR" w:eastAsia="ja-JP"/>
        </w:rPr>
        <w:t>” :</w:t>
      </w:r>
      <w:r w:rsidRPr="00733856">
        <w:rPr>
          <w:rFonts w:eastAsia="MS Mincho"/>
          <w:szCs w:val="24"/>
          <w:lang w:val="fr-FR" w:eastAsia="ja-JP"/>
        </w:rPr>
        <w:t xml:space="preserve"> </w:t>
      </w:r>
      <w:r w:rsidR="003D4266" w:rsidRPr="00733856">
        <w:rPr>
          <w:rFonts w:eastAsia="MS Mincho"/>
          <w:szCs w:val="24"/>
          <w:lang w:val="fr-FR" w:eastAsia="ja-JP"/>
        </w:rPr>
        <w:t>sous</w:t>
      </w:r>
      <w:r w:rsidR="008D5F1B" w:rsidRPr="00733856">
        <w:rPr>
          <w:rFonts w:eastAsia="MS Mincho"/>
          <w:szCs w:val="24"/>
          <w:lang w:val="fr-FR" w:eastAsia="ja-JP"/>
        </w:rPr>
        <w:noBreakHyphen/>
      </w:r>
      <w:r w:rsidR="003D4266" w:rsidRPr="00733856">
        <w:rPr>
          <w:rFonts w:eastAsia="MS Mincho"/>
          <w:szCs w:val="24"/>
          <w:lang w:val="fr-FR" w:eastAsia="ja-JP"/>
        </w:rPr>
        <w:t>section</w:t>
      </w:r>
      <w:r w:rsidR="00162BE2" w:rsidRPr="00733856">
        <w:rPr>
          <w:rFonts w:eastAsia="MS Mincho"/>
          <w:szCs w:val="24"/>
          <w:lang w:val="fr-FR" w:eastAsia="ja-JP"/>
        </w:rPr>
        <w:t> </w:t>
      </w:r>
      <w:r w:rsidRPr="00733856">
        <w:rPr>
          <w:rFonts w:eastAsia="MS Mincho"/>
          <w:szCs w:val="24"/>
          <w:lang w:val="fr-FR" w:eastAsia="ja-JP"/>
        </w:rPr>
        <w:t>6.4</w:t>
      </w:r>
      <w:r w:rsidR="003D4266" w:rsidRPr="00733856">
        <w:rPr>
          <w:rFonts w:eastAsia="MS Mincho"/>
          <w:szCs w:val="24"/>
          <w:lang w:val="fr-FR" w:eastAsia="ja-JP"/>
        </w:rPr>
        <w:t> :</w:t>
      </w:r>
      <w:r w:rsidRPr="00733856">
        <w:rPr>
          <w:rFonts w:eastAsia="MS Mincho"/>
          <w:szCs w:val="24"/>
          <w:lang w:val="fr-FR" w:eastAsia="ja-JP"/>
        </w:rPr>
        <w:t xml:space="preserve"> “</w:t>
      </w:r>
      <w:r w:rsidR="003D4266" w:rsidRPr="00733856">
        <w:rPr>
          <w:rFonts w:eastAsia="MS Mincho"/>
          <w:szCs w:val="24"/>
          <w:lang w:val="fr-FR" w:eastAsia="ja-JP"/>
        </w:rPr>
        <w:t>Utilisation d</w:t>
      </w:r>
      <w:r w:rsidR="007E244E" w:rsidRPr="00733856">
        <w:rPr>
          <w:rFonts w:eastAsia="MS Mincho"/>
          <w:szCs w:val="24"/>
          <w:lang w:val="fr-FR" w:eastAsia="ja-JP"/>
        </w:rPr>
        <w:t>’</w:t>
      </w:r>
      <w:r w:rsidR="003D4266" w:rsidRPr="00733856">
        <w:rPr>
          <w:rFonts w:eastAsia="MS Mincho"/>
          <w:szCs w:val="24"/>
          <w:lang w:val="fr-FR" w:eastAsia="ja-JP"/>
        </w:rPr>
        <w:t>essais codés randomisés</w:t>
      </w:r>
      <w:r w:rsidRPr="00733856">
        <w:rPr>
          <w:rFonts w:eastAsia="MS Mincho"/>
          <w:szCs w:val="24"/>
          <w:lang w:val="fr-FR" w:eastAsia="ja-JP"/>
        </w:rPr>
        <w:t xml:space="preserve">” </w:t>
      </w:r>
      <w:r w:rsidR="003D4266" w:rsidRPr="00733856">
        <w:rPr>
          <w:rFonts w:eastAsia="MS Mincho"/>
          <w:szCs w:val="24"/>
          <w:lang w:val="fr-FR" w:eastAsia="ja-JP"/>
        </w:rPr>
        <w:t>et</w:t>
      </w:r>
      <w:r w:rsidRPr="00733856">
        <w:rPr>
          <w:rFonts w:eastAsia="MS Mincho"/>
          <w:szCs w:val="24"/>
          <w:lang w:val="fr-FR" w:eastAsia="ja-JP"/>
        </w:rPr>
        <w:t xml:space="preserve"> TGP/8/1</w:t>
      </w:r>
      <w:r w:rsidR="00162BE2" w:rsidRPr="00733856">
        <w:rPr>
          <w:rFonts w:eastAsia="MS Mincho"/>
          <w:szCs w:val="24"/>
          <w:lang w:val="fr-FR" w:eastAsia="ja-JP"/>
        </w:rPr>
        <w:t> </w:t>
      </w:r>
      <w:r w:rsidRPr="00733856">
        <w:rPr>
          <w:rFonts w:eastAsia="MS Mincho"/>
          <w:szCs w:val="24"/>
          <w:lang w:val="fr-FR" w:eastAsia="ja-JP"/>
        </w:rPr>
        <w:t xml:space="preserve">: </w:t>
      </w:r>
      <w:r w:rsidR="003D4266" w:rsidRPr="00733856">
        <w:rPr>
          <w:rFonts w:eastAsia="MS Mincho"/>
          <w:szCs w:val="24"/>
          <w:lang w:val="fr-FR" w:eastAsia="ja-JP"/>
        </w:rPr>
        <w:t>Première partie :</w:t>
      </w:r>
      <w:r w:rsidRPr="00733856">
        <w:rPr>
          <w:rFonts w:eastAsia="MS Mincho"/>
          <w:szCs w:val="24"/>
          <w:lang w:val="fr-FR" w:eastAsia="ja-JP"/>
        </w:rPr>
        <w:t xml:space="preserve"> </w:t>
      </w:r>
      <w:r w:rsidR="003D4266" w:rsidRPr="00733856">
        <w:rPr>
          <w:rFonts w:eastAsia="MS Mincho"/>
          <w:szCs w:val="24"/>
          <w:lang w:val="fr-FR" w:eastAsia="ja-JP"/>
        </w:rPr>
        <w:t>protocole d</w:t>
      </w:r>
      <w:r w:rsidR="007E244E" w:rsidRPr="00733856">
        <w:rPr>
          <w:rFonts w:eastAsia="MS Mincho"/>
          <w:szCs w:val="24"/>
          <w:lang w:val="fr-FR" w:eastAsia="ja-JP"/>
        </w:rPr>
        <w:t>’</w:t>
      </w:r>
      <w:r w:rsidR="003D4266" w:rsidRPr="00733856">
        <w:rPr>
          <w:rFonts w:eastAsia="MS Mincho"/>
          <w:szCs w:val="24"/>
          <w:lang w:val="fr-FR" w:eastAsia="ja-JP"/>
        </w:rPr>
        <w:t>essai DHS et analyse des données :</w:t>
      </w:r>
      <w:r w:rsidRPr="00733856">
        <w:rPr>
          <w:rFonts w:eastAsia="MS Mincho"/>
          <w:szCs w:val="24"/>
          <w:lang w:val="fr-FR" w:eastAsia="ja-JP"/>
        </w:rPr>
        <w:t xml:space="preserve"> </w:t>
      </w:r>
      <w:r w:rsidR="003D4266" w:rsidRPr="00733856">
        <w:rPr>
          <w:rFonts w:eastAsia="MS Mincho"/>
          <w:szCs w:val="24"/>
          <w:lang w:val="fr-FR" w:eastAsia="ja-JP"/>
        </w:rPr>
        <w:t>s</w:t>
      </w:r>
      <w:r w:rsidRPr="00733856">
        <w:rPr>
          <w:rFonts w:eastAsia="MS Mincho"/>
          <w:szCs w:val="24"/>
          <w:lang w:val="fr-FR" w:eastAsia="ja-JP"/>
        </w:rPr>
        <w:t>ection 1.5.3.4 “</w:t>
      </w:r>
      <w:r w:rsidR="003D4266" w:rsidRPr="00733856">
        <w:rPr>
          <w:rFonts w:eastAsia="MS Mincho"/>
          <w:szCs w:val="24"/>
          <w:lang w:val="fr-FR" w:eastAsia="ja-JP"/>
        </w:rPr>
        <w:t>Essais aléatoires à l</w:t>
      </w:r>
      <w:r w:rsidR="007E244E" w:rsidRPr="00733856">
        <w:rPr>
          <w:rFonts w:eastAsia="MS Mincho"/>
          <w:szCs w:val="24"/>
          <w:lang w:val="fr-FR" w:eastAsia="ja-JP"/>
        </w:rPr>
        <w:t>’</w:t>
      </w:r>
      <w:r w:rsidR="003D4266" w:rsidRPr="00733856">
        <w:rPr>
          <w:rFonts w:eastAsia="MS Mincho"/>
          <w:szCs w:val="24"/>
          <w:lang w:val="fr-FR" w:eastAsia="ja-JP"/>
        </w:rPr>
        <w:t>aveugle</w:t>
      </w:r>
      <w:r w:rsidRPr="00733856">
        <w:rPr>
          <w:rFonts w:eastAsia="MS Mincho"/>
          <w:szCs w:val="24"/>
          <w:lang w:val="fr-FR" w:eastAsia="ja-JP"/>
        </w:rPr>
        <w:t>”</w:t>
      </w:r>
    </w:p>
    <w:p w:rsidR="00B75F48" w:rsidRPr="00733856" w:rsidRDefault="00B75F48" w:rsidP="004B4303">
      <w:pPr>
        <w:tabs>
          <w:tab w:val="left" w:pos="1710"/>
        </w:tabs>
        <w:ind w:left="1710" w:hanging="1710"/>
        <w:rPr>
          <w:caps/>
          <w:u w:val="single"/>
          <w:lang w:val="fr-FR"/>
        </w:rPr>
      </w:pPr>
    </w:p>
    <w:p w:rsidR="00B75F48" w:rsidRPr="00733856" w:rsidRDefault="00B75F48" w:rsidP="004B4303">
      <w:pPr>
        <w:rPr>
          <w:lang w:val="fr-FR"/>
        </w:rPr>
      </w:pPr>
    </w:p>
    <w:p w:rsidR="00B75F48" w:rsidRDefault="00B75F48" w:rsidP="004B4303">
      <w:pPr>
        <w:rPr>
          <w:lang w:val="fr-FR"/>
        </w:rPr>
      </w:pPr>
    </w:p>
    <w:p w:rsidR="00A93A1F" w:rsidRPr="00733856" w:rsidRDefault="00A93A1F" w:rsidP="004B4303">
      <w:pPr>
        <w:rPr>
          <w:lang w:val="fr-FR"/>
        </w:rPr>
      </w:pPr>
    </w:p>
    <w:p w:rsidR="00B75F48" w:rsidRPr="00733856" w:rsidRDefault="00B75F48" w:rsidP="00B75F48">
      <w:pPr>
        <w:pStyle w:val="Heading1"/>
        <w:rPr>
          <w:lang w:val="fr-FR"/>
        </w:rPr>
      </w:pPr>
      <w:bookmarkStart w:id="5" w:name="_Toc410813392"/>
      <w:r w:rsidRPr="00733856">
        <w:rPr>
          <w:lang w:val="fr-FR"/>
        </w:rPr>
        <w:lastRenderedPageBreak/>
        <w:t>rappel</w:t>
      </w:r>
      <w:bookmarkEnd w:id="5"/>
    </w:p>
    <w:p w:rsidR="00B75F48" w:rsidRPr="00733856" w:rsidRDefault="00B75F48" w:rsidP="004B4303">
      <w:pPr>
        <w:rPr>
          <w:lang w:val="fr-FR"/>
        </w:rPr>
      </w:pPr>
    </w:p>
    <w:p w:rsidR="007E244E" w:rsidRPr="00733856" w:rsidRDefault="004B4303" w:rsidP="00B75F48">
      <w:pPr>
        <w:rPr>
          <w:lang w:val="fr-FR"/>
        </w:rPr>
      </w:pPr>
      <w:r w:rsidRPr="00733856">
        <w:rPr>
          <w:lang w:val="fr-FR"/>
        </w:rPr>
        <w:fldChar w:fldCharType="begin"/>
      </w:r>
      <w:r w:rsidRPr="00733856">
        <w:rPr>
          <w:lang w:val="fr-FR"/>
        </w:rPr>
        <w:instrText xml:space="preserve"> AUTONUM  </w:instrText>
      </w:r>
      <w:r w:rsidRPr="00733856">
        <w:rPr>
          <w:lang w:val="fr-FR"/>
        </w:rPr>
        <w:fldChar w:fldCharType="end"/>
      </w:r>
      <w:r w:rsidRPr="00733856">
        <w:rPr>
          <w:lang w:val="fr-FR"/>
        </w:rPr>
        <w:tab/>
      </w:r>
      <w:r w:rsidR="00B75F48" w:rsidRPr="00733856">
        <w:rPr>
          <w:lang w:val="fr-FR"/>
        </w:rPr>
        <w:t>À sa quarante</w:t>
      </w:r>
      <w:r w:rsidR="008D5F1B" w:rsidRPr="00733856">
        <w:rPr>
          <w:lang w:val="fr-FR"/>
        </w:rPr>
        <w:noBreakHyphen/>
      </w:r>
      <w:r w:rsidR="00B75F48" w:rsidRPr="00733856">
        <w:rPr>
          <w:lang w:val="fr-FR"/>
        </w:rPr>
        <w:t xml:space="preserve">huitième session tenue à Genève du 26 au 28 mars 2012, le Comité technique est convenu que les experts de la France devraient </w:t>
      </w:r>
      <w:r w:rsidR="00F87CC0" w:rsidRPr="00733856">
        <w:rPr>
          <w:lang w:val="fr-FR"/>
        </w:rPr>
        <w:t>rédiger</w:t>
      </w:r>
      <w:r w:rsidR="00B75F48" w:rsidRPr="00733856">
        <w:rPr>
          <w:lang w:val="fr-FR"/>
        </w:rPr>
        <w:t xml:space="preserve"> des </w:t>
      </w:r>
      <w:r w:rsidR="00F87CC0" w:rsidRPr="00733856">
        <w:rPr>
          <w:lang w:val="fr-FR"/>
        </w:rPr>
        <w:t>conseils</w:t>
      </w:r>
      <w:r w:rsidR="00B75F48" w:rsidRPr="00733856">
        <w:rPr>
          <w:lang w:val="fr-FR"/>
        </w:rPr>
        <w:t xml:space="preserve"> sur l</w:t>
      </w:r>
      <w:r w:rsidR="007E244E" w:rsidRPr="00733856">
        <w:rPr>
          <w:lang w:val="fr-FR"/>
        </w:rPr>
        <w:t>’</w:t>
      </w:r>
      <w:r w:rsidR="00B75F48" w:rsidRPr="00733856">
        <w:rPr>
          <w:lang w:val="fr-FR"/>
        </w:rPr>
        <w:t>analyse des données aux fins des essais aveugles aléatoires sur la base de leur expérience, notamment en matière d</w:t>
      </w:r>
      <w:r w:rsidR="007E244E" w:rsidRPr="00733856">
        <w:rPr>
          <w:lang w:val="fr-FR"/>
        </w:rPr>
        <w:t>’</w:t>
      </w:r>
      <w:r w:rsidR="00B75F48" w:rsidRPr="00733856">
        <w:rPr>
          <w:lang w:val="fr-FR"/>
        </w:rPr>
        <w:t>utilisation des essais aveugles aléatoires concernant la résistance aux maladies et d</w:t>
      </w:r>
      <w:r w:rsidR="007E244E" w:rsidRPr="00733856">
        <w:rPr>
          <w:lang w:val="fr-FR"/>
        </w:rPr>
        <w:t>’</w:t>
      </w:r>
      <w:r w:rsidR="00B75F48" w:rsidRPr="00733856">
        <w:rPr>
          <w:lang w:val="fr-FR"/>
        </w:rPr>
        <w:t>autres exemples (voir le paragraphe 60 du </w:t>
      </w:r>
      <w:r w:rsidR="007E244E" w:rsidRPr="00733856">
        <w:rPr>
          <w:lang w:val="fr-FR"/>
        </w:rPr>
        <w:t>document TC</w:t>
      </w:r>
      <w:r w:rsidR="00B75F48" w:rsidRPr="00733856">
        <w:rPr>
          <w:lang w:val="fr-FR"/>
        </w:rPr>
        <w:t>/48/22 “Compte rendu des conclusions”).</w:t>
      </w:r>
    </w:p>
    <w:p w:rsidR="00403C30" w:rsidRPr="00733856" w:rsidRDefault="00403C30" w:rsidP="00B75F48">
      <w:pPr>
        <w:rPr>
          <w:lang w:val="fr-FR"/>
        </w:rPr>
      </w:pPr>
    </w:p>
    <w:p w:rsidR="007E244E" w:rsidRPr="00733856" w:rsidRDefault="00B75F48" w:rsidP="00B75F48">
      <w:pPr>
        <w:pStyle w:val="Heading1"/>
        <w:rPr>
          <w:lang w:val="fr-FR"/>
        </w:rPr>
      </w:pPr>
      <w:bookmarkStart w:id="6" w:name="_Toc410813393"/>
      <w:r w:rsidRPr="00733856">
        <w:rPr>
          <w:lang w:val="fr-FR"/>
        </w:rPr>
        <w:t>observations du comitÉ technique en 2013</w:t>
      </w:r>
      <w:bookmarkEnd w:id="6"/>
    </w:p>
    <w:p w:rsidR="00B75F48" w:rsidRPr="00733856" w:rsidRDefault="00B75F48" w:rsidP="004B4303">
      <w:pPr>
        <w:rPr>
          <w:lang w:val="fr-FR"/>
        </w:rPr>
      </w:pPr>
    </w:p>
    <w:p w:rsidR="00B75F48" w:rsidRPr="00733856" w:rsidRDefault="004B4303" w:rsidP="00B75F48">
      <w:pPr>
        <w:rPr>
          <w:rFonts w:cs="Arial"/>
          <w:lang w:val="fr-FR"/>
        </w:rPr>
      </w:pPr>
      <w:r w:rsidRPr="00733856">
        <w:rPr>
          <w:iCs/>
          <w:spacing w:val="-4"/>
          <w:lang w:val="fr-FR"/>
        </w:rPr>
        <w:fldChar w:fldCharType="begin"/>
      </w:r>
      <w:r w:rsidRPr="00733856">
        <w:rPr>
          <w:iCs/>
          <w:spacing w:val="-4"/>
          <w:lang w:val="fr-FR"/>
        </w:rPr>
        <w:instrText xml:space="preserve"> AUTONUM  </w:instrText>
      </w:r>
      <w:r w:rsidRPr="00733856">
        <w:rPr>
          <w:iCs/>
          <w:spacing w:val="-4"/>
          <w:lang w:val="fr-FR"/>
        </w:rPr>
        <w:fldChar w:fldCharType="end"/>
      </w:r>
      <w:r w:rsidRPr="00733856">
        <w:rPr>
          <w:iCs/>
          <w:spacing w:val="-4"/>
          <w:lang w:val="fr-FR"/>
        </w:rPr>
        <w:tab/>
      </w:r>
      <w:r w:rsidR="00B75F48" w:rsidRPr="00733856">
        <w:rPr>
          <w:iCs/>
          <w:spacing w:val="-4"/>
          <w:lang w:val="fr-FR"/>
        </w:rPr>
        <w:t>À sa quarante</w:t>
      </w:r>
      <w:r w:rsidR="008D5F1B" w:rsidRPr="00733856">
        <w:rPr>
          <w:iCs/>
          <w:spacing w:val="-4"/>
          <w:lang w:val="fr-FR"/>
        </w:rPr>
        <w:noBreakHyphen/>
      </w:r>
      <w:r w:rsidR="00B75F48" w:rsidRPr="00733856">
        <w:rPr>
          <w:iCs/>
          <w:spacing w:val="-4"/>
          <w:lang w:val="fr-FR"/>
        </w:rPr>
        <w:t>neuvième session tenue à Genève du 18 au 20 mars 2013, le</w:t>
      </w:r>
      <w:r w:rsidR="007E244E" w:rsidRPr="00733856">
        <w:rPr>
          <w:iCs/>
          <w:spacing w:val="-4"/>
          <w:lang w:val="fr-FR"/>
        </w:rPr>
        <w:t> TC</w:t>
      </w:r>
      <w:r w:rsidR="00B75F48" w:rsidRPr="00733856">
        <w:rPr>
          <w:iCs/>
          <w:spacing w:val="-4"/>
          <w:lang w:val="fr-FR"/>
        </w:rPr>
        <w:t xml:space="preserve"> est convenu de l</w:t>
      </w:r>
      <w:r w:rsidR="007E244E" w:rsidRPr="00733856">
        <w:rPr>
          <w:iCs/>
          <w:spacing w:val="-4"/>
          <w:lang w:val="fr-FR"/>
        </w:rPr>
        <w:t>’</w:t>
      </w:r>
      <w:r w:rsidR="00B75F48" w:rsidRPr="00733856">
        <w:rPr>
          <w:iCs/>
          <w:spacing w:val="-4"/>
          <w:lang w:val="fr-FR"/>
        </w:rPr>
        <w:t>élaboration par un expert de la France d</w:t>
      </w:r>
      <w:r w:rsidR="007E244E" w:rsidRPr="00733856">
        <w:rPr>
          <w:iCs/>
          <w:spacing w:val="-4"/>
          <w:lang w:val="fr-FR"/>
        </w:rPr>
        <w:t>’</w:t>
      </w:r>
      <w:r w:rsidR="00B75F48" w:rsidRPr="00733856">
        <w:rPr>
          <w:iCs/>
          <w:spacing w:val="-4"/>
          <w:lang w:val="fr-FR"/>
        </w:rPr>
        <w:t>un nouveau projet d</w:t>
      </w:r>
      <w:r w:rsidR="007E244E" w:rsidRPr="00733856">
        <w:rPr>
          <w:iCs/>
          <w:spacing w:val="-4"/>
          <w:lang w:val="fr-FR"/>
        </w:rPr>
        <w:t>’</w:t>
      </w:r>
      <w:r w:rsidR="00B75F48" w:rsidRPr="00733856">
        <w:rPr>
          <w:iCs/>
          <w:spacing w:val="-4"/>
          <w:lang w:val="fr-FR"/>
        </w:rPr>
        <w:t>une nouvelle section intitulée “Indications en matière d</w:t>
      </w:r>
      <w:r w:rsidR="007E244E" w:rsidRPr="00733856">
        <w:rPr>
          <w:iCs/>
          <w:spacing w:val="-4"/>
          <w:lang w:val="fr-FR"/>
        </w:rPr>
        <w:t>’</w:t>
      </w:r>
      <w:r w:rsidR="00B75F48" w:rsidRPr="00733856">
        <w:rPr>
          <w:iCs/>
          <w:spacing w:val="-4"/>
          <w:lang w:val="fr-FR"/>
        </w:rPr>
        <w:t>analyse des données aux fins des essais aveugles aléatoires”, sur la base de l</w:t>
      </w:r>
      <w:r w:rsidR="007E244E" w:rsidRPr="00733856">
        <w:rPr>
          <w:iCs/>
          <w:spacing w:val="-4"/>
          <w:lang w:val="fr-FR"/>
        </w:rPr>
        <w:t>’</w:t>
      </w:r>
      <w:r w:rsidR="00B75F48" w:rsidRPr="00733856">
        <w:rPr>
          <w:iCs/>
          <w:spacing w:val="-4"/>
          <w:lang w:val="fr-FR"/>
        </w:rPr>
        <w:t xml:space="preserve">annexe du </w:t>
      </w:r>
      <w:r w:rsidR="007E244E" w:rsidRPr="00733856">
        <w:rPr>
          <w:iCs/>
          <w:spacing w:val="-4"/>
          <w:lang w:val="fr-FR"/>
        </w:rPr>
        <w:t>document TC</w:t>
      </w:r>
      <w:r w:rsidR="00B75F48" w:rsidRPr="00733856">
        <w:rPr>
          <w:iCs/>
          <w:spacing w:val="-4"/>
          <w:lang w:val="fr-FR"/>
        </w:rPr>
        <w:t>/49/30 ainsi que des observations des TWP à leurs sessions en 2012 et du</w:t>
      </w:r>
      <w:r w:rsidR="007E244E" w:rsidRPr="00733856">
        <w:rPr>
          <w:iCs/>
          <w:spacing w:val="-4"/>
          <w:lang w:val="fr-FR"/>
        </w:rPr>
        <w:t> TC</w:t>
      </w:r>
      <w:r w:rsidR="008D5F1B" w:rsidRPr="00733856">
        <w:rPr>
          <w:iCs/>
          <w:spacing w:val="-4"/>
          <w:lang w:val="fr-FR"/>
        </w:rPr>
        <w:noBreakHyphen/>
      </w:r>
      <w:r w:rsidR="007E244E" w:rsidRPr="00733856">
        <w:rPr>
          <w:iCs/>
          <w:spacing w:val="-4"/>
          <w:lang w:val="fr-FR"/>
        </w:rPr>
        <w:t>EDC</w:t>
      </w:r>
      <w:r w:rsidR="00B75F48" w:rsidRPr="00733856">
        <w:rPr>
          <w:iCs/>
          <w:spacing w:val="-4"/>
          <w:lang w:val="fr-FR"/>
        </w:rPr>
        <w:t xml:space="preserve"> à sa réunion en 2013, pour examen par les TWP à leurs sessions en 2013 (voir les paragraphes 67 et 68 du </w:t>
      </w:r>
      <w:r w:rsidR="007E244E" w:rsidRPr="00733856">
        <w:rPr>
          <w:iCs/>
          <w:spacing w:val="-4"/>
          <w:lang w:val="fr-FR"/>
        </w:rPr>
        <w:t>document TC</w:t>
      </w:r>
      <w:r w:rsidR="00B75F48" w:rsidRPr="00733856">
        <w:rPr>
          <w:iCs/>
          <w:spacing w:val="-4"/>
          <w:lang w:val="fr-FR"/>
        </w:rPr>
        <w:t>/49/41 “Compte rendu des conclusions”).</w:t>
      </w:r>
    </w:p>
    <w:p w:rsidR="00B75F48" w:rsidRPr="00733856" w:rsidRDefault="00B75F48" w:rsidP="004B4303">
      <w:pPr>
        <w:rPr>
          <w:lang w:val="fr-FR"/>
        </w:rPr>
      </w:pPr>
    </w:p>
    <w:p w:rsidR="007E244E" w:rsidRPr="00733856" w:rsidRDefault="00B75F48" w:rsidP="00B75F48">
      <w:pPr>
        <w:pStyle w:val="Heading1"/>
        <w:rPr>
          <w:lang w:val="fr-FR"/>
        </w:rPr>
      </w:pPr>
      <w:bookmarkStart w:id="7" w:name="_Toc410813394"/>
      <w:r w:rsidRPr="00733856">
        <w:rPr>
          <w:lang w:val="fr-FR"/>
        </w:rPr>
        <w:t xml:space="preserve">observations </w:t>
      </w:r>
      <w:r w:rsidR="00BB67B9" w:rsidRPr="00733856">
        <w:rPr>
          <w:lang w:val="fr-FR"/>
        </w:rPr>
        <w:t>DES</w:t>
      </w:r>
      <w:r w:rsidRPr="00733856">
        <w:rPr>
          <w:lang w:val="fr-FR"/>
        </w:rPr>
        <w:t xml:space="preserve"> groupes de travail techniques en 2013</w:t>
      </w:r>
      <w:bookmarkEnd w:id="7"/>
    </w:p>
    <w:p w:rsidR="00B75F48" w:rsidRPr="00733856" w:rsidRDefault="00B75F48" w:rsidP="004B4303">
      <w:pPr>
        <w:rPr>
          <w:lang w:val="fr-FR"/>
        </w:rPr>
      </w:pPr>
    </w:p>
    <w:p w:rsidR="00B75F48" w:rsidRPr="00733856" w:rsidRDefault="004B4303" w:rsidP="004B4303">
      <w:pPr>
        <w:rPr>
          <w:lang w:val="fr-FR"/>
        </w:rPr>
      </w:pPr>
      <w:r w:rsidRPr="00733856">
        <w:rPr>
          <w:lang w:val="fr-FR"/>
        </w:rPr>
        <w:fldChar w:fldCharType="begin"/>
      </w:r>
      <w:r w:rsidRPr="00733856">
        <w:rPr>
          <w:lang w:val="fr-FR"/>
        </w:rPr>
        <w:instrText xml:space="preserve"> AUTONUM  </w:instrText>
      </w:r>
      <w:r w:rsidRPr="00733856">
        <w:rPr>
          <w:lang w:val="fr-FR"/>
        </w:rPr>
        <w:fldChar w:fldCharType="end"/>
      </w:r>
      <w:r w:rsidRPr="00733856">
        <w:rPr>
          <w:lang w:val="fr-FR"/>
        </w:rPr>
        <w:tab/>
      </w:r>
      <w:r w:rsidR="00BB67B9" w:rsidRPr="00733856">
        <w:rPr>
          <w:lang w:val="fr-FR"/>
        </w:rPr>
        <w:t>À leurs sessions en</w:t>
      </w:r>
      <w:r w:rsidR="00162BE2" w:rsidRPr="00733856">
        <w:rPr>
          <w:lang w:val="fr-FR"/>
        </w:rPr>
        <w:t> </w:t>
      </w:r>
      <w:r w:rsidR="00BB67B9" w:rsidRPr="00733856">
        <w:rPr>
          <w:lang w:val="fr-FR"/>
        </w:rPr>
        <w:t>2013,</w:t>
      </w:r>
      <w:r w:rsidR="007E244E" w:rsidRPr="00733856">
        <w:rPr>
          <w:lang w:val="fr-FR"/>
        </w:rPr>
        <w:t xml:space="preserve"> les TWO</w:t>
      </w:r>
      <w:r w:rsidRPr="00733856">
        <w:rPr>
          <w:lang w:val="fr-FR"/>
        </w:rPr>
        <w:t xml:space="preserve">, TWF, TWV, TWC </w:t>
      </w:r>
      <w:r w:rsidR="00BB67B9" w:rsidRPr="00733856">
        <w:rPr>
          <w:lang w:val="fr-FR"/>
        </w:rPr>
        <w:t>et</w:t>
      </w:r>
      <w:r w:rsidRPr="00733856">
        <w:rPr>
          <w:lang w:val="fr-FR"/>
        </w:rPr>
        <w:t xml:space="preserve"> TWA </w:t>
      </w:r>
      <w:r w:rsidR="00BB67B9" w:rsidRPr="00733856">
        <w:rPr>
          <w:lang w:val="fr-FR"/>
        </w:rPr>
        <w:t>ont examiné les</w:t>
      </w:r>
      <w:r w:rsidRPr="00733856">
        <w:rPr>
          <w:lang w:val="fr-FR"/>
        </w:rPr>
        <w:t xml:space="preserve"> </w:t>
      </w:r>
      <w:r w:rsidR="007E244E" w:rsidRPr="00733856">
        <w:rPr>
          <w:lang w:val="fr-FR"/>
        </w:rPr>
        <w:t>documents TW</w:t>
      </w:r>
      <w:r w:rsidRPr="00733856">
        <w:rPr>
          <w:lang w:val="fr-FR"/>
        </w:rPr>
        <w:t>O/46/19,</w:t>
      </w:r>
      <w:r w:rsidRPr="00733856">
        <w:rPr>
          <w:rFonts w:cs="Arial"/>
          <w:lang w:val="fr-FR"/>
        </w:rPr>
        <w:t xml:space="preserve"> TWF/44/19, TWV/47/19, TWC/31/19 </w:t>
      </w:r>
      <w:r w:rsidR="00BB67B9" w:rsidRPr="00733856">
        <w:rPr>
          <w:rFonts w:cs="Arial"/>
          <w:lang w:val="fr-FR"/>
        </w:rPr>
        <w:t>et</w:t>
      </w:r>
      <w:r w:rsidRPr="00733856">
        <w:rPr>
          <w:rFonts w:cs="Arial"/>
          <w:lang w:val="fr-FR"/>
        </w:rPr>
        <w:t xml:space="preserve"> TWA/42/19, </w:t>
      </w:r>
      <w:r w:rsidR="00BB67B9" w:rsidRPr="00733856">
        <w:rPr>
          <w:rFonts w:cs="Arial"/>
          <w:lang w:val="fr-FR"/>
        </w:rPr>
        <w:t>respectivement</w:t>
      </w:r>
      <w:r w:rsidRPr="00733856">
        <w:rPr>
          <w:rFonts w:cs="Arial"/>
          <w:lang w:val="fr-FR"/>
        </w:rPr>
        <w:t xml:space="preserve">, </w:t>
      </w:r>
      <w:r w:rsidR="00BB67B9" w:rsidRPr="00733856">
        <w:rPr>
          <w:rFonts w:cs="Arial"/>
          <w:lang w:val="fr-FR"/>
        </w:rPr>
        <w:t>qui contenaient le projet d</w:t>
      </w:r>
      <w:r w:rsidR="007E244E" w:rsidRPr="00733856">
        <w:rPr>
          <w:rFonts w:cs="Arial"/>
          <w:lang w:val="fr-FR"/>
        </w:rPr>
        <w:t>’</w:t>
      </w:r>
      <w:r w:rsidR="00BB67B9" w:rsidRPr="00733856">
        <w:rPr>
          <w:rFonts w:cs="Arial"/>
          <w:lang w:val="fr-FR"/>
        </w:rPr>
        <w:t>indications qui figure à l</w:t>
      </w:r>
      <w:r w:rsidR="007E244E" w:rsidRPr="00733856">
        <w:rPr>
          <w:rFonts w:cs="Arial"/>
          <w:lang w:val="fr-FR"/>
        </w:rPr>
        <w:t>’</w:t>
      </w:r>
      <w:r w:rsidR="00BB67B9" w:rsidRPr="00733856">
        <w:rPr>
          <w:rFonts w:cs="Arial"/>
          <w:lang w:val="fr-FR"/>
        </w:rPr>
        <w:t>annexe I du présent document.</w:t>
      </w:r>
    </w:p>
    <w:p w:rsidR="004B4303" w:rsidRPr="00733856" w:rsidRDefault="004B4303" w:rsidP="004B4303">
      <w:pPr>
        <w:rPr>
          <w:lang w:val="fr-FR"/>
        </w:rPr>
      </w:pPr>
    </w:p>
    <w:tbl>
      <w:tblPr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7348"/>
        <w:gridCol w:w="839"/>
      </w:tblGrid>
      <w:tr w:rsidR="00733856" w:rsidRPr="00733856" w:rsidTr="00AD076F">
        <w:trPr>
          <w:cantSplit/>
        </w:trPr>
        <w:tc>
          <w:tcPr>
            <w:tcW w:w="1418" w:type="dxa"/>
            <w:shd w:val="clear" w:color="auto" w:fill="auto"/>
          </w:tcPr>
          <w:p w:rsidR="004B4303" w:rsidRPr="00733856" w:rsidRDefault="00B75F48" w:rsidP="00B75F48">
            <w:pPr>
              <w:jc w:val="left"/>
              <w:rPr>
                <w:rFonts w:cs="Arial"/>
                <w:lang w:val="fr-FR"/>
              </w:rPr>
            </w:pPr>
            <w:r w:rsidRPr="00733856">
              <w:rPr>
                <w:rFonts w:cs="Arial"/>
                <w:lang w:val="fr-FR"/>
              </w:rPr>
              <w:t>Généralités</w:t>
            </w:r>
          </w:p>
        </w:tc>
        <w:tc>
          <w:tcPr>
            <w:tcW w:w="7348" w:type="dxa"/>
            <w:shd w:val="clear" w:color="auto" w:fill="auto"/>
          </w:tcPr>
          <w:p w:rsidR="00B75F48" w:rsidRPr="00733856" w:rsidRDefault="00B75F48" w:rsidP="00B75F48">
            <w:pPr>
              <w:rPr>
                <w:lang w:val="fr-FR"/>
              </w:rPr>
            </w:pPr>
            <w:r w:rsidRPr="00733856">
              <w:rPr>
                <w:lang w:val="fr-FR"/>
              </w:rPr>
              <w:t>Le TWO a pris note des observations formulées par les TWP à leurs sessions en 2012 et par le</w:t>
            </w:r>
            <w:r w:rsidR="007E244E" w:rsidRPr="00733856">
              <w:rPr>
                <w:lang w:val="fr-FR"/>
              </w:rPr>
              <w:t> TC</w:t>
            </w:r>
            <w:r w:rsidR="008D5F1B" w:rsidRPr="00733856">
              <w:rPr>
                <w:lang w:val="fr-FR"/>
              </w:rPr>
              <w:noBreakHyphen/>
            </w:r>
            <w:r w:rsidR="007E244E" w:rsidRPr="00733856">
              <w:rPr>
                <w:lang w:val="fr-FR"/>
              </w:rPr>
              <w:t>EDC</w:t>
            </w:r>
            <w:r w:rsidRPr="00733856">
              <w:rPr>
                <w:lang w:val="fr-FR"/>
              </w:rPr>
              <w:t xml:space="preserve"> en 2013, et il a examiné le projet de nouvelle section intitulée “Indications en matière d</w:t>
            </w:r>
            <w:r w:rsidR="007E244E" w:rsidRPr="00733856">
              <w:rPr>
                <w:lang w:val="fr-FR"/>
              </w:rPr>
              <w:t>’</w:t>
            </w:r>
            <w:r w:rsidRPr="00733856">
              <w:rPr>
                <w:lang w:val="fr-FR"/>
              </w:rPr>
              <w:t xml:space="preserve">analyse des données aux fins des essais aveugles aléatoires” (voir le paragraphe 44 du document TWO/46/29 </w:t>
            </w:r>
            <w:r w:rsidR="00060566" w:rsidRPr="00EE7A7D">
              <w:rPr>
                <w:lang w:val="fr-FR"/>
              </w:rPr>
              <w:t>“Report”</w:t>
            </w:r>
            <w:r w:rsidRPr="00733856">
              <w:rPr>
                <w:lang w:val="fr-FR"/>
              </w:rPr>
              <w:t>).</w:t>
            </w:r>
          </w:p>
          <w:p w:rsidR="004B4303" w:rsidRPr="00733856" w:rsidRDefault="004B4303" w:rsidP="00AD076F">
            <w:pPr>
              <w:pStyle w:val="Titleofdoc0"/>
              <w:spacing w:before="0"/>
              <w:jc w:val="both"/>
              <w:rPr>
                <w:rFonts w:cs="Arial"/>
                <w:lang w:val="fr-FR"/>
              </w:rPr>
            </w:pPr>
          </w:p>
        </w:tc>
        <w:tc>
          <w:tcPr>
            <w:tcW w:w="839" w:type="dxa"/>
            <w:shd w:val="clear" w:color="auto" w:fill="auto"/>
          </w:tcPr>
          <w:p w:rsidR="004B4303" w:rsidRPr="00733856" w:rsidRDefault="004B4303" w:rsidP="00AD076F">
            <w:pPr>
              <w:rPr>
                <w:lang w:val="fr-FR"/>
              </w:rPr>
            </w:pPr>
            <w:r w:rsidRPr="00733856">
              <w:rPr>
                <w:lang w:val="fr-FR"/>
              </w:rPr>
              <w:t xml:space="preserve">TWO </w:t>
            </w:r>
          </w:p>
        </w:tc>
      </w:tr>
      <w:tr w:rsidR="00733856" w:rsidRPr="00733856" w:rsidTr="00AD076F">
        <w:trPr>
          <w:cantSplit/>
        </w:trPr>
        <w:tc>
          <w:tcPr>
            <w:tcW w:w="1418" w:type="dxa"/>
            <w:shd w:val="clear" w:color="auto" w:fill="auto"/>
          </w:tcPr>
          <w:p w:rsidR="004B4303" w:rsidRPr="00733856" w:rsidRDefault="004B4303" w:rsidP="00AD076F">
            <w:pPr>
              <w:rPr>
                <w:lang w:val="fr-FR"/>
              </w:rPr>
            </w:pPr>
          </w:p>
        </w:tc>
        <w:tc>
          <w:tcPr>
            <w:tcW w:w="7348" w:type="dxa"/>
            <w:shd w:val="clear" w:color="auto" w:fill="auto"/>
          </w:tcPr>
          <w:p w:rsidR="00B75F48" w:rsidRPr="00733856" w:rsidRDefault="00B75F48" w:rsidP="00B75F48">
            <w:pPr>
              <w:rPr>
                <w:lang w:val="fr-FR"/>
              </w:rPr>
            </w:pPr>
            <w:r w:rsidRPr="00733856">
              <w:rPr>
                <w:lang w:val="fr-FR"/>
              </w:rPr>
              <w:t>Le TWF a pris note des observations formulées par les TWP à leurs sessions en 2012 et par le</w:t>
            </w:r>
            <w:r w:rsidR="007E244E" w:rsidRPr="00733856">
              <w:rPr>
                <w:lang w:val="fr-FR"/>
              </w:rPr>
              <w:t> TC</w:t>
            </w:r>
            <w:r w:rsidR="008D5F1B" w:rsidRPr="00733856">
              <w:rPr>
                <w:lang w:val="fr-FR"/>
              </w:rPr>
              <w:noBreakHyphen/>
            </w:r>
            <w:r w:rsidR="007E244E" w:rsidRPr="00733856">
              <w:rPr>
                <w:lang w:val="fr-FR"/>
              </w:rPr>
              <w:t>EDC</w:t>
            </w:r>
            <w:r w:rsidRPr="00733856">
              <w:rPr>
                <w:lang w:val="fr-FR"/>
              </w:rPr>
              <w:t xml:space="preserve"> en 2013, et il a examiné le projet de nouvelle section intitulée “Indications en matière d</w:t>
            </w:r>
            <w:r w:rsidR="007E244E" w:rsidRPr="00733856">
              <w:rPr>
                <w:lang w:val="fr-FR"/>
              </w:rPr>
              <w:t>’</w:t>
            </w:r>
            <w:r w:rsidRPr="00733856">
              <w:rPr>
                <w:lang w:val="fr-FR"/>
              </w:rPr>
              <w:t xml:space="preserve">analyse des données aux fins des essais aveugles aléatoires” (voir le paragraphe 48 du document TWF/44/31 </w:t>
            </w:r>
            <w:r w:rsidR="00060566" w:rsidRPr="00EE7A7D">
              <w:rPr>
                <w:lang w:val="fr-FR"/>
              </w:rPr>
              <w:t>“Report”</w:t>
            </w:r>
            <w:r w:rsidRPr="00733856">
              <w:rPr>
                <w:lang w:val="fr-FR"/>
              </w:rPr>
              <w:t>).</w:t>
            </w:r>
          </w:p>
          <w:p w:rsidR="00B75F48" w:rsidRPr="00733856" w:rsidRDefault="00B75F48" w:rsidP="00AD076F">
            <w:pPr>
              <w:rPr>
                <w:lang w:val="fr-FR"/>
              </w:rPr>
            </w:pPr>
          </w:p>
          <w:p w:rsidR="00B75F48" w:rsidRPr="00733856" w:rsidRDefault="00B75F48" w:rsidP="00B75F48">
            <w:pPr>
              <w:rPr>
                <w:lang w:val="fr-FR"/>
              </w:rPr>
            </w:pPr>
            <w:r w:rsidRPr="00733856">
              <w:rPr>
                <w:lang w:val="fr-FR"/>
              </w:rPr>
              <w:t>Le TWF est convenu que le rédacteur devrait élaborer plus en détail les indications telles qu</w:t>
            </w:r>
            <w:r w:rsidR="007E244E" w:rsidRPr="00733856">
              <w:rPr>
                <w:lang w:val="fr-FR"/>
              </w:rPr>
              <w:t>’</w:t>
            </w:r>
            <w:r w:rsidRPr="00733856">
              <w:rPr>
                <w:lang w:val="fr-FR"/>
              </w:rPr>
              <w:t>elles figurent dans l</w:t>
            </w:r>
            <w:r w:rsidR="007E244E" w:rsidRPr="00733856">
              <w:rPr>
                <w:lang w:val="fr-FR"/>
              </w:rPr>
              <w:t>’</w:t>
            </w:r>
            <w:r w:rsidR="00581A52" w:rsidRPr="00733856">
              <w:rPr>
                <w:lang w:val="fr-FR"/>
              </w:rPr>
              <w:t>annexe </w:t>
            </w:r>
            <w:r w:rsidRPr="00733856">
              <w:rPr>
                <w:lang w:val="fr-FR"/>
              </w:rPr>
              <w:t>II du document TWF/42/19 sur le projet d</w:t>
            </w:r>
            <w:r w:rsidR="007E244E" w:rsidRPr="00733856">
              <w:rPr>
                <w:lang w:val="fr-FR"/>
              </w:rPr>
              <w:t>’</w:t>
            </w:r>
            <w:r w:rsidRPr="00733856">
              <w:rPr>
                <w:lang w:val="fr-FR"/>
              </w:rPr>
              <w:t>indications en matière d</w:t>
            </w:r>
            <w:r w:rsidR="007E244E" w:rsidRPr="00733856">
              <w:rPr>
                <w:lang w:val="fr-FR"/>
              </w:rPr>
              <w:t>’</w:t>
            </w:r>
            <w:r w:rsidRPr="00733856">
              <w:rPr>
                <w:lang w:val="fr-FR"/>
              </w:rPr>
              <w:t xml:space="preserve">analyse des données aux fins des essais aveugles aléatoires qui serait incorporé dans une future version révisée du document TGP/8 (voir le paragraphe 49 du document TWF/44/31 </w:t>
            </w:r>
            <w:r w:rsidR="00060566" w:rsidRPr="00EE7A7D">
              <w:rPr>
                <w:lang w:val="fr-FR"/>
              </w:rPr>
              <w:t>“Report”</w:t>
            </w:r>
            <w:r w:rsidRPr="00733856">
              <w:rPr>
                <w:lang w:val="fr-FR"/>
              </w:rPr>
              <w:t>).</w:t>
            </w:r>
          </w:p>
          <w:p w:rsidR="004B4303" w:rsidRPr="00733856" w:rsidRDefault="004B4303" w:rsidP="00AD076F">
            <w:pPr>
              <w:rPr>
                <w:lang w:val="fr-FR"/>
              </w:rPr>
            </w:pPr>
          </w:p>
        </w:tc>
        <w:tc>
          <w:tcPr>
            <w:tcW w:w="839" w:type="dxa"/>
            <w:shd w:val="clear" w:color="auto" w:fill="auto"/>
          </w:tcPr>
          <w:p w:rsidR="004B4303" w:rsidRPr="00733856" w:rsidRDefault="00B75F48" w:rsidP="00B75F48">
            <w:pPr>
              <w:rPr>
                <w:lang w:val="fr-FR"/>
              </w:rPr>
            </w:pPr>
            <w:r w:rsidRPr="00733856">
              <w:rPr>
                <w:lang w:val="fr-FR"/>
              </w:rPr>
              <w:t>TWF</w:t>
            </w:r>
            <w:r w:rsidR="004B4303" w:rsidRPr="00733856">
              <w:rPr>
                <w:lang w:val="fr-FR"/>
              </w:rPr>
              <w:t xml:space="preserve"> </w:t>
            </w:r>
          </w:p>
        </w:tc>
      </w:tr>
      <w:tr w:rsidR="00733856" w:rsidRPr="00733856" w:rsidTr="00AD076F">
        <w:trPr>
          <w:cantSplit/>
        </w:trPr>
        <w:tc>
          <w:tcPr>
            <w:tcW w:w="1418" w:type="dxa"/>
            <w:shd w:val="clear" w:color="auto" w:fill="auto"/>
          </w:tcPr>
          <w:p w:rsidR="004B4303" w:rsidRPr="00733856" w:rsidRDefault="004B4303" w:rsidP="00AD076F">
            <w:pPr>
              <w:jc w:val="left"/>
              <w:rPr>
                <w:rFonts w:cs="Arial"/>
                <w:lang w:val="fr-FR"/>
              </w:rPr>
            </w:pPr>
          </w:p>
        </w:tc>
        <w:tc>
          <w:tcPr>
            <w:tcW w:w="7348" w:type="dxa"/>
            <w:shd w:val="clear" w:color="auto" w:fill="auto"/>
          </w:tcPr>
          <w:p w:rsidR="00B75F48" w:rsidRPr="00733856" w:rsidRDefault="00B75F48" w:rsidP="00B75F48">
            <w:pPr>
              <w:rPr>
                <w:lang w:val="fr-FR"/>
              </w:rPr>
            </w:pPr>
            <w:r w:rsidRPr="00733856">
              <w:rPr>
                <w:lang w:val="fr-FR"/>
              </w:rPr>
              <w:t>Le TWV a pris note des observations formulées par les TWP à leurs sessions en 2012 et par le</w:t>
            </w:r>
            <w:r w:rsidR="007E244E" w:rsidRPr="00733856">
              <w:rPr>
                <w:lang w:val="fr-FR"/>
              </w:rPr>
              <w:t> TC</w:t>
            </w:r>
            <w:r w:rsidR="008D5F1B" w:rsidRPr="00733856">
              <w:rPr>
                <w:lang w:val="fr-FR"/>
              </w:rPr>
              <w:noBreakHyphen/>
            </w:r>
            <w:r w:rsidR="007E244E" w:rsidRPr="00733856">
              <w:rPr>
                <w:lang w:val="fr-FR"/>
              </w:rPr>
              <w:t>EDC</w:t>
            </w:r>
            <w:r w:rsidRPr="00733856">
              <w:rPr>
                <w:lang w:val="fr-FR"/>
              </w:rPr>
              <w:t xml:space="preserve"> en 2013, et il a examiné le projet de nouvelle section intitulée “Indications en matière d</w:t>
            </w:r>
            <w:r w:rsidR="007E244E" w:rsidRPr="00733856">
              <w:rPr>
                <w:lang w:val="fr-FR"/>
              </w:rPr>
              <w:t>’</w:t>
            </w:r>
            <w:r w:rsidRPr="00733856">
              <w:rPr>
                <w:lang w:val="fr-FR"/>
              </w:rPr>
              <w:t xml:space="preserve">analyse des données aux fins des essais aveugles aléatoires” (voir le paragraphe 48 du document TWV/47/34 </w:t>
            </w:r>
            <w:r w:rsidR="00060566" w:rsidRPr="00EE7A7D">
              <w:rPr>
                <w:lang w:val="fr-FR"/>
              </w:rPr>
              <w:t>“Report”</w:t>
            </w:r>
            <w:r w:rsidRPr="00733856">
              <w:rPr>
                <w:lang w:val="fr-FR"/>
              </w:rPr>
              <w:t>).</w:t>
            </w:r>
          </w:p>
          <w:p w:rsidR="004B4303" w:rsidRPr="00733856" w:rsidRDefault="004B4303" w:rsidP="00AD076F">
            <w:pPr>
              <w:rPr>
                <w:lang w:val="fr-FR"/>
              </w:rPr>
            </w:pPr>
          </w:p>
        </w:tc>
        <w:tc>
          <w:tcPr>
            <w:tcW w:w="839" w:type="dxa"/>
            <w:shd w:val="clear" w:color="auto" w:fill="auto"/>
          </w:tcPr>
          <w:p w:rsidR="004B4303" w:rsidRPr="00733856" w:rsidRDefault="00B75F48" w:rsidP="00B75F48">
            <w:pPr>
              <w:rPr>
                <w:lang w:val="fr-FR"/>
              </w:rPr>
            </w:pPr>
            <w:r w:rsidRPr="00733856">
              <w:rPr>
                <w:lang w:val="fr-FR"/>
              </w:rPr>
              <w:t>TWV</w:t>
            </w:r>
          </w:p>
        </w:tc>
      </w:tr>
      <w:tr w:rsidR="00733856" w:rsidRPr="00733856" w:rsidTr="00AD076F">
        <w:trPr>
          <w:cantSplit/>
        </w:trPr>
        <w:tc>
          <w:tcPr>
            <w:tcW w:w="1418" w:type="dxa"/>
            <w:shd w:val="clear" w:color="auto" w:fill="auto"/>
          </w:tcPr>
          <w:p w:rsidR="004B4303" w:rsidRPr="00733856" w:rsidRDefault="004B4303" w:rsidP="00AD076F">
            <w:pPr>
              <w:jc w:val="left"/>
              <w:rPr>
                <w:rFonts w:cs="Arial"/>
                <w:lang w:val="fr-FR"/>
              </w:rPr>
            </w:pPr>
          </w:p>
        </w:tc>
        <w:tc>
          <w:tcPr>
            <w:tcW w:w="7348" w:type="dxa"/>
            <w:shd w:val="clear" w:color="auto" w:fill="auto"/>
          </w:tcPr>
          <w:p w:rsidR="007E244E" w:rsidRPr="00733856" w:rsidRDefault="00B75F48" w:rsidP="00B75F48">
            <w:pPr>
              <w:rPr>
                <w:rFonts w:cs="Arial"/>
                <w:lang w:val="fr-FR"/>
              </w:rPr>
            </w:pPr>
            <w:r w:rsidRPr="00733856">
              <w:rPr>
                <w:rFonts w:cs="Arial"/>
                <w:lang w:val="fr-FR"/>
              </w:rPr>
              <w:t>Le TWC a examiné le document TWC/31/19 et pris note que le projet d</w:t>
            </w:r>
            <w:r w:rsidR="007E244E" w:rsidRPr="00733856">
              <w:rPr>
                <w:rFonts w:cs="Arial"/>
                <w:lang w:val="fr-FR"/>
              </w:rPr>
              <w:t>’</w:t>
            </w:r>
            <w:r w:rsidRPr="00733856">
              <w:rPr>
                <w:rFonts w:cs="Arial"/>
                <w:lang w:val="fr-FR"/>
              </w:rPr>
              <w:t>indications devrait être décrit en termes généraux afin de convenir aux espèces expérimentées en parcelles ou sous la forme de plantes individuelles et à l</w:t>
            </w:r>
            <w:r w:rsidR="007E244E" w:rsidRPr="00733856">
              <w:rPr>
                <w:rFonts w:cs="Arial"/>
                <w:lang w:val="fr-FR"/>
              </w:rPr>
              <w:t>’</w:t>
            </w:r>
            <w:r w:rsidRPr="00733856">
              <w:rPr>
                <w:rFonts w:cs="Arial"/>
                <w:lang w:val="fr-FR"/>
              </w:rPr>
              <w:t xml:space="preserve">observation des différents types de caractères (QN, PQ, QL) (voir le paragraphe 46 du document TWC/31/32 </w:t>
            </w:r>
            <w:r w:rsidR="00060566" w:rsidRPr="00EE7A7D">
              <w:rPr>
                <w:lang w:val="fr-FR"/>
              </w:rPr>
              <w:t>“Report”</w:t>
            </w:r>
            <w:r w:rsidRPr="00733856">
              <w:rPr>
                <w:rFonts w:cs="Arial"/>
                <w:lang w:val="fr-FR"/>
              </w:rPr>
              <w:t>).</w:t>
            </w:r>
          </w:p>
          <w:p w:rsidR="004B4303" w:rsidRPr="00733856" w:rsidRDefault="004B4303" w:rsidP="00AD076F">
            <w:pPr>
              <w:rPr>
                <w:lang w:val="fr-FR"/>
              </w:rPr>
            </w:pPr>
          </w:p>
        </w:tc>
        <w:tc>
          <w:tcPr>
            <w:tcW w:w="839" w:type="dxa"/>
            <w:shd w:val="clear" w:color="auto" w:fill="auto"/>
          </w:tcPr>
          <w:p w:rsidR="004B4303" w:rsidRPr="00733856" w:rsidRDefault="00B75F48" w:rsidP="00B75F48">
            <w:pPr>
              <w:rPr>
                <w:lang w:val="fr-FR"/>
              </w:rPr>
            </w:pPr>
            <w:r w:rsidRPr="00733856">
              <w:rPr>
                <w:lang w:val="fr-FR"/>
              </w:rPr>
              <w:t>TWC</w:t>
            </w:r>
          </w:p>
        </w:tc>
      </w:tr>
      <w:tr w:rsidR="00733856" w:rsidRPr="00733856" w:rsidTr="00AD076F">
        <w:trPr>
          <w:cantSplit/>
        </w:trPr>
        <w:tc>
          <w:tcPr>
            <w:tcW w:w="1418" w:type="dxa"/>
            <w:shd w:val="clear" w:color="auto" w:fill="auto"/>
          </w:tcPr>
          <w:p w:rsidR="004B4303" w:rsidRPr="00733856" w:rsidRDefault="004B4303" w:rsidP="00AD076F">
            <w:pPr>
              <w:jc w:val="left"/>
              <w:rPr>
                <w:rFonts w:cs="Arial"/>
                <w:lang w:val="fr-FR"/>
              </w:rPr>
            </w:pPr>
          </w:p>
        </w:tc>
        <w:tc>
          <w:tcPr>
            <w:tcW w:w="7348" w:type="dxa"/>
            <w:shd w:val="clear" w:color="auto" w:fill="auto"/>
          </w:tcPr>
          <w:p w:rsidR="00B75F48" w:rsidRPr="00733856" w:rsidRDefault="00B75F48" w:rsidP="00B75F48">
            <w:pPr>
              <w:rPr>
                <w:lang w:val="fr-FR"/>
              </w:rPr>
            </w:pPr>
            <w:r w:rsidRPr="00733856">
              <w:rPr>
                <w:lang w:val="fr-FR"/>
              </w:rPr>
              <w:t>Le TWA a pris note des observations formulées par les TWP à leurs sessions en 2012 et par le</w:t>
            </w:r>
            <w:r w:rsidR="007E244E" w:rsidRPr="00733856">
              <w:rPr>
                <w:lang w:val="fr-FR"/>
              </w:rPr>
              <w:t> TC</w:t>
            </w:r>
            <w:r w:rsidR="008D5F1B" w:rsidRPr="00733856">
              <w:rPr>
                <w:lang w:val="fr-FR"/>
              </w:rPr>
              <w:noBreakHyphen/>
            </w:r>
            <w:r w:rsidR="007E244E" w:rsidRPr="00733856">
              <w:rPr>
                <w:lang w:val="fr-FR"/>
              </w:rPr>
              <w:t>EDC</w:t>
            </w:r>
            <w:r w:rsidRPr="00733856">
              <w:rPr>
                <w:lang w:val="fr-FR"/>
              </w:rPr>
              <w:t xml:space="preserve"> en 2013, et il a examiné le projet de nouvelle section intitulée “Indications en matière d</w:t>
            </w:r>
            <w:r w:rsidR="007E244E" w:rsidRPr="00733856">
              <w:rPr>
                <w:lang w:val="fr-FR"/>
              </w:rPr>
              <w:t>’</w:t>
            </w:r>
            <w:r w:rsidRPr="00733856">
              <w:rPr>
                <w:lang w:val="fr-FR"/>
              </w:rPr>
              <w:t>analyse des données aux fins des essais aveugles aléatoires”.</w:t>
            </w:r>
          </w:p>
          <w:p w:rsidR="00B75F48" w:rsidRPr="00733856" w:rsidRDefault="00B75F48" w:rsidP="00AD076F">
            <w:pPr>
              <w:rPr>
                <w:lang w:val="fr-FR"/>
              </w:rPr>
            </w:pPr>
          </w:p>
          <w:p w:rsidR="00B75F48" w:rsidRPr="00733856" w:rsidRDefault="00B75F48" w:rsidP="00B75F48">
            <w:pPr>
              <w:rPr>
                <w:lang w:val="fr-FR"/>
              </w:rPr>
            </w:pPr>
            <w:r w:rsidRPr="00733856">
              <w:rPr>
                <w:lang w:val="fr-FR"/>
              </w:rPr>
              <w:t>Le TWA est convenu que le rédacteur devrait élaborer plus en détail les indications telles qu</w:t>
            </w:r>
            <w:r w:rsidR="007E244E" w:rsidRPr="00733856">
              <w:rPr>
                <w:lang w:val="fr-FR"/>
              </w:rPr>
              <w:t>’</w:t>
            </w:r>
            <w:r w:rsidRPr="00733856">
              <w:rPr>
                <w:lang w:val="fr-FR"/>
              </w:rPr>
              <w:t>elles figurent dans l</w:t>
            </w:r>
            <w:r w:rsidR="007E244E" w:rsidRPr="00733856">
              <w:rPr>
                <w:lang w:val="fr-FR"/>
              </w:rPr>
              <w:t>’</w:t>
            </w:r>
            <w:r w:rsidRPr="00733856">
              <w:rPr>
                <w:lang w:val="fr-FR"/>
              </w:rPr>
              <w:t>annexe II du document TWF/42/19 sur le projet d</w:t>
            </w:r>
            <w:r w:rsidR="007E244E" w:rsidRPr="00733856">
              <w:rPr>
                <w:lang w:val="fr-FR"/>
              </w:rPr>
              <w:t>’</w:t>
            </w:r>
            <w:r w:rsidRPr="00733856">
              <w:rPr>
                <w:lang w:val="fr-FR"/>
              </w:rPr>
              <w:t>indications en matière d</w:t>
            </w:r>
            <w:r w:rsidR="007E244E" w:rsidRPr="00733856">
              <w:rPr>
                <w:lang w:val="fr-FR"/>
              </w:rPr>
              <w:t>’</w:t>
            </w:r>
            <w:r w:rsidRPr="00733856">
              <w:rPr>
                <w:lang w:val="fr-FR"/>
              </w:rPr>
              <w:t>analyse des données aux fins des essais aveugles aléatoires qui serait incorporé dans une future version révisée du document TGP/8.</w:t>
            </w:r>
          </w:p>
          <w:p w:rsidR="00B75F48" w:rsidRPr="00733856" w:rsidRDefault="00B75F48" w:rsidP="00AD076F">
            <w:pPr>
              <w:rPr>
                <w:lang w:val="fr-FR"/>
              </w:rPr>
            </w:pPr>
          </w:p>
          <w:p w:rsidR="00B75F48" w:rsidRPr="00733856" w:rsidRDefault="00B75F48" w:rsidP="00B75F48">
            <w:pPr>
              <w:rPr>
                <w:lang w:val="fr-FR"/>
              </w:rPr>
            </w:pPr>
            <w:r w:rsidRPr="00733856">
              <w:rPr>
                <w:lang w:val="fr-FR"/>
              </w:rPr>
              <w:t xml:space="preserve">Le TWA est </w:t>
            </w:r>
            <w:proofErr w:type="gramStart"/>
            <w:r w:rsidRPr="00733856">
              <w:rPr>
                <w:lang w:val="fr-FR"/>
              </w:rPr>
              <w:t>convenu</w:t>
            </w:r>
            <w:proofErr w:type="gramEnd"/>
            <w:r w:rsidRPr="00733856">
              <w:rPr>
                <w:lang w:val="fr-FR"/>
              </w:rPr>
              <w:t xml:space="preserve"> que les essais aveugles aléatoires étaient une méthode utile qui convenait à des situations particulières et il a rappelé le rôle joué par les obtenteurs dans le recensement de leurs variétés et par les experts DHS dans la décision finale des essais (voir les paragraphes 51 à 53 du document TWA/42/31 </w:t>
            </w:r>
            <w:r w:rsidR="00AD1B19" w:rsidRPr="00EE7A7D">
              <w:rPr>
                <w:lang w:val="fr-FR"/>
              </w:rPr>
              <w:t>“Report”</w:t>
            </w:r>
            <w:r w:rsidRPr="00733856">
              <w:rPr>
                <w:lang w:val="fr-FR"/>
              </w:rPr>
              <w:t>).</w:t>
            </w:r>
          </w:p>
          <w:p w:rsidR="004B4303" w:rsidRPr="00733856" w:rsidRDefault="004B4303" w:rsidP="00AD076F">
            <w:pPr>
              <w:keepNext/>
              <w:rPr>
                <w:rFonts w:cs="Arial"/>
                <w:lang w:val="fr-FR"/>
              </w:rPr>
            </w:pPr>
          </w:p>
        </w:tc>
        <w:tc>
          <w:tcPr>
            <w:tcW w:w="839" w:type="dxa"/>
            <w:shd w:val="clear" w:color="auto" w:fill="auto"/>
          </w:tcPr>
          <w:p w:rsidR="004B4303" w:rsidRPr="00733856" w:rsidRDefault="00B75F48" w:rsidP="00B75F48">
            <w:pPr>
              <w:rPr>
                <w:lang w:val="fr-FR"/>
              </w:rPr>
            </w:pPr>
            <w:r w:rsidRPr="00733856">
              <w:rPr>
                <w:lang w:val="fr-FR"/>
              </w:rPr>
              <w:t>TWA</w:t>
            </w:r>
          </w:p>
        </w:tc>
      </w:tr>
      <w:tr w:rsidR="00733856" w:rsidRPr="00733856" w:rsidTr="00AD076F">
        <w:trPr>
          <w:cantSplit/>
        </w:trPr>
        <w:tc>
          <w:tcPr>
            <w:tcW w:w="1418" w:type="dxa"/>
            <w:shd w:val="clear" w:color="auto" w:fill="auto"/>
          </w:tcPr>
          <w:p w:rsidR="004B4303" w:rsidRPr="00733856" w:rsidRDefault="00B75F48" w:rsidP="00B75F48">
            <w:pPr>
              <w:jc w:val="left"/>
              <w:rPr>
                <w:rFonts w:cs="Arial"/>
                <w:lang w:val="fr-FR"/>
              </w:rPr>
            </w:pPr>
            <w:r w:rsidRPr="00733856">
              <w:rPr>
                <w:rFonts w:cs="Arial"/>
                <w:lang w:val="fr-FR"/>
              </w:rPr>
              <w:t>Titre</w:t>
            </w:r>
            <w:r w:rsidR="004B4303" w:rsidRPr="00733856">
              <w:rPr>
                <w:rFonts w:cs="Arial"/>
                <w:lang w:val="fr-FR"/>
              </w:rPr>
              <w:t xml:space="preserve"> </w:t>
            </w:r>
          </w:p>
        </w:tc>
        <w:tc>
          <w:tcPr>
            <w:tcW w:w="7348" w:type="dxa"/>
            <w:shd w:val="clear" w:color="auto" w:fill="auto"/>
          </w:tcPr>
          <w:p w:rsidR="00B75F48" w:rsidRPr="00733856" w:rsidRDefault="00B75F48" w:rsidP="00B75F48">
            <w:pPr>
              <w:pStyle w:val="Titleofdoc0"/>
              <w:spacing w:before="0"/>
              <w:jc w:val="both"/>
              <w:rPr>
                <w:rFonts w:cs="Arial"/>
                <w:caps w:val="0"/>
                <w:lang w:val="fr-FR"/>
              </w:rPr>
            </w:pPr>
            <w:r w:rsidRPr="00733856">
              <w:rPr>
                <w:rFonts w:cs="Arial"/>
                <w:caps w:val="0"/>
                <w:lang w:val="fr-FR"/>
              </w:rPr>
              <w:t>Le TWO a pris note que le projet de nouvelle section avait trait au protocole d</w:t>
            </w:r>
            <w:r w:rsidR="007E244E" w:rsidRPr="00733856">
              <w:rPr>
                <w:rFonts w:cs="Arial"/>
                <w:caps w:val="0"/>
                <w:lang w:val="fr-FR"/>
              </w:rPr>
              <w:t>’</w:t>
            </w:r>
            <w:r w:rsidRPr="00733856">
              <w:rPr>
                <w:rFonts w:cs="Arial"/>
                <w:caps w:val="0"/>
                <w:lang w:val="fr-FR"/>
              </w:rPr>
              <w:t>essai DHS et il a suggéré de modifier le titre qui lirait “Projet d</w:t>
            </w:r>
            <w:r w:rsidR="007E244E" w:rsidRPr="00733856">
              <w:rPr>
                <w:rFonts w:cs="Arial"/>
                <w:caps w:val="0"/>
                <w:lang w:val="fr-FR"/>
              </w:rPr>
              <w:t>’</w:t>
            </w:r>
            <w:r w:rsidRPr="00733856">
              <w:rPr>
                <w:rFonts w:cs="Arial"/>
                <w:caps w:val="0"/>
                <w:lang w:val="fr-FR"/>
              </w:rPr>
              <w:t>indications aux fins des essais aveugles aléatoires effectués par le service ou par une tierce partie” (voir le paragraphe 45 du document TWO/46/29 “</w:t>
            </w:r>
            <w:r w:rsidR="00AD1B19">
              <w:rPr>
                <w:rFonts w:cs="Arial"/>
                <w:caps w:val="0"/>
                <w:lang w:val="fr-FR"/>
              </w:rPr>
              <w:t>Report</w:t>
            </w:r>
            <w:r w:rsidRPr="00733856">
              <w:rPr>
                <w:rFonts w:cs="Arial"/>
                <w:caps w:val="0"/>
                <w:lang w:val="fr-FR"/>
              </w:rPr>
              <w:t>”).</w:t>
            </w:r>
          </w:p>
          <w:p w:rsidR="004B4303" w:rsidRPr="00733856" w:rsidRDefault="004B4303" w:rsidP="00AD076F">
            <w:pPr>
              <w:rPr>
                <w:lang w:val="fr-FR"/>
              </w:rPr>
            </w:pPr>
          </w:p>
        </w:tc>
        <w:tc>
          <w:tcPr>
            <w:tcW w:w="839" w:type="dxa"/>
            <w:shd w:val="clear" w:color="auto" w:fill="auto"/>
          </w:tcPr>
          <w:p w:rsidR="004B4303" w:rsidRPr="00733856" w:rsidRDefault="004B4303" w:rsidP="00AD076F">
            <w:pPr>
              <w:rPr>
                <w:lang w:val="fr-FR"/>
              </w:rPr>
            </w:pPr>
            <w:r w:rsidRPr="00733856">
              <w:rPr>
                <w:lang w:val="fr-FR"/>
              </w:rPr>
              <w:t>TWO</w:t>
            </w:r>
          </w:p>
        </w:tc>
      </w:tr>
      <w:tr w:rsidR="00733856" w:rsidRPr="00733856" w:rsidTr="00AD076F">
        <w:trPr>
          <w:cantSplit/>
        </w:trPr>
        <w:tc>
          <w:tcPr>
            <w:tcW w:w="1418" w:type="dxa"/>
            <w:shd w:val="clear" w:color="auto" w:fill="auto"/>
          </w:tcPr>
          <w:p w:rsidR="004B4303" w:rsidRPr="00733856" w:rsidRDefault="004B4303" w:rsidP="00AD076F">
            <w:pPr>
              <w:jc w:val="left"/>
              <w:rPr>
                <w:rFonts w:cs="Arial"/>
                <w:lang w:val="fr-FR"/>
              </w:rPr>
            </w:pPr>
            <w:r w:rsidRPr="00733856">
              <w:rPr>
                <w:rFonts w:cs="Arial"/>
                <w:lang w:val="fr-FR"/>
              </w:rPr>
              <w:t>Introduction</w:t>
            </w:r>
          </w:p>
        </w:tc>
        <w:tc>
          <w:tcPr>
            <w:tcW w:w="7348" w:type="dxa"/>
            <w:shd w:val="clear" w:color="auto" w:fill="auto"/>
          </w:tcPr>
          <w:p w:rsidR="007E244E" w:rsidRPr="00733856" w:rsidRDefault="00B75F48" w:rsidP="00B75F48">
            <w:pPr>
              <w:pStyle w:val="Titleofdoc0"/>
              <w:spacing w:before="0"/>
              <w:jc w:val="both"/>
              <w:rPr>
                <w:rFonts w:cs="Arial"/>
                <w:caps w:val="0"/>
                <w:lang w:val="fr-FR"/>
              </w:rPr>
            </w:pPr>
            <w:r w:rsidRPr="00733856">
              <w:rPr>
                <w:rFonts w:cs="Arial"/>
                <w:caps w:val="0"/>
                <w:lang w:val="fr-FR"/>
              </w:rPr>
              <w:t>Le TWO a suggéré que l</w:t>
            </w:r>
            <w:r w:rsidR="007E244E" w:rsidRPr="00733856">
              <w:rPr>
                <w:rFonts w:cs="Arial"/>
                <w:caps w:val="0"/>
                <w:lang w:val="fr-FR"/>
              </w:rPr>
              <w:t>’</w:t>
            </w:r>
            <w:r w:rsidRPr="00733856">
              <w:rPr>
                <w:rFonts w:cs="Arial"/>
                <w:caps w:val="0"/>
                <w:lang w:val="fr-FR"/>
              </w:rPr>
              <w:t>introduction soit générique et demandé que soit ajouté un exemple pour les plantes ornementales (voir le paragraphe 46 du document TWO/46/29 “</w:t>
            </w:r>
            <w:r w:rsidR="00AD1B19">
              <w:rPr>
                <w:rFonts w:cs="Arial"/>
                <w:caps w:val="0"/>
                <w:lang w:val="fr-FR"/>
              </w:rPr>
              <w:t>Report</w:t>
            </w:r>
            <w:r w:rsidRPr="00733856">
              <w:rPr>
                <w:rFonts w:cs="Arial"/>
                <w:caps w:val="0"/>
                <w:lang w:val="fr-FR"/>
              </w:rPr>
              <w:t>”).</w:t>
            </w:r>
          </w:p>
          <w:p w:rsidR="004B4303" w:rsidRPr="00733856" w:rsidRDefault="004B4303" w:rsidP="00AD076F">
            <w:pPr>
              <w:pStyle w:val="Titleofdoc0"/>
              <w:spacing w:before="0"/>
              <w:jc w:val="both"/>
              <w:rPr>
                <w:rFonts w:cs="Arial"/>
                <w:caps w:val="0"/>
                <w:lang w:val="fr-FR"/>
              </w:rPr>
            </w:pPr>
          </w:p>
        </w:tc>
        <w:tc>
          <w:tcPr>
            <w:tcW w:w="839" w:type="dxa"/>
            <w:shd w:val="clear" w:color="auto" w:fill="auto"/>
          </w:tcPr>
          <w:p w:rsidR="004B4303" w:rsidRPr="00733856" w:rsidRDefault="004B4303" w:rsidP="00AD076F">
            <w:pPr>
              <w:rPr>
                <w:lang w:val="fr-FR"/>
              </w:rPr>
            </w:pPr>
            <w:r w:rsidRPr="00733856">
              <w:rPr>
                <w:lang w:val="fr-FR"/>
              </w:rPr>
              <w:t>TWO</w:t>
            </w:r>
          </w:p>
        </w:tc>
      </w:tr>
      <w:tr w:rsidR="00733856" w:rsidRPr="00733856" w:rsidTr="00AD076F">
        <w:trPr>
          <w:cantSplit/>
        </w:trPr>
        <w:tc>
          <w:tcPr>
            <w:tcW w:w="1418" w:type="dxa"/>
            <w:shd w:val="clear" w:color="auto" w:fill="auto"/>
          </w:tcPr>
          <w:p w:rsidR="007E244E" w:rsidRPr="00733856" w:rsidRDefault="00B75F48" w:rsidP="00B75F48">
            <w:pPr>
              <w:jc w:val="left"/>
              <w:rPr>
                <w:rFonts w:cs="Arial"/>
                <w:lang w:val="fr-FR"/>
              </w:rPr>
            </w:pPr>
            <w:r w:rsidRPr="00733856">
              <w:rPr>
                <w:rFonts w:cs="Arial"/>
                <w:lang w:val="fr-FR"/>
              </w:rPr>
              <w:t>Origine du matériel/ Autorisation de l</w:t>
            </w:r>
            <w:r w:rsidR="007E244E" w:rsidRPr="00733856">
              <w:rPr>
                <w:rFonts w:cs="Arial"/>
                <w:lang w:val="fr-FR"/>
              </w:rPr>
              <w:t>’</w:t>
            </w:r>
            <w:r w:rsidRPr="00733856">
              <w:rPr>
                <w:rFonts w:cs="Arial"/>
                <w:lang w:val="fr-FR"/>
              </w:rPr>
              <w:t>utilisation de certaines variétés de référence</w:t>
            </w:r>
          </w:p>
          <w:p w:rsidR="004B4303" w:rsidRPr="00733856" w:rsidRDefault="004B4303" w:rsidP="00AD076F">
            <w:pPr>
              <w:jc w:val="left"/>
              <w:rPr>
                <w:rFonts w:cs="Arial"/>
                <w:lang w:val="fr-FR"/>
              </w:rPr>
            </w:pPr>
          </w:p>
        </w:tc>
        <w:tc>
          <w:tcPr>
            <w:tcW w:w="7348" w:type="dxa"/>
            <w:shd w:val="clear" w:color="auto" w:fill="auto"/>
          </w:tcPr>
          <w:p w:rsidR="007E244E" w:rsidRPr="00733856" w:rsidRDefault="00B75F48" w:rsidP="00B75F48">
            <w:pPr>
              <w:rPr>
                <w:rFonts w:cs="Arial"/>
                <w:lang w:val="fr-FR" w:eastAsia="ja-JP"/>
              </w:rPr>
            </w:pPr>
            <w:r w:rsidRPr="00733856">
              <w:rPr>
                <w:rFonts w:cs="Arial"/>
                <w:lang w:val="fr-FR" w:eastAsia="ja-JP"/>
              </w:rPr>
              <w:t>Le TWV est convenu que le rédacteur devrait élaborer plus en détail les indications afin d</w:t>
            </w:r>
            <w:r w:rsidR="007E244E" w:rsidRPr="00733856">
              <w:rPr>
                <w:rFonts w:cs="Arial"/>
                <w:lang w:val="fr-FR" w:eastAsia="ja-JP"/>
              </w:rPr>
              <w:t>’</w:t>
            </w:r>
            <w:r w:rsidRPr="00733856">
              <w:rPr>
                <w:rFonts w:cs="Arial"/>
                <w:lang w:val="fr-FR" w:eastAsia="ja-JP"/>
              </w:rPr>
              <w:t>expliquer que l</w:t>
            </w:r>
            <w:r w:rsidR="007E244E" w:rsidRPr="00733856">
              <w:rPr>
                <w:rFonts w:cs="Arial"/>
                <w:lang w:val="fr-FR" w:eastAsia="ja-JP"/>
              </w:rPr>
              <w:t>’</w:t>
            </w:r>
            <w:r w:rsidRPr="00733856">
              <w:rPr>
                <w:rFonts w:cs="Arial"/>
                <w:lang w:val="fr-FR" w:eastAsia="ja-JP"/>
              </w:rPr>
              <w:t>origine du matériel ne devrait pas influencer la décision finale et que l</w:t>
            </w:r>
            <w:r w:rsidR="007E244E" w:rsidRPr="00733856">
              <w:rPr>
                <w:rFonts w:cs="Arial"/>
                <w:lang w:val="fr-FR" w:eastAsia="ja-JP"/>
              </w:rPr>
              <w:t>’</w:t>
            </w:r>
            <w:r w:rsidRPr="00733856">
              <w:rPr>
                <w:rFonts w:cs="Arial"/>
                <w:lang w:val="fr-FR" w:eastAsia="ja-JP"/>
              </w:rPr>
              <w:t>autorisation de l</w:t>
            </w:r>
            <w:r w:rsidR="007E244E" w:rsidRPr="00733856">
              <w:rPr>
                <w:rFonts w:cs="Arial"/>
                <w:lang w:val="fr-FR" w:eastAsia="ja-JP"/>
              </w:rPr>
              <w:t>’</w:t>
            </w:r>
            <w:r w:rsidRPr="00733856">
              <w:rPr>
                <w:rFonts w:cs="Arial"/>
                <w:lang w:val="fr-FR" w:eastAsia="ja-JP"/>
              </w:rPr>
              <w:t>obtenteur devrait être obtenue pour les variétés qui ont fait l</w:t>
            </w:r>
            <w:r w:rsidR="007E244E" w:rsidRPr="00733856">
              <w:rPr>
                <w:rFonts w:cs="Arial"/>
                <w:lang w:val="fr-FR" w:eastAsia="ja-JP"/>
              </w:rPr>
              <w:t>’</w:t>
            </w:r>
            <w:r w:rsidRPr="00733856">
              <w:rPr>
                <w:rFonts w:cs="Arial"/>
                <w:lang w:val="fr-FR" w:eastAsia="ja-JP"/>
              </w:rPr>
              <w:t>objet d</w:t>
            </w:r>
            <w:r w:rsidR="007E244E" w:rsidRPr="00733856">
              <w:rPr>
                <w:rFonts w:cs="Arial"/>
                <w:lang w:val="fr-FR" w:eastAsia="ja-JP"/>
              </w:rPr>
              <w:t>’</w:t>
            </w:r>
            <w:r w:rsidRPr="00733856">
              <w:rPr>
                <w:rFonts w:cs="Arial"/>
                <w:lang w:val="fr-FR" w:eastAsia="ja-JP"/>
              </w:rPr>
              <w:t>une demande ainsi que pour certaines lignées parentales (voir le paragraphe 49 du document TWV/47/34 “</w:t>
            </w:r>
            <w:r w:rsidR="00AD1B19">
              <w:rPr>
                <w:rFonts w:cs="Arial"/>
                <w:lang w:val="fr-FR" w:eastAsia="ja-JP"/>
              </w:rPr>
              <w:t>Report</w:t>
            </w:r>
            <w:r w:rsidRPr="00733856">
              <w:rPr>
                <w:rFonts w:cs="Arial"/>
                <w:lang w:val="fr-FR" w:eastAsia="ja-JP"/>
              </w:rPr>
              <w:t>”).</w:t>
            </w:r>
          </w:p>
          <w:p w:rsidR="004B4303" w:rsidRPr="00733856" w:rsidRDefault="004B4303" w:rsidP="00AD076F">
            <w:pPr>
              <w:pStyle w:val="Titleofdoc0"/>
              <w:spacing w:before="0"/>
              <w:jc w:val="both"/>
              <w:rPr>
                <w:rFonts w:cs="Arial"/>
                <w:caps w:val="0"/>
                <w:lang w:val="fr-FR"/>
              </w:rPr>
            </w:pPr>
          </w:p>
        </w:tc>
        <w:tc>
          <w:tcPr>
            <w:tcW w:w="839" w:type="dxa"/>
            <w:shd w:val="clear" w:color="auto" w:fill="auto"/>
          </w:tcPr>
          <w:p w:rsidR="004B4303" w:rsidRPr="00733856" w:rsidRDefault="00B75F48" w:rsidP="00B75F48">
            <w:pPr>
              <w:rPr>
                <w:lang w:val="fr-FR"/>
              </w:rPr>
            </w:pPr>
            <w:r w:rsidRPr="00733856">
              <w:rPr>
                <w:lang w:val="fr-FR"/>
              </w:rPr>
              <w:t>TWV</w:t>
            </w:r>
          </w:p>
        </w:tc>
      </w:tr>
      <w:tr w:rsidR="00733856" w:rsidRPr="00733856" w:rsidTr="00AD076F">
        <w:trPr>
          <w:cantSplit/>
        </w:trPr>
        <w:tc>
          <w:tcPr>
            <w:tcW w:w="1418" w:type="dxa"/>
            <w:shd w:val="clear" w:color="auto" w:fill="auto"/>
          </w:tcPr>
          <w:p w:rsidR="004B4303" w:rsidRPr="00733856" w:rsidRDefault="00B75F48" w:rsidP="00B75F48">
            <w:pPr>
              <w:jc w:val="left"/>
              <w:rPr>
                <w:rFonts w:cs="Arial"/>
                <w:lang w:val="fr-FR"/>
              </w:rPr>
            </w:pPr>
            <w:r w:rsidRPr="00733856">
              <w:rPr>
                <w:rFonts w:cs="Arial"/>
                <w:lang w:val="fr-FR"/>
              </w:rPr>
              <w:t>Préparation de l</w:t>
            </w:r>
            <w:r w:rsidR="007E244E" w:rsidRPr="00733856">
              <w:rPr>
                <w:rFonts w:cs="Arial"/>
                <w:lang w:val="fr-FR"/>
              </w:rPr>
              <w:t>’</w:t>
            </w:r>
            <w:r w:rsidRPr="00733856">
              <w:rPr>
                <w:rFonts w:cs="Arial"/>
                <w:lang w:val="fr-FR"/>
              </w:rPr>
              <w:t>essai</w:t>
            </w:r>
          </w:p>
        </w:tc>
        <w:tc>
          <w:tcPr>
            <w:tcW w:w="7348" w:type="dxa"/>
            <w:shd w:val="clear" w:color="auto" w:fill="auto"/>
          </w:tcPr>
          <w:p w:rsidR="00B75F48" w:rsidRPr="00733856" w:rsidRDefault="00B75F48" w:rsidP="00B75F48">
            <w:pPr>
              <w:rPr>
                <w:rFonts w:cs="Arial"/>
                <w:lang w:val="fr-FR"/>
              </w:rPr>
            </w:pPr>
            <w:r w:rsidRPr="00733856">
              <w:rPr>
                <w:rFonts w:cs="Arial"/>
                <w:lang w:val="fr-FR"/>
              </w:rPr>
              <w:t>Le TWC est convenu que la section décrivant la méthode de préparation de l</w:t>
            </w:r>
            <w:r w:rsidR="007E244E" w:rsidRPr="00733856">
              <w:rPr>
                <w:rFonts w:cs="Arial"/>
                <w:lang w:val="fr-FR"/>
              </w:rPr>
              <w:t>’</w:t>
            </w:r>
            <w:r w:rsidRPr="00733856">
              <w:rPr>
                <w:rFonts w:cs="Arial"/>
                <w:lang w:val="fr-FR"/>
              </w:rPr>
              <w:t>essai devrait être élaborée plus en détail afin de préciser la procédure de codage des variétés à utiliser.</w:t>
            </w:r>
            <w:r w:rsidR="004B4303" w:rsidRPr="00733856">
              <w:rPr>
                <w:lang w:val="fr-FR"/>
              </w:rPr>
              <w:t xml:space="preserve"> </w:t>
            </w:r>
            <w:r w:rsidR="00162BE2" w:rsidRPr="00733856">
              <w:rPr>
                <w:rFonts w:cs="Arial"/>
                <w:lang w:val="fr-FR"/>
              </w:rPr>
              <w:t xml:space="preserve"> </w:t>
            </w:r>
            <w:r w:rsidRPr="00733856">
              <w:rPr>
                <w:rFonts w:cs="Arial"/>
                <w:lang w:val="fr-FR"/>
              </w:rPr>
              <w:t>Le TWC a demandé que soit amélioré l</w:t>
            </w:r>
            <w:r w:rsidR="007E244E" w:rsidRPr="00733856">
              <w:rPr>
                <w:rFonts w:cs="Arial"/>
                <w:lang w:val="fr-FR"/>
              </w:rPr>
              <w:t>’</w:t>
            </w:r>
            <w:r w:rsidRPr="00733856">
              <w:rPr>
                <w:rFonts w:cs="Arial"/>
                <w:lang w:val="fr-FR"/>
              </w:rPr>
              <w:t>exemple utilisé dans le paragraphe 4 avec l</w:t>
            </w:r>
            <w:r w:rsidR="007E244E" w:rsidRPr="00733856">
              <w:rPr>
                <w:rFonts w:cs="Arial"/>
                <w:lang w:val="fr-FR"/>
              </w:rPr>
              <w:t>’</w:t>
            </w:r>
            <w:r w:rsidRPr="00733856">
              <w:rPr>
                <w:rFonts w:cs="Arial"/>
                <w:lang w:val="fr-FR"/>
              </w:rPr>
              <w:t xml:space="preserve">attribution au hasard de codes et la répétition de tous les échantillons utilisés, </w:t>
            </w:r>
            <w:r w:rsidR="007E244E" w:rsidRPr="00733856">
              <w:rPr>
                <w:rFonts w:cs="Arial"/>
                <w:lang w:val="fr-FR"/>
              </w:rPr>
              <w:t>y compris</w:t>
            </w:r>
            <w:r w:rsidRPr="00733856">
              <w:rPr>
                <w:rFonts w:cs="Arial"/>
                <w:lang w:val="fr-FR"/>
              </w:rPr>
              <w:t xml:space="preserve"> l</w:t>
            </w:r>
            <w:r w:rsidR="007E244E" w:rsidRPr="00733856">
              <w:rPr>
                <w:rFonts w:cs="Arial"/>
                <w:lang w:val="fr-FR"/>
              </w:rPr>
              <w:t>’</w:t>
            </w:r>
            <w:r w:rsidRPr="00733856">
              <w:rPr>
                <w:rFonts w:cs="Arial"/>
                <w:lang w:val="fr-FR"/>
              </w:rPr>
              <w:t>échantillon “C” (Mélange) (voir le paragraphe 47 du document TWC/31/32 “</w:t>
            </w:r>
            <w:r w:rsidR="00AD1B19">
              <w:rPr>
                <w:rFonts w:cs="Arial"/>
                <w:lang w:val="fr-FR"/>
              </w:rPr>
              <w:t>Report</w:t>
            </w:r>
            <w:r w:rsidRPr="00733856">
              <w:rPr>
                <w:rFonts w:cs="Arial"/>
                <w:lang w:val="fr-FR"/>
              </w:rPr>
              <w:t>”).</w:t>
            </w:r>
          </w:p>
          <w:p w:rsidR="00B75F48" w:rsidRPr="00733856" w:rsidRDefault="00B75F48" w:rsidP="00AD076F">
            <w:pPr>
              <w:rPr>
                <w:rFonts w:cs="Arial"/>
                <w:lang w:val="fr-FR"/>
              </w:rPr>
            </w:pPr>
          </w:p>
          <w:p w:rsidR="007E244E" w:rsidRPr="00733856" w:rsidRDefault="00B75F48" w:rsidP="00B75F48">
            <w:pPr>
              <w:autoSpaceDE w:val="0"/>
              <w:autoSpaceDN w:val="0"/>
              <w:adjustRightInd w:val="0"/>
              <w:rPr>
                <w:rFonts w:ascii="ArialMT" w:hAnsi="ArialMT" w:cs="ArialMT"/>
                <w:lang w:val="fr-FR"/>
              </w:rPr>
            </w:pPr>
            <w:r w:rsidRPr="00733856">
              <w:rPr>
                <w:rFonts w:ascii="ArialMT" w:hAnsi="ArialMT" w:cs="ArialMT"/>
                <w:lang w:val="fr-FR"/>
              </w:rPr>
              <w:t>Le TWC est convenu que les indications devraient inclure la prise en compte de statistiques dans l</w:t>
            </w:r>
            <w:r w:rsidR="007E244E" w:rsidRPr="00733856">
              <w:rPr>
                <w:rFonts w:ascii="ArialMT" w:hAnsi="ArialMT" w:cs="ArialMT"/>
                <w:lang w:val="fr-FR"/>
              </w:rPr>
              <w:t>’</w:t>
            </w:r>
            <w:r w:rsidRPr="00733856">
              <w:rPr>
                <w:rFonts w:ascii="ArialMT" w:hAnsi="ArialMT" w:cs="ArialMT"/>
                <w:lang w:val="fr-FR"/>
              </w:rPr>
              <w:t>élaboration de l</w:t>
            </w:r>
            <w:r w:rsidR="007E244E" w:rsidRPr="00733856">
              <w:rPr>
                <w:rFonts w:ascii="ArialMT" w:hAnsi="ArialMT" w:cs="ArialMT"/>
                <w:lang w:val="fr-FR"/>
              </w:rPr>
              <w:t>’</w:t>
            </w:r>
            <w:r w:rsidRPr="00733856">
              <w:rPr>
                <w:rFonts w:ascii="ArialMT" w:hAnsi="ArialMT" w:cs="ArialMT"/>
                <w:lang w:val="fr-FR"/>
              </w:rPr>
              <w:t>essai de telle sorte que le nombre de répétitions soit suffisamment grand que pour s</w:t>
            </w:r>
            <w:r w:rsidR="007E244E" w:rsidRPr="00733856">
              <w:rPr>
                <w:rFonts w:ascii="ArialMT" w:hAnsi="ArialMT" w:cs="ArialMT"/>
                <w:lang w:val="fr-FR"/>
              </w:rPr>
              <w:t>’</w:t>
            </w:r>
            <w:r w:rsidRPr="00733856">
              <w:rPr>
                <w:rFonts w:ascii="ArialMT" w:hAnsi="ArialMT" w:cs="ArialMT"/>
                <w:lang w:val="fr-FR"/>
              </w:rPr>
              <w:t>assurer que petite est seulement la probabilité (p. ex.</w:t>
            </w:r>
            <w:r w:rsidR="004B4303" w:rsidRPr="00733856">
              <w:rPr>
                <w:rFonts w:ascii="ArialMT" w:hAnsi="ArialMT"/>
                <w:lang w:val="fr-FR"/>
              </w:rPr>
              <w:t xml:space="preserve"> </w:t>
            </w:r>
            <w:r w:rsidRPr="00733856">
              <w:rPr>
                <w:rFonts w:ascii="ArialMT" w:hAnsi="ArialMT" w:cs="ArialMT"/>
                <w:lang w:val="fr-FR"/>
              </w:rPr>
              <w:t>&lt;0,05 ou 0,01) que la variété candidate a été correctement étiquetée par hasard (voir le paragraphe 48 du document TWC/31/32 “</w:t>
            </w:r>
            <w:r w:rsidR="00AD1B19">
              <w:rPr>
                <w:rFonts w:ascii="ArialMT" w:hAnsi="ArialMT" w:cs="ArialMT"/>
                <w:lang w:val="fr-FR"/>
              </w:rPr>
              <w:t>Report</w:t>
            </w:r>
            <w:r w:rsidRPr="00733856">
              <w:rPr>
                <w:rFonts w:ascii="ArialMT" w:hAnsi="ArialMT" w:cs="ArialMT"/>
                <w:lang w:val="fr-FR"/>
              </w:rPr>
              <w:t>”).</w:t>
            </w:r>
          </w:p>
          <w:p w:rsidR="004B4303" w:rsidRPr="00733856" w:rsidRDefault="004B4303" w:rsidP="00AD076F">
            <w:pPr>
              <w:rPr>
                <w:lang w:val="fr-FR"/>
              </w:rPr>
            </w:pPr>
          </w:p>
        </w:tc>
        <w:tc>
          <w:tcPr>
            <w:tcW w:w="839" w:type="dxa"/>
            <w:shd w:val="clear" w:color="auto" w:fill="auto"/>
          </w:tcPr>
          <w:p w:rsidR="004B4303" w:rsidRPr="00733856" w:rsidRDefault="00B75F48" w:rsidP="00B75F48">
            <w:pPr>
              <w:rPr>
                <w:lang w:val="fr-FR"/>
              </w:rPr>
            </w:pPr>
            <w:r w:rsidRPr="00733856">
              <w:rPr>
                <w:lang w:val="fr-FR"/>
              </w:rPr>
              <w:t>TWC</w:t>
            </w:r>
          </w:p>
        </w:tc>
      </w:tr>
      <w:tr w:rsidR="00733856" w:rsidRPr="00733856" w:rsidTr="00AD076F">
        <w:trPr>
          <w:cantSplit/>
        </w:trPr>
        <w:tc>
          <w:tcPr>
            <w:tcW w:w="1418" w:type="dxa"/>
            <w:shd w:val="clear" w:color="auto" w:fill="auto"/>
          </w:tcPr>
          <w:p w:rsidR="004B4303" w:rsidRPr="00733856" w:rsidRDefault="00B75F48" w:rsidP="00B75F48">
            <w:pPr>
              <w:jc w:val="left"/>
              <w:rPr>
                <w:rFonts w:cs="Arial"/>
                <w:lang w:val="fr-FR"/>
              </w:rPr>
            </w:pPr>
            <w:r w:rsidRPr="00733856">
              <w:rPr>
                <w:rFonts w:cs="Arial"/>
                <w:lang w:val="fr-FR"/>
              </w:rPr>
              <w:t>Analyse des résultats</w:t>
            </w:r>
          </w:p>
        </w:tc>
        <w:tc>
          <w:tcPr>
            <w:tcW w:w="7348" w:type="dxa"/>
            <w:shd w:val="clear" w:color="auto" w:fill="auto"/>
          </w:tcPr>
          <w:p w:rsidR="007E244E" w:rsidRPr="00733856" w:rsidRDefault="00B75F48" w:rsidP="00B75F48">
            <w:pPr>
              <w:rPr>
                <w:rFonts w:cs="Arial"/>
                <w:lang w:val="fr-FR"/>
              </w:rPr>
            </w:pPr>
            <w:r w:rsidRPr="00733856">
              <w:rPr>
                <w:rFonts w:cs="Arial"/>
                <w:lang w:val="fr-FR"/>
              </w:rPr>
              <w:t>Le TWC est convenu que le projet d</w:t>
            </w:r>
            <w:r w:rsidR="007E244E" w:rsidRPr="00733856">
              <w:rPr>
                <w:rFonts w:cs="Arial"/>
                <w:lang w:val="fr-FR"/>
              </w:rPr>
              <w:t>’</w:t>
            </w:r>
            <w:r w:rsidRPr="00733856">
              <w:rPr>
                <w:rFonts w:cs="Arial"/>
                <w:lang w:val="fr-FR"/>
              </w:rPr>
              <w:t>indications devrait donner des informations sur l</w:t>
            </w:r>
            <w:r w:rsidR="007E244E" w:rsidRPr="00733856">
              <w:rPr>
                <w:rFonts w:cs="Arial"/>
                <w:lang w:val="fr-FR"/>
              </w:rPr>
              <w:t>’</w:t>
            </w:r>
            <w:r w:rsidRPr="00733856">
              <w:rPr>
                <w:rFonts w:cs="Arial"/>
                <w:lang w:val="fr-FR"/>
              </w:rPr>
              <w:t>analyse des résultats (voir le paragraphe 49 du document TWC/31/32 “</w:t>
            </w:r>
            <w:r w:rsidR="00AD1B19">
              <w:rPr>
                <w:rFonts w:cs="Arial"/>
                <w:lang w:val="fr-FR"/>
              </w:rPr>
              <w:t>Report</w:t>
            </w:r>
            <w:r w:rsidRPr="00733856">
              <w:rPr>
                <w:rFonts w:cs="Arial"/>
                <w:lang w:val="fr-FR"/>
              </w:rPr>
              <w:t>”).</w:t>
            </w:r>
          </w:p>
          <w:p w:rsidR="004B4303" w:rsidRPr="00733856" w:rsidRDefault="004B4303" w:rsidP="00AD076F">
            <w:pPr>
              <w:rPr>
                <w:rFonts w:cs="Arial"/>
                <w:lang w:val="fr-FR"/>
              </w:rPr>
            </w:pPr>
          </w:p>
        </w:tc>
        <w:tc>
          <w:tcPr>
            <w:tcW w:w="839" w:type="dxa"/>
            <w:shd w:val="clear" w:color="auto" w:fill="auto"/>
          </w:tcPr>
          <w:p w:rsidR="004B4303" w:rsidRPr="00733856" w:rsidRDefault="00B75F48" w:rsidP="00B75F48">
            <w:pPr>
              <w:rPr>
                <w:lang w:val="fr-FR"/>
              </w:rPr>
            </w:pPr>
            <w:r w:rsidRPr="00733856">
              <w:rPr>
                <w:lang w:val="fr-FR"/>
              </w:rPr>
              <w:t>TWC</w:t>
            </w:r>
          </w:p>
        </w:tc>
      </w:tr>
    </w:tbl>
    <w:p w:rsidR="00B75F48" w:rsidRPr="00733856" w:rsidRDefault="00B75F48" w:rsidP="004B4303">
      <w:pPr>
        <w:rPr>
          <w:lang w:val="fr-FR"/>
        </w:rPr>
      </w:pPr>
    </w:p>
    <w:p w:rsidR="007E244E" w:rsidRPr="00733856" w:rsidRDefault="000C09DC" w:rsidP="000C09DC">
      <w:pPr>
        <w:pStyle w:val="Heading1"/>
        <w:rPr>
          <w:lang w:val="fr-FR"/>
        </w:rPr>
      </w:pPr>
      <w:bookmarkStart w:id="8" w:name="_Toc410813395"/>
      <w:r w:rsidRPr="00733856">
        <w:rPr>
          <w:lang w:val="fr-FR"/>
        </w:rPr>
        <w:t>observations du comitÉ technique en 2014</w:t>
      </w:r>
      <w:bookmarkEnd w:id="8"/>
    </w:p>
    <w:p w:rsidR="00B75F48" w:rsidRPr="00733856" w:rsidRDefault="00B75F48" w:rsidP="004B4303">
      <w:pPr>
        <w:rPr>
          <w:lang w:val="fr-FR"/>
        </w:rPr>
      </w:pPr>
    </w:p>
    <w:p w:rsidR="00B75F48" w:rsidRPr="00733856" w:rsidRDefault="004B4303" w:rsidP="004B4303">
      <w:pPr>
        <w:rPr>
          <w:rFonts w:cs="Arial"/>
          <w:lang w:val="fr-FR" w:eastAsia="ja-JP"/>
        </w:rPr>
      </w:pPr>
      <w:r w:rsidRPr="00733856">
        <w:rPr>
          <w:rFonts w:cs="Arial"/>
          <w:lang w:val="fr-FR"/>
        </w:rPr>
        <w:fldChar w:fldCharType="begin"/>
      </w:r>
      <w:r w:rsidRPr="00733856">
        <w:rPr>
          <w:rFonts w:cs="Arial"/>
          <w:lang w:val="fr-FR"/>
        </w:rPr>
        <w:instrText xml:space="preserve"> AUTONUM  </w:instrText>
      </w:r>
      <w:r w:rsidRPr="00733856">
        <w:rPr>
          <w:rFonts w:cs="Arial"/>
          <w:lang w:val="fr-FR"/>
        </w:rPr>
        <w:fldChar w:fldCharType="end"/>
      </w:r>
      <w:r w:rsidRPr="00733856">
        <w:rPr>
          <w:rFonts w:cs="Arial"/>
          <w:lang w:val="fr-FR"/>
        </w:rPr>
        <w:tab/>
      </w:r>
      <w:r w:rsidR="00BB67B9" w:rsidRPr="00733856">
        <w:rPr>
          <w:rFonts w:cs="Arial"/>
          <w:lang w:val="fr-FR"/>
        </w:rPr>
        <w:t>À sa cinquantième</w:t>
      </w:r>
      <w:r w:rsidR="00162BE2" w:rsidRPr="00733856">
        <w:rPr>
          <w:rFonts w:cs="Arial"/>
          <w:lang w:val="fr-FR"/>
        </w:rPr>
        <w:t> </w:t>
      </w:r>
      <w:r w:rsidR="00BB67B9" w:rsidRPr="00733856">
        <w:rPr>
          <w:rFonts w:cs="Arial"/>
          <w:lang w:val="fr-FR"/>
        </w:rPr>
        <w:t>s</w:t>
      </w:r>
      <w:r w:rsidR="007E244E" w:rsidRPr="00733856">
        <w:rPr>
          <w:rFonts w:cs="Arial"/>
          <w:lang w:val="fr-FR"/>
        </w:rPr>
        <w:t>ession tenue à Genève du 7 au 9 avril 2014, le TC</w:t>
      </w:r>
      <w:r w:rsidR="00BB67B9" w:rsidRPr="00733856">
        <w:rPr>
          <w:lang w:val="fr-FR"/>
        </w:rPr>
        <w:t xml:space="preserve"> a examiné le </w:t>
      </w:r>
      <w:r w:rsidR="007E244E" w:rsidRPr="00733856">
        <w:rPr>
          <w:lang w:val="fr-FR"/>
        </w:rPr>
        <w:t>docu</w:t>
      </w:r>
      <w:r w:rsidR="007E244E" w:rsidRPr="00733856">
        <w:rPr>
          <w:rFonts w:cs="Arial"/>
          <w:lang w:val="fr-FR"/>
        </w:rPr>
        <w:t>ment</w:t>
      </w:r>
      <w:r w:rsidR="007E244E" w:rsidRPr="00733856">
        <w:rPr>
          <w:lang w:val="fr-FR"/>
        </w:rPr>
        <w:t xml:space="preserve"> </w:t>
      </w:r>
      <w:r w:rsidR="007E244E" w:rsidRPr="00733856">
        <w:rPr>
          <w:rFonts w:cs="Arial"/>
          <w:lang w:val="fr-FR"/>
        </w:rPr>
        <w:t>TC</w:t>
      </w:r>
      <w:r w:rsidRPr="00733856">
        <w:rPr>
          <w:rFonts w:cs="Arial"/>
          <w:lang w:val="fr-FR"/>
        </w:rPr>
        <w:t xml:space="preserve">/50/26 </w:t>
      </w:r>
      <w:r w:rsidR="00BB67B9" w:rsidRPr="00733856">
        <w:rPr>
          <w:rFonts w:cs="Arial"/>
          <w:lang w:val="fr-FR"/>
        </w:rPr>
        <w:t>qui contenait le projet d</w:t>
      </w:r>
      <w:r w:rsidR="007E244E" w:rsidRPr="00733856">
        <w:rPr>
          <w:rFonts w:cs="Arial"/>
          <w:lang w:val="fr-FR"/>
        </w:rPr>
        <w:t>’</w:t>
      </w:r>
      <w:r w:rsidR="00BB67B9" w:rsidRPr="00733856">
        <w:rPr>
          <w:rFonts w:cs="Arial"/>
          <w:lang w:val="fr-FR"/>
        </w:rPr>
        <w:t>indications qui figure à l</w:t>
      </w:r>
      <w:r w:rsidR="007E244E" w:rsidRPr="00733856">
        <w:rPr>
          <w:rFonts w:cs="Arial"/>
          <w:lang w:val="fr-FR"/>
        </w:rPr>
        <w:t>’</w:t>
      </w:r>
      <w:r w:rsidR="00BB67B9" w:rsidRPr="00733856">
        <w:rPr>
          <w:rFonts w:cs="Arial"/>
          <w:lang w:val="fr-FR"/>
        </w:rPr>
        <w:t>annexe</w:t>
      </w:r>
      <w:r w:rsidR="00162BE2" w:rsidRPr="00733856">
        <w:rPr>
          <w:rFonts w:cs="Arial"/>
          <w:lang w:val="fr-FR"/>
        </w:rPr>
        <w:t> </w:t>
      </w:r>
      <w:r w:rsidR="00BB67B9" w:rsidRPr="00733856">
        <w:rPr>
          <w:rFonts w:cs="Arial"/>
          <w:lang w:val="fr-FR"/>
        </w:rPr>
        <w:t>I du présent document</w:t>
      </w:r>
      <w:r w:rsidRPr="00733856">
        <w:rPr>
          <w:rFonts w:cs="Arial"/>
          <w:lang w:val="fr-FR"/>
        </w:rPr>
        <w:t xml:space="preserve">. </w:t>
      </w:r>
      <w:r w:rsidR="00BB67B9" w:rsidRPr="00733856">
        <w:rPr>
          <w:rFonts w:cs="Arial"/>
          <w:lang w:val="fr-FR"/>
        </w:rPr>
        <w:t xml:space="preserve"> Il est convenu de demander que des experts de la France poursuivent l</w:t>
      </w:r>
      <w:r w:rsidR="007E244E" w:rsidRPr="00733856">
        <w:rPr>
          <w:rFonts w:cs="Arial"/>
          <w:lang w:val="fr-FR"/>
        </w:rPr>
        <w:t>’</w:t>
      </w:r>
      <w:r w:rsidR="00BB67B9" w:rsidRPr="00733856">
        <w:rPr>
          <w:rFonts w:cs="Arial"/>
          <w:lang w:val="fr-FR"/>
        </w:rPr>
        <w:t xml:space="preserve">élaboration des indications proposées sur la base </w:t>
      </w:r>
      <w:r w:rsidR="00291CFE" w:rsidRPr="00733856">
        <w:rPr>
          <w:rFonts w:cs="Arial"/>
          <w:lang w:val="fr-FR"/>
        </w:rPr>
        <w:t>d</w:t>
      </w:r>
      <w:r w:rsidR="00BB67B9" w:rsidRPr="00733856">
        <w:rPr>
          <w:rFonts w:cs="Arial"/>
          <w:lang w:val="fr-FR"/>
        </w:rPr>
        <w:t xml:space="preserve">es observations </w:t>
      </w:r>
      <w:r w:rsidR="00291CFE" w:rsidRPr="00733856">
        <w:rPr>
          <w:rFonts w:cs="Arial"/>
          <w:lang w:val="fr-FR"/>
        </w:rPr>
        <w:t>formulées par</w:t>
      </w:r>
      <w:r w:rsidR="007E244E" w:rsidRPr="00733856">
        <w:rPr>
          <w:rFonts w:cs="Arial"/>
          <w:lang w:val="fr-FR"/>
        </w:rPr>
        <w:t xml:space="preserve"> les TWP</w:t>
      </w:r>
      <w:r w:rsidR="00291CFE" w:rsidRPr="00733856">
        <w:rPr>
          <w:rFonts w:cs="Arial"/>
          <w:lang w:val="fr-FR"/>
        </w:rPr>
        <w:t>, comme indiqué au paragraphe </w:t>
      </w:r>
      <w:r w:rsidR="00EB501D">
        <w:rPr>
          <w:rFonts w:cs="Arial"/>
          <w:lang w:val="fr-FR"/>
        </w:rPr>
        <w:t>7</w:t>
      </w:r>
      <w:r w:rsidR="00291CFE" w:rsidRPr="00733856">
        <w:rPr>
          <w:rFonts w:cs="Arial"/>
          <w:lang w:val="fr-FR"/>
        </w:rPr>
        <w:t xml:space="preserve"> du présent document, et des observations ci</w:t>
      </w:r>
      <w:r w:rsidR="008D5F1B" w:rsidRPr="00733856">
        <w:rPr>
          <w:rFonts w:cs="Arial"/>
          <w:lang w:val="fr-FR"/>
        </w:rPr>
        <w:noBreakHyphen/>
      </w:r>
      <w:r w:rsidR="00291CFE" w:rsidRPr="00733856">
        <w:rPr>
          <w:rFonts w:cs="Arial"/>
          <w:lang w:val="fr-FR"/>
        </w:rPr>
        <w:t>après formulées par le</w:t>
      </w:r>
      <w:r w:rsidR="007E244E" w:rsidRPr="00733856">
        <w:rPr>
          <w:rFonts w:cs="Arial"/>
          <w:lang w:val="fr-FR"/>
        </w:rPr>
        <w:t> TC</w:t>
      </w:r>
      <w:r w:rsidR="008D5F1B" w:rsidRPr="00733856">
        <w:rPr>
          <w:rFonts w:cs="Arial"/>
          <w:lang w:val="fr-FR"/>
        </w:rPr>
        <w:noBreakHyphen/>
      </w:r>
      <w:r w:rsidR="007E244E" w:rsidRPr="00733856">
        <w:rPr>
          <w:rFonts w:cs="Arial"/>
          <w:lang w:val="fr-FR"/>
        </w:rPr>
        <w:t>EDC</w:t>
      </w:r>
      <w:r w:rsidR="00291CFE" w:rsidRPr="00733856">
        <w:rPr>
          <w:rFonts w:cs="Arial"/>
          <w:lang w:val="fr-FR"/>
        </w:rPr>
        <w:t xml:space="preserve"> à sa session tenue à Genève les 8 et </w:t>
      </w:r>
      <w:r w:rsidR="007E244E" w:rsidRPr="00733856">
        <w:rPr>
          <w:rFonts w:cs="Arial"/>
          <w:lang w:val="fr-FR"/>
        </w:rPr>
        <w:t>9 janvier 20</w:t>
      </w:r>
      <w:r w:rsidR="00D50187" w:rsidRPr="00733856">
        <w:rPr>
          <w:rFonts w:cs="Arial"/>
          <w:lang w:val="fr-FR"/>
        </w:rPr>
        <w:t>14</w:t>
      </w:r>
      <w:r w:rsidR="00291CFE" w:rsidRPr="00733856">
        <w:rPr>
          <w:rFonts w:cs="Arial"/>
          <w:lang w:val="fr-FR"/>
        </w:rPr>
        <w:t> :</w:t>
      </w:r>
    </w:p>
    <w:p w:rsidR="004B4303" w:rsidRPr="00733856" w:rsidRDefault="004B4303" w:rsidP="004B4303">
      <w:pPr>
        <w:rPr>
          <w:rFonts w:cs="Arial"/>
          <w:lang w:val="fr-FR" w:eastAsia="ja-JP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7938"/>
      </w:tblGrid>
      <w:tr w:rsidR="00733856" w:rsidRPr="00BB150E" w:rsidTr="00AD076F">
        <w:trPr>
          <w:cantSplit/>
        </w:trPr>
        <w:tc>
          <w:tcPr>
            <w:tcW w:w="1701" w:type="dxa"/>
          </w:tcPr>
          <w:p w:rsidR="004B4303" w:rsidRPr="00733856" w:rsidRDefault="00D50187" w:rsidP="000C09DC">
            <w:pPr>
              <w:jc w:val="left"/>
              <w:rPr>
                <w:lang w:val="fr-FR"/>
              </w:rPr>
            </w:pPr>
            <w:r w:rsidRPr="00733856">
              <w:rPr>
                <w:lang w:val="fr-FR"/>
              </w:rPr>
              <w:lastRenderedPageBreak/>
              <w:t xml:space="preserve">Remarques </w:t>
            </w:r>
            <w:r w:rsidR="000C09DC" w:rsidRPr="00733856">
              <w:rPr>
                <w:lang w:val="fr-FR"/>
              </w:rPr>
              <w:t>général</w:t>
            </w:r>
            <w:r w:rsidRPr="00733856">
              <w:rPr>
                <w:lang w:val="fr-FR"/>
              </w:rPr>
              <w:t>es</w:t>
            </w:r>
          </w:p>
        </w:tc>
        <w:tc>
          <w:tcPr>
            <w:tcW w:w="7938" w:type="dxa"/>
          </w:tcPr>
          <w:p w:rsidR="007E244E" w:rsidRPr="00733856" w:rsidRDefault="000C09DC" w:rsidP="000C09DC">
            <w:pPr>
              <w:rPr>
                <w:lang w:val="fr-FR"/>
              </w:rPr>
            </w:pPr>
            <w:r w:rsidRPr="00733856">
              <w:rPr>
                <w:lang w:val="fr-FR"/>
              </w:rPr>
              <w:t>Le</w:t>
            </w:r>
            <w:r w:rsidR="007E244E" w:rsidRPr="00733856">
              <w:rPr>
                <w:lang w:val="fr-FR"/>
              </w:rPr>
              <w:t> TC</w:t>
            </w:r>
            <w:r w:rsidR="008D5F1B" w:rsidRPr="00733856">
              <w:rPr>
                <w:lang w:val="fr-FR"/>
              </w:rPr>
              <w:noBreakHyphen/>
            </w:r>
            <w:r w:rsidR="007E244E" w:rsidRPr="00733856">
              <w:rPr>
                <w:lang w:val="fr-FR"/>
              </w:rPr>
              <w:t>EDC</w:t>
            </w:r>
            <w:r w:rsidRPr="00733856">
              <w:rPr>
                <w:lang w:val="fr-FR"/>
              </w:rPr>
              <w:t xml:space="preserve"> a pris note que les essais aveugles aléatoires n</w:t>
            </w:r>
            <w:r w:rsidR="007E244E" w:rsidRPr="00733856">
              <w:rPr>
                <w:lang w:val="fr-FR"/>
              </w:rPr>
              <w:t>’</w:t>
            </w:r>
            <w:r w:rsidRPr="00733856">
              <w:rPr>
                <w:lang w:val="fr-FR"/>
              </w:rPr>
              <w:t>étaient que très rarement utilisés et il a suggéré que le</w:t>
            </w:r>
            <w:r w:rsidR="007E244E" w:rsidRPr="00733856">
              <w:rPr>
                <w:lang w:val="fr-FR"/>
              </w:rPr>
              <w:t> TC</w:t>
            </w:r>
            <w:r w:rsidRPr="00733856">
              <w:rPr>
                <w:lang w:val="fr-FR"/>
              </w:rPr>
              <w:t xml:space="preserve"> se demande s</w:t>
            </w:r>
            <w:r w:rsidR="007E244E" w:rsidRPr="00733856">
              <w:rPr>
                <w:lang w:val="fr-FR"/>
              </w:rPr>
              <w:t>’</w:t>
            </w:r>
            <w:r w:rsidRPr="00733856">
              <w:rPr>
                <w:lang w:val="fr-FR"/>
              </w:rPr>
              <w:t>il convenait d</w:t>
            </w:r>
            <w:r w:rsidR="007E244E" w:rsidRPr="00733856">
              <w:rPr>
                <w:lang w:val="fr-FR"/>
              </w:rPr>
              <w:t>’</w:t>
            </w:r>
            <w:r w:rsidRPr="00733856">
              <w:rPr>
                <w:lang w:val="fr-FR"/>
              </w:rPr>
              <w:t>inclure dans le TGP/8 des indications sur une méthode qui n</w:t>
            </w:r>
            <w:r w:rsidR="007E244E" w:rsidRPr="00733856">
              <w:rPr>
                <w:lang w:val="fr-FR"/>
              </w:rPr>
              <w:t>’</w:t>
            </w:r>
            <w:r w:rsidRPr="00733856">
              <w:rPr>
                <w:lang w:val="fr-FR"/>
              </w:rPr>
              <w:t>est utilisée que dans des circonstances exceptionnelles, son inclusion dans le TGP/8 pouvant en effet donner à entendre que c</w:t>
            </w:r>
            <w:r w:rsidR="007E244E" w:rsidRPr="00733856">
              <w:rPr>
                <w:lang w:val="fr-FR"/>
              </w:rPr>
              <w:t>’</w:t>
            </w:r>
            <w:r w:rsidRPr="00733856">
              <w:rPr>
                <w:lang w:val="fr-FR"/>
              </w:rPr>
              <w:t>était une méthode de routine.</w:t>
            </w:r>
            <w:r w:rsidR="004B4303" w:rsidRPr="00733856">
              <w:rPr>
                <w:lang w:val="fr-FR"/>
              </w:rPr>
              <w:t xml:space="preserve">  </w:t>
            </w:r>
            <w:r w:rsidRPr="00733856">
              <w:rPr>
                <w:lang w:val="fr-FR"/>
              </w:rPr>
              <w:t>S</w:t>
            </w:r>
            <w:r w:rsidR="007E244E" w:rsidRPr="00733856">
              <w:rPr>
                <w:lang w:val="fr-FR"/>
              </w:rPr>
              <w:t>’</w:t>
            </w:r>
            <w:r w:rsidRPr="00733856">
              <w:rPr>
                <w:lang w:val="fr-FR"/>
              </w:rPr>
              <w:t>il devait être décidé de conserver les indications, il est proposé qu</w:t>
            </w:r>
            <w:r w:rsidR="007E244E" w:rsidRPr="00733856">
              <w:rPr>
                <w:lang w:val="fr-FR"/>
              </w:rPr>
              <w:t>’</w:t>
            </w:r>
            <w:proofErr w:type="spellStart"/>
            <w:r w:rsidRPr="00733856">
              <w:rPr>
                <w:lang w:val="fr-FR"/>
              </w:rPr>
              <w:t>iI</w:t>
            </w:r>
            <w:proofErr w:type="spellEnd"/>
            <w:r w:rsidRPr="00733856">
              <w:rPr>
                <w:lang w:val="fr-FR"/>
              </w:rPr>
              <w:t xml:space="preserve"> soit précisé que les essais aveugles aléatoires étaient un moyen utile pour les services de prouver aux obtenteurs que les variétés n</w:t>
            </w:r>
            <w:r w:rsidR="007E244E" w:rsidRPr="00733856">
              <w:rPr>
                <w:lang w:val="fr-FR"/>
              </w:rPr>
              <w:t>’</w:t>
            </w:r>
            <w:r w:rsidRPr="00733856">
              <w:rPr>
                <w:lang w:val="fr-FR"/>
              </w:rPr>
              <w:t>étaient pas distinctes, mais qu</w:t>
            </w:r>
            <w:r w:rsidR="007E244E" w:rsidRPr="00733856">
              <w:rPr>
                <w:lang w:val="fr-FR"/>
              </w:rPr>
              <w:t>’</w:t>
            </w:r>
            <w:r w:rsidRPr="00733856">
              <w:rPr>
                <w:lang w:val="fr-FR"/>
              </w:rPr>
              <w:t>ils offraient également aux obtenteurs la possibilité de démontrer des différences dans les caractères pertinents qui auraient clairement distingué des variétés dans l</w:t>
            </w:r>
            <w:r w:rsidR="007E244E" w:rsidRPr="00733856">
              <w:rPr>
                <w:lang w:val="fr-FR"/>
              </w:rPr>
              <w:t>’</w:t>
            </w:r>
            <w:r w:rsidRPr="00733856">
              <w:rPr>
                <w:lang w:val="fr-FR"/>
              </w:rPr>
              <w:t>essai de végétation, avec des connaissances appropriées.</w:t>
            </w:r>
            <w:r w:rsidR="004B4303" w:rsidRPr="00733856">
              <w:rPr>
                <w:lang w:val="fr-FR"/>
              </w:rPr>
              <w:t xml:space="preserve">  </w:t>
            </w:r>
            <w:r w:rsidRPr="00733856">
              <w:rPr>
                <w:lang w:val="fr-FR"/>
              </w:rPr>
              <w:t>Le</w:t>
            </w:r>
            <w:r w:rsidR="007E244E" w:rsidRPr="00733856">
              <w:rPr>
                <w:lang w:val="fr-FR"/>
              </w:rPr>
              <w:t> TC</w:t>
            </w:r>
            <w:r w:rsidR="008D5F1B" w:rsidRPr="00733856">
              <w:rPr>
                <w:lang w:val="fr-FR"/>
              </w:rPr>
              <w:noBreakHyphen/>
            </w:r>
            <w:r w:rsidR="007E244E" w:rsidRPr="00733856">
              <w:rPr>
                <w:lang w:val="fr-FR"/>
              </w:rPr>
              <w:t>EDC</w:t>
            </w:r>
            <w:r w:rsidRPr="00733856">
              <w:rPr>
                <w:lang w:val="fr-FR"/>
              </w:rPr>
              <w:t xml:space="preserve"> a par ailleurs proposé que la structure du document soit révisée pour </w:t>
            </w:r>
            <w:r w:rsidR="00A5375C" w:rsidRPr="00733856">
              <w:rPr>
                <w:lang w:val="fr-FR"/>
              </w:rPr>
              <w:t xml:space="preserve">la </w:t>
            </w:r>
            <w:r w:rsidRPr="00733856">
              <w:rPr>
                <w:lang w:val="fr-FR"/>
              </w:rPr>
              <w:t>rendre plus claire.</w:t>
            </w:r>
          </w:p>
          <w:p w:rsidR="004B4303" w:rsidRPr="00733856" w:rsidRDefault="004B4303" w:rsidP="00AD076F">
            <w:pPr>
              <w:rPr>
                <w:lang w:val="fr-FR"/>
              </w:rPr>
            </w:pPr>
          </w:p>
        </w:tc>
      </w:tr>
      <w:tr w:rsidR="00733856" w:rsidRPr="00BB150E" w:rsidTr="00AD076F">
        <w:trPr>
          <w:cantSplit/>
        </w:trPr>
        <w:tc>
          <w:tcPr>
            <w:tcW w:w="1701" w:type="dxa"/>
          </w:tcPr>
          <w:p w:rsidR="004B4303" w:rsidRPr="00733856" w:rsidRDefault="00581A52" w:rsidP="000C09DC">
            <w:pPr>
              <w:jc w:val="left"/>
              <w:rPr>
                <w:lang w:val="fr-FR"/>
              </w:rPr>
            </w:pPr>
            <w:r w:rsidRPr="00733856">
              <w:rPr>
                <w:lang w:val="fr-FR"/>
              </w:rPr>
              <w:t>P</w:t>
            </w:r>
            <w:r w:rsidR="000C09DC" w:rsidRPr="00733856">
              <w:rPr>
                <w:lang w:val="fr-FR"/>
              </w:rPr>
              <w:t>age de couverture</w:t>
            </w:r>
          </w:p>
        </w:tc>
        <w:tc>
          <w:tcPr>
            <w:tcW w:w="7938" w:type="dxa"/>
          </w:tcPr>
          <w:p w:rsidR="00B75F48" w:rsidRPr="00733856" w:rsidRDefault="00581A52" w:rsidP="000C09DC">
            <w:pPr>
              <w:rPr>
                <w:lang w:val="fr-FR"/>
              </w:rPr>
            </w:pPr>
            <w:r w:rsidRPr="00733856">
              <w:rPr>
                <w:lang w:val="fr-FR"/>
              </w:rPr>
              <w:t>V</w:t>
            </w:r>
            <w:r w:rsidR="000C09DC" w:rsidRPr="00733856">
              <w:rPr>
                <w:lang w:val="fr-FR"/>
              </w:rPr>
              <w:t>érifier s</w:t>
            </w:r>
            <w:r w:rsidR="007E244E" w:rsidRPr="00733856">
              <w:rPr>
                <w:lang w:val="fr-FR"/>
              </w:rPr>
              <w:t>’</w:t>
            </w:r>
            <w:r w:rsidR="000C09DC" w:rsidRPr="00733856">
              <w:rPr>
                <w:lang w:val="fr-FR"/>
              </w:rPr>
              <w:t>il convient de supprimer “Analyse des données” dans le titre du document.</w:t>
            </w:r>
          </w:p>
          <w:p w:rsidR="004B4303" w:rsidRPr="00733856" w:rsidRDefault="004B4303" w:rsidP="00AD076F">
            <w:pPr>
              <w:rPr>
                <w:lang w:val="fr-FR"/>
              </w:rPr>
            </w:pPr>
          </w:p>
        </w:tc>
      </w:tr>
    </w:tbl>
    <w:p w:rsidR="00B75F48" w:rsidRPr="00733856" w:rsidRDefault="00B75F48" w:rsidP="004B4303">
      <w:pPr>
        <w:rPr>
          <w:lang w:val="fr-FR"/>
        </w:rPr>
      </w:pPr>
    </w:p>
    <w:p w:rsidR="007E244E" w:rsidRPr="00733856" w:rsidRDefault="004B4303" w:rsidP="000C09DC">
      <w:pPr>
        <w:rPr>
          <w:lang w:val="fr-FR"/>
        </w:rPr>
      </w:pPr>
      <w:r w:rsidRPr="00733856">
        <w:rPr>
          <w:lang w:val="fr-FR"/>
        </w:rPr>
        <w:fldChar w:fldCharType="begin"/>
      </w:r>
      <w:r w:rsidRPr="00733856">
        <w:rPr>
          <w:lang w:val="fr-FR"/>
        </w:rPr>
        <w:instrText xml:space="preserve"> AUTONUM  </w:instrText>
      </w:r>
      <w:r w:rsidRPr="00733856">
        <w:rPr>
          <w:lang w:val="fr-FR"/>
        </w:rPr>
        <w:fldChar w:fldCharType="end"/>
      </w:r>
      <w:r w:rsidRPr="00733856">
        <w:rPr>
          <w:lang w:val="fr-FR"/>
        </w:rPr>
        <w:tab/>
      </w:r>
      <w:r w:rsidR="000C09DC" w:rsidRPr="00733856">
        <w:rPr>
          <w:lang w:val="fr-FR"/>
        </w:rPr>
        <w:t>Le</w:t>
      </w:r>
      <w:r w:rsidR="007E244E" w:rsidRPr="00733856">
        <w:rPr>
          <w:lang w:val="fr-FR"/>
        </w:rPr>
        <w:t> TC</w:t>
      </w:r>
      <w:r w:rsidR="000C09DC" w:rsidRPr="00733856">
        <w:rPr>
          <w:lang w:val="fr-FR"/>
        </w:rPr>
        <w:t xml:space="preserve"> est convenu que les circonstances dans lesquelles les essais aveugles aléatoires étaient appropriés devaient être </w:t>
      </w:r>
      <w:r w:rsidR="00291CFE" w:rsidRPr="00733856">
        <w:rPr>
          <w:lang w:val="fr-FR"/>
        </w:rPr>
        <w:t>clarifiées</w:t>
      </w:r>
      <w:r w:rsidR="000C09DC" w:rsidRPr="00733856">
        <w:rPr>
          <w:lang w:val="fr-FR"/>
        </w:rPr>
        <w:t>.</w:t>
      </w:r>
    </w:p>
    <w:p w:rsidR="00B75F48" w:rsidRPr="00733856" w:rsidRDefault="00B75F48" w:rsidP="004B4303">
      <w:pPr>
        <w:rPr>
          <w:lang w:val="fr-FR"/>
        </w:rPr>
      </w:pPr>
    </w:p>
    <w:p w:rsidR="00B75F48" w:rsidRPr="00733856" w:rsidRDefault="004B4303" w:rsidP="000C09DC">
      <w:pPr>
        <w:rPr>
          <w:lang w:val="fr-FR"/>
        </w:rPr>
      </w:pPr>
      <w:r w:rsidRPr="00733856">
        <w:rPr>
          <w:lang w:val="fr-FR"/>
        </w:rPr>
        <w:fldChar w:fldCharType="begin"/>
      </w:r>
      <w:r w:rsidRPr="00733856">
        <w:rPr>
          <w:lang w:val="fr-FR"/>
        </w:rPr>
        <w:instrText xml:space="preserve"> AUTONUM  </w:instrText>
      </w:r>
      <w:r w:rsidRPr="00733856">
        <w:rPr>
          <w:lang w:val="fr-FR"/>
        </w:rPr>
        <w:fldChar w:fldCharType="end"/>
      </w:r>
      <w:r w:rsidRPr="00733856">
        <w:rPr>
          <w:lang w:val="fr-FR"/>
        </w:rPr>
        <w:tab/>
      </w:r>
      <w:r w:rsidR="000C09DC" w:rsidRPr="00733856">
        <w:rPr>
          <w:lang w:val="fr-FR"/>
        </w:rPr>
        <w:t>Le</w:t>
      </w:r>
      <w:r w:rsidR="007E244E" w:rsidRPr="00733856">
        <w:rPr>
          <w:lang w:val="fr-FR"/>
        </w:rPr>
        <w:t> TC</w:t>
      </w:r>
      <w:r w:rsidR="000C09DC" w:rsidRPr="00733856">
        <w:rPr>
          <w:lang w:val="fr-FR"/>
        </w:rPr>
        <w:t xml:space="preserve"> est convenu que la structure du document devait être révisée pour le rendre plus clair et qu</w:t>
      </w:r>
      <w:r w:rsidR="007E244E" w:rsidRPr="00733856">
        <w:rPr>
          <w:lang w:val="fr-FR"/>
        </w:rPr>
        <w:t>’</w:t>
      </w:r>
      <w:r w:rsidR="000C09DC" w:rsidRPr="00733856">
        <w:rPr>
          <w:lang w:val="fr-FR"/>
        </w:rPr>
        <w:t>il faudrait envisager d</w:t>
      </w:r>
      <w:r w:rsidR="007E244E" w:rsidRPr="00733856">
        <w:rPr>
          <w:lang w:val="fr-FR"/>
        </w:rPr>
        <w:t>’</w:t>
      </w:r>
      <w:r w:rsidR="000C09DC" w:rsidRPr="00733856">
        <w:rPr>
          <w:lang w:val="fr-FR"/>
        </w:rPr>
        <w:t>inclure des orientations sur l</w:t>
      </w:r>
      <w:r w:rsidR="007E244E" w:rsidRPr="00733856">
        <w:rPr>
          <w:lang w:val="fr-FR"/>
        </w:rPr>
        <w:t>’</w:t>
      </w:r>
      <w:r w:rsidR="000C09DC" w:rsidRPr="00733856">
        <w:rPr>
          <w:lang w:val="fr-FR"/>
        </w:rPr>
        <w:t>utilisation d</w:t>
      </w:r>
      <w:r w:rsidR="007E244E" w:rsidRPr="00733856">
        <w:rPr>
          <w:lang w:val="fr-FR"/>
        </w:rPr>
        <w:t>’</w:t>
      </w:r>
      <w:r w:rsidR="000C09DC" w:rsidRPr="00733856">
        <w:rPr>
          <w:lang w:val="fr-FR"/>
        </w:rPr>
        <w:t>essais aveugles aléatoires sans analyse des données, ce qui nécessiterait la suppression d</w:t>
      </w:r>
      <w:r w:rsidR="007E244E" w:rsidRPr="00733856">
        <w:rPr>
          <w:lang w:val="fr-FR"/>
        </w:rPr>
        <w:t>’</w:t>
      </w:r>
      <w:r w:rsidR="000C09DC" w:rsidRPr="00733856">
        <w:rPr>
          <w:lang w:val="fr-FR"/>
        </w:rPr>
        <w:t>“Analyse des données” dans le titre du document.</w:t>
      </w:r>
      <w:r w:rsidRPr="00733856">
        <w:rPr>
          <w:lang w:val="fr-FR"/>
        </w:rPr>
        <w:t xml:space="preserve">  </w:t>
      </w:r>
      <w:r w:rsidR="00291CFE" w:rsidRPr="00733856">
        <w:rPr>
          <w:lang w:val="fr-FR"/>
        </w:rPr>
        <w:t>Le</w:t>
      </w:r>
      <w:r w:rsidR="007E244E" w:rsidRPr="00733856">
        <w:rPr>
          <w:lang w:val="fr-FR"/>
        </w:rPr>
        <w:t> TC</w:t>
      </w:r>
      <w:r w:rsidR="00291CFE" w:rsidRPr="00733856">
        <w:rPr>
          <w:lang w:val="fr-FR"/>
        </w:rPr>
        <w:t xml:space="preserve"> est convenu par ailleurs que le Bureau de l</w:t>
      </w:r>
      <w:r w:rsidR="007E244E" w:rsidRPr="00733856">
        <w:rPr>
          <w:lang w:val="fr-FR"/>
        </w:rPr>
        <w:t>’</w:t>
      </w:r>
      <w:r w:rsidR="00291CFE" w:rsidRPr="00733856">
        <w:rPr>
          <w:lang w:val="fr-FR"/>
        </w:rPr>
        <w:t>Union devrait solliciter des informations sur l</w:t>
      </w:r>
      <w:r w:rsidR="007E244E" w:rsidRPr="00733856">
        <w:rPr>
          <w:lang w:val="fr-FR"/>
        </w:rPr>
        <w:t>’</w:t>
      </w:r>
      <w:r w:rsidR="00291CFE" w:rsidRPr="00733856">
        <w:rPr>
          <w:lang w:val="fr-FR"/>
        </w:rPr>
        <w:t>utilisation des essais aveugles aléatoires qui seraient soumises</w:t>
      </w:r>
      <w:r w:rsidR="007E244E" w:rsidRPr="00733856">
        <w:rPr>
          <w:lang w:val="fr-FR"/>
        </w:rPr>
        <w:t xml:space="preserve"> aux TWP</w:t>
      </w:r>
      <w:r w:rsidR="00291CFE" w:rsidRPr="00733856">
        <w:rPr>
          <w:lang w:val="fr-FR"/>
        </w:rPr>
        <w:t xml:space="preserve"> et au</w:t>
      </w:r>
      <w:r w:rsidR="007E244E" w:rsidRPr="00733856">
        <w:rPr>
          <w:lang w:val="fr-FR"/>
        </w:rPr>
        <w:t> TC</w:t>
      </w:r>
      <w:r w:rsidRPr="00733856">
        <w:rPr>
          <w:lang w:val="fr-FR"/>
        </w:rPr>
        <w:t xml:space="preserve"> (</w:t>
      </w:r>
      <w:r w:rsidR="00291CFE" w:rsidRPr="00733856">
        <w:rPr>
          <w:lang w:val="fr-FR"/>
        </w:rPr>
        <w:t>voir les paragraphes</w:t>
      </w:r>
      <w:r w:rsidR="00162BE2" w:rsidRPr="00733856">
        <w:rPr>
          <w:lang w:val="fr-FR"/>
        </w:rPr>
        <w:t> </w:t>
      </w:r>
      <w:r w:rsidR="00291CFE" w:rsidRPr="00733856">
        <w:rPr>
          <w:lang w:val="fr-FR"/>
        </w:rPr>
        <w:t>59 à 61 du</w:t>
      </w:r>
      <w:r w:rsidRPr="00733856">
        <w:rPr>
          <w:lang w:val="fr-FR"/>
        </w:rPr>
        <w:t xml:space="preserve"> </w:t>
      </w:r>
      <w:r w:rsidR="007E244E" w:rsidRPr="00733856">
        <w:rPr>
          <w:lang w:val="fr-FR"/>
        </w:rPr>
        <w:t>document TC</w:t>
      </w:r>
      <w:r w:rsidRPr="00733856">
        <w:rPr>
          <w:lang w:val="fr-FR"/>
        </w:rPr>
        <w:t>/50/36 “</w:t>
      </w:r>
      <w:r w:rsidR="00291CFE" w:rsidRPr="00733856">
        <w:rPr>
          <w:lang w:val="fr-FR"/>
        </w:rPr>
        <w:t>Compte rendu des conclusions</w:t>
      </w:r>
      <w:r w:rsidRPr="00733856">
        <w:rPr>
          <w:lang w:val="fr-FR"/>
        </w:rPr>
        <w:t>”).</w:t>
      </w:r>
    </w:p>
    <w:p w:rsidR="00B75F48" w:rsidRPr="00733856" w:rsidRDefault="00B75F48" w:rsidP="004B4303">
      <w:pPr>
        <w:rPr>
          <w:lang w:val="fr-FR"/>
        </w:rPr>
      </w:pPr>
    </w:p>
    <w:p w:rsidR="00B75F48" w:rsidRPr="00733856" w:rsidRDefault="004B4303" w:rsidP="004B4303">
      <w:pPr>
        <w:rPr>
          <w:rFonts w:cs="Arial"/>
          <w:lang w:val="fr-FR"/>
        </w:rPr>
      </w:pPr>
      <w:r w:rsidRPr="00733856">
        <w:rPr>
          <w:lang w:val="fr-FR"/>
        </w:rPr>
        <w:fldChar w:fldCharType="begin"/>
      </w:r>
      <w:r w:rsidRPr="00733856">
        <w:rPr>
          <w:lang w:val="fr-FR"/>
        </w:rPr>
        <w:instrText xml:space="preserve"> AUTONUM  </w:instrText>
      </w:r>
      <w:r w:rsidRPr="00733856">
        <w:rPr>
          <w:lang w:val="fr-FR"/>
        </w:rPr>
        <w:fldChar w:fldCharType="end"/>
      </w:r>
      <w:r w:rsidRPr="00733856">
        <w:rPr>
          <w:lang w:val="fr-FR"/>
        </w:rPr>
        <w:tab/>
      </w:r>
      <w:r w:rsidR="00291CFE" w:rsidRPr="00733856">
        <w:rPr>
          <w:lang w:val="fr-FR"/>
        </w:rPr>
        <w:t>L</w:t>
      </w:r>
      <w:r w:rsidR="007E244E" w:rsidRPr="00733856">
        <w:rPr>
          <w:lang w:val="fr-FR"/>
        </w:rPr>
        <w:t>’</w:t>
      </w:r>
      <w:r w:rsidR="00291CFE" w:rsidRPr="00733856">
        <w:rPr>
          <w:lang w:val="fr-FR"/>
        </w:rPr>
        <w:t>expert de la France a informé le Bureau de l</w:t>
      </w:r>
      <w:r w:rsidR="007E244E" w:rsidRPr="00733856">
        <w:rPr>
          <w:lang w:val="fr-FR"/>
        </w:rPr>
        <w:t>’</w:t>
      </w:r>
      <w:r w:rsidR="00291CFE" w:rsidRPr="00733856">
        <w:rPr>
          <w:lang w:val="fr-FR"/>
        </w:rPr>
        <w:t xml:space="preserve">Union que, du fait que le texte </w:t>
      </w:r>
      <w:r w:rsidR="00A75D19" w:rsidRPr="00733856">
        <w:rPr>
          <w:lang w:val="fr-FR"/>
        </w:rPr>
        <w:t>devait subir de profonds</w:t>
      </w:r>
      <w:r w:rsidR="00291CFE" w:rsidRPr="00733856">
        <w:rPr>
          <w:lang w:val="fr-FR"/>
        </w:rPr>
        <w:t xml:space="preserve"> remaniement</w:t>
      </w:r>
      <w:r w:rsidR="00A75D19" w:rsidRPr="00733856">
        <w:rPr>
          <w:lang w:val="fr-FR"/>
        </w:rPr>
        <w:t>s</w:t>
      </w:r>
      <w:r w:rsidR="00291CFE" w:rsidRPr="00733856">
        <w:rPr>
          <w:lang w:val="fr-FR"/>
        </w:rPr>
        <w:t>,</w:t>
      </w:r>
      <w:r w:rsidR="00291CFE" w:rsidRPr="00733856">
        <w:rPr>
          <w:rFonts w:cs="Arial"/>
          <w:lang w:val="fr-FR"/>
        </w:rPr>
        <w:t xml:space="preserve"> il ne serait pas possible de produire un texte pour examen par</w:t>
      </w:r>
      <w:r w:rsidR="007E244E" w:rsidRPr="00733856">
        <w:rPr>
          <w:rFonts w:cs="Arial"/>
          <w:lang w:val="fr-FR"/>
        </w:rPr>
        <w:t xml:space="preserve"> les TWP</w:t>
      </w:r>
      <w:r w:rsidR="00291CFE" w:rsidRPr="00733856">
        <w:rPr>
          <w:rFonts w:cs="Arial"/>
          <w:lang w:val="fr-FR"/>
        </w:rPr>
        <w:t xml:space="preserve"> en</w:t>
      </w:r>
      <w:r w:rsidR="00162BE2" w:rsidRPr="00733856">
        <w:rPr>
          <w:rFonts w:cs="Arial"/>
          <w:lang w:val="fr-FR"/>
        </w:rPr>
        <w:t> </w:t>
      </w:r>
      <w:r w:rsidR="00291CFE" w:rsidRPr="00733856">
        <w:rPr>
          <w:rFonts w:cs="Arial"/>
          <w:lang w:val="fr-FR"/>
        </w:rPr>
        <w:t xml:space="preserve">2014, et a proposé </w:t>
      </w:r>
      <w:r w:rsidR="00A75D19" w:rsidRPr="00733856">
        <w:rPr>
          <w:rFonts w:cs="Arial"/>
          <w:lang w:val="fr-FR"/>
        </w:rPr>
        <w:t>qu</w:t>
      </w:r>
      <w:r w:rsidR="007E244E" w:rsidRPr="00733856">
        <w:rPr>
          <w:rFonts w:cs="Arial"/>
          <w:lang w:val="fr-FR"/>
        </w:rPr>
        <w:t>’</w:t>
      </w:r>
      <w:r w:rsidR="00A75D19" w:rsidRPr="00733856">
        <w:rPr>
          <w:rFonts w:cs="Arial"/>
          <w:lang w:val="fr-FR"/>
        </w:rPr>
        <w:t>un nouveau projet soit établi pour examen par le</w:t>
      </w:r>
      <w:r w:rsidR="007E244E" w:rsidRPr="00733856">
        <w:rPr>
          <w:rFonts w:cs="Arial"/>
          <w:lang w:val="fr-FR"/>
        </w:rPr>
        <w:t> TC</w:t>
      </w:r>
      <w:r w:rsidR="00A75D19" w:rsidRPr="00733856">
        <w:rPr>
          <w:rFonts w:cs="Arial"/>
          <w:lang w:val="fr-FR"/>
        </w:rPr>
        <w:t xml:space="preserve"> et</w:t>
      </w:r>
      <w:r w:rsidR="007E244E" w:rsidRPr="00733856">
        <w:rPr>
          <w:rFonts w:cs="Arial"/>
          <w:lang w:val="fr-FR"/>
        </w:rPr>
        <w:t xml:space="preserve"> les TWP</w:t>
      </w:r>
      <w:r w:rsidR="00A75D19" w:rsidRPr="00733856">
        <w:rPr>
          <w:rFonts w:cs="Arial"/>
          <w:lang w:val="fr-FR"/>
        </w:rPr>
        <w:t xml:space="preserve"> en</w:t>
      </w:r>
      <w:r w:rsidR="00162BE2" w:rsidRPr="00733856">
        <w:rPr>
          <w:rFonts w:cs="Arial"/>
          <w:lang w:val="fr-FR"/>
        </w:rPr>
        <w:t> </w:t>
      </w:r>
      <w:r w:rsidR="00A75D19" w:rsidRPr="00733856">
        <w:rPr>
          <w:rFonts w:cs="Arial"/>
          <w:lang w:val="fr-FR"/>
        </w:rPr>
        <w:t>2015</w:t>
      </w:r>
      <w:r w:rsidRPr="00733856">
        <w:rPr>
          <w:rFonts w:cs="Arial"/>
          <w:lang w:val="fr-FR"/>
        </w:rPr>
        <w:t xml:space="preserve">.  </w:t>
      </w:r>
      <w:r w:rsidR="00A75D19" w:rsidRPr="00733856">
        <w:rPr>
          <w:rFonts w:cs="Arial"/>
          <w:lang w:val="fr-FR"/>
        </w:rPr>
        <w:t>Afin de faciliter cet examen par le</w:t>
      </w:r>
      <w:r w:rsidR="007E244E" w:rsidRPr="00733856">
        <w:rPr>
          <w:rFonts w:cs="Arial"/>
          <w:lang w:val="fr-FR"/>
        </w:rPr>
        <w:t> TC</w:t>
      </w:r>
      <w:r w:rsidR="00A75D19" w:rsidRPr="00733856">
        <w:rPr>
          <w:rFonts w:cs="Arial"/>
          <w:lang w:val="fr-FR"/>
        </w:rPr>
        <w:t xml:space="preserve"> à sa cinquante et unième</w:t>
      </w:r>
      <w:r w:rsidR="00162BE2" w:rsidRPr="00733856">
        <w:rPr>
          <w:rFonts w:cs="Arial"/>
          <w:lang w:val="fr-FR"/>
        </w:rPr>
        <w:t> </w:t>
      </w:r>
      <w:r w:rsidR="00A75D19" w:rsidRPr="00733856">
        <w:rPr>
          <w:rFonts w:cs="Arial"/>
          <w:lang w:val="fr-FR"/>
        </w:rPr>
        <w:t>session</w:t>
      </w:r>
      <w:r w:rsidRPr="00733856">
        <w:rPr>
          <w:rFonts w:cs="Arial"/>
          <w:lang w:val="fr-FR"/>
        </w:rPr>
        <w:t xml:space="preserve">, </w:t>
      </w:r>
      <w:r w:rsidR="00A75D19" w:rsidRPr="00733856">
        <w:rPr>
          <w:rFonts w:cs="Arial"/>
          <w:lang w:val="fr-FR"/>
        </w:rPr>
        <w:t>il a également été proposé qu</w:t>
      </w:r>
      <w:r w:rsidR="007E244E" w:rsidRPr="00733856">
        <w:rPr>
          <w:rFonts w:cs="Arial"/>
          <w:lang w:val="fr-FR"/>
        </w:rPr>
        <w:t>’</w:t>
      </w:r>
      <w:r w:rsidR="00A75D19" w:rsidRPr="00733856">
        <w:rPr>
          <w:rFonts w:cs="Arial"/>
          <w:lang w:val="fr-FR"/>
        </w:rPr>
        <w:t>un premier projet soit établi pour examen par le</w:t>
      </w:r>
      <w:r w:rsidR="007E244E" w:rsidRPr="00733856">
        <w:rPr>
          <w:rFonts w:cs="Arial"/>
          <w:lang w:val="fr-FR"/>
        </w:rPr>
        <w:t> TC</w:t>
      </w:r>
      <w:r w:rsidR="008D5F1B" w:rsidRPr="00733856">
        <w:rPr>
          <w:rFonts w:cs="Arial"/>
          <w:lang w:val="fr-FR"/>
        </w:rPr>
        <w:noBreakHyphen/>
      </w:r>
      <w:r w:rsidR="007E244E" w:rsidRPr="00733856">
        <w:rPr>
          <w:rFonts w:cs="Arial"/>
          <w:lang w:val="fr-FR"/>
        </w:rPr>
        <w:t>EDC</w:t>
      </w:r>
      <w:r w:rsidR="00A75D19" w:rsidRPr="00733856">
        <w:rPr>
          <w:rFonts w:cs="Arial"/>
          <w:lang w:val="fr-FR"/>
        </w:rPr>
        <w:t xml:space="preserve"> à sa session des 7 et </w:t>
      </w:r>
      <w:r w:rsidR="007E244E" w:rsidRPr="00733856">
        <w:rPr>
          <w:rFonts w:cs="Arial"/>
          <w:lang w:val="fr-FR"/>
        </w:rPr>
        <w:t>8 janvier 20</w:t>
      </w:r>
      <w:r w:rsidR="00A75D19" w:rsidRPr="00733856">
        <w:rPr>
          <w:rFonts w:cs="Arial"/>
          <w:lang w:val="fr-FR"/>
        </w:rPr>
        <w:t>15.</w:t>
      </w:r>
    </w:p>
    <w:p w:rsidR="00B75F48" w:rsidRPr="00733856" w:rsidRDefault="00B75F48" w:rsidP="004B4303">
      <w:pPr>
        <w:rPr>
          <w:lang w:val="fr-FR"/>
        </w:rPr>
      </w:pPr>
    </w:p>
    <w:p w:rsidR="007E244E" w:rsidRPr="00733856" w:rsidRDefault="000C09DC" w:rsidP="000C09DC">
      <w:pPr>
        <w:pStyle w:val="Heading1"/>
        <w:rPr>
          <w:lang w:val="fr-FR"/>
        </w:rPr>
      </w:pPr>
      <w:bookmarkStart w:id="9" w:name="_Toc410813396"/>
      <w:r w:rsidRPr="00733856">
        <w:rPr>
          <w:lang w:val="fr-FR"/>
        </w:rPr>
        <w:t xml:space="preserve">observations </w:t>
      </w:r>
      <w:r w:rsidR="00A75D19" w:rsidRPr="00733856">
        <w:rPr>
          <w:lang w:val="fr-FR"/>
        </w:rPr>
        <w:t>des</w:t>
      </w:r>
      <w:r w:rsidRPr="00733856">
        <w:rPr>
          <w:lang w:val="fr-FR"/>
        </w:rPr>
        <w:t xml:space="preserve"> groupes de travail techniques en 2014</w:t>
      </w:r>
      <w:bookmarkEnd w:id="9"/>
    </w:p>
    <w:p w:rsidR="00B75F48" w:rsidRPr="00733856" w:rsidRDefault="00B75F48" w:rsidP="004B4303">
      <w:pPr>
        <w:rPr>
          <w:lang w:val="fr-FR"/>
        </w:rPr>
      </w:pPr>
    </w:p>
    <w:p w:rsidR="00B75F48" w:rsidRPr="00733856" w:rsidRDefault="004B4303" w:rsidP="004B4303">
      <w:pPr>
        <w:rPr>
          <w:lang w:val="fr-FR"/>
        </w:rPr>
      </w:pPr>
      <w:r w:rsidRPr="00733856">
        <w:rPr>
          <w:lang w:val="fr-FR"/>
        </w:rPr>
        <w:fldChar w:fldCharType="begin"/>
      </w:r>
      <w:r w:rsidRPr="00733856">
        <w:rPr>
          <w:lang w:val="fr-FR"/>
        </w:rPr>
        <w:instrText xml:space="preserve"> AUTONUM  </w:instrText>
      </w:r>
      <w:r w:rsidRPr="00733856">
        <w:rPr>
          <w:lang w:val="fr-FR"/>
        </w:rPr>
        <w:fldChar w:fldCharType="end"/>
      </w:r>
      <w:r w:rsidRPr="00733856">
        <w:rPr>
          <w:lang w:val="fr-FR"/>
        </w:rPr>
        <w:tab/>
      </w:r>
      <w:r w:rsidR="00A75D19" w:rsidRPr="00733856">
        <w:rPr>
          <w:lang w:val="fr-FR"/>
        </w:rPr>
        <w:t>À leurs sessions en</w:t>
      </w:r>
      <w:r w:rsidR="00162BE2" w:rsidRPr="00733856">
        <w:rPr>
          <w:lang w:val="fr-FR"/>
        </w:rPr>
        <w:t> </w:t>
      </w:r>
      <w:r w:rsidRPr="00733856">
        <w:rPr>
          <w:lang w:val="fr-FR"/>
        </w:rPr>
        <w:t>2014,</w:t>
      </w:r>
      <w:r w:rsidR="007E244E" w:rsidRPr="00733856">
        <w:rPr>
          <w:lang w:val="fr-FR"/>
        </w:rPr>
        <w:t xml:space="preserve"> les TWO</w:t>
      </w:r>
      <w:r w:rsidRPr="00733856">
        <w:rPr>
          <w:lang w:val="fr-FR"/>
        </w:rPr>
        <w:t xml:space="preserve">, TWF, TWC, TWV </w:t>
      </w:r>
      <w:r w:rsidR="00A75D19" w:rsidRPr="00733856">
        <w:rPr>
          <w:lang w:val="fr-FR"/>
        </w:rPr>
        <w:t>et</w:t>
      </w:r>
      <w:r w:rsidRPr="00733856">
        <w:rPr>
          <w:lang w:val="fr-FR"/>
        </w:rPr>
        <w:t xml:space="preserve"> TWA </w:t>
      </w:r>
      <w:r w:rsidR="00A75D19" w:rsidRPr="00733856">
        <w:rPr>
          <w:lang w:val="fr-FR"/>
        </w:rPr>
        <w:t xml:space="preserve">ont examiné les </w:t>
      </w:r>
      <w:r w:rsidR="007E244E" w:rsidRPr="00733856">
        <w:rPr>
          <w:lang w:val="fr-FR"/>
        </w:rPr>
        <w:t>documents TW</w:t>
      </w:r>
      <w:r w:rsidRPr="00733856">
        <w:rPr>
          <w:lang w:val="fr-FR"/>
        </w:rPr>
        <w:t>O/47/19,</w:t>
      </w:r>
      <w:r w:rsidRPr="00733856">
        <w:rPr>
          <w:rFonts w:cs="Arial"/>
          <w:lang w:val="fr-FR"/>
        </w:rPr>
        <w:t xml:space="preserve"> TWF/45/19, TWV/48/19, TWC/32/19 </w:t>
      </w:r>
      <w:r w:rsidR="00A75D19" w:rsidRPr="00733856">
        <w:rPr>
          <w:rFonts w:cs="Arial"/>
          <w:lang w:val="fr-FR"/>
        </w:rPr>
        <w:t>et</w:t>
      </w:r>
      <w:r w:rsidRPr="00733856">
        <w:rPr>
          <w:rFonts w:cs="Arial"/>
          <w:lang w:val="fr-FR"/>
        </w:rPr>
        <w:t xml:space="preserve"> TWA/43/19, </w:t>
      </w:r>
      <w:r w:rsidR="00A75D19" w:rsidRPr="00733856">
        <w:rPr>
          <w:rFonts w:cs="Arial"/>
          <w:lang w:val="fr-FR"/>
        </w:rPr>
        <w:t>respectivement</w:t>
      </w:r>
      <w:r w:rsidRPr="00733856">
        <w:rPr>
          <w:rFonts w:cs="Arial"/>
          <w:lang w:val="fr-FR"/>
        </w:rPr>
        <w:t xml:space="preserve">, </w:t>
      </w:r>
      <w:r w:rsidR="00A75D19" w:rsidRPr="00733856">
        <w:rPr>
          <w:rFonts w:cs="Arial"/>
          <w:lang w:val="fr-FR"/>
        </w:rPr>
        <w:t>qui contenaient le projet d</w:t>
      </w:r>
      <w:r w:rsidR="007E244E" w:rsidRPr="00733856">
        <w:rPr>
          <w:rFonts w:cs="Arial"/>
          <w:lang w:val="fr-FR"/>
        </w:rPr>
        <w:t>’</w:t>
      </w:r>
      <w:r w:rsidR="00A75D19" w:rsidRPr="00733856">
        <w:rPr>
          <w:rFonts w:cs="Arial"/>
          <w:lang w:val="fr-FR"/>
        </w:rPr>
        <w:t>indications qui figure à l</w:t>
      </w:r>
      <w:r w:rsidR="007E244E" w:rsidRPr="00733856">
        <w:rPr>
          <w:rFonts w:cs="Arial"/>
          <w:lang w:val="fr-FR"/>
        </w:rPr>
        <w:t>’</w:t>
      </w:r>
      <w:r w:rsidR="00A75D19" w:rsidRPr="00733856">
        <w:rPr>
          <w:rFonts w:cs="Arial"/>
          <w:lang w:val="fr-FR"/>
        </w:rPr>
        <w:t>annexe</w:t>
      </w:r>
      <w:r w:rsidR="00162BE2" w:rsidRPr="00733856">
        <w:rPr>
          <w:rFonts w:cs="Arial"/>
          <w:lang w:val="fr-FR"/>
        </w:rPr>
        <w:t> </w:t>
      </w:r>
      <w:r w:rsidR="00A75D19" w:rsidRPr="00733856">
        <w:rPr>
          <w:rFonts w:cs="Arial"/>
          <w:lang w:val="fr-FR"/>
        </w:rPr>
        <w:t>I du présent document</w:t>
      </w:r>
      <w:r w:rsidRPr="00733856">
        <w:rPr>
          <w:rFonts w:cs="Arial"/>
          <w:lang w:val="fr-FR"/>
        </w:rPr>
        <w:t>.</w:t>
      </w:r>
    </w:p>
    <w:p w:rsidR="004B4303" w:rsidRPr="00733856" w:rsidRDefault="004B4303" w:rsidP="004B4303">
      <w:pPr>
        <w:rPr>
          <w:lang w:val="fr-FR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6924"/>
        <w:gridCol w:w="1014"/>
      </w:tblGrid>
      <w:tr w:rsidR="00733856" w:rsidRPr="00733856" w:rsidTr="00AD076F">
        <w:trPr>
          <w:cantSplit/>
        </w:trPr>
        <w:tc>
          <w:tcPr>
            <w:tcW w:w="1701" w:type="dxa"/>
          </w:tcPr>
          <w:p w:rsidR="004B4303" w:rsidRPr="00733856" w:rsidRDefault="00D50187" w:rsidP="000C09DC">
            <w:pPr>
              <w:jc w:val="left"/>
              <w:rPr>
                <w:lang w:val="fr-FR"/>
              </w:rPr>
            </w:pPr>
            <w:r w:rsidRPr="00733856">
              <w:rPr>
                <w:lang w:val="fr-FR"/>
              </w:rPr>
              <w:t>Remarques</w:t>
            </w:r>
            <w:r w:rsidR="000C09DC" w:rsidRPr="00733856">
              <w:rPr>
                <w:lang w:val="fr-FR"/>
              </w:rPr>
              <w:t xml:space="preserve"> général</w:t>
            </w:r>
            <w:r w:rsidRPr="00733856">
              <w:rPr>
                <w:lang w:val="fr-FR"/>
              </w:rPr>
              <w:t>es</w:t>
            </w:r>
          </w:p>
        </w:tc>
        <w:tc>
          <w:tcPr>
            <w:tcW w:w="6924" w:type="dxa"/>
          </w:tcPr>
          <w:p w:rsidR="00B75F48" w:rsidRPr="00733856" w:rsidRDefault="00452E71" w:rsidP="00AD076F">
            <w:pPr>
              <w:rPr>
                <w:lang w:val="fr-FR"/>
              </w:rPr>
            </w:pPr>
            <w:r w:rsidRPr="00733856">
              <w:rPr>
                <w:lang w:val="fr-FR"/>
              </w:rPr>
              <w:t>Le TWO a indiqué que l</w:t>
            </w:r>
            <w:r w:rsidR="007E244E" w:rsidRPr="00733856">
              <w:rPr>
                <w:lang w:val="fr-FR"/>
              </w:rPr>
              <w:t>’</w:t>
            </w:r>
            <w:r w:rsidRPr="00733856">
              <w:rPr>
                <w:lang w:val="fr-FR"/>
              </w:rPr>
              <w:t>exemple donné dans le d</w:t>
            </w:r>
            <w:r w:rsidR="004B4303" w:rsidRPr="00733856">
              <w:rPr>
                <w:snapToGrid w:val="0"/>
                <w:lang w:val="fr-FR"/>
              </w:rPr>
              <w:t xml:space="preserve">ocument TWO/47/19 </w:t>
            </w:r>
            <w:r w:rsidRPr="00733856">
              <w:rPr>
                <w:snapToGrid w:val="0"/>
                <w:lang w:val="fr-FR"/>
              </w:rPr>
              <w:t xml:space="preserve">concernait les variétés reproduites par voie sexuée </w:t>
            </w:r>
            <w:r w:rsidR="004135CD" w:rsidRPr="00733856">
              <w:rPr>
                <w:snapToGrid w:val="0"/>
                <w:lang w:val="fr-FR"/>
              </w:rPr>
              <w:t>et est convenu que d</w:t>
            </w:r>
            <w:r w:rsidR="007E244E" w:rsidRPr="00733856">
              <w:rPr>
                <w:snapToGrid w:val="0"/>
                <w:lang w:val="fr-FR"/>
              </w:rPr>
              <w:t>’</w:t>
            </w:r>
            <w:r w:rsidR="004135CD" w:rsidRPr="00733856">
              <w:rPr>
                <w:snapToGrid w:val="0"/>
                <w:lang w:val="fr-FR"/>
              </w:rPr>
              <w:t>autres aspects du déroulement de l</w:t>
            </w:r>
            <w:r w:rsidR="007E244E" w:rsidRPr="00733856">
              <w:rPr>
                <w:snapToGrid w:val="0"/>
                <w:lang w:val="fr-FR"/>
              </w:rPr>
              <w:t>’</w:t>
            </w:r>
            <w:r w:rsidR="004135CD" w:rsidRPr="00733856">
              <w:rPr>
                <w:snapToGrid w:val="0"/>
                <w:lang w:val="fr-FR"/>
              </w:rPr>
              <w:t>essai devraient être examinés pour les plantes multipliées par voie végétative</w:t>
            </w:r>
            <w:r w:rsidR="004B4303" w:rsidRPr="00733856">
              <w:rPr>
                <w:lang w:val="fr-FR"/>
              </w:rPr>
              <w:t xml:space="preserve">, </w:t>
            </w:r>
            <w:r w:rsidR="004135CD" w:rsidRPr="00733856">
              <w:rPr>
                <w:lang w:val="fr-FR"/>
              </w:rPr>
              <w:t xml:space="preserve">comme par exemple le type et la source du matériel végétal utilisé, comme prévu au point </w:t>
            </w:r>
            <w:r w:rsidR="004B4303" w:rsidRPr="00733856">
              <w:rPr>
                <w:lang w:val="fr-FR"/>
              </w:rPr>
              <w:t>“</w:t>
            </w:r>
            <w:r w:rsidR="004135CD" w:rsidRPr="00733856">
              <w:rPr>
                <w:lang w:val="fr-FR"/>
              </w:rPr>
              <w:t>Matériel végétal soumis pour examen</w:t>
            </w:r>
            <w:r w:rsidR="004B4303" w:rsidRPr="00733856">
              <w:rPr>
                <w:lang w:val="fr-FR"/>
              </w:rPr>
              <w:t>”</w:t>
            </w:r>
            <w:r w:rsidR="004B4303" w:rsidRPr="00733856">
              <w:rPr>
                <w:rFonts w:cs="Arial"/>
                <w:lang w:val="fr-FR"/>
              </w:rPr>
              <w:t xml:space="preserve"> (</w:t>
            </w:r>
            <w:r w:rsidR="004135CD" w:rsidRPr="00733856">
              <w:rPr>
                <w:rFonts w:cs="Arial"/>
                <w:lang w:val="fr-FR"/>
              </w:rPr>
              <w:t>voir le paragraphe</w:t>
            </w:r>
            <w:r w:rsidR="00162BE2" w:rsidRPr="00733856">
              <w:rPr>
                <w:rFonts w:cs="Arial"/>
                <w:lang w:val="fr-FR"/>
              </w:rPr>
              <w:t> </w:t>
            </w:r>
            <w:r w:rsidR="004135CD" w:rsidRPr="00733856">
              <w:rPr>
                <w:rFonts w:cs="Arial"/>
                <w:lang w:val="fr-FR"/>
              </w:rPr>
              <w:t>53 du</w:t>
            </w:r>
            <w:r w:rsidR="004B4303" w:rsidRPr="00733856">
              <w:rPr>
                <w:rFonts w:cs="Arial"/>
                <w:lang w:val="fr-FR"/>
              </w:rPr>
              <w:t xml:space="preserve"> document TWO/47/28 “</w:t>
            </w:r>
            <w:r w:rsidR="00AD1B19" w:rsidRPr="00EE7A7D">
              <w:rPr>
                <w:lang w:val="fr-FR"/>
              </w:rPr>
              <w:t>Report”</w:t>
            </w:r>
            <w:r w:rsidR="004B4303" w:rsidRPr="00733856">
              <w:rPr>
                <w:rFonts w:cs="Arial"/>
                <w:lang w:val="fr-FR"/>
              </w:rPr>
              <w:t>)</w:t>
            </w:r>
            <w:r w:rsidR="004B4303" w:rsidRPr="00733856">
              <w:rPr>
                <w:lang w:val="fr-FR"/>
              </w:rPr>
              <w:t>.</w:t>
            </w:r>
          </w:p>
          <w:p w:rsidR="004B4303" w:rsidRPr="00733856" w:rsidRDefault="004B4303" w:rsidP="00AD076F">
            <w:pPr>
              <w:rPr>
                <w:lang w:val="fr-FR"/>
              </w:rPr>
            </w:pPr>
          </w:p>
        </w:tc>
        <w:tc>
          <w:tcPr>
            <w:tcW w:w="1014" w:type="dxa"/>
          </w:tcPr>
          <w:p w:rsidR="004B4303" w:rsidRPr="00733856" w:rsidRDefault="004B4303" w:rsidP="00AD076F">
            <w:pPr>
              <w:jc w:val="center"/>
              <w:rPr>
                <w:lang w:val="fr-FR"/>
              </w:rPr>
            </w:pPr>
            <w:r w:rsidRPr="00733856">
              <w:rPr>
                <w:lang w:val="fr-FR"/>
              </w:rPr>
              <w:t>TWO</w:t>
            </w:r>
          </w:p>
        </w:tc>
      </w:tr>
      <w:tr w:rsidR="00733856" w:rsidRPr="00733856" w:rsidTr="00AD076F">
        <w:trPr>
          <w:cantSplit/>
        </w:trPr>
        <w:tc>
          <w:tcPr>
            <w:tcW w:w="1701" w:type="dxa"/>
          </w:tcPr>
          <w:p w:rsidR="004B4303" w:rsidRPr="00733856" w:rsidRDefault="004B4303" w:rsidP="00AD076F">
            <w:pPr>
              <w:jc w:val="left"/>
              <w:rPr>
                <w:lang w:val="fr-FR"/>
              </w:rPr>
            </w:pPr>
          </w:p>
        </w:tc>
        <w:tc>
          <w:tcPr>
            <w:tcW w:w="6924" w:type="dxa"/>
          </w:tcPr>
          <w:p w:rsidR="00B75F48" w:rsidRPr="00733856" w:rsidRDefault="00AD076F" w:rsidP="00AD076F">
            <w:pPr>
              <w:ind w:right="12"/>
              <w:rPr>
                <w:rFonts w:cs="Arial"/>
                <w:lang w:val="fr-FR"/>
              </w:rPr>
            </w:pPr>
            <w:r w:rsidRPr="00733856">
              <w:rPr>
                <w:lang w:val="fr-FR"/>
              </w:rPr>
              <w:t>Le TWV est convenu de la nécessité de fournir dans les indications des précisions sur la distinction qui devait être faite entre les essais effectués dans les locaux de l</w:t>
            </w:r>
            <w:r w:rsidR="007E244E" w:rsidRPr="00733856">
              <w:rPr>
                <w:lang w:val="fr-FR"/>
              </w:rPr>
              <w:t>’</w:t>
            </w:r>
            <w:r w:rsidRPr="00733856">
              <w:rPr>
                <w:lang w:val="fr-FR"/>
              </w:rPr>
              <w:t>obtenteur</w:t>
            </w:r>
            <w:r w:rsidR="004B4303" w:rsidRPr="00733856">
              <w:rPr>
                <w:lang w:val="fr-FR"/>
              </w:rPr>
              <w:t xml:space="preserve">, </w:t>
            </w:r>
            <w:r w:rsidRPr="00733856">
              <w:rPr>
                <w:lang w:val="fr-FR"/>
              </w:rPr>
              <w:t xml:space="preserve">les essais aveugles et les essais </w:t>
            </w:r>
            <w:r w:rsidR="006C0391" w:rsidRPr="00733856">
              <w:rPr>
                <w:lang w:val="fr-FR"/>
              </w:rPr>
              <w:t xml:space="preserve">aveugles aléatoires </w:t>
            </w:r>
            <w:r w:rsidR="004B4303" w:rsidRPr="00733856">
              <w:rPr>
                <w:rFonts w:cs="Arial"/>
                <w:lang w:val="fr-FR"/>
              </w:rPr>
              <w:t>(</w:t>
            </w:r>
            <w:r w:rsidRPr="00733856">
              <w:rPr>
                <w:rFonts w:cs="Arial"/>
                <w:lang w:val="fr-FR"/>
              </w:rPr>
              <w:t>voir le paragraphe</w:t>
            </w:r>
            <w:r w:rsidR="00162BE2" w:rsidRPr="00733856">
              <w:rPr>
                <w:rFonts w:cs="Arial"/>
                <w:lang w:val="fr-FR"/>
              </w:rPr>
              <w:t> </w:t>
            </w:r>
            <w:r w:rsidRPr="00733856">
              <w:rPr>
                <w:rFonts w:cs="Arial"/>
                <w:lang w:val="fr-FR"/>
              </w:rPr>
              <w:t>52 du</w:t>
            </w:r>
            <w:r w:rsidR="004B4303" w:rsidRPr="00733856">
              <w:rPr>
                <w:rFonts w:cs="Arial"/>
                <w:lang w:val="fr-FR"/>
              </w:rPr>
              <w:t xml:space="preserve"> document TWV/48/43 </w:t>
            </w:r>
            <w:r w:rsidR="00AD1B19" w:rsidRPr="00EE7A7D">
              <w:rPr>
                <w:lang w:val="fr-FR"/>
              </w:rPr>
              <w:t>“Report”</w:t>
            </w:r>
            <w:r w:rsidR="004B4303" w:rsidRPr="00733856">
              <w:rPr>
                <w:rFonts w:cs="Arial"/>
                <w:lang w:val="fr-FR"/>
              </w:rPr>
              <w:t>).</w:t>
            </w:r>
          </w:p>
          <w:p w:rsidR="004B4303" w:rsidRPr="00733856" w:rsidRDefault="004B4303" w:rsidP="00AD076F">
            <w:pPr>
              <w:ind w:right="12"/>
              <w:rPr>
                <w:lang w:val="fr-FR"/>
              </w:rPr>
            </w:pPr>
          </w:p>
        </w:tc>
        <w:tc>
          <w:tcPr>
            <w:tcW w:w="1014" w:type="dxa"/>
          </w:tcPr>
          <w:p w:rsidR="004B4303" w:rsidRPr="00733856" w:rsidRDefault="000C09DC" w:rsidP="000C09DC">
            <w:pPr>
              <w:jc w:val="center"/>
              <w:rPr>
                <w:lang w:val="fr-FR"/>
              </w:rPr>
            </w:pPr>
            <w:r w:rsidRPr="00733856">
              <w:rPr>
                <w:lang w:val="fr-FR"/>
              </w:rPr>
              <w:t>TWV</w:t>
            </w:r>
          </w:p>
        </w:tc>
      </w:tr>
      <w:tr w:rsidR="00733856" w:rsidRPr="00733856" w:rsidTr="00AD076F">
        <w:trPr>
          <w:cantSplit/>
        </w:trPr>
        <w:tc>
          <w:tcPr>
            <w:tcW w:w="1701" w:type="dxa"/>
          </w:tcPr>
          <w:p w:rsidR="004B4303" w:rsidRPr="00733856" w:rsidRDefault="004B4303" w:rsidP="00AD076F">
            <w:pPr>
              <w:jc w:val="left"/>
              <w:rPr>
                <w:lang w:val="fr-FR"/>
              </w:rPr>
            </w:pPr>
          </w:p>
        </w:tc>
        <w:tc>
          <w:tcPr>
            <w:tcW w:w="6924" w:type="dxa"/>
          </w:tcPr>
          <w:p w:rsidR="00B75F48" w:rsidRPr="00733856" w:rsidRDefault="00AD076F" w:rsidP="00AD076F">
            <w:pPr>
              <w:rPr>
                <w:rFonts w:cs="Arial"/>
                <w:lang w:val="fr-FR"/>
              </w:rPr>
            </w:pPr>
            <w:r w:rsidRPr="00733856">
              <w:rPr>
                <w:lang w:val="fr-FR"/>
              </w:rPr>
              <w:t xml:space="preserve">Le TWA est </w:t>
            </w:r>
            <w:proofErr w:type="gramStart"/>
            <w:r w:rsidRPr="00733856">
              <w:rPr>
                <w:lang w:val="fr-FR"/>
              </w:rPr>
              <w:t>convenu</w:t>
            </w:r>
            <w:proofErr w:type="gramEnd"/>
            <w:r w:rsidRPr="00733856">
              <w:rPr>
                <w:lang w:val="fr-FR"/>
              </w:rPr>
              <w:t xml:space="preserve"> que les indications à élaborer devraient contenir des explications sur l</w:t>
            </w:r>
            <w:r w:rsidR="007E244E" w:rsidRPr="00733856">
              <w:rPr>
                <w:lang w:val="fr-FR"/>
              </w:rPr>
              <w:t>’</w:t>
            </w:r>
            <w:r w:rsidRPr="00733856">
              <w:rPr>
                <w:lang w:val="fr-FR"/>
              </w:rPr>
              <w:t>importance de la taille de l</w:t>
            </w:r>
            <w:r w:rsidR="007E244E" w:rsidRPr="00733856">
              <w:rPr>
                <w:lang w:val="fr-FR"/>
              </w:rPr>
              <w:t>’</w:t>
            </w:r>
            <w:r w:rsidRPr="00733856">
              <w:rPr>
                <w:lang w:val="fr-FR"/>
              </w:rPr>
              <w:t>échantillon et sur la manière de réduire à un minimum le</w:t>
            </w:r>
            <w:r w:rsidR="002D4768" w:rsidRPr="00733856">
              <w:rPr>
                <w:lang w:val="fr-FR"/>
              </w:rPr>
              <w:t>s</w:t>
            </w:r>
            <w:r w:rsidRPr="00733856">
              <w:rPr>
                <w:lang w:val="fr-FR"/>
              </w:rPr>
              <w:t xml:space="preserve"> biais </w:t>
            </w:r>
            <w:r w:rsidR="002D4768" w:rsidRPr="00733856">
              <w:rPr>
                <w:lang w:val="fr-FR"/>
              </w:rPr>
              <w:t>dans la méthode</w:t>
            </w:r>
            <w:r w:rsidR="004B4303" w:rsidRPr="00733856">
              <w:rPr>
                <w:rFonts w:cs="Arial"/>
                <w:lang w:val="fr-FR"/>
              </w:rPr>
              <w:t xml:space="preserve"> </w:t>
            </w:r>
            <w:r w:rsidR="002D4768" w:rsidRPr="00733856">
              <w:rPr>
                <w:rFonts w:cs="Arial"/>
                <w:lang w:val="fr-FR"/>
              </w:rPr>
              <w:t xml:space="preserve">employée </w:t>
            </w:r>
            <w:r w:rsidR="004B4303" w:rsidRPr="00733856">
              <w:rPr>
                <w:rFonts w:cs="Arial"/>
                <w:lang w:val="fr-FR"/>
              </w:rPr>
              <w:t>(</w:t>
            </w:r>
            <w:r w:rsidR="002D4768" w:rsidRPr="00733856">
              <w:rPr>
                <w:rFonts w:cs="Arial"/>
                <w:lang w:val="fr-FR"/>
              </w:rPr>
              <w:t>voir le paragraphe</w:t>
            </w:r>
            <w:r w:rsidR="00162BE2" w:rsidRPr="00733856">
              <w:rPr>
                <w:rFonts w:cs="Arial"/>
                <w:lang w:val="fr-FR"/>
              </w:rPr>
              <w:t> </w:t>
            </w:r>
            <w:r w:rsidR="002D4768" w:rsidRPr="00733856">
              <w:rPr>
                <w:rFonts w:cs="Arial"/>
                <w:lang w:val="fr-FR"/>
              </w:rPr>
              <w:t>47 du</w:t>
            </w:r>
            <w:r w:rsidR="004B4303" w:rsidRPr="00733856">
              <w:rPr>
                <w:rFonts w:cs="Arial"/>
                <w:lang w:val="fr-FR"/>
              </w:rPr>
              <w:t xml:space="preserve"> document TWA/43/27 </w:t>
            </w:r>
            <w:r w:rsidR="00AD1B19" w:rsidRPr="00EE7A7D">
              <w:rPr>
                <w:lang w:val="fr-FR"/>
              </w:rPr>
              <w:t>“Report”</w:t>
            </w:r>
            <w:r w:rsidR="004B4303" w:rsidRPr="00733856">
              <w:rPr>
                <w:rFonts w:cs="Arial"/>
                <w:lang w:val="fr-FR"/>
              </w:rPr>
              <w:t>).</w:t>
            </w:r>
          </w:p>
          <w:p w:rsidR="004B4303" w:rsidRPr="00733856" w:rsidRDefault="004B4303" w:rsidP="00AD076F">
            <w:pPr>
              <w:rPr>
                <w:lang w:val="fr-FR"/>
              </w:rPr>
            </w:pPr>
          </w:p>
        </w:tc>
        <w:tc>
          <w:tcPr>
            <w:tcW w:w="1014" w:type="dxa"/>
          </w:tcPr>
          <w:p w:rsidR="004B4303" w:rsidRPr="00733856" w:rsidRDefault="000C09DC" w:rsidP="000C09DC">
            <w:pPr>
              <w:jc w:val="center"/>
              <w:rPr>
                <w:lang w:val="fr-FR"/>
              </w:rPr>
            </w:pPr>
            <w:r w:rsidRPr="00733856">
              <w:rPr>
                <w:lang w:val="fr-FR"/>
              </w:rPr>
              <w:t>TWA</w:t>
            </w:r>
          </w:p>
        </w:tc>
      </w:tr>
      <w:tr w:rsidR="00733856" w:rsidRPr="00733856" w:rsidTr="00AD076F">
        <w:trPr>
          <w:cantSplit/>
        </w:trPr>
        <w:tc>
          <w:tcPr>
            <w:tcW w:w="1701" w:type="dxa"/>
          </w:tcPr>
          <w:p w:rsidR="004B4303" w:rsidRPr="00733856" w:rsidRDefault="004B4303" w:rsidP="00AD076F">
            <w:pPr>
              <w:jc w:val="left"/>
              <w:rPr>
                <w:lang w:val="fr-FR"/>
              </w:rPr>
            </w:pPr>
          </w:p>
        </w:tc>
        <w:tc>
          <w:tcPr>
            <w:tcW w:w="6924" w:type="dxa"/>
          </w:tcPr>
          <w:p w:rsidR="00B75F48" w:rsidRPr="00733856" w:rsidRDefault="002D4768" w:rsidP="00AD076F">
            <w:pPr>
              <w:rPr>
                <w:snapToGrid w:val="0"/>
                <w:lang w:val="fr-FR"/>
              </w:rPr>
            </w:pPr>
            <w:r w:rsidRPr="00733856">
              <w:rPr>
                <w:snapToGrid w:val="0"/>
                <w:lang w:val="fr-FR"/>
              </w:rPr>
              <w:t xml:space="preserve">Le TWO a examiné le </w:t>
            </w:r>
            <w:r w:rsidR="004B4303" w:rsidRPr="00733856">
              <w:rPr>
                <w:snapToGrid w:val="0"/>
                <w:lang w:val="fr-FR"/>
              </w:rPr>
              <w:t xml:space="preserve">document TWO/47/19 </w:t>
            </w:r>
            <w:r w:rsidRPr="00733856">
              <w:rPr>
                <w:snapToGrid w:val="0"/>
                <w:lang w:val="fr-FR"/>
              </w:rPr>
              <w:t>et est convenu que les essais aveugle</w:t>
            </w:r>
            <w:r w:rsidR="006C0391" w:rsidRPr="00733856">
              <w:rPr>
                <w:snapToGrid w:val="0"/>
                <w:lang w:val="fr-FR"/>
              </w:rPr>
              <w:t>s aléatoires</w:t>
            </w:r>
            <w:r w:rsidRPr="00733856">
              <w:rPr>
                <w:snapToGrid w:val="0"/>
                <w:lang w:val="fr-FR"/>
              </w:rPr>
              <w:t xml:space="preserve"> étaient rarement utilisés</w:t>
            </w:r>
            <w:r w:rsidR="004B4303" w:rsidRPr="00733856">
              <w:rPr>
                <w:snapToGrid w:val="0"/>
                <w:lang w:val="fr-FR"/>
              </w:rPr>
              <w:t xml:space="preserve">. </w:t>
            </w:r>
            <w:r w:rsidRPr="00733856">
              <w:rPr>
                <w:snapToGrid w:val="0"/>
                <w:lang w:val="fr-FR"/>
              </w:rPr>
              <w:t xml:space="preserve"> Il a noté que les essais </w:t>
            </w:r>
            <w:r w:rsidR="006C0391" w:rsidRPr="00733856">
              <w:rPr>
                <w:snapToGrid w:val="0"/>
                <w:lang w:val="fr-FR"/>
              </w:rPr>
              <w:t>aveugles aléatoires</w:t>
            </w:r>
            <w:r w:rsidRPr="00733856">
              <w:rPr>
                <w:snapToGrid w:val="0"/>
                <w:lang w:val="fr-FR"/>
              </w:rPr>
              <w:t xml:space="preserve"> étaient utilisés : au Brésil, pour confirmer</w:t>
            </w:r>
            <w:r w:rsidR="004B4303" w:rsidRPr="00733856">
              <w:rPr>
                <w:snapToGrid w:val="0"/>
                <w:lang w:val="fr-FR"/>
              </w:rPr>
              <w:t xml:space="preserve">, </w:t>
            </w:r>
            <w:r w:rsidRPr="00733856">
              <w:rPr>
                <w:snapToGrid w:val="0"/>
                <w:lang w:val="fr-FR"/>
              </w:rPr>
              <w:t>dans certains cas</w:t>
            </w:r>
            <w:r w:rsidR="004B4303" w:rsidRPr="00733856">
              <w:rPr>
                <w:snapToGrid w:val="0"/>
                <w:lang w:val="fr-FR"/>
              </w:rPr>
              <w:t xml:space="preserve">, </w:t>
            </w:r>
            <w:r w:rsidRPr="00733856">
              <w:rPr>
                <w:snapToGrid w:val="0"/>
                <w:lang w:val="fr-FR"/>
              </w:rPr>
              <w:t>l</w:t>
            </w:r>
            <w:r w:rsidR="007E244E" w:rsidRPr="00733856">
              <w:rPr>
                <w:snapToGrid w:val="0"/>
                <w:lang w:val="fr-FR"/>
              </w:rPr>
              <w:t>’</w:t>
            </w:r>
            <w:r w:rsidRPr="00733856">
              <w:rPr>
                <w:snapToGrid w:val="0"/>
                <w:lang w:val="fr-FR"/>
              </w:rPr>
              <w:t>évaluation de la distinction dans le cadre d</w:t>
            </w:r>
            <w:r w:rsidR="007E244E" w:rsidRPr="00733856">
              <w:rPr>
                <w:snapToGrid w:val="0"/>
                <w:lang w:val="fr-FR"/>
              </w:rPr>
              <w:t>’</w:t>
            </w:r>
            <w:r w:rsidRPr="00733856">
              <w:rPr>
                <w:snapToGrid w:val="0"/>
                <w:lang w:val="fr-FR"/>
              </w:rPr>
              <w:t>un système d</w:t>
            </w:r>
            <w:r w:rsidR="007E244E" w:rsidRPr="00733856">
              <w:rPr>
                <w:snapToGrid w:val="0"/>
                <w:lang w:val="fr-FR"/>
              </w:rPr>
              <w:t>’</w:t>
            </w:r>
            <w:r w:rsidRPr="00733856">
              <w:rPr>
                <w:snapToGrid w:val="0"/>
                <w:lang w:val="fr-FR"/>
              </w:rPr>
              <w:t>examen basé sur les renseignements fournis par l</w:t>
            </w:r>
            <w:r w:rsidR="007E244E" w:rsidRPr="00733856">
              <w:rPr>
                <w:snapToGrid w:val="0"/>
                <w:lang w:val="fr-FR"/>
              </w:rPr>
              <w:t>’</w:t>
            </w:r>
            <w:r w:rsidRPr="00733856">
              <w:rPr>
                <w:snapToGrid w:val="0"/>
                <w:lang w:val="fr-FR"/>
              </w:rPr>
              <w:t>obtenteur pour les plantes agricoles et potagères</w:t>
            </w:r>
            <w:r w:rsidR="004B4303" w:rsidRPr="00733856">
              <w:rPr>
                <w:snapToGrid w:val="0"/>
                <w:lang w:val="fr-FR"/>
              </w:rPr>
              <w:t xml:space="preserve">; </w:t>
            </w:r>
            <w:r w:rsidRPr="00733856">
              <w:rPr>
                <w:snapToGrid w:val="0"/>
                <w:lang w:val="fr-FR"/>
              </w:rPr>
              <w:t xml:space="preserve"> en Nouvelle</w:t>
            </w:r>
            <w:r w:rsidR="008D5F1B" w:rsidRPr="00733856">
              <w:rPr>
                <w:snapToGrid w:val="0"/>
                <w:lang w:val="fr-FR"/>
              </w:rPr>
              <w:noBreakHyphen/>
            </w:r>
            <w:r w:rsidRPr="00733856">
              <w:rPr>
                <w:snapToGrid w:val="0"/>
                <w:lang w:val="fr-FR"/>
              </w:rPr>
              <w:t>Zélande, pour certaines plantes fruitières et en cas de litige concernant la distinction</w:t>
            </w:r>
            <w:r w:rsidR="004B4303" w:rsidRPr="00733856">
              <w:rPr>
                <w:snapToGrid w:val="0"/>
                <w:lang w:val="fr-FR"/>
              </w:rPr>
              <w:t xml:space="preserve">; </w:t>
            </w:r>
            <w:r w:rsidR="00DB4331" w:rsidRPr="00733856">
              <w:rPr>
                <w:snapToGrid w:val="0"/>
                <w:lang w:val="fr-FR"/>
              </w:rPr>
              <w:t xml:space="preserve"> et au Royaume</w:t>
            </w:r>
            <w:r w:rsidR="008D5F1B" w:rsidRPr="00733856">
              <w:rPr>
                <w:snapToGrid w:val="0"/>
                <w:lang w:val="fr-FR"/>
              </w:rPr>
              <w:noBreakHyphen/>
            </w:r>
            <w:r w:rsidR="00DB4331" w:rsidRPr="00733856">
              <w:rPr>
                <w:snapToGrid w:val="0"/>
                <w:lang w:val="fr-FR"/>
              </w:rPr>
              <w:t>Uni et aux Pays</w:t>
            </w:r>
            <w:r w:rsidR="008D5F1B" w:rsidRPr="00733856">
              <w:rPr>
                <w:snapToGrid w:val="0"/>
                <w:lang w:val="fr-FR"/>
              </w:rPr>
              <w:noBreakHyphen/>
            </w:r>
            <w:r w:rsidR="00DB4331" w:rsidRPr="00733856">
              <w:rPr>
                <w:snapToGrid w:val="0"/>
                <w:lang w:val="fr-FR"/>
              </w:rPr>
              <w:t>Bas pour confirmer l</w:t>
            </w:r>
            <w:r w:rsidR="007E244E" w:rsidRPr="00733856">
              <w:rPr>
                <w:snapToGrid w:val="0"/>
                <w:lang w:val="fr-FR"/>
              </w:rPr>
              <w:t>’</w:t>
            </w:r>
            <w:r w:rsidR="00DB4331" w:rsidRPr="00733856">
              <w:rPr>
                <w:snapToGrid w:val="0"/>
                <w:lang w:val="fr-FR"/>
              </w:rPr>
              <w:t>absence de distinction entre des variétés</w:t>
            </w:r>
            <w:r w:rsidR="004B4303" w:rsidRPr="00733856">
              <w:rPr>
                <w:snapToGrid w:val="0"/>
                <w:lang w:val="fr-FR"/>
              </w:rPr>
              <w:t xml:space="preserve"> </w:t>
            </w:r>
            <w:r w:rsidR="004B4303" w:rsidRPr="00733856">
              <w:rPr>
                <w:rFonts w:cs="Arial"/>
                <w:lang w:val="fr-FR"/>
              </w:rPr>
              <w:t>(</w:t>
            </w:r>
            <w:r w:rsidR="00DB4331" w:rsidRPr="00733856">
              <w:rPr>
                <w:rFonts w:cs="Arial"/>
                <w:lang w:val="fr-FR"/>
              </w:rPr>
              <w:t>voir le paragraphe</w:t>
            </w:r>
            <w:r w:rsidR="00162BE2" w:rsidRPr="00733856">
              <w:rPr>
                <w:rFonts w:cs="Arial"/>
                <w:lang w:val="fr-FR"/>
              </w:rPr>
              <w:t> </w:t>
            </w:r>
            <w:r w:rsidR="00DB4331" w:rsidRPr="00733856">
              <w:rPr>
                <w:rFonts w:cs="Arial"/>
                <w:lang w:val="fr-FR"/>
              </w:rPr>
              <w:t xml:space="preserve">52 du </w:t>
            </w:r>
            <w:r w:rsidR="004B4303" w:rsidRPr="00733856">
              <w:rPr>
                <w:rFonts w:cs="Arial"/>
                <w:lang w:val="fr-FR"/>
              </w:rPr>
              <w:t xml:space="preserve">document TWO/47/28 </w:t>
            </w:r>
            <w:r w:rsidR="00AD1B19" w:rsidRPr="00EE7A7D">
              <w:rPr>
                <w:lang w:val="fr-FR"/>
              </w:rPr>
              <w:t>“Report”</w:t>
            </w:r>
            <w:r w:rsidR="004B4303" w:rsidRPr="00733856">
              <w:rPr>
                <w:rFonts w:cs="Arial"/>
                <w:lang w:val="fr-FR"/>
              </w:rPr>
              <w:t>).</w:t>
            </w:r>
          </w:p>
          <w:p w:rsidR="004B4303" w:rsidRPr="00733856" w:rsidRDefault="004B4303" w:rsidP="00AD076F">
            <w:pPr>
              <w:rPr>
                <w:lang w:val="fr-FR"/>
              </w:rPr>
            </w:pPr>
          </w:p>
        </w:tc>
        <w:tc>
          <w:tcPr>
            <w:tcW w:w="1014" w:type="dxa"/>
          </w:tcPr>
          <w:p w:rsidR="004B4303" w:rsidRPr="00733856" w:rsidRDefault="004B4303" w:rsidP="00AD076F">
            <w:pPr>
              <w:jc w:val="center"/>
              <w:rPr>
                <w:lang w:val="fr-FR"/>
              </w:rPr>
            </w:pPr>
            <w:r w:rsidRPr="00733856">
              <w:rPr>
                <w:lang w:val="fr-FR"/>
              </w:rPr>
              <w:t>TWO</w:t>
            </w:r>
          </w:p>
        </w:tc>
      </w:tr>
      <w:tr w:rsidR="00733856" w:rsidRPr="00733856" w:rsidTr="00AD076F">
        <w:trPr>
          <w:cantSplit/>
        </w:trPr>
        <w:tc>
          <w:tcPr>
            <w:tcW w:w="1701" w:type="dxa"/>
          </w:tcPr>
          <w:p w:rsidR="004B4303" w:rsidRPr="00733856" w:rsidRDefault="004B4303" w:rsidP="00AD076F">
            <w:pPr>
              <w:jc w:val="left"/>
              <w:rPr>
                <w:lang w:val="fr-FR"/>
              </w:rPr>
            </w:pPr>
          </w:p>
        </w:tc>
        <w:tc>
          <w:tcPr>
            <w:tcW w:w="6924" w:type="dxa"/>
          </w:tcPr>
          <w:p w:rsidR="00B75F48" w:rsidRPr="00733856" w:rsidRDefault="00C9570C" w:rsidP="00AD076F">
            <w:pPr>
              <w:rPr>
                <w:lang w:val="fr-FR"/>
              </w:rPr>
            </w:pPr>
            <w:r w:rsidRPr="00733856">
              <w:rPr>
                <w:lang w:val="fr-FR"/>
              </w:rPr>
              <w:t>Le TWF a pris note des informations fournies par</w:t>
            </w:r>
            <w:r w:rsidR="007E244E" w:rsidRPr="00733856">
              <w:rPr>
                <w:lang w:val="fr-FR"/>
              </w:rPr>
              <w:t xml:space="preserve"> le TWO</w:t>
            </w:r>
            <w:r w:rsidRPr="00733856">
              <w:rPr>
                <w:lang w:val="fr-FR"/>
              </w:rPr>
              <w:t xml:space="preserve"> à sa quaran</w:t>
            </w:r>
            <w:r w:rsidR="00F56D87" w:rsidRPr="00733856">
              <w:rPr>
                <w:lang w:val="fr-FR"/>
              </w:rPr>
              <w:t>te</w:t>
            </w:r>
            <w:r w:rsidR="008D5F1B" w:rsidRPr="00733856">
              <w:rPr>
                <w:lang w:val="fr-FR"/>
              </w:rPr>
              <w:noBreakHyphen/>
            </w:r>
            <w:r w:rsidR="00F56D87" w:rsidRPr="00733856">
              <w:rPr>
                <w:lang w:val="fr-FR"/>
              </w:rPr>
              <w:t>septième</w:t>
            </w:r>
            <w:r w:rsidR="00162BE2" w:rsidRPr="00733856">
              <w:rPr>
                <w:lang w:val="fr-FR"/>
              </w:rPr>
              <w:t> </w:t>
            </w:r>
            <w:r w:rsidR="00F56D87" w:rsidRPr="00733856">
              <w:rPr>
                <w:lang w:val="fr-FR"/>
              </w:rPr>
              <w:t xml:space="preserve">session concernant </w:t>
            </w:r>
            <w:r w:rsidR="00D50187" w:rsidRPr="00733856">
              <w:rPr>
                <w:lang w:val="fr-FR"/>
              </w:rPr>
              <w:t>l’utilisation des</w:t>
            </w:r>
            <w:r w:rsidRPr="00733856">
              <w:rPr>
                <w:lang w:val="fr-FR"/>
              </w:rPr>
              <w:t xml:space="preserve"> essais </w:t>
            </w:r>
            <w:r w:rsidR="006C0391" w:rsidRPr="00733856">
              <w:rPr>
                <w:lang w:val="fr-FR"/>
              </w:rPr>
              <w:t>aveugles aléatoires</w:t>
            </w:r>
            <w:r w:rsidRPr="00733856">
              <w:rPr>
                <w:lang w:val="fr-FR"/>
              </w:rPr>
              <w:t xml:space="preserve"> au Brésil, en Nouvelle</w:t>
            </w:r>
            <w:r w:rsidR="008D5F1B" w:rsidRPr="00733856">
              <w:rPr>
                <w:lang w:val="fr-FR"/>
              </w:rPr>
              <w:noBreakHyphen/>
            </w:r>
            <w:r w:rsidRPr="00733856">
              <w:rPr>
                <w:lang w:val="fr-FR"/>
              </w:rPr>
              <w:t>Zélande et au Royaume</w:t>
            </w:r>
            <w:r w:rsidR="008D5F1B" w:rsidRPr="00733856">
              <w:rPr>
                <w:lang w:val="fr-FR"/>
              </w:rPr>
              <w:noBreakHyphen/>
            </w:r>
            <w:r w:rsidRPr="00733856">
              <w:rPr>
                <w:lang w:val="fr-FR"/>
              </w:rPr>
              <w:t xml:space="preserve">Uni, </w:t>
            </w:r>
            <w:r w:rsidR="00F56D87" w:rsidRPr="00733856">
              <w:rPr>
                <w:lang w:val="fr-FR"/>
              </w:rPr>
              <w:t>et les</w:t>
            </w:r>
            <w:r w:rsidRPr="00733856">
              <w:rPr>
                <w:lang w:val="fr-FR"/>
              </w:rPr>
              <w:t xml:space="preserve"> circonstances dans lesquelles ces essais </w:t>
            </w:r>
            <w:r w:rsidR="006C0391" w:rsidRPr="00733856">
              <w:rPr>
                <w:lang w:val="fr-FR"/>
              </w:rPr>
              <w:t>aveugles aléatoires</w:t>
            </w:r>
            <w:r w:rsidRPr="00733856">
              <w:rPr>
                <w:lang w:val="fr-FR"/>
              </w:rPr>
              <w:t xml:space="preserve"> sont utilisés</w:t>
            </w:r>
            <w:r w:rsidR="004B4303" w:rsidRPr="00733856">
              <w:rPr>
                <w:lang w:val="fr-FR"/>
              </w:rPr>
              <w:t xml:space="preserve"> </w:t>
            </w:r>
            <w:r w:rsidR="004B4303" w:rsidRPr="00733856">
              <w:rPr>
                <w:rFonts w:cs="Arial"/>
                <w:lang w:val="fr-FR"/>
              </w:rPr>
              <w:t>(</w:t>
            </w:r>
            <w:r w:rsidRPr="00733856">
              <w:rPr>
                <w:rFonts w:cs="Arial"/>
                <w:lang w:val="fr-FR"/>
              </w:rPr>
              <w:t>voir le paragraphe</w:t>
            </w:r>
            <w:r w:rsidR="00162BE2" w:rsidRPr="00733856">
              <w:rPr>
                <w:rFonts w:cs="Arial"/>
                <w:lang w:val="fr-FR"/>
              </w:rPr>
              <w:t> </w:t>
            </w:r>
            <w:r w:rsidRPr="00733856">
              <w:rPr>
                <w:rFonts w:cs="Arial"/>
                <w:lang w:val="fr-FR"/>
              </w:rPr>
              <w:t>43 du</w:t>
            </w:r>
            <w:r w:rsidR="004B4303" w:rsidRPr="00733856">
              <w:rPr>
                <w:rFonts w:cs="Arial"/>
                <w:lang w:val="fr-FR"/>
              </w:rPr>
              <w:t xml:space="preserve"> document TWF/45/32 </w:t>
            </w:r>
            <w:r w:rsidR="00AD1B19" w:rsidRPr="00EE7A7D">
              <w:rPr>
                <w:lang w:val="fr-FR"/>
              </w:rPr>
              <w:t>“Report”</w:t>
            </w:r>
            <w:r w:rsidR="004B4303" w:rsidRPr="00733856">
              <w:rPr>
                <w:rFonts w:cs="Arial"/>
                <w:lang w:val="fr-FR"/>
              </w:rPr>
              <w:t>)</w:t>
            </w:r>
            <w:r w:rsidR="004B4303" w:rsidRPr="00733856">
              <w:rPr>
                <w:lang w:val="fr-FR"/>
              </w:rPr>
              <w:t>.</w:t>
            </w:r>
          </w:p>
          <w:p w:rsidR="00B75F48" w:rsidRPr="00733856" w:rsidRDefault="00B75F48" w:rsidP="00AD076F">
            <w:pPr>
              <w:tabs>
                <w:tab w:val="left" w:pos="1486"/>
              </w:tabs>
              <w:rPr>
                <w:snapToGrid w:val="0"/>
                <w:lang w:val="fr-FR"/>
              </w:rPr>
            </w:pPr>
          </w:p>
          <w:p w:rsidR="00B75F48" w:rsidRPr="00733856" w:rsidRDefault="00C9570C" w:rsidP="00AD076F">
            <w:pPr>
              <w:tabs>
                <w:tab w:val="left" w:pos="1486"/>
              </w:tabs>
              <w:rPr>
                <w:lang w:val="fr-FR"/>
              </w:rPr>
            </w:pPr>
            <w:r w:rsidRPr="00733856">
              <w:rPr>
                <w:lang w:val="fr-FR"/>
              </w:rPr>
              <w:t xml:space="preserve">Le TWF a </w:t>
            </w:r>
            <w:r w:rsidR="00D50187" w:rsidRPr="00733856">
              <w:rPr>
                <w:lang w:val="fr-FR"/>
              </w:rPr>
              <w:t>noté</w:t>
            </w:r>
            <w:r w:rsidRPr="00733856">
              <w:rPr>
                <w:lang w:val="fr-FR"/>
              </w:rPr>
              <w:t xml:space="preserve"> que l</w:t>
            </w:r>
            <w:r w:rsidR="007E244E" w:rsidRPr="00733856">
              <w:rPr>
                <w:lang w:val="fr-FR"/>
              </w:rPr>
              <w:t>’</w:t>
            </w:r>
            <w:r w:rsidRPr="00733856">
              <w:rPr>
                <w:lang w:val="fr-FR"/>
              </w:rPr>
              <w:t>expert de la Communauté internationale des obtenteurs de plantes ornementales et fruitières à reproduction asexuée</w:t>
            </w:r>
            <w:r w:rsidR="004B4303" w:rsidRPr="00733856">
              <w:rPr>
                <w:lang w:val="fr-FR"/>
              </w:rPr>
              <w:t xml:space="preserve"> (CIOPORA) </w:t>
            </w:r>
            <w:r w:rsidRPr="00733856">
              <w:rPr>
                <w:lang w:val="fr-FR"/>
              </w:rPr>
              <w:t>n</w:t>
            </w:r>
            <w:r w:rsidR="007E244E" w:rsidRPr="00733856">
              <w:rPr>
                <w:lang w:val="fr-FR"/>
              </w:rPr>
              <w:t>’</w:t>
            </w:r>
            <w:r w:rsidRPr="00733856">
              <w:rPr>
                <w:lang w:val="fr-FR"/>
              </w:rPr>
              <w:t>était pas favorable à l</w:t>
            </w:r>
            <w:r w:rsidR="007E244E" w:rsidRPr="00733856">
              <w:rPr>
                <w:lang w:val="fr-FR"/>
              </w:rPr>
              <w:t>’</w:t>
            </w:r>
            <w:r w:rsidRPr="00733856">
              <w:rPr>
                <w:lang w:val="fr-FR"/>
              </w:rPr>
              <w:t xml:space="preserve">utilisation des essais </w:t>
            </w:r>
            <w:r w:rsidR="006C0391" w:rsidRPr="00733856">
              <w:rPr>
                <w:lang w:val="fr-FR"/>
              </w:rPr>
              <w:t>aveugles aléatoires</w:t>
            </w:r>
            <w:r w:rsidR="004B4303" w:rsidRPr="00733856">
              <w:rPr>
                <w:lang w:val="fr-FR"/>
              </w:rPr>
              <w:t xml:space="preserve"> </w:t>
            </w:r>
            <w:r w:rsidR="004B4303" w:rsidRPr="00733856">
              <w:rPr>
                <w:rFonts w:cs="Arial"/>
                <w:lang w:val="fr-FR"/>
              </w:rPr>
              <w:t>(</w:t>
            </w:r>
            <w:r w:rsidRPr="00733856">
              <w:rPr>
                <w:rFonts w:cs="Arial"/>
                <w:lang w:val="fr-FR"/>
              </w:rPr>
              <w:t>voir le paragraphe</w:t>
            </w:r>
            <w:r w:rsidR="00162BE2" w:rsidRPr="00733856">
              <w:rPr>
                <w:rFonts w:cs="Arial"/>
                <w:lang w:val="fr-FR"/>
              </w:rPr>
              <w:t> </w:t>
            </w:r>
            <w:r w:rsidRPr="00733856">
              <w:rPr>
                <w:rFonts w:cs="Arial"/>
                <w:lang w:val="fr-FR"/>
              </w:rPr>
              <w:t>44 du</w:t>
            </w:r>
            <w:r w:rsidR="004B4303" w:rsidRPr="00733856">
              <w:rPr>
                <w:rFonts w:cs="Arial"/>
                <w:lang w:val="fr-FR"/>
              </w:rPr>
              <w:t xml:space="preserve"> document TWF/45/32 </w:t>
            </w:r>
            <w:r w:rsidR="00AD1B19" w:rsidRPr="00EE7A7D">
              <w:rPr>
                <w:lang w:val="fr-FR"/>
              </w:rPr>
              <w:t>“Report”</w:t>
            </w:r>
            <w:r w:rsidR="004B4303" w:rsidRPr="00733856">
              <w:rPr>
                <w:rFonts w:cs="Arial"/>
                <w:lang w:val="fr-FR"/>
              </w:rPr>
              <w:t>)</w:t>
            </w:r>
            <w:r w:rsidR="004B4303" w:rsidRPr="00733856">
              <w:rPr>
                <w:lang w:val="fr-FR"/>
              </w:rPr>
              <w:t>.</w:t>
            </w:r>
          </w:p>
          <w:p w:rsidR="004B4303" w:rsidRPr="00733856" w:rsidRDefault="004B4303" w:rsidP="00AD076F">
            <w:pPr>
              <w:tabs>
                <w:tab w:val="left" w:pos="1486"/>
              </w:tabs>
              <w:rPr>
                <w:snapToGrid w:val="0"/>
                <w:lang w:val="fr-FR"/>
              </w:rPr>
            </w:pPr>
          </w:p>
        </w:tc>
        <w:tc>
          <w:tcPr>
            <w:tcW w:w="1014" w:type="dxa"/>
          </w:tcPr>
          <w:p w:rsidR="004B4303" w:rsidRPr="00733856" w:rsidRDefault="000C09DC" w:rsidP="000C09DC">
            <w:pPr>
              <w:jc w:val="center"/>
              <w:rPr>
                <w:lang w:val="fr-FR"/>
              </w:rPr>
            </w:pPr>
            <w:r w:rsidRPr="00733856">
              <w:rPr>
                <w:lang w:val="fr-FR"/>
              </w:rPr>
              <w:t>TWF</w:t>
            </w:r>
          </w:p>
        </w:tc>
      </w:tr>
      <w:tr w:rsidR="00733856" w:rsidRPr="00733856" w:rsidTr="00AD076F">
        <w:trPr>
          <w:cantSplit/>
        </w:trPr>
        <w:tc>
          <w:tcPr>
            <w:tcW w:w="1701" w:type="dxa"/>
          </w:tcPr>
          <w:p w:rsidR="004B4303" w:rsidRPr="00733856" w:rsidRDefault="004B4303" w:rsidP="00AD076F">
            <w:pPr>
              <w:jc w:val="left"/>
              <w:rPr>
                <w:lang w:val="fr-FR"/>
              </w:rPr>
            </w:pPr>
          </w:p>
        </w:tc>
        <w:tc>
          <w:tcPr>
            <w:tcW w:w="6924" w:type="dxa"/>
          </w:tcPr>
          <w:p w:rsidR="00B75F48" w:rsidRPr="00733856" w:rsidRDefault="00C9570C" w:rsidP="00AD076F">
            <w:pPr>
              <w:rPr>
                <w:lang w:val="fr-FR"/>
              </w:rPr>
            </w:pPr>
            <w:r w:rsidRPr="00733856">
              <w:rPr>
                <w:snapToGrid w:val="0"/>
                <w:lang w:val="fr-FR"/>
              </w:rPr>
              <w:t>Le TWC a examiné le document</w:t>
            </w:r>
            <w:r w:rsidR="004B4303" w:rsidRPr="00733856">
              <w:rPr>
                <w:snapToGrid w:val="0"/>
                <w:lang w:val="fr-FR"/>
              </w:rPr>
              <w:t xml:space="preserve"> TWC/32/19 </w:t>
            </w:r>
            <w:r w:rsidRPr="00733856">
              <w:rPr>
                <w:snapToGrid w:val="0"/>
                <w:lang w:val="fr-FR"/>
              </w:rPr>
              <w:t xml:space="preserve">et est convenu que les essais </w:t>
            </w:r>
            <w:r w:rsidR="006C0391" w:rsidRPr="00733856">
              <w:rPr>
                <w:snapToGrid w:val="0"/>
                <w:lang w:val="fr-FR"/>
              </w:rPr>
              <w:t>aveugles aléatoires</w:t>
            </w:r>
            <w:r w:rsidRPr="00733856">
              <w:rPr>
                <w:snapToGrid w:val="0"/>
                <w:lang w:val="fr-FR"/>
              </w:rPr>
              <w:t xml:space="preserve"> étaient rarement utilisés</w:t>
            </w:r>
            <w:r w:rsidR="004B4303" w:rsidRPr="00733856">
              <w:rPr>
                <w:snapToGrid w:val="0"/>
                <w:lang w:val="fr-FR"/>
              </w:rPr>
              <w:t xml:space="preserve">. </w:t>
            </w:r>
            <w:r w:rsidRPr="00733856">
              <w:rPr>
                <w:snapToGrid w:val="0"/>
                <w:lang w:val="fr-FR"/>
              </w:rPr>
              <w:t xml:space="preserve"> Il a indiqué que les essais </w:t>
            </w:r>
            <w:r w:rsidR="006C0391" w:rsidRPr="00733856">
              <w:rPr>
                <w:snapToGrid w:val="0"/>
                <w:lang w:val="fr-FR"/>
              </w:rPr>
              <w:t>aveugles aléatoires</w:t>
            </w:r>
            <w:r w:rsidRPr="00733856">
              <w:rPr>
                <w:snapToGrid w:val="0"/>
                <w:lang w:val="fr-FR"/>
              </w:rPr>
              <w:t xml:space="preserve"> avaient été utilisés aux Pays</w:t>
            </w:r>
            <w:r w:rsidR="008D5F1B" w:rsidRPr="00733856">
              <w:rPr>
                <w:snapToGrid w:val="0"/>
                <w:lang w:val="fr-FR"/>
              </w:rPr>
              <w:noBreakHyphen/>
            </w:r>
            <w:r w:rsidRPr="00733856">
              <w:rPr>
                <w:snapToGrid w:val="0"/>
                <w:lang w:val="fr-FR"/>
              </w:rPr>
              <w:t>Bas pour confirmer l</w:t>
            </w:r>
            <w:r w:rsidR="007E244E" w:rsidRPr="00733856">
              <w:rPr>
                <w:snapToGrid w:val="0"/>
                <w:lang w:val="fr-FR"/>
              </w:rPr>
              <w:t>’</w:t>
            </w:r>
            <w:r w:rsidRPr="00733856">
              <w:rPr>
                <w:snapToGrid w:val="0"/>
                <w:lang w:val="fr-FR"/>
              </w:rPr>
              <w:t>absence de distinction entre des variétés.</w:t>
            </w:r>
            <w:r w:rsidR="004B4303" w:rsidRPr="00733856">
              <w:rPr>
                <w:lang w:val="fr-FR"/>
              </w:rPr>
              <w:t xml:space="preserve"> </w:t>
            </w:r>
            <w:r w:rsidR="007E244E" w:rsidRPr="00733856">
              <w:rPr>
                <w:lang w:val="fr-FR"/>
              </w:rPr>
              <w:t xml:space="preserve"> Le TWC</w:t>
            </w:r>
            <w:r w:rsidRPr="00733856">
              <w:rPr>
                <w:lang w:val="fr-FR"/>
              </w:rPr>
              <w:t xml:space="preserve"> a ajouté que des essais pour déterminer la résistance aux maladies avaient été organisés par les Pays</w:t>
            </w:r>
            <w:r w:rsidR="008D5F1B" w:rsidRPr="00733856">
              <w:rPr>
                <w:lang w:val="fr-FR"/>
              </w:rPr>
              <w:noBreakHyphen/>
            </w:r>
            <w:r w:rsidRPr="00733856">
              <w:rPr>
                <w:lang w:val="fr-FR"/>
              </w:rPr>
              <w:t>Bas dans les locaux de l</w:t>
            </w:r>
            <w:r w:rsidR="007E244E" w:rsidRPr="00733856">
              <w:rPr>
                <w:lang w:val="fr-FR"/>
              </w:rPr>
              <w:t>’</w:t>
            </w:r>
            <w:r w:rsidRPr="00733856">
              <w:rPr>
                <w:lang w:val="fr-FR"/>
              </w:rPr>
              <w:t>obtenteur mais que les variétés n</w:t>
            </w:r>
            <w:r w:rsidR="007E244E" w:rsidRPr="00733856">
              <w:rPr>
                <w:lang w:val="fr-FR"/>
              </w:rPr>
              <w:t>’</w:t>
            </w:r>
            <w:r w:rsidRPr="00733856">
              <w:rPr>
                <w:lang w:val="fr-FR"/>
              </w:rPr>
              <w:t>étaient pas codées</w:t>
            </w:r>
            <w:r w:rsidR="004B4303" w:rsidRPr="00733856">
              <w:rPr>
                <w:lang w:val="fr-FR"/>
              </w:rPr>
              <w:t xml:space="preserve">. </w:t>
            </w:r>
            <w:r w:rsidR="007E244E" w:rsidRPr="00733856">
              <w:rPr>
                <w:lang w:val="fr-FR"/>
              </w:rPr>
              <w:t xml:space="preserve"> Le TWC</w:t>
            </w:r>
            <w:r w:rsidRPr="00733856">
              <w:rPr>
                <w:lang w:val="fr-FR"/>
              </w:rPr>
              <w:t xml:space="preserve"> a pris note de la proposition </w:t>
            </w:r>
            <w:r w:rsidR="00F56D87" w:rsidRPr="00733856">
              <w:rPr>
                <w:lang w:val="fr-FR"/>
              </w:rPr>
              <w:t>de l</w:t>
            </w:r>
            <w:r w:rsidR="007E244E" w:rsidRPr="00733856">
              <w:rPr>
                <w:lang w:val="fr-FR"/>
              </w:rPr>
              <w:t>’</w:t>
            </w:r>
            <w:r w:rsidR="00F56D87" w:rsidRPr="00733856">
              <w:rPr>
                <w:lang w:val="fr-FR"/>
              </w:rPr>
              <w:t>expert des Pays</w:t>
            </w:r>
            <w:r w:rsidR="008D5F1B" w:rsidRPr="00733856">
              <w:rPr>
                <w:lang w:val="fr-FR"/>
              </w:rPr>
              <w:noBreakHyphen/>
            </w:r>
            <w:r w:rsidR="00F56D87" w:rsidRPr="00733856">
              <w:rPr>
                <w:lang w:val="fr-FR"/>
              </w:rPr>
              <w:t>Bas d</w:t>
            </w:r>
            <w:r w:rsidR="007E244E" w:rsidRPr="00733856">
              <w:rPr>
                <w:lang w:val="fr-FR"/>
              </w:rPr>
              <w:t>’</w:t>
            </w:r>
            <w:r w:rsidR="00F56D87" w:rsidRPr="00733856">
              <w:rPr>
                <w:lang w:val="fr-FR"/>
              </w:rPr>
              <w:t>élaborer les indications relatives aux essais de ce type organisés dans les locaux de l</w:t>
            </w:r>
            <w:r w:rsidR="007E244E" w:rsidRPr="00733856">
              <w:rPr>
                <w:lang w:val="fr-FR"/>
              </w:rPr>
              <w:t>’</w:t>
            </w:r>
            <w:r w:rsidR="00F56D87" w:rsidRPr="00733856">
              <w:rPr>
                <w:lang w:val="fr-FR"/>
              </w:rPr>
              <w:t xml:space="preserve">obtenteur aux fins de leur inclusion dans le document </w:t>
            </w:r>
            <w:r w:rsidR="004B4303" w:rsidRPr="00733856">
              <w:rPr>
                <w:lang w:val="fr-FR"/>
              </w:rPr>
              <w:t xml:space="preserve">TGP/6 “Arrangements </w:t>
            </w:r>
            <w:r w:rsidR="00F56D87" w:rsidRPr="00733856">
              <w:rPr>
                <w:lang w:val="fr-FR"/>
              </w:rPr>
              <w:t>en vue de l</w:t>
            </w:r>
            <w:r w:rsidR="007E244E" w:rsidRPr="00733856">
              <w:rPr>
                <w:lang w:val="fr-FR"/>
              </w:rPr>
              <w:t>’</w:t>
            </w:r>
            <w:r w:rsidR="00F56D87" w:rsidRPr="00733856">
              <w:rPr>
                <w:lang w:val="fr-FR"/>
              </w:rPr>
              <w:t>examen</w:t>
            </w:r>
            <w:r w:rsidR="00162BE2" w:rsidRPr="00733856">
              <w:rPr>
                <w:lang w:val="fr-FR"/>
              </w:rPr>
              <w:t> </w:t>
            </w:r>
            <w:r w:rsidR="00F56D87" w:rsidRPr="00733856">
              <w:rPr>
                <w:lang w:val="fr-FR"/>
              </w:rPr>
              <w:t>DHS</w:t>
            </w:r>
            <w:r w:rsidR="004B4303" w:rsidRPr="00733856">
              <w:rPr>
                <w:lang w:val="fr-FR"/>
              </w:rPr>
              <w:t>”</w:t>
            </w:r>
            <w:r w:rsidR="004B4303" w:rsidRPr="00733856">
              <w:rPr>
                <w:rFonts w:cs="Arial"/>
                <w:lang w:val="fr-FR"/>
              </w:rPr>
              <w:t xml:space="preserve"> (</w:t>
            </w:r>
            <w:r w:rsidR="00F56D87" w:rsidRPr="00733856">
              <w:rPr>
                <w:rFonts w:cs="Arial"/>
                <w:lang w:val="fr-FR"/>
              </w:rPr>
              <w:t>voir le paragraphe</w:t>
            </w:r>
            <w:r w:rsidR="00162BE2" w:rsidRPr="00733856">
              <w:rPr>
                <w:rFonts w:cs="Arial"/>
                <w:lang w:val="fr-FR"/>
              </w:rPr>
              <w:t> </w:t>
            </w:r>
            <w:r w:rsidR="00F56D87" w:rsidRPr="00733856">
              <w:rPr>
                <w:rFonts w:cs="Arial"/>
                <w:lang w:val="fr-FR"/>
              </w:rPr>
              <w:t xml:space="preserve">38 du </w:t>
            </w:r>
            <w:r w:rsidR="004B4303" w:rsidRPr="00733856">
              <w:rPr>
                <w:rFonts w:cs="Arial"/>
                <w:lang w:val="fr-FR"/>
              </w:rPr>
              <w:t xml:space="preserve">document TWC/32/28 </w:t>
            </w:r>
            <w:r w:rsidR="00AD1B19" w:rsidRPr="00EE7A7D">
              <w:rPr>
                <w:lang w:val="fr-FR"/>
              </w:rPr>
              <w:t>“Report”</w:t>
            </w:r>
            <w:r w:rsidR="004B4303" w:rsidRPr="00733856">
              <w:rPr>
                <w:rFonts w:cs="Arial"/>
                <w:lang w:val="fr-FR"/>
              </w:rPr>
              <w:t>)</w:t>
            </w:r>
            <w:r w:rsidR="004B4303" w:rsidRPr="00733856">
              <w:rPr>
                <w:lang w:val="fr-FR"/>
              </w:rPr>
              <w:t>.</w:t>
            </w:r>
          </w:p>
          <w:p w:rsidR="004B4303" w:rsidRPr="00733856" w:rsidRDefault="004B4303" w:rsidP="00AD076F">
            <w:pPr>
              <w:rPr>
                <w:snapToGrid w:val="0"/>
                <w:lang w:val="fr-FR"/>
              </w:rPr>
            </w:pPr>
          </w:p>
        </w:tc>
        <w:tc>
          <w:tcPr>
            <w:tcW w:w="1014" w:type="dxa"/>
          </w:tcPr>
          <w:p w:rsidR="004B4303" w:rsidRPr="00733856" w:rsidRDefault="000C09DC" w:rsidP="000C09DC">
            <w:pPr>
              <w:jc w:val="center"/>
              <w:rPr>
                <w:lang w:val="fr-FR"/>
              </w:rPr>
            </w:pPr>
            <w:r w:rsidRPr="00733856">
              <w:rPr>
                <w:lang w:val="fr-FR"/>
              </w:rPr>
              <w:t>TWC</w:t>
            </w:r>
          </w:p>
        </w:tc>
      </w:tr>
      <w:tr w:rsidR="00733856" w:rsidRPr="00733856" w:rsidTr="00AD076F">
        <w:trPr>
          <w:cantSplit/>
        </w:trPr>
        <w:tc>
          <w:tcPr>
            <w:tcW w:w="1701" w:type="dxa"/>
          </w:tcPr>
          <w:p w:rsidR="004B4303" w:rsidRPr="00733856" w:rsidRDefault="004B4303" w:rsidP="00AD076F">
            <w:pPr>
              <w:jc w:val="left"/>
              <w:rPr>
                <w:lang w:val="fr-FR"/>
              </w:rPr>
            </w:pPr>
          </w:p>
        </w:tc>
        <w:tc>
          <w:tcPr>
            <w:tcW w:w="6924" w:type="dxa"/>
          </w:tcPr>
          <w:p w:rsidR="00B75F48" w:rsidRPr="00733856" w:rsidRDefault="00F56D87" w:rsidP="00AD076F">
            <w:pPr>
              <w:rPr>
                <w:lang w:val="fr-FR"/>
              </w:rPr>
            </w:pPr>
            <w:r w:rsidRPr="00733856">
              <w:rPr>
                <w:lang w:val="fr-FR"/>
              </w:rPr>
              <w:t>Le TWV a pris note des informations fournies par les experts de la France et des Pays</w:t>
            </w:r>
            <w:r w:rsidR="008D5F1B" w:rsidRPr="00733856">
              <w:rPr>
                <w:lang w:val="fr-FR"/>
              </w:rPr>
              <w:noBreakHyphen/>
            </w:r>
            <w:r w:rsidRPr="00733856">
              <w:rPr>
                <w:lang w:val="fr-FR"/>
              </w:rPr>
              <w:t>Bas concernant l</w:t>
            </w:r>
            <w:r w:rsidR="007E244E" w:rsidRPr="00733856">
              <w:rPr>
                <w:lang w:val="fr-FR"/>
              </w:rPr>
              <w:t>’</w:t>
            </w:r>
            <w:r w:rsidRPr="00733856">
              <w:rPr>
                <w:lang w:val="fr-FR"/>
              </w:rPr>
              <w:t xml:space="preserve">utilisation des essais </w:t>
            </w:r>
            <w:r w:rsidR="006C0391" w:rsidRPr="00733856">
              <w:rPr>
                <w:lang w:val="fr-FR"/>
              </w:rPr>
              <w:t>aveugles aléatoires</w:t>
            </w:r>
            <w:r w:rsidRPr="00733856">
              <w:rPr>
                <w:lang w:val="fr-FR"/>
              </w:rPr>
              <w:t xml:space="preserve"> et les circonstances dans lesquelles ces essais </w:t>
            </w:r>
            <w:r w:rsidR="006C0391" w:rsidRPr="00733856">
              <w:rPr>
                <w:lang w:val="fr-FR"/>
              </w:rPr>
              <w:t>aveugles aléatoires</w:t>
            </w:r>
            <w:r w:rsidRPr="00733856">
              <w:rPr>
                <w:lang w:val="fr-FR"/>
              </w:rPr>
              <w:t xml:space="preserve"> sont utilisés</w:t>
            </w:r>
            <w:r w:rsidR="004B4303" w:rsidRPr="00733856">
              <w:rPr>
                <w:lang w:val="fr-FR"/>
              </w:rPr>
              <w:t xml:space="preserve"> </w:t>
            </w:r>
            <w:r w:rsidR="004B4303" w:rsidRPr="00733856">
              <w:rPr>
                <w:rFonts w:cs="Arial"/>
                <w:lang w:val="fr-FR"/>
              </w:rPr>
              <w:t>(</w:t>
            </w:r>
            <w:r w:rsidRPr="00733856">
              <w:rPr>
                <w:rFonts w:cs="Arial"/>
                <w:lang w:val="fr-FR"/>
              </w:rPr>
              <w:t>voir le paragraphe</w:t>
            </w:r>
            <w:r w:rsidR="00162BE2" w:rsidRPr="00733856">
              <w:rPr>
                <w:rFonts w:cs="Arial"/>
                <w:lang w:val="fr-FR"/>
              </w:rPr>
              <w:t> </w:t>
            </w:r>
            <w:r w:rsidRPr="00733856">
              <w:rPr>
                <w:rFonts w:cs="Arial"/>
                <w:lang w:val="fr-FR"/>
              </w:rPr>
              <w:t xml:space="preserve">50 du document TWV/48/43 </w:t>
            </w:r>
            <w:r w:rsidR="00AD1B19" w:rsidRPr="00EE7A7D">
              <w:rPr>
                <w:lang w:val="fr-FR"/>
              </w:rPr>
              <w:t>“Report”</w:t>
            </w:r>
            <w:r w:rsidR="004B4303" w:rsidRPr="00733856">
              <w:rPr>
                <w:rFonts w:cs="Arial"/>
                <w:lang w:val="fr-FR"/>
              </w:rPr>
              <w:t>)</w:t>
            </w:r>
            <w:r w:rsidR="004B4303" w:rsidRPr="00733856">
              <w:rPr>
                <w:lang w:val="fr-FR"/>
              </w:rPr>
              <w:t>.</w:t>
            </w:r>
          </w:p>
          <w:p w:rsidR="00B75F48" w:rsidRPr="00733856" w:rsidRDefault="00B75F48" w:rsidP="00AD076F">
            <w:pPr>
              <w:rPr>
                <w:lang w:val="fr-FR"/>
              </w:rPr>
            </w:pPr>
          </w:p>
          <w:p w:rsidR="00B75F48" w:rsidRPr="00733856" w:rsidRDefault="00F56D87" w:rsidP="00AD076F">
            <w:pPr>
              <w:rPr>
                <w:lang w:val="fr-FR"/>
              </w:rPr>
            </w:pPr>
            <w:r w:rsidRPr="00733856">
              <w:rPr>
                <w:lang w:val="fr-FR"/>
              </w:rPr>
              <w:t xml:space="preserve">Le TWV </w:t>
            </w:r>
            <w:r w:rsidR="00D50187" w:rsidRPr="00733856">
              <w:rPr>
                <w:lang w:val="fr-FR"/>
              </w:rPr>
              <w:t>est convenu</w:t>
            </w:r>
            <w:r w:rsidRPr="00733856">
              <w:rPr>
                <w:lang w:val="fr-FR"/>
              </w:rPr>
              <w:t xml:space="preserve"> que, dans le cas de l</w:t>
            </w:r>
            <w:r w:rsidR="007E244E" w:rsidRPr="00733856">
              <w:rPr>
                <w:lang w:val="fr-FR"/>
              </w:rPr>
              <w:t>’</w:t>
            </w:r>
            <w:r w:rsidRPr="00733856">
              <w:rPr>
                <w:lang w:val="fr-FR"/>
              </w:rPr>
              <w:t>utilisation d</w:t>
            </w:r>
            <w:r w:rsidR="007E244E" w:rsidRPr="00733856">
              <w:rPr>
                <w:lang w:val="fr-FR"/>
              </w:rPr>
              <w:t>’</w:t>
            </w:r>
            <w:r w:rsidRPr="00733856">
              <w:rPr>
                <w:lang w:val="fr-FR"/>
              </w:rPr>
              <w:t xml:space="preserve">essais </w:t>
            </w:r>
            <w:r w:rsidR="006C0391" w:rsidRPr="00733856">
              <w:rPr>
                <w:lang w:val="fr-FR"/>
              </w:rPr>
              <w:t>aveugles aléatoires</w:t>
            </w:r>
            <w:r w:rsidRPr="00733856">
              <w:rPr>
                <w:lang w:val="fr-FR"/>
              </w:rPr>
              <w:t xml:space="preserve">, la décision finale était prise par les autorités sur la base des règles et des critères </w:t>
            </w:r>
            <w:r w:rsidR="00D50187" w:rsidRPr="00733856">
              <w:rPr>
                <w:lang w:val="fr-FR"/>
              </w:rPr>
              <w:t>applicables</w:t>
            </w:r>
            <w:r w:rsidRPr="00733856">
              <w:rPr>
                <w:lang w:val="fr-FR"/>
              </w:rPr>
              <w:t xml:space="preserve"> à l</w:t>
            </w:r>
            <w:r w:rsidR="007E244E" w:rsidRPr="00733856">
              <w:rPr>
                <w:lang w:val="fr-FR"/>
              </w:rPr>
              <w:t>’</w:t>
            </w:r>
            <w:r w:rsidRPr="00733856">
              <w:rPr>
                <w:lang w:val="fr-FR"/>
              </w:rPr>
              <w:t>examen</w:t>
            </w:r>
            <w:r w:rsidR="00162BE2" w:rsidRPr="00733856">
              <w:rPr>
                <w:lang w:val="fr-FR"/>
              </w:rPr>
              <w:t> </w:t>
            </w:r>
            <w:r w:rsidRPr="00733856">
              <w:rPr>
                <w:lang w:val="fr-FR"/>
              </w:rPr>
              <w:t xml:space="preserve">DHS, </w:t>
            </w:r>
            <w:r w:rsidR="00BB06B3" w:rsidRPr="00733856">
              <w:rPr>
                <w:lang w:val="fr-FR"/>
              </w:rPr>
              <w:t xml:space="preserve">et que les essais </w:t>
            </w:r>
            <w:r w:rsidR="006C0391" w:rsidRPr="00733856">
              <w:rPr>
                <w:lang w:val="fr-FR"/>
              </w:rPr>
              <w:t>aveugles aléatoires</w:t>
            </w:r>
            <w:r w:rsidR="00BB06B3" w:rsidRPr="00733856">
              <w:rPr>
                <w:lang w:val="fr-FR"/>
              </w:rPr>
              <w:t xml:space="preserve"> étaient effectués uniquement dans des cas exceptionnels.</w:t>
            </w:r>
          </w:p>
          <w:p w:rsidR="00B75F48" w:rsidRPr="00733856" w:rsidRDefault="00B75F48" w:rsidP="00AD076F">
            <w:pPr>
              <w:rPr>
                <w:lang w:val="fr-FR"/>
              </w:rPr>
            </w:pPr>
          </w:p>
          <w:p w:rsidR="00B75F48" w:rsidRPr="00733856" w:rsidRDefault="00BB06B3" w:rsidP="00AD076F">
            <w:pPr>
              <w:rPr>
                <w:rFonts w:cs="Arial"/>
                <w:lang w:val="fr-FR"/>
              </w:rPr>
            </w:pPr>
            <w:r w:rsidRPr="00733856">
              <w:rPr>
                <w:lang w:val="fr-FR"/>
              </w:rPr>
              <w:t xml:space="preserve">Le TWV a noté que les experts de </w:t>
            </w:r>
            <w:proofErr w:type="spellStart"/>
            <w:r w:rsidR="004B4303" w:rsidRPr="00733856">
              <w:rPr>
                <w:lang w:val="fr-FR"/>
              </w:rPr>
              <w:t>Crop</w:t>
            </w:r>
            <w:proofErr w:type="spellEnd"/>
            <w:r w:rsidR="004B4303" w:rsidRPr="00733856">
              <w:rPr>
                <w:lang w:val="fr-FR"/>
              </w:rPr>
              <w:t xml:space="preserve"> Life Internationa</w:t>
            </w:r>
            <w:r w:rsidRPr="00733856">
              <w:rPr>
                <w:lang w:val="fr-FR"/>
              </w:rPr>
              <w:t xml:space="preserve">l et de </w:t>
            </w:r>
            <w:proofErr w:type="gramStart"/>
            <w:r w:rsidRPr="00733856">
              <w:rPr>
                <w:lang w:val="fr-FR"/>
              </w:rPr>
              <w:t>la</w:t>
            </w:r>
            <w:r w:rsidR="004B4303" w:rsidRPr="00733856">
              <w:rPr>
                <w:lang w:val="fr-FR"/>
              </w:rPr>
              <w:t xml:space="preserve"> </w:t>
            </w:r>
            <w:proofErr w:type="spellStart"/>
            <w:r w:rsidR="004B4303" w:rsidRPr="00733856">
              <w:rPr>
                <w:lang w:val="fr-FR"/>
              </w:rPr>
              <w:t>European</w:t>
            </w:r>
            <w:proofErr w:type="spellEnd"/>
            <w:proofErr w:type="gramEnd"/>
            <w:r w:rsidR="004B4303" w:rsidRPr="00733856">
              <w:rPr>
                <w:lang w:val="fr-FR"/>
              </w:rPr>
              <w:t xml:space="preserve"> </w:t>
            </w:r>
            <w:proofErr w:type="spellStart"/>
            <w:r w:rsidR="004B4303" w:rsidRPr="00733856">
              <w:rPr>
                <w:lang w:val="fr-FR"/>
              </w:rPr>
              <w:t>Seed</w:t>
            </w:r>
            <w:proofErr w:type="spellEnd"/>
            <w:r w:rsidR="004B4303" w:rsidRPr="00733856">
              <w:rPr>
                <w:lang w:val="fr-FR"/>
              </w:rPr>
              <w:t xml:space="preserve"> Association </w:t>
            </w:r>
            <w:r w:rsidRPr="00733856">
              <w:rPr>
                <w:lang w:val="fr-FR"/>
              </w:rPr>
              <w:t>étaient favorables à l</w:t>
            </w:r>
            <w:r w:rsidR="007E244E" w:rsidRPr="00733856">
              <w:rPr>
                <w:lang w:val="fr-FR"/>
              </w:rPr>
              <w:t>’</w:t>
            </w:r>
            <w:r w:rsidRPr="00733856">
              <w:rPr>
                <w:lang w:val="fr-FR"/>
              </w:rPr>
              <w:t xml:space="preserve">utilisation des essais </w:t>
            </w:r>
            <w:r w:rsidR="00D50187" w:rsidRPr="00733856">
              <w:rPr>
                <w:lang w:val="fr-FR"/>
              </w:rPr>
              <w:t>codés</w:t>
            </w:r>
            <w:r w:rsidRPr="00733856">
              <w:rPr>
                <w:lang w:val="fr-FR"/>
              </w:rPr>
              <w:t xml:space="preserve"> et des </w:t>
            </w:r>
            <w:r w:rsidR="006C0391" w:rsidRPr="00733856">
              <w:rPr>
                <w:lang w:val="fr-FR"/>
              </w:rPr>
              <w:t xml:space="preserve">essais aveugles aléatoires </w:t>
            </w:r>
            <w:r w:rsidRPr="00733856">
              <w:rPr>
                <w:lang w:val="fr-FR"/>
              </w:rPr>
              <w:t>dans certains cas</w:t>
            </w:r>
            <w:r w:rsidR="004B4303" w:rsidRPr="00733856">
              <w:rPr>
                <w:lang w:val="fr-FR"/>
              </w:rPr>
              <w:t xml:space="preserve"> </w:t>
            </w:r>
            <w:r w:rsidR="004B4303" w:rsidRPr="00733856">
              <w:rPr>
                <w:rFonts w:cs="Arial"/>
                <w:lang w:val="fr-FR"/>
              </w:rPr>
              <w:t>(</w:t>
            </w:r>
            <w:r w:rsidRPr="00733856">
              <w:rPr>
                <w:rFonts w:cs="Arial"/>
                <w:lang w:val="fr-FR"/>
              </w:rPr>
              <w:t>voir les paragraphes</w:t>
            </w:r>
            <w:r w:rsidR="00162BE2" w:rsidRPr="00733856">
              <w:rPr>
                <w:rFonts w:cs="Arial"/>
                <w:lang w:val="fr-FR"/>
              </w:rPr>
              <w:t> </w:t>
            </w:r>
            <w:r w:rsidRPr="00733856">
              <w:rPr>
                <w:rFonts w:cs="Arial"/>
                <w:lang w:val="fr-FR"/>
              </w:rPr>
              <w:t xml:space="preserve">53 et 54 du </w:t>
            </w:r>
            <w:r w:rsidR="004B4303" w:rsidRPr="00733856">
              <w:rPr>
                <w:rFonts w:cs="Arial"/>
                <w:lang w:val="fr-FR"/>
              </w:rPr>
              <w:t xml:space="preserve">document TWV/48/43 </w:t>
            </w:r>
            <w:r w:rsidR="00AD1B19" w:rsidRPr="00EE7A7D">
              <w:rPr>
                <w:lang w:val="fr-FR"/>
              </w:rPr>
              <w:t>“Report”</w:t>
            </w:r>
            <w:r w:rsidR="004B4303" w:rsidRPr="00733856">
              <w:rPr>
                <w:rFonts w:cs="Arial"/>
                <w:lang w:val="fr-FR"/>
              </w:rPr>
              <w:t>).</w:t>
            </w:r>
          </w:p>
          <w:p w:rsidR="004B4303" w:rsidRPr="00733856" w:rsidRDefault="004B4303" w:rsidP="00AD076F">
            <w:pPr>
              <w:rPr>
                <w:snapToGrid w:val="0"/>
                <w:lang w:val="fr-FR"/>
              </w:rPr>
            </w:pPr>
          </w:p>
        </w:tc>
        <w:tc>
          <w:tcPr>
            <w:tcW w:w="1014" w:type="dxa"/>
          </w:tcPr>
          <w:p w:rsidR="004B4303" w:rsidRPr="00733856" w:rsidRDefault="000C09DC" w:rsidP="000C09DC">
            <w:pPr>
              <w:jc w:val="center"/>
              <w:rPr>
                <w:lang w:val="fr-FR"/>
              </w:rPr>
            </w:pPr>
            <w:r w:rsidRPr="00733856">
              <w:rPr>
                <w:lang w:val="fr-FR"/>
              </w:rPr>
              <w:t>TWV</w:t>
            </w:r>
          </w:p>
        </w:tc>
      </w:tr>
      <w:tr w:rsidR="00733856" w:rsidRPr="00733856" w:rsidTr="00AD076F">
        <w:trPr>
          <w:cantSplit/>
        </w:trPr>
        <w:tc>
          <w:tcPr>
            <w:tcW w:w="1701" w:type="dxa"/>
          </w:tcPr>
          <w:p w:rsidR="004B4303" w:rsidRPr="00733856" w:rsidRDefault="004B4303" w:rsidP="00AD076F">
            <w:pPr>
              <w:jc w:val="left"/>
              <w:rPr>
                <w:lang w:val="fr-FR"/>
              </w:rPr>
            </w:pPr>
          </w:p>
        </w:tc>
        <w:tc>
          <w:tcPr>
            <w:tcW w:w="6924" w:type="dxa"/>
          </w:tcPr>
          <w:p w:rsidR="00B75F48" w:rsidRPr="00733856" w:rsidRDefault="00BB06B3" w:rsidP="00AD076F">
            <w:pPr>
              <w:rPr>
                <w:rFonts w:cs="Arial"/>
                <w:lang w:val="fr-FR"/>
              </w:rPr>
            </w:pPr>
            <w:r w:rsidRPr="00733856">
              <w:rPr>
                <w:snapToGrid w:val="0"/>
                <w:lang w:val="fr-FR"/>
              </w:rPr>
              <w:t xml:space="preserve">Le TWA a noté que des </w:t>
            </w:r>
            <w:r w:rsidR="006C0391" w:rsidRPr="00733856">
              <w:rPr>
                <w:lang w:val="fr-FR"/>
              </w:rPr>
              <w:t xml:space="preserve">essais aveugles aléatoires </w:t>
            </w:r>
            <w:r w:rsidRPr="00733856">
              <w:rPr>
                <w:snapToGrid w:val="0"/>
                <w:lang w:val="fr-FR"/>
              </w:rPr>
              <w:t>étaient utilisés :</w:t>
            </w:r>
            <w:r w:rsidR="004B4303" w:rsidRPr="00733856">
              <w:rPr>
                <w:snapToGrid w:val="0"/>
                <w:lang w:val="fr-FR"/>
              </w:rPr>
              <w:t xml:space="preserve"> </w:t>
            </w:r>
            <w:r w:rsidRPr="00733856">
              <w:rPr>
                <w:snapToGrid w:val="0"/>
                <w:lang w:val="fr-FR"/>
              </w:rPr>
              <w:t>au Brésil, pour confirmer, dans certains cas, l</w:t>
            </w:r>
            <w:r w:rsidR="007E244E" w:rsidRPr="00733856">
              <w:rPr>
                <w:snapToGrid w:val="0"/>
                <w:lang w:val="fr-FR"/>
              </w:rPr>
              <w:t>’</w:t>
            </w:r>
            <w:r w:rsidRPr="00733856">
              <w:rPr>
                <w:snapToGrid w:val="0"/>
                <w:lang w:val="fr-FR"/>
              </w:rPr>
              <w:t>évaluation de la distinction dans le cadre d</w:t>
            </w:r>
            <w:r w:rsidR="007E244E" w:rsidRPr="00733856">
              <w:rPr>
                <w:snapToGrid w:val="0"/>
                <w:lang w:val="fr-FR"/>
              </w:rPr>
              <w:t>’</w:t>
            </w:r>
            <w:r w:rsidRPr="00733856">
              <w:rPr>
                <w:snapToGrid w:val="0"/>
                <w:lang w:val="fr-FR"/>
              </w:rPr>
              <w:t>un système d</w:t>
            </w:r>
            <w:r w:rsidR="007E244E" w:rsidRPr="00733856">
              <w:rPr>
                <w:snapToGrid w:val="0"/>
                <w:lang w:val="fr-FR"/>
              </w:rPr>
              <w:t>’</w:t>
            </w:r>
            <w:r w:rsidRPr="00733856">
              <w:rPr>
                <w:snapToGrid w:val="0"/>
                <w:lang w:val="fr-FR"/>
              </w:rPr>
              <w:t>examen basé sur les renseignements fournis par l</w:t>
            </w:r>
            <w:r w:rsidR="007E244E" w:rsidRPr="00733856">
              <w:rPr>
                <w:snapToGrid w:val="0"/>
                <w:lang w:val="fr-FR"/>
              </w:rPr>
              <w:t>’</w:t>
            </w:r>
            <w:r w:rsidRPr="00733856">
              <w:rPr>
                <w:snapToGrid w:val="0"/>
                <w:lang w:val="fr-FR"/>
              </w:rPr>
              <w:t>obtenteur pour les plantes agricoles et potagères;  au Royaume</w:t>
            </w:r>
            <w:r w:rsidR="008D5F1B" w:rsidRPr="00733856">
              <w:rPr>
                <w:snapToGrid w:val="0"/>
                <w:lang w:val="fr-FR"/>
              </w:rPr>
              <w:noBreakHyphen/>
            </w:r>
            <w:r w:rsidRPr="00733856">
              <w:rPr>
                <w:snapToGrid w:val="0"/>
                <w:lang w:val="fr-FR"/>
              </w:rPr>
              <w:t>Uni aux fins de l</w:t>
            </w:r>
            <w:r w:rsidR="007E244E" w:rsidRPr="00733856">
              <w:rPr>
                <w:snapToGrid w:val="0"/>
                <w:lang w:val="fr-FR"/>
              </w:rPr>
              <w:t>’</w:t>
            </w:r>
            <w:r w:rsidRPr="00733856">
              <w:rPr>
                <w:snapToGrid w:val="0"/>
                <w:lang w:val="fr-FR"/>
              </w:rPr>
              <w:t>évaluation de la distinction</w:t>
            </w:r>
            <w:r w:rsidR="004B4303" w:rsidRPr="00733856">
              <w:rPr>
                <w:snapToGrid w:val="0"/>
                <w:lang w:val="fr-FR"/>
              </w:rPr>
              <w:t xml:space="preserve">; </w:t>
            </w:r>
            <w:r w:rsidRPr="00733856">
              <w:rPr>
                <w:snapToGrid w:val="0"/>
                <w:lang w:val="fr-FR"/>
              </w:rPr>
              <w:t xml:space="preserve"> et en </w:t>
            </w:r>
            <w:r w:rsidR="004B4303" w:rsidRPr="00733856">
              <w:rPr>
                <w:snapToGrid w:val="0"/>
                <w:lang w:val="fr-FR"/>
              </w:rPr>
              <w:t xml:space="preserve">France, </w:t>
            </w:r>
            <w:r w:rsidRPr="00733856">
              <w:rPr>
                <w:snapToGrid w:val="0"/>
                <w:lang w:val="fr-FR"/>
              </w:rPr>
              <w:t>aux fins de l</w:t>
            </w:r>
            <w:r w:rsidR="007E244E" w:rsidRPr="00733856">
              <w:rPr>
                <w:snapToGrid w:val="0"/>
                <w:lang w:val="fr-FR"/>
              </w:rPr>
              <w:t>’</w:t>
            </w:r>
            <w:r w:rsidRPr="00733856">
              <w:rPr>
                <w:snapToGrid w:val="0"/>
                <w:lang w:val="fr-FR"/>
              </w:rPr>
              <w:t xml:space="preserve">évaluation des caractères de résistance aux maladies qui ne sont pas examinés par le service </w:t>
            </w:r>
            <w:r w:rsidR="004B4303" w:rsidRPr="00733856">
              <w:rPr>
                <w:rFonts w:cs="Arial"/>
                <w:lang w:val="fr-FR"/>
              </w:rPr>
              <w:t>(</w:t>
            </w:r>
            <w:r w:rsidRPr="00733856">
              <w:rPr>
                <w:rFonts w:cs="Arial"/>
                <w:lang w:val="fr-FR"/>
              </w:rPr>
              <w:t>voir le paragraphe</w:t>
            </w:r>
            <w:r w:rsidR="00162BE2" w:rsidRPr="00733856">
              <w:rPr>
                <w:rFonts w:cs="Arial"/>
                <w:lang w:val="fr-FR"/>
              </w:rPr>
              <w:t> </w:t>
            </w:r>
            <w:r w:rsidRPr="00733856">
              <w:rPr>
                <w:rFonts w:cs="Arial"/>
                <w:lang w:val="fr-FR"/>
              </w:rPr>
              <w:t>46 du</w:t>
            </w:r>
            <w:r w:rsidR="004B4303" w:rsidRPr="00733856">
              <w:rPr>
                <w:rFonts w:cs="Arial"/>
                <w:lang w:val="fr-FR"/>
              </w:rPr>
              <w:t xml:space="preserve"> document TWA/43/27 </w:t>
            </w:r>
            <w:r w:rsidR="00AD1B19" w:rsidRPr="00EE7A7D">
              <w:rPr>
                <w:lang w:val="fr-FR"/>
              </w:rPr>
              <w:t>“Report”</w:t>
            </w:r>
            <w:r w:rsidR="004B4303" w:rsidRPr="00733856">
              <w:rPr>
                <w:rFonts w:cs="Arial"/>
                <w:lang w:val="fr-FR"/>
              </w:rPr>
              <w:t>).</w:t>
            </w:r>
          </w:p>
          <w:p w:rsidR="004B4303" w:rsidRPr="00733856" w:rsidRDefault="004B4303" w:rsidP="00AD076F">
            <w:pPr>
              <w:rPr>
                <w:snapToGrid w:val="0"/>
                <w:lang w:val="fr-FR"/>
              </w:rPr>
            </w:pPr>
          </w:p>
        </w:tc>
        <w:tc>
          <w:tcPr>
            <w:tcW w:w="1014" w:type="dxa"/>
          </w:tcPr>
          <w:p w:rsidR="004B4303" w:rsidRPr="00733856" w:rsidRDefault="000C09DC" w:rsidP="000C09DC">
            <w:pPr>
              <w:jc w:val="center"/>
              <w:rPr>
                <w:lang w:val="fr-FR"/>
              </w:rPr>
            </w:pPr>
            <w:r w:rsidRPr="00733856">
              <w:rPr>
                <w:lang w:val="fr-FR"/>
              </w:rPr>
              <w:t>TWA</w:t>
            </w:r>
          </w:p>
        </w:tc>
      </w:tr>
    </w:tbl>
    <w:p w:rsidR="00B75F48" w:rsidRPr="00733856" w:rsidRDefault="00B75F48" w:rsidP="004B4303">
      <w:pPr>
        <w:rPr>
          <w:lang w:val="fr-FR"/>
        </w:rPr>
      </w:pPr>
    </w:p>
    <w:p w:rsidR="00B75F48" w:rsidRPr="00733856" w:rsidRDefault="000C09DC" w:rsidP="000C09DC">
      <w:pPr>
        <w:pStyle w:val="Heading1"/>
        <w:rPr>
          <w:lang w:val="fr-FR"/>
        </w:rPr>
      </w:pPr>
      <w:bookmarkStart w:id="10" w:name="_Toc410813397"/>
      <w:r w:rsidRPr="00733856">
        <w:rPr>
          <w:lang w:val="fr-FR"/>
        </w:rPr>
        <w:t>Étapes futures</w:t>
      </w:r>
      <w:bookmarkEnd w:id="10"/>
    </w:p>
    <w:p w:rsidR="00B75F48" w:rsidRPr="00733856" w:rsidRDefault="00B75F48" w:rsidP="004B4303">
      <w:pPr>
        <w:rPr>
          <w:lang w:val="fr-FR"/>
        </w:rPr>
      </w:pPr>
    </w:p>
    <w:p w:rsidR="00B75F48" w:rsidRPr="00733856" w:rsidRDefault="004B4303" w:rsidP="004B4303">
      <w:pPr>
        <w:rPr>
          <w:lang w:val="fr-FR"/>
        </w:rPr>
      </w:pPr>
      <w:r w:rsidRPr="00733856">
        <w:rPr>
          <w:lang w:val="fr-FR"/>
        </w:rPr>
        <w:fldChar w:fldCharType="begin"/>
      </w:r>
      <w:r w:rsidRPr="00733856">
        <w:rPr>
          <w:lang w:val="fr-FR"/>
        </w:rPr>
        <w:instrText xml:space="preserve"> AUTONUM  </w:instrText>
      </w:r>
      <w:r w:rsidRPr="00733856">
        <w:rPr>
          <w:lang w:val="fr-FR"/>
        </w:rPr>
        <w:fldChar w:fldCharType="end"/>
      </w:r>
      <w:r w:rsidRPr="00733856">
        <w:rPr>
          <w:lang w:val="fr-FR"/>
        </w:rPr>
        <w:tab/>
      </w:r>
      <w:r w:rsidR="00472F4F" w:rsidRPr="00733856">
        <w:rPr>
          <w:lang w:val="fr-FR"/>
        </w:rPr>
        <w:t>Compte tenu de l</w:t>
      </w:r>
      <w:r w:rsidR="007E244E" w:rsidRPr="00733856">
        <w:rPr>
          <w:lang w:val="fr-FR"/>
        </w:rPr>
        <w:t>’</w:t>
      </w:r>
      <w:r w:rsidR="00472F4F" w:rsidRPr="00733856">
        <w:rPr>
          <w:lang w:val="fr-FR"/>
        </w:rPr>
        <w:t xml:space="preserve">expérience </w:t>
      </w:r>
      <w:r w:rsidR="00C73A0B" w:rsidRPr="00733856">
        <w:rPr>
          <w:lang w:val="fr-FR"/>
        </w:rPr>
        <w:t>des</w:t>
      </w:r>
      <w:r w:rsidR="00472F4F" w:rsidRPr="00733856">
        <w:rPr>
          <w:lang w:val="fr-FR"/>
        </w:rPr>
        <w:t xml:space="preserve"> Pays</w:t>
      </w:r>
      <w:r w:rsidR="008D5F1B" w:rsidRPr="00733856">
        <w:rPr>
          <w:lang w:val="fr-FR"/>
        </w:rPr>
        <w:noBreakHyphen/>
      </w:r>
      <w:r w:rsidR="00472F4F" w:rsidRPr="00733856">
        <w:rPr>
          <w:lang w:val="fr-FR"/>
        </w:rPr>
        <w:t xml:space="preserve">Bas, dont il </w:t>
      </w:r>
      <w:r w:rsidR="00C73A0B" w:rsidRPr="00733856">
        <w:rPr>
          <w:lang w:val="fr-FR"/>
        </w:rPr>
        <w:t>a</w:t>
      </w:r>
      <w:r w:rsidR="00472F4F" w:rsidRPr="00733856">
        <w:rPr>
          <w:lang w:val="fr-FR"/>
        </w:rPr>
        <w:t xml:space="preserve"> été rendu compte</w:t>
      </w:r>
      <w:r w:rsidR="007E244E" w:rsidRPr="00733856">
        <w:rPr>
          <w:lang w:val="fr-FR"/>
        </w:rPr>
        <w:t xml:space="preserve"> aux TWP</w:t>
      </w:r>
      <w:r w:rsidR="00472F4F" w:rsidRPr="00733856">
        <w:rPr>
          <w:lang w:val="fr-FR"/>
        </w:rPr>
        <w:t xml:space="preserve"> à leurs sessions en</w:t>
      </w:r>
      <w:r w:rsidR="00162BE2" w:rsidRPr="00733856">
        <w:rPr>
          <w:lang w:val="fr-FR"/>
        </w:rPr>
        <w:t> </w:t>
      </w:r>
      <w:r w:rsidR="00472F4F" w:rsidRPr="00733856">
        <w:rPr>
          <w:lang w:val="fr-FR"/>
        </w:rPr>
        <w:t>2014, l</w:t>
      </w:r>
      <w:r w:rsidR="007E244E" w:rsidRPr="00733856">
        <w:rPr>
          <w:lang w:val="fr-FR"/>
        </w:rPr>
        <w:t>’</w:t>
      </w:r>
      <w:r w:rsidR="00472F4F" w:rsidRPr="00733856">
        <w:rPr>
          <w:lang w:val="fr-FR"/>
        </w:rPr>
        <w:t xml:space="preserve">expert de la France </w:t>
      </w:r>
      <w:r w:rsidR="00C73A0B" w:rsidRPr="00733856">
        <w:rPr>
          <w:lang w:val="fr-FR"/>
        </w:rPr>
        <w:t>s</w:t>
      </w:r>
      <w:r w:rsidR="007E244E" w:rsidRPr="00733856">
        <w:rPr>
          <w:lang w:val="fr-FR"/>
        </w:rPr>
        <w:t>’</w:t>
      </w:r>
      <w:r w:rsidR="00C73A0B" w:rsidRPr="00733856">
        <w:rPr>
          <w:lang w:val="fr-FR"/>
        </w:rPr>
        <w:t>est adressé à un expert des Pays</w:t>
      </w:r>
      <w:r w:rsidR="008D5F1B" w:rsidRPr="00733856">
        <w:rPr>
          <w:lang w:val="fr-FR"/>
        </w:rPr>
        <w:noBreakHyphen/>
      </w:r>
      <w:r w:rsidR="00C73A0B" w:rsidRPr="00733856">
        <w:rPr>
          <w:lang w:val="fr-FR"/>
        </w:rPr>
        <w:t>Bas p</w:t>
      </w:r>
      <w:r w:rsidR="006C0391" w:rsidRPr="00733856">
        <w:rPr>
          <w:lang w:val="fr-FR"/>
        </w:rPr>
        <w:t>our discuter de l</w:t>
      </w:r>
      <w:r w:rsidR="007E244E" w:rsidRPr="00733856">
        <w:rPr>
          <w:lang w:val="fr-FR"/>
        </w:rPr>
        <w:t>’</w:t>
      </w:r>
      <w:r w:rsidR="006C0391" w:rsidRPr="00733856">
        <w:rPr>
          <w:lang w:val="fr-FR"/>
        </w:rPr>
        <w:t>élaboration d</w:t>
      </w:r>
      <w:r w:rsidR="007E244E" w:rsidRPr="00733856">
        <w:rPr>
          <w:lang w:val="fr-FR"/>
        </w:rPr>
        <w:t>’</w:t>
      </w:r>
      <w:r w:rsidR="006C0391" w:rsidRPr="00733856">
        <w:rPr>
          <w:lang w:val="fr-FR"/>
        </w:rPr>
        <w:t xml:space="preserve">indications supplémentaires </w:t>
      </w:r>
      <w:r w:rsidR="00C73A0B" w:rsidRPr="00733856">
        <w:rPr>
          <w:lang w:val="fr-FR"/>
        </w:rPr>
        <w:t xml:space="preserve">concernant les </w:t>
      </w:r>
      <w:r w:rsidR="006C0391" w:rsidRPr="00733856">
        <w:rPr>
          <w:lang w:val="fr-FR"/>
        </w:rPr>
        <w:t>essais aveugles aléatoires</w:t>
      </w:r>
      <w:r w:rsidR="00C73A0B" w:rsidRPr="00733856">
        <w:rPr>
          <w:lang w:val="fr-FR"/>
        </w:rPr>
        <w:t>.</w:t>
      </w:r>
      <w:r w:rsidRPr="00733856">
        <w:rPr>
          <w:lang w:val="fr-FR"/>
        </w:rPr>
        <w:t xml:space="preserve"> </w:t>
      </w:r>
      <w:r w:rsidR="00C73A0B" w:rsidRPr="00733856">
        <w:rPr>
          <w:lang w:val="fr-FR"/>
        </w:rPr>
        <w:t xml:space="preserve"> À la suite de ces discussions, il a </w:t>
      </w:r>
      <w:r w:rsidR="00C73A0B" w:rsidRPr="00733856">
        <w:rPr>
          <w:lang w:val="fr-FR"/>
        </w:rPr>
        <w:lastRenderedPageBreak/>
        <w:t>été proposé d</w:t>
      </w:r>
      <w:r w:rsidR="007E244E" w:rsidRPr="00733856">
        <w:rPr>
          <w:lang w:val="fr-FR"/>
        </w:rPr>
        <w:t>’</w:t>
      </w:r>
      <w:r w:rsidR="00C73A0B" w:rsidRPr="00733856">
        <w:rPr>
          <w:lang w:val="fr-FR"/>
        </w:rPr>
        <w:t xml:space="preserve">approfondir la réflexion sur la question de savoir si les </w:t>
      </w:r>
      <w:r w:rsidR="002542CC" w:rsidRPr="00733856">
        <w:rPr>
          <w:lang w:val="fr-FR"/>
        </w:rPr>
        <w:t>indications</w:t>
      </w:r>
      <w:r w:rsidR="00C73A0B" w:rsidRPr="00733856">
        <w:rPr>
          <w:lang w:val="fr-FR"/>
        </w:rPr>
        <w:t xml:space="preserve"> actuelles figurant dans le </w:t>
      </w:r>
      <w:r w:rsidRPr="00733856">
        <w:rPr>
          <w:lang w:val="fr-FR"/>
        </w:rPr>
        <w:t>document TGP/9 “</w:t>
      </w:r>
      <w:r w:rsidR="00C73A0B" w:rsidRPr="00733856">
        <w:rPr>
          <w:lang w:val="fr-FR"/>
        </w:rPr>
        <w:t>Examen de la distinction</w:t>
      </w:r>
      <w:r w:rsidRPr="00733856">
        <w:rPr>
          <w:lang w:val="fr-FR"/>
        </w:rPr>
        <w:t xml:space="preserve">” </w:t>
      </w:r>
      <w:r w:rsidR="00C73A0B" w:rsidRPr="00733856">
        <w:rPr>
          <w:lang w:val="fr-FR"/>
        </w:rPr>
        <w:t>et le</w:t>
      </w:r>
      <w:r w:rsidRPr="00733856">
        <w:rPr>
          <w:lang w:val="fr-FR"/>
        </w:rPr>
        <w:t xml:space="preserve"> document </w:t>
      </w:r>
      <w:r w:rsidRPr="00733856">
        <w:rPr>
          <w:rFonts w:eastAsia="MS Mincho"/>
          <w:szCs w:val="24"/>
          <w:lang w:val="fr-FR" w:eastAsia="ja-JP"/>
        </w:rPr>
        <w:t>TGP/8</w:t>
      </w:r>
      <w:r w:rsidR="00C73A0B" w:rsidRPr="00733856">
        <w:rPr>
          <w:rFonts w:eastAsia="MS Mincho"/>
          <w:szCs w:val="24"/>
          <w:lang w:val="fr-FR" w:eastAsia="ja-JP"/>
        </w:rPr>
        <w:t> : Première partie :</w:t>
      </w:r>
      <w:r w:rsidRPr="00733856">
        <w:rPr>
          <w:rFonts w:eastAsia="MS Mincho"/>
          <w:szCs w:val="24"/>
          <w:lang w:val="fr-FR" w:eastAsia="ja-JP"/>
        </w:rPr>
        <w:t xml:space="preserve"> “</w:t>
      </w:r>
      <w:r w:rsidR="00277FD0" w:rsidRPr="00733856">
        <w:rPr>
          <w:rFonts w:eastAsia="MS Mincho"/>
          <w:szCs w:val="24"/>
          <w:lang w:val="fr-FR" w:eastAsia="ja-JP"/>
        </w:rPr>
        <w:t>protocole d</w:t>
      </w:r>
      <w:r w:rsidR="007E244E" w:rsidRPr="00733856">
        <w:rPr>
          <w:rFonts w:eastAsia="MS Mincho"/>
          <w:szCs w:val="24"/>
          <w:lang w:val="fr-FR" w:eastAsia="ja-JP"/>
        </w:rPr>
        <w:t>’</w:t>
      </w:r>
      <w:r w:rsidR="00277FD0" w:rsidRPr="00733856">
        <w:rPr>
          <w:rFonts w:eastAsia="MS Mincho"/>
          <w:szCs w:val="24"/>
          <w:lang w:val="fr-FR" w:eastAsia="ja-JP"/>
        </w:rPr>
        <w:t>essai DHS et analyse des données</w:t>
      </w:r>
      <w:r w:rsidRPr="00733856">
        <w:rPr>
          <w:rFonts w:eastAsia="MS Mincho"/>
          <w:szCs w:val="24"/>
          <w:lang w:val="fr-FR" w:eastAsia="ja-JP"/>
        </w:rPr>
        <w:t>”</w:t>
      </w:r>
      <w:r w:rsidRPr="00733856">
        <w:rPr>
          <w:lang w:val="fr-FR"/>
        </w:rPr>
        <w:t xml:space="preserve"> </w:t>
      </w:r>
      <w:r w:rsidR="00277FD0" w:rsidRPr="00733856">
        <w:rPr>
          <w:lang w:val="fr-FR"/>
        </w:rPr>
        <w:t>étaient suffisantes</w:t>
      </w:r>
      <w:r w:rsidRPr="00733856">
        <w:rPr>
          <w:lang w:val="fr-FR"/>
        </w:rPr>
        <w:t xml:space="preserve">.  </w:t>
      </w:r>
      <w:r w:rsidR="00277FD0" w:rsidRPr="00733856">
        <w:rPr>
          <w:lang w:val="fr-FR"/>
        </w:rPr>
        <w:t>L</w:t>
      </w:r>
      <w:r w:rsidR="007E244E" w:rsidRPr="00733856">
        <w:rPr>
          <w:lang w:val="fr-FR"/>
        </w:rPr>
        <w:t>’</w:t>
      </w:r>
      <w:r w:rsidR="00277FD0" w:rsidRPr="00733856">
        <w:rPr>
          <w:lang w:val="fr-FR"/>
        </w:rPr>
        <w:t>annexe</w:t>
      </w:r>
      <w:r w:rsidR="00162BE2" w:rsidRPr="00733856">
        <w:rPr>
          <w:lang w:val="fr-FR"/>
        </w:rPr>
        <w:t> </w:t>
      </w:r>
      <w:r w:rsidR="00277FD0" w:rsidRPr="00733856">
        <w:rPr>
          <w:lang w:val="fr-FR"/>
        </w:rPr>
        <w:t xml:space="preserve">II du présent document contient des extraits tirés des </w:t>
      </w:r>
      <w:r w:rsidRPr="00733856">
        <w:rPr>
          <w:bCs/>
          <w:lang w:val="fr-FR"/>
        </w:rPr>
        <w:t xml:space="preserve">documents TGP/9 </w:t>
      </w:r>
      <w:r w:rsidR="00277FD0" w:rsidRPr="00733856">
        <w:rPr>
          <w:bCs/>
          <w:lang w:val="fr-FR"/>
        </w:rPr>
        <w:t>et</w:t>
      </w:r>
      <w:r w:rsidRPr="00733856">
        <w:rPr>
          <w:bCs/>
          <w:lang w:val="fr-FR"/>
        </w:rPr>
        <w:t xml:space="preserve"> TGP/8 </w:t>
      </w:r>
      <w:r w:rsidR="00277FD0" w:rsidRPr="00733856">
        <w:rPr>
          <w:bCs/>
          <w:lang w:val="fr-FR"/>
        </w:rPr>
        <w:t xml:space="preserve">concernant les </w:t>
      </w:r>
      <w:r w:rsidR="006C0391" w:rsidRPr="00733856">
        <w:rPr>
          <w:bCs/>
          <w:lang w:val="fr-FR"/>
        </w:rPr>
        <w:t>indications</w:t>
      </w:r>
      <w:r w:rsidR="00277FD0" w:rsidRPr="00733856">
        <w:rPr>
          <w:bCs/>
          <w:lang w:val="fr-FR"/>
        </w:rPr>
        <w:t xml:space="preserve"> sur l</w:t>
      </w:r>
      <w:r w:rsidR="007E244E" w:rsidRPr="00733856">
        <w:rPr>
          <w:bCs/>
          <w:lang w:val="fr-FR"/>
        </w:rPr>
        <w:t>’</w:t>
      </w:r>
      <w:r w:rsidR="00277FD0" w:rsidRPr="00733856">
        <w:rPr>
          <w:bCs/>
          <w:lang w:val="fr-FR"/>
        </w:rPr>
        <w:t>utilisation d</w:t>
      </w:r>
      <w:r w:rsidR="00D50187" w:rsidRPr="00733856">
        <w:rPr>
          <w:bCs/>
          <w:lang w:val="fr-FR"/>
        </w:rPr>
        <w:t xml:space="preserve">es </w:t>
      </w:r>
      <w:r w:rsidR="00277FD0" w:rsidRPr="00733856">
        <w:rPr>
          <w:bCs/>
          <w:lang w:val="fr-FR"/>
        </w:rPr>
        <w:t xml:space="preserve">essais </w:t>
      </w:r>
      <w:r w:rsidR="00D50187" w:rsidRPr="00733856">
        <w:rPr>
          <w:bCs/>
          <w:lang w:val="fr-FR"/>
        </w:rPr>
        <w:t>aveugles aléatoires</w:t>
      </w:r>
      <w:r w:rsidR="00277FD0" w:rsidRPr="00733856">
        <w:rPr>
          <w:bCs/>
          <w:lang w:val="fr-FR"/>
        </w:rPr>
        <w:t>.</w:t>
      </w:r>
    </w:p>
    <w:p w:rsidR="00B75F48" w:rsidRPr="00733856" w:rsidRDefault="00B75F48" w:rsidP="004B4303">
      <w:pPr>
        <w:jc w:val="left"/>
        <w:rPr>
          <w:szCs w:val="24"/>
          <w:lang w:val="fr-FR"/>
        </w:rPr>
      </w:pPr>
    </w:p>
    <w:p w:rsidR="00B75F48" w:rsidRPr="00733856" w:rsidRDefault="004B4303" w:rsidP="004B4303">
      <w:pPr>
        <w:tabs>
          <w:tab w:val="left" w:pos="5529"/>
        </w:tabs>
        <w:ind w:left="4820"/>
        <w:rPr>
          <w:i/>
          <w:lang w:val="fr-FR"/>
        </w:rPr>
      </w:pPr>
      <w:r w:rsidRPr="00733856">
        <w:rPr>
          <w:i/>
          <w:lang w:val="fr-FR"/>
        </w:rPr>
        <w:fldChar w:fldCharType="begin"/>
      </w:r>
      <w:r w:rsidRPr="00733856">
        <w:rPr>
          <w:i/>
          <w:lang w:val="fr-FR"/>
        </w:rPr>
        <w:instrText xml:space="preserve"> AUTONUM  </w:instrText>
      </w:r>
      <w:r w:rsidRPr="00733856">
        <w:rPr>
          <w:i/>
          <w:lang w:val="fr-FR"/>
        </w:rPr>
        <w:fldChar w:fldCharType="end"/>
      </w:r>
      <w:r w:rsidRPr="00733856">
        <w:rPr>
          <w:i/>
          <w:lang w:val="fr-FR"/>
        </w:rPr>
        <w:tab/>
      </w:r>
      <w:r w:rsidR="00277FD0" w:rsidRPr="00733856">
        <w:rPr>
          <w:i/>
          <w:lang w:val="fr-FR"/>
        </w:rPr>
        <w:t>Le</w:t>
      </w:r>
      <w:r w:rsidR="007E244E" w:rsidRPr="00733856">
        <w:rPr>
          <w:i/>
          <w:lang w:val="fr-FR"/>
        </w:rPr>
        <w:t> TC</w:t>
      </w:r>
      <w:r w:rsidR="008D5F1B" w:rsidRPr="00733856">
        <w:rPr>
          <w:i/>
          <w:lang w:val="fr-FR"/>
        </w:rPr>
        <w:noBreakHyphen/>
      </w:r>
      <w:r w:rsidR="007E244E" w:rsidRPr="00733856">
        <w:rPr>
          <w:i/>
          <w:lang w:val="fr-FR"/>
        </w:rPr>
        <w:t>EDC</w:t>
      </w:r>
      <w:r w:rsidRPr="00733856">
        <w:rPr>
          <w:i/>
          <w:lang w:val="fr-FR"/>
        </w:rPr>
        <w:t xml:space="preserve"> </w:t>
      </w:r>
      <w:r w:rsidR="00277FD0" w:rsidRPr="00733856">
        <w:rPr>
          <w:i/>
          <w:lang w:val="fr-FR"/>
        </w:rPr>
        <w:t xml:space="preserve">est invité à </w:t>
      </w:r>
      <w:r w:rsidR="00D50187" w:rsidRPr="00733856">
        <w:rPr>
          <w:i/>
          <w:lang w:val="fr-FR"/>
        </w:rPr>
        <w:t>déterminer</w:t>
      </w:r>
      <w:r w:rsidR="00277FD0" w:rsidRPr="00733856">
        <w:rPr>
          <w:i/>
          <w:lang w:val="fr-FR"/>
        </w:rPr>
        <w:t xml:space="preserve"> s</w:t>
      </w:r>
      <w:r w:rsidR="007E244E" w:rsidRPr="00733856">
        <w:rPr>
          <w:i/>
          <w:lang w:val="fr-FR"/>
        </w:rPr>
        <w:t>’</w:t>
      </w:r>
      <w:r w:rsidR="00277FD0" w:rsidRPr="00733856">
        <w:rPr>
          <w:i/>
          <w:lang w:val="fr-FR"/>
        </w:rPr>
        <w:t>il convie</w:t>
      </w:r>
      <w:r w:rsidR="00D50187" w:rsidRPr="00733856">
        <w:rPr>
          <w:i/>
          <w:lang w:val="fr-FR"/>
        </w:rPr>
        <w:t>ndrait</w:t>
      </w:r>
      <w:r w:rsidR="00277FD0" w:rsidRPr="00733856">
        <w:rPr>
          <w:i/>
          <w:lang w:val="fr-FR"/>
        </w:rPr>
        <w:t xml:space="preserve"> d</w:t>
      </w:r>
      <w:r w:rsidR="007E244E" w:rsidRPr="00733856">
        <w:rPr>
          <w:i/>
          <w:lang w:val="fr-FR"/>
        </w:rPr>
        <w:t>’</w:t>
      </w:r>
      <w:r w:rsidR="00277FD0" w:rsidRPr="00733856">
        <w:rPr>
          <w:i/>
          <w:lang w:val="fr-FR"/>
        </w:rPr>
        <w:t xml:space="preserve">élaborer des </w:t>
      </w:r>
      <w:r w:rsidR="002542CC" w:rsidRPr="00733856">
        <w:rPr>
          <w:i/>
          <w:lang w:val="fr-FR"/>
        </w:rPr>
        <w:t>indications</w:t>
      </w:r>
      <w:r w:rsidR="00277FD0" w:rsidRPr="00733856">
        <w:rPr>
          <w:i/>
          <w:lang w:val="fr-FR"/>
        </w:rPr>
        <w:t xml:space="preserve"> supplémentaires et, le cas échéant, à </w:t>
      </w:r>
      <w:r w:rsidR="002542CC" w:rsidRPr="00733856">
        <w:rPr>
          <w:i/>
          <w:lang w:val="fr-FR"/>
        </w:rPr>
        <w:t xml:space="preserve">préciser </w:t>
      </w:r>
      <w:r w:rsidR="00277FD0" w:rsidRPr="00733856">
        <w:rPr>
          <w:i/>
          <w:lang w:val="fr-FR"/>
        </w:rPr>
        <w:t xml:space="preserve">quelles sont les sections des </w:t>
      </w:r>
      <w:r w:rsidR="002542CC" w:rsidRPr="00733856">
        <w:rPr>
          <w:i/>
          <w:lang w:val="fr-FR"/>
        </w:rPr>
        <w:t>indications</w:t>
      </w:r>
      <w:r w:rsidR="00277FD0" w:rsidRPr="00733856">
        <w:rPr>
          <w:i/>
          <w:lang w:val="fr-FR"/>
        </w:rPr>
        <w:t xml:space="preserve"> actuelles figurant dans les documents </w:t>
      </w:r>
      <w:r w:rsidR="00B439F8" w:rsidRPr="00733856">
        <w:rPr>
          <w:rFonts w:cs="Arial"/>
          <w:i/>
          <w:lang w:val="fr-FR"/>
        </w:rPr>
        <w:t xml:space="preserve">TGP/8 </w:t>
      </w:r>
      <w:r w:rsidR="002542CC" w:rsidRPr="00733856">
        <w:rPr>
          <w:rFonts w:cs="Arial"/>
          <w:i/>
          <w:lang w:val="fr-FR"/>
        </w:rPr>
        <w:t>et</w:t>
      </w:r>
      <w:r w:rsidR="00B439F8" w:rsidRPr="00733856">
        <w:rPr>
          <w:rFonts w:cs="Arial"/>
          <w:i/>
          <w:lang w:val="fr-FR"/>
        </w:rPr>
        <w:t xml:space="preserve"> TGP/9</w:t>
      </w:r>
      <w:r w:rsidR="002542CC" w:rsidRPr="00733856">
        <w:rPr>
          <w:rFonts w:cs="Arial"/>
          <w:i/>
          <w:lang w:val="fr-FR"/>
        </w:rPr>
        <w:t xml:space="preserve"> qui</w:t>
      </w:r>
      <w:r w:rsidR="00B439F8" w:rsidRPr="00733856">
        <w:rPr>
          <w:rFonts w:cs="Arial"/>
          <w:i/>
          <w:lang w:val="fr-FR"/>
        </w:rPr>
        <w:t xml:space="preserve"> </w:t>
      </w:r>
      <w:r w:rsidR="002542CC" w:rsidRPr="00733856">
        <w:rPr>
          <w:rFonts w:cs="Arial"/>
          <w:i/>
          <w:lang w:val="fr-FR"/>
        </w:rPr>
        <w:t>devraient être modifiées</w:t>
      </w:r>
      <w:r w:rsidRPr="00733856">
        <w:rPr>
          <w:i/>
          <w:lang w:val="fr-FR"/>
        </w:rPr>
        <w:t>.</w:t>
      </w:r>
    </w:p>
    <w:p w:rsidR="00B75F48" w:rsidRPr="00733856" w:rsidRDefault="00B439F8" w:rsidP="00B439F8">
      <w:pPr>
        <w:pStyle w:val="DecisionParagraphs"/>
        <w:tabs>
          <w:tab w:val="clear" w:pos="5387"/>
          <w:tab w:val="left" w:pos="4536"/>
          <w:tab w:val="left" w:pos="8799"/>
        </w:tabs>
        <w:rPr>
          <w:lang w:val="fr-FR"/>
        </w:rPr>
      </w:pPr>
      <w:r w:rsidRPr="00733856">
        <w:rPr>
          <w:lang w:val="fr-FR"/>
        </w:rPr>
        <w:tab/>
      </w:r>
    </w:p>
    <w:p w:rsidR="00B75F48" w:rsidRPr="00733856" w:rsidRDefault="00B75F48" w:rsidP="004B4303">
      <w:pPr>
        <w:pStyle w:val="DecisionParagraphs"/>
        <w:tabs>
          <w:tab w:val="left" w:pos="4536"/>
          <w:tab w:val="left" w:pos="5670"/>
        </w:tabs>
        <w:rPr>
          <w:lang w:val="fr-FR"/>
        </w:rPr>
      </w:pPr>
    </w:p>
    <w:p w:rsidR="00B75F48" w:rsidRPr="00733856" w:rsidRDefault="00B75F48" w:rsidP="004B4303">
      <w:pPr>
        <w:pStyle w:val="DecisionParagraphs"/>
        <w:tabs>
          <w:tab w:val="left" w:pos="4536"/>
          <w:tab w:val="left" w:pos="5670"/>
        </w:tabs>
        <w:rPr>
          <w:lang w:val="fr-FR"/>
        </w:rPr>
      </w:pPr>
    </w:p>
    <w:p w:rsidR="00B75F48" w:rsidRPr="00733856" w:rsidRDefault="000C09DC" w:rsidP="000C09DC">
      <w:pPr>
        <w:jc w:val="right"/>
        <w:rPr>
          <w:lang w:val="fr-FR"/>
        </w:rPr>
      </w:pPr>
      <w:r w:rsidRPr="00733856">
        <w:rPr>
          <w:lang w:val="fr-FR"/>
        </w:rPr>
        <w:t>[Les annexes suivent]</w:t>
      </w:r>
    </w:p>
    <w:p w:rsidR="004B4303" w:rsidRPr="00733856" w:rsidRDefault="004B4303" w:rsidP="004B4303">
      <w:pPr>
        <w:rPr>
          <w:lang w:val="fr-FR"/>
        </w:rPr>
        <w:sectPr w:rsidR="004B4303" w:rsidRPr="00733856" w:rsidSect="00767120">
          <w:headerReference w:type="default" r:id="rId10"/>
          <w:pgSz w:w="11907" w:h="16840" w:code="9"/>
          <w:pgMar w:top="510" w:right="1134" w:bottom="993" w:left="1134" w:header="510" w:footer="680" w:gutter="0"/>
          <w:cols w:space="720"/>
          <w:titlePg/>
          <w:docGrid w:linePitch="272"/>
        </w:sectPr>
      </w:pPr>
    </w:p>
    <w:p w:rsidR="007E244E" w:rsidRPr="00733856" w:rsidRDefault="00A75D19" w:rsidP="004B4303">
      <w:pPr>
        <w:jc w:val="left"/>
        <w:rPr>
          <w:caps/>
          <w:lang w:val="fr-FR"/>
        </w:rPr>
      </w:pPr>
      <w:r w:rsidRPr="00733856">
        <w:rPr>
          <w:caps/>
          <w:lang w:val="fr-FR"/>
        </w:rPr>
        <w:lastRenderedPageBreak/>
        <w:t>projet d</w:t>
      </w:r>
      <w:r w:rsidR="007E244E" w:rsidRPr="00733856">
        <w:rPr>
          <w:caps/>
          <w:lang w:val="fr-FR"/>
        </w:rPr>
        <w:t>’</w:t>
      </w:r>
      <w:r w:rsidRPr="00733856">
        <w:rPr>
          <w:caps/>
          <w:lang w:val="fr-FR"/>
        </w:rPr>
        <w:t>indications examiné par les twp à leurs sessions en</w:t>
      </w:r>
      <w:r w:rsidR="00162BE2" w:rsidRPr="00733856">
        <w:rPr>
          <w:caps/>
          <w:lang w:val="fr-FR"/>
        </w:rPr>
        <w:t> </w:t>
      </w:r>
      <w:r w:rsidRPr="00733856">
        <w:rPr>
          <w:caps/>
          <w:lang w:val="fr-FR"/>
        </w:rPr>
        <w:t>2013 et en</w:t>
      </w:r>
      <w:r w:rsidR="00162BE2" w:rsidRPr="00733856">
        <w:rPr>
          <w:caps/>
          <w:lang w:val="fr-FR"/>
        </w:rPr>
        <w:t> </w:t>
      </w:r>
      <w:r w:rsidRPr="00733856">
        <w:rPr>
          <w:caps/>
          <w:lang w:val="fr-FR"/>
        </w:rPr>
        <w:t>2014</w:t>
      </w:r>
    </w:p>
    <w:p w:rsidR="004B4303" w:rsidRPr="00733856" w:rsidRDefault="004B4303" w:rsidP="004B4303">
      <w:pPr>
        <w:jc w:val="center"/>
        <w:rPr>
          <w:rFonts w:cs="Arial"/>
          <w:caps/>
          <w:lang w:val="fr-FR"/>
        </w:rPr>
      </w:pPr>
    </w:p>
    <w:tbl>
      <w:tblPr>
        <w:tblStyle w:val="TableGrid"/>
        <w:tblW w:w="0" w:type="auto"/>
        <w:jc w:val="center"/>
        <w:shd w:val="clear" w:color="auto" w:fill="E6E6E6"/>
        <w:tblLayout w:type="fixed"/>
        <w:tblCellMar>
          <w:top w:w="142" w:type="dxa"/>
          <w:left w:w="142" w:type="dxa"/>
          <w:bottom w:w="142" w:type="dxa"/>
          <w:right w:w="170" w:type="dxa"/>
        </w:tblCellMar>
        <w:tblLook w:val="01E0" w:firstRow="1" w:lastRow="1" w:firstColumn="1" w:lastColumn="1" w:noHBand="0" w:noVBand="0"/>
      </w:tblPr>
      <w:tblGrid>
        <w:gridCol w:w="6664"/>
      </w:tblGrid>
      <w:tr w:rsidR="00733856" w:rsidRPr="00BB150E" w:rsidTr="00AD076F">
        <w:trPr>
          <w:cantSplit/>
          <w:jc w:val="center"/>
        </w:trPr>
        <w:tc>
          <w:tcPr>
            <w:tcW w:w="6664" w:type="dxa"/>
            <w:shd w:val="clear" w:color="auto" w:fill="E6E6E6"/>
          </w:tcPr>
          <w:p w:rsidR="00B75F48" w:rsidRPr="00733856" w:rsidRDefault="004B4303" w:rsidP="00AD076F">
            <w:pPr>
              <w:jc w:val="center"/>
              <w:rPr>
                <w:rFonts w:cs="Arial"/>
                <w:sz w:val="18"/>
                <w:szCs w:val="22"/>
                <w:u w:val="single"/>
                <w:lang w:val="fr-FR"/>
              </w:rPr>
            </w:pPr>
            <w:r w:rsidRPr="00733856">
              <w:rPr>
                <w:rFonts w:cs="Arial"/>
                <w:sz w:val="18"/>
                <w:szCs w:val="22"/>
                <w:u w:val="single"/>
                <w:lang w:val="fr-FR"/>
              </w:rPr>
              <w:t>Note</w:t>
            </w:r>
            <w:r w:rsidR="00D27A3E" w:rsidRPr="00733856">
              <w:rPr>
                <w:rFonts w:cs="Arial"/>
                <w:sz w:val="18"/>
                <w:szCs w:val="22"/>
                <w:u w:val="single"/>
                <w:lang w:val="fr-FR"/>
              </w:rPr>
              <w:t xml:space="preserve"> concernant les révisions apportées à l</w:t>
            </w:r>
            <w:r w:rsidR="007E244E" w:rsidRPr="00733856">
              <w:rPr>
                <w:rFonts w:cs="Arial"/>
                <w:sz w:val="18"/>
                <w:szCs w:val="22"/>
                <w:u w:val="single"/>
                <w:lang w:val="fr-FR"/>
              </w:rPr>
              <w:t>’</w:t>
            </w:r>
            <w:r w:rsidR="00D27A3E" w:rsidRPr="00733856">
              <w:rPr>
                <w:rFonts w:cs="Arial"/>
                <w:sz w:val="18"/>
                <w:szCs w:val="22"/>
                <w:u w:val="single"/>
                <w:lang w:val="fr-FR"/>
              </w:rPr>
              <w:t>annexe</w:t>
            </w:r>
            <w:r w:rsidR="00162BE2" w:rsidRPr="00733856">
              <w:rPr>
                <w:rFonts w:cs="Arial"/>
                <w:sz w:val="18"/>
                <w:szCs w:val="22"/>
                <w:u w:val="single"/>
                <w:lang w:val="fr-FR"/>
              </w:rPr>
              <w:t> </w:t>
            </w:r>
            <w:r w:rsidR="00D27A3E" w:rsidRPr="00733856">
              <w:rPr>
                <w:rFonts w:cs="Arial"/>
                <w:sz w:val="18"/>
                <w:szCs w:val="22"/>
                <w:u w:val="single"/>
                <w:lang w:val="fr-FR"/>
              </w:rPr>
              <w:t>I en</w:t>
            </w:r>
            <w:r w:rsidR="00162BE2" w:rsidRPr="00733856">
              <w:rPr>
                <w:rFonts w:cs="Arial"/>
                <w:sz w:val="18"/>
                <w:szCs w:val="22"/>
                <w:u w:val="single"/>
                <w:lang w:val="fr-FR"/>
              </w:rPr>
              <w:t> </w:t>
            </w:r>
            <w:r w:rsidRPr="00733856">
              <w:rPr>
                <w:rFonts w:cs="Arial"/>
                <w:sz w:val="18"/>
                <w:szCs w:val="22"/>
                <w:u w:val="single"/>
                <w:lang w:val="fr-FR"/>
              </w:rPr>
              <w:t>2014</w:t>
            </w:r>
          </w:p>
          <w:p w:rsidR="00B75F48" w:rsidRPr="00733856" w:rsidRDefault="00B75F48" w:rsidP="00AD076F">
            <w:pPr>
              <w:rPr>
                <w:rFonts w:cs="Arial"/>
                <w:sz w:val="18"/>
                <w:szCs w:val="22"/>
                <w:u w:val="single"/>
                <w:lang w:val="fr-FR"/>
              </w:rPr>
            </w:pPr>
          </w:p>
          <w:p w:rsidR="00B75F48" w:rsidRPr="00733856" w:rsidRDefault="00D27A3E" w:rsidP="00AD076F">
            <w:pPr>
              <w:rPr>
                <w:rFonts w:cs="Arial"/>
                <w:sz w:val="18"/>
                <w:szCs w:val="22"/>
                <w:lang w:val="fr-FR"/>
              </w:rPr>
            </w:pPr>
            <w:r w:rsidRPr="00733856">
              <w:rPr>
                <w:rFonts w:cs="Arial"/>
                <w:b/>
                <w:strike/>
                <w:sz w:val="18"/>
                <w:szCs w:val="22"/>
                <w:lang w:val="fr-FR"/>
              </w:rPr>
              <w:t>Texte biffé</w:t>
            </w:r>
            <w:r w:rsidR="004B4303" w:rsidRPr="00733856">
              <w:rPr>
                <w:rFonts w:cs="Arial"/>
                <w:b/>
                <w:sz w:val="18"/>
                <w:szCs w:val="22"/>
                <w:lang w:val="fr-FR"/>
              </w:rPr>
              <w:t xml:space="preserve"> (</w:t>
            </w:r>
            <w:r w:rsidRPr="00733856">
              <w:rPr>
                <w:rFonts w:cs="Arial"/>
                <w:b/>
                <w:sz w:val="18"/>
                <w:szCs w:val="22"/>
                <w:lang w:val="fr-FR"/>
              </w:rPr>
              <w:t>en surbrillance</w:t>
            </w:r>
            <w:r w:rsidR="004B4303" w:rsidRPr="00733856">
              <w:rPr>
                <w:rFonts w:cs="Arial"/>
                <w:b/>
                <w:sz w:val="18"/>
                <w:szCs w:val="22"/>
                <w:lang w:val="fr-FR"/>
              </w:rPr>
              <w:t>)</w:t>
            </w:r>
            <w:r w:rsidRPr="00733856">
              <w:rPr>
                <w:rFonts w:cs="Arial"/>
                <w:sz w:val="18"/>
                <w:szCs w:val="22"/>
                <w:lang w:val="fr-FR"/>
              </w:rPr>
              <w:t> : indique une proposition de suppression dans le texte</w:t>
            </w:r>
            <w:r w:rsidR="004B4303" w:rsidRPr="00733856">
              <w:rPr>
                <w:rFonts w:cs="Arial"/>
                <w:sz w:val="18"/>
                <w:szCs w:val="22"/>
                <w:lang w:val="fr-FR"/>
              </w:rPr>
              <w:t>.</w:t>
            </w:r>
          </w:p>
          <w:p w:rsidR="00B75F48" w:rsidRPr="00733856" w:rsidRDefault="00B75F48" w:rsidP="00AD076F">
            <w:pPr>
              <w:rPr>
                <w:rFonts w:cs="Arial"/>
                <w:sz w:val="18"/>
                <w:szCs w:val="22"/>
                <w:lang w:val="fr-FR"/>
              </w:rPr>
            </w:pPr>
          </w:p>
          <w:p w:rsidR="004B4303" w:rsidRPr="00733856" w:rsidRDefault="00D27A3E" w:rsidP="00D27A3E">
            <w:pPr>
              <w:rPr>
                <w:rFonts w:cs="Arial"/>
                <w:sz w:val="18"/>
                <w:szCs w:val="22"/>
                <w:lang w:val="fr-FR"/>
              </w:rPr>
            </w:pPr>
            <w:r w:rsidRPr="00733856">
              <w:rPr>
                <w:rFonts w:cs="Arial"/>
                <w:b/>
                <w:sz w:val="18"/>
                <w:szCs w:val="22"/>
                <w:u w:val="single"/>
                <w:lang w:val="fr-FR"/>
              </w:rPr>
              <w:t>Texte souligné</w:t>
            </w:r>
            <w:r w:rsidR="004B4303" w:rsidRPr="00733856">
              <w:rPr>
                <w:rFonts w:cs="Arial"/>
                <w:b/>
                <w:sz w:val="18"/>
                <w:szCs w:val="22"/>
                <w:lang w:val="fr-FR"/>
              </w:rPr>
              <w:t xml:space="preserve"> (</w:t>
            </w:r>
            <w:r w:rsidRPr="00733856">
              <w:rPr>
                <w:rFonts w:cs="Arial"/>
                <w:b/>
                <w:sz w:val="18"/>
                <w:szCs w:val="22"/>
                <w:lang w:val="fr-FR"/>
              </w:rPr>
              <w:t>en surbrillance</w:t>
            </w:r>
            <w:r w:rsidR="004B4303" w:rsidRPr="00733856">
              <w:rPr>
                <w:rFonts w:cs="Arial"/>
                <w:b/>
                <w:sz w:val="18"/>
                <w:szCs w:val="22"/>
                <w:lang w:val="fr-FR"/>
              </w:rPr>
              <w:t>)</w:t>
            </w:r>
            <w:r w:rsidRPr="00733856">
              <w:rPr>
                <w:rFonts w:cs="Arial"/>
                <w:sz w:val="18"/>
                <w:szCs w:val="22"/>
                <w:lang w:val="fr-FR"/>
              </w:rPr>
              <w:t xml:space="preserve"> : </w:t>
            </w:r>
            <w:r w:rsidR="004B4303" w:rsidRPr="00733856">
              <w:rPr>
                <w:rFonts w:cs="Arial"/>
                <w:sz w:val="18"/>
                <w:szCs w:val="22"/>
                <w:lang w:val="fr-FR"/>
              </w:rPr>
              <w:t>indi</w:t>
            </w:r>
            <w:r w:rsidRPr="00733856">
              <w:rPr>
                <w:rFonts w:cs="Arial"/>
                <w:sz w:val="18"/>
                <w:szCs w:val="22"/>
                <w:lang w:val="fr-FR"/>
              </w:rPr>
              <w:t>que une proposition d</w:t>
            </w:r>
            <w:r w:rsidR="007E244E" w:rsidRPr="00733856">
              <w:rPr>
                <w:rFonts w:cs="Arial"/>
                <w:sz w:val="18"/>
                <w:szCs w:val="22"/>
                <w:lang w:val="fr-FR"/>
              </w:rPr>
              <w:t>’</w:t>
            </w:r>
            <w:r w:rsidRPr="00733856">
              <w:rPr>
                <w:rFonts w:cs="Arial"/>
                <w:sz w:val="18"/>
                <w:szCs w:val="22"/>
                <w:lang w:val="fr-FR"/>
              </w:rPr>
              <w:t>insertion dans le texte</w:t>
            </w:r>
            <w:r w:rsidR="004B4303" w:rsidRPr="00733856">
              <w:rPr>
                <w:rFonts w:cs="Arial"/>
                <w:sz w:val="18"/>
                <w:szCs w:val="22"/>
                <w:lang w:val="fr-FR"/>
              </w:rPr>
              <w:t>.</w:t>
            </w:r>
          </w:p>
        </w:tc>
      </w:tr>
    </w:tbl>
    <w:p w:rsidR="00B75F48" w:rsidRPr="00733856" w:rsidRDefault="00B75F48" w:rsidP="004B4303">
      <w:pPr>
        <w:jc w:val="center"/>
        <w:rPr>
          <w:rFonts w:cs="Arial"/>
          <w:caps/>
          <w:lang w:val="fr-FR"/>
        </w:rPr>
      </w:pPr>
    </w:p>
    <w:p w:rsidR="00B75F48" w:rsidRPr="00733856" w:rsidRDefault="00D27A3E" w:rsidP="00D27A3E">
      <w:pPr>
        <w:jc w:val="left"/>
        <w:rPr>
          <w:caps/>
          <w:u w:val="single"/>
          <w:lang w:val="fr-FR"/>
        </w:rPr>
      </w:pPr>
      <w:r w:rsidRPr="00733856">
        <w:rPr>
          <w:rFonts w:cs="Arial"/>
          <w:caps/>
          <w:lang w:val="fr-FR"/>
        </w:rPr>
        <w:t>projet d</w:t>
      </w:r>
      <w:r w:rsidR="007E244E" w:rsidRPr="00733856">
        <w:rPr>
          <w:rFonts w:cs="Arial"/>
          <w:caps/>
          <w:lang w:val="fr-FR"/>
        </w:rPr>
        <w:t>’</w:t>
      </w:r>
      <w:r w:rsidRPr="00733856">
        <w:rPr>
          <w:rFonts w:cs="Arial"/>
          <w:caps/>
          <w:lang w:val="fr-FR"/>
        </w:rPr>
        <w:t>indications en matière d</w:t>
      </w:r>
      <w:r w:rsidR="007E244E" w:rsidRPr="00733856">
        <w:rPr>
          <w:rFonts w:cs="Arial"/>
          <w:caps/>
          <w:lang w:val="fr-FR"/>
        </w:rPr>
        <w:t>’</w:t>
      </w:r>
      <w:r w:rsidRPr="00733856">
        <w:rPr>
          <w:rFonts w:cs="Arial"/>
          <w:caps/>
          <w:lang w:val="fr-FR"/>
        </w:rPr>
        <w:t xml:space="preserve">analyse des données aux fins des essais aveugles aléatoires </w:t>
      </w:r>
      <w:r w:rsidRPr="00733856">
        <w:rPr>
          <w:rFonts w:cs="Arial"/>
          <w:caps/>
          <w:u w:val="single"/>
          <w:shd w:val="clear" w:color="auto" w:fill="D9D9D9"/>
          <w:lang w:val="fr-FR"/>
        </w:rPr>
        <w:t>effectués par le demandeur ou sous sa responsabilité</w:t>
      </w:r>
    </w:p>
    <w:p w:rsidR="00B75F48" w:rsidRPr="00733856" w:rsidRDefault="00B75F48" w:rsidP="004B4303">
      <w:pPr>
        <w:rPr>
          <w:lang w:val="fr-FR"/>
        </w:rPr>
      </w:pPr>
    </w:p>
    <w:p w:rsidR="00B75F48" w:rsidRPr="00733856" w:rsidRDefault="000C09DC" w:rsidP="000C09DC">
      <w:pPr>
        <w:rPr>
          <w:u w:val="single"/>
          <w:shd w:val="clear" w:color="auto" w:fill="BFBFBF"/>
          <w:lang w:val="fr-FR"/>
        </w:rPr>
      </w:pPr>
      <w:r w:rsidRPr="00733856">
        <w:rPr>
          <w:u w:val="single"/>
          <w:shd w:val="clear" w:color="auto" w:fill="BFBFBF"/>
          <w:lang w:val="fr-FR"/>
        </w:rPr>
        <w:t>Introduction</w:t>
      </w:r>
    </w:p>
    <w:p w:rsidR="00B75F48" w:rsidRPr="00733856" w:rsidRDefault="00B75F48" w:rsidP="004B4303">
      <w:pPr>
        <w:rPr>
          <w:u w:val="single"/>
          <w:lang w:val="fr-FR"/>
        </w:rPr>
      </w:pPr>
    </w:p>
    <w:p w:rsidR="00B75F48" w:rsidRPr="00733856" w:rsidRDefault="00581A52" w:rsidP="000C09DC">
      <w:pPr>
        <w:rPr>
          <w:lang w:val="fr-FR"/>
        </w:rPr>
      </w:pPr>
      <w:r w:rsidRPr="00733856">
        <w:rPr>
          <w:highlight w:val="lightGray"/>
          <w:lang w:val="fr-FR"/>
        </w:rPr>
        <w:t>[</w:t>
      </w:r>
      <w:proofErr w:type="gramStart"/>
      <w:r w:rsidR="00D27A3E" w:rsidRPr="00733856">
        <w:rPr>
          <w:highlight w:val="lightGray"/>
          <w:lang w:val="fr-FR"/>
        </w:rPr>
        <w:t>à</w:t>
      </w:r>
      <w:proofErr w:type="gramEnd"/>
      <w:r w:rsidR="00D27A3E" w:rsidRPr="00733856">
        <w:rPr>
          <w:highlight w:val="lightGray"/>
          <w:lang w:val="fr-FR"/>
        </w:rPr>
        <w:t xml:space="preserve"> fournir</w:t>
      </w:r>
      <w:r w:rsidRPr="00733856">
        <w:rPr>
          <w:highlight w:val="lightGray"/>
          <w:lang w:val="fr-FR"/>
        </w:rPr>
        <w:t>]</w:t>
      </w:r>
    </w:p>
    <w:p w:rsidR="00B75F48" w:rsidRPr="00733856" w:rsidRDefault="00B75F48" w:rsidP="004B4303">
      <w:pPr>
        <w:rPr>
          <w:lang w:val="fr-FR"/>
        </w:rPr>
      </w:pPr>
    </w:p>
    <w:p w:rsidR="00B75F48" w:rsidRPr="00733856" w:rsidRDefault="000C09DC" w:rsidP="000C09DC">
      <w:pPr>
        <w:rPr>
          <w:u w:val="single"/>
          <w:lang w:val="fr-FR"/>
        </w:rPr>
      </w:pPr>
      <w:r w:rsidRPr="00733856">
        <w:rPr>
          <w:u w:val="single"/>
          <w:lang w:val="fr-FR"/>
        </w:rPr>
        <w:t>Rappel</w:t>
      </w:r>
    </w:p>
    <w:p w:rsidR="00B75F48" w:rsidRPr="00733856" w:rsidRDefault="00B75F48" w:rsidP="004B4303">
      <w:pPr>
        <w:rPr>
          <w:u w:val="single"/>
          <w:lang w:val="fr-FR"/>
        </w:rPr>
      </w:pPr>
    </w:p>
    <w:p w:rsidR="00B75F48" w:rsidRPr="00733856" w:rsidRDefault="000C09DC" w:rsidP="000C09DC">
      <w:pPr>
        <w:rPr>
          <w:lang w:val="fr-FR"/>
        </w:rPr>
      </w:pPr>
      <w:r w:rsidRPr="00733856">
        <w:rPr>
          <w:lang w:val="fr-FR"/>
        </w:rPr>
        <w:t xml:space="preserve">1. </w:t>
      </w:r>
      <w:r w:rsidR="00162BE2" w:rsidRPr="00733856">
        <w:rPr>
          <w:lang w:val="fr-FR"/>
        </w:rPr>
        <w:t xml:space="preserve"> </w:t>
      </w:r>
      <w:r w:rsidR="00581A52" w:rsidRPr="00733856">
        <w:rPr>
          <w:lang w:val="fr-FR"/>
        </w:rPr>
        <w:tab/>
      </w:r>
      <w:r w:rsidRPr="00733856">
        <w:rPr>
          <w:lang w:val="fr-FR"/>
        </w:rPr>
        <w:t>Les essais aveugles aléatoires ont été utilisés en France pendant maintes années pour :</w:t>
      </w:r>
    </w:p>
    <w:p w:rsidR="00B75F48" w:rsidRPr="00733856" w:rsidRDefault="00B75F48" w:rsidP="004B4303">
      <w:pPr>
        <w:rPr>
          <w:lang w:val="fr-FR"/>
        </w:rPr>
      </w:pPr>
    </w:p>
    <w:p w:rsidR="00B75F48" w:rsidRPr="00733856" w:rsidRDefault="008D5F1B" w:rsidP="000C09DC">
      <w:pPr>
        <w:ind w:left="567"/>
        <w:rPr>
          <w:lang w:val="fr-FR"/>
        </w:rPr>
      </w:pPr>
      <w:r w:rsidRPr="00733856">
        <w:rPr>
          <w:lang w:val="fr-FR"/>
        </w:rPr>
        <w:noBreakHyphen/>
      </w:r>
      <w:r w:rsidR="00581A52" w:rsidRPr="00733856">
        <w:rPr>
          <w:lang w:val="fr-FR"/>
        </w:rPr>
        <w:tab/>
      </w:r>
      <w:r w:rsidR="000C09DC" w:rsidRPr="00733856">
        <w:rPr>
          <w:lang w:val="fr-FR"/>
        </w:rPr>
        <w:t>confirmer quelques caractères annoncés par le demandeur;</w:t>
      </w:r>
    </w:p>
    <w:p w:rsidR="00B75F48" w:rsidRPr="00733856" w:rsidRDefault="008D5F1B" w:rsidP="00581A52">
      <w:pPr>
        <w:ind w:left="1134" w:hanging="567"/>
        <w:rPr>
          <w:lang w:val="fr-FR"/>
        </w:rPr>
      </w:pPr>
      <w:r w:rsidRPr="00733856">
        <w:rPr>
          <w:lang w:val="fr-FR"/>
        </w:rPr>
        <w:noBreakHyphen/>
      </w:r>
      <w:r w:rsidR="00581A52" w:rsidRPr="00733856">
        <w:rPr>
          <w:lang w:val="fr-FR"/>
        </w:rPr>
        <w:t xml:space="preserve"> </w:t>
      </w:r>
      <w:r w:rsidR="00581A52" w:rsidRPr="00733856">
        <w:rPr>
          <w:lang w:val="fr-FR"/>
        </w:rPr>
        <w:tab/>
      </w:r>
      <w:r w:rsidR="000C09DC" w:rsidRPr="00733856">
        <w:rPr>
          <w:lang w:val="fr-FR"/>
        </w:rPr>
        <w:t>vérifier la résistance à quelques maladies génétiques qui n</w:t>
      </w:r>
      <w:r w:rsidR="007E244E" w:rsidRPr="00733856">
        <w:rPr>
          <w:lang w:val="fr-FR"/>
        </w:rPr>
        <w:t>’</w:t>
      </w:r>
      <w:r w:rsidR="000C09DC" w:rsidRPr="00733856">
        <w:rPr>
          <w:lang w:val="fr-FR"/>
        </w:rPr>
        <w:t xml:space="preserve">avaient pas été examinées officiellement </w:t>
      </w:r>
      <w:r w:rsidR="000C09DC" w:rsidRPr="00733856">
        <w:rPr>
          <w:strike/>
          <w:highlight w:val="lightGray"/>
          <w:lang w:val="fr-FR"/>
        </w:rPr>
        <w:t>par le Groupe d</w:t>
      </w:r>
      <w:r w:rsidR="007E244E" w:rsidRPr="00733856">
        <w:rPr>
          <w:strike/>
          <w:highlight w:val="lightGray"/>
          <w:lang w:val="fr-FR"/>
        </w:rPr>
        <w:t>’</w:t>
      </w:r>
      <w:r w:rsidR="000C09DC" w:rsidRPr="00733856">
        <w:rPr>
          <w:strike/>
          <w:highlight w:val="lightGray"/>
          <w:lang w:val="fr-FR"/>
        </w:rPr>
        <w:t xml:space="preserve">étude et de contrôle des variétés et des semences (GEVES) </w:t>
      </w:r>
      <w:r w:rsidR="000C09DC" w:rsidRPr="00733856">
        <w:rPr>
          <w:strike/>
          <w:highlight w:val="lightGray"/>
          <w:u w:val="single"/>
          <w:lang w:val="fr-FR"/>
        </w:rPr>
        <w:t>le</w:t>
      </w:r>
      <w:r w:rsidR="000C09DC" w:rsidRPr="00733856">
        <w:rPr>
          <w:highlight w:val="lightGray"/>
          <w:u w:val="single"/>
          <w:lang w:val="fr-FR"/>
        </w:rPr>
        <w:t xml:space="preserve"> </w:t>
      </w:r>
      <w:r w:rsidR="000C09DC" w:rsidRPr="00733856">
        <w:rPr>
          <w:strike/>
          <w:highlight w:val="lightGray"/>
          <w:u w:val="single"/>
          <w:lang w:val="fr-FR"/>
        </w:rPr>
        <w:t>service chargé de l</w:t>
      </w:r>
      <w:r w:rsidR="007E244E" w:rsidRPr="00733856">
        <w:rPr>
          <w:strike/>
          <w:highlight w:val="lightGray"/>
          <w:u w:val="single"/>
          <w:lang w:val="fr-FR"/>
        </w:rPr>
        <w:t>’</w:t>
      </w:r>
      <w:r w:rsidR="000C09DC" w:rsidRPr="00733856">
        <w:rPr>
          <w:strike/>
          <w:highlight w:val="lightGray"/>
          <w:u w:val="single"/>
          <w:lang w:val="fr-FR"/>
        </w:rPr>
        <w:t>examen</w:t>
      </w:r>
      <w:r w:rsidR="00162BE2" w:rsidRPr="00733856">
        <w:rPr>
          <w:strike/>
          <w:highlight w:val="lightGray"/>
          <w:u w:val="single"/>
          <w:lang w:val="fr-FR"/>
        </w:rPr>
        <w:t> </w:t>
      </w:r>
      <w:r w:rsidR="000C09DC" w:rsidRPr="00733856">
        <w:rPr>
          <w:strike/>
          <w:highlight w:val="lightGray"/>
          <w:u w:val="single"/>
          <w:lang w:val="fr-FR"/>
        </w:rPr>
        <w:t>DHS</w:t>
      </w:r>
      <w:r w:rsidR="000C09DC" w:rsidRPr="00733856">
        <w:rPr>
          <w:lang w:val="fr-FR"/>
        </w:rPr>
        <w:t>.</w:t>
      </w:r>
    </w:p>
    <w:p w:rsidR="00B75F48" w:rsidRPr="00733856" w:rsidRDefault="00B75F48" w:rsidP="004B4303">
      <w:pPr>
        <w:ind w:left="567"/>
        <w:rPr>
          <w:lang w:val="fr-FR"/>
        </w:rPr>
      </w:pPr>
    </w:p>
    <w:p w:rsidR="00B75F48" w:rsidRPr="00733856" w:rsidRDefault="000C09DC" w:rsidP="000C09DC">
      <w:pPr>
        <w:rPr>
          <w:lang w:val="fr-FR"/>
        </w:rPr>
      </w:pPr>
      <w:r w:rsidRPr="00733856">
        <w:rPr>
          <w:lang w:val="fr-FR"/>
        </w:rPr>
        <w:t>2.</w:t>
      </w:r>
      <w:r w:rsidR="00162BE2" w:rsidRPr="00733856">
        <w:rPr>
          <w:lang w:val="fr-FR"/>
        </w:rPr>
        <w:t xml:space="preserve"> </w:t>
      </w:r>
      <w:r w:rsidRPr="00733856">
        <w:rPr>
          <w:lang w:val="fr-FR"/>
        </w:rPr>
        <w:t xml:space="preserve"> En cas de difficultés avec la distinction après un ou deux cycles de végétation, les essais aveugles aléatoires ont été utilisés pour tenir compte d</w:t>
      </w:r>
      <w:r w:rsidR="007E244E" w:rsidRPr="00733856">
        <w:rPr>
          <w:lang w:val="fr-FR"/>
        </w:rPr>
        <w:t>’</w:t>
      </w:r>
      <w:r w:rsidRPr="00733856">
        <w:rPr>
          <w:lang w:val="fr-FR"/>
        </w:rPr>
        <w:t>adaptations spécifiques dans l</w:t>
      </w:r>
      <w:r w:rsidR="007E244E" w:rsidRPr="00733856">
        <w:rPr>
          <w:lang w:val="fr-FR"/>
        </w:rPr>
        <w:t>’</w:t>
      </w:r>
      <w:r w:rsidRPr="00733856">
        <w:rPr>
          <w:lang w:val="fr-FR"/>
        </w:rPr>
        <w:t>examen DHS (régionales, climatiques, etc.).</w:t>
      </w:r>
    </w:p>
    <w:p w:rsidR="00B75F48" w:rsidRPr="00733856" w:rsidRDefault="00B75F48" w:rsidP="004B4303">
      <w:pPr>
        <w:rPr>
          <w:lang w:val="fr-FR"/>
        </w:rPr>
      </w:pPr>
    </w:p>
    <w:p w:rsidR="00B75F48" w:rsidRPr="00733856" w:rsidRDefault="000C09DC" w:rsidP="000C09DC">
      <w:pPr>
        <w:rPr>
          <w:u w:val="single"/>
          <w:lang w:val="fr-FR"/>
        </w:rPr>
      </w:pPr>
      <w:r w:rsidRPr="00733856">
        <w:rPr>
          <w:u w:val="single"/>
          <w:lang w:val="fr-FR"/>
        </w:rPr>
        <w:t>Préparation de l</w:t>
      </w:r>
      <w:r w:rsidR="007E244E" w:rsidRPr="00733856">
        <w:rPr>
          <w:u w:val="single"/>
          <w:lang w:val="fr-FR"/>
        </w:rPr>
        <w:t>’</w:t>
      </w:r>
      <w:r w:rsidRPr="00733856">
        <w:rPr>
          <w:u w:val="single"/>
          <w:lang w:val="fr-FR"/>
        </w:rPr>
        <w:t>essai :</w:t>
      </w:r>
    </w:p>
    <w:p w:rsidR="00B75F48" w:rsidRPr="00733856" w:rsidRDefault="00B75F48" w:rsidP="004B4303">
      <w:pPr>
        <w:rPr>
          <w:lang w:val="fr-FR"/>
        </w:rPr>
      </w:pPr>
    </w:p>
    <w:p w:rsidR="00B75F48" w:rsidRPr="00733856" w:rsidRDefault="000C09DC" w:rsidP="000C09DC">
      <w:pPr>
        <w:numPr>
          <w:ilvl w:val="0"/>
          <w:numId w:val="1"/>
        </w:numPr>
        <w:tabs>
          <w:tab w:val="clear" w:pos="720"/>
        </w:tabs>
        <w:spacing w:line="276" w:lineRule="auto"/>
        <w:ind w:left="1134" w:hanging="567"/>
        <w:jc w:val="left"/>
        <w:rPr>
          <w:lang w:val="fr-FR"/>
        </w:rPr>
      </w:pPr>
      <w:r w:rsidRPr="00733856">
        <w:rPr>
          <w:lang w:val="fr-FR"/>
        </w:rPr>
        <w:t xml:space="preserve">Le demandeur peut accepter </w:t>
      </w:r>
      <w:r w:rsidRPr="00733856">
        <w:rPr>
          <w:strike/>
          <w:highlight w:val="lightGray"/>
          <w:lang w:val="fr-FR"/>
        </w:rPr>
        <w:t>ou non</w:t>
      </w:r>
      <w:r w:rsidRPr="00733856">
        <w:rPr>
          <w:lang w:val="fr-FR"/>
        </w:rPr>
        <w:t xml:space="preserve"> cette possibilité </w:t>
      </w:r>
      <w:r w:rsidRPr="00733856">
        <w:rPr>
          <w:highlight w:val="lightGray"/>
          <w:u w:val="single"/>
          <w:lang w:val="fr-FR"/>
        </w:rPr>
        <w:t>ou non</w:t>
      </w:r>
      <w:r w:rsidRPr="00733856">
        <w:rPr>
          <w:u w:val="single"/>
          <w:lang w:val="fr-FR"/>
        </w:rPr>
        <w:t>;</w:t>
      </w:r>
    </w:p>
    <w:p w:rsidR="00B75F48" w:rsidRPr="00733856" w:rsidRDefault="000C09DC" w:rsidP="000C09DC">
      <w:pPr>
        <w:numPr>
          <w:ilvl w:val="0"/>
          <w:numId w:val="1"/>
        </w:numPr>
        <w:tabs>
          <w:tab w:val="clear" w:pos="720"/>
        </w:tabs>
        <w:spacing w:line="276" w:lineRule="auto"/>
        <w:ind w:left="1134" w:hanging="567"/>
        <w:jc w:val="left"/>
        <w:rPr>
          <w:lang w:val="fr-FR"/>
        </w:rPr>
      </w:pPr>
      <w:r w:rsidRPr="00733856">
        <w:rPr>
          <w:lang w:val="fr-FR"/>
        </w:rPr>
        <w:t>Des semences sont envoyées au demandeur avec les codes A, B, C, D, E … (variété dans l</w:t>
      </w:r>
      <w:r w:rsidR="007E244E" w:rsidRPr="00733856">
        <w:rPr>
          <w:lang w:val="fr-FR"/>
        </w:rPr>
        <w:t>’</w:t>
      </w:r>
      <w:r w:rsidRPr="00733856">
        <w:rPr>
          <w:lang w:val="fr-FR"/>
        </w:rPr>
        <w:t>examen DHS + variété de référence fermée + mélange);</w:t>
      </w:r>
    </w:p>
    <w:p w:rsidR="00B75F48" w:rsidRPr="00733856" w:rsidRDefault="000C09DC" w:rsidP="000C09DC">
      <w:pPr>
        <w:numPr>
          <w:ilvl w:val="0"/>
          <w:numId w:val="1"/>
        </w:numPr>
        <w:tabs>
          <w:tab w:val="clear" w:pos="720"/>
        </w:tabs>
        <w:spacing w:line="276" w:lineRule="auto"/>
        <w:ind w:left="1134" w:hanging="567"/>
        <w:jc w:val="left"/>
        <w:rPr>
          <w:lang w:val="fr-FR"/>
        </w:rPr>
      </w:pPr>
      <w:r w:rsidRPr="00733856">
        <w:rPr>
          <w:lang w:val="fr-FR"/>
        </w:rPr>
        <w:t>L</w:t>
      </w:r>
      <w:r w:rsidR="007E244E" w:rsidRPr="00733856">
        <w:rPr>
          <w:lang w:val="fr-FR"/>
        </w:rPr>
        <w:t>’</w:t>
      </w:r>
      <w:r w:rsidRPr="00733856">
        <w:rPr>
          <w:lang w:val="fr-FR"/>
        </w:rPr>
        <w:t xml:space="preserve">essai est effectué dans les installations du demandeur </w:t>
      </w:r>
      <w:r w:rsidRPr="00733856">
        <w:rPr>
          <w:highlight w:val="lightGray"/>
          <w:u w:val="single"/>
          <w:lang w:val="fr-FR"/>
        </w:rPr>
        <w:t>sur la base d</w:t>
      </w:r>
      <w:r w:rsidR="007E244E" w:rsidRPr="00733856">
        <w:rPr>
          <w:highlight w:val="lightGray"/>
          <w:u w:val="single"/>
          <w:lang w:val="fr-FR"/>
        </w:rPr>
        <w:t>’</w:t>
      </w:r>
      <w:r w:rsidRPr="00733856">
        <w:rPr>
          <w:highlight w:val="lightGray"/>
          <w:u w:val="single"/>
          <w:lang w:val="fr-FR"/>
        </w:rPr>
        <w:t>au moins deux répétitions</w:t>
      </w:r>
      <w:r w:rsidRPr="00733856">
        <w:rPr>
          <w:lang w:val="fr-FR"/>
        </w:rPr>
        <w:t>;</w:t>
      </w:r>
    </w:p>
    <w:p w:rsidR="007E244E" w:rsidRPr="00733856" w:rsidRDefault="000C09DC" w:rsidP="000C09DC">
      <w:pPr>
        <w:numPr>
          <w:ilvl w:val="0"/>
          <w:numId w:val="1"/>
        </w:numPr>
        <w:tabs>
          <w:tab w:val="clear" w:pos="720"/>
        </w:tabs>
        <w:spacing w:line="276" w:lineRule="auto"/>
        <w:ind w:left="1134" w:hanging="567"/>
        <w:jc w:val="left"/>
        <w:rPr>
          <w:u w:val="single"/>
          <w:lang w:val="fr-FR"/>
        </w:rPr>
      </w:pPr>
      <w:r w:rsidRPr="00733856">
        <w:rPr>
          <w:highlight w:val="lightGray"/>
          <w:u w:val="single"/>
          <w:lang w:val="fr-FR"/>
        </w:rPr>
        <w:t>Le nombre de plantes observées doit être au moins le nombre recommandé dans le principe directeur;</w:t>
      </w:r>
    </w:p>
    <w:p w:rsidR="00B75F48" w:rsidRPr="00733856" w:rsidRDefault="000C09DC" w:rsidP="000C09DC">
      <w:pPr>
        <w:numPr>
          <w:ilvl w:val="0"/>
          <w:numId w:val="1"/>
        </w:numPr>
        <w:tabs>
          <w:tab w:val="clear" w:pos="720"/>
        </w:tabs>
        <w:ind w:left="1134" w:hanging="567"/>
        <w:jc w:val="left"/>
        <w:rPr>
          <w:lang w:val="fr-FR"/>
        </w:rPr>
      </w:pPr>
      <w:r w:rsidRPr="00733856">
        <w:rPr>
          <w:lang w:val="fr-FR"/>
        </w:rPr>
        <w:t>le demandeur doit informer</w:t>
      </w:r>
      <w:r w:rsidR="007E244E" w:rsidRPr="00733856">
        <w:rPr>
          <w:lang w:val="fr-FR"/>
        </w:rPr>
        <w:t xml:space="preserve"> </w:t>
      </w:r>
      <w:r w:rsidR="007E244E" w:rsidRPr="00733856">
        <w:rPr>
          <w:strike/>
          <w:highlight w:val="lightGray"/>
          <w:lang w:val="fr-FR"/>
        </w:rPr>
        <w:t>le</w:t>
      </w:r>
      <w:r w:rsidR="007E244E" w:rsidRPr="00733856">
        <w:rPr>
          <w:lang w:val="fr-FR"/>
        </w:rPr>
        <w:t> </w:t>
      </w:r>
      <w:r w:rsidR="007E244E" w:rsidRPr="00733856">
        <w:rPr>
          <w:strike/>
          <w:highlight w:val="lightGray"/>
          <w:lang w:val="fr-FR"/>
        </w:rPr>
        <w:t>GEV</w:t>
      </w:r>
      <w:r w:rsidR="00581A52" w:rsidRPr="00733856">
        <w:rPr>
          <w:strike/>
          <w:highlight w:val="lightGray"/>
          <w:lang w:val="fr-FR"/>
        </w:rPr>
        <w:t>ES</w:t>
      </w:r>
      <w:r w:rsidRPr="00733856">
        <w:rPr>
          <w:highlight w:val="lightGray"/>
          <w:lang w:val="fr-FR"/>
        </w:rPr>
        <w:t xml:space="preserve"> </w:t>
      </w:r>
      <w:r w:rsidRPr="00733856">
        <w:rPr>
          <w:highlight w:val="lightGray"/>
          <w:u w:val="single"/>
          <w:lang w:val="fr-FR"/>
        </w:rPr>
        <w:t>le service</w:t>
      </w:r>
      <w:r w:rsidRPr="00733856">
        <w:rPr>
          <w:lang w:val="fr-FR"/>
        </w:rPr>
        <w:t xml:space="preserve"> de l</w:t>
      </w:r>
      <w:r w:rsidR="007E244E" w:rsidRPr="00733856">
        <w:rPr>
          <w:lang w:val="fr-FR"/>
        </w:rPr>
        <w:t>’</w:t>
      </w:r>
      <w:r w:rsidRPr="00733856">
        <w:rPr>
          <w:lang w:val="fr-FR"/>
        </w:rPr>
        <w:t>état d</w:t>
      </w:r>
      <w:r w:rsidR="007E244E" w:rsidRPr="00733856">
        <w:rPr>
          <w:lang w:val="fr-FR"/>
        </w:rPr>
        <w:t>’</w:t>
      </w:r>
      <w:r w:rsidRPr="00733856">
        <w:rPr>
          <w:lang w:val="fr-FR"/>
        </w:rPr>
        <w:t>avancement de l</w:t>
      </w:r>
      <w:r w:rsidR="007E244E" w:rsidRPr="00733856">
        <w:rPr>
          <w:lang w:val="fr-FR"/>
        </w:rPr>
        <w:t>’</w:t>
      </w:r>
      <w:r w:rsidRPr="00733856">
        <w:rPr>
          <w:lang w:val="fr-FR"/>
        </w:rPr>
        <w:t>essai aux fins d</w:t>
      </w:r>
      <w:r w:rsidR="007E244E" w:rsidRPr="00733856">
        <w:rPr>
          <w:lang w:val="fr-FR"/>
        </w:rPr>
        <w:t>’</w:t>
      </w:r>
      <w:r w:rsidRPr="00733856">
        <w:rPr>
          <w:lang w:val="fr-FR"/>
        </w:rPr>
        <w:t>une visite éventuelle.</w:t>
      </w:r>
    </w:p>
    <w:p w:rsidR="00B75F48" w:rsidRPr="00733856" w:rsidRDefault="00B75F48" w:rsidP="004B4303">
      <w:pPr>
        <w:rPr>
          <w:lang w:val="fr-FR"/>
        </w:rPr>
      </w:pPr>
    </w:p>
    <w:p w:rsidR="00B75F48" w:rsidRPr="00733856" w:rsidRDefault="000C09DC" w:rsidP="000C09DC">
      <w:pPr>
        <w:rPr>
          <w:lang w:val="fr-FR"/>
        </w:rPr>
      </w:pPr>
      <w:r w:rsidRPr="00733856">
        <w:rPr>
          <w:lang w:val="fr-FR"/>
        </w:rPr>
        <w:t xml:space="preserve">3. </w:t>
      </w:r>
      <w:r w:rsidR="00162BE2" w:rsidRPr="00733856">
        <w:rPr>
          <w:lang w:val="fr-FR"/>
        </w:rPr>
        <w:t xml:space="preserve"> </w:t>
      </w:r>
      <w:r w:rsidRPr="00733856">
        <w:rPr>
          <w:lang w:val="fr-FR"/>
        </w:rPr>
        <w:t>Lorsqu</w:t>
      </w:r>
      <w:r w:rsidR="007E244E" w:rsidRPr="00733856">
        <w:rPr>
          <w:lang w:val="fr-FR"/>
        </w:rPr>
        <w:t>’</w:t>
      </w:r>
      <w:r w:rsidRPr="00733856">
        <w:rPr>
          <w:lang w:val="fr-FR"/>
        </w:rPr>
        <w:t xml:space="preserve">il y a un problème de distinction, un essai codé peut être planté dans les installations </w:t>
      </w:r>
      <w:r w:rsidRPr="00733856">
        <w:rPr>
          <w:strike/>
          <w:highlight w:val="lightGray"/>
          <w:lang w:val="fr-FR"/>
        </w:rPr>
        <w:t>du </w:t>
      </w:r>
      <w:r w:rsidR="00581A52" w:rsidRPr="00733856">
        <w:rPr>
          <w:strike/>
          <w:highlight w:val="lightGray"/>
          <w:lang w:val="fr-FR"/>
        </w:rPr>
        <w:t>GEVES</w:t>
      </w:r>
      <w:r w:rsidRPr="00733856">
        <w:rPr>
          <w:highlight w:val="lightGray"/>
          <w:u w:val="single"/>
          <w:lang w:val="fr-FR"/>
        </w:rPr>
        <w:t xml:space="preserve"> du service</w:t>
      </w:r>
      <w:r w:rsidRPr="00733856">
        <w:rPr>
          <w:lang w:val="fr-FR"/>
        </w:rPr>
        <w:t xml:space="preserve"> afin d</w:t>
      </w:r>
      <w:r w:rsidR="007E244E" w:rsidRPr="00733856">
        <w:rPr>
          <w:lang w:val="fr-FR"/>
        </w:rPr>
        <w:t>’</w:t>
      </w:r>
      <w:r w:rsidRPr="00733856">
        <w:rPr>
          <w:lang w:val="fr-FR"/>
        </w:rPr>
        <w:t>éviter l</w:t>
      </w:r>
      <w:r w:rsidR="007E244E" w:rsidRPr="00733856">
        <w:rPr>
          <w:lang w:val="fr-FR"/>
        </w:rPr>
        <w:t>’</w:t>
      </w:r>
      <w:r w:rsidRPr="00733856">
        <w:rPr>
          <w:lang w:val="fr-FR"/>
        </w:rPr>
        <w:t>identification par d</w:t>
      </w:r>
      <w:r w:rsidR="007E244E" w:rsidRPr="00733856">
        <w:rPr>
          <w:lang w:val="fr-FR"/>
        </w:rPr>
        <w:t>’</w:t>
      </w:r>
      <w:r w:rsidRPr="00733856">
        <w:rPr>
          <w:lang w:val="fr-FR"/>
        </w:rPr>
        <w:t>autres méthodes (comme, par exemple, les profils d</w:t>
      </w:r>
      <w:r w:rsidR="007E244E" w:rsidRPr="00733856">
        <w:rPr>
          <w:lang w:val="fr-FR"/>
        </w:rPr>
        <w:t>’</w:t>
      </w:r>
      <w:r w:rsidRPr="00733856">
        <w:rPr>
          <w:lang w:val="fr-FR"/>
        </w:rPr>
        <w:t>ADN).</w:t>
      </w:r>
      <w:r w:rsidR="00477192" w:rsidRPr="00733856">
        <w:rPr>
          <w:lang w:val="fr-FR"/>
        </w:rPr>
        <w:t xml:space="preserve"> </w:t>
      </w:r>
      <w:r w:rsidR="004B4303" w:rsidRPr="00733856">
        <w:rPr>
          <w:lang w:val="fr-FR"/>
        </w:rPr>
        <w:t xml:space="preserve"> </w:t>
      </w:r>
      <w:r w:rsidRPr="00733856">
        <w:rPr>
          <w:lang w:val="fr-FR"/>
        </w:rPr>
        <w:t>Le demandeur est invité à visiter cet essai.</w:t>
      </w:r>
      <w:r w:rsidR="004B4303" w:rsidRPr="00733856">
        <w:rPr>
          <w:lang w:val="fr-FR"/>
        </w:rPr>
        <w:t xml:space="preserve">  </w:t>
      </w:r>
      <w:r w:rsidRPr="00733856">
        <w:rPr>
          <w:lang w:val="fr-FR"/>
        </w:rPr>
        <w:t>Le protocole d</w:t>
      </w:r>
      <w:r w:rsidR="007E244E" w:rsidRPr="00733856">
        <w:rPr>
          <w:lang w:val="fr-FR"/>
        </w:rPr>
        <w:t>’</w:t>
      </w:r>
      <w:r w:rsidRPr="00733856">
        <w:rPr>
          <w:lang w:val="fr-FR"/>
        </w:rPr>
        <w:t>essai n</w:t>
      </w:r>
      <w:r w:rsidR="007E244E" w:rsidRPr="00733856">
        <w:rPr>
          <w:lang w:val="fr-FR"/>
        </w:rPr>
        <w:t>’</w:t>
      </w:r>
      <w:r w:rsidRPr="00733856">
        <w:rPr>
          <w:lang w:val="fr-FR"/>
        </w:rPr>
        <w:t xml:space="preserve">est pas obligatoire mais </w:t>
      </w:r>
      <w:r w:rsidRPr="00733856">
        <w:rPr>
          <w:highlight w:val="lightGray"/>
          <w:lang w:val="fr-FR"/>
        </w:rPr>
        <w:t>l</w:t>
      </w:r>
      <w:r w:rsidRPr="00733856">
        <w:rPr>
          <w:strike/>
          <w:highlight w:val="lightGray"/>
          <w:lang w:val="fr-FR"/>
        </w:rPr>
        <w:t>e </w:t>
      </w:r>
      <w:r w:rsidR="00581A52" w:rsidRPr="00733856">
        <w:rPr>
          <w:strike/>
          <w:highlight w:val="lightGray"/>
          <w:lang w:val="fr-FR"/>
        </w:rPr>
        <w:t>GEVES</w:t>
      </w:r>
      <w:r w:rsidRPr="00733856">
        <w:rPr>
          <w:highlight w:val="lightGray"/>
          <w:lang w:val="fr-FR"/>
        </w:rPr>
        <w:t xml:space="preserve"> </w:t>
      </w:r>
      <w:r w:rsidRPr="00733856">
        <w:rPr>
          <w:highlight w:val="lightGray"/>
          <w:u w:val="single"/>
          <w:lang w:val="fr-FR"/>
        </w:rPr>
        <w:t>le service</w:t>
      </w:r>
      <w:r w:rsidRPr="00733856">
        <w:rPr>
          <w:lang w:val="fr-FR"/>
        </w:rPr>
        <w:t xml:space="preserve"> pourrait le lui demander et des recommandations sont faites au demandeur;  (nombre de </w:t>
      </w:r>
      <w:r w:rsidRPr="00733856">
        <w:rPr>
          <w:strike/>
          <w:highlight w:val="lightGray"/>
          <w:lang w:val="fr-FR"/>
        </w:rPr>
        <w:t>répétitions</w:t>
      </w:r>
      <w:r w:rsidRPr="00733856">
        <w:rPr>
          <w:highlight w:val="lightGray"/>
          <w:lang w:val="fr-FR"/>
        </w:rPr>
        <w:t xml:space="preserve"> </w:t>
      </w:r>
      <w:r w:rsidRPr="00733856">
        <w:rPr>
          <w:highlight w:val="lightGray"/>
          <w:u w:val="single"/>
          <w:lang w:val="fr-FR"/>
        </w:rPr>
        <w:t>plantes à observer</w:t>
      </w:r>
      <w:r w:rsidRPr="00733856">
        <w:rPr>
          <w:lang w:val="fr-FR"/>
        </w:rPr>
        <w:t>).</w:t>
      </w:r>
    </w:p>
    <w:p w:rsidR="00B75F48" w:rsidRPr="00733856" w:rsidRDefault="00B75F48" w:rsidP="004B4303">
      <w:pPr>
        <w:rPr>
          <w:lang w:val="fr-FR"/>
        </w:rPr>
      </w:pPr>
    </w:p>
    <w:p w:rsidR="00B75F48" w:rsidRPr="00733856" w:rsidRDefault="000C09DC" w:rsidP="000C09DC">
      <w:pPr>
        <w:rPr>
          <w:u w:val="single"/>
          <w:lang w:val="fr-FR"/>
        </w:rPr>
      </w:pPr>
      <w:r w:rsidRPr="00733856">
        <w:rPr>
          <w:u w:val="single"/>
          <w:lang w:val="fr-FR"/>
        </w:rPr>
        <w:t>Transmission des résultats</w:t>
      </w:r>
    </w:p>
    <w:p w:rsidR="00B75F48" w:rsidRPr="00733856" w:rsidRDefault="00B75F48" w:rsidP="004B4303">
      <w:pPr>
        <w:rPr>
          <w:u w:val="single"/>
          <w:lang w:val="fr-FR"/>
        </w:rPr>
      </w:pPr>
    </w:p>
    <w:p w:rsidR="00B75F48" w:rsidRPr="00733856" w:rsidRDefault="000C09DC" w:rsidP="000C09DC">
      <w:pPr>
        <w:rPr>
          <w:lang w:val="fr-FR"/>
        </w:rPr>
      </w:pPr>
      <w:r w:rsidRPr="00733856">
        <w:rPr>
          <w:lang w:val="fr-FR"/>
        </w:rPr>
        <w:t xml:space="preserve">4. </w:t>
      </w:r>
      <w:r w:rsidR="00162BE2" w:rsidRPr="00733856">
        <w:rPr>
          <w:lang w:val="fr-FR"/>
        </w:rPr>
        <w:t xml:space="preserve"> </w:t>
      </w:r>
      <w:r w:rsidRPr="00733856">
        <w:rPr>
          <w:lang w:val="fr-FR"/>
        </w:rPr>
        <w:t>Les résultats sont transmis comme suit par le demandeur au </w:t>
      </w:r>
      <w:r w:rsidR="00477192" w:rsidRPr="00733856">
        <w:rPr>
          <w:strike/>
          <w:highlight w:val="lightGray"/>
          <w:lang w:val="fr-FR"/>
        </w:rPr>
        <w:t>GEVES</w:t>
      </w:r>
      <w:r w:rsidRPr="00733856">
        <w:rPr>
          <w:highlight w:val="lightGray"/>
          <w:lang w:val="fr-FR"/>
        </w:rPr>
        <w:t xml:space="preserve"> </w:t>
      </w:r>
      <w:r w:rsidRPr="00733856">
        <w:rPr>
          <w:highlight w:val="lightGray"/>
          <w:u w:val="single"/>
          <w:lang w:val="fr-FR"/>
        </w:rPr>
        <w:t>service</w:t>
      </w:r>
      <w:r w:rsidRPr="00733856">
        <w:rPr>
          <w:lang w:val="fr-FR"/>
        </w:rPr>
        <w:t> :</w:t>
      </w:r>
    </w:p>
    <w:p w:rsidR="00B75F48" w:rsidRPr="00733856" w:rsidRDefault="00B75F48" w:rsidP="004B4303">
      <w:pPr>
        <w:rPr>
          <w:lang w:val="fr-FR"/>
        </w:rPr>
      </w:pPr>
    </w:p>
    <w:p w:rsidR="00B75F48" w:rsidRPr="00733856" w:rsidRDefault="004B4303" w:rsidP="000C09DC">
      <w:pPr>
        <w:rPr>
          <w:lang w:val="fr-FR"/>
        </w:rPr>
      </w:pPr>
      <w:r w:rsidRPr="00733856">
        <w:rPr>
          <w:lang w:val="fr-FR"/>
        </w:rPr>
        <w:tab/>
      </w:r>
      <w:r w:rsidR="000C09DC" w:rsidRPr="00733856">
        <w:rPr>
          <w:lang w:val="fr-FR"/>
        </w:rPr>
        <w:t>A = variété candidate</w:t>
      </w:r>
    </w:p>
    <w:p w:rsidR="00B75F48" w:rsidRPr="00733856" w:rsidRDefault="004B4303" w:rsidP="000C09DC">
      <w:pPr>
        <w:rPr>
          <w:lang w:val="fr-FR"/>
        </w:rPr>
      </w:pPr>
      <w:r w:rsidRPr="00733856">
        <w:rPr>
          <w:lang w:val="fr-FR"/>
        </w:rPr>
        <w:tab/>
      </w:r>
      <w:r w:rsidR="000C09DC" w:rsidRPr="00733856">
        <w:rPr>
          <w:lang w:val="fr-FR"/>
        </w:rPr>
        <w:t>B = variété de référence</w:t>
      </w:r>
    </w:p>
    <w:p w:rsidR="00B75F48" w:rsidRPr="00733856" w:rsidRDefault="004B4303" w:rsidP="000C09DC">
      <w:pPr>
        <w:rPr>
          <w:lang w:val="fr-FR"/>
        </w:rPr>
      </w:pPr>
      <w:r w:rsidRPr="00733856">
        <w:rPr>
          <w:lang w:val="fr-FR"/>
        </w:rPr>
        <w:tab/>
      </w:r>
      <w:r w:rsidR="000C09DC" w:rsidRPr="00733856">
        <w:rPr>
          <w:lang w:val="fr-FR"/>
        </w:rPr>
        <w:t>C = mélange</w:t>
      </w:r>
    </w:p>
    <w:p w:rsidR="00B75F48" w:rsidRPr="00733856" w:rsidRDefault="004B4303" w:rsidP="000C09DC">
      <w:pPr>
        <w:rPr>
          <w:lang w:val="fr-FR"/>
        </w:rPr>
      </w:pPr>
      <w:r w:rsidRPr="00733856">
        <w:rPr>
          <w:lang w:val="fr-FR"/>
        </w:rPr>
        <w:tab/>
      </w:r>
      <w:r w:rsidR="000C09DC" w:rsidRPr="00733856">
        <w:rPr>
          <w:lang w:val="fr-FR"/>
        </w:rPr>
        <w:t>D = variété candidate</w:t>
      </w:r>
    </w:p>
    <w:p w:rsidR="00B75F48" w:rsidRPr="00733856" w:rsidRDefault="004B4303" w:rsidP="000C09DC">
      <w:pPr>
        <w:rPr>
          <w:lang w:val="fr-FR"/>
        </w:rPr>
      </w:pPr>
      <w:r w:rsidRPr="00733856">
        <w:rPr>
          <w:lang w:val="fr-FR"/>
        </w:rPr>
        <w:tab/>
      </w:r>
      <w:r w:rsidR="000C09DC" w:rsidRPr="00733856">
        <w:rPr>
          <w:lang w:val="fr-FR"/>
        </w:rPr>
        <w:t>E = variété de référence</w:t>
      </w:r>
    </w:p>
    <w:p w:rsidR="00B75F48" w:rsidRPr="00733856" w:rsidRDefault="00B75F48" w:rsidP="004B4303">
      <w:pPr>
        <w:rPr>
          <w:lang w:val="fr-FR"/>
        </w:rPr>
      </w:pPr>
    </w:p>
    <w:p w:rsidR="00B75F48" w:rsidRPr="00733856" w:rsidRDefault="000C09DC" w:rsidP="000C09DC">
      <w:pPr>
        <w:rPr>
          <w:lang w:val="fr-FR"/>
        </w:rPr>
      </w:pPr>
      <w:r w:rsidRPr="00733856">
        <w:rPr>
          <w:lang w:val="fr-FR"/>
        </w:rPr>
        <w:t xml:space="preserve">5. </w:t>
      </w:r>
      <w:r w:rsidR="00162BE2" w:rsidRPr="00733856">
        <w:rPr>
          <w:lang w:val="fr-FR"/>
        </w:rPr>
        <w:t xml:space="preserve"> </w:t>
      </w:r>
      <w:r w:rsidRPr="00733856">
        <w:rPr>
          <w:lang w:val="fr-FR"/>
        </w:rPr>
        <w:t>Le fait que le demandeur donne de bons résultats est un point très important mais qui n</w:t>
      </w:r>
      <w:r w:rsidR="007E244E" w:rsidRPr="00733856">
        <w:rPr>
          <w:lang w:val="fr-FR"/>
        </w:rPr>
        <w:t>’</w:t>
      </w:r>
      <w:r w:rsidRPr="00733856">
        <w:rPr>
          <w:lang w:val="fr-FR"/>
        </w:rPr>
        <w:t>est pas suffisant.</w:t>
      </w:r>
      <w:r w:rsidR="004B4303" w:rsidRPr="00733856">
        <w:rPr>
          <w:lang w:val="fr-FR"/>
        </w:rPr>
        <w:t xml:space="preserve">  </w:t>
      </w:r>
      <w:r w:rsidRPr="00733856">
        <w:rPr>
          <w:lang w:val="fr-FR"/>
        </w:rPr>
        <w:t xml:space="preserve">La décision finale est toujours prise </w:t>
      </w:r>
      <w:r w:rsidRPr="00733856">
        <w:rPr>
          <w:strike/>
          <w:highlight w:val="lightGray"/>
          <w:lang w:val="fr-FR"/>
        </w:rPr>
        <w:t>par</w:t>
      </w:r>
      <w:r w:rsidR="007E244E" w:rsidRPr="00733856">
        <w:rPr>
          <w:strike/>
          <w:highlight w:val="lightGray"/>
          <w:lang w:val="fr-FR"/>
        </w:rPr>
        <w:t xml:space="preserve"> le GEV</w:t>
      </w:r>
      <w:r w:rsidR="00477192" w:rsidRPr="00733856">
        <w:rPr>
          <w:strike/>
          <w:highlight w:val="lightGray"/>
          <w:lang w:val="fr-FR"/>
        </w:rPr>
        <w:t>ES</w:t>
      </w:r>
      <w:r w:rsidRPr="00733856">
        <w:rPr>
          <w:lang w:val="fr-FR"/>
        </w:rPr>
        <w:t xml:space="preserve"> après analyse de tous les résultats.</w:t>
      </w:r>
      <w:r w:rsidR="004B4303" w:rsidRPr="00733856">
        <w:rPr>
          <w:lang w:val="fr-FR"/>
        </w:rPr>
        <w:t xml:space="preserve">  </w:t>
      </w:r>
      <w:r w:rsidRPr="00733856">
        <w:rPr>
          <w:lang w:val="fr-FR"/>
        </w:rPr>
        <w:t>Lorsqu</w:t>
      </w:r>
      <w:r w:rsidR="007E244E" w:rsidRPr="00733856">
        <w:rPr>
          <w:lang w:val="fr-FR"/>
        </w:rPr>
        <w:t>’</w:t>
      </w:r>
      <w:r w:rsidRPr="00733856">
        <w:rPr>
          <w:lang w:val="fr-FR"/>
        </w:rPr>
        <w:t xml:space="preserve">il y a un </w:t>
      </w:r>
      <w:r w:rsidRPr="00733856">
        <w:rPr>
          <w:lang w:val="fr-FR"/>
        </w:rPr>
        <w:lastRenderedPageBreak/>
        <w:t xml:space="preserve">problème de distinction, les caractères utilisés par le demandeur pour distinguer les variétés doivent être plus ou moins les mêmes que ceux observés </w:t>
      </w:r>
      <w:r w:rsidRPr="00733856">
        <w:rPr>
          <w:strike/>
          <w:highlight w:val="lightGray"/>
          <w:lang w:val="fr-FR"/>
        </w:rPr>
        <w:t>par le </w:t>
      </w:r>
      <w:r w:rsidR="00477192" w:rsidRPr="00733856">
        <w:rPr>
          <w:strike/>
          <w:highlight w:val="lightGray"/>
          <w:lang w:val="fr-FR"/>
        </w:rPr>
        <w:t>GEVES</w:t>
      </w:r>
      <w:r w:rsidRPr="00733856">
        <w:rPr>
          <w:lang w:val="fr-FR"/>
        </w:rPr>
        <w:t xml:space="preserve"> durant les cycles officiels.</w:t>
      </w:r>
    </w:p>
    <w:p w:rsidR="00B75F48" w:rsidRPr="00733856" w:rsidRDefault="00B75F48" w:rsidP="004B4303">
      <w:pPr>
        <w:rPr>
          <w:lang w:val="fr-FR"/>
        </w:rPr>
      </w:pPr>
    </w:p>
    <w:p w:rsidR="00B75F48" w:rsidRPr="00733856" w:rsidRDefault="00D50187" w:rsidP="000C09DC">
      <w:pPr>
        <w:rPr>
          <w:lang w:val="fr-FR"/>
        </w:rPr>
      </w:pPr>
      <w:r w:rsidRPr="00733856">
        <w:rPr>
          <w:lang w:val="fr-FR"/>
        </w:rPr>
        <w:t xml:space="preserve">6.  </w:t>
      </w:r>
      <w:r w:rsidR="000C09DC" w:rsidRPr="00733856">
        <w:rPr>
          <w:lang w:val="fr-FR"/>
        </w:rPr>
        <w:t>Cette approche revient à officialiser les résultats obtenus au moyen d</w:t>
      </w:r>
      <w:r w:rsidR="007E244E" w:rsidRPr="00733856">
        <w:rPr>
          <w:lang w:val="fr-FR"/>
        </w:rPr>
        <w:t>’</w:t>
      </w:r>
      <w:r w:rsidR="000C09DC" w:rsidRPr="00733856">
        <w:rPr>
          <w:lang w:val="fr-FR"/>
        </w:rPr>
        <w:t>un essai non officiel.</w:t>
      </w:r>
    </w:p>
    <w:p w:rsidR="00B75F48" w:rsidRPr="00733856" w:rsidRDefault="00B75F48" w:rsidP="004B4303">
      <w:pPr>
        <w:jc w:val="right"/>
        <w:rPr>
          <w:lang w:val="fr-FR"/>
        </w:rPr>
      </w:pPr>
    </w:p>
    <w:p w:rsidR="00B75F48" w:rsidRPr="00733856" w:rsidRDefault="000C09DC" w:rsidP="000C09DC">
      <w:pPr>
        <w:jc w:val="right"/>
        <w:rPr>
          <w:lang w:val="fr-FR"/>
        </w:rPr>
      </w:pPr>
      <w:r w:rsidRPr="00733856">
        <w:rPr>
          <w:lang w:val="fr-FR"/>
        </w:rPr>
        <w:t>[L</w:t>
      </w:r>
      <w:r w:rsidR="007E244E" w:rsidRPr="00733856">
        <w:rPr>
          <w:lang w:val="fr-FR"/>
        </w:rPr>
        <w:t>’</w:t>
      </w:r>
      <w:r w:rsidRPr="00733856">
        <w:rPr>
          <w:lang w:val="fr-FR"/>
        </w:rPr>
        <w:t>annexe</w:t>
      </w:r>
      <w:r w:rsidR="00162BE2" w:rsidRPr="00733856">
        <w:rPr>
          <w:lang w:val="fr-FR"/>
        </w:rPr>
        <w:t> </w:t>
      </w:r>
      <w:r w:rsidRPr="00733856">
        <w:rPr>
          <w:lang w:val="fr-FR"/>
        </w:rPr>
        <w:t>II suit]</w:t>
      </w:r>
    </w:p>
    <w:p w:rsidR="004B4303" w:rsidRPr="00733856" w:rsidRDefault="004B4303" w:rsidP="004B4303">
      <w:pPr>
        <w:jc w:val="right"/>
        <w:rPr>
          <w:lang w:val="fr-FR"/>
        </w:rPr>
        <w:sectPr w:rsidR="004B4303" w:rsidRPr="00733856" w:rsidSect="00767120">
          <w:headerReference w:type="default" r:id="rId11"/>
          <w:headerReference w:type="first" r:id="rId12"/>
          <w:footerReference w:type="first" r:id="rId13"/>
          <w:pgSz w:w="11907" w:h="16840" w:code="9"/>
          <w:pgMar w:top="510" w:right="1134" w:bottom="1134" w:left="1134" w:header="510" w:footer="680" w:gutter="0"/>
          <w:cols w:space="720"/>
          <w:titlePg/>
          <w:docGrid w:linePitch="272"/>
        </w:sectPr>
      </w:pPr>
    </w:p>
    <w:p w:rsidR="00B75F48" w:rsidRPr="00733856" w:rsidRDefault="00B75F48" w:rsidP="004B4303">
      <w:pPr>
        <w:jc w:val="center"/>
        <w:rPr>
          <w:caps/>
          <w:sz w:val="18"/>
          <w:szCs w:val="18"/>
          <w:lang w:val="fr-FR"/>
        </w:rPr>
      </w:pPr>
    </w:p>
    <w:p w:rsidR="00B75F48" w:rsidRPr="00733856" w:rsidRDefault="004B4303" w:rsidP="004B4303">
      <w:pPr>
        <w:autoSpaceDE w:val="0"/>
        <w:autoSpaceDN w:val="0"/>
        <w:adjustRightInd w:val="0"/>
        <w:rPr>
          <w:rFonts w:eastAsia="MS Mincho"/>
          <w:szCs w:val="24"/>
          <w:lang w:val="fr-FR" w:eastAsia="ja-JP"/>
        </w:rPr>
      </w:pPr>
      <w:r w:rsidRPr="00733856">
        <w:rPr>
          <w:rFonts w:eastAsia="MS Mincho"/>
          <w:szCs w:val="24"/>
          <w:lang w:val="fr-FR" w:eastAsia="ja-JP"/>
        </w:rPr>
        <w:t>EX</w:t>
      </w:r>
      <w:r w:rsidR="00D27A3E" w:rsidRPr="00733856">
        <w:rPr>
          <w:rFonts w:eastAsia="MS Mincho"/>
          <w:szCs w:val="24"/>
          <w:lang w:val="fr-FR" w:eastAsia="ja-JP"/>
        </w:rPr>
        <w:t xml:space="preserve">TRAIT DU </w:t>
      </w:r>
      <w:r w:rsidRPr="00733856">
        <w:rPr>
          <w:rFonts w:eastAsia="MS Mincho"/>
          <w:szCs w:val="24"/>
          <w:lang w:val="fr-FR" w:eastAsia="ja-JP"/>
        </w:rPr>
        <w:t>DOCUMENT TGP/9/1</w:t>
      </w:r>
      <w:r w:rsidR="00D27A3E" w:rsidRPr="00733856">
        <w:rPr>
          <w:rFonts w:eastAsia="MS Mincho"/>
          <w:szCs w:val="24"/>
          <w:lang w:val="fr-FR" w:eastAsia="ja-JP"/>
        </w:rPr>
        <w:t> :</w:t>
      </w:r>
      <w:r w:rsidRPr="00733856">
        <w:rPr>
          <w:rFonts w:eastAsia="MS Mincho"/>
          <w:szCs w:val="24"/>
          <w:lang w:val="fr-FR" w:eastAsia="ja-JP"/>
        </w:rPr>
        <w:t xml:space="preserve"> </w:t>
      </w:r>
      <w:r w:rsidR="00D27A3E" w:rsidRPr="00733856">
        <w:rPr>
          <w:rFonts w:eastAsia="MS Mincho"/>
          <w:szCs w:val="24"/>
          <w:lang w:val="fr-FR" w:eastAsia="ja-JP"/>
        </w:rPr>
        <w:t>EXAMEN DE LA DISTINCTION;  SECTION 6 : PROCÉDURES COMPLÉMENTAIRES</w:t>
      </w:r>
    </w:p>
    <w:p w:rsidR="00B75F48" w:rsidRPr="00733856" w:rsidRDefault="00B75F48" w:rsidP="004B4303">
      <w:pPr>
        <w:jc w:val="center"/>
        <w:rPr>
          <w:caps/>
          <w:sz w:val="18"/>
          <w:szCs w:val="18"/>
          <w:lang w:val="fr-FR"/>
        </w:rPr>
      </w:pPr>
    </w:p>
    <w:p w:rsidR="00B75F48" w:rsidRPr="00733856" w:rsidRDefault="00B75F48" w:rsidP="004B4303">
      <w:pPr>
        <w:jc w:val="center"/>
        <w:rPr>
          <w:caps/>
          <w:sz w:val="18"/>
          <w:szCs w:val="18"/>
          <w:lang w:val="fr-FR"/>
        </w:rPr>
      </w:pPr>
    </w:p>
    <w:p w:rsidR="007E244E" w:rsidRPr="00733856" w:rsidRDefault="004B4303" w:rsidP="004B4303">
      <w:pPr>
        <w:rPr>
          <w:rStyle w:val="EndnoteReference"/>
          <w:u w:val="single"/>
          <w:lang w:val="fr-FR"/>
        </w:rPr>
      </w:pPr>
      <w:bookmarkStart w:id="11" w:name="_Toc156741096"/>
      <w:bookmarkStart w:id="12" w:name="_Toc196280389"/>
      <w:r w:rsidRPr="00733856">
        <w:rPr>
          <w:u w:val="single"/>
          <w:lang w:val="fr-FR"/>
        </w:rPr>
        <w:t>“6.4</w:t>
      </w:r>
      <w:r w:rsidRPr="00733856">
        <w:rPr>
          <w:u w:val="single"/>
          <w:lang w:val="fr-FR"/>
        </w:rPr>
        <w:tab/>
        <w:t>U</w:t>
      </w:r>
      <w:r w:rsidR="00D27A3E" w:rsidRPr="00733856">
        <w:rPr>
          <w:u w:val="single"/>
          <w:lang w:val="fr-FR"/>
        </w:rPr>
        <w:t>tilisation des essais codés randomisés</w:t>
      </w:r>
      <w:bookmarkEnd w:id="11"/>
      <w:bookmarkEnd w:id="12"/>
    </w:p>
    <w:p w:rsidR="00B75F48" w:rsidRPr="00733856" w:rsidRDefault="00B75F48" w:rsidP="004B4303">
      <w:pPr>
        <w:rPr>
          <w:lang w:val="fr-FR"/>
        </w:rPr>
      </w:pPr>
    </w:p>
    <w:p w:rsidR="00B75F48" w:rsidRPr="00733856" w:rsidRDefault="000C09DC" w:rsidP="000C09DC">
      <w:pPr>
        <w:tabs>
          <w:tab w:val="left" w:pos="992"/>
        </w:tabs>
        <w:rPr>
          <w:lang w:val="fr-FR"/>
        </w:rPr>
      </w:pPr>
      <w:r w:rsidRPr="00733856">
        <w:rPr>
          <w:lang w:val="fr-FR"/>
        </w:rPr>
        <w:t>6.4.1</w:t>
      </w:r>
      <w:r w:rsidR="00477192" w:rsidRPr="00733856">
        <w:rPr>
          <w:lang w:val="fr-FR"/>
        </w:rPr>
        <w:tab/>
      </w:r>
      <w:r w:rsidRPr="00733856">
        <w:rPr>
          <w:lang w:val="fr-FR"/>
        </w:rPr>
        <w:t>Il arrive que des doutes subsistent après l</w:t>
      </w:r>
      <w:r w:rsidR="007E244E" w:rsidRPr="00733856">
        <w:rPr>
          <w:lang w:val="fr-FR"/>
        </w:rPr>
        <w:t>’</w:t>
      </w:r>
      <w:r w:rsidRPr="00733856">
        <w:rPr>
          <w:lang w:val="fr-FR"/>
        </w:rPr>
        <w:t>examen ou durant les essais quant à la distinction d</w:t>
      </w:r>
      <w:r w:rsidR="007E244E" w:rsidRPr="00733856">
        <w:rPr>
          <w:lang w:val="fr-FR"/>
        </w:rPr>
        <w:t>’</w:t>
      </w:r>
      <w:r w:rsidRPr="00733856">
        <w:rPr>
          <w:lang w:val="fr-FR"/>
        </w:rPr>
        <w:t>une variété.</w:t>
      </w:r>
      <w:r w:rsidR="004B4303" w:rsidRPr="00733856">
        <w:rPr>
          <w:lang w:val="fr-FR"/>
        </w:rPr>
        <w:t xml:space="preserve">  </w:t>
      </w:r>
      <w:r w:rsidRPr="00733856">
        <w:rPr>
          <w:lang w:val="fr-FR"/>
        </w:rPr>
        <w:t>Cette situation peut avoir l</w:t>
      </w:r>
      <w:r w:rsidR="007E244E" w:rsidRPr="00733856">
        <w:rPr>
          <w:lang w:val="fr-FR"/>
        </w:rPr>
        <w:t>’</w:t>
      </w:r>
      <w:r w:rsidRPr="00733856">
        <w:rPr>
          <w:lang w:val="fr-FR"/>
        </w:rPr>
        <w:t>un des deux</w:t>
      </w:r>
      <w:r w:rsidR="00162BE2" w:rsidRPr="00733856">
        <w:rPr>
          <w:lang w:val="fr-FR"/>
        </w:rPr>
        <w:t> </w:t>
      </w:r>
      <w:r w:rsidRPr="00733856">
        <w:rPr>
          <w:lang w:val="fr-FR"/>
        </w:rPr>
        <w:t>résultats suivants :</w:t>
      </w:r>
    </w:p>
    <w:p w:rsidR="00B75F48" w:rsidRPr="00733856" w:rsidRDefault="00B75F48" w:rsidP="004B4303">
      <w:pPr>
        <w:tabs>
          <w:tab w:val="left" w:pos="992"/>
        </w:tabs>
        <w:rPr>
          <w:lang w:val="fr-FR"/>
        </w:rPr>
      </w:pPr>
    </w:p>
    <w:p w:rsidR="00B75F48" w:rsidRPr="00733856" w:rsidRDefault="000C09DC" w:rsidP="00477192">
      <w:pPr>
        <w:pStyle w:val="ListParagraph"/>
        <w:numPr>
          <w:ilvl w:val="0"/>
          <w:numId w:val="2"/>
        </w:numPr>
        <w:tabs>
          <w:tab w:val="left" w:pos="992"/>
        </w:tabs>
        <w:ind w:left="1560" w:hanging="567"/>
        <w:rPr>
          <w:lang w:val="fr-FR"/>
        </w:rPr>
      </w:pPr>
      <w:r w:rsidRPr="00733856">
        <w:rPr>
          <w:lang w:val="fr-FR"/>
        </w:rPr>
        <w:t>si aucune différence n</w:t>
      </w:r>
      <w:r w:rsidR="007E244E" w:rsidRPr="00733856">
        <w:rPr>
          <w:lang w:val="fr-FR"/>
        </w:rPr>
        <w:t>’</w:t>
      </w:r>
      <w:r w:rsidRPr="00733856">
        <w:rPr>
          <w:lang w:val="fr-FR"/>
        </w:rPr>
        <w:t>a été observée, la demande est rejetée;</w:t>
      </w:r>
    </w:p>
    <w:p w:rsidR="00B75F48" w:rsidRPr="00733856" w:rsidRDefault="00B75F48" w:rsidP="004B4303">
      <w:pPr>
        <w:tabs>
          <w:tab w:val="num" w:pos="-2127"/>
          <w:tab w:val="left" w:pos="992"/>
        </w:tabs>
        <w:ind w:left="993"/>
        <w:rPr>
          <w:lang w:val="fr-FR"/>
        </w:rPr>
      </w:pPr>
    </w:p>
    <w:p w:rsidR="00B75F48" w:rsidRPr="00733856" w:rsidRDefault="000C09DC" w:rsidP="00477192">
      <w:pPr>
        <w:pStyle w:val="ListParagraph"/>
        <w:numPr>
          <w:ilvl w:val="0"/>
          <w:numId w:val="2"/>
        </w:numPr>
        <w:tabs>
          <w:tab w:val="left" w:pos="992"/>
        </w:tabs>
        <w:ind w:left="1560" w:hanging="567"/>
        <w:rPr>
          <w:lang w:val="fr-FR"/>
        </w:rPr>
      </w:pPr>
      <w:r w:rsidRPr="00733856">
        <w:rPr>
          <w:lang w:val="fr-FR"/>
        </w:rPr>
        <w:t>si la différence observée n</w:t>
      </w:r>
      <w:r w:rsidR="007E244E" w:rsidRPr="00733856">
        <w:rPr>
          <w:lang w:val="fr-FR"/>
        </w:rPr>
        <w:t>’</w:t>
      </w:r>
      <w:r w:rsidRPr="00733856">
        <w:rPr>
          <w:lang w:val="fr-FR"/>
        </w:rPr>
        <w:t>est pas nette, le service chargé de l</w:t>
      </w:r>
      <w:r w:rsidR="007E244E" w:rsidRPr="00733856">
        <w:rPr>
          <w:lang w:val="fr-FR"/>
        </w:rPr>
        <w:t>’</w:t>
      </w:r>
      <w:r w:rsidRPr="00733856">
        <w:rPr>
          <w:lang w:val="fr-FR"/>
        </w:rPr>
        <w:t>examen peut décider, sur demande d</w:t>
      </w:r>
      <w:r w:rsidR="007E244E" w:rsidRPr="00733856">
        <w:rPr>
          <w:lang w:val="fr-FR"/>
        </w:rPr>
        <w:t>’</w:t>
      </w:r>
      <w:r w:rsidRPr="00733856">
        <w:rPr>
          <w:lang w:val="fr-FR"/>
        </w:rPr>
        <w:t>établissement de la distinction de la part de l</w:t>
      </w:r>
      <w:r w:rsidR="007E244E" w:rsidRPr="00733856">
        <w:rPr>
          <w:lang w:val="fr-FR"/>
        </w:rPr>
        <w:t>’</w:t>
      </w:r>
      <w:r w:rsidRPr="00733856">
        <w:rPr>
          <w:lang w:val="fr-FR"/>
        </w:rPr>
        <w:t>obtenteur ou du déposant, de faire procéder à des essais supplémentaires.</w:t>
      </w:r>
    </w:p>
    <w:p w:rsidR="00B75F48" w:rsidRPr="00733856" w:rsidRDefault="00B75F48" w:rsidP="004B4303">
      <w:pPr>
        <w:tabs>
          <w:tab w:val="left" w:pos="992"/>
        </w:tabs>
        <w:rPr>
          <w:lang w:val="fr-FR"/>
        </w:rPr>
      </w:pPr>
    </w:p>
    <w:p w:rsidR="00B75F48" w:rsidRPr="00733856" w:rsidRDefault="004B4303" w:rsidP="004B4303">
      <w:pPr>
        <w:pStyle w:val="Header"/>
        <w:tabs>
          <w:tab w:val="left" w:pos="992"/>
        </w:tabs>
        <w:jc w:val="both"/>
      </w:pPr>
      <w:r w:rsidRPr="00733856">
        <w:t>“6.4.2</w:t>
      </w:r>
      <w:r w:rsidRPr="00733856">
        <w:tab/>
      </w:r>
      <w:r w:rsidR="00B552BB" w:rsidRPr="00733856">
        <w:t>Lorsque les essais supplémentaires portent sur des caractères observables de manière visuelle, ils peuvent notamment être réalisés sous forme d</w:t>
      </w:r>
      <w:r w:rsidR="007E244E" w:rsidRPr="00733856">
        <w:t>’</w:t>
      </w:r>
      <w:r w:rsidR="00B552BB" w:rsidRPr="00733856">
        <w:t xml:space="preserve">essais </w:t>
      </w:r>
      <w:r w:rsidR="00D50187" w:rsidRPr="00733856">
        <w:t>‘</w:t>
      </w:r>
      <w:r w:rsidR="00B552BB" w:rsidRPr="00733856">
        <w:t>codés</w:t>
      </w:r>
      <w:r w:rsidR="00D50187" w:rsidRPr="00733856">
        <w:t>’</w:t>
      </w:r>
      <w:r w:rsidRPr="00733856">
        <w:t>.</w:t>
      </w:r>
    </w:p>
    <w:p w:rsidR="00B75F48" w:rsidRPr="00733856" w:rsidRDefault="00B75F48" w:rsidP="004B4303">
      <w:pPr>
        <w:rPr>
          <w:lang w:val="fr-FR"/>
        </w:rPr>
      </w:pPr>
    </w:p>
    <w:p w:rsidR="00B75F48" w:rsidRPr="00733856" w:rsidRDefault="00714357" w:rsidP="00714357">
      <w:pPr>
        <w:pStyle w:val="Header"/>
        <w:tabs>
          <w:tab w:val="left" w:pos="992"/>
        </w:tabs>
        <w:jc w:val="both"/>
      </w:pPr>
      <w:r w:rsidRPr="00733856">
        <w:t xml:space="preserve">6.4.3 </w:t>
      </w:r>
      <w:r w:rsidR="00477192" w:rsidRPr="00733856">
        <w:tab/>
      </w:r>
      <w:r w:rsidRPr="00733856">
        <w:t>Le but d</w:t>
      </w:r>
      <w:r w:rsidR="007E244E" w:rsidRPr="00733856">
        <w:t>’</w:t>
      </w:r>
      <w:r w:rsidRPr="00733856">
        <w:t>un essai codé est d</w:t>
      </w:r>
      <w:r w:rsidR="007E244E" w:rsidRPr="00733856">
        <w:t>’</w:t>
      </w:r>
      <w:r w:rsidRPr="00733856">
        <w:t>examiner la distinction entre deux</w:t>
      </w:r>
      <w:r w:rsidR="00162BE2" w:rsidRPr="00733856">
        <w:t> </w:t>
      </w:r>
      <w:r w:rsidRPr="00733856">
        <w:t>variétés, en rendant les échantillons observés anonymes pendant l</w:t>
      </w:r>
      <w:r w:rsidR="007E244E" w:rsidRPr="00733856">
        <w:t>’</w:t>
      </w:r>
      <w:r w:rsidRPr="00733856">
        <w:t>essai pour éviter tout préjugé possible au cours de l</w:t>
      </w:r>
      <w:r w:rsidR="007E244E" w:rsidRPr="00733856">
        <w:t>’</w:t>
      </w:r>
      <w:r w:rsidRPr="00733856">
        <w:t>observation (l</w:t>
      </w:r>
      <w:r w:rsidR="007E244E" w:rsidRPr="00733856">
        <w:t>’</w:t>
      </w:r>
      <w:r w:rsidRPr="00733856">
        <w:t>identité de la variété de chaque parcelle n</w:t>
      </w:r>
      <w:r w:rsidR="007E244E" w:rsidRPr="00733856">
        <w:t>’</w:t>
      </w:r>
      <w:r w:rsidRPr="00733856">
        <w:t>est donc pas révélée à l</w:t>
      </w:r>
      <w:r w:rsidR="007E244E" w:rsidRPr="00733856">
        <w:t>’</w:t>
      </w:r>
      <w:r w:rsidRPr="00733856">
        <w:t>expert).</w:t>
      </w:r>
      <w:r w:rsidR="004B4303" w:rsidRPr="00733856">
        <w:t xml:space="preserve">  </w:t>
      </w:r>
      <w:r w:rsidRPr="00733856">
        <w:t>Les essais codés permettent de clarifier les situations dans lesquelles la différence entre la variété candidate et la ou les variétés voisines n</w:t>
      </w:r>
      <w:r w:rsidR="007E244E" w:rsidRPr="00733856">
        <w:t>’</w:t>
      </w:r>
      <w:r w:rsidRPr="00733856">
        <w:t>est pas nette.</w:t>
      </w:r>
      <w:r w:rsidR="004B4303" w:rsidRPr="00733856">
        <w:t xml:space="preserve">  </w:t>
      </w:r>
      <w:r w:rsidRPr="00733856">
        <w:t>Un tel essai supplémentaire, mené pendant ou en complément de l</w:t>
      </w:r>
      <w:r w:rsidR="007E244E" w:rsidRPr="00733856">
        <w:t>’</w:t>
      </w:r>
      <w:r w:rsidRPr="00733856">
        <w:t>examen de la distinction, peut fournir les éléments nécessaires pour permettre au service d</w:t>
      </w:r>
      <w:r w:rsidR="007E244E" w:rsidRPr="00733856">
        <w:t>’</w:t>
      </w:r>
      <w:r w:rsidRPr="00733856">
        <w:t>examen de prendre une décision définitive.</w:t>
      </w:r>
    </w:p>
    <w:p w:rsidR="00B75F48" w:rsidRPr="00733856" w:rsidRDefault="00B75F48" w:rsidP="004B4303">
      <w:pPr>
        <w:pStyle w:val="Header"/>
        <w:tabs>
          <w:tab w:val="left" w:pos="992"/>
        </w:tabs>
        <w:jc w:val="both"/>
      </w:pPr>
    </w:p>
    <w:p w:rsidR="00B75F48" w:rsidRPr="00733856" w:rsidRDefault="004B4303" w:rsidP="00477192">
      <w:pPr>
        <w:pStyle w:val="Header"/>
        <w:tabs>
          <w:tab w:val="left" w:pos="992"/>
        </w:tabs>
        <w:jc w:val="both"/>
      </w:pPr>
      <w:r w:rsidRPr="00733856">
        <w:t>“6.4.4</w:t>
      </w:r>
      <w:r w:rsidRPr="00733856">
        <w:tab/>
      </w:r>
      <w:r w:rsidR="00B552BB" w:rsidRPr="00733856">
        <w:t>Voici quelques exemples d</w:t>
      </w:r>
      <w:r w:rsidR="007E244E" w:rsidRPr="00733856">
        <w:t>’</w:t>
      </w:r>
      <w:r w:rsidR="00B552BB" w:rsidRPr="00733856">
        <w:t>application des essais codés :</w:t>
      </w:r>
    </w:p>
    <w:p w:rsidR="00B75F48" w:rsidRPr="00733856" w:rsidRDefault="00B75F48" w:rsidP="004B4303">
      <w:pPr>
        <w:rPr>
          <w:lang w:val="fr-FR"/>
        </w:rPr>
      </w:pPr>
    </w:p>
    <w:p w:rsidR="00B75F48" w:rsidRPr="00733856" w:rsidRDefault="00714357" w:rsidP="00714357">
      <w:pPr>
        <w:pStyle w:val="Header"/>
        <w:tabs>
          <w:tab w:val="left" w:pos="992"/>
        </w:tabs>
        <w:ind w:left="567"/>
        <w:jc w:val="both"/>
      </w:pPr>
      <w:r w:rsidRPr="00733856">
        <w:rPr>
          <w:i/>
        </w:rPr>
        <w:t xml:space="preserve">Variétés en parcelles dans un dispositif randomisé : </w:t>
      </w:r>
      <w:r w:rsidRPr="00733856">
        <w:t>des échantillons répétés d</w:t>
      </w:r>
      <w:r w:rsidR="007E244E" w:rsidRPr="00733856">
        <w:t>’</w:t>
      </w:r>
      <w:r w:rsidRPr="00733856">
        <w:t>une même variété, identifiés par des codes individuels, sont répartis de manière aléatoire au cours de l</w:t>
      </w:r>
      <w:r w:rsidR="007E244E" w:rsidRPr="00733856">
        <w:t>’</w:t>
      </w:r>
      <w:r w:rsidRPr="00733856">
        <w:t>essai.</w:t>
      </w:r>
    </w:p>
    <w:p w:rsidR="00B75F48" w:rsidRPr="00733856" w:rsidRDefault="00B75F48" w:rsidP="004B4303">
      <w:pPr>
        <w:pStyle w:val="Header"/>
        <w:tabs>
          <w:tab w:val="left" w:pos="992"/>
        </w:tabs>
        <w:ind w:left="567"/>
        <w:jc w:val="both"/>
      </w:pPr>
    </w:p>
    <w:p w:rsidR="00B75F48" w:rsidRPr="00733856" w:rsidRDefault="00714357" w:rsidP="00714357">
      <w:pPr>
        <w:pStyle w:val="Header"/>
        <w:tabs>
          <w:tab w:val="left" w:pos="992"/>
        </w:tabs>
        <w:ind w:left="567"/>
        <w:jc w:val="both"/>
      </w:pPr>
      <w:r w:rsidRPr="00733856">
        <w:rPr>
          <w:i/>
        </w:rPr>
        <w:t>Parcelles contenant un mélange de variétés :</w:t>
      </w:r>
      <w:r w:rsidRPr="00733856">
        <w:t xml:space="preserve"> des parcelles sur lesquelles sont plantées plusieurs des variétés examinées sont prises en considération dans l</w:t>
      </w:r>
      <w:r w:rsidR="007E244E" w:rsidRPr="00733856">
        <w:t>’</w:t>
      </w:r>
      <w:r w:rsidRPr="00733856">
        <w:t>essai.</w:t>
      </w:r>
      <w:r w:rsidR="004B4303" w:rsidRPr="00733856">
        <w:t xml:space="preserve">  </w:t>
      </w:r>
      <w:r w:rsidRPr="00733856">
        <w:t>Cela peut être utile pour les variétés reproduites par voie sexuée.</w:t>
      </w:r>
    </w:p>
    <w:p w:rsidR="00B75F48" w:rsidRPr="00733856" w:rsidRDefault="00B75F48" w:rsidP="004B4303">
      <w:pPr>
        <w:pStyle w:val="Header"/>
        <w:tabs>
          <w:tab w:val="left" w:pos="992"/>
        </w:tabs>
        <w:ind w:left="567"/>
        <w:jc w:val="both"/>
      </w:pPr>
    </w:p>
    <w:p w:rsidR="00B75F48" w:rsidRPr="00733856" w:rsidRDefault="00714357" w:rsidP="00714357">
      <w:pPr>
        <w:pStyle w:val="Header"/>
        <w:tabs>
          <w:tab w:val="left" w:pos="992"/>
        </w:tabs>
        <w:ind w:left="567"/>
        <w:jc w:val="both"/>
      </w:pPr>
      <w:r w:rsidRPr="00733856">
        <w:rPr>
          <w:i/>
        </w:rPr>
        <w:t xml:space="preserve">Parties de plantes : </w:t>
      </w:r>
      <w:r w:rsidRPr="00733856">
        <w:t>parties de plantes prélevées de manière aléatoire sur les variétés examinées (par exemple feuilles ou fruits).</w:t>
      </w:r>
    </w:p>
    <w:p w:rsidR="00B75F48" w:rsidRPr="00733856" w:rsidRDefault="00B75F48" w:rsidP="004B4303">
      <w:pPr>
        <w:pStyle w:val="Header"/>
        <w:tabs>
          <w:tab w:val="left" w:pos="992"/>
        </w:tabs>
        <w:jc w:val="both"/>
      </w:pPr>
    </w:p>
    <w:p w:rsidR="00B75F48" w:rsidRPr="00733856" w:rsidRDefault="004B4303" w:rsidP="00714357">
      <w:pPr>
        <w:pStyle w:val="Header"/>
        <w:tabs>
          <w:tab w:val="left" w:pos="992"/>
        </w:tabs>
        <w:jc w:val="both"/>
      </w:pPr>
      <w:r w:rsidRPr="00733856">
        <w:t>“6.4.5</w:t>
      </w:r>
      <w:r w:rsidRPr="00733856">
        <w:tab/>
      </w:r>
      <w:r w:rsidR="00B552BB" w:rsidRPr="00733856">
        <w:t>Le déposant ou l</w:t>
      </w:r>
      <w:r w:rsidR="007E244E" w:rsidRPr="00733856">
        <w:t>’</w:t>
      </w:r>
      <w:r w:rsidR="00B552BB" w:rsidRPr="00733856">
        <w:t>obtenteur peut participer au processus d</w:t>
      </w:r>
      <w:r w:rsidR="007E244E" w:rsidRPr="00733856">
        <w:t>’</w:t>
      </w:r>
      <w:r w:rsidR="00B552BB" w:rsidRPr="00733856">
        <w:t>essai codé</w:t>
      </w:r>
      <w:r w:rsidRPr="00733856">
        <w:t xml:space="preserve">.  </w:t>
      </w:r>
      <w:r w:rsidR="00714357" w:rsidRPr="00733856">
        <w:t>Il peut être invité à assister à l</w:t>
      </w:r>
      <w:r w:rsidR="007E244E" w:rsidRPr="00733856">
        <w:t>’</w:t>
      </w:r>
      <w:r w:rsidR="00714357" w:rsidRPr="00733856">
        <w:t>essai codé, et aussi à identifier les parcelles sur lesquelles est cultivée sa variété.</w:t>
      </w:r>
    </w:p>
    <w:p w:rsidR="00B75F48" w:rsidRPr="00733856" w:rsidRDefault="00B75F48" w:rsidP="004B4303">
      <w:pPr>
        <w:pStyle w:val="Header"/>
        <w:tabs>
          <w:tab w:val="left" w:pos="992"/>
        </w:tabs>
        <w:jc w:val="both"/>
      </w:pPr>
    </w:p>
    <w:p w:rsidR="00B75F48" w:rsidRPr="00733856" w:rsidRDefault="004B4303" w:rsidP="00477192">
      <w:pPr>
        <w:pStyle w:val="Header"/>
        <w:tabs>
          <w:tab w:val="left" w:pos="992"/>
        </w:tabs>
        <w:jc w:val="both"/>
      </w:pPr>
      <w:r w:rsidRPr="00733856">
        <w:t>“6.4.6</w:t>
      </w:r>
      <w:r w:rsidRPr="00733856">
        <w:tab/>
      </w:r>
      <w:r w:rsidR="00B552BB" w:rsidRPr="00733856">
        <w:t>Une variété peut être déclarée distincte à l</w:t>
      </w:r>
      <w:r w:rsidR="007E244E" w:rsidRPr="00733856">
        <w:t>’</w:t>
      </w:r>
      <w:r w:rsidR="00B552BB" w:rsidRPr="00733856">
        <w:t>issue d</w:t>
      </w:r>
      <w:r w:rsidR="007E244E" w:rsidRPr="00733856">
        <w:t>’</w:t>
      </w:r>
      <w:r w:rsidR="00B552BB" w:rsidRPr="00733856">
        <w:t>un essai codé si :</w:t>
      </w:r>
    </w:p>
    <w:p w:rsidR="00B75F48" w:rsidRPr="00733856" w:rsidRDefault="00B75F48" w:rsidP="004B4303">
      <w:pPr>
        <w:rPr>
          <w:lang w:val="fr-FR"/>
        </w:rPr>
      </w:pPr>
    </w:p>
    <w:p w:rsidR="00B75F48" w:rsidRPr="00733856" w:rsidRDefault="00714357" w:rsidP="00477192">
      <w:pPr>
        <w:pStyle w:val="ListParagraph"/>
        <w:numPr>
          <w:ilvl w:val="0"/>
          <w:numId w:val="4"/>
        </w:numPr>
        <w:tabs>
          <w:tab w:val="left" w:pos="992"/>
        </w:tabs>
        <w:ind w:left="1560" w:hanging="567"/>
        <w:rPr>
          <w:lang w:val="fr-FR"/>
        </w:rPr>
      </w:pPr>
      <w:r w:rsidRPr="00733856">
        <w:rPr>
          <w:lang w:val="fr-FR"/>
        </w:rPr>
        <w:t>elle est systématiquement identifiée par l</w:t>
      </w:r>
      <w:r w:rsidR="007E244E" w:rsidRPr="00733856">
        <w:rPr>
          <w:lang w:val="fr-FR"/>
        </w:rPr>
        <w:t>’</w:t>
      </w:r>
      <w:r w:rsidRPr="00733856">
        <w:rPr>
          <w:lang w:val="fr-FR"/>
        </w:rPr>
        <w:t>expert et par l</w:t>
      </w:r>
      <w:r w:rsidR="007E244E" w:rsidRPr="00733856">
        <w:rPr>
          <w:lang w:val="fr-FR"/>
        </w:rPr>
        <w:t>’</w:t>
      </w:r>
      <w:r w:rsidRPr="00733856">
        <w:rPr>
          <w:lang w:val="fr-FR"/>
        </w:rPr>
        <w:t>obtenteur ou le déposant;  et</w:t>
      </w:r>
    </w:p>
    <w:p w:rsidR="00B75F48" w:rsidRPr="00733856" w:rsidRDefault="00B75F48" w:rsidP="004B4303">
      <w:pPr>
        <w:rPr>
          <w:lang w:val="fr-FR"/>
        </w:rPr>
      </w:pPr>
    </w:p>
    <w:p w:rsidR="00B75F48" w:rsidRPr="00733856" w:rsidRDefault="00714357" w:rsidP="00477192">
      <w:pPr>
        <w:pStyle w:val="ListParagraph"/>
        <w:numPr>
          <w:ilvl w:val="0"/>
          <w:numId w:val="4"/>
        </w:numPr>
        <w:tabs>
          <w:tab w:val="left" w:pos="992"/>
        </w:tabs>
        <w:ind w:left="1560" w:hanging="567"/>
        <w:rPr>
          <w:lang w:val="fr-FR"/>
        </w:rPr>
      </w:pPr>
      <w:r w:rsidRPr="00733856">
        <w:rPr>
          <w:lang w:val="fr-FR"/>
        </w:rPr>
        <w:t>elle présente une différence pouvant être considérée comme nette pour le caractère observé.</w:t>
      </w:r>
    </w:p>
    <w:p w:rsidR="00B75F48" w:rsidRPr="00733856" w:rsidRDefault="00B75F48" w:rsidP="004B4303">
      <w:pPr>
        <w:rPr>
          <w:lang w:val="fr-FR"/>
        </w:rPr>
      </w:pPr>
    </w:p>
    <w:p w:rsidR="00B75F48" w:rsidRPr="00733856" w:rsidRDefault="004B4303" w:rsidP="00477192">
      <w:pPr>
        <w:pStyle w:val="Header"/>
        <w:tabs>
          <w:tab w:val="left" w:pos="992"/>
        </w:tabs>
        <w:jc w:val="both"/>
      </w:pPr>
      <w:r w:rsidRPr="00733856">
        <w:t>“6.4.7</w:t>
      </w:r>
      <w:r w:rsidRPr="00733856">
        <w:tab/>
      </w:r>
      <w:r w:rsidR="00B552BB" w:rsidRPr="00733856">
        <w:t>Le service d</w:t>
      </w:r>
      <w:r w:rsidR="007E244E" w:rsidRPr="00733856">
        <w:t>’</w:t>
      </w:r>
      <w:r w:rsidR="00B552BB" w:rsidRPr="00733856">
        <w:t>examen rend dans tous les cas une décision en ce qui concerne la distinction</w:t>
      </w:r>
      <w:r w:rsidRPr="00733856">
        <w:t>.”</w:t>
      </w:r>
    </w:p>
    <w:p w:rsidR="00B75F48" w:rsidRPr="00733856" w:rsidRDefault="00B75F48" w:rsidP="004B4303">
      <w:pPr>
        <w:rPr>
          <w:lang w:val="fr-FR"/>
        </w:rPr>
      </w:pPr>
    </w:p>
    <w:p w:rsidR="00B75F48" w:rsidRPr="00733856" w:rsidRDefault="00B75F48" w:rsidP="004B4303">
      <w:pPr>
        <w:rPr>
          <w:lang w:val="fr-FR"/>
        </w:rPr>
      </w:pPr>
    </w:p>
    <w:p w:rsidR="00B75F48" w:rsidRPr="00733856" w:rsidRDefault="00714357" w:rsidP="00714357">
      <w:pPr>
        <w:autoSpaceDE w:val="0"/>
        <w:autoSpaceDN w:val="0"/>
        <w:adjustRightInd w:val="0"/>
        <w:rPr>
          <w:rFonts w:eastAsia="MS Mincho"/>
          <w:szCs w:val="24"/>
          <w:lang w:val="fr-FR" w:eastAsia="ja-JP"/>
        </w:rPr>
      </w:pPr>
      <w:r w:rsidRPr="00733856">
        <w:rPr>
          <w:rFonts w:eastAsia="MS Mincho"/>
          <w:szCs w:val="24"/>
          <w:lang w:val="fr-FR" w:eastAsia="ja-JP"/>
        </w:rPr>
        <w:t>EXTR</w:t>
      </w:r>
      <w:r w:rsidR="00477192" w:rsidRPr="00733856">
        <w:rPr>
          <w:rFonts w:eastAsia="MS Mincho"/>
          <w:szCs w:val="24"/>
          <w:lang w:val="fr-FR" w:eastAsia="ja-JP"/>
        </w:rPr>
        <w:t>AIT DU DOCUMENT TGP/8/1 : PREMIÈ</w:t>
      </w:r>
      <w:r w:rsidRPr="00733856">
        <w:rPr>
          <w:rFonts w:eastAsia="MS Mincho"/>
          <w:szCs w:val="24"/>
          <w:lang w:val="fr-FR" w:eastAsia="ja-JP"/>
        </w:rPr>
        <w:t xml:space="preserve">RE PARTIE : PROTOCOLE </w:t>
      </w:r>
      <w:r w:rsidR="00477192" w:rsidRPr="00733856">
        <w:rPr>
          <w:rFonts w:eastAsia="MS Mincho"/>
          <w:szCs w:val="24"/>
          <w:lang w:val="fr-FR" w:eastAsia="ja-JP"/>
        </w:rPr>
        <w:t>D</w:t>
      </w:r>
      <w:r w:rsidR="007E244E" w:rsidRPr="00733856">
        <w:rPr>
          <w:rFonts w:eastAsia="MS Mincho"/>
          <w:szCs w:val="24"/>
          <w:lang w:val="fr-FR" w:eastAsia="ja-JP"/>
        </w:rPr>
        <w:t>’</w:t>
      </w:r>
      <w:r w:rsidR="00477192" w:rsidRPr="00733856">
        <w:rPr>
          <w:rFonts w:eastAsia="MS Mincho"/>
          <w:szCs w:val="24"/>
          <w:lang w:val="fr-FR" w:eastAsia="ja-JP"/>
        </w:rPr>
        <w:t>ESSAI DHS ET ANALYSE DES DONNÉES</w:t>
      </w:r>
      <w:r w:rsidR="00B552BB" w:rsidRPr="00733856">
        <w:rPr>
          <w:rFonts w:eastAsia="MS Mincho"/>
          <w:szCs w:val="24"/>
          <w:lang w:val="fr-FR" w:eastAsia="ja-JP"/>
        </w:rPr>
        <w:t> :</w:t>
      </w:r>
      <w:r w:rsidR="00477192" w:rsidRPr="00733856">
        <w:rPr>
          <w:rFonts w:eastAsia="MS Mincho"/>
          <w:szCs w:val="24"/>
          <w:lang w:val="fr-FR" w:eastAsia="ja-JP"/>
        </w:rPr>
        <w:t xml:space="preserve"> SECTION 1.5.3.4 “ESSAIS ALÉ</w:t>
      </w:r>
      <w:r w:rsidRPr="00733856">
        <w:rPr>
          <w:rFonts w:eastAsia="MS Mincho"/>
          <w:szCs w:val="24"/>
          <w:lang w:val="fr-FR" w:eastAsia="ja-JP"/>
        </w:rPr>
        <w:t xml:space="preserve">ATOIRES </w:t>
      </w:r>
      <w:r w:rsidR="00477192" w:rsidRPr="00733856">
        <w:rPr>
          <w:rFonts w:eastAsia="MS Mincho"/>
          <w:szCs w:val="24"/>
          <w:lang w:val="fr-FR" w:eastAsia="ja-JP"/>
        </w:rPr>
        <w:t>À</w:t>
      </w:r>
      <w:r w:rsidRPr="00733856">
        <w:rPr>
          <w:rFonts w:eastAsia="MS Mincho"/>
          <w:szCs w:val="24"/>
          <w:lang w:val="fr-FR" w:eastAsia="ja-JP"/>
        </w:rPr>
        <w:t xml:space="preserve"> L</w:t>
      </w:r>
      <w:r w:rsidR="007E244E" w:rsidRPr="00733856">
        <w:rPr>
          <w:rFonts w:eastAsia="MS Mincho"/>
          <w:szCs w:val="24"/>
          <w:lang w:val="fr-FR" w:eastAsia="ja-JP"/>
        </w:rPr>
        <w:t>’</w:t>
      </w:r>
      <w:r w:rsidRPr="00733856">
        <w:rPr>
          <w:rFonts w:eastAsia="MS Mincho"/>
          <w:szCs w:val="24"/>
          <w:lang w:val="fr-FR" w:eastAsia="ja-JP"/>
        </w:rPr>
        <w:t>AVEUGLE”</w:t>
      </w:r>
    </w:p>
    <w:p w:rsidR="00B75F48" w:rsidRPr="00733856" w:rsidRDefault="00B75F48" w:rsidP="004B4303">
      <w:pPr>
        <w:rPr>
          <w:lang w:val="fr-FR"/>
        </w:rPr>
      </w:pPr>
    </w:p>
    <w:p w:rsidR="00B75F48" w:rsidRPr="00733856" w:rsidRDefault="00A5375C" w:rsidP="00714357">
      <w:pPr>
        <w:rPr>
          <w:u w:val="single"/>
          <w:lang w:val="fr-FR"/>
        </w:rPr>
      </w:pPr>
      <w:r w:rsidRPr="00733856">
        <w:rPr>
          <w:u w:val="single"/>
          <w:lang w:val="fr-FR"/>
        </w:rPr>
        <w:t>“</w:t>
      </w:r>
      <w:r w:rsidR="00714357" w:rsidRPr="00733856">
        <w:rPr>
          <w:u w:val="single"/>
          <w:lang w:val="fr-FR"/>
        </w:rPr>
        <w:t>1.5.3.4</w:t>
      </w:r>
      <w:r w:rsidR="00714357" w:rsidRPr="00733856">
        <w:rPr>
          <w:lang w:val="fr-FR"/>
        </w:rPr>
        <w:t xml:space="preserve"> </w:t>
      </w:r>
      <w:r w:rsidR="00477192" w:rsidRPr="00733856">
        <w:rPr>
          <w:lang w:val="fr-FR"/>
        </w:rPr>
        <w:tab/>
      </w:r>
      <w:r w:rsidR="00714357" w:rsidRPr="00733856">
        <w:rPr>
          <w:u w:val="single"/>
          <w:lang w:val="fr-FR"/>
        </w:rPr>
        <w:t>Essais aléatoires à l</w:t>
      </w:r>
      <w:r w:rsidR="007E244E" w:rsidRPr="00733856">
        <w:rPr>
          <w:u w:val="single"/>
          <w:lang w:val="fr-FR"/>
        </w:rPr>
        <w:t>’</w:t>
      </w:r>
      <w:r w:rsidR="00714357" w:rsidRPr="00733856">
        <w:rPr>
          <w:u w:val="single"/>
          <w:lang w:val="fr-FR"/>
        </w:rPr>
        <w:t>aveugle</w:t>
      </w:r>
    </w:p>
    <w:p w:rsidR="00B75F48" w:rsidRPr="00733856" w:rsidRDefault="00B75F48" w:rsidP="004B4303">
      <w:pPr>
        <w:ind w:right="9"/>
        <w:rPr>
          <w:lang w:val="fr-FR"/>
        </w:rPr>
      </w:pPr>
    </w:p>
    <w:p w:rsidR="007E244E" w:rsidRPr="00733856" w:rsidRDefault="00477192" w:rsidP="00714357">
      <w:pPr>
        <w:pStyle w:val="BodyTextIndent"/>
        <w:tabs>
          <w:tab w:val="left" w:pos="1080"/>
        </w:tabs>
        <w:ind w:left="0" w:right="9"/>
        <w:rPr>
          <w:rFonts w:ascii="Arial" w:hAnsi="Arial" w:cs="Arial"/>
          <w:sz w:val="20"/>
          <w:lang w:val="fr-FR"/>
        </w:rPr>
      </w:pPr>
      <w:r w:rsidRPr="00733856">
        <w:rPr>
          <w:rFonts w:ascii="Arial" w:hAnsi="Arial" w:cs="Arial"/>
          <w:sz w:val="20"/>
          <w:lang w:val="fr-FR"/>
        </w:rPr>
        <w:t>“</w:t>
      </w:r>
      <w:r w:rsidR="00714357" w:rsidRPr="00733856">
        <w:rPr>
          <w:rFonts w:ascii="Arial" w:hAnsi="Arial" w:cs="Arial"/>
          <w:sz w:val="20"/>
          <w:lang w:val="fr-FR"/>
        </w:rPr>
        <w:t>1.5.3.4.1</w:t>
      </w:r>
      <w:r w:rsidR="00714357" w:rsidRPr="00733856">
        <w:rPr>
          <w:rFonts w:ascii="Arial" w:hAnsi="Arial" w:cs="Arial"/>
          <w:sz w:val="20"/>
          <w:lang w:val="fr-FR"/>
        </w:rPr>
        <w:tab/>
        <w:t>Une partie d</w:t>
      </w:r>
      <w:r w:rsidR="007E244E" w:rsidRPr="00733856">
        <w:rPr>
          <w:rFonts w:ascii="Arial" w:hAnsi="Arial" w:cs="Arial"/>
          <w:sz w:val="20"/>
          <w:lang w:val="fr-FR"/>
        </w:rPr>
        <w:t>’</w:t>
      </w:r>
      <w:r w:rsidR="00714357" w:rsidRPr="00733856">
        <w:rPr>
          <w:rFonts w:ascii="Arial" w:hAnsi="Arial" w:cs="Arial"/>
          <w:sz w:val="20"/>
          <w:lang w:val="fr-FR"/>
        </w:rPr>
        <w:t>un essai peut consister à semer des parcelles spécifiquement pour y e</w:t>
      </w:r>
      <w:r w:rsidR="00D50187" w:rsidRPr="00733856">
        <w:rPr>
          <w:rFonts w:ascii="Arial" w:hAnsi="Arial" w:cs="Arial"/>
          <w:sz w:val="20"/>
          <w:lang w:val="fr-FR"/>
        </w:rPr>
        <w:t>ffectuer des essais aléatoires ‘</w:t>
      </w:r>
      <w:r w:rsidR="00714357" w:rsidRPr="00733856">
        <w:rPr>
          <w:rFonts w:ascii="Arial" w:hAnsi="Arial" w:cs="Arial"/>
          <w:sz w:val="20"/>
          <w:lang w:val="fr-FR"/>
        </w:rPr>
        <w:t>à l</w:t>
      </w:r>
      <w:r w:rsidR="007E244E" w:rsidRPr="00733856">
        <w:rPr>
          <w:rFonts w:ascii="Arial" w:hAnsi="Arial" w:cs="Arial"/>
          <w:sz w:val="20"/>
          <w:lang w:val="fr-FR"/>
        </w:rPr>
        <w:t>’</w:t>
      </w:r>
      <w:r w:rsidR="00714357" w:rsidRPr="00733856">
        <w:rPr>
          <w:rFonts w:ascii="Arial" w:hAnsi="Arial" w:cs="Arial"/>
          <w:sz w:val="20"/>
          <w:lang w:val="fr-FR"/>
        </w:rPr>
        <w:t>aveugle</w:t>
      </w:r>
      <w:r w:rsidR="00D50187" w:rsidRPr="00733856">
        <w:rPr>
          <w:rFonts w:ascii="Arial" w:hAnsi="Arial" w:cs="Arial"/>
          <w:sz w:val="20"/>
          <w:lang w:val="fr-FR"/>
        </w:rPr>
        <w:t>’</w:t>
      </w:r>
      <w:r w:rsidR="00714357" w:rsidRPr="00733856">
        <w:rPr>
          <w:rFonts w:ascii="Arial" w:hAnsi="Arial" w:cs="Arial"/>
          <w:sz w:val="20"/>
          <w:lang w:val="fr-FR"/>
        </w:rPr>
        <w:t xml:space="preserve"> comme des parcelles contenant des plantes des deux</w:t>
      </w:r>
      <w:r w:rsidR="00162BE2" w:rsidRPr="00733856">
        <w:rPr>
          <w:rFonts w:ascii="Arial" w:hAnsi="Arial" w:cs="Arial"/>
          <w:sz w:val="20"/>
          <w:lang w:val="fr-FR"/>
        </w:rPr>
        <w:t> </w:t>
      </w:r>
      <w:r w:rsidR="00714357" w:rsidRPr="00733856">
        <w:rPr>
          <w:rFonts w:ascii="Arial" w:hAnsi="Arial" w:cs="Arial"/>
          <w:sz w:val="20"/>
          <w:lang w:val="fr-FR"/>
        </w:rPr>
        <w:t>variétés entre lesquelles il faut faire une distinction, les plantes étant semées dans un ordre aléatoire mais connu ou comme un mélange de pots avec deux</w:t>
      </w:r>
      <w:r w:rsidR="00162BE2" w:rsidRPr="00733856">
        <w:rPr>
          <w:rFonts w:ascii="Arial" w:hAnsi="Arial" w:cs="Arial"/>
          <w:sz w:val="20"/>
          <w:lang w:val="fr-FR"/>
        </w:rPr>
        <w:t> </w:t>
      </w:r>
      <w:r w:rsidR="00714357" w:rsidRPr="00733856">
        <w:rPr>
          <w:rFonts w:ascii="Arial" w:hAnsi="Arial" w:cs="Arial"/>
          <w:sz w:val="20"/>
          <w:lang w:val="fr-FR"/>
        </w:rPr>
        <w:t>variétés dans une serre.</w:t>
      </w:r>
      <w:r w:rsidR="004B4303" w:rsidRPr="00733856">
        <w:rPr>
          <w:rFonts w:ascii="Arial" w:hAnsi="Arial"/>
          <w:sz w:val="20"/>
          <w:lang w:val="fr-FR"/>
        </w:rPr>
        <w:t xml:space="preserve">  </w:t>
      </w:r>
      <w:r w:rsidR="00714357" w:rsidRPr="00733856">
        <w:rPr>
          <w:rFonts w:ascii="Arial" w:hAnsi="Arial" w:cs="Arial"/>
          <w:sz w:val="20"/>
          <w:lang w:val="fr-FR"/>
        </w:rPr>
        <w:t>Les deux variétés comprennent la variété candidate et la variété avec laquelle la distinction de la variété candidate est contestée.</w:t>
      </w:r>
      <w:r w:rsidR="004B4303" w:rsidRPr="00733856">
        <w:rPr>
          <w:rFonts w:ascii="Arial" w:hAnsi="Arial"/>
          <w:sz w:val="20"/>
          <w:lang w:val="fr-FR"/>
        </w:rPr>
        <w:t xml:space="preserve">  </w:t>
      </w:r>
      <w:r w:rsidR="00714357" w:rsidRPr="00733856">
        <w:rPr>
          <w:rFonts w:ascii="Arial" w:hAnsi="Arial" w:cs="Arial"/>
          <w:sz w:val="20"/>
          <w:lang w:val="fr-FR"/>
        </w:rPr>
        <w:t xml:space="preserve">Le principe des essais aléatoires </w:t>
      </w:r>
      <w:r w:rsidR="00D50187" w:rsidRPr="00733856">
        <w:rPr>
          <w:rFonts w:ascii="Arial" w:hAnsi="Arial" w:cs="Arial"/>
          <w:sz w:val="20"/>
          <w:lang w:val="fr-FR"/>
        </w:rPr>
        <w:lastRenderedPageBreak/>
        <w:t>‘</w:t>
      </w:r>
      <w:r w:rsidR="00714357" w:rsidRPr="00733856">
        <w:rPr>
          <w:rFonts w:ascii="Arial" w:hAnsi="Arial" w:cs="Arial"/>
          <w:sz w:val="20"/>
          <w:lang w:val="fr-FR"/>
        </w:rPr>
        <w:t>à l</w:t>
      </w:r>
      <w:r w:rsidR="007E244E" w:rsidRPr="00733856">
        <w:rPr>
          <w:rFonts w:ascii="Arial" w:hAnsi="Arial" w:cs="Arial"/>
          <w:sz w:val="20"/>
          <w:lang w:val="fr-FR"/>
        </w:rPr>
        <w:t>’</w:t>
      </w:r>
      <w:r w:rsidR="00714357" w:rsidRPr="00733856">
        <w:rPr>
          <w:rFonts w:ascii="Arial" w:hAnsi="Arial" w:cs="Arial"/>
          <w:sz w:val="20"/>
          <w:lang w:val="fr-FR"/>
        </w:rPr>
        <w:t>aveugle</w:t>
      </w:r>
      <w:r w:rsidR="00D50187" w:rsidRPr="00733856">
        <w:rPr>
          <w:rFonts w:ascii="Arial" w:hAnsi="Arial" w:cs="Arial"/>
          <w:sz w:val="20"/>
          <w:lang w:val="fr-FR"/>
        </w:rPr>
        <w:t>’</w:t>
      </w:r>
      <w:r w:rsidR="00714357" w:rsidRPr="00733856">
        <w:rPr>
          <w:rFonts w:ascii="Arial" w:hAnsi="Arial" w:cs="Arial"/>
          <w:sz w:val="20"/>
          <w:lang w:val="fr-FR"/>
        </w:rPr>
        <w:t xml:space="preserve"> est que les plantes sont présentées à un juge, parfois l</w:t>
      </w:r>
      <w:r w:rsidR="007E244E" w:rsidRPr="00733856">
        <w:rPr>
          <w:rFonts w:ascii="Arial" w:hAnsi="Arial" w:cs="Arial"/>
          <w:sz w:val="20"/>
          <w:lang w:val="fr-FR"/>
        </w:rPr>
        <w:t>’</w:t>
      </w:r>
      <w:r w:rsidR="00714357" w:rsidRPr="00733856">
        <w:rPr>
          <w:rFonts w:ascii="Arial" w:hAnsi="Arial" w:cs="Arial"/>
          <w:sz w:val="20"/>
          <w:lang w:val="fr-FR"/>
        </w:rPr>
        <w:t>obtenteur, qui est invité à dire plante par plante celle qui est la variété candidate et celle qui est l</w:t>
      </w:r>
      <w:r w:rsidR="007E244E" w:rsidRPr="00733856">
        <w:rPr>
          <w:rFonts w:ascii="Arial" w:hAnsi="Arial" w:cs="Arial"/>
          <w:sz w:val="20"/>
          <w:lang w:val="fr-FR"/>
        </w:rPr>
        <w:t>’</w:t>
      </w:r>
      <w:r w:rsidR="00714357" w:rsidRPr="00733856">
        <w:rPr>
          <w:rFonts w:ascii="Arial" w:hAnsi="Arial" w:cs="Arial"/>
          <w:sz w:val="20"/>
          <w:lang w:val="fr-FR"/>
        </w:rPr>
        <w:t>autre variété.</w:t>
      </w:r>
    </w:p>
    <w:p w:rsidR="00B75F48" w:rsidRPr="00733856" w:rsidRDefault="00B75F48" w:rsidP="004B4303">
      <w:pPr>
        <w:pStyle w:val="BodyTextIndent"/>
        <w:ind w:left="0" w:right="9"/>
        <w:rPr>
          <w:rFonts w:ascii="Arial" w:hAnsi="Arial" w:cs="Arial"/>
          <w:sz w:val="20"/>
          <w:lang w:val="fr-FR"/>
        </w:rPr>
      </w:pPr>
    </w:p>
    <w:p w:rsidR="00B75F48" w:rsidRPr="00733856" w:rsidRDefault="00477192" w:rsidP="00714357">
      <w:pPr>
        <w:pStyle w:val="BodyTextIndent"/>
        <w:tabs>
          <w:tab w:val="left" w:pos="1200"/>
        </w:tabs>
        <w:ind w:left="0" w:right="9"/>
        <w:rPr>
          <w:rFonts w:ascii="Arial" w:hAnsi="Arial" w:cs="Arial"/>
          <w:sz w:val="20"/>
          <w:lang w:val="fr-FR"/>
        </w:rPr>
      </w:pPr>
      <w:r w:rsidRPr="00733856">
        <w:rPr>
          <w:rFonts w:ascii="Arial" w:hAnsi="Arial" w:cs="Arial"/>
          <w:sz w:val="20"/>
          <w:lang w:val="fr-FR"/>
        </w:rPr>
        <w:t>“</w:t>
      </w:r>
      <w:r w:rsidR="00714357" w:rsidRPr="00733856">
        <w:rPr>
          <w:rFonts w:ascii="Arial" w:hAnsi="Arial" w:cs="Arial"/>
          <w:sz w:val="20"/>
          <w:lang w:val="fr-FR"/>
        </w:rPr>
        <w:t>1.5.3.4.2</w:t>
      </w:r>
      <w:r w:rsidR="00714357" w:rsidRPr="00733856">
        <w:rPr>
          <w:rFonts w:ascii="Arial" w:hAnsi="Arial" w:cs="Arial"/>
          <w:sz w:val="20"/>
          <w:lang w:val="fr-FR"/>
        </w:rPr>
        <w:tab/>
        <w:t xml:space="preserve">À cette fin, les plantes doivent être </w:t>
      </w:r>
      <w:r w:rsidR="00A5375C" w:rsidRPr="00733856">
        <w:rPr>
          <w:rFonts w:ascii="Arial" w:hAnsi="Arial" w:cs="Arial"/>
          <w:sz w:val="20"/>
          <w:lang w:val="fr-FR"/>
        </w:rPr>
        <w:t>présentées</w:t>
      </w:r>
      <w:r w:rsidR="00714357" w:rsidRPr="00733856">
        <w:rPr>
          <w:rFonts w:ascii="Arial" w:hAnsi="Arial" w:cs="Arial"/>
          <w:sz w:val="20"/>
          <w:lang w:val="fr-FR"/>
        </w:rPr>
        <w:t xml:space="preserve"> ou semées dans un ordre aléatoire mais, pour que l</w:t>
      </w:r>
      <w:r w:rsidR="007E244E" w:rsidRPr="00733856">
        <w:rPr>
          <w:rFonts w:ascii="Arial" w:hAnsi="Arial" w:cs="Arial"/>
          <w:sz w:val="20"/>
          <w:lang w:val="fr-FR"/>
        </w:rPr>
        <w:t>’</w:t>
      </w:r>
      <w:r w:rsidR="00714357" w:rsidRPr="00733856">
        <w:rPr>
          <w:rFonts w:ascii="Arial" w:hAnsi="Arial" w:cs="Arial"/>
          <w:sz w:val="20"/>
          <w:lang w:val="fr-FR"/>
        </w:rPr>
        <w:t>examinateur sache de quelle variété il s</w:t>
      </w:r>
      <w:r w:rsidR="007E244E" w:rsidRPr="00733856">
        <w:rPr>
          <w:rFonts w:ascii="Arial" w:hAnsi="Arial" w:cs="Arial"/>
          <w:sz w:val="20"/>
          <w:lang w:val="fr-FR"/>
        </w:rPr>
        <w:t>’</w:t>
      </w:r>
      <w:r w:rsidR="00714357" w:rsidRPr="00733856">
        <w:rPr>
          <w:rFonts w:ascii="Arial" w:hAnsi="Arial" w:cs="Arial"/>
          <w:sz w:val="20"/>
          <w:lang w:val="fr-FR"/>
        </w:rPr>
        <w:t>agit, le juge évalue chaque plante et l</w:t>
      </w:r>
      <w:r w:rsidR="007E244E" w:rsidRPr="00733856">
        <w:rPr>
          <w:rFonts w:ascii="Arial" w:hAnsi="Arial" w:cs="Arial"/>
          <w:sz w:val="20"/>
          <w:lang w:val="fr-FR"/>
        </w:rPr>
        <w:t>’</w:t>
      </w:r>
      <w:r w:rsidR="00714357" w:rsidRPr="00733856">
        <w:rPr>
          <w:rFonts w:ascii="Arial" w:hAnsi="Arial" w:cs="Arial"/>
          <w:sz w:val="20"/>
          <w:lang w:val="fr-FR"/>
        </w:rPr>
        <w:t>examinateur compte le nombre de fois que les différentes variétés sont correctement identifiées.</w:t>
      </w:r>
      <w:r w:rsidR="004B4303" w:rsidRPr="00733856">
        <w:rPr>
          <w:rFonts w:ascii="Arial" w:hAnsi="Arial"/>
          <w:sz w:val="20"/>
          <w:lang w:val="fr-FR"/>
        </w:rPr>
        <w:t xml:space="preserve">  </w:t>
      </w:r>
      <w:r w:rsidR="00D50187" w:rsidRPr="00733856">
        <w:rPr>
          <w:rFonts w:ascii="Arial" w:hAnsi="Arial" w:cs="Arial"/>
          <w:sz w:val="20"/>
          <w:lang w:val="fr-FR"/>
        </w:rPr>
        <w:t>Pour renforcer la ‘</w:t>
      </w:r>
      <w:r w:rsidR="00714357" w:rsidRPr="00733856">
        <w:rPr>
          <w:rFonts w:ascii="Arial" w:hAnsi="Arial" w:cs="Arial"/>
          <w:sz w:val="20"/>
          <w:lang w:val="fr-FR"/>
        </w:rPr>
        <w:t>cécité</w:t>
      </w:r>
      <w:r w:rsidR="00D50187" w:rsidRPr="00733856">
        <w:rPr>
          <w:rFonts w:ascii="Arial" w:hAnsi="Arial" w:cs="Arial"/>
          <w:sz w:val="20"/>
          <w:lang w:val="fr-FR"/>
        </w:rPr>
        <w:t>’</w:t>
      </w:r>
      <w:r w:rsidR="00714357" w:rsidRPr="00733856">
        <w:rPr>
          <w:rFonts w:ascii="Arial" w:hAnsi="Arial" w:cs="Arial"/>
          <w:sz w:val="20"/>
          <w:lang w:val="fr-FR"/>
        </w:rPr>
        <w:t xml:space="preserve"> de l</w:t>
      </w:r>
      <w:r w:rsidR="007E244E" w:rsidRPr="00733856">
        <w:rPr>
          <w:rFonts w:ascii="Arial" w:hAnsi="Arial" w:cs="Arial"/>
          <w:sz w:val="20"/>
          <w:lang w:val="fr-FR"/>
        </w:rPr>
        <w:t>’</w:t>
      </w:r>
      <w:r w:rsidR="00714357" w:rsidRPr="00733856">
        <w:rPr>
          <w:rFonts w:ascii="Arial" w:hAnsi="Arial" w:cs="Arial"/>
          <w:sz w:val="20"/>
          <w:lang w:val="fr-FR"/>
        </w:rPr>
        <w:t>essai, on présente au juge un nombre différent de plantes de chacune des deux variétés, par exemple 51 de la variété candidate et 69 de l</w:t>
      </w:r>
      <w:r w:rsidR="007E244E" w:rsidRPr="00733856">
        <w:rPr>
          <w:rFonts w:ascii="Arial" w:hAnsi="Arial" w:cs="Arial"/>
          <w:sz w:val="20"/>
          <w:lang w:val="fr-FR"/>
        </w:rPr>
        <w:t>’</w:t>
      </w:r>
      <w:r w:rsidR="00714357" w:rsidRPr="00733856">
        <w:rPr>
          <w:rFonts w:ascii="Arial" w:hAnsi="Arial" w:cs="Arial"/>
          <w:sz w:val="20"/>
          <w:lang w:val="fr-FR"/>
        </w:rPr>
        <w:t>autre au lieu de 60 de chacune.</w:t>
      </w:r>
      <w:r w:rsidR="004B4303" w:rsidRPr="00733856">
        <w:rPr>
          <w:rFonts w:ascii="Arial" w:hAnsi="Arial"/>
          <w:sz w:val="20"/>
          <w:lang w:val="fr-FR"/>
        </w:rPr>
        <w:t xml:space="preserve">  </w:t>
      </w:r>
      <w:r w:rsidR="00714357" w:rsidRPr="00733856">
        <w:rPr>
          <w:rFonts w:ascii="Arial" w:hAnsi="Arial" w:cs="Arial"/>
          <w:sz w:val="20"/>
          <w:lang w:val="fr-FR"/>
        </w:rPr>
        <w:t>Étant donné qu</w:t>
      </w:r>
      <w:r w:rsidR="007E244E" w:rsidRPr="00733856">
        <w:rPr>
          <w:rFonts w:ascii="Arial" w:hAnsi="Arial" w:cs="Arial"/>
          <w:sz w:val="20"/>
          <w:lang w:val="fr-FR"/>
        </w:rPr>
        <w:t>’</w:t>
      </w:r>
      <w:r w:rsidR="00714357" w:rsidRPr="00733856">
        <w:rPr>
          <w:rFonts w:ascii="Arial" w:hAnsi="Arial" w:cs="Arial"/>
          <w:sz w:val="20"/>
          <w:lang w:val="fr-FR"/>
        </w:rPr>
        <w:t>il peut se produire des différences à différents stades de croissance, le juge peut évaluer les plantes plus d</w:t>
      </w:r>
      <w:r w:rsidR="007E244E" w:rsidRPr="00733856">
        <w:rPr>
          <w:rFonts w:ascii="Arial" w:hAnsi="Arial" w:cs="Arial"/>
          <w:sz w:val="20"/>
          <w:lang w:val="fr-FR"/>
        </w:rPr>
        <w:t>’</w:t>
      </w:r>
      <w:r w:rsidR="00714357" w:rsidRPr="00733856">
        <w:rPr>
          <w:rFonts w:ascii="Arial" w:hAnsi="Arial" w:cs="Arial"/>
          <w:sz w:val="20"/>
          <w:lang w:val="fr-FR"/>
        </w:rPr>
        <w:t>une fois.”</w:t>
      </w:r>
    </w:p>
    <w:p w:rsidR="00B75F48" w:rsidRPr="00733856" w:rsidRDefault="00B75F48" w:rsidP="004B4303">
      <w:pPr>
        <w:rPr>
          <w:lang w:val="fr-FR"/>
        </w:rPr>
      </w:pPr>
    </w:p>
    <w:p w:rsidR="00B75F48" w:rsidRPr="00733856" w:rsidRDefault="00B75F48" w:rsidP="004B4303">
      <w:pPr>
        <w:jc w:val="right"/>
        <w:rPr>
          <w:lang w:val="fr-FR"/>
        </w:rPr>
      </w:pPr>
    </w:p>
    <w:p w:rsidR="00B75F48" w:rsidRPr="00733856" w:rsidRDefault="00B75F48" w:rsidP="004B4303">
      <w:pPr>
        <w:jc w:val="right"/>
        <w:rPr>
          <w:lang w:val="fr-FR"/>
        </w:rPr>
      </w:pPr>
    </w:p>
    <w:p w:rsidR="00B75F48" w:rsidRPr="00733856" w:rsidRDefault="00714357" w:rsidP="00714357">
      <w:pPr>
        <w:jc w:val="right"/>
        <w:rPr>
          <w:lang w:val="fr-FR"/>
        </w:rPr>
      </w:pPr>
      <w:r w:rsidRPr="00733856">
        <w:rPr>
          <w:lang w:val="fr-FR"/>
        </w:rPr>
        <w:t>[Fin de l</w:t>
      </w:r>
      <w:r w:rsidR="007E244E" w:rsidRPr="00733856">
        <w:rPr>
          <w:lang w:val="fr-FR"/>
        </w:rPr>
        <w:t>’</w:t>
      </w:r>
      <w:r w:rsidRPr="00733856">
        <w:rPr>
          <w:lang w:val="fr-FR"/>
        </w:rPr>
        <w:t>annexe</w:t>
      </w:r>
      <w:r w:rsidR="00162BE2" w:rsidRPr="00733856">
        <w:rPr>
          <w:lang w:val="fr-FR"/>
        </w:rPr>
        <w:t> </w:t>
      </w:r>
      <w:r w:rsidRPr="00733856">
        <w:rPr>
          <w:lang w:val="fr-FR"/>
        </w:rPr>
        <w:t>II et du document]</w:t>
      </w:r>
    </w:p>
    <w:p w:rsidR="004B4303" w:rsidRPr="00733856" w:rsidRDefault="004B4303" w:rsidP="004B4303">
      <w:pPr>
        <w:jc w:val="right"/>
        <w:rPr>
          <w:lang w:val="fr-FR"/>
        </w:rPr>
      </w:pPr>
    </w:p>
    <w:sectPr w:rsidR="004B4303" w:rsidRPr="00733856" w:rsidSect="00767120">
      <w:headerReference w:type="default" r:id="rId14"/>
      <w:headerReference w:type="first" r:id="rId15"/>
      <w:footerReference w:type="first" r:id="rId16"/>
      <w:pgSz w:w="11907" w:h="16840" w:code="9"/>
      <w:pgMar w:top="510" w:right="1134" w:bottom="1134" w:left="1134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76F" w:rsidRDefault="00AD076F" w:rsidP="006655D3">
      <w:r>
        <w:separator/>
      </w:r>
    </w:p>
    <w:p w:rsidR="00AD076F" w:rsidRDefault="00AD076F" w:rsidP="006655D3"/>
    <w:p w:rsidR="00AD076F" w:rsidRDefault="00AD076F" w:rsidP="006655D3"/>
  </w:endnote>
  <w:endnote w:type="continuationSeparator" w:id="0">
    <w:p w:rsidR="00AD076F" w:rsidRDefault="00AD076F" w:rsidP="006655D3">
      <w:r>
        <w:separator/>
      </w:r>
    </w:p>
    <w:p w:rsidR="00AD076F" w:rsidRPr="00E93231" w:rsidRDefault="00AD076F">
      <w:pPr>
        <w:pStyle w:val="Footer"/>
        <w:spacing w:after="60"/>
        <w:rPr>
          <w:sz w:val="18"/>
          <w:lang w:val="fr-CH"/>
        </w:rPr>
      </w:pPr>
      <w:r w:rsidRPr="00E93231">
        <w:rPr>
          <w:sz w:val="18"/>
          <w:lang w:val="fr-CH"/>
        </w:rPr>
        <w:t>[Suite de la note de la page précédente]</w:t>
      </w:r>
    </w:p>
    <w:p w:rsidR="00AD076F" w:rsidRPr="00E93231" w:rsidRDefault="00AD076F" w:rsidP="006655D3">
      <w:pPr>
        <w:rPr>
          <w:lang w:val="fr-CH"/>
        </w:rPr>
      </w:pPr>
    </w:p>
    <w:p w:rsidR="00AD076F" w:rsidRPr="00E93231" w:rsidRDefault="00AD076F" w:rsidP="006655D3">
      <w:pPr>
        <w:rPr>
          <w:lang w:val="fr-CH"/>
        </w:rPr>
      </w:pPr>
    </w:p>
  </w:endnote>
  <w:endnote w:type="continuationNotice" w:id="1">
    <w:p w:rsidR="00AD076F" w:rsidRPr="00E93231" w:rsidRDefault="00AD076F" w:rsidP="006655D3">
      <w:pPr>
        <w:rPr>
          <w:lang w:val="fr-CH"/>
        </w:rPr>
      </w:pPr>
      <w:r w:rsidRPr="00E93231">
        <w:rPr>
          <w:lang w:val="fr-CH"/>
        </w:rPr>
        <w:t>[Suite de la note page suivante]</w:t>
      </w:r>
    </w:p>
    <w:p w:rsidR="00AD076F" w:rsidRPr="00E93231" w:rsidRDefault="00AD076F" w:rsidP="006655D3">
      <w:pPr>
        <w:rPr>
          <w:lang w:val="fr-CH"/>
        </w:rPr>
      </w:pPr>
    </w:p>
    <w:p w:rsidR="00AD076F" w:rsidRPr="00E93231" w:rsidRDefault="00AD076F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6F" w:rsidRPr="00AE0EF1" w:rsidRDefault="00AD07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6F" w:rsidRPr="00AE0EF1" w:rsidRDefault="00AD07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76F" w:rsidRDefault="00AD076F" w:rsidP="006655D3">
      <w:r>
        <w:separator/>
      </w:r>
    </w:p>
  </w:footnote>
  <w:footnote w:type="continuationSeparator" w:id="0">
    <w:p w:rsidR="00AD076F" w:rsidRDefault="00AD076F" w:rsidP="006655D3">
      <w:r>
        <w:separator/>
      </w:r>
    </w:p>
  </w:footnote>
  <w:footnote w:type="continuationNotice" w:id="1">
    <w:p w:rsidR="00AD076F" w:rsidRPr="00AB530F" w:rsidRDefault="00AD076F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6F" w:rsidRDefault="00AD076F" w:rsidP="00EB048E">
    <w:pPr>
      <w:pStyle w:val="Header"/>
    </w:pPr>
    <w:r w:rsidRPr="00CC5554">
      <w:t>TC</w:t>
    </w:r>
    <w:r>
      <w:t>/51/20</w:t>
    </w:r>
  </w:p>
  <w:p w:rsidR="00AD076F" w:rsidRPr="00C5280D" w:rsidRDefault="00AD076F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353DFF">
      <w:rPr>
        <w:rStyle w:val="PageNumber"/>
        <w:noProof/>
      </w:rPr>
      <w:t>6</w:t>
    </w:r>
    <w:r w:rsidRPr="00C5280D">
      <w:rPr>
        <w:rStyle w:val="PageNumber"/>
      </w:rPr>
      <w:fldChar w:fldCharType="end"/>
    </w:r>
  </w:p>
  <w:p w:rsidR="00AD076F" w:rsidRPr="00C5280D" w:rsidRDefault="00AD076F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6F" w:rsidRPr="00C5280D" w:rsidRDefault="00AD076F" w:rsidP="00EB048E">
    <w:pPr>
      <w:pStyle w:val="Header"/>
      <w:rPr>
        <w:rStyle w:val="PageNumber"/>
      </w:rPr>
    </w:pPr>
    <w:r w:rsidRPr="00C5280D">
      <w:rPr>
        <w:rStyle w:val="PageNumber"/>
      </w:rPr>
      <w:t>TC/</w:t>
    </w:r>
    <w:r>
      <w:rPr>
        <w:rStyle w:val="PageNumber"/>
      </w:rPr>
      <w:t>51</w:t>
    </w:r>
    <w:r w:rsidRPr="00C5280D">
      <w:rPr>
        <w:rStyle w:val="PageNumber"/>
      </w:rPr>
      <w:t>/</w:t>
    </w:r>
    <w:r>
      <w:rPr>
        <w:rStyle w:val="PageNumber"/>
      </w:rPr>
      <w:t>20</w:t>
    </w:r>
  </w:p>
  <w:p w:rsidR="00AD076F" w:rsidRPr="00C5280D" w:rsidRDefault="00AD076F" w:rsidP="00EB048E">
    <w:pPr>
      <w:pStyle w:val="Header"/>
    </w:pPr>
    <w:r>
      <w:t xml:space="preserve">Annexe I, </w:t>
    </w:r>
    <w:r w:rsidRPr="00C5280D">
      <w:t xml:space="preserve">page </w:t>
    </w:r>
    <w:r w:rsidR="00556770">
      <w:rPr>
        <w:rStyle w:val="PageNumber"/>
      </w:rPr>
      <w:t>2</w:t>
    </w:r>
  </w:p>
  <w:p w:rsidR="00AD076F" w:rsidRPr="00C5280D" w:rsidRDefault="00AD076F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6F" w:rsidRDefault="00AD076F">
    <w:pPr>
      <w:pStyle w:val="Header"/>
      <w:rPr>
        <w:lang w:val="en-US"/>
      </w:rPr>
    </w:pPr>
    <w:r w:rsidRPr="00CC5554">
      <w:rPr>
        <w:lang w:val="en-US"/>
      </w:rPr>
      <w:t>TC/</w:t>
    </w:r>
    <w:r>
      <w:rPr>
        <w:lang w:val="en-US"/>
      </w:rPr>
      <w:t>51</w:t>
    </w:r>
    <w:r w:rsidRPr="00CC5554">
      <w:rPr>
        <w:lang w:val="en-US"/>
      </w:rPr>
      <w:t>/</w:t>
    </w:r>
    <w:r>
      <w:rPr>
        <w:lang w:val="en-US"/>
      </w:rPr>
      <w:t>20</w:t>
    </w:r>
  </w:p>
  <w:p w:rsidR="00AD076F" w:rsidRPr="00CC5554" w:rsidRDefault="00AD076F">
    <w:pPr>
      <w:pStyle w:val="Header"/>
      <w:rPr>
        <w:lang w:val="en-US"/>
      </w:rPr>
    </w:pPr>
  </w:p>
  <w:p w:rsidR="00AD076F" w:rsidRPr="00CC5554" w:rsidRDefault="00AD076F">
    <w:pPr>
      <w:pStyle w:val="Header"/>
      <w:rPr>
        <w:lang w:val="en-US"/>
      </w:rPr>
    </w:pPr>
    <w:r w:rsidRPr="00CC5554">
      <w:rPr>
        <w:lang w:val="en-US"/>
      </w:rPr>
      <w:t>ANNEX</w:t>
    </w:r>
    <w:r>
      <w:rPr>
        <w:lang w:val="en-US"/>
      </w:rPr>
      <w:t>E</w:t>
    </w:r>
    <w:r w:rsidRPr="00CC5554">
      <w:rPr>
        <w:lang w:val="en-US"/>
      </w:rPr>
      <w:t xml:space="preserve"> I</w:t>
    </w:r>
  </w:p>
  <w:p w:rsidR="00AD076F" w:rsidRPr="00CC5554" w:rsidRDefault="00AD076F">
    <w:pPr>
      <w:pStyle w:val="Header"/>
      <w:rPr>
        <w:lang w:val="en-US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50E" w:rsidRPr="00C5280D" w:rsidRDefault="00BB150E" w:rsidP="00EB048E">
    <w:pPr>
      <w:pStyle w:val="Header"/>
      <w:rPr>
        <w:rStyle w:val="PageNumber"/>
      </w:rPr>
    </w:pPr>
    <w:r w:rsidRPr="00C5280D">
      <w:rPr>
        <w:rStyle w:val="PageNumber"/>
      </w:rPr>
      <w:t>TC/</w:t>
    </w:r>
    <w:r>
      <w:rPr>
        <w:rStyle w:val="PageNumber"/>
      </w:rPr>
      <w:t>51</w:t>
    </w:r>
    <w:r w:rsidRPr="00C5280D">
      <w:rPr>
        <w:rStyle w:val="PageNumber"/>
      </w:rPr>
      <w:t>/</w:t>
    </w:r>
    <w:r>
      <w:rPr>
        <w:rStyle w:val="PageNumber"/>
      </w:rPr>
      <w:t>20</w:t>
    </w:r>
  </w:p>
  <w:p w:rsidR="00BB150E" w:rsidRPr="00C5280D" w:rsidRDefault="00BB150E" w:rsidP="00EB048E">
    <w:pPr>
      <w:pStyle w:val="Header"/>
    </w:pPr>
    <w:r>
      <w:t xml:space="preserve">Annexe II, </w:t>
    </w:r>
    <w:r w:rsidRPr="00C5280D">
      <w:t xml:space="preserve">page </w:t>
    </w:r>
    <w:r>
      <w:rPr>
        <w:rStyle w:val="PageNumber"/>
      </w:rPr>
      <w:t>2</w:t>
    </w:r>
  </w:p>
  <w:p w:rsidR="00BB150E" w:rsidRPr="00C5280D" w:rsidRDefault="00BB150E" w:rsidP="006655D3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6F" w:rsidRDefault="00AD076F">
    <w:pPr>
      <w:pStyle w:val="Header"/>
      <w:rPr>
        <w:lang w:val="en-US"/>
      </w:rPr>
    </w:pPr>
    <w:r w:rsidRPr="00CC5554">
      <w:rPr>
        <w:lang w:val="en-US"/>
      </w:rPr>
      <w:t>TC/</w:t>
    </w:r>
    <w:r>
      <w:rPr>
        <w:lang w:val="en-US"/>
      </w:rPr>
      <w:t>51</w:t>
    </w:r>
    <w:r w:rsidRPr="00CC5554">
      <w:rPr>
        <w:lang w:val="en-US"/>
      </w:rPr>
      <w:t>/</w:t>
    </w:r>
    <w:r>
      <w:rPr>
        <w:lang w:val="en-US"/>
      </w:rPr>
      <w:t>20</w:t>
    </w:r>
  </w:p>
  <w:p w:rsidR="00AD076F" w:rsidRPr="00CC5554" w:rsidRDefault="00AD076F">
    <w:pPr>
      <w:pStyle w:val="Header"/>
      <w:rPr>
        <w:lang w:val="en-US"/>
      </w:rPr>
    </w:pPr>
  </w:p>
  <w:p w:rsidR="00AD076F" w:rsidRPr="00CC5554" w:rsidRDefault="00AD076F">
    <w:pPr>
      <w:pStyle w:val="Header"/>
      <w:rPr>
        <w:lang w:val="en-US"/>
      </w:rPr>
    </w:pPr>
    <w:r w:rsidRPr="00CC5554">
      <w:rPr>
        <w:lang w:val="en-US"/>
      </w:rPr>
      <w:t>ANNEX</w:t>
    </w:r>
    <w:r>
      <w:rPr>
        <w:lang w:val="en-US"/>
      </w:rPr>
      <w:t>E</w:t>
    </w:r>
    <w:r w:rsidRPr="00CC5554">
      <w:rPr>
        <w:lang w:val="en-US"/>
      </w:rPr>
      <w:t xml:space="preserve"> I</w:t>
    </w:r>
    <w:r>
      <w:rPr>
        <w:lang w:val="en-US"/>
      </w:rPr>
      <w:t>I</w:t>
    </w:r>
  </w:p>
  <w:p w:rsidR="00AD076F" w:rsidRPr="00CC5554" w:rsidRDefault="00AD076F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D1DF7"/>
    <w:multiLevelType w:val="hybridMultilevel"/>
    <w:tmpl w:val="01AA3C50"/>
    <w:lvl w:ilvl="0" w:tplc="201C1F60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5811774"/>
    <w:multiLevelType w:val="hybridMultilevel"/>
    <w:tmpl w:val="88C20758"/>
    <w:lvl w:ilvl="0" w:tplc="DB56EE24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A770204"/>
    <w:multiLevelType w:val="hybridMultilevel"/>
    <w:tmpl w:val="1E668E6C"/>
    <w:lvl w:ilvl="0" w:tplc="61BCEF24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E495F64"/>
    <w:multiLevelType w:val="hybridMultilevel"/>
    <w:tmpl w:val="3B827AA2"/>
    <w:lvl w:ilvl="0" w:tplc="00B21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C48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D0E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FC7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4A2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58E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0EE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860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5E1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PreTradBeta|WIPONew|AT.WIPO"/>
    <w:docVar w:name="TermBaseURL" w:val="empty"/>
    <w:docVar w:name="TextBases" w:val="WorkspaceFTS\EN-FR\UPOV|UPOV\Meetings|UPOV\Other|UPOV\Publications|UPOV\Technical Guidelines"/>
    <w:docVar w:name="TextBaseURL" w:val="empty"/>
    <w:docVar w:name="UILng" w:val="en"/>
  </w:docVars>
  <w:rsids>
    <w:rsidRoot w:val="00E93231"/>
    <w:rsid w:val="00006F58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5450C"/>
    <w:rsid w:val="00060566"/>
    <w:rsid w:val="00085505"/>
    <w:rsid w:val="000C09DC"/>
    <w:rsid w:val="000C7021"/>
    <w:rsid w:val="000D6BBC"/>
    <w:rsid w:val="000D7780"/>
    <w:rsid w:val="000E6AEA"/>
    <w:rsid w:val="000F2F11"/>
    <w:rsid w:val="00105929"/>
    <w:rsid w:val="001131D5"/>
    <w:rsid w:val="00141DB8"/>
    <w:rsid w:val="001625C3"/>
    <w:rsid w:val="00162BE2"/>
    <w:rsid w:val="0017474A"/>
    <w:rsid w:val="001758C6"/>
    <w:rsid w:val="00182B99"/>
    <w:rsid w:val="001E5936"/>
    <w:rsid w:val="0021332C"/>
    <w:rsid w:val="00213982"/>
    <w:rsid w:val="0022146F"/>
    <w:rsid w:val="002233F1"/>
    <w:rsid w:val="0024416D"/>
    <w:rsid w:val="002542CC"/>
    <w:rsid w:val="00271911"/>
    <w:rsid w:val="00277FD0"/>
    <w:rsid w:val="002800A0"/>
    <w:rsid w:val="002801B3"/>
    <w:rsid w:val="00281060"/>
    <w:rsid w:val="00291CFE"/>
    <w:rsid w:val="002940E8"/>
    <w:rsid w:val="002A6E50"/>
    <w:rsid w:val="002B55DB"/>
    <w:rsid w:val="002C256A"/>
    <w:rsid w:val="002D4768"/>
    <w:rsid w:val="002E4EC1"/>
    <w:rsid w:val="00305A7F"/>
    <w:rsid w:val="003105CC"/>
    <w:rsid w:val="003152FE"/>
    <w:rsid w:val="00327436"/>
    <w:rsid w:val="00344BD6"/>
    <w:rsid w:val="00353DFF"/>
    <w:rsid w:val="0035528D"/>
    <w:rsid w:val="00361821"/>
    <w:rsid w:val="00366C5A"/>
    <w:rsid w:val="003D227C"/>
    <w:rsid w:val="003D2B4D"/>
    <w:rsid w:val="003D4266"/>
    <w:rsid w:val="00403C30"/>
    <w:rsid w:val="004135CD"/>
    <w:rsid w:val="00444A88"/>
    <w:rsid w:val="00452E71"/>
    <w:rsid w:val="00472F4F"/>
    <w:rsid w:val="00474DA4"/>
    <w:rsid w:val="00476B4D"/>
    <w:rsid w:val="00477192"/>
    <w:rsid w:val="004805FA"/>
    <w:rsid w:val="004935D2"/>
    <w:rsid w:val="004A1FB8"/>
    <w:rsid w:val="004B1215"/>
    <w:rsid w:val="004B4303"/>
    <w:rsid w:val="004D047D"/>
    <w:rsid w:val="004F305A"/>
    <w:rsid w:val="00512164"/>
    <w:rsid w:val="00520297"/>
    <w:rsid w:val="005338F9"/>
    <w:rsid w:val="00534D7D"/>
    <w:rsid w:val="0054281C"/>
    <w:rsid w:val="0055268D"/>
    <w:rsid w:val="00556770"/>
    <w:rsid w:val="00576BE4"/>
    <w:rsid w:val="00581A52"/>
    <w:rsid w:val="005A400A"/>
    <w:rsid w:val="005E2342"/>
    <w:rsid w:val="00601FFD"/>
    <w:rsid w:val="00612379"/>
    <w:rsid w:val="0061555F"/>
    <w:rsid w:val="00641200"/>
    <w:rsid w:val="006655D3"/>
    <w:rsid w:val="00667404"/>
    <w:rsid w:val="00687EB4"/>
    <w:rsid w:val="00693D2F"/>
    <w:rsid w:val="006B17D2"/>
    <w:rsid w:val="006C0391"/>
    <w:rsid w:val="006C224E"/>
    <w:rsid w:val="006D780A"/>
    <w:rsid w:val="0071373D"/>
    <w:rsid w:val="00714357"/>
    <w:rsid w:val="00732DEC"/>
    <w:rsid w:val="00733856"/>
    <w:rsid w:val="00735BD5"/>
    <w:rsid w:val="007556F6"/>
    <w:rsid w:val="00760EEF"/>
    <w:rsid w:val="00767120"/>
    <w:rsid w:val="00777EE5"/>
    <w:rsid w:val="00784836"/>
    <w:rsid w:val="0079023E"/>
    <w:rsid w:val="007A2854"/>
    <w:rsid w:val="007B363F"/>
    <w:rsid w:val="007B5913"/>
    <w:rsid w:val="007D0B9D"/>
    <w:rsid w:val="007D19B0"/>
    <w:rsid w:val="007E244E"/>
    <w:rsid w:val="007F498F"/>
    <w:rsid w:val="0080679D"/>
    <w:rsid w:val="00807592"/>
    <w:rsid w:val="008108B0"/>
    <w:rsid w:val="00811B20"/>
    <w:rsid w:val="0082296E"/>
    <w:rsid w:val="00824099"/>
    <w:rsid w:val="00846D7C"/>
    <w:rsid w:val="00867AC1"/>
    <w:rsid w:val="008A743F"/>
    <w:rsid w:val="008C0970"/>
    <w:rsid w:val="008D0BC5"/>
    <w:rsid w:val="008D2CF7"/>
    <w:rsid w:val="008D5F1B"/>
    <w:rsid w:val="00900C26"/>
    <w:rsid w:val="0090197F"/>
    <w:rsid w:val="00906DDC"/>
    <w:rsid w:val="00934E09"/>
    <w:rsid w:val="00936253"/>
    <w:rsid w:val="00952DD4"/>
    <w:rsid w:val="00961545"/>
    <w:rsid w:val="00970FED"/>
    <w:rsid w:val="00992D82"/>
    <w:rsid w:val="00997029"/>
    <w:rsid w:val="009B440E"/>
    <w:rsid w:val="009D690D"/>
    <w:rsid w:val="009E3C3C"/>
    <w:rsid w:val="009E65B6"/>
    <w:rsid w:val="00A24C10"/>
    <w:rsid w:val="00A42AC3"/>
    <w:rsid w:val="00A430CF"/>
    <w:rsid w:val="00A5375C"/>
    <w:rsid w:val="00A54309"/>
    <w:rsid w:val="00A75D19"/>
    <w:rsid w:val="00A93A1F"/>
    <w:rsid w:val="00AB2B93"/>
    <w:rsid w:val="00AB530F"/>
    <w:rsid w:val="00AB7E5B"/>
    <w:rsid w:val="00AD076F"/>
    <w:rsid w:val="00AD1B19"/>
    <w:rsid w:val="00AE0EF1"/>
    <w:rsid w:val="00AE2937"/>
    <w:rsid w:val="00B07301"/>
    <w:rsid w:val="00B224DE"/>
    <w:rsid w:val="00B324D4"/>
    <w:rsid w:val="00B439F8"/>
    <w:rsid w:val="00B46575"/>
    <w:rsid w:val="00B552BB"/>
    <w:rsid w:val="00B75F48"/>
    <w:rsid w:val="00B84BBD"/>
    <w:rsid w:val="00BA43FB"/>
    <w:rsid w:val="00BB06B3"/>
    <w:rsid w:val="00BB150E"/>
    <w:rsid w:val="00BB67B9"/>
    <w:rsid w:val="00BC127D"/>
    <w:rsid w:val="00BC1FE6"/>
    <w:rsid w:val="00BC334C"/>
    <w:rsid w:val="00C061B6"/>
    <w:rsid w:val="00C2446C"/>
    <w:rsid w:val="00C36AE5"/>
    <w:rsid w:val="00C41F17"/>
    <w:rsid w:val="00C5280D"/>
    <w:rsid w:val="00C560E7"/>
    <w:rsid w:val="00C5791C"/>
    <w:rsid w:val="00C66290"/>
    <w:rsid w:val="00C72B7A"/>
    <w:rsid w:val="00C73A0B"/>
    <w:rsid w:val="00C9570C"/>
    <w:rsid w:val="00C973F2"/>
    <w:rsid w:val="00CA304C"/>
    <w:rsid w:val="00CA774A"/>
    <w:rsid w:val="00CC11B0"/>
    <w:rsid w:val="00CF7E36"/>
    <w:rsid w:val="00D27A3E"/>
    <w:rsid w:val="00D3708D"/>
    <w:rsid w:val="00D40426"/>
    <w:rsid w:val="00D50187"/>
    <w:rsid w:val="00D51394"/>
    <w:rsid w:val="00D57C96"/>
    <w:rsid w:val="00D91203"/>
    <w:rsid w:val="00D91999"/>
    <w:rsid w:val="00D9319B"/>
    <w:rsid w:val="00D95174"/>
    <w:rsid w:val="00D9519C"/>
    <w:rsid w:val="00DA07A9"/>
    <w:rsid w:val="00DA6F36"/>
    <w:rsid w:val="00DB4331"/>
    <w:rsid w:val="00DB596E"/>
    <w:rsid w:val="00DB7773"/>
    <w:rsid w:val="00DC00EA"/>
    <w:rsid w:val="00DC0799"/>
    <w:rsid w:val="00E14FD7"/>
    <w:rsid w:val="00E32F7E"/>
    <w:rsid w:val="00E72D49"/>
    <w:rsid w:val="00E7593C"/>
    <w:rsid w:val="00E7678A"/>
    <w:rsid w:val="00E93231"/>
    <w:rsid w:val="00E935F1"/>
    <w:rsid w:val="00E94A81"/>
    <w:rsid w:val="00EA1FFB"/>
    <w:rsid w:val="00EB048E"/>
    <w:rsid w:val="00EB501D"/>
    <w:rsid w:val="00EE34DF"/>
    <w:rsid w:val="00EF2F89"/>
    <w:rsid w:val="00F1237A"/>
    <w:rsid w:val="00F22CBD"/>
    <w:rsid w:val="00F45372"/>
    <w:rsid w:val="00F560F7"/>
    <w:rsid w:val="00F56D87"/>
    <w:rsid w:val="00F6334D"/>
    <w:rsid w:val="00F87CC0"/>
    <w:rsid w:val="00FA41A1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4B4303"/>
    <w:rPr>
      <w:rFonts w:ascii="Arial" w:hAnsi="Arial"/>
      <w:caps/>
    </w:rPr>
  </w:style>
  <w:style w:type="paragraph" w:styleId="BodyTextIndent">
    <w:name w:val="Body Text Indent"/>
    <w:basedOn w:val="Normal"/>
    <w:link w:val="BodyTextIndentChar"/>
    <w:rsid w:val="004B4303"/>
    <w:pPr>
      <w:ind w:left="1134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B4303"/>
    <w:rPr>
      <w:sz w:val="24"/>
    </w:rPr>
  </w:style>
  <w:style w:type="table" w:styleId="TableGrid">
    <w:name w:val="Table Grid"/>
    <w:basedOn w:val="TableNormal"/>
    <w:rsid w:val="004B430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71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4B4303"/>
    <w:rPr>
      <w:rFonts w:ascii="Arial" w:hAnsi="Arial"/>
      <w:caps/>
    </w:rPr>
  </w:style>
  <w:style w:type="paragraph" w:styleId="BodyTextIndent">
    <w:name w:val="Body Text Indent"/>
    <w:basedOn w:val="Normal"/>
    <w:link w:val="BodyTextIndentChar"/>
    <w:rsid w:val="004B4303"/>
    <w:pPr>
      <w:ind w:left="1134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B4303"/>
    <w:rPr>
      <w:sz w:val="24"/>
    </w:rPr>
  </w:style>
  <w:style w:type="table" w:styleId="TableGrid">
    <w:name w:val="Table Grid"/>
    <w:basedOn w:val="TableNormal"/>
    <w:rsid w:val="004B430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7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CBE36-2E82-4B0B-8573-858CA5498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10</Pages>
  <Words>3689</Words>
  <Characters>20395</Characters>
  <Application>Microsoft Office Word</Application>
  <DocSecurity>0</DocSecurity>
  <Lines>169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TC/50</vt:lpstr>
    </vt:vector>
  </TitlesOfParts>
  <Company>UPOV</Company>
  <LinksUpToDate>false</LinksUpToDate>
  <CharactersWithSpaces>24036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PASIEKA Allie</dc:creator>
  <cp:keywords>MHF</cp:keywords>
  <cp:lastModifiedBy>LONG Victoria</cp:lastModifiedBy>
  <cp:revision>40</cp:revision>
  <cp:lastPrinted>2015-02-09T14:46:00Z</cp:lastPrinted>
  <dcterms:created xsi:type="dcterms:W3CDTF">2015-02-03T08:17:00Z</dcterms:created>
  <dcterms:modified xsi:type="dcterms:W3CDTF">2015-02-09T14:46:00Z</dcterms:modified>
</cp:coreProperties>
</file>