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916968" w:rsidRPr="006F2F2C" w:rsidTr="00847A0E">
        <w:trPr>
          <w:trHeight w:val="1760"/>
        </w:trPr>
        <w:tc>
          <w:tcPr>
            <w:tcW w:w="4243" w:type="dxa"/>
          </w:tcPr>
          <w:p w:rsidR="008F37AE" w:rsidRPr="00916968" w:rsidRDefault="008F37AE" w:rsidP="00916968">
            <w:pPr>
              <w:jc w:val="left"/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8F37AE" w:rsidRPr="00916968" w:rsidRDefault="008F37AE" w:rsidP="00916968">
            <w:pPr>
              <w:pStyle w:val="LogoUPOV"/>
              <w:jc w:val="left"/>
              <w:rPr>
                <w:lang w:val="fr-FR"/>
              </w:rPr>
            </w:pPr>
            <w:r w:rsidRPr="00916968">
              <w:rPr>
                <w:noProof/>
              </w:rPr>
              <w:drawing>
                <wp:inline distT="0" distB="0" distL="0" distR="0" wp14:anchorId="07B90F6E" wp14:editId="6191959F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8F37AE" w:rsidRPr="00916968" w:rsidRDefault="008F37AE" w:rsidP="00916968">
            <w:pPr>
              <w:pStyle w:val="Lettrine"/>
              <w:spacing w:line="240" w:lineRule="auto"/>
              <w:rPr>
                <w:lang w:val="fr-FR"/>
              </w:rPr>
            </w:pPr>
            <w:r w:rsidRPr="00916968">
              <w:rPr>
                <w:lang w:val="fr-FR"/>
              </w:rPr>
              <w:t>F</w:t>
            </w:r>
          </w:p>
          <w:p w:rsidR="008F37AE" w:rsidRPr="00916968" w:rsidRDefault="008F37AE" w:rsidP="00916968">
            <w:pPr>
              <w:pStyle w:val="Docoriginal"/>
              <w:spacing w:line="240" w:lineRule="auto"/>
              <w:jc w:val="left"/>
              <w:rPr>
                <w:spacing w:val="0"/>
                <w:lang w:val="fr-FR"/>
              </w:rPr>
            </w:pPr>
            <w:r w:rsidRPr="00916968">
              <w:rPr>
                <w:spacing w:val="0"/>
                <w:lang w:val="fr-FR"/>
              </w:rPr>
              <w:t>TC/51/</w:t>
            </w:r>
            <w:bookmarkStart w:id="0" w:name="Code"/>
            <w:bookmarkEnd w:id="0"/>
            <w:r w:rsidRPr="00916968">
              <w:rPr>
                <w:spacing w:val="0"/>
                <w:lang w:val="fr-FR"/>
              </w:rPr>
              <w:t>18</w:t>
            </w:r>
          </w:p>
          <w:p w:rsidR="008F37AE" w:rsidRPr="00916968" w:rsidRDefault="008F37AE" w:rsidP="00916968">
            <w:pPr>
              <w:pStyle w:val="Docoriginal"/>
              <w:spacing w:line="240" w:lineRule="auto"/>
              <w:jc w:val="left"/>
              <w:rPr>
                <w:b w:val="0"/>
                <w:spacing w:val="0"/>
                <w:lang w:val="fr-FR"/>
              </w:rPr>
            </w:pPr>
            <w:r w:rsidRPr="00916968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E6636F" w:rsidRPr="00916968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916968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916968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916968">
              <w:rPr>
                <w:b w:val="0"/>
                <w:spacing w:val="0"/>
                <w:lang w:val="fr-FR"/>
              </w:rPr>
              <w:t>anglais</w:t>
            </w:r>
          </w:p>
          <w:p w:rsidR="008F37AE" w:rsidRPr="00916968" w:rsidRDefault="008F37AE" w:rsidP="003E153B">
            <w:pPr>
              <w:pStyle w:val="Docoriginal"/>
              <w:spacing w:line="240" w:lineRule="auto"/>
              <w:jc w:val="left"/>
              <w:rPr>
                <w:spacing w:val="0"/>
                <w:lang w:val="fr-FR"/>
              </w:rPr>
            </w:pPr>
            <w:r w:rsidRPr="00916968">
              <w:rPr>
                <w:spacing w:val="0"/>
                <w:lang w:val="fr-FR"/>
              </w:rPr>
              <w:t>DATE</w:t>
            </w:r>
            <w:r w:rsidR="00E6636F" w:rsidRPr="00916968">
              <w:rPr>
                <w:spacing w:val="0"/>
                <w:lang w:val="fr-FR"/>
              </w:rPr>
              <w:t> </w:t>
            </w:r>
            <w:r w:rsidRPr="00916968">
              <w:rPr>
                <w:spacing w:val="0"/>
                <w:lang w:val="fr-FR"/>
              </w:rPr>
              <w:t>:</w:t>
            </w:r>
            <w:r w:rsidRPr="00916968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3E153B">
              <w:rPr>
                <w:b w:val="0"/>
                <w:spacing w:val="0"/>
                <w:lang w:val="fr-FR"/>
              </w:rPr>
              <w:t>6</w:t>
            </w:r>
            <w:r w:rsidR="001C46B6" w:rsidRPr="00916968">
              <w:rPr>
                <w:b w:val="0"/>
                <w:spacing w:val="0"/>
                <w:lang w:val="fr-FR"/>
              </w:rPr>
              <w:t> février 20</w:t>
            </w:r>
            <w:r w:rsidRPr="00916968">
              <w:rPr>
                <w:b w:val="0"/>
                <w:spacing w:val="0"/>
                <w:lang w:val="fr-FR"/>
              </w:rPr>
              <w:t>15</w:t>
            </w:r>
          </w:p>
        </w:tc>
      </w:tr>
      <w:tr w:rsidR="00916968" w:rsidRPr="006F2F2C" w:rsidTr="00847A0E">
        <w:tc>
          <w:tcPr>
            <w:tcW w:w="10131" w:type="dxa"/>
            <w:gridSpan w:val="3"/>
          </w:tcPr>
          <w:p w:rsidR="008F37AE" w:rsidRPr="00916968" w:rsidRDefault="008F37AE" w:rsidP="00916968">
            <w:pPr>
              <w:pStyle w:val="upove"/>
              <w:jc w:val="left"/>
              <w:rPr>
                <w:spacing w:val="0"/>
                <w:sz w:val="28"/>
                <w:lang w:val="fr-FR"/>
              </w:rPr>
            </w:pPr>
            <w:r w:rsidRPr="00916968">
              <w:rPr>
                <w:spacing w:val="0"/>
                <w:lang w:val="fr-FR"/>
              </w:rPr>
              <w:t>UNION INTERNATIONALE POUR LA PROTECTION DES OBTENTIONS VÉGÉTALES</w:t>
            </w:r>
          </w:p>
        </w:tc>
      </w:tr>
      <w:tr w:rsidR="00916968" w:rsidRPr="00916968" w:rsidTr="00847A0E">
        <w:tc>
          <w:tcPr>
            <w:tcW w:w="10131" w:type="dxa"/>
            <w:gridSpan w:val="3"/>
          </w:tcPr>
          <w:p w:rsidR="008F37AE" w:rsidRPr="00916968" w:rsidRDefault="008F37AE" w:rsidP="00916968">
            <w:pPr>
              <w:pStyle w:val="Country"/>
              <w:rPr>
                <w:lang w:val="fr-FR"/>
              </w:rPr>
            </w:pPr>
            <w:r w:rsidRPr="00916968">
              <w:rPr>
                <w:lang w:val="fr-FR"/>
              </w:rPr>
              <w:t>Genève</w:t>
            </w:r>
          </w:p>
        </w:tc>
      </w:tr>
    </w:tbl>
    <w:p w:rsidR="008F37AE" w:rsidRPr="00916968" w:rsidRDefault="008F37AE" w:rsidP="00916968">
      <w:pPr>
        <w:pStyle w:val="Sessiontc"/>
        <w:rPr>
          <w:lang w:val="fr-FR"/>
        </w:rPr>
      </w:pPr>
      <w:r w:rsidRPr="00916968">
        <w:rPr>
          <w:lang w:val="fr-FR"/>
        </w:rPr>
        <w:t>Comité TECHNIQUE</w:t>
      </w:r>
    </w:p>
    <w:p w:rsidR="008F37AE" w:rsidRPr="00916968" w:rsidRDefault="008F37AE" w:rsidP="00916968">
      <w:pPr>
        <w:pStyle w:val="Sessiontcplacedate"/>
        <w:rPr>
          <w:lang w:val="fr-FR"/>
        </w:rPr>
      </w:pPr>
      <w:r w:rsidRPr="00916968">
        <w:rPr>
          <w:lang w:val="fr-FR"/>
        </w:rPr>
        <w:t>Cinquante et unième</w:t>
      </w:r>
      <w:r w:rsidR="00E6636F" w:rsidRPr="00916968">
        <w:rPr>
          <w:lang w:val="fr-FR"/>
        </w:rPr>
        <w:t> </w:t>
      </w:r>
      <w:r w:rsidRPr="00916968">
        <w:rPr>
          <w:lang w:val="fr-FR"/>
        </w:rPr>
        <w:t xml:space="preserve">session </w:t>
      </w:r>
      <w:r w:rsidRPr="00916968">
        <w:rPr>
          <w:lang w:val="fr-FR"/>
        </w:rPr>
        <w:br/>
        <w:t xml:space="preserve">Genève, </w:t>
      </w:r>
      <w:r w:rsidR="003E153B">
        <w:rPr>
          <w:lang w:val="fr-FR"/>
        </w:rPr>
        <w:t>23–</w:t>
      </w:r>
      <w:r w:rsidRPr="00916968">
        <w:rPr>
          <w:lang w:val="fr-FR"/>
        </w:rPr>
        <w:t>2</w:t>
      </w:r>
      <w:r w:rsidR="001C46B6" w:rsidRPr="00916968">
        <w:rPr>
          <w:lang w:val="fr-FR"/>
        </w:rPr>
        <w:t>5 mars 20</w:t>
      </w:r>
      <w:r w:rsidRPr="00916968">
        <w:rPr>
          <w:lang w:val="fr-FR"/>
        </w:rPr>
        <w:t>15</w:t>
      </w:r>
    </w:p>
    <w:p w:rsidR="008F37AE" w:rsidRPr="00916968" w:rsidRDefault="008F37AE" w:rsidP="00916968">
      <w:pPr>
        <w:pStyle w:val="Titleofdoc0"/>
        <w:rPr>
          <w:rFonts w:cs="Arial"/>
          <w:lang w:val="fr-FR"/>
        </w:rPr>
      </w:pPr>
      <w:bookmarkStart w:id="3" w:name="TitleOfDoc"/>
      <w:bookmarkStart w:id="4" w:name="Prepared"/>
      <w:bookmarkEnd w:id="3"/>
      <w:bookmarkEnd w:id="4"/>
      <w:r w:rsidRPr="00916968">
        <w:rPr>
          <w:rFonts w:cs="Arial"/>
          <w:lang w:val="fr-FR"/>
        </w:rPr>
        <w:t>Révision du document TGP/8 : DEUXIÈME PARTIE : Quelques TECHNIQUES utilisées</w:t>
      </w:r>
      <w:r w:rsidRPr="00916968">
        <w:rPr>
          <w:rFonts w:cs="Arial"/>
          <w:lang w:val="fr-FR"/>
        </w:rPr>
        <w:br/>
        <w:t>dans l</w:t>
      </w:r>
      <w:r w:rsidR="001C46B6" w:rsidRPr="00916968">
        <w:rPr>
          <w:rFonts w:cs="Arial"/>
          <w:lang w:val="fr-FR"/>
        </w:rPr>
        <w:t>’</w:t>
      </w:r>
      <w:r w:rsidRPr="00916968">
        <w:rPr>
          <w:rFonts w:cs="Arial"/>
          <w:lang w:val="fr-FR"/>
        </w:rPr>
        <w:t>examen DHS, Nouvelle section : Examen DHS sur des Échantillons globaux</w:t>
      </w:r>
    </w:p>
    <w:p w:rsidR="008F37AE" w:rsidRPr="006F2F2C" w:rsidRDefault="008F37AE" w:rsidP="00916968">
      <w:pPr>
        <w:pStyle w:val="preparedby1"/>
        <w:rPr>
          <w:color w:val="A6A6A6" w:themeColor="background1" w:themeShade="A6"/>
          <w:lang w:val="fr-CH"/>
        </w:rPr>
      </w:pPr>
      <w:r w:rsidRPr="00916968">
        <w:rPr>
          <w:lang w:val="fr-FR"/>
        </w:rPr>
        <w:t>Document établi par le Bureau de l</w:t>
      </w:r>
      <w:r w:rsidR="001C46B6" w:rsidRPr="00916968">
        <w:rPr>
          <w:lang w:val="fr-FR"/>
        </w:rPr>
        <w:t>’</w:t>
      </w:r>
      <w:r w:rsidRPr="00916968">
        <w:rPr>
          <w:lang w:val="fr-FR"/>
        </w:rPr>
        <w:t>Union</w:t>
      </w:r>
      <w:r w:rsidRPr="00916968">
        <w:rPr>
          <w:lang w:val="fr-FR"/>
        </w:rPr>
        <w:br/>
      </w:r>
      <w:r w:rsidRPr="006F2F2C">
        <w:rPr>
          <w:color w:val="A6A6A6" w:themeColor="background1" w:themeShade="A6"/>
          <w:lang w:val="fr-CH"/>
        </w:rPr>
        <w:br/>
        <w:t>Avertissement : le présent document ne représente pas les principes ou les orientations de l</w:t>
      </w:r>
      <w:r w:rsidR="001C46B6" w:rsidRPr="006F2F2C">
        <w:rPr>
          <w:color w:val="A6A6A6" w:themeColor="background1" w:themeShade="A6"/>
          <w:lang w:val="fr-CH"/>
        </w:rPr>
        <w:t>’</w:t>
      </w:r>
      <w:r w:rsidRPr="006F2F2C">
        <w:rPr>
          <w:color w:val="A6A6A6" w:themeColor="background1" w:themeShade="A6"/>
          <w:lang w:val="fr-CH"/>
        </w:rPr>
        <w:t>UPOV</w:t>
      </w:r>
    </w:p>
    <w:p w:rsidR="008F37AE" w:rsidRPr="00916968" w:rsidRDefault="008F37AE" w:rsidP="00916968">
      <w:pPr>
        <w:rPr>
          <w:lang w:val="fr-FR"/>
        </w:rPr>
      </w:pPr>
      <w:r w:rsidRPr="00916968">
        <w:rPr>
          <w:lang w:val="fr-FR"/>
        </w:rPr>
        <w:fldChar w:fldCharType="begin"/>
      </w:r>
      <w:r w:rsidRPr="00916968">
        <w:rPr>
          <w:lang w:val="fr-FR"/>
        </w:rPr>
        <w:instrText xml:space="preserve"> AUTONUM  </w:instrText>
      </w:r>
      <w:r w:rsidRPr="00916968">
        <w:rPr>
          <w:lang w:val="fr-FR"/>
        </w:rPr>
        <w:fldChar w:fldCharType="end"/>
      </w:r>
      <w:r w:rsidRPr="00916968">
        <w:rPr>
          <w:lang w:val="fr-FR"/>
        </w:rPr>
        <w:tab/>
        <w:t>L</w:t>
      </w:r>
      <w:r w:rsidR="001C46B6" w:rsidRPr="00916968">
        <w:rPr>
          <w:lang w:val="fr-FR"/>
        </w:rPr>
        <w:t>’</w:t>
      </w:r>
      <w:r w:rsidRPr="00916968">
        <w:rPr>
          <w:lang w:val="fr-FR"/>
        </w:rPr>
        <w:t>objet du présent document est de faire rapport sur les faits nouveaux concernant les conseils relatifs à l</w:t>
      </w:r>
      <w:r w:rsidR="001C46B6" w:rsidRPr="00916968">
        <w:rPr>
          <w:lang w:val="fr-FR"/>
        </w:rPr>
        <w:t>’</w:t>
      </w:r>
      <w:r w:rsidRPr="00916968">
        <w:rPr>
          <w:lang w:val="fr-FR"/>
        </w:rPr>
        <w:t>examen DHS sur des échantillons globaux aux fins de leur inclusion dans une future version révisée du document TGP/8</w:t>
      </w:r>
      <w:r w:rsidRPr="00916968">
        <w:rPr>
          <w:rFonts w:cs="Arial"/>
          <w:lang w:val="fr-FR" w:eastAsia="ja-JP"/>
        </w:rPr>
        <w:t>.</w:t>
      </w:r>
    </w:p>
    <w:p w:rsidR="008F37AE" w:rsidRPr="00916968" w:rsidRDefault="008F37AE" w:rsidP="00916968">
      <w:pPr>
        <w:rPr>
          <w:rFonts w:cs="Arial"/>
          <w:lang w:val="fr-FR" w:eastAsia="ja-JP"/>
        </w:rPr>
      </w:pPr>
    </w:p>
    <w:p w:rsidR="008F37AE" w:rsidRPr="00916968" w:rsidRDefault="008F37AE" w:rsidP="00916968">
      <w:pPr>
        <w:rPr>
          <w:rFonts w:cs="Arial"/>
          <w:lang w:val="fr-FR"/>
        </w:rPr>
      </w:pPr>
      <w:r w:rsidRPr="00916968">
        <w:rPr>
          <w:rFonts w:cs="Arial"/>
          <w:lang w:val="fr-FR"/>
        </w:rPr>
        <w:fldChar w:fldCharType="begin"/>
      </w:r>
      <w:r w:rsidRPr="00916968">
        <w:rPr>
          <w:rFonts w:cs="Arial"/>
          <w:lang w:val="fr-FR"/>
        </w:rPr>
        <w:instrText xml:space="preserve"> AUTONUM  </w:instrText>
      </w:r>
      <w:r w:rsidRPr="00916968">
        <w:rPr>
          <w:rFonts w:cs="Arial"/>
          <w:lang w:val="fr-FR"/>
        </w:rPr>
        <w:fldChar w:fldCharType="end"/>
      </w:r>
      <w:r w:rsidRPr="00916968">
        <w:rPr>
          <w:rFonts w:cs="Arial"/>
          <w:lang w:val="fr-FR"/>
        </w:rPr>
        <w:tab/>
        <w:t>Les abréviations ci</w:t>
      </w:r>
      <w:r w:rsidR="00055BD9" w:rsidRPr="00916968">
        <w:rPr>
          <w:rFonts w:cs="Arial"/>
          <w:lang w:val="fr-FR"/>
        </w:rPr>
        <w:noBreakHyphen/>
      </w:r>
      <w:r w:rsidRPr="00916968">
        <w:rPr>
          <w:rFonts w:cs="Arial"/>
          <w:lang w:val="fr-FR"/>
        </w:rPr>
        <w:t>après sont utilisées dans le présent document :</w:t>
      </w:r>
    </w:p>
    <w:p w:rsidR="008F37AE" w:rsidRPr="00916968" w:rsidRDefault="008F37AE" w:rsidP="00916968">
      <w:pPr>
        <w:rPr>
          <w:rFonts w:cs="Arial"/>
          <w:lang w:val="fr-FR"/>
        </w:rPr>
      </w:pPr>
    </w:p>
    <w:p w:rsidR="008F37AE" w:rsidRPr="00916968" w:rsidRDefault="008F37AE" w:rsidP="00916968">
      <w:pPr>
        <w:ind w:left="1701" w:hanging="1134"/>
        <w:rPr>
          <w:rFonts w:cs="Arial"/>
          <w:lang w:val="fr-FR"/>
        </w:rPr>
      </w:pPr>
      <w:r w:rsidRPr="00916968">
        <w:rPr>
          <w:rFonts w:cs="Arial"/>
          <w:lang w:val="fr-FR"/>
        </w:rPr>
        <w:t>TC</w:t>
      </w:r>
      <w:r w:rsidR="00E6636F" w:rsidRPr="00916968">
        <w:rPr>
          <w:rFonts w:cs="Arial"/>
          <w:lang w:val="fr-FR"/>
        </w:rPr>
        <w:t> :</w:t>
      </w:r>
      <w:r w:rsidRPr="00916968">
        <w:rPr>
          <w:rFonts w:cs="Arial"/>
          <w:lang w:val="fr-FR"/>
        </w:rPr>
        <w:t xml:space="preserve"> </w:t>
      </w:r>
      <w:r w:rsidRPr="00916968">
        <w:rPr>
          <w:rFonts w:cs="Arial"/>
          <w:lang w:val="fr-FR"/>
        </w:rPr>
        <w:tab/>
        <w:t>Comité technique</w:t>
      </w:r>
    </w:p>
    <w:p w:rsidR="008F37AE" w:rsidRPr="00916968" w:rsidRDefault="008F37AE" w:rsidP="00916968">
      <w:pPr>
        <w:ind w:left="1701" w:hanging="1134"/>
        <w:rPr>
          <w:rFonts w:cs="Arial"/>
          <w:lang w:val="fr-FR"/>
        </w:rPr>
      </w:pPr>
      <w:r w:rsidRPr="00916968">
        <w:rPr>
          <w:rFonts w:cs="Arial"/>
          <w:lang w:val="fr-FR"/>
        </w:rPr>
        <w:t>TC</w:t>
      </w:r>
      <w:r w:rsidR="00055BD9" w:rsidRPr="00916968">
        <w:rPr>
          <w:rFonts w:cs="Arial"/>
          <w:lang w:val="fr-FR"/>
        </w:rPr>
        <w:noBreakHyphen/>
      </w:r>
      <w:r w:rsidRPr="00916968">
        <w:rPr>
          <w:rFonts w:cs="Arial"/>
          <w:lang w:val="fr-FR"/>
        </w:rPr>
        <w:t xml:space="preserve">EDC : </w:t>
      </w:r>
      <w:r w:rsidRPr="00916968">
        <w:rPr>
          <w:rFonts w:cs="Arial"/>
          <w:lang w:val="fr-FR"/>
        </w:rPr>
        <w:tab/>
        <w:t>Comité de rédaction élargi</w:t>
      </w:r>
    </w:p>
    <w:p w:rsidR="008F37AE" w:rsidRPr="00916968" w:rsidRDefault="008F37AE" w:rsidP="00916968">
      <w:pPr>
        <w:ind w:left="1701" w:hanging="1134"/>
        <w:rPr>
          <w:rFonts w:cs="Arial"/>
          <w:lang w:val="fr-FR"/>
        </w:rPr>
      </w:pPr>
      <w:r w:rsidRPr="00916968">
        <w:rPr>
          <w:rFonts w:cs="Arial"/>
          <w:lang w:val="fr-FR"/>
        </w:rPr>
        <w:t>TWA</w:t>
      </w:r>
      <w:r w:rsidR="00E6636F" w:rsidRPr="00916968">
        <w:rPr>
          <w:rFonts w:cs="Arial"/>
          <w:lang w:val="fr-FR"/>
        </w:rPr>
        <w:t> </w:t>
      </w:r>
      <w:r w:rsidRPr="00916968">
        <w:rPr>
          <w:rFonts w:cs="Arial"/>
          <w:lang w:val="fr-FR"/>
        </w:rPr>
        <w:t xml:space="preserve">: </w:t>
      </w:r>
      <w:r w:rsidRPr="00916968">
        <w:rPr>
          <w:rFonts w:cs="Arial"/>
          <w:lang w:val="fr-FR"/>
        </w:rPr>
        <w:tab/>
        <w:t>Groupe de travail technique sur les plantes agricoles</w:t>
      </w:r>
    </w:p>
    <w:p w:rsidR="008F37AE" w:rsidRPr="00916968" w:rsidRDefault="008F37AE" w:rsidP="00916968">
      <w:pPr>
        <w:ind w:left="1701" w:hanging="1134"/>
        <w:rPr>
          <w:rFonts w:cs="Arial"/>
          <w:lang w:val="fr-FR"/>
        </w:rPr>
      </w:pPr>
      <w:r w:rsidRPr="00916968">
        <w:rPr>
          <w:rFonts w:cs="Arial"/>
          <w:lang w:val="fr-FR"/>
        </w:rPr>
        <w:t>TWC</w:t>
      </w:r>
      <w:r w:rsidR="00E6636F" w:rsidRPr="00916968">
        <w:rPr>
          <w:rFonts w:cs="Arial"/>
          <w:lang w:val="fr-FR"/>
        </w:rPr>
        <w:t> </w:t>
      </w:r>
      <w:r w:rsidRPr="00916968">
        <w:rPr>
          <w:rFonts w:cs="Arial"/>
          <w:lang w:val="fr-FR"/>
        </w:rPr>
        <w:t xml:space="preserve">: </w:t>
      </w:r>
      <w:r w:rsidRPr="00916968">
        <w:rPr>
          <w:rFonts w:cs="Arial"/>
          <w:lang w:val="fr-FR"/>
        </w:rPr>
        <w:tab/>
        <w:t>Groupe de travail technique sur les systèmes d</w:t>
      </w:r>
      <w:r w:rsidR="001C46B6" w:rsidRPr="00916968">
        <w:rPr>
          <w:rFonts w:cs="Arial"/>
          <w:lang w:val="fr-FR"/>
        </w:rPr>
        <w:t>’</w:t>
      </w:r>
      <w:r w:rsidRPr="00916968">
        <w:rPr>
          <w:rFonts w:cs="Arial"/>
          <w:lang w:val="fr-FR"/>
        </w:rPr>
        <w:t>automatisation et les programmes d</w:t>
      </w:r>
      <w:r w:rsidR="001C46B6" w:rsidRPr="00916968">
        <w:rPr>
          <w:rFonts w:cs="Arial"/>
          <w:lang w:val="fr-FR"/>
        </w:rPr>
        <w:t>’</w:t>
      </w:r>
      <w:r w:rsidRPr="00916968">
        <w:rPr>
          <w:rFonts w:cs="Arial"/>
          <w:lang w:val="fr-FR"/>
        </w:rPr>
        <w:t>ordinateur</w:t>
      </w:r>
    </w:p>
    <w:p w:rsidR="008F37AE" w:rsidRPr="00916968" w:rsidRDefault="008F37AE" w:rsidP="00916968">
      <w:pPr>
        <w:ind w:left="1701" w:hanging="1134"/>
        <w:rPr>
          <w:rFonts w:cs="Arial"/>
          <w:lang w:val="fr-FR"/>
        </w:rPr>
      </w:pPr>
      <w:r w:rsidRPr="00916968">
        <w:rPr>
          <w:rFonts w:cs="Arial"/>
          <w:lang w:val="fr-FR"/>
        </w:rPr>
        <w:t>TWF</w:t>
      </w:r>
      <w:r w:rsidR="00E6636F" w:rsidRPr="00916968">
        <w:rPr>
          <w:rFonts w:cs="Arial"/>
          <w:lang w:val="fr-FR"/>
        </w:rPr>
        <w:t> </w:t>
      </w:r>
      <w:r w:rsidRPr="00916968">
        <w:rPr>
          <w:rFonts w:cs="Arial"/>
          <w:lang w:val="fr-FR"/>
        </w:rPr>
        <w:t xml:space="preserve">: </w:t>
      </w:r>
      <w:r w:rsidRPr="00916968">
        <w:rPr>
          <w:rFonts w:cs="Arial"/>
          <w:lang w:val="fr-FR"/>
        </w:rPr>
        <w:tab/>
        <w:t>Groupe de travail technique sur les plantes fruitières</w:t>
      </w:r>
    </w:p>
    <w:p w:rsidR="008F37AE" w:rsidRPr="00916968" w:rsidRDefault="008F37AE" w:rsidP="00916968">
      <w:pPr>
        <w:ind w:left="1701" w:hanging="1134"/>
        <w:rPr>
          <w:rFonts w:cs="Arial"/>
          <w:lang w:val="fr-FR"/>
        </w:rPr>
      </w:pPr>
      <w:r w:rsidRPr="00916968">
        <w:rPr>
          <w:rFonts w:cs="Arial"/>
          <w:lang w:val="fr-FR"/>
        </w:rPr>
        <w:t>TWO</w:t>
      </w:r>
      <w:r w:rsidR="00E6636F" w:rsidRPr="00916968">
        <w:rPr>
          <w:rFonts w:cs="Arial"/>
          <w:lang w:val="fr-FR"/>
        </w:rPr>
        <w:t> </w:t>
      </w:r>
      <w:r w:rsidRPr="00916968">
        <w:rPr>
          <w:rFonts w:cs="Arial"/>
          <w:lang w:val="fr-FR"/>
        </w:rPr>
        <w:t xml:space="preserve">: </w:t>
      </w:r>
      <w:r w:rsidRPr="00916968">
        <w:rPr>
          <w:rFonts w:cs="Arial"/>
          <w:lang w:val="fr-FR"/>
        </w:rPr>
        <w:tab/>
        <w:t>Groupe de travail technique sur les plantes ornementales et les arbres forestiers</w:t>
      </w:r>
    </w:p>
    <w:p w:rsidR="008F37AE" w:rsidRPr="00916968" w:rsidRDefault="008F37AE" w:rsidP="00916968">
      <w:pPr>
        <w:ind w:left="1701" w:hanging="1134"/>
        <w:rPr>
          <w:rFonts w:cs="Arial"/>
          <w:lang w:val="fr-FR"/>
        </w:rPr>
      </w:pPr>
      <w:r w:rsidRPr="00916968">
        <w:rPr>
          <w:rFonts w:cs="Arial"/>
          <w:lang w:val="fr-FR"/>
        </w:rPr>
        <w:t>TWP :</w:t>
      </w:r>
      <w:r w:rsidR="00E6636F" w:rsidRPr="00916968">
        <w:rPr>
          <w:rFonts w:cs="Arial"/>
          <w:lang w:val="fr-FR"/>
        </w:rPr>
        <w:t xml:space="preserve"> </w:t>
      </w:r>
      <w:r w:rsidRPr="00916968">
        <w:rPr>
          <w:rFonts w:cs="Arial"/>
          <w:lang w:val="fr-FR"/>
        </w:rPr>
        <w:tab/>
        <w:t>Groupes de travail techniques</w:t>
      </w:r>
    </w:p>
    <w:p w:rsidR="008F37AE" w:rsidRPr="00916968" w:rsidRDefault="008F37AE" w:rsidP="00916968">
      <w:pPr>
        <w:ind w:left="1701" w:hanging="1134"/>
        <w:rPr>
          <w:rFonts w:cs="Arial"/>
          <w:lang w:val="fr-FR"/>
        </w:rPr>
      </w:pPr>
      <w:r w:rsidRPr="00916968">
        <w:rPr>
          <w:rFonts w:cs="Arial"/>
          <w:lang w:val="fr-FR"/>
        </w:rPr>
        <w:t>TWV</w:t>
      </w:r>
      <w:r w:rsidR="00E6636F" w:rsidRPr="00916968">
        <w:rPr>
          <w:rFonts w:cs="Arial"/>
          <w:lang w:val="fr-FR"/>
        </w:rPr>
        <w:t> </w:t>
      </w:r>
      <w:r w:rsidRPr="00916968">
        <w:rPr>
          <w:rFonts w:cs="Arial"/>
          <w:lang w:val="fr-FR"/>
        </w:rPr>
        <w:t xml:space="preserve">: </w:t>
      </w:r>
      <w:r w:rsidRPr="00916968">
        <w:rPr>
          <w:rFonts w:cs="Arial"/>
          <w:lang w:val="fr-FR"/>
        </w:rPr>
        <w:tab/>
        <w:t>Groupe de travail technique sur les plantes potagères</w:t>
      </w:r>
    </w:p>
    <w:p w:rsidR="008F37AE" w:rsidRPr="00916968" w:rsidRDefault="008F37AE" w:rsidP="00916968">
      <w:pPr>
        <w:rPr>
          <w:lang w:val="fr-FR" w:eastAsia="ja-JP"/>
        </w:rPr>
      </w:pPr>
    </w:p>
    <w:p w:rsidR="008F37AE" w:rsidRPr="00916968" w:rsidRDefault="008F37AE" w:rsidP="00916968">
      <w:pPr>
        <w:rPr>
          <w:lang w:val="fr-FR" w:eastAsia="ja-JP"/>
        </w:rPr>
      </w:pPr>
    </w:p>
    <w:p w:rsidR="008F37AE" w:rsidRPr="00916968" w:rsidRDefault="00856ABB" w:rsidP="00916968">
      <w:pPr>
        <w:pStyle w:val="Heading1"/>
        <w:rPr>
          <w:lang w:val="fr-FR"/>
        </w:rPr>
      </w:pPr>
      <w:r w:rsidRPr="00916968">
        <w:rPr>
          <w:lang w:val="fr-FR"/>
        </w:rPr>
        <w:t>Informations générales</w:t>
      </w:r>
    </w:p>
    <w:p w:rsidR="008F37AE" w:rsidRPr="00916968" w:rsidRDefault="008F37AE" w:rsidP="00916968">
      <w:pPr>
        <w:rPr>
          <w:lang w:val="fr-FR" w:eastAsia="ja-JP"/>
        </w:rPr>
      </w:pPr>
    </w:p>
    <w:p w:rsidR="008F37AE" w:rsidRPr="00916968" w:rsidRDefault="00180A1F" w:rsidP="00916968">
      <w:pPr>
        <w:rPr>
          <w:szCs w:val="24"/>
          <w:lang w:val="fr-FR" w:eastAsia="ja-JP"/>
        </w:rPr>
      </w:pPr>
      <w:r w:rsidRPr="00916968">
        <w:rPr>
          <w:lang w:val="fr-FR"/>
        </w:rPr>
        <w:fldChar w:fldCharType="begin"/>
      </w:r>
      <w:r w:rsidRPr="00916968">
        <w:rPr>
          <w:lang w:val="fr-FR"/>
        </w:rPr>
        <w:instrText xml:space="preserve"> AUTONUM  </w:instrText>
      </w:r>
      <w:r w:rsidRPr="00916968">
        <w:rPr>
          <w:lang w:val="fr-FR"/>
        </w:rPr>
        <w:fldChar w:fldCharType="end"/>
      </w:r>
      <w:r w:rsidRPr="00916968">
        <w:rPr>
          <w:lang w:val="fr-FR"/>
        </w:rPr>
        <w:tab/>
      </w:r>
      <w:r w:rsidR="00FB4FF7" w:rsidRPr="00916968">
        <w:rPr>
          <w:szCs w:val="24"/>
          <w:lang w:val="fr-FR"/>
        </w:rPr>
        <w:t xml:space="preserve">Les informations générales sur cette question sont fournies dans le </w:t>
      </w:r>
      <w:r w:rsidR="001C46B6" w:rsidRPr="00916968">
        <w:rPr>
          <w:szCs w:val="24"/>
          <w:lang w:val="fr-FR"/>
        </w:rPr>
        <w:t>document TC</w:t>
      </w:r>
      <w:r w:rsidRPr="00916968">
        <w:rPr>
          <w:szCs w:val="24"/>
          <w:lang w:val="fr-FR"/>
        </w:rPr>
        <w:t>/50/2</w:t>
      </w:r>
      <w:r w:rsidRPr="00916968">
        <w:rPr>
          <w:szCs w:val="24"/>
          <w:lang w:val="fr-FR" w:eastAsia="ja-JP"/>
        </w:rPr>
        <w:t>4 “</w:t>
      </w:r>
      <w:r w:rsidR="00FB4FF7" w:rsidRPr="00916968">
        <w:rPr>
          <w:szCs w:val="24"/>
          <w:lang w:val="fr-FR" w:eastAsia="ja-JP"/>
        </w:rPr>
        <w:t>Révision du document TGP</w:t>
      </w:r>
      <w:r w:rsidR="00A67DB9" w:rsidRPr="00916968">
        <w:rPr>
          <w:szCs w:val="24"/>
          <w:lang w:val="fr-FR" w:eastAsia="ja-JP"/>
        </w:rPr>
        <w:t>/8</w:t>
      </w:r>
      <w:r w:rsidR="00E6636F" w:rsidRPr="00916968">
        <w:rPr>
          <w:szCs w:val="24"/>
          <w:lang w:val="fr-FR" w:eastAsia="ja-JP"/>
        </w:rPr>
        <w:t> </w:t>
      </w:r>
      <w:r w:rsidR="00A67DB9" w:rsidRPr="00916968">
        <w:rPr>
          <w:szCs w:val="24"/>
          <w:lang w:val="fr-FR" w:eastAsia="ja-JP"/>
        </w:rPr>
        <w:t>: d</w:t>
      </w:r>
      <w:r w:rsidR="00FB4FF7" w:rsidRPr="00916968">
        <w:rPr>
          <w:szCs w:val="24"/>
          <w:lang w:val="fr-FR" w:eastAsia="ja-JP"/>
        </w:rPr>
        <w:t>euxième partie</w:t>
      </w:r>
      <w:r w:rsidR="00E6636F" w:rsidRPr="00916968">
        <w:rPr>
          <w:szCs w:val="24"/>
          <w:lang w:val="fr-FR" w:eastAsia="ja-JP"/>
        </w:rPr>
        <w:t> </w:t>
      </w:r>
      <w:r w:rsidR="00FB4FF7" w:rsidRPr="00916968">
        <w:rPr>
          <w:szCs w:val="24"/>
          <w:lang w:val="fr-FR" w:eastAsia="ja-JP"/>
        </w:rPr>
        <w:t>: Techniques utilisées dans l</w:t>
      </w:r>
      <w:r w:rsidR="001C46B6" w:rsidRPr="00916968">
        <w:rPr>
          <w:szCs w:val="24"/>
          <w:lang w:val="fr-FR" w:eastAsia="ja-JP"/>
        </w:rPr>
        <w:t>’</w:t>
      </w:r>
      <w:r w:rsidR="00FB4FF7" w:rsidRPr="00916968">
        <w:rPr>
          <w:szCs w:val="24"/>
          <w:lang w:val="fr-FR" w:eastAsia="ja-JP"/>
        </w:rPr>
        <w:t>examen</w:t>
      </w:r>
      <w:r w:rsidR="00E6636F" w:rsidRPr="00916968">
        <w:rPr>
          <w:szCs w:val="24"/>
          <w:lang w:val="fr-FR" w:eastAsia="ja-JP"/>
        </w:rPr>
        <w:t> </w:t>
      </w:r>
      <w:r w:rsidR="00FB4FF7" w:rsidRPr="00916968">
        <w:rPr>
          <w:szCs w:val="24"/>
          <w:lang w:val="fr-FR" w:eastAsia="ja-JP"/>
        </w:rPr>
        <w:t>DHS, nouvelle section</w:t>
      </w:r>
      <w:r w:rsidR="00E6636F" w:rsidRPr="00916968">
        <w:rPr>
          <w:szCs w:val="24"/>
          <w:lang w:val="fr-FR" w:eastAsia="ja-JP"/>
        </w:rPr>
        <w:t> </w:t>
      </w:r>
      <w:r w:rsidR="00FB4FF7" w:rsidRPr="00916968">
        <w:rPr>
          <w:szCs w:val="24"/>
          <w:lang w:val="fr-FR" w:eastAsia="ja-JP"/>
        </w:rPr>
        <w:t xml:space="preserve">: </w:t>
      </w:r>
      <w:r w:rsidR="00460C18" w:rsidRPr="00916968">
        <w:rPr>
          <w:szCs w:val="24"/>
          <w:lang w:val="fr-FR" w:eastAsia="ja-JP"/>
        </w:rPr>
        <w:t>Examen DHS sur des échantillons</w:t>
      </w:r>
      <w:r w:rsidR="00455441" w:rsidRPr="00916968">
        <w:rPr>
          <w:szCs w:val="24"/>
          <w:lang w:val="fr-FR" w:eastAsia="ja-JP"/>
        </w:rPr>
        <w:t xml:space="preserve"> globaux</w:t>
      </w:r>
      <w:r w:rsidRPr="00916968">
        <w:rPr>
          <w:szCs w:val="24"/>
          <w:lang w:val="fr-FR" w:eastAsia="ja-JP"/>
        </w:rPr>
        <w:t>”.</w:t>
      </w:r>
    </w:p>
    <w:p w:rsidR="008F37AE" w:rsidRPr="00916968" w:rsidRDefault="008F37AE" w:rsidP="00916968">
      <w:pPr>
        <w:rPr>
          <w:u w:val="single"/>
          <w:lang w:val="fr-FR" w:eastAsia="ja-JP"/>
        </w:rPr>
      </w:pPr>
    </w:p>
    <w:p w:rsidR="008F37AE" w:rsidRPr="00916968" w:rsidRDefault="008F37AE" w:rsidP="00916968">
      <w:pPr>
        <w:rPr>
          <w:snapToGrid w:val="0"/>
          <w:lang w:val="fr-FR" w:eastAsia="ja-JP"/>
        </w:rPr>
      </w:pPr>
    </w:p>
    <w:p w:rsidR="008F37AE" w:rsidRPr="00916968" w:rsidRDefault="00856ABB" w:rsidP="00916968">
      <w:pPr>
        <w:pStyle w:val="Heading1"/>
        <w:rPr>
          <w:lang w:val="fr-FR" w:eastAsia="ja-JP"/>
        </w:rPr>
      </w:pPr>
      <w:r w:rsidRPr="00916968">
        <w:rPr>
          <w:lang w:val="fr-FR" w:eastAsia="ja-JP"/>
        </w:rPr>
        <w:t>F</w:t>
      </w:r>
      <w:r w:rsidR="008F37AE" w:rsidRPr="00916968">
        <w:rPr>
          <w:lang w:val="fr-FR" w:eastAsia="ja-JP"/>
        </w:rPr>
        <w:t>aits nouveaux en 2014</w:t>
      </w:r>
    </w:p>
    <w:p w:rsidR="008F37AE" w:rsidRPr="00916968" w:rsidRDefault="008F37AE" w:rsidP="00916968">
      <w:pPr>
        <w:rPr>
          <w:snapToGrid w:val="0"/>
          <w:lang w:val="fr-FR" w:eastAsia="ja-JP"/>
        </w:rPr>
      </w:pPr>
    </w:p>
    <w:p w:rsidR="008F37AE" w:rsidRPr="00916968" w:rsidRDefault="008F37AE" w:rsidP="00916968">
      <w:pPr>
        <w:pStyle w:val="Heading2"/>
        <w:rPr>
          <w:snapToGrid w:val="0"/>
          <w:lang w:val="fr-FR" w:eastAsia="ja-JP"/>
        </w:rPr>
      </w:pPr>
      <w:r w:rsidRPr="00916968">
        <w:rPr>
          <w:snapToGrid w:val="0"/>
          <w:lang w:val="fr-FR" w:eastAsia="ja-JP"/>
        </w:rPr>
        <w:t>Comité technique</w:t>
      </w:r>
    </w:p>
    <w:p w:rsidR="008F37AE" w:rsidRPr="00916968" w:rsidRDefault="008F37AE" w:rsidP="00916968">
      <w:pPr>
        <w:rPr>
          <w:rFonts w:cs="Arial"/>
          <w:lang w:val="fr-FR"/>
        </w:rPr>
      </w:pPr>
    </w:p>
    <w:p w:rsidR="001C46B6" w:rsidRPr="00916968" w:rsidRDefault="00180A1F" w:rsidP="00916968">
      <w:pPr>
        <w:rPr>
          <w:lang w:val="fr-FR"/>
        </w:rPr>
      </w:pPr>
      <w:r w:rsidRPr="00916968">
        <w:rPr>
          <w:lang w:val="fr-FR"/>
        </w:rPr>
        <w:fldChar w:fldCharType="begin"/>
      </w:r>
      <w:r w:rsidRPr="00916968">
        <w:rPr>
          <w:lang w:val="fr-FR"/>
        </w:rPr>
        <w:instrText xml:space="preserve"> AUTONUM  </w:instrText>
      </w:r>
      <w:r w:rsidRPr="00916968">
        <w:rPr>
          <w:lang w:val="fr-FR"/>
        </w:rPr>
        <w:fldChar w:fldCharType="end"/>
      </w:r>
      <w:r w:rsidRPr="00916968">
        <w:rPr>
          <w:lang w:val="fr-FR"/>
        </w:rPr>
        <w:tab/>
      </w:r>
      <w:r w:rsidR="00FB4FF7" w:rsidRPr="00916968">
        <w:rPr>
          <w:lang w:val="fr-FR"/>
        </w:rPr>
        <w:t>Le</w:t>
      </w:r>
      <w:r w:rsidR="001C46B6" w:rsidRPr="00916968">
        <w:rPr>
          <w:lang w:val="fr-FR"/>
        </w:rPr>
        <w:t> TC</w:t>
      </w:r>
      <w:r w:rsidR="00FB4FF7" w:rsidRPr="00916968">
        <w:rPr>
          <w:lang w:val="fr-FR"/>
        </w:rPr>
        <w:t>, à sa cinquantième</w:t>
      </w:r>
      <w:r w:rsidR="00E6636F" w:rsidRPr="00916968">
        <w:rPr>
          <w:lang w:val="fr-FR"/>
        </w:rPr>
        <w:t> </w:t>
      </w:r>
      <w:r w:rsidR="00FB4FF7" w:rsidRPr="00916968">
        <w:rPr>
          <w:lang w:val="fr-FR"/>
        </w:rPr>
        <w:t xml:space="preserve">session tenue à Genève du 7 au </w:t>
      </w:r>
      <w:r w:rsidR="001C46B6" w:rsidRPr="00916968">
        <w:rPr>
          <w:lang w:val="fr-FR"/>
        </w:rPr>
        <w:t>9 avril 20</w:t>
      </w:r>
      <w:r w:rsidR="00FB4FF7" w:rsidRPr="00916968">
        <w:rPr>
          <w:lang w:val="fr-FR"/>
        </w:rPr>
        <w:t>14</w:t>
      </w:r>
      <w:r w:rsidRPr="00916968">
        <w:rPr>
          <w:lang w:val="fr-FR" w:eastAsia="ja-JP"/>
        </w:rPr>
        <w:t xml:space="preserve">, </w:t>
      </w:r>
      <w:r w:rsidR="00FB4FF7" w:rsidRPr="00916968">
        <w:rPr>
          <w:lang w:val="fr-FR" w:eastAsia="ja-JP"/>
        </w:rPr>
        <w:t xml:space="preserve">a examiné le </w:t>
      </w:r>
      <w:r w:rsidR="001C46B6" w:rsidRPr="00916968">
        <w:rPr>
          <w:szCs w:val="24"/>
          <w:lang w:val="fr-FR"/>
        </w:rPr>
        <w:t>document TC</w:t>
      </w:r>
      <w:r w:rsidR="00FB4FF7" w:rsidRPr="00916968">
        <w:rPr>
          <w:szCs w:val="24"/>
          <w:lang w:val="fr-FR"/>
        </w:rPr>
        <w:t>/50/2</w:t>
      </w:r>
      <w:r w:rsidR="00FB4FF7" w:rsidRPr="00916968">
        <w:rPr>
          <w:szCs w:val="24"/>
          <w:lang w:val="fr-FR" w:eastAsia="ja-JP"/>
        </w:rPr>
        <w:t>4 “Révision du document TGP/8</w:t>
      </w:r>
      <w:r w:rsidR="00E6636F" w:rsidRPr="00916968">
        <w:rPr>
          <w:szCs w:val="24"/>
          <w:lang w:val="fr-FR" w:eastAsia="ja-JP"/>
        </w:rPr>
        <w:t> </w:t>
      </w:r>
      <w:r w:rsidR="00FB4FF7" w:rsidRPr="00916968">
        <w:rPr>
          <w:szCs w:val="24"/>
          <w:lang w:val="fr-FR" w:eastAsia="ja-JP"/>
        </w:rPr>
        <w:t xml:space="preserve">: </w:t>
      </w:r>
      <w:r w:rsidR="00A67DB9" w:rsidRPr="00916968">
        <w:rPr>
          <w:szCs w:val="24"/>
          <w:lang w:val="fr-FR" w:eastAsia="ja-JP"/>
        </w:rPr>
        <w:t>d</w:t>
      </w:r>
      <w:r w:rsidR="00FB4FF7" w:rsidRPr="00916968">
        <w:rPr>
          <w:szCs w:val="24"/>
          <w:lang w:val="fr-FR" w:eastAsia="ja-JP"/>
        </w:rPr>
        <w:t>euxième partie</w:t>
      </w:r>
      <w:r w:rsidR="00E6636F" w:rsidRPr="00916968">
        <w:rPr>
          <w:szCs w:val="24"/>
          <w:lang w:val="fr-FR" w:eastAsia="ja-JP"/>
        </w:rPr>
        <w:t> </w:t>
      </w:r>
      <w:r w:rsidR="00FB4FF7" w:rsidRPr="00916968">
        <w:rPr>
          <w:szCs w:val="24"/>
          <w:lang w:val="fr-FR" w:eastAsia="ja-JP"/>
        </w:rPr>
        <w:t>: Quelques techniques utilisées dans l</w:t>
      </w:r>
      <w:r w:rsidR="001C46B6" w:rsidRPr="00916968">
        <w:rPr>
          <w:szCs w:val="24"/>
          <w:lang w:val="fr-FR" w:eastAsia="ja-JP"/>
        </w:rPr>
        <w:t>’</w:t>
      </w:r>
      <w:r w:rsidR="00FB4FF7" w:rsidRPr="00916968">
        <w:rPr>
          <w:szCs w:val="24"/>
          <w:lang w:val="fr-FR" w:eastAsia="ja-JP"/>
        </w:rPr>
        <w:t>examen</w:t>
      </w:r>
      <w:r w:rsidR="00E6636F" w:rsidRPr="00916968">
        <w:rPr>
          <w:szCs w:val="24"/>
          <w:lang w:val="fr-FR" w:eastAsia="ja-JP"/>
        </w:rPr>
        <w:t> </w:t>
      </w:r>
      <w:r w:rsidR="00FB4FF7" w:rsidRPr="00916968">
        <w:rPr>
          <w:szCs w:val="24"/>
          <w:lang w:val="fr-FR" w:eastAsia="ja-JP"/>
        </w:rPr>
        <w:t>DHS, nouvelle section</w:t>
      </w:r>
      <w:r w:rsidR="00E6636F" w:rsidRPr="00916968">
        <w:rPr>
          <w:szCs w:val="24"/>
          <w:lang w:val="fr-FR" w:eastAsia="ja-JP"/>
        </w:rPr>
        <w:t> </w:t>
      </w:r>
      <w:r w:rsidR="00FB4FF7" w:rsidRPr="00916968">
        <w:rPr>
          <w:szCs w:val="24"/>
          <w:lang w:val="fr-FR" w:eastAsia="ja-JP"/>
        </w:rPr>
        <w:t>: Examen DHS sur des échantillons globaux</w:t>
      </w:r>
      <w:r w:rsidRPr="00916968">
        <w:rPr>
          <w:lang w:val="fr-FR" w:eastAsia="ja-JP"/>
        </w:rPr>
        <w:t xml:space="preserve">” </w:t>
      </w:r>
      <w:r w:rsidR="00FB4FF7" w:rsidRPr="00916968">
        <w:rPr>
          <w:lang w:val="fr-FR" w:eastAsia="ja-JP"/>
        </w:rPr>
        <w:t>et invité des experts de la France et des Pays</w:t>
      </w:r>
      <w:r w:rsidR="00055BD9" w:rsidRPr="00916968">
        <w:rPr>
          <w:lang w:val="fr-FR" w:eastAsia="ja-JP"/>
        </w:rPr>
        <w:noBreakHyphen/>
      </w:r>
      <w:r w:rsidR="00FB4FF7" w:rsidRPr="00916968">
        <w:rPr>
          <w:lang w:val="fr-FR" w:eastAsia="ja-JP"/>
        </w:rPr>
        <w:t>Bas à donner des exemples tirés de leur expérience en matière d</w:t>
      </w:r>
      <w:r w:rsidR="001C46B6" w:rsidRPr="00916968">
        <w:rPr>
          <w:lang w:val="fr-FR" w:eastAsia="ja-JP"/>
        </w:rPr>
        <w:t>’</w:t>
      </w:r>
      <w:r w:rsidR="00FB4FF7" w:rsidRPr="00916968">
        <w:rPr>
          <w:lang w:val="fr-FR" w:eastAsia="ja-JP"/>
        </w:rPr>
        <w:t>élaboration de caractères sur la base d</w:t>
      </w:r>
      <w:r w:rsidR="001C46B6" w:rsidRPr="00916968">
        <w:rPr>
          <w:lang w:val="fr-FR" w:eastAsia="ja-JP"/>
        </w:rPr>
        <w:t>’</w:t>
      </w:r>
      <w:r w:rsidR="00FB4FF7" w:rsidRPr="00916968">
        <w:rPr>
          <w:lang w:val="fr-FR" w:eastAsia="ja-JP"/>
        </w:rPr>
        <w:t xml:space="preserve">échantillons globaux pour les plantes à reproduction sexuée et les espèces à multiplication végétative, </w:t>
      </w:r>
      <w:r w:rsidR="00455441" w:rsidRPr="00916968">
        <w:rPr>
          <w:lang w:val="fr-FR" w:eastAsia="ja-JP"/>
        </w:rPr>
        <w:t>en vue de</w:t>
      </w:r>
      <w:r w:rsidR="00FB4FF7" w:rsidRPr="00916968">
        <w:rPr>
          <w:lang w:val="fr-FR" w:eastAsia="ja-JP"/>
        </w:rPr>
        <w:t xml:space="preserve"> la formulation de conseils </w:t>
      </w:r>
      <w:r w:rsidR="00455441" w:rsidRPr="00916968">
        <w:rPr>
          <w:lang w:val="fr-FR" w:eastAsia="ja-JP"/>
        </w:rPr>
        <w:t>pour</w:t>
      </w:r>
      <w:r w:rsidR="00FB4FF7" w:rsidRPr="00916968">
        <w:rPr>
          <w:lang w:val="fr-FR" w:eastAsia="ja-JP"/>
        </w:rPr>
        <w:t xml:space="preserve"> l</w:t>
      </w:r>
      <w:r w:rsidR="001C46B6" w:rsidRPr="00916968">
        <w:rPr>
          <w:lang w:val="fr-FR" w:eastAsia="ja-JP"/>
        </w:rPr>
        <w:t>’</w:t>
      </w:r>
      <w:r w:rsidR="00FB4FF7" w:rsidRPr="00916968">
        <w:rPr>
          <w:lang w:val="fr-FR" w:eastAsia="ja-JP"/>
        </w:rPr>
        <w:t>élaboration de caractères examinés sur la base d</w:t>
      </w:r>
      <w:r w:rsidR="001C46B6" w:rsidRPr="00916968">
        <w:rPr>
          <w:lang w:val="fr-FR" w:eastAsia="ja-JP"/>
        </w:rPr>
        <w:t>’</w:t>
      </w:r>
      <w:r w:rsidR="00FB4FF7" w:rsidRPr="00916968">
        <w:rPr>
          <w:lang w:val="fr-FR" w:eastAsia="ja-JP"/>
        </w:rPr>
        <w:t>échantillons globaux</w:t>
      </w:r>
      <w:r w:rsidRPr="00916968">
        <w:rPr>
          <w:lang w:val="fr-FR" w:eastAsia="ja-JP"/>
        </w:rPr>
        <w:t xml:space="preserve"> (</w:t>
      </w:r>
      <w:r w:rsidR="003463FF" w:rsidRPr="00916968">
        <w:rPr>
          <w:lang w:val="fr-FR" w:eastAsia="ja-JP"/>
        </w:rPr>
        <w:t>voir le paragraphe</w:t>
      </w:r>
      <w:r w:rsidR="00E6636F" w:rsidRPr="00916968">
        <w:rPr>
          <w:lang w:val="fr-FR" w:eastAsia="ja-JP"/>
        </w:rPr>
        <w:t> </w:t>
      </w:r>
      <w:r w:rsidR="003463FF" w:rsidRPr="00916968">
        <w:rPr>
          <w:lang w:val="fr-FR" w:eastAsia="ja-JP"/>
        </w:rPr>
        <w:t xml:space="preserve">53 du </w:t>
      </w:r>
      <w:r w:rsidR="001C46B6" w:rsidRPr="00916968">
        <w:rPr>
          <w:lang w:val="fr-FR" w:eastAsia="ja-JP"/>
        </w:rPr>
        <w:t>document TC</w:t>
      </w:r>
      <w:r w:rsidRPr="00916968">
        <w:rPr>
          <w:lang w:val="fr-FR" w:eastAsia="ja-JP"/>
        </w:rPr>
        <w:t>/50/36 “</w:t>
      </w:r>
      <w:r w:rsidR="003463FF" w:rsidRPr="00916968">
        <w:rPr>
          <w:lang w:val="fr-FR" w:eastAsia="ja-JP"/>
        </w:rPr>
        <w:t>Compte rendu des c</w:t>
      </w:r>
      <w:r w:rsidRPr="00916968">
        <w:rPr>
          <w:lang w:val="fr-FR" w:eastAsia="ja-JP"/>
        </w:rPr>
        <w:t>onclusions</w:t>
      </w:r>
      <w:r w:rsidR="00E6636F" w:rsidRPr="00916968">
        <w:rPr>
          <w:lang w:val="fr-FR" w:eastAsia="ja-JP"/>
        </w:rPr>
        <w:t>”</w:t>
      </w:r>
      <w:r w:rsidRPr="00916968">
        <w:rPr>
          <w:lang w:val="fr-FR" w:eastAsia="ja-JP"/>
        </w:rPr>
        <w:t>)</w:t>
      </w:r>
      <w:r w:rsidRPr="00916968">
        <w:rPr>
          <w:lang w:val="fr-FR"/>
        </w:rPr>
        <w:t>.</w:t>
      </w:r>
    </w:p>
    <w:p w:rsidR="008F37AE" w:rsidRPr="00916968" w:rsidRDefault="008F37AE" w:rsidP="00916968">
      <w:pPr>
        <w:pStyle w:val="Heading2"/>
        <w:rPr>
          <w:snapToGrid w:val="0"/>
          <w:lang w:val="fr-FR" w:eastAsia="ja-JP"/>
        </w:rPr>
      </w:pPr>
      <w:r w:rsidRPr="00916968">
        <w:rPr>
          <w:snapToGrid w:val="0"/>
          <w:lang w:val="fr-FR" w:eastAsia="ja-JP"/>
        </w:rPr>
        <w:lastRenderedPageBreak/>
        <w:t>Groupes de travail techniques</w:t>
      </w:r>
    </w:p>
    <w:p w:rsidR="008F37AE" w:rsidRPr="00916968" w:rsidRDefault="008F37AE" w:rsidP="00916968">
      <w:pPr>
        <w:rPr>
          <w:lang w:val="fr-FR" w:eastAsia="ja-JP"/>
        </w:rPr>
      </w:pPr>
    </w:p>
    <w:p w:rsidR="008F37AE" w:rsidRPr="00916968" w:rsidRDefault="00180A1F" w:rsidP="00916968">
      <w:pPr>
        <w:rPr>
          <w:snapToGrid w:val="0"/>
          <w:lang w:val="fr-FR" w:eastAsia="ja-JP"/>
        </w:rPr>
      </w:pPr>
      <w:r w:rsidRPr="00916968">
        <w:rPr>
          <w:lang w:val="fr-FR"/>
        </w:rPr>
        <w:fldChar w:fldCharType="begin"/>
      </w:r>
      <w:r w:rsidRPr="00916968">
        <w:rPr>
          <w:lang w:val="fr-FR"/>
        </w:rPr>
        <w:instrText xml:space="preserve"> AUTONUM  </w:instrText>
      </w:r>
      <w:r w:rsidRPr="00916968">
        <w:rPr>
          <w:lang w:val="fr-FR"/>
        </w:rPr>
        <w:fldChar w:fldCharType="end"/>
      </w:r>
      <w:r w:rsidRPr="00916968">
        <w:rPr>
          <w:snapToGrid w:val="0"/>
          <w:lang w:val="fr-FR"/>
        </w:rPr>
        <w:tab/>
      </w:r>
      <w:r w:rsidR="003463FF" w:rsidRPr="00916968">
        <w:rPr>
          <w:snapToGrid w:val="0"/>
          <w:lang w:val="fr-FR"/>
        </w:rPr>
        <w:t xml:space="preserve">À leurs </w:t>
      </w:r>
      <w:r w:rsidRPr="00916968">
        <w:rPr>
          <w:snapToGrid w:val="0"/>
          <w:lang w:val="fr-FR"/>
        </w:rPr>
        <w:t xml:space="preserve">sessions </w:t>
      </w:r>
      <w:r w:rsidR="003463FF" w:rsidRPr="00916968">
        <w:rPr>
          <w:snapToGrid w:val="0"/>
          <w:lang w:val="fr-FR"/>
        </w:rPr>
        <w:t>de</w:t>
      </w:r>
      <w:r w:rsidR="00E6636F" w:rsidRPr="00916968">
        <w:rPr>
          <w:snapToGrid w:val="0"/>
          <w:lang w:val="fr-FR"/>
        </w:rPr>
        <w:t> </w:t>
      </w:r>
      <w:r w:rsidRPr="00916968">
        <w:rPr>
          <w:snapToGrid w:val="0"/>
          <w:lang w:val="fr-FR"/>
        </w:rPr>
        <w:t>201</w:t>
      </w:r>
      <w:r w:rsidRPr="00916968">
        <w:rPr>
          <w:snapToGrid w:val="0"/>
          <w:lang w:val="fr-FR" w:eastAsia="ja-JP"/>
        </w:rPr>
        <w:t>4</w:t>
      </w:r>
      <w:r w:rsidRPr="00916968">
        <w:rPr>
          <w:snapToGrid w:val="0"/>
          <w:lang w:val="fr-FR"/>
        </w:rPr>
        <w:t>,</w:t>
      </w:r>
      <w:r w:rsidR="001C46B6" w:rsidRPr="00916968">
        <w:rPr>
          <w:snapToGrid w:val="0"/>
          <w:lang w:val="fr-FR"/>
        </w:rPr>
        <w:t xml:space="preserve"> le TWO</w:t>
      </w:r>
      <w:r w:rsidRPr="00916968">
        <w:rPr>
          <w:snapToGrid w:val="0"/>
          <w:lang w:val="fr-FR"/>
        </w:rPr>
        <w:t>,</w:t>
      </w:r>
      <w:r w:rsidR="001C46B6" w:rsidRPr="00916968">
        <w:rPr>
          <w:snapToGrid w:val="0"/>
          <w:lang w:val="fr-FR"/>
        </w:rPr>
        <w:t xml:space="preserve"> le TWF</w:t>
      </w:r>
      <w:r w:rsidRPr="00916968">
        <w:rPr>
          <w:snapToGrid w:val="0"/>
          <w:lang w:val="fr-FR"/>
        </w:rPr>
        <w:t>,</w:t>
      </w:r>
      <w:r w:rsidR="001C46B6" w:rsidRPr="00916968">
        <w:rPr>
          <w:snapToGrid w:val="0"/>
          <w:lang w:val="fr-FR"/>
        </w:rPr>
        <w:t xml:space="preserve"> le TW</w:t>
      </w:r>
      <w:r w:rsidR="001C46B6" w:rsidRPr="00916968">
        <w:rPr>
          <w:snapToGrid w:val="0"/>
          <w:lang w:val="fr-FR" w:eastAsia="ja-JP"/>
        </w:rPr>
        <w:t>C</w:t>
      </w:r>
      <w:r w:rsidRPr="00916968">
        <w:rPr>
          <w:snapToGrid w:val="0"/>
          <w:lang w:val="fr-FR"/>
        </w:rPr>
        <w:t>,</w:t>
      </w:r>
      <w:r w:rsidR="001C46B6" w:rsidRPr="00916968">
        <w:rPr>
          <w:snapToGrid w:val="0"/>
          <w:lang w:val="fr-FR"/>
        </w:rPr>
        <w:t xml:space="preserve"> le TW</w:t>
      </w:r>
      <w:r w:rsidR="001C46B6" w:rsidRPr="00916968">
        <w:rPr>
          <w:snapToGrid w:val="0"/>
          <w:lang w:val="fr-FR" w:eastAsia="ja-JP"/>
        </w:rPr>
        <w:t>V</w:t>
      </w:r>
      <w:r w:rsidRPr="00916968">
        <w:rPr>
          <w:snapToGrid w:val="0"/>
          <w:lang w:val="fr-FR"/>
        </w:rPr>
        <w:t xml:space="preserve"> </w:t>
      </w:r>
      <w:r w:rsidR="003463FF" w:rsidRPr="00916968">
        <w:rPr>
          <w:snapToGrid w:val="0"/>
          <w:lang w:val="fr-FR"/>
        </w:rPr>
        <w:t>et</w:t>
      </w:r>
      <w:r w:rsidR="001C46B6" w:rsidRPr="00916968">
        <w:rPr>
          <w:snapToGrid w:val="0"/>
          <w:lang w:val="fr-FR"/>
        </w:rPr>
        <w:t xml:space="preserve"> le TWA</w:t>
      </w:r>
      <w:r w:rsidRPr="00916968">
        <w:rPr>
          <w:snapToGrid w:val="0"/>
          <w:lang w:val="fr-FR"/>
        </w:rPr>
        <w:t xml:space="preserve"> </w:t>
      </w:r>
      <w:r w:rsidR="003463FF" w:rsidRPr="00916968">
        <w:rPr>
          <w:snapToGrid w:val="0"/>
          <w:lang w:val="fr-FR"/>
        </w:rPr>
        <w:t xml:space="preserve">ont respectivement </w:t>
      </w:r>
      <w:r w:rsidR="00460C18" w:rsidRPr="00916968">
        <w:rPr>
          <w:snapToGrid w:val="0"/>
          <w:lang w:val="fr-FR"/>
        </w:rPr>
        <w:t xml:space="preserve">examiné </w:t>
      </w:r>
      <w:r w:rsidR="003463FF" w:rsidRPr="00916968">
        <w:rPr>
          <w:snapToGrid w:val="0"/>
          <w:lang w:val="fr-FR"/>
        </w:rPr>
        <w:t xml:space="preserve">les </w:t>
      </w:r>
      <w:r w:rsidRPr="00916968">
        <w:rPr>
          <w:snapToGrid w:val="0"/>
          <w:lang w:val="fr-FR"/>
        </w:rPr>
        <w:t>documents TWO/4</w:t>
      </w:r>
      <w:r w:rsidRPr="00916968">
        <w:rPr>
          <w:snapToGrid w:val="0"/>
          <w:lang w:val="fr-FR" w:eastAsia="ja-JP"/>
        </w:rPr>
        <w:t>7</w:t>
      </w:r>
      <w:r w:rsidRPr="00916968">
        <w:rPr>
          <w:snapToGrid w:val="0"/>
          <w:lang w:val="fr-FR"/>
        </w:rPr>
        <w:t>/17, TWF/4</w:t>
      </w:r>
      <w:r w:rsidRPr="00916968">
        <w:rPr>
          <w:snapToGrid w:val="0"/>
          <w:lang w:val="fr-FR" w:eastAsia="ja-JP"/>
        </w:rPr>
        <w:t>5</w:t>
      </w:r>
      <w:r w:rsidRPr="00916968">
        <w:rPr>
          <w:snapToGrid w:val="0"/>
          <w:lang w:val="fr-FR"/>
        </w:rPr>
        <w:t>/17, TWC/3</w:t>
      </w:r>
      <w:r w:rsidRPr="00916968">
        <w:rPr>
          <w:snapToGrid w:val="0"/>
          <w:lang w:val="fr-FR" w:eastAsia="ja-JP"/>
        </w:rPr>
        <w:t>2</w:t>
      </w:r>
      <w:r w:rsidRPr="00916968">
        <w:rPr>
          <w:snapToGrid w:val="0"/>
          <w:lang w:val="fr-FR"/>
        </w:rPr>
        <w:t>/17</w:t>
      </w:r>
      <w:r w:rsidRPr="00916968">
        <w:rPr>
          <w:snapToGrid w:val="0"/>
          <w:lang w:val="fr-FR" w:eastAsia="ja-JP"/>
        </w:rPr>
        <w:t>,</w:t>
      </w:r>
      <w:r w:rsidRPr="00916968">
        <w:rPr>
          <w:snapToGrid w:val="0"/>
          <w:lang w:val="fr-FR"/>
        </w:rPr>
        <w:t xml:space="preserve"> TWV/4</w:t>
      </w:r>
      <w:r w:rsidRPr="00916968">
        <w:rPr>
          <w:snapToGrid w:val="0"/>
          <w:lang w:val="fr-FR" w:eastAsia="ja-JP"/>
        </w:rPr>
        <w:t>8</w:t>
      </w:r>
      <w:r w:rsidRPr="00916968">
        <w:rPr>
          <w:snapToGrid w:val="0"/>
          <w:lang w:val="fr-FR"/>
        </w:rPr>
        <w:t xml:space="preserve">/17 </w:t>
      </w:r>
      <w:r w:rsidR="003463FF" w:rsidRPr="00916968">
        <w:rPr>
          <w:snapToGrid w:val="0"/>
          <w:lang w:val="fr-FR"/>
        </w:rPr>
        <w:t>et</w:t>
      </w:r>
      <w:r w:rsidRPr="00916968">
        <w:rPr>
          <w:snapToGrid w:val="0"/>
          <w:lang w:val="fr-FR"/>
        </w:rPr>
        <w:t xml:space="preserve"> TWA/4</w:t>
      </w:r>
      <w:r w:rsidRPr="00916968">
        <w:rPr>
          <w:snapToGrid w:val="0"/>
          <w:lang w:val="fr-FR" w:eastAsia="ja-JP"/>
        </w:rPr>
        <w:t>3</w:t>
      </w:r>
      <w:r w:rsidRPr="00916968">
        <w:rPr>
          <w:snapToGrid w:val="0"/>
          <w:lang w:val="fr-FR"/>
        </w:rPr>
        <w:t>/17</w:t>
      </w:r>
      <w:r w:rsidR="00E968D7" w:rsidRPr="00916968">
        <w:rPr>
          <w:snapToGrid w:val="0"/>
          <w:lang w:val="fr-FR" w:eastAsia="ja-JP"/>
        </w:rPr>
        <w:t xml:space="preserve"> “</w:t>
      </w:r>
      <w:proofErr w:type="spellStart"/>
      <w:r w:rsidR="00E968D7" w:rsidRPr="00916968">
        <w:rPr>
          <w:lang w:val="fr-FR" w:eastAsia="ja-JP"/>
        </w:rPr>
        <w:t>Revision</w:t>
      </w:r>
      <w:proofErr w:type="spellEnd"/>
      <w:r w:rsidR="00E968D7" w:rsidRPr="00916968">
        <w:rPr>
          <w:lang w:val="fr-FR" w:eastAsia="ja-JP"/>
        </w:rPr>
        <w:t xml:space="preserve"> of document TGP/8</w:t>
      </w:r>
      <w:r w:rsidR="00E6636F" w:rsidRPr="00916968">
        <w:rPr>
          <w:lang w:val="fr-FR" w:eastAsia="ja-JP"/>
        </w:rPr>
        <w:t> </w:t>
      </w:r>
      <w:r w:rsidR="00E968D7" w:rsidRPr="00916968">
        <w:rPr>
          <w:lang w:val="fr-FR" w:eastAsia="ja-JP"/>
        </w:rPr>
        <w:t>: Part II</w:t>
      </w:r>
      <w:r w:rsidR="00E6636F" w:rsidRPr="00916968">
        <w:rPr>
          <w:lang w:val="fr-FR" w:eastAsia="ja-JP"/>
        </w:rPr>
        <w:t> </w:t>
      </w:r>
      <w:r w:rsidR="00E968D7" w:rsidRPr="00916968">
        <w:rPr>
          <w:lang w:val="fr-FR" w:eastAsia="ja-JP"/>
        </w:rPr>
        <w:t xml:space="preserve">: </w:t>
      </w:r>
      <w:proofErr w:type="spellStart"/>
      <w:r w:rsidR="00E968D7" w:rsidRPr="00916968">
        <w:rPr>
          <w:lang w:val="fr-FR" w:eastAsia="ja-JP"/>
        </w:rPr>
        <w:t>Selected</w:t>
      </w:r>
      <w:proofErr w:type="spellEnd"/>
      <w:r w:rsidR="00E968D7" w:rsidRPr="00916968">
        <w:rPr>
          <w:lang w:val="fr-FR" w:eastAsia="ja-JP"/>
        </w:rPr>
        <w:t xml:space="preserve"> Techniques </w:t>
      </w:r>
      <w:proofErr w:type="spellStart"/>
      <w:r w:rsidR="00E968D7" w:rsidRPr="00916968">
        <w:rPr>
          <w:lang w:val="fr-FR" w:eastAsia="ja-JP"/>
        </w:rPr>
        <w:t>used</w:t>
      </w:r>
      <w:proofErr w:type="spellEnd"/>
      <w:r w:rsidR="00E968D7" w:rsidRPr="00916968">
        <w:rPr>
          <w:lang w:val="fr-FR" w:eastAsia="ja-JP"/>
        </w:rPr>
        <w:t xml:space="preserve"> in DUS </w:t>
      </w:r>
      <w:proofErr w:type="spellStart"/>
      <w:r w:rsidR="00E968D7" w:rsidRPr="00916968">
        <w:rPr>
          <w:lang w:val="fr-FR" w:eastAsia="ja-JP"/>
        </w:rPr>
        <w:t>Examination</w:t>
      </w:r>
      <w:proofErr w:type="spellEnd"/>
      <w:r w:rsidR="00E968D7" w:rsidRPr="00916968">
        <w:rPr>
          <w:lang w:val="fr-FR" w:eastAsia="ja-JP"/>
        </w:rPr>
        <w:t>, New Section</w:t>
      </w:r>
      <w:r w:rsidR="00E6636F" w:rsidRPr="00916968">
        <w:rPr>
          <w:lang w:val="fr-FR" w:eastAsia="ja-JP"/>
        </w:rPr>
        <w:t> </w:t>
      </w:r>
      <w:r w:rsidR="00E968D7" w:rsidRPr="00916968">
        <w:rPr>
          <w:lang w:val="fr-FR" w:eastAsia="ja-JP"/>
        </w:rPr>
        <w:t>11</w:t>
      </w:r>
      <w:r w:rsidR="00E6636F" w:rsidRPr="00916968">
        <w:rPr>
          <w:lang w:val="fr-FR" w:eastAsia="ja-JP"/>
        </w:rPr>
        <w:t> </w:t>
      </w:r>
      <w:r w:rsidR="00E968D7" w:rsidRPr="00916968">
        <w:rPr>
          <w:lang w:val="fr-FR" w:eastAsia="ja-JP"/>
        </w:rPr>
        <w:t xml:space="preserve">: </w:t>
      </w:r>
      <w:proofErr w:type="spellStart"/>
      <w:r w:rsidR="00E968D7" w:rsidRPr="00916968">
        <w:rPr>
          <w:lang w:val="fr-FR" w:eastAsia="ja-JP"/>
        </w:rPr>
        <w:t>Examining</w:t>
      </w:r>
      <w:proofErr w:type="spellEnd"/>
      <w:r w:rsidR="00E968D7" w:rsidRPr="00916968">
        <w:rPr>
          <w:lang w:val="fr-FR" w:eastAsia="ja-JP"/>
        </w:rPr>
        <w:t xml:space="preserve"> DUS in </w:t>
      </w:r>
      <w:proofErr w:type="spellStart"/>
      <w:r w:rsidR="00E968D7" w:rsidRPr="00916968">
        <w:rPr>
          <w:lang w:val="fr-FR" w:eastAsia="ja-JP"/>
        </w:rPr>
        <w:t>Bulk</w:t>
      </w:r>
      <w:proofErr w:type="spellEnd"/>
      <w:r w:rsidR="00E968D7" w:rsidRPr="00916968">
        <w:rPr>
          <w:lang w:val="fr-FR" w:eastAsia="ja-JP"/>
        </w:rPr>
        <w:t xml:space="preserve"> </w:t>
      </w:r>
      <w:proofErr w:type="spellStart"/>
      <w:r w:rsidR="00E968D7" w:rsidRPr="00916968">
        <w:rPr>
          <w:lang w:val="fr-FR" w:eastAsia="ja-JP"/>
        </w:rPr>
        <w:t>Samples</w:t>
      </w:r>
      <w:proofErr w:type="spellEnd"/>
      <w:r w:rsidR="00E968D7" w:rsidRPr="00916968">
        <w:rPr>
          <w:lang w:val="fr-FR" w:eastAsia="ja-JP"/>
        </w:rPr>
        <w:t>”</w:t>
      </w:r>
      <w:r w:rsidRPr="00916968">
        <w:rPr>
          <w:snapToGrid w:val="0"/>
          <w:lang w:val="fr-FR"/>
        </w:rPr>
        <w:t>.</w:t>
      </w:r>
    </w:p>
    <w:p w:rsidR="008F37AE" w:rsidRPr="00916968" w:rsidRDefault="008F37AE" w:rsidP="00916968">
      <w:pPr>
        <w:rPr>
          <w:snapToGrid w:val="0"/>
          <w:lang w:val="fr-FR" w:eastAsia="ja-JP"/>
        </w:rPr>
      </w:pPr>
    </w:p>
    <w:p w:rsidR="008F37AE" w:rsidRPr="00916968" w:rsidRDefault="00180A1F" w:rsidP="00916968">
      <w:pPr>
        <w:rPr>
          <w:rFonts w:cs="Arial"/>
          <w:lang w:val="fr-FR" w:eastAsia="ja-JP"/>
        </w:rPr>
      </w:pPr>
      <w:r w:rsidRPr="00916968">
        <w:rPr>
          <w:lang w:val="fr-FR"/>
        </w:rPr>
        <w:fldChar w:fldCharType="begin"/>
      </w:r>
      <w:r w:rsidRPr="00916968">
        <w:rPr>
          <w:lang w:val="fr-FR"/>
        </w:rPr>
        <w:instrText xml:space="preserve"> AUTONUM  </w:instrText>
      </w:r>
      <w:r w:rsidRPr="00916968">
        <w:rPr>
          <w:lang w:val="fr-FR"/>
        </w:rPr>
        <w:fldChar w:fldCharType="end"/>
      </w:r>
      <w:r w:rsidRPr="00916968">
        <w:rPr>
          <w:lang w:val="fr-FR"/>
        </w:rPr>
        <w:tab/>
      </w:r>
      <w:r w:rsidR="003463FF" w:rsidRPr="00916968">
        <w:rPr>
          <w:lang w:val="fr-FR"/>
        </w:rPr>
        <w:t>Le</w:t>
      </w:r>
      <w:r w:rsidRPr="00916968">
        <w:rPr>
          <w:lang w:val="fr-FR"/>
        </w:rPr>
        <w:t xml:space="preserve"> TWO</w:t>
      </w:r>
      <w:r w:rsidRPr="00916968">
        <w:rPr>
          <w:lang w:val="fr-FR" w:eastAsia="ja-JP"/>
        </w:rPr>
        <w:t>,</w:t>
      </w:r>
      <w:r w:rsidR="001C46B6" w:rsidRPr="00916968">
        <w:rPr>
          <w:lang w:val="fr-FR" w:eastAsia="ja-JP"/>
        </w:rPr>
        <w:t xml:space="preserve"> le TWF</w:t>
      </w:r>
      <w:r w:rsidRPr="00916968">
        <w:rPr>
          <w:lang w:val="fr-FR" w:eastAsia="ja-JP"/>
        </w:rPr>
        <w:t xml:space="preserve"> </w:t>
      </w:r>
      <w:r w:rsidR="003463FF" w:rsidRPr="00916968">
        <w:rPr>
          <w:lang w:val="fr-FR" w:eastAsia="ja-JP"/>
        </w:rPr>
        <w:t>et</w:t>
      </w:r>
      <w:r w:rsidR="001C46B6" w:rsidRPr="00916968">
        <w:rPr>
          <w:lang w:val="fr-FR" w:eastAsia="ja-JP"/>
        </w:rPr>
        <w:t xml:space="preserve"> le TWV</w:t>
      </w:r>
      <w:r w:rsidRPr="00916968">
        <w:rPr>
          <w:lang w:val="fr-FR" w:eastAsia="ja-JP"/>
        </w:rPr>
        <w:t xml:space="preserve"> </w:t>
      </w:r>
      <w:r w:rsidR="003463FF" w:rsidRPr="00916968">
        <w:rPr>
          <w:lang w:val="fr-FR" w:eastAsia="ja-JP"/>
        </w:rPr>
        <w:t xml:space="preserve">ont </w:t>
      </w:r>
      <w:r w:rsidR="00455441" w:rsidRPr="00916968">
        <w:rPr>
          <w:lang w:val="fr-FR" w:eastAsia="ja-JP"/>
        </w:rPr>
        <w:t>étudi</w:t>
      </w:r>
      <w:r w:rsidR="003463FF" w:rsidRPr="00916968">
        <w:rPr>
          <w:lang w:val="fr-FR" w:eastAsia="ja-JP"/>
        </w:rPr>
        <w:t>é l</w:t>
      </w:r>
      <w:r w:rsidR="001C46B6" w:rsidRPr="00916968">
        <w:rPr>
          <w:lang w:val="fr-FR" w:eastAsia="ja-JP"/>
        </w:rPr>
        <w:t>’</w:t>
      </w:r>
      <w:r w:rsidR="003463FF" w:rsidRPr="00916968">
        <w:rPr>
          <w:lang w:val="fr-FR" w:eastAsia="ja-JP"/>
        </w:rPr>
        <w:t xml:space="preserve">exemple de caractère </w:t>
      </w:r>
      <w:r w:rsidR="00460C18" w:rsidRPr="00916968">
        <w:rPr>
          <w:lang w:val="fr-FR" w:eastAsia="ja-JP"/>
        </w:rPr>
        <w:t>examiné sur la base d</w:t>
      </w:r>
      <w:r w:rsidR="001C46B6" w:rsidRPr="00916968">
        <w:rPr>
          <w:lang w:val="fr-FR" w:eastAsia="ja-JP"/>
        </w:rPr>
        <w:t>’</w:t>
      </w:r>
      <w:r w:rsidR="00460C18" w:rsidRPr="00916968">
        <w:rPr>
          <w:lang w:val="fr-FR" w:eastAsia="ja-JP"/>
        </w:rPr>
        <w:t xml:space="preserve">un échantillon </w:t>
      </w:r>
      <w:r w:rsidR="003463FF" w:rsidRPr="00916968">
        <w:rPr>
          <w:lang w:val="fr-FR" w:eastAsia="ja-JP"/>
        </w:rPr>
        <w:t>global fourni par les Pays</w:t>
      </w:r>
      <w:r w:rsidR="00055BD9" w:rsidRPr="00916968">
        <w:rPr>
          <w:szCs w:val="22"/>
          <w:lang w:val="fr-FR" w:eastAsia="ja-JP"/>
        </w:rPr>
        <w:noBreakHyphen/>
      </w:r>
      <w:r w:rsidR="003463FF" w:rsidRPr="00916968">
        <w:rPr>
          <w:szCs w:val="22"/>
          <w:lang w:val="fr-FR" w:eastAsia="ja-JP"/>
        </w:rPr>
        <w:t xml:space="preserve">Bas et sont convenus que </w:t>
      </w:r>
      <w:r w:rsidR="00460C18" w:rsidRPr="00916968">
        <w:rPr>
          <w:szCs w:val="22"/>
          <w:lang w:val="fr-FR" w:eastAsia="ja-JP"/>
        </w:rPr>
        <w:t>le barème</w:t>
      </w:r>
      <w:r w:rsidR="003463FF" w:rsidRPr="00916968">
        <w:rPr>
          <w:szCs w:val="22"/>
          <w:lang w:val="fr-FR" w:eastAsia="ja-JP"/>
        </w:rPr>
        <w:t xml:space="preserve"> utilisé devrait contenir des notes qui ne se chevauchent pas </w:t>
      </w:r>
      <w:r w:rsidRPr="00916968">
        <w:rPr>
          <w:rFonts w:cs="Arial"/>
          <w:lang w:val="fr-FR"/>
        </w:rPr>
        <w:t>(0</w:t>
      </w:r>
      <w:r w:rsidR="00055BD9" w:rsidRPr="00916968">
        <w:rPr>
          <w:rFonts w:cs="Arial"/>
          <w:lang w:val="fr-FR"/>
        </w:rPr>
        <w:noBreakHyphen/>
      </w:r>
      <w:r w:rsidRPr="00916968">
        <w:rPr>
          <w:rFonts w:cs="Arial"/>
          <w:lang w:val="fr-FR"/>
        </w:rPr>
        <w:t xml:space="preserve">5; </w:t>
      </w:r>
      <w:r w:rsidR="00E6636F" w:rsidRPr="00916968">
        <w:rPr>
          <w:rFonts w:cs="Arial"/>
          <w:lang w:val="fr-FR"/>
        </w:rPr>
        <w:t xml:space="preserve"> </w:t>
      </w:r>
      <w:r w:rsidRPr="00916968">
        <w:rPr>
          <w:rFonts w:cs="Arial"/>
          <w:strike/>
          <w:highlight w:val="lightGray"/>
          <w:lang w:val="fr-FR"/>
        </w:rPr>
        <w:t>5</w:t>
      </w:r>
      <w:r w:rsidRPr="00916968">
        <w:rPr>
          <w:rFonts w:cs="Arial"/>
          <w:highlight w:val="lightGray"/>
          <w:u w:val="single"/>
          <w:lang w:val="fr-FR"/>
        </w:rPr>
        <w:t>6</w:t>
      </w:r>
      <w:r w:rsidR="00055BD9" w:rsidRPr="00916968">
        <w:rPr>
          <w:rFonts w:cs="Arial"/>
          <w:lang w:val="fr-FR"/>
        </w:rPr>
        <w:noBreakHyphen/>
      </w:r>
      <w:r w:rsidRPr="00916968">
        <w:rPr>
          <w:rFonts w:cs="Arial"/>
          <w:lang w:val="fr-FR"/>
        </w:rPr>
        <w:t xml:space="preserve">10; </w:t>
      </w:r>
      <w:r w:rsidR="00E6636F" w:rsidRPr="00916968">
        <w:rPr>
          <w:rFonts w:cs="Arial"/>
          <w:lang w:val="fr-FR"/>
        </w:rPr>
        <w:t xml:space="preserve"> </w:t>
      </w:r>
      <w:r w:rsidRPr="00916968">
        <w:rPr>
          <w:rFonts w:cs="Arial"/>
          <w:strike/>
          <w:highlight w:val="lightGray"/>
          <w:lang w:val="fr-FR"/>
        </w:rPr>
        <w:t>10</w:t>
      </w:r>
      <w:r w:rsidRPr="00916968">
        <w:rPr>
          <w:rFonts w:cs="Arial"/>
          <w:highlight w:val="lightGray"/>
          <w:u w:val="single"/>
          <w:lang w:val="fr-FR"/>
        </w:rPr>
        <w:t>11</w:t>
      </w:r>
      <w:r w:rsidR="00055BD9" w:rsidRPr="00916968">
        <w:rPr>
          <w:rFonts w:cs="Arial"/>
          <w:lang w:val="fr-FR"/>
        </w:rPr>
        <w:noBreakHyphen/>
      </w:r>
      <w:r w:rsidRPr="00916968">
        <w:rPr>
          <w:rFonts w:cs="Arial"/>
          <w:lang w:val="fr-FR"/>
        </w:rPr>
        <w:t xml:space="preserve">15; </w:t>
      </w:r>
      <w:r w:rsidR="00E6636F" w:rsidRPr="00916968">
        <w:rPr>
          <w:rFonts w:cs="Arial"/>
          <w:lang w:val="fr-FR"/>
        </w:rPr>
        <w:t xml:space="preserve"> </w:t>
      </w:r>
      <w:r w:rsidRPr="00916968">
        <w:rPr>
          <w:rFonts w:cs="Arial"/>
          <w:lang w:val="fr-FR"/>
        </w:rPr>
        <w:t>…)</w:t>
      </w:r>
      <w:r w:rsidR="004343A2" w:rsidRPr="00916968">
        <w:rPr>
          <w:rFonts w:cs="Arial"/>
          <w:lang w:val="fr-FR" w:eastAsia="ja-JP"/>
        </w:rPr>
        <w:t xml:space="preserve"> </w:t>
      </w:r>
      <w:r w:rsidRPr="00916968">
        <w:rPr>
          <w:rFonts w:cs="Arial"/>
          <w:lang w:val="fr-FR" w:eastAsia="ja-JP"/>
        </w:rPr>
        <w:t>(</w:t>
      </w:r>
      <w:r w:rsidR="003463FF" w:rsidRPr="00916968">
        <w:rPr>
          <w:rFonts w:cs="Arial"/>
          <w:lang w:val="fr-FR" w:eastAsia="ja-JP"/>
        </w:rPr>
        <w:t>voir</w:t>
      </w:r>
      <w:r w:rsidR="00460C18" w:rsidRPr="00916968">
        <w:rPr>
          <w:rFonts w:cs="Arial"/>
          <w:lang w:val="fr-FR" w:eastAsia="ja-JP"/>
        </w:rPr>
        <w:t>,</w:t>
      </w:r>
      <w:r w:rsidR="003463FF" w:rsidRPr="00916968">
        <w:rPr>
          <w:rFonts w:cs="Arial"/>
          <w:lang w:val="fr-FR" w:eastAsia="ja-JP"/>
        </w:rPr>
        <w:t xml:space="preserve"> respectivement</w:t>
      </w:r>
      <w:r w:rsidR="00460C18" w:rsidRPr="00916968">
        <w:rPr>
          <w:rFonts w:cs="Arial"/>
          <w:lang w:val="fr-FR" w:eastAsia="ja-JP"/>
        </w:rPr>
        <w:t>,</w:t>
      </w:r>
      <w:r w:rsidR="003463FF" w:rsidRPr="00916968">
        <w:rPr>
          <w:rFonts w:cs="Arial"/>
          <w:lang w:val="fr-FR" w:eastAsia="ja-JP"/>
        </w:rPr>
        <w:t xml:space="preserve"> le paragraphe</w:t>
      </w:r>
      <w:r w:rsidR="00E6636F" w:rsidRPr="00916968">
        <w:rPr>
          <w:rFonts w:cs="Arial"/>
          <w:lang w:val="fr-FR" w:eastAsia="ja-JP"/>
        </w:rPr>
        <w:t> </w:t>
      </w:r>
      <w:r w:rsidR="003463FF" w:rsidRPr="00916968">
        <w:rPr>
          <w:rFonts w:cs="Arial"/>
          <w:lang w:val="fr-FR" w:eastAsia="ja-JP"/>
        </w:rPr>
        <w:t xml:space="preserve">44 du </w:t>
      </w:r>
      <w:r w:rsidR="001C46B6" w:rsidRPr="00916968">
        <w:rPr>
          <w:rFonts w:cs="Arial"/>
          <w:lang w:val="fr-FR" w:eastAsia="ja-JP"/>
        </w:rPr>
        <w:t>document TW</w:t>
      </w:r>
      <w:r w:rsidRPr="00916968">
        <w:rPr>
          <w:rFonts w:cs="Arial"/>
          <w:lang w:val="fr-FR" w:eastAsia="ja-JP"/>
        </w:rPr>
        <w:t>O/47/28 “Report”</w:t>
      </w:r>
      <w:r w:rsidR="004900CE" w:rsidRPr="00916968">
        <w:rPr>
          <w:rFonts w:cs="Arial"/>
          <w:lang w:val="fr-FR" w:eastAsia="ja-JP"/>
        </w:rPr>
        <w:t>,</w:t>
      </w:r>
      <w:r w:rsidRPr="00916968">
        <w:rPr>
          <w:rFonts w:cs="Arial"/>
          <w:lang w:val="fr-FR" w:eastAsia="ja-JP"/>
        </w:rPr>
        <w:t xml:space="preserve"> </w:t>
      </w:r>
      <w:r w:rsidR="003463FF" w:rsidRPr="00916968">
        <w:rPr>
          <w:rFonts w:cs="Arial"/>
          <w:lang w:val="fr-FR" w:eastAsia="ja-JP"/>
        </w:rPr>
        <w:t>le paragraphe</w:t>
      </w:r>
      <w:r w:rsidR="00E6636F" w:rsidRPr="00916968">
        <w:rPr>
          <w:rFonts w:cs="Arial"/>
          <w:lang w:val="fr-FR" w:eastAsia="ja-JP"/>
        </w:rPr>
        <w:t> </w:t>
      </w:r>
      <w:r w:rsidR="003463FF" w:rsidRPr="00916968">
        <w:rPr>
          <w:rFonts w:cs="Arial"/>
          <w:lang w:val="fr-FR" w:eastAsia="ja-JP"/>
        </w:rPr>
        <w:t xml:space="preserve">35 du document </w:t>
      </w:r>
      <w:r w:rsidRPr="00916968">
        <w:rPr>
          <w:rFonts w:cs="Arial"/>
          <w:lang w:val="fr-FR" w:eastAsia="ja-JP"/>
        </w:rPr>
        <w:t xml:space="preserve">TWF/45/32 “Report” </w:t>
      </w:r>
      <w:r w:rsidR="003463FF" w:rsidRPr="00916968">
        <w:rPr>
          <w:rFonts w:cs="Arial"/>
          <w:lang w:val="fr-FR" w:eastAsia="ja-JP"/>
        </w:rPr>
        <w:t>et le paragraphe</w:t>
      </w:r>
      <w:r w:rsidR="00E6636F" w:rsidRPr="00916968">
        <w:rPr>
          <w:rFonts w:cs="Arial"/>
          <w:lang w:val="fr-FR" w:eastAsia="ja-JP"/>
        </w:rPr>
        <w:t> </w:t>
      </w:r>
      <w:r w:rsidR="003463FF" w:rsidRPr="00916968">
        <w:rPr>
          <w:rFonts w:cs="Arial"/>
          <w:lang w:val="fr-FR" w:eastAsia="ja-JP"/>
        </w:rPr>
        <w:t xml:space="preserve">40 du document </w:t>
      </w:r>
      <w:r w:rsidRPr="00916968">
        <w:rPr>
          <w:rFonts w:cs="Arial"/>
          <w:lang w:val="fr-FR" w:eastAsia="ja-JP"/>
        </w:rPr>
        <w:t>TWV/48/43 “Report”)</w:t>
      </w:r>
      <w:r w:rsidR="004900CE" w:rsidRPr="00916968">
        <w:rPr>
          <w:rFonts w:cs="Arial"/>
          <w:lang w:val="fr-FR" w:eastAsia="ja-JP"/>
        </w:rPr>
        <w:t>.</w:t>
      </w:r>
    </w:p>
    <w:p w:rsidR="008F37AE" w:rsidRPr="00916968" w:rsidRDefault="008F37AE" w:rsidP="00916968">
      <w:pPr>
        <w:rPr>
          <w:rFonts w:cs="Arial"/>
          <w:lang w:val="fr-FR"/>
        </w:rPr>
      </w:pPr>
    </w:p>
    <w:p w:rsidR="008F37AE" w:rsidRPr="00916968" w:rsidRDefault="00180A1F" w:rsidP="00916968">
      <w:pPr>
        <w:rPr>
          <w:rFonts w:cs="Arial"/>
          <w:lang w:val="fr-FR"/>
        </w:rPr>
      </w:pPr>
      <w:r w:rsidRPr="00916968">
        <w:rPr>
          <w:lang w:val="fr-FR"/>
        </w:rPr>
        <w:fldChar w:fldCharType="begin"/>
      </w:r>
      <w:r w:rsidRPr="00916968">
        <w:rPr>
          <w:lang w:val="fr-FR"/>
        </w:rPr>
        <w:instrText xml:space="preserve"> AUTONUM  </w:instrText>
      </w:r>
      <w:r w:rsidRPr="00916968">
        <w:rPr>
          <w:lang w:val="fr-FR"/>
        </w:rPr>
        <w:fldChar w:fldCharType="end"/>
      </w:r>
      <w:r w:rsidRPr="00916968">
        <w:rPr>
          <w:lang w:val="fr-FR"/>
        </w:rPr>
        <w:tab/>
      </w:r>
      <w:r w:rsidR="003463FF" w:rsidRPr="00916968">
        <w:rPr>
          <w:lang w:val="fr-FR"/>
        </w:rPr>
        <w:t>Le</w:t>
      </w:r>
      <w:r w:rsidRPr="00916968">
        <w:rPr>
          <w:lang w:val="fr-FR"/>
        </w:rPr>
        <w:t xml:space="preserve"> TWO </w:t>
      </w:r>
      <w:r w:rsidR="003463FF" w:rsidRPr="00916968">
        <w:rPr>
          <w:lang w:val="fr-FR"/>
        </w:rPr>
        <w:t>a pris note de l</w:t>
      </w:r>
      <w:r w:rsidR="001C46B6" w:rsidRPr="00916968">
        <w:rPr>
          <w:lang w:val="fr-FR"/>
        </w:rPr>
        <w:t>’</w:t>
      </w:r>
      <w:r w:rsidRPr="00916968">
        <w:rPr>
          <w:lang w:val="fr-FR"/>
        </w:rPr>
        <w:t xml:space="preserve">information </w:t>
      </w:r>
      <w:r w:rsidR="003463FF" w:rsidRPr="00916968">
        <w:rPr>
          <w:lang w:val="fr-FR"/>
        </w:rPr>
        <w:t xml:space="preserve">selon laquelle </w:t>
      </w:r>
      <w:r w:rsidRPr="00916968">
        <w:rPr>
          <w:lang w:val="fr-FR"/>
        </w:rPr>
        <w:t xml:space="preserve">“[…] </w:t>
      </w:r>
      <w:r w:rsidR="00877BED" w:rsidRPr="00916968">
        <w:rPr>
          <w:i/>
          <w:lang w:val="fr-FR"/>
        </w:rPr>
        <w:t xml:space="preserve">les résultats par variété sont stables </w:t>
      </w:r>
      <w:r w:rsidR="00B950FB" w:rsidRPr="00916968">
        <w:rPr>
          <w:i/>
          <w:lang w:val="fr-FR"/>
        </w:rPr>
        <w:t>sur plusieurs</w:t>
      </w:r>
      <w:r w:rsidR="00877BED" w:rsidRPr="00916968">
        <w:rPr>
          <w:i/>
          <w:lang w:val="fr-FR"/>
        </w:rPr>
        <w:t xml:space="preserve"> années avec seulement trois</w:t>
      </w:r>
      <w:r w:rsidR="00E6636F" w:rsidRPr="00916968">
        <w:rPr>
          <w:i/>
          <w:lang w:val="fr-FR"/>
        </w:rPr>
        <w:t> </w:t>
      </w:r>
      <w:r w:rsidR="00877BED" w:rsidRPr="00916968">
        <w:rPr>
          <w:i/>
          <w:lang w:val="fr-FR"/>
        </w:rPr>
        <w:t xml:space="preserve">plantes par variété.  </w:t>
      </w:r>
      <w:r w:rsidR="00BC5945" w:rsidRPr="00916968">
        <w:rPr>
          <w:i/>
          <w:lang w:val="fr-FR"/>
        </w:rPr>
        <w:t>Cela indique que le caractère est homogène entre les plantes au sein de la variété</w:t>
      </w:r>
      <w:r w:rsidR="00ED7240" w:rsidRPr="00916968">
        <w:rPr>
          <w:i/>
          <w:lang w:val="fr-FR"/>
        </w:rPr>
        <w:t> </w:t>
      </w:r>
      <w:r w:rsidR="004343A2" w:rsidRPr="00916968">
        <w:rPr>
          <w:lang w:val="fr-FR"/>
        </w:rPr>
        <w:t xml:space="preserve">[…]”. </w:t>
      </w:r>
      <w:r w:rsidR="001C46B6" w:rsidRPr="00916968">
        <w:rPr>
          <w:lang w:val="fr-FR"/>
        </w:rPr>
        <w:t xml:space="preserve"> Le TWO</w:t>
      </w:r>
      <w:r w:rsidR="004343A2" w:rsidRPr="00916968">
        <w:rPr>
          <w:lang w:val="fr-FR"/>
        </w:rPr>
        <w:t xml:space="preserve"> </w:t>
      </w:r>
      <w:r w:rsidR="00BC5945" w:rsidRPr="00916968">
        <w:rPr>
          <w:lang w:val="fr-FR" w:eastAsia="ja-JP"/>
        </w:rPr>
        <w:t>et</w:t>
      </w:r>
      <w:r w:rsidR="001C46B6" w:rsidRPr="00916968">
        <w:rPr>
          <w:lang w:val="fr-FR" w:eastAsia="ja-JP"/>
        </w:rPr>
        <w:t xml:space="preserve"> le TWA</w:t>
      </w:r>
      <w:r w:rsidRPr="00916968">
        <w:rPr>
          <w:lang w:val="fr-FR" w:eastAsia="ja-JP"/>
        </w:rPr>
        <w:t xml:space="preserve"> </w:t>
      </w:r>
      <w:r w:rsidR="00BC5945" w:rsidRPr="00916968">
        <w:rPr>
          <w:lang w:val="fr-FR" w:eastAsia="ja-JP"/>
        </w:rPr>
        <w:t>sont convenus que la méthode habituelle</w:t>
      </w:r>
      <w:r w:rsidR="00460C18" w:rsidRPr="00916968">
        <w:rPr>
          <w:lang w:val="fr-FR" w:eastAsia="ja-JP"/>
        </w:rPr>
        <w:t>ment appliquée</w:t>
      </w:r>
      <w:r w:rsidR="00BC5945" w:rsidRPr="00916968">
        <w:rPr>
          <w:lang w:val="fr-FR" w:eastAsia="ja-JP"/>
        </w:rPr>
        <w:t xml:space="preserve"> consistait à </w:t>
      </w:r>
      <w:r w:rsidR="00460C18" w:rsidRPr="00916968">
        <w:rPr>
          <w:lang w:val="fr-FR" w:eastAsia="ja-JP"/>
        </w:rPr>
        <w:t>vérifier</w:t>
      </w:r>
      <w:r w:rsidR="00BC5945" w:rsidRPr="00916968">
        <w:rPr>
          <w:lang w:val="fr-FR" w:eastAsia="ja-JP"/>
        </w:rPr>
        <w:t xml:space="preserve"> l</w:t>
      </w:r>
      <w:r w:rsidR="001C46B6" w:rsidRPr="00916968">
        <w:rPr>
          <w:lang w:val="fr-FR" w:eastAsia="ja-JP"/>
        </w:rPr>
        <w:t>’</w:t>
      </w:r>
      <w:r w:rsidR="00BC5945" w:rsidRPr="00916968">
        <w:rPr>
          <w:lang w:val="fr-FR" w:eastAsia="ja-JP"/>
        </w:rPr>
        <w:t>homogénéité avant l</w:t>
      </w:r>
      <w:r w:rsidR="001C46B6" w:rsidRPr="00916968">
        <w:rPr>
          <w:lang w:val="fr-FR" w:eastAsia="ja-JP"/>
        </w:rPr>
        <w:t>’</w:t>
      </w:r>
      <w:r w:rsidR="00BC5945" w:rsidRPr="00916968">
        <w:rPr>
          <w:lang w:val="fr-FR" w:eastAsia="ja-JP"/>
        </w:rPr>
        <w:t>établissement de la stabilité et qu</w:t>
      </w:r>
      <w:r w:rsidR="001C46B6" w:rsidRPr="00916968">
        <w:rPr>
          <w:lang w:val="fr-FR" w:eastAsia="ja-JP"/>
        </w:rPr>
        <w:t>’</w:t>
      </w:r>
      <w:r w:rsidR="00BC5945" w:rsidRPr="00916968">
        <w:rPr>
          <w:lang w:val="fr-FR" w:eastAsia="ja-JP"/>
        </w:rPr>
        <w:t xml:space="preserve">il faudrait examiner la stabilité </w:t>
      </w:r>
      <w:r w:rsidR="00460C18" w:rsidRPr="00916968">
        <w:rPr>
          <w:lang w:val="fr-FR" w:eastAsia="ja-JP"/>
        </w:rPr>
        <w:t>avec prudence en vue</w:t>
      </w:r>
      <w:r w:rsidR="00BC5945" w:rsidRPr="00916968">
        <w:rPr>
          <w:lang w:val="fr-FR" w:eastAsia="ja-JP"/>
        </w:rPr>
        <w:t xml:space="preserve"> d</w:t>
      </w:r>
      <w:r w:rsidR="001C46B6" w:rsidRPr="00916968">
        <w:rPr>
          <w:lang w:val="fr-FR" w:eastAsia="ja-JP"/>
        </w:rPr>
        <w:t>’</w:t>
      </w:r>
      <w:r w:rsidR="00BC5945" w:rsidRPr="00916968">
        <w:rPr>
          <w:lang w:val="fr-FR" w:eastAsia="ja-JP"/>
        </w:rPr>
        <w:t>établir l</w:t>
      </w:r>
      <w:r w:rsidR="001C46B6" w:rsidRPr="00916968">
        <w:rPr>
          <w:lang w:val="fr-FR" w:eastAsia="ja-JP"/>
        </w:rPr>
        <w:t>’</w:t>
      </w:r>
      <w:r w:rsidR="00BC5945" w:rsidRPr="00916968">
        <w:rPr>
          <w:lang w:val="fr-FR" w:eastAsia="ja-JP"/>
        </w:rPr>
        <w:t>homogénéité d</w:t>
      </w:r>
      <w:r w:rsidR="001C46B6" w:rsidRPr="00916968">
        <w:rPr>
          <w:lang w:val="fr-FR" w:eastAsia="ja-JP"/>
        </w:rPr>
        <w:t>’</w:t>
      </w:r>
      <w:r w:rsidR="00BC5945" w:rsidRPr="00916968">
        <w:rPr>
          <w:lang w:val="fr-FR" w:eastAsia="ja-JP"/>
        </w:rPr>
        <w:t xml:space="preserve">une variété pour un caractère donné </w:t>
      </w:r>
      <w:r w:rsidRPr="00916968">
        <w:rPr>
          <w:rFonts w:cs="Arial"/>
          <w:lang w:val="fr-FR" w:eastAsia="ja-JP"/>
        </w:rPr>
        <w:t>(</w:t>
      </w:r>
      <w:r w:rsidR="00BC5945" w:rsidRPr="00916968">
        <w:rPr>
          <w:rFonts w:cs="Arial"/>
          <w:lang w:val="fr-FR" w:eastAsia="ja-JP"/>
        </w:rPr>
        <w:t>voir le paragraphe</w:t>
      </w:r>
      <w:r w:rsidR="00E6636F" w:rsidRPr="00916968">
        <w:rPr>
          <w:rFonts w:cs="Arial"/>
          <w:lang w:val="fr-FR" w:eastAsia="ja-JP"/>
        </w:rPr>
        <w:t> </w:t>
      </w:r>
      <w:r w:rsidR="00BC5945" w:rsidRPr="00916968">
        <w:rPr>
          <w:rFonts w:cs="Arial"/>
          <w:lang w:val="fr-FR" w:eastAsia="ja-JP"/>
        </w:rPr>
        <w:t>45 du document</w:t>
      </w:r>
      <w:r w:rsidRPr="00916968">
        <w:rPr>
          <w:rFonts w:cs="Arial"/>
          <w:lang w:val="fr-FR" w:eastAsia="ja-JP"/>
        </w:rPr>
        <w:t xml:space="preserve"> TWO/47/28</w:t>
      </w:r>
      <w:r w:rsidR="00BC5945" w:rsidRPr="00916968">
        <w:rPr>
          <w:rFonts w:cs="Arial"/>
          <w:lang w:val="fr-FR" w:eastAsia="ja-JP"/>
        </w:rPr>
        <w:t xml:space="preserve"> et le paragraphe</w:t>
      </w:r>
      <w:r w:rsidR="00E6636F" w:rsidRPr="00916968">
        <w:rPr>
          <w:rFonts w:cs="Arial"/>
          <w:lang w:val="fr-FR" w:eastAsia="ja-JP"/>
        </w:rPr>
        <w:t> </w:t>
      </w:r>
      <w:r w:rsidR="00BC5945" w:rsidRPr="00916968">
        <w:rPr>
          <w:rFonts w:cs="Arial"/>
          <w:lang w:val="fr-FR" w:eastAsia="ja-JP"/>
        </w:rPr>
        <w:t xml:space="preserve">37 du document </w:t>
      </w:r>
      <w:r w:rsidRPr="00916968">
        <w:rPr>
          <w:rFonts w:cs="Arial"/>
          <w:lang w:val="fr-FR" w:eastAsia="ja-JP"/>
        </w:rPr>
        <w:t>TWA/43/27 “Report”)</w:t>
      </w:r>
      <w:r w:rsidRPr="00916968">
        <w:rPr>
          <w:lang w:val="fr-FR"/>
        </w:rPr>
        <w:t>.</w:t>
      </w:r>
    </w:p>
    <w:p w:rsidR="008F37AE" w:rsidRPr="00916968" w:rsidRDefault="008F37AE" w:rsidP="00916968">
      <w:pPr>
        <w:rPr>
          <w:lang w:val="fr-FR"/>
        </w:rPr>
      </w:pPr>
    </w:p>
    <w:p w:rsidR="008F37AE" w:rsidRPr="00916968" w:rsidRDefault="00180A1F" w:rsidP="00916968">
      <w:pPr>
        <w:rPr>
          <w:lang w:val="fr-FR"/>
        </w:rPr>
      </w:pPr>
      <w:r w:rsidRPr="00916968">
        <w:rPr>
          <w:lang w:val="fr-FR"/>
        </w:rPr>
        <w:fldChar w:fldCharType="begin"/>
      </w:r>
      <w:r w:rsidRPr="00916968">
        <w:rPr>
          <w:lang w:val="fr-FR"/>
        </w:rPr>
        <w:instrText xml:space="preserve"> AUTONUM  </w:instrText>
      </w:r>
      <w:r w:rsidRPr="00916968">
        <w:rPr>
          <w:lang w:val="fr-FR"/>
        </w:rPr>
        <w:fldChar w:fldCharType="end"/>
      </w:r>
      <w:r w:rsidRPr="00916968">
        <w:rPr>
          <w:lang w:val="fr-FR"/>
        </w:rPr>
        <w:tab/>
      </w:r>
      <w:r w:rsidR="00BC5945" w:rsidRPr="00916968">
        <w:rPr>
          <w:rFonts w:cs="Arial"/>
          <w:lang w:val="fr-FR"/>
        </w:rPr>
        <w:t>Le</w:t>
      </w:r>
      <w:r w:rsidRPr="00916968">
        <w:rPr>
          <w:rFonts w:cs="Arial"/>
          <w:lang w:val="fr-FR"/>
        </w:rPr>
        <w:t xml:space="preserve"> TWO </w:t>
      </w:r>
      <w:r w:rsidR="00F75119" w:rsidRPr="00916968">
        <w:rPr>
          <w:rFonts w:cs="Arial"/>
          <w:lang w:val="fr-FR"/>
        </w:rPr>
        <w:t>est convenu que des exemples d</w:t>
      </w:r>
      <w:r w:rsidR="001C46B6" w:rsidRPr="00916968">
        <w:rPr>
          <w:rFonts w:cs="Arial"/>
          <w:lang w:val="fr-FR"/>
        </w:rPr>
        <w:t>’</w:t>
      </w:r>
      <w:r w:rsidR="00F75119" w:rsidRPr="00916968">
        <w:rPr>
          <w:rFonts w:cs="Arial"/>
          <w:lang w:val="fr-FR"/>
        </w:rPr>
        <w:t>autres caractères examinés sur la base d</w:t>
      </w:r>
      <w:r w:rsidR="001C46B6" w:rsidRPr="00916968">
        <w:rPr>
          <w:rFonts w:cs="Arial"/>
          <w:lang w:val="fr-FR"/>
        </w:rPr>
        <w:t>’</w:t>
      </w:r>
      <w:r w:rsidR="00F75119" w:rsidRPr="00916968">
        <w:rPr>
          <w:rFonts w:cs="Arial"/>
          <w:lang w:val="fr-FR"/>
        </w:rPr>
        <w:t xml:space="preserve">échantillons globaux pourraient </w:t>
      </w:r>
      <w:r w:rsidR="00460C18" w:rsidRPr="00916968">
        <w:rPr>
          <w:rFonts w:cs="Arial"/>
          <w:lang w:val="fr-FR"/>
        </w:rPr>
        <w:t xml:space="preserve">être </w:t>
      </w:r>
      <w:r w:rsidR="00F75119" w:rsidRPr="00916968">
        <w:rPr>
          <w:rFonts w:cs="Arial"/>
          <w:lang w:val="fr-FR"/>
        </w:rPr>
        <w:t>examinés aux fins de la formulation de conseils</w:t>
      </w:r>
      <w:r w:rsidRPr="00916968">
        <w:rPr>
          <w:lang w:val="fr-FR" w:eastAsia="ja-JP"/>
        </w:rPr>
        <w:t xml:space="preserve"> </w:t>
      </w:r>
      <w:r w:rsidRPr="00916968">
        <w:rPr>
          <w:rFonts w:cs="Arial"/>
          <w:lang w:val="fr-FR" w:eastAsia="ja-JP"/>
        </w:rPr>
        <w:t>(</w:t>
      </w:r>
      <w:r w:rsidR="00F75119" w:rsidRPr="00916968">
        <w:rPr>
          <w:rFonts w:cs="Arial"/>
          <w:lang w:val="fr-FR" w:eastAsia="ja-JP"/>
        </w:rPr>
        <w:t>voir le paragraphe</w:t>
      </w:r>
      <w:r w:rsidR="00E6636F" w:rsidRPr="00916968">
        <w:rPr>
          <w:rFonts w:cs="Arial"/>
          <w:lang w:val="fr-FR" w:eastAsia="ja-JP"/>
        </w:rPr>
        <w:t> </w:t>
      </w:r>
      <w:r w:rsidR="00F75119" w:rsidRPr="00916968">
        <w:rPr>
          <w:rFonts w:cs="Arial"/>
          <w:lang w:val="fr-FR" w:eastAsia="ja-JP"/>
        </w:rPr>
        <w:t>46 du</w:t>
      </w:r>
      <w:r w:rsidRPr="00916968">
        <w:rPr>
          <w:rFonts w:cs="Arial"/>
          <w:lang w:val="fr-FR" w:eastAsia="ja-JP"/>
        </w:rPr>
        <w:t xml:space="preserve"> docume</w:t>
      </w:r>
      <w:r w:rsidR="00F75119" w:rsidRPr="00916968">
        <w:rPr>
          <w:rFonts w:cs="Arial"/>
          <w:lang w:val="fr-FR" w:eastAsia="ja-JP"/>
        </w:rPr>
        <w:t>nt</w:t>
      </w:r>
      <w:r w:rsidR="00487CB4" w:rsidRPr="00916968">
        <w:rPr>
          <w:rFonts w:cs="Arial"/>
          <w:lang w:val="fr-FR" w:eastAsia="ja-JP"/>
        </w:rPr>
        <w:t xml:space="preserve"> TWO/47/28</w:t>
      </w:r>
      <w:r w:rsidRPr="00916968">
        <w:rPr>
          <w:rFonts w:cs="Arial"/>
          <w:lang w:val="fr-FR" w:eastAsia="ja-JP"/>
        </w:rPr>
        <w:t>)</w:t>
      </w:r>
      <w:r w:rsidRPr="00916968">
        <w:rPr>
          <w:lang w:val="fr-FR"/>
        </w:rPr>
        <w:t>.</w:t>
      </w:r>
    </w:p>
    <w:p w:rsidR="008F37AE" w:rsidRPr="00916968" w:rsidRDefault="008F37AE" w:rsidP="00916968">
      <w:pPr>
        <w:ind w:right="-425"/>
        <w:rPr>
          <w:lang w:val="fr-FR" w:eastAsia="ja-JP"/>
        </w:rPr>
      </w:pPr>
    </w:p>
    <w:p w:rsidR="008F37AE" w:rsidRPr="00916968" w:rsidRDefault="00180A1F" w:rsidP="00916968">
      <w:pPr>
        <w:rPr>
          <w:rFonts w:cs="Arial"/>
          <w:lang w:val="fr-FR" w:eastAsia="ja-JP"/>
        </w:rPr>
      </w:pPr>
      <w:r w:rsidRPr="00916968">
        <w:rPr>
          <w:lang w:val="fr-FR"/>
        </w:rPr>
        <w:fldChar w:fldCharType="begin"/>
      </w:r>
      <w:r w:rsidRPr="00916968">
        <w:rPr>
          <w:lang w:val="fr-FR"/>
        </w:rPr>
        <w:instrText xml:space="preserve"> AUTONUM  </w:instrText>
      </w:r>
      <w:r w:rsidRPr="00916968">
        <w:rPr>
          <w:lang w:val="fr-FR"/>
        </w:rPr>
        <w:fldChar w:fldCharType="end"/>
      </w:r>
      <w:r w:rsidRPr="00916968">
        <w:rPr>
          <w:lang w:val="fr-FR"/>
        </w:rPr>
        <w:tab/>
      </w:r>
      <w:r w:rsidR="00F75119" w:rsidRPr="00916968">
        <w:rPr>
          <w:lang w:val="fr-FR"/>
        </w:rPr>
        <w:t>Le</w:t>
      </w:r>
      <w:r w:rsidRPr="00916968">
        <w:rPr>
          <w:lang w:val="fr-FR"/>
        </w:rPr>
        <w:t xml:space="preserve"> TW</w:t>
      </w:r>
      <w:r w:rsidRPr="00916968">
        <w:rPr>
          <w:lang w:val="fr-FR" w:eastAsia="ja-JP"/>
        </w:rPr>
        <w:t xml:space="preserve">F </w:t>
      </w:r>
      <w:r w:rsidR="00F75119" w:rsidRPr="00916968">
        <w:rPr>
          <w:lang w:val="fr-FR" w:eastAsia="ja-JP"/>
        </w:rPr>
        <w:t>et</w:t>
      </w:r>
      <w:r w:rsidR="001C46B6" w:rsidRPr="00916968">
        <w:rPr>
          <w:lang w:val="fr-FR" w:eastAsia="ja-JP"/>
        </w:rPr>
        <w:t xml:space="preserve"> le TWV</w:t>
      </w:r>
      <w:r w:rsidRPr="00916968">
        <w:rPr>
          <w:lang w:val="fr-FR" w:eastAsia="ja-JP"/>
        </w:rPr>
        <w:t xml:space="preserve"> </w:t>
      </w:r>
      <w:r w:rsidR="00F75119" w:rsidRPr="00916968">
        <w:rPr>
          <w:lang w:val="fr-FR" w:eastAsia="ja-JP"/>
        </w:rPr>
        <w:t xml:space="preserve">ont approuvé la formulation de conseils </w:t>
      </w:r>
      <w:r w:rsidR="00455441" w:rsidRPr="00916968">
        <w:rPr>
          <w:lang w:val="fr-FR" w:eastAsia="ja-JP"/>
        </w:rPr>
        <w:t>pour</w:t>
      </w:r>
      <w:r w:rsidR="00F75119" w:rsidRPr="00916968">
        <w:rPr>
          <w:lang w:val="fr-FR" w:eastAsia="ja-JP"/>
        </w:rPr>
        <w:t xml:space="preserve"> l</w:t>
      </w:r>
      <w:r w:rsidR="001C46B6" w:rsidRPr="00916968">
        <w:rPr>
          <w:lang w:val="fr-FR" w:eastAsia="ja-JP"/>
        </w:rPr>
        <w:t>’</w:t>
      </w:r>
      <w:r w:rsidR="00F75119" w:rsidRPr="00916968">
        <w:rPr>
          <w:lang w:val="fr-FR" w:eastAsia="ja-JP"/>
        </w:rPr>
        <w:t>élaboration de caractères examinés sur la base d</w:t>
      </w:r>
      <w:r w:rsidR="001C46B6" w:rsidRPr="00916968">
        <w:rPr>
          <w:lang w:val="fr-FR" w:eastAsia="ja-JP"/>
        </w:rPr>
        <w:t>’</w:t>
      </w:r>
      <w:r w:rsidR="00F75119" w:rsidRPr="00916968">
        <w:rPr>
          <w:lang w:val="fr-FR" w:eastAsia="ja-JP"/>
        </w:rPr>
        <w:t xml:space="preserve">échantillons globaux </w:t>
      </w:r>
      <w:r w:rsidRPr="00916968">
        <w:rPr>
          <w:lang w:val="fr-FR" w:eastAsia="ja-JP"/>
        </w:rPr>
        <w:t>(</w:t>
      </w:r>
      <w:r w:rsidR="00B01EFE" w:rsidRPr="00916968">
        <w:rPr>
          <w:rFonts w:cs="Arial"/>
          <w:lang w:val="fr-FR" w:eastAsia="ja-JP"/>
        </w:rPr>
        <w:t>voir</w:t>
      </w:r>
      <w:r w:rsidR="00460C18" w:rsidRPr="00916968">
        <w:rPr>
          <w:rFonts w:cs="Arial"/>
          <w:lang w:val="fr-FR" w:eastAsia="ja-JP"/>
        </w:rPr>
        <w:t>,</w:t>
      </w:r>
      <w:r w:rsidR="00B01EFE" w:rsidRPr="00916968">
        <w:rPr>
          <w:rFonts w:cs="Arial"/>
          <w:lang w:val="fr-FR" w:eastAsia="ja-JP"/>
        </w:rPr>
        <w:t xml:space="preserve"> respectivement</w:t>
      </w:r>
      <w:r w:rsidR="00460C18" w:rsidRPr="00916968">
        <w:rPr>
          <w:rFonts w:cs="Arial"/>
          <w:lang w:val="fr-FR" w:eastAsia="ja-JP"/>
        </w:rPr>
        <w:t>,</w:t>
      </w:r>
      <w:r w:rsidR="00B01EFE" w:rsidRPr="00916968">
        <w:rPr>
          <w:rFonts w:cs="Arial"/>
          <w:lang w:val="fr-FR" w:eastAsia="ja-JP"/>
        </w:rPr>
        <w:t xml:space="preserve"> le paragraphe</w:t>
      </w:r>
      <w:r w:rsidR="00E6636F" w:rsidRPr="00916968">
        <w:rPr>
          <w:rFonts w:cs="Arial"/>
          <w:lang w:val="fr-FR" w:eastAsia="ja-JP"/>
        </w:rPr>
        <w:t> </w:t>
      </w:r>
      <w:r w:rsidR="00B01EFE" w:rsidRPr="00916968">
        <w:rPr>
          <w:rFonts w:cs="Arial"/>
          <w:lang w:val="fr-FR" w:eastAsia="ja-JP"/>
        </w:rPr>
        <w:t>36 du document</w:t>
      </w:r>
      <w:r w:rsidRPr="00916968">
        <w:rPr>
          <w:rFonts w:cs="Arial"/>
          <w:lang w:val="fr-FR" w:eastAsia="ja-JP"/>
        </w:rPr>
        <w:t xml:space="preserve"> TWF/45/32</w:t>
      </w:r>
      <w:r w:rsidR="00B01EFE" w:rsidRPr="00916968">
        <w:rPr>
          <w:rFonts w:cs="Arial"/>
          <w:lang w:val="fr-FR" w:eastAsia="ja-JP"/>
        </w:rPr>
        <w:t xml:space="preserve"> et le paragraphe</w:t>
      </w:r>
      <w:r w:rsidR="00E6636F" w:rsidRPr="00916968">
        <w:rPr>
          <w:rFonts w:cs="Arial"/>
          <w:lang w:val="fr-FR" w:eastAsia="ja-JP"/>
        </w:rPr>
        <w:t> </w:t>
      </w:r>
      <w:r w:rsidR="00B01EFE" w:rsidRPr="00916968">
        <w:rPr>
          <w:rFonts w:cs="Arial"/>
          <w:lang w:val="fr-FR" w:eastAsia="ja-JP"/>
        </w:rPr>
        <w:t xml:space="preserve">42 du document </w:t>
      </w:r>
      <w:r w:rsidRPr="00916968">
        <w:rPr>
          <w:rFonts w:cs="Arial"/>
          <w:lang w:val="fr-FR" w:eastAsia="ja-JP"/>
        </w:rPr>
        <w:t>TWV/48/43)</w:t>
      </w:r>
      <w:r w:rsidR="00B01EFE" w:rsidRPr="00916968">
        <w:rPr>
          <w:rFonts w:cs="Arial"/>
          <w:lang w:val="fr-FR" w:eastAsia="ja-JP"/>
        </w:rPr>
        <w:t>.</w:t>
      </w:r>
    </w:p>
    <w:p w:rsidR="008F37AE" w:rsidRPr="00916968" w:rsidRDefault="008F37AE" w:rsidP="00916968">
      <w:pPr>
        <w:ind w:right="-425"/>
        <w:rPr>
          <w:lang w:val="fr-FR" w:eastAsia="ja-JP"/>
        </w:rPr>
      </w:pPr>
    </w:p>
    <w:p w:rsidR="008F37AE" w:rsidRPr="00916968" w:rsidRDefault="00180A1F" w:rsidP="00916968">
      <w:pPr>
        <w:rPr>
          <w:lang w:val="fr-FR"/>
        </w:rPr>
      </w:pPr>
      <w:r w:rsidRPr="00916968">
        <w:rPr>
          <w:lang w:val="fr-FR"/>
        </w:rPr>
        <w:fldChar w:fldCharType="begin"/>
      </w:r>
      <w:r w:rsidRPr="00916968">
        <w:rPr>
          <w:lang w:val="fr-FR"/>
        </w:rPr>
        <w:instrText xml:space="preserve"> AUTONUM  </w:instrText>
      </w:r>
      <w:r w:rsidRPr="00916968">
        <w:rPr>
          <w:lang w:val="fr-FR"/>
        </w:rPr>
        <w:fldChar w:fldCharType="end"/>
      </w:r>
      <w:r w:rsidRPr="00916968">
        <w:rPr>
          <w:lang w:val="fr-FR"/>
        </w:rPr>
        <w:tab/>
      </w:r>
      <w:r w:rsidR="00266680" w:rsidRPr="00916968">
        <w:rPr>
          <w:lang w:val="fr-FR"/>
        </w:rPr>
        <w:t>Le</w:t>
      </w:r>
      <w:r w:rsidRPr="00916968">
        <w:rPr>
          <w:lang w:val="fr-FR"/>
        </w:rPr>
        <w:t xml:space="preserve"> TWC </w:t>
      </w:r>
      <w:r w:rsidR="00266680" w:rsidRPr="00916968">
        <w:rPr>
          <w:lang w:val="fr-FR"/>
        </w:rPr>
        <w:t xml:space="preserve">a </w:t>
      </w:r>
      <w:r w:rsidR="00084733" w:rsidRPr="00916968">
        <w:rPr>
          <w:lang w:val="fr-FR"/>
        </w:rPr>
        <w:t>suivi un exposé d</w:t>
      </w:r>
      <w:r w:rsidR="001C46B6" w:rsidRPr="00916968">
        <w:rPr>
          <w:lang w:val="fr-FR"/>
        </w:rPr>
        <w:t>’</w:t>
      </w:r>
      <w:r w:rsidR="00266680" w:rsidRPr="00916968">
        <w:rPr>
          <w:lang w:val="fr-FR"/>
        </w:rPr>
        <w:t>un expert des Pays</w:t>
      </w:r>
      <w:r w:rsidR="00055BD9" w:rsidRPr="00916968">
        <w:rPr>
          <w:lang w:val="fr-FR"/>
        </w:rPr>
        <w:noBreakHyphen/>
      </w:r>
      <w:r w:rsidR="00266680" w:rsidRPr="00916968">
        <w:rPr>
          <w:lang w:val="fr-FR"/>
        </w:rPr>
        <w:t xml:space="preserve">Bas </w:t>
      </w:r>
      <w:r w:rsidR="00084733" w:rsidRPr="00916968">
        <w:rPr>
          <w:lang w:val="fr-FR"/>
        </w:rPr>
        <w:t>sur l</w:t>
      </w:r>
      <w:r w:rsidR="001C46B6" w:rsidRPr="00916968">
        <w:rPr>
          <w:lang w:val="fr-FR"/>
        </w:rPr>
        <w:t>’</w:t>
      </w:r>
      <w:r w:rsidR="00084733" w:rsidRPr="00916968">
        <w:rPr>
          <w:lang w:val="fr-FR"/>
        </w:rPr>
        <w:t>utilisation de la teneur en glucoraphanine du brocoli sur la base d</w:t>
      </w:r>
      <w:r w:rsidR="001C46B6" w:rsidRPr="00916968">
        <w:rPr>
          <w:lang w:val="fr-FR"/>
        </w:rPr>
        <w:t>’</w:t>
      </w:r>
      <w:r w:rsidR="00084733" w:rsidRPr="00916968">
        <w:rPr>
          <w:lang w:val="fr-FR"/>
        </w:rPr>
        <w:t>échantillons globaux</w:t>
      </w:r>
      <w:r w:rsidRPr="00916968">
        <w:rPr>
          <w:lang w:val="fr-FR"/>
        </w:rPr>
        <w:t xml:space="preserve">, </w:t>
      </w:r>
      <w:r w:rsidR="00084733" w:rsidRPr="00916968">
        <w:rPr>
          <w:lang w:val="fr-FR"/>
        </w:rPr>
        <w:t>comme indiqué à l</w:t>
      </w:r>
      <w:r w:rsidR="001C46B6" w:rsidRPr="00916968">
        <w:rPr>
          <w:lang w:val="fr-FR"/>
        </w:rPr>
        <w:t>’</w:t>
      </w:r>
      <w:r w:rsidR="00084733" w:rsidRPr="00916968">
        <w:rPr>
          <w:lang w:val="fr-FR"/>
        </w:rPr>
        <w:t>annexe du</w:t>
      </w:r>
      <w:r w:rsidRPr="00916968">
        <w:rPr>
          <w:lang w:val="fr-FR"/>
        </w:rPr>
        <w:t xml:space="preserve"> document TWC/32/17</w:t>
      </w:r>
      <w:r w:rsidRPr="00916968">
        <w:rPr>
          <w:lang w:val="fr-FR" w:eastAsia="ja-JP"/>
        </w:rPr>
        <w:t xml:space="preserve"> (</w:t>
      </w:r>
      <w:r w:rsidR="00084733" w:rsidRPr="00916968">
        <w:rPr>
          <w:lang w:val="fr-FR" w:eastAsia="ja-JP"/>
        </w:rPr>
        <w:t>voir le paragraphe</w:t>
      </w:r>
      <w:r w:rsidR="00E6636F" w:rsidRPr="00916968">
        <w:rPr>
          <w:lang w:val="fr-FR" w:eastAsia="ja-JP"/>
        </w:rPr>
        <w:t> </w:t>
      </w:r>
      <w:r w:rsidR="00084733" w:rsidRPr="00916968">
        <w:rPr>
          <w:lang w:val="fr-FR" w:eastAsia="ja-JP"/>
        </w:rPr>
        <w:t>34 du</w:t>
      </w:r>
      <w:r w:rsidR="00181A46" w:rsidRPr="00916968">
        <w:rPr>
          <w:lang w:val="fr-FR" w:eastAsia="ja-JP"/>
        </w:rPr>
        <w:t> </w:t>
      </w:r>
      <w:r w:rsidRPr="00916968">
        <w:rPr>
          <w:lang w:val="fr-FR" w:eastAsia="ja-JP"/>
        </w:rPr>
        <w:t>document TWC/32/28 “Report”)</w:t>
      </w:r>
      <w:r w:rsidRPr="00916968">
        <w:rPr>
          <w:lang w:val="fr-FR"/>
        </w:rPr>
        <w:t>.</w:t>
      </w:r>
    </w:p>
    <w:p w:rsidR="008F37AE" w:rsidRPr="00916968" w:rsidRDefault="008F37AE" w:rsidP="00916968">
      <w:pPr>
        <w:rPr>
          <w:lang w:val="fr-FR"/>
        </w:rPr>
      </w:pPr>
    </w:p>
    <w:p w:rsidR="008F37AE" w:rsidRPr="00916968" w:rsidRDefault="00180A1F" w:rsidP="00916968">
      <w:pPr>
        <w:rPr>
          <w:lang w:val="fr-FR"/>
        </w:rPr>
      </w:pPr>
      <w:r w:rsidRPr="00916968">
        <w:rPr>
          <w:lang w:val="fr-FR"/>
        </w:rPr>
        <w:fldChar w:fldCharType="begin"/>
      </w:r>
      <w:r w:rsidRPr="00916968">
        <w:rPr>
          <w:lang w:val="fr-FR"/>
        </w:rPr>
        <w:instrText xml:space="preserve"> AUTONUM  </w:instrText>
      </w:r>
      <w:r w:rsidRPr="00916968">
        <w:rPr>
          <w:lang w:val="fr-FR"/>
        </w:rPr>
        <w:fldChar w:fldCharType="end"/>
      </w:r>
      <w:r w:rsidRPr="00916968">
        <w:rPr>
          <w:lang w:val="fr-FR"/>
        </w:rPr>
        <w:tab/>
      </w:r>
      <w:r w:rsidR="00084733" w:rsidRPr="00916968">
        <w:rPr>
          <w:lang w:val="fr-FR"/>
        </w:rPr>
        <w:t>Le</w:t>
      </w:r>
      <w:r w:rsidRPr="00916968">
        <w:rPr>
          <w:lang w:val="fr-FR"/>
        </w:rPr>
        <w:t xml:space="preserve"> TWC </w:t>
      </w:r>
      <w:r w:rsidR="00084733" w:rsidRPr="00916968">
        <w:rPr>
          <w:lang w:val="fr-FR"/>
        </w:rPr>
        <w:t>est convenu qu</w:t>
      </w:r>
      <w:r w:rsidR="001C46B6" w:rsidRPr="00916968">
        <w:rPr>
          <w:lang w:val="fr-FR"/>
        </w:rPr>
        <w:t>’</w:t>
      </w:r>
      <w:r w:rsidR="00084733" w:rsidRPr="00916968">
        <w:rPr>
          <w:lang w:val="fr-FR"/>
        </w:rPr>
        <w:t>un nombre suffisant de plantes devrait être utilisé pour évaluer l</w:t>
      </w:r>
      <w:r w:rsidR="001C46B6" w:rsidRPr="00916968">
        <w:rPr>
          <w:lang w:val="fr-FR"/>
        </w:rPr>
        <w:t>’</w:t>
      </w:r>
      <w:r w:rsidR="00084733" w:rsidRPr="00916968">
        <w:rPr>
          <w:lang w:val="fr-FR"/>
        </w:rPr>
        <w:t xml:space="preserve">homogénéité </w:t>
      </w:r>
      <w:r w:rsidR="00460C18" w:rsidRPr="00916968">
        <w:rPr>
          <w:lang w:val="fr-FR"/>
        </w:rPr>
        <w:t>sur d</w:t>
      </w:r>
      <w:r w:rsidR="005E24BF" w:rsidRPr="00916968">
        <w:rPr>
          <w:lang w:val="fr-FR"/>
        </w:rPr>
        <w:t>es</w:t>
      </w:r>
      <w:r w:rsidR="00084733" w:rsidRPr="00916968">
        <w:rPr>
          <w:lang w:val="fr-FR"/>
        </w:rPr>
        <w:t xml:space="preserve"> échantillons globaux et a noté </w:t>
      </w:r>
      <w:r w:rsidR="005E24BF" w:rsidRPr="00916968">
        <w:rPr>
          <w:lang w:val="fr-FR"/>
        </w:rPr>
        <w:t>qu</w:t>
      </w:r>
      <w:r w:rsidR="001C46B6" w:rsidRPr="00916968">
        <w:rPr>
          <w:lang w:val="fr-FR"/>
        </w:rPr>
        <w:t>’</w:t>
      </w:r>
      <w:r w:rsidR="00460C18" w:rsidRPr="00916968">
        <w:rPr>
          <w:lang w:val="fr-FR"/>
        </w:rPr>
        <w:t xml:space="preserve">il faudrait agir avec </w:t>
      </w:r>
      <w:r w:rsidR="005E24BF" w:rsidRPr="00916968">
        <w:rPr>
          <w:lang w:val="fr-FR"/>
        </w:rPr>
        <w:t xml:space="preserve">prudence </w:t>
      </w:r>
      <w:r w:rsidR="00460C18" w:rsidRPr="00916968">
        <w:rPr>
          <w:lang w:val="fr-FR"/>
        </w:rPr>
        <w:t xml:space="preserve">pour </w:t>
      </w:r>
      <w:r w:rsidR="00455441" w:rsidRPr="00916968">
        <w:rPr>
          <w:lang w:val="fr-FR"/>
        </w:rPr>
        <w:t>déterminer</w:t>
      </w:r>
      <w:r w:rsidR="00460C18" w:rsidRPr="00916968">
        <w:rPr>
          <w:lang w:val="fr-FR"/>
        </w:rPr>
        <w:t xml:space="preserve"> </w:t>
      </w:r>
      <w:r w:rsidR="005E24BF" w:rsidRPr="00916968">
        <w:rPr>
          <w:lang w:val="fr-FR"/>
        </w:rPr>
        <w:t xml:space="preserve">la stabilité </w:t>
      </w:r>
      <w:r w:rsidR="00460C18" w:rsidRPr="00916968">
        <w:rPr>
          <w:lang w:val="fr-FR"/>
        </w:rPr>
        <w:t xml:space="preserve">compte tenu </w:t>
      </w:r>
      <w:r w:rsidR="005E24BF" w:rsidRPr="00916968">
        <w:rPr>
          <w:lang w:val="fr-FR"/>
        </w:rPr>
        <w:t>de la variation connue du contenu chimique dans d</w:t>
      </w:r>
      <w:r w:rsidR="001C46B6" w:rsidRPr="00916968">
        <w:rPr>
          <w:lang w:val="fr-FR"/>
        </w:rPr>
        <w:t>’</w:t>
      </w:r>
      <w:r w:rsidR="005E24BF" w:rsidRPr="00916968">
        <w:rPr>
          <w:lang w:val="fr-FR"/>
        </w:rPr>
        <w:t>autres plantes com</w:t>
      </w:r>
      <w:r w:rsidR="00460C18" w:rsidRPr="00916968">
        <w:rPr>
          <w:lang w:val="fr-FR"/>
        </w:rPr>
        <w:t>m</w:t>
      </w:r>
      <w:r w:rsidR="005E24BF" w:rsidRPr="00916968">
        <w:rPr>
          <w:lang w:val="fr-FR"/>
        </w:rPr>
        <w:t>e le colza</w:t>
      </w:r>
      <w:r w:rsidRPr="00916968">
        <w:rPr>
          <w:lang w:val="fr-FR" w:eastAsia="ja-JP"/>
        </w:rPr>
        <w:t xml:space="preserve"> (</w:t>
      </w:r>
      <w:r w:rsidR="005E24BF" w:rsidRPr="00916968">
        <w:rPr>
          <w:lang w:val="fr-FR" w:eastAsia="ja-JP"/>
        </w:rPr>
        <w:t>voir le paragraphe</w:t>
      </w:r>
      <w:r w:rsidR="00E6636F" w:rsidRPr="00916968">
        <w:rPr>
          <w:lang w:val="fr-FR" w:eastAsia="ja-JP"/>
        </w:rPr>
        <w:t> </w:t>
      </w:r>
      <w:r w:rsidR="005E24BF" w:rsidRPr="00916968">
        <w:rPr>
          <w:lang w:val="fr-FR" w:eastAsia="ja-JP"/>
        </w:rPr>
        <w:t xml:space="preserve">35 du </w:t>
      </w:r>
      <w:r w:rsidRPr="00916968">
        <w:rPr>
          <w:lang w:val="fr-FR" w:eastAsia="ja-JP"/>
        </w:rPr>
        <w:t>document TWC/32/28)</w:t>
      </w:r>
      <w:r w:rsidRPr="00916968">
        <w:rPr>
          <w:lang w:val="fr-FR"/>
        </w:rPr>
        <w:t>.</w:t>
      </w:r>
    </w:p>
    <w:p w:rsidR="008F37AE" w:rsidRPr="00916968" w:rsidRDefault="008F37AE" w:rsidP="00916968">
      <w:pPr>
        <w:rPr>
          <w:lang w:val="fr-FR" w:eastAsia="ja-JP"/>
        </w:rPr>
      </w:pPr>
    </w:p>
    <w:p w:rsidR="008F37AE" w:rsidRPr="00916968" w:rsidRDefault="00180A1F" w:rsidP="00916968">
      <w:pPr>
        <w:rPr>
          <w:lang w:val="fr-FR"/>
        </w:rPr>
      </w:pPr>
      <w:r w:rsidRPr="00916968">
        <w:rPr>
          <w:lang w:val="fr-FR"/>
        </w:rPr>
        <w:fldChar w:fldCharType="begin"/>
      </w:r>
      <w:r w:rsidRPr="00916968">
        <w:rPr>
          <w:lang w:val="fr-FR"/>
        </w:rPr>
        <w:instrText xml:space="preserve"> AUTONUM  </w:instrText>
      </w:r>
      <w:r w:rsidRPr="00916968">
        <w:rPr>
          <w:lang w:val="fr-FR"/>
        </w:rPr>
        <w:fldChar w:fldCharType="end"/>
      </w:r>
      <w:r w:rsidRPr="00916968">
        <w:rPr>
          <w:lang w:val="fr-FR"/>
        </w:rPr>
        <w:tab/>
      </w:r>
      <w:r w:rsidR="005E24BF" w:rsidRPr="00916968">
        <w:rPr>
          <w:lang w:val="fr-FR"/>
        </w:rPr>
        <w:t xml:space="preserve">Le </w:t>
      </w:r>
      <w:r w:rsidRPr="00916968">
        <w:rPr>
          <w:lang w:val="fr-FR"/>
        </w:rPr>
        <w:t xml:space="preserve">TWA </w:t>
      </w:r>
      <w:r w:rsidR="00E85256" w:rsidRPr="00916968">
        <w:rPr>
          <w:lang w:val="fr-FR"/>
        </w:rPr>
        <w:t>a estimé que l</w:t>
      </w:r>
      <w:r w:rsidR="001C46B6" w:rsidRPr="00916968">
        <w:rPr>
          <w:lang w:val="fr-FR"/>
        </w:rPr>
        <w:t>’</w:t>
      </w:r>
      <w:r w:rsidR="00E85256" w:rsidRPr="00916968">
        <w:rPr>
          <w:lang w:val="fr-FR"/>
        </w:rPr>
        <w:t xml:space="preserve">exemple </w:t>
      </w:r>
      <w:r w:rsidR="00916968" w:rsidRPr="00916968">
        <w:rPr>
          <w:lang w:val="fr-FR"/>
        </w:rPr>
        <w:t>ne reposait pas sur des données suffisantes</w:t>
      </w:r>
      <w:r w:rsidR="00E85256" w:rsidRPr="00916968">
        <w:rPr>
          <w:lang w:val="fr-FR"/>
        </w:rPr>
        <w:t xml:space="preserve"> et il est convenu avec</w:t>
      </w:r>
      <w:r w:rsidR="001C46B6" w:rsidRPr="00916968">
        <w:rPr>
          <w:lang w:val="fr-FR"/>
        </w:rPr>
        <w:t xml:space="preserve"> le TWC</w:t>
      </w:r>
      <w:r w:rsidR="00E85256" w:rsidRPr="00916968">
        <w:rPr>
          <w:lang w:val="fr-FR"/>
        </w:rPr>
        <w:t xml:space="preserve"> que l</w:t>
      </w:r>
      <w:r w:rsidR="001C46B6" w:rsidRPr="00916968">
        <w:rPr>
          <w:lang w:val="fr-FR"/>
        </w:rPr>
        <w:t>’</w:t>
      </w:r>
      <w:r w:rsidR="00E85256" w:rsidRPr="00916968">
        <w:rPr>
          <w:lang w:val="fr-FR"/>
        </w:rPr>
        <w:t xml:space="preserve">évaluation </w:t>
      </w:r>
      <w:r w:rsidR="00916968" w:rsidRPr="00916968">
        <w:rPr>
          <w:lang w:val="fr-FR"/>
        </w:rPr>
        <w:t>systématique</w:t>
      </w:r>
      <w:r w:rsidR="00E85256" w:rsidRPr="00916968">
        <w:rPr>
          <w:lang w:val="fr-FR"/>
        </w:rPr>
        <w:t xml:space="preserve"> de ce caractère aux Pays</w:t>
      </w:r>
      <w:r w:rsidR="00055BD9" w:rsidRPr="00916968">
        <w:rPr>
          <w:szCs w:val="22"/>
          <w:lang w:val="fr-FR"/>
        </w:rPr>
        <w:noBreakHyphen/>
      </w:r>
      <w:r w:rsidR="00E85256" w:rsidRPr="00916968">
        <w:rPr>
          <w:szCs w:val="22"/>
          <w:lang w:val="fr-FR"/>
        </w:rPr>
        <w:t xml:space="preserve">Bas </w:t>
      </w:r>
      <w:r w:rsidR="00460C18" w:rsidRPr="00916968">
        <w:rPr>
          <w:szCs w:val="22"/>
          <w:lang w:val="fr-FR"/>
        </w:rPr>
        <w:t xml:space="preserve">produirait </w:t>
      </w:r>
      <w:r w:rsidR="00916968" w:rsidRPr="00916968">
        <w:rPr>
          <w:szCs w:val="22"/>
          <w:lang w:val="fr-FR"/>
        </w:rPr>
        <w:t>suffisamment</w:t>
      </w:r>
      <w:r w:rsidR="00E85256" w:rsidRPr="00916968">
        <w:rPr>
          <w:szCs w:val="22"/>
          <w:lang w:val="fr-FR"/>
        </w:rPr>
        <w:t xml:space="preserve"> de </w:t>
      </w:r>
      <w:r w:rsidR="00460C18" w:rsidRPr="00916968">
        <w:rPr>
          <w:szCs w:val="22"/>
          <w:lang w:val="fr-FR"/>
        </w:rPr>
        <w:t xml:space="preserve">séries de </w:t>
      </w:r>
      <w:r w:rsidR="00E85256" w:rsidRPr="00916968">
        <w:rPr>
          <w:szCs w:val="22"/>
          <w:lang w:val="fr-FR"/>
        </w:rPr>
        <w:t xml:space="preserve">données pour </w:t>
      </w:r>
      <w:r w:rsidR="00460C18" w:rsidRPr="00916968">
        <w:rPr>
          <w:szCs w:val="22"/>
          <w:lang w:val="fr-FR"/>
        </w:rPr>
        <w:t>permettre</w:t>
      </w:r>
      <w:r w:rsidR="00E85256" w:rsidRPr="00916968">
        <w:rPr>
          <w:szCs w:val="22"/>
          <w:lang w:val="fr-FR"/>
        </w:rPr>
        <w:t xml:space="preserve"> un examen plus approfondi et a </w:t>
      </w:r>
      <w:r w:rsidR="00460C18" w:rsidRPr="00916968">
        <w:rPr>
          <w:szCs w:val="22"/>
          <w:lang w:val="fr-FR"/>
        </w:rPr>
        <w:t>décidé d</w:t>
      </w:r>
      <w:r w:rsidR="001C46B6" w:rsidRPr="00916968">
        <w:rPr>
          <w:szCs w:val="22"/>
          <w:lang w:val="fr-FR"/>
        </w:rPr>
        <w:t>’</w:t>
      </w:r>
      <w:r w:rsidR="00460C18" w:rsidRPr="00916968">
        <w:rPr>
          <w:lang w:val="fr-FR"/>
        </w:rPr>
        <w:t>inviter</w:t>
      </w:r>
      <w:r w:rsidR="00E85256" w:rsidRPr="00916968">
        <w:rPr>
          <w:lang w:val="fr-FR"/>
        </w:rPr>
        <w:t xml:space="preserve"> les Pays</w:t>
      </w:r>
      <w:r w:rsidR="00055BD9" w:rsidRPr="00916968">
        <w:rPr>
          <w:szCs w:val="22"/>
          <w:lang w:val="fr-FR"/>
        </w:rPr>
        <w:noBreakHyphen/>
      </w:r>
      <w:r w:rsidR="00E85256" w:rsidRPr="00916968">
        <w:rPr>
          <w:szCs w:val="22"/>
          <w:lang w:val="fr-FR"/>
        </w:rPr>
        <w:t>Bas à fournir des informations complémentaires</w:t>
      </w:r>
      <w:r w:rsidRPr="00916968">
        <w:rPr>
          <w:lang w:val="fr-FR" w:eastAsia="ja-JP"/>
        </w:rPr>
        <w:t xml:space="preserve"> </w:t>
      </w:r>
      <w:r w:rsidR="00487CB4" w:rsidRPr="00916968">
        <w:rPr>
          <w:lang w:val="fr-FR" w:eastAsia="ja-JP"/>
        </w:rPr>
        <w:t>(</w:t>
      </w:r>
      <w:r w:rsidR="00E85256" w:rsidRPr="00916968">
        <w:rPr>
          <w:lang w:val="fr-FR" w:eastAsia="ja-JP"/>
        </w:rPr>
        <w:t>voir le paragraphe</w:t>
      </w:r>
      <w:r w:rsidR="00E6636F" w:rsidRPr="00916968">
        <w:rPr>
          <w:lang w:val="fr-FR" w:eastAsia="ja-JP"/>
        </w:rPr>
        <w:t> </w:t>
      </w:r>
      <w:r w:rsidR="00E85256" w:rsidRPr="00916968">
        <w:rPr>
          <w:lang w:val="fr-FR" w:eastAsia="ja-JP"/>
        </w:rPr>
        <w:t>38 du</w:t>
      </w:r>
      <w:r w:rsidR="00ED7240" w:rsidRPr="00916968">
        <w:rPr>
          <w:lang w:val="fr-FR" w:eastAsia="ja-JP"/>
        </w:rPr>
        <w:t> </w:t>
      </w:r>
      <w:r w:rsidR="00487CB4" w:rsidRPr="00916968">
        <w:rPr>
          <w:lang w:val="fr-FR" w:eastAsia="ja-JP"/>
        </w:rPr>
        <w:t>document TWA/43/27</w:t>
      </w:r>
      <w:r w:rsidR="00E85256" w:rsidRPr="00916968">
        <w:rPr>
          <w:lang w:val="fr-FR" w:eastAsia="ja-JP"/>
        </w:rPr>
        <w:t xml:space="preserve"> et le paragraphe</w:t>
      </w:r>
      <w:r w:rsidR="00E6636F" w:rsidRPr="00916968">
        <w:rPr>
          <w:lang w:val="fr-FR" w:eastAsia="ja-JP"/>
        </w:rPr>
        <w:t> </w:t>
      </w:r>
      <w:r w:rsidR="00E85256" w:rsidRPr="00916968">
        <w:rPr>
          <w:lang w:val="fr-FR" w:eastAsia="ja-JP"/>
        </w:rPr>
        <w:t>36</w:t>
      </w:r>
      <w:r w:rsidR="001C46B6" w:rsidRPr="00916968">
        <w:rPr>
          <w:lang w:val="fr-FR" w:eastAsia="ja-JP"/>
        </w:rPr>
        <w:t xml:space="preserve"> du TWC</w:t>
      </w:r>
      <w:r w:rsidRPr="00916968">
        <w:rPr>
          <w:lang w:val="fr-FR" w:eastAsia="ja-JP"/>
        </w:rPr>
        <w:t>/32/28)</w:t>
      </w:r>
      <w:r w:rsidRPr="00916968">
        <w:rPr>
          <w:lang w:val="fr-FR"/>
        </w:rPr>
        <w:t>.</w:t>
      </w:r>
    </w:p>
    <w:p w:rsidR="008F37AE" w:rsidRPr="00916968" w:rsidRDefault="008F37AE" w:rsidP="00916968">
      <w:pPr>
        <w:rPr>
          <w:lang w:val="fr-FR"/>
        </w:rPr>
      </w:pPr>
    </w:p>
    <w:p w:rsidR="001C46B6" w:rsidRPr="00916968" w:rsidRDefault="00180A1F" w:rsidP="00916968">
      <w:pPr>
        <w:rPr>
          <w:lang w:val="fr-FR"/>
        </w:rPr>
      </w:pPr>
      <w:r w:rsidRPr="00916968">
        <w:rPr>
          <w:lang w:val="fr-FR"/>
        </w:rPr>
        <w:fldChar w:fldCharType="begin"/>
      </w:r>
      <w:r w:rsidRPr="00916968">
        <w:rPr>
          <w:lang w:val="fr-FR"/>
        </w:rPr>
        <w:instrText xml:space="preserve"> AUTONUM  </w:instrText>
      </w:r>
      <w:r w:rsidRPr="00916968">
        <w:rPr>
          <w:lang w:val="fr-FR"/>
        </w:rPr>
        <w:fldChar w:fldCharType="end"/>
      </w:r>
      <w:r w:rsidRPr="00916968">
        <w:rPr>
          <w:lang w:val="fr-FR"/>
        </w:rPr>
        <w:tab/>
      </w:r>
      <w:r w:rsidR="00656A18" w:rsidRPr="00916968">
        <w:rPr>
          <w:lang w:val="fr-FR"/>
        </w:rPr>
        <w:t>Le</w:t>
      </w:r>
      <w:r w:rsidRPr="00916968">
        <w:rPr>
          <w:lang w:val="fr-FR"/>
        </w:rPr>
        <w:t xml:space="preserve"> TWC </w:t>
      </w:r>
      <w:r w:rsidR="00237355" w:rsidRPr="00916968">
        <w:rPr>
          <w:lang w:val="fr-FR"/>
        </w:rPr>
        <w:t xml:space="preserve">est convenu que, </w:t>
      </w:r>
      <w:r w:rsidR="00460C18" w:rsidRPr="00916968">
        <w:rPr>
          <w:lang w:val="fr-FR"/>
        </w:rPr>
        <w:t>s</w:t>
      </w:r>
      <w:r w:rsidR="001C46B6" w:rsidRPr="00916968">
        <w:rPr>
          <w:lang w:val="fr-FR"/>
        </w:rPr>
        <w:t>’</w:t>
      </w:r>
      <w:r w:rsidR="00460C18" w:rsidRPr="00916968">
        <w:rPr>
          <w:lang w:val="fr-FR"/>
        </w:rPr>
        <w:t>agissant de</w:t>
      </w:r>
      <w:r w:rsidR="00237355" w:rsidRPr="00916968">
        <w:rPr>
          <w:lang w:val="fr-FR"/>
        </w:rPr>
        <w:t xml:space="preserve"> l</w:t>
      </w:r>
      <w:r w:rsidR="001C46B6" w:rsidRPr="00916968">
        <w:rPr>
          <w:lang w:val="fr-FR"/>
        </w:rPr>
        <w:t>’</w:t>
      </w:r>
      <w:r w:rsidR="00237355" w:rsidRPr="00916968">
        <w:rPr>
          <w:lang w:val="fr-FR"/>
        </w:rPr>
        <w:t>évaluation de l</w:t>
      </w:r>
      <w:r w:rsidR="001C46B6" w:rsidRPr="00916968">
        <w:rPr>
          <w:lang w:val="fr-FR"/>
        </w:rPr>
        <w:t>’</w:t>
      </w:r>
      <w:r w:rsidR="00237355" w:rsidRPr="00916968">
        <w:rPr>
          <w:lang w:val="fr-FR"/>
        </w:rPr>
        <w:t xml:space="preserve">homogénéité des caractères </w:t>
      </w:r>
      <w:r w:rsidR="00237355" w:rsidRPr="00916968">
        <w:rPr>
          <w:lang w:val="fr-FR" w:eastAsia="ja-JP"/>
        </w:rPr>
        <w:t>sur la base d</w:t>
      </w:r>
      <w:r w:rsidR="001C46B6" w:rsidRPr="00916968">
        <w:rPr>
          <w:lang w:val="fr-FR" w:eastAsia="ja-JP"/>
        </w:rPr>
        <w:t>’</w:t>
      </w:r>
      <w:r w:rsidR="00237355" w:rsidRPr="00916968">
        <w:rPr>
          <w:lang w:val="fr-FR" w:eastAsia="ja-JP"/>
        </w:rPr>
        <w:t>échantillons globaux, il conviendrait de prendre en considération l</w:t>
      </w:r>
      <w:r w:rsidR="001C46B6" w:rsidRPr="00916968">
        <w:rPr>
          <w:lang w:val="fr-FR" w:eastAsia="ja-JP"/>
        </w:rPr>
        <w:t>’</w:t>
      </w:r>
      <w:r w:rsidR="00237355" w:rsidRPr="00916968">
        <w:rPr>
          <w:lang w:val="fr-FR" w:eastAsia="ja-JP"/>
        </w:rPr>
        <w:t>analyse des plantes isolées pour la validation des caractères et il a pris note des incidences éventuelles de cette méthode en termes de coût</w:t>
      </w:r>
      <w:r w:rsidRPr="00916968">
        <w:rPr>
          <w:lang w:val="fr-FR" w:eastAsia="ja-JP"/>
        </w:rPr>
        <w:t xml:space="preserve"> (</w:t>
      </w:r>
      <w:r w:rsidR="00237355" w:rsidRPr="00916968">
        <w:rPr>
          <w:lang w:val="fr-FR" w:eastAsia="ja-JP"/>
        </w:rPr>
        <w:t>voir le paragraphe</w:t>
      </w:r>
      <w:r w:rsidR="00E6636F" w:rsidRPr="00916968">
        <w:rPr>
          <w:lang w:val="fr-FR" w:eastAsia="ja-JP"/>
        </w:rPr>
        <w:t> </w:t>
      </w:r>
      <w:r w:rsidR="00237355" w:rsidRPr="00916968">
        <w:rPr>
          <w:lang w:val="fr-FR" w:eastAsia="ja-JP"/>
        </w:rPr>
        <w:t xml:space="preserve">37 du </w:t>
      </w:r>
      <w:r w:rsidRPr="00916968">
        <w:rPr>
          <w:lang w:val="fr-FR" w:eastAsia="ja-JP"/>
        </w:rPr>
        <w:t>document TWC/32/28)</w:t>
      </w:r>
      <w:r w:rsidRPr="00916968">
        <w:rPr>
          <w:lang w:val="fr-FR"/>
        </w:rPr>
        <w:t>.</w:t>
      </w:r>
    </w:p>
    <w:p w:rsidR="008F37AE" w:rsidRPr="00916968" w:rsidRDefault="008F37AE" w:rsidP="00916968">
      <w:pPr>
        <w:rPr>
          <w:snapToGrid w:val="0"/>
          <w:lang w:val="fr-FR" w:eastAsia="ja-JP"/>
        </w:rPr>
      </w:pPr>
    </w:p>
    <w:p w:rsidR="008F37AE" w:rsidRPr="00916968" w:rsidRDefault="00180A1F" w:rsidP="00916968">
      <w:pPr>
        <w:ind w:right="9"/>
        <w:rPr>
          <w:lang w:val="fr-FR" w:eastAsia="ja-JP"/>
        </w:rPr>
      </w:pPr>
      <w:r w:rsidRPr="00916968">
        <w:rPr>
          <w:lang w:val="fr-FR"/>
        </w:rPr>
        <w:fldChar w:fldCharType="begin"/>
      </w:r>
      <w:r w:rsidRPr="00916968">
        <w:rPr>
          <w:lang w:val="fr-FR"/>
        </w:rPr>
        <w:instrText xml:space="preserve"> AUTONUM  </w:instrText>
      </w:r>
      <w:r w:rsidRPr="00916968">
        <w:rPr>
          <w:lang w:val="fr-FR"/>
        </w:rPr>
        <w:fldChar w:fldCharType="end"/>
      </w:r>
      <w:r w:rsidRPr="00916968">
        <w:rPr>
          <w:lang w:val="fr-FR"/>
        </w:rPr>
        <w:tab/>
      </w:r>
      <w:r w:rsidR="00237355" w:rsidRPr="00916968">
        <w:rPr>
          <w:lang w:val="fr-FR"/>
        </w:rPr>
        <w:t>Le</w:t>
      </w:r>
      <w:r w:rsidRPr="00916968">
        <w:rPr>
          <w:lang w:val="fr-FR"/>
        </w:rPr>
        <w:t xml:space="preserve"> TWV </w:t>
      </w:r>
      <w:r w:rsidR="00237355" w:rsidRPr="00916968">
        <w:rPr>
          <w:lang w:val="fr-FR"/>
        </w:rPr>
        <w:t xml:space="preserve">est convenu que les caractères examinés </w:t>
      </w:r>
      <w:r w:rsidR="00237355" w:rsidRPr="00916968">
        <w:rPr>
          <w:lang w:val="fr-FR" w:eastAsia="ja-JP"/>
        </w:rPr>
        <w:t>sur la base d</w:t>
      </w:r>
      <w:r w:rsidR="001C46B6" w:rsidRPr="00916968">
        <w:rPr>
          <w:lang w:val="fr-FR" w:eastAsia="ja-JP"/>
        </w:rPr>
        <w:t>’</w:t>
      </w:r>
      <w:r w:rsidR="00237355" w:rsidRPr="00916968">
        <w:rPr>
          <w:lang w:val="fr-FR" w:eastAsia="ja-JP"/>
        </w:rPr>
        <w:t>échantillons globaux devraient être évalués en se fondant sur le nombre de plantes recommandé dans les principes directeurs d</w:t>
      </w:r>
      <w:r w:rsidR="001C46B6" w:rsidRPr="00916968">
        <w:rPr>
          <w:lang w:val="fr-FR" w:eastAsia="ja-JP"/>
        </w:rPr>
        <w:t>’</w:t>
      </w:r>
      <w:r w:rsidR="00237355" w:rsidRPr="00916968">
        <w:rPr>
          <w:lang w:val="fr-FR" w:eastAsia="ja-JP"/>
        </w:rPr>
        <w:t>examen au chapitre</w:t>
      </w:r>
      <w:r w:rsidR="00E6636F" w:rsidRPr="00916968">
        <w:rPr>
          <w:lang w:val="fr-FR" w:eastAsia="ja-JP"/>
        </w:rPr>
        <w:t> </w:t>
      </w:r>
      <w:r w:rsidRPr="00916968">
        <w:rPr>
          <w:lang w:val="fr-FR"/>
        </w:rPr>
        <w:t>4.1.4</w:t>
      </w:r>
      <w:r w:rsidRPr="00916968">
        <w:rPr>
          <w:lang w:val="fr-FR" w:eastAsia="ja-JP"/>
        </w:rPr>
        <w:t xml:space="preserve"> </w:t>
      </w:r>
      <w:r w:rsidRPr="00916968">
        <w:rPr>
          <w:rFonts w:cs="Arial"/>
          <w:lang w:val="fr-FR" w:eastAsia="ja-JP"/>
        </w:rPr>
        <w:t>(</w:t>
      </w:r>
      <w:r w:rsidR="00237355" w:rsidRPr="00916968">
        <w:rPr>
          <w:rFonts w:cs="Arial"/>
          <w:lang w:val="fr-FR" w:eastAsia="ja-JP"/>
        </w:rPr>
        <w:t>voir le paragraphe</w:t>
      </w:r>
      <w:r w:rsidR="00E6636F" w:rsidRPr="00916968">
        <w:rPr>
          <w:rFonts w:cs="Arial"/>
          <w:lang w:val="fr-FR" w:eastAsia="ja-JP"/>
        </w:rPr>
        <w:t> </w:t>
      </w:r>
      <w:r w:rsidR="00237355" w:rsidRPr="00916968">
        <w:rPr>
          <w:rFonts w:cs="Arial"/>
          <w:lang w:val="fr-FR" w:eastAsia="ja-JP"/>
        </w:rPr>
        <w:t xml:space="preserve">41 du </w:t>
      </w:r>
      <w:r w:rsidR="001C46B6" w:rsidRPr="00916968">
        <w:rPr>
          <w:rFonts w:cs="Arial"/>
          <w:lang w:val="fr-FR" w:eastAsia="ja-JP"/>
        </w:rPr>
        <w:t>document TW</w:t>
      </w:r>
      <w:r w:rsidRPr="00916968">
        <w:rPr>
          <w:rFonts w:cs="Arial"/>
          <w:lang w:val="fr-FR" w:eastAsia="ja-JP"/>
        </w:rPr>
        <w:t>V/48/43).</w:t>
      </w:r>
    </w:p>
    <w:p w:rsidR="008F37AE" w:rsidRPr="00916968" w:rsidRDefault="008F37AE" w:rsidP="00916968">
      <w:pPr>
        <w:rPr>
          <w:lang w:val="fr-FR" w:eastAsia="ja-JP"/>
        </w:rPr>
      </w:pPr>
    </w:p>
    <w:p w:rsidR="008F37AE" w:rsidRPr="00916968" w:rsidRDefault="00180A1F" w:rsidP="00916968">
      <w:pPr>
        <w:rPr>
          <w:snapToGrid w:val="0"/>
          <w:lang w:val="fr-FR" w:eastAsia="ja-JP"/>
        </w:rPr>
      </w:pPr>
      <w:r w:rsidRPr="00916968">
        <w:rPr>
          <w:lang w:val="fr-FR"/>
        </w:rPr>
        <w:fldChar w:fldCharType="begin"/>
      </w:r>
      <w:r w:rsidRPr="00916968">
        <w:rPr>
          <w:lang w:val="fr-FR"/>
        </w:rPr>
        <w:instrText xml:space="preserve"> AUTONUM  </w:instrText>
      </w:r>
      <w:r w:rsidRPr="00916968">
        <w:rPr>
          <w:lang w:val="fr-FR"/>
        </w:rPr>
        <w:fldChar w:fldCharType="end"/>
      </w:r>
      <w:r w:rsidRPr="00916968">
        <w:rPr>
          <w:lang w:val="fr-FR"/>
        </w:rPr>
        <w:tab/>
      </w:r>
      <w:r w:rsidR="00237355" w:rsidRPr="00916968">
        <w:rPr>
          <w:lang w:val="fr-FR"/>
        </w:rPr>
        <w:t>Le</w:t>
      </w:r>
      <w:r w:rsidRPr="00916968">
        <w:rPr>
          <w:lang w:val="fr-FR"/>
        </w:rPr>
        <w:t xml:space="preserve"> TWA </w:t>
      </w:r>
      <w:r w:rsidR="001910C9" w:rsidRPr="00916968">
        <w:rPr>
          <w:lang w:val="fr-FR"/>
        </w:rPr>
        <w:t>a noté que les niveaux d</w:t>
      </w:r>
      <w:r w:rsidR="001C46B6" w:rsidRPr="00916968">
        <w:rPr>
          <w:lang w:val="fr-FR"/>
        </w:rPr>
        <w:t>’</w:t>
      </w:r>
      <w:r w:rsidR="001910C9" w:rsidRPr="00916968">
        <w:rPr>
          <w:lang w:val="fr-FR"/>
        </w:rPr>
        <w:t xml:space="preserve">expression </w:t>
      </w:r>
      <w:r w:rsidR="00460C18" w:rsidRPr="00916968">
        <w:rPr>
          <w:lang w:val="fr-FR"/>
        </w:rPr>
        <w:t>étaient déterminés selon</w:t>
      </w:r>
      <w:r w:rsidR="001910C9" w:rsidRPr="00916968">
        <w:rPr>
          <w:lang w:val="fr-FR"/>
        </w:rPr>
        <w:t xml:space="preserve"> une échelle de valeurs définie et </w:t>
      </w:r>
      <w:r w:rsidR="00460C18" w:rsidRPr="00916968">
        <w:rPr>
          <w:lang w:val="fr-FR"/>
        </w:rPr>
        <w:t>qu</w:t>
      </w:r>
      <w:r w:rsidR="001C46B6" w:rsidRPr="00916968">
        <w:rPr>
          <w:lang w:val="fr-FR"/>
        </w:rPr>
        <w:t>’</w:t>
      </w:r>
      <w:r w:rsidR="001910C9" w:rsidRPr="00916968">
        <w:rPr>
          <w:lang w:val="fr-FR"/>
        </w:rPr>
        <w:t xml:space="preserve">une note sur la variation </w:t>
      </w:r>
      <w:r w:rsidR="00460C18" w:rsidRPr="00916968">
        <w:rPr>
          <w:lang w:val="fr-FR"/>
        </w:rPr>
        <w:t xml:space="preserve">due </w:t>
      </w:r>
      <w:r w:rsidR="001910C9" w:rsidRPr="00916968">
        <w:rPr>
          <w:lang w:val="fr-FR"/>
        </w:rPr>
        <w:t>aux conditions environnementales</w:t>
      </w:r>
      <w:r w:rsidR="00460C18" w:rsidRPr="00916968">
        <w:rPr>
          <w:lang w:val="fr-FR"/>
        </w:rPr>
        <w:t xml:space="preserve"> était ajoutée</w:t>
      </w:r>
      <w:r w:rsidR="001910C9" w:rsidRPr="00916968">
        <w:rPr>
          <w:lang w:val="fr-FR"/>
        </w:rPr>
        <w:t>.  Il estimait que la détermination des niveaux d</w:t>
      </w:r>
      <w:r w:rsidR="001C46B6" w:rsidRPr="00916968">
        <w:rPr>
          <w:lang w:val="fr-FR"/>
        </w:rPr>
        <w:t>’</w:t>
      </w:r>
      <w:r w:rsidR="001910C9" w:rsidRPr="00916968">
        <w:rPr>
          <w:lang w:val="fr-FR"/>
        </w:rPr>
        <w:t xml:space="preserve">expression devrait être </w:t>
      </w:r>
      <w:r w:rsidR="00A67DB9" w:rsidRPr="00916968">
        <w:rPr>
          <w:lang w:val="fr-FR"/>
        </w:rPr>
        <w:t>fondée sur la variation existante entre les variétés et tenir compte</w:t>
      </w:r>
      <w:r w:rsidR="00460C18" w:rsidRPr="00916968">
        <w:rPr>
          <w:lang w:val="fr-FR"/>
        </w:rPr>
        <w:t xml:space="preserve"> de</w:t>
      </w:r>
      <w:r w:rsidR="00A67DB9" w:rsidRPr="00916968">
        <w:rPr>
          <w:lang w:val="fr-FR"/>
        </w:rPr>
        <w:t xml:space="preserve"> l</w:t>
      </w:r>
      <w:r w:rsidR="001C46B6" w:rsidRPr="00916968">
        <w:rPr>
          <w:lang w:val="fr-FR"/>
        </w:rPr>
        <w:t>’</w:t>
      </w:r>
      <w:r w:rsidR="00A67DB9" w:rsidRPr="00916968">
        <w:rPr>
          <w:lang w:val="fr-FR"/>
        </w:rPr>
        <w:t>influence de l</w:t>
      </w:r>
      <w:r w:rsidR="001C46B6" w:rsidRPr="00916968">
        <w:rPr>
          <w:lang w:val="fr-FR"/>
        </w:rPr>
        <w:t>’</w:t>
      </w:r>
      <w:r w:rsidR="00A67DB9" w:rsidRPr="00916968">
        <w:rPr>
          <w:lang w:val="fr-FR"/>
        </w:rPr>
        <w:t>environnement</w:t>
      </w:r>
      <w:r w:rsidRPr="00916968">
        <w:rPr>
          <w:lang w:val="fr-FR" w:eastAsia="ja-JP"/>
        </w:rPr>
        <w:t xml:space="preserve"> (</w:t>
      </w:r>
      <w:r w:rsidR="00A67DB9" w:rsidRPr="00916968">
        <w:rPr>
          <w:lang w:val="fr-FR" w:eastAsia="ja-JP"/>
        </w:rPr>
        <w:t>voir le paragraphe</w:t>
      </w:r>
      <w:r w:rsidR="00E6636F" w:rsidRPr="00916968">
        <w:rPr>
          <w:lang w:val="fr-FR" w:eastAsia="ja-JP"/>
        </w:rPr>
        <w:t> </w:t>
      </w:r>
      <w:r w:rsidR="00A67DB9" w:rsidRPr="00916968">
        <w:rPr>
          <w:lang w:val="fr-FR" w:eastAsia="ja-JP"/>
        </w:rPr>
        <w:t>39 du</w:t>
      </w:r>
      <w:r w:rsidR="00C90530" w:rsidRPr="00916968">
        <w:rPr>
          <w:lang w:val="fr-FR" w:eastAsia="ja-JP"/>
        </w:rPr>
        <w:t> </w:t>
      </w:r>
      <w:r w:rsidR="001C46B6" w:rsidRPr="00916968">
        <w:rPr>
          <w:lang w:val="fr-FR" w:eastAsia="ja-JP"/>
        </w:rPr>
        <w:t>document TW</w:t>
      </w:r>
      <w:r w:rsidRPr="00916968">
        <w:rPr>
          <w:lang w:val="fr-FR" w:eastAsia="ja-JP"/>
        </w:rPr>
        <w:t>A/43/27)</w:t>
      </w:r>
      <w:r w:rsidRPr="00916968">
        <w:rPr>
          <w:lang w:val="fr-FR"/>
        </w:rPr>
        <w:t>.</w:t>
      </w:r>
    </w:p>
    <w:p w:rsidR="008F37AE" w:rsidRPr="00916968" w:rsidRDefault="008F37AE" w:rsidP="00916968">
      <w:pPr>
        <w:rPr>
          <w:snapToGrid w:val="0"/>
          <w:highlight w:val="cyan"/>
          <w:lang w:val="fr-FR" w:eastAsia="ja-JP"/>
        </w:rPr>
      </w:pPr>
    </w:p>
    <w:p w:rsidR="008F37AE" w:rsidRPr="00916968" w:rsidRDefault="008F37AE" w:rsidP="00916968">
      <w:pPr>
        <w:pStyle w:val="Heading2"/>
        <w:rPr>
          <w:lang w:val="fr-FR" w:eastAsia="ja-JP"/>
        </w:rPr>
      </w:pPr>
      <w:r w:rsidRPr="00916968">
        <w:rPr>
          <w:lang w:val="fr-FR" w:eastAsia="ja-JP"/>
        </w:rPr>
        <w:t>Comité de rédaction élargi</w:t>
      </w:r>
    </w:p>
    <w:p w:rsidR="008F37AE" w:rsidRPr="00916968" w:rsidRDefault="008F37AE" w:rsidP="00916968">
      <w:pPr>
        <w:pStyle w:val="Heading2"/>
        <w:rPr>
          <w:lang w:val="fr-FR" w:eastAsia="ja-JP"/>
        </w:rPr>
      </w:pPr>
    </w:p>
    <w:p w:rsidR="008F37AE" w:rsidRPr="00916968" w:rsidRDefault="00F82B73" w:rsidP="00916968">
      <w:pPr>
        <w:rPr>
          <w:lang w:val="fr-FR" w:eastAsia="ja-JP"/>
        </w:rPr>
      </w:pPr>
      <w:r w:rsidRPr="00916968">
        <w:rPr>
          <w:lang w:val="fr-FR"/>
        </w:rPr>
        <w:fldChar w:fldCharType="begin"/>
      </w:r>
      <w:r w:rsidRPr="00916968">
        <w:rPr>
          <w:lang w:val="fr-FR"/>
        </w:rPr>
        <w:instrText xml:space="preserve"> AUTONUM  </w:instrText>
      </w:r>
      <w:r w:rsidRPr="00916968">
        <w:rPr>
          <w:lang w:val="fr-FR"/>
        </w:rPr>
        <w:fldChar w:fldCharType="end"/>
      </w:r>
      <w:r w:rsidRPr="00916968">
        <w:rPr>
          <w:lang w:val="fr-FR"/>
        </w:rPr>
        <w:tab/>
      </w:r>
      <w:r w:rsidR="008F37AE" w:rsidRPr="00916968">
        <w:rPr>
          <w:lang w:val="fr-FR"/>
        </w:rPr>
        <w:t>À sa session tenue à Genève les 7 et 8 janvier 2015, le</w:t>
      </w:r>
      <w:r w:rsidR="001C46B6" w:rsidRPr="00916968">
        <w:rPr>
          <w:lang w:val="fr-FR"/>
        </w:rPr>
        <w:t> TC</w:t>
      </w:r>
      <w:r w:rsidR="00055BD9" w:rsidRPr="00916968">
        <w:rPr>
          <w:lang w:val="fr-FR"/>
        </w:rPr>
        <w:noBreakHyphen/>
      </w:r>
      <w:r w:rsidR="001C46B6" w:rsidRPr="00916968">
        <w:rPr>
          <w:lang w:val="fr-FR"/>
        </w:rPr>
        <w:t>EDC</w:t>
      </w:r>
      <w:r w:rsidR="008F37AE" w:rsidRPr="00916968">
        <w:rPr>
          <w:lang w:val="fr-FR"/>
        </w:rPr>
        <w:t xml:space="preserve"> a examiné le </w:t>
      </w:r>
      <w:r w:rsidR="001C46B6" w:rsidRPr="00916968">
        <w:rPr>
          <w:lang w:val="fr-FR"/>
        </w:rPr>
        <w:t>document TC</w:t>
      </w:r>
      <w:r w:rsidR="00055BD9" w:rsidRPr="00916968">
        <w:rPr>
          <w:lang w:val="fr-FR"/>
        </w:rPr>
        <w:noBreakHyphen/>
      </w:r>
      <w:r w:rsidR="001C46B6" w:rsidRPr="00916968">
        <w:rPr>
          <w:lang w:val="fr-FR"/>
        </w:rPr>
        <w:t>EDC</w:t>
      </w:r>
      <w:r w:rsidR="008F37AE" w:rsidRPr="00916968">
        <w:rPr>
          <w:lang w:val="fr-FR"/>
        </w:rPr>
        <w:t>/</w:t>
      </w:r>
      <w:proofErr w:type="spellStart"/>
      <w:r w:rsidR="008F37AE" w:rsidRPr="00916968">
        <w:rPr>
          <w:lang w:val="fr-FR"/>
        </w:rPr>
        <w:t>Jan</w:t>
      </w:r>
      <w:r w:rsidR="00055BD9" w:rsidRPr="00916968">
        <w:rPr>
          <w:lang w:val="fr-FR"/>
        </w:rPr>
        <w:noBreakHyphen/>
      </w:r>
      <w:r w:rsidR="008F37AE" w:rsidRPr="00916968">
        <w:rPr>
          <w:lang w:val="fr-FR"/>
        </w:rPr>
        <w:t>15</w:t>
      </w:r>
      <w:proofErr w:type="spellEnd"/>
      <w:r w:rsidR="008F37AE" w:rsidRPr="00916968">
        <w:rPr>
          <w:lang w:val="fr-FR"/>
        </w:rPr>
        <w:t>/8 “Révision du document TGP/8 : deuxième partie : Quelques techniques utilisées dans l</w:t>
      </w:r>
      <w:r w:rsidR="001C46B6" w:rsidRPr="00916968">
        <w:rPr>
          <w:lang w:val="fr-FR"/>
        </w:rPr>
        <w:t>’</w:t>
      </w:r>
      <w:r w:rsidR="008F37AE" w:rsidRPr="00916968">
        <w:rPr>
          <w:lang w:val="fr-FR"/>
        </w:rPr>
        <w:t>examen DHS, nouvelle section : Examen DHS sur des échantillons globaux”.</w:t>
      </w:r>
    </w:p>
    <w:p w:rsidR="008F37AE" w:rsidRPr="00916968" w:rsidRDefault="008F37AE" w:rsidP="00916968">
      <w:pPr>
        <w:rPr>
          <w:lang w:val="fr-FR" w:eastAsia="ja-JP"/>
        </w:rPr>
      </w:pPr>
    </w:p>
    <w:p w:rsidR="001C46B6" w:rsidRPr="00916968" w:rsidRDefault="00D0038F" w:rsidP="00916968">
      <w:pPr>
        <w:rPr>
          <w:rFonts w:cs="Arial"/>
          <w:lang w:val="fr-FR"/>
        </w:rPr>
      </w:pPr>
      <w:r w:rsidRPr="00916968">
        <w:rPr>
          <w:lang w:val="fr-FR"/>
        </w:rPr>
        <w:fldChar w:fldCharType="begin"/>
      </w:r>
      <w:r w:rsidRPr="00916968">
        <w:rPr>
          <w:lang w:val="fr-FR"/>
        </w:rPr>
        <w:instrText xml:space="preserve"> AUTONUM  </w:instrText>
      </w:r>
      <w:r w:rsidRPr="00916968">
        <w:rPr>
          <w:lang w:val="fr-FR"/>
        </w:rPr>
        <w:fldChar w:fldCharType="end"/>
      </w:r>
      <w:r w:rsidRPr="00916968">
        <w:rPr>
          <w:lang w:val="fr-FR"/>
        </w:rPr>
        <w:tab/>
      </w:r>
      <w:r w:rsidR="005875C2" w:rsidRPr="00916968">
        <w:rPr>
          <w:lang w:val="fr-FR" w:eastAsia="ja-JP"/>
        </w:rPr>
        <w:t>Le</w:t>
      </w:r>
      <w:r w:rsidR="001C46B6" w:rsidRPr="00916968">
        <w:rPr>
          <w:lang w:val="fr-FR" w:eastAsia="ja-JP"/>
        </w:rPr>
        <w:t> TC</w:t>
      </w:r>
      <w:r w:rsidR="00055BD9" w:rsidRPr="00916968">
        <w:rPr>
          <w:lang w:val="fr-FR" w:eastAsia="ja-JP"/>
        </w:rPr>
        <w:noBreakHyphen/>
      </w:r>
      <w:r w:rsidR="001C46B6" w:rsidRPr="00916968">
        <w:rPr>
          <w:lang w:val="fr-FR" w:eastAsia="ja-JP"/>
        </w:rPr>
        <w:t>EDC</w:t>
      </w:r>
      <w:r w:rsidRPr="00916968">
        <w:rPr>
          <w:lang w:val="fr-FR" w:eastAsia="ja-JP"/>
        </w:rPr>
        <w:t xml:space="preserve"> </w:t>
      </w:r>
      <w:r w:rsidR="005875C2" w:rsidRPr="00916968">
        <w:rPr>
          <w:lang w:val="fr-FR" w:eastAsia="ja-JP"/>
        </w:rPr>
        <w:t>a proposé que des informations complémentaires sur le respect des cond</w:t>
      </w:r>
      <w:r w:rsidR="00847A0E" w:rsidRPr="00916968">
        <w:rPr>
          <w:lang w:val="fr-FR" w:eastAsia="ja-JP"/>
        </w:rPr>
        <w:t xml:space="preserve">itions relatives à </w:t>
      </w:r>
      <w:r w:rsidR="005875C2" w:rsidRPr="00916968">
        <w:rPr>
          <w:lang w:val="fr-FR" w:eastAsia="ja-JP"/>
        </w:rPr>
        <w:t>un caractère DHS soient fournies dans l</w:t>
      </w:r>
      <w:r w:rsidR="001C46B6" w:rsidRPr="00916968">
        <w:rPr>
          <w:lang w:val="fr-FR" w:eastAsia="ja-JP"/>
        </w:rPr>
        <w:t>’</w:t>
      </w:r>
      <w:r w:rsidR="005875C2" w:rsidRPr="00916968">
        <w:rPr>
          <w:lang w:val="fr-FR" w:eastAsia="ja-JP"/>
        </w:rPr>
        <w:t>exemple de caractère examiné sur la base d</w:t>
      </w:r>
      <w:r w:rsidR="001C46B6" w:rsidRPr="00916968">
        <w:rPr>
          <w:lang w:val="fr-FR" w:eastAsia="ja-JP"/>
        </w:rPr>
        <w:t>’</w:t>
      </w:r>
      <w:r w:rsidR="005875C2" w:rsidRPr="00916968">
        <w:rPr>
          <w:lang w:val="fr-FR" w:eastAsia="ja-JP"/>
        </w:rPr>
        <w:t xml:space="preserve">un échantillon global </w:t>
      </w:r>
      <w:r w:rsidR="00455441" w:rsidRPr="00916968">
        <w:rPr>
          <w:lang w:val="fr-FR" w:eastAsia="ja-JP"/>
        </w:rPr>
        <w:t xml:space="preserve">qui </w:t>
      </w:r>
      <w:r w:rsidR="005875C2" w:rsidRPr="00916968">
        <w:rPr>
          <w:lang w:val="fr-FR" w:eastAsia="ja-JP"/>
        </w:rPr>
        <w:t>figur</w:t>
      </w:r>
      <w:r w:rsidR="00455441" w:rsidRPr="00916968">
        <w:rPr>
          <w:lang w:val="fr-FR" w:eastAsia="ja-JP"/>
        </w:rPr>
        <w:t>e</w:t>
      </w:r>
      <w:r w:rsidR="005875C2" w:rsidRPr="00916968">
        <w:rPr>
          <w:lang w:val="fr-FR" w:eastAsia="ja-JP"/>
        </w:rPr>
        <w:t xml:space="preserve"> dans l</w:t>
      </w:r>
      <w:r w:rsidR="001C46B6" w:rsidRPr="00916968">
        <w:rPr>
          <w:lang w:val="fr-FR" w:eastAsia="ja-JP"/>
        </w:rPr>
        <w:t>’</w:t>
      </w:r>
      <w:r w:rsidR="005875C2" w:rsidRPr="00916968">
        <w:rPr>
          <w:lang w:val="fr-FR" w:eastAsia="ja-JP"/>
        </w:rPr>
        <w:t>annexe du présent document.</w:t>
      </w:r>
    </w:p>
    <w:p w:rsidR="008F37AE" w:rsidRPr="00916968" w:rsidRDefault="008F37AE" w:rsidP="00916968">
      <w:pPr>
        <w:rPr>
          <w:highlight w:val="yellow"/>
          <w:lang w:val="fr-FR" w:eastAsia="ja-JP"/>
        </w:rPr>
      </w:pPr>
    </w:p>
    <w:p w:rsidR="008F37AE" w:rsidRPr="00916968" w:rsidRDefault="00180A1F" w:rsidP="00916968">
      <w:pPr>
        <w:pStyle w:val="DecisionParagraphs"/>
        <w:rPr>
          <w:lang w:val="fr-FR" w:eastAsia="ja-JP"/>
        </w:rPr>
      </w:pPr>
      <w:r w:rsidRPr="00916968">
        <w:rPr>
          <w:lang w:val="fr-FR"/>
        </w:rPr>
        <w:fldChar w:fldCharType="begin"/>
      </w:r>
      <w:r w:rsidRPr="00916968">
        <w:rPr>
          <w:lang w:val="fr-FR"/>
        </w:rPr>
        <w:instrText xml:space="preserve"> AUTONUM  </w:instrText>
      </w:r>
      <w:r w:rsidRPr="00916968">
        <w:rPr>
          <w:lang w:val="fr-FR"/>
        </w:rPr>
        <w:fldChar w:fldCharType="end"/>
      </w:r>
      <w:r w:rsidRPr="00916968">
        <w:rPr>
          <w:lang w:val="fr-FR"/>
        </w:rPr>
        <w:tab/>
      </w:r>
      <w:r w:rsidR="00966D55" w:rsidRPr="00916968">
        <w:rPr>
          <w:lang w:val="fr-FR"/>
        </w:rPr>
        <w:t>Le</w:t>
      </w:r>
      <w:r w:rsidR="001C46B6" w:rsidRPr="00916968">
        <w:rPr>
          <w:lang w:val="fr-FR"/>
        </w:rPr>
        <w:t> TC</w:t>
      </w:r>
      <w:r w:rsidRPr="00916968">
        <w:rPr>
          <w:lang w:val="fr-FR"/>
        </w:rPr>
        <w:t xml:space="preserve"> </w:t>
      </w:r>
      <w:r w:rsidR="00966D55" w:rsidRPr="00916968">
        <w:rPr>
          <w:lang w:val="fr-FR"/>
        </w:rPr>
        <w:t>est invité</w:t>
      </w:r>
    </w:p>
    <w:p w:rsidR="008F37AE" w:rsidRPr="00916968" w:rsidRDefault="008F37AE" w:rsidP="00916968">
      <w:pPr>
        <w:pStyle w:val="DecisionParagraphs"/>
        <w:rPr>
          <w:lang w:val="fr-FR" w:eastAsia="ja-JP"/>
        </w:rPr>
      </w:pPr>
    </w:p>
    <w:p w:rsidR="001C46B6" w:rsidRPr="00916968" w:rsidRDefault="00966D55" w:rsidP="00916968">
      <w:pPr>
        <w:pStyle w:val="DecisionParagraphs"/>
        <w:numPr>
          <w:ilvl w:val="0"/>
          <w:numId w:val="4"/>
        </w:numPr>
        <w:tabs>
          <w:tab w:val="clear" w:pos="5387"/>
          <w:tab w:val="left" w:pos="5954"/>
        </w:tabs>
        <w:ind w:left="4820" w:firstLine="567"/>
        <w:rPr>
          <w:lang w:val="fr-FR" w:eastAsia="ja-JP"/>
        </w:rPr>
      </w:pPr>
      <w:r w:rsidRPr="00916968">
        <w:rPr>
          <w:lang w:val="fr-FR" w:eastAsia="ja-JP"/>
        </w:rPr>
        <w:t xml:space="preserve">à demander aux </w:t>
      </w:r>
      <w:r w:rsidR="00336667" w:rsidRPr="00916968">
        <w:rPr>
          <w:lang w:val="fr-FR" w:eastAsia="ja-JP"/>
        </w:rPr>
        <w:t xml:space="preserve">experts </w:t>
      </w:r>
      <w:r w:rsidRPr="00916968">
        <w:rPr>
          <w:lang w:val="fr-FR" w:eastAsia="ja-JP"/>
        </w:rPr>
        <w:t>des Pays</w:t>
      </w:r>
      <w:r w:rsidR="00055BD9" w:rsidRPr="00916968">
        <w:rPr>
          <w:szCs w:val="22"/>
          <w:lang w:val="fr-FR" w:eastAsia="ja-JP"/>
        </w:rPr>
        <w:noBreakHyphen/>
      </w:r>
      <w:r w:rsidRPr="00916968">
        <w:rPr>
          <w:szCs w:val="22"/>
          <w:lang w:val="fr-FR" w:eastAsia="ja-JP"/>
        </w:rPr>
        <w:t>Bas de fournir des informations complémentaires sur l</w:t>
      </w:r>
      <w:r w:rsidR="001C46B6" w:rsidRPr="00916968">
        <w:rPr>
          <w:szCs w:val="22"/>
          <w:lang w:val="fr-FR" w:eastAsia="ja-JP"/>
        </w:rPr>
        <w:t>’</w:t>
      </w:r>
      <w:r w:rsidRPr="00916968">
        <w:rPr>
          <w:szCs w:val="22"/>
          <w:lang w:val="fr-FR" w:eastAsia="ja-JP"/>
        </w:rPr>
        <w:t xml:space="preserve">évaluation </w:t>
      </w:r>
      <w:r w:rsidR="00916968" w:rsidRPr="00916968">
        <w:rPr>
          <w:szCs w:val="22"/>
          <w:lang w:val="fr-FR" w:eastAsia="ja-JP"/>
        </w:rPr>
        <w:t>systématique</w:t>
      </w:r>
      <w:r w:rsidRPr="00916968">
        <w:rPr>
          <w:szCs w:val="22"/>
          <w:lang w:val="fr-FR" w:eastAsia="ja-JP"/>
        </w:rPr>
        <w:t xml:space="preserve"> de la teneur en glucoraphanine présentée dans l</w:t>
      </w:r>
      <w:r w:rsidR="001C46B6" w:rsidRPr="00916968">
        <w:rPr>
          <w:szCs w:val="22"/>
          <w:lang w:val="fr-FR" w:eastAsia="ja-JP"/>
        </w:rPr>
        <w:t>’</w:t>
      </w:r>
      <w:r w:rsidRPr="00916968">
        <w:rPr>
          <w:szCs w:val="22"/>
          <w:lang w:val="fr-FR" w:eastAsia="ja-JP"/>
        </w:rPr>
        <w:t>annexe du présent document;</w:t>
      </w:r>
    </w:p>
    <w:p w:rsidR="008F37AE" w:rsidRPr="00916968" w:rsidRDefault="008F37AE" w:rsidP="00916968">
      <w:pPr>
        <w:pStyle w:val="DecisionParagraphs"/>
        <w:tabs>
          <w:tab w:val="left" w:pos="5954"/>
        </w:tabs>
        <w:ind w:firstLine="567"/>
        <w:rPr>
          <w:lang w:val="fr-FR" w:eastAsia="ja-JP"/>
        </w:rPr>
      </w:pPr>
    </w:p>
    <w:p w:rsidR="008F37AE" w:rsidRPr="00916968" w:rsidRDefault="00966D55" w:rsidP="00916968">
      <w:pPr>
        <w:pStyle w:val="DecisionParagraphs"/>
        <w:numPr>
          <w:ilvl w:val="0"/>
          <w:numId w:val="4"/>
        </w:numPr>
        <w:tabs>
          <w:tab w:val="clear" w:pos="5387"/>
          <w:tab w:val="left" w:pos="5954"/>
        </w:tabs>
        <w:ind w:left="4820" w:firstLine="567"/>
        <w:rPr>
          <w:lang w:val="fr-FR" w:eastAsia="ja-JP"/>
        </w:rPr>
      </w:pPr>
      <w:r w:rsidRPr="00916968">
        <w:rPr>
          <w:lang w:val="fr-FR" w:eastAsia="ja-JP"/>
        </w:rPr>
        <w:t xml:space="preserve">à </w:t>
      </w:r>
      <w:r w:rsidR="00847A0E" w:rsidRPr="00916968">
        <w:rPr>
          <w:lang w:val="fr-FR" w:eastAsia="ja-JP"/>
        </w:rPr>
        <w:t>examiner si des informations complémentaires sur le respect des conditions relatives à un caractère DHS devraient être fournies dans l</w:t>
      </w:r>
      <w:r w:rsidR="001C46B6" w:rsidRPr="00916968">
        <w:rPr>
          <w:lang w:val="fr-FR" w:eastAsia="ja-JP"/>
        </w:rPr>
        <w:t>’</w:t>
      </w:r>
      <w:r w:rsidR="00847A0E" w:rsidRPr="00916968">
        <w:rPr>
          <w:lang w:val="fr-FR" w:eastAsia="ja-JP"/>
        </w:rPr>
        <w:t>exemple de caractère examiné sur la base d</w:t>
      </w:r>
      <w:r w:rsidR="001C46B6" w:rsidRPr="00916968">
        <w:rPr>
          <w:lang w:val="fr-FR" w:eastAsia="ja-JP"/>
        </w:rPr>
        <w:t>’</w:t>
      </w:r>
      <w:r w:rsidR="00847A0E" w:rsidRPr="00916968">
        <w:rPr>
          <w:lang w:val="fr-FR" w:eastAsia="ja-JP"/>
        </w:rPr>
        <w:t xml:space="preserve">un échantillon global </w:t>
      </w:r>
      <w:r w:rsidR="004E5D9E" w:rsidRPr="00916968">
        <w:rPr>
          <w:lang w:val="fr-FR" w:eastAsia="ja-JP"/>
        </w:rPr>
        <w:t>qui figure</w:t>
      </w:r>
      <w:r w:rsidR="00847A0E" w:rsidRPr="00916968">
        <w:rPr>
          <w:lang w:val="fr-FR" w:eastAsia="ja-JP"/>
        </w:rPr>
        <w:t xml:space="preserve"> </w:t>
      </w:r>
      <w:r w:rsidR="004E5D9E" w:rsidRPr="00916968">
        <w:rPr>
          <w:lang w:val="fr-FR" w:eastAsia="ja-JP"/>
        </w:rPr>
        <w:t xml:space="preserve">à </w:t>
      </w:r>
      <w:r w:rsidR="00847A0E" w:rsidRPr="00916968">
        <w:rPr>
          <w:lang w:val="fr-FR" w:eastAsia="ja-JP"/>
        </w:rPr>
        <w:t>l</w:t>
      </w:r>
      <w:r w:rsidR="001C46B6" w:rsidRPr="00916968">
        <w:rPr>
          <w:lang w:val="fr-FR" w:eastAsia="ja-JP"/>
        </w:rPr>
        <w:t>’</w:t>
      </w:r>
      <w:r w:rsidR="00847A0E" w:rsidRPr="00916968">
        <w:rPr>
          <w:lang w:val="fr-FR" w:eastAsia="ja-JP"/>
        </w:rPr>
        <w:t>annexe du présent document;</w:t>
      </w:r>
      <w:r w:rsidR="008534B9" w:rsidRPr="00916968">
        <w:rPr>
          <w:lang w:val="fr-FR" w:eastAsia="ja-JP"/>
        </w:rPr>
        <w:tab/>
      </w:r>
    </w:p>
    <w:p w:rsidR="001C46B6" w:rsidRPr="00916968" w:rsidRDefault="001C46B6" w:rsidP="00916968">
      <w:pPr>
        <w:pStyle w:val="DecisionParagraphs"/>
        <w:tabs>
          <w:tab w:val="clear" w:pos="5387"/>
          <w:tab w:val="left" w:pos="5310"/>
          <w:tab w:val="left" w:pos="5954"/>
        </w:tabs>
        <w:ind w:firstLine="567"/>
        <w:rPr>
          <w:lang w:val="fr-FR" w:eastAsia="ja-JP"/>
        </w:rPr>
      </w:pPr>
    </w:p>
    <w:p w:rsidR="00847A0E" w:rsidRPr="00916968" w:rsidRDefault="00847A0E" w:rsidP="00916968">
      <w:pPr>
        <w:pStyle w:val="DecisionParagraphs"/>
        <w:numPr>
          <w:ilvl w:val="0"/>
          <w:numId w:val="4"/>
        </w:numPr>
        <w:tabs>
          <w:tab w:val="clear" w:pos="5387"/>
          <w:tab w:val="left" w:pos="5310"/>
          <w:tab w:val="left" w:pos="5954"/>
        </w:tabs>
        <w:ind w:left="4820" w:firstLine="567"/>
        <w:rPr>
          <w:lang w:val="fr-FR" w:eastAsia="ja-JP"/>
        </w:rPr>
      </w:pPr>
      <w:r w:rsidRPr="00916968">
        <w:rPr>
          <w:lang w:val="fr-FR" w:eastAsia="ja-JP"/>
        </w:rPr>
        <w:t>à examiner s</w:t>
      </w:r>
      <w:r w:rsidR="001C46B6" w:rsidRPr="00916968">
        <w:rPr>
          <w:lang w:val="fr-FR" w:eastAsia="ja-JP"/>
        </w:rPr>
        <w:t>’</w:t>
      </w:r>
      <w:r w:rsidRPr="00916968">
        <w:rPr>
          <w:lang w:val="fr-FR" w:eastAsia="ja-JP"/>
        </w:rPr>
        <w:t>il serait nécessaire d</w:t>
      </w:r>
      <w:r w:rsidR="001C46B6" w:rsidRPr="00916968">
        <w:rPr>
          <w:lang w:val="fr-FR" w:eastAsia="ja-JP"/>
        </w:rPr>
        <w:t>’</w:t>
      </w:r>
      <w:r w:rsidRPr="00916968">
        <w:rPr>
          <w:lang w:val="fr-FR" w:eastAsia="ja-JP"/>
        </w:rPr>
        <w:t xml:space="preserve">analyser les plantes isolées pour </w:t>
      </w:r>
      <w:r w:rsidR="004E5D9E" w:rsidRPr="00916968">
        <w:rPr>
          <w:lang w:val="fr-FR" w:eastAsia="ja-JP"/>
        </w:rPr>
        <w:t>la validation d</w:t>
      </w:r>
      <w:r w:rsidRPr="00916968">
        <w:rPr>
          <w:lang w:val="fr-FR" w:eastAsia="ja-JP"/>
        </w:rPr>
        <w:t>es caractères examinés sur la base d</w:t>
      </w:r>
      <w:r w:rsidR="001C46B6" w:rsidRPr="00916968">
        <w:rPr>
          <w:lang w:val="fr-FR" w:eastAsia="ja-JP"/>
        </w:rPr>
        <w:t>’</w:t>
      </w:r>
      <w:r w:rsidRPr="00916968">
        <w:rPr>
          <w:lang w:val="fr-FR" w:eastAsia="ja-JP"/>
        </w:rPr>
        <w:t>échantillons globaux, ainsi que les incidences éventuelles en termes de coût;</w:t>
      </w:r>
    </w:p>
    <w:p w:rsidR="00847A0E" w:rsidRPr="00916968" w:rsidRDefault="00847A0E" w:rsidP="00916968">
      <w:pPr>
        <w:pStyle w:val="ListParagraph"/>
        <w:tabs>
          <w:tab w:val="left" w:pos="5954"/>
        </w:tabs>
        <w:ind w:left="4820" w:firstLine="567"/>
        <w:rPr>
          <w:lang w:val="fr-FR" w:eastAsia="ja-JP"/>
        </w:rPr>
      </w:pPr>
    </w:p>
    <w:p w:rsidR="008F37AE" w:rsidRPr="00916968" w:rsidRDefault="00847A0E" w:rsidP="00916968">
      <w:pPr>
        <w:pStyle w:val="DecisionParagraphs"/>
        <w:numPr>
          <w:ilvl w:val="0"/>
          <w:numId w:val="4"/>
        </w:numPr>
        <w:tabs>
          <w:tab w:val="clear" w:pos="5387"/>
          <w:tab w:val="left" w:pos="5310"/>
          <w:tab w:val="left" w:pos="5954"/>
        </w:tabs>
        <w:ind w:left="4820" w:firstLine="567"/>
        <w:rPr>
          <w:lang w:val="fr-FR" w:eastAsia="ja-JP"/>
        </w:rPr>
      </w:pPr>
      <w:r w:rsidRPr="00916968">
        <w:rPr>
          <w:lang w:val="fr-FR" w:eastAsia="ja-JP"/>
        </w:rPr>
        <w:t>à examiner si les caractères examinés sur la base d</w:t>
      </w:r>
      <w:r w:rsidR="001C46B6" w:rsidRPr="00916968">
        <w:rPr>
          <w:lang w:val="fr-FR" w:eastAsia="ja-JP"/>
        </w:rPr>
        <w:t>’</w:t>
      </w:r>
      <w:r w:rsidRPr="00916968">
        <w:rPr>
          <w:lang w:val="fr-FR" w:eastAsia="ja-JP"/>
        </w:rPr>
        <w:t>échantillons globaux devraient être évalués sur la base du nombre de plantes recommandé dans les principes directeurs d</w:t>
      </w:r>
      <w:r w:rsidR="001C46B6" w:rsidRPr="00916968">
        <w:rPr>
          <w:lang w:val="fr-FR" w:eastAsia="ja-JP"/>
        </w:rPr>
        <w:t>’</w:t>
      </w:r>
      <w:r w:rsidRPr="00916968">
        <w:rPr>
          <w:lang w:val="fr-FR" w:eastAsia="ja-JP"/>
        </w:rPr>
        <w:t>examen au chapitre</w:t>
      </w:r>
      <w:r w:rsidR="00E6636F" w:rsidRPr="00916968">
        <w:rPr>
          <w:lang w:val="fr-FR" w:eastAsia="ja-JP"/>
        </w:rPr>
        <w:t> </w:t>
      </w:r>
      <w:r w:rsidR="00824C28" w:rsidRPr="00916968">
        <w:rPr>
          <w:lang w:val="fr-FR" w:eastAsia="ja-JP"/>
        </w:rPr>
        <w:t>4.1.4;</w:t>
      </w:r>
      <w:r w:rsidR="00F01FE8" w:rsidRPr="00916968">
        <w:rPr>
          <w:lang w:val="fr-FR" w:eastAsia="ja-JP"/>
        </w:rPr>
        <w:t xml:space="preserve"> </w:t>
      </w:r>
      <w:r w:rsidRPr="00916968">
        <w:rPr>
          <w:lang w:val="fr-FR" w:eastAsia="ja-JP"/>
        </w:rPr>
        <w:t xml:space="preserve"> et</w:t>
      </w:r>
    </w:p>
    <w:p w:rsidR="008F37AE" w:rsidRPr="00916968" w:rsidRDefault="008F37AE" w:rsidP="00916968">
      <w:pPr>
        <w:pStyle w:val="DecisionParagraphs"/>
        <w:tabs>
          <w:tab w:val="clear" w:pos="5387"/>
          <w:tab w:val="left" w:pos="5310"/>
          <w:tab w:val="left" w:pos="5954"/>
        </w:tabs>
        <w:ind w:firstLine="567"/>
        <w:rPr>
          <w:lang w:val="fr-FR" w:eastAsia="ja-JP"/>
        </w:rPr>
      </w:pPr>
    </w:p>
    <w:p w:rsidR="008F37AE" w:rsidRPr="00916968" w:rsidRDefault="00847A0E" w:rsidP="00916968">
      <w:pPr>
        <w:pStyle w:val="DecisionParagraphs"/>
        <w:numPr>
          <w:ilvl w:val="0"/>
          <w:numId w:val="4"/>
        </w:numPr>
        <w:tabs>
          <w:tab w:val="clear" w:pos="5387"/>
          <w:tab w:val="left" w:pos="5310"/>
          <w:tab w:val="left" w:pos="5954"/>
        </w:tabs>
        <w:ind w:left="4820" w:firstLine="567"/>
        <w:rPr>
          <w:lang w:val="fr-FR" w:eastAsia="ja-JP"/>
        </w:rPr>
      </w:pPr>
      <w:r w:rsidRPr="00916968">
        <w:rPr>
          <w:lang w:val="fr-FR" w:eastAsia="ja-JP"/>
        </w:rPr>
        <w:t>à examiner si la détermination des niveaux d</w:t>
      </w:r>
      <w:r w:rsidR="001C46B6" w:rsidRPr="00916968">
        <w:rPr>
          <w:lang w:val="fr-FR" w:eastAsia="ja-JP"/>
        </w:rPr>
        <w:t>’</w:t>
      </w:r>
      <w:r w:rsidRPr="00916968">
        <w:rPr>
          <w:lang w:val="fr-FR" w:eastAsia="ja-JP"/>
        </w:rPr>
        <w:t>expression devrait être fondée sur la variation existante entre les variétés et la prise en considération de l</w:t>
      </w:r>
      <w:r w:rsidR="001C46B6" w:rsidRPr="00916968">
        <w:rPr>
          <w:lang w:val="fr-FR" w:eastAsia="ja-JP"/>
        </w:rPr>
        <w:t>’</w:t>
      </w:r>
      <w:r w:rsidRPr="00916968">
        <w:rPr>
          <w:lang w:val="fr-FR" w:eastAsia="ja-JP"/>
        </w:rPr>
        <w:t>influence environnementale.</w:t>
      </w:r>
    </w:p>
    <w:p w:rsidR="008F37AE" w:rsidRPr="00916968" w:rsidRDefault="008F37AE" w:rsidP="00916968">
      <w:pPr>
        <w:pStyle w:val="endofdoc"/>
        <w:rPr>
          <w:rFonts w:cs="Arial"/>
          <w:bCs/>
          <w:lang w:val="fr-FR" w:eastAsia="ja-JP"/>
        </w:rPr>
      </w:pPr>
      <w:r w:rsidRPr="00916968">
        <w:rPr>
          <w:rFonts w:cs="Arial"/>
          <w:bCs/>
          <w:lang w:val="fr-FR" w:eastAsia="ja-JP"/>
        </w:rPr>
        <w:t>[L</w:t>
      </w:r>
      <w:r w:rsidR="001C46B6" w:rsidRPr="00916968">
        <w:rPr>
          <w:rFonts w:cs="Arial"/>
          <w:bCs/>
          <w:lang w:val="fr-FR" w:eastAsia="ja-JP"/>
        </w:rPr>
        <w:t>’</w:t>
      </w:r>
      <w:r w:rsidRPr="00916968">
        <w:rPr>
          <w:rFonts w:cs="Arial"/>
          <w:bCs/>
          <w:lang w:val="fr-FR" w:eastAsia="ja-JP"/>
        </w:rPr>
        <w:t>annexe suit]</w:t>
      </w:r>
    </w:p>
    <w:p w:rsidR="008F37AE" w:rsidRPr="00916968" w:rsidRDefault="008F37AE" w:rsidP="00916968">
      <w:pPr>
        <w:rPr>
          <w:rFonts w:cs="Arial"/>
          <w:bCs/>
          <w:lang w:val="fr-FR" w:eastAsia="ja-JP"/>
        </w:rPr>
      </w:pPr>
    </w:p>
    <w:p w:rsidR="00180A1F" w:rsidRPr="00916968" w:rsidRDefault="00180A1F" w:rsidP="00916968">
      <w:pPr>
        <w:rPr>
          <w:rFonts w:cs="Arial"/>
          <w:bCs/>
          <w:lang w:val="fr-FR" w:eastAsia="ja-JP"/>
        </w:rPr>
        <w:sectPr w:rsidR="00180A1F" w:rsidRPr="00916968" w:rsidSect="001C46B6">
          <w:headerReference w:type="default" r:id="rId10"/>
          <w:footnotePr>
            <w:numFmt w:val="chicago"/>
          </w:footnotePr>
          <w:endnotePr>
            <w:numFmt w:val="chicago"/>
          </w:endnotePr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8F37AE" w:rsidRPr="00916968" w:rsidRDefault="00180A1F" w:rsidP="00916968">
      <w:pPr>
        <w:jc w:val="center"/>
        <w:rPr>
          <w:rFonts w:cs="Arial"/>
          <w:lang w:val="fr-FR"/>
        </w:rPr>
      </w:pPr>
      <w:r w:rsidRPr="00916968">
        <w:rPr>
          <w:rFonts w:cs="Arial"/>
          <w:lang w:val="fr-FR"/>
        </w:rPr>
        <w:lastRenderedPageBreak/>
        <w:t>EX</w:t>
      </w:r>
      <w:r w:rsidR="00847A0E" w:rsidRPr="00916968">
        <w:rPr>
          <w:rFonts w:cs="Arial"/>
          <w:lang w:val="fr-FR"/>
        </w:rPr>
        <w:t>E</w:t>
      </w:r>
      <w:r w:rsidRPr="00916968">
        <w:rPr>
          <w:rFonts w:cs="Arial"/>
          <w:lang w:val="fr-FR"/>
        </w:rPr>
        <w:t xml:space="preserve">MPLE </w:t>
      </w:r>
      <w:r w:rsidR="00847A0E" w:rsidRPr="00916968">
        <w:rPr>
          <w:rFonts w:cs="Arial"/>
          <w:lang w:val="fr-FR"/>
        </w:rPr>
        <w:t>DE CARACT</w:t>
      </w:r>
      <w:r w:rsidR="001E16C6" w:rsidRPr="00916968">
        <w:rPr>
          <w:rFonts w:cs="Arial"/>
          <w:lang w:val="fr-FR"/>
        </w:rPr>
        <w:t>È</w:t>
      </w:r>
      <w:r w:rsidR="00847A0E" w:rsidRPr="00916968">
        <w:rPr>
          <w:rFonts w:cs="Arial"/>
          <w:lang w:val="fr-FR"/>
        </w:rPr>
        <w:t xml:space="preserve">RE </w:t>
      </w:r>
      <w:r w:rsidR="004E5D9E" w:rsidRPr="00916968">
        <w:rPr>
          <w:rFonts w:cs="Arial"/>
          <w:lang w:val="fr-FR"/>
        </w:rPr>
        <w:t>EXAMINÉ SUR LA BASE D</w:t>
      </w:r>
      <w:r w:rsidR="001C46B6" w:rsidRPr="00916968">
        <w:rPr>
          <w:rFonts w:cs="Arial"/>
          <w:lang w:val="fr-FR"/>
        </w:rPr>
        <w:t>’</w:t>
      </w:r>
      <w:r w:rsidR="004E5D9E" w:rsidRPr="00916968">
        <w:rPr>
          <w:rFonts w:cs="Arial"/>
          <w:lang w:val="fr-FR"/>
        </w:rPr>
        <w:t xml:space="preserve">UN ÉCHANTILLON </w:t>
      </w:r>
      <w:r w:rsidR="00847A0E" w:rsidRPr="00916968">
        <w:rPr>
          <w:rFonts w:cs="Arial"/>
          <w:lang w:val="fr-FR"/>
        </w:rPr>
        <w:t>GLOBAL AUX PAYS</w:t>
      </w:r>
      <w:r w:rsidR="00055BD9" w:rsidRPr="00916968">
        <w:rPr>
          <w:rFonts w:cs="Arial"/>
          <w:szCs w:val="22"/>
          <w:lang w:val="fr-FR"/>
        </w:rPr>
        <w:noBreakHyphen/>
      </w:r>
      <w:r w:rsidR="00847A0E" w:rsidRPr="00916968">
        <w:rPr>
          <w:rFonts w:cs="Arial"/>
          <w:szCs w:val="22"/>
          <w:lang w:val="fr-FR"/>
        </w:rPr>
        <w:t>BAS</w:t>
      </w:r>
      <w:r w:rsidR="00E6636F" w:rsidRPr="00916968">
        <w:rPr>
          <w:rFonts w:cs="Arial"/>
          <w:szCs w:val="22"/>
          <w:lang w:val="fr-FR"/>
        </w:rPr>
        <w:t> </w:t>
      </w:r>
      <w:r w:rsidRPr="00916968">
        <w:rPr>
          <w:lang w:val="fr-FR"/>
        </w:rPr>
        <w:t>:</w:t>
      </w:r>
      <w:r w:rsidRPr="00916968">
        <w:rPr>
          <w:rFonts w:cs="Arial"/>
          <w:lang w:val="fr-FR"/>
        </w:rPr>
        <w:t xml:space="preserve"> </w:t>
      </w:r>
      <w:r w:rsidR="001E16C6" w:rsidRPr="00916968">
        <w:rPr>
          <w:rFonts w:cs="Arial"/>
          <w:lang w:val="fr-FR"/>
        </w:rPr>
        <w:t>TENEUR EN</w:t>
      </w:r>
      <w:r w:rsidRPr="00916968">
        <w:rPr>
          <w:rFonts w:cs="Arial"/>
          <w:lang w:val="fr-FR"/>
        </w:rPr>
        <w:t xml:space="preserve"> GL</w:t>
      </w:r>
      <w:r w:rsidR="001E16C6" w:rsidRPr="00916968">
        <w:rPr>
          <w:rFonts w:cs="Arial"/>
          <w:lang w:val="fr-FR"/>
        </w:rPr>
        <w:t>U</w:t>
      </w:r>
      <w:r w:rsidRPr="00916968">
        <w:rPr>
          <w:rFonts w:cs="Arial"/>
          <w:lang w:val="fr-FR"/>
        </w:rPr>
        <w:t>CORAPHANIN</w:t>
      </w:r>
      <w:r w:rsidR="001E16C6" w:rsidRPr="00916968">
        <w:rPr>
          <w:rFonts w:cs="Arial"/>
          <w:lang w:val="fr-FR"/>
        </w:rPr>
        <w:t>E</w:t>
      </w:r>
    </w:p>
    <w:p w:rsidR="008F37AE" w:rsidRPr="00916968" w:rsidRDefault="008F37AE" w:rsidP="00916968">
      <w:pPr>
        <w:rPr>
          <w:rFonts w:cs="Arial"/>
          <w:lang w:val="fr-FR"/>
        </w:rPr>
      </w:pPr>
    </w:p>
    <w:p w:rsidR="008F37AE" w:rsidRPr="00916968" w:rsidRDefault="008F37AE" w:rsidP="00916968">
      <w:pPr>
        <w:rPr>
          <w:rFonts w:cs="Arial"/>
          <w:lang w:val="fr-FR"/>
        </w:rPr>
      </w:pPr>
    </w:p>
    <w:p w:rsidR="001C46B6" w:rsidRPr="00916968" w:rsidRDefault="001E16C6" w:rsidP="00916968">
      <w:pPr>
        <w:pStyle w:val="ListParagraph"/>
        <w:widowControl w:val="0"/>
        <w:numPr>
          <w:ilvl w:val="0"/>
          <w:numId w:val="1"/>
        </w:numPr>
        <w:ind w:left="1134" w:hanging="567"/>
        <w:rPr>
          <w:rFonts w:cs="Arial"/>
          <w:lang w:val="fr-FR"/>
        </w:rPr>
      </w:pPr>
      <w:r w:rsidRPr="00916968">
        <w:rPr>
          <w:rFonts w:cs="Arial"/>
          <w:lang w:val="fr-FR"/>
        </w:rPr>
        <w:t>Examen de la question de savoir si le caractère est approprié pour l</w:t>
      </w:r>
      <w:r w:rsidR="001C46B6" w:rsidRPr="00916968">
        <w:rPr>
          <w:rFonts w:cs="Arial"/>
          <w:lang w:val="fr-FR"/>
        </w:rPr>
        <w:t>’</w:t>
      </w:r>
      <w:r w:rsidRPr="00916968">
        <w:rPr>
          <w:rFonts w:cs="Arial"/>
          <w:lang w:val="fr-FR"/>
        </w:rPr>
        <w:t>examen</w:t>
      </w:r>
      <w:r w:rsidR="00E6636F" w:rsidRPr="00916968">
        <w:rPr>
          <w:rFonts w:cs="Arial"/>
          <w:lang w:val="fr-FR"/>
        </w:rPr>
        <w:t> </w:t>
      </w:r>
      <w:r w:rsidRPr="00916968">
        <w:rPr>
          <w:rFonts w:cs="Arial"/>
          <w:lang w:val="fr-FR"/>
        </w:rPr>
        <w:t>DHS</w:t>
      </w:r>
    </w:p>
    <w:p w:rsidR="008F37AE" w:rsidRPr="00916968" w:rsidRDefault="00180A1F" w:rsidP="00916968">
      <w:pPr>
        <w:pStyle w:val="ListParagraph"/>
        <w:widowControl w:val="0"/>
        <w:numPr>
          <w:ilvl w:val="0"/>
          <w:numId w:val="1"/>
        </w:numPr>
        <w:ind w:left="1134" w:hanging="567"/>
        <w:rPr>
          <w:rFonts w:cs="Arial"/>
          <w:lang w:val="fr-FR"/>
        </w:rPr>
      </w:pPr>
      <w:r w:rsidRPr="00916968">
        <w:rPr>
          <w:rFonts w:cs="Arial"/>
          <w:lang w:val="fr-FR"/>
        </w:rPr>
        <w:t xml:space="preserve">Description </w:t>
      </w:r>
      <w:r w:rsidR="001E16C6" w:rsidRPr="00916968">
        <w:rPr>
          <w:rFonts w:cs="Arial"/>
          <w:lang w:val="fr-FR"/>
        </w:rPr>
        <w:t>du caractère</w:t>
      </w:r>
    </w:p>
    <w:p w:rsidR="008F37AE" w:rsidRPr="00916968" w:rsidRDefault="001E16C6" w:rsidP="00916968">
      <w:pPr>
        <w:pStyle w:val="ListParagraph"/>
        <w:widowControl w:val="0"/>
        <w:numPr>
          <w:ilvl w:val="0"/>
          <w:numId w:val="1"/>
        </w:numPr>
        <w:ind w:left="1134" w:hanging="567"/>
        <w:rPr>
          <w:rFonts w:cs="Arial"/>
          <w:lang w:val="fr-FR"/>
        </w:rPr>
      </w:pPr>
      <w:r w:rsidRPr="00916968">
        <w:rPr>
          <w:rFonts w:cs="Arial"/>
          <w:lang w:val="fr-FR"/>
        </w:rPr>
        <w:t>Mé</w:t>
      </w:r>
      <w:r w:rsidR="00180A1F" w:rsidRPr="00916968">
        <w:rPr>
          <w:rFonts w:cs="Arial"/>
          <w:lang w:val="fr-FR"/>
        </w:rPr>
        <w:t>thod</w:t>
      </w:r>
      <w:r w:rsidRPr="00916968">
        <w:rPr>
          <w:rFonts w:cs="Arial"/>
          <w:lang w:val="fr-FR"/>
        </w:rPr>
        <w:t>e</w:t>
      </w:r>
      <w:r w:rsidR="00180A1F" w:rsidRPr="00916968">
        <w:rPr>
          <w:rFonts w:cs="Arial"/>
          <w:lang w:val="fr-FR"/>
        </w:rPr>
        <w:t xml:space="preserve"> </w:t>
      </w:r>
      <w:r w:rsidRPr="00916968">
        <w:rPr>
          <w:rFonts w:cs="Arial"/>
          <w:lang w:val="fr-FR"/>
        </w:rPr>
        <w:t>de</w:t>
      </w:r>
      <w:r w:rsidR="00180A1F" w:rsidRPr="00916968">
        <w:rPr>
          <w:rFonts w:cs="Arial"/>
          <w:lang w:val="fr-FR"/>
        </w:rPr>
        <w:t xml:space="preserve"> d</w:t>
      </w:r>
      <w:r w:rsidRPr="00916968">
        <w:rPr>
          <w:rFonts w:cs="Arial"/>
          <w:lang w:val="fr-FR"/>
        </w:rPr>
        <w:t>é</w:t>
      </w:r>
      <w:r w:rsidR="00180A1F" w:rsidRPr="00916968">
        <w:rPr>
          <w:rFonts w:cs="Arial"/>
          <w:lang w:val="fr-FR"/>
        </w:rPr>
        <w:t>tection</w:t>
      </w:r>
    </w:p>
    <w:p w:rsidR="008F37AE" w:rsidRPr="00916968" w:rsidRDefault="008F37AE" w:rsidP="00916968">
      <w:pPr>
        <w:rPr>
          <w:rFonts w:cs="Arial"/>
          <w:lang w:val="fr-FR"/>
        </w:rPr>
      </w:pPr>
    </w:p>
    <w:p w:rsidR="008F37AE" w:rsidRPr="00916968" w:rsidRDefault="008F37AE" w:rsidP="00916968">
      <w:pPr>
        <w:rPr>
          <w:rFonts w:cs="Arial"/>
          <w:lang w:val="fr-FR"/>
        </w:rPr>
      </w:pPr>
    </w:p>
    <w:p w:rsidR="001C46B6" w:rsidRPr="00916968" w:rsidRDefault="001E16C6" w:rsidP="00916968">
      <w:pPr>
        <w:pStyle w:val="ListParagraph"/>
        <w:widowControl w:val="0"/>
        <w:numPr>
          <w:ilvl w:val="0"/>
          <w:numId w:val="2"/>
        </w:numPr>
        <w:ind w:left="1134" w:hanging="567"/>
        <w:rPr>
          <w:rFonts w:cs="Arial"/>
          <w:lang w:val="fr-FR"/>
        </w:rPr>
      </w:pPr>
      <w:r w:rsidRPr="00916968">
        <w:rPr>
          <w:rFonts w:cs="Arial"/>
          <w:lang w:val="fr-FR"/>
        </w:rPr>
        <w:t>Examen de la question de savoir si le caractère est approprié pour l</w:t>
      </w:r>
      <w:r w:rsidR="001C46B6" w:rsidRPr="00916968">
        <w:rPr>
          <w:rFonts w:cs="Arial"/>
          <w:lang w:val="fr-FR"/>
        </w:rPr>
        <w:t>’</w:t>
      </w:r>
      <w:r w:rsidRPr="00916968">
        <w:rPr>
          <w:rFonts w:cs="Arial"/>
          <w:lang w:val="fr-FR"/>
        </w:rPr>
        <w:t>examen</w:t>
      </w:r>
      <w:r w:rsidR="00E6636F" w:rsidRPr="00916968">
        <w:rPr>
          <w:rFonts w:cs="Arial"/>
          <w:lang w:val="fr-FR"/>
        </w:rPr>
        <w:t> </w:t>
      </w:r>
      <w:r w:rsidRPr="00916968">
        <w:rPr>
          <w:rFonts w:cs="Arial"/>
          <w:lang w:val="fr-FR"/>
        </w:rPr>
        <w:t>DHS</w:t>
      </w:r>
    </w:p>
    <w:p w:rsidR="008F37AE" w:rsidRPr="00916968" w:rsidRDefault="008F37AE" w:rsidP="00916968">
      <w:pPr>
        <w:rPr>
          <w:rFonts w:cs="Arial"/>
          <w:bCs/>
          <w:lang w:val="fr-FR"/>
        </w:rPr>
      </w:pPr>
    </w:p>
    <w:p w:rsidR="008F37AE" w:rsidRPr="00916968" w:rsidRDefault="004E5D9E" w:rsidP="00916968">
      <w:pPr>
        <w:rPr>
          <w:rFonts w:cs="Arial"/>
          <w:lang w:val="fr-FR"/>
        </w:rPr>
      </w:pPr>
      <w:r w:rsidRPr="00916968">
        <w:rPr>
          <w:rFonts w:cs="Arial"/>
          <w:bCs/>
          <w:lang w:val="fr-FR"/>
        </w:rPr>
        <w:t>Des informations sur le</w:t>
      </w:r>
      <w:r w:rsidR="00D164FB" w:rsidRPr="00916968">
        <w:rPr>
          <w:rFonts w:cs="Arial"/>
          <w:bCs/>
          <w:lang w:val="fr-FR"/>
        </w:rPr>
        <w:t xml:space="preserve"> choix</w:t>
      </w:r>
      <w:r w:rsidR="00180A1F" w:rsidRPr="00916968">
        <w:rPr>
          <w:rFonts w:cs="Arial"/>
          <w:bCs/>
          <w:lang w:val="fr-FR"/>
        </w:rPr>
        <w:t xml:space="preserve"> </w:t>
      </w:r>
      <w:r w:rsidR="00D164FB" w:rsidRPr="00916968">
        <w:rPr>
          <w:rFonts w:cs="Arial"/>
          <w:bCs/>
          <w:lang w:val="fr-FR"/>
        </w:rPr>
        <w:t xml:space="preserve">des caractères </w:t>
      </w:r>
      <w:r w:rsidRPr="00916968">
        <w:rPr>
          <w:rFonts w:cs="Arial"/>
          <w:bCs/>
          <w:lang w:val="fr-FR"/>
        </w:rPr>
        <w:t>figurent</w:t>
      </w:r>
      <w:r w:rsidR="00D164FB" w:rsidRPr="00916968">
        <w:rPr>
          <w:rFonts w:cs="Arial"/>
          <w:bCs/>
          <w:lang w:val="fr-FR"/>
        </w:rPr>
        <w:t xml:space="preserve"> dans les conseils techniques de l</w:t>
      </w:r>
      <w:r w:rsidR="001C46B6" w:rsidRPr="00916968">
        <w:rPr>
          <w:rFonts w:cs="Arial"/>
          <w:bCs/>
          <w:lang w:val="fr-FR"/>
        </w:rPr>
        <w:t>’</w:t>
      </w:r>
      <w:r w:rsidR="00D164FB" w:rsidRPr="00916968">
        <w:rPr>
          <w:rFonts w:cs="Arial"/>
          <w:bCs/>
          <w:lang w:val="fr-FR"/>
        </w:rPr>
        <w:t>UPOV</w:t>
      </w:r>
      <w:r w:rsidRPr="00916968">
        <w:rPr>
          <w:rFonts w:cs="Arial"/>
          <w:bCs/>
          <w:lang w:val="fr-FR"/>
        </w:rPr>
        <w:t xml:space="preserve"> (page</w:t>
      </w:r>
      <w:r w:rsidR="00E6636F" w:rsidRPr="00916968">
        <w:rPr>
          <w:rFonts w:cs="Arial"/>
          <w:bCs/>
          <w:lang w:val="fr-FR"/>
        </w:rPr>
        <w:t> </w:t>
      </w:r>
      <w:r w:rsidRPr="00916968">
        <w:rPr>
          <w:rFonts w:cs="Arial"/>
          <w:bCs/>
          <w:lang w:val="fr-FR"/>
        </w:rPr>
        <w:t xml:space="preserve">9 du document </w:t>
      </w:r>
      <w:r w:rsidR="00180A1F" w:rsidRPr="00916968">
        <w:rPr>
          <w:rFonts w:cs="Arial"/>
          <w:lang w:val="fr-FR"/>
        </w:rPr>
        <w:t>TG/1/3</w:t>
      </w:r>
      <w:r w:rsidRPr="00916968">
        <w:rPr>
          <w:rFonts w:cs="Arial"/>
          <w:lang w:val="fr-FR"/>
        </w:rPr>
        <w:t>)</w:t>
      </w:r>
      <w:r w:rsidR="00D164FB" w:rsidRPr="00916968">
        <w:rPr>
          <w:rFonts w:cs="Arial"/>
          <w:lang w:val="fr-FR"/>
        </w:rPr>
        <w:t>.</w:t>
      </w:r>
    </w:p>
    <w:p w:rsidR="008F37AE" w:rsidRPr="00916968" w:rsidRDefault="00B950FB" w:rsidP="00916968">
      <w:pPr>
        <w:rPr>
          <w:rFonts w:cs="Arial"/>
          <w:lang w:val="fr-FR"/>
        </w:rPr>
      </w:pPr>
      <w:r w:rsidRPr="00916968">
        <w:rPr>
          <w:rFonts w:cs="Arial"/>
          <w:lang w:val="fr-FR"/>
        </w:rPr>
        <w:t>Nous allons examiner si le caractère Teneur en glucoraphanine dans le brocoli remplit les conditions d</w:t>
      </w:r>
      <w:r w:rsidR="001C46B6" w:rsidRPr="00916968">
        <w:rPr>
          <w:rFonts w:cs="Arial"/>
          <w:lang w:val="fr-FR"/>
        </w:rPr>
        <w:t>’</w:t>
      </w:r>
      <w:r w:rsidRPr="00916968">
        <w:rPr>
          <w:rFonts w:cs="Arial"/>
          <w:lang w:val="fr-FR"/>
        </w:rPr>
        <w:t>un caractère selon l</w:t>
      </w:r>
      <w:r w:rsidR="001C46B6" w:rsidRPr="00916968">
        <w:rPr>
          <w:rFonts w:cs="Arial"/>
          <w:lang w:val="fr-FR"/>
        </w:rPr>
        <w:t>’</w:t>
      </w:r>
      <w:r w:rsidRPr="00916968">
        <w:rPr>
          <w:rFonts w:cs="Arial"/>
          <w:lang w:val="fr-FR"/>
        </w:rPr>
        <w:t>UPOV</w:t>
      </w:r>
      <w:r w:rsidR="00180A1F" w:rsidRPr="00916968">
        <w:rPr>
          <w:rFonts w:cs="Arial"/>
          <w:lang w:val="fr-FR"/>
        </w:rPr>
        <w:t>.</w:t>
      </w:r>
    </w:p>
    <w:p w:rsidR="008F37AE" w:rsidRPr="00916968" w:rsidRDefault="008F37AE" w:rsidP="00916968">
      <w:pPr>
        <w:rPr>
          <w:rFonts w:cs="Arial"/>
          <w:lang w:val="fr-FR"/>
        </w:rPr>
      </w:pPr>
    </w:p>
    <w:p w:rsidR="008F37AE" w:rsidRPr="00916968" w:rsidRDefault="008F37AE" w:rsidP="00916968">
      <w:pPr>
        <w:ind w:left="119" w:right="5233"/>
        <w:rPr>
          <w:rFonts w:cs="Arial"/>
          <w:i/>
          <w:lang w:val="fr-FR"/>
        </w:rPr>
      </w:pPr>
      <w:r w:rsidRPr="00916968">
        <w:rPr>
          <w:rFonts w:cs="Arial"/>
          <w:i/>
          <w:lang w:val="fr-FR"/>
        </w:rPr>
        <w:t>4.2</w:t>
      </w:r>
      <w:r w:rsidRPr="00916968">
        <w:rPr>
          <w:rFonts w:cs="Arial"/>
          <w:i/>
          <w:lang w:val="fr-FR"/>
        </w:rPr>
        <w:tab/>
      </w:r>
      <w:r w:rsidR="004E5D9E" w:rsidRPr="00916968">
        <w:rPr>
          <w:rFonts w:cs="Arial"/>
          <w:i/>
          <w:lang w:val="fr-FR"/>
        </w:rPr>
        <w:tab/>
      </w:r>
      <w:r w:rsidRPr="00916968">
        <w:rPr>
          <w:rFonts w:cs="Arial"/>
          <w:i/>
          <w:lang w:val="fr-FR"/>
        </w:rPr>
        <w:t>Sélection des caractères</w:t>
      </w:r>
    </w:p>
    <w:p w:rsidR="008F37AE" w:rsidRPr="00916968" w:rsidRDefault="008F37AE" w:rsidP="00916968">
      <w:pPr>
        <w:spacing w:before="7"/>
        <w:rPr>
          <w:rFonts w:cs="Arial"/>
          <w:i/>
          <w:lang w:val="fr-FR"/>
        </w:rPr>
      </w:pPr>
    </w:p>
    <w:p w:rsidR="008F37AE" w:rsidRPr="00916968" w:rsidRDefault="005F1431" w:rsidP="00916968">
      <w:pPr>
        <w:ind w:left="119" w:right="60"/>
        <w:rPr>
          <w:rFonts w:cs="Arial"/>
          <w:i/>
          <w:lang w:val="fr-FR"/>
        </w:rPr>
      </w:pPr>
      <w:r w:rsidRPr="00916968">
        <w:rPr>
          <w:rFonts w:cs="Arial"/>
          <w:i/>
          <w:lang w:val="fr-FR"/>
        </w:rPr>
        <w:t>4.2.1</w:t>
      </w:r>
      <w:r w:rsidRPr="00916968">
        <w:rPr>
          <w:rFonts w:cs="Arial"/>
          <w:i/>
          <w:lang w:val="fr-FR"/>
        </w:rPr>
        <w:tab/>
      </w:r>
      <w:r w:rsidR="004E5D9E" w:rsidRPr="00916968">
        <w:rPr>
          <w:rFonts w:cs="Arial"/>
          <w:i/>
          <w:lang w:val="fr-FR"/>
        </w:rPr>
        <w:tab/>
      </w:r>
      <w:r w:rsidRPr="00916968">
        <w:rPr>
          <w:rFonts w:cs="Arial"/>
          <w:i/>
          <w:lang w:val="fr-FR"/>
        </w:rPr>
        <w:t>Pour qu</w:t>
      </w:r>
      <w:r w:rsidR="001C46B6" w:rsidRPr="00916968">
        <w:rPr>
          <w:rFonts w:cs="Arial"/>
          <w:i/>
          <w:lang w:val="fr-FR"/>
        </w:rPr>
        <w:t>’</w:t>
      </w:r>
      <w:r w:rsidRPr="00916968">
        <w:rPr>
          <w:rFonts w:cs="Arial"/>
          <w:i/>
          <w:lang w:val="fr-FR"/>
        </w:rPr>
        <w:t>un caractère puisse être utilisé aux fins de l</w:t>
      </w:r>
      <w:r w:rsidR="001C46B6" w:rsidRPr="00916968">
        <w:rPr>
          <w:rFonts w:cs="Arial"/>
          <w:i/>
          <w:lang w:val="fr-FR"/>
        </w:rPr>
        <w:t>’</w:t>
      </w:r>
      <w:r w:rsidRPr="00916968">
        <w:rPr>
          <w:rFonts w:cs="Arial"/>
          <w:i/>
          <w:lang w:val="fr-FR"/>
        </w:rPr>
        <w:t>examen</w:t>
      </w:r>
      <w:r w:rsidR="00E6636F" w:rsidRPr="00916968">
        <w:rPr>
          <w:rFonts w:cs="Arial"/>
          <w:i/>
          <w:lang w:val="fr-FR"/>
        </w:rPr>
        <w:t> </w:t>
      </w:r>
      <w:r w:rsidRPr="00916968">
        <w:rPr>
          <w:rFonts w:cs="Arial"/>
          <w:i/>
          <w:lang w:val="fr-FR"/>
        </w:rPr>
        <w:t>DHS ou de l</w:t>
      </w:r>
      <w:r w:rsidR="001C46B6" w:rsidRPr="00916968">
        <w:rPr>
          <w:rFonts w:cs="Arial"/>
          <w:i/>
          <w:lang w:val="fr-FR"/>
        </w:rPr>
        <w:t>’</w:t>
      </w:r>
      <w:r w:rsidRPr="00916968">
        <w:rPr>
          <w:rFonts w:cs="Arial"/>
          <w:i/>
          <w:lang w:val="fr-FR"/>
        </w:rPr>
        <w:t>établissement d</w:t>
      </w:r>
      <w:r w:rsidR="001C46B6" w:rsidRPr="00916968">
        <w:rPr>
          <w:rFonts w:cs="Arial"/>
          <w:i/>
          <w:lang w:val="fr-FR"/>
        </w:rPr>
        <w:t>’</w:t>
      </w:r>
      <w:r w:rsidRPr="00916968">
        <w:rPr>
          <w:rFonts w:cs="Arial"/>
          <w:i/>
          <w:lang w:val="fr-FR"/>
        </w:rPr>
        <w:t>une description variétale, il est essentiel que son expression :</w:t>
      </w:r>
    </w:p>
    <w:p w:rsidR="008F37AE" w:rsidRPr="00916968" w:rsidRDefault="008F37AE" w:rsidP="00916968">
      <w:pPr>
        <w:spacing w:before="19"/>
        <w:rPr>
          <w:rFonts w:cs="Arial"/>
          <w:i/>
          <w:lang w:val="fr-FR"/>
        </w:rPr>
      </w:pPr>
    </w:p>
    <w:p w:rsidR="008F37AE" w:rsidRPr="00916968" w:rsidRDefault="005F1431" w:rsidP="00916968">
      <w:pPr>
        <w:tabs>
          <w:tab w:val="left" w:pos="1040"/>
        </w:tabs>
        <w:ind w:left="522" w:right="-20"/>
        <w:rPr>
          <w:rFonts w:cs="Arial"/>
          <w:i/>
          <w:lang w:val="fr-FR"/>
        </w:rPr>
      </w:pPr>
      <w:r w:rsidRPr="00916968">
        <w:rPr>
          <w:rFonts w:cs="Arial"/>
          <w:i/>
          <w:lang w:val="fr-FR"/>
        </w:rPr>
        <w:t>a)</w:t>
      </w:r>
      <w:r w:rsidRPr="00916968">
        <w:rPr>
          <w:rFonts w:cs="Arial"/>
          <w:i/>
          <w:lang w:val="fr-FR"/>
        </w:rPr>
        <w:tab/>
        <w:t>résulte d</w:t>
      </w:r>
      <w:r w:rsidR="001C46B6" w:rsidRPr="00916968">
        <w:rPr>
          <w:rFonts w:cs="Arial"/>
          <w:i/>
          <w:lang w:val="fr-FR"/>
        </w:rPr>
        <w:t>’</w:t>
      </w:r>
      <w:r w:rsidRPr="00916968">
        <w:rPr>
          <w:rFonts w:cs="Arial"/>
          <w:i/>
          <w:lang w:val="fr-FR"/>
        </w:rPr>
        <w:t>un certain génotype ou d</w:t>
      </w:r>
      <w:r w:rsidR="001C46B6" w:rsidRPr="00916968">
        <w:rPr>
          <w:rFonts w:cs="Arial"/>
          <w:i/>
          <w:lang w:val="fr-FR"/>
        </w:rPr>
        <w:t>’</w:t>
      </w:r>
      <w:r w:rsidRPr="00916968">
        <w:rPr>
          <w:rFonts w:cs="Arial"/>
          <w:i/>
          <w:lang w:val="fr-FR"/>
        </w:rPr>
        <w:t>une certaine combinaison de génotypes;</w:t>
      </w:r>
    </w:p>
    <w:p w:rsidR="008F37AE" w:rsidRPr="00916968" w:rsidRDefault="005F1431" w:rsidP="00916968">
      <w:pPr>
        <w:spacing w:before="8"/>
        <w:ind w:left="119" w:right="70"/>
        <w:rPr>
          <w:rFonts w:cs="Arial"/>
          <w:i/>
          <w:lang w:val="fr-FR"/>
        </w:rPr>
      </w:pPr>
      <w:r w:rsidRPr="00916968">
        <w:rPr>
          <w:rFonts w:cs="Arial"/>
          <w:i/>
          <w:lang w:val="fr-FR"/>
        </w:rPr>
        <w:t>(</w:t>
      </w:r>
      <w:proofErr w:type="gramStart"/>
      <w:r w:rsidRPr="00916968">
        <w:rPr>
          <w:rFonts w:cs="Arial"/>
          <w:i/>
          <w:lang w:val="fr-FR"/>
        </w:rPr>
        <w:t>cette</w:t>
      </w:r>
      <w:proofErr w:type="gramEnd"/>
      <w:r w:rsidRPr="00916968">
        <w:rPr>
          <w:rFonts w:cs="Arial"/>
          <w:i/>
          <w:lang w:val="fr-FR"/>
        </w:rPr>
        <w:t xml:space="preserve"> condition est énoncée à l</w:t>
      </w:r>
      <w:r w:rsidR="001C46B6" w:rsidRPr="00916968">
        <w:rPr>
          <w:rFonts w:cs="Arial"/>
          <w:i/>
          <w:lang w:val="fr-FR"/>
        </w:rPr>
        <w:t>’</w:t>
      </w:r>
      <w:r w:rsidRPr="00916968">
        <w:rPr>
          <w:rFonts w:cs="Arial"/>
          <w:i/>
          <w:lang w:val="fr-FR"/>
        </w:rPr>
        <w:t>article 1.vi) de l</w:t>
      </w:r>
      <w:r w:rsidR="001C46B6" w:rsidRPr="00916968">
        <w:rPr>
          <w:rFonts w:cs="Arial"/>
          <w:i/>
          <w:lang w:val="fr-FR"/>
        </w:rPr>
        <w:t>’</w:t>
      </w:r>
      <w:r w:rsidRPr="00916968">
        <w:rPr>
          <w:rFonts w:cs="Arial"/>
          <w:i/>
          <w:lang w:val="fr-FR"/>
        </w:rPr>
        <w:t>Acte de</w:t>
      </w:r>
      <w:r w:rsidR="00E6636F" w:rsidRPr="00916968">
        <w:rPr>
          <w:rFonts w:cs="Arial"/>
          <w:i/>
          <w:lang w:val="fr-FR"/>
        </w:rPr>
        <w:t> </w:t>
      </w:r>
      <w:r w:rsidRPr="00916968">
        <w:rPr>
          <w:rFonts w:cs="Arial"/>
          <w:i/>
          <w:lang w:val="fr-FR"/>
        </w:rPr>
        <w:t xml:space="preserve">1991 de la </w:t>
      </w:r>
      <w:r w:rsidR="001C46B6" w:rsidRPr="00916968">
        <w:rPr>
          <w:rFonts w:cs="Arial"/>
          <w:i/>
          <w:lang w:val="fr-FR"/>
        </w:rPr>
        <w:t>Convention UPOV</w:t>
      </w:r>
      <w:r w:rsidRPr="00916968">
        <w:rPr>
          <w:rFonts w:cs="Arial"/>
          <w:i/>
          <w:lang w:val="fr-FR"/>
        </w:rPr>
        <w:t>, mais est fondamentale en toute hypothèse);</w:t>
      </w:r>
    </w:p>
    <w:p w:rsidR="008F37AE" w:rsidRPr="00916968" w:rsidRDefault="008F37AE" w:rsidP="00916968">
      <w:pPr>
        <w:spacing w:before="8"/>
        <w:ind w:left="119" w:right="70"/>
        <w:rPr>
          <w:rFonts w:cs="Arial"/>
          <w:lang w:val="fr-FR"/>
        </w:rPr>
      </w:pPr>
    </w:p>
    <w:p w:rsidR="008F37AE" w:rsidRPr="00916968" w:rsidRDefault="00B950FB" w:rsidP="00916968">
      <w:pPr>
        <w:spacing w:before="8"/>
        <w:ind w:left="119" w:right="70"/>
        <w:rPr>
          <w:rFonts w:cs="Arial"/>
          <w:b/>
          <w:lang w:val="fr-FR"/>
        </w:rPr>
      </w:pPr>
      <w:r w:rsidRPr="00916968">
        <w:rPr>
          <w:rFonts w:cs="Arial"/>
          <w:b/>
          <w:lang w:val="fr-FR"/>
        </w:rPr>
        <w:t xml:space="preserve">La teneur en glucoraphanine est </w:t>
      </w:r>
      <w:r w:rsidR="00180A1F" w:rsidRPr="00916968">
        <w:rPr>
          <w:rFonts w:cs="Arial"/>
          <w:b/>
          <w:lang w:val="fr-FR"/>
        </w:rPr>
        <w:t xml:space="preserve">stable </w:t>
      </w:r>
      <w:r w:rsidR="004E5D9E" w:rsidRPr="00916968">
        <w:rPr>
          <w:rFonts w:cs="Arial"/>
          <w:b/>
          <w:lang w:val="fr-FR"/>
        </w:rPr>
        <w:t>au sein d</w:t>
      </w:r>
      <w:r w:rsidR="001C46B6" w:rsidRPr="00916968">
        <w:rPr>
          <w:rFonts w:cs="Arial"/>
          <w:b/>
          <w:lang w:val="fr-FR"/>
        </w:rPr>
        <w:t>’</w:t>
      </w:r>
      <w:r w:rsidR="004E5D9E" w:rsidRPr="00916968">
        <w:rPr>
          <w:rFonts w:cs="Arial"/>
          <w:b/>
          <w:lang w:val="fr-FR"/>
        </w:rPr>
        <w:t>une</w:t>
      </w:r>
      <w:r w:rsidRPr="00916968">
        <w:rPr>
          <w:rFonts w:cs="Arial"/>
          <w:b/>
          <w:lang w:val="fr-FR"/>
        </w:rPr>
        <w:t xml:space="preserve"> variété sur plusieurs années mais varie entre les variétés</w:t>
      </w:r>
      <w:r w:rsidR="00180A1F" w:rsidRPr="00916968">
        <w:rPr>
          <w:rFonts w:cs="Arial"/>
          <w:b/>
          <w:lang w:val="fr-FR"/>
        </w:rPr>
        <w:t>.</w:t>
      </w:r>
    </w:p>
    <w:p w:rsidR="008F37AE" w:rsidRPr="00916968" w:rsidRDefault="008F37AE" w:rsidP="00916968">
      <w:pPr>
        <w:rPr>
          <w:rFonts w:cs="Arial"/>
          <w:lang w:val="fr-FR"/>
        </w:rPr>
      </w:pPr>
    </w:p>
    <w:p w:rsidR="008F37AE" w:rsidRPr="00916968" w:rsidRDefault="005F1431" w:rsidP="00916968">
      <w:pPr>
        <w:tabs>
          <w:tab w:val="left" w:pos="1040"/>
        </w:tabs>
        <w:ind w:left="515" w:right="-20"/>
        <w:rPr>
          <w:rFonts w:cs="Arial"/>
          <w:i/>
          <w:lang w:val="fr-FR"/>
        </w:rPr>
      </w:pPr>
      <w:r w:rsidRPr="00916968">
        <w:rPr>
          <w:rFonts w:cs="Arial"/>
          <w:i/>
          <w:lang w:val="fr-FR"/>
        </w:rPr>
        <w:t>b)</w:t>
      </w:r>
      <w:r w:rsidRPr="00916968">
        <w:rPr>
          <w:rFonts w:cs="Arial"/>
          <w:i/>
          <w:lang w:val="fr-FR"/>
        </w:rPr>
        <w:tab/>
        <w:t>soit suffisamment claire et reproductible dans un milieu donné;</w:t>
      </w:r>
    </w:p>
    <w:p w:rsidR="008F37AE" w:rsidRPr="00916968" w:rsidRDefault="008F37AE" w:rsidP="00916968">
      <w:pPr>
        <w:tabs>
          <w:tab w:val="left" w:pos="1040"/>
        </w:tabs>
        <w:ind w:left="515" w:right="-20"/>
        <w:rPr>
          <w:rFonts w:cs="Arial"/>
          <w:lang w:val="fr-FR"/>
        </w:rPr>
      </w:pPr>
    </w:p>
    <w:p w:rsidR="008F37AE" w:rsidRPr="00916968" w:rsidRDefault="00B950FB" w:rsidP="00916968">
      <w:pPr>
        <w:tabs>
          <w:tab w:val="left" w:pos="1040"/>
        </w:tabs>
        <w:ind w:right="-20"/>
        <w:rPr>
          <w:rFonts w:cs="Arial"/>
          <w:b/>
          <w:lang w:val="fr-FR"/>
        </w:rPr>
      </w:pPr>
      <w:r w:rsidRPr="00916968">
        <w:rPr>
          <w:rFonts w:cs="Arial"/>
          <w:b/>
          <w:lang w:val="fr-FR"/>
        </w:rPr>
        <w:t xml:space="preserve">La teneur en glucoraphanine est stable </w:t>
      </w:r>
      <w:r w:rsidR="004E5D9E" w:rsidRPr="00916968">
        <w:rPr>
          <w:rFonts w:cs="Arial"/>
          <w:b/>
          <w:lang w:val="fr-FR"/>
        </w:rPr>
        <w:t>au sein d</w:t>
      </w:r>
      <w:r w:rsidR="001C46B6" w:rsidRPr="00916968">
        <w:rPr>
          <w:rFonts w:cs="Arial"/>
          <w:b/>
          <w:lang w:val="fr-FR"/>
        </w:rPr>
        <w:t>’</w:t>
      </w:r>
      <w:r w:rsidR="004E5D9E" w:rsidRPr="00916968">
        <w:rPr>
          <w:rFonts w:cs="Arial"/>
          <w:b/>
          <w:lang w:val="fr-FR"/>
        </w:rPr>
        <w:t xml:space="preserve">une </w:t>
      </w:r>
      <w:r w:rsidRPr="00916968">
        <w:rPr>
          <w:rFonts w:cs="Arial"/>
          <w:b/>
          <w:lang w:val="fr-FR"/>
        </w:rPr>
        <w:t>variété sur trois</w:t>
      </w:r>
      <w:r w:rsidR="00E6636F" w:rsidRPr="00916968">
        <w:rPr>
          <w:rFonts w:cs="Arial"/>
          <w:b/>
          <w:lang w:val="fr-FR"/>
        </w:rPr>
        <w:t> </w:t>
      </w:r>
      <w:r w:rsidRPr="00916968">
        <w:rPr>
          <w:rFonts w:cs="Arial"/>
          <w:b/>
          <w:lang w:val="fr-FR"/>
        </w:rPr>
        <w:t xml:space="preserve">années </w:t>
      </w:r>
      <w:r w:rsidR="004E5D9E" w:rsidRPr="00916968">
        <w:rPr>
          <w:rFonts w:cs="Arial"/>
          <w:b/>
          <w:lang w:val="fr-FR"/>
        </w:rPr>
        <w:t>considérées</w:t>
      </w:r>
      <w:r w:rsidR="00180A1F" w:rsidRPr="00916968">
        <w:rPr>
          <w:rFonts w:cs="Arial"/>
          <w:b/>
          <w:lang w:val="fr-FR"/>
        </w:rPr>
        <w:t xml:space="preserve">. </w:t>
      </w:r>
      <w:r w:rsidRPr="00916968">
        <w:rPr>
          <w:rFonts w:cs="Arial"/>
          <w:b/>
          <w:lang w:val="fr-FR"/>
        </w:rPr>
        <w:t xml:space="preserve"> Les résultats relatifs à la teneur </w:t>
      </w:r>
      <w:r w:rsidR="004E5D9E" w:rsidRPr="00916968">
        <w:rPr>
          <w:rFonts w:cs="Arial"/>
          <w:b/>
          <w:lang w:val="fr-FR"/>
        </w:rPr>
        <w:t xml:space="preserve">figurant </w:t>
      </w:r>
      <w:r w:rsidRPr="00916968">
        <w:rPr>
          <w:rFonts w:cs="Arial"/>
          <w:b/>
          <w:lang w:val="fr-FR"/>
        </w:rPr>
        <w:t>dans le questionnaire technique sont conformes aux données enregistrées dans le cadre de l</w:t>
      </w:r>
      <w:r w:rsidR="001C46B6" w:rsidRPr="00916968">
        <w:rPr>
          <w:rFonts w:cs="Arial"/>
          <w:b/>
          <w:lang w:val="fr-FR"/>
        </w:rPr>
        <w:t>’</w:t>
      </w:r>
      <w:r w:rsidRPr="00916968">
        <w:rPr>
          <w:rFonts w:cs="Arial"/>
          <w:b/>
          <w:lang w:val="fr-FR"/>
        </w:rPr>
        <w:t xml:space="preserve">essai </w:t>
      </w:r>
      <w:r w:rsidR="00455441" w:rsidRPr="00916968">
        <w:rPr>
          <w:rFonts w:cs="Arial"/>
          <w:b/>
          <w:lang w:val="fr-FR"/>
        </w:rPr>
        <w:t>effectué</w:t>
      </w:r>
      <w:r w:rsidRPr="00916968">
        <w:rPr>
          <w:rFonts w:cs="Arial"/>
          <w:b/>
          <w:lang w:val="fr-FR"/>
        </w:rPr>
        <w:t xml:space="preserve"> à </w:t>
      </w:r>
      <w:proofErr w:type="spellStart"/>
      <w:r w:rsidR="00180A1F" w:rsidRPr="00916968">
        <w:rPr>
          <w:rFonts w:cs="Arial"/>
          <w:b/>
          <w:lang w:val="fr-FR"/>
        </w:rPr>
        <w:t>Naktuinbouw</w:t>
      </w:r>
      <w:proofErr w:type="spellEnd"/>
      <w:r w:rsidR="00180A1F" w:rsidRPr="00916968">
        <w:rPr>
          <w:rFonts w:cs="Arial"/>
          <w:b/>
          <w:lang w:val="fr-FR"/>
        </w:rPr>
        <w:t>.</w:t>
      </w:r>
    </w:p>
    <w:p w:rsidR="005F1431" w:rsidRPr="00916968" w:rsidRDefault="005F1431" w:rsidP="00916968">
      <w:pPr>
        <w:tabs>
          <w:tab w:val="left" w:pos="1040"/>
        </w:tabs>
        <w:ind w:right="-20"/>
        <w:rPr>
          <w:rFonts w:cs="Arial"/>
          <w:lang w:val="fr-FR"/>
        </w:rPr>
      </w:pPr>
    </w:p>
    <w:p w:rsidR="008F37AE" w:rsidRPr="00916968" w:rsidRDefault="005F1431" w:rsidP="00916968">
      <w:pPr>
        <w:tabs>
          <w:tab w:val="left" w:pos="1040"/>
        </w:tabs>
        <w:spacing w:before="5"/>
        <w:ind w:left="515" w:right="984"/>
        <w:rPr>
          <w:rFonts w:cs="Arial"/>
          <w:i/>
          <w:lang w:val="fr-FR"/>
        </w:rPr>
      </w:pPr>
      <w:r w:rsidRPr="00916968">
        <w:rPr>
          <w:rFonts w:cs="Arial"/>
          <w:i/>
          <w:lang w:val="fr-FR"/>
        </w:rPr>
        <w:t>c)</w:t>
      </w:r>
      <w:r w:rsidRPr="00916968">
        <w:rPr>
          <w:rFonts w:cs="Arial"/>
          <w:i/>
          <w:lang w:val="fr-FR"/>
        </w:rPr>
        <w:tab/>
        <w:t>témoigne d</w:t>
      </w:r>
      <w:r w:rsidR="001C46B6" w:rsidRPr="00916968">
        <w:rPr>
          <w:rFonts w:cs="Arial"/>
          <w:i/>
          <w:lang w:val="fr-FR"/>
        </w:rPr>
        <w:t>’</w:t>
      </w:r>
      <w:r w:rsidRPr="00916968">
        <w:rPr>
          <w:rFonts w:cs="Arial"/>
          <w:i/>
          <w:lang w:val="fr-FR"/>
        </w:rPr>
        <w:t>une variabilité suffisante entre les variétés pour permettre d</w:t>
      </w:r>
      <w:r w:rsidR="001C46B6" w:rsidRPr="00916968">
        <w:rPr>
          <w:rFonts w:cs="Arial"/>
          <w:i/>
          <w:lang w:val="fr-FR"/>
        </w:rPr>
        <w:t>’</w:t>
      </w:r>
      <w:r w:rsidRPr="00916968">
        <w:rPr>
          <w:rFonts w:cs="Arial"/>
          <w:i/>
          <w:lang w:val="fr-FR"/>
        </w:rPr>
        <w:t>établir la distinction;</w:t>
      </w:r>
    </w:p>
    <w:p w:rsidR="005F1431" w:rsidRPr="00916968" w:rsidRDefault="005F1431" w:rsidP="00916968">
      <w:pPr>
        <w:tabs>
          <w:tab w:val="left" w:pos="1040"/>
        </w:tabs>
        <w:spacing w:before="5"/>
        <w:ind w:right="984"/>
        <w:rPr>
          <w:rFonts w:cs="Arial"/>
          <w:highlight w:val="yellow"/>
          <w:lang w:val="fr-FR"/>
        </w:rPr>
      </w:pPr>
    </w:p>
    <w:p w:rsidR="008F37AE" w:rsidRPr="00916968" w:rsidRDefault="00B950FB" w:rsidP="00916968">
      <w:pPr>
        <w:tabs>
          <w:tab w:val="left" w:pos="1040"/>
        </w:tabs>
        <w:spacing w:before="5"/>
        <w:ind w:right="984"/>
        <w:rPr>
          <w:rFonts w:cs="Arial"/>
          <w:b/>
          <w:lang w:val="fr-FR"/>
        </w:rPr>
      </w:pPr>
      <w:r w:rsidRPr="00916968">
        <w:rPr>
          <w:rFonts w:cs="Arial"/>
          <w:b/>
          <w:lang w:val="fr-FR"/>
        </w:rPr>
        <w:t xml:space="preserve">Très </w:t>
      </w:r>
      <w:r w:rsidR="00037DD1" w:rsidRPr="00916968">
        <w:rPr>
          <w:rFonts w:cs="Arial"/>
          <w:b/>
          <w:lang w:val="fr-FR"/>
        </w:rPr>
        <w:t>nette</w:t>
      </w:r>
      <w:r w:rsidR="00180A1F" w:rsidRPr="00916968">
        <w:rPr>
          <w:rFonts w:cs="Arial"/>
          <w:b/>
          <w:lang w:val="fr-FR"/>
        </w:rPr>
        <w:t>.</w:t>
      </w:r>
    </w:p>
    <w:p w:rsidR="005F1431" w:rsidRPr="00916968" w:rsidRDefault="005F1431" w:rsidP="00916968">
      <w:pPr>
        <w:tabs>
          <w:tab w:val="left" w:pos="1040"/>
        </w:tabs>
        <w:spacing w:before="5"/>
        <w:ind w:right="984"/>
        <w:rPr>
          <w:rFonts w:cs="Arial"/>
          <w:lang w:val="fr-FR"/>
        </w:rPr>
      </w:pPr>
    </w:p>
    <w:p w:rsidR="008F37AE" w:rsidRPr="00916968" w:rsidRDefault="005F1431" w:rsidP="00916968">
      <w:pPr>
        <w:tabs>
          <w:tab w:val="left" w:pos="1040"/>
        </w:tabs>
        <w:spacing w:before="5"/>
        <w:ind w:left="515" w:right="984"/>
        <w:rPr>
          <w:rFonts w:cs="Arial"/>
          <w:i/>
          <w:lang w:val="fr-FR"/>
        </w:rPr>
      </w:pPr>
      <w:r w:rsidRPr="00916968">
        <w:rPr>
          <w:rFonts w:cs="Arial"/>
          <w:i/>
          <w:lang w:val="fr-FR"/>
        </w:rPr>
        <w:t>d)</w:t>
      </w:r>
      <w:r w:rsidRPr="00916968">
        <w:rPr>
          <w:rFonts w:cs="Arial"/>
          <w:i/>
          <w:lang w:val="fr-FR"/>
        </w:rPr>
        <w:tab/>
        <w:t>puisse être décrite et reconnue avec précision;</w:t>
      </w:r>
    </w:p>
    <w:p w:rsidR="008F37AE" w:rsidRPr="00916968" w:rsidRDefault="005F1431" w:rsidP="00916968">
      <w:pPr>
        <w:spacing w:before="1"/>
        <w:ind w:left="112" w:right="77" w:firstLine="7"/>
        <w:rPr>
          <w:rFonts w:cs="Arial"/>
          <w:i/>
          <w:lang w:val="fr-FR"/>
        </w:rPr>
      </w:pPr>
      <w:r w:rsidRPr="00916968">
        <w:rPr>
          <w:rFonts w:cs="Arial"/>
          <w:i/>
          <w:lang w:val="fr-FR"/>
        </w:rPr>
        <w:t>(</w:t>
      </w:r>
      <w:proofErr w:type="gramStart"/>
      <w:r w:rsidRPr="00916968">
        <w:rPr>
          <w:rFonts w:cs="Arial"/>
          <w:i/>
          <w:lang w:val="fr-FR"/>
        </w:rPr>
        <w:t>cette</w:t>
      </w:r>
      <w:proofErr w:type="gramEnd"/>
      <w:r w:rsidRPr="00916968">
        <w:rPr>
          <w:rFonts w:cs="Arial"/>
          <w:i/>
          <w:lang w:val="fr-FR"/>
        </w:rPr>
        <w:t xml:space="preserve"> condition est énoncée à l</w:t>
      </w:r>
      <w:r w:rsidR="001C46B6" w:rsidRPr="00916968">
        <w:rPr>
          <w:rFonts w:cs="Arial"/>
          <w:i/>
          <w:lang w:val="fr-FR"/>
        </w:rPr>
        <w:t>’</w:t>
      </w:r>
      <w:r w:rsidRPr="00916968">
        <w:rPr>
          <w:rFonts w:cs="Arial"/>
          <w:i/>
          <w:lang w:val="fr-FR"/>
        </w:rPr>
        <w:t>article</w:t>
      </w:r>
      <w:r w:rsidR="00E6636F" w:rsidRPr="00916968">
        <w:rPr>
          <w:rFonts w:cs="Arial"/>
          <w:i/>
          <w:lang w:val="fr-FR"/>
        </w:rPr>
        <w:t> </w:t>
      </w:r>
      <w:r w:rsidRPr="00916968">
        <w:rPr>
          <w:rFonts w:cs="Arial"/>
          <w:i/>
          <w:lang w:val="fr-FR"/>
        </w:rPr>
        <w:t>6 des actes de</w:t>
      </w:r>
      <w:r w:rsidR="00E6636F" w:rsidRPr="00916968">
        <w:rPr>
          <w:rFonts w:cs="Arial"/>
          <w:i/>
          <w:lang w:val="fr-FR"/>
        </w:rPr>
        <w:t> </w:t>
      </w:r>
      <w:r w:rsidRPr="00916968">
        <w:rPr>
          <w:rFonts w:cs="Arial"/>
          <w:i/>
          <w:lang w:val="fr-FR"/>
        </w:rPr>
        <w:t>1961/1972 et de</w:t>
      </w:r>
      <w:r w:rsidR="00E6636F" w:rsidRPr="00916968">
        <w:rPr>
          <w:rFonts w:cs="Arial"/>
          <w:i/>
          <w:lang w:val="fr-FR"/>
        </w:rPr>
        <w:t> </w:t>
      </w:r>
      <w:r w:rsidRPr="00916968">
        <w:rPr>
          <w:rFonts w:cs="Arial"/>
          <w:i/>
          <w:lang w:val="fr-FR"/>
        </w:rPr>
        <w:t xml:space="preserve">1978 de la </w:t>
      </w:r>
      <w:r w:rsidR="001C46B6" w:rsidRPr="00916968">
        <w:rPr>
          <w:rFonts w:cs="Arial"/>
          <w:i/>
          <w:lang w:val="fr-FR"/>
        </w:rPr>
        <w:t>Convention UPOV</w:t>
      </w:r>
      <w:r w:rsidRPr="00916968">
        <w:rPr>
          <w:rFonts w:cs="Arial"/>
          <w:i/>
          <w:lang w:val="fr-FR"/>
        </w:rPr>
        <w:t xml:space="preserve"> mais reste une condition fondamentale en toute hypothèse);</w:t>
      </w:r>
    </w:p>
    <w:p w:rsidR="008F37AE" w:rsidRPr="00916968" w:rsidRDefault="008F37AE" w:rsidP="00916968">
      <w:pPr>
        <w:spacing w:before="19"/>
        <w:rPr>
          <w:rFonts w:cs="Arial"/>
          <w:lang w:val="fr-FR"/>
        </w:rPr>
      </w:pPr>
    </w:p>
    <w:p w:rsidR="008F37AE" w:rsidRPr="00916968" w:rsidRDefault="00B950FB" w:rsidP="00916968">
      <w:pPr>
        <w:spacing w:before="19"/>
        <w:rPr>
          <w:rFonts w:cs="Arial"/>
          <w:b/>
          <w:lang w:val="fr-FR"/>
        </w:rPr>
      </w:pPr>
      <w:r w:rsidRPr="00916968">
        <w:rPr>
          <w:rFonts w:cs="Arial"/>
          <w:b/>
          <w:lang w:val="fr-FR"/>
        </w:rPr>
        <w:t>Oui</w:t>
      </w:r>
      <w:r w:rsidR="00180A1F" w:rsidRPr="00916968">
        <w:rPr>
          <w:rFonts w:cs="Arial"/>
          <w:b/>
          <w:lang w:val="fr-FR"/>
        </w:rPr>
        <w:t xml:space="preserve">, </w:t>
      </w:r>
      <w:r w:rsidRPr="00916968">
        <w:rPr>
          <w:rFonts w:cs="Arial"/>
          <w:b/>
          <w:lang w:val="fr-FR"/>
        </w:rPr>
        <w:t>voir la méthode</w:t>
      </w:r>
      <w:r w:rsidR="00180A1F" w:rsidRPr="00916968">
        <w:rPr>
          <w:rFonts w:cs="Arial"/>
          <w:b/>
          <w:lang w:val="fr-FR"/>
        </w:rPr>
        <w:t>.</w:t>
      </w:r>
    </w:p>
    <w:p w:rsidR="008F37AE" w:rsidRPr="00916968" w:rsidRDefault="008F37AE" w:rsidP="00916968">
      <w:pPr>
        <w:spacing w:before="19"/>
        <w:rPr>
          <w:rFonts w:cs="Arial"/>
          <w:i/>
          <w:lang w:val="fr-FR"/>
        </w:rPr>
      </w:pPr>
    </w:p>
    <w:p w:rsidR="008F37AE" w:rsidRPr="00916968" w:rsidRDefault="005F1431" w:rsidP="00916968">
      <w:pPr>
        <w:tabs>
          <w:tab w:val="left" w:pos="1040"/>
        </w:tabs>
        <w:ind w:left="515" w:right="-20"/>
        <w:rPr>
          <w:rFonts w:cs="Arial"/>
          <w:i/>
          <w:lang w:val="fr-FR"/>
        </w:rPr>
      </w:pPr>
      <w:r w:rsidRPr="00916968">
        <w:rPr>
          <w:rFonts w:cs="Arial"/>
          <w:i/>
          <w:lang w:val="fr-FR"/>
        </w:rPr>
        <w:t>e)</w:t>
      </w:r>
      <w:r w:rsidRPr="00916968">
        <w:rPr>
          <w:rFonts w:cs="Arial"/>
          <w:i/>
          <w:lang w:val="fr-FR"/>
        </w:rPr>
        <w:tab/>
        <w:t>permette de vérifier le critère d</w:t>
      </w:r>
      <w:r w:rsidR="001C46B6" w:rsidRPr="00916968">
        <w:rPr>
          <w:rFonts w:cs="Arial"/>
          <w:i/>
          <w:lang w:val="fr-FR"/>
        </w:rPr>
        <w:t>’</w:t>
      </w:r>
      <w:r w:rsidRPr="00916968">
        <w:rPr>
          <w:rFonts w:cs="Arial"/>
          <w:i/>
          <w:lang w:val="fr-FR"/>
        </w:rPr>
        <w:t>homogénéité;</w:t>
      </w:r>
    </w:p>
    <w:p w:rsidR="008F37AE" w:rsidRPr="00916968" w:rsidRDefault="008F37AE" w:rsidP="00916968">
      <w:pPr>
        <w:tabs>
          <w:tab w:val="left" w:pos="1040"/>
        </w:tabs>
        <w:ind w:right="-20"/>
        <w:rPr>
          <w:rFonts w:cs="Arial"/>
          <w:lang w:val="fr-FR"/>
        </w:rPr>
      </w:pPr>
    </w:p>
    <w:p w:rsidR="00B950FB" w:rsidRPr="00916968" w:rsidRDefault="00B950FB" w:rsidP="00916968">
      <w:pPr>
        <w:spacing w:before="19"/>
        <w:rPr>
          <w:rFonts w:cs="Arial"/>
          <w:b/>
          <w:lang w:val="fr-FR"/>
        </w:rPr>
      </w:pPr>
      <w:r w:rsidRPr="00916968">
        <w:rPr>
          <w:rFonts w:cs="Arial"/>
          <w:b/>
          <w:lang w:val="fr-FR"/>
        </w:rPr>
        <w:t>À l</w:t>
      </w:r>
      <w:r w:rsidR="001C46B6" w:rsidRPr="00916968">
        <w:rPr>
          <w:rFonts w:cs="Arial"/>
          <w:b/>
          <w:lang w:val="fr-FR"/>
        </w:rPr>
        <w:t>’</w:t>
      </w:r>
      <w:r w:rsidRPr="00916968">
        <w:rPr>
          <w:rFonts w:cs="Arial"/>
          <w:b/>
          <w:lang w:val="fr-FR"/>
        </w:rPr>
        <w:t>heure actuelle, nous n</w:t>
      </w:r>
      <w:r w:rsidR="001C46B6" w:rsidRPr="00916968">
        <w:rPr>
          <w:rFonts w:cs="Arial"/>
          <w:b/>
          <w:lang w:val="fr-FR"/>
        </w:rPr>
        <w:t>’</w:t>
      </w:r>
      <w:r w:rsidRPr="00916968">
        <w:rPr>
          <w:rFonts w:cs="Arial"/>
          <w:b/>
          <w:lang w:val="fr-FR"/>
        </w:rPr>
        <w:t xml:space="preserve">avons </w:t>
      </w:r>
      <w:r w:rsidR="004E5D9E" w:rsidRPr="00916968">
        <w:rPr>
          <w:rFonts w:cs="Arial"/>
          <w:b/>
          <w:lang w:val="fr-FR"/>
        </w:rPr>
        <w:t>aucune</w:t>
      </w:r>
      <w:r w:rsidRPr="00916968">
        <w:rPr>
          <w:rFonts w:cs="Arial"/>
          <w:b/>
          <w:lang w:val="fr-FR"/>
        </w:rPr>
        <w:t xml:space="preserve"> raison de </w:t>
      </w:r>
      <w:r w:rsidR="00455441" w:rsidRPr="00916968">
        <w:rPr>
          <w:rFonts w:cs="Arial"/>
          <w:b/>
          <w:lang w:val="fr-FR"/>
        </w:rPr>
        <w:t>mettre en doute</w:t>
      </w:r>
      <w:r w:rsidRPr="00916968">
        <w:rPr>
          <w:rFonts w:cs="Arial"/>
          <w:b/>
          <w:lang w:val="fr-FR"/>
        </w:rPr>
        <w:t xml:space="preserve"> l</w:t>
      </w:r>
      <w:r w:rsidR="001C46B6" w:rsidRPr="00916968">
        <w:rPr>
          <w:rFonts w:cs="Arial"/>
          <w:b/>
          <w:lang w:val="fr-FR"/>
        </w:rPr>
        <w:t>’</w:t>
      </w:r>
      <w:r w:rsidRPr="00916968">
        <w:rPr>
          <w:rFonts w:cs="Arial"/>
          <w:b/>
          <w:lang w:val="fr-FR"/>
        </w:rPr>
        <w:t xml:space="preserve">homogénéité de ce caractère.  </w:t>
      </w:r>
      <w:r w:rsidR="004E5D9E" w:rsidRPr="00916968">
        <w:rPr>
          <w:rFonts w:cs="Arial"/>
          <w:b/>
          <w:lang w:val="fr-FR"/>
        </w:rPr>
        <w:t>Comme indiqué plus haut</w:t>
      </w:r>
      <w:r w:rsidRPr="00916968">
        <w:rPr>
          <w:rFonts w:cs="Arial"/>
          <w:b/>
          <w:lang w:val="fr-FR"/>
        </w:rPr>
        <w:t xml:space="preserve">, les résultats </w:t>
      </w:r>
      <w:r w:rsidR="00455441" w:rsidRPr="00916968">
        <w:rPr>
          <w:rFonts w:cs="Arial"/>
          <w:b/>
          <w:lang w:val="fr-FR"/>
        </w:rPr>
        <w:t>par</w:t>
      </w:r>
      <w:r w:rsidR="004E5D9E" w:rsidRPr="00916968">
        <w:rPr>
          <w:rFonts w:cs="Arial"/>
          <w:b/>
          <w:lang w:val="fr-FR"/>
        </w:rPr>
        <w:t xml:space="preserve"> </w:t>
      </w:r>
      <w:r w:rsidRPr="00916968">
        <w:rPr>
          <w:rFonts w:cs="Arial"/>
          <w:b/>
          <w:lang w:val="fr-FR"/>
        </w:rPr>
        <w:t>variété sont stables sur plusieurs années avec seulement trois</w:t>
      </w:r>
      <w:r w:rsidR="00E6636F" w:rsidRPr="00916968">
        <w:rPr>
          <w:rFonts w:cs="Arial"/>
          <w:b/>
          <w:lang w:val="fr-FR"/>
        </w:rPr>
        <w:t> </w:t>
      </w:r>
      <w:r w:rsidRPr="00916968">
        <w:rPr>
          <w:rFonts w:cs="Arial"/>
          <w:b/>
          <w:lang w:val="fr-FR"/>
        </w:rPr>
        <w:t xml:space="preserve">plantes par variété.  Cela indique que le caractère est homogène entre les plantes de la variété.  </w:t>
      </w:r>
      <w:r w:rsidR="004E5D9E" w:rsidRPr="00916968">
        <w:rPr>
          <w:rFonts w:cs="Arial"/>
          <w:b/>
          <w:lang w:val="fr-FR"/>
        </w:rPr>
        <w:t xml:space="preserve">En raison </w:t>
      </w:r>
      <w:r w:rsidRPr="00916968">
        <w:rPr>
          <w:rFonts w:cs="Arial"/>
          <w:b/>
          <w:lang w:val="fr-FR"/>
        </w:rPr>
        <w:t>du coût, nous n</w:t>
      </w:r>
      <w:r w:rsidR="001C46B6" w:rsidRPr="00916968">
        <w:rPr>
          <w:rFonts w:cs="Arial"/>
          <w:b/>
          <w:lang w:val="fr-FR"/>
        </w:rPr>
        <w:t>’</w:t>
      </w:r>
      <w:r w:rsidRPr="00916968">
        <w:rPr>
          <w:rFonts w:cs="Arial"/>
          <w:b/>
          <w:lang w:val="fr-FR"/>
        </w:rPr>
        <w:t xml:space="preserve">avons </w:t>
      </w:r>
      <w:r w:rsidR="00856ABB" w:rsidRPr="00916968">
        <w:rPr>
          <w:rFonts w:cs="Arial"/>
          <w:b/>
          <w:lang w:val="fr-FR"/>
        </w:rPr>
        <w:t xml:space="preserve">pas </w:t>
      </w:r>
      <w:r w:rsidRPr="00916968">
        <w:rPr>
          <w:rFonts w:cs="Arial"/>
          <w:b/>
          <w:lang w:val="fr-FR"/>
        </w:rPr>
        <w:t xml:space="preserve">encore </w:t>
      </w:r>
      <w:r w:rsidR="004E5D9E" w:rsidRPr="00916968">
        <w:rPr>
          <w:rFonts w:cs="Arial"/>
          <w:b/>
          <w:lang w:val="fr-FR"/>
        </w:rPr>
        <w:t>effectué</w:t>
      </w:r>
      <w:r w:rsidRPr="00916968">
        <w:rPr>
          <w:rFonts w:cs="Arial"/>
          <w:b/>
          <w:lang w:val="fr-FR"/>
        </w:rPr>
        <w:t xml:space="preserve"> d</w:t>
      </w:r>
      <w:r w:rsidR="001C46B6" w:rsidRPr="00916968">
        <w:rPr>
          <w:rFonts w:cs="Arial"/>
          <w:b/>
          <w:lang w:val="fr-FR"/>
        </w:rPr>
        <w:t>’</w:t>
      </w:r>
      <w:r w:rsidRPr="00916968">
        <w:rPr>
          <w:rFonts w:cs="Arial"/>
          <w:b/>
          <w:lang w:val="fr-FR"/>
        </w:rPr>
        <w:t>essai sur l</w:t>
      </w:r>
      <w:r w:rsidR="001C46B6" w:rsidRPr="00916968">
        <w:rPr>
          <w:rFonts w:cs="Arial"/>
          <w:b/>
          <w:lang w:val="fr-FR"/>
        </w:rPr>
        <w:t>’</w:t>
      </w:r>
      <w:r w:rsidRPr="00916968">
        <w:rPr>
          <w:rFonts w:cs="Arial"/>
          <w:b/>
          <w:lang w:val="fr-FR"/>
        </w:rPr>
        <w:t xml:space="preserve">homogénéité de </w:t>
      </w:r>
      <w:r w:rsidR="00856ABB" w:rsidRPr="00916968">
        <w:rPr>
          <w:rFonts w:cs="Arial"/>
          <w:b/>
          <w:lang w:val="fr-FR"/>
        </w:rPr>
        <w:t>20 </w:t>
      </w:r>
      <w:r w:rsidRPr="00916968">
        <w:rPr>
          <w:rFonts w:cs="Arial"/>
          <w:b/>
          <w:lang w:val="fr-FR"/>
        </w:rPr>
        <w:t>plantes appartenant à plusieurs variétés.  Toutefois, cet essai est techniquement tout à fait réalisable.</w:t>
      </w:r>
    </w:p>
    <w:p w:rsidR="008F37AE" w:rsidRPr="00916968" w:rsidRDefault="008F37AE" w:rsidP="00916968">
      <w:pPr>
        <w:spacing w:before="19"/>
        <w:rPr>
          <w:rFonts w:cs="Arial"/>
          <w:i/>
          <w:lang w:val="fr-FR"/>
        </w:rPr>
      </w:pPr>
    </w:p>
    <w:p w:rsidR="008F37AE" w:rsidRPr="00916968" w:rsidRDefault="005F1431" w:rsidP="00916968">
      <w:pPr>
        <w:ind w:left="112" w:right="85" w:firstLine="403"/>
        <w:rPr>
          <w:rFonts w:cs="Arial"/>
          <w:i/>
          <w:lang w:val="fr-FR"/>
        </w:rPr>
      </w:pPr>
      <w:r w:rsidRPr="00916968">
        <w:rPr>
          <w:rFonts w:cs="Arial"/>
          <w:i/>
          <w:lang w:val="fr-FR"/>
        </w:rPr>
        <w:t>f)</w:t>
      </w:r>
      <w:r w:rsidRPr="00916968">
        <w:rPr>
          <w:rFonts w:cs="Arial"/>
          <w:i/>
          <w:lang w:val="fr-FR"/>
        </w:rPr>
        <w:tab/>
        <w:t>permette de vérifier le critère de stabilité, c</w:t>
      </w:r>
      <w:r w:rsidR="001C46B6" w:rsidRPr="00916968">
        <w:rPr>
          <w:rFonts w:cs="Arial"/>
          <w:i/>
          <w:lang w:val="fr-FR"/>
        </w:rPr>
        <w:t>’</w:t>
      </w:r>
      <w:r w:rsidRPr="00916968">
        <w:rPr>
          <w:rFonts w:cs="Arial"/>
          <w:i/>
          <w:lang w:val="fr-FR"/>
        </w:rPr>
        <w:t>est</w:t>
      </w:r>
      <w:r w:rsidR="00055BD9" w:rsidRPr="00916968">
        <w:rPr>
          <w:rFonts w:cs="Arial"/>
          <w:i/>
          <w:lang w:val="fr-FR"/>
        </w:rPr>
        <w:noBreakHyphen/>
      </w:r>
      <w:r w:rsidRPr="00916968">
        <w:rPr>
          <w:rFonts w:cs="Arial"/>
          <w:i/>
          <w:lang w:val="fr-FR"/>
        </w:rPr>
        <w:t>à</w:t>
      </w:r>
      <w:r w:rsidR="00055BD9" w:rsidRPr="00916968">
        <w:rPr>
          <w:rFonts w:cs="Arial"/>
          <w:i/>
          <w:lang w:val="fr-FR"/>
        </w:rPr>
        <w:noBreakHyphen/>
      </w:r>
      <w:r w:rsidRPr="00916968">
        <w:rPr>
          <w:rFonts w:cs="Arial"/>
          <w:i/>
          <w:lang w:val="fr-FR"/>
        </w:rPr>
        <w:t>dire produise des résultats cohérents et reproductibles à la suite de reproductions ou multiplications successives ou, le cas échéant, à la fin de chaque cycle de reproduction ou de multiplication.</w:t>
      </w:r>
    </w:p>
    <w:p w:rsidR="008F37AE" w:rsidRPr="00916968" w:rsidRDefault="008F37AE" w:rsidP="00916968">
      <w:pPr>
        <w:ind w:right="85"/>
        <w:rPr>
          <w:rFonts w:cs="Arial"/>
          <w:lang w:val="fr-FR"/>
        </w:rPr>
      </w:pPr>
    </w:p>
    <w:p w:rsidR="001C46B6" w:rsidRPr="00916968" w:rsidRDefault="00037DD1" w:rsidP="00916968">
      <w:pPr>
        <w:ind w:right="85"/>
        <w:rPr>
          <w:rFonts w:cs="Arial"/>
          <w:b/>
          <w:lang w:val="fr-FR"/>
        </w:rPr>
      </w:pPr>
      <w:r w:rsidRPr="00916968">
        <w:rPr>
          <w:rFonts w:cs="Arial"/>
          <w:b/>
          <w:lang w:val="fr-FR"/>
        </w:rPr>
        <w:t>Oui</w:t>
      </w:r>
      <w:r w:rsidR="00180A1F" w:rsidRPr="00916968">
        <w:rPr>
          <w:rFonts w:cs="Arial"/>
          <w:b/>
          <w:lang w:val="fr-FR"/>
        </w:rPr>
        <w:t xml:space="preserve">. </w:t>
      </w:r>
      <w:r w:rsidRPr="00916968">
        <w:rPr>
          <w:rFonts w:cs="Arial"/>
          <w:b/>
          <w:lang w:val="fr-FR"/>
        </w:rPr>
        <w:t xml:space="preserve"> La teneur</w:t>
      </w:r>
      <w:r w:rsidR="004E5D9E" w:rsidRPr="00916968">
        <w:rPr>
          <w:rFonts w:cs="Arial"/>
          <w:b/>
          <w:lang w:val="fr-FR"/>
        </w:rPr>
        <w:t xml:space="preserve"> en</w:t>
      </w:r>
      <w:r w:rsidRPr="00916968">
        <w:rPr>
          <w:rFonts w:cs="Arial"/>
          <w:b/>
          <w:lang w:val="fr-FR"/>
        </w:rPr>
        <w:t xml:space="preserve"> glucoraphanine est vérifiée sur plusieurs années</w:t>
      </w:r>
      <w:r w:rsidR="00180A1F" w:rsidRPr="00916968">
        <w:rPr>
          <w:rFonts w:cs="Arial"/>
          <w:b/>
          <w:lang w:val="fr-FR"/>
        </w:rPr>
        <w:t>.</w:t>
      </w:r>
    </w:p>
    <w:p w:rsidR="008F37AE" w:rsidRPr="00916968" w:rsidRDefault="008F37AE" w:rsidP="00916968">
      <w:pPr>
        <w:spacing w:before="17"/>
        <w:rPr>
          <w:rFonts w:cs="Arial"/>
          <w:lang w:val="fr-FR"/>
        </w:rPr>
      </w:pPr>
    </w:p>
    <w:p w:rsidR="00916968" w:rsidRDefault="00916968">
      <w:pPr>
        <w:jc w:val="left"/>
        <w:rPr>
          <w:rFonts w:cs="Arial"/>
          <w:lang w:val="fr-FR"/>
        </w:rPr>
      </w:pPr>
      <w:r>
        <w:rPr>
          <w:rFonts w:cs="Arial"/>
          <w:lang w:val="fr-FR"/>
        </w:rPr>
        <w:br w:type="page"/>
      </w:r>
    </w:p>
    <w:p w:rsidR="008F37AE" w:rsidRPr="00916968" w:rsidRDefault="005F1431" w:rsidP="00916968">
      <w:pPr>
        <w:spacing w:before="17"/>
        <w:rPr>
          <w:rFonts w:cs="Arial"/>
          <w:lang w:val="fr-FR"/>
        </w:rPr>
      </w:pPr>
      <w:r w:rsidRPr="00916968">
        <w:rPr>
          <w:rFonts w:cs="Arial"/>
          <w:lang w:val="fr-FR"/>
        </w:rPr>
        <w:lastRenderedPageBreak/>
        <w:t>Conclusion</w:t>
      </w:r>
      <w:r w:rsidR="00E6636F" w:rsidRPr="00916968">
        <w:rPr>
          <w:rFonts w:cs="Arial"/>
          <w:lang w:val="fr-FR"/>
        </w:rPr>
        <w:t> </w:t>
      </w:r>
      <w:r w:rsidRPr="00916968">
        <w:rPr>
          <w:rFonts w:cs="Arial"/>
          <w:lang w:val="fr-FR"/>
        </w:rPr>
        <w:t>:</w:t>
      </w:r>
    </w:p>
    <w:p w:rsidR="00FD451C" w:rsidRPr="00916968" w:rsidRDefault="00037DD1" w:rsidP="00916968">
      <w:pPr>
        <w:spacing w:before="17"/>
        <w:rPr>
          <w:rFonts w:cs="Arial"/>
          <w:lang w:val="fr-FR"/>
        </w:rPr>
      </w:pPr>
      <w:r w:rsidRPr="00916968">
        <w:rPr>
          <w:rFonts w:cs="Arial"/>
          <w:lang w:val="fr-FR"/>
        </w:rPr>
        <w:t xml:space="preserve">En principe, toutes les conditions </w:t>
      </w:r>
      <w:r w:rsidR="00455441" w:rsidRPr="00916968">
        <w:rPr>
          <w:rFonts w:cs="Arial"/>
          <w:lang w:val="fr-FR"/>
        </w:rPr>
        <w:t>défini</w:t>
      </w:r>
      <w:r w:rsidRPr="00916968">
        <w:rPr>
          <w:rFonts w:cs="Arial"/>
          <w:lang w:val="fr-FR"/>
        </w:rPr>
        <w:t>es par l</w:t>
      </w:r>
      <w:r w:rsidR="001C46B6" w:rsidRPr="00916968">
        <w:rPr>
          <w:rFonts w:cs="Arial"/>
          <w:lang w:val="fr-FR"/>
        </w:rPr>
        <w:t>’</w:t>
      </w:r>
      <w:r w:rsidRPr="00916968">
        <w:rPr>
          <w:rFonts w:cs="Arial"/>
          <w:lang w:val="fr-FR"/>
        </w:rPr>
        <w:t>UPOV sont remplies</w:t>
      </w:r>
      <w:r w:rsidR="00180A1F" w:rsidRPr="00916968">
        <w:rPr>
          <w:rFonts w:cs="Arial"/>
          <w:lang w:val="fr-FR"/>
        </w:rPr>
        <w:t xml:space="preserve">. </w:t>
      </w:r>
      <w:r w:rsidRPr="00916968">
        <w:rPr>
          <w:rFonts w:cs="Arial"/>
          <w:lang w:val="fr-FR"/>
        </w:rPr>
        <w:t xml:space="preserve"> Le respect du critère d</w:t>
      </w:r>
      <w:r w:rsidR="001C46B6" w:rsidRPr="00916968">
        <w:rPr>
          <w:rFonts w:cs="Arial"/>
          <w:lang w:val="fr-FR"/>
        </w:rPr>
        <w:t>’</w:t>
      </w:r>
      <w:r w:rsidRPr="00916968">
        <w:rPr>
          <w:rFonts w:cs="Arial"/>
          <w:lang w:val="fr-FR"/>
        </w:rPr>
        <w:t>homogénéité n</w:t>
      </w:r>
      <w:r w:rsidR="001C46B6" w:rsidRPr="00916968">
        <w:rPr>
          <w:rFonts w:cs="Arial"/>
          <w:lang w:val="fr-FR"/>
        </w:rPr>
        <w:t>’</w:t>
      </w:r>
      <w:r w:rsidRPr="00916968">
        <w:rPr>
          <w:rFonts w:cs="Arial"/>
          <w:lang w:val="fr-FR"/>
        </w:rPr>
        <w:t xml:space="preserve">est pas </w:t>
      </w:r>
      <w:r w:rsidR="004E5D9E" w:rsidRPr="00916968">
        <w:rPr>
          <w:rFonts w:cs="Arial"/>
          <w:lang w:val="fr-FR"/>
        </w:rPr>
        <w:t>totalement</w:t>
      </w:r>
      <w:r w:rsidRPr="00916968">
        <w:rPr>
          <w:rFonts w:cs="Arial"/>
          <w:lang w:val="fr-FR"/>
        </w:rPr>
        <w:t xml:space="preserve"> avéré.</w:t>
      </w:r>
    </w:p>
    <w:p w:rsidR="00FD451C" w:rsidRDefault="00FD451C" w:rsidP="00916968">
      <w:pPr>
        <w:spacing w:before="17"/>
        <w:rPr>
          <w:rFonts w:cs="Arial"/>
          <w:lang w:val="fr-FR"/>
        </w:rPr>
      </w:pPr>
    </w:p>
    <w:p w:rsidR="00916968" w:rsidRPr="00916968" w:rsidRDefault="00916968" w:rsidP="00916968">
      <w:pPr>
        <w:spacing w:before="17"/>
        <w:rPr>
          <w:rFonts w:cs="Arial"/>
          <w:lang w:val="fr-FR"/>
        </w:rPr>
      </w:pPr>
    </w:p>
    <w:p w:rsidR="008F37AE" w:rsidRPr="00916968" w:rsidRDefault="00180A1F" w:rsidP="00916968">
      <w:pPr>
        <w:pStyle w:val="ListParagraph"/>
        <w:widowControl w:val="0"/>
        <w:numPr>
          <w:ilvl w:val="0"/>
          <w:numId w:val="2"/>
        </w:numPr>
        <w:ind w:left="1134" w:hanging="567"/>
        <w:rPr>
          <w:rFonts w:cs="Arial"/>
          <w:lang w:val="fr-FR"/>
        </w:rPr>
      </w:pPr>
      <w:r w:rsidRPr="00916968">
        <w:rPr>
          <w:rFonts w:cs="Arial"/>
          <w:lang w:val="fr-FR"/>
        </w:rPr>
        <w:t xml:space="preserve">Description </w:t>
      </w:r>
      <w:r w:rsidR="00037DD1" w:rsidRPr="00916968">
        <w:rPr>
          <w:rFonts w:cs="Arial"/>
          <w:lang w:val="fr-FR"/>
        </w:rPr>
        <w:t>du caractère</w:t>
      </w:r>
    </w:p>
    <w:p w:rsidR="008F37AE" w:rsidRPr="00916968" w:rsidRDefault="008F37AE" w:rsidP="00916968">
      <w:pPr>
        <w:spacing w:before="1"/>
        <w:jc w:val="left"/>
        <w:rPr>
          <w:rFonts w:cs="Arial"/>
          <w:lang w:val="fr-FR"/>
        </w:rPr>
      </w:pPr>
    </w:p>
    <w:p w:rsidR="001C46B6" w:rsidRPr="00916968" w:rsidRDefault="005F1431" w:rsidP="00916968">
      <w:pPr>
        <w:jc w:val="left"/>
        <w:rPr>
          <w:rFonts w:cs="Arial"/>
          <w:b/>
          <w:lang w:val="fr-FR"/>
        </w:rPr>
      </w:pPr>
      <w:r w:rsidRPr="00916968">
        <w:rPr>
          <w:rFonts w:cs="Arial"/>
          <w:b/>
          <w:lang w:val="fr-FR"/>
        </w:rPr>
        <w:t>Type de caractère</w:t>
      </w:r>
    </w:p>
    <w:p w:rsidR="001C46B6" w:rsidRPr="00916968" w:rsidRDefault="005F1431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Caractère quantitatif</w:t>
      </w:r>
    </w:p>
    <w:p w:rsidR="008F37AE" w:rsidRPr="00916968" w:rsidRDefault="005F1431" w:rsidP="00916968">
      <w:pPr>
        <w:jc w:val="left"/>
        <w:rPr>
          <w:rFonts w:cs="Arial"/>
          <w:b/>
          <w:lang w:val="fr-FR"/>
        </w:rPr>
      </w:pPr>
      <w:r w:rsidRPr="00916968">
        <w:rPr>
          <w:rFonts w:cs="Arial"/>
          <w:b/>
          <w:lang w:val="fr-FR"/>
        </w:rPr>
        <w:t>Caractère</w:t>
      </w:r>
      <w:r w:rsidRPr="003E153B">
        <w:rPr>
          <w:rFonts w:cs="Arial"/>
          <w:b/>
          <w:lang w:val="fr-FR"/>
        </w:rPr>
        <w:t>:</w:t>
      </w:r>
    </w:p>
    <w:p w:rsidR="008F37AE" w:rsidRPr="00916968" w:rsidRDefault="00037DD1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Teneur en g</w:t>
      </w:r>
      <w:r w:rsidR="00180A1F" w:rsidRPr="00916968">
        <w:rPr>
          <w:rFonts w:cs="Arial"/>
          <w:lang w:val="fr-FR"/>
        </w:rPr>
        <w:t>lucoraphanin</w:t>
      </w:r>
      <w:r w:rsidRPr="00916968">
        <w:rPr>
          <w:rFonts w:cs="Arial"/>
          <w:lang w:val="fr-FR"/>
        </w:rPr>
        <w:t>e</w:t>
      </w:r>
    </w:p>
    <w:p w:rsidR="008F37AE" w:rsidRPr="00916968" w:rsidRDefault="008F37AE" w:rsidP="00916968">
      <w:pPr>
        <w:jc w:val="left"/>
        <w:rPr>
          <w:rFonts w:cs="Arial"/>
          <w:lang w:val="fr-FR"/>
        </w:rPr>
      </w:pPr>
    </w:p>
    <w:p w:rsidR="001C46B6" w:rsidRPr="00916968" w:rsidRDefault="00180A1F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3.</w:t>
      </w:r>
      <w:r w:rsidR="005F1431" w:rsidRPr="00916968">
        <w:rPr>
          <w:rFonts w:cs="Arial"/>
          <w:lang w:val="fr-FR"/>
        </w:rPr>
        <w:tab/>
      </w:r>
      <w:r w:rsidR="00037DD1" w:rsidRPr="00916968">
        <w:rPr>
          <w:rFonts w:cs="Arial"/>
          <w:lang w:val="fr-FR"/>
        </w:rPr>
        <w:t>Faible</w:t>
      </w:r>
    </w:p>
    <w:p w:rsidR="008F37AE" w:rsidRPr="00916968" w:rsidRDefault="00180A1F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5.</w:t>
      </w:r>
      <w:r w:rsidR="005F1431" w:rsidRPr="00916968">
        <w:rPr>
          <w:rFonts w:cs="Arial"/>
          <w:lang w:val="fr-FR"/>
        </w:rPr>
        <w:tab/>
      </w:r>
      <w:r w:rsidRPr="00916968">
        <w:rPr>
          <w:rFonts w:cs="Arial"/>
          <w:lang w:val="fr-FR"/>
        </w:rPr>
        <w:t>M</w:t>
      </w:r>
      <w:r w:rsidR="00037DD1" w:rsidRPr="00916968">
        <w:rPr>
          <w:rFonts w:cs="Arial"/>
          <w:lang w:val="fr-FR"/>
        </w:rPr>
        <w:t>oyenne</w:t>
      </w:r>
    </w:p>
    <w:p w:rsidR="001C46B6" w:rsidRPr="00916968" w:rsidRDefault="00180A1F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7.</w:t>
      </w:r>
      <w:r w:rsidR="005F1431" w:rsidRPr="00916968">
        <w:rPr>
          <w:rFonts w:cs="Arial"/>
          <w:lang w:val="fr-FR"/>
        </w:rPr>
        <w:tab/>
      </w:r>
      <w:r w:rsidR="00037DD1" w:rsidRPr="00916968">
        <w:rPr>
          <w:rFonts w:cs="Arial"/>
          <w:lang w:val="fr-FR"/>
        </w:rPr>
        <w:t>Élevée</w:t>
      </w:r>
    </w:p>
    <w:p w:rsidR="008F37AE" w:rsidRPr="00916968" w:rsidRDefault="008F37AE" w:rsidP="00916968">
      <w:pPr>
        <w:jc w:val="left"/>
        <w:rPr>
          <w:rFonts w:cs="Arial"/>
          <w:lang w:val="fr-FR"/>
        </w:rPr>
      </w:pPr>
    </w:p>
    <w:p w:rsidR="008F37AE" w:rsidRPr="00916968" w:rsidRDefault="005F1431" w:rsidP="00916968">
      <w:pPr>
        <w:jc w:val="left"/>
        <w:rPr>
          <w:rFonts w:cs="Arial"/>
          <w:b/>
          <w:lang w:val="fr-FR"/>
        </w:rPr>
      </w:pPr>
      <w:r w:rsidRPr="00916968">
        <w:rPr>
          <w:rFonts w:cs="Arial"/>
          <w:b/>
          <w:lang w:val="fr-FR"/>
        </w:rPr>
        <w:t>Stade de croissance</w:t>
      </w:r>
    </w:p>
    <w:p w:rsidR="008F37AE" w:rsidRPr="00916968" w:rsidRDefault="005F1431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Maturité de récolte</w:t>
      </w:r>
    </w:p>
    <w:p w:rsidR="008F37AE" w:rsidRPr="00916968" w:rsidRDefault="008F37AE" w:rsidP="00916968">
      <w:pPr>
        <w:jc w:val="left"/>
        <w:rPr>
          <w:rFonts w:cs="Arial"/>
          <w:lang w:val="fr-FR"/>
        </w:rPr>
      </w:pPr>
    </w:p>
    <w:p w:rsidR="008F37AE" w:rsidRPr="00916968" w:rsidRDefault="00180A1F" w:rsidP="00916968">
      <w:pPr>
        <w:jc w:val="left"/>
        <w:rPr>
          <w:rFonts w:cs="Arial"/>
          <w:b/>
          <w:lang w:val="fr-FR"/>
        </w:rPr>
      </w:pPr>
      <w:r w:rsidRPr="00916968">
        <w:rPr>
          <w:rFonts w:cs="Arial"/>
          <w:b/>
          <w:lang w:val="fr-FR"/>
        </w:rPr>
        <w:t xml:space="preserve">Type </w:t>
      </w:r>
      <w:r w:rsidR="00037DD1" w:rsidRPr="00916968">
        <w:rPr>
          <w:rFonts w:cs="Arial"/>
          <w:b/>
          <w:lang w:val="fr-FR"/>
        </w:rPr>
        <w:t>d</w:t>
      </w:r>
      <w:r w:rsidR="001C46B6" w:rsidRPr="00916968">
        <w:rPr>
          <w:rFonts w:cs="Arial"/>
          <w:b/>
          <w:lang w:val="fr-FR"/>
        </w:rPr>
        <w:t>’</w:t>
      </w:r>
      <w:r w:rsidRPr="00916968">
        <w:rPr>
          <w:rFonts w:cs="Arial"/>
          <w:b/>
          <w:lang w:val="fr-FR"/>
        </w:rPr>
        <w:t xml:space="preserve">observation </w:t>
      </w:r>
      <w:r w:rsidR="00037DD1" w:rsidRPr="00916968">
        <w:rPr>
          <w:rFonts w:cs="Arial"/>
          <w:b/>
          <w:lang w:val="fr-FR"/>
        </w:rPr>
        <w:t>du caractère</w:t>
      </w:r>
    </w:p>
    <w:p w:rsidR="008F37AE" w:rsidRPr="00916968" w:rsidRDefault="00180A1F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 xml:space="preserve">MG – </w:t>
      </w:r>
      <w:r w:rsidR="00037DD1" w:rsidRPr="00916968">
        <w:rPr>
          <w:rFonts w:cs="Arial"/>
          <w:lang w:val="fr-FR"/>
        </w:rPr>
        <w:t>Mensuration unique d</w:t>
      </w:r>
      <w:r w:rsidR="001C46B6" w:rsidRPr="00916968">
        <w:rPr>
          <w:rFonts w:cs="Arial"/>
          <w:lang w:val="fr-FR"/>
        </w:rPr>
        <w:t>’</w:t>
      </w:r>
      <w:r w:rsidR="00037DD1" w:rsidRPr="00916968">
        <w:rPr>
          <w:rFonts w:cs="Arial"/>
          <w:lang w:val="fr-FR"/>
        </w:rPr>
        <w:t>un ensemble de plantes</w:t>
      </w:r>
    </w:p>
    <w:p w:rsidR="008F37AE" w:rsidRPr="00916968" w:rsidRDefault="00180A1F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(</w:t>
      </w:r>
      <w:proofErr w:type="gramStart"/>
      <w:r w:rsidR="00037DD1" w:rsidRPr="00916968">
        <w:rPr>
          <w:rFonts w:cs="Arial"/>
          <w:lang w:val="fr-FR"/>
        </w:rPr>
        <w:t>précisions</w:t>
      </w:r>
      <w:proofErr w:type="gramEnd"/>
      <w:r w:rsidR="00037DD1" w:rsidRPr="00916968">
        <w:rPr>
          <w:rFonts w:cs="Arial"/>
          <w:lang w:val="fr-FR"/>
        </w:rPr>
        <w:t xml:space="preserve"> sur le</w:t>
      </w:r>
      <w:r w:rsidRPr="00916968">
        <w:rPr>
          <w:rFonts w:cs="Arial"/>
          <w:lang w:val="fr-FR"/>
        </w:rPr>
        <w:t xml:space="preserve"> protocol</w:t>
      </w:r>
      <w:r w:rsidR="00037DD1" w:rsidRPr="00916968">
        <w:rPr>
          <w:rFonts w:cs="Arial"/>
          <w:lang w:val="fr-FR"/>
        </w:rPr>
        <w:t>e, voir la méthode</w:t>
      </w:r>
      <w:r w:rsidRPr="00916968">
        <w:rPr>
          <w:rFonts w:cs="Arial"/>
          <w:lang w:val="fr-FR"/>
        </w:rPr>
        <w:t>)</w:t>
      </w:r>
    </w:p>
    <w:p w:rsidR="008F37AE" w:rsidRPr="00916968" w:rsidRDefault="008F37AE" w:rsidP="00916968">
      <w:pPr>
        <w:jc w:val="left"/>
        <w:rPr>
          <w:rFonts w:cs="Arial"/>
          <w:lang w:val="fr-FR"/>
        </w:rPr>
      </w:pPr>
    </w:p>
    <w:p w:rsidR="001C46B6" w:rsidRPr="00916968" w:rsidRDefault="00037DD1" w:rsidP="00916968">
      <w:pPr>
        <w:jc w:val="left"/>
        <w:rPr>
          <w:rFonts w:cs="Arial"/>
          <w:lang w:val="fr-FR"/>
        </w:rPr>
      </w:pPr>
      <w:r w:rsidRPr="00916968">
        <w:rPr>
          <w:rFonts w:cs="Arial"/>
          <w:b/>
          <w:lang w:val="fr-FR"/>
        </w:rPr>
        <w:t>Niveaux d</w:t>
      </w:r>
      <w:r w:rsidR="001C46B6" w:rsidRPr="00916968">
        <w:rPr>
          <w:rFonts w:cs="Arial"/>
          <w:b/>
          <w:lang w:val="fr-FR"/>
        </w:rPr>
        <w:t>’</w:t>
      </w:r>
      <w:r w:rsidR="00180A1F" w:rsidRPr="00916968">
        <w:rPr>
          <w:rFonts w:cs="Arial"/>
          <w:b/>
          <w:lang w:val="fr-FR"/>
        </w:rPr>
        <w:t>expression (</w:t>
      </w:r>
      <w:r w:rsidR="00180A1F" w:rsidRPr="00916968">
        <w:rPr>
          <w:rFonts w:cs="Arial"/>
          <w:lang w:val="fr-FR"/>
        </w:rPr>
        <w:t>µmol/g DW)</w:t>
      </w:r>
    </w:p>
    <w:p w:rsidR="008F37AE" w:rsidRPr="00916968" w:rsidRDefault="00180A1F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1.</w:t>
      </w:r>
      <w:r w:rsidR="003E153B">
        <w:rPr>
          <w:rFonts w:cs="Arial"/>
          <w:lang w:val="fr-FR"/>
        </w:rPr>
        <w:t xml:space="preserve"> </w:t>
      </w:r>
      <w:r w:rsidRPr="00916968">
        <w:rPr>
          <w:rFonts w:cs="Arial"/>
          <w:lang w:val="fr-FR"/>
        </w:rPr>
        <w:t>0</w:t>
      </w:r>
      <w:r w:rsidR="00055BD9" w:rsidRPr="00916968">
        <w:rPr>
          <w:rFonts w:cs="Arial"/>
          <w:lang w:val="fr-FR"/>
        </w:rPr>
        <w:noBreakHyphen/>
      </w:r>
      <w:r w:rsidRPr="00916968">
        <w:rPr>
          <w:rFonts w:cs="Arial"/>
          <w:lang w:val="fr-FR"/>
        </w:rPr>
        <w:t>5</w:t>
      </w:r>
    </w:p>
    <w:p w:rsidR="008F37AE" w:rsidRPr="00916968" w:rsidRDefault="00180A1F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2.</w:t>
      </w:r>
      <w:r w:rsidR="003E153B">
        <w:rPr>
          <w:rFonts w:cs="Arial"/>
          <w:lang w:val="fr-FR"/>
        </w:rPr>
        <w:t xml:space="preserve"> </w:t>
      </w:r>
      <w:r w:rsidRPr="00916968">
        <w:rPr>
          <w:rFonts w:cs="Arial"/>
          <w:lang w:val="fr-FR"/>
        </w:rPr>
        <w:t>5</w:t>
      </w:r>
      <w:r w:rsidR="00055BD9" w:rsidRPr="00916968">
        <w:rPr>
          <w:rFonts w:cs="Arial"/>
          <w:lang w:val="fr-FR"/>
        </w:rPr>
        <w:noBreakHyphen/>
      </w:r>
      <w:r w:rsidRPr="00916968">
        <w:rPr>
          <w:rFonts w:cs="Arial"/>
          <w:lang w:val="fr-FR"/>
        </w:rPr>
        <w:t>10</w:t>
      </w:r>
    </w:p>
    <w:p w:rsidR="008F37AE" w:rsidRPr="00916968" w:rsidRDefault="00180A1F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3.</w:t>
      </w:r>
      <w:r w:rsidR="003E153B">
        <w:rPr>
          <w:rFonts w:cs="Arial"/>
          <w:lang w:val="fr-FR"/>
        </w:rPr>
        <w:t xml:space="preserve"> </w:t>
      </w:r>
      <w:r w:rsidRPr="00916968">
        <w:rPr>
          <w:rFonts w:cs="Arial"/>
          <w:lang w:val="fr-FR"/>
        </w:rPr>
        <w:t>10</w:t>
      </w:r>
      <w:r w:rsidR="00055BD9" w:rsidRPr="00916968">
        <w:rPr>
          <w:rFonts w:cs="Arial"/>
          <w:lang w:val="fr-FR"/>
        </w:rPr>
        <w:noBreakHyphen/>
      </w:r>
      <w:r w:rsidRPr="00916968">
        <w:rPr>
          <w:rFonts w:cs="Arial"/>
          <w:lang w:val="fr-FR"/>
        </w:rPr>
        <w:t>15</w:t>
      </w:r>
    </w:p>
    <w:p w:rsidR="008F37AE" w:rsidRPr="00916968" w:rsidRDefault="00180A1F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4.</w:t>
      </w:r>
      <w:r w:rsidR="003E153B">
        <w:rPr>
          <w:rFonts w:cs="Arial"/>
          <w:lang w:val="fr-FR"/>
        </w:rPr>
        <w:t xml:space="preserve"> </w:t>
      </w:r>
      <w:r w:rsidRPr="00916968">
        <w:rPr>
          <w:rFonts w:cs="Arial"/>
          <w:lang w:val="fr-FR"/>
        </w:rPr>
        <w:t>15</w:t>
      </w:r>
      <w:r w:rsidR="00055BD9" w:rsidRPr="00916968">
        <w:rPr>
          <w:rFonts w:cs="Arial"/>
          <w:lang w:val="fr-FR"/>
        </w:rPr>
        <w:noBreakHyphen/>
      </w:r>
      <w:r w:rsidRPr="00916968">
        <w:rPr>
          <w:rFonts w:cs="Arial"/>
          <w:lang w:val="fr-FR"/>
        </w:rPr>
        <w:t>20</w:t>
      </w:r>
    </w:p>
    <w:p w:rsidR="008F37AE" w:rsidRPr="00916968" w:rsidRDefault="00180A1F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5.</w:t>
      </w:r>
      <w:r w:rsidR="003E153B">
        <w:rPr>
          <w:rFonts w:cs="Arial"/>
          <w:lang w:val="fr-FR"/>
        </w:rPr>
        <w:t xml:space="preserve"> </w:t>
      </w:r>
      <w:r w:rsidRPr="00916968">
        <w:rPr>
          <w:rFonts w:cs="Arial"/>
          <w:lang w:val="fr-FR"/>
        </w:rPr>
        <w:t>20</w:t>
      </w:r>
      <w:r w:rsidR="00055BD9" w:rsidRPr="00916968">
        <w:rPr>
          <w:rFonts w:cs="Arial"/>
          <w:lang w:val="fr-FR"/>
        </w:rPr>
        <w:noBreakHyphen/>
      </w:r>
      <w:r w:rsidRPr="00916968">
        <w:rPr>
          <w:rFonts w:cs="Arial"/>
          <w:lang w:val="fr-FR"/>
        </w:rPr>
        <w:t>25</w:t>
      </w:r>
    </w:p>
    <w:p w:rsidR="008F37AE" w:rsidRPr="00916968" w:rsidRDefault="00180A1F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6.</w:t>
      </w:r>
      <w:r w:rsidR="003E153B">
        <w:rPr>
          <w:rFonts w:cs="Arial"/>
          <w:lang w:val="fr-FR"/>
        </w:rPr>
        <w:t xml:space="preserve"> </w:t>
      </w:r>
      <w:r w:rsidRPr="00916968">
        <w:rPr>
          <w:rFonts w:cs="Arial"/>
          <w:lang w:val="fr-FR"/>
        </w:rPr>
        <w:t>25</w:t>
      </w:r>
      <w:r w:rsidR="00055BD9" w:rsidRPr="00916968">
        <w:rPr>
          <w:rFonts w:cs="Arial"/>
          <w:lang w:val="fr-FR"/>
        </w:rPr>
        <w:noBreakHyphen/>
      </w:r>
      <w:r w:rsidRPr="00916968">
        <w:rPr>
          <w:rFonts w:cs="Arial"/>
          <w:lang w:val="fr-FR"/>
        </w:rPr>
        <w:t>30</w:t>
      </w:r>
    </w:p>
    <w:p w:rsidR="008F37AE" w:rsidRPr="00916968" w:rsidRDefault="00180A1F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7.</w:t>
      </w:r>
      <w:r w:rsidR="003E153B">
        <w:rPr>
          <w:rFonts w:cs="Arial"/>
          <w:lang w:val="fr-FR"/>
        </w:rPr>
        <w:t xml:space="preserve"> </w:t>
      </w:r>
      <w:r w:rsidRPr="00916968">
        <w:rPr>
          <w:rFonts w:cs="Arial"/>
          <w:lang w:val="fr-FR"/>
        </w:rPr>
        <w:t>30</w:t>
      </w:r>
      <w:r w:rsidR="00055BD9" w:rsidRPr="00916968">
        <w:rPr>
          <w:rFonts w:cs="Arial"/>
          <w:lang w:val="fr-FR"/>
        </w:rPr>
        <w:noBreakHyphen/>
      </w:r>
      <w:r w:rsidRPr="00916968">
        <w:rPr>
          <w:rFonts w:cs="Arial"/>
          <w:lang w:val="fr-FR"/>
        </w:rPr>
        <w:t>35</w:t>
      </w:r>
    </w:p>
    <w:p w:rsidR="008F37AE" w:rsidRPr="00916968" w:rsidRDefault="00180A1F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8.</w:t>
      </w:r>
      <w:r w:rsidR="003E153B">
        <w:rPr>
          <w:rFonts w:cs="Arial"/>
          <w:lang w:val="fr-FR"/>
        </w:rPr>
        <w:t xml:space="preserve"> </w:t>
      </w:r>
      <w:r w:rsidRPr="00916968">
        <w:rPr>
          <w:rFonts w:cs="Arial"/>
          <w:lang w:val="fr-FR"/>
        </w:rPr>
        <w:t>35</w:t>
      </w:r>
      <w:r w:rsidR="00055BD9" w:rsidRPr="00916968">
        <w:rPr>
          <w:rFonts w:cs="Arial"/>
          <w:lang w:val="fr-FR"/>
        </w:rPr>
        <w:noBreakHyphen/>
      </w:r>
      <w:r w:rsidRPr="00916968">
        <w:rPr>
          <w:rFonts w:cs="Arial"/>
          <w:lang w:val="fr-FR"/>
        </w:rPr>
        <w:t>40</w:t>
      </w:r>
    </w:p>
    <w:p w:rsidR="001C46B6" w:rsidRPr="00916968" w:rsidRDefault="00180A1F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9</w:t>
      </w:r>
      <w:r w:rsidR="003E153B">
        <w:rPr>
          <w:rFonts w:cs="Arial"/>
          <w:lang w:val="fr-FR"/>
        </w:rPr>
        <w:t xml:space="preserve">. </w:t>
      </w:r>
      <w:r w:rsidRPr="00916968">
        <w:rPr>
          <w:rFonts w:cs="Arial"/>
          <w:lang w:val="fr-FR"/>
        </w:rPr>
        <w:t>&gt; 40</w:t>
      </w:r>
    </w:p>
    <w:p w:rsidR="008F37AE" w:rsidRPr="00916968" w:rsidRDefault="008F37AE" w:rsidP="00916968">
      <w:pPr>
        <w:jc w:val="left"/>
        <w:rPr>
          <w:rFonts w:cs="Arial"/>
          <w:lang w:val="fr-FR"/>
        </w:rPr>
      </w:pPr>
    </w:p>
    <w:p w:rsidR="008F37AE" w:rsidRPr="00916968" w:rsidRDefault="00037DD1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Observations</w:t>
      </w:r>
    </w:p>
    <w:p w:rsidR="008F37AE" w:rsidRPr="00916968" w:rsidRDefault="00797EAD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 xml:space="preserve">Bien que la génétique joue un rôle très important dans les niveaux de glucoraphanine, les valeurs peuvent varier en </w:t>
      </w:r>
      <w:r w:rsidR="004E5D9E" w:rsidRPr="00916968">
        <w:rPr>
          <w:rFonts w:cs="Arial"/>
          <w:lang w:val="fr-FR"/>
        </w:rPr>
        <w:t>fonction</w:t>
      </w:r>
      <w:r w:rsidRPr="00916968">
        <w:rPr>
          <w:rFonts w:cs="Arial"/>
          <w:lang w:val="fr-FR"/>
        </w:rPr>
        <w:t xml:space="preserve"> des conditions de culture et des </w:t>
      </w:r>
      <w:r w:rsidR="00455441" w:rsidRPr="00916968">
        <w:rPr>
          <w:rFonts w:cs="Arial"/>
          <w:lang w:val="fr-FR"/>
        </w:rPr>
        <w:t>lieux</w:t>
      </w:r>
      <w:r w:rsidRPr="00916968">
        <w:rPr>
          <w:rFonts w:cs="Arial"/>
          <w:lang w:val="fr-FR"/>
        </w:rPr>
        <w:t xml:space="preserve"> géographiques, de sorte que les résultats des mesures devraient </w:t>
      </w:r>
      <w:r w:rsidR="004E5D9E" w:rsidRPr="00916968">
        <w:rPr>
          <w:rFonts w:cs="Arial"/>
          <w:lang w:val="fr-FR"/>
        </w:rPr>
        <w:t>concerner</w:t>
      </w:r>
      <w:r w:rsidRPr="00916968">
        <w:rPr>
          <w:rFonts w:cs="Arial"/>
          <w:lang w:val="fr-FR"/>
        </w:rPr>
        <w:t xml:space="preserve"> des variétés indiquées à titre d</w:t>
      </w:r>
      <w:r w:rsidR="001C46B6" w:rsidRPr="00916968">
        <w:rPr>
          <w:rFonts w:cs="Arial"/>
          <w:lang w:val="fr-FR"/>
        </w:rPr>
        <w:t>’</w:t>
      </w:r>
      <w:r w:rsidRPr="00916968">
        <w:rPr>
          <w:rFonts w:cs="Arial"/>
          <w:lang w:val="fr-FR"/>
        </w:rPr>
        <w:t xml:space="preserve">exemple.  Les valeurs indiquées dans cet exemple sont </w:t>
      </w:r>
      <w:r w:rsidR="004E5D9E" w:rsidRPr="00916968">
        <w:rPr>
          <w:rFonts w:cs="Arial"/>
          <w:lang w:val="fr-FR"/>
        </w:rPr>
        <w:t>issues des</w:t>
      </w:r>
      <w:r w:rsidRPr="00916968">
        <w:rPr>
          <w:rFonts w:cs="Arial"/>
          <w:lang w:val="fr-FR"/>
        </w:rPr>
        <w:t xml:space="preserve"> essais répétés effectués à </w:t>
      </w:r>
      <w:proofErr w:type="spellStart"/>
      <w:r w:rsidR="00180A1F" w:rsidRPr="00916968">
        <w:rPr>
          <w:rFonts w:cs="Arial"/>
          <w:lang w:val="fr-FR"/>
        </w:rPr>
        <w:t>Naktuinbouw</w:t>
      </w:r>
      <w:proofErr w:type="spellEnd"/>
      <w:r w:rsidR="00180A1F" w:rsidRPr="00916968">
        <w:rPr>
          <w:rFonts w:cs="Arial"/>
          <w:lang w:val="fr-FR"/>
        </w:rPr>
        <w:t xml:space="preserve"> </w:t>
      </w:r>
      <w:r w:rsidRPr="00916968">
        <w:rPr>
          <w:rFonts w:cs="Arial"/>
          <w:lang w:val="fr-FR"/>
        </w:rPr>
        <w:t>(Pays</w:t>
      </w:r>
      <w:r w:rsidR="00055BD9" w:rsidRPr="00916968">
        <w:rPr>
          <w:rFonts w:cs="Arial"/>
          <w:szCs w:val="22"/>
          <w:lang w:val="fr-FR"/>
        </w:rPr>
        <w:noBreakHyphen/>
      </w:r>
      <w:r w:rsidRPr="00916968">
        <w:rPr>
          <w:rFonts w:cs="Arial"/>
          <w:szCs w:val="22"/>
          <w:lang w:val="fr-FR"/>
        </w:rPr>
        <w:t>Bas)</w:t>
      </w:r>
      <w:r w:rsidR="00180A1F" w:rsidRPr="00916968">
        <w:rPr>
          <w:rFonts w:cs="Arial"/>
          <w:lang w:val="fr-FR"/>
        </w:rPr>
        <w:t>.</w:t>
      </w:r>
    </w:p>
    <w:p w:rsidR="008F37AE" w:rsidRPr="00916968" w:rsidRDefault="008F37AE" w:rsidP="00916968">
      <w:pPr>
        <w:jc w:val="left"/>
        <w:rPr>
          <w:rFonts w:cs="Arial"/>
          <w:lang w:val="fr-FR"/>
        </w:rPr>
      </w:pPr>
    </w:p>
    <w:p w:rsidR="001C46B6" w:rsidRPr="00916968" w:rsidRDefault="005F1431" w:rsidP="00916968">
      <w:pPr>
        <w:jc w:val="left"/>
        <w:rPr>
          <w:rFonts w:cs="Arial"/>
          <w:b/>
          <w:lang w:val="fr-FR"/>
        </w:rPr>
      </w:pPr>
      <w:r w:rsidRPr="00916968">
        <w:rPr>
          <w:rFonts w:cs="Arial"/>
          <w:b/>
          <w:lang w:val="fr-FR"/>
        </w:rPr>
        <w:t>Variétés indiquées à titre d</w:t>
      </w:r>
      <w:r w:rsidR="001C46B6" w:rsidRPr="00916968">
        <w:rPr>
          <w:rFonts w:cs="Arial"/>
          <w:b/>
          <w:lang w:val="fr-FR"/>
        </w:rPr>
        <w:t>’</w:t>
      </w:r>
      <w:r w:rsidRPr="00916968">
        <w:rPr>
          <w:rFonts w:cs="Arial"/>
          <w:b/>
          <w:lang w:val="fr-FR"/>
        </w:rPr>
        <w:t>exemple</w:t>
      </w:r>
    </w:p>
    <w:p w:rsidR="001C46B6" w:rsidRPr="00916968" w:rsidRDefault="00336667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Note</w:t>
      </w:r>
    </w:p>
    <w:p w:rsidR="008F37AE" w:rsidRPr="00916968" w:rsidRDefault="00797EAD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Faible</w:t>
      </w:r>
      <w:r w:rsidR="00E6636F" w:rsidRPr="00916968">
        <w:rPr>
          <w:rFonts w:cs="Arial"/>
          <w:lang w:val="fr-FR"/>
        </w:rPr>
        <w:t> :</w:t>
      </w:r>
      <w:r w:rsidR="00180A1F" w:rsidRPr="00916968">
        <w:rPr>
          <w:rFonts w:cs="Arial"/>
          <w:lang w:val="fr-FR"/>
        </w:rPr>
        <w:tab/>
      </w:r>
      <w:proofErr w:type="spellStart"/>
      <w:r w:rsidR="00180A1F" w:rsidRPr="00916968">
        <w:rPr>
          <w:rFonts w:cs="Arial"/>
          <w:lang w:val="fr-FR"/>
        </w:rPr>
        <w:t>Ironman</w:t>
      </w:r>
      <w:proofErr w:type="spellEnd"/>
    </w:p>
    <w:p w:rsidR="001C46B6" w:rsidRPr="00916968" w:rsidRDefault="00797EAD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Moyenne</w:t>
      </w:r>
      <w:r w:rsidR="00E6636F" w:rsidRPr="00916968">
        <w:rPr>
          <w:rFonts w:cs="Arial"/>
          <w:lang w:val="fr-FR"/>
        </w:rPr>
        <w:t> :</w:t>
      </w:r>
      <w:r w:rsidR="00180A1F" w:rsidRPr="00916968">
        <w:rPr>
          <w:rFonts w:cs="Arial"/>
          <w:lang w:val="fr-FR"/>
        </w:rPr>
        <w:tab/>
      </w:r>
      <w:proofErr w:type="spellStart"/>
      <w:r w:rsidR="00180A1F" w:rsidRPr="00916968">
        <w:rPr>
          <w:rFonts w:cs="Arial"/>
          <w:lang w:val="fr-FR"/>
        </w:rPr>
        <w:t>Steel</w:t>
      </w:r>
      <w:proofErr w:type="spellEnd"/>
    </w:p>
    <w:p w:rsidR="001C46B6" w:rsidRPr="00916968" w:rsidRDefault="00797EAD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t>Élevée</w:t>
      </w:r>
      <w:r w:rsidR="00E6636F" w:rsidRPr="00916968">
        <w:rPr>
          <w:rFonts w:cs="Arial"/>
          <w:lang w:val="fr-FR"/>
        </w:rPr>
        <w:t> :</w:t>
      </w:r>
      <w:r w:rsidR="00180A1F" w:rsidRPr="00916968">
        <w:rPr>
          <w:rFonts w:cs="Arial"/>
          <w:lang w:val="fr-FR"/>
        </w:rPr>
        <w:tab/>
        <w:t>BRM533934</w:t>
      </w:r>
    </w:p>
    <w:p w:rsidR="008F37AE" w:rsidRPr="00916968" w:rsidRDefault="00180A1F" w:rsidP="00916968">
      <w:pPr>
        <w:jc w:val="left"/>
        <w:rPr>
          <w:rFonts w:cs="Arial"/>
          <w:lang w:val="fr-FR"/>
        </w:rPr>
      </w:pPr>
      <w:r w:rsidRPr="00916968">
        <w:rPr>
          <w:rFonts w:cs="Arial"/>
          <w:lang w:val="fr-FR"/>
        </w:rPr>
        <w:br w:type="page"/>
      </w:r>
    </w:p>
    <w:p w:rsidR="008F37AE" w:rsidRPr="006F2F2C" w:rsidRDefault="00180A1F" w:rsidP="00916968">
      <w:pPr>
        <w:pStyle w:val="ListParagraph"/>
        <w:widowControl w:val="0"/>
        <w:numPr>
          <w:ilvl w:val="0"/>
          <w:numId w:val="2"/>
        </w:numPr>
        <w:ind w:left="1134" w:hanging="567"/>
        <w:jc w:val="left"/>
        <w:rPr>
          <w:rFonts w:cs="Arial"/>
          <w:b/>
          <w:lang w:val="fr-FR"/>
        </w:rPr>
      </w:pPr>
      <w:r w:rsidRPr="006F2F2C">
        <w:rPr>
          <w:lang w:val="fr-FR"/>
        </w:rPr>
        <w:lastRenderedPageBreak/>
        <w:t>M</w:t>
      </w:r>
      <w:r w:rsidR="00797EAD" w:rsidRPr="006F2F2C">
        <w:rPr>
          <w:lang w:val="fr-FR"/>
        </w:rPr>
        <w:t>éthode de détection</w:t>
      </w:r>
      <w:r w:rsidR="006F2F2C" w:rsidRPr="006F2F2C">
        <w:rPr>
          <w:lang w:val="fr-FR"/>
        </w:rPr>
        <w:t xml:space="preserve"> [en anglais seulement]</w:t>
      </w:r>
      <w:bookmarkStart w:id="5" w:name="_GoBack"/>
      <w:bookmarkEnd w:id="5"/>
    </w:p>
    <w:p w:rsidR="008F37AE" w:rsidRPr="00916968" w:rsidRDefault="008F37AE" w:rsidP="00916968">
      <w:pPr>
        <w:jc w:val="left"/>
        <w:rPr>
          <w:rFonts w:cs="Arial"/>
          <w:b/>
          <w:lang w:val="fr-FR"/>
        </w:rPr>
      </w:pPr>
    </w:p>
    <w:p w:rsidR="008F37AE" w:rsidRPr="00916968" w:rsidRDefault="00180A1F" w:rsidP="00916968">
      <w:pPr>
        <w:jc w:val="left"/>
        <w:rPr>
          <w:lang w:val="fr-FR"/>
        </w:rPr>
      </w:pPr>
      <w:r w:rsidRPr="00916968">
        <w:rPr>
          <w:noProof/>
        </w:rPr>
        <w:drawing>
          <wp:inline distT="0" distB="0" distL="0" distR="0" wp14:anchorId="007C6F72" wp14:editId="40CC2422">
            <wp:extent cx="6371539" cy="667164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78593" cy="667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7AE" w:rsidRPr="00916968" w:rsidRDefault="00180A1F" w:rsidP="00916968">
      <w:pPr>
        <w:pStyle w:val="endofdoc"/>
        <w:rPr>
          <w:lang w:val="fr-FR"/>
        </w:rPr>
      </w:pPr>
      <w:r w:rsidRPr="00916968">
        <w:rPr>
          <w:lang w:val="fr-FR"/>
        </w:rPr>
        <w:t>[</w:t>
      </w:r>
      <w:r w:rsidR="005F1431" w:rsidRPr="00916968">
        <w:rPr>
          <w:lang w:val="fr-FR"/>
        </w:rPr>
        <w:t>Fin de l</w:t>
      </w:r>
      <w:r w:rsidR="001C46B6" w:rsidRPr="00916968">
        <w:rPr>
          <w:lang w:val="fr-FR"/>
        </w:rPr>
        <w:t>’</w:t>
      </w:r>
      <w:r w:rsidR="005F1431" w:rsidRPr="00916968">
        <w:rPr>
          <w:lang w:val="fr-FR"/>
        </w:rPr>
        <w:t>annexe et du</w:t>
      </w:r>
      <w:r w:rsidRPr="00916968">
        <w:rPr>
          <w:lang w:val="fr-FR"/>
        </w:rPr>
        <w:t xml:space="preserve"> document]</w:t>
      </w:r>
    </w:p>
    <w:p w:rsidR="008F37AE" w:rsidRPr="00916968" w:rsidRDefault="008F37AE" w:rsidP="00916968">
      <w:pPr>
        <w:tabs>
          <w:tab w:val="left" w:pos="5276"/>
        </w:tabs>
        <w:jc w:val="left"/>
        <w:rPr>
          <w:lang w:val="fr-FR"/>
        </w:rPr>
      </w:pPr>
    </w:p>
    <w:p w:rsidR="008F37AE" w:rsidRPr="00916968" w:rsidRDefault="008F37AE" w:rsidP="00916968">
      <w:pPr>
        <w:jc w:val="left"/>
        <w:rPr>
          <w:rFonts w:cs="Arial"/>
          <w:bCs/>
          <w:lang w:val="fr-FR" w:eastAsia="ja-JP"/>
        </w:rPr>
      </w:pPr>
    </w:p>
    <w:p w:rsidR="00180A1F" w:rsidRPr="00916968" w:rsidRDefault="00180A1F" w:rsidP="00916968">
      <w:pPr>
        <w:jc w:val="left"/>
        <w:rPr>
          <w:rFonts w:cs="Arial"/>
          <w:bCs/>
          <w:lang w:val="fr-FR" w:eastAsia="ja-JP"/>
        </w:rPr>
      </w:pPr>
    </w:p>
    <w:sectPr w:rsidR="00180A1F" w:rsidRPr="00916968" w:rsidSect="001C46B6">
      <w:head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0E" w:rsidRDefault="00847A0E" w:rsidP="006655D3">
      <w:r>
        <w:separator/>
      </w:r>
    </w:p>
    <w:p w:rsidR="00847A0E" w:rsidRDefault="00847A0E" w:rsidP="006655D3"/>
    <w:p w:rsidR="00847A0E" w:rsidRDefault="00847A0E" w:rsidP="006655D3"/>
  </w:endnote>
  <w:endnote w:type="continuationSeparator" w:id="0">
    <w:p w:rsidR="00847A0E" w:rsidRDefault="00847A0E" w:rsidP="006655D3">
      <w:r>
        <w:separator/>
      </w:r>
    </w:p>
    <w:p w:rsidR="00847A0E" w:rsidRPr="00A202C6" w:rsidRDefault="00847A0E">
      <w:pPr>
        <w:pStyle w:val="Footer"/>
        <w:spacing w:after="60"/>
        <w:rPr>
          <w:sz w:val="18"/>
          <w:lang w:val="fr-CH"/>
        </w:rPr>
      </w:pPr>
      <w:r w:rsidRPr="00A202C6">
        <w:rPr>
          <w:sz w:val="18"/>
          <w:lang w:val="fr-CH"/>
        </w:rPr>
        <w:t>[Suite de la note de la page précédente]</w:t>
      </w:r>
    </w:p>
    <w:p w:rsidR="00847A0E" w:rsidRPr="00A202C6" w:rsidRDefault="00847A0E" w:rsidP="006655D3">
      <w:pPr>
        <w:rPr>
          <w:lang w:val="fr-CH"/>
        </w:rPr>
      </w:pPr>
    </w:p>
    <w:p w:rsidR="00847A0E" w:rsidRPr="00A202C6" w:rsidRDefault="00847A0E" w:rsidP="006655D3">
      <w:pPr>
        <w:rPr>
          <w:lang w:val="fr-CH"/>
        </w:rPr>
      </w:pPr>
    </w:p>
  </w:endnote>
  <w:endnote w:type="continuationNotice" w:id="1">
    <w:p w:rsidR="00847A0E" w:rsidRPr="00A202C6" w:rsidRDefault="00847A0E" w:rsidP="006655D3">
      <w:pPr>
        <w:rPr>
          <w:lang w:val="fr-CH"/>
        </w:rPr>
      </w:pPr>
      <w:r w:rsidRPr="00A202C6">
        <w:rPr>
          <w:lang w:val="fr-CH"/>
        </w:rPr>
        <w:t>[Suite de la note page suivante]</w:t>
      </w:r>
    </w:p>
    <w:p w:rsidR="00847A0E" w:rsidRPr="00A202C6" w:rsidRDefault="00847A0E" w:rsidP="006655D3">
      <w:pPr>
        <w:rPr>
          <w:lang w:val="fr-CH"/>
        </w:rPr>
      </w:pPr>
    </w:p>
    <w:p w:rsidR="00847A0E" w:rsidRPr="00A202C6" w:rsidRDefault="00847A0E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0E" w:rsidRPr="00181A46" w:rsidRDefault="00847A0E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0E" w:rsidRDefault="00847A0E" w:rsidP="006655D3">
      <w:r>
        <w:separator/>
      </w:r>
    </w:p>
  </w:footnote>
  <w:footnote w:type="continuationSeparator" w:id="0">
    <w:p w:rsidR="00847A0E" w:rsidRDefault="00847A0E" w:rsidP="006655D3">
      <w:r>
        <w:separator/>
      </w:r>
    </w:p>
  </w:footnote>
  <w:footnote w:type="continuationNotice" w:id="1">
    <w:p w:rsidR="00847A0E" w:rsidRPr="00AB530F" w:rsidRDefault="00847A0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0E" w:rsidRDefault="00847A0E" w:rsidP="00847A0E">
    <w:pPr>
      <w:pStyle w:val="Header"/>
      <w:rPr>
        <w:rStyle w:val="PageNumber"/>
        <w:lang w:val="en-US" w:eastAsia="ja-JP"/>
      </w:rPr>
    </w:pPr>
    <w:r w:rsidRPr="00C5280D">
      <w:rPr>
        <w:rStyle w:val="PageNumber"/>
        <w:lang w:val="en-US"/>
      </w:rPr>
      <w:t>TC</w:t>
    </w:r>
    <w:r>
      <w:rPr>
        <w:rStyle w:val="PageNumber"/>
        <w:rFonts w:hint="eastAsia"/>
        <w:lang w:val="en-US" w:eastAsia="ja-JP"/>
      </w:rPr>
      <w:t>/51/18</w:t>
    </w:r>
  </w:p>
  <w:p w:rsidR="00847A0E" w:rsidRPr="00D21F2C" w:rsidRDefault="00847A0E" w:rsidP="00847A0E">
    <w:pPr>
      <w:pStyle w:val="Header"/>
      <w:rPr>
        <w:lang w:val="en-US"/>
      </w:rPr>
    </w:pPr>
    <w:proofErr w:type="gramStart"/>
    <w:r w:rsidRPr="00D21F2C">
      <w:rPr>
        <w:lang w:val="en-US"/>
      </w:rPr>
      <w:t>page</w:t>
    </w:r>
    <w:proofErr w:type="gramEnd"/>
    <w:r w:rsidRPr="00D21F2C">
      <w:rPr>
        <w:lang w:val="en-US"/>
      </w:rPr>
      <w:t xml:space="preserve"> </w:t>
    </w:r>
    <w:r>
      <w:fldChar w:fldCharType="begin"/>
    </w:r>
    <w:r w:rsidRPr="00D21F2C">
      <w:rPr>
        <w:lang w:val="en-US"/>
      </w:rPr>
      <w:instrText xml:space="preserve"> PAGE  \* Arabic  \* MERGEFORMAT </w:instrText>
    </w:r>
    <w:r>
      <w:fldChar w:fldCharType="separate"/>
    </w:r>
    <w:r w:rsidR="006F2F2C">
      <w:rPr>
        <w:noProof/>
        <w:lang w:val="en-US"/>
      </w:rPr>
      <w:t>3</w:t>
    </w:r>
    <w:r>
      <w:fldChar w:fldCharType="end"/>
    </w:r>
  </w:p>
  <w:p w:rsidR="00847A0E" w:rsidRPr="00357EC9" w:rsidRDefault="00847A0E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0E" w:rsidRPr="00C5280D" w:rsidRDefault="00847A0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TC/51/18</w:t>
    </w:r>
  </w:p>
  <w:p w:rsidR="00847A0E" w:rsidRPr="00C5280D" w:rsidRDefault="00847A0E" w:rsidP="00EB048E">
    <w:pPr>
      <w:pStyle w:val="Header"/>
      <w:rPr>
        <w:lang w:val="en-US"/>
      </w:rPr>
    </w:pPr>
    <w:proofErr w:type="spellStart"/>
    <w:r>
      <w:rPr>
        <w:rFonts w:hint="eastAsia"/>
        <w:lang w:val="en-US" w:eastAsia="ja-JP"/>
      </w:rPr>
      <w:t>Annex</w:t>
    </w:r>
    <w:r>
      <w:rPr>
        <w:lang w:val="en-US" w:eastAsia="ja-JP"/>
      </w:rPr>
      <w:t>e</w:t>
    </w:r>
    <w:proofErr w:type="spellEnd"/>
    <w:r>
      <w:rPr>
        <w:rFonts w:hint="eastAsia"/>
        <w:lang w:val="en-US" w:eastAsia="ja-JP"/>
      </w:rPr>
      <w:t xml:space="preserve">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F2F2C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847A0E" w:rsidRPr="00C5280D" w:rsidRDefault="00847A0E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0E" w:rsidRDefault="00847A0E">
    <w:pPr>
      <w:pStyle w:val="Header"/>
      <w:rPr>
        <w:lang w:eastAsia="ja-JP"/>
      </w:rPr>
    </w:pPr>
    <w:r>
      <w:rPr>
        <w:rFonts w:hint="eastAsia"/>
        <w:lang w:eastAsia="ja-JP"/>
      </w:rPr>
      <w:t>TC/51/18</w:t>
    </w:r>
  </w:p>
  <w:p w:rsidR="00847A0E" w:rsidRDefault="00847A0E">
    <w:pPr>
      <w:pStyle w:val="Header"/>
      <w:rPr>
        <w:lang w:eastAsia="ja-JP"/>
      </w:rPr>
    </w:pPr>
  </w:p>
  <w:p w:rsidR="00847A0E" w:rsidRDefault="00847A0E">
    <w:pPr>
      <w:pStyle w:val="Header"/>
      <w:rPr>
        <w:lang w:eastAsia="ja-JP"/>
      </w:rPr>
    </w:pPr>
    <w:r>
      <w:rPr>
        <w:rFonts w:hint="eastAsia"/>
        <w:lang w:eastAsia="ja-JP"/>
      </w:rPr>
      <w:t>ANNEX</w:t>
    </w:r>
    <w:r>
      <w:rPr>
        <w:lang w:eastAsia="ja-JP"/>
      </w:rPr>
      <w:t>E</w:t>
    </w:r>
  </w:p>
  <w:p w:rsidR="00847A0E" w:rsidRDefault="00847A0E">
    <w:pPr>
      <w:pStyle w:val="Header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3044B"/>
    <w:multiLevelType w:val="hybridMultilevel"/>
    <w:tmpl w:val="B9F21206"/>
    <w:lvl w:ilvl="0" w:tplc="81BECA26">
      <w:start w:val="1"/>
      <w:numFmt w:val="lowerLetter"/>
      <w:lvlText w:val="%1)"/>
      <w:lvlJc w:val="left"/>
      <w:pPr>
        <w:ind w:left="5855" w:hanging="63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305" w:hanging="360"/>
      </w:pPr>
    </w:lvl>
    <w:lvl w:ilvl="2" w:tplc="040C001B" w:tentative="1">
      <w:start w:val="1"/>
      <w:numFmt w:val="lowerRoman"/>
      <w:lvlText w:val="%3."/>
      <w:lvlJc w:val="right"/>
      <w:pPr>
        <w:ind w:left="7025" w:hanging="180"/>
      </w:pPr>
    </w:lvl>
    <w:lvl w:ilvl="3" w:tplc="040C000F" w:tentative="1">
      <w:start w:val="1"/>
      <w:numFmt w:val="decimal"/>
      <w:lvlText w:val="%4."/>
      <w:lvlJc w:val="left"/>
      <w:pPr>
        <w:ind w:left="7745" w:hanging="360"/>
      </w:pPr>
    </w:lvl>
    <w:lvl w:ilvl="4" w:tplc="040C0019" w:tentative="1">
      <w:start w:val="1"/>
      <w:numFmt w:val="lowerLetter"/>
      <w:lvlText w:val="%5."/>
      <w:lvlJc w:val="left"/>
      <w:pPr>
        <w:ind w:left="8465" w:hanging="360"/>
      </w:pPr>
    </w:lvl>
    <w:lvl w:ilvl="5" w:tplc="040C001B" w:tentative="1">
      <w:start w:val="1"/>
      <w:numFmt w:val="lowerRoman"/>
      <w:lvlText w:val="%6."/>
      <w:lvlJc w:val="right"/>
      <w:pPr>
        <w:ind w:left="9185" w:hanging="180"/>
      </w:pPr>
    </w:lvl>
    <w:lvl w:ilvl="6" w:tplc="040C000F" w:tentative="1">
      <w:start w:val="1"/>
      <w:numFmt w:val="decimal"/>
      <w:lvlText w:val="%7."/>
      <w:lvlJc w:val="left"/>
      <w:pPr>
        <w:ind w:left="9905" w:hanging="360"/>
      </w:pPr>
    </w:lvl>
    <w:lvl w:ilvl="7" w:tplc="040C0019" w:tentative="1">
      <w:start w:val="1"/>
      <w:numFmt w:val="lowerLetter"/>
      <w:lvlText w:val="%8."/>
      <w:lvlJc w:val="left"/>
      <w:pPr>
        <w:ind w:left="10625" w:hanging="360"/>
      </w:pPr>
    </w:lvl>
    <w:lvl w:ilvl="8" w:tplc="040C001B" w:tentative="1">
      <w:start w:val="1"/>
      <w:numFmt w:val="lowerRoman"/>
      <w:lvlText w:val="%9."/>
      <w:lvlJc w:val="right"/>
      <w:pPr>
        <w:ind w:left="11345" w:hanging="180"/>
      </w:pPr>
    </w:lvl>
  </w:abstractNum>
  <w:abstractNum w:abstractNumId="1">
    <w:nsid w:val="2AD97128"/>
    <w:multiLevelType w:val="hybridMultilevel"/>
    <w:tmpl w:val="9F0E6352"/>
    <w:lvl w:ilvl="0" w:tplc="A14EB5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143"/>
    <w:multiLevelType w:val="hybridMultilevel"/>
    <w:tmpl w:val="70A030A8"/>
    <w:lvl w:ilvl="0" w:tplc="E89C357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887A10"/>
    <w:multiLevelType w:val="hybridMultilevel"/>
    <w:tmpl w:val="E51E3F7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numFmt w:val="chicago"/>
    <w:footnote w:id="-1"/>
    <w:footnote w:id="0"/>
    <w:footnote w:id="1"/>
  </w:footnotePr>
  <w:endnotePr>
    <w:numFmt w:val="chicago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WorkspaceFTS\EN-FR\UPOV|UPOV\Meetings|UPOV\Other|UPOV\Publications|UPOV\Technical Guidelines"/>
    <w:docVar w:name="TextBaseURL" w:val="empty"/>
    <w:docVar w:name="UILng" w:val="en"/>
  </w:docVars>
  <w:rsids>
    <w:rsidRoot w:val="00A202C6"/>
    <w:rsid w:val="00010CF3"/>
    <w:rsid w:val="00011E27"/>
    <w:rsid w:val="000148BC"/>
    <w:rsid w:val="00024AB8"/>
    <w:rsid w:val="00030854"/>
    <w:rsid w:val="00036028"/>
    <w:rsid w:val="00036CFA"/>
    <w:rsid w:val="00037DD1"/>
    <w:rsid w:val="00044642"/>
    <w:rsid w:val="000446B9"/>
    <w:rsid w:val="00047E21"/>
    <w:rsid w:val="00050E16"/>
    <w:rsid w:val="00055BD9"/>
    <w:rsid w:val="00084733"/>
    <w:rsid w:val="00085505"/>
    <w:rsid w:val="000C7021"/>
    <w:rsid w:val="000D6BBC"/>
    <w:rsid w:val="000D70B3"/>
    <w:rsid w:val="000D7780"/>
    <w:rsid w:val="000F2F11"/>
    <w:rsid w:val="00105929"/>
    <w:rsid w:val="001131D5"/>
    <w:rsid w:val="001143BB"/>
    <w:rsid w:val="00141DB8"/>
    <w:rsid w:val="0017474A"/>
    <w:rsid w:val="001758C6"/>
    <w:rsid w:val="00180A1F"/>
    <w:rsid w:val="00181A46"/>
    <w:rsid w:val="00182B99"/>
    <w:rsid w:val="001910C9"/>
    <w:rsid w:val="001924D8"/>
    <w:rsid w:val="001C46B6"/>
    <w:rsid w:val="001D0736"/>
    <w:rsid w:val="001E16C6"/>
    <w:rsid w:val="0021332C"/>
    <w:rsid w:val="00213982"/>
    <w:rsid w:val="00237355"/>
    <w:rsid w:val="0024416D"/>
    <w:rsid w:val="00266680"/>
    <w:rsid w:val="00271911"/>
    <w:rsid w:val="002800A0"/>
    <w:rsid w:val="002801B3"/>
    <w:rsid w:val="00281060"/>
    <w:rsid w:val="002940E8"/>
    <w:rsid w:val="002A6E50"/>
    <w:rsid w:val="002C256A"/>
    <w:rsid w:val="00305A7F"/>
    <w:rsid w:val="003152FE"/>
    <w:rsid w:val="003237AC"/>
    <w:rsid w:val="00327436"/>
    <w:rsid w:val="00336667"/>
    <w:rsid w:val="00344BD6"/>
    <w:rsid w:val="003463FF"/>
    <w:rsid w:val="0035528D"/>
    <w:rsid w:val="00357364"/>
    <w:rsid w:val="00361821"/>
    <w:rsid w:val="00380B5C"/>
    <w:rsid w:val="003B4288"/>
    <w:rsid w:val="003C0D04"/>
    <w:rsid w:val="003D227C"/>
    <w:rsid w:val="003D2B4D"/>
    <w:rsid w:val="003E153B"/>
    <w:rsid w:val="004343A2"/>
    <w:rsid w:val="004344E1"/>
    <w:rsid w:val="00444A88"/>
    <w:rsid w:val="00455441"/>
    <w:rsid w:val="00460C18"/>
    <w:rsid w:val="00474DA4"/>
    <w:rsid w:val="00476B4D"/>
    <w:rsid w:val="004805FA"/>
    <w:rsid w:val="00487CB4"/>
    <w:rsid w:val="004900CE"/>
    <w:rsid w:val="00492C00"/>
    <w:rsid w:val="004935D2"/>
    <w:rsid w:val="004B1215"/>
    <w:rsid w:val="004D047D"/>
    <w:rsid w:val="004E5D9E"/>
    <w:rsid w:val="004E5DEE"/>
    <w:rsid w:val="004F0144"/>
    <w:rsid w:val="004F305A"/>
    <w:rsid w:val="004F4847"/>
    <w:rsid w:val="00512164"/>
    <w:rsid w:val="00520297"/>
    <w:rsid w:val="005338F9"/>
    <w:rsid w:val="0054281C"/>
    <w:rsid w:val="0055268D"/>
    <w:rsid w:val="00576BE4"/>
    <w:rsid w:val="005875C2"/>
    <w:rsid w:val="005A400A"/>
    <w:rsid w:val="005E24BF"/>
    <w:rsid w:val="005F1431"/>
    <w:rsid w:val="00612379"/>
    <w:rsid w:val="0061555F"/>
    <w:rsid w:val="00641200"/>
    <w:rsid w:val="00656A18"/>
    <w:rsid w:val="006655D3"/>
    <w:rsid w:val="00667404"/>
    <w:rsid w:val="00686AC2"/>
    <w:rsid w:val="00687EB4"/>
    <w:rsid w:val="006A60A4"/>
    <w:rsid w:val="006B17D2"/>
    <w:rsid w:val="006C224E"/>
    <w:rsid w:val="006D780A"/>
    <w:rsid w:val="006F2F2C"/>
    <w:rsid w:val="00732DEC"/>
    <w:rsid w:val="00735BD5"/>
    <w:rsid w:val="007512FF"/>
    <w:rsid w:val="007556F6"/>
    <w:rsid w:val="00760EEF"/>
    <w:rsid w:val="00777EE5"/>
    <w:rsid w:val="00784836"/>
    <w:rsid w:val="0079023E"/>
    <w:rsid w:val="00797EAD"/>
    <w:rsid w:val="007A2854"/>
    <w:rsid w:val="007D0B9D"/>
    <w:rsid w:val="007D19B0"/>
    <w:rsid w:val="007F498F"/>
    <w:rsid w:val="008013EB"/>
    <w:rsid w:val="0080679D"/>
    <w:rsid w:val="008108B0"/>
    <w:rsid w:val="00811B20"/>
    <w:rsid w:val="0082296E"/>
    <w:rsid w:val="00824099"/>
    <w:rsid w:val="00824C28"/>
    <w:rsid w:val="00846D7C"/>
    <w:rsid w:val="00847A0E"/>
    <w:rsid w:val="008534B9"/>
    <w:rsid w:val="00856ABB"/>
    <w:rsid w:val="00867AC1"/>
    <w:rsid w:val="00877BED"/>
    <w:rsid w:val="008A743F"/>
    <w:rsid w:val="008C0970"/>
    <w:rsid w:val="008C1C5E"/>
    <w:rsid w:val="008D0BC5"/>
    <w:rsid w:val="008D2CF7"/>
    <w:rsid w:val="008F37AE"/>
    <w:rsid w:val="00900C26"/>
    <w:rsid w:val="0090197F"/>
    <w:rsid w:val="00906DC5"/>
    <w:rsid w:val="00906DDC"/>
    <w:rsid w:val="00916968"/>
    <w:rsid w:val="00934E09"/>
    <w:rsid w:val="00936253"/>
    <w:rsid w:val="009457DD"/>
    <w:rsid w:val="00952DD4"/>
    <w:rsid w:val="00966D55"/>
    <w:rsid w:val="00970FED"/>
    <w:rsid w:val="00992D82"/>
    <w:rsid w:val="00997029"/>
    <w:rsid w:val="009A451E"/>
    <w:rsid w:val="009A603A"/>
    <w:rsid w:val="009B440E"/>
    <w:rsid w:val="009D690D"/>
    <w:rsid w:val="009E65B6"/>
    <w:rsid w:val="00A202C6"/>
    <w:rsid w:val="00A24C10"/>
    <w:rsid w:val="00A42AC3"/>
    <w:rsid w:val="00A430CF"/>
    <w:rsid w:val="00A54309"/>
    <w:rsid w:val="00A67DB9"/>
    <w:rsid w:val="00AA7034"/>
    <w:rsid w:val="00AB2B93"/>
    <w:rsid w:val="00AB530F"/>
    <w:rsid w:val="00AB7E5B"/>
    <w:rsid w:val="00AC79B4"/>
    <w:rsid w:val="00AE0EF1"/>
    <w:rsid w:val="00AE2937"/>
    <w:rsid w:val="00B01EFE"/>
    <w:rsid w:val="00B07301"/>
    <w:rsid w:val="00B224DE"/>
    <w:rsid w:val="00B324D4"/>
    <w:rsid w:val="00B46575"/>
    <w:rsid w:val="00B75D21"/>
    <w:rsid w:val="00B84BBD"/>
    <w:rsid w:val="00B950FB"/>
    <w:rsid w:val="00BA43FB"/>
    <w:rsid w:val="00BC127D"/>
    <w:rsid w:val="00BC1FE6"/>
    <w:rsid w:val="00BC5945"/>
    <w:rsid w:val="00C061B6"/>
    <w:rsid w:val="00C2446C"/>
    <w:rsid w:val="00C36AE5"/>
    <w:rsid w:val="00C41F17"/>
    <w:rsid w:val="00C51F27"/>
    <w:rsid w:val="00C5280D"/>
    <w:rsid w:val="00C5791C"/>
    <w:rsid w:val="00C66290"/>
    <w:rsid w:val="00C72B7A"/>
    <w:rsid w:val="00C90530"/>
    <w:rsid w:val="00C973F2"/>
    <w:rsid w:val="00CA304C"/>
    <w:rsid w:val="00CA774A"/>
    <w:rsid w:val="00CC11B0"/>
    <w:rsid w:val="00CF0C60"/>
    <w:rsid w:val="00CF7E36"/>
    <w:rsid w:val="00D0038F"/>
    <w:rsid w:val="00D164FB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E22EA"/>
    <w:rsid w:val="00E17AE1"/>
    <w:rsid w:val="00E32F7E"/>
    <w:rsid w:val="00E6636F"/>
    <w:rsid w:val="00E72D49"/>
    <w:rsid w:val="00E7593C"/>
    <w:rsid w:val="00E7678A"/>
    <w:rsid w:val="00E85256"/>
    <w:rsid w:val="00E935F1"/>
    <w:rsid w:val="00E94A81"/>
    <w:rsid w:val="00E968D7"/>
    <w:rsid w:val="00EA1FFB"/>
    <w:rsid w:val="00EB048E"/>
    <w:rsid w:val="00ED7240"/>
    <w:rsid w:val="00EE34DF"/>
    <w:rsid w:val="00EE4727"/>
    <w:rsid w:val="00EF2F89"/>
    <w:rsid w:val="00F01FE8"/>
    <w:rsid w:val="00F1237A"/>
    <w:rsid w:val="00F22CBD"/>
    <w:rsid w:val="00F45372"/>
    <w:rsid w:val="00F50319"/>
    <w:rsid w:val="00F560F7"/>
    <w:rsid w:val="00F6334D"/>
    <w:rsid w:val="00F75119"/>
    <w:rsid w:val="00F82B73"/>
    <w:rsid w:val="00FA49AB"/>
    <w:rsid w:val="00FB4FF7"/>
    <w:rsid w:val="00FD0E15"/>
    <w:rsid w:val="00FD451C"/>
    <w:rsid w:val="00FE24CE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80A1F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180A1F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968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80A1F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180A1F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E968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14FE-D2F2-4746-AB66-62D7BB98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PASIEKA Allie</dc:creator>
  <cp:keywords>DB/ko</cp:keywords>
  <cp:lastModifiedBy>LONG Victoria</cp:lastModifiedBy>
  <cp:revision>12</cp:revision>
  <cp:lastPrinted>2015-02-05T15:46:00Z</cp:lastPrinted>
  <dcterms:created xsi:type="dcterms:W3CDTF">2015-02-05T14:36:00Z</dcterms:created>
  <dcterms:modified xsi:type="dcterms:W3CDTF">2015-02-09T15:05:00Z</dcterms:modified>
</cp:coreProperties>
</file>