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75BE3" w:rsidRPr="007A4E6A" w:rsidTr="00ED52D7">
        <w:trPr>
          <w:trHeight w:val="1760"/>
        </w:trPr>
        <w:tc>
          <w:tcPr>
            <w:tcW w:w="4243" w:type="dxa"/>
          </w:tcPr>
          <w:p w:rsidR="00ED52D7" w:rsidRPr="00B75BE3" w:rsidRDefault="00ED52D7" w:rsidP="00B75BE3"/>
        </w:tc>
        <w:tc>
          <w:tcPr>
            <w:tcW w:w="1646" w:type="dxa"/>
            <w:vAlign w:val="center"/>
          </w:tcPr>
          <w:p w:rsidR="00ED52D7" w:rsidRPr="00B75BE3" w:rsidRDefault="00ED52D7" w:rsidP="00B75BE3">
            <w:pPr>
              <w:pStyle w:val="LogoUPOV"/>
            </w:pPr>
            <w:r w:rsidRPr="00B75BE3">
              <w:rPr>
                <w:noProof/>
              </w:rPr>
              <w:drawing>
                <wp:inline distT="0" distB="0" distL="0" distR="0" wp14:anchorId="6471CEDA" wp14:editId="7D1971E2">
                  <wp:extent cx="962025" cy="44767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C4D5F" w:rsidRPr="00B75BE3" w:rsidRDefault="00A34CE5" w:rsidP="00B75BE3">
            <w:pPr>
              <w:pStyle w:val="Lettrine"/>
              <w:spacing w:line="240" w:lineRule="auto"/>
              <w:rPr>
                <w:lang w:val="fr-CH"/>
              </w:rPr>
            </w:pPr>
            <w:r w:rsidRPr="00B75BE3">
              <w:rPr>
                <w:lang w:val="fr-CH"/>
              </w:rPr>
              <w:t>F</w:t>
            </w:r>
          </w:p>
          <w:p w:rsidR="00BC4D5F" w:rsidRPr="007A4E6A" w:rsidRDefault="00520DB0" w:rsidP="007A4E6A">
            <w:pPr>
              <w:pStyle w:val="Docoriginal"/>
            </w:pPr>
            <w:r w:rsidRPr="007A4E6A">
              <w:t>TC/5</w:t>
            </w:r>
            <w:r w:rsidRPr="007A4E6A">
              <w:rPr>
                <w:rFonts w:hint="eastAsia"/>
              </w:rPr>
              <w:t>1</w:t>
            </w:r>
            <w:r w:rsidR="00ED52D7" w:rsidRPr="007A4E6A">
              <w:t>/</w:t>
            </w:r>
            <w:r w:rsidR="00BE4B61" w:rsidRPr="007A4E6A">
              <w:rPr>
                <w:rFonts w:hint="eastAsia"/>
              </w:rPr>
              <w:t>17</w:t>
            </w:r>
          </w:p>
          <w:p w:rsidR="00BC4D5F" w:rsidRPr="007A4E6A" w:rsidRDefault="00ED52D7" w:rsidP="007A4E6A">
            <w:pPr>
              <w:pStyle w:val="Docoriginal"/>
              <w:rPr>
                <w:b w:val="0"/>
                <w:spacing w:val="0"/>
              </w:rPr>
            </w:pPr>
            <w:r w:rsidRPr="007A4E6A">
              <w:rPr>
                <w:bCs w:val="0"/>
              </w:rPr>
              <w:t>ORIGINAL</w:t>
            </w:r>
            <w:r w:rsidR="00BC4D5F" w:rsidRPr="007A4E6A">
              <w:rPr>
                <w:bCs w:val="0"/>
              </w:rPr>
              <w:t> </w:t>
            </w:r>
            <w:r w:rsidRPr="007A4E6A">
              <w:rPr>
                <w:bCs w:val="0"/>
              </w:rPr>
              <w:t>:</w:t>
            </w:r>
            <w:r w:rsidRPr="007A4E6A">
              <w:rPr>
                <w:b w:val="0"/>
                <w:bCs w:val="0"/>
              </w:rPr>
              <w:t xml:space="preserve"> </w:t>
            </w:r>
            <w:r w:rsidR="00BC4D5F" w:rsidRPr="007A4E6A">
              <w:rPr>
                <w:b w:val="0"/>
                <w:spacing w:val="0"/>
              </w:rPr>
              <w:t>a</w:t>
            </w:r>
            <w:r w:rsidRPr="007A4E6A">
              <w:rPr>
                <w:b w:val="0"/>
                <w:spacing w:val="0"/>
              </w:rPr>
              <w:t>ngl</w:t>
            </w:r>
            <w:r w:rsidR="00BC4D5F" w:rsidRPr="007A4E6A">
              <w:rPr>
                <w:b w:val="0"/>
                <w:spacing w:val="0"/>
              </w:rPr>
              <w:t>a</w:t>
            </w:r>
            <w:r w:rsidRPr="007A4E6A">
              <w:rPr>
                <w:b w:val="0"/>
                <w:spacing w:val="0"/>
              </w:rPr>
              <w:t>is</w:t>
            </w:r>
          </w:p>
          <w:p w:rsidR="00ED52D7" w:rsidRPr="00B75BE3" w:rsidRDefault="00ED52D7" w:rsidP="007A4E6A">
            <w:pPr>
              <w:pStyle w:val="Docoriginal"/>
              <w:rPr>
                <w:lang w:val="fr-CH" w:eastAsia="ja-JP"/>
              </w:rPr>
            </w:pPr>
            <w:r w:rsidRPr="007A4E6A">
              <w:t>DATE</w:t>
            </w:r>
            <w:r w:rsidR="00BC4D5F" w:rsidRPr="007A4E6A">
              <w:t> </w:t>
            </w:r>
            <w:r w:rsidRPr="007A4E6A">
              <w:t>:</w:t>
            </w:r>
            <w:r w:rsidRPr="007A4E6A">
              <w:rPr>
                <w:b w:val="0"/>
                <w:bCs w:val="0"/>
              </w:rPr>
              <w:t xml:space="preserve"> </w:t>
            </w:r>
            <w:r w:rsidR="007A4E6A" w:rsidRPr="007A4E6A">
              <w:rPr>
                <w:b w:val="0"/>
                <w:bCs w:val="0"/>
              </w:rPr>
              <w:t>3</w:t>
            </w:r>
            <w:r w:rsidR="00BC4D5F" w:rsidRPr="007A4E6A">
              <w:rPr>
                <w:b w:val="0"/>
                <w:spacing w:val="0"/>
              </w:rPr>
              <w:t> </w:t>
            </w:r>
            <w:r w:rsidR="007A4E6A" w:rsidRPr="007A4E6A">
              <w:rPr>
                <w:b w:val="0"/>
                <w:spacing w:val="0"/>
              </w:rPr>
              <w:t>mars</w:t>
            </w:r>
            <w:r w:rsidR="00BC4D5F" w:rsidRPr="007A4E6A">
              <w:rPr>
                <w:b w:val="0"/>
                <w:spacing w:val="0"/>
              </w:rPr>
              <w:t> </w:t>
            </w:r>
            <w:r w:rsidRPr="007A4E6A">
              <w:rPr>
                <w:b w:val="0"/>
                <w:spacing w:val="0"/>
              </w:rPr>
              <w:t>201</w:t>
            </w:r>
            <w:r w:rsidR="00520DB0" w:rsidRPr="007A4E6A">
              <w:rPr>
                <w:rFonts w:hint="eastAsia"/>
                <w:b w:val="0"/>
                <w:spacing w:val="0"/>
              </w:rPr>
              <w:t>5</w:t>
            </w:r>
          </w:p>
        </w:tc>
      </w:tr>
      <w:tr w:rsidR="00B75BE3" w:rsidRPr="007A4E6A" w:rsidTr="00ED52D7">
        <w:tc>
          <w:tcPr>
            <w:tcW w:w="10131" w:type="dxa"/>
            <w:gridSpan w:val="3"/>
          </w:tcPr>
          <w:p w:rsidR="00ED52D7" w:rsidRPr="00B75BE3" w:rsidRDefault="00BC4D5F" w:rsidP="00B75BE3">
            <w:pPr>
              <w:pStyle w:val="upove"/>
              <w:rPr>
                <w:sz w:val="28"/>
                <w:lang w:val="fr-CH"/>
              </w:rPr>
            </w:pPr>
            <w:r w:rsidRPr="00B75BE3">
              <w:rPr>
                <w:snapToGrid w:val="0"/>
                <w:lang w:val="fr-CH"/>
              </w:rPr>
              <w:t>UNION INTERNATIONALE POUR LA PROTECTION DES OBTENTIONS VÉGÉTALES</w:t>
            </w:r>
            <w:r w:rsidR="00ED52D7" w:rsidRPr="00B75BE3">
              <w:rPr>
                <w:snapToGrid w:val="0"/>
                <w:lang w:val="fr-CH"/>
              </w:rPr>
              <w:t xml:space="preserve"> </w:t>
            </w:r>
          </w:p>
        </w:tc>
      </w:tr>
      <w:tr w:rsidR="00B75BE3" w:rsidRPr="00B75BE3" w:rsidTr="00ED52D7">
        <w:tc>
          <w:tcPr>
            <w:tcW w:w="10131" w:type="dxa"/>
            <w:gridSpan w:val="3"/>
          </w:tcPr>
          <w:p w:rsidR="00ED52D7" w:rsidRPr="00B75BE3" w:rsidRDefault="00ED52D7" w:rsidP="00B75BE3">
            <w:pPr>
              <w:pStyle w:val="Country"/>
            </w:pPr>
            <w:r w:rsidRPr="00B75BE3">
              <w:t>Gen</w:t>
            </w:r>
            <w:r w:rsidR="00BC4D5F" w:rsidRPr="00B75BE3">
              <w:t>è</w:t>
            </w:r>
            <w:r w:rsidRPr="00B75BE3">
              <w:t>v</w:t>
            </w:r>
            <w:r w:rsidR="00BC4D5F" w:rsidRPr="00B75BE3">
              <w:t>e</w:t>
            </w:r>
          </w:p>
        </w:tc>
      </w:tr>
    </w:tbl>
    <w:p w:rsidR="00BC4D5F" w:rsidRPr="00B75BE3" w:rsidRDefault="00BC4D5F" w:rsidP="00B75BE3">
      <w:pPr>
        <w:pStyle w:val="Sessiontc"/>
      </w:pPr>
      <w:r w:rsidRPr="00B75BE3">
        <w:t>COMIT</w:t>
      </w:r>
      <w:r w:rsidRPr="00B75BE3">
        <w:rPr>
          <w:rFonts w:cs="Arial"/>
        </w:rPr>
        <w:t>É</w:t>
      </w:r>
      <w:r w:rsidRPr="00B75BE3">
        <w:t xml:space="preserve"> </w:t>
      </w:r>
      <w:r w:rsidR="00ED52D7" w:rsidRPr="00B75BE3">
        <w:t>Techni</w:t>
      </w:r>
      <w:r w:rsidRPr="00B75BE3">
        <w:t>QU</w:t>
      </w:r>
      <w:r w:rsidR="00ED52D7" w:rsidRPr="00B75BE3">
        <w:t>e</w:t>
      </w:r>
    </w:p>
    <w:p w:rsidR="00BC4D5F" w:rsidRPr="00B75BE3" w:rsidRDefault="00A90CA8" w:rsidP="00B75BE3">
      <w:pPr>
        <w:pStyle w:val="Sessiontcplacedate"/>
        <w:rPr>
          <w:lang w:val="fr-CH" w:eastAsia="ja-JP"/>
        </w:rPr>
      </w:pPr>
      <w:r w:rsidRPr="00B75BE3">
        <w:rPr>
          <w:lang w:val="fr-CH"/>
        </w:rPr>
        <w:t>Cinquante </w:t>
      </w:r>
      <w:r w:rsidR="00BC4D5F" w:rsidRPr="00B75BE3">
        <w:rPr>
          <w:lang w:val="fr-CH"/>
        </w:rPr>
        <w:t>et</w:t>
      </w:r>
      <w:r w:rsidRPr="00B75BE3">
        <w:rPr>
          <w:lang w:val="fr-CH"/>
        </w:rPr>
        <w:t> </w:t>
      </w:r>
      <w:r w:rsidR="00BC4D5F" w:rsidRPr="00B75BE3">
        <w:rPr>
          <w:lang w:val="fr-CH"/>
        </w:rPr>
        <w:t>unième</w:t>
      </w:r>
      <w:r w:rsidR="00552D96" w:rsidRPr="00B75BE3">
        <w:rPr>
          <w:lang w:val="fr-CH"/>
        </w:rPr>
        <w:t> </w:t>
      </w:r>
      <w:r w:rsidR="00BC4D5F" w:rsidRPr="00B75BE3">
        <w:rPr>
          <w:lang w:val="fr-CH"/>
        </w:rPr>
        <w:t>s</w:t>
      </w:r>
      <w:r w:rsidR="00ED52D7" w:rsidRPr="00B75BE3">
        <w:rPr>
          <w:lang w:val="fr-CH"/>
        </w:rPr>
        <w:t>ession</w:t>
      </w:r>
      <w:r w:rsidR="00ED52D7" w:rsidRPr="00B75BE3">
        <w:rPr>
          <w:lang w:val="fr-CH"/>
        </w:rPr>
        <w:br/>
        <w:t>Gen</w:t>
      </w:r>
      <w:r w:rsidR="00BC4D5F" w:rsidRPr="00B75BE3">
        <w:rPr>
          <w:lang w:val="fr-CH"/>
        </w:rPr>
        <w:t>è</w:t>
      </w:r>
      <w:r w:rsidR="00ED52D7" w:rsidRPr="00B75BE3">
        <w:rPr>
          <w:lang w:val="fr-CH"/>
        </w:rPr>
        <w:t>v</w:t>
      </w:r>
      <w:r w:rsidR="00BC4D5F" w:rsidRPr="00B75BE3">
        <w:rPr>
          <w:lang w:val="fr-CH"/>
        </w:rPr>
        <w:t>e</w:t>
      </w:r>
      <w:r w:rsidR="00ED52D7" w:rsidRPr="00B75BE3">
        <w:rPr>
          <w:lang w:val="fr-CH"/>
        </w:rPr>
        <w:t xml:space="preserve">, </w:t>
      </w:r>
      <w:r w:rsidR="007A4E6A">
        <w:rPr>
          <w:lang w:val="fr-CH"/>
        </w:rPr>
        <w:t>23–</w:t>
      </w:r>
      <w:r w:rsidR="00BC4D5F" w:rsidRPr="00B75BE3">
        <w:rPr>
          <w:lang w:val="fr-CH"/>
        </w:rPr>
        <w:t>2</w:t>
      </w:r>
      <w:r w:rsidR="00360F9B" w:rsidRPr="00B75BE3">
        <w:rPr>
          <w:lang w:val="fr-CH"/>
        </w:rPr>
        <w:t>5 m</w:t>
      </w:r>
      <w:r w:rsidR="00360F9B" w:rsidRPr="00B75BE3">
        <w:rPr>
          <w:rFonts w:hint="eastAsia"/>
          <w:lang w:val="fr-CH" w:eastAsia="ja-JP"/>
        </w:rPr>
        <w:t>ar</w:t>
      </w:r>
      <w:r w:rsidR="00360F9B" w:rsidRPr="00B75BE3">
        <w:rPr>
          <w:lang w:val="fr-CH" w:eastAsia="ja-JP"/>
        </w:rPr>
        <w:t>s</w:t>
      </w:r>
      <w:r w:rsidR="00BC4D5F" w:rsidRPr="00B75BE3">
        <w:rPr>
          <w:lang w:val="fr-CH" w:eastAsia="ja-JP"/>
        </w:rPr>
        <w:t> </w:t>
      </w:r>
      <w:r w:rsidR="00ED52D7" w:rsidRPr="00B75BE3">
        <w:rPr>
          <w:lang w:val="fr-CH"/>
        </w:rPr>
        <w:t>201</w:t>
      </w:r>
      <w:r w:rsidR="008C452D" w:rsidRPr="00B75BE3">
        <w:rPr>
          <w:rFonts w:hint="eastAsia"/>
          <w:lang w:val="fr-CH" w:eastAsia="ja-JP"/>
        </w:rPr>
        <w:t>5</w:t>
      </w:r>
    </w:p>
    <w:p w:rsidR="00BC4D5F" w:rsidRPr="00B75BE3" w:rsidRDefault="00BC4D5F" w:rsidP="00B75BE3">
      <w:pPr>
        <w:pStyle w:val="Titleofdoc0"/>
        <w:rPr>
          <w:lang w:val="fr-CH"/>
        </w:rPr>
      </w:pPr>
      <w:r w:rsidRPr="00B75BE3">
        <w:rPr>
          <w:lang w:val="fr-CH"/>
        </w:rPr>
        <w:t xml:space="preserve">Révision du document TGP/8 : </w:t>
      </w:r>
      <w:r w:rsidR="00A90CA8" w:rsidRPr="00B75BE3">
        <w:rPr>
          <w:lang w:val="fr-CH"/>
        </w:rPr>
        <w:br/>
      </w:r>
      <w:r w:rsidRPr="00B75BE3">
        <w:rPr>
          <w:lang w:val="fr-CH"/>
        </w:rPr>
        <w:t>deuxième partie : quelques techniques utilisées dans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 xml:space="preserve">examen DHS, </w:t>
      </w:r>
      <w:r w:rsidR="00A90CA8" w:rsidRPr="00B75BE3">
        <w:rPr>
          <w:lang w:val="fr-CH"/>
        </w:rPr>
        <w:br/>
      </w:r>
      <w:r w:rsidRPr="00B75BE3">
        <w:rPr>
          <w:lang w:val="fr-CH"/>
        </w:rPr>
        <w:t>section 9 : analyse globale de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 xml:space="preserve">homogénéité sur plusieurs années </w:t>
      </w:r>
      <w:r w:rsidR="00A90CA8" w:rsidRPr="00B75BE3">
        <w:rPr>
          <w:lang w:val="fr-CH"/>
        </w:rPr>
        <w:br/>
      </w:r>
      <w:r w:rsidRPr="00B75BE3">
        <w:rPr>
          <w:lang w:val="fr-CH"/>
        </w:rPr>
        <w:t>(méthode d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analyse COYU)</w:t>
      </w:r>
    </w:p>
    <w:p w:rsidR="00BC4D5F" w:rsidRPr="007A4E6A" w:rsidRDefault="00DD2520" w:rsidP="00B75BE3">
      <w:pPr>
        <w:pStyle w:val="preparedby1"/>
        <w:rPr>
          <w:color w:val="A6A6A6" w:themeColor="background1" w:themeShade="A6"/>
        </w:rPr>
      </w:pPr>
      <w:bookmarkStart w:id="0" w:name="Prepared"/>
      <w:bookmarkEnd w:id="0"/>
      <w:r w:rsidRPr="00B75BE3">
        <w:rPr>
          <w:lang w:val="fr-FR"/>
        </w:rPr>
        <w:t>Document établi par le Bureau de l’Union</w:t>
      </w:r>
      <w:r w:rsidRPr="00B75BE3">
        <w:rPr>
          <w:lang w:val="fr-FR"/>
        </w:rPr>
        <w:br/>
      </w:r>
      <w:r w:rsidRPr="00B75BE3">
        <w:rPr>
          <w:lang w:val="fr-FR"/>
        </w:rPr>
        <w:br/>
      </w:r>
      <w:r w:rsidRPr="007A4E6A">
        <w:rPr>
          <w:color w:val="A6A6A6" w:themeColor="background1" w:themeShade="A6"/>
        </w:rPr>
        <w:t>Avertissement : le présent document ne représente pas les principes ou les orientations de l’UPOV</w:t>
      </w:r>
    </w:p>
    <w:p w:rsidR="00BC4D5F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BC4D5F" w:rsidRPr="00B75BE3">
        <w:rPr>
          <w:lang w:val="fr-CH"/>
        </w:rPr>
        <w:t>L</w:t>
      </w:r>
      <w:r w:rsidR="00360F9B" w:rsidRPr="00B75BE3">
        <w:rPr>
          <w:lang w:val="fr-CH"/>
        </w:rPr>
        <w:t>’</w:t>
      </w:r>
      <w:r w:rsidR="00BC4D5F" w:rsidRPr="00B75BE3">
        <w:rPr>
          <w:lang w:val="fr-CH"/>
        </w:rPr>
        <w:t>objet du présent document est de faire rapport sur l</w:t>
      </w:r>
      <w:r w:rsidR="00360F9B" w:rsidRPr="00B75BE3">
        <w:rPr>
          <w:lang w:val="fr-CH"/>
        </w:rPr>
        <w:t>’</w:t>
      </w:r>
      <w:r w:rsidR="00BC4D5F" w:rsidRPr="00B75BE3">
        <w:rPr>
          <w:lang w:val="fr-CH"/>
        </w:rPr>
        <w:t>évolution des travaux concernant la méthode de calcul de la COYU.</w:t>
      </w:r>
    </w:p>
    <w:p w:rsidR="00BC4D5F" w:rsidRPr="00B75BE3" w:rsidRDefault="00BC4D5F" w:rsidP="00B75BE3">
      <w:pPr>
        <w:rPr>
          <w:lang w:val="fr-CH" w:eastAsia="ja-JP"/>
        </w:rPr>
      </w:pPr>
    </w:p>
    <w:p w:rsidR="00BC4D5F" w:rsidRPr="00B75BE3" w:rsidRDefault="00BE4B61" w:rsidP="00B75BE3">
      <w:pPr>
        <w:rPr>
          <w:rFonts w:cs="Arial"/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BC4D5F" w:rsidRPr="00B75BE3">
        <w:rPr>
          <w:lang w:val="fr-CH"/>
        </w:rPr>
        <w:t>Les abréviations ci</w:t>
      </w:r>
      <w:r w:rsidR="00A90CA8" w:rsidRPr="00B75BE3">
        <w:rPr>
          <w:lang w:val="fr-CH"/>
        </w:rPr>
        <w:noBreakHyphen/>
      </w:r>
      <w:r w:rsidR="00BC4D5F" w:rsidRPr="00B75BE3">
        <w:rPr>
          <w:lang w:val="fr-CH"/>
        </w:rPr>
        <w:t>après sont utilisées dans le présent document</w:t>
      </w:r>
      <w:r w:rsidR="00552D96" w:rsidRPr="00B75BE3">
        <w:rPr>
          <w:lang w:val="fr-CH"/>
        </w:rPr>
        <w:t> </w:t>
      </w:r>
      <w:r w:rsidR="00BC4D5F" w:rsidRPr="00B75BE3">
        <w:rPr>
          <w:lang w:val="fr-CH"/>
        </w:rPr>
        <w:t>:</w:t>
      </w:r>
    </w:p>
    <w:p w:rsidR="00BC4D5F" w:rsidRPr="00B75BE3" w:rsidRDefault="00BC4D5F" w:rsidP="00B75BE3">
      <w:pPr>
        <w:rPr>
          <w:rFonts w:cs="Arial"/>
          <w:lang w:val="fr-CH"/>
        </w:rPr>
      </w:pPr>
    </w:p>
    <w:p w:rsidR="00BC4D5F" w:rsidRPr="00B75BE3" w:rsidRDefault="00BE4B61" w:rsidP="00B75BE3">
      <w:pPr>
        <w:rPr>
          <w:rFonts w:cs="Arial"/>
          <w:lang w:val="fr-CH"/>
        </w:rPr>
      </w:pPr>
      <w:r w:rsidRPr="00B75BE3">
        <w:rPr>
          <w:rFonts w:cs="Arial"/>
          <w:lang w:val="fr-CH"/>
        </w:rPr>
        <w:tab/>
      </w:r>
      <w:r w:rsidR="00BC4D5F" w:rsidRPr="00B75BE3">
        <w:rPr>
          <w:rFonts w:cs="Arial"/>
          <w:lang w:val="fr-CH"/>
        </w:rPr>
        <w:t xml:space="preserve">TC : </w:t>
      </w:r>
      <w:r w:rsidR="00A90CA8" w:rsidRPr="00B75BE3">
        <w:rPr>
          <w:rFonts w:cs="Arial"/>
          <w:lang w:val="fr-CH"/>
        </w:rPr>
        <w:tab/>
      </w:r>
      <w:r w:rsidR="00A90CA8" w:rsidRPr="00B75BE3">
        <w:rPr>
          <w:rFonts w:cs="Arial"/>
          <w:lang w:val="fr-CH"/>
        </w:rPr>
        <w:tab/>
      </w:r>
      <w:r w:rsidR="00BC4D5F" w:rsidRPr="00B75BE3">
        <w:rPr>
          <w:rFonts w:cs="Arial"/>
          <w:lang w:val="fr-CH"/>
        </w:rPr>
        <w:t>Comité technique</w:t>
      </w:r>
    </w:p>
    <w:p w:rsidR="00BC4D5F" w:rsidRPr="00B75BE3" w:rsidRDefault="00BE4B61" w:rsidP="00B75BE3">
      <w:pPr>
        <w:rPr>
          <w:rFonts w:eastAsia="PMingLiU" w:cs="Arial"/>
          <w:szCs w:val="24"/>
          <w:lang w:val="fr-CH"/>
        </w:rPr>
      </w:pPr>
      <w:r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TC</w:t>
      </w:r>
      <w:r w:rsidR="00A90CA8" w:rsidRPr="00B75BE3">
        <w:rPr>
          <w:rFonts w:eastAsia="PMingLiU" w:cs="Arial"/>
          <w:szCs w:val="24"/>
          <w:lang w:val="fr-CH"/>
        </w:rPr>
        <w:noBreakHyphen/>
      </w:r>
      <w:r w:rsidR="00BC4D5F" w:rsidRPr="00B75BE3">
        <w:rPr>
          <w:rFonts w:eastAsia="PMingLiU" w:cs="Arial"/>
          <w:szCs w:val="24"/>
          <w:lang w:val="fr-CH"/>
        </w:rPr>
        <w:t xml:space="preserve">EDC : </w:t>
      </w:r>
      <w:r w:rsidR="00A90CA8"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Comité de rédaction élargi du Comité technique</w:t>
      </w:r>
    </w:p>
    <w:p w:rsidR="00BC4D5F" w:rsidRPr="00B75BE3" w:rsidRDefault="00BE4B61" w:rsidP="00B75BE3">
      <w:pPr>
        <w:rPr>
          <w:rFonts w:eastAsia="PMingLiU" w:cs="Arial"/>
          <w:szCs w:val="24"/>
          <w:lang w:val="fr-CH"/>
        </w:rPr>
      </w:pPr>
      <w:r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 xml:space="preserve">TWA : </w:t>
      </w:r>
      <w:r w:rsidR="00A90CA8"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Groupe de travail technique sur les plantes agricoles</w:t>
      </w:r>
    </w:p>
    <w:p w:rsidR="00BC4D5F" w:rsidRPr="00B75BE3" w:rsidRDefault="00BC4D5F" w:rsidP="00B75BE3">
      <w:pPr>
        <w:ind w:left="1695" w:hanging="1128"/>
        <w:rPr>
          <w:rFonts w:eastAsia="PMingLiU" w:cs="Arial"/>
          <w:szCs w:val="24"/>
          <w:lang w:val="fr-CH"/>
        </w:rPr>
      </w:pPr>
      <w:r w:rsidRPr="00B75BE3">
        <w:rPr>
          <w:rFonts w:eastAsia="PMingLiU" w:cs="Arial"/>
          <w:szCs w:val="24"/>
          <w:lang w:val="fr-CH"/>
        </w:rPr>
        <w:t xml:space="preserve">TWC : </w:t>
      </w:r>
      <w:r w:rsidR="00A90CA8" w:rsidRPr="00B75BE3">
        <w:rPr>
          <w:rFonts w:eastAsia="PMingLiU" w:cs="Arial"/>
          <w:szCs w:val="24"/>
          <w:lang w:val="fr-CH"/>
        </w:rPr>
        <w:tab/>
      </w:r>
      <w:r w:rsidRPr="00B75BE3">
        <w:rPr>
          <w:rFonts w:eastAsia="PMingLiU" w:cs="Arial"/>
          <w:szCs w:val="24"/>
          <w:lang w:val="fr-CH"/>
        </w:rPr>
        <w:t>Groupe de travail technique sur les systèmes d</w:t>
      </w:r>
      <w:r w:rsidR="00360F9B" w:rsidRPr="00B75BE3">
        <w:rPr>
          <w:rFonts w:eastAsia="PMingLiU" w:cs="Arial"/>
          <w:szCs w:val="24"/>
          <w:lang w:val="fr-CH"/>
        </w:rPr>
        <w:t>’</w:t>
      </w:r>
      <w:r w:rsidRPr="00B75BE3">
        <w:rPr>
          <w:rFonts w:eastAsia="PMingLiU" w:cs="Arial"/>
          <w:szCs w:val="24"/>
          <w:lang w:val="fr-CH"/>
        </w:rPr>
        <w:t>automatisation et les programmes d</w:t>
      </w:r>
      <w:r w:rsidR="00360F9B" w:rsidRPr="00B75BE3">
        <w:rPr>
          <w:rFonts w:eastAsia="PMingLiU" w:cs="Arial"/>
          <w:szCs w:val="24"/>
          <w:lang w:val="fr-CH"/>
        </w:rPr>
        <w:t>’</w:t>
      </w:r>
      <w:r w:rsidRPr="00B75BE3">
        <w:rPr>
          <w:rFonts w:eastAsia="PMingLiU" w:cs="Arial"/>
          <w:szCs w:val="24"/>
          <w:lang w:val="fr-CH"/>
        </w:rPr>
        <w:t>ordinateur</w:t>
      </w:r>
    </w:p>
    <w:p w:rsidR="00BC4D5F" w:rsidRPr="00B75BE3" w:rsidRDefault="00BE4B61" w:rsidP="00B75BE3">
      <w:pPr>
        <w:rPr>
          <w:rFonts w:eastAsia="PMingLiU" w:cs="Arial"/>
          <w:szCs w:val="24"/>
          <w:lang w:val="fr-CH"/>
        </w:rPr>
      </w:pPr>
      <w:r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 xml:space="preserve">TWF : </w:t>
      </w:r>
      <w:r w:rsidR="00A90CA8"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Groupe de travail technique sur les plantes fruitières</w:t>
      </w:r>
    </w:p>
    <w:p w:rsidR="00BC4D5F" w:rsidRPr="00B75BE3" w:rsidRDefault="00BE4B61" w:rsidP="00B75BE3">
      <w:pPr>
        <w:rPr>
          <w:rFonts w:eastAsia="PMingLiU" w:cs="Arial"/>
          <w:szCs w:val="24"/>
          <w:lang w:val="fr-CH"/>
        </w:rPr>
      </w:pPr>
      <w:r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 xml:space="preserve">TWO : </w:t>
      </w:r>
      <w:r w:rsidR="00A90CA8"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Groupe de travail technique sur les plantes ornementales et les arbres forestiers</w:t>
      </w:r>
    </w:p>
    <w:p w:rsidR="00BC4D5F" w:rsidRPr="00B75BE3" w:rsidRDefault="00BE4B61" w:rsidP="00B75BE3">
      <w:pPr>
        <w:rPr>
          <w:rFonts w:eastAsia="PMingLiU" w:cs="Arial"/>
          <w:szCs w:val="24"/>
          <w:lang w:val="fr-CH"/>
        </w:rPr>
      </w:pPr>
      <w:r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TWP</w:t>
      </w:r>
      <w:r w:rsidR="00A34CE5" w:rsidRPr="00B75BE3">
        <w:rPr>
          <w:rFonts w:eastAsia="PMingLiU" w:cs="Arial"/>
          <w:szCs w:val="24"/>
          <w:lang w:val="fr-CH"/>
        </w:rPr>
        <w:t> </w:t>
      </w:r>
      <w:r w:rsidR="00BC4D5F" w:rsidRPr="00B75BE3">
        <w:rPr>
          <w:rFonts w:eastAsia="PMingLiU" w:cs="Arial"/>
          <w:szCs w:val="24"/>
          <w:lang w:val="fr-CH"/>
        </w:rPr>
        <w:t xml:space="preserve">: </w:t>
      </w:r>
      <w:r w:rsidR="00A90CA8"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Groupes de travail techniques</w:t>
      </w:r>
    </w:p>
    <w:p w:rsidR="00BC4D5F" w:rsidRPr="00B75BE3" w:rsidRDefault="00BE4B61" w:rsidP="00B75BE3">
      <w:pPr>
        <w:rPr>
          <w:rFonts w:eastAsia="PMingLiU" w:cs="Arial"/>
          <w:szCs w:val="24"/>
          <w:lang w:val="fr-CH"/>
        </w:rPr>
      </w:pPr>
      <w:r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 xml:space="preserve">TWV : </w:t>
      </w:r>
      <w:r w:rsidR="00A90CA8" w:rsidRPr="00B75BE3">
        <w:rPr>
          <w:rFonts w:eastAsia="PMingLiU" w:cs="Arial"/>
          <w:szCs w:val="24"/>
          <w:lang w:val="fr-CH"/>
        </w:rPr>
        <w:tab/>
      </w:r>
      <w:r w:rsidR="00BC4D5F" w:rsidRPr="00B75BE3">
        <w:rPr>
          <w:rFonts w:eastAsia="PMingLiU" w:cs="Arial"/>
          <w:szCs w:val="24"/>
          <w:lang w:val="fr-CH"/>
        </w:rPr>
        <w:t>Groupe de travail technique sur les plantes potagères</w:t>
      </w:r>
    </w:p>
    <w:p w:rsidR="00BC4D5F" w:rsidRPr="00B75BE3" w:rsidRDefault="00BC4D5F" w:rsidP="00B75BE3">
      <w:pPr>
        <w:rPr>
          <w:lang w:val="fr-CH" w:eastAsia="ja-JP"/>
        </w:rPr>
      </w:pPr>
    </w:p>
    <w:p w:rsidR="00BC4D5F" w:rsidRPr="00B75BE3" w:rsidRDefault="00BC4D5F" w:rsidP="00B75BE3">
      <w:pPr>
        <w:rPr>
          <w:lang w:val="fr-CH"/>
        </w:rPr>
      </w:pPr>
    </w:p>
    <w:p w:rsidR="00BC4D5F" w:rsidRPr="00B75BE3" w:rsidRDefault="00BC4D5F" w:rsidP="00B75BE3">
      <w:pPr>
        <w:pStyle w:val="Heading1"/>
        <w:rPr>
          <w:lang w:val="fr-CH"/>
        </w:rPr>
      </w:pPr>
      <w:r w:rsidRPr="00B75BE3">
        <w:rPr>
          <w:lang w:val="fr-CH"/>
        </w:rPr>
        <w:t>Informations générales</w:t>
      </w:r>
    </w:p>
    <w:p w:rsidR="00BC4D5F" w:rsidRPr="00B75BE3" w:rsidRDefault="00BC4D5F" w:rsidP="00B75BE3">
      <w:pPr>
        <w:rPr>
          <w:u w:val="single"/>
          <w:lang w:val="fr-CH" w:eastAsia="ja-JP"/>
        </w:rPr>
      </w:pPr>
    </w:p>
    <w:p w:rsidR="00BC4D5F" w:rsidRPr="00B75BE3" w:rsidRDefault="00BE4B61" w:rsidP="00B75BE3">
      <w:pPr>
        <w:rPr>
          <w:szCs w:val="24"/>
          <w:lang w:val="fr-CH" w:eastAsia="ja-JP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DB42EB" w:rsidRPr="00B75BE3">
        <w:rPr>
          <w:lang w:val="fr-CH"/>
        </w:rPr>
        <w:t xml:space="preserve">Les informations générales sur cette question sont fournies dans le </w:t>
      </w:r>
      <w:r w:rsidR="00360F9B" w:rsidRPr="00B75BE3">
        <w:rPr>
          <w:lang w:val="fr-CH"/>
        </w:rPr>
        <w:t>document TC</w:t>
      </w:r>
      <w:r w:rsidR="00DB42EB" w:rsidRPr="00B75BE3">
        <w:rPr>
          <w:lang w:val="fr-CH"/>
        </w:rPr>
        <w:t>/50/22 “Révision du document TGP/8</w:t>
      </w:r>
      <w:r w:rsidR="003907AB" w:rsidRPr="00B75BE3">
        <w:rPr>
          <w:lang w:val="fr-CH"/>
        </w:rPr>
        <w:t> </w:t>
      </w:r>
      <w:r w:rsidR="00DB42EB" w:rsidRPr="00B75BE3">
        <w:rPr>
          <w:lang w:val="fr-CH"/>
        </w:rPr>
        <w:t>: deuxième</w:t>
      </w:r>
      <w:r w:rsidR="003907AB" w:rsidRPr="00B75BE3">
        <w:rPr>
          <w:lang w:val="fr-CH"/>
        </w:rPr>
        <w:t> </w:t>
      </w:r>
      <w:r w:rsidR="00DB42EB" w:rsidRPr="00B75BE3">
        <w:rPr>
          <w:lang w:val="fr-CH"/>
        </w:rPr>
        <w:t>partie</w:t>
      </w:r>
      <w:r w:rsidR="003907AB" w:rsidRPr="00B75BE3">
        <w:rPr>
          <w:lang w:val="fr-CH"/>
        </w:rPr>
        <w:t> </w:t>
      </w:r>
      <w:r w:rsidR="00DB42EB" w:rsidRPr="00B75BE3">
        <w:rPr>
          <w:lang w:val="fr-CH"/>
        </w:rPr>
        <w:t>: quelques techniques utilisées dans l</w:t>
      </w:r>
      <w:r w:rsidR="00360F9B" w:rsidRPr="00B75BE3">
        <w:rPr>
          <w:lang w:val="fr-CH"/>
        </w:rPr>
        <w:t>’</w:t>
      </w:r>
      <w:r w:rsidR="00DB42EB" w:rsidRPr="00B75BE3">
        <w:rPr>
          <w:lang w:val="fr-CH"/>
        </w:rPr>
        <w:t>examen</w:t>
      </w:r>
      <w:r w:rsidR="00552D96" w:rsidRPr="00B75BE3">
        <w:rPr>
          <w:lang w:val="fr-CH"/>
        </w:rPr>
        <w:t> </w:t>
      </w:r>
      <w:r w:rsidR="00DB42EB" w:rsidRPr="00B75BE3">
        <w:rPr>
          <w:lang w:val="fr-CH"/>
        </w:rPr>
        <w:t>DHS, section</w:t>
      </w:r>
      <w:r w:rsidR="003907AB" w:rsidRPr="00B75BE3">
        <w:rPr>
          <w:lang w:val="fr-CH"/>
        </w:rPr>
        <w:t> </w:t>
      </w:r>
      <w:r w:rsidR="00DB42EB" w:rsidRPr="00B75BE3">
        <w:rPr>
          <w:lang w:val="fr-CH"/>
        </w:rPr>
        <w:t>9</w:t>
      </w:r>
      <w:r w:rsidR="003907AB" w:rsidRPr="00B75BE3">
        <w:rPr>
          <w:lang w:val="fr-CH"/>
        </w:rPr>
        <w:t> </w:t>
      </w:r>
      <w:r w:rsidR="00DB42EB" w:rsidRPr="00B75BE3">
        <w:rPr>
          <w:lang w:val="fr-CH"/>
        </w:rPr>
        <w:t>: analyse globale de l</w:t>
      </w:r>
      <w:r w:rsidR="00360F9B" w:rsidRPr="00B75BE3">
        <w:rPr>
          <w:lang w:val="fr-CH"/>
        </w:rPr>
        <w:t>’</w:t>
      </w:r>
      <w:r w:rsidR="00DB42EB" w:rsidRPr="00B75BE3">
        <w:rPr>
          <w:lang w:val="fr-CH"/>
        </w:rPr>
        <w:t>homogénéité sur plusieurs années (méthode d</w:t>
      </w:r>
      <w:r w:rsidR="00360F9B" w:rsidRPr="00B75BE3">
        <w:rPr>
          <w:lang w:val="fr-CH"/>
        </w:rPr>
        <w:t>’</w:t>
      </w:r>
      <w:r w:rsidR="00DB42EB" w:rsidRPr="00B75BE3">
        <w:rPr>
          <w:lang w:val="fr-CH"/>
        </w:rPr>
        <w:t>analyse COYU)”.</w:t>
      </w:r>
    </w:p>
    <w:p w:rsidR="00BC4D5F" w:rsidRPr="00B75BE3" w:rsidRDefault="00BC4D5F" w:rsidP="00B75BE3">
      <w:pPr>
        <w:rPr>
          <w:u w:val="single"/>
          <w:lang w:val="fr-CH" w:eastAsia="ja-JP"/>
        </w:rPr>
      </w:pPr>
    </w:p>
    <w:p w:rsidR="00BC4D5F" w:rsidRPr="00B75BE3" w:rsidRDefault="00BC4D5F" w:rsidP="00B75BE3">
      <w:pPr>
        <w:keepNext/>
        <w:keepLines/>
        <w:rPr>
          <w:lang w:val="fr-CH" w:eastAsia="ja-JP"/>
        </w:rPr>
      </w:pPr>
    </w:p>
    <w:p w:rsidR="00BC4D5F" w:rsidRPr="00B75BE3" w:rsidRDefault="00DB42EB" w:rsidP="00B75BE3">
      <w:pPr>
        <w:pStyle w:val="Heading1"/>
        <w:rPr>
          <w:lang w:val="fr-CH" w:eastAsia="ja-JP"/>
        </w:rPr>
      </w:pPr>
      <w:r w:rsidRPr="00B75BE3">
        <w:rPr>
          <w:lang w:val="fr-CH" w:eastAsia="ja-JP"/>
        </w:rPr>
        <w:t>Faits nouveaux en</w:t>
      </w:r>
      <w:r w:rsidR="003907AB" w:rsidRPr="00B75BE3">
        <w:rPr>
          <w:lang w:val="fr-CH" w:eastAsia="ja-JP"/>
        </w:rPr>
        <w:t> </w:t>
      </w:r>
      <w:r w:rsidRPr="00B75BE3">
        <w:rPr>
          <w:lang w:val="fr-CH" w:eastAsia="ja-JP"/>
        </w:rPr>
        <w:t>2014</w:t>
      </w:r>
    </w:p>
    <w:p w:rsidR="00BC4D5F" w:rsidRPr="00B75BE3" w:rsidRDefault="00BC4D5F" w:rsidP="00B75BE3">
      <w:pPr>
        <w:keepNext/>
        <w:keepLines/>
        <w:rPr>
          <w:lang w:val="fr-CH" w:eastAsia="ja-JP"/>
        </w:rPr>
      </w:pPr>
    </w:p>
    <w:p w:rsidR="00BC4D5F" w:rsidRPr="00B75BE3" w:rsidRDefault="009849D2" w:rsidP="00B75BE3">
      <w:pPr>
        <w:pStyle w:val="Heading2"/>
        <w:rPr>
          <w:snapToGrid w:val="0"/>
          <w:lang w:val="fr-CH" w:eastAsia="ja-JP"/>
        </w:rPr>
      </w:pPr>
      <w:r w:rsidRPr="00B75BE3">
        <w:rPr>
          <w:snapToGrid w:val="0"/>
          <w:lang w:val="fr-CH" w:eastAsia="ja-JP"/>
        </w:rPr>
        <w:t>Comité technique</w:t>
      </w:r>
    </w:p>
    <w:p w:rsidR="00BC4D5F" w:rsidRPr="00B75BE3" w:rsidRDefault="00BC4D5F" w:rsidP="00B75BE3">
      <w:pPr>
        <w:keepNext/>
        <w:keepLines/>
        <w:rPr>
          <w:lang w:val="fr-CH" w:eastAsia="ja-JP"/>
        </w:rPr>
      </w:pPr>
    </w:p>
    <w:p w:rsidR="00360F9B" w:rsidRPr="00B75BE3" w:rsidRDefault="00BE4B61" w:rsidP="00B75BE3">
      <w:pPr>
        <w:rPr>
          <w:lang w:val="fr-CH"/>
        </w:rPr>
      </w:pPr>
      <w:r w:rsidRPr="00B75BE3">
        <w:rPr>
          <w:rFonts w:cs="Arial"/>
        </w:rPr>
        <w:fldChar w:fldCharType="begin"/>
      </w:r>
      <w:r w:rsidRPr="00B75BE3">
        <w:rPr>
          <w:rFonts w:cs="Arial"/>
          <w:lang w:val="fr-CH"/>
        </w:rPr>
        <w:instrText xml:space="preserve"> AUTONUM  </w:instrText>
      </w:r>
      <w:r w:rsidRPr="00B75BE3">
        <w:rPr>
          <w:rFonts w:cs="Arial"/>
        </w:rPr>
        <w:fldChar w:fldCharType="end"/>
      </w:r>
      <w:r w:rsidRPr="00B75BE3">
        <w:rPr>
          <w:rFonts w:cs="Arial"/>
          <w:lang w:val="fr-CH"/>
        </w:rPr>
        <w:tab/>
      </w:r>
      <w:r w:rsidR="009849D2" w:rsidRPr="00B75BE3">
        <w:rPr>
          <w:rFonts w:cs="Arial"/>
          <w:lang w:val="fr-CH"/>
        </w:rPr>
        <w:t>Le</w:t>
      </w:r>
      <w:r w:rsidR="00360F9B" w:rsidRPr="00B75BE3">
        <w:rPr>
          <w:rFonts w:cs="Arial"/>
          <w:lang w:val="fr-CH"/>
        </w:rPr>
        <w:t> TC</w:t>
      </w:r>
      <w:r w:rsidR="009849D2" w:rsidRPr="00B75BE3">
        <w:rPr>
          <w:rFonts w:cs="Arial"/>
          <w:lang w:val="fr-CH"/>
        </w:rPr>
        <w:t>, à sa cinquantième</w:t>
      </w:r>
      <w:r w:rsidR="003907AB" w:rsidRPr="00B75BE3">
        <w:rPr>
          <w:rFonts w:cs="Arial"/>
          <w:lang w:val="fr-CH"/>
        </w:rPr>
        <w:t> </w:t>
      </w:r>
      <w:r w:rsidR="009849D2" w:rsidRPr="00B75BE3">
        <w:rPr>
          <w:rFonts w:cs="Arial"/>
          <w:lang w:val="fr-CH"/>
        </w:rPr>
        <w:t>session tenue à Genève du 7</w:t>
      </w:r>
      <w:r w:rsidR="003907AB" w:rsidRPr="00B75BE3">
        <w:rPr>
          <w:rFonts w:cs="Arial"/>
          <w:lang w:val="fr-CH"/>
        </w:rPr>
        <w:t> </w:t>
      </w:r>
      <w:r w:rsidR="009849D2" w:rsidRPr="00B75BE3">
        <w:rPr>
          <w:rFonts w:cs="Arial"/>
          <w:lang w:val="fr-CH"/>
        </w:rPr>
        <w:t>au</w:t>
      </w:r>
      <w:r w:rsidR="003907AB" w:rsidRPr="00B75BE3">
        <w:rPr>
          <w:rFonts w:cs="Arial"/>
          <w:lang w:val="fr-CH"/>
        </w:rPr>
        <w:t> </w:t>
      </w:r>
      <w:r w:rsidR="009849D2" w:rsidRPr="00B75BE3">
        <w:rPr>
          <w:rFonts w:cs="Arial"/>
          <w:lang w:val="fr-CH"/>
        </w:rPr>
        <w:t>9</w:t>
      </w:r>
      <w:r w:rsidR="003907AB" w:rsidRPr="00B75BE3">
        <w:rPr>
          <w:rFonts w:cs="Arial"/>
          <w:lang w:val="fr-CH"/>
        </w:rPr>
        <w:t> </w:t>
      </w:r>
      <w:r w:rsidR="009849D2" w:rsidRPr="00B75BE3">
        <w:rPr>
          <w:rFonts w:cs="Arial"/>
          <w:lang w:val="fr-CH"/>
        </w:rPr>
        <w:t>avril</w:t>
      </w:r>
      <w:r w:rsidR="003907AB" w:rsidRPr="00B75BE3">
        <w:rPr>
          <w:rFonts w:cs="Arial"/>
          <w:lang w:val="fr-CH"/>
        </w:rPr>
        <w:t> </w:t>
      </w:r>
      <w:r w:rsidR="009849D2" w:rsidRPr="00B75BE3">
        <w:rPr>
          <w:rFonts w:cs="Arial"/>
          <w:lang w:val="fr-CH"/>
        </w:rPr>
        <w:t xml:space="preserve">2014, a examiné le </w:t>
      </w:r>
      <w:r w:rsidR="00360F9B" w:rsidRPr="00B75BE3">
        <w:rPr>
          <w:rFonts w:cs="Arial"/>
          <w:lang w:val="fr-CH"/>
        </w:rPr>
        <w:t>document TC</w:t>
      </w:r>
      <w:r w:rsidR="009849D2" w:rsidRPr="00B75BE3">
        <w:rPr>
          <w:rFonts w:cs="Arial"/>
          <w:lang w:val="fr-CH"/>
        </w:rPr>
        <w:t xml:space="preserve">/50/22 et </w:t>
      </w:r>
      <w:r w:rsidR="003907AB" w:rsidRPr="00B75BE3">
        <w:rPr>
          <w:rFonts w:cs="Arial"/>
          <w:lang w:val="fr-CH"/>
        </w:rPr>
        <w:t xml:space="preserve">a </w:t>
      </w:r>
      <w:r w:rsidR="009849D2" w:rsidRPr="00B75BE3">
        <w:rPr>
          <w:rFonts w:cs="Arial"/>
          <w:lang w:val="fr-CH"/>
        </w:rPr>
        <w:t>suivi un exposé de M.</w:t>
      </w:r>
      <w:r w:rsidR="003907AB" w:rsidRPr="00B75BE3">
        <w:rPr>
          <w:rFonts w:cs="Arial"/>
          <w:lang w:val="fr-CH"/>
        </w:rPr>
        <w:t> </w:t>
      </w:r>
      <w:r w:rsidR="009849D2" w:rsidRPr="00B75BE3">
        <w:rPr>
          <w:rFonts w:cs="Arial"/>
          <w:lang w:val="fr-CH"/>
        </w:rPr>
        <w:t>Adrian</w:t>
      </w:r>
      <w:r w:rsidR="003907AB" w:rsidRPr="00B75BE3">
        <w:rPr>
          <w:rFonts w:cs="Arial"/>
          <w:lang w:val="fr-CH"/>
        </w:rPr>
        <w:t> </w:t>
      </w:r>
      <w:r w:rsidR="009849D2" w:rsidRPr="00B75BE3">
        <w:rPr>
          <w:rFonts w:cs="Arial"/>
          <w:lang w:val="fr-CH"/>
        </w:rPr>
        <w:t>Roberts (Royaume</w:t>
      </w:r>
      <w:r w:rsidR="00A90CA8" w:rsidRPr="00B75BE3">
        <w:rPr>
          <w:rFonts w:cs="Arial"/>
          <w:lang w:val="fr-CH"/>
        </w:rPr>
        <w:noBreakHyphen/>
      </w:r>
      <w:r w:rsidR="009849D2" w:rsidRPr="00B75BE3">
        <w:rPr>
          <w:rFonts w:cs="Arial"/>
          <w:lang w:val="fr-CH"/>
        </w:rPr>
        <w:t>Uni) intitulé “</w:t>
      </w:r>
      <w:proofErr w:type="spellStart"/>
      <w:r w:rsidR="009849D2" w:rsidRPr="00B75BE3">
        <w:rPr>
          <w:rFonts w:cs="Arial"/>
          <w:lang w:val="fr-CH"/>
        </w:rPr>
        <w:t>Proposed</w:t>
      </w:r>
      <w:proofErr w:type="spellEnd"/>
      <w:r w:rsidR="009849D2" w:rsidRPr="00B75BE3">
        <w:rPr>
          <w:rFonts w:cs="Arial"/>
          <w:lang w:val="fr-CH"/>
        </w:rPr>
        <w:t xml:space="preserve"> </w:t>
      </w:r>
      <w:proofErr w:type="spellStart"/>
      <w:r w:rsidR="009849D2" w:rsidRPr="00B75BE3">
        <w:rPr>
          <w:rFonts w:cs="Arial"/>
          <w:lang w:val="fr-CH"/>
        </w:rPr>
        <w:t>Improvements</w:t>
      </w:r>
      <w:proofErr w:type="spellEnd"/>
      <w:r w:rsidR="009849D2" w:rsidRPr="00B75BE3">
        <w:rPr>
          <w:rFonts w:cs="Arial"/>
          <w:lang w:val="fr-CH"/>
        </w:rPr>
        <w:t xml:space="preserve"> to COYU”.</w:t>
      </w:r>
      <w:r w:rsidRPr="00B75BE3">
        <w:rPr>
          <w:lang w:val="fr-CH"/>
        </w:rPr>
        <w:t xml:space="preserve">  </w:t>
      </w:r>
      <w:r w:rsidR="009849D2" w:rsidRPr="00B75BE3">
        <w:rPr>
          <w:lang w:val="fr-CH"/>
        </w:rPr>
        <w:t>Il a pris note qu</w:t>
      </w:r>
      <w:r w:rsidR="00360F9B" w:rsidRPr="00B75BE3">
        <w:rPr>
          <w:lang w:val="fr-CH"/>
        </w:rPr>
        <w:t>’</w:t>
      </w:r>
      <w:r w:rsidR="009849D2" w:rsidRPr="00B75BE3">
        <w:rPr>
          <w:lang w:val="fr-CH"/>
        </w:rPr>
        <w:t xml:space="preserve">une copie de cet exposé a été mise à disposition dans un additif au </w:t>
      </w:r>
      <w:r w:rsidR="00360F9B" w:rsidRPr="00B75BE3">
        <w:rPr>
          <w:lang w:val="fr-CH"/>
        </w:rPr>
        <w:t>document TC</w:t>
      </w:r>
      <w:r w:rsidR="009849D2" w:rsidRPr="00B75BE3">
        <w:rPr>
          <w:lang w:val="fr-CH"/>
        </w:rPr>
        <w:t>/50/22 (voir le paragraphe</w:t>
      </w:r>
      <w:r w:rsidR="003907AB" w:rsidRPr="00B75BE3">
        <w:rPr>
          <w:lang w:val="fr-CH"/>
        </w:rPr>
        <w:t> </w:t>
      </w:r>
      <w:r w:rsidR="009849D2" w:rsidRPr="00B75BE3">
        <w:rPr>
          <w:lang w:val="fr-CH"/>
        </w:rPr>
        <w:t xml:space="preserve">48 du </w:t>
      </w:r>
      <w:r w:rsidR="00360F9B" w:rsidRPr="00B75BE3">
        <w:rPr>
          <w:lang w:val="fr-CH"/>
        </w:rPr>
        <w:t>document TC</w:t>
      </w:r>
      <w:r w:rsidR="009849D2" w:rsidRPr="00B75BE3">
        <w:rPr>
          <w:lang w:val="fr-CH"/>
        </w:rPr>
        <w:t>/50/36 “Compte rendu des conclusions”).</w:t>
      </w:r>
    </w:p>
    <w:p w:rsidR="00BC4D5F" w:rsidRPr="00B75BE3" w:rsidRDefault="00BC4D5F" w:rsidP="00B75BE3">
      <w:pPr>
        <w:rPr>
          <w:rFonts w:cs="Arial"/>
          <w:lang w:val="fr-CH"/>
        </w:rPr>
      </w:pPr>
    </w:p>
    <w:p w:rsidR="00BC4D5F" w:rsidRPr="00B75BE3" w:rsidRDefault="00BE4B61" w:rsidP="00B75BE3">
      <w:pPr>
        <w:rPr>
          <w:lang w:val="fr-CH"/>
        </w:rPr>
      </w:pPr>
      <w:r w:rsidRPr="00B75BE3">
        <w:lastRenderedPageBreak/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83385A" w:rsidRPr="00B75BE3">
        <w:rPr>
          <w:lang w:val="fr-CH"/>
        </w:rPr>
        <w:t>Le</w:t>
      </w:r>
      <w:r w:rsidR="00360F9B" w:rsidRPr="00B75BE3">
        <w:rPr>
          <w:lang w:val="fr-CH"/>
        </w:rPr>
        <w:t> TC</w:t>
      </w:r>
      <w:r w:rsidR="0083385A" w:rsidRPr="00B75BE3">
        <w:rPr>
          <w:lang w:val="fr-CH"/>
        </w:rPr>
        <w:t xml:space="preserve"> a pris note de l</w:t>
      </w:r>
      <w:r w:rsidR="00360F9B" w:rsidRPr="00B75BE3">
        <w:rPr>
          <w:lang w:val="fr-CH"/>
        </w:rPr>
        <w:t>’</w:t>
      </w:r>
      <w:r w:rsidR="0083385A" w:rsidRPr="00B75BE3">
        <w:rPr>
          <w:lang w:val="fr-CH"/>
        </w:rPr>
        <w:t>évolution des travaux concernant les propositions visant à remédier aux erreurs systématiques dues à la méthode actuelle de calcul de</w:t>
      </w:r>
      <w:r w:rsidR="00360F9B" w:rsidRPr="00B75BE3">
        <w:rPr>
          <w:lang w:val="fr-CH"/>
        </w:rPr>
        <w:t xml:space="preserve"> la COY</w:t>
      </w:r>
      <w:r w:rsidR="0083385A" w:rsidRPr="00B75BE3">
        <w:rPr>
          <w:lang w:val="fr-CH"/>
        </w:rPr>
        <w:t>U, comme indiqué aux paragraphes</w:t>
      </w:r>
      <w:r w:rsidR="003907AB" w:rsidRPr="00B75BE3">
        <w:rPr>
          <w:lang w:val="fr-CH"/>
        </w:rPr>
        <w:t> </w:t>
      </w:r>
      <w:r w:rsidR="0083385A" w:rsidRPr="00B75BE3">
        <w:rPr>
          <w:lang w:val="fr-CH"/>
        </w:rPr>
        <w:t xml:space="preserve">8 à 21 du </w:t>
      </w:r>
      <w:r w:rsidR="00360F9B" w:rsidRPr="00B75BE3">
        <w:rPr>
          <w:lang w:val="fr-CH"/>
        </w:rPr>
        <w:t>document TC</w:t>
      </w:r>
      <w:r w:rsidR="0083385A" w:rsidRPr="00B75BE3">
        <w:rPr>
          <w:lang w:val="fr-CH"/>
        </w:rPr>
        <w:t>/50/22 (voir le paragraphe</w:t>
      </w:r>
      <w:r w:rsidR="003907AB" w:rsidRPr="00B75BE3">
        <w:rPr>
          <w:lang w:val="fr-CH"/>
        </w:rPr>
        <w:t> </w:t>
      </w:r>
      <w:r w:rsidR="0083385A" w:rsidRPr="00B75BE3">
        <w:rPr>
          <w:lang w:val="fr-CH"/>
        </w:rPr>
        <w:t xml:space="preserve">49 du </w:t>
      </w:r>
      <w:r w:rsidR="00360F9B" w:rsidRPr="00B75BE3">
        <w:rPr>
          <w:lang w:val="fr-CH"/>
        </w:rPr>
        <w:t>document TC</w:t>
      </w:r>
      <w:r w:rsidR="0083385A" w:rsidRPr="00B75BE3">
        <w:rPr>
          <w:lang w:val="fr-CH"/>
        </w:rPr>
        <w:t>/50/36).</w:t>
      </w:r>
    </w:p>
    <w:p w:rsidR="00BC4D5F" w:rsidRPr="00B75BE3" w:rsidRDefault="00BC4D5F" w:rsidP="00B75BE3">
      <w:pPr>
        <w:rPr>
          <w:lang w:val="fr-CH"/>
        </w:rPr>
      </w:pPr>
    </w:p>
    <w:p w:rsidR="00BC4D5F" w:rsidRPr="00B75BE3" w:rsidRDefault="00BC4D5F" w:rsidP="00B75BE3">
      <w:pPr>
        <w:jc w:val="left"/>
        <w:rPr>
          <w:lang w:val="fr-CH"/>
        </w:rPr>
      </w:pPr>
    </w:p>
    <w:p w:rsidR="00BC4D5F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83385A" w:rsidRPr="00B75BE3">
        <w:rPr>
          <w:lang w:val="fr-CH"/>
        </w:rPr>
        <w:t>Le</w:t>
      </w:r>
      <w:r w:rsidR="00360F9B" w:rsidRPr="00B75BE3">
        <w:rPr>
          <w:lang w:val="fr-CH"/>
        </w:rPr>
        <w:t> TC</w:t>
      </w:r>
      <w:r w:rsidR="0083385A" w:rsidRPr="00B75BE3">
        <w:rPr>
          <w:lang w:val="fr-CH"/>
        </w:rPr>
        <w:t xml:space="preserve"> est convenu que l</w:t>
      </w:r>
      <w:r w:rsidR="00360F9B" w:rsidRPr="00B75BE3">
        <w:rPr>
          <w:lang w:val="fr-CH"/>
        </w:rPr>
        <w:t>’</w:t>
      </w:r>
      <w:r w:rsidR="0083385A" w:rsidRPr="00B75BE3">
        <w:rPr>
          <w:lang w:val="fr-CH"/>
        </w:rPr>
        <w:t>élaboration d</w:t>
      </w:r>
      <w:r w:rsidR="00360F9B" w:rsidRPr="00B75BE3">
        <w:rPr>
          <w:lang w:val="fr-CH"/>
        </w:rPr>
        <w:t>’</w:t>
      </w:r>
      <w:r w:rsidR="0083385A" w:rsidRPr="00B75BE3">
        <w:rPr>
          <w:lang w:val="fr-CH"/>
        </w:rPr>
        <w:t>un module de démonstration DUST devait continuer en vue de sa présentation</w:t>
      </w:r>
      <w:r w:rsidR="00360F9B" w:rsidRPr="00B75BE3">
        <w:rPr>
          <w:lang w:val="fr-CH"/>
        </w:rPr>
        <w:t xml:space="preserve"> au TWC</w:t>
      </w:r>
      <w:r w:rsidR="0083385A" w:rsidRPr="00B75BE3">
        <w:rPr>
          <w:lang w:val="fr-CH"/>
        </w:rPr>
        <w:t xml:space="preserve"> à sa session en</w:t>
      </w:r>
      <w:r w:rsidR="003907AB" w:rsidRPr="00B75BE3">
        <w:rPr>
          <w:lang w:val="fr-CH"/>
        </w:rPr>
        <w:t> </w:t>
      </w:r>
      <w:r w:rsidR="0083385A" w:rsidRPr="00B75BE3">
        <w:rPr>
          <w:lang w:val="fr-CH"/>
        </w:rPr>
        <w:t>2014.</w:t>
      </w:r>
      <w:r w:rsidR="007A4E6A">
        <w:rPr>
          <w:lang w:val="fr-CH"/>
        </w:rPr>
        <w:t xml:space="preserve"> </w:t>
      </w:r>
      <w:r w:rsidR="0083385A" w:rsidRPr="00B75BE3">
        <w:rPr>
          <w:lang w:val="fr-CH"/>
        </w:rPr>
        <w:t>Le</w:t>
      </w:r>
      <w:r w:rsidR="00360F9B" w:rsidRPr="00B75BE3">
        <w:rPr>
          <w:lang w:val="fr-CH"/>
        </w:rPr>
        <w:t> TC</w:t>
      </w:r>
      <w:r w:rsidR="0083385A" w:rsidRPr="00B75BE3">
        <w:rPr>
          <w:lang w:val="fr-CH"/>
        </w:rPr>
        <w:t xml:space="preserve"> est convenu qu</w:t>
      </w:r>
      <w:r w:rsidR="00360F9B" w:rsidRPr="00B75BE3">
        <w:rPr>
          <w:lang w:val="fr-CH"/>
        </w:rPr>
        <w:t>’</w:t>
      </w:r>
      <w:r w:rsidR="0083385A" w:rsidRPr="00B75BE3">
        <w:rPr>
          <w:lang w:val="fr-CH"/>
        </w:rPr>
        <w:t>un exercice pratique devait être effectué à l</w:t>
      </w:r>
      <w:r w:rsidR="00360F9B" w:rsidRPr="00B75BE3">
        <w:rPr>
          <w:lang w:val="fr-CH"/>
        </w:rPr>
        <w:t>’</w:t>
      </w:r>
      <w:r w:rsidR="0083385A" w:rsidRPr="00B75BE3">
        <w:rPr>
          <w:lang w:val="fr-CH"/>
        </w:rPr>
        <w:t>aide de données réelles afin de comparer les décisions prises au moyen de la méthode actuelle et celles prises au moyen de la méthode améliorée proposée (voir le paragraphe</w:t>
      </w:r>
      <w:r w:rsidR="003907AB" w:rsidRPr="00B75BE3">
        <w:rPr>
          <w:lang w:val="fr-CH"/>
        </w:rPr>
        <w:t> </w:t>
      </w:r>
      <w:r w:rsidR="0083385A" w:rsidRPr="00B75BE3">
        <w:rPr>
          <w:lang w:val="fr-CH"/>
        </w:rPr>
        <w:t xml:space="preserve">50 du </w:t>
      </w:r>
      <w:r w:rsidR="00360F9B" w:rsidRPr="00B75BE3">
        <w:rPr>
          <w:lang w:val="fr-CH"/>
        </w:rPr>
        <w:t>document TC</w:t>
      </w:r>
      <w:r w:rsidR="0083385A" w:rsidRPr="00B75BE3">
        <w:rPr>
          <w:lang w:val="fr-CH"/>
        </w:rPr>
        <w:t>/50/36).</w:t>
      </w:r>
    </w:p>
    <w:p w:rsidR="00BC4D5F" w:rsidRPr="00B75BE3" w:rsidRDefault="00BC4D5F" w:rsidP="00B75BE3">
      <w:pPr>
        <w:rPr>
          <w:lang w:val="fr-CH"/>
        </w:rPr>
      </w:pPr>
    </w:p>
    <w:p w:rsidR="00BC4D5F" w:rsidRPr="00B75BE3" w:rsidRDefault="00BE4B61" w:rsidP="00B75BE3">
      <w:pPr>
        <w:rPr>
          <w:rFonts w:cs="Arial"/>
          <w:lang w:val="fr-CH"/>
        </w:rPr>
      </w:pPr>
      <w:r w:rsidRPr="00B75BE3">
        <w:rPr>
          <w:rFonts w:cs="Arial"/>
        </w:rPr>
        <w:fldChar w:fldCharType="begin"/>
      </w:r>
      <w:r w:rsidRPr="00B75BE3">
        <w:rPr>
          <w:rFonts w:cs="Arial"/>
          <w:lang w:val="fr-CH"/>
        </w:rPr>
        <w:instrText xml:space="preserve"> AUTONUM  </w:instrText>
      </w:r>
      <w:r w:rsidRPr="00B75BE3">
        <w:rPr>
          <w:rFonts w:cs="Arial"/>
        </w:rPr>
        <w:fldChar w:fldCharType="end"/>
      </w:r>
      <w:r w:rsidRPr="00B75BE3">
        <w:rPr>
          <w:rFonts w:cs="Arial"/>
          <w:lang w:val="fr-CH"/>
        </w:rPr>
        <w:tab/>
      </w:r>
      <w:r w:rsidR="0083385A" w:rsidRPr="00B75BE3">
        <w:rPr>
          <w:rFonts w:cs="Arial"/>
          <w:lang w:val="fr-CH"/>
        </w:rPr>
        <w:t>Le</w:t>
      </w:r>
      <w:r w:rsidR="00360F9B" w:rsidRPr="00B75BE3">
        <w:rPr>
          <w:rFonts w:cs="Arial"/>
          <w:lang w:val="fr-CH"/>
        </w:rPr>
        <w:t> TC</w:t>
      </w:r>
      <w:r w:rsidR="0083385A" w:rsidRPr="00B75BE3">
        <w:rPr>
          <w:rFonts w:cs="Arial"/>
          <w:lang w:val="fr-CH"/>
        </w:rPr>
        <w:t xml:space="preserve"> a demandé au Bureau de l</w:t>
      </w:r>
      <w:r w:rsidR="00360F9B" w:rsidRPr="00B75BE3">
        <w:rPr>
          <w:rFonts w:cs="Arial"/>
          <w:lang w:val="fr-CH"/>
        </w:rPr>
        <w:t>’</w:t>
      </w:r>
      <w:r w:rsidR="0083385A" w:rsidRPr="00B75BE3">
        <w:rPr>
          <w:rFonts w:cs="Arial"/>
          <w:lang w:val="fr-CH"/>
        </w:rPr>
        <w:t>Union d</w:t>
      </w:r>
      <w:r w:rsidR="00360F9B" w:rsidRPr="00B75BE3">
        <w:rPr>
          <w:rFonts w:cs="Arial"/>
          <w:lang w:val="fr-CH"/>
        </w:rPr>
        <w:t>’</w:t>
      </w:r>
      <w:r w:rsidR="0083385A" w:rsidRPr="00B75BE3">
        <w:rPr>
          <w:rFonts w:cs="Arial"/>
          <w:lang w:val="fr-CH"/>
        </w:rPr>
        <w:t>émettre une nouvelle circulaire sollicitant des informations additionnelles sur l</w:t>
      </w:r>
      <w:r w:rsidR="00360F9B" w:rsidRPr="00B75BE3">
        <w:rPr>
          <w:rFonts w:cs="Arial"/>
          <w:lang w:val="fr-CH"/>
        </w:rPr>
        <w:t>’</w:t>
      </w:r>
      <w:r w:rsidR="0083385A" w:rsidRPr="00B75BE3">
        <w:rPr>
          <w:rFonts w:cs="Arial"/>
          <w:lang w:val="fr-CH"/>
        </w:rPr>
        <w:t>ampleur et les modalités d</w:t>
      </w:r>
      <w:r w:rsidR="00360F9B" w:rsidRPr="00B75BE3">
        <w:rPr>
          <w:rFonts w:cs="Arial"/>
          <w:lang w:val="fr-CH"/>
        </w:rPr>
        <w:t>’</w:t>
      </w:r>
      <w:r w:rsidR="0083385A" w:rsidRPr="00B75BE3">
        <w:rPr>
          <w:rFonts w:cs="Arial"/>
          <w:lang w:val="fr-CH"/>
        </w:rPr>
        <w:t>emploi de la méthode COYU actuelle, en prévision de la trente</w:t>
      </w:r>
      <w:r w:rsidR="00A90CA8" w:rsidRPr="00B75BE3">
        <w:rPr>
          <w:rFonts w:cs="Arial"/>
          <w:lang w:val="fr-CH"/>
        </w:rPr>
        <w:noBreakHyphen/>
      </w:r>
      <w:r w:rsidR="0083385A" w:rsidRPr="00B75BE3">
        <w:rPr>
          <w:rFonts w:cs="Arial"/>
          <w:lang w:val="fr-CH"/>
        </w:rPr>
        <w:t>deuxième</w:t>
      </w:r>
      <w:r w:rsidR="003907AB" w:rsidRPr="00B75BE3">
        <w:rPr>
          <w:rFonts w:cs="Arial"/>
          <w:lang w:val="fr-CH"/>
        </w:rPr>
        <w:t> </w:t>
      </w:r>
      <w:r w:rsidR="0083385A" w:rsidRPr="00B75BE3">
        <w:rPr>
          <w:rFonts w:cs="Arial"/>
          <w:lang w:val="fr-CH"/>
        </w:rPr>
        <w:t>session</w:t>
      </w:r>
      <w:r w:rsidR="00360F9B" w:rsidRPr="00B75BE3">
        <w:rPr>
          <w:rFonts w:cs="Arial"/>
          <w:lang w:val="fr-CH"/>
        </w:rPr>
        <w:t xml:space="preserve"> du TWC</w:t>
      </w:r>
      <w:r w:rsidR="0083385A" w:rsidRPr="00B75BE3">
        <w:rPr>
          <w:rFonts w:cs="Arial"/>
          <w:lang w:val="fr-CH"/>
        </w:rPr>
        <w:t xml:space="preserve"> (voir le paragraphe</w:t>
      </w:r>
      <w:r w:rsidR="003907AB" w:rsidRPr="00B75BE3">
        <w:rPr>
          <w:rFonts w:cs="Arial"/>
          <w:lang w:val="fr-CH"/>
        </w:rPr>
        <w:t> </w:t>
      </w:r>
      <w:r w:rsidR="0083385A" w:rsidRPr="00B75BE3">
        <w:rPr>
          <w:rFonts w:cs="Arial"/>
          <w:lang w:val="fr-CH"/>
        </w:rPr>
        <w:t xml:space="preserve">51 du </w:t>
      </w:r>
      <w:r w:rsidR="00360F9B" w:rsidRPr="00B75BE3">
        <w:rPr>
          <w:rFonts w:cs="Arial"/>
          <w:lang w:val="fr-CH"/>
        </w:rPr>
        <w:t>document TC</w:t>
      </w:r>
      <w:r w:rsidR="0083385A" w:rsidRPr="00B75BE3">
        <w:rPr>
          <w:rFonts w:cs="Arial"/>
          <w:lang w:val="fr-CH"/>
        </w:rPr>
        <w:t>/50/36).</w:t>
      </w:r>
    </w:p>
    <w:p w:rsidR="00BC4D5F" w:rsidRPr="00B75BE3" w:rsidRDefault="00BC4D5F" w:rsidP="00B75BE3">
      <w:pPr>
        <w:keepNext/>
        <w:keepLines/>
        <w:rPr>
          <w:lang w:val="fr-CH" w:eastAsia="ja-JP"/>
        </w:rPr>
      </w:pPr>
    </w:p>
    <w:p w:rsidR="00BC4D5F" w:rsidRPr="00B75BE3" w:rsidRDefault="0083385A" w:rsidP="00B75BE3">
      <w:pPr>
        <w:pStyle w:val="Heading2"/>
        <w:rPr>
          <w:snapToGrid w:val="0"/>
          <w:lang w:val="fr-CH" w:eastAsia="ja-JP"/>
        </w:rPr>
      </w:pPr>
      <w:r w:rsidRPr="00B75BE3">
        <w:rPr>
          <w:snapToGrid w:val="0"/>
          <w:lang w:val="fr-CH" w:eastAsia="ja-JP"/>
        </w:rPr>
        <w:t>Groupes de travail techniques</w:t>
      </w:r>
    </w:p>
    <w:p w:rsidR="00BC4D5F" w:rsidRPr="00B75BE3" w:rsidRDefault="00BC4D5F" w:rsidP="00B75BE3">
      <w:pPr>
        <w:keepNext/>
        <w:keepLines/>
        <w:rPr>
          <w:lang w:val="fr-CH" w:eastAsia="ja-JP"/>
        </w:rPr>
      </w:pPr>
    </w:p>
    <w:p w:rsidR="00BC4D5F" w:rsidRPr="00B75BE3" w:rsidRDefault="00BE4B61" w:rsidP="00B75BE3">
      <w:pPr>
        <w:rPr>
          <w:szCs w:val="24"/>
          <w:lang w:val="fr-CH" w:eastAsia="ja-JP"/>
        </w:rPr>
      </w:pPr>
      <w:r w:rsidRPr="00B75BE3">
        <w:rPr>
          <w:rFonts w:cs="Arial"/>
        </w:rPr>
        <w:fldChar w:fldCharType="begin"/>
      </w:r>
      <w:r w:rsidRPr="00B75BE3">
        <w:rPr>
          <w:rFonts w:cs="Arial"/>
          <w:lang w:val="fr-CH"/>
        </w:rPr>
        <w:instrText xml:space="preserve"> AUTONUM  </w:instrText>
      </w:r>
      <w:r w:rsidRPr="00B75BE3">
        <w:rPr>
          <w:rFonts w:cs="Arial"/>
        </w:rPr>
        <w:fldChar w:fldCharType="end"/>
      </w:r>
      <w:r w:rsidRPr="00B75BE3">
        <w:rPr>
          <w:rFonts w:cs="Arial"/>
          <w:lang w:val="fr-CH"/>
        </w:rPr>
        <w:tab/>
      </w:r>
      <w:r w:rsidR="0083385A" w:rsidRPr="00B75BE3">
        <w:rPr>
          <w:rFonts w:cs="Arial"/>
          <w:lang w:val="fr-CH"/>
        </w:rPr>
        <w:t>À leurs sessions de</w:t>
      </w:r>
      <w:r w:rsidR="003907AB" w:rsidRPr="00B75BE3">
        <w:rPr>
          <w:rFonts w:cs="Arial"/>
          <w:lang w:val="fr-CH"/>
        </w:rPr>
        <w:t> </w:t>
      </w:r>
      <w:r w:rsidR="0083385A" w:rsidRPr="00B75BE3">
        <w:rPr>
          <w:rFonts w:cs="Arial"/>
          <w:lang w:val="fr-CH"/>
        </w:rPr>
        <w:t>2014,</w:t>
      </w:r>
      <w:r w:rsidR="00360F9B" w:rsidRPr="00B75BE3">
        <w:rPr>
          <w:rFonts w:cs="Arial"/>
          <w:lang w:val="fr-CH"/>
        </w:rPr>
        <w:t xml:space="preserve"> le TWO</w:t>
      </w:r>
      <w:r w:rsidR="0083385A" w:rsidRPr="00B75BE3">
        <w:rPr>
          <w:rFonts w:cs="Arial"/>
          <w:lang w:val="fr-CH"/>
        </w:rPr>
        <w:t>,</w:t>
      </w:r>
      <w:r w:rsidR="00360F9B" w:rsidRPr="00B75BE3">
        <w:rPr>
          <w:rFonts w:cs="Arial"/>
          <w:lang w:val="fr-CH"/>
        </w:rPr>
        <w:t xml:space="preserve"> le TWF</w:t>
      </w:r>
      <w:r w:rsidR="0083385A" w:rsidRPr="00B75BE3">
        <w:rPr>
          <w:rFonts w:cs="Arial"/>
          <w:lang w:val="fr-CH"/>
        </w:rPr>
        <w:t>,</w:t>
      </w:r>
      <w:r w:rsidR="00360F9B" w:rsidRPr="00B75BE3">
        <w:rPr>
          <w:rFonts w:cs="Arial"/>
          <w:lang w:val="fr-CH"/>
        </w:rPr>
        <w:t xml:space="preserve"> le TWC</w:t>
      </w:r>
      <w:r w:rsidR="0083385A" w:rsidRPr="00B75BE3">
        <w:rPr>
          <w:rFonts w:cs="Arial"/>
          <w:lang w:val="fr-CH"/>
        </w:rPr>
        <w:t>,</w:t>
      </w:r>
      <w:r w:rsidR="00360F9B" w:rsidRPr="00B75BE3">
        <w:rPr>
          <w:rFonts w:cs="Arial"/>
          <w:lang w:val="fr-CH"/>
        </w:rPr>
        <w:t xml:space="preserve"> le TWV</w:t>
      </w:r>
      <w:r w:rsidR="0083385A" w:rsidRPr="00B75BE3">
        <w:rPr>
          <w:rFonts w:cs="Arial"/>
          <w:lang w:val="fr-CH"/>
        </w:rPr>
        <w:t xml:space="preserve"> et</w:t>
      </w:r>
      <w:r w:rsidR="00360F9B" w:rsidRPr="00B75BE3">
        <w:rPr>
          <w:rFonts w:cs="Arial"/>
          <w:lang w:val="fr-CH"/>
        </w:rPr>
        <w:t xml:space="preserve"> le TWA</w:t>
      </w:r>
      <w:r w:rsidR="0083385A" w:rsidRPr="00B75BE3">
        <w:rPr>
          <w:rFonts w:cs="Arial"/>
          <w:lang w:val="fr-CH"/>
        </w:rPr>
        <w:t xml:space="preserve"> ont examiné respectivement les documents TWO/47/16, TWF/45/16, TWC/32/16, TWC/32/16</w:t>
      </w:r>
      <w:r w:rsidR="00552D96" w:rsidRPr="00B75BE3">
        <w:rPr>
          <w:rFonts w:cs="Arial"/>
          <w:lang w:val="fr-CH"/>
        </w:rPr>
        <w:t> </w:t>
      </w:r>
      <w:r w:rsidR="0083385A" w:rsidRPr="00B75BE3">
        <w:rPr>
          <w:rFonts w:cs="Arial"/>
          <w:lang w:val="fr-CH"/>
        </w:rPr>
        <w:t>Add., TWV/48/16 et TWA/43/16 “Révision du document TGP/8 : deuxième</w:t>
      </w:r>
      <w:r w:rsidR="003907AB" w:rsidRPr="00B75BE3">
        <w:rPr>
          <w:rFonts w:cs="Arial"/>
          <w:lang w:val="fr-CH"/>
        </w:rPr>
        <w:t> </w:t>
      </w:r>
      <w:r w:rsidR="0083385A" w:rsidRPr="00B75BE3">
        <w:rPr>
          <w:rFonts w:cs="Arial"/>
          <w:lang w:val="fr-CH"/>
        </w:rPr>
        <w:t>partie : quelques techniques utilisées dans l</w:t>
      </w:r>
      <w:r w:rsidR="00360F9B" w:rsidRPr="00B75BE3">
        <w:rPr>
          <w:rFonts w:cs="Arial"/>
          <w:lang w:val="fr-CH"/>
        </w:rPr>
        <w:t>’</w:t>
      </w:r>
      <w:r w:rsidR="0083385A" w:rsidRPr="00B75BE3">
        <w:rPr>
          <w:rFonts w:cs="Arial"/>
          <w:lang w:val="fr-CH"/>
        </w:rPr>
        <w:t>examen DHS, section 9 : analyse globale de l</w:t>
      </w:r>
      <w:r w:rsidR="00360F9B" w:rsidRPr="00B75BE3">
        <w:rPr>
          <w:rFonts w:cs="Arial"/>
          <w:lang w:val="fr-CH"/>
        </w:rPr>
        <w:t>’</w:t>
      </w:r>
      <w:r w:rsidR="0083385A" w:rsidRPr="00B75BE3">
        <w:rPr>
          <w:rFonts w:cs="Arial"/>
          <w:lang w:val="fr-CH"/>
        </w:rPr>
        <w:t>homogénéité sur plusieurs années (méthode d</w:t>
      </w:r>
      <w:r w:rsidR="00360F9B" w:rsidRPr="00B75BE3">
        <w:rPr>
          <w:rFonts w:cs="Arial"/>
          <w:lang w:val="fr-CH"/>
        </w:rPr>
        <w:t>’</w:t>
      </w:r>
      <w:r w:rsidR="0083385A" w:rsidRPr="00B75BE3">
        <w:rPr>
          <w:rFonts w:cs="Arial"/>
          <w:lang w:val="fr-CH"/>
        </w:rPr>
        <w:t>analyse COYU).</w:t>
      </w:r>
    </w:p>
    <w:p w:rsidR="00BC4D5F" w:rsidRPr="00B75BE3" w:rsidRDefault="00BC4D5F" w:rsidP="00B75BE3">
      <w:pPr>
        <w:keepNext/>
        <w:keepLines/>
        <w:rPr>
          <w:lang w:val="fr-CH" w:eastAsia="ja-JP"/>
        </w:rPr>
      </w:pPr>
    </w:p>
    <w:p w:rsidR="00BC4D5F" w:rsidRPr="00B75BE3" w:rsidRDefault="00BE4B61" w:rsidP="00B75BE3">
      <w:pPr>
        <w:rPr>
          <w:lang w:val="fr-CH" w:eastAsia="ja-JP"/>
        </w:rPr>
      </w:pPr>
      <w:r w:rsidRPr="00B75BE3">
        <w:rPr>
          <w:snapToGrid w:val="0"/>
        </w:rPr>
        <w:fldChar w:fldCharType="begin"/>
      </w:r>
      <w:r w:rsidRPr="00B75BE3">
        <w:rPr>
          <w:snapToGrid w:val="0"/>
          <w:lang w:val="fr-CH"/>
        </w:rPr>
        <w:instrText xml:space="preserve"> AUTONUM  </w:instrText>
      </w:r>
      <w:r w:rsidRPr="00B75BE3">
        <w:rPr>
          <w:snapToGrid w:val="0"/>
        </w:rPr>
        <w:fldChar w:fldCharType="end"/>
      </w:r>
      <w:r w:rsidRPr="00B75BE3">
        <w:rPr>
          <w:snapToGrid w:val="0"/>
          <w:lang w:val="fr-CH"/>
        </w:rPr>
        <w:tab/>
      </w:r>
      <w:r w:rsidR="00E6431B" w:rsidRPr="00B75BE3">
        <w:rPr>
          <w:snapToGrid w:val="0"/>
          <w:lang w:val="fr-CH"/>
        </w:rPr>
        <w:t>Le TWO,</w:t>
      </w:r>
      <w:r w:rsidR="00360F9B" w:rsidRPr="00B75BE3">
        <w:rPr>
          <w:snapToGrid w:val="0"/>
          <w:lang w:val="fr-CH"/>
        </w:rPr>
        <w:t xml:space="preserve"> le TWF</w:t>
      </w:r>
      <w:r w:rsidR="00E6431B" w:rsidRPr="00B75BE3">
        <w:rPr>
          <w:snapToGrid w:val="0"/>
          <w:lang w:val="fr-CH"/>
        </w:rPr>
        <w:t>,</w:t>
      </w:r>
      <w:r w:rsidR="00360F9B" w:rsidRPr="00B75BE3">
        <w:rPr>
          <w:snapToGrid w:val="0"/>
          <w:lang w:val="fr-CH"/>
        </w:rPr>
        <w:t xml:space="preserve"> le TWV</w:t>
      </w:r>
      <w:r w:rsidR="00E6431B" w:rsidRPr="00B75BE3">
        <w:rPr>
          <w:snapToGrid w:val="0"/>
          <w:lang w:val="fr-CH"/>
        </w:rPr>
        <w:t xml:space="preserve"> et</w:t>
      </w:r>
      <w:r w:rsidR="00360F9B" w:rsidRPr="00B75BE3">
        <w:rPr>
          <w:snapToGrid w:val="0"/>
          <w:lang w:val="fr-CH"/>
        </w:rPr>
        <w:t xml:space="preserve"> le TWA</w:t>
      </w:r>
      <w:r w:rsidR="00E6431B" w:rsidRPr="00B75BE3">
        <w:rPr>
          <w:snapToGrid w:val="0"/>
          <w:lang w:val="fr-CH"/>
        </w:rPr>
        <w:t xml:space="preserve"> ont pris note des faits nouveaux concernant la méthode de calcul de</w:t>
      </w:r>
      <w:r w:rsidR="00360F9B" w:rsidRPr="00B75BE3">
        <w:rPr>
          <w:snapToGrid w:val="0"/>
          <w:lang w:val="fr-CH"/>
        </w:rPr>
        <w:t xml:space="preserve"> la COY</w:t>
      </w:r>
      <w:r w:rsidR="00E6431B" w:rsidRPr="00B75BE3">
        <w:rPr>
          <w:snapToGrid w:val="0"/>
          <w:lang w:val="fr-CH"/>
        </w:rPr>
        <w:t>U, notamment l</w:t>
      </w:r>
      <w:r w:rsidR="00360F9B" w:rsidRPr="00B75BE3">
        <w:rPr>
          <w:snapToGrid w:val="0"/>
          <w:lang w:val="fr-CH"/>
        </w:rPr>
        <w:t>’</w:t>
      </w:r>
      <w:r w:rsidR="00E6431B" w:rsidRPr="00B75BE3">
        <w:rPr>
          <w:snapToGrid w:val="0"/>
          <w:lang w:val="fr-CH"/>
        </w:rPr>
        <w:t>élaboration d</w:t>
      </w:r>
      <w:r w:rsidR="00360F9B" w:rsidRPr="00B75BE3">
        <w:rPr>
          <w:snapToGrid w:val="0"/>
          <w:lang w:val="fr-CH"/>
        </w:rPr>
        <w:t>’</w:t>
      </w:r>
      <w:r w:rsidR="00E6431B" w:rsidRPr="00B75BE3">
        <w:rPr>
          <w:snapToGrid w:val="0"/>
          <w:lang w:val="fr-CH"/>
        </w:rPr>
        <w:t>un module de démonstration DUST et l</w:t>
      </w:r>
      <w:r w:rsidR="00360F9B" w:rsidRPr="00B75BE3">
        <w:rPr>
          <w:snapToGrid w:val="0"/>
          <w:lang w:val="fr-CH"/>
        </w:rPr>
        <w:t>’</w:t>
      </w:r>
      <w:r w:rsidR="00E6431B" w:rsidRPr="00B75BE3">
        <w:rPr>
          <w:snapToGrid w:val="0"/>
          <w:lang w:val="fr-CH"/>
        </w:rPr>
        <w:t>exercice pratique qui serait effectué à l</w:t>
      </w:r>
      <w:r w:rsidR="00360F9B" w:rsidRPr="00B75BE3">
        <w:rPr>
          <w:snapToGrid w:val="0"/>
          <w:lang w:val="fr-CH"/>
        </w:rPr>
        <w:t>’</w:t>
      </w:r>
      <w:r w:rsidR="00E6431B" w:rsidRPr="00B75BE3">
        <w:rPr>
          <w:snapToGrid w:val="0"/>
          <w:lang w:val="fr-CH"/>
        </w:rPr>
        <w:t>aide de données réelles afin de comparer les décisions prises au moyen de la méthode actuelle et celles prises au moyen de la méthode améliorée proposée (voir le paragraphe</w:t>
      </w:r>
      <w:r w:rsidR="003907AB" w:rsidRPr="00B75BE3">
        <w:rPr>
          <w:snapToGrid w:val="0"/>
          <w:lang w:val="fr-CH"/>
        </w:rPr>
        <w:t> </w:t>
      </w:r>
      <w:r w:rsidR="00E6431B" w:rsidRPr="00B75BE3">
        <w:rPr>
          <w:snapToGrid w:val="0"/>
          <w:lang w:val="fr-CH"/>
        </w:rPr>
        <w:t>42 du document TWO/47/28 “Report”, le paragraphe</w:t>
      </w:r>
      <w:r w:rsidR="003907AB" w:rsidRPr="00B75BE3">
        <w:rPr>
          <w:snapToGrid w:val="0"/>
          <w:lang w:val="fr-CH"/>
        </w:rPr>
        <w:t> </w:t>
      </w:r>
      <w:r w:rsidR="00E6431B" w:rsidRPr="00B75BE3">
        <w:rPr>
          <w:snapToGrid w:val="0"/>
          <w:lang w:val="fr-CH"/>
        </w:rPr>
        <w:t>33 du document TWF/45/32 “Report”, le paragraphe</w:t>
      </w:r>
      <w:r w:rsidR="003907AB" w:rsidRPr="00B75BE3">
        <w:rPr>
          <w:snapToGrid w:val="0"/>
          <w:lang w:val="fr-CH"/>
        </w:rPr>
        <w:t> </w:t>
      </w:r>
      <w:r w:rsidR="00E6431B" w:rsidRPr="00B75BE3">
        <w:rPr>
          <w:snapToGrid w:val="0"/>
          <w:lang w:val="fr-CH"/>
        </w:rPr>
        <w:t>38 du document TWV/48/43 “Report” et le paragraphe</w:t>
      </w:r>
      <w:r w:rsidR="003907AB" w:rsidRPr="00B75BE3">
        <w:rPr>
          <w:snapToGrid w:val="0"/>
          <w:lang w:val="fr-CH"/>
        </w:rPr>
        <w:t> </w:t>
      </w:r>
      <w:r w:rsidR="00E6431B" w:rsidRPr="00B75BE3">
        <w:rPr>
          <w:snapToGrid w:val="0"/>
          <w:lang w:val="fr-CH"/>
        </w:rPr>
        <w:t>35 du document TWA/43/27 “Report”).</w:t>
      </w:r>
    </w:p>
    <w:p w:rsidR="00BC4D5F" w:rsidRPr="00B75BE3" w:rsidRDefault="00BC4D5F" w:rsidP="00B75BE3">
      <w:pPr>
        <w:rPr>
          <w:lang w:val="fr-CH" w:eastAsia="ja-JP"/>
        </w:rPr>
      </w:pPr>
    </w:p>
    <w:p w:rsidR="00360F9B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5B1497" w:rsidRPr="00B75BE3">
        <w:rPr>
          <w:lang w:val="fr-CH"/>
        </w:rPr>
        <w:t>Le TWC a suivi un exposé présenté par un expert du Royaume</w:t>
      </w:r>
      <w:r w:rsidR="00A90CA8" w:rsidRPr="00B75BE3">
        <w:rPr>
          <w:lang w:val="fr-CH"/>
        </w:rPr>
        <w:noBreakHyphen/>
      </w:r>
      <w:r w:rsidR="005B1497" w:rsidRPr="00B75BE3">
        <w:rPr>
          <w:lang w:val="fr-CH"/>
        </w:rPr>
        <w:t>Uni sur la méthode visant à améliorer le calcul de</w:t>
      </w:r>
      <w:r w:rsidR="00360F9B" w:rsidRPr="00B75BE3">
        <w:rPr>
          <w:lang w:val="fr-CH"/>
        </w:rPr>
        <w:t xml:space="preserve"> la COY</w:t>
      </w:r>
      <w:r w:rsidR="005B1497" w:rsidRPr="00B75BE3">
        <w:rPr>
          <w:lang w:val="fr-CH"/>
        </w:rPr>
        <w:t>U, comprenant une version de démonstration d</w:t>
      </w:r>
      <w:r w:rsidR="00360F9B" w:rsidRPr="00B75BE3">
        <w:rPr>
          <w:lang w:val="fr-CH"/>
        </w:rPr>
        <w:t>’</w:t>
      </w:r>
      <w:r w:rsidR="005B1497" w:rsidRPr="00B75BE3">
        <w:rPr>
          <w:lang w:val="fr-CH"/>
        </w:rPr>
        <w:t>un module pour le logiciel DUST dans l</w:t>
      </w:r>
      <w:r w:rsidR="00360F9B" w:rsidRPr="00B75BE3">
        <w:rPr>
          <w:lang w:val="fr-CH"/>
        </w:rPr>
        <w:t>’</w:t>
      </w:r>
      <w:r w:rsidR="005B1497" w:rsidRPr="00B75BE3">
        <w:rPr>
          <w:lang w:val="fr-CH"/>
        </w:rPr>
        <w:t>annexe du document TWC/32/16</w:t>
      </w:r>
      <w:r w:rsidR="00552D96" w:rsidRPr="00B75BE3">
        <w:rPr>
          <w:lang w:val="fr-CH"/>
        </w:rPr>
        <w:t> </w:t>
      </w:r>
      <w:r w:rsidR="005B1497" w:rsidRPr="00B75BE3">
        <w:rPr>
          <w:lang w:val="fr-CH"/>
        </w:rPr>
        <w:t>Add.</w:t>
      </w:r>
      <w:r w:rsidR="00E40E17" w:rsidRPr="00B75BE3">
        <w:rPr>
          <w:lang w:val="fr-CH"/>
        </w:rPr>
        <w:t xml:space="preserve"> </w:t>
      </w:r>
      <w:r w:rsidR="00DD37A8" w:rsidRPr="00B75BE3">
        <w:rPr>
          <w:lang w:eastAsia="ja-JP"/>
        </w:rPr>
        <w:t>“Addendum to Development of the Combined</w:t>
      </w:r>
      <w:r w:rsidR="00A90CA8" w:rsidRPr="00B75BE3">
        <w:rPr>
          <w:lang w:eastAsia="ja-JP"/>
        </w:rPr>
        <w:noBreakHyphen/>
      </w:r>
      <w:r w:rsidR="00DD37A8" w:rsidRPr="00B75BE3">
        <w:rPr>
          <w:lang w:eastAsia="ja-JP"/>
        </w:rPr>
        <w:t>Over</w:t>
      </w:r>
      <w:r w:rsidR="00A90CA8" w:rsidRPr="00B75BE3">
        <w:rPr>
          <w:lang w:eastAsia="ja-JP"/>
        </w:rPr>
        <w:noBreakHyphen/>
      </w:r>
      <w:r w:rsidR="00DD37A8" w:rsidRPr="00B75BE3">
        <w:rPr>
          <w:lang w:eastAsia="ja-JP"/>
        </w:rPr>
        <w:t>Year Uniformity Criterion” (voir le paragraphe</w:t>
      </w:r>
      <w:r w:rsidR="00CC4009" w:rsidRPr="00B75BE3">
        <w:rPr>
          <w:lang w:eastAsia="ja-JP"/>
        </w:rPr>
        <w:t> </w:t>
      </w:r>
      <w:r w:rsidR="00DD37A8" w:rsidRPr="00B75BE3">
        <w:rPr>
          <w:lang w:eastAsia="ja-JP"/>
        </w:rPr>
        <w:t>13 du document TWC/32/28 “Report”).</w:t>
      </w:r>
      <w:r w:rsidRPr="00B75BE3">
        <w:rPr>
          <w:rFonts w:hint="eastAsia"/>
        </w:rPr>
        <w:t xml:space="preserve">  </w:t>
      </w:r>
      <w:r w:rsidR="00DD37A8" w:rsidRPr="00B75BE3">
        <w:rPr>
          <w:lang w:val="fr-CH" w:eastAsia="ja-JP"/>
        </w:rPr>
        <w:t>Une copie de l</w:t>
      </w:r>
      <w:r w:rsidR="00360F9B" w:rsidRPr="00B75BE3">
        <w:rPr>
          <w:lang w:val="fr-CH" w:eastAsia="ja-JP"/>
        </w:rPr>
        <w:t>’</w:t>
      </w:r>
      <w:r w:rsidR="00DD37A8" w:rsidRPr="00B75BE3">
        <w:rPr>
          <w:lang w:val="fr-CH" w:eastAsia="ja-JP"/>
        </w:rPr>
        <w:t>annexe du document TWC/32/16 Add est reproduite dans l</w:t>
      </w:r>
      <w:r w:rsidR="00360F9B" w:rsidRPr="00B75BE3">
        <w:rPr>
          <w:lang w:val="fr-CH" w:eastAsia="ja-JP"/>
        </w:rPr>
        <w:t>’</w:t>
      </w:r>
      <w:r w:rsidR="00DD37A8" w:rsidRPr="00B75BE3">
        <w:rPr>
          <w:lang w:val="fr-CH" w:eastAsia="ja-JP"/>
        </w:rPr>
        <w:t>annexe du présent document.</w:t>
      </w:r>
    </w:p>
    <w:p w:rsidR="00BC4D5F" w:rsidRPr="00B75BE3" w:rsidRDefault="00BC4D5F" w:rsidP="00B75BE3">
      <w:pPr>
        <w:rPr>
          <w:lang w:val="fr-CH"/>
        </w:rPr>
      </w:pPr>
    </w:p>
    <w:p w:rsidR="00360F9B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DD37A8" w:rsidRPr="00B75BE3">
        <w:rPr>
          <w:lang w:val="fr-CH"/>
        </w:rPr>
        <w:t xml:space="preserve">Le TWC est convenu de demander aux experts de la </w:t>
      </w:r>
      <w:r w:rsidR="00D01BEC" w:rsidRPr="00B75BE3">
        <w:rPr>
          <w:lang w:val="fr-CH"/>
        </w:rPr>
        <w:t xml:space="preserve">l’Allemagne, de la </w:t>
      </w:r>
      <w:r w:rsidR="00DD37A8" w:rsidRPr="00B75BE3">
        <w:rPr>
          <w:lang w:val="fr-CH"/>
        </w:rPr>
        <w:t xml:space="preserve">Chine, </w:t>
      </w:r>
      <w:r w:rsidR="00D01BEC" w:rsidRPr="00B75BE3">
        <w:rPr>
          <w:lang w:val="fr-CH"/>
        </w:rPr>
        <w:t>de la Finlande, de la France, du Kenya, des Pays</w:t>
      </w:r>
      <w:r w:rsidR="00D01BEC" w:rsidRPr="00B75BE3">
        <w:rPr>
          <w:lang w:val="fr-CH"/>
        </w:rPr>
        <w:noBreakHyphen/>
        <w:t xml:space="preserve">Bas, de la Pologne et </w:t>
      </w:r>
      <w:r w:rsidR="00DD37A8" w:rsidRPr="00B75BE3">
        <w:rPr>
          <w:lang w:val="fr-CH"/>
        </w:rPr>
        <w:t>de la République tchèque, de tester le nouveau logiciel sur la méthode COYU (voir le paragraphe</w:t>
      </w:r>
      <w:r w:rsidR="00CC4009" w:rsidRPr="00B75BE3">
        <w:rPr>
          <w:lang w:val="fr-CH"/>
        </w:rPr>
        <w:t> </w:t>
      </w:r>
      <w:r w:rsidR="00DD37A8" w:rsidRPr="00B75BE3">
        <w:rPr>
          <w:lang w:val="fr-CH"/>
        </w:rPr>
        <w:t>14 du document TWC/32/28).</w:t>
      </w:r>
    </w:p>
    <w:p w:rsidR="00BC4D5F" w:rsidRPr="00B75BE3" w:rsidRDefault="00BC4D5F" w:rsidP="00B75BE3">
      <w:pPr>
        <w:rPr>
          <w:lang w:val="fr-CH"/>
        </w:rPr>
      </w:pPr>
    </w:p>
    <w:p w:rsidR="00360F9B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6219D9" w:rsidRPr="00B75BE3">
        <w:rPr>
          <w:lang w:val="fr-CH"/>
        </w:rPr>
        <w:t>Le TWC est également convenu d</w:t>
      </w:r>
      <w:r w:rsidR="00360F9B" w:rsidRPr="00B75BE3">
        <w:rPr>
          <w:lang w:val="fr-CH"/>
        </w:rPr>
        <w:t>’</w:t>
      </w:r>
      <w:r w:rsidR="006219D9" w:rsidRPr="00B75BE3">
        <w:rPr>
          <w:lang w:val="fr-CH"/>
        </w:rPr>
        <w:t>inviter d</w:t>
      </w:r>
      <w:r w:rsidR="00360F9B" w:rsidRPr="00B75BE3">
        <w:rPr>
          <w:lang w:val="fr-CH"/>
        </w:rPr>
        <w:t>’</w:t>
      </w:r>
      <w:r w:rsidR="006219D9" w:rsidRPr="00B75BE3">
        <w:rPr>
          <w:lang w:val="fr-CH"/>
        </w:rPr>
        <w:t>autres utilisateurs de la méthode COYU à tester le nouveau logiciel et qu</w:t>
      </w:r>
      <w:r w:rsidR="00360F9B" w:rsidRPr="00B75BE3">
        <w:rPr>
          <w:lang w:val="fr-CH"/>
        </w:rPr>
        <w:t>’</w:t>
      </w:r>
      <w:r w:rsidR="006219D9" w:rsidRPr="00B75BE3">
        <w:rPr>
          <w:lang w:val="fr-CH"/>
        </w:rPr>
        <w:t>une invitation devrait être rédigée par l</w:t>
      </w:r>
      <w:r w:rsidR="00360F9B" w:rsidRPr="00B75BE3">
        <w:rPr>
          <w:lang w:val="fr-CH"/>
        </w:rPr>
        <w:t>’</w:t>
      </w:r>
      <w:r w:rsidR="006219D9" w:rsidRPr="00B75BE3">
        <w:rPr>
          <w:lang w:val="fr-CH"/>
        </w:rPr>
        <w:t>expert principal et envoyée par le Bureau de l</w:t>
      </w:r>
      <w:r w:rsidR="00360F9B" w:rsidRPr="00B75BE3">
        <w:rPr>
          <w:lang w:val="fr-CH"/>
        </w:rPr>
        <w:t>’</w:t>
      </w:r>
      <w:r w:rsidR="006219D9" w:rsidRPr="00B75BE3">
        <w:rPr>
          <w:lang w:val="fr-CH"/>
        </w:rPr>
        <w:t>Union aux utilisateurs du progiciel DUST (voir le paragraphe</w:t>
      </w:r>
      <w:r w:rsidR="00CC4009" w:rsidRPr="00B75BE3">
        <w:rPr>
          <w:lang w:val="fr-CH"/>
        </w:rPr>
        <w:t> </w:t>
      </w:r>
      <w:r w:rsidR="006219D9" w:rsidRPr="00B75BE3">
        <w:rPr>
          <w:lang w:val="fr-CH"/>
        </w:rPr>
        <w:t>15 du document TWC/32/28).</w:t>
      </w:r>
    </w:p>
    <w:p w:rsidR="00BC4D5F" w:rsidRPr="00B75BE3" w:rsidRDefault="00BC4D5F" w:rsidP="00B75BE3">
      <w:pPr>
        <w:rPr>
          <w:lang w:val="fr-CH"/>
        </w:rPr>
      </w:pPr>
    </w:p>
    <w:p w:rsidR="00360F9B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6219D9" w:rsidRPr="00B75BE3">
        <w:rPr>
          <w:lang w:val="fr-CH"/>
        </w:rPr>
        <w:t>Le TWC est convenu que le module de logiciel servant au calcul de</w:t>
      </w:r>
      <w:r w:rsidR="00360F9B" w:rsidRPr="00B75BE3">
        <w:rPr>
          <w:lang w:val="fr-CH"/>
        </w:rPr>
        <w:t xml:space="preserve"> la COY</w:t>
      </w:r>
      <w:r w:rsidR="006219D9" w:rsidRPr="00B75BE3">
        <w:rPr>
          <w:lang w:val="fr-CH"/>
        </w:rPr>
        <w:t>U</w:t>
      </w:r>
      <w:bookmarkStart w:id="1" w:name="_GoBack"/>
      <w:bookmarkEnd w:id="1"/>
      <w:r w:rsidR="006219D9" w:rsidRPr="00B75BE3">
        <w:rPr>
          <w:lang w:val="fr-CH"/>
        </w:rPr>
        <w:t xml:space="preserve"> élaboré au moyen du logiciel “R” devrait être envoyé aux experts intéressés utilisant des </w:t>
      </w:r>
      <w:r w:rsidR="00D01BEC" w:rsidRPr="00B75BE3">
        <w:rPr>
          <w:lang w:val="fr-CH"/>
        </w:rPr>
        <w:t>systèmes autres que le système </w:t>
      </w:r>
      <w:r w:rsidR="006219D9" w:rsidRPr="00B75BE3">
        <w:rPr>
          <w:lang w:val="fr-CH"/>
        </w:rPr>
        <w:t>DUST (p.</w:t>
      </w:r>
      <w:r w:rsidR="00552D96" w:rsidRPr="00B75BE3">
        <w:rPr>
          <w:lang w:val="fr-CH"/>
        </w:rPr>
        <w:t> </w:t>
      </w:r>
      <w:r w:rsidR="006219D9" w:rsidRPr="00B75BE3">
        <w:rPr>
          <w:lang w:val="fr-CH"/>
        </w:rPr>
        <w:t>ex</w:t>
      </w:r>
      <w:r w:rsidR="00CC4009" w:rsidRPr="00B75BE3">
        <w:rPr>
          <w:lang w:val="fr-CH"/>
        </w:rPr>
        <w:t>.</w:t>
      </w:r>
      <w:r w:rsidRPr="00B75BE3">
        <w:rPr>
          <w:lang w:val="fr-CH"/>
        </w:rPr>
        <w:t xml:space="preserve"> </w:t>
      </w:r>
      <w:r w:rsidR="006219D9" w:rsidRPr="00B75BE3">
        <w:rPr>
          <w:lang w:val="fr-CH"/>
        </w:rPr>
        <w:t>SAS et GenStat) pour tester la nouvelle méthode (voir le paragraphe</w:t>
      </w:r>
      <w:r w:rsidR="00CC4009" w:rsidRPr="00B75BE3">
        <w:rPr>
          <w:lang w:val="fr-CH"/>
        </w:rPr>
        <w:t> </w:t>
      </w:r>
      <w:r w:rsidR="006219D9" w:rsidRPr="00B75BE3">
        <w:rPr>
          <w:lang w:val="fr-CH"/>
        </w:rPr>
        <w:t>16 du document TWC/32/28).</w:t>
      </w:r>
    </w:p>
    <w:p w:rsidR="00BC4D5F" w:rsidRPr="00B75BE3" w:rsidRDefault="00BC4D5F" w:rsidP="00B75BE3">
      <w:pPr>
        <w:rPr>
          <w:lang w:val="fr-CH"/>
        </w:rPr>
      </w:pPr>
    </w:p>
    <w:p w:rsidR="00BC4D5F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1A48C9" w:rsidRPr="00B75BE3">
        <w:rPr>
          <w:lang w:val="fr-CH"/>
        </w:rPr>
        <w:t>Le TWC est convenu que les participants devraient chercher à définir les seuils de probabilité d</w:t>
      </w:r>
      <w:r w:rsidR="00360F9B" w:rsidRPr="00B75BE3">
        <w:rPr>
          <w:lang w:val="fr-CH"/>
        </w:rPr>
        <w:t>’</w:t>
      </w:r>
      <w:r w:rsidR="001A48C9" w:rsidRPr="00B75BE3">
        <w:rPr>
          <w:lang w:val="fr-CH"/>
        </w:rPr>
        <w:t>une correspondance avec les décisions prises au moyen de l</w:t>
      </w:r>
      <w:r w:rsidR="00360F9B" w:rsidRPr="00B75BE3">
        <w:rPr>
          <w:lang w:val="fr-CH"/>
        </w:rPr>
        <w:t>’</w:t>
      </w:r>
      <w:r w:rsidR="001A48C9" w:rsidRPr="00B75BE3">
        <w:rPr>
          <w:lang w:val="fr-CH"/>
        </w:rPr>
        <w:t>ancienne méthode COYU afin d</w:t>
      </w:r>
      <w:r w:rsidR="00360F9B" w:rsidRPr="00B75BE3">
        <w:rPr>
          <w:lang w:val="fr-CH"/>
        </w:rPr>
        <w:t>’</w:t>
      </w:r>
      <w:r w:rsidR="001A48C9" w:rsidRPr="00B75BE3">
        <w:rPr>
          <w:lang w:val="fr-CH"/>
        </w:rPr>
        <w:t>assurer une continuité et que le test devrait être effectué sur la base de probabilités de rejet de 1, 2 et 5%.</w:t>
      </w:r>
      <w:r w:rsidRPr="00B75BE3">
        <w:rPr>
          <w:lang w:val="fr-CH"/>
        </w:rPr>
        <w:t xml:space="preserve"> </w:t>
      </w:r>
      <w:r w:rsidR="00360F9B" w:rsidRPr="00B75BE3">
        <w:rPr>
          <w:lang w:val="fr-CH"/>
        </w:rPr>
        <w:t>Le TWC</w:t>
      </w:r>
      <w:r w:rsidR="001A48C9" w:rsidRPr="00B75BE3">
        <w:rPr>
          <w:lang w:val="fr-CH"/>
        </w:rPr>
        <w:t xml:space="preserve"> est convenu que les participants devraient évaluer l</w:t>
      </w:r>
      <w:r w:rsidR="00360F9B" w:rsidRPr="00B75BE3">
        <w:rPr>
          <w:lang w:val="fr-CH"/>
        </w:rPr>
        <w:t>’</w:t>
      </w:r>
      <w:r w:rsidR="001A48C9" w:rsidRPr="00B75BE3">
        <w:rPr>
          <w:lang w:val="fr-CH"/>
        </w:rPr>
        <w:t>uniformité des résultats dans toutes les plantes (voir le paragraphe</w:t>
      </w:r>
      <w:r w:rsidR="00CC4009" w:rsidRPr="00B75BE3">
        <w:rPr>
          <w:lang w:val="fr-CH"/>
        </w:rPr>
        <w:t> </w:t>
      </w:r>
      <w:r w:rsidR="001A48C9" w:rsidRPr="00B75BE3">
        <w:rPr>
          <w:lang w:val="fr-CH"/>
        </w:rPr>
        <w:t>17 du document TWC/32/28).</w:t>
      </w:r>
    </w:p>
    <w:p w:rsidR="00BC4D5F" w:rsidRPr="00B75BE3" w:rsidRDefault="00BC4D5F" w:rsidP="00B75BE3">
      <w:pPr>
        <w:rPr>
          <w:lang w:val="fr-CH"/>
        </w:rPr>
      </w:pPr>
    </w:p>
    <w:p w:rsidR="00BC4D5F" w:rsidRPr="00B75BE3" w:rsidRDefault="00BE4B61" w:rsidP="00B75BE3">
      <w:pPr>
        <w:rPr>
          <w:lang w:val="fr-CH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1A48C9" w:rsidRPr="00B75BE3">
        <w:rPr>
          <w:lang w:val="fr-CH"/>
        </w:rPr>
        <w:t xml:space="preserve">Le TWC a approuvé le calendrier </w:t>
      </w:r>
      <w:r w:rsidR="00CC4009" w:rsidRPr="00B75BE3">
        <w:rPr>
          <w:lang w:val="fr-CH"/>
        </w:rPr>
        <w:t>ci</w:t>
      </w:r>
      <w:r w:rsidR="00A90CA8" w:rsidRPr="00B75BE3">
        <w:rPr>
          <w:lang w:val="fr-CH"/>
        </w:rPr>
        <w:noBreakHyphen/>
      </w:r>
      <w:r w:rsidR="00CC4009" w:rsidRPr="00B75BE3">
        <w:rPr>
          <w:lang w:val="fr-CH"/>
        </w:rPr>
        <w:t>après concernant l</w:t>
      </w:r>
      <w:r w:rsidR="001A48C9" w:rsidRPr="00B75BE3">
        <w:rPr>
          <w:lang w:val="fr-CH"/>
        </w:rPr>
        <w:t>es travaux d</w:t>
      </w:r>
      <w:r w:rsidR="00360F9B" w:rsidRPr="00B75BE3">
        <w:rPr>
          <w:lang w:val="fr-CH"/>
        </w:rPr>
        <w:t>’</w:t>
      </w:r>
      <w:r w:rsidR="001A48C9" w:rsidRPr="00B75BE3">
        <w:rPr>
          <w:lang w:val="fr-CH"/>
        </w:rPr>
        <w:t xml:space="preserve">élaboration du nouveau progiciel </w:t>
      </w:r>
      <w:r w:rsidR="00CC4009" w:rsidRPr="00B75BE3">
        <w:rPr>
          <w:lang w:val="fr-CH"/>
        </w:rPr>
        <w:t>pour la méthode COYU</w:t>
      </w:r>
      <w:r w:rsidR="001A48C9" w:rsidRPr="00B75BE3">
        <w:rPr>
          <w:lang w:val="fr-CH"/>
        </w:rPr>
        <w:t xml:space="preserve"> (voir le paragraphe</w:t>
      </w:r>
      <w:r w:rsidR="00CC4009" w:rsidRPr="00B75BE3">
        <w:rPr>
          <w:lang w:val="fr-CH"/>
        </w:rPr>
        <w:t> </w:t>
      </w:r>
      <w:r w:rsidR="001A48C9" w:rsidRPr="00B75BE3">
        <w:rPr>
          <w:lang w:val="fr-CH"/>
        </w:rPr>
        <w:t>18 du document TWC/32/28)</w:t>
      </w:r>
      <w:r w:rsidR="00CC4009" w:rsidRPr="00B75BE3">
        <w:rPr>
          <w:lang w:val="fr-CH"/>
        </w:rPr>
        <w:t> </w:t>
      </w:r>
      <w:r w:rsidR="001A48C9" w:rsidRPr="00B75BE3">
        <w:rPr>
          <w:lang w:val="fr-CH"/>
        </w:rPr>
        <w:t>:</w:t>
      </w:r>
    </w:p>
    <w:p w:rsidR="00BC4D5F" w:rsidRPr="00B75BE3" w:rsidRDefault="00BC4D5F" w:rsidP="00B75BE3">
      <w:pPr>
        <w:jc w:val="left"/>
        <w:rPr>
          <w:lang w:val="fr-CH"/>
        </w:rPr>
      </w:pPr>
    </w:p>
    <w:p w:rsidR="00BC4D5F" w:rsidRPr="00B75BE3" w:rsidRDefault="00D5421D" w:rsidP="00B75BE3">
      <w:pPr>
        <w:ind w:left="567"/>
        <w:rPr>
          <w:lang w:val="fr-CH"/>
        </w:rPr>
      </w:pPr>
      <w:r w:rsidRPr="00B75BE3">
        <w:rPr>
          <w:lang w:val="fr-CH"/>
        </w:rPr>
        <w:t>•</w:t>
      </w:r>
      <w:r w:rsidRPr="00B75BE3">
        <w:rPr>
          <w:lang w:val="fr-CH"/>
        </w:rPr>
        <w:tab/>
      </w:r>
      <w:r w:rsidR="00CC4009" w:rsidRPr="00B75BE3">
        <w:rPr>
          <w:rFonts w:cs="Arial"/>
          <w:lang w:val="fr-CH"/>
        </w:rPr>
        <w:t>À</w:t>
      </w:r>
      <w:r w:rsidRPr="00B75BE3">
        <w:rPr>
          <w:lang w:val="fr-CH"/>
        </w:rPr>
        <w:t xml:space="preserve"> la fin de juillet</w:t>
      </w:r>
      <w:r w:rsidR="00CC4009" w:rsidRPr="00B75BE3">
        <w:rPr>
          <w:lang w:val="fr-CH"/>
        </w:rPr>
        <w:t> </w:t>
      </w:r>
      <w:r w:rsidRPr="00B75BE3">
        <w:rPr>
          <w:lang w:val="fr-CH"/>
        </w:rPr>
        <w:t>2014, le Bureau de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Union, avec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assistance de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expert du Royaume</w:t>
      </w:r>
      <w:r w:rsidR="00A90CA8" w:rsidRPr="00B75BE3">
        <w:rPr>
          <w:lang w:val="fr-CH"/>
        </w:rPr>
        <w:noBreakHyphen/>
      </w:r>
      <w:r w:rsidRPr="00B75BE3">
        <w:rPr>
          <w:lang w:val="fr-CH"/>
        </w:rPr>
        <w:t>Uni, inviterait les participants à prendre part à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exercice pratique.</w:t>
      </w:r>
    </w:p>
    <w:p w:rsidR="00BC4D5F" w:rsidRPr="00B75BE3" w:rsidRDefault="00445C86" w:rsidP="00B75BE3">
      <w:pPr>
        <w:ind w:left="567"/>
        <w:rPr>
          <w:lang w:val="fr-CH"/>
        </w:rPr>
      </w:pPr>
      <w:r w:rsidRPr="00B75BE3">
        <w:rPr>
          <w:lang w:val="fr-CH"/>
        </w:rPr>
        <w:t>•</w:t>
      </w:r>
      <w:r w:rsidRPr="00B75BE3">
        <w:rPr>
          <w:lang w:val="fr-CH"/>
        </w:rPr>
        <w:tab/>
      </w:r>
      <w:r w:rsidR="00CC4009" w:rsidRPr="00B75BE3">
        <w:rPr>
          <w:rFonts w:cs="Arial"/>
          <w:lang w:val="fr-CH"/>
        </w:rPr>
        <w:t>À</w:t>
      </w:r>
      <w:r w:rsidRPr="00B75BE3">
        <w:rPr>
          <w:lang w:val="fr-CH"/>
        </w:rPr>
        <w:t xml:space="preserve"> la fin de septembre</w:t>
      </w:r>
      <w:r w:rsidR="00CC4009" w:rsidRPr="00B75BE3">
        <w:rPr>
          <w:lang w:val="fr-CH"/>
        </w:rPr>
        <w:t> </w:t>
      </w:r>
      <w:r w:rsidRPr="00B75BE3">
        <w:rPr>
          <w:lang w:val="fr-CH"/>
        </w:rPr>
        <w:t>2014,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expert du Royaume</w:t>
      </w:r>
      <w:r w:rsidR="00A90CA8" w:rsidRPr="00B75BE3">
        <w:rPr>
          <w:lang w:val="fr-CH"/>
        </w:rPr>
        <w:noBreakHyphen/>
      </w:r>
      <w:r w:rsidRPr="00B75BE3">
        <w:rPr>
          <w:lang w:val="fr-CH"/>
        </w:rPr>
        <w:t>Uni poursuivrait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élaboration du module DUST présenté à la trente</w:t>
      </w:r>
      <w:r w:rsidR="00A90CA8" w:rsidRPr="00B75BE3">
        <w:rPr>
          <w:lang w:val="fr-CH"/>
        </w:rPr>
        <w:noBreakHyphen/>
      </w:r>
      <w:r w:rsidRPr="00B75BE3">
        <w:rPr>
          <w:lang w:val="fr-CH"/>
        </w:rPr>
        <w:t>deuxième</w:t>
      </w:r>
      <w:r w:rsidR="00552D96" w:rsidRPr="00B75BE3">
        <w:rPr>
          <w:lang w:val="fr-CH"/>
        </w:rPr>
        <w:t> </w:t>
      </w:r>
      <w:r w:rsidRPr="00B75BE3">
        <w:rPr>
          <w:lang w:val="fr-CH"/>
        </w:rPr>
        <w:t>session</w:t>
      </w:r>
      <w:r w:rsidR="00360F9B" w:rsidRPr="00B75BE3">
        <w:rPr>
          <w:lang w:val="fr-CH"/>
        </w:rPr>
        <w:t xml:space="preserve"> du TWC</w:t>
      </w:r>
      <w:r w:rsidRPr="00B75BE3">
        <w:rPr>
          <w:lang w:val="fr-CH"/>
        </w:rPr>
        <w:t xml:space="preserve"> aux fins de son évaluation par les participants et établirait un code pour le logiciel “R” à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intention des participants qui préfèrent cette option au module DUST.</w:t>
      </w:r>
    </w:p>
    <w:p w:rsidR="00BC4D5F" w:rsidRPr="00B75BE3" w:rsidRDefault="00445C86" w:rsidP="00B75BE3">
      <w:pPr>
        <w:ind w:left="567"/>
        <w:rPr>
          <w:lang w:val="fr-CH"/>
        </w:rPr>
      </w:pPr>
      <w:r w:rsidRPr="00B75BE3">
        <w:rPr>
          <w:lang w:val="fr-CH"/>
        </w:rPr>
        <w:t>•</w:t>
      </w:r>
      <w:r w:rsidRPr="00B75BE3">
        <w:rPr>
          <w:lang w:val="fr-CH"/>
        </w:rPr>
        <w:tab/>
        <w:t>Au début d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octobre</w:t>
      </w:r>
      <w:r w:rsidR="00CC4009" w:rsidRPr="00B75BE3">
        <w:rPr>
          <w:lang w:val="fr-CH"/>
        </w:rPr>
        <w:t> </w:t>
      </w:r>
      <w:r w:rsidRPr="00B75BE3">
        <w:rPr>
          <w:lang w:val="fr-CH"/>
        </w:rPr>
        <w:t>2014,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expert du Royaume</w:t>
      </w:r>
      <w:r w:rsidR="00A90CA8" w:rsidRPr="00B75BE3">
        <w:rPr>
          <w:lang w:val="fr-CH"/>
        </w:rPr>
        <w:noBreakHyphen/>
      </w:r>
      <w:r w:rsidRPr="00B75BE3">
        <w:rPr>
          <w:lang w:val="fr-CH"/>
        </w:rPr>
        <w:t>Uni communiquerait les détails de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exercice pratique aux participants, notamment concernant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accès au logiciel.</w:t>
      </w:r>
    </w:p>
    <w:p w:rsidR="00BC4D5F" w:rsidRPr="00B75BE3" w:rsidRDefault="00445C86" w:rsidP="00B75BE3">
      <w:pPr>
        <w:ind w:left="567"/>
        <w:rPr>
          <w:lang w:val="fr-CH" w:eastAsia="ja-JP"/>
        </w:rPr>
      </w:pPr>
      <w:r w:rsidRPr="00B75BE3">
        <w:rPr>
          <w:lang w:val="fr-CH" w:eastAsia="ja-JP"/>
        </w:rPr>
        <w:lastRenderedPageBreak/>
        <w:t>•</w:t>
      </w:r>
      <w:r w:rsidRPr="00B75BE3">
        <w:rPr>
          <w:lang w:val="fr-CH" w:eastAsia="ja-JP"/>
        </w:rPr>
        <w:tab/>
        <w:t>D</w:t>
      </w:r>
      <w:r w:rsidR="00360F9B" w:rsidRPr="00B75BE3">
        <w:rPr>
          <w:lang w:val="fr-CH" w:eastAsia="ja-JP"/>
        </w:rPr>
        <w:t>’</w:t>
      </w:r>
      <w:r w:rsidRPr="00B75BE3">
        <w:rPr>
          <w:lang w:val="fr-CH" w:eastAsia="ja-JP"/>
        </w:rPr>
        <w:t>ici au 15</w:t>
      </w:r>
      <w:r w:rsidR="00CC4009" w:rsidRPr="00B75BE3">
        <w:rPr>
          <w:lang w:val="fr-CH" w:eastAsia="ja-JP"/>
        </w:rPr>
        <w:t> </w:t>
      </w:r>
      <w:r w:rsidRPr="00B75BE3">
        <w:rPr>
          <w:lang w:val="fr-CH" w:eastAsia="ja-JP"/>
        </w:rPr>
        <w:t>mars</w:t>
      </w:r>
      <w:r w:rsidR="00CC4009" w:rsidRPr="00B75BE3">
        <w:rPr>
          <w:lang w:val="fr-CH" w:eastAsia="ja-JP"/>
        </w:rPr>
        <w:t> </w:t>
      </w:r>
      <w:r w:rsidRPr="00B75BE3">
        <w:rPr>
          <w:lang w:val="fr-CH" w:eastAsia="ja-JP"/>
        </w:rPr>
        <w:t>2015, les participants à l</w:t>
      </w:r>
      <w:r w:rsidR="00360F9B" w:rsidRPr="00B75BE3">
        <w:rPr>
          <w:lang w:val="fr-CH" w:eastAsia="ja-JP"/>
        </w:rPr>
        <w:t>’</w:t>
      </w:r>
      <w:r w:rsidRPr="00B75BE3">
        <w:rPr>
          <w:lang w:val="fr-CH" w:eastAsia="ja-JP"/>
        </w:rPr>
        <w:t>exercice pratique devraient envoyer un compte rendu de leur expérience à l</w:t>
      </w:r>
      <w:r w:rsidR="00360F9B" w:rsidRPr="00B75BE3">
        <w:rPr>
          <w:lang w:val="fr-CH" w:eastAsia="ja-JP"/>
        </w:rPr>
        <w:t>’</w:t>
      </w:r>
      <w:r w:rsidRPr="00B75BE3">
        <w:rPr>
          <w:lang w:val="fr-CH" w:eastAsia="ja-JP"/>
        </w:rPr>
        <w:t>expert du Royaume</w:t>
      </w:r>
      <w:r w:rsidR="00A90CA8" w:rsidRPr="00B75BE3">
        <w:rPr>
          <w:lang w:val="fr-CH" w:eastAsia="ja-JP"/>
        </w:rPr>
        <w:noBreakHyphen/>
      </w:r>
      <w:r w:rsidRPr="00B75BE3">
        <w:rPr>
          <w:lang w:val="fr-CH" w:eastAsia="ja-JP"/>
        </w:rPr>
        <w:t>Uni.</w:t>
      </w:r>
    </w:p>
    <w:p w:rsidR="00BC4D5F" w:rsidRPr="00B75BE3" w:rsidRDefault="00445C86" w:rsidP="00B75BE3">
      <w:pPr>
        <w:ind w:left="567"/>
        <w:rPr>
          <w:lang w:val="fr-CH"/>
        </w:rPr>
      </w:pPr>
      <w:r w:rsidRPr="00B75BE3">
        <w:rPr>
          <w:lang w:val="fr-CH"/>
        </w:rPr>
        <w:t>•</w:t>
      </w:r>
      <w:r w:rsidRPr="00B75BE3">
        <w:rPr>
          <w:lang w:val="fr-CH"/>
        </w:rPr>
        <w:tab/>
        <w:t>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expert du Royaume</w:t>
      </w:r>
      <w:r w:rsidR="00A90CA8" w:rsidRPr="00B75BE3">
        <w:rPr>
          <w:lang w:val="fr-CH"/>
        </w:rPr>
        <w:noBreakHyphen/>
      </w:r>
      <w:r w:rsidRPr="00B75BE3">
        <w:rPr>
          <w:lang w:val="fr-CH"/>
        </w:rPr>
        <w:t>Uni rédigerait un rapport sur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exercice pratique et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élaboration du module DUST pour la trente</w:t>
      </w:r>
      <w:r w:rsidR="00A90CA8" w:rsidRPr="00B75BE3">
        <w:rPr>
          <w:lang w:val="fr-CH"/>
        </w:rPr>
        <w:noBreakHyphen/>
      </w:r>
      <w:r w:rsidRPr="00B75BE3">
        <w:rPr>
          <w:lang w:val="fr-CH"/>
        </w:rPr>
        <w:t>troisième</w:t>
      </w:r>
      <w:r w:rsidR="00CC4009" w:rsidRPr="00B75BE3">
        <w:rPr>
          <w:lang w:val="fr-CH"/>
        </w:rPr>
        <w:t> </w:t>
      </w:r>
      <w:r w:rsidRPr="00B75BE3">
        <w:rPr>
          <w:lang w:val="fr-CH"/>
        </w:rPr>
        <w:t>session</w:t>
      </w:r>
      <w:r w:rsidR="00360F9B" w:rsidRPr="00B75BE3">
        <w:rPr>
          <w:lang w:val="fr-CH"/>
        </w:rPr>
        <w:t xml:space="preserve"> du TWC</w:t>
      </w:r>
      <w:r w:rsidRPr="00B75BE3">
        <w:rPr>
          <w:lang w:val="fr-CH"/>
        </w:rPr>
        <w:t>.</w:t>
      </w:r>
    </w:p>
    <w:p w:rsidR="00BC4D5F" w:rsidRPr="00B75BE3" w:rsidRDefault="00BC4D5F" w:rsidP="00B75BE3">
      <w:pPr>
        <w:ind w:left="567"/>
        <w:rPr>
          <w:lang w:val="fr-CH" w:eastAsia="ja-JP"/>
        </w:rPr>
      </w:pPr>
    </w:p>
    <w:p w:rsidR="00BC4D5F" w:rsidRPr="00B75BE3" w:rsidRDefault="00BC4D5F" w:rsidP="00B75BE3">
      <w:pPr>
        <w:ind w:left="567"/>
        <w:rPr>
          <w:lang w:val="fr-CH" w:eastAsia="ja-JP"/>
        </w:rPr>
      </w:pPr>
    </w:p>
    <w:p w:rsidR="00BC4D5F" w:rsidRPr="00B75BE3" w:rsidRDefault="00BE4B61" w:rsidP="00B75BE3">
      <w:pPr>
        <w:rPr>
          <w:lang w:val="fr-CH" w:eastAsia="ja-JP"/>
        </w:rPr>
      </w:pPr>
      <w:r w:rsidRPr="00B75BE3">
        <w:fldChar w:fldCharType="begin"/>
      </w:r>
      <w:r w:rsidRPr="00B75BE3">
        <w:rPr>
          <w:lang w:val="fr-CH"/>
        </w:rPr>
        <w:instrText xml:space="preserve"> AUTONUM  </w:instrText>
      </w:r>
      <w:r w:rsidRPr="00B75BE3">
        <w:fldChar w:fldCharType="end"/>
      </w:r>
      <w:r w:rsidRPr="00B75BE3">
        <w:rPr>
          <w:lang w:val="fr-CH"/>
        </w:rPr>
        <w:tab/>
      </w:r>
      <w:r w:rsidR="00445C86" w:rsidRPr="00B75BE3">
        <w:rPr>
          <w:lang w:val="fr-CH"/>
        </w:rPr>
        <w:t>Le 21</w:t>
      </w:r>
      <w:r w:rsidR="00CC4009" w:rsidRPr="00B75BE3">
        <w:rPr>
          <w:lang w:val="fr-CH"/>
        </w:rPr>
        <w:t> </w:t>
      </w:r>
      <w:r w:rsidR="00445C86" w:rsidRPr="00B75BE3">
        <w:rPr>
          <w:lang w:val="fr-CH"/>
        </w:rPr>
        <w:t>juillet</w:t>
      </w:r>
      <w:r w:rsidR="00CC4009" w:rsidRPr="00B75BE3">
        <w:rPr>
          <w:lang w:val="fr-CH"/>
        </w:rPr>
        <w:t> </w:t>
      </w:r>
      <w:r w:rsidR="00445C86" w:rsidRPr="00B75BE3">
        <w:rPr>
          <w:lang w:val="fr-CH"/>
        </w:rPr>
        <w:t>2014, la circulaire E</w:t>
      </w:r>
      <w:r w:rsidR="00CC4009" w:rsidRPr="00B75BE3">
        <w:rPr>
          <w:lang w:val="fr-CH"/>
        </w:rPr>
        <w:t> </w:t>
      </w:r>
      <w:r w:rsidR="00445C86" w:rsidRPr="00B75BE3">
        <w:rPr>
          <w:lang w:val="fr-CH"/>
        </w:rPr>
        <w:t>14/193 “TWC/32</w:t>
      </w:r>
      <w:r w:rsidR="00CC4009" w:rsidRPr="00B75BE3">
        <w:rPr>
          <w:lang w:val="fr-CH"/>
        </w:rPr>
        <w:t> </w:t>
      </w:r>
      <w:r w:rsidR="00445C86" w:rsidRPr="00B75BE3">
        <w:rPr>
          <w:lang w:val="fr-CH"/>
        </w:rPr>
        <w:t>: participation à l</w:t>
      </w:r>
      <w:r w:rsidR="00360F9B" w:rsidRPr="00B75BE3">
        <w:rPr>
          <w:lang w:val="fr-CH"/>
        </w:rPr>
        <w:t>’</w:t>
      </w:r>
      <w:r w:rsidR="00445C86" w:rsidRPr="00B75BE3">
        <w:rPr>
          <w:lang w:val="fr-CH"/>
        </w:rPr>
        <w:t>exercice pratique (COYU)” a été adressée au</w:t>
      </w:r>
      <w:r w:rsidR="00360F9B" w:rsidRPr="00B75BE3">
        <w:rPr>
          <w:lang w:val="fr-CH"/>
        </w:rPr>
        <w:t> TC</w:t>
      </w:r>
      <w:r w:rsidR="00445C86" w:rsidRPr="00B75BE3">
        <w:rPr>
          <w:lang w:val="fr-CH"/>
        </w:rPr>
        <w:t xml:space="preserve"> et aux membres</w:t>
      </w:r>
      <w:r w:rsidR="00360F9B" w:rsidRPr="00B75BE3">
        <w:rPr>
          <w:lang w:val="fr-CH"/>
        </w:rPr>
        <w:t xml:space="preserve"> du TWC</w:t>
      </w:r>
      <w:r w:rsidR="00445C86" w:rsidRPr="00B75BE3">
        <w:rPr>
          <w:lang w:val="fr-CH"/>
        </w:rPr>
        <w:t>.</w:t>
      </w:r>
      <w:r w:rsidR="00486903" w:rsidRPr="00B75BE3">
        <w:rPr>
          <w:lang w:val="fr-CH"/>
        </w:rPr>
        <w:t xml:space="preserve"> </w:t>
      </w:r>
      <w:r w:rsidR="00F26D16" w:rsidRPr="00B75BE3">
        <w:rPr>
          <w:rFonts w:hint="eastAsia"/>
          <w:lang w:val="fr-CH"/>
        </w:rPr>
        <w:t xml:space="preserve"> </w:t>
      </w:r>
      <w:r w:rsidR="00D01BEC" w:rsidRPr="00B75BE3">
        <w:rPr>
          <w:lang w:val="fr-CH"/>
        </w:rPr>
        <w:t>L</w:t>
      </w:r>
      <w:r w:rsidR="00D01BEC" w:rsidRPr="00B75BE3">
        <w:rPr>
          <w:lang w:val="fr-CH" w:eastAsia="ja-JP"/>
        </w:rPr>
        <w:t xml:space="preserve">’Allemagne, </w:t>
      </w:r>
      <w:r w:rsidR="00445C86" w:rsidRPr="00B75BE3">
        <w:rPr>
          <w:lang w:val="fr-CH" w:eastAsia="ja-JP"/>
        </w:rPr>
        <w:t>la Finlande, la France, le Kenya, la Pologne</w:t>
      </w:r>
      <w:r w:rsidR="00D01BEC" w:rsidRPr="00B75BE3">
        <w:rPr>
          <w:lang w:val="fr-CH" w:eastAsia="ja-JP"/>
        </w:rPr>
        <w:t>,</w:t>
      </w:r>
      <w:r w:rsidR="00445C86" w:rsidRPr="00B75BE3">
        <w:rPr>
          <w:lang w:val="fr-CH" w:eastAsia="ja-JP"/>
        </w:rPr>
        <w:t xml:space="preserve"> </w:t>
      </w:r>
      <w:r w:rsidR="00D01BEC" w:rsidRPr="00B75BE3">
        <w:rPr>
          <w:lang w:val="fr-CH" w:eastAsia="ja-JP"/>
        </w:rPr>
        <w:t xml:space="preserve">la République tchèque </w:t>
      </w:r>
      <w:r w:rsidR="00445C86" w:rsidRPr="00B75BE3">
        <w:rPr>
          <w:lang w:val="fr-CH" w:eastAsia="ja-JP"/>
        </w:rPr>
        <w:t>et le Royaume</w:t>
      </w:r>
      <w:r w:rsidR="00A90CA8" w:rsidRPr="00B75BE3">
        <w:rPr>
          <w:lang w:val="fr-CH" w:eastAsia="ja-JP"/>
        </w:rPr>
        <w:noBreakHyphen/>
      </w:r>
      <w:r w:rsidR="00445C86" w:rsidRPr="00B75BE3">
        <w:rPr>
          <w:lang w:val="fr-CH" w:eastAsia="ja-JP"/>
        </w:rPr>
        <w:t>Uni ont répondu qu</w:t>
      </w:r>
      <w:r w:rsidR="00360F9B" w:rsidRPr="00B75BE3">
        <w:rPr>
          <w:lang w:val="fr-CH" w:eastAsia="ja-JP"/>
        </w:rPr>
        <w:t>’</w:t>
      </w:r>
      <w:r w:rsidR="00445C86" w:rsidRPr="00B75BE3">
        <w:rPr>
          <w:lang w:val="fr-CH" w:eastAsia="ja-JP"/>
        </w:rPr>
        <w:t>ils souhaitaient participer à l</w:t>
      </w:r>
      <w:r w:rsidR="00360F9B" w:rsidRPr="00B75BE3">
        <w:rPr>
          <w:lang w:val="fr-CH" w:eastAsia="ja-JP"/>
        </w:rPr>
        <w:t>’</w:t>
      </w:r>
      <w:r w:rsidR="00445C86" w:rsidRPr="00B75BE3">
        <w:rPr>
          <w:lang w:val="fr-CH" w:eastAsia="ja-JP"/>
        </w:rPr>
        <w:t>exercice.</w:t>
      </w:r>
      <w:r w:rsidR="00486903" w:rsidRPr="00B75BE3">
        <w:rPr>
          <w:lang w:val="fr-CH"/>
        </w:rPr>
        <w:t xml:space="preserve"> </w:t>
      </w:r>
      <w:r w:rsidR="00CC4009" w:rsidRPr="00B75BE3">
        <w:rPr>
          <w:lang w:val="fr-CH"/>
        </w:rPr>
        <w:t xml:space="preserve"> </w:t>
      </w:r>
      <w:r w:rsidR="00330A7F" w:rsidRPr="00B75BE3">
        <w:rPr>
          <w:lang w:val="fr-CH"/>
        </w:rPr>
        <w:t>L</w:t>
      </w:r>
      <w:r w:rsidR="00360F9B" w:rsidRPr="00B75BE3">
        <w:rPr>
          <w:lang w:val="fr-CH"/>
        </w:rPr>
        <w:t>’</w:t>
      </w:r>
      <w:r w:rsidR="00330A7F" w:rsidRPr="00B75BE3">
        <w:rPr>
          <w:lang w:val="fr-CH"/>
        </w:rPr>
        <w:t>expert du Royaume</w:t>
      </w:r>
      <w:r w:rsidR="00A90CA8" w:rsidRPr="00B75BE3">
        <w:rPr>
          <w:lang w:val="fr-CH"/>
        </w:rPr>
        <w:noBreakHyphen/>
      </w:r>
      <w:r w:rsidR="00330A7F" w:rsidRPr="00B75BE3">
        <w:rPr>
          <w:lang w:val="fr-CH"/>
        </w:rPr>
        <w:t>Uni a élaboré des modules de logiciel pour le calcul de</w:t>
      </w:r>
      <w:r w:rsidR="00360F9B" w:rsidRPr="00B75BE3">
        <w:rPr>
          <w:lang w:val="fr-CH"/>
        </w:rPr>
        <w:t xml:space="preserve"> la COY</w:t>
      </w:r>
      <w:r w:rsidR="00330A7F" w:rsidRPr="00B75BE3">
        <w:rPr>
          <w:lang w:val="fr-CH"/>
        </w:rPr>
        <w:t>U avec un document d</w:t>
      </w:r>
      <w:r w:rsidR="00360F9B" w:rsidRPr="00B75BE3">
        <w:rPr>
          <w:lang w:val="fr-CH"/>
        </w:rPr>
        <w:t>’</w:t>
      </w:r>
      <w:r w:rsidR="00330A7F" w:rsidRPr="00B75BE3">
        <w:rPr>
          <w:lang w:val="fr-CH"/>
        </w:rPr>
        <w:t>orientation pour l</w:t>
      </w:r>
      <w:r w:rsidR="00360F9B" w:rsidRPr="00B75BE3">
        <w:rPr>
          <w:lang w:val="fr-CH"/>
        </w:rPr>
        <w:t>’</w:t>
      </w:r>
      <w:r w:rsidR="00330A7F" w:rsidRPr="00B75BE3">
        <w:rPr>
          <w:lang w:val="fr-CH"/>
        </w:rPr>
        <w:t>exercice</w:t>
      </w:r>
      <w:r w:rsidR="00CC4009" w:rsidRPr="00B75BE3">
        <w:rPr>
          <w:lang w:val="fr-CH"/>
        </w:rPr>
        <w:t> </w:t>
      </w:r>
      <w:r w:rsidR="00330A7F" w:rsidRPr="00B75BE3">
        <w:rPr>
          <w:lang w:val="fr-CH"/>
        </w:rPr>
        <w:t>: pour les participants utilisant le logiciel “R”, le module pour ledit logiciel et le document d</w:t>
      </w:r>
      <w:r w:rsidR="00360F9B" w:rsidRPr="00B75BE3">
        <w:rPr>
          <w:lang w:val="fr-CH"/>
        </w:rPr>
        <w:t>’</w:t>
      </w:r>
      <w:r w:rsidR="00330A7F" w:rsidRPr="00B75BE3">
        <w:rPr>
          <w:lang w:val="fr-CH"/>
        </w:rPr>
        <w:t>orientation ont été distribués le 15</w:t>
      </w:r>
      <w:r w:rsidR="00CC4009" w:rsidRPr="00B75BE3">
        <w:rPr>
          <w:lang w:val="fr-CH"/>
        </w:rPr>
        <w:t> </w:t>
      </w:r>
      <w:r w:rsidR="00330A7F" w:rsidRPr="00B75BE3">
        <w:rPr>
          <w:lang w:val="fr-CH"/>
        </w:rPr>
        <w:t>octobre</w:t>
      </w:r>
      <w:r w:rsidR="00CC4009" w:rsidRPr="00B75BE3">
        <w:rPr>
          <w:lang w:val="fr-CH"/>
        </w:rPr>
        <w:t> </w:t>
      </w:r>
      <w:r w:rsidR="00330A7F" w:rsidRPr="00B75BE3">
        <w:rPr>
          <w:lang w:val="fr-CH"/>
        </w:rPr>
        <w:t>2014, suivis par un document d</w:t>
      </w:r>
      <w:r w:rsidR="00360F9B" w:rsidRPr="00B75BE3">
        <w:rPr>
          <w:lang w:val="fr-CH"/>
        </w:rPr>
        <w:t>’</w:t>
      </w:r>
      <w:r w:rsidR="00330A7F" w:rsidRPr="00B75BE3">
        <w:rPr>
          <w:lang w:val="fr-CH"/>
        </w:rPr>
        <w:t>orientation révisé le 21</w:t>
      </w:r>
      <w:r w:rsidR="00CC4009" w:rsidRPr="00B75BE3">
        <w:rPr>
          <w:lang w:val="fr-CH"/>
        </w:rPr>
        <w:t> </w:t>
      </w:r>
      <w:r w:rsidR="00330A7F" w:rsidRPr="00B75BE3">
        <w:rPr>
          <w:lang w:val="fr-CH"/>
        </w:rPr>
        <w:t>octobre</w:t>
      </w:r>
      <w:r w:rsidR="00CC4009" w:rsidRPr="00B75BE3">
        <w:rPr>
          <w:lang w:val="fr-CH"/>
        </w:rPr>
        <w:t> </w:t>
      </w:r>
      <w:r w:rsidR="00330A7F" w:rsidRPr="00B75BE3">
        <w:rPr>
          <w:lang w:val="fr-CH"/>
        </w:rPr>
        <w:t>2014;  pour les utilisateurs du logiciel “DUSTNT”, une version avec un module pour l</w:t>
      </w:r>
      <w:r w:rsidR="00360F9B" w:rsidRPr="00B75BE3">
        <w:rPr>
          <w:lang w:val="fr-CH"/>
        </w:rPr>
        <w:t>’</w:t>
      </w:r>
      <w:r w:rsidR="00330A7F" w:rsidRPr="00B75BE3">
        <w:rPr>
          <w:lang w:val="fr-CH"/>
        </w:rPr>
        <w:t>exercice et un document d</w:t>
      </w:r>
      <w:r w:rsidR="00360F9B" w:rsidRPr="00B75BE3">
        <w:rPr>
          <w:lang w:val="fr-CH"/>
        </w:rPr>
        <w:t>’</w:t>
      </w:r>
      <w:r w:rsidR="00330A7F" w:rsidRPr="00B75BE3">
        <w:rPr>
          <w:lang w:val="fr-CH"/>
        </w:rPr>
        <w:t>orientation ont été distribués le 5</w:t>
      </w:r>
      <w:r w:rsidR="00CC4009" w:rsidRPr="00B75BE3">
        <w:rPr>
          <w:lang w:val="fr-CH"/>
        </w:rPr>
        <w:t> </w:t>
      </w:r>
      <w:r w:rsidR="00330A7F" w:rsidRPr="00B75BE3">
        <w:rPr>
          <w:lang w:val="fr-CH"/>
        </w:rPr>
        <w:t>décembre.</w:t>
      </w:r>
    </w:p>
    <w:p w:rsidR="00BC4D5F" w:rsidRPr="00B75BE3" w:rsidRDefault="00BC4D5F" w:rsidP="00B75BE3">
      <w:pPr>
        <w:keepNext/>
        <w:keepLines/>
        <w:rPr>
          <w:lang w:val="fr-CH"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4820"/>
        <w:rPr>
          <w:iCs/>
          <w:spacing w:val="-4"/>
          <w:sz w:val="20"/>
          <w:lang w:val="fr-CH"/>
        </w:rPr>
      </w:pPr>
      <w:r w:rsidRPr="00B75BE3">
        <w:rPr>
          <w:sz w:val="20"/>
        </w:rPr>
        <w:fldChar w:fldCharType="begin"/>
      </w:r>
      <w:r w:rsidRPr="00B75BE3">
        <w:rPr>
          <w:sz w:val="20"/>
          <w:lang w:val="fr-CH"/>
        </w:rPr>
        <w:instrText xml:space="preserve"> AUTONUM  </w:instrText>
      </w:r>
      <w:r w:rsidRPr="00B75BE3">
        <w:rPr>
          <w:sz w:val="20"/>
        </w:rPr>
        <w:fldChar w:fldCharType="end"/>
      </w:r>
      <w:r w:rsidRPr="00B75BE3">
        <w:rPr>
          <w:sz w:val="20"/>
          <w:lang w:val="fr-CH"/>
        </w:rPr>
        <w:tab/>
      </w:r>
      <w:r w:rsidR="00330A7F" w:rsidRPr="00B75BE3">
        <w:rPr>
          <w:sz w:val="20"/>
          <w:lang w:val="fr-CH"/>
        </w:rPr>
        <w:t>Le</w:t>
      </w:r>
      <w:r w:rsidR="00360F9B" w:rsidRPr="00B75BE3">
        <w:rPr>
          <w:i w:val="0"/>
          <w:sz w:val="20"/>
          <w:lang w:val="fr-CH"/>
        </w:rPr>
        <w:t> TC</w:t>
      </w:r>
      <w:r w:rsidR="00330A7F" w:rsidRPr="00B75BE3">
        <w:rPr>
          <w:sz w:val="20"/>
          <w:lang w:val="fr-CH"/>
        </w:rPr>
        <w:t xml:space="preserve"> est invité à prendre note</w:t>
      </w:r>
      <w:r w:rsidR="007134AC" w:rsidRPr="00B75BE3">
        <w:rPr>
          <w:sz w:val="20"/>
          <w:lang w:val="fr-CH"/>
        </w:rPr>
        <w:t> :</w:t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Cs/>
          <w:spacing w:val="-4"/>
          <w:sz w:val="20"/>
          <w:lang w:val="fr-CH" w:eastAsia="ja-JP"/>
        </w:rPr>
      </w:pPr>
    </w:p>
    <w:p w:rsidR="00BC4D5F" w:rsidRPr="00B75BE3" w:rsidRDefault="00330A7F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  <w:r w:rsidRPr="00B75BE3">
        <w:rPr>
          <w:iCs/>
          <w:spacing w:val="-4"/>
          <w:sz w:val="20"/>
          <w:lang w:val="fr-CH" w:eastAsia="ja-JP"/>
        </w:rPr>
        <w:t>a)</w:t>
      </w:r>
      <w:r w:rsidRPr="00B75BE3">
        <w:rPr>
          <w:iCs/>
          <w:spacing w:val="-4"/>
          <w:sz w:val="20"/>
          <w:lang w:val="fr-CH" w:eastAsia="ja-JP"/>
        </w:rPr>
        <w:tab/>
        <w:t>que les participants à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exercice en vue de tester le logiciel sur la nouvelle méthode de calcul de</w:t>
      </w:r>
      <w:r w:rsidR="00360F9B" w:rsidRPr="00B75BE3">
        <w:rPr>
          <w:iCs/>
          <w:spacing w:val="-4"/>
          <w:sz w:val="20"/>
          <w:lang w:val="fr-CH" w:eastAsia="ja-JP"/>
        </w:rPr>
        <w:t xml:space="preserve"> la COY</w:t>
      </w:r>
      <w:r w:rsidRPr="00B75BE3">
        <w:rPr>
          <w:iCs/>
          <w:spacing w:val="-4"/>
          <w:sz w:val="20"/>
          <w:lang w:val="fr-CH" w:eastAsia="ja-JP"/>
        </w:rPr>
        <w:t>U devraient</w:t>
      </w:r>
      <w:r w:rsidR="00CC4009" w:rsidRPr="00B75BE3">
        <w:rPr>
          <w:iCs/>
          <w:spacing w:val="-4"/>
          <w:sz w:val="20"/>
          <w:lang w:val="fr-CH" w:eastAsia="ja-JP"/>
        </w:rPr>
        <w:t> </w:t>
      </w:r>
      <w:r w:rsidRPr="00B75BE3">
        <w:rPr>
          <w:iCs/>
          <w:spacing w:val="-4"/>
          <w:sz w:val="20"/>
          <w:lang w:val="fr-CH" w:eastAsia="ja-JP"/>
        </w:rPr>
        <w:t>:</w:t>
      </w:r>
    </w:p>
    <w:p w:rsidR="00360F9B" w:rsidRPr="00B75BE3" w:rsidRDefault="00F26D16" w:rsidP="00B75BE3">
      <w:pPr>
        <w:pStyle w:val="DecisionParagraphs"/>
        <w:tabs>
          <w:tab w:val="left" w:pos="5400"/>
          <w:tab w:val="left" w:pos="5954"/>
          <w:tab w:val="left" w:pos="6480"/>
        </w:tabs>
        <w:ind w:left="4820" w:firstLine="567"/>
        <w:rPr>
          <w:iCs/>
          <w:spacing w:val="-4"/>
          <w:sz w:val="20"/>
          <w:lang w:val="fr-CH" w:eastAsia="ja-JP"/>
        </w:rPr>
      </w:pPr>
      <w:r w:rsidRPr="00B75BE3">
        <w:rPr>
          <w:iCs/>
          <w:spacing w:val="-4"/>
          <w:sz w:val="20"/>
          <w:lang w:val="fr-CH" w:eastAsia="ja-JP"/>
        </w:rPr>
        <w:tab/>
      </w:r>
      <w:r w:rsidRPr="00B75BE3">
        <w:rPr>
          <w:iCs/>
          <w:spacing w:val="-4"/>
          <w:sz w:val="20"/>
          <w:lang w:val="fr-CH" w:eastAsia="ja-JP"/>
        </w:rPr>
        <w:tab/>
      </w:r>
      <w:r w:rsidR="00FB2C02" w:rsidRPr="00B75BE3">
        <w:rPr>
          <w:iCs/>
          <w:spacing w:val="-4"/>
          <w:sz w:val="20"/>
          <w:lang w:val="fr-CH" w:eastAsia="ja-JP"/>
        </w:rPr>
        <w:t>i)</w:t>
      </w:r>
      <w:r w:rsidR="00FB2C02" w:rsidRPr="00B75BE3">
        <w:rPr>
          <w:iCs/>
          <w:spacing w:val="-4"/>
          <w:sz w:val="20"/>
          <w:lang w:val="fr-CH" w:eastAsia="ja-JP"/>
        </w:rPr>
        <w:tab/>
        <w:t>chercher à définir les seuils de probabilité d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="00CC4009" w:rsidRPr="00B75BE3">
        <w:rPr>
          <w:iCs/>
          <w:spacing w:val="-4"/>
          <w:sz w:val="20"/>
          <w:lang w:val="fr-CH" w:eastAsia="ja-JP"/>
        </w:rPr>
        <w:t>un</w:t>
      </w:r>
      <w:r w:rsidR="00FB2C02" w:rsidRPr="00B75BE3">
        <w:rPr>
          <w:iCs/>
          <w:spacing w:val="-4"/>
          <w:sz w:val="20"/>
          <w:lang w:val="fr-CH" w:eastAsia="ja-JP"/>
        </w:rPr>
        <w:t>e correspond</w:t>
      </w:r>
      <w:r w:rsidR="00CC4009" w:rsidRPr="00B75BE3">
        <w:rPr>
          <w:iCs/>
          <w:spacing w:val="-4"/>
          <w:sz w:val="20"/>
          <w:lang w:val="fr-CH" w:eastAsia="ja-JP"/>
        </w:rPr>
        <w:t>ance avec l</w:t>
      </w:r>
      <w:r w:rsidR="00FB2C02" w:rsidRPr="00B75BE3">
        <w:rPr>
          <w:iCs/>
          <w:spacing w:val="-4"/>
          <w:sz w:val="20"/>
          <w:lang w:val="fr-CH" w:eastAsia="ja-JP"/>
        </w:rPr>
        <w:t>es décisions prises au moyen de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="00FB2C02" w:rsidRPr="00B75BE3">
        <w:rPr>
          <w:iCs/>
          <w:spacing w:val="-4"/>
          <w:sz w:val="20"/>
          <w:lang w:val="fr-CH" w:eastAsia="ja-JP"/>
        </w:rPr>
        <w:t>ancienne méthode COYU;</w:t>
      </w:r>
    </w:p>
    <w:p w:rsidR="00BC4D5F" w:rsidRPr="00B75BE3" w:rsidRDefault="00BC4D5F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</w:p>
    <w:p w:rsidR="00BC4D5F" w:rsidRPr="00B75BE3" w:rsidRDefault="00DF6F05" w:rsidP="00B75BE3">
      <w:pPr>
        <w:pStyle w:val="DecisionParagraphs"/>
        <w:tabs>
          <w:tab w:val="left" w:pos="5400"/>
          <w:tab w:val="left" w:pos="5954"/>
          <w:tab w:val="left" w:pos="6480"/>
        </w:tabs>
        <w:ind w:left="4820"/>
        <w:rPr>
          <w:iCs/>
          <w:spacing w:val="-4"/>
          <w:sz w:val="20"/>
          <w:lang w:val="fr-CH" w:eastAsia="ja-JP"/>
        </w:rPr>
      </w:pPr>
      <w:r w:rsidRPr="00B75BE3">
        <w:rPr>
          <w:iCs/>
          <w:spacing w:val="-4"/>
          <w:sz w:val="20"/>
          <w:lang w:val="fr-CH" w:eastAsia="ja-JP"/>
        </w:rPr>
        <w:tab/>
      </w:r>
      <w:r w:rsidRPr="00B75BE3">
        <w:rPr>
          <w:iCs/>
          <w:spacing w:val="-4"/>
          <w:sz w:val="20"/>
          <w:lang w:val="fr-CH" w:eastAsia="ja-JP"/>
        </w:rPr>
        <w:tab/>
      </w:r>
      <w:r w:rsidR="00FB2C02" w:rsidRPr="00B75BE3">
        <w:rPr>
          <w:iCs/>
          <w:spacing w:val="-4"/>
          <w:sz w:val="20"/>
          <w:lang w:val="fr-CH" w:eastAsia="ja-JP"/>
        </w:rPr>
        <w:t>ii)</w:t>
      </w:r>
      <w:r w:rsidR="00FB2C02" w:rsidRPr="00B75BE3">
        <w:rPr>
          <w:iCs/>
          <w:spacing w:val="-4"/>
          <w:sz w:val="20"/>
          <w:lang w:val="fr-CH" w:eastAsia="ja-JP"/>
        </w:rPr>
        <w:tab/>
        <w:t>effectuer le test sur la base de probabilités de rejet de 1, 2 et 5%;  et</w:t>
      </w:r>
    </w:p>
    <w:p w:rsidR="00BC4D5F" w:rsidRPr="00B75BE3" w:rsidRDefault="00BC4D5F" w:rsidP="00B75BE3">
      <w:pPr>
        <w:pStyle w:val="DecisionParagraphs"/>
        <w:tabs>
          <w:tab w:val="left" w:pos="5400"/>
          <w:tab w:val="left" w:pos="5954"/>
        </w:tabs>
        <w:ind w:left="4820"/>
        <w:rPr>
          <w:iCs/>
          <w:spacing w:val="-4"/>
          <w:sz w:val="20"/>
          <w:lang w:val="fr-CH" w:eastAsia="ja-JP"/>
        </w:rPr>
      </w:pPr>
    </w:p>
    <w:p w:rsidR="00BC4D5F" w:rsidRPr="00B75BE3" w:rsidRDefault="00DF6F05" w:rsidP="00B75BE3">
      <w:pPr>
        <w:pStyle w:val="DecisionParagraphs"/>
        <w:tabs>
          <w:tab w:val="left" w:pos="5400"/>
          <w:tab w:val="left" w:pos="5954"/>
          <w:tab w:val="left" w:pos="6480"/>
        </w:tabs>
        <w:ind w:left="4820"/>
        <w:rPr>
          <w:iCs/>
          <w:spacing w:val="-4"/>
          <w:sz w:val="20"/>
          <w:lang w:val="fr-CH" w:eastAsia="ja-JP"/>
        </w:rPr>
      </w:pPr>
      <w:r w:rsidRPr="00B75BE3">
        <w:rPr>
          <w:iCs/>
          <w:spacing w:val="-4"/>
          <w:sz w:val="20"/>
          <w:lang w:val="fr-CH" w:eastAsia="ja-JP"/>
        </w:rPr>
        <w:tab/>
      </w:r>
      <w:r w:rsidRPr="00B75BE3">
        <w:rPr>
          <w:iCs/>
          <w:spacing w:val="-4"/>
          <w:sz w:val="20"/>
          <w:lang w:val="fr-CH" w:eastAsia="ja-JP"/>
        </w:rPr>
        <w:tab/>
      </w:r>
      <w:r w:rsidR="00FB2C02" w:rsidRPr="00B75BE3">
        <w:rPr>
          <w:iCs/>
          <w:spacing w:val="-4"/>
          <w:sz w:val="20"/>
          <w:lang w:val="fr-CH" w:eastAsia="ja-JP"/>
        </w:rPr>
        <w:t>iii)</w:t>
      </w:r>
      <w:r w:rsidR="00FB2C02" w:rsidRPr="00B75BE3">
        <w:rPr>
          <w:iCs/>
          <w:spacing w:val="-4"/>
          <w:sz w:val="20"/>
          <w:lang w:val="fr-CH" w:eastAsia="ja-JP"/>
        </w:rPr>
        <w:tab/>
        <w:t>évaluer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="00FB2C02" w:rsidRPr="00B75BE3">
        <w:rPr>
          <w:iCs/>
          <w:spacing w:val="-4"/>
          <w:sz w:val="20"/>
          <w:lang w:val="fr-CH" w:eastAsia="ja-JP"/>
        </w:rPr>
        <w:t>uniformité des résultats dans toutes les plantes;</w:t>
      </w:r>
    </w:p>
    <w:p w:rsidR="00BC4D5F" w:rsidRPr="00B75BE3" w:rsidRDefault="00BC4D5F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</w:p>
    <w:p w:rsidR="00360F9B" w:rsidRPr="00B75BE3" w:rsidRDefault="00FB2C02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  <w:r w:rsidRPr="00B75BE3">
        <w:rPr>
          <w:iCs/>
          <w:spacing w:val="-4"/>
          <w:sz w:val="20"/>
          <w:lang w:val="fr-CH" w:eastAsia="ja-JP"/>
        </w:rPr>
        <w:t>b)</w:t>
      </w:r>
      <w:r w:rsidRPr="00B75BE3">
        <w:rPr>
          <w:iCs/>
          <w:spacing w:val="-4"/>
          <w:sz w:val="20"/>
          <w:lang w:val="fr-CH" w:eastAsia="ja-JP"/>
        </w:rPr>
        <w:tab/>
        <w:t>que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expert du Royaume</w:t>
      </w:r>
      <w:r w:rsidR="00A90CA8" w:rsidRPr="00B75BE3">
        <w:rPr>
          <w:iCs/>
          <w:spacing w:val="-4"/>
          <w:sz w:val="20"/>
          <w:lang w:val="fr-CH" w:eastAsia="ja-JP"/>
        </w:rPr>
        <w:noBreakHyphen/>
      </w:r>
      <w:r w:rsidRPr="00B75BE3">
        <w:rPr>
          <w:iCs/>
          <w:spacing w:val="-4"/>
          <w:sz w:val="20"/>
          <w:lang w:val="fr-CH" w:eastAsia="ja-JP"/>
        </w:rPr>
        <w:t>Uni a distribué le module de logiciel pour le calcul de</w:t>
      </w:r>
      <w:r w:rsidR="00360F9B" w:rsidRPr="00B75BE3">
        <w:rPr>
          <w:iCs/>
          <w:spacing w:val="-4"/>
          <w:sz w:val="20"/>
          <w:lang w:val="fr-CH" w:eastAsia="ja-JP"/>
        </w:rPr>
        <w:t xml:space="preserve"> la COY</w:t>
      </w:r>
      <w:r w:rsidRPr="00B75BE3">
        <w:rPr>
          <w:iCs/>
          <w:spacing w:val="-4"/>
          <w:sz w:val="20"/>
          <w:lang w:val="fr-CH" w:eastAsia="ja-JP"/>
        </w:rPr>
        <w:t>U ainsi que le document d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orientation aux participants à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exercice;</w:t>
      </w:r>
    </w:p>
    <w:p w:rsidR="00BC4D5F" w:rsidRPr="00B75BE3" w:rsidRDefault="00BC4D5F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</w:p>
    <w:p w:rsidR="00BC4D5F" w:rsidRPr="00B75BE3" w:rsidRDefault="00FB2C02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  <w:r w:rsidRPr="00B75BE3">
        <w:rPr>
          <w:iCs/>
          <w:spacing w:val="-4"/>
          <w:sz w:val="20"/>
          <w:lang w:val="fr-CH" w:eastAsia="ja-JP"/>
        </w:rPr>
        <w:t>c)</w:t>
      </w:r>
      <w:r w:rsidRPr="00B75BE3">
        <w:rPr>
          <w:iCs/>
          <w:spacing w:val="-4"/>
          <w:sz w:val="20"/>
          <w:lang w:val="fr-CH" w:eastAsia="ja-JP"/>
        </w:rPr>
        <w:tab/>
        <w:t>que les experts de</w:t>
      </w:r>
      <w:r w:rsidR="00D01BEC" w:rsidRPr="00B75BE3">
        <w:rPr>
          <w:iCs/>
          <w:spacing w:val="-4"/>
          <w:sz w:val="20"/>
          <w:lang w:val="fr-CH" w:eastAsia="ja-JP"/>
        </w:rPr>
        <w:t xml:space="preserve"> de l’Allemagne,</w:t>
      </w:r>
      <w:r w:rsidR="007134AC" w:rsidRPr="00B75BE3">
        <w:rPr>
          <w:iCs/>
          <w:spacing w:val="-4"/>
          <w:sz w:val="20"/>
          <w:lang w:val="fr-CH" w:eastAsia="ja-JP"/>
        </w:rPr>
        <w:t xml:space="preserve"> de la Finlande,</w:t>
      </w:r>
      <w:r w:rsidRPr="00B75BE3">
        <w:rPr>
          <w:iCs/>
          <w:spacing w:val="-4"/>
          <w:sz w:val="20"/>
          <w:lang w:val="fr-CH" w:eastAsia="ja-JP"/>
        </w:rPr>
        <w:t xml:space="preserve"> de la France, du Kenya, de la Pologne</w:t>
      </w:r>
      <w:r w:rsidR="007134AC" w:rsidRPr="00B75BE3">
        <w:rPr>
          <w:iCs/>
          <w:spacing w:val="-4"/>
          <w:sz w:val="20"/>
          <w:lang w:val="fr-CH" w:eastAsia="ja-JP"/>
        </w:rPr>
        <w:t>,</w:t>
      </w:r>
      <w:r w:rsidRPr="00B75BE3">
        <w:rPr>
          <w:iCs/>
          <w:spacing w:val="-4"/>
          <w:sz w:val="20"/>
          <w:lang w:val="fr-CH" w:eastAsia="ja-JP"/>
        </w:rPr>
        <w:t xml:space="preserve"> </w:t>
      </w:r>
      <w:r w:rsidR="007134AC" w:rsidRPr="00B75BE3">
        <w:rPr>
          <w:iCs/>
          <w:spacing w:val="-4"/>
          <w:sz w:val="20"/>
          <w:lang w:val="fr-CH" w:eastAsia="ja-JP"/>
        </w:rPr>
        <w:t xml:space="preserve">la République tchèque </w:t>
      </w:r>
      <w:r w:rsidRPr="00B75BE3">
        <w:rPr>
          <w:iCs/>
          <w:spacing w:val="-4"/>
          <w:sz w:val="20"/>
          <w:lang w:val="fr-CH" w:eastAsia="ja-JP"/>
        </w:rPr>
        <w:t>et du Royaume</w:t>
      </w:r>
      <w:r w:rsidR="00A90CA8" w:rsidRPr="00B75BE3">
        <w:rPr>
          <w:iCs/>
          <w:spacing w:val="-4"/>
          <w:sz w:val="20"/>
          <w:lang w:val="fr-CH" w:eastAsia="ja-JP"/>
        </w:rPr>
        <w:noBreakHyphen/>
      </w:r>
      <w:r w:rsidRPr="00B75BE3">
        <w:rPr>
          <w:iCs/>
          <w:spacing w:val="-4"/>
          <w:sz w:val="20"/>
          <w:lang w:val="fr-CH" w:eastAsia="ja-JP"/>
        </w:rPr>
        <w:t>Uni participeront à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exercice visant à tester le nouveau logiciel sur</w:t>
      </w:r>
      <w:r w:rsidR="00360F9B" w:rsidRPr="00B75BE3">
        <w:rPr>
          <w:iCs/>
          <w:spacing w:val="-4"/>
          <w:sz w:val="20"/>
          <w:lang w:val="fr-CH" w:eastAsia="ja-JP"/>
        </w:rPr>
        <w:t xml:space="preserve"> la COY</w:t>
      </w:r>
      <w:r w:rsidRPr="00B75BE3">
        <w:rPr>
          <w:iCs/>
          <w:spacing w:val="-4"/>
          <w:sz w:val="20"/>
          <w:lang w:val="fr-CH" w:eastAsia="ja-JP"/>
        </w:rPr>
        <w:t>U;  et</w:t>
      </w:r>
    </w:p>
    <w:p w:rsidR="00BC4D5F" w:rsidRPr="00B75BE3" w:rsidRDefault="00BC4D5F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</w:p>
    <w:p w:rsidR="00BC4D5F" w:rsidRPr="00B75BE3" w:rsidRDefault="00FB2C02" w:rsidP="00B75BE3">
      <w:pPr>
        <w:pStyle w:val="DecisionParagraphs"/>
        <w:tabs>
          <w:tab w:val="left" w:pos="5400"/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  <w:r w:rsidRPr="00B75BE3">
        <w:rPr>
          <w:iCs/>
          <w:spacing w:val="-4"/>
          <w:sz w:val="20"/>
          <w:lang w:val="fr-CH" w:eastAsia="ja-JP"/>
        </w:rPr>
        <w:t>d)</w:t>
      </w:r>
      <w:r w:rsidRPr="00B75BE3">
        <w:rPr>
          <w:iCs/>
          <w:spacing w:val="-4"/>
          <w:sz w:val="20"/>
          <w:lang w:val="fr-CH" w:eastAsia="ja-JP"/>
        </w:rPr>
        <w:tab/>
        <w:t>qu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un compte rendu de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exercice pratique et de l</w:t>
      </w:r>
      <w:r w:rsidR="00360F9B" w:rsidRPr="00B75BE3">
        <w:rPr>
          <w:iCs/>
          <w:spacing w:val="-4"/>
          <w:sz w:val="20"/>
          <w:lang w:val="fr-CH" w:eastAsia="ja-JP"/>
        </w:rPr>
        <w:t>’</w:t>
      </w:r>
      <w:r w:rsidRPr="00B75BE3">
        <w:rPr>
          <w:iCs/>
          <w:spacing w:val="-4"/>
          <w:sz w:val="20"/>
          <w:lang w:val="fr-CH" w:eastAsia="ja-JP"/>
        </w:rPr>
        <w:t>élaboration du module DUST sera présenté à la trente</w:t>
      </w:r>
      <w:r w:rsidR="00A90CA8" w:rsidRPr="00B75BE3">
        <w:rPr>
          <w:iCs/>
          <w:spacing w:val="-4"/>
          <w:sz w:val="20"/>
          <w:lang w:val="fr-CH" w:eastAsia="ja-JP"/>
        </w:rPr>
        <w:noBreakHyphen/>
      </w:r>
      <w:r w:rsidRPr="00B75BE3">
        <w:rPr>
          <w:iCs/>
          <w:spacing w:val="-4"/>
          <w:sz w:val="20"/>
          <w:lang w:val="fr-CH" w:eastAsia="ja-JP"/>
        </w:rPr>
        <w:t>troisième</w:t>
      </w:r>
      <w:r w:rsidR="00B24BA2" w:rsidRPr="00B75BE3">
        <w:rPr>
          <w:iCs/>
          <w:spacing w:val="-4"/>
          <w:sz w:val="20"/>
          <w:lang w:val="fr-CH" w:eastAsia="ja-JP"/>
        </w:rPr>
        <w:t> </w:t>
      </w:r>
      <w:r w:rsidRPr="00B75BE3">
        <w:rPr>
          <w:iCs/>
          <w:spacing w:val="-4"/>
          <w:sz w:val="20"/>
          <w:lang w:val="fr-CH" w:eastAsia="ja-JP"/>
        </w:rPr>
        <w:t>session</w:t>
      </w:r>
      <w:r w:rsidR="00360F9B" w:rsidRPr="00B75BE3">
        <w:rPr>
          <w:iCs/>
          <w:spacing w:val="-4"/>
          <w:sz w:val="20"/>
          <w:lang w:val="fr-CH" w:eastAsia="ja-JP"/>
        </w:rPr>
        <w:t xml:space="preserve"> du TWC</w:t>
      </w:r>
      <w:r w:rsidRPr="00B75BE3">
        <w:rPr>
          <w:iCs/>
          <w:spacing w:val="-4"/>
          <w:sz w:val="20"/>
          <w:lang w:val="fr-CH" w:eastAsia="ja-JP"/>
        </w:rPr>
        <w:t>.</w:t>
      </w:r>
    </w:p>
    <w:p w:rsidR="00BC4D5F" w:rsidRPr="00B75BE3" w:rsidRDefault="00BC4D5F" w:rsidP="00B75BE3">
      <w:pPr>
        <w:pStyle w:val="DecisionParagraphs"/>
        <w:tabs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</w:p>
    <w:p w:rsidR="00BC4D5F" w:rsidRPr="00B75BE3" w:rsidRDefault="00BC4D5F" w:rsidP="00B75BE3">
      <w:pPr>
        <w:pStyle w:val="DecisionParagraphs"/>
        <w:tabs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</w:p>
    <w:p w:rsidR="00360F9B" w:rsidRPr="00B75BE3" w:rsidRDefault="00360F9B" w:rsidP="00B75BE3">
      <w:pPr>
        <w:pStyle w:val="DecisionParagraphs"/>
        <w:tabs>
          <w:tab w:val="left" w:pos="5954"/>
        </w:tabs>
        <w:ind w:left="4820" w:firstLine="567"/>
        <w:rPr>
          <w:iCs/>
          <w:spacing w:val="-4"/>
          <w:sz w:val="20"/>
          <w:lang w:val="fr-CH" w:eastAsia="ja-JP"/>
        </w:rPr>
      </w:pPr>
    </w:p>
    <w:p w:rsidR="00BC4D5F" w:rsidRPr="00B75BE3" w:rsidRDefault="00FB2C02" w:rsidP="00B75BE3">
      <w:pPr>
        <w:pStyle w:val="DecisionParagraphs"/>
        <w:tabs>
          <w:tab w:val="left" w:pos="5400"/>
        </w:tabs>
        <w:ind w:left="4820"/>
        <w:jc w:val="right"/>
        <w:rPr>
          <w:i w:val="0"/>
          <w:iCs/>
          <w:spacing w:val="-4"/>
          <w:sz w:val="20"/>
          <w:lang w:eastAsia="ja-JP"/>
        </w:rPr>
      </w:pPr>
      <w:r w:rsidRPr="00B75BE3">
        <w:rPr>
          <w:i w:val="0"/>
          <w:iCs/>
          <w:spacing w:val="-4"/>
          <w:sz w:val="20"/>
          <w:lang w:val="fr-CH" w:eastAsia="ja-JP"/>
        </w:rPr>
        <w:t>[L</w:t>
      </w:r>
      <w:r w:rsidR="00360F9B" w:rsidRPr="00B75BE3">
        <w:rPr>
          <w:i w:val="0"/>
          <w:iCs/>
          <w:spacing w:val="-4"/>
          <w:sz w:val="20"/>
          <w:lang w:val="fr-CH" w:eastAsia="ja-JP"/>
        </w:rPr>
        <w:t>’</w:t>
      </w:r>
      <w:r w:rsidRPr="00B75BE3">
        <w:rPr>
          <w:i w:val="0"/>
          <w:iCs/>
          <w:spacing w:val="-4"/>
          <w:sz w:val="20"/>
          <w:lang w:val="fr-CH" w:eastAsia="ja-JP"/>
        </w:rPr>
        <w:t>annexe suit]</w:t>
      </w:r>
    </w:p>
    <w:p w:rsidR="00BE4B61" w:rsidRPr="00B75BE3" w:rsidRDefault="00BE4B61" w:rsidP="00B75BE3">
      <w:pPr>
        <w:pStyle w:val="DecisionParagraphs"/>
        <w:tabs>
          <w:tab w:val="left" w:pos="5400"/>
        </w:tabs>
        <w:ind w:left="4820"/>
        <w:rPr>
          <w:iCs/>
          <w:spacing w:val="-4"/>
          <w:sz w:val="20"/>
          <w:lang w:eastAsia="ja-JP"/>
        </w:rPr>
        <w:sectPr w:rsidR="00BE4B61" w:rsidRPr="00B75BE3" w:rsidSect="00A90CA8">
          <w:headerReference w:type="default" r:id="rId11"/>
          <w:type w:val="continuous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iCs/>
          <w:spacing w:val="-4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iCs/>
          <w:spacing w:val="-4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E4B61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  <w:sectPr w:rsidR="00BE4B61" w:rsidRPr="00B75BE3" w:rsidSect="00A90CA8">
          <w:headerReference w:type="default" r:id="rId12"/>
          <w:headerReference w:type="first" r:id="rId13"/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168EF11C" wp14:editId="04C48562">
            <wp:extent cx="4572635" cy="3429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68A13DE0" wp14:editId="0CCFA00E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4F8C0C2A" wp14:editId="4ABB76AE">
            <wp:extent cx="4572638" cy="34294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1359B589" wp14:editId="73960D8D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0C4A0DA7" wp14:editId="0FFA66A2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1DA750A7" wp14:editId="36CDD5C2">
            <wp:extent cx="4572638" cy="3429479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22E47886" wp14:editId="31F07F7A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0027B4D0" wp14:editId="0E503D7F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7A4E6A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>
        <w:rPr>
          <w:i w:val="0"/>
          <w:noProof/>
          <w:sz w:val="20"/>
        </w:rPr>
        <w:drawing>
          <wp:inline distT="0" distB="0" distL="0" distR="0" wp14:anchorId="3D46D230">
            <wp:extent cx="4547870" cy="3420110"/>
            <wp:effectExtent l="0" t="0" r="508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1E2A49D6" wp14:editId="575F6724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42B206A7" wp14:editId="42B60930">
            <wp:extent cx="4572638" cy="342947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27E93B01" wp14:editId="398960E4">
            <wp:extent cx="4572638" cy="342947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5929204B" wp14:editId="19C8C52D">
            <wp:extent cx="4572638" cy="342947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24A65979" wp14:editId="1CC33FDD">
            <wp:extent cx="4572638" cy="342947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E4B61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  <w:r w:rsidRPr="00B75BE3">
        <w:rPr>
          <w:i w:val="0"/>
          <w:noProof/>
          <w:sz w:val="20"/>
        </w:rPr>
        <w:drawing>
          <wp:inline distT="0" distB="0" distL="0" distR="0" wp14:anchorId="627D3D25" wp14:editId="799F8D87">
            <wp:extent cx="4572638" cy="3429479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0"/>
        <w:jc w:val="center"/>
        <w:rPr>
          <w:i w:val="0"/>
          <w:sz w:val="20"/>
          <w:lang w:eastAsia="ja-JP"/>
        </w:rPr>
      </w:pPr>
    </w:p>
    <w:p w:rsidR="00BC4D5F" w:rsidRPr="00B75BE3" w:rsidRDefault="00BC4D5F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360F9B" w:rsidRPr="00B75BE3" w:rsidRDefault="00360F9B" w:rsidP="00B75BE3">
      <w:pPr>
        <w:pStyle w:val="DecisionParagraphs"/>
        <w:tabs>
          <w:tab w:val="left" w:pos="5400"/>
        </w:tabs>
        <w:ind w:left="4820"/>
        <w:rPr>
          <w:i w:val="0"/>
          <w:sz w:val="20"/>
          <w:lang w:eastAsia="ja-JP"/>
        </w:rPr>
      </w:pPr>
    </w:p>
    <w:p w:rsidR="00BC4D5F" w:rsidRPr="00B75BE3" w:rsidRDefault="00FB2C02" w:rsidP="00B75BE3">
      <w:pPr>
        <w:pStyle w:val="Header"/>
        <w:ind w:right="200"/>
        <w:jc w:val="right"/>
        <w:rPr>
          <w:lang w:val="fr-CH"/>
        </w:rPr>
      </w:pPr>
      <w:r w:rsidRPr="00B75BE3">
        <w:rPr>
          <w:lang w:val="fr-CH"/>
        </w:rPr>
        <w:t>[Fin de l</w:t>
      </w:r>
      <w:r w:rsidR="00360F9B" w:rsidRPr="00B75BE3">
        <w:rPr>
          <w:lang w:val="fr-CH"/>
        </w:rPr>
        <w:t>’</w:t>
      </w:r>
      <w:r w:rsidRPr="00B75BE3">
        <w:rPr>
          <w:lang w:val="fr-CH"/>
        </w:rPr>
        <w:t>annexe et du document]</w:t>
      </w:r>
    </w:p>
    <w:p w:rsidR="00BC4D5F" w:rsidRPr="00B75BE3" w:rsidRDefault="00BC4D5F" w:rsidP="00B75BE3">
      <w:pPr>
        <w:rPr>
          <w:lang w:val="fr-CH"/>
        </w:rPr>
      </w:pPr>
    </w:p>
    <w:p w:rsidR="0047445B" w:rsidRPr="00B75BE3" w:rsidRDefault="0047445B" w:rsidP="00B75BE3">
      <w:pPr>
        <w:rPr>
          <w:lang w:val="fr-CH"/>
        </w:rPr>
      </w:pPr>
    </w:p>
    <w:sectPr w:rsidR="0047445B" w:rsidRPr="00B75BE3" w:rsidSect="00A90CA8">
      <w:headerReference w:type="default" r:id="rId28"/>
      <w:headerReference w:type="first" r:id="rId29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B1" w:rsidRDefault="003F11B1" w:rsidP="006655D3">
      <w:r>
        <w:separator/>
      </w:r>
    </w:p>
    <w:p w:rsidR="003F11B1" w:rsidRDefault="003F11B1" w:rsidP="006655D3"/>
    <w:p w:rsidR="003F11B1" w:rsidRDefault="003F11B1" w:rsidP="006655D3"/>
  </w:endnote>
  <w:endnote w:type="continuationSeparator" w:id="0">
    <w:p w:rsidR="003F11B1" w:rsidRDefault="003F11B1" w:rsidP="006655D3">
      <w:r>
        <w:separator/>
      </w:r>
    </w:p>
    <w:p w:rsidR="003F11B1" w:rsidRPr="00311399" w:rsidRDefault="003F11B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3F11B1" w:rsidRPr="00311399" w:rsidRDefault="003F11B1" w:rsidP="006655D3">
      <w:pPr>
        <w:rPr>
          <w:lang w:val="fr-CH"/>
        </w:rPr>
      </w:pPr>
    </w:p>
    <w:p w:rsidR="003F11B1" w:rsidRPr="00311399" w:rsidRDefault="003F11B1" w:rsidP="006655D3">
      <w:pPr>
        <w:rPr>
          <w:lang w:val="fr-CH"/>
        </w:rPr>
      </w:pPr>
    </w:p>
  </w:endnote>
  <w:endnote w:type="continuationNotice" w:id="1">
    <w:p w:rsidR="003F11B1" w:rsidRPr="00311399" w:rsidRDefault="003F11B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F11B1" w:rsidRPr="00311399" w:rsidRDefault="003F11B1" w:rsidP="006655D3">
      <w:pPr>
        <w:rPr>
          <w:lang w:val="fr-CH"/>
        </w:rPr>
      </w:pPr>
    </w:p>
    <w:p w:rsidR="003F11B1" w:rsidRPr="00311399" w:rsidRDefault="003F11B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B1" w:rsidRDefault="003F11B1" w:rsidP="006655D3">
      <w:r>
        <w:separator/>
      </w:r>
    </w:p>
  </w:footnote>
  <w:footnote w:type="continuationSeparator" w:id="0">
    <w:p w:rsidR="003F11B1" w:rsidRDefault="003F11B1" w:rsidP="006655D3">
      <w:r>
        <w:separator/>
      </w:r>
    </w:p>
    <w:p w:rsidR="003F11B1" w:rsidRPr="00311399" w:rsidRDefault="003F11B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3F11B1" w:rsidRPr="00311399" w:rsidRDefault="003F11B1" w:rsidP="006655D3">
      <w:pPr>
        <w:rPr>
          <w:lang w:val="fr-CH"/>
        </w:rPr>
      </w:pPr>
    </w:p>
    <w:p w:rsidR="003F11B1" w:rsidRPr="00311399" w:rsidRDefault="003F11B1" w:rsidP="006655D3">
      <w:pPr>
        <w:rPr>
          <w:lang w:val="fr-CH"/>
        </w:rPr>
      </w:pPr>
    </w:p>
    <w:p w:rsidR="003F11B1" w:rsidRPr="00311399" w:rsidRDefault="003F11B1" w:rsidP="006655D3">
      <w:pPr>
        <w:rPr>
          <w:lang w:val="fr-CH"/>
        </w:rPr>
      </w:pPr>
    </w:p>
  </w:footnote>
  <w:footnote w:type="continuationNotice" w:id="1">
    <w:p w:rsidR="003F11B1" w:rsidRPr="00311399" w:rsidRDefault="003F11B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F11B1" w:rsidRPr="00311399" w:rsidRDefault="003F11B1" w:rsidP="006655D3">
      <w:pPr>
        <w:rPr>
          <w:lang w:val="fr-CH"/>
        </w:rPr>
      </w:pPr>
    </w:p>
    <w:p w:rsidR="003F11B1" w:rsidRPr="00311399" w:rsidRDefault="003F11B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8000"/>
      </w:rPr>
      <w:id w:val="-1450540676"/>
      <w:docPartObj>
        <w:docPartGallery w:val="Page Numbers (Top of Page)"/>
        <w:docPartUnique/>
      </w:docPartObj>
    </w:sdtPr>
    <w:sdtEndPr>
      <w:rPr>
        <w:noProof/>
        <w:color w:val="auto"/>
      </w:rPr>
    </w:sdtEndPr>
    <w:sdtContent>
      <w:p w:rsidR="00BE4B61" w:rsidRPr="007A4E6A" w:rsidRDefault="00FB2C02" w:rsidP="00FB2C02">
        <w:pPr>
          <w:pStyle w:val="Header"/>
          <w:rPr>
            <w:lang w:val="en-US" w:eastAsia="ja-JP"/>
          </w:rPr>
        </w:pPr>
        <w:r w:rsidRPr="007A4E6A">
          <w:t>TC/51/17</w:t>
        </w:r>
      </w:p>
      <w:p w:rsidR="00BE4B61" w:rsidRPr="007A4E6A" w:rsidRDefault="00FB2C02" w:rsidP="00FB2C02">
        <w:pPr>
          <w:pStyle w:val="Header"/>
          <w:rPr>
            <w:lang w:val="en-US"/>
          </w:rPr>
        </w:pPr>
        <w:r w:rsidRPr="007A4E6A">
          <w:rPr>
            <w:lang w:val="en-US"/>
          </w:rPr>
          <w:t>Page</w:t>
        </w:r>
        <w:r w:rsidR="00BE4B61" w:rsidRPr="007A4E6A">
          <w:rPr>
            <w:lang w:val="en-US"/>
          </w:rPr>
          <w:t xml:space="preserve"> </w:t>
        </w:r>
        <w:r w:rsidR="00BE4B61" w:rsidRPr="007A4E6A">
          <w:fldChar w:fldCharType="begin"/>
        </w:r>
        <w:r w:rsidR="00BE4B61" w:rsidRPr="007A4E6A">
          <w:rPr>
            <w:lang w:val="en-US"/>
          </w:rPr>
          <w:instrText xml:space="preserve"> PAGE   \* MERGEFORMAT </w:instrText>
        </w:r>
        <w:r w:rsidR="00BE4B61" w:rsidRPr="007A4E6A">
          <w:fldChar w:fldCharType="separate"/>
        </w:r>
        <w:r w:rsidR="008455FC">
          <w:rPr>
            <w:noProof/>
            <w:lang w:val="en-US"/>
          </w:rPr>
          <w:t>3</w:t>
        </w:r>
        <w:r w:rsidR="00BE4B61" w:rsidRPr="007A4E6A">
          <w:rPr>
            <w:noProof/>
          </w:rPr>
          <w:fldChar w:fldCharType="end"/>
        </w:r>
      </w:p>
    </w:sdtContent>
  </w:sdt>
  <w:p w:rsidR="00BE4B61" w:rsidRPr="007A4E6A" w:rsidRDefault="00BE4B61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00"/>
      </w:rPr>
      <w:id w:val="1666968401"/>
      <w:docPartObj>
        <w:docPartGallery w:val="Page Numbers (Top of Page)"/>
        <w:docPartUnique/>
      </w:docPartObj>
    </w:sdtPr>
    <w:sdtEndPr>
      <w:rPr>
        <w:noProof/>
        <w:color w:val="auto"/>
      </w:rPr>
    </w:sdtEndPr>
    <w:sdtContent>
      <w:p w:rsidR="00F32D39" w:rsidRDefault="00FB2C02" w:rsidP="00FB2C02">
        <w:pPr>
          <w:pStyle w:val="Header"/>
          <w:rPr>
            <w:lang w:eastAsia="ja-JP"/>
          </w:rPr>
        </w:pPr>
        <w:r w:rsidRPr="00FB2C02">
          <w:rPr>
            <w:color w:val="808000"/>
          </w:rPr>
          <w:t>TC/51/</w:t>
        </w:r>
        <w:r w:rsidRPr="00FB2C02">
          <w:rPr>
            <w:color w:val="000000"/>
          </w:rPr>
          <w:t>1</w:t>
        </w:r>
        <w:r>
          <w:t>7</w:t>
        </w:r>
        <w:r w:rsidR="00BE4B61">
          <w:rPr>
            <w:rFonts w:hint="eastAsia"/>
            <w:lang w:eastAsia="ja-JP"/>
          </w:rPr>
          <w:t>7</w:t>
        </w:r>
      </w:p>
      <w:p w:rsidR="00F32D39" w:rsidRDefault="00FB2C02" w:rsidP="00FB2C02">
        <w:pPr>
          <w:pStyle w:val="Header"/>
        </w:pPr>
        <w:r w:rsidRPr="00FB2C02">
          <w:rPr>
            <w:color w:val="808000"/>
          </w:rPr>
          <w:t xml:space="preserve">Annexe, </w:t>
        </w:r>
        <w:proofErr w:type="spellStart"/>
        <w:r w:rsidRPr="00FB2C02">
          <w:rPr>
            <w:color w:val="808000"/>
          </w:rPr>
          <w:t>page</w:t>
        </w:r>
        <w:proofErr w:type="spellEnd"/>
        <w:r w:rsidR="00F32D39">
          <w:fldChar w:fldCharType="begin"/>
        </w:r>
        <w:r w:rsidR="00F32D39">
          <w:instrText xml:space="preserve"> PAGE   \* MERGEFORMAT </w:instrText>
        </w:r>
        <w:r w:rsidR="00F32D39">
          <w:fldChar w:fldCharType="separate"/>
        </w:r>
        <w:r w:rsidR="00057277">
          <w:rPr>
            <w:noProof/>
          </w:rPr>
          <w:t>1</w:t>
        </w:r>
        <w:r w:rsidR="00F32D39">
          <w:rPr>
            <w:noProof/>
          </w:rPr>
          <w:fldChar w:fldCharType="end"/>
        </w:r>
      </w:p>
    </w:sdtContent>
  </w:sdt>
  <w:p w:rsidR="00F32D39" w:rsidRPr="00E96CD3" w:rsidRDefault="00F32D3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39" w:rsidRPr="00C616F4" w:rsidRDefault="00F32D39">
    <w:pPr>
      <w:pStyle w:val="Header"/>
      <w:rPr>
        <w:lang w:val="en-US" w:eastAsia="ja-JP"/>
      </w:rPr>
    </w:pPr>
    <w:r w:rsidRPr="00C616F4">
      <w:rPr>
        <w:lang w:val="en-US"/>
      </w:rPr>
      <w:t>T</w:t>
    </w:r>
    <w:r>
      <w:rPr>
        <w:lang w:val="en-US"/>
      </w:rPr>
      <w:t>C/5</w:t>
    </w:r>
    <w:r>
      <w:rPr>
        <w:rFonts w:hint="eastAsia"/>
        <w:lang w:val="en-US" w:eastAsia="ja-JP"/>
      </w:rPr>
      <w:t>1</w:t>
    </w:r>
    <w:r>
      <w:rPr>
        <w:lang w:val="en-US"/>
      </w:rPr>
      <w:t>/</w:t>
    </w:r>
    <w:r>
      <w:rPr>
        <w:rFonts w:hint="eastAsia"/>
        <w:lang w:val="en-US" w:eastAsia="ja-JP"/>
      </w:rPr>
      <w:t>19</w:t>
    </w:r>
  </w:p>
  <w:p w:rsidR="00F32D39" w:rsidRDefault="00F32D39">
    <w:pPr>
      <w:pStyle w:val="Header"/>
      <w:rPr>
        <w:lang w:val="en-US" w:eastAsia="ja-JP"/>
      </w:rPr>
    </w:pPr>
  </w:p>
  <w:p w:rsidR="00F32D39" w:rsidRPr="00C616F4" w:rsidRDefault="00F32D39">
    <w:pPr>
      <w:pStyle w:val="Header"/>
      <w:rPr>
        <w:lang w:val="en-US" w:eastAsia="ja-JP"/>
      </w:rPr>
    </w:pPr>
    <w:r>
      <w:rPr>
        <w:rFonts w:hint="eastAsia"/>
        <w:lang w:val="en-US" w:eastAsia="ja-JP"/>
      </w:rPr>
      <w:t>ANNEX</w:t>
    </w:r>
    <w:r>
      <w:rPr>
        <w:lang w:val="en-US"/>
      </w:rPr>
      <w:t xml:space="preserve"> I</w:t>
    </w:r>
    <w:r>
      <w:rPr>
        <w:rFonts w:hint="eastAsia"/>
        <w:lang w:val="en-US" w:eastAsia="ja-JP"/>
      </w:rPr>
      <w:t>I</w:t>
    </w:r>
  </w:p>
  <w:p w:rsidR="00F32D39" w:rsidRPr="00824A90" w:rsidRDefault="00F32D39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00"/>
      </w:rPr>
      <w:id w:val="674225819"/>
      <w:docPartObj>
        <w:docPartGallery w:val="Page Numbers (Top of Page)"/>
        <w:docPartUnique/>
      </w:docPartObj>
    </w:sdtPr>
    <w:sdtEndPr>
      <w:rPr>
        <w:noProof/>
        <w:color w:val="auto"/>
      </w:rPr>
    </w:sdtEndPr>
    <w:sdtContent>
      <w:p w:rsidR="00BE4B61" w:rsidRPr="007A4E6A" w:rsidRDefault="00FB2C02" w:rsidP="00FB2C02">
        <w:pPr>
          <w:pStyle w:val="Header"/>
          <w:rPr>
            <w:lang w:eastAsia="ja-JP"/>
          </w:rPr>
        </w:pPr>
        <w:r w:rsidRPr="007A4E6A">
          <w:t>TC/51/17</w:t>
        </w:r>
      </w:p>
      <w:p w:rsidR="00BE4B61" w:rsidRPr="007A4E6A" w:rsidRDefault="00FB2C02" w:rsidP="00FB2C02">
        <w:pPr>
          <w:pStyle w:val="Header"/>
        </w:pPr>
        <w:r w:rsidRPr="007A4E6A">
          <w:rPr>
            <w:lang w:eastAsia="ja-JP"/>
          </w:rPr>
          <w:t>Annexe, page</w:t>
        </w:r>
        <w:r w:rsidR="00BE4B61" w:rsidRPr="007A4E6A">
          <w:rPr>
            <w:rFonts w:hint="eastAsia"/>
            <w:lang w:eastAsia="ja-JP"/>
          </w:rPr>
          <w:t xml:space="preserve"> </w:t>
        </w:r>
        <w:r w:rsidR="00BE4B61" w:rsidRPr="007A4E6A">
          <w:fldChar w:fldCharType="begin"/>
        </w:r>
        <w:r w:rsidR="00BE4B61" w:rsidRPr="007A4E6A">
          <w:instrText xml:space="preserve"> PAGE   \* MERGEFORMAT </w:instrText>
        </w:r>
        <w:r w:rsidR="00BE4B61" w:rsidRPr="007A4E6A">
          <w:fldChar w:fldCharType="separate"/>
        </w:r>
        <w:r w:rsidR="008455FC">
          <w:rPr>
            <w:noProof/>
          </w:rPr>
          <w:t>8</w:t>
        </w:r>
        <w:r w:rsidR="00BE4B61" w:rsidRPr="007A4E6A">
          <w:rPr>
            <w:noProof/>
          </w:rPr>
          <w:fldChar w:fldCharType="end"/>
        </w:r>
      </w:p>
    </w:sdtContent>
  </w:sdt>
  <w:p w:rsidR="00BE4B61" w:rsidRPr="00E96CD3" w:rsidRDefault="00BE4B61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61" w:rsidRPr="00C616F4" w:rsidRDefault="00BE4B61">
    <w:pPr>
      <w:pStyle w:val="Header"/>
      <w:rPr>
        <w:lang w:val="en-US" w:eastAsia="ja-JP"/>
      </w:rPr>
    </w:pPr>
    <w:r w:rsidRPr="00C616F4">
      <w:rPr>
        <w:lang w:val="en-US"/>
      </w:rPr>
      <w:t>T</w:t>
    </w:r>
    <w:r>
      <w:rPr>
        <w:lang w:val="en-US"/>
      </w:rPr>
      <w:t>C/5</w:t>
    </w:r>
    <w:r>
      <w:rPr>
        <w:rFonts w:hint="eastAsia"/>
        <w:lang w:val="en-US" w:eastAsia="ja-JP"/>
      </w:rPr>
      <w:t>1</w:t>
    </w:r>
    <w:r>
      <w:rPr>
        <w:lang w:val="en-US"/>
      </w:rPr>
      <w:t>/</w:t>
    </w:r>
    <w:r>
      <w:rPr>
        <w:rFonts w:hint="eastAsia"/>
        <w:lang w:val="en-US" w:eastAsia="ja-JP"/>
      </w:rPr>
      <w:t>17</w:t>
    </w:r>
  </w:p>
  <w:p w:rsidR="00BE4B61" w:rsidRDefault="00BE4B61">
    <w:pPr>
      <w:pStyle w:val="Header"/>
      <w:rPr>
        <w:lang w:val="en-US" w:eastAsia="ja-JP"/>
      </w:rPr>
    </w:pPr>
  </w:p>
  <w:p w:rsidR="00BE4B61" w:rsidRPr="00C616F4" w:rsidRDefault="00BE4B61">
    <w:pPr>
      <w:pStyle w:val="Header"/>
      <w:rPr>
        <w:lang w:val="en-US" w:eastAsia="ja-JP"/>
      </w:rPr>
    </w:pPr>
    <w:r>
      <w:rPr>
        <w:rFonts w:hint="eastAsia"/>
        <w:lang w:val="en-US" w:eastAsia="ja-JP"/>
      </w:rPr>
      <w:t>ANNEX</w:t>
    </w:r>
    <w:r w:rsidR="00B75BE3">
      <w:rPr>
        <w:lang w:val="en-US" w:eastAsia="ja-JP"/>
      </w:rPr>
      <w:t>E</w:t>
    </w:r>
  </w:p>
  <w:p w:rsidR="00BE4B61" w:rsidRPr="00824A90" w:rsidRDefault="00BE4B6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135"/>
    <w:multiLevelType w:val="hybridMultilevel"/>
    <w:tmpl w:val="4FAE2F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FA79D6"/>
    <w:multiLevelType w:val="hybridMultilevel"/>
    <w:tmpl w:val="AE64E37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146ED"/>
    <w:multiLevelType w:val="hybridMultilevel"/>
    <w:tmpl w:val="7860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6325"/>
    <w:multiLevelType w:val="hybridMultilevel"/>
    <w:tmpl w:val="202EEADE"/>
    <w:lvl w:ilvl="0" w:tplc="2CE21FF4">
      <w:start w:val="1"/>
      <w:numFmt w:val="lowerLetter"/>
      <w:lvlText w:val="%1)"/>
      <w:lvlJc w:val="left"/>
      <w:pPr>
        <w:ind w:left="54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">
    <w:nsid w:val="38F84A98"/>
    <w:multiLevelType w:val="hybridMultilevel"/>
    <w:tmpl w:val="CAF467B4"/>
    <w:lvl w:ilvl="0" w:tplc="F7AE60F4">
      <w:start w:val="1"/>
      <w:numFmt w:val="lowerLetter"/>
      <w:lvlText w:val="%1)"/>
      <w:lvlJc w:val="left"/>
      <w:pPr>
        <w:ind w:left="51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71" w:hanging="360"/>
      </w:pPr>
    </w:lvl>
    <w:lvl w:ilvl="2" w:tplc="0409001B" w:tentative="1">
      <w:start w:val="1"/>
      <w:numFmt w:val="lowerRoman"/>
      <w:lvlText w:val="%3."/>
      <w:lvlJc w:val="right"/>
      <w:pPr>
        <w:ind w:left="6591" w:hanging="180"/>
      </w:pPr>
    </w:lvl>
    <w:lvl w:ilvl="3" w:tplc="0409000F" w:tentative="1">
      <w:start w:val="1"/>
      <w:numFmt w:val="decimal"/>
      <w:lvlText w:val="%4."/>
      <w:lvlJc w:val="left"/>
      <w:pPr>
        <w:ind w:left="7311" w:hanging="360"/>
      </w:pPr>
    </w:lvl>
    <w:lvl w:ilvl="4" w:tplc="04090019" w:tentative="1">
      <w:start w:val="1"/>
      <w:numFmt w:val="lowerLetter"/>
      <w:lvlText w:val="%5."/>
      <w:lvlJc w:val="left"/>
      <w:pPr>
        <w:ind w:left="8031" w:hanging="360"/>
      </w:pPr>
    </w:lvl>
    <w:lvl w:ilvl="5" w:tplc="0409001B" w:tentative="1">
      <w:start w:val="1"/>
      <w:numFmt w:val="lowerRoman"/>
      <w:lvlText w:val="%6."/>
      <w:lvlJc w:val="right"/>
      <w:pPr>
        <w:ind w:left="8751" w:hanging="180"/>
      </w:pPr>
    </w:lvl>
    <w:lvl w:ilvl="6" w:tplc="0409000F" w:tentative="1">
      <w:start w:val="1"/>
      <w:numFmt w:val="decimal"/>
      <w:lvlText w:val="%7."/>
      <w:lvlJc w:val="left"/>
      <w:pPr>
        <w:ind w:left="9471" w:hanging="360"/>
      </w:pPr>
    </w:lvl>
    <w:lvl w:ilvl="7" w:tplc="04090019" w:tentative="1">
      <w:start w:val="1"/>
      <w:numFmt w:val="lowerLetter"/>
      <w:lvlText w:val="%8."/>
      <w:lvlJc w:val="left"/>
      <w:pPr>
        <w:ind w:left="10191" w:hanging="360"/>
      </w:pPr>
    </w:lvl>
    <w:lvl w:ilvl="8" w:tplc="0409001B" w:tentative="1">
      <w:start w:val="1"/>
      <w:numFmt w:val="lowerRoman"/>
      <w:lvlText w:val="%9."/>
      <w:lvlJc w:val="right"/>
      <w:pPr>
        <w:ind w:left="10911" w:hanging="180"/>
      </w:pPr>
    </w:lvl>
  </w:abstractNum>
  <w:abstractNum w:abstractNumId="5">
    <w:nsid w:val="3A0A5D67"/>
    <w:multiLevelType w:val="hybridMultilevel"/>
    <w:tmpl w:val="E6E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0636B"/>
    <w:multiLevelType w:val="hybridMultilevel"/>
    <w:tmpl w:val="0F50C4EC"/>
    <w:lvl w:ilvl="0" w:tplc="A0D0C25E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551C50FE"/>
    <w:multiLevelType w:val="hybridMultilevel"/>
    <w:tmpl w:val="1A56A262"/>
    <w:lvl w:ilvl="0" w:tplc="2A1AAAF6">
      <w:start w:val="1"/>
      <w:numFmt w:val="lowerLetter"/>
      <w:lvlText w:val="%1)"/>
      <w:lvlJc w:val="left"/>
      <w:pPr>
        <w:ind w:left="51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555859C5"/>
    <w:multiLevelType w:val="hybridMultilevel"/>
    <w:tmpl w:val="220EE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3F2123"/>
    <w:multiLevelType w:val="hybridMultilevel"/>
    <w:tmpl w:val="00040C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D7921"/>
    <w:multiLevelType w:val="hybridMultilevel"/>
    <w:tmpl w:val="99828420"/>
    <w:lvl w:ilvl="0" w:tplc="08BA1A84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>
    <w:nsid w:val="6A493B7D"/>
    <w:multiLevelType w:val="hybridMultilevel"/>
    <w:tmpl w:val="C756DE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E2D58"/>
    <w:multiLevelType w:val="hybridMultilevel"/>
    <w:tmpl w:val="779AA96C"/>
    <w:lvl w:ilvl="0" w:tplc="B14AE9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95830"/>
    <w:multiLevelType w:val="hybridMultilevel"/>
    <w:tmpl w:val="87DECA42"/>
    <w:lvl w:ilvl="0" w:tplc="F23A249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4">
    <w:nsid w:val="756E3FB5"/>
    <w:multiLevelType w:val="hybridMultilevel"/>
    <w:tmpl w:val="6BE23D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214FD4"/>
    <w:multiLevelType w:val="hybridMultilevel"/>
    <w:tmpl w:val="710C5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0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15"/>
  </w:num>
  <w:num w:numId="13">
    <w:abstractNumId w:val="6"/>
  </w:num>
  <w:num w:numId="14">
    <w:abstractNumId w:val="13"/>
  </w:num>
  <w:num w:numId="15">
    <w:abstractNumId w:val="4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UPOV_Beta"/>
    <w:docVar w:name="TermBaseURL" w:val="empty"/>
    <w:docVar w:name="TextBases" w:val="UPOV\Meetings|UPOV\Publications|UPOV\Technical Guidelines|UPOV\Other|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WO_CC|WorkspaceFTS\EN-FR\WO_GA|WorkspaceFTS\EN-FR\WO_PBC|WorkspaceFTS\EN-FR\UPOV|Glossaries\EN-FR|Treaties\Model Laws|Treaties\Other Laws and Agreements|Treaties\WIPO-administered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|Trademarks\Meetings|Trademarks\Other|Trademarks\Publications"/>
    <w:docVar w:name="TextBaseURL" w:val="empty"/>
    <w:docVar w:name="UILng" w:val="en"/>
  </w:docVars>
  <w:rsids>
    <w:rsidRoot w:val="0077020F"/>
    <w:rsid w:val="000036DA"/>
    <w:rsid w:val="00010CF3"/>
    <w:rsid w:val="000118AD"/>
    <w:rsid w:val="00011E27"/>
    <w:rsid w:val="000148BC"/>
    <w:rsid w:val="00024AB8"/>
    <w:rsid w:val="00030854"/>
    <w:rsid w:val="00036028"/>
    <w:rsid w:val="00036F8F"/>
    <w:rsid w:val="00044642"/>
    <w:rsid w:val="000446B9"/>
    <w:rsid w:val="00047E21"/>
    <w:rsid w:val="00050F06"/>
    <w:rsid w:val="00057277"/>
    <w:rsid w:val="00081C5B"/>
    <w:rsid w:val="00083EE0"/>
    <w:rsid w:val="00085505"/>
    <w:rsid w:val="00087B0E"/>
    <w:rsid w:val="00097D5C"/>
    <w:rsid w:val="000C23A8"/>
    <w:rsid w:val="000C7021"/>
    <w:rsid w:val="000C7985"/>
    <w:rsid w:val="000C7C99"/>
    <w:rsid w:val="000D6BBC"/>
    <w:rsid w:val="000D7780"/>
    <w:rsid w:val="000F307E"/>
    <w:rsid w:val="000F5750"/>
    <w:rsid w:val="00103733"/>
    <w:rsid w:val="00105929"/>
    <w:rsid w:val="001131D5"/>
    <w:rsid w:val="00121372"/>
    <w:rsid w:val="001220FC"/>
    <w:rsid w:val="00125EFC"/>
    <w:rsid w:val="00131CDE"/>
    <w:rsid w:val="00141DB8"/>
    <w:rsid w:val="00165CF3"/>
    <w:rsid w:val="0017474A"/>
    <w:rsid w:val="001758C6"/>
    <w:rsid w:val="00182B99"/>
    <w:rsid w:val="001A4241"/>
    <w:rsid w:val="001A48C9"/>
    <w:rsid w:val="001E30F9"/>
    <w:rsid w:val="002126CE"/>
    <w:rsid w:val="0021332C"/>
    <w:rsid w:val="00213982"/>
    <w:rsid w:val="002205C0"/>
    <w:rsid w:val="0024416D"/>
    <w:rsid w:val="002446EF"/>
    <w:rsid w:val="00246A94"/>
    <w:rsid w:val="00266165"/>
    <w:rsid w:val="002733BD"/>
    <w:rsid w:val="002800A0"/>
    <w:rsid w:val="002801B3"/>
    <w:rsid w:val="00281060"/>
    <w:rsid w:val="002940E8"/>
    <w:rsid w:val="002A6E50"/>
    <w:rsid w:val="002C0481"/>
    <w:rsid w:val="002C256A"/>
    <w:rsid w:val="002C30F1"/>
    <w:rsid w:val="002C42D2"/>
    <w:rsid w:val="002C659F"/>
    <w:rsid w:val="002D0191"/>
    <w:rsid w:val="002F2BDB"/>
    <w:rsid w:val="00305A7F"/>
    <w:rsid w:val="00311399"/>
    <w:rsid w:val="00311D6F"/>
    <w:rsid w:val="003152FE"/>
    <w:rsid w:val="00327436"/>
    <w:rsid w:val="00330A7F"/>
    <w:rsid w:val="00344BD6"/>
    <w:rsid w:val="0035528D"/>
    <w:rsid w:val="00360F9B"/>
    <w:rsid w:val="00361821"/>
    <w:rsid w:val="00381028"/>
    <w:rsid w:val="003907AB"/>
    <w:rsid w:val="003A173D"/>
    <w:rsid w:val="003B212C"/>
    <w:rsid w:val="003B450F"/>
    <w:rsid w:val="003D227C"/>
    <w:rsid w:val="003D2B4D"/>
    <w:rsid w:val="003D620E"/>
    <w:rsid w:val="003D692A"/>
    <w:rsid w:val="003E174C"/>
    <w:rsid w:val="003F11B1"/>
    <w:rsid w:val="00444A88"/>
    <w:rsid w:val="00445C86"/>
    <w:rsid w:val="0047445B"/>
    <w:rsid w:val="00474DA4"/>
    <w:rsid w:val="00476B4D"/>
    <w:rsid w:val="004805FA"/>
    <w:rsid w:val="00484C03"/>
    <w:rsid w:val="00484DE7"/>
    <w:rsid w:val="00486903"/>
    <w:rsid w:val="00494A5B"/>
    <w:rsid w:val="004B5437"/>
    <w:rsid w:val="004D047D"/>
    <w:rsid w:val="004D3B68"/>
    <w:rsid w:val="004F158B"/>
    <w:rsid w:val="004F305A"/>
    <w:rsid w:val="00512164"/>
    <w:rsid w:val="00517AEB"/>
    <w:rsid w:val="00520297"/>
    <w:rsid w:val="00520DB0"/>
    <w:rsid w:val="00523791"/>
    <w:rsid w:val="005338F9"/>
    <w:rsid w:val="00535EE4"/>
    <w:rsid w:val="0054281C"/>
    <w:rsid w:val="005429B9"/>
    <w:rsid w:val="0055268D"/>
    <w:rsid w:val="00552D96"/>
    <w:rsid w:val="0056340D"/>
    <w:rsid w:val="00576BE4"/>
    <w:rsid w:val="0059249A"/>
    <w:rsid w:val="005A400A"/>
    <w:rsid w:val="005B1497"/>
    <w:rsid w:val="00612379"/>
    <w:rsid w:val="0061555F"/>
    <w:rsid w:val="00616CF7"/>
    <w:rsid w:val="006219D9"/>
    <w:rsid w:val="00624332"/>
    <w:rsid w:val="00641200"/>
    <w:rsid w:val="00655FE0"/>
    <w:rsid w:val="006655D3"/>
    <w:rsid w:val="00682F1A"/>
    <w:rsid w:val="00687EB4"/>
    <w:rsid w:val="006A6302"/>
    <w:rsid w:val="006B17D2"/>
    <w:rsid w:val="006B3329"/>
    <w:rsid w:val="006B6D27"/>
    <w:rsid w:val="006C12EE"/>
    <w:rsid w:val="006C224E"/>
    <w:rsid w:val="006D780A"/>
    <w:rsid w:val="006F5579"/>
    <w:rsid w:val="007134AC"/>
    <w:rsid w:val="00721915"/>
    <w:rsid w:val="00732DEC"/>
    <w:rsid w:val="0073381B"/>
    <w:rsid w:val="00735BD5"/>
    <w:rsid w:val="007556F6"/>
    <w:rsid w:val="00760EEF"/>
    <w:rsid w:val="0077020F"/>
    <w:rsid w:val="00777EE5"/>
    <w:rsid w:val="00784836"/>
    <w:rsid w:val="0079023E"/>
    <w:rsid w:val="007952F0"/>
    <w:rsid w:val="00797416"/>
    <w:rsid w:val="007A2854"/>
    <w:rsid w:val="007A4E6A"/>
    <w:rsid w:val="007D06FE"/>
    <w:rsid w:val="007D0B9D"/>
    <w:rsid w:val="007D19B0"/>
    <w:rsid w:val="007F027D"/>
    <w:rsid w:val="007F498F"/>
    <w:rsid w:val="0080679D"/>
    <w:rsid w:val="008108B0"/>
    <w:rsid w:val="00811B20"/>
    <w:rsid w:val="008129EA"/>
    <w:rsid w:val="0082296E"/>
    <w:rsid w:val="00824099"/>
    <w:rsid w:val="00824A90"/>
    <w:rsid w:val="00825450"/>
    <w:rsid w:val="00825737"/>
    <w:rsid w:val="0083385A"/>
    <w:rsid w:val="0083600D"/>
    <w:rsid w:val="008455FC"/>
    <w:rsid w:val="00845C94"/>
    <w:rsid w:val="00847699"/>
    <w:rsid w:val="00864082"/>
    <w:rsid w:val="00867AC1"/>
    <w:rsid w:val="008753AD"/>
    <w:rsid w:val="008904E8"/>
    <w:rsid w:val="008A743F"/>
    <w:rsid w:val="008C0970"/>
    <w:rsid w:val="008C452D"/>
    <w:rsid w:val="008C5CDB"/>
    <w:rsid w:val="008D0460"/>
    <w:rsid w:val="008D2CF7"/>
    <w:rsid w:val="00900C26"/>
    <w:rsid w:val="0090197F"/>
    <w:rsid w:val="00906DDC"/>
    <w:rsid w:val="00934E09"/>
    <w:rsid w:val="00936253"/>
    <w:rsid w:val="00952DD4"/>
    <w:rsid w:val="00961164"/>
    <w:rsid w:val="00970FED"/>
    <w:rsid w:val="00973986"/>
    <w:rsid w:val="009849D2"/>
    <w:rsid w:val="00997029"/>
    <w:rsid w:val="009A0C21"/>
    <w:rsid w:val="009D690D"/>
    <w:rsid w:val="009E5484"/>
    <w:rsid w:val="009E571A"/>
    <w:rsid w:val="009E65B6"/>
    <w:rsid w:val="00A34CE5"/>
    <w:rsid w:val="00A350F8"/>
    <w:rsid w:val="00A42AC3"/>
    <w:rsid w:val="00A430CF"/>
    <w:rsid w:val="00A54309"/>
    <w:rsid w:val="00A63CBC"/>
    <w:rsid w:val="00A67DE6"/>
    <w:rsid w:val="00A70248"/>
    <w:rsid w:val="00A83496"/>
    <w:rsid w:val="00A90CA8"/>
    <w:rsid w:val="00A95EF0"/>
    <w:rsid w:val="00AB2B93"/>
    <w:rsid w:val="00AB7E5B"/>
    <w:rsid w:val="00AC360C"/>
    <w:rsid w:val="00AD25A3"/>
    <w:rsid w:val="00AD736F"/>
    <w:rsid w:val="00AE0EF1"/>
    <w:rsid w:val="00AE1D00"/>
    <w:rsid w:val="00AE2937"/>
    <w:rsid w:val="00AF673C"/>
    <w:rsid w:val="00B0125F"/>
    <w:rsid w:val="00B07301"/>
    <w:rsid w:val="00B224DE"/>
    <w:rsid w:val="00B24BA2"/>
    <w:rsid w:val="00B46575"/>
    <w:rsid w:val="00B52004"/>
    <w:rsid w:val="00B701C6"/>
    <w:rsid w:val="00B74253"/>
    <w:rsid w:val="00B75BE3"/>
    <w:rsid w:val="00B81376"/>
    <w:rsid w:val="00B84BBD"/>
    <w:rsid w:val="00B85539"/>
    <w:rsid w:val="00BA43FB"/>
    <w:rsid w:val="00BC127D"/>
    <w:rsid w:val="00BC1FE6"/>
    <w:rsid w:val="00BC4D5F"/>
    <w:rsid w:val="00BE4B61"/>
    <w:rsid w:val="00BF3687"/>
    <w:rsid w:val="00C01157"/>
    <w:rsid w:val="00C061B6"/>
    <w:rsid w:val="00C2446C"/>
    <w:rsid w:val="00C33DF3"/>
    <w:rsid w:val="00C36AE5"/>
    <w:rsid w:val="00C41F17"/>
    <w:rsid w:val="00C5280D"/>
    <w:rsid w:val="00C5791C"/>
    <w:rsid w:val="00C616F4"/>
    <w:rsid w:val="00C65407"/>
    <w:rsid w:val="00C66290"/>
    <w:rsid w:val="00C72B7A"/>
    <w:rsid w:val="00C973F2"/>
    <w:rsid w:val="00CA304C"/>
    <w:rsid w:val="00CA774A"/>
    <w:rsid w:val="00CC021D"/>
    <w:rsid w:val="00CC11B0"/>
    <w:rsid w:val="00CC4009"/>
    <w:rsid w:val="00CD191E"/>
    <w:rsid w:val="00CF3C25"/>
    <w:rsid w:val="00CF7E36"/>
    <w:rsid w:val="00D0138F"/>
    <w:rsid w:val="00D0147A"/>
    <w:rsid w:val="00D01BEC"/>
    <w:rsid w:val="00D3708D"/>
    <w:rsid w:val="00D40426"/>
    <w:rsid w:val="00D5421D"/>
    <w:rsid w:val="00D57C96"/>
    <w:rsid w:val="00D73637"/>
    <w:rsid w:val="00D876B7"/>
    <w:rsid w:val="00D91203"/>
    <w:rsid w:val="00D95174"/>
    <w:rsid w:val="00DA059B"/>
    <w:rsid w:val="00DA6F36"/>
    <w:rsid w:val="00DB365A"/>
    <w:rsid w:val="00DB42EB"/>
    <w:rsid w:val="00DB596E"/>
    <w:rsid w:val="00DC00EA"/>
    <w:rsid w:val="00DD2520"/>
    <w:rsid w:val="00DD37A8"/>
    <w:rsid w:val="00DF0269"/>
    <w:rsid w:val="00DF6F05"/>
    <w:rsid w:val="00E01BFF"/>
    <w:rsid w:val="00E02775"/>
    <w:rsid w:val="00E04B68"/>
    <w:rsid w:val="00E32BF8"/>
    <w:rsid w:val="00E32F7E"/>
    <w:rsid w:val="00E40E17"/>
    <w:rsid w:val="00E6431B"/>
    <w:rsid w:val="00E72D49"/>
    <w:rsid w:val="00E7593C"/>
    <w:rsid w:val="00E7678A"/>
    <w:rsid w:val="00E90BAB"/>
    <w:rsid w:val="00E935F1"/>
    <w:rsid w:val="00E94A81"/>
    <w:rsid w:val="00E96CD3"/>
    <w:rsid w:val="00EA1FFB"/>
    <w:rsid w:val="00EA200E"/>
    <w:rsid w:val="00EB048E"/>
    <w:rsid w:val="00EC2A07"/>
    <w:rsid w:val="00ED11FC"/>
    <w:rsid w:val="00ED52D7"/>
    <w:rsid w:val="00EE34DF"/>
    <w:rsid w:val="00EF2F89"/>
    <w:rsid w:val="00F04802"/>
    <w:rsid w:val="00F1237A"/>
    <w:rsid w:val="00F22CBD"/>
    <w:rsid w:val="00F26D16"/>
    <w:rsid w:val="00F32D39"/>
    <w:rsid w:val="00F45372"/>
    <w:rsid w:val="00F560F7"/>
    <w:rsid w:val="00F6027A"/>
    <w:rsid w:val="00F6334D"/>
    <w:rsid w:val="00F72061"/>
    <w:rsid w:val="00F7283E"/>
    <w:rsid w:val="00F7420C"/>
    <w:rsid w:val="00FA49AB"/>
    <w:rsid w:val="00FB2C02"/>
    <w:rsid w:val="00FC1034"/>
    <w:rsid w:val="00FE39C7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08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6408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6408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64082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86408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64082"/>
    <w:rPr>
      <w:rFonts w:ascii="Arial" w:hAnsi="Arial"/>
      <w:i/>
      <w:sz w:val="18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6408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864082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864082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6408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864082"/>
    <w:rPr>
      <w:rFonts w:ascii="Arial" w:hAnsi="Arial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86408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864082"/>
    <w:rPr>
      <w:rFonts w:ascii="Arial" w:hAnsi="Arial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864082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86408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864082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36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60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64082"/>
    <w:pPr>
      <w:ind w:left="720"/>
      <w:contextualSpacing/>
    </w:pPr>
  </w:style>
  <w:style w:type="table" w:styleId="TableGrid">
    <w:name w:val="Table Grid"/>
    <w:basedOn w:val="TableNormal"/>
    <w:rsid w:val="00864082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64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082"/>
  </w:style>
  <w:style w:type="character" w:customStyle="1" w:styleId="CommentTextChar">
    <w:name w:val="Comment Text Char"/>
    <w:basedOn w:val="DefaultParagraphFont"/>
    <w:link w:val="CommentText"/>
    <w:rsid w:val="00864082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86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082"/>
    <w:rPr>
      <w:rFonts w:ascii="Arial" w:eastAsiaTheme="minorEastAsia" w:hAnsi="Arial"/>
      <w:b/>
      <w:bCs/>
    </w:rPr>
  </w:style>
  <w:style w:type="paragraph" w:customStyle="1" w:styleId="Default">
    <w:name w:val="Default"/>
    <w:rsid w:val="009E5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408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864082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64082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864082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86408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64082"/>
    <w:rPr>
      <w:rFonts w:ascii="Arial" w:hAnsi="Arial"/>
      <w:i/>
      <w:sz w:val="18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864082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basedOn w:val="DefaultParagraphFont"/>
    <w:link w:val="Footer"/>
    <w:rsid w:val="00864082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864082"/>
    <w:rPr>
      <w:rFonts w:ascii="Arial" w:hAnsi="Arial"/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64082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rsid w:val="00864082"/>
    <w:rPr>
      <w:rFonts w:ascii="Arial" w:hAnsi="Arial"/>
    </w:r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864082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rsid w:val="00864082"/>
    <w:rPr>
      <w:rFonts w:ascii="Arial" w:hAnsi="Arial"/>
    </w:r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basedOn w:val="DefaultParagraphFont"/>
    <w:link w:val="BodyText"/>
    <w:rsid w:val="00864082"/>
    <w:rPr>
      <w:rFonts w:ascii="Arial" w:hAnsi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customStyle="1" w:styleId="EndnoteTextChar">
    <w:name w:val="Endnote Text Char"/>
    <w:basedOn w:val="DefaultParagraphFont"/>
    <w:link w:val="EndnoteText"/>
    <w:semiHidden/>
    <w:rsid w:val="00864082"/>
    <w:rPr>
      <w:rFonts w:ascii="Arial" w:hAnsi="Arial"/>
    </w:rPr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basedOn w:val="DefaultParagraphFont"/>
    <w:link w:val="Date"/>
    <w:semiHidden/>
    <w:rsid w:val="00864082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70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020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AC36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C360C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64082"/>
    <w:pPr>
      <w:ind w:left="720"/>
      <w:contextualSpacing/>
    </w:pPr>
  </w:style>
  <w:style w:type="table" w:styleId="TableGrid">
    <w:name w:val="Table Grid"/>
    <w:basedOn w:val="TableNormal"/>
    <w:rsid w:val="00864082"/>
    <w:rPr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86408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64082"/>
  </w:style>
  <w:style w:type="character" w:customStyle="1" w:styleId="CommentTextChar">
    <w:name w:val="Comment Text Char"/>
    <w:basedOn w:val="DefaultParagraphFont"/>
    <w:link w:val="CommentText"/>
    <w:rsid w:val="00864082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864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4082"/>
    <w:rPr>
      <w:rFonts w:ascii="Arial" w:eastAsiaTheme="minorEastAsia" w:hAnsi="Arial"/>
      <w:b/>
      <w:bCs/>
    </w:rPr>
  </w:style>
  <w:style w:type="paragraph" w:customStyle="1" w:styleId="Default">
    <w:name w:val="Default"/>
    <w:rsid w:val="009E54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2.png"/><Relationship Id="rId5" Type="http://schemas.microsoft.com/office/2007/relationships/stylesWithEffects" Target="stylesWithEffect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header" Target="header4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4CD7-BA27-489F-B83E-16E3957166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8FA6E-EBE2-4C8D-B4DD-0577DE8C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11</Pages>
  <Words>1369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8906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FAVA Alexandra</dc:creator>
  <cp:keywords>CB/mhf</cp:keywords>
  <cp:lastModifiedBy>LONG Victoria</cp:lastModifiedBy>
  <cp:revision>11</cp:revision>
  <cp:lastPrinted>2015-03-11T11:26:00Z</cp:lastPrinted>
  <dcterms:created xsi:type="dcterms:W3CDTF">2015-03-05T10:14:00Z</dcterms:created>
  <dcterms:modified xsi:type="dcterms:W3CDTF">2015-03-11T11:27:00Z</dcterms:modified>
</cp:coreProperties>
</file>