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A6D30" w:rsidRPr="00651C69" w:rsidTr="00AA394F">
        <w:trPr>
          <w:trHeight w:val="1760"/>
        </w:trPr>
        <w:tc>
          <w:tcPr>
            <w:tcW w:w="4243" w:type="dxa"/>
          </w:tcPr>
          <w:p w:rsidR="00530EBA" w:rsidRPr="000A6D30" w:rsidRDefault="00530EBA" w:rsidP="000A6D30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530EBA" w:rsidRPr="000A6D30" w:rsidRDefault="00530EBA" w:rsidP="000A6D30">
            <w:pPr>
              <w:pStyle w:val="LogoUPOV"/>
              <w:rPr>
                <w:lang w:val="fr-FR"/>
              </w:rPr>
            </w:pPr>
            <w:r w:rsidRPr="000A6D30">
              <w:rPr>
                <w:noProof/>
              </w:rPr>
              <w:drawing>
                <wp:inline distT="0" distB="0" distL="0" distR="0" wp14:anchorId="692E7AA7" wp14:editId="3724407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30EBA" w:rsidRPr="000A6D30" w:rsidRDefault="00530EBA" w:rsidP="000A6D30">
            <w:pPr>
              <w:pStyle w:val="Lettrine"/>
              <w:spacing w:line="240" w:lineRule="auto"/>
              <w:rPr>
                <w:lang w:val="fr-FR"/>
              </w:rPr>
            </w:pPr>
            <w:r w:rsidRPr="000A6D30">
              <w:rPr>
                <w:lang w:val="fr-FR"/>
              </w:rPr>
              <w:t>F</w:t>
            </w:r>
          </w:p>
          <w:p w:rsidR="00530EBA" w:rsidRPr="000A6D30" w:rsidRDefault="00530EBA" w:rsidP="000A6D30">
            <w:pPr>
              <w:pStyle w:val="Docoriginal"/>
              <w:spacing w:line="240" w:lineRule="auto"/>
              <w:rPr>
                <w:lang w:val="fr-FR"/>
              </w:rPr>
            </w:pPr>
            <w:r w:rsidRPr="000A6D30">
              <w:rPr>
                <w:lang w:val="fr-FR"/>
              </w:rPr>
              <w:t>TC/51/</w:t>
            </w:r>
            <w:bookmarkStart w:id="0" w:name="Code"/>
            <w:bookmarkEnd w:id="0"/>
            <w:r w:rsidRPr="000A6D30">
              <w:rPr>
                <w:lang w:val="fr-FR"/>
              </w:rPr>
              <w:t>16</w:t>
            </w:r>
          </w:p>
          <w:p w:rsidR="00530EBA" w:rsidRPr="000A6D30" w:rsidRDefault="00530EBA" w:rsidP="000A6D30">
            <w:pPr>
              <w:pStyle w:val="Docoriginal"/>
              <w:spacing w:line="240" w:lineRule="auto"/>
              <w:rPr>
                <w:b w:val="0"/>
                <w:spacing w:val="0"/>
                <w:lang w:val="fr-FR"/>
              </w:rPr>
            </w:pPr>
            <w:r w:rsidRPr="000A6D30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947858" w:rsidRPr="000A6D30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0A6D30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0A6D30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0A6D30">
              <w:rPr>
                <w:b w:val="0"/>
                <w:spacing w:val="0"/>
                <w:lang w:val="fr-FR"/>
              </w:rPr>
              <w:t>anglais</w:t>
            </w:r>
          </w:p>
          <w:p w:rsidR="00530EBA" w:rsidRPr="000A6D30" w:rsidRDefault="00530EBA" w:rsidP="000A6D30">
            <w:pPr>
              <w:pStyle w:val="Docoriginal"/>
              <w:spacing w:line="240" w:lineRule="auto"/>
              <w:rPr>
                <w:lang w:val="fr-FR"/>
              </w:rPr>
            </w:pPr>
            <w:r w:rsidRPr="000A6D30">
              <w:rPr>
                <w:spacing w:val="0"/>
                <w:lang w:val="fr-FR"/>
              </w:rPr>
              <w:t>DATE</w:t>
            </w:r>
            <w:r w:rsidR="00947858" w:rsidRPr="000A6D30">
              <w:rPr>
                <w:spacing w:val="0"/>
                <w:lang w:val="fr-FR"/>
              </w:rPr>
              <w:t> </w:t>
            </w:r>
            <w:r w:rsidRPr="000A6D30">
              <w:rPr>
                <w:spacing w:val="0"/>
                <w:lang w:val="fr-FR"/>
              </w:rPr>
              <w:t>:</w:t>
            </w:r>
            <w:r w:rsidRPr="000A6D30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Pr="00651C69">
              <w:rPr>
                <w:b w:val="0"/>
                <w:spacing w:val="0"/>
                <w:lang w:val="fr-FR"/>
              </w:rPr>
              <w:t>1</w:t>
            </w:r>
            <w:r w:rsidR="00343EE5" w:rsidRPr="00651C69">
              <w:rPr>
                <w:b w:val="0"/>
                <w:spacing w:val="0"/>
                <w:lang w:val="fr-FR"/>
              </w:rPr>
              <w:t>1 février</w:t>
            </w:r>
            <w:r w:rsidRPr="00651C69">
              <w:rPr>
                <w:b w:val="0"/>
                <w:spacing w:val="0"/>
                <w:lang w:val="fr-FR"/>
              </w:rPr>
              <w:t> 2015</w:t>
            </w:r>
          </w:p>
        </w:tc>
      </w:tr>
      <w:tr w:rsidR="000A6D30" w:rsidRPr="00651C69" w:rsidTr="00AA394F">
        <w:tc>
          <w:tcPr>
            <w:tcW w:w="10131" w:type="dxa"/>
            <w:gridSpan w:val="3"/>
          </w:tcPr>
          <w:p w:rsidR="00530EBA" w:rsidRPr="000A6D30" w:rsidRDefault="00530EBA" w:rsidP="000A6D30">
            <w:pPr>
              <w:pStyle w:val="upove"/>
              <w:rPr>
                <w:sz w:val="28"/>
                <w:lang w:val="fr-FR"/>
              </w:rPr>
            </w:pPr>
            <w:r w:rsidRPr="000A6D30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A6D30" w:rsidRPr="000A6D30" w:rsidTr="00AA394F">
        <w:tc>
          <w:tcPr>
            <w:tcW w:w="10131" w:type="dxa"/>
            <w:gridSpan w:val="3"/>
          </w:tcPr>
          <w:p w:rsidR="00530EBA" w:rsidRPr="000A6D30" w:rsidRDefault="00530EBA" w:rsidP="000A6D30">
            <w:pPr>
              <w:pStyle w:val="Country"/>
              <w:rPr>
                <w:lang w:val="fr-FR"/>
              </w:rPr>
            </w:pPr>
            <w:r w:rsidRPr="000A6D30">
              <w:rPr>
                <w:lang w:val="fr-FR"/>
              </w:rPr>
              <w:t>Genève</w:t>
            </w:r>
          </w:p>
        </w:tc>
      </w:tr>
    </w:tbl>
    <w:p w:rsidR="00530EBA" w:rsidRPr="000A6D30" w:rsidRDefault="00530EBA" w:rsidP="000A6D30">
      <w:pPr>
        <w:pStyle w:val="Sessiontc"/>
        <w:rPr>
          <w:lang w:val="fr-FR"/>
        </w:rPr>
      </w:pPr>
      <w:r w:rsidRPr="000A6D30">
        <w:rPr>
          <w:lang w:val="fr-FR"/>
        </w:rPr>
        <w:t>Comité TECHNIQUE</w:t>
      </w:r>
    </w:p>
    <w:p w:rsidR="00530EBA" w:rsidRPr="000A6D30" w:rsidRDefault="00FF2E1F" w:rsidP="000A6D30">
      <w:pPr>
        <w:pStyle w:val="Sessiontcplacedate"/>
        <w:rPr>
          <w:lang w:val="fr-FR"/>
        </w:rPr>
      </w:pPr>
      <w:r w:rsidRPr="000A6D30">
        <w:rPr>
          <w:lang w:val="fr-FR"/>
        </w:rPr>
        <w:t>Cinquante et </w:t>
      </w:r>
      <w:r w:rsidR="00530EBA" w:rsidRPr="000A6D30">
        <w:rPr>
          <w:lang w:val="fr-FR"/>
        </w:rPr>
        <w:t>unième</w:t>
      </w:r>
      <w:r w:rsidR="00947858" w:rsidRPr="000A6D30">
        <w:rPr>
          <w:lang w:val="fr-FR"/>
        </w:rPr>
        <w:t> </w:t>
      </w:r>
      <w:r w:rsidR="00530EBA" w:rsidRPr="000A6D30">
        <w:rPr>
          <w:lang w:val="fr-FR"/>
        </w:rPr>
        <w:t xml:space="preserve">session </w:t>
      </w:r>
      <w:bookmarkStart w:id="3" w:name="_GoBack"/>
      <w:bookmarkEnd w:id="3"/>
      <w:r w:rsidR="00530EBA" w:rsidRPr="000A6D30">
        <w:rPr>
          <w:lang w:val="fr-FR"/>
        </w:rPr>
        <w:br/>
        <w:t>Genève, 23–2</w:t>
      </w:r>
      <w:r w:rsidR="00343EE5" w:rsidRPr="000A6D30">
        <w:rPr>
          <w:lang w:val="fr-FR"/>
        </w:rPr>
        <w:t>5 mars 20</w:t>
      </w:r>
      <w:r w:rsidR="00530EBA" w:rsidRPr="000A6D30">
        <w:rPr>
          <w:lang w:val="fr-FR"/>
        </w:rPr>
        <w:t>15</w:t>
      </w:r>
    </w:p>
    <w:p w:rsidR="00530EBA" w:rsidRPr="000A6D30" w:rsidRDefault="00530EBA" w:rsidP="000A6D30">
      <w:pPr>
        <w:pStyle w:val="Titleofdoc0"/>
        <w:rPr>
          <w:lang w:val="fr-FR"/>
        </w:rPr>
      </w:pPr>
      <w:bookmarkStart w:id="4" w:name="TitleOfDoc"/>
      <w:bookmarkEnd w:id="4"/>
      <w:r w:rsidRPr="000A6D30">
        <w:rPr>
          <w:lang w:val="fr-FR"/>
        </w:rPr>
        <w:t xml:space="preserve">RÉvision DU document TGP/8 : </w:t>
      </w:r>
      <w:r w:rsidR="0019691C" w:rsidRPr="000A6D30">
        <w:rPr>
          <w:lang w:val="fr-FR"/>
        </w:rPr>
        <w:br/>
      </w:r>
      <w:r w:rsidRPr="000A6D30">
        <w:rPr>
          <w:lang w:val="fr-FR"/>
        </w:rPr>
        <w:t>Première partie : protocole d</w:t>
      </w:r>
      <w:r w:rsidR="00343EE5" w:rsidRPr="000A6D30">
        <w:rPr>
          <w:lang w:val="fr-FR"/>
        </w:rPr>
        <w:t>’</w:t>
      </w:r>
      <w:r w:rsidRPr="000A6D30">
        <w:rPr>
          <w:lang w:val="fr-FR"/>
        </w:rPr>
        <w:t xml:space="preserve">essai DHS et analyse des données, </w:t>
      </w:r>
      <w:r w:rsidR="0019691C" w:rsidRPr="000A6D30">
        <w:rPr>
          <w:lang w:val="fr-FR"/>
        </w:rPr>
        <w:br/>
      </w:r>
      <w:r w:rsidRPr="000A6D30">
        <w:rPr>
          <w:lang w:val="fr-FR"/>
        </w:rPr>
        <w:t>nouvelle Section</w:t>
      </w:r>
      <w:r w:rsidR="0019691C" w:rsidRPr="000A6D30">
        <w:rPr>
          <w:lang w:val="fr-FR"/>
        </w:rPr>
        <w:t> </w:t>
      </w:r>
      <w:r w:rsidRPr="000A6D30">
        <w:rPr>
          <w:lang w:val="fr-FR"/>
        </w:rPr>
        <w:t xml:space="preserve">: RÉduction optimale de la variation due </w:t>
      </w:r>
      <w:r w:rsidR="0019691C" w:rsidRPr="000A6D30">
        <w:rPr>
          <w:lang w:val="fr-FR"/>
        </w:rPr>
        <w:br/>
      </w:r>
      <w:r w:rsidRPr="000A6D30">
        <w:rPr>
          <w:lang w:val="fr-FR"/>
        </w:rPr>
        <w:t>À diffÉrents observateurs</w:t>
      </w:r>
    </w:p>
    <w:p w:rsidR="00530EBA" w:rsidRPr="000A6D30" w:rsidRDefault="00530EBA" w:rsidP="000A6D30">
      <w:pPr>
        <w:pStyle w:val="preparedby1"/>
        <w:rPr>
          <w:lang w:val="fr-FR"/>
        </w:rPr>
      </w:pPr>
      <w:r w:rsidRPr="000A6D30">
        <w:rPr>
          <w:lang w:val="fr-FR"/>
        </w:rPr>
        <w:t>Document établi par le Bureau de l</w:t>
      </w:r>
      <w:r w:rsidR="00343EE5" w:rsidRPr="000A6D30">
        <w:rPr>
          <w:lang w:val="fr-FR"/>
        </w:rPr>
        <w:t>’</w:t>
      </w:r>
      <w:r w:rsidRPr="000A6D30">
        <w:rPr>
          <w:lang w:val="fr-FR"/>
        </w:rPr>
        <w:t>Union</w:t>
      </w:r>
      <w:r w:rsidRPr="000A6D30">
        <w:rPr>
          <w:lang w:val="fr-FR"/>
        </w:rPr>
        <w:br/>
      </w:r>
      <w:r w:rsidRPr="000A6D30">
        <w:rPr>
          <w:lang w:val="fr-FR"/>
        </w:rPr>
        <w:br/>
        <w:t>Avertissement : le présent document ne représente pas les principes ou les orientations de l</w:t>
      </w:r>
      <w:r w:rsidR="00343EE5" w:rsidRPr="000A6D30">
        <w:rPr>
          <w:lang w:val="fr-FR"/>
        </w:rPr>
        <w:t>’</w:t>
      </w:r>
      <w:r w:rsidRPr="000A6D30">
        <w:rPr>
          <w:lang w:val="fr-FR"/>
        </w:rPr>
        <w:t>UPOV</w:t>
      </w:r>
    </w:p>
    <w:p w:rsidR="00DF02B7" w:rsidRPr="000A6D30" w:rsidRDefault="00DF02B7" w:rsidP="000A6D30">
      <w:pPr>
        <w:pStyle w:val="Titleofdoc0"/>
        <w:rPr>
          <w:lang w:val="fr-FR"/>
        </w:rPr>
      </w:pPr>
    </w:p>
    <w:bookmarkStart w:id="5" w:name="Prepared"/>
    <w:bookmarkEnd w:id="5"/>
    <w:p w:rsidR="00DF02B7" w:rsidRPr="000A6D30" w:rsidRDefault="00704EB7" w:rsidP="000A6D30">
      <w:pPr>
        <w:rPr>
          <w:rFonts w:cs="Arial"/>
          <w:lang w:val="fr-FR"/>
        </w:rPr>
      </w:pPr>
      <w:r w:rsidRPr="000A6D30">
        <w:rPr>
          <w:lang w:val="fr-FR" w:eastAsia="ja-JP"/>
        </w:rPr>
        <w:fldChar w:fldCharType="begin"/>
      </w:r>
      <w:r w:rsidRPr="000A6D30">
        <w:rPr>
          <w:lang w:val="fr-FR" w:eastAsia="ja-JP"/>
        </w:rPr>
        <w:instrText xml:space="preserve"> AUTONUM  </w:instrText>
      </w:r>
      <w:r w:rsidRPr="000A6D30">
        <w:rPr>
          <w:lang w:val="fr-FR" w:eastAsia="ja-JP"/>
        </w:rPr>
        <w:fldChar w:fldCharType="end"/>
      </w:r>
      <w:r w:rsidRPr="000A6D30">
        <w:rPr>
          <w:lang w:val="fr-FR" w:eastAsia="ja-JP"/>
        </w:rPr>
        <w:tab/>
      </w:r>
      <w:r w:rsidR="00F807B3" w:rsidRPr="000A6D30">
        <w:rPr>
          <w:lang w:val="fr-FR" w:eastAsia="ja-JP"/>
        </w:rPr>
        <w:t>L</w:t>
      </w:r>
      <w:r w:rsidR="00343EE5" w:rsidRPr="000A6D30">
        <w:rPr>
          <w:lang w:val="fr-FR" w:eastAsia="ja-JP"/>
        </w:rPr>
        <w:t>’</w:t>
      </w:r>
      <w:r w:rsidR="00F807B3" w:rsidRPr="000A6D30">
        <w:rPr>
          <w:lang w:val="fr-FR" w:eastAsia="ja-JP"/>
        </w:rPr>
        <w:t>objet du présent document est de présenter le projet d</w:t>
      </w:r>
      <w:r w:rsidR="00343EE5" w:rsidRPr="000A6D30">
        <w:rPr>
          <w:lang w:val="fr-FR" w:eastAsia="ja-JP"/>
        </w:rPr>
        <w:t>’</w:t>
      </w:r>
      <w:r w:rsidR="00F807B3" w:rsidRPr="000A6D30">
        <w:rPr>
          <w:lang w:val="fr-FR" w:eastAsia="ja-JP"/>
        </w:rPr>
        <w:t>une nouvelle section pour le document TGP/8 : première partie : Protocole d</w:t>
      </w:r>
      <w:r w:rsidR="00343EE5" w:rsidRPr="000A6D30">
        <w:rPr>
          <w:lang w:val="fr-FR" w:eastAsia="ja-JP"/>
        </w:rPr>
        <w:t>’</w:t>
      </w:r>
      <w:r w:rsidR="00F807B3" w:rsidRPr="000A6D30">
        <w:rPr>
          <w:lang w:val="fr-FR" w:eastAsia="ja-JP"/>
        </w:rPr>
        <w:t>essai DHS et analyse des données, qui serait intitulée : “Réduction optimale de la variation due à différents observateurs”.</w:t>
      </w:r>
    </w:p>
    <w:p w:rsidR="00DF02B7" w:rsidRPr="000A6D30" w:rsidRDefault="00DF02B7" w:rsidP="000A6D30">
      <w:pPr>
        <w:rPr>
          <w:snapToGrid w:val="0"/>
          <w:lang w:val="fr-FR"/>
        </w:rPr>
      </w:pPr>
    </w:p>
    <w:p w:rsidR="00DF02B7" w:rsidRPr="000A6D30" w:rsidRDefault="00704EB7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F807B3" w:rsidRPr="000A6D30">
        <w:rPr>
          <w:lang w:val="fr-FR"/>
        </w:rPr>
        <w:t>Les abréviations ci</w:t>
      </w:r>
      <w:r w:rsidR="00FF2E1F" w:rsidRPr="000A6D30">
        <w:rPr>
          <w:lang w:val="fr-FR"/>
        </w:rPr>
        <w:noBreakHyphen/>
      </w:r>
      <w:r w:rsidR="00F807B3" w:rsidRPr="000A6D30">
        <w:rPr>
          <w:lang w:val="fr-FR"/>
        </w:rPr>
        <w:t>après sont utilisées dans le présent document :</w:t>
      </w:r>
    </w:p>
    <w:p w:rsidR="00DF02B7" w:rsidRPr="000A6D30" w:rsidRDefault="00DF02B7" w:rsidP="000A6D30">
      <w:pPr>
        <w:rPr>
          <w:lang w:val="fr-FR"/>
        </w:rPr>
      </w:pPr>
    </w:p>
    <w:p w:rsidR="00343EE5" w:rsidRPr="000A6D30" w:rsidRDefault="00F807B3" w:rsidP="000A6D30">
      <w:pPr>
        <w:ind w:left="1701" w:hanging="981"/>
        <w:rPr>
          <w:lang w:val="fr-FR"/>
        </w:rPr>
      </w:pPr>
      <w:r w:rsidRPr="000A6D30">
        <w:rPr>
          <w:lang w:val="fr-FR"/>
        </w:rPr>
        <w:t>CAJ</w:t>
      </w:r>
      <w:r w:rsidR="00947858" w:rsidRPr="000A6D30">
        <w:rPr>
          <w:lang w:val="fr-FR"/>
        </w:rPr>
        <w:t> :</w:t>
      </w:r>
      <w:r w:rsidRPr="000A6D30">
        <w:rPr>
          <w:lang w:val="fr-FR"/>
        </w:rPr>
        <w:t xml:space="preserve"> </w:t>
      </w:r>
      <w:r w:rsidR="00530EBA" w:rsidRPr="000A6D30">
        <w:rPr>
          <w:lang w:val="fr-FR"/>
        </w:rPr>
        <w:tab/>
      </w:r>
      <w:r w:rsidR="00FF2E1F" w:rsidRPr="000A6D30">
        <w:rPr>
          <w:lang w:val="fr-FR"/>
        </w:rPr>
        <w:tab/>
      </w:r>
      <w:r w:rsidRPr="000A6D30">
        <w:rPr>
          <w:lang w:val="fr-FR"/>
        </w:rPr>
        <w:t>Comité administratif et juridique</w:t>
      </w:r>
    </w:p>
    <w:p w:rsidR="00DF02B7" w:rsidRPr="000A6D30" w:rsidRDefault="00F807B3" w:rsidP="000A6D30">
      <w:pPr>
        <w:ind w:left="1701" w:hanging="981"/>
        <w:rPr>
          <w:lang w:val="fr-FR"/>
        </w:rPr>
      </w:pPr>
      <w:r w:rsidRPr="000A6D30">
        <w:rPr>
          <w:lang w:val="fr-FR"/>
        </w:rPr>
        <w:t>TC</w:t>
      </w:r>
      <w:r w:rsidR="00947858" w:rsidRPr="000A6D30">
        <w:rPr>
          <w:lang w:val="fr-FR"/>
        </w:rPr>
        <w:t> :</w:t>
      </w:r>
      <w:r w:rsidRPr="000A6D30">
        <w:rPr>
          <w:lang w:val="fr-FR"/>
        </w:rPr>
        <w:t xml:space="preserve"> </w:t>
      </w:r>
      <w:r w:rsidR="00530EBA" w:rsidRPr="000A6D30">
        <w:rPr>
          <w:lang w:val="fr-FR"/>
        </w:rPr>
        <w:tab/>
      </w:r>
      <w:r w:rsidR="00FF2E1F" w:rsidRPr="000A6D30">
        <w:rPr>
          <w:lang w:val="fr-FR"/>
        </w:rPr>
        <w:tab/>
      </w:r>
      <w:r w:rsidRPr="000A6D30">
        <w:rPr>
          <w:lang w:val="fr-FR"/>
        </w:rPr>
        <w:t>Comité technique</w:t>
      </w:r>
    </w:p>
    <w:p w:rsidR="00DF02B7" w:rsidRPr="000A6D30" w:rsidRDefault="00F807B3" w:rsidP="000A6D30">
      <w:pPr>
        <w:ind w:left="1701" w:hanging="981"/>
        <w:rPr>
          <w:lang w:val="fr-FR"/>
        </w:rPr>
      </w:pPr>
      <w:r w:rsidRPr="000A6D30">
        <w:rPr>
          <w:lang w:val="fr-FR"/>
        </w:rPr>
        <w:t>TC</w:t>
      </w:r>
      <w:r w:rsidR="00FF2E1F" w:rsidRPr="000A6D30">
        <w:rPr>
          <w:lang w:val="fr-FR"/>
        </w:rPr>
        <w:noBreakHyphen/>
      </w:r>
      <w:r w:rsidRPr="000A6D30">
        <w:rPr>
          <w:lang w:val="fr-FR"/>
        </w:rPr>
        <w:t>EDC</w:t>
      </w:r>
      <w:r w:rsidR="00947858" w:rsidRPr="000A6D30">
        <w:rPr>
          <w:lang w:val="fr-FR"/>
        </w:rPr>
        <w:t xml:space="preserve"> : </w:t>
      </w:r>
      <w:r w:rsidR="00943195" w:rsidRPr="000A6D30">
        <w:rPr>
          <w:lang w:val="fr-FR"/>
        </w:rPr>
        <w:tab/>
      </w:r>
      <w:r w:rsidR="00530EBA" w:rsidRPr="000A6D30">
        <w:rPr>
          <w:lang w:val="fr-FR"/>
        </w:rPr>
        <w:tab/>
      </w:r>
      <w:r w:rsidRPr="000A6D30">
        <w:rPr>
          <w:lang w:val="fr-FR"/>
        </w:rPr>
        <w:t>Comité de rédaction élargi</w:t>
      </w:r>
    </w:p>
    <w:p w:rsidR="00DF02B7" w:rsidRPr="000A6D30" w:rsidRDefault="00F807B3" w:rsidP="000A6D30">
      <w:pPr>
        <w:ind w:left="1701" w:hanging="981"/>
        <w:rPr>
          <w:lang w:val="fr-FR"/>
        </w:rPr>
      </w:pPr>
      <w:r w:rsidRPr="000A6D30">
        <w:rPr>
          <w:lang w:val="fr-FR"/>
        </w:rPr>
        <w:t>TWA</w:t>
      </w:r>
      <w:r w:rsidR="00947858" w:rsidRPr="000A6D30">
        <w:rPr>
          <w:lang w:val="fr-FR"/>
        </w:rPr>
        <w:t> :</w:t>
      </w:r>
      <w:r w:rsidRPr="000A6D30">
        <w:rPr>
          <w:lang w:val="fr-FR"/>
        </w:rPr>
        <w:t xml:space="preserve"> </w:t>
      </w:r>
      <w:r w:rsidR="00530EBA" w:rsidRPr="000A6D30">
        <w:rPr>
          <w:lang w:val="fr-FR"/>
        </w:rPr>
        <w:tab/>
      </w:r>
      <w:r w:rsidR="00FF2E1F" w:rsidRPr="000A6D30">
        <w:rPr>
          <w:lang w:val="fr-FR"/>
        </w:rPr>
        <w:tab/>
      </w:r>
      <w:r w:rsidRPr="000A6D30">
        <w:rPr>
          <w:lang w:val="fr-FR"/>
        </w:rPr>
        <w:t>Groupe de travail technique sur les plantes agricoles</w:t>
      </w:r>
    </w:p>
    <w:p w:rsidR="00DF02B7" w:rsidRPr="000A6D30" w:rsidRDefault="00F807B3" w:rsidP="000A6D30">
      <w:pPr>
        <w:ind w:left="1701" w:hanging="981"/>
        <w:rPr>
          <w:lang w:val="fr-FR"/>
        </w:rPr>
      </w:pPr>
      <w:r w:rsidRPr="000A6D30">
        <w:rPr>
          <w:lang w:val="fr-FR"/>
        </w:rPr>
        <w:t>TWV</w:t>
      </w:r>
      <w:r w:rsidR="00947858" w:rsidRPr="000A6D30">
        <w:rPr>
          <w:lang w:val="fr-FR"/>
        </w:rPr>
        <w:t> :</w:t>
      </w:r>
      <w:r w:rsidRPr="000A6D30">
        <w:rPr>
          <w:lang w:val="fr-FR"/>
        </w:rPr>
        <w:t xml:space="preserve"> </w:t>
      </w:r>
      <w:r w:rsidR="00530EBA" w:rsidRPr="000A6D30">
        <w:rPr>
          <w:lang w:val="fr-FR"/>
        </w:rPr>
        <w:tab/>
      </w:r>
      <w:r w:rsidR="00FF2E1F" w:rsidRPr="000A6D30">
        <w:rPr>
          <w:lang w:val="fr-FR"/>
        </w:rPr>
        <w:tab/>
      </w:r>
      <w:r w:rsidRPr="000A6D30">
        <w:rPr>
          <w:lang w:val="fr-FR"/>
        </w:rPr>
        <w:t>Groupe de travail technique sur les plantes potagères</w:t>
      </w:r>
    </w:p>
    <w:p w:rsidR="00DF02B7" w:rsidRPr="000A6D30" w:rsidRDefault="00F807B3" w:rsidP="000A6D30">
      <w:pPr>
        <w:ind w:left="2265" w:hanging="1545"/>
        <w:rPr>
          <w:lang w:val="fr-FR"/>
        </w:rPr>
      </w:pPr>
      <w:r w:rsidRPr="000A6D30">
        <w:rPr>
          <w:lang w:val="fr-FR"/>
        </w:rPr>
        <w:t>TWC</w:t>
      </w:r>
      <w:r w:rsidR="00947858" w:rsidRPr="000A6D30">
        <w:rPr>
          <w:lang w:val="fr-FR"/>
        </w:rPr>
        <w:t xml:space="preserve"> : </w:t>
      </w:r>
      <w:r w:rsidR="00530EBA" w:rsidRPr="000A6D30">
        <w:rPr>
          <w:lang w:val="fr-FR"/>
        </w:rPr>
        <w:tab/>
      </w:r>
      <w:r w:rsidR="00FF2E1F" w:rsidRPr="000A6D30">
        <w:rPr>
          <w:lang w:val="fr-FR"/>
        </w:rPr>
        <w:tab/>
      </w:r>
      <w:r w:rsidRPr="000A6D30">
        <w:rPr>
          <w:lang w:val="fr-FR"/>
        </w:rPr>
        <w:t>Groupe de travail technique sur les systèmes d</w:t>
      </w:r>
      <w:r w:rsidR="00343EE5" w:rsidRPr="000A6D30">
        <w:rPr>
          <w:lang w:val="fr-FR"/>
        </w:rPr>
        <w:t>’</w:t>
      </w:r>
      <w:r w:rsidRPr="000A6D30">
        <w:rPr>
          <w:lang w:val="fr-FR"/>
        </w:rPr>
        <w:t>automatisation et les programmes d</w:t>
      </w:r>
      <w:r w:rsidR="00343EE5" w:rsidRPr="000A6D30">
        <w:rPr>
          <w:lang w:val="fr-FR"/>
        </w:rPr>
        <w:t>’</w:t>
      </w:r>
      <w:r w:rsidRPr="000A6D30">
        <w:rPr>
          <w:lang w:val="fr-FR"/>
        </w:rPr>
        <w:t>ordinateur</w:t>
      </w:r>
    </w:p>
    <w:p w:rsidR="00343EE5" w:rsidRPr="000A6D30" w:rsidRDefault="00F807B3" w:rsidP="000A6D30">
      <w:pPr>
        <w:ind w:left="1701" w:hanging="981"/>
        <w:rPr>
          <w:lang w:val="fr-FR"/>
        </w:rPr>
      </w:pPr>
      <w:r w:rsidRPr="000A6D30">
        <w:rPr>
          <w:lang w:val="fr-FR"/>
        </w:rPr>
        <w:t>TWF</w:t>
      </w:r>
      <w:r w:rsidR="00947858" w:rsidRPr="000A6D30">
        <w:rPr>
          <w:lang w:val="fr-FR"/>
        </w:rPr>
        <w:t> </w:t>
      </w:r>
      <w:r w:rsidRPr="000A6D30">
        <w:rPr>
          <w:lang w:val="fr-FR"/>
        </w:rPr>
        <w:t xml:space="preserve">: </w:t>
      </w:r>
      <w:r w:rsidR="00530EBA" w:rsidRPr="000A6D30">
        <w:rPr>
          <w:lang w:val="fr-FR"/>
        </w:rPr>
        <w:tab/>
      </w:r>
      <w:r w:rsidR="00FF2E1F" w:rsidRPr="000A6D30">
        <w:rPr>
          <w:lang w:val="fr-FR"/>
        </w:rPr>
        <w:tab/>
      </w:r>
      <w:r w:rsidRPr="000A6D30">
        <w:rPr>
          <w:lang w:val="fr-FR"/>
        </w:rPr>
        <w:t>Groupe de travail technique sur les plantes fruitières</w:t>
      </w:r>
    </w:p>
    <w:p w:rsidR="00343EE5" w:rsidRPr="000A6D30" w:rsidRDefault="00F807B3" w:rsidP="000A6D30">
      <w:pPr>
        <w:ind w:left="1701" w:hanging="981"/>
        <w:rPr>
          <w:lang w:val="fr-FR"/>
        </w:rPr>
      </w:pPr>
      <w:r w:rsidRPr="000A6D30">
        <w:rPr>
          <w:lang w:val="fr-FR"/>
        </w:rPr>
        <w:t xml:space="preserve">TWO </w:t>
      </w:r>
      <w:r w:rsidR="00530EBA" w:rsidRPr="000A6D30">
        <w:rPr>
          <w:lang w:val="fr-FR"/>
        </w:rPr>
        <w:tab/>
      </w:r>
      <w:r w:rsidR="00FF2E1F" w:rsidRPr="000A6D30">
        <w:rPr>
          <w:lang w:val="fr-FR"/>
        </w:rPr>
        <w:tab/>
      </w:r>
      <w:r w:rsidRPr="000A6D30">
        <w:rPr>
          <w:lang w:val="fr-FR"/>
        </w:rPr>
        <w:t>Groupe de travail technique sur les plantes ornementales et les arbres forestiers</w:t>
      </w:r>
    </w:p>
    <w:p w:rsidR="00DF02B7" w:rsidRPr="000A6D30" w:rsidRDefault="00F807B3" w:rsidP="000A6D30">
      <w:pPr>
        <w:ind w:left="1701" w:hanging="981"/>
        <w:rPr>
          <w:lang w:val="fr-FR"/>
        </w:rPr>
      </w:pPr>
      <w:r w:rsidRPr="000A6D30">
        <w:rPr>
          <w:lang w:val="fr-FR"/>
        </w:rPr>
        <w:t>TWP</w:t>
      </w:r>
      <w:r w:rsidR="00947858" w:rsidRPr="000A6D30">
        <w:rPr>
          <w:lang w:val="fr-FR"/>
        </w:rPr>
        <w:t> </w:t>
      </w:r>
      <w:r w:rsidRPr="000A6D30">
        <w:rPr>
          <w:lang w:val="fr-FR"/>
        </w:rPr>
        <w:t xml:space="preserve">: </w:t>
      </w:r>
      <w:r w:rsidR="00530EBA" w:rsidRPr="000A6D30">
        <w:rPr>
          <w:lang w:val="fr-FR"/>
        </w:rPr>
        <w:tab/>
      </w:r>
      <w:r w:rsidR="00FF2E1F" w:rsidRPr="000A6D30">
        <w:rPr>
          <w:lang w:val="fr-FR"/>
        </w:rPr>
        <w:tab/>
      </w:r>
      <w:r w:rsidRPr="000A6D30">
        <w:rPr>
          <w:lang w:val="fr-FR"/>
        </w:rPr>
        <w:t>Groupes de travail techniques</w:t>
      </w:r>
    </w:p>
    <w:p w:rsidR="00DF02B7" w:rsidRPr="000A6D30" w:rsidRDefault="00DF02B7" w:rsidP="000A6D30">
      <w:pPr>
        <w:ind w:left="1701" w:hanging="981"/>
        <w:rPr>
          <w:lang w:val="fr-FR"/>
        </w:rPr>
      </w:pPr>
    </w:p>
    <w:p w:rsidR="00DF02B7" w:rsidRPr="000A6D30" w:rsidRDefault="00704EB7" w:rsidP="000A6D30">
      <w:pPr>
        <w:rPr>
          <w:snapToGrid w:val="0"/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F807B3" w:rsidRPr="000A6D30">
        <w:rPr>
          <w:lang w:val="fr-FR"/>
        </w:rPr>
        <w:t>Le présent document est structuré comme suit :</w:t>
      </w:r>
    </w:p>
    <w:p w:rsidR="00DF02B7" w:rsidRPr="000A6D30" w:rsidRDefault="00DF02B7" w:rsidP="000A6D30">
      <w:pPr>
        <w:rPr>
          <w:snapToGrid w:val="0"/>
          <w:lang w:val="fr-FR"/>
        </w:rPr>
      </w:pPr>
    </w:p>
    <w:p w:rsidR="00DA4C75" w:rsidRPr="000A6D30" w:rsidRDefault="00704EB7" w:rsidP="000A6D3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0A6D30">
        <w:rPr>
          <w:noProof/>
          <w:lang w:val="fr-FR"/>
        </w:rPr>
        <w:fldChar w:fldCharType="begin"/>
      </w:r>
      <w:r w:rsidRPr="000A6D30">
        <w:rPr>
          <w:lang w:val="fr-FR"/>
        </w:rPr>
        <w:instrText xml:space="preserve"> TOC \o "1-3" \h \z \u </w:instrText>
      </w:r>
      <w:r w:rsidRPr="000A6D30">
        <w:rPr>
          <w:noProof/>
          <w:lang w:val="fr-FR"/>
        </w:rPr>
        <w:fldChar w:fldCharType="separate"/>
      </w:r>
      <w:hyperlink w:anchor="_Toc412023319" w:history="1">
        <w:r w:rsidR="00DA4C75" w:rsidRPr="000A6D30">
          <w:rPr>
            <w:rStyle w:val="Hyperlink"/>
            <w:noProof/>
            <w:color w:val="auto"/>
            <w:lang w:val="fr-FR"/>
          </w:rPr>
          <w:t>informations générales</w:t>
        </w:r>
        <w:r w:rsidR="00DA4C75" w:rsidRPr="000A6D30">
          <w:rPr>
            <w:noProof/>
            <w:webHidden/>
          </w:rPr>
          <w:tab/>
        </w:r>
        <w:r w:rsidR="00DA4C75" w:rsidRPr="000A6D30">
          <w:rPr>
            <w:noProof/>
            <w:webHidden/>
          </w:rPr>
          <w:fldChar w:fldCharType="begin"/>
        </w:r>
        <w:r w:rsidR="00DA4C75" w:rsidRPr="000A6D30">
          <w:rPr>
            <w:noProof/>
            <w:webHidden/>
          </w:rPr>
          <w:instrText xml:space="preserve"> PAGEREF _Toc412023319 \h </w:instrText>
        </w:r>
        <w:r w:rsidR="00DA4C75" w:rsidRPr="000A6D30">
          <w:rPr>
            <w:noProof/>
            <w:webHidden/>
          </w:rPr>
        </w:r>
        <w:r w:rsidR="00DA4C75" w:rsidRPr="000A6D30">
          <w:rPr>
            <w:noProof/>
            <w:webHidden/>
          </w:rPr>
          <w:fldChar w:fldCharType="separate"/>
        </w:r>
        <w:r w:rsidR="004E5D3F">
          <w:rPr>
            <w:noProof/>
            <w:webHidden/>
          </w:rPr>
          <w:t>2</w:t>
        </w:r>
        <w:r w:rsidR="00DA4C75" w:rsidRPr="000A6D30">
          <w:rPr>
            <w:noProof/>
            <w:webHidden/>
          </w:rPr>
          <w:fldChar w:fldCharType="end"/>
        </w:r>
      </w:hyperlink>
    </w:p>
    <w:p w:rsidR="00DA4C75" w:rsidRPr="000A6D30" w:rsidRDefault="004E5D3F" w:rsidP="000A6D3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12023320" w:history="1">
        <w:r w:rsidR="00DA4C75" w:rsidRPr="000A6D30">
          <w:rPr>
            <w:rStyle w:val="Hyperlink"/>
            <w:noProof/>
            <w:color w:val="auto"/>
            <w:lang w:val="fr-FR"/>
          </w:rPr>
          <w:t>faits nouveaux en 2014</w:t>
        </w:r>
        <w:r w:rsidR="00DA4C75" w:rsidRPr="000A6D30">
          <w:rPr>
            <w:noProof/>
            <w:webHidden/>
          </w:rPr>
          <w:tab/>
        </w:r>
        <w:r w:rsidR="00DA4C75" w:rsidRPr="000A6D30">
          <w:rPr>
            <w:noProof/>
            <w:webHidden/>
          </w:rPr>
          <w:fldChar w:fldCharType="begin"/>
        </w:r>
        <w:r w:rsidR="00DA4C75" w:rsidRPr="000A6D30">
          <w:rPr>
            <w:noProof/>
            <w:webHidden/>
          </w:rPr>
          <w:instrText xml:space="preserve"> PAGEREF _Toc412023320 \h </w:instrText>
        </w:r>
        <w:r w:rsidR="00DA4C75" w:rsidRPr="000A6D30">
          <w:rPr>
            <w:noProof/>
            <w:webHidden/>
          </w:rPr>
        </w:r>
        <w:r w:rsidR="00DA4C75" w:rsidRPr="000A6D3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A4C75" w:rsidRPr="000A6D30">
          <w:rPr>
            <w:noProof/>
            <w:webHidden/>
          </w:rPr>
          <w:fldChar w:fldCharType="end"/>
        </w:r>
      </w:hyperlink>
    </w:p>
    <w:p w:rsidR="00DA4C75" w:rsidRPr="000A6D30" w:rsidRDefault="004E5D3F" w:rsidP="000A6D3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2023321" w:history="1">
        <w:r w:rsidR="00DA4C75" w:rsidRPr="000A6D30">
          <w:rPr>
            <w:rStyle w:val="Hyperlink"/>
            <w:noProof/>
            <w:color w:val="auto"/>
            <w:lang w:val="fr-FR"/>
          </w:rPr>
          <w:t>Comité technique</w:t>
        </w:r>
        <w:r w:rsidR="00DA4C75" w:rsidRPr="000A6D30">
          <w:rPr>
            <w:noProof/>
            <w:webHidden/>
          </w:rPr>
          <w:tab/>
        </w:r>
        <w:r w:rsidR="00DA4C75" w:rsidRPr="000A6D30">
          <w:rPr>
            <w:noProof/>
            <w:webHidden/>
          </w:rPr>
          <w:fldChar w:fldCharType="begin"/>
        </w:r>
        <w:r w:rsidR="00DA4C75" w:rsidRPr="000A6D30">
          <w:rPr>
            <w:noProof/>
            <w:webHidden/>
          </w:rPr>
          <w:instrText xml:space="preserve"> PAGEREF _Toc412023321 \h </w:instrText>
        </w:r>
        <w:r w:rsidR="00DA4C75" w:rsidRPr="000A6D30">
          <w:rPr>
            <w:noProof/>
            <w:webHidden/>
          </w:rPr>
        </w:r>
        <w:r w:rsidR="00DA4C75" w:rsidRPr="000A6D3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A4C75" w:rsidRPr="000A6D30">
          <w:rPr>
            <w:noProof/>
            <w:webHidden/>
          </w:rPr>
          <w:fldChar w:fldCharType="end"/>
        </w:r>
      </w:hyperlink>
    </w:p>
    <w:p w:rsidR="00DA4C75" w:rsidRPr="000A6D30" w:rsidRDefault="004E5D3F" w:rsidP="000A6D3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2023322" w:history="1">
        <w:r w:rsidR="00DA4C75" w:rsidRPr="000A6D30">
          <w:rPr>
            <w:rStyle w:val="Hyperlink"/>
            <w:noProof/>
            <w:color w:val="auto"/>
            <w:lang w:val="fr-FR"/>
          </w:rPr>
          <w:t>Groupes de travail techniques</w:t>
        </w:r>
        <w:r w:rsidR="00DA4C75" w:rsidRPr="000A6D30">
          <w:rPr>
            <w:noProof/>
            <w:webHidden/>
          </w:rPr>
          <w:tab/>
        </w:r>
        <w:r w:rsidR="00DA4C75" w:rsidRPr="000A6D30">
          <w:rPr>
            <w:noProof/>
            <w:webHidden/>
          </w:rPr>
          <w:fldChar w:fldCharType="begin"/>
        </w:r>
        <w:r w:rsidR="00DA4C75" w:rsidRPr="000A6D30">
          <w:rPr>
            <w:noProof/>
            <w:webHidden/>
          </w:rPr>
          <w:instrText xml:space="preserve"> PAGEREF _Toc412023322 \h </w:instrText>
        </w:r>
        <w:r w:rsidR="00DA4C75" w:rsidRPr="000A6D30">
          <w:rPr>
            <w:noProof/>
            <w:webHidden/>
          </w:rPr>
        </w:r>
        <w:r w:rsidR="00DA4C75" w:rsidRPr="000A6D3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A4C75" w:rsidRPr="000A6D30">
          <w:rPr>
            <w:noProof/>
            <w:webHidden/>
          </w:rPr>
          <w:fldChar w:fldCharType="end"/>
        </w:r>
      </w:hyperlink>
    </w:p>
    <w:p w:rsidR="00DF02B7" w:rsidRPr="000A6D30" w:rsidRDefault="00704EB7" w:rsidP="000A6D30">
      <w:pPr>
        <w:ind w:left="1134" w:hanging="1134"/>
        <w:jc w:val="left"/>
        <w:rPr>
          <w:bCs/>
          <w:szCs w:val="24"/>
          <w:lang w:val="fr-FR"/>
        </w:rPr>
      </w:pPr>
      <w:r w:rsidRPr="000A6D30">
        <w:rPr>
          <w:bCs/>
          <w:szCs w:val="24"/>
          <w:lang w:val="fr-FR"/>
        </w:rPr>
        <w:fldChar w:fldCharType="end"/>
      </w:r>
    </w:p>
    <w:p w:rsidR="00DF02B7" w:rsidRPr="000A6D30" w:rsidRDefault="00ED270B" w:rsidP="000A6D30">
      <w:pPr>
        <w:jc w:val="left"/>
        <w:rPr>
          <w:lang w:val="fr-FR"/>
        </w:rPr>
      </w:pPr>
      <w:r w:rsidRPr="000A6D30">
        <w:rPr>
          <w:lang w:val="fr-FR"/>
        </w:rPr>
        <w:t>ANNEX</w:t>
      </w:r>
      <w:r w:rsidR="0019691C" w:rsidRPr="000A6D30">
        <w:rPr>
          <w:lang w:val="fr-FR"/>
        </w:rPr>
        <w:t>E </w:t>
      </w:r>
      <w:r w:rsidRPr="000A6D30">
        <w:rPr>
          <w:lang w:val="fr-FR"/>
        </w:rPr>
        <w:t xml:space="preserve">: </w:t>
      </w:r>
      <w:r w:rsidR="001F76F5" w:rsidRPr="000A6D30">
        <w:rPr>
          <w:lang w:val="fr-FR"/>
        </w:rPr>
        <w:t xml:space="preserve">PROJET DE CONSEILS À </w:t>
      </w:r>
      <w:r w:rsidR="00AA394F" w:rsidRPr="000A6D30">
        <w:rPr>
          <w:lang w:val="fr-FR"/>
        </w:rPr>
        <w:t>INCORPORER</w:t>
      </w:r>
      <w:r w:rsidR="001F76F5" w:rsidRPr="000A6D30">
        <w:rPr>
          <w:lang w:val="fr-FR"/>
        </w:rPr>
        <w:t xml:space="preserve"> DANS UNE FUTURE VERSION RÉVISÉE DU DOCUMENT TGP/8 CONCERNANT LA RÉDUCTION OPTIMALE DE LA VARIATION DUE À DIFFÉRENTS OBSERVATEURS</w:t>
      </w:r>
    </w:p>
    <w:p w:rsidR="00DF02B7" w:rsidRPr="000A6D30" w:rsidRDefault="00DF02B7" w:rsidP="000A6D30">
      <w:pPr>
        <w:jc w:val="left"/>
        <w:rPr>
          <w:caps/>
          <w:lang w:val="fr-FR"/>
        </w:rPr>
      </w:pPr>
    </w:p>
    <w:p w:rsidR="00DF02B7" w:rsidRPr="000A6D30" w:rsidRDefault="00DF02B7" w:rsidP="000A6D30">
      <w:pPr>
        <w:jc w:val="left"/>
        <w:rPr>
          <w:caps/>
          <w:lang w:val="fr-FR"/>
        </w:rPr>
      </w:pPr>
    </w:p>
    <w:p w:rsidR="00707047" w:rsidRPr="000A6D30" w:rsidRDefault="00707047" w:rsidP="000A6D30">
      <w:pPr>
        <w:jc w:val="left"/>
        <w:rPr>
          <w:caps/>
          <w:lang w:val="fr-FR"/>
        </w:rPr>
      </w:pPr>
      <w:r w:rsidRPr="000A6D30">
        <w:rPr>
          <w:lang w:val="fr-FR"/>
        </w:rPr>
        <w:br w:type="page"/>
      </w:r>
    </w:p>
    <w:p w:rsidR="00DF02B7" w:rsidRPr="000A6D30" w:rsidRDefault="001F76F5" w:rsidP="000A6D30">
      <w:pPr>
        <w:pStyle w:val="Heading1"/>
        <w:keepNext w:val="0"/>
        <w:rPr>
          <w:lang w:val="fr-FR"/>
        </w:rPr>
      </w:pPr>
      <w:bookmarkStart w:id="6" w:name="_Toc412023319"/>
      <w:r w:rsidRPr="000A6D30">
        <w:rPr>
          <w:lang w:val="fr-FR"/>
        </w:rPr>
        <w:lastRenderedPageBreak/>
        <w:t>informations générales</w:t>
      </w:r>
      <w:bookmarkEnd w:id="6"/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704EB7" w:rsidP="000A6D30">
      <w:pPr>
        <w:pStyle w:val="Header"/>
        <w:tabs>
          <w:tab w:val="left" w:pos="720"/>
        </w:tabs>
        <w:jc w:val="both"/>
      </w:pPr>
      <w:r w:rsidRPr="000A6D30">
        <w:fldChar w:fldCharType="begin"/>
      </w:r>
      <w:r w:rsidRPr="000A6D30">
        <w:instrText xml:space="preserve"> AUTONUM  </w:instrText>
      </w:r>
      <w:r w:rsidRPr="000A6D30">
        <w:fldChar w:fldCharType="end"/>
      </w:r>
      <w:r w:rsidRPr="000A6D30">
        <w:tab/>
      </w:r>
      <w:r w:rsidR="00F807B3" w:rsidRPr="000A6D30">
        <w:t>Il est indiqué au paragraphe 2.9.1 “Contrôle de la variation due à différents observateurs” du document TGP/8/1, projet 7, première partie, examiné par les groupes de travail techniques à leurs sessions de 2007 :</w:t>
      </w:r>
    </w:p>
    <w:p w:rsidR="00DF02B7" w:rsidRPr="000A6D30" w:rsidRDefault="00DF02B7" w:rsidP="000A6D30">
      <w:pPr>
        <w:pStyle w:val="Header"/>
        <w:tabs>
          <w:tab w:val="left" w:pos="720"/>
        </w:tabs>
        <w:jc w:val="both"/>
      </w:pPr>
    </w:p>
    <w:p w:rsidR="00DF02B7" w:rsidRPr="007F3AC1" w:rsidRDefault="0019691C" w:rsidP="000A6D30">
      <w:pPr>
        <w:ind w:left="720" w:right="998"/>
        <w:rPr>
          <w:iCs/>
          <w:lang w:val="fr-FR"/>
        </w:rPr>
      </w:pPr>
      <w:r w:rsidRPr="007F3AC1">
        <w:rPr>
          <w:iCs/>
          <w:lang w:val="fr-FR"/>
        </w:rPr>
        <w:t>“</w:t>
      </w:r>
      <w:r w:rsidR="00F807B3" w:rsidRPr="007F3AC1">
        <w:rPr>
          <w:iCs/>
          <w:lang w:val="fr-FR"/>
        </w:rPr>
        <w:t>[Si cette section est requise, les TWP sont invités à formuler des conseils sur le contrôle de la variation due à différents observateurs lorsque l</w:t>
      </w:r>
      <w:r w:rsidR="00343EE5" w:rsidRPr="007F3AC1">
        <w:rPr>
          <w:iCs/>
          <w:lang w:val="fr-FR"/>
        </w:rPr>
        <w:t>’</w:t>
      </w:r>
      <w:r w:rsidR="00F807B3" w:rsidRPr="007F3AC1">
        <w:rPr>
          <w:iCs/>
          <w:lang w:val="fr-FR"/>
        </w:rPr>
        <w:t>analyse statistique n</w:t>
      </w:r>
      <w:r w:rsidR="00343EE5" w:rsidRPr="007F3AC1">
        <w:rPr>
          <w:iCs/>
          <w:lang w:val="fr-FR"/>
        </w:rPr>
        <w:t>’</w:t>
      </w:r>
      <w:r w:rsidR="00F807B3" w:rsidRPr="007F3AC1">
        <w:rPr>
          <w:iCs/>
          <w:lang w:val="fr-FR"/>
        </w:rPr>
        <w:t>est pas utilisée pour déterminer la distinction, et à l</w:t>
      </w:r>
      <w:r w:rsidR="00343EE5" w:rsidRPr="007F3AC1">
        <w:rPr>
          <w:iCs/>
          <w:lang w:val="fr-FR"/>
        </w:rPr>
        <w:t>’</w:t>
      </w:r>
      <w:r w:rsidR="00F807B3" w:rsidRPr="007F3AC1">
        <w:rPr>
          <w:iCs/>
          <w:lang w:val="fr-FR"/>
        </w:rPr>
        <w:t>examiner en liaison avec le paragraphe 2.7.2.9.]</w:t>
      </w:r>
      <w:r w:rsidRPr="007F3AC1">
        <w:rPr>
          <w:iCs/>
          <w:lang w:val="fr-FR"/>
        </w:rPr>
        <w:t>”</w:t>
      </w:r>
    </w:p>
    <w:p w:rsidR="00DF02B7" w:rsidRPr="000A6D30" w:rsidRDefault="00DF02B7" w:rsidP="000A6D30">
      <w:pPr>
        <w:ind w:left="720" w:right="998"/>
        <w:rPr>
          <w:i/>
          <w:iCs/>
          <w:lang w:val="fr-FR"/>
        </w:rPr>
      </w:pPr>
    </w:p>
    <w:p w:rsidR="00343EE5" w:rsidRPr="000A6D30" w:rsidRDefault="009656B4" w:rsidP="000A6D30">
      <w:pPr>
        <w:rPr>
          <w:rFonts w:cs="Arial"/>
          <w:lang w:val="fr-FR"/>
        </w:rPr>
      </w:pPr>
      <w:r w:rsidRPr="000A6D30">
        <w:rPr>
          <w:rFonts w:cs="Arial"/>
          <w:lang w:val="fr-FR"/>
        </w:rPr>
        <w:fldChar w:fldCharType="begin"/>
      </w:r>
      <w:r w:rsidRPr="000A6D30">
        <w:rPr>
          <w:rFonts w:cs="Arial"/>
          <w:lang w:val="fr-FR"/>
        </w:rPr>
        <w:instrText xml:space="preserve"> AUTONUM  </w:instrText>
      </w:r>
      <w:r w:rsidRPr="000A6D30">
        <w:rPr>
          <w:rFonts w:cs="Arial"/>
          <w:lang w:val="fr-FR"/>
        </w:rPr>
        <w:fldChar w:fldCharType="end"/>
      </w:r>
      <w:r w:rsidRPr="000A6D30">
        <w:rPr>
          <w:rFonts w:cs="Arial"/>
          <w:lang w:val="fr-FR"/>
        </w:rPr>
        <w:tab/>
      </w:r>
      <w:r w:rsidR="001F76F5" w:rsidRPr="000A6D30">
        <w:rPr>
          <w:rFonts w:cs="Arial"/>
          <w:lang w:val="fr-FR"/>
        </w:rPr>
        <w:t xml:space="preserve">Les faits nouveaux survenus avant 2014 sont présentés dans le </w:t>
      </w:r>
      <w:r w:rsidR="00343EE5" w:rsidRPr="000A6D30">
        <w:rPr>
          <w:rFonts w:cs="Arial"/>
          <w:lang w:val="fr-FR"/>
        </w:rPr>
        <w:t>document TC</w:t>
      </w:r>
      <w:r w:rsidRPr="000A6D30">
        <w:rPr>
          <w:rFonts w:cs="Arial"/>
          <w:lang w:val="fr-FR"/>
        </w:rPr>
        <w:t>/50/21 “</w:t>
      </w:r>
      <w:r w:rsidRPr="000A6D30">
        <w:rPr>
          <w:lang w:val="fr-FR"/>
        </w:rPr>
        <w:t>R</w:t>
      </w:r>
      <w:r w:rsidR="001F76F5" w:rsidRPr="000A6D30">
        <w:rPr>
          <w:lang w:val="fr-FR"/>
        </w:rPr>
        <w:t>évision du document TGP/8 : première partie : Protocole d</w:t>
      </w:r>
      <w:r w:rsidR="00343EE5" w:rsidRPr="000A6D30">
        <w:rPr>
          <w:lang w:val="fr-FR"/>
        </w:rPr>
        <w:t>’</w:t>
      </w:r>
      <w:r w:rsidR="001F76F5" w:rsidRPr="000A6D30">
        <w:rPr>
          <w:lang w:val="fr-FR"/>
        </w:rPr>
        <w:t>essai DHS et analyse des données, nouvelle section : Réduction optimale de la variation due à différents observateurs</w:t>
      </w:r>
      <w:r w:rsidRPr="000A6D30">
        <w:rPr>
          <w:lang w:val="fr-FR"/>
        </w:rPr>
        <w:t>”</w:t>
      </w:r>
      <w:r w:rsidRPr="000A6D30">
        <w:rPr>
          <w:rFonts w:cs="Arial"/>
          <w:lang w:val="fr-FR"/>
        </w:rPr>
        <w:t>.</w:t>
      </w:r>
    </w:p>
    <w:p w:rsidR="00DF02B7" w:rsidRPr="000A6D30" w:rsidRDefault="00DF02B7" w:rsidP="000A6D30">
      <w:pPr>
        <w:pStyle w:val="Heading1"/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F807B3" w:rsidP="000A6D30">
      <w:pPr>
        <w:pStyle w:val="Heading1"/>
        <w:rPr>
          <w:lang w:val="fr-FR"/>
        </w:rPr>
      </w:pPr>
      <w:bookmarkStart w:id="7" w:name="_Toc412023320"/>
      <w:r w:rsidRPr="000A6D30">
        <w:rPr>
          <w:lang w:val="fr-FR"/>
        </w:rPr>
        <w:t>faits nouveaux en 2014</w:t>
      </w:r>
      <w:bookmarkEnd w:id="7"/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F807B3" w:rsidP="000A6D30">
      <w:pPr>
        <w:pStyle w:val="Heading2"/>
        <w:rPr>
          <w:lang w:val="fr-FR"/>
        </w:rPr>
      </w:pPr>
      <w:bookmarkStart w:id="8" w:name="_Toc412023321"/>
      <w:r w:rsidRPr="000A6D30">
        <w:rPr>
          <w:lang w:val="fr-FR"/>
        </w:rPr>
        <w:t>Comité technique</w:t>
      </w:r>
      <w:bookmarkEnd w:id="8"/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9435B0" w:rsidP="000A6D30">
      <w:pPr>
        <w:rPr>
          <w:rFonts w:cs="Arial"/>
          <w:lang w:val="fr-FR"/>
        </w:rPr>
      </w:pPr>
      <w:r w:rsidRPr="000A6D30">
        <w:rPr>
          <w:rFonts w:cs="Arial"/>
          <w:lang w:val="fr-FR"/>
        </w:rPr>
        <w:fldChar w:fldCharType="begin"/>
      </w:r>
      <w:r w:rsidRPr="000A6D30">
        <w:rPr>
          <w:rFonts w:cs="Arial"/>
          <w:lang w:val="fr-FR"/>
        </w:rPr>
        <w:instrText xml:space="preserve"> AUTONUM  </w:instrText>
      </w:r>
      <w:r w:rsidRPr="000A6D30">
        <w:rPr>
          <w:rFonts w:cs="Arial"/>
          <w:lang w:val="fr-FR"/>
        </w:rPr>
        <w:fldChar w:fldCharType="end"/>
      </w:r>
      <w:r w:rsidRPr="000A6D30">
        <w:rPr>
          <w:rFonts w:cs="Arial"/>
          <w:lang w:val="fr-FR"/>
        </w:rPr>
        <w:tab/>
      </w:r>
      <w:r w:rsidR="00F035DB" w:rsidRPr="000A6D30">
        <w:rPr>
          <w:rFonts w:cs="Arial"/>
          <w:lang w:val="fr-FR"/>
        </w:rPr>
        <w:t>À sa cinquantième</w:t>
      </w:r>
      <w:r w:rsidR="00947858" w:rsidRPr="000A6D30">
        <w:rPr>
          <w:rFonts w:cs="Arial"/>
          <w:lang w:val="fr-FR"/>
        </w:rPr>
        <w:t> </w:t>
      </w:r>
      <w:r w:rsidR="00F035DB" w:rsidRPr="000A6D30">
        <w:rPr>
          <w:rFonts w:cs="Arial"/>
          <w:lang w:val="fr-FR"/>
        </w:rPr>
        <w:t xml:space="preserve">session tenue à Genève du 7 au </w:t>
      </w:r>
      <w:r w:rsidR="00343EE5" w:rsidRPr="000A6D30">
        <w:rPr>
          <w:rFonts w:cs="Arial"/>
          <w:lang w:val="fr-FR"/>
        </w:rPr>
        <w:t>9 avril 20</w:t>
      </w:r>
      <w:r w:rsidR="00F035DB" w:rsidRPr="000A6D30">
        <w:rPr>
          <w:rFonts w:cs="Arial"/>
          <w:lang w:val="fr-FR"/>
        </w:rPr>
        <w:t>14, le</w:t>
      </w:r>
      <w:r w:rsidR="00343EE5" w:rsidRPr="000A6D30">
        <w:rPr>
          <w:rFonts w:cs="Arial"/>
          <w:lang w:val="fr-FR"/>
        </w:rPr>
        <w:t> TC</w:t>
      </w:r>
      <w:r w:rsidR="00F035DB" w:rsidRPr="000A6D30">
        <w:rPr>
          <w:rFonts w:cs="Arial"/>
          <w:lang w:val="fr-FR"/>
        </w:rPr>
        <w:t xml:space="preserve"> a examiné le</w:t>
      </w:r>
      <w:r w:rsidRPr="000A6D30">
        <w:rPr>
          <w:rFonts w:cs="Arial"/>
          <w:lang w:val="fr-FR"/>
        </w:rPr>
        <w:t xml:space="preserve"> </w:t>
      </w:r>
      <w:r w:rsidR="00343EE5" w:rsidRPr="000A6D30">
        <w:rPr>
          <w:rFonts w:cs="Arial"/>
          <w:lang w:val="fr-FR"/>
        </w:rPr>
        <w:t>document TC</w:t>
      </w:r>
      <w:r w:rsidR="00F035DB" w:rsidRPr="000A6D30">
        <w:rPr>
          <w:rFonts w:cs="Arial"/>
          <w:lang w:val="fr-FR"/>
        </w:rPr>
        <w:t>/50/21 “</w:t>
      </w:r>
      <w:r w:rsidR="00F035DB" w:rsidRPr="000A6D30">
        <w:rPr>
          <w:lang w:val="fr-FR"/>
        </w:rPr>
        <w:t>Révision du document TGP/8 : première partie : Protocole d</w:t>
      </w:r>
      <w:r w:rsidR="00343EE5" w:rsidRPr="000A6D30">
        <w:rPr>
          <w:lang w:val="fr-FR"/>
        </w:rPr>
        <w:t>’</w:t>
      </w:r>
      <w:r w:rsidR="00F035DB" w:rsidRPr="000A6D30">
        <w:rPr>
          <w:lang w:val="fr-FR"/>
        </w:rPr>
        <w:t>essai DHS et analys</w:t>
      </w:r>
      <w:r w:rsidR="007F3AC1">
        <w:rPr>
          <w:lang w:val="fr-FR"/>
        </w:rPr>
        <w:t>e des données, nouvelle section</w:t>
      </w:r>
      <w:r w:rsidR="00F035DB" w:rsidRPr="000A6D30">
        <w:rPr>
          <w:lang w:val="fr-FR"/>
        </w:rPr>
        <w:t>: Réduction optimale de la variation due à différents observateurs”</w:t>
      </w:r>
      <w:r w:rsidRPr="000A6D30">
        <w:rPr>
          <w:rFonts w:cs="Arial"/>
          <w:lang w:val="fr-FR"/>
        </w:rPr>
        <w:t>.</w:t>
      </w:r>
    </w:p>
    <w:p w:rsidR="00DF02B7" w:rsidRPr="000A6D30" w:rsidRDefault="00DF02B7" w:rsidP="000A6D30">
      <w:pPr>
        <w:rPr>
          <w:rFonts w:cs="Arial"/>
          <w:lang w:val="fr-FR"/>
        </w:rPr>
      </w:pPr>
    </w:p>
    <w:p w:rsidR="00DF02B7" w:rsidRPr="000A6D30" w:rsidRDefault="009435B0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F035DB" w:rsidRPr="000A6D30">
        <w:rPr>
          <w:lang w:val="fr-FR"/>
        </w:rPr>
        <w:t>Le</w:t>
      </w:r>
      <w:r w:rsidR="00343EE5" w:rsidRPr="000A6D30">
        <w:rPr>
          <w:lang w:val="fr-FR"/>
        </w:rPr>
        <w:t> TC</w:t>
      </w:r>
      <w:r w:rsidR="00F035DB" w:rsidRPr="000A6D30">
        <w:rPr>
          <w:lang w:val="fr-FR"/>
        </w:rPr>
        <w:t xml:space="preserve"> a pris note que</w:t>
      </w:r>
      <w:r w:rsidR="00343EE5" w:rsidRPr="000A6D30">
        <w:rPr>
          <w:lang w:val="fr-FR"/>
        </w:rPr>
        <w:t xml:space="preserve"> le TWF</w:t>
      </w:r>
      <w:r w:rsidR="00F035DB" w:rsidRPr="000A6D30">
        <w:rPr>
          <w:lang w:val="fr-FR"/>
        </w:rPr>
        <w:t xml:space="preserve"> avait demandé à un expert de</w:t>
      </w:r>
      <w:r w:rsidR="00A91576" w:rsidRPr="000A6D30">
        <w:rPr>
          <w:lang w:val="fr-FR"/>
        </w:rPr>
        <w:t xml:space="preserve"> la</w:t>
      </w:r>
      <w:r w:rsidR="00F035DB" w:rsidRPr="000A6D30">
        <w:rPr>
          <w:lang w:val="fr-FR"/>
        </w:rPr>
        <w:t xml:space="preserve"> Nouvelle</w:t>
      </w:r>
      <w:r w:rsidR="00FF2E1F" w:rsidRPr="000A6D30">
        <w:rPr>
          <w:lang w:val="fr-FR"/>
        </w:rPr>
        <w:noBreakHyphen/>
      </w:r>
      <w:r w:rsidR="00F035DB" w:rsidRPr="000A6D30">
        <w:rPr>
          <w:lang w:val="fr-FR"/>
        </w:rPr>
        <w:t>Zélande de rendre compte, à sa session de</w:t>
      </w:r>
      <w:r w:rsidR="00947858" w:rsidRPr="000A6D30">
        <w:rPr>
          <w:lang w:val="fr-FR"/>
        </w:rPr>
        <w:t> </w:t>
      </w:r>
      <w:r w:rsidR="00F035DB" w:rsidRPr="000A6D30">
        <w:rPr>
          <w:lang w:val="fr-FR"/>
        </w:rPr>
        <w:t>2014, des travaux réalisés précédemment sur la description variétale harmonisée de la pomme pour un ensemble convenu de variétés</w:t>
      </w:r>
      <w:r w:rsidR="000F51AB" w:rsidRPr="000A6D30">
        <w:rPr>
          <w:lang w:val="fr-FR"/>
        </w:rPr>
        <w:t xml:space="preserve"> </w:t>
      </w:r>
      <w:r w:rsidR="00A573A4" w:rsidRPr="000A6D30">
        <w:rPr>
          <w:lang w:val="fr-FR"/>
        </w:rPr>
        <w:t>(</w:t>
      </w:r>
      <w:r w:rsidR="00F035DB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F035DB" w:rsidRPr="000A6D30">
        <w:rPr>
          <w:lang w:val="fr-FR"/>
        </w:rPr>
        <w:t>46 du</w:t>
      </w:r>
      <w:r w:rsidR="00A573A4" w:rsidRPr="000A6D30">
        <w:rPr>
          <w:lang w:val="fr-FR"/>
        </w:rPr>
        <w:t xml:space="preserve"> </w:t>
      </w:r>
      <w:r w:rsidR="00343EE5" w:rsidRPr="000A6D30">
        <w:rPr>
          <w:lang w:val="fr-FR"/>
        </w:rPr>
        <w:t>document TC</w:t>
      </w:r>
      <w:r w:rsidR="00A573A4" w:rsidRPr="000A6D30">
        <w:rPr>
          <w:lang w:val="fr-FR"/>
        </w:rPr>
        <w:t>/50/36 “</w:t>
      </w:r>
      <w:r w:rsidR="00F035DB" w:rsidRPr="000A6D30">
        <w:rPr>
          <w:lang w:val="fr-FR"/>
        </w:rPr>
        <w:t>Compte rendu des conclusions</w:t>
      </w:r>
      <w:r w:rsidR="00A573A4" w:rsidRPr="000A6D30">
        <w:rPr>
          <w:lang w:val="fr-FR"/>
        </w:rPr>
        <w:t>”)</w:t>
      </w:r>
      <w:r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9435B0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AA394F" w:rsidRPr="000A6D30">
        <w:rPr>
          <w:lang w:val="fr-FR"/>
        </w:rPr>
        <w:t>Le</w:t>
      </w:r>
      <w:r w:rsidR="00343EE5" w:rsidRPr="000A6D30">
        <w:rPr>
          <w:lang w:val="fr-FR"/>
        </w:rPr>
        <w:t> TC</w:t>
      </w:r>
      <w:r w:rsidR="00AA394F" w:rsidRPr="000A6D30">
        <w:rPr>
          <w:lang w:val="fr-FR"/>
        </w:rPr>
        <w:t xml:space="preserve"> a invité l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>expert d</w:t>
      </w:r>
      <w:r w:rsidR="00A91576" w:rsidRPr="000A6D30">
        <w:rPr>
          <w:lang w:val="fr-FR"/>
        </w:rPr>
        <w:t>e l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>Australie à rédiger, avec l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>aide d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>experts de l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>Union européenne, de la France, de l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>Allemagne, des Pays</w:t>
      </w:r>
      <w:r w:rsidR="00FF2E1F" w:rsidRPr="000A6D30">
        <w:rPr>
          <w:lang w:val="fr-FR"/>
        </w:rPr>
        <w:noBreakHyphen/>
      </w:r>
      <w:r w:rsidR="00AA394F" w:rsidRPr="000A6D30">
        <w:rPr>
          <w:lang w:val="fr-FR"/>
        </w:rPr>
        <w:t>Bas et du Royaume</w:t>
      </w:r>
      <w:r w:rsidR="00FF2E1F" w:rsidRPr="000A6D30">
        <w:rPr>
          <w:lang w:val="fr-FR"/>
        </w:rPr>
        <w:noBreakHyphen/>
      </w:r>
      <w:r w:rsidR="00AA394F" w:rsidRPr="000A6D30">
        <w:rPr>
          <w:lang w:val="fr-FR"/>
        </w:rPr>
        <w:t>Uni, des conseils supplémentaires en vue de leur incorporation dans une future version révisée du document TGP/8, concernant l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 xml:space="preserve">optimisation de la variation due à différents observateurs, </w:t>
      </w:r>
      <w:r w:rsidR="00343EE5" w:rsidRPr="000A6D30">
        <w:rPr>
          <w:lang w:val="fr-FR"/>
        </w:rPr>
        <w:t>y compris</w:t>
      </w:r>
      <w:r w:rsidR="00AA394F" w:rsidRPr="000A6D30">
        <w:rPr>
          <w:lang w:val="fr-FR"/>
        </w:rPr>
        <w:t xml:space="preserve"> des conseils sur les caractères PQ et QN/MG, afin que ces conseils soient examinés par</w:t>
      </w:r>
      <w:r w:rsidR="00343EE5" w:rsidRPr="000A6D30">
        <w:rPr>
          <w:lang w:val="fr-FR"/>
        </w:rPr>
        <w:t xml:space="preserve"> les TWP</w:t>
      </w:r>
      <w:r w:rsidR="00AA394F" w:rsidRPr="000A6D30">
        <w:rPr>
          <w:lang w:val="fr-FR"/>
        </w:rPr>
        <w:t xml:space="preserve"> lors de leurs sessions de</w:t>
      </w:r>
      <w:r w:rsidR="00947858" w:rsidRPr="000A6D30">
        <w:rPr>
          <w:lang w:val="fr-FR"/>
        </w:rPr>
        <w:t> </w:t>
      </w:r>
      <w:r w:rsidR="00AA394F" w:rsidRPr="000A6D30">
        <w:rPr>
          <w:lang w:val="fr-FR"/>
        </w:rPr>
        <w:t xml:space="preserve">2014 </w:t>
      </w:r>
      <w:r w:rsidR="00A573A4" w:rsidRPr="000A6D30">
        <w:rPr>
          <w:lang w:val="fr-FR"/>
        </w:rPr>
        <w:t>(</w:t>
      </w:r>
      <w:r w:rsidR="00AA394F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AA394F" w:rsidRPr="000A6D30">
        <w:rPr>
          <w:lang w:val="fr-FR"/>
        </w:rPr>
        <w:t>47 du</w:t>
      </w:r>
      <w:r w:rsidR="00547928" w:rsidRPr="000A6D30">
        <w:rPr>
          <w:lang w:val="fr-FR"/>
        </w:rPr>
        <w:t> </w:t>
      </w:r>
      <w:r w:rsidR="00343EE5" w:rsidRPr="000A6D30">
        <w:rPr>
          <w:lang w:val="fr-FR"/>
        </w:rPr>
        <w:t>document TC</w:t>
      </w:r>
      <w:r w:rsidR="00A573A4" w:rsidRPr="000A6D30">
        <w:rPr>
          <w:lang w:val="fr-FR"/>
        </w:rPr>
        <w:t>/50/36 “</w:t>
      </w:r>
      <w:r w:rsidR="00AA394F" w:rsidRPr="000A6D30">
        <w:rPr>
          <w:lang w:val="fr-FR"/>
        </w:rPr>
        <w:t>Compte rendu des conclusions</w:t>
      </w:r>
      <w:r w:rsidR="00A573A4" w:rsidRPr="000A6D30">
        <w:rPr>
          <w:lang w:val="fr-FR"/>
        </w:rPr>
        <w:t>”)</w:t>
      </w:r>
      <w:r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701CCC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AA394F" w:rsidRPr="000A6D30">
        <w:rPr>
          <w:lang w:val="fr-FR"/>
        </w:rPr>
        <w:t>En réponse à la demande du</w:t>
      </w:r>
      <w:r w:rsidR="00343EE5" w:rsidRPr="000A6D30">
        <w:rPr>
          <w:lang w:val="fr-FR"/>
        </w:rPr>
        <w:t> TC</w:t>
      </w:r>
      <w:r w:rsidR="00AA394F" w:rsidRPr="000A6D30">
        <w:rPr>
          <w:lang w:val="fr-FR"/>
        </w:rPr>
        <w:t>, le rédacteur d</w:t>
      </w:r>
      <w:r w:rsidR="00A91576" w:rsidRPr="000A6D30">
        <w:rPr>
          <w:lang w:val="fr-FR"/>
        </w:rPr>
        <w:t>e l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 xml:space="preserve">Australie </w:t>
      </w:r>
      <w:r w:rsidR="00A05486" w:rsidRPr="000A6D30">
        <w:rPr>
          <w:lang w:val="fr-FR"/>
        </w:rPr>
        <w:t>(M.</w:t>
      </w:r>
      <w:r w:rsidR="00947858" w:rsidRPr="000A6D30">
        <w:rPr>
          <w:lang w:val="fr-FR"/>
        </w:rPr>
        <w:t> </w:t>
      </w:r>
      <w:r w:rsidR="00FF2E1F" w:rsidRPr="000A6D30">
        <w:rPr>
          <w:lang w:val="fr-FR"/>
        </w:rPr>
        <w:t>Nik </w:t>
      </w:r>
      <w:r w:rsidR="00A05486" w:rsidRPr="000A6D30">
        <w:rPr>
          <w:lang w:val="fr-FR"/>
        </w:rPr>
        <w:t>Hulse)</w:t>
      </w:r>
      <w:r w:rsidR="00AA394F" w:rsidRPr="000A6D30">
        <w:rPr>
          <w:lang w:val="fr-FR"/>
        </w:rPr>
        <w:t xml:space="preserve"> a rédigé, avec l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>aide d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>experts de l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>Union européenne, de la France, de l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>Allemagne, des Pays</w:t>
      </w:r>
      <w:r w:rsidR="00FF2E1F" w:rsidRPr="000A6D30">
        <w:rPr>
          <w:lang w:val="fr-FR"/>
        </w:rPr>
        <w:noBreakHyphen/>
      </w:r>
      <w:r w:rsidR="00AA394F" w:rsidRPr="000A6D30">
        <w:rPr>
          <w:lang w:val="fr-FR"/>
        </w:rPr>
        <w:t>Bas et du Royaume</w:t>
      </w:r>
      <w:r w:rsidR="00FF2E1F" w:rsidRPr="000A6D30">
        <w:rPr>
          <w:lang w:val="fr-FR"/>
        </w:rPr>
        <w:noBreakHyphen/>
      </w:r>
      <w:r w:rsidR="00AA394F" w:rsidRPr="000A6D30">
        <w:rPr>
          <w:lang w:val="fr-FR"/>
        </w:rPr>
        <w:t>Uni, des conseils supplémentaires en vue de leur incorporation dans une future version révisée du document TGP/8, concernant l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 xml:space="preserve">optimisation de la variation due à différents observateurs, </w:t>
      </w:r>
      <w:r w:rsidR="00343EE5" w:rsidRPr="000A6D30">
        <w:rPr>
          <w:lang w:val="fr-FR"/>
        </w:rPr>
        <w:t>y compris</w:t>
      </w:r>
      <w:r w:rsidR="00AA394F" w:rsidRPr="000A6D30">
        <w:rPr>
          <w:lang w:val="fr-FR"/>
        </w:rPr>
        <w:t xml:space="preserve"> des conseils sur les caractères PQ et QN/MG, afin que ces conseils soient examinés par</w:t>
      </w:r>
      <w:r w:rsidR="00343EE5" w:rsidRPr="000A6D30">
        <w:rPr>
          <w:lang w:val="fr-FR"/>
        </w:rPr>
        <w:t xml:space="preserve"> les TWP</w:t>
      </w:r>
      <w:r w:rsidR="00AA394F" w:rsidRPr="000A6D30">
        <w:rPr>
          <w:lang w:val="fr-FR"/>
        </w:rPr>
        <w:t xml:space="preserve"> lors de leurs sessions de</w:t>
      </w:r>
      <w:r w:rsidR="00947858" w:rsidRPr="000A6D30">
        <w:rPr>
          <w:lang w:val="fr-FR"/>
        </w:rPr>
        <w:t> </w:t>
      </w:r>
      <w:r w:rsidR="00AA394F" w:rsidRPr="000A6D30">
        <w:rPr>
          <w:lang w:val="fr-FR"/>
        </w:rPr>
        <w:t>2014.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B8369D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A91576" w:rsidRPr="000A6D30">
        <w:rPr>
          <w:lang w:val="fr-FR"/>
        </w:rPr>
        <w:t>L</w:t>
      </w:r>
      <w:r w:rsidR="00343EE5" w:rsidRPr="000A6D30">
        <w:rPr>
          <w:lang w:val="fr-FR"/>
        </w:rPr>
        <w:t>’</w:t>
      </w:r>
      <w:r w:rsidR="00A91576" w:rsidRPr="000A6D30">
        <w:rPr>
          <w:lang w:val="fr-FR"/>
        </w:rPr>
        <w:t>expert de l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 xml:space="preserve">Australie a proposé que </w:t>
      </w:r>
      <w:r w:rsidR="00DA4C75" w:rsidRPr="000A6D30">
        <w:rPr>
          <w:lang w:val="fr-FR"/>
        </w:rPr>
        <w:t xml:space="preserve">les </w:t>
      </w:r>
      <w:r w:rsidR="001A2626" w:rsidRPr="000A6D30">
        <w:rPr>
          <w:lang w:val="fr-FR"/>
        </w:rPr>
        <w:t xml:space="preserve">TWP examinent </w:t>
      </w:r>
      <w:r w:rsidR="00AA394F" w:rsidRPr="000A6D30">
        <w:rPr>
          <w:lang w:val="fr-FR"/>
        </w:rPr>
        <w:t>les points</w:t>
      </w:r>
      <w:r w:rsidR="001A2626" w:rsidRPr="000A6D30">
        <w:rPr>
          <w:lang w:val="fr-FR"/>
        </w:rPr>
        <w:t xml:space="preserve"> </w:t>
      </w:r>
      <w:r w:rsidR="0008292B" w:rsidRPr="000A6D30">
        <w:rPr>
          <w:lang w:val="fr-FR"/>
        </w:rPr>
        <w:t>ci</w:t>
      </w:r>
      <w:r w:rsidR="0008292B" w:rsidRPr="000A6D30">
        <w:rPr>
          <w:lang w:val="fr-FR"/>
        </w:rPr>
        <w:noBreakHyphen/>
        <w:t xml:space="preserve">après </w:t>
      </w:r>
      <w:r w:rsidR="001A2626" w:rsidRPr="000A6D30">
        <w:rPr>
          <w:lang w:val="fr-FR"/>
        </w:rPr>
        <w:t>en</w:t>
      </w:r>
      <w:r w:rsidR="00AA394F" w:rsidRPr="000A6D30">
        <w:rPr>
          <w:lang w:val="fr-FR"/>
        </w:rPr>
        <w:t xml:space="preserve"> vue de le</w:t>
      </w:r>
      <w:r w:rsidR="00BF1888" w:rsidRPr="000A6D30">
        <w:rPr>
          <w:lang w:val="fr-FR"/>
        </w:rPr>
        <w:t>s</w:t>
      </w:r>
      <w:r w:rsidR="00AA394F" w:rsidRPr="000A6D30">
        <w:rPr>
          <w:lang w:val="fr-FR"/>
        </w:rPr>
        <w:t xml:space="preserve"> inc</w:t>
      </w:r>
      <w:r w:rsidR="00BF1888" w:rsidRPr="000A6D30">
        <w:rPr>
          <w:lang w:val="fr-FR"/>
        </w:rPr>
        <w:t>lure</w:t>
      </w:r>
      <w:r w:rsidR="001A2626" w:rsidRPr="000A6D30">
        <w:rPr>
          <w:lang w:val="fr-FR"/>
        </w:rPr>
        <w:t>,</w:t>
      </w:r>
      <w:r w:rsidR="00AA394F" w:rsidRPr="000A6D30">
        <w:rPr>
          <w:lang w:val="fr-FR"/>
        </w:rPr>
        <w:t xml:space="preserve"> ou d</w:t>
      </w:r>
      <w:r w:rsidR="00343EE5" w:rsidRPr="000A6D30">
        <w:rPr>
          <w:lang w:val="fr-FR"/>
        </w:rPr>
        <w:t>’</w:t>
      </w:r>
      <w:r w:rsidR="00BF1888" w:rsidRPr="000A6D30">
        <w:rPr>
          <w:lang w:val="fr-FR"/>
        </w:rPr>
        <w:t xml:space="preserve">inclure </w:t>
      </w:r>
      <w:r w:rsidR="00AA394F" w:rsidRPr="000A6D30">
        <w:rPr>
          <w:lang w:val="fr-FR"/>
        </w:rPr>
        <w:t>de</w:t>
      </w:r>
      <w:r w:rsidR="00BF1888" w:rsidRPr="000A6D30">
        <w:rPr>
          <w:lang w:val="fr-FR"/>
        </w:rPr>
        <w:t>s</w:t>
      </w:r>
      <w:r w:rsidR="00AA394F" w:rsidRPr="000A6D30">
        <w:rPr>
          <w:lang w:val="fr-FR"/>
        </w:rPr>
        <w:t xml:space="preserve"> </w:t>
      </w:r>
      <w:r w:rsidR="00BF1888" w:rsidRPr="000A6D30">
        <w:rPr>
          <w:lang w:val="fr-FR"/>
        </w:rPr>
        <w:t>précisions</w:t>
      </w:r>
      <w:r w:rsidR="001A2626" w:rsidRPr="000A6D30">
        <w:rPr>
          <w:lang w:val="fr-FR"/>
        </w:rPr>
        <w:t>,</w:t>
      </w:r>
      <w:r w:rsidR="00AA394F" w:rsidRPr="000A6D30">
        <w:rPr>
          <w:lang w:val="fr-FR"/>
        </w:rPr>
        <w:t xml:space="preserve"> dans le prochain projet de conseils à incorporer dans une future version révisée du document TGP/8 concernant l</w:t>
      </w:r>
      <w:r w:rsidR="00343EE5" w:rsidRPr="000A6D30">
        <w:rPr>
          <w:lang w:val="fr-FR"/>
        </w:rPr>
        <w:t>’</w:t>
      </w:r>
      <w:r w:rsidR="00AA394F" w:rsidRPr="000A6D30">
        <w:rPr>
          <w:lang w:val="fr-FR"/>
        </w:rPr>
        <w:t>optimisation de la variation due à différents observateurs :</w:t>
      </w:r>
    </w:p>
    <w:p w:rsidR="00DF02B7" w:rsidRPr="000A6D30" w:rsidRDefault="00DF02B7" w:rsidP="000A6D30">
      <w:pPr>
        <w:rPr>
          <w:lang w:val="fr-FR"/>
        </w:rPr>
      </w:pPr>
    </w:p>
    <w:p w:rsidR="00343EE5" w:rsidRPr="000A6D30" w:rsidRDefault="00BF1888" w:rsidP="000A6D30">
      <w:pPr>
        <w:numPr>
          <w:ilvl w:val="0"/>
          <w:numId w:val="5"/>
        </w:numPr>
        <w:rPr>
          <w:lang w:val="fr-FR"/>
        </w:rPr>
      </w:pPr>
      <w:r w:rsidRPr="000A6D30">
        <w:rPr>
          <w:lang w:val="fr-FR"/>
        </w:rPr>
        <w:t>Comme déjà indiqué dans le projet, les caractères</w:t>
      </w:r>
      <w:r w:rsidR="00B8369D" w:rsidRPr="000A6D30">
        <w:rPr>
          <w:lang w:val="fr-FR"/>
        </w:rPr>
        <w:t xml:space="preserve"> QN/MG </w:t>
      </w:r>
      <w:r w:rsidRPr="000A6D30">
        <w:rPr>
          <w:lang w:val="fr-FR"/>
        </w:rPr>
        <w:t xml:space="preserve">peuvent être traités </w:t>
      </w:r>
      <w:r w:rsidR="00A10C55" w:rsidRPr="000A6D30">
        <w:rPr>
          <w:lang w:val="fr-FR"/>
        </w:rPr>
        <w:t>de la même façon que</w:t>
      </w:r>
      <w:r w:rsidRPr="000A6D30">
        <w:rPr>
          <w:lang w:val="fr-FR"/>
        </w:rPr>
        <w:t xml:space="preserve"> les caractères </w:t>
      </w:r>
      <w:r w:rsidR="00B8369D" w:rsidRPr="000A6D30">
        <w:rPr>
          <w:lang w:val="fr-FR"/>
        </w:rPr>
        <w:t xml:space="preserve">QN/MS. </w:t>
      </w:r>
      <w:r w:rsidRPr="000A6D30">
        <w:rPr>
          <w:lang w:val="fr-FR"/>
        </w:rPr>
        <w:t>Toutefois, il convient de noter que dans le cas des caractères</w:t>
      </w:r>
      <w:r w:rsidR="00B8369D" w:rsidRPr="000A6D30">
        <w:rPr>
          <w:lang w:val="fr-FR"/>
        </w:rPr>
        <w:t xml:space="preserve"> QN/MG</w:t>
      </w:r>
      <w:r w:rsidR="00B54B63" w:rsidRPr="000A6D30">
        <w:rPr>
          <w:lang w:val="fr-FR"/>
        </w:rPr>
        <w:t>,</w:t>
      </w:r>
      <w:r w:rsidR="00B8369D" w:rsidRPr="000A6D30">
        <w:rPr>
          <w:lang w:val="fr-FR"/>
        </w:rPr>
        <w:t xml:space="preserve"> </w:t>
      </w:r>
      <w:r w:rsidR="00C4034F" w:rsidRPr="000A6D30">
        <w:rPr>
          <w:lang w:val="fr-FR"/>
        </w:rPr>
        <w:t xml:space="preserve">il faut également tenir compte de </w:t>
      </w:r>
      <w:r w:rsidRPr="000A6D30">
        <w:rPr>
          <w:lang w:val="fr-FR"/>
        </w:rPr>
        <w:t>l</w:t>
      </w:r>
      <w:r w:rsidR="00343EE5" w:rsidRPr="000A6D30">
        <w:rPr>
          <w:lang w:val="fr-FR"/>
        </w:rPr>
        <w:t>’</w:t>
      </w:r>
      <w:r w:rsidRPr="000A6D30">
        <w:rPr>
          <w:lang w:val="fr-FR"/>
        </w:rPr>
        <w:t>effet que peut avoir une variation aléatoire à l</w:t>
      </w:r>
      <w:r w:rsidR="00343EE5" w:rsidRPr="000A6D30">
        <w:rPr>
          <w:lang w:val="fr-FR"/>
        </w:rPr>
        <w:t>’</w:t>
      </w:r>
      <w:r w:rsidRPr="000A6D30">
        <w:rPr>
          <w:lang w:val="fr-FR"/>
        </w:rPr>
        <w:t>intérieur d</w:t>
      </w:r>
      <w:r w:rsidR="00343EE5" w:rsidRPr="000A6D30">
        <w:rPr>
          <w:lang w:val="fr-FR"/>
        </w:rPr>
        <w:t>’</w:t>
      </w:r>
      <w:r w:rsidRPr="000A6D30">
        <w:rPr>
          <w:lang w:val="fr-FR"/>
        </w:rPr>
        <w:t>une parcelle</w:t>
      </w:r>
      <w:r w:rsidR="00B8369D" w:rsidRPr="000A6D30">
        <w:rPr>
          <w:lang w:val="fr-FR"/>
        </w:rPr>
        <w:t>.</w:t>
      </w:r>
    </w:p>
    <w:p w:rsidR="00DF02B7" w:rsidRPr="000A6D30" w:rsidRDefault="00DF02B7" w:rsidP="000A6D30">
      <w:pPr>
        <w:ind w:left="720"/>
        <w:rPr>
          <w:lang w:val="fr-FR"/>
        </w:rPr>
      </w:pPr>
    </w:p>
    <w:p w:rsidR="00DF02B7" w:rsidRPr="000A6D30" w:rsidRDefault="0008292B" w:rsidP="000A6D30">
      <w:pPr>
        <w:numPr>
          <w:ilvl w:val="0"/>
          <w:numId w:val="5"/>
        </w:numPr>
        <w:rPr>
          <w:lang w:val="fr-FR"/>
        </w:rPr>
      </w:pPr>
      <w:r w:rsidRPr="000A6D30">
        <w:rPr>
          <w:lang w:val="fr-FR"/>
        </w:rPr>
        <w:t>Il convien</w:t>
      </w:r>
      <w:r w:rsidR="00C4034F" w:rsidRPr="000A6D30">
        <w:rPr>
          <w:lang w:val="fr-FR"/>
        </w:rPr>
        <w:t>t de déterminer plus précisément comment inclure des cons</w:t>
      </w:r>
      <w:r w:rsidRPr="000A6D30">
        <w:rPr>
          <w:lang w:val="fr-FR"/>
        </w:rPr>
        <w:t>eils sur les caractères PQ.  Il </w:t>
      </w:r>
      <w:r w:rsidR="001A2626" w:rsidRPr="000A6D30">
        <w:rPr>
          <w:lang w:val="fr-FR"/>
        </w:rPr>
        <w:t xml:space="preserve">faudrait </w:t>
      </w:r>
      <w:r w:rsidR="00C4034F" w:rsidRPr="000A6D30">
        <w:rPr>
          <w:lang w:val="fr-FR"/>
        </w:rPr>
        <w:t xml:space="preserve">indiquer que le document TGP/14 apporte également des précisions utiles au sujet de </w:t>
      </w:r>
      <w:r w:rsidR="00621866" w:rsidRPr="000A6D30">
        <w:rPr>
          <w:lang w:val="fr-FR"/>
        </w:rPr>
        <w:t>nombreux caractères PQ</w:t>
      </w:r>
      <w:r w:rsidR="00B8369D" w:rsidRPr="000A6D30">
        <w:rPr>
          <w:lang w:val="fr-FR"/>
        </w:rPr>
        <w:t xml:space="preserve"> (</w:t>
      </w:r>
      <w:r w:rsidR="00621866" w:rsidRPr="000A6D30">
        <w:rPr>
          <w:lang w:val="fr-FR"/>
        </w:rPr>
        <w:t>p.</w:t>
      </w:r>
      <w:r w:rsidR="00947858" w:rsidRPr="000A6D30">
        <w:rPr>
          <w:lang w:val="fr-FR"/>
        </w:rPr>
        <w:t> </w:t>
      </w:r>
      <w:r w:rsidR="00621866" w:rsidRPr="000A6D30">
        <w:rPr>
          <w:lang w:val="fr-FR"/>
        </w:rPr>
        <w:t>ex. en ce qui concerne la forme</w:t>
      </w:r>
      <w:r w:rsidR="00B8369D" w:rsidRPr="000A6D30">
        <w:rPr>
          <w:lang w:val="fr-FR"/>
        </w:rPr>
        <w:t xml:space="preserve">). </w:t>
      </w:r>
      <w:r w:rsidR="001A2626" w:rsidRPr="000A6D30">
        <w:rPr>
          <w:lang w:val="fr-FR"/>
        </w:rPr>
        <w:t xml:space="preserve"> Les différences entre</w:t>
      </w:r>
      <w:r w:rsidR="00621866" w:rsidRPr="000A6D30">
        <w:rPr>
          <w:lang w:val="fr-FR"/>
        </w:rPr>
        <w:t xml:space="preserve"> observateurs pourraient éventuellement être mesurées sur la base de la fréquence des écarts</w:t>
      </w:r>
      <w:r w:rsidR="00B8369D" w:rsidRPr="000A6D30">
        <w:rPr>
          <w:lang w:val="fr-FR"/>
        </w:rPr>
        <w:t>.</w:t>
      </w:r>
      <w:r w:rsidR="00B8369D" w:rsidRPr="000A6D30">
        <w:rPr>
          <w:lang w:val="fr-FR"/>
        </w:rPr>
        <w:br/>
      </w:r>
    </w:p>
    <w:p w:rsidR="00DF02B7" w:rsidRPr="000A6D30" w:rsidRDefault="00621866" w:rsidP="000A6D30">
      <w:pPr>
        <w:numPr>
          <w:ilvl w:val="0"/>
          <w:numId w:val="5"/>
        </w:numPr>
        <w:rPr>
          <w:lang w:val="fr-FR"/>
        </w:rPr>
      </w:pPr>
      <w:r w:rsidRPr="000A6D30">
        <w:rPr>
          <w:lang w:val="fr-FR"/>
        </w:rPr>
        <w:t xml:space="preserve">Actuellement, le document </w:t>
      </w:r>
      <w:r w:rsidR="00C715B3" w:rsidRPr="000A6D30">
        <w:rPr>
          <w:lang w:val="fr-FR"/>
        </w:rPr>
        <w:t>met l</w:t>
      </w:r>
      <w:r w:rsidR="00343EE5" w:rsidRPr="000A6D30">
        <w:rPr>
          <w:lang w:val="fr-FR"/>
        </w:rPr>
        <w:t>’</w:t>
      </w:r>
      <w:r w:rsidR="00C715B3" w:rsidRPr="000A6D30">
        <w:rPr>
          <w:lang w:val="fr-FR"/>
        </w:rPr>
        <w:t>accent</w:t>
      </w:r>
      <w:r w:rsidRPr="000A6D30">
        <w:rPr>
          <w:lang w:val="fr-FR"/>
        </w:rPr>
        <w:t xml:space="preserve"> sur la variation entre observateurs au niveau du service.</w:t>
      </w:r>
      <w:r w:rsidR="00B8369D" w:rsidRPr="000A6D30">
        <w:rPr>
          <w:lang w:val="fr-FR"/>
        </w:rPr>
        <w:t xml:space="preserve"> </w:t>
      </w:r>
      <w:r w:rsidR="0008292B" w:rsidRPr="000A6D30">
        <w:rPr>
          <w:lang w:val="fr-FR"/>
        </w:rPr>
        <w:t xml:space="preserve"> Il </w:t>
      </w:r>
      <w:r w:rsidRPr="000A6D30">
        <w:rPr>
          <w:lang w:val="fr-FR"/>
        </w:rPr>
        <w:t xml:space="preserve">serait utile de déterminer </w:t>
      </w:r>
      <w:r w:rsidR="001A2626" w:rsidRPr="000A6D30">
        <w:rPr>
          <w:lang w:val="fr-FR"/>
        </w:rPr>
        <w:t>s’il conviendrait de mentionner</w:t>
      </w:r>
      <w:r w:rsidRPr="000A6D30">
        <w:rPr>
          <w:lang w:val="fr-FR"/>
        </w:rPr>
        <w:t xml:space="preserve"> la question de l</w:t>
      </w:r>
      <w:r w:rsidR="00343EE5" w:rsidRPr="000A6D30">
        <w:rPr>
          <w:lang w:val="fr-FR"/>
        </w:rPr>
        <w:t>’</w:t>
      </w:r>
      <w:r w:rsidRPr="000A6D30">
        <w:rPr>
          <w:lang w:val="fr-FR"/>
        </w:rPr>
        <w:t>optimisation de la variation due à différents observateurs dans ce document ou éventuellement dans un</w:t>
      </w:r>
      <w:r w:rsidR="001A2626" w:rsidRPr="000A6D30">
        <w:rPr>
          <w:lang w:val="fr-FR"/>
        </w:rPr>
        <w:t xml:space="preserve"> nouveau</w:t>
      </w:r>
      <w:r w:rsidRPr="000A6D30">
        <w:rPr>
          <w:lang w:val="fr-FR"/>
        </w:rPr>
        <w:t xml:space="preserve"> document.</w:t>
      </w:r>
      <w:r w:rsidR="00B8369D" w:rsidRPr="000A6D30">
        <w:rPr>
          <w:lang w:val="fr-FR"/>
        </w:rPr>
        <w:t xml:space="preserve">  </w:t>
      </w:r>
      <w:r w:rsidRPr="000A6D30">
        <w:rPr>
          <w:lang w:val="fr-FR"/>
        </w:rPr>
        <w:t>À noter qu</w:t>
      </w:r>
      <w:r w:rsidR="00DA5450" w:rsidRPr="000A6D30">
        <w:rPr>
          <w:lang w:val="fr-FR"/>
        </w:rPr>
        <w:t>e cela impliquerait un plus grand nombre de facteurs tels que les interactions génotype</w:t>
      </w:r>
      <w:r w:rsidR="00FF2E1F" w:rsidRPr="000A6D30">
        <w:rPr>
          <w:lang w:val="fr-FR"/>
        </w:rPr>
        <w:noBreakHyphen/>
      </w:r>
      <w:r w:rsidR="00DA5450" w:rsidRPr="000A6D30">
        <w:rPr>
          <w:lang w:val="fr-FR"/>
        </w:rPr>
        <w:t>environnement, les méthodes d</w:t>
      </w:r>
      <w:r w:rsidR="00343EE5" w:rsidRPr="000A6D30">
        <w:rPr>
          <w:lang w:val="fr-FR"/>
        </w:rPr>
        <w:t>’</w:t>
      </w:r>
      <w:r w:rsidR="00DA5450" w:rsidRPr="000A6D30">
        <w:rPr>
          <w:lang w:val="fr-FR"/>
        </w:rPr>
        <w:t>échantillonnage et les essais d</w:t>
      </w:r>
      <w:r w:rsidR="00343EE5" w:rsidRPr="000A6D30">
        <w:rPr>
          <w:lang w:val="fr-FR"/>
        </w:rPr>
        <w:t>’</w:t>
      </w:r>
      <w:r w:rsidR="00DA5450" w:rsidRPr="000A6D30">
        <w:rPr>
          <w:lang w:val="fr-FR"/>
        </w:rPr>
        <w:t>étalonnage</w:t>
      </w:r>
      <w:r w:rsidR="00B8369D" w:rsidRPr="000A6D30">
        <w:rPr>
          <w:lang w:val="fr-FR"/>
        </w:rPr>
        <w:t>.</w:t>
      </w:r>
    </w:p>
    <w:p w:rsidR="00DF02B7" w:rsidRPr="000A6D30" w:rsidRDefault="00F807B3" w:rsidP="000A6D30">
      <w:pPr>
        <w:pStyle w:val="Heading2"/>
        <w:rPr>
          <w:lang w:val="fr-FR"/>
        </w:rPr>
      </w:pPr>
      <w:bookmarkStart w:id="9" w:name="_Toc412023322"/>
      <w:r w:rsidRPr="000A6D30">
        <w:rPr>
          <w:lang w:val="fr-FR"/>
        </w:rPr>
        <w:lastRenderedPageBreak/>
        <w:t>Groupes de travail techniques</w:t>
      </w:r>
      <w:bookmarkEnd w:id="9"/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0F51AB" w:rsidP="000A6D30">
      <w:pPr>
        <w:rPr>
          <w:snapToGrid w:val="0"/>
          <w:lang w:val="fr-FR"/>
        </w:rPr>
      </w:pPr>
      <w:r w:rsidRPr="000A6D30">
        <w:rPr>
          <w:snapToGrid w:val="0"/>
          <w:lang w:val="fr-FR"/>
        </w:rPr>
        <w:fldChar w:fldCharType="begin"/>
      </w:r>
      <w:r w:rsidRPr="000A6D30">
        <w:rPr>
          <w:snapToGrid w:val="0"/>
          <w:lang w:val="fr-FR"/>
        </w:rPr>
        <w:instrText xml:space="preserve"> AUTONUM  </w:instrText>
      </w:r>
      <w:r w:rsidRPr="000A6D30">
        <w:rPr>
          <w:snapToGrid w:val="0"/>
          <w:lang w:val="fr-FR"/>
        </w:rPr>
        <w:fldChar w:fldCharType="end"/>
      </w:r>
      <w:r w:rsidRPr="000A6D30">
        <w:rPr>
          <w:snapToGrid w:val="0"/>
          <w:lang w:val="fr-FR"/>
        </w:rPr>
        <w:tab/>
      </w:r>
      <w:r w:rsidR="00DA5450" w:rsidRPr="000A6D30">
        <w:rPr>
          <w:lang w:val="fr-FR"/>
        </w:rPr>
        <w:t>Le</w:t>
      </w:r>
      <w:r w:rsidRPr="000A6D30">
        <w:rPr>
          <w:lang w:val="fr-FR"/>
        </w:rPr>
        <w:t xml:space="preserve"> TWO,</w:t>
      </w:r>
      <w:r w:rsidR="00343EE5" w:rsidRPr="000A6D30">
        <w:rPr>
          <w:lang w:val="fr-FR"/>
        </w:rPr>
        <w:t xml:space="preserve"> le TWF</w:t>
      </w:r>
      <w:r w:rsidRPr="000A6D30">
        <w:rPr>
          <w:lang w:val="fr-FR"/>
        </w:rPr>
        <w:t>,</w:t>
      </w:r>
      <w:r w:rsidR="00343EE5" w:rsidRPr="000A6D30">
        <w:rPr>
          <w:lang w:val="fr-FR"/>
        </w:rPr>
        <w:t xml:space="preserve"> le TWC</w:t>
      </w:r>
      <w:r w:rsidRPr="000A6D30">
        <w:rPr>
          <w:lang w:val="fr-FR"/>
        </w:rPr>
        <w:t>,</w:t>
      </w:r>
      <w:r w:rsidR="00343EE5" w:rsidRPr="000A6D30">
        <w:rPr>
          <w:lang w:val="fr-FR"/>
        </w:rPr>
        <w:t xml:space="preserve"> le TWV</w:t>
      </w:r>
      <w:r w:rsidRPr="000A6D30">
        <w:rPr>
          <w:lang w:val="fr-FR"/>
        </w:rPr>
        <w:t xml:space="preserve"> </w:t>
      </w:r>
      <w:r w:rsidR="00DA5450" w:rsidRPr="000A6D30">
        <w:rPr>
          <w:lang w:val="fr-FR"/>
        </w:rPr>
        <w:t>et</w:t>
      </w:r>
      <w:r w:rsidR="00343EE5" w:rsidRPr="000A6D30">
        <w:rPr>
          <w:lang w:val="fr-FR"/>
        </w:rPr>
        <w:t xml:space="preserve"> le TWA</w:t>
      </w:r>
      <w:r w:rsidR="00DA5450" w:rsidRPr="000A6D30">
        <w:rPr>
          <w:lang w:val="fr-FR"/>
        </w:rPr>
        <w:t xml:space="preserve"> ont examiné les</w:t>
      </w:r>
      <w:r w:rsidRPr="000A6D30">
        <w:rPr>
          <w:snapToGrid w:val="0"/>
          <w:lang w:val="fr-FR"/>
        </w:rPr>
        <w:t xml:space="preserve"> documents TWO/47/15,</w:t>
      </w:r>
      <w:r w:rsidRPr="000A6D30">
        <w:rPr>
          <w:lang w:val="fr-FR"/>
        </w:rPr>
        <w:t xml:space="preserve"> TWF/45/15,</w:t>
      </w:r>
      <w:r w:rsidRPr="000A6D30">
        <w:rPr>
          <w:snapToGrid w:val="0"/>
          <w:lang w:val="fr-FR"/>
        </w:rPr>
        <w:t xml:space="preserve"> TWC/32/1</w:t>
      </w:r>
      <w:r w:rsidR="00256D98" w:rsidRPr="000A6D30">
        <w:rPr>
          <w:snapToGrid w:val="0"/>
          <w:lang w:val="fr-FR"/>
        </w:rPr>
        <w:t>5</w:t>
      </w:r>
      <w:r w:rsidRPr="000A6D30">
        <w:rPr>
          <w:snapToGrid w:val="0"/>
          <w:lang w:val="fr-FR"/>
        </w:rPr>
        <w:t xml:space="preserve">, </w:t>
      </w:r>
      <w:r w:rsidRPr="000A6D30">
        <w:rPr>
          <w:lang w:val="fr-FR"/>
        </w:rPr>
        <w:t>TWV/48/1</w:t>
      </w:r>
      <w:r w:rsidR="00860745" w:rsidRPr="000A6D30">
        <w:rPr>
          <w:lang w:val="fr-FR"/>
        </w:rPr>
        <w:t>5</w:t>
      </w:r>
      <w:r w:rsidR="009656B4" w:rsidRPr="000A6D30">
        <w:rPr>
          <w:lang w:val="fr-FR"/>
        </w:rPr>
        <w:t xml:space="preserve"> </w:t>
      </w:r>
      <w:r w:rsidR="00DA5450" w:rsidRPr="000A6D30">
        <w:rPr>
          <w:lang w:val="fr-FR"/>
        </w:rPr>
        <w:t>et</w:t>
      </w:r>
      <w:r w:rsidRPr="000A6D30">
        <w:rPr>
          <w:lang w:val="fr-FR"/>
        </w:rPr>
        <w:t xml:space="preserve"> TWA/43/1</w:t>
      </w:r>
      <w:r w:rsidR="00860745" w:rsidRPr="000A6D30">
        <w:rPr>
          <w:lang w:val="fr-FR"/>
        </w:rPr>
        <w:t>5</w:t>
      </w:r>
      <w:r w:rsidRPr="000A6D30">
        <w:rPr>
          <w:lang w:val="fr-FR"/>
        </w:rPr>
        <w:t xml:space="preserve"> “</w:t>
      </w:r>
      <w:proofErr w:type="spellStart"/>
      <w:r w:rsidRPr="000A6D30">
        <w:rPr>
          <w:lang w:val="fr-FR"/>
        </w:rPr>
        <w:t>Revision</w:t>
      </w:r>
      <w:proofErr w:type="spellEnd"/>
      <w:r w:rsidRPr="000A6D30">
        <w:rPr>
          <w:lang w:val="fr-FR"/>
        </w:rPr>
        <w:t xml:space="preserve"> of Document TGP/8</w:t>
      </w:r>
      <w:r w:rsidR="00947858" w:rsidRPr="000A6D30">
        <w:rPr>
          <w:lang w:val="fr-FR"/>
        </w:rPr>
        <w:t> </w:t>
      </w:r>
      <w:r w:rsidRPr="000A6D30">
        <w:rPr>
          <w:lang w:val="fr-FR"/>
        </w:rPr>
        <w:t>: Part I</w:t>
      </w:r>
      <w:r w:rsidR="00947858" w:rsidRPr="000A6D30">
        <w:rPr>
          <w:lang w:val="fr-FR"/>
        </w:rPr>
        <w:t> </w:t>
      </w:r>
      <w:r w:rsidRPr="000A6D30">
        <w:rPr>
          <w:lang w:val="fr-FR"/>
        </w:rPr>
        <w:t xml:space="preserve">: DUS Trial Design and Data </w:t>
      </w:r>
      <w:proofErr w:type="spellStart"/>
      <w:r w:rsidRPr="000A6D30">
        <w:rPr>
          <w:lang w:val="fr-FR"/>
        </w:rPr>
        <w:t>Analysis</w:t>
      </w:r>
      <w:proofErr w:type="spellEnd"/>
      <w:r w:rsidRPr="000A6D30">
        <w:rPr>
          <w:lang w:val="fr-FR"/>
        </w:rPr>
        <w:t>, New Section</w:t>
      </w:r>
      <w:r w:rsidR="00947858" w:rsidRPr="000A6D30">
        <w:rPr>
          <w:lang w:val="fr-FR"/>
        </w:rPr>
        <w:t> </w:t>
      </w:r>
      <w:r w:rsidRPr="000A6D30">
        <w:rPr>
          <w:lang w:val="fr-FR"/>
        </w:rPr>
        <w:t xml:space="preserve">: </w:t>
      </w:r>
      <w:proofErr w:type="spellStart"/>
      <w:r w:rsidRPr="000A6D30">
        <w:rPr>
          <w:lang w:val="fr-FR"/>
        </w:rPr>
        <w:t>Minimizing</w:t>
      </w:r>
      <w:proofErr w:type="spellEnd"/>
      <w:r w:rsidRPr="000A6D30">
        <w:rPr>
          <w:lang w:val="fr-FR"/>
        </w:rPr>
        <w:t xml:space="preserve"> the Variation due to </w:t>
      </w:r>
      <w:proofErr w:type="spellStart"/>
      <w:r w:rsidRPr="000A6D30">
        <w:rPr>
          <w:lang w:val="fr-FR"/>
        </w:rPr>
        <w:t>Different</w:t>
      </w:r>
      <w:proofErr w:type="spellEnd"/>
      <w:r w:rsidRPr="000A6D30">
        <w:rPr>
          <w:lang w:val="fr-FR"/>
        </w:rPr>
        <w:t xml:space="preserve"> </w:t>
      </w:r>
      <w:proofErr w:type="spellStart"/>
      <w:r w:rsidRPr="000A6D30">
        <w:rPr>
          <w:lang w:val="fr-FR"/>
        </w:rPr>
        <w:t>Observers</w:t>
      </w:r>
      <w:proofErr w:type="spellEnd"/>
      <w:r w:rsidRPr="000A6D30">
        <w:rPr>
          <w:lang w:val="fr-FR"/>
        </w:rPr>
        <w:t>”</w:t>
      </w:r>
      <w:r w:rsidR="009656B4" w:rsidRPr="000A6D30">
        <w:rPr>
          <w:lang w:val="fr-FR"/>
        </w:rPr>
        <w:t xml:space="preserve">, </w:t>
      </w:r>
      <w:r w:rsidR="00DA5450" w:rsidRPr="000A6D30">
        <w:rPr>
          <w:lang w:val="fr-FR"/>
        </w:rPr>
        <w:t>respectivement</w:t>
      </w:r>
      <w:r w:rsidRPr="000A6D30">
        <w:rPr>
          <w:lang w:val="fr-FR"/>
        </w:rPr>
        <w:t xml:space="preserve"> (</w:t>
      </w:r>
      <w:r w:rsidR="00DA5450" w:rsidRPr="000A6D30">
        <w:rPr>
          <w:lang w:val="fr-FR"/>
        </w:rPr>
        <w:t>voir les paragraphes</w:t>
      </w:r>
      <w:r w:rsidR="00947858" w:rsidRPr="000A6D30">
        <w:rPr>
          <w:lang w:val="fr-FR"/>
        </w:rPr>
        <w:t> </w:t>
      </w:r>
      <w:r w:rsidR="00DA5450" w:rsidRPr="000A6D30">
        <w:rPr>
          <w:lang w:val="fr-FR"/>
        </w:rPr>
        <w:t>39 à 41 du</w:t>
      </w:r>
      <w:r w:rsidRPr="000A6D30">
        <w:rPr>
          <w:lang w:val="fr-FR"/>
        </w:rPr>
        <w:t xml:space="preserve"> document TWO/47/28 “Report”, </w:t>
      </w:r>
      <w:r w:rsidR="00DA5450" w:rsidRPr="000A6D30">
        <w:rPr>
          <w:lang w:val="fr-FR"/>
        </w:rPr>
        <w:t>les paragraphes</w:t>
      </w:r>
      <w:r w:rsidR="00947858" w:rsidRPr="000A6D30">
        <w:rPr>
          <w:lang w:val="fr-FR"/>
        </w:rPr>
        <w:t> </w:t>
      </w:r>
      <w:r w:rsidR="00DA5450" w:rsidRPr="000A6D30">
        <w:rPr>
          <w:lang w:val="fr-FR"/>
        </w:rPr>
        <w:t xml:space="preserve">26 à 32 du </w:t>
      </w:r>
      <w:r w:rsidRPr="000A6D30">
        <w:rPr>
          <w:lang w:val="fr-FR"/>
        </w:rPr>
        <w:t xml:space="preserve">document TWF/45/32 “Report”, </w:t>
      </w:r>
      <w:r w:rsidR="00DA5450" w:rsidRPr="000A6D30">
        <w:rPr>
          <w:lang w:val="fr-FR"/>
        </w:rPr>
        <w:t>les paragraphes</w:t>
      </w:r>
      <w:r w:rsidR="00947858" w:rsidRPr="000A6D30">
        <w:rPr>
          <w:lang w:val="fr-FR"/>
        </w:rPr>
        <w:t> </w:t>
      </w:r>
      <w:r w:rsidR="00DA5450" w:rsidRPr="000A6D30">
        <w:rPr>
          <w:lang w:val="fr-FR"/>
        </w:rPr>
        <w:t xml:space="preserve">50 à 53 du </w:t>
      </w:r>
      <w:r w:rsidRPr="000A6D30">
        <w:rPr>
          <w:lang w:val="fr-FR"/>
        </w:rPr>
        <w:t xml:space="preserve">document TWC/32/28 “Report”, </w:t>
      </w:r>
      <w:r w:rsidR="00DA5450" w:rsidRPr="000A6D30">
        <w:rPr>
          <w:lang w:val="fr-FR"/>
        </w:rPr>
        <w:t>les paragraphes</w:t>
      </w:r>
      <w:r w:rsidR="00947858" w:rsidRPr="000A6D30">
        <w:rPr>
          <w:lang w:val="fr-FR"/>
        </w:rPr>
        <w:t> </w:t>
      </w:r>
      <w:r w:rsidR="00DA5450" w:rsidRPr="000A6D30">
        <w:rPr>
          <w:lang w:val="fr-FR"/>
        </w:rPr>
        <w:t>34 à 37 du document TWV/48/43 “Report” et les paragraphes</w:t>
      </w:r>
      <w:r w:rsidR="00947858" w:rsidRPr="000A6D30">
        <w:rPr>
          <w:lang w:val="fr-FR"/>
        </w:rPr>
        <w:t> </w:t>
      </w:r>
      <w:r w:rsidR="00DA5450" w:rsidRPr="000A6D30">
        <w:rPr>
          <w:lang w:val="fr-FR"/>
        </w:rPr>
        <w:t>28 à 33 du</w:t>
      </w:r>
      <w:r w:rsidRPr="000A6D30">
        <w:rPr>
          <w:lang w:val="fr-FR"/>
        </w:rPr>
        <w:t xml:space="preserve"> </w:t>
      </w:r>
      <w:r w:rsidR="00343EE5" w:rsidRPr="000A6D30">
        <w:rPr>
          <w:lang w:val="fr-FR"/>
        </w:rPr>
        <w:t>document TW</w:t>
      </w:r>
      <w:r w:rsidRPr="000A6D30">
        <w:rPr>
          <w:lang w:val="fr-FR"/>
        </w:rPr>
        <w:t>A/43/27 “Report”)</w:t>
      </w:r>
      <w:r w:rsidRPr="000A6D30">
        <w:rPr>
          <w:snapToGrid w:val="0"/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0F51AB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E1624B" w:rsidRPr="000A6D30">
        <w:rPr>
          <w:lang w:val="fr-FR"/>
        </w:rPr>
        <w:t>Le TWO a pris note que</w:t>
      </w:r>
      <w:r w:rsidR="00343EE5" w:rsidRPr="000A6D30">
        <w:rPr>
          <w:lang w:val="fr-FR"/>
        </w:rPr>
        <w:t xml:space="preserve"> le TWF</w:t>
      </w:r>
      <w:r w:rsidR="00E1624B" w:rsidRPr="000A6D30">
        <w:rPr>
          <w:lang w:val="fr-FR"/>
        </w:rPr>
        <w:t xml:space="preserve"> avait demandé à un expert de </w:t>
      </w:r>
      <w:r w:rsidR="00A91576" w:rsidRPr="000A6D30">
        <w:rPr>
          <w:lang w:val="fr-FR"/>
        </w:rPr>
        <w:t xml:space="preserve">la </w:t>
      </w:r>
      <w:r w:rsidR="00E1624B" w:rsidRPr="000A6D30">
        <w:rPr>
          <w:lang w:val="fr-FR"/>
        </w:rPr>
        <w:t>Nouvelle</w:t>
      </w:r>
      <w:r w:rsidR="00FF2E1F" w:rsidRPr="000A6D30">
        <w:rPr>
          <w:lang w:val="fr-FR"/>
        </w:rPr>
        <w:noBreakHyphen/>
      </w:r>
      <w:r w:rsidR="00E1624B" w:rsidRPr="000A6D30">
        <w:rPr>
          <w:lang w:val="fr-FR"/>
        </w:rPr>
        <w:t>Zélande de rendre compte, à sa session de</w:t>
      </w:r>
      <w:r w:rsidR="00947858" w:rsidRPr="000A6D30">
        <w:rPr>
          <w:lang w:val="fr-FR"/>
        </w:rPr>
        <w:t> </w:t>
      </w:r>
      <w:r w:rsidR="00E1624B" w:rsidRPr="000A6D30">
        <w:rPr>
          <w:lang w:val="fr-FR"/>
        </w:rPr>
        <w:t>2014, des travaux réalisés précédemment sur la description variétale harmonisée de la pomme pour un ensemble convenu de variétés</w:t>
      </w:r>
      <w:r w:rsidRPr="000A6D30">
        <w:rPr>
          <w:lang w:val="fr-FR"/>
        </w:rPr>
        <w:t xml:space="preserve">, </w:t>
      </w:r>
      <w:r w:rsidR="00E1624B" w:rsidRPr="000A6D30">
        <w:rPr>
          <w:lang w:val="fr-FR"/>
        </w:rPr>
        <w:t>ainsi qu</w:t>
      </w:r>
      <w:r w:rsidR="00343EE5" w:rsidRPr="000A6D30">
        <w:rPr>
          <w:lang w:val="fr-FR"/>
        </w:rPr>
        <w:t>’</w:t>
      </w:r>
      <w:r w:rsidR="00E1624B" w:rsidRPr="000A6D30">
        <w:rPr>
          <w:lang w:val="fr-FR"/>
        </w:rPr>
        <w:t>indiqué au paragraphe</w:t>
      </w:r>
      <w:r w:rsidR="00947858" w:rsidRPr="000A6D30">
        <w:rPr>
          <w:lang w:val="fr-FR"/>
        </w:rPr>
        <w:t> </w:t>
      </w:r>
      <w:r w:rsidR="00E1624B" w:rsidRPr="000A6D30">
        <w:rPr>
          <w:lang w:val="fr-FR"/>
        </w:rPr>
        <w:t xml:space="preserve">18 du document TWO/47/15 </w:t>
      </w:r>
      <w:r w:rsidR="006622E4" w:rsidRPr="000A6D30">
        <w:rPr>
          <w:lang w:val="fr-FR"/>
        </w:rPr>
        <w:t>(</w:t>
      </w:r>
      <w:r w:rsidR="00E1624B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E1624B" w:rsidRPr="000A6D30">
        <w:rPr>
          <w:lang w:val="fr-FR"/>
        </w:rPr>
        <w:t>40 du</w:t>
      </w:r>
      <w:r w:rsidR="006622E4" w:rsidRPr="000A6D30">
        <w:rPr>
          <w:lang w:val="fr-FR"/>
        </w:rPr>
        <w:t> document TWO/47/28 “Report”)</w:t>
      </w:r>
      <w:r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343EE5" w:rsidRPr="000A6D30" w:rsidRDefault="000F51AB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="00256D98" w:rsidRPr="000A6D30">
        <w:rPr>
          <w:lang w:val="fr-FR"/>
        </w:rPr>
        <w:tab/>
      </w:r>
      <w:r w:rsidR="00277FA7" w:rsidRPr="000A6D30">
        <w:rPr>
          <w:lang w:val="fr-FR"/>
        </w:rPr>
        <w:t xml:space="preserve">Le </w:t>
      </w:r>
      <w:r w:rsidR="00256D98" w:rsidRPr="000A6D30">
        <w:rPr>
          <w:lang w:val="fr-FR"/>
        </w:rPr>
        <w:t>TWO,</w:t>
      </w:r>
      <w:r w:rsidR="00343EE5" w:rsidRPr="000A6D30">
        <w:rPr>
          <w:lang w:val="fr-FR"/>
        </w:rPr>
        <w:t xml:space="preserve"> le TWF</w:t>
      </w:r>
      <w:r w:rsidR="00860745" w:rsidRPr="000A6D30">
        <w:rPr>
          <w:lang w:val="fr-FR"/>
        </w:rPr>
        <w:t>,</w:t>
      </w:r>
      <w:r w:rsidR="00343EE5" w:rsidRPr="000A6D30">
        <w:rPr>
          <w:lang w:val="fr-FR"/>
        </w:rPr>
        <w:t xml:space="preserve"> le TWC</w:t>
      </w:r>
      <w:r w:rsidR="00D46830" w:rsidRPr="000A6D30">
        <w:rPr>
          <w:lang w:val="fr-FR"/>
        </w:rPr>
        <w:t>,</w:t>
      </w:r>
      <w:r w:rsidR="00343EE5" w:rsidRPr="000A6D30">
        <w:rPr>
          <w:lang w:val="fr-FR"/>
        </w:rPr>
        <w:t xml:space="preserve"> le TWV</w:t>
      </w:r>
      <w:r w:rsidR="00D46830" w:rsidRPr="000A6D30">
        <w:rPr>
          <w:lang w:val="fr-FR"/>
        </w:rPr>
        <w:t xml:space="preserve"> </w:t>
      </w:r>
      <w:r w:rsidR="00277FA7" w:rsidRPr="000A6D30">
        <w:rPr>
          <w:lang w:val="fr-FR"/>
        </w:rPr>
        <w:t>et</w:t>
      </w:r>
      <w:r w:rsidR="00343EE5" w:rsidRPr="000A6D30">
        <w:rPr>
          <w:lang w:val="fr-FR"/>
        </w:rPr>
        <w:t xml:space="preserve"> le TWA</w:t>
      </w:r>
      <w:r w:rsidR="00256D98" w:rsidRPr="000A6D30">
        <w:rPr>
          <w:lang w:val="fr-FR"/>
        </w:rPr>
        <w:t xml:space="preserve"> </w:t>
      </w:r>
      <w:r w:rsidR="00C715B3" w:rsidRPr="000A6D30">
        <w:rPr>
          <w:lang w:val="fr-FR"/>
        </w:rPr>
        <w:t>s</w:t>
      </w:r>
      <w:r w:rsidR="00277FA7" w:rsidRPr="000A6D30">
        <w:rPr>
          <w:lang w:val="fr-FR"/>
        </w:rPr>
        <w:t>ont convenu</w:t>
      </w:r>
      <w:r w:rsidR="00C715B3" w:rsidRPr="000A6D30">
        <w:rPr>
          <w:lang w:val="fr-FR"/>
        </w:rPr>
        <w:t xml:space="preserve">s </w:t>
      </w:r>
      <w:r w:rsidR="00277FA7" w:rsidRPr="000A6D30">
        <w:rPr>
          <w:lang w:val="fr-FR"/>
        </w:rPr>
        <w:t>que le projet de conseils présenté à leurs sessions à l</w:t>
      </w:r>
      <w:r w:rsidR="00343EE5" w:rsidRPr="000A6D30">
        <w:rPr>
          <w:lang w:val="fr-FR"/>
        </w:rPr>
        <w:t>’</w:t>
      </w:r>
      <w:r w:rsidR="00277FA7" w:rsidRPr="000A6D30">
        <w:rPr>
          <w:lang w:val="fr-FR"/>
        </w:rPr>
        <w:t>annexe des</w:t>
      </w:r>
      <w:r w:rsidRPr="000A6D30">
        <w:rPr>
          <w:lang w:val="fr-FR"/>
        </w:rPr>
        <w:t xml:space="preserve"> </w:t>
      </w:r>
      <w:r w:rsidR="009656B4" w:rsidRPr="000A6D30">
        <w:rPr>
          <w:snapToGrid w:val="0"/>
          <w:lang w:val="fr-FR"/>
        </w:rPr>
        <w:t>documents TWO/47/15,</w:t>
      </w:r>
      <w:r w:rsidR="009656B4" w:rsidRPr="000A6D30">
        <w:rPr>
          <w:lang w:val="fr-FR"/>
        </w:rPr>
        <w:t xml:space="preserve"> TWF/45/15,</w:t>
      </w:r>
      <w:r w:rsidR="009656B4" w:rsidRPr="000A6D30">
        <w:rPr>
          <w:snapToGrid w:val="0"/>
          <w:lang w:val="fr-FR"/>
        </w:rPr>
        <w:t xml:space="preserve"> TWC/32/15, </w:t>
      </w:r>
      <w:r w:rsidR="009656B4" w:rsidRPr="000A6D30">
        <w:rPr>
          <w:lang w:val="fr-FR"/>
        </w:rPr>
        <w:t xml:space="preserve">TWV/48/15 </w:t>
      </w:r>
      <w:r w:rsidR="00277FA7" w:rsidRPr="000A6D30">
        <w:rPr>
          <w:lang w:val="fr-FR"/>
        </w:rPr>
        <w:t>et</w:t>
      </w:r>
      <w:r w:rsidR="009656B4" w:rsidRPr="000A6D30">
        <w:rPr>
          <w:lang w:val="fr-FR"/>
        </w:rPr>
        <w:t xml:space="preserve"> TWA/43/15, respective</w:t>
      </w:r>
      <w:r w:rsidR="00277FA7" w:rsidRPr="000A6D30">
        <w:rPr>
          <w:lang w:val="fr-FR"/>
        </w:rPr>
        <w:t>ment</w:t>
      </w:r>
      <w:r w:rsidR="009656B4" w:rsidRPr="000A6D30">
        <w:rPr>
          <w:lang w:val="fr-FR"/>
        </w:rPr>
        <w:t xml:space="preserve">, </w:t>
      </w:r>
      <w:r w:rsidR="00277FA7" w:rsidRPr="000A6D30">
        <w:rPr>
          <w:lang w:val="fr-FR"/>
        </w:rPr>
        <w:t>devrait être élaboré plus avant en vue de son incorporation dans une future version révisée du document</w:t>
      </w:r>
      <w:r w:rsidRPr="000A6D30">
        <w:rPr>
          <w:lang w:val="fr-FR"/>
        </w:rPr>
        <w:t xml:space="preserve"> TGP/8</w:t>
      </w:r>
      <w:r w:rsidR="00277FA7" w:rsidRPr="000A6D30">
        <w:rPr>
          <w:lang w:val="fr-FR"/>
        </w:rPr>
        <w:t>,</w:t>
      </w:r>
      <w:r w:rsidRPr="000A6D30">
        <w:rPr>
          <w:lang w:val="fr-FR"/>
        </w:rPr>
        <w:t xml:space="preserve"> </w:t>
      </w:r>
      <w:r w:rsidR="00277FA7" w:rsidRPr="000A6D30">
        <w:rPr>
          <w:lang w:val="fr-FR"/>
        </w:rPr>
        <w:t>concernant l</w:t>
      </w:r>
      <w:r w:rsidR="00343EE5" w:rsidRPr="000A6D30">
        <w:rPr>
          <w:lang w:val="fr-FR"/>
        </w:rPr>
        <w:t>’</w:t>
      </w:r>
      <w:r w:rsidR="00277FA7" w:rsidRPr="000A6D30">
        <w:rPr>
          <w:lang w:val="fr-FR"/>
        </w:rPr>
        <w:t xml:space="preserve">optimisation de la variation due à différents observateurs, </w:t>
      </w:r>
      <w:r w:rsidR="00343EE5" w:rsidRPr="000A6D30">
        <w:rPr>
          <w:lang w:val="fr-FR"/>
        </w:rPr>
        <w:t>y compris</w:t>
      </w:r>
      <w:r w:rsidR="00277FA7" w:rsidRPr="000A6D30">
        <w:rPr>
          <w:lang w:val="fr-FR"/>
        </w:rPr>
        <w:t xml:space="preserve"> des conseils sur les caractères PQ et QN/MG, compte tenu des points soulevés par l</w:t>
      </w:r>
      <w:r w:rsidR="00343EE5" w:rsidRPr="000A6D30">
        <w:rPr>
          <w:lang w:val="fr-FR"/>
        </w:rPr>
        <w:t>’</w:t>
      </w:r>
      <w:r w:rsidR="00277FA7" w:rsidRPr="000A6D30">
        <w:rPr>
          <w:lang w:val="fr-FR"/>
        </w:rPr>
        <w:t>expert d</w:t>
      </w:r>
      <w:r w:rsidR="00A91576" w:rsidRPr="000A6D30">
        <w:rPr>
          <w:lang w:val="fr-FR"/>
        </w:rPr>
        <w:t>e l</w:t>
      </w:r>
      <w:r w:rsidR="00343EE5" w:rsidRPr="000A6D30">
        <w:rPr>
          <w:lang w:val="fr-FR"/>
        </w:rPr>
        <w:t>’</w:t>
      </w:r>
      <w:r w:rsidR="00277FA7" w:rsidRPr="000A6D30">
        <w:rPr>
          <w:lang w:val="fr-FR"/>
        </w:rPr>
        <w:t>Australie au paragraphe</w:t>
      </w:r>
      <w:r w:rsidR="00947858" w:rsidRPr="000A6D30">
        <w:rPr>
          <w:lang w:val="fr-FR"/>
        </w:rPr>
        <w:t> </w:t>
      </w:r>
      <w:r w:rsidR="00277FA7" w:rsidRPr="000A6D30">
        <w:rPr>
          <w:lang w:val="fr-FR"/>
        </w:rPr>
        <w:t>21 des</w:t>
      </w:r>
      <w:r w:rsidRPr="000A6D30">
        <w:rPr>
          <w:lang w:val="fr-FR"/>
        </w:rPr>
        <w:t xml:space="preserve"> document</w:t>
      </w:r>
      <w:r w:rsidR="0065191D" w:rsidRPr="000A6D30">
        <w:rPr>
          <w:lang w:val="fr-FR"/>
        </w:rPr>
        <w:t>s</w:t>
      </w:r>
      <w:r w:rsidRPr="000A6D30">
        <w:rPr>
          <w:lang w:val="fr-FR"/>
        </w:rPr>
        <w:t xml:space="preserve"> TWO/47/15, </w:t>
      </w:r>
      <w:r w:rsidR="0065191D" w:rsidRPr="000A6D30">
        <w:rPr>
          <w:lang w:val="fr-FR"/>
        </w:rPr>
        <w:t>TWF/45/15,</w:t>
      </w:r>
      <w:r w:rsidR="0065191D" w:rsidRPr="000A6D30">
        <w:rPr>
          <w:snapToGrid w:val="0"/>
          <w:lang w:val="fr-FR"/>
        </w:rPr>
        <w:t xml:space="preserve"> TWC/32/15, </w:t>
      </w:r>
      <w:r w:rsidR="0065191D" w:rsidRPr="000A6D30">
        <w:rPr>
          <w:lang w:val="fr-FR"/>
        </w:rPr>
        <w:t xml:space="preserve">TWV/48/15 </w:t>
      </w:r>
      <w:r w:rsidR="00277FA7" w:rsidRPr="000A6D30">
        <w:rPr>
          <w:lang w:val="fr-FR"/>
        </w:rPr>
        <w:t>et TWA/43/15</w:t>
      </w:r>
      <w:r w:rsidR="00D46830" w:rsidRPr="000A6D30">
        <w:rPr>
          <w:lang w:val="fr-FR"/>
        </w:rPr>
        <w:t xml:space="preserve"> (</w:t>
      </w:r>
      <w:r w:rsidR="00277FA7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277FA7" w:rsidRPr="000A6D30">
        <w:rPr>
          <w:lang w:val="fr-FR"/>
        </w:rPr>
        <w:t>41 du</w:t>
      </w:r>
      <w:r w:rsidR="00D46830" w:rsidRPr="000A6D30">
        <w:rPr>
          <w:lang w:val="fr-FR"/>
        </w:rPr>
        <w:t xml:space="preserve"> document TWO/47/28 “Report”, </w:t>
      </w:r>
      <w:r w:rsidR="00277FA7" w:rsidRPr="000A6D30">
        <w:rPr>
          <w:lang w:val="fr-FR"/>
        </w:rPr>
        <w:t>le paragraphe</w:t>
      </w:r>
      <w:r w:rsidR="00947858" w:rsidRPr="000A6D30">
        <w:rPr>
          <w:lang w:val="fr-FR"/>
        </w:rPr>
        <w:t> </w:t>
      </w:r>
      <w:r w:rsidR="00277FA7" w:rsidRPr="000A6D30">
        <w:rPr>
          <w:lang w:val="fr-FR"/>
        </w:rPr>
        <w:t>27 du document</w:t>
      </w:r>
      <w:r w:rsidR="00D46830" w:rsidRPr="000A6D30">
        <w:rPr>
          <w:lang w:val="fr-FR"/>
        </w:rPr>
        <w:t xml:space="preserve"> TWF/45/32 “Report”, </w:t>
      </w:r>
      <w:r w:rsidR="00277FA7" w:rsidRPr="000A6D30">
        <w:rPr>
          <w:lang w:val="fr-FR"/>
        </w:rPr>
        <w:t>le</w:t>
      </w:r>
      <w:r w:rsidR="00365D5B">
        <w:rPr>
          <w:lang w:val="fr-FR"/>
        </w:rPr>
        <w:t> </w:t>
      </w:r>
      <w:r w:rsidR="00277FA7" w:rsidRPr="000A6D30">
        <w:rPr>
          <w:lang w:val="fr-FR"/>
        </w:rPr>
        <w:t>paragraphe</w:t>
      </w:r>
      <w:r w:rsidR="00947858" w:rsidRPr="000A6D30">
        <w:rPr>
          <w:lang w:val="fr-FR"/>
        </w:rPr>
        <w:t> </w:t>
      </w:r>
      <w:r w:rsidR="00277FA7" w:rsidRPr="000A6D30">
        <w:rPr>
          <w:lang w:val="fr-FR"/>
        </w:rPr>
        <w:t>52 du document</w:t>
      </w:r>
      <w:r w:rsidR="00D46830" w:rsidRPr="000A6D30">
        <w:rPr>
          <w:lang w:val="fr-FR"/>
        </w:rPr>
        <w:t xml:space="preserve"> TWC/32/28 “Report”, </w:t>
      </w:r>
      <w:r w:rsidR="00277FA7" w:rsidRPr="000A6D30">
        <w:rPr>
          <w:lang w:val="fr-FR"/>
        </w:rPr>
        <w:t>le paragraphe</w:t>
      </w:r>
      <w:r w:rsidR="00947858" w:rsidRPr="000A6D30">
        <w:rPr>
          <w:lang w:val="fr-FR"/>
        </w:rPr>
        <w:t> </w:t>
      </w:r>
      <w:r w:rsidR="00277FA7" w:rsidRPr="000A6D30">
        <w:rPr>
          <w:lang w:val="fr-FR"/>
        </w:rPr>
        <w:t>34 du document</w:t>
      </w:r>
      <w:r w:rsidR="00D46830" w:rsidRPr="000A6D30">
        <w:rPr>
          <w:lang w:val="fr-FR"/>
        </w:rPr>
        <w:t xml:space="preserve"> TWV/48/43 “Report”</w:t>
      </w:r>
      <w:r w:rsidR="00277FA7" w:rsidRPr="000A6D30">
        <w:rPr>
          <w:lang w:val="fr-FR"/>
        </w:rPr>
        <w:t xml:space="preserve"> et le paragraphe</w:t>
      </w:r>
      <w:r w:rsidR="00947858" w:rsidRPr="000A6D30">
        <w:rPr>
          <w:lang w:val="fr-FR"/>
        </w:rPr>
        <w:t> </w:t>
      </w:r>
      <w:r w:rsidR="00277FA7" w:rsidRPr="000A6D30">
        <w:rPr>
          <w:lang w:val="fr-FR"/>
        </w:rPr>
        <w:t>30 du document</w:t>
      </w:r>
      <w:r w:rsidR="00D46830" w:rsidRPr="000A6D30">
        <w:rPr>
          <w:lang w:val="fr-FR"/>
        </w:rPr>
        <w:t xml:space="preserve"> TWA/43/27 “Report”)</w:t>
      </w:r>
      <w:r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343EE5" w:rsidRPr="000A6D30" w:rsidRDefault="00D46830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C715B3" w:rsidRPr="000A6D30">
        <w:rPr>
          <w:lang w:val="fr-FR"/>
        </w:rPr>
        <w:t>Le TWO et</w:t>
      </w:r>
      <w:r w:rsidR="00343EE5" w:rsidRPr="000A6D30">
        <w:rPr>
          <w:lang w:val="fr-FR"/>
        </w:rPr>
        <w:t xml:space="preserve"> le TWA</w:t>
      </w:r>
      <w:r w:rsidR="00C715B3" w:rsidRPr="000A6D30">
        <w:rPr>
          <w:lang w:val="fr-FR"/>
        </w:rPr>
        <w:t xml:space="preserve"> sont convenus que le document devrait mettre l</w:t>
      </w:r>
      <w:r w:rsidR="00343EE5" w:rsidRPr="000A6D30">
        <w:rPr>
          <w:lang w:val="fr-FR"/>
        </w:rPr>
        <w:t>’</w:t>
      </w:r>
      <w:r w:rsidR="00C715B3" w:rsidRPr="000A6D30">
        <w:rPr>
          <w:lang w:val="fr-FR"/>
        </w:rPr>
        <w:t xml:space="preserve">accent sur la variation entre </w:t>
      </w:r>
      <w:r w:rsidR="00583A57" w:rsidRPr="000A6D30">
        <w:rPr>
          <w:lang w:val="fr-FR"/>
        </w:rPr>
        <w:t>observateurs</w:t>
      </w:r>
      <w:r w:rsidR="00C715B3" w:rsidRPr="000A6D30">
        <w:rPr>
          <w:lang w:val="fr-FR"/>
        </w:rPr>
        <w:t xml:space="preserve"> au niveau du service et non pas sur l</w:t>
      </w:r>
      <w:r w:rsidR="00343EE5" w:rsidRPr="000A6D30">
        <w:rPr>
          <w:lang w:val="fr-FR"/>
        </w:rPr>
        <w:t>’</w:t>
      </w:r>
      <w:r w:rsidR="00C715B3" w:rsidRPr="000A6D30">
        <w:rPr>
          <w:lang w:val="fr-FR"/>
        </w:rPr>
        <w:t>optimisation de la variation entre services</w:t>
      </w:r>
      <w:r w:rsidRPr="000A6D30">
        <w:rPr>
          <w:lang w:val="fr-FR"/>
        </w:rPr>
        <w:t xml:space="preserve"> (</w:t>
      </w:r>
      <w:r w:rsidR="00C715B3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C715B3" w:rsidRPr="000A6D30">
        <w:rPr>
          <w:lang w:val="fr-FR"/>
        </w:rPr>
        <w:t>41 du</w:t>
      </w:r>
      <w:r w:rsidRPr="000A6D30">
        <w:rPr>
          <w:lang w:val="fr-FR"/>
        </w:rPr>
        <w:t> document TWO/47/28 “Report”</w:t>
      </w:r>
      <w:r w:rsidR="00C715B3" w:rsidRPr="000A6D30">
        <w:rPr>
          <w:lang w:val="fr-FR"/>
        </w:rPr>
        <w:t xml:space="preserve"> et le paragraphe</w:t>
      </w:r>
      <w:r w:rsidR="00947858" w:rsidRPr="000A6D30">
        <w:rPr>
          <w:lang w:val="fr-FR"/>
        </w:rPr>
        <w:t> </w:t>
      </w:r>
      <w:r w:rsidR="00C715B3" w:rsidRPr="000A6D30">
        <w:rPr>
          <w:lang w:val="fr-FR"/>
        </w:rPr>
        <w:t>31 du document</w:t>
      </w:r>
      <w:r w:rsidRPr="000A6D30">
        <w:rPr>
          <w:lang w:val="fr-FR"/>
        </w:rPr>
        <w:t xml:space="preserve"> TWA/43/27 “Report”)</w:t>
      </w:r>
      <w:r w:rsidR="000F51AB"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0F51AB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A91576" w:rsidRPr="000A6D30">
        <w:rPr>
          <w:lang w:val="fr-FR"/>
        </w:rPr>
        <w:t>Le TWF a suivi un exposé présenté par les experts de l</w:t>
      </w:r>
      <w:r w:rsidR="00343EE5" w:rsidRPr="000A6D30">
        <w:rPr>
          <w:lang w:val="fr-FR"/>
        </w:rPr>
        <w:t>’</w:t>
      </w:r>
      <w:r w:rsidR="00A91576" w:rsidRPr="000A6D30">
        <w:rPr>
          <w:lang w:val="fr-FR"/>
        </w:rPr>
        <w:t>Allemagne et de la Nouvelle</w:t>
      </w:r>
      <w:r w:rsidR="00FF2E1F" w:rsidRPr="000A6D30">
        <w:rPr>
          <w:lang w:val="fr-FR"/>
        </w:rPr>
        <w:noBreakHyphen/>
      </w:r>
      <w:r w:rsidR="00A91576" w:rsidRPr="000A6D30">
        <w:rPr>
          <w:lang w:val="fr-FR"/>
        </w:rPr>
        <w:t>Zélande sur les travaux réalisés précédemment sur la description variétale harmonisée de la pomme pour un ensemble convenu de variétés, qui figure dans le document</w:t>
      </w:r>
      <w:r w:rsidRPr="000A6D30">
        <w:rPr>
          <w:lang w:val="fr-FR"/>
        </w:rPr>
        <w:t xml:space="preserve"> TWF/45/28</w:t>
      </w:r>
      <w:r w:rsidR="006622E4" w:rsidRPr="000A6D30">
        <w:rPr>
          <w:lang w:val="fr-FR"/>
        </w:rPr>
        <w:t xml:space="preserve"> (</w:t>
      </w:r>
      <w:r w:rsidR="00A91576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A91576" w:rsidRPr="000A6D30">
        <w:rPr>
          <w:lang w:val="fr-FR"/>
        </w:rPr>
        <w:t>28 du</w:t>
      </w:r>
      <w:r w:rsidR="006622E4" w:rsidRPr="000A6D30">
        <w:rPr>
          <w:lang w:val="fr-FR"/>
        </w:rPr>
        <w:t xml:space="preserve"> document TWF/45/32 “Report”)</w:t>
      </w:r>
      <w:r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0F51AB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583A57" w:rsidRPr="000A6D30">
        <w:rPr>
          <w:lang w:val="fr-FR"/>
        </w:rPr>
        <w:t>Le TWF est convenu de l</w:t>
      </w:r>
      <w:r w:rsidR="00343EE5" w:rsidRPr="000A6D30">
        <w:rPr>
          <w:lang w:val="fr-FR"/>
        </w:rPr>
        <w:t>’</w:t>
      </w:r>
      <w:r w:rsidR="00583A57" w:rsidRPr="000A6D30">
        <w:rPr>
          <w:lang w:val="fr-FR"/>
        </w:rPr>
        <w:t>importance de l</w:t>
      </w:r>
      <w:r w:rsidR="00343EE5" w:rsidRPr="000A6D30">
        <w:rPr>
          <w:lang w:val="fr-FR"/>
        </w:rPr>
        <w:t>’</w:t>
      </w:r>
      <w:r w:rsidR="00583A57" w:rsidRPr="000A6D30">
        <w:rPr>
          <w:lang w:val="fr-FR"/>
        </w:rPr>
        <w:t xml:space="preserve">optimisation de la variation entre observateurs au niveau du service et également entre service et a donc suggéré </w:t>
      </w:r>
      <w:r w:rsidR="001A2626" w:rsidRPr="000A6D30">
        <w:rPr>
          <w:lang w:val="fr-FR"/>
        </w:rPr>
        <w:t>d’examiner la possibilité de mener</w:t>
      </w:r>
      <w:r w:rsidR="00583A57" w:rsidRPr="000A6D30">
        <w:rPr>
          <w:lang w:val="fr-FR"/>
        </w:rPr>
        <w:t xml:space="preserve"> </w:t>
      </w:r>
      <w:r w:rsidR="0008292B" w:rsidRPr="000A6D30">
        <w:rPr>
          <w:lang w:val="fr-FR"/>
        </w:rPr>
        <w:t xml:space="preserve">une étude sur </w:t>
      </w:r>
      <w:r w:rsidR="00583A57" w:rsidRPr="000A6D30">
        <w:rPr>
          <w:lang w:val="fr-FR"/>
        </w:rPr>
        <w:t>un nouveau projet sur la description variétale harmonisée pour un ensemble convenu de variétés</w:t>
      </w:r>
      <w:r w:rsidR="00365D5B">
        <w:rPr>
          <w:lang w:val="fr-FR"/>
        </w:rPr>
        <w:t>.</w:t>
      </w:r>
      <w:r w:rsidRPr="000A6D30">
        <w:rPr>
          <w:lang w:val="fr-FR"/>
        </w:rPr>
        <w:t xml:space="preserve"> </w:t>
      </w:r>
      <w:r w:rsidR="00583A57" w:rsidRPr="000A6D30">
        <w:rPr>
          <w:lang w:val="fr-FR"/>
        </w:rPr>
        <w:t>L</w:t>
      </w:r>
      <w:r w:rsidR="00343EE5" w:rsidRPr="000A6D30">
        <w:rPr>
          <w:lang w:val="fr-FR"/>
        </w:rPr>
        <w:t>’</w:t>
      </w:r>
      <w:r w:rsidR="00583A57" w:rsidRPr="000A6D30">
        <w:rPr>
          <w:lang w:val="fr-FR"/>
        </w:rPr>
        <w:t>expert de l</w:t>
      </w:r>
      <w:r w:rsidR="00343EE5" w:rsidRPr="000A6D30">
        <w:rPr>
          <w:lang w:val="fr-FR"/>
        </w:rPr>
        <w:t>’</w:t>
      </w:r>
      <w:r w:rsidR="00583A57" w:rsidRPr="000A6D30">
        <w:rPr>
          <w:lang w:val="fr-FR"/>
        </w:rPr>
        <w:t>Allemagne a proposé de présenter</w:t>
      </w:r>
      <w:r w:rsidR="00343EE5" w:rsidRPr="000A6D30">
        <w:rPr>
          <w:lang w:val="fr-FR"/>
        </w:rPr>
        <w:t xml:space="preserve"> au TWF</w:t>
      </w:r>
      <w:r w:rsidR="00583A57" w:rsidRPr="000A6D30">
        <w:rPr>
          <w:lang w:val="fr-FR"/>
        </w:rPr>
        <w:t>, à sa quarante</w:t>
      </w:r>
      <w:r w:rsidR="00FF2E1F" w:rsidRPr="000A6D30">
        <w:rPr>
          <w:lang w:val="fr-FR"/>
        </w:rPr>
        <w:noBreakHyphen/>
      </w:r>
      <w:r w:rsidR="00583A57" w:rsidRPr="000A6D30">
        <w:rPr>
          <w:lang w:val="fr-FR"/>
        </w:rPr>
        <w:t>sixième</w:t>
      </w:r>
      <w:r w:rsidR="00947858" w:rsidRPr="000A6D30">
        <w:rPr>
          <w:lang w:val="fr-FR"/>
        </w:rPr>
        <w:t> </w:t>
      </w:r>
      <w:r w:rsidR="00583A57" w:rsidRPr="000A6D30">
        <w:rPr>
          <w:lang w:val="fr-FR"/>
        </w:rPr>
        <w:t>se</w:t>
      </w:r>
      <w:r w:rsidR="001A2626" w:rsidRPr="000A6D30">
        <w:rPr>
          <w:lang w:val="fr-FR"/>
        </w:rPr>
        <w:t>ssion, un protocole de projet a</w:t>
      </w:r>
      <w:r w:rsidR="00583A57" w:rsidRPr="000A6D30">
        <w:rPr>
          <w:lang w:val="fr-FR"/>
        </w:rPr>
        <w:t>i</w:t>
      </w:r>
      <w:r w:rsidR="001A2626" w:rsidRPr="000A6D30">
        <w:rPr>
          <w:lang w:val="fr-FR"/>
        </w:rPr>
        <w:t>n</w:t>
      </w:r>
      <w:r w:rsidR="00583A57" w:rsidRPr="000A6D30">
        <w:rPr>
          <w:lang w:val="fr-FR"/>
        </w:rPr>
        <w:t>s</w:t>
      </w:r>
      <w:r w:rsidR="001A2626" w:rsidRPr="000A6D30">
        <w:rPr>
          <w:lang w:val="fr-FR"/>
        </w:rPr>
        <w:t>i</w:t>
      </w:r>
      <w:r w:rsidR="00583A57" w:rsidRPr="000A6D30">
        <w:rPr>
          <w:lang w:val="fr-FR"/>
        </w:rPr>
        <w:t xml:space="preserve"> qu</w:t>
      </w:r>
      <w:r w:rsidR="00343EE5" w:rsidRPr="000A6D30">
        <w:rPr>
          <w:lang w:val="fr-FR"/>
        </w:rPr>
        <w:t>’</w:t>
      </w:r>
      <w:r w:rsidR="00583A57" w:rsidRPr="000A6D30">
        <w:rPr>
          <w:lang w:val="fr-FR"/>
        </w:rPr>
        <w:t>une liste convenue de variétés à examiner, pour déterminer s</w:t>
      </w:r>
      <w:r w:rsidR="00343EE5" w:rsidRPr="000A6D30">
        <w:rPr>
          <w:lang w:val="fr-FR"/>
        </w:rPr>
        <w:t>’</w:t>
      </w:r>
      <w:r w:rsidR="00583A57" w:rsidRPr="000A6D30">
        <w:rPr>
          <w:lang w:val="fr-FR"/>
        </w:rPr>
        <w:t xml:space="preserve">il serait judicieux </w:t>
      </w:r>
      <w:r w:rsidR="001A2626" w:rsidRPr="000A6D30">
        <w:rPr>
          <w:lang w:val="fr-FR"/>
        </w:rPr>
        <w:t>d’approfondir</w:t>
      </w:r>
      <w:r w:rsidR="00583A57" w:rsidRPr="000A6D30">
        <w:rPr>
          <w:lang w:val="fr-FR"/>
        </w:rPr>
        <w:t xml:space="preserve"> l</w:t>
      </w:r>
      <w:r w:rsidR="00343EE5" w:rsidRPr="000A6D30">
        <w:rPr>
          <w:lang w:val="fr-FR"/>
        </w:rPr>
        <w:t>’</w:t>
      </w:r>
      <w:r w:rsidR="00583A57" w:rsidRPr="000A6D30">
        <w:rPr>
          <w:lang w:val="fr-FR"/>
        </w:rPr>
        <w:t>étude</w:t>
      </w:r>
      <w:r w:rsidR="006622E4" w:rsidRPr="000A6D30">
        <w:rPr>
          <w:lang w:val="fr-FR"/>
        </w:rPr>
        <w:t xml:space="preserve"> (</w:t>
      </w:r>
      <w:r w:rsidR="00583A57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583A57" w:rsidRPr="000A6D30">
        <w:rPr>
          <w:lang w:val="fr-FR"/>
        </w:rPr>
        <w:t>30 du</w:t>
      </w:r>
      <w:r w:rsidR="006622E4" w:rsidRPr="000A6D30">
        <w:rPr>
          <w:lang w:val="fr-FR"/>
        </w:rPr>
        <w:t xml:space="preserve"> document TWF/45/32 “Report”)</w:t>
      </w:r>
      <w:r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0F51AB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E7334B" w:rsidRPr="000A6D30">
        <w:rPr>
          <w:lang w:val="fr-FR"/>
        </w:rPr>
        <w:t>Le TWF et</w:t>
      </w:r>
      <w:r w:rsidR="00343EE5" w:rsidRPr="000A6D30">
        <w:rPr>
          <w:lang w:val="fr-FR"/>
        </w:rPr>
        <w:t xml:space="preserve"> le TWV</w:t>
      </w:r>
      <w:r w:rsidR="00E7334B" w:rsidRPr="000A6D30">
        <w:rPr>
          <w:lang w:val="fr-FR"/>
        </w:rPr>
        <w:t xml:space="preserve"> ont souligné l</w:t>
      </w:r>
      <w:r w:rsidR="00343EE5" w:rsidRPr="000A6D30">
        <w:rPr>
          <w:lang w:val="fr-FR"/>
        </w:rPr>
        <w:t>’</w:t>
      </w:r>
      <w:r w:rsidR="00E7334B" w:rsidRPr="000A6D30">
        <w:rPr>
          <w:lang w:val="fr-FR"/>
        </w:rPr>
        <w:t>importance de la qualité des principes directeurs d</w:t>
      </w:r>
      <w:r w:rsidR="00343EE5" w:rsidRPr="000A6D30">
        <w:rPr>
          <w:lang w:val="fr-FR"/>
        </w:rPr>
        <w:t>’</w:t>
      </w:r>
      <w:r w:rsidR="00E7334B" w:rsidRPr="000A6D30">
        <w:rPr>
          <w:lang w:val="fr-FR"/>
        </w:rPr>
        <w:t>examen dans la fourniture d</w:t>
      </w:r>
      <w:r w:rsidR="00343EE5" w:rsidRPr="000A6D30">
        <w:rPr>
          <w:lang w:val="fr-FR"/>
        </w:rPr>
        <w:t>’</w:t>
      </w:r>
      <w:r w:rsidR="00E7334B" w:rsidRPr="000A6D30">
        <w:rPr>
          <w:lang w:val="fr-FR"/>
        </w:rPr>
        <w:t>orientations claires aux examinateurs DHS et la garantie de la cohérence des observations entre les observateurs de chaque service, ainsi que l</w:t>
      </w:r>
      <w:r w:rsidR="00343EE5" w:rsidRPr="000A6D30">
        <w:rPr>
          <w:lang w:val="fr-FR"/>
        </w:rPr>
        <w:t>’</w:t>
      </w:r>
      <w:r w:rsidR="00E7334B" w:rsidRPr="000A6D30">
        <w:rPr>
          <w:lang w:val="fr-FR"/>
        </w:rPr>
        <w:t>importance de la formation continue pour les examinateurs</w:t>
      </w:r>
      <w:r w:rsidR="006622E4" w:rsidRPr="000A6D30">
        <w:rPr>
          <w:lang w:val="fr-FR"/>
        </w:rPr>
        <w:t xml:space="preserve"> (</w:t>
      </w:r>
      <w:r w:rsidR="00E7334B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E7334B" w:rsidRPr="000A6D30">
        <w:rPr>
          <w:lang w:val="fr-FR"/>
        </w:rPr>
        <w:t>31 du</w:t>
      </w:r>
      <w:r w:rsidR="006622E4" w:rsidRPr="000A6D30">
        <w:rPr>
          <w:lang w:val="fr-FR"/>
        </w:rPr>
        <w:t xml:space="preserve"> document TWF/45/32 “Report”</w:t>
      </w:r>
      <w:r w:rsidR="00E7334B" w:rsidRPr="000A6D30">
        <w:rPr>
          <w:lang w:val="fr-FR"/>
        </w:rPr>
        <w:t xml:space="preserve"> et le paragraphe</w:t>
      </w:r>
      <w:r w:rsidR="00947858" w:rsidRPr="000A6D30">
        <w:rPr>
          <w:lang w:val="fr-FR"/>
        </w:rPr>
        <w:t> </w:t>
      </w:r>
      <w:r w:rsidR="00E7334B" w:rsidRPr="000A6D30">
        <w:rPr>
          <w:lang w:val="fr-FR"/>
        </w:rPr>
        <w:t>35 du document</w:t>
      </w:r>
      <w:r w:rsidR="006622E4" w:rsidRPr="000A6D30">
        <w:rPr>
          <w:lang w:val="fr-FR"/>
        </w:rPr>
        <w:t xml:space="preserve"> </w:t>
      </w:r>
      <w:r w:rsidR="002D5B74" w:rsidRPr="000A6D30">
        <w:rPr>
          <w:lang w:val="fr-FR"/>
        </w:rPr>
        <w:t>TWV/48/43</w:t>
      </w:r>
      <w:r w:rsidR="00E7334B" w:rsidRPr="000A6D30">
        <w:rPr>
          <w:lang w:val="fr-FR"/>
        </w:rPr>
        <w:t xml:space="preserve"> “Report”</w:t>
      </w:r>
      <w:r w:rsidR="006622E4" w:rsidRPr="000A6D30">
        <w:rPr>
          <w:lang w:val="fr-FR"/>
        </w:rPr>
        <w:t>)</w:t>
      </w:r>
      <w:r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0F51AB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0A4B8D" w:rsidRPr="000A6D30">
        <w:rPr>
          <w:lang w:val="fr-FR"/>
        </w:rPr>
        <w:t>Le TWF a invité l</w:t>
      </w:r>
      <w:r w:rsidR="00343EE5" w:rsidRPr="000A6D30">
        <w:rPr>
          <w:lang w:val="fr-FR"/>
        </w:rPr>
        <w:t>’</w:t>
      </w:r>
      <w:r w:rsidR="000A4B8D" w:rsidRPr="000A6D30">
        <w:rPr>
          <w:lang w:val="fr-FR"/>
        </w:rPr>
        <w:t>expert de l</w:t>
      </w:r>
      <w:r w:rsidR="00343EE5" w:rsidRPr="000A6D30">
        <w:rPr>
          <w:lang w:val="fr-FR"/>
        </w:rPr>
        <w:t>’</w:t>
      </w:r>
      <w:r w:rsidR="000A4B8D" w:rsidRPr="000A6D30">
        <w:rPr>
          <w:lang w:val="fr-FR"/>
        </w:rPr>
        <w:t>Australie à rendre compte, à sa quarante</w:t>
      </w:r>
      <w:r w:rsidR="00FF2E1F" w:rsidRPr="000A6D30">
        <w:rPr>
          <w:lang w:val="fr-FR"/>
        </w:rPr>
        <w:noBreakHyphen/>
      </w:r>
      <w:r w:rsidR="000A4B8D" w:rsidRPr="000A6D30">
        <w:rPr>
          <w:lang w:val="fr-FR"/>
        </w:rPr>
        <w:t>sixième</w:t>
      </w:r>
      <w:r w:rsidR="00947858" w:rsidRPr="000A6D30">
        <w:rPr>
          <w:lang w:val="fr-FR"/>
        </w:rPr>
        <w:t> </w:t>
      </w:r>
      <w:r w:rsidR="000A4B8D" w:rsidRPr="000A6D30">
        <w:rPr>
          <w:lang w:val="fr-FR"/>
        </w:rPr>
        <w:t xml:space="preserve">session, </w:t>
      </w:r>
      <w:r w:rsidR="001A2626" w:rsidRPr="000A6D30">
        <w:rPr>
          <w:lang w:val="fr-FR"/>
        </w:rPr>
        <w:t>de</w:t>
      </w:r>
      <w:r w:rsidR="000A4B8D" w:rsidRPr="000A6D30">
        <w:rPr>
          <w:lang w:val="fr-FR"/>
        </w:rPr>
        <w:t xml:space="preserve"> l</w:t>
      </w:r>
      <w:r w:rsidR="00343EE5" w:rsidRPr="000A6D30">
        <w:rPr>
          <w:lang w:val="fr-FR"/>
        </w:rPr>
        <w:t>’</w:t>
      </w:r>
      <w:r w:rsidR="000A4B8D" w:rsidRPr="000A6D30">
        <w:rPr>
          <w:lang w:val="fr-FR"/>
        </w:rPr>
        <w:t xml:space="preserve">incidence </w:t>
      </w:r>
      <w:r w:rsidR="001A2626" w:rsidRPr="000A6D30">
        <w:rPr>
          <w:lang w:val="fr-FR"/>
        </w:rPr>
        <w:t xml:space="preserve">que pouvaient avoir </w:t>
      </w:r>
      <w:r w:rsidR="000A4B8D" w:rsidRPr="000A6D30">
        <w:rPr>
          <w:lang w:val="fr-FR"/>
        </w:rPr>
        <w:t>l</w:t>
      </w:r>
      <w:r w:rsidR="00343EE5" w:rsidRPr="000A6D30">
        <w:rPr>
          <w:lang w:val="fr-FR"/>
        </w:rPr>
        <w:t>’</w:t>
      </w:r>
      <w:r w:rsidR="000A4B8D" w:rsidRPr="000A6D30">
        <w:rPr>
          <w:lang w:val="fr-FR"/>
        </w:rPr>
        <w:t>endroit, l</w:t>
      </w:r>
      <w:r w:rsidR="00343EE5" w:rsidRPr="000A6D30">
        <w:rPr>
          <w:lang w:val="fr-FR"/>
        </w:rPr>
        <w:t>’</w:t>
      </w:r>
      <w:r w:rsidR="001A2626" w:rsidRPr="000A6D30">
        <w:rPr>
          <w:lang w:val="fr-FR"/>
        </w:rPr>
        <w:t>observateur et</w:t>
      </w:r>
      <w:r w:rsidR="000A4B8D" w:rsidRPr="000A6D30">
        <w:rPr>
          <w:lang w:val="fr-FR"/>
        </w:rPr>
        <w:t xml:space="preserve"> l</w:t>
      </w:r>
      <w:r w:rsidR="00343EE5" w:rsidRPr="000A6D30">
        <w:rPr>
          <w:lang w:val="fr-FR"/>
        </w:rPr>
        <w:t>’</w:t>
      </w:r>
      <w:r w:rsidR="000A4B8D" w:rsidRPr="000A6D30">
        <w:rPr>
          <w:lang w:val="fr-FR"/>
        </w:rPr>
        <w:t>année sur la conformité d</w:t>
      </w:r>
      <w:r w:rsidR="00343EE5" w:rsidRPr="000A6D30">
        <w:rPr>
          <w:lang w:val="fr-FR"/>
        </w:rPr>
        <w:t>’</w:t>
      </w:r>
      <w:r w:rsidR="000A4B8D" w:rsidRPr="000A6D30">
        <w:rPr>
          <w:lang w:val="fr-FR"/>
        </w:rPr>
        <w:t>un caractère pour une plante spécifique</w:t>
      </w:r>
      <w:r w:rsidR="006622E4" w:rsidRPr="000A6D30">
        <w:rPr>
          <w:lang w:val="fr-FR"/>
        </w:rPr>
        <w:t xml:space="preserve"> (</w:t>
      </w:r>
      <w:r w:rsidR="000A4B8D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0A4B8D" w:rsidRPr="000A6D30">
        <w:rPr>
          <w:lang w:val="fr-FR"/>
        </w:rPr>
        <w:t>32 du</w:t>
      </w:r>
      <w:r w:rsidR="006622E4" w:rsidRPr="000A6D30">
        <w:rPr>
          <w:lang w:val="fr-FR"/>
        </w:rPr>
        <w:t xml:space="preserve"> document TWF/45/32 “Report”)</w:t>
      </w:r>
      <w:r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256D98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C013B7" w:rsidRPr="000A6D30">
        <w:rPr>
          <w:lang w:val="fr-FR"/>
        </w:rPr>
        <w:t>Le TWC a pris note que l</w:t>
      </w:r>
      <w:r w:rsidR="00343EE5" w:rsidRPr="000A6D30">
        <w:rPr>
          <w:lang w:val="fr-FR"/>
        </w:rPr>
        <w:t>’</w:t>
      </w:r>
      <w:r w:rsidR="00C013B7" w:rsidRPr="000A6D30">
        <w:rPr>
          <w:lang w:val="fr-FR"/>
        </w:rPr>
        <w:t>expert de la Nouvelle</w:t>
      </w:r>
      <w:r w:rsidR="00FF2E1F" w:rsidRPr="000A6D30">
        <w:rPr>
          <w:lang w:val="fr-FR"/>
        </w:rPr>
        <w:noBreakHyphen/>
      </w:r>
      <w:r w:rsidR="00C013B7" w:rsidRPr="000A6D30">
        <w:rPr>
          <w:lang w:val="fr-FR"/>
        </w:rPr>
        <w:t>Zélande avait rendu compte à la cinquante</w:t>
      </w:r>
      <w:r w:rsidR="00FF2E1F" w:rsidRPr="000A6D30">
        <w:rPr>
          <w:lang w:val="fr-FR"/>
        </w:rPr>
        <w:noBreakHyphen/>
      </w:r>
      <w:r w:rsidR="00C013B7" w:rsidRPr="000A6D30">
        <w:rPr>
          <w:lang w:val="fr-FR"/>
        </w:rPr>
        <w:t>cinquième</w:t>
      </w:r>
      <w:r w:rsidR="00947858" w:rsidRPr="000A6D30">
        <w:rPr>
          <w:lang w:val="fr-FR"/>
        </w:rPr>
        <w:t> </w:t>
      </w:r>
      <w:r w:rsidR="00C013B7" w:rsidRPr="000A6D30">
        <w:rPr>
          <w:lang w:val="fr-FR"/>
        </w:rPr>
        <w:t>session</w:t>
      </w:r>
      <w:r w:rsidR="00343EE5" w:rsidRPr="000A6D30">
        <w:rPr>
          <w:lang w:val="fr-FR"/>
        </w:rPr>
        <w:t xml:space="preserve"> du TWF</w:t>
      </w:r>
      <w:r w:rsidR="00C013B7" w:rsidRPr="000A6D30">
        <w:rPr>
          <w:lang w:val="fr-FR"/>
        </w:rPr>
        <w:t xml:space="preserve"> des travaux réalisés précédemment sur la description variétale harmonisée de la pomme pour un ensemble convenu de variétés</w:t>
      </w:r>
      <w:r w:rsidR="002D5B74" w:rsidRPr="000A6D30">
        <w:rPr>
          <w:lang w:val="fr-FR"/>
        </w:rPr>
        <w:t xml:space="preserve"> (</w:t>
      </w:r>
      <w:r w:rsidR="00C013B7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C013B7" w:rsidRPr="000A6D30">
        <w:rPr>
          <w:lang w:val="fr-FR"/>
        </w:rPr>
        <w:t>51 du</w:t>
      </w:r>
      <w:r w:rsidR="002D5B74" w:rsidRPr="000A6D30">
        <w:rPr>
          <w:lang w:val="fr-FR"/>
        </w:rPr>
        <w:t xml:space="preserve"> </w:t>
      </w:r>
      <w:r w:rsidR="00661531" w:rsidRPr="000A6D30">
        <w:rPr>
          <w:lang w:val="fr-FR"/>
        </w:rPr>
        <w:t xml:space="preserve">document </w:t>
      </w:r>
      <w:r w:rsidR="002D5B74" w:rsidRPr="000A6D30">
        <w:rPr>
          <w:lang w:val="fr-FR"/>
        </w:rPr>
        <w:t>TWC/32/28 “Report”).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256D98" w:rsidP="000A6D30">
      <w:pPr>
        <w:keepLines/>
        <w:spacing w:before="60" w:after="60"/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717B91" w:rsidRPr="000A6D30">
        <w:rPr>
          <w:lang w:val="fr-FR"/>
        </w:rPr>
        <w:t xml:space="preserve">Le TWC est convenu que le projet de conseils devrait commencer </w:t>
      </w:r>
      <w:r w:rsidR="001A2626" w:rsidRPr="000A6D30">
        <w:rPr>
          <w:lang w:val="fr-FR"/>
        </w:rPr>
        <w:t>par</w:t>
      </w:r>
      <w:r w:rsidR="00717B91" w:rsidRPr="000A6D30">
        <w:rPr>
          <w:lang w:val="fr-FR"/>
        </w:rPr>
        <w:t xml:space="preserve"> la variation entre observateurs au niveau du service</w:t>
      </w:r>
      <w:r w:rsidR="001A2626" w:rsidRPr="000A6D30">
        <w:rPr>
          <w:lang w:val="fr-FR"/>
        </w:rPr>
        <w:t>, puis</w:t>
      </w:r>
      <w:r w:rsidR="00717B91" w:rsidRPr="000A6D30">
        <w:rPr>
          <w:lang w:val="fr-FR"/>
        </w:rPr>
        <w:t xml:space="preserve"> entre différents services </w:t>
      </w:r>
      <w:r w:rsidR="002D5B74" w:rsidRPr="000A6D30">
        <w:rPr>
          <w:lang w:val="fr-FR"/>
        </w:rPr>
        <w:t>(</w:t>
      </w:r>
      <w:r w:rsidR="00717B91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717B91" w:rsidRPr="000A6D30">
        <w:rPr>
          <w:lang w:val="fr-FR"/>
        </w:rPr>
        <w:t>53 du</w:t>
      </w:r>
      <w:r w:rsidR="002D5B74" w:rsidRPr="000A6D30">
        <w:rPr>
          <w:lang w:val="fr-FR"/>
        </w:rPr>
        <w:t xml:space="preserve"> </w:t>
      </w:r>
      <w:r w:rsidR="00661531" w:rsidRPr="000A6D30">
        <w:rPr>
          <w:lang w:val="fr-FR"/>
        </w:rPr>
        <w:t xml:space="preserve">document </w:t>
      </w:r>
      <w:r w:rsidR="002D5B74" w:rsidRPr="000A6D30">
        <w:rPr>
          <w:lang w:val="fr-FR"/>
        </w:rPr>
        <w:t>TWC/32/28 “Report”)</w:t>
      </w:r>
      <w:r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860745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D042FD" w:rsidRPr="000A6D30">
        <w:rPr>
          <w:lang w:val="fr-FR"/>
        </w:rPr>
        <w:t>Le TW</w:t>
      </w:r>
      <w:r w:rsidR="001A2626" w:rsidRPr="000A6D30">
        <w:rPr>
          <w:lang w:val="fr-FR"/>
        </w:rPr>
        <w:t>V</w:t>
      </w:r>
      <w:r w:rsidR="00D042FD" w:rsidRPr="000A6D30">
        <w:rPr>
          <w:lang w:val="fr-FR"/>
        </w:rPr>
        <w:t xml:space="preserve"> a suggéré d</w:t>
      </w:r>
      <w:r w:rsidR="00343EE5" w:rsidRPr="000A6D30">
        <w:rPr>
          <w:lang w:val="fr-FR"/>
        </w:rPr>
        <w:t>’</w:t>
      </w:r>
      <w:r w:rsidR="00D042FD" w:rsidRPr="000A6D30">
        <w:rPr>
          <w:lang w:val="fr-FR"/>
        </w:rPr>
        <w:t>inclure un exercice de formation dans un essai DHS comme base pour le partage de données d</w:t>
      </w:r>
      <w:r w:rsidR="00343EE5" w:rsidRPr="000A6D30">
        <w:rPr>
          <w:lang w:val="fr-FR"/>
        </w:rPr>
        <w:t>’</w:t>
      </w:r>
      <w:r w:rsidR="00D042FD" w:rsidRPr="000A6D30">
        <w:rPr>
          <w:lang w:val="fr-FR"/>
        </w:rPr>
        <w:t xml:space="preserve">expérience dans ce domaine et </w:t>
      </w:r>
      <w:r w:rsidR="001A2626" w:rsidRPr="000A6D30">
        <w:rPr>
          <w:lang w:val="fr-FR"/>
        </w:rPr>
        <w:t>d’exploiter davantage</w:t>
      </w:r>
      <w:r w:rsidR="00343EE5" w:rsidRPr="000A6D30">
        <w:rPr>
          <w:lang w:val="fr-FR"/>
        </w:rPr>
        <w:t xml:space="preserve"> le TWV</w:t>
      </w:r>
      <w:r w:rsidRPr="000A6D30">
        <w:rPr>
          <w:lang w:val="fr-FR"/>
        </w:rPr>
        <w:t xml:space="preserve"> </w:t>
      </w:r>
      <w:r w:rsidR="00D042FD" w:rsidRPr="000A6D30">
        <w:rPr>
          <w:lang w:val="fr-FR"/>
        </w:rPr>
        <w:t>à des fins de formation</w:t>
      </w:r>
      <w:r w:rsidR="002D5B74" w:rsidRPr="000A6D30">
        <w:rPr>
          <w:lang w:val="fr-FR"/>
        </w:rPr>
        <w:t xml:space="preserve"> (</w:t>
      </w:r>
      <w:r w:rsidR="00D042FD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D042FD" w:rsidRPr="000A6D30">
        <w:rPr>
          <w:lang w:val="fr-FR"/>
        </w:rPr>
        <w:t>36 du</w:t>
      </w:r>
      <w:r w:rsidR="002D5B74" w:rsidRPr="000A6D30">
        <w:rPr>
          <w:lang w:val="fr-FR"/>
        </w:rPr>
        <w:t xml:space="preserve"> document TWV/48/43 “Report”)</w:t>
      </w:r>
      <w:r w:rsidRPr="000A6D30">
        <w:rPr>
          <w:lang w:val="fr-FR"/>
        </w:rPr>
        <w:t>.</w:t>
      </w:r>
    </w:p>
    <w:p w:rsidR="00DF02B7" w:rsidRPr="000A6D30" w:rsidRDefault="00860745" w:rsidP="000A6D30">
      <w:pPr>
        <w:rPr>
          <w:lang w:val="fr-FR"/>
        </w:rPr>
      </w:pPr>
      <w:r w:rsidRPr="000A6D30">
        <w:rPr>
          <w:lang w:val="fr-FR"/>
        </w:rPr>
        <w:lastRenderedPageBreak/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D042FD" w:rsidRPr="000A6D30">
        <w:rPr>
          <w:lang w:val="fr-FR"/>
        </w:rPr>
        <w:t>Le TWA a pris note qu</w:t>
      </w:r>
      <w:r w:rsidR="00343EE5" w:rsidRPr="000A6D30">
        <w:rPr>
          <w:lang w:val="fr-FR"/>
        </w:rPr>
        <w:t>’</w:t>
      </w:r>
      <w:r w:rsidR="00D042FD" w:rsidRPr="000A6D30">
        <w:rPr>
          <w:lang w:val="fr-FR"/>
        </w:rPr>
        <w:t>un expert de la Nouvelle</w:t>
      </w:r>
      <w:r w:rsidR="00FF2E1F" w:rsidRPr="000A6D30">
        <w:rPr>
          <w:lang w:val="fr-FR"/>
        </w:rPr>
        <w:noBreakHyphen/>
      </w:r>
      <w:r w:rsidR="00D042FD" w:rsidRPr="000A6D30">
        <w:rPr>
          <w:lang w:val="fr-FR"/>
        </w:rPr>
        <w:t xml:space="preserve">Zélande avait présenté un exposé </w:t>
      </w:r>
      <w:r w:rsidR="00FF0FD6" w:rsidRPr="000A6D30">
        <w:rPr>
          <w:lang w:val="fr-FR"/>
        </w:rPr>
        <w:t>à la quarante</w:t>
      </w:r>
      <w:r w:rsidR="00FF2E1F" w:rsidRPr="000A6D30">
        <w:rPr>
          <w:lang w:val="fr-FR"/>
        </w:rPr>
        <w:noBreakHyphen/>
      </w:r>
      <w:r w:rsidR="00FF0FD6" w:rsidRPr="000A6D30">
        <w:rPr>
          <w:lang w:val="fr-FR"/>
        </w:rPr>
        <w:t>cinquième</w:t>
      </w:r>
      <w:r w:rsidR="00947858" w:rsidRPr="000A6D30">
        <w:rPr>
          <w:lang w:val="fr-FR"/>
        </w:rPr>
        <w:t> </w:t>
      </w:r>
      <w:r w:rsidR="00FF0FD6" w:rsidRPr="000A6D30">
        <w:rPr>
          <w:lang w:val="fr-FR"/>
        </w:rPr>
        <w:t>session</w:t>
      </w:r>
      <w:r w:rsidR="00343EE5" w:rsidRPr="000A6D30">
        <w:rPr>
          <w:lang w:val="fr-FR"/>
        </w:rPr>
        <w:t xml:space="preserve"> du TWF</w:t>
      </w:r>
      <w:r w:rsidR="00FF0FD6" w:rsidRPr="000A6D30">
        <w:rPr>
          <w:lang w:val="fr-FR"/>
        </w:rPr>
        <w:t xml:space="preserve"> </w:t>
      </w:r>
      <w:r w:rsidR="00D042FD" w:rsidRPr="000A6D30">
        <w:rPr>
          <w:lang w:val="fr-FR"/>
        </w:rPr>
        <w:t>sur les travaux réalisés précédemment sur la description variétale harmonisée de la pomme pour un ensemble convenu de variétés</w:t>
      </w:r>
      <w:r w:rsidRPr="000A6D30">
        <w:rPr>
          <w:lang w:val="fr-FR"/>
        </w:rPr>
        <w:t xml:space="preserve">, </w:t>
      </w:r>
      <w:r w:rsidR="00FF0FD6" w:rsidRPr="000A6D30">
        <w:rPr>
          <w:lang w:val="fr-FR"/>
        </w:rPr>
        <w:t>qui figure dans le document</w:t>
      </w:r>
      <w:r w:rsidRPr="000A6D30">
        <w:rPr>
          <w:lang w:val="fr-FR"/>
        </w:rPr>
        <w:t xml:space="preserve"> TWF/45/28 “</w:t>
      </w:r>
      <w:r w:rsidRPr="00365D5B">
        <w:t>Harmonized</w:t>
      </w:r>
      <w:r w:rsidRPr="000A6D30">
        <w:rPr>
          <w:lang w:val="fr-FR"/>
        </w:rPr>
        <w:t xml:space="preserve"> </w:t>
      </w:r>
      <w:r w:rsidRPr="00365D5B">
        <w:t>example</w:t>
      </w:r>
      <w:r w:rsidRPr="000A6D30">
        <w:rPr>
          <w:lang w:val="fr-FR"/>
        </w:rPr>
        <w:t xml:space="preserve"> </w:t>
      </w:r>
      <w:r w:rsidRPr="00365D5B">
        <w:t>varieties</w:t>
      </w:r>
      <w:r w:rsidRPr="000A6D30">
        <w:rPr>
          <w:lang w:val="fr-FR"/>
        </w:rPr>
        <w:t xml:space="preserve"> for Apple</w:t>
      </w:r>
      <w:r w:rsidR="00947858" w:rsidRPr="000A6D30">
        <w:rPr>
          <w:lang w:val="fr-FR"/>
        </w:rPr>
        <w:t> </w:t>
      </w:r>
      <w:r w:rsidRPr="000A6D30">
        <w:rPr>
          <w:lang w:val="fr-FR"/>
        </w:rPr>
        <w:t>: historical data and possible new developments”</w:t>
      </w:r>
      <w:r w:rsidR="0027182F" w:rsidRPr="000A6D30">
        <w:rPr>
          <w:lang w:val="fr-FR"/>
        </w:rPr>
        <w:t xml:space="preserve"> (</w:t>
      </w:r>
      <w:r w:rsidR="00FF0FD6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FF0FD6" w:rsidRPr="000A6D30">
        <w:rPr>
          <w:lang w:val="fr-FR"/>
        </w:rPr>
        <w:t>29 du</w:t>
      </w:r>
      <w:r w:rsidR="0027182F" w:rsidRPr="000A6D30">
        <w:rPr>
          <w:lang w:val="fr-FR"/>
        </w:rPr>
        <w:t xml:space="preserve"> document TWA/43/27 “Report”)</w:t>
      </w:r>
      <w:r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860745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A24110" w:rsidRPr="000A6D30">
        <w:rPr>
          <w:lang w:val="fr-FR"/>
        </w:rPr>
        <w:t xml:space="preserve">Le </w:t>
      </w:r>
      <w:r w:rsidRPr="000A6D30">
        <w:rPr>
          <w:lang w:val="fr-FR"/>
        </w:rPr>
        <w:t xml:space="preserve">TWA </w:t>
      </w:r>
      <w:r w:rsidR="00A24110" w:rsidRPr="000A6D30">
        <w:rPr>
          <w:lang w:val="fr-FR"/>
        </w:rPr>
        <w:t>a souligné l</w:t>
      </w:r>
      <w:r w:rsidR="00343EE5" w:rsidRPr="000A6D30">
        <w:rPr>
          <w:lang w:val="fr-FR"/>
        </w:rPr>
        <w:t>’</w:t>
      </w:r>
      <w:r w:rsidR="00A24110" w:rsidRPr="000A6D30">
        <w:rPr>
          <w:lang w:val="fr-FR"/>
        </w:rPr>
        <w:t>importance de la qualité des principes directeurs d</w:t>
      </w:r>
      <w:r w:rsidR="00343EE5" w:rsidRPr="000A6D30">
        <w:rPr>
          <w:lang w:val="fr-FR"/>
        </w:rPr>
        <w:t>’</w:t>
      </w:r>
      <w:r w:rsidR="00A24110" w:rsidRPr="000A6D30">
        <w:rPr>
          <w:lang w:val="fr-FR"/>
        </w:rPr>
        <w:t>examen dans la fourniture d</w:t>
      </w:r>
      <w:r w:rsidR="00343EE5" w:rsidRPr="000A6D30">
        <w:rPr>
          <w:lang w:val="fr-FR"/>
        </w:rPr>
        <w:t>’</w:t>
      </w:r>
      <w:r w:rsidR="00A24110" w:rsidRPr="000A6D30">
        <w:rPr>
          <w:lang w:val="fr-FR"/>
        </w:rPr>
        <w:t>orientations claires aux examinateurs DHS et la garantie de la cohérence des observations, ainsi que l</w:t>
      </w:r>
      <w:r w:rsidR="00343EE5" w:rsidRPr="000A6D30">
        <w:rPr>
          <w:lang w:val="fr-FR"/>
        </w:rPr>
        <w:t>’</w:t>
      </w:r>
      <w:r w:rsidR="00A24110" w:rsidRPr="000A6D30">
        <w:rPr>
          <w:lang w:val="fr-FR"/>
        </w:rPr>
        <w:t>importance de la formation continue pour les examinateurs</w:t>
      </w:r>
      <w:r w:rsidRPr="000A6D30">
        <w:rPr>
          <w:lang w:val="fr-FR"/>
        </w:rPr>
        <w:t xml:space="preserve">. </w:t>
      </w:r>
      <w:r w:rsidR="00343EE5" w:rsidRPr="000A6D30">
        <w:rPr>
          <w:lang w:val="fr-FR"/>
        </w:rPr>
        <w:t xml:space="preserve"> Le TWA</w:t>
      </w:r>
      <w:r w:rsidR="00A24110" w:rsidRPr="000A6D30">
        <w:rPr>
          <w:lang w:val="fr-FR"/>
        </w:rPr>
        <w:t xml:space="preserve"> est convenu de proposer une recommandation générale selon laquell</w:t>
      </w:r>
      <w:r w:rsidR="001A2626" w:rsidRPr="000A6D30">
        <w:rPr>
          <w:lang w:val="fr-FR"/>
        </w:rPr>
        <w:t>e, dans la mesure du possible, un essai devrait être confié à un même o</w:t>
      </w:r>
      <w:r w:rsidR="00A24110" w:rsidRPr="000A6D30">
        <w:rPr>
          <w:lang w:val="fr-FR"/>
        </w:rPr>
        <w:t>bservateur pour éviter toute variation dans les observations</w:t>
      </w:r>
      <w:r w:rsidR="0027182F" w:rsidRPr="000A6D30">
        <w:rPr>
          <w:lang w:val="fr-FR"/>
        </w:rPr>
        <w:t xml:space="preserve"> (</w:t>
      </w:r>
      <w:r w:rsidR="00A24110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A24110" w:rsidRPr="000A6D30">
        <w:rPr>
          <w:lang w:val="fr-FR"/>
        </w:rPr>
        <w:t>32 du</w:t>
      </w:r>
      <w:r w:rsidR="0027182F" w:rsidRPr="000A6D30">
        <w:rPr>
          <w:lang w:val="fr-FR"/>
        </w:rPr>
        <w:t xml:space="preserve"> document TWA/43/27 “Report”)</w:t>
      </w:r>
      <w:r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860745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A10C55" w:rsidRPr="000A6D30">
        <w:rPr>
          <w:lang w:val="fr-FR"/>
        </w:rPr>
        <w:t>Le TWA est convenu que les caractères</w:t>
      </w:r>
      <w:r w:rsidRPr="000A6D30">
        <w:rPr>
          <w:lang w:val="fr-FR"/>
        </w:rPr>
        <w:t xml:space="preserve"> QN/MG </w:t>
      </w:r>
      <w:r w:rsidR="00A3305C" w:rsidRPr="000A6D30">
        <w:rPr>
          <w:lang w:val="fr-FR"/>
        </w:rPr>
        <w:t>pouvaient être traités de la même façon que les caractères QN/MS et a noté qu</w:t>
      </w:r>
      <w:r w:rsidR="00343EE5" w:rsidRPr="000A6D30">
        <w:rPr>
          <w:lang w:val="fr-FR"/>
        </w:rPr>
        <w:t>’</w:t>
      </w:r>
      <w:r w:rsidR="00A3305C" w:rsidRPr="000A6D30">
        <w:rPr>
          <w:lang w:val="fr-FR"/>
        </w:rPr>
        <w:t>il fallait également tenir compte de l</w:t>
      </w:r>
      <w:r w:rsidR="00343EE5" w:rsidRPr="000A6D30">
        <w:rPr>
          <w:lang w:val="fr-FR"/>
        </w:rPr>
        <w:t>’</w:t>
      </w:r>
      <w:r w:rsidR="00A3305C" w:rsidRPr="000A6D30">
        <w:rPr>
          <w:lang w:val="fr-FR"/>
        </w:rPr>
        <w:t>effet que pouvait avoir une variation aléatoire à l</w:t>
      </w:r>
      <w:r w:rsidR="00343EE5" w:rsidRPr="000A6D30">
        <w:rPr>
          <w:lang w:val="fr-FR"/>
        </w:rPr>
        <w:t>’</w:t>
      </w:r>
      <w:r w:rsidR="00A3305C" w:rsidRPr="000A6D30">
        <w:rPr>
          <w:lang w:val="fr-FR"/>
        </w:rPr>
        <w:t>intérieur d</w:t>
      </w:r>
      <w:r w:rsidR="00343EE5" w:rsidRPr="000A6D30">
        <w:rPr>
          <w:lang w:val="fr-FR"/>
        </w:rPr>
        <w:t>’</w:t>
      </w:r>
      <w:r w:rsidR="00A3305C" w:rsidRPr="000A6D30">
        <w:rPr>
          <w:lang w:val="fr-FR"/>
        </w:rPr>
        <w:t>une parcelle</w:t>
      </w:r>
      <w:r w:rsidRPr="000A6D30">
        <w:rPr>
          <w:lang w:val="fr-FR"/>
        </w:rPr>
        <w:t xml:space="preserve">. </w:t>
      </w:r>
      <w:r w:rsidR="00343EE5" w:rsidRPr="000A6D30">
        <w:rPr>
          <w:lang w:val="fr-FR"/>
        </w:rPr>
        <w:t xml:space="preserve"> Le TWA</w:t>
      </w:r>
      <w:r w:rsidR="00002FC2" w:rsidRPr="000A6D30">
        <w:rPr>
          <w:lang w:val="fr-FR"/>
        </w:rPr>
        <w:t xml:space="preserve"> est convenu que les différences entre observateurs concernant les caractères PQ pourraient être examinées </w:t>
      </w:r>
      <w:r w:rsidR="001A2626" w:rsidRPr="000A6D30">
        <w:rPr>
          <w:lang w:val="fr-FR"/>
        </w:rPr>
        <w:t>au moyen de</w:t>
      </w:r>
      <w:r w:rsidR="00002FC2" w:rsidRPr="000A6D30">
        <w:rPr>
          <w:lang w:val="fr-FR"/>
        </w:rPr>
        <w:t xml:space="preserve"> méthodes non paramétriques, par exemple la fréquence des écarts</w:t>
      </w:r>
      <w:r w:rsidR="0027182F" w:rsidRPr="000A6D30">
        <w:rPr>
          <w:lang w:val="fr-FR"/>
        </w:rPr>
        <w:t xml:space="preserve"> (</w:t>
      </w:r>
      <w:r w:rsidR="00002FC2" w:rsidRPr="000A6D30">
        <w:rPr>
          <w:lang w:val="fr-FR"/>
        </w:rPr>
        <w:t>voir le paragraphe</w:t>
      </w:r>
      <w:r w:rsidR="00947858" w:rsidRPr="000A6D30">
        <w:rPr>
          <w:lang w:val="fr-FR"/>
        </w:rPr>
        <w:t> </w:t>
      </w:r>
      <w:r w:rsidR="00002FC2" w:rsidRPr="000A6D30">
        <w:rPr>
          <w:lang w:val="fr-FR"/>
        </w:rPr>
        <w:t>33 du</w:t>
      </w:r>
      <w:r w:rsidR="0027182F" w:rsidRPr="000A6D30">
        <w:rPr>
          <w:lang w:val="fr-FR"/>
        </w:rPr>
        <w:t xml:space="preserve"> document TWA/43/27 “Report”)</w:t>
      </w:r>
      <w:r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903BA9" w:rsidP="000A6D30">
      <w:pPr>
        <w:rPr>
          <w:lang w:val="fr-FR"/>
        </w:rPr>
      </w:pPr>
      <w:r w:rsidRPr="000A6D30">
        <w:rPr>
          <w:lang w:val="fr-FR"/>
        </w:rPr>
        <w:fldChar w:fldCharType="begin"/>
      </w:r>
      <w:r w:rsidRPr="000A6D30">
        <w:rPr>
          <w:lang w:val="fr-FR"/>
        </w:rPr>
        <w:instrText xml:space="preserve"> AUTONUM  </w:instrText>
      </w:r>
      <w:r w:rsidRPr="000A6D30">
        <w:rPr>
          <w:lang w:val="fr-FR"/>
        </w:rPr>
        <w:fldChar w:fldCharType="end"/>
      </w:r>
      <w:r w:rsidRPr="000A6D30">
        <w:rPr>
          <w:lang w:val="fr-FR"/>
        </w:rPr>
        <w:tab/>
      </w:r>
      <w:r w:rsidR="00002FC2" w:rsidRPr="000A6D30">
        <w:rPr>
          <w:lang w:val="fr-FR"/>
        </w:rPr>
        <w:t>En réponse aux observations formulées par</w:t>
      </w:r>
      <w:r w:rsidR="00343EE5" w:rsidRPr="000A6D30">
        <w:rPr>
          <w:lang w:val="fr-FR"/>
        </w:rPr>
        <w:t xml:space="preserve"> les TWP</w:t>
      </w:r>
      <w:r w:rsidR="00002FC2" w:rsidRPr="000A6D30">
        <w:rPr>
          <w:lang w:val="fr-FR"/>
        </w:rPr>
        <w:t xml:space="preserve"> à leurs sessions en</w:t>
      </w:r>
      <w:r w:rsidR="00947858" w:rsidRPr="000A6D30">
        <w:rPr>
          <w:lang w:val="fr-FR"/>
        </w:rPr>
        <w:t> </w:t>
      </w:r>
      <w:r w:rsidR="00002FC2" w:rsidRPr="000A6D30">
        <w:rPr>
          <w:lang w:val="fr-FR"/>
        </w:rPr>
        <w:t xml:space="preserve">2015, </w:t>
      </w:r>
      <w:r w:rsidRPr="000A6D30">
        <w:rPr>
          <w:lang w:val="fr-FR"/>
        </w:rPr>
        <w:t>M.</w:t>
      </w:r>
      <w:r w:rsidR="00947858" w:rsidRPr="000A6D30">
        <w:rPr>
          <w:lang w:val="fr-FR"/>
        </w:rPr>
        <w:t> </w:t>
      </w:r>
      <w:r w:rsidRPr="000A6D30">
        <w:rPr>
          <w:lang w:val="fr-FR"/>
        </w:rPr>
        <w:t>Nik Hulse (Australi</w:t>
      </w:r>
      <w:r w:rsidR="00002FC2" w:rsidRPr="000A6D30">
        <w:rPr>
          <w:lang w:val="fr-FR"/>
        </w:rPr>
        <w:t>e</w:t>
      </w:r>
      <w:r w:rsidRPr="000A6D30">
        <w:rPr>
          <w:lang w:val="fr-FR"/>
        </w:rPr>
        <w:t>)</w:t>
      </w:r>
      <w:r w:rsidR="00002FC2" w:rsidRPr="000A6D30">
        <w:rPr>
          <w:lang w:val="fr-FR"/>
        </w:rPr>
        <w:t xml:space="preserve"> a élaboré un nouveau projet de conseils destiné à être intégré dans le document</w:t>
      </w:r>
      <w:r w:rsidRPr="000A6D30">
        <w:rPr>
          <w:lang w:val="fr-FR"/>
        </w:rPr>
        <w:t xml:space="preserve"> TGP/8</w:t>
      </w:r>
      <w:r w:rsidR="00002FC2" w:rsidRPr="000A6D30">
        <w:rPr>
          <w:lang w:val="fr-FR"/>
        </w:rPr>
        <w:t xml:space="preserve"> : première partie : </w:t>
      </w:r>
      <w:r w:rsidR="00BE385C" w:rsidRPr="000A6D30">
        <w:rPr>
          <w:lang w:val="fr-FR"/>
        </w:rPr>
        <w:t>Protocole d</w:t>
      </w:r>
      <w:r w:rsidR="00343EE5" w:rsidRPr="000A6D30">
        <w:rPr>
          <w:lang w:val="fr-FR"/>
        </w:rPr>
        <w:t>’</w:t>
      </w:r>
      <w:r w:rsidR="00BE385C" w:rsidRPr="000A6D30">
        <w:rPr>
          <w:lang w:val="fr-FR"/>
        </w:rPr>
        <w:t>essai DHS et analyse des données, nouvelle section : Réduction optimale de la variation due à différents observateurs</w:t>
      </w:r>
      <w:r w:rsidRPr="000A6D30">
        <w:rPr>
          <w:lang w:val="fr-FR"/>
        </w:rPr>
        <w:t xml:space="preserve">, </w:t>
      </w:r>
      <w:r w:rsidR="00BE385C" w:rsidRPr="000A6D30">
        <w:rPr>
          <w:lang w:val="fr-FR"/>
        </w:rPr>
        <w:t>qui figure à l</w:t>
      </w:r>
      <w:r w:rsidR="00343EE5" w:rsidRPr="000A6D30">
        <w:rPr>
          <w:lang w:val="fr-FR"/>
        </w:rPr>
        <w:t>’</w:t>
      </w:r>
      <w:r w:rsidR="00BE385C" w:rsidRPr="000A6D30">
        <w:rPr>
          <w:lang w:val="fr-FR"/>
        </w:rPr>
        <w:t>annexe du présent document</w:t>
      </w:r>
      <w:r w:rsidRPr="000A6D30">
        <w:rPr>
          <w:lang w:val="fr-FR"/>
        </w:rPr>
        <w:t xml:space="preserve">, </w:t>
      </w:r>
      <w:r w:rsidR="00BE385C" w:rsidRPr="000A6D30">
        <w:rPr>
          <w:lang w:val="fr-FR"/>
        </w:rPr>
        <w:t>afin que</w:t>
      </w:r>
      <w:r w:rsidR="00343EE5" w:rsidRPr="000A6D30">
        <w:rPr>
          <w:lang w:val="fr-FR"/>
        </w:rPr>
        <w:t xml:space="preserve"> les TWP</w:t>
      </w:r>
      <w:r w:rsidR="00BE385C" w:rsidRPr="000A6D30">
        <w:rPr>
          <w:lang w:val="fr-FR"/>
        </w:rPr>
        <w:t xml:space="preserve"> examinent ces conseils lors de leurs sessions de</w:t>
      </w:r>
      <w:r w:rsidR="00947858" w:rsidRPr="000A6D30">
        <w:rPr>
          <w:lang w:val="fr-FR"/>
        </w:rPr>
        <w:t> </w:t>
      </w:r>
      <w:r w:rsidR="00BE385C" w:rsidRPr="000A6D30">
        <w:rPr>
          <w:lang w:val="fr-FR"/>
        </w:rPr>
        <w:t>2015</w:t>
      </w:r>
      <w:r w:rsidRPr="000A6D30">
        <w:rPr>
          <w:lang w:val="fr-FR"/>
        </w:rPr>
        <w:t>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13508D" w:rsidP="000A6D30">
      <w:pPr>
        <w:tabs>
          <w:tab w:val="left" w:pos="5529"/>
        </w:tabs>
        <w:ind w:left="4820"/>
        <w:rPr>
          <w:i/>
          <w:lang w:val="fr-FR"/>
        </w:rPr>
      </w:pPr>
      <w:r w:rsidRPr="000A6D30">
        <w:rPr>
          <w:i/>
          <w:lang w:val="fr-FR"/>
        </w:rPr>
        <w:fldChar w:fldCharType="begin"/>
      </w:r>
      <w:r w:rsidRPr="000A6D30">
        <w:rPr>
          <w:i/>
          <w:lang w:val="fr-FR"/>
        </w:rPr>
        <w:instrText xml:space="preserve"> AUTONUM  </w:instrText>
      </w:r>
      <w:r w:rsidRPr="000A6D30">
        <w:rPr>
          <w:i/>
          <w:lang w:val="fr-FR"/>
        </w:rPr>
        <w:fldChar w:fldCharType="end"/>
      </w:r>
      <w:r w:rsidR="00707047" w:rsidRPr="000A6D30">
        <w:rPr>
          <w:i/>
          <w:lang w:val="fr-FR"/>
        </w:rPr>
        <w:tab/>
        <w:t>L</w:t>
      </w:r>
      <w:r w:rsidR="00327134" w:rsidRPr="000A6D30">
        <w:rPr>
          <w:i/>
          <w:lang w:val="fr-FR"/>
        </w:rPr>
        <w:t>e</w:t>
      </w:r>
      <w:r w:rsidR="00343EE5" w:rsidRPr="000A6D30">
        <w:rPr>
          <w:i/>
          <w:lang w:val="fr-FR"/>
        </w:rPr>
        <w:t> TC</w:t>
      </w:r>
      <w:r w:rsidRPr="000A6D30">
        <w:rPr>
          <w:i/>
          <w:lang w:val="fr-FR"/>
        </w:rPr>
        <w:t xml:space="preserve"> </w:t>
      </w:r>
      <w:r w:rsidR="00707047" w:rsidRPr="000A6D30">
        <w:rPr>
          <w:i/>
          <w:lang w:val="fr-FR"/>
        </w:rPr>
        <w:t>est invité</w:t>
      </w:r>
    </w:p>
    <w:p w:rsidR="00DF02B7" w:rsidRPr="000A6D30" w:rsidRDefault="00DF02B7" w:rsidP="000A6D30">
      <w:pPr>
        <w:tabs>
          <w:tab w:val="left" w:pos="5529"/>
        </w:tabs>
        <w:ind w:left="4820"/>
        <w:rPr>
          <w:i/>
          <w:lang w:val="fr-FR"/>
        </w:rPr>
      </w:pPr>
    </w:p>
    <w:p w:rsidR="00DF02B7" w:rsidRPr="000A6D30" w:rsidRDefault="0019691C" w:rsidP="000A6D30">
      <w:pPr>
        <w:tabs>
          <w:tab w:val="left" w:pos="5529"/>
        </w:tabs>
        <w:ind w:left="4820"/>
        <w:rPr>
          <w:i/>
          <w:lang w:val="fr-FR"/>
        </w:rPr>
      </w:pPr>
      <w:r w:rsidRPr="000A6D30">
        <w:rPr>
          <w:i/>
          <w:lang w:val="fr-FR"/>
        </w:rPr>
        <w:tab/>
      </w:r>
      <w:r w:rsidR="000E5320" w:rsidRPr="000A6D30">
        <w:rPr>
          <w:i/>
          <w:lang w:val="fr-FR"/>
        </w:rPr>
        <w:t>a)</w:t>
      </w:r>
      <w:r w:rsidR="000E5320" w:rsidRPr="000A6D30">
        <w:rPr>
          <w:i/>
          <w:lang w:val="fr-FR"/>
        </w:rPr>
        <w:tab/>
      </w:r>
      <w:r w:rsidR="0009222B" w:rsidRPr="000A6D30">
        <w:rPr>
          <w:i/>
          <w:lang w:val="fr-FR"/>
        </w:rPr>
        <w:t>à examiner le projet de conseils destiné à être intégré dans le document</w:t>
      </w:r>
      <w:r w:rsidR="00327134" w:rsidRPr="000A6D30">
        <w:rPr>
          <w:i/>
          <w:lang w:val="fr-FR"/>
        </w:rPr>
        <w:t xml:space="preserve"> TGP/8</w:t>
      </w:r>
      <w:r w:rsidR="0009222B" w:rsidRPr="000A6D30">
        <w:rPr>
          <w:i/>
          <w:lang w:val="fr-FR"/>
        </w:rPr>
        <w:t>,</w:t>
      </w:r>
      <w:r w:rsidR="00327134" w:rsidRPr="000A6D30">
        <w:rPr>
          <w:i/>
          <w:lang w:val="fr-FR"/>
        </w:rPr>
        <w:t xml:space="preserve"> </w:t>
      </w:r>
      <w:r w:rsidR="0009222B" w:rsidRPr="000A6D30">
        <w:rPr>
          <w:i/>
          <w:lang w:val="fr-FR"/>
        </w:rPr>
        <w:t>concernant l</w:t>
      </w:r>
      <w:r w:rsidR="00343EE5" w:rsidRPr="000A6D30">
        <w:rPr>
          <w:i/>
          <w:lang w:val="fr-FR"/>
        </w:rPr>
        <w:t>’</w:t>
      </w:r>
      <w:r w:rsidR="0009222B" w:rsidRPr="000A6D30">
        <w:rPr>
          <w:i/>
          <w:lang w:val="fr-FR"/>
        </w:rPr>
        <w:t>optimisation de la variation due à différents observateurs, qui figure à l</w:t>
      </w:r>
      <w:r w:rsidR="00343EE5" w:rsidRPr="000A6D30">
        <w:rPr>
          <w:i/>
          <w:lang w:val="fr-FR"/>
        </w:rPr>
        <w:t>’</w:t>
      </w:r>
      <w:r w:rsidR="0009222B" w:rsidRPr="000A6D30">
        <w:rPr>
          <w:i/>
          <w:lang w:val="fr-FR"/>
        </w:rPr>
        <w:t>annexe du présent document</w:t>
      </w:r>
      <w:r w:rsidR="000E5320" w:rsidRPr="000A6D30">
        <w:rPr>
          <w:i/>
          <w:lang w:val="fr-FR"/>
        </w:rPr>
        <w:t>,</w:t>
      </w:r>
      <w:r w:rsidR="00327134" w:rsidRPr="000A6D30">
        <w:rPr>
          <w:i/>
          <w:lang w:val="fr-FR"/>
        </w:rPr>
        <w:t xml:space="preserve"> </w:t>
      </w:r>
      <w:r w:rsidR="0009222B" w:rsidRPr="000A6D30">
        <w:rPr>
          <w:i/>
          <w:lang w:val="fr-FR"/>
        </w:rPr>
        <w:t>compte tenu des observations formulées par</w:t>
      </w:r>
      <w:r w:rsidR="00343EE5" w:rsidRPr="000A6D30">
        <w:rPr>
          <w:i/>
          <w:lang w:val="fr-FR"/>
        </w:rPr>
        <w:t xml:space="preserve"> les TWP</w:t>
      </w:r>
      <w:r w:rsidR="001A2626" w:rsidRPr="000A6D30">
        <w:rPr>
          <w:i/>
          <w:lang w:val="fr-FR"/>
        </w:rPr>
        <w:t xml:space="preserve"> à leurs sessions de</w:t>
      </w:r>
      <w:r w:rsidR="00947858" w:rsidRPr="000A6D30">
        <w:rPr>
          <w:i/>
          <w:lang w:val="fr-FR"/>
        </w:rPr>
        <w:t> </w:t>
      </w:r>
      <w:r w:rsidR="0009222B" w:rsidRPr="000A6D30">
        <w:rPr>
          <w:i/>
          <w:lang w:val="fr-FR"/>
        </w:rPr>
        <w:t>2014</w:t>
      </w:r>
      <w:r w:rsidR="000E5320" w:rsidRPr="000A6D30">
        <w:rPr>
          <w:i/>
          <w:lang w:val="fr-FR"/>
        </w:rPr>
        <w:t xml:space="preserve">; </w:t>
      </w:r>
      <w:r w:rsidR="0009222B" w:rsidRPr="000A6D30">
        <w:rPr>
          <w:i/>
          <w:lang w:val="fr-FR"/>
        </w:rPr>
        <w:t xml:space="preserve"> et</w:t>
      </w:r>
    </w:p>
    <w:p w:rsidR="00DF02B7" w:rsidRPr="000A6D30" w:rsidRDefault="00DF02B7" w:rsidP="000A6D30">
      <w:pPr>
        <w:tabs>
          <w:tab w:val="left" w:pos="5529"/>
        </w:tabs>
        <w:ind w:left="4820"/>
        <w:rPr>
          <w:i/>
          <w:lang w:val="fr-FR"/>
        </w:rPr>
      </w:pPr>
    </w:p>
    <w:p w:rsidR="00DF02B7" w:rsidRPr="000A6D30" w:rsidRDefault="0019691C" w:rsidP="000A6D30">
      <w:pPr>
        <w:tabs>
          <w:tab w:val="left" w:pos="5529"/>
        </w:tabs>
        <w:ind w:left="4820"/>
        <w:rPr>
          <w:i/>
          <w:lang w:val="fr-FR"/>
        </w:rPr>
      </w:pPr>
      <w:r w:rsidRPr="000A6D30">
        <w:rPr>
          <w:i/>
          <w:lang w:val="fr-FR"/>
        </w:rPr>
        <w:tab/>
      </w:r>
      <w:r w:rsidR="000E5320" w:rsidRPr="000A6D30">
        <w:rPr>
          <w:i/>
          <w:lang w:val="fr-FR"/>
        </w:rPr>
        <w:t>b)</w:t>
      </w:r>
      <w:r w:rsidR="000E5320" w:rsidRPr="000A6D30">
        <w:rPr>
          <w:i/>
          <w:lang w:val="fr-FR"/>
        </w:rPr>
        <w:tab/>
      </w:r>
      <w:r w:rsidR="0009222B" w:rsidRPr="000A6D30">
        <w:rPr>
          <w:i/>
          <w:lang w:val="fr-FR"/>
        </w:rPr>
        <w:t>à demander</w:t>
      </w:r>
      <w:r w:rsidR="00343EE5" w:rsidRPr="000A6D30">
        <w:rPr>
          <w:i/>
          <w:lang w:val="fr-FR"/>
        </w:rPr>
        <w:t xml:space="preserve"> aux TWP</w:t>
      </w:r>
      <w:r w:rsidR="0009222B" w:rsidRPr="000A6D30">
        <w:rPr>
          <w:i/>
          <w:lang w:val="fr-FR"/>
        </w:rPr>
        <w:t xml:space="preserve"> d</w:t>
      </w:r>
      <w:r w:rsidR="00343EE5" w:rsidRPr="000A6D30">
        <w:rPr>
          <w:i/>
          <w:lang w:val="fr-FR"/>
        </w:rPr>
        <w:t>’</w:t>
      </w:r>
      <w:r w:rsidR="0009222B" w:rsidRPr="000A6D30">
        <w:rPr>
          <w:i/>
          <w:lang w:val="fr-FR"/>
        </w:rPr>
        <w:t xml:space="preserve">examiner à leurs sessions </w:t>
      </w:r>
      <w:r w:rsidR="001A2626" w:rsidRPr="000A6D30">
        <w:rPr>
          <w:i/>
          <w:lang w:val="fr-FR"/>
        </w:rPr>
        <w:t>de</w:t>
      </w:r>
      <w:r w:rsidR="00947858" w:rsidRPr="000A6D30">
        <w:rPr>
          <w:i/>
          <w:lang w:val="fr-FR"/>
        </w:rPr>
        <w:t> </w:t>
      </w:r>
      <w:r w:rsidR="0009222B" w:rsidRPr="000A6D30">
        <w:rPr>
          <w:i/>
          <w:lang w:val="fr-FR"/>
        </w:rPr>
        <w:t xml:space="preserve">2015 un nouveau projet contenant les modifications </w:t>
      </w:r>
      <w:r w:rsidR="001A2626" w:rsidRPr="000A6D30">
        <w:rPr>
          <w:i/>
          <w:lang w:val="fr-FR"/>
        </w:rPr>
        <w:t xml:space="preserve">éventuelles </w:t>
      </w:r>
      <w:r w:rsidR="0009222B" w:rsidRPr="000A6D30">
        <w:rPr>
          <w:i/>
          <w:lang w:val="fr-FR"/>
        </w:rPr>
        <w:t>convenues par le</w:t>
      </w:r>
      <w:r w:rsidR="00343EE5" w:rsidRPr="000A6D30">
        <w:rPr>
          <w:i/>
          <w:lang w:val="fr-FR"/>
        </w:rPr>
        <w:t> TC</w:t>
      </w:r>
      <w:r w:rsidR="0009222B" w:rsidRPr="000A6D30">
        <w:rPr>
          <w:i/>
          <w:lang w:val="fr-FR"/>
        </w:rPr>
        <w:t xml:space="preserve"> à sa cinquante</w:t>
      </w:r>
      <w:r w:rsidR="001A2626" w:rsidRPr="000A6D30">
        <w:rPr>
          <w:i/>
          <w:lang w:val="fr-FR"/>
        </w:rPr>
        <w:t> </w:t>
      </w:r>
      <w:r w:rsidR="0009222B" w:rsidRPr="000A6D30">
        <w:rPr>
          <w:i/>
          <w:lang w:val="fr-FR"/>
        </w:rPr>
        <w:t>et</w:t>
      </w:r>
      <w:r w:rsidR="001A2626" w:rsidRPr="000A6D30">
        <w:rPr>
          <w:i/>
          <w:lang w:val="fr-FR"/>
        </w:rPr>
        <w:t> </w:t>
      </w:r>
      <w:r w:rsidR="0009222B" w:rsidRPr="000A6D30">
        <w:rPr>
          <w:i/>
          <w:lang w:val="fr-FR"/>
        </w:rPr>
        <w:t>unième</w:t>
      </w:r>
      <w:r w:rsidR="00947858" w:rsidRPr="000A6D30">
        <w:rPr>
          <w:i/>
          <w:lang w:val="fr-FR"/>
        </w:rPr>
        <w:t> </w:t>
      </w:r>
      <w:r w:rsidR="0009222B" w:rsidRPr="000A6D30">
        <w:rPr>
          <w:i/>
          <w:lang w:val="fr-FR"/>
        </w:rPr>
        <w:t>session.</w:t>
      </w: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F807B3" w:rsidP="000A6D30">
      <w:pPr>
        <w:jc w:val="right"/>
        <w:rPr>
          <w:lang w:val="fr-FR"/>
        </w:rPr>
      </w:pPr>
      <w:r w:rsidRPr="000A6D30">
        <w:rPr>
          <w:lang w:val="fr-FR"/>
        </w:rPr>
        <w:t>[L</w:t>
      </w:r>
      <w:r w:rsidR="00343EE5" w:rsidRPr="000A6D30">
        <w:rPr>
          <w:lang w:val="fr-FR"/>
        </w:rPr>
        <w:t>’</w:t>
      </w:r>
      <w:r w:rsidRPr="000A6D30">
        <w:rPr>
          <w:lang w:val="fr-FR"/>
        </w:rPr>
        <w:t>annexe suit]</w:t>
      </w:r>
    </w:p>
    <w:p w:rsidR="00D865DD" w:rsidRPr="000A6D30" w:rsidRDefault="00D865DD" w:rsidP="000A6D30">
      <w:pPr>
        <w:jc w:val="right"/>
        <w:rPr>
          <w:lang w:val="fr-FR"/>
        </w:rPr>
        <w:sectPr w:rsidR="00D865DD" w:rsidRPr="000A6D30" w:rsidSect="00530EBA">
          <w:headerReference w:type="default" r:id="rId1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DF02B7" w:rsidRPr="000A6D30" w:rsidRDefault="00DF02B7" w:rsidP="000A6D30">
      <w:pPr>
        <w:jc w:val="right"/>
        <w:rPr>
          <w:lang w:val="fr-FR"/>
        </w:rPr>
      </w:pPr>
    </w:p>
    <w:p w:rsidR="009F03A1" w:rsidRPr="000A6D30" w:rsidRDefault="009F03A1" w:rsidP="000A6D30">
      <w:pPr>
        <w:tabs>
          <w:tab w:val="right" w:pos="9638"/>
        </w:tabs>
        <w:jc w:val="center"/>
        <w:rPr>
          <w:rFonts w:cs="Arial"/>
          <w:lang w:val="fr-FR"/>
        </w:rPr>
      </w:pPr>
      <w:r w:rsidRPr="000A6D30">
        <w:rPr>
          <w:lang w:val="fr-FR"/>
        </w:rPr>
        <w:t xml:space="preserve">DOCUMENT </w:t>
      </w:r>
      <w:r w:rsidR="004D10CC" w:rsidRPr="000A6D30">
        <w:rPr>
          <w:lang w:val="fr-FR"/>
        </w:rPr>
        <w:t>TGP/8/1</w:t>
      </w:r>
      <w:r w:rsidRPr="000A6D30">
        <w:rPr>
          <w:lang w:val="fr-FR"/>
        </w:rPr>
        <w:t> :</w:t>
      </w:r>
      <w:r w:rsidR="004D10CC" w:rsidRPr="000A6D30">
        <w:rPr>
          <w:lang w:val="fr-FR"/>
        </w:rPr>
        <w:t xml:space="preserve"> </w:t>
      </w:r>
      <w:r w:rsidRPr="000A6D30">
        <w:rPr>
          <w:lang w:val="fr-FR"/>
        </w:rPr>
        <w:t>PREMIÈRE PARTIE :</w:t>
      </w:r>
      <w:r w:rsidR="004D10CC" w:rsidRPr="000A6D30">
        <w:rPr>
          <w:lang w:val="fr-FR"/>
        </w:rPr>
        <w:t xml:space="preserve"> N</w:t>
      </w:r>
      <w:r w:rsidRPr="000A6D30">
        <w:rPr>
          <w:lang w:val="fr-FR"/>
        </w:rPr>
        <w:t>OUVELLE</w:t>
      </w:r>
      <w:r w:rsidR="004D10CC" w:rsidRPr="000A6D30">
        <w:rPr>
          <w:lang w:val="fr-FR"/>
        </w:rPr>
        <w:t xml:space="preserve"> SECTION</w:t>
      </w:r>
      <w:r w:rsidRPr="000A6D30">
        <w:rPr>
          <w:lang w:val="fr-FR"/>
        </w:rPr>
        <w:t> :</w:t>
      </w:r>
      <w:r w:rsidR="004D10CC" w:rsidRPr="000A6D30">
        <w:rPr>
          <w:lang w:val="fr-FR"/>
        </w:rPr>
        <w:t xml:space="preserve"> </w:t>
      </w:r>
      <w:r w:rsidR="00FF2E1F" w:rsidRPr="000A6D30">
        <w:rPr>
          <w:lang w:val="fr-FR"/>
        </w:rPr>
        <w:br/>
      </w:r>
      <w:r w:rsidRPr="000A6D30">
        <w:rPr>
          <w:lang w:val="fr-FR"/>
        </w:rPr>
        <w:t>OP</w:t>
      </w:r>
      <w:r w:rsidR="00B66B92" w:rsidRPr="000A6D30">
        <w:rPr>
          <w:lang w:val="fr-FR"/>
        </w:rPr>
        <w:t>TIMISATION DE LA VARIATION DUE À</w:t>
      </w:r>
      <w:r w:rsidRPr="000A6D30">
        <w:rPr>
          <w:lang w:val="fr-FR"/>
        </w:rPr>
        <w:t xml:space="preserve"> DIFFÉRENTS OBSERVATEURS DANS UN MÊME ESSAI</w:t>
      </w:r>
    </w:p>
    <w:p w:rsidR="00DF02B7" w:rsidRPr="000A6D30" w:rsidRDefault="00DF02B7" w:rsidP="000A6D30">
      <w:pPr>
        <w:jc w:val="center"/>
        <w:rPr>
          <w:rFonts w:cs="Arial"/>
          <w:lang w:val="fr-FR"/>
        </w:rPr>
      </w:pPr>
    </w:p>
    <w:p w:rsidR="00DF02B7" w:rsidRPr="000A6D30" w:rsidRDefault="00DF02B7" w:rsidP="000A6D30">
      <w:pPr>
        <w:jc w:val="center"/>
        <w:rPr>
          <w:rFonts w:cs="Arial"/>
          <w:lang w:val="fr-FR"/>
        </w:rPr>
      </w:pPr>
    </w:p>
    <w:p w:rsidR="00DF02B7" w:rsidRPr="000A6D30" w:rsidRDefault="00DF02B7" w:rsidP="000A6D30">
      <w:pPr>
        <w:jc w:val="center"/>
        <w:rPr>
          <w:rFonts w:cs="Arial"/>
          <w:lang w:val="fr-FR"/>
        </w:rPr>
      </w:pPr>
    </w:p>
    <w:p w:rsidR="00DF02B7" w:rsidRPr="000A6D30" w:rsidRDefault="0019691C" w:rsidP="000A6D30">
      <w:pPr>
        <w:rPr>
          <w:rFonts w:cs="Arial"/>
          <w:u w:val="single"/>
          <w:lang w:val="fr-FR"/>
        </w:rPr>
      </w:pPr>
      <w:r w:rsidRPr="000A6D30">
        <w:rPr>
          <w:rFonts w:cs="Arial"/>
          <w:u w:val="single"/>
          <w:lang w:val="fr-FR"/>
        </w:rPr>
        <w:t>1.</w:t>
      </w:r>
      <w:r w:rsidR="00947858" w:rsidRPr="000A6D30">
        <w:rPr>
          <w:rFonts w:cs="Arial"/>
          <w:u w:val="single"/>
          <w:lang w:val="fr-FR"/>
        </w:rPr>
        <w:t xml:space="preserve"> </w:t>
      </w:r>
      <w:r w:rsidRPr="000A6D30">
        <w:rPr>
          <w:rFonts w:cs="Arial"/>
          <w:u w:val="single"/>
          <w:lang w:val="fr-FR"/>
        </w:rPr>
        <w:t xml:space="preserve"> </w:t>
      </w:r>
      <w:r w:rsidRPr="000A6D30">
        <w:rPr>
          <w:rFonts w:cs="Arial"/>
          <w:u w:val="single"/>
          <w:lang w:val="fr-FR"/>
        </w:rPr>
        <w:tab/>
      </w:r>
      <w:r w:rsidR="00F807B3" w:rsidRPr="000A6D30">
        <w:rPr>
          <w:rFonts w:cs="Arial"/>
          <w:u w:val="single"/>
          <w:lang w:val="fr-FR"/>
        </w:rPr>
        <w:t>Introduction</w:t>
      </w:r>
    </w:p>
    <w:p w:rsidR="00DF02B7" w:rsidRPr="000A6D30" w:rsidRDefault="00DF02B7" w:rsidP="000A6D30">
      <w:pPr>
        <w:rPr>
          <w:rFonts w:cs="Arial"/>
          <w:u w:val="single"/>
          <w:lang w:val="fr-FR"/>
        </w:rPr>
      </w:pPr>
    </w:p>
    <w:p w:rsidR="00DF02B7" w:rsidRPr="000A6D30" w:rsidRDefault="00511163" w:rsidP="000A6D30">
      <w:pPr>
        <w:rPr>
          <w:rFonts w:cs="Arial"/>
          <w:lang w:val="fr-FR"/>
        </w:rPr>
      </w:pPr>
      <w:r w:rsidRPr="000A6D30">
        <w:rPr>
          <w:rFonts w:cs="Arial"/>
          <w:lang w:val="fr-FR"/>
        </w:rPr>
        <w:t xml:space="preserve">Le présent document </w:t>
      </w:r>
      <w:r w:rsidR="00364F87" w:rsidRPr="000A6D30">
        <w:rPr>
          <w:rFonts w:cs="Arial"/>
          <w:lang w:val="fr-FR"/>
        </w:rPr>
        <w:t xml:space="preserve">concerne les caractères </w:t>
      </w:r>
      <w:r w:rsidR="004857AD" w:rsidRPr="000A6D30">
        <w:rPr>
          <w:rFonts w:cs="Arial"/>
          <w:lang w:val="fr-FR"/>
        </w:rPr>
        <w:t xml:space="preserve">QN/MG, QN/MS, QN/VG </w:t>
      </w:r>
      <w:r w:rsidR="00364F87" w:rsidRPr="000A6D30">
        <w:rPr>
          <w:rFonts w:cs="Arial"/>
          <w:lang w:val="fr-FR"/>
        </w:rPr>
        <w:t>et</w:t>
      </w:r>
      <w:r w:rsidR="004857AD" w:rsidRPr="000A6D30">
        <w:rPr>
          <w:rFonts w:cs="Arial"/>
          <w:lang w:val="fr-FR"/>
        </w:rPr>
        <w:t xml:space="preserve"> QN/VS. </w:t>
      </w:r>
      <w:r w:rsidR="00364F87" w:rsidRPr="000A6D30">
        <w:rPr>
          <w:rFonts w:cs="Arial"/>
          <w:lang w:val="fr-FR"/>
        </w:rPr>
        <w:t xml:space="preserve"> Il ne traite pas expressément des caractères PQ tels que la couleur </w:t>
      </w:r>
      <w:r w:rsidR="001A2626" w:rsidRPr="000A6D30">
        <w:rPr>
          <w:rFonts w:cs="Arial"/>
          <w:lang w:val="fr-FR"/>
        </w:rPr>
        <w:t>ou</w:t>
      </w:r>
      <w:r w:rsidR="00364F87" w:rsidRPr="000A6D30">
        <w:rPr>
          <w:rFonts w:cs="Arial"/>
          <w:lang w:val="fr-FR"/>
        </w:rPr>
        <w:t xml:space="preserve"> la forme</w:t>
      </w:r>
      <w:r w:rsidR="003B1591" w:rsidRPr="000A6D30">
        <w:rPr>
          <w:rFonts w:cs="Arial"/>
          <w:lang w:val="fr-FR"/>
        </w:rPr>
        <w:t>.</w:t>
      </w:r>
      <w:r w:rsidR="00364F87" w:rsidRPr="000A6D30">
        <w:rPr>
          <w:rFonts w:cs="Arial"/>
          <w:lang w:val="fr-FR"/>
        </w:rPr>
        <w:t xml:space="preserve"> La méthode Kappa décrite est dans une large mesure applicable à ces caractères</w:t>
      </w:r>
      <w:r w:rsidR="001A2626" w:rsidRPr="000A6D30">
        <w:rPr>
          <w:rFonts w:cs="Arial"/>
          <w:lang w:val="fr-FR"/>
        </w:rPr>
        <w:t xml:space="preserve">, </w:t>
      </w:r>
      <w:r w:rsidR="00364F87" w:rsidRPr="000A6D30">
        <w:rPr>
          <w:rFonts w:cs="Arial"/>
          <w:lang w:val="fr-FR"/>
        </w:rPr>
        <w:t xml:space="preserve">le caractère Kappa standard </w:t>
      </w:r>
      <w:r w:rsidR="001A2626" w:rsidRPr="000A6D30">
        <w:rPr>
          <w:rFonts w:cs="Arial"/>
          <w:lang w:val="fr-FR"/>
        </w:rPr>
        <w:t>étant</w:t>
      </w:r>
      <w:r w:rsidR="00364F87" w:rsidRPr="000A6D30">
        <w:rPr>
          <w:rFonts w:cs="Arial"/>
          <w:lang w:val="fr-FR"/>
        </w:rPr>
        <w:t xml:space="preserve"> prévu</w:t>
      </w:r>
      <w:r w:rsidR="001A2626" w:rsidRPr="000A6D30">
        <w:rPr>
          <w:rFonts w:cs="Arial"/>
          <w:lang w:val="fr-FR"/>
        </w:rPr>
        <w:t xml:space="preserve"> par exemple</w:t>
      </w:r>
      <w:r w:rsidR="00364F87" w:rsidRPr="000A6D30">
        <w:rPr>
          <w:rFonts w:cs="Arial"/>
          <w:lang w:val="fr-FR"/>
        </w:rPr>
        <w:t xml:space="preserve"> pour les données nominales</w:t>
      </w:r>
      <w:r w:rsidR="004857AD" w:rsidRPr="000A6D30">
        <w:rPr>
          <w:rFonts w:cs="Arial"/>
          <w:lang w:val="fr-FR"/>
        </w:rPr>
        <w:t xml:space="preserve">. </w:t>
      </w:r>
      <w:r w:rsidR="00364F87" w:rsidRPr="000A6D30">
        <w:rPr>
          <w:rFonts w:cs="Arial"/>
          <w:lang w:val="fr-FR"/>
        </w:rPr>
        <w:t>Toutefois, à notre connaissance, cette méthode n</w:t>
      </w:r>
      <w:r w:rsidR="00343EE5" w:rsidRPr="000A6D30">
        <w:rPr>
          <w:rFonts w:cs="Arial"/>
          <w:lang w:val="fr-FR"/>
        </w:rPr>
        <w:t>’</w:t>
      </w:r>
      <w:r w:rsidR="00364F87" w:rsidRPr="000A6D30">
        <w:rPr>
          <w:rFonts w:cs="Arial"/>
          <w:lang w:val="fr-FR"/>
        </w:rPr>
        <w:t xml:space="preserve">a pas été appliquée à des caractères PQ, ces dernières pouvant </w:t>
      </w:r>
      <w:r w:rsidR="001A2626" w:rsidRPr="000A6D30">
        <w:rPr>
          <w:rFonts w:cs="Arial"/>
          <w:lang w:val="fr-FR"/>
        </w:rPr>
        <w:t xml:space="preserve">également </w:t>
      </w:r>
      <w:r w:rsidR="00364F87" w:rsidRPr="000A6D30">
        <w:rPr>
          <w:rFonts w:cs="Arial"/>
          <w:lang w:val="fr-FR"/>
        </w:rPr>
        <w:t>nécessiter des informations supplémentaires en matière d</w:t>
      </w:r>
      <w:r w:rsidR="00343EE5" w:rsidRPr="000A6D30">
        <w:rPr>
          <w:rFonts w:cs="Arial"/>
          <w:lang w:val="fr-FR"/>
        </w:rPr>
        <w:t>’</w:t>
      </w:r>
      <w:r w:rsidR="00364F87" w:rsidRPr="000A6D30">
        <w:rPr>
          <w:rFonts w:cs="Arial"/>
          <w:lang w:val="fr-FR"/>
        </w:rPr>
        <w:t>étalonnage</w:t>
      </w:r>
      <w:r w:rsidR="004857AD" w:rsidRPr="000A6D30">
        <w:rPr>
          <w:rFonts w:cs="Arial"/>
          <w:lang w:val="fr-FR"/>
        </w:rPr>
        <w:t xml:space="preserve">. </w:t>
      </w:r>
      <w:r w:rsidR="00B66B92" w:rsidRPr="000A6D30">
        <w:rPr>
          <w:rFonts w:cs="Arial"/>
          <w:lang w:val="fr-FR"/>
        </w:rPr>
        <w:t xml:space="preserve"> À titre d</w:t>
      </w:r>
      <w:r w:rsidR="00343EE5" w:rsidRPr="000A6D30">
        <w:rPr>
          <w:rFonts w:cs="Arial"/>
          <w:lang w:val="fr-FR"/>
        </w:rPr>
        <w:t>’</w:t>
      </w:r>
      <w:r w:rsidR="00B66B92" w:rsidRPr="000A6D30">
        <w:rPr>
          <w:rFonts w:cs="Arial"/>
          <w:lang w:val="fr-FR"/>
        </w:rPr>
        <w:t>exemple, pour l</w:t>
      </w:r>
      <w:r w:rsidR="00343EE5" w:rsidRPr="000A6D30">
        <w:rPr>
          <w:rFonts w:cs="Arial"/>
          <w:lang w:val="fr-FR"/>
        </w:rPr>
        <w:t>’</w:t>
      </w:r>
      <w:r w:rsidR="00B66B92" w:rsidRPr="000A6D30">
        <w:rPr>
          <w:rFonts w:cs="Arial"/>
          <w:lang w:val="fr-FR"/>
        </w:rPr>
        <w:t>étalonnage des couleurs, il faut également tenir compte du code de couleur RHS, des conditions d</w:t>
      </w:r>
      <w:r w:rsidR="00343EE5" w:rsidRPr="000A6D30">
        <w:rPr>
          <w:rFonts w:cs="Arial"/>
          <w:lang w:val="fr-FR"/>
        </w:rPr>
        <w:t>’</w:t>
      </w:r>
      <w:r w:rsidR="00B66B92" w:rsidRPr="000A6D30">
        <w:rPr>
          <w:rFonts w:cs="Arial"/>
          <w:lang w:val="fr-FR"/>
        </w:rPr>
        <w:t>éclairage, etc. Ces éléments ne sont pas traités dans le présent document</w:t>
      </w:r>
      <w:r w:rsidR="004857AD" w:rsidRPr="000A6D30">
        <w:rPr>
          <w:rFonts w:cs="Arial"/>
          <w:lang w:val="fr-FR"/>
        </w:rPr>
        <w:t>.</w:t>
      </w:r>
    </w:p>
    <w:p w:rsidR="00DF02B7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1.1</w:t>
      </w:r>
      <w:r w:rsidRPr="000A6D30">
        <w:rPr>
          <w:rFonts w:cs="Arial"/>
          <w:lang w:val="fr-FR"/>
        </w:rPr>
        <w:tab/>
      </w:r>
      <w:r w:rsidR="00566398" w:rsidRPr="000A6D30">
        <w:rPr>
          <w:rFonts w:cs="Arial"/>
          <w:lang w:val="fr-FR"/>
        </w:rPr>
        <w:t>La variation des mesures ou des observations peut s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expliquer par de nombreux facteurs différents tels que le type de culture, le type de caractère, l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année, le site, le protocole et la gestion des essais, la méthode et l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observateur.</w:t>
      </w:r>
      <w:r w:rsidRPr="000A6D30">
        <w:rPr>
          <w:rFonts w:cs="Arial"/>
          <w:lang w:val="fr-FR"/>
        </w:rPr>
        <w:t xml:space="preserve"> </w:t>
      </w:r>
      <w:r w:rsidR="00566398" w:rsidRPr="000A6D30">
        <w:rPr>
          <w:rFonts w:cs="Arial"/>
          <w:lang w:val="fr-FR"/>
        </w:rPr>
        <w:t xml:space="preserve"> </w:t>
      </w:r>
      <w:r w:rsidR="003B1591" w:rsidRPr="000A6D30">
        <w:rPr>
          <w:rFonts w:cs="Arial"/>
          <w:lang w:val="fr-FR"/>
        </w:rPr>
        <w:t>Notamment en ce qui concerne les caractères observés visuellement (QN/VG ou QN/VS), les différences d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un observateur à l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autre peuvent expliquer de fortes variations et un biais éventuel entre observations.</w:t>
      </w:r>
      <w:r w:rsidRPr="000A6D30">
        <w:rPr>
          <w:lang w:val="fr-FR"/>
        </w:rPr>
        <w:t xml:space="preserve"> </w:t>
      </w:r>
      <w:r w:rsidR="00B66B92" w:rsidRPr="000A6D30">
        <w:rPr>
          <w:lang w:val="fr-FR"/>
        </w:rPr>
        <w:t xml:space="preserve"> </w:t>
      </w:r>
      <w:r w:rsidR="003B1591" w:rsidRPr="000A6D30">
        <w:rPr>
          <w:rFonts w:cs="Arial"/>
          <w:lang w:val="fr-FR"/>
        </w:rPr>
        <w:t>Il se peut qu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un observateur soit moins bien formé ou interprète d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une manière différente le caractère.</w:t>
      </w:r>
      <w:r w:rsidRPr="000A6D30">
        <w:rPr>
          <w:lang w:val="fr-FR"/>
        </w:rPr>
        <w:t xml:space="preserve"> </w:t>
      </w:r>
      <w:r w:rsidR="00364F87" w:rsidRPr="000A6D30">
        <w:rPr>
          <w:lang w:val="fr-FR"/>
        </w:rPr>
        <w:t xml:space="preserve"> </w:t>
      </w:r>
      <w:r w:rsidR="003B1591" w:rsidRPr="000A6D30">
        <w:rPr>
          <w:rFonts w:cs="Arial"/>
          <w:lang w:val="fr-FR"/>
        </w:rPr>
        <w:t>Par conséquent, lorsque l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observateur A mesure la variété 1 et l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observateur B la variété 2, la différence mesurée peut s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expliquer par des différences entre observateurs A et B au lieu de différences entre variétés 1 et 2.  Il ne fait aucun doute que nous nous intéressons principalement aux différences entre variétés et non aux différences entre observateurs.</w:t>
      </w:r>
      <w:r w:rsidRPr="000A6D30">
        <w:rPr>
          <w:lang w:val="fr-FR"/>
        </w:rPr>
        <w:t xml:space="preserve"> </w:t>
      </w:r>
      <w:r w:rsidR="00947858" w:rsidRPr="000A6D30">
        <w:rPr>
          <w:rFonts w:cs="Arial"/>
          <w:lang w:val="fr-FR"/>
        </w:rPr>
        <w:t xml:space="preserve"> </w:t>
      </w:r>
      <w:r w:rsidR="003B1591" w:rsidRPr="000A6D30">
        <w:rPr>
          <w:rFonts w:cs="Arial"/>
          <w:lang w:val="fr-FR"/>
        </w:rPr>
        <w:t>Il est important de comprendre que la variation due aux différents observateurs ne peut pas être supprimée mais qu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il existe des moyens de la contrôler.</w:t>
      </w:r>
    </w:p>
    <w:p w:rsidR="00DF02B7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1.2</w:t>
      </w:r>
      <w:r w:rsidRPr="000A6D30">
        <w:rPr>
          <w:rFonts w:cs="Arial"/>
          <w:lang w:val="fr-FR"/>
        </w:rPr>
        <w:tab/>
      </w:r>
      <w:r w:rsidR="00B66B92" w:rsidRPr="000A6D30">
        <w:rPr>
          <w:rFonts w:cs="Arial"/>
          <w:lang w:val="fr-FR"/>
        </w:rPr>
        <w:t xml:space="preserve">Il est recommandé, </w:t>
      </w:r>
      <w:r w:rsidR="00B66B92" w:rsidRPr="000A6D30">
        <w:rPr>
          <w:lang w:val="fr-FR"/>
        </w:rPr>
        <w:t xml:space="preserve">dans la mesure du possible, </w:t>
      </w:r>
      <w:r w:rsidR="001A2626" w:rsidRPr="000A6D30">
        <w:rPr>
          <w:lang w:val="fr-FR"/>
        </w:rPr>
        <w:t>de confier l’essai à un même observateur</w:t>
      </w:r>
      <w:r w:rsidR="00B66B92" w:rsidRPr="000A6D30">
        <w:rPr>
          <w:lang w:val="fr-FR"/>
        </w:rPr>
        <w:t xml:space="preserve"> pour réduire de façon optimale la variation due à différents observateurs</w:t>
      </w:r>
      <w:r w:rsidRPr="000A6D30">
        <w:rPr>
          <w:rFonts w:cs="Arial"/>
          <w:lang w:val="fr-FR"/>
        </w:rPr>
        <w:t>.</w:t>
      </w:r>
    </w:p>
    <w:p w:rsidR="00DF02B7" w:rsidRPr="000A6D30" w:rsidRDefault="00DF02B7" w:rsidP="000A6D30">
      <w:pPr>
        <w:spacing w:before="120" w:after="120"/>
        <w:rPr>
          <w:rFonts w:cs="Arial"/>
          <w:u w:val="single"/>
          <w:lang w:val="fr-FR"/>
        </w:rPr>
      </w:pPr>
    </w:p>
    <w:p w:rsidR="00DF02B7" w:rsidRPr="000A6D30" w:rsidRDefault="004857AD" w:rsidP="000A6D30">
      <w:pPr>
        <w:spacing w:before="120" w:after="120"/>
        <w:rPr>
          <w:rFonts w:cs="Arial"/>
          <w:u w:val="single"/>
          <w:lang w:val="fr-FR"/>
        </w:rPr>
      </w:pPr>
      <w:r w:rsidRPr="000A6D30">
        <w:rPr>
          <w:rFonts w:cs="Arial"/>
          <w:u w:val="single"/>
          <w:lang w:val="fr-FR"/>
        </w:rPr>
        <w:t xml:space="preserve">2. </w:t>
      </w:r>
      <w:r w:rsidR="00947858" w:rsidRPr="000A6D30">
        <w:rPr>
          <w:rFonts w:cs="Arial"/>
          <w:u w:val="single"/>
          <w:lang w:val="fr-FR"/>
        </w:rPr>
        <w:t xml:space="preserve"> </w:t>
      </w:r>
      <w:r w:rsidR="000A6D30">
        <w:rPr>
          <w:rFonts w:cs="Arial"/>
          <w:u w:val="single"/>
          <w:lang w:val="fr-FR"/>
        </w:rPr>
        <w:tab/>
      </w:r>
      <w:r w:rsidR="00B66B92" w:rsidRPr="000A6D30">
        <w:rPr>
          <w:rFonts w:cs="Arial"/>
          <w:u w:val="single"/>
          <w:lang w:val="fr-FR"/>
        </w:rPr>
        <w:t>Formation et importance de fournir des indications claires sur les caractères et la méthode d</w:t>
      </w:r>
      <w:r w:rsidR="00343EE5" w:rsidRPr="000A6D30">
        <w:rPr>
          <w:rFonts w:cs="Arial"/>
          <w:u w:val="single"/>
          <w:lang w:val="fr-FR"/>
        </w:rPr>
        <w:t>’</w:t>
      </w:r>
      <w:r w:rsidR="00B66B92" w:rsidRPr="000A6D30">
        <w:rPr>
          <w:rFonts w:cs="Arial"/>
          <w:u w:val="single"/>
          <w:lang w:val="fr-FR"/>
        </w:rPr>
        <w:t>observation</w:t>
      </w:r>
    </w:p>
    <w:p w:rsidR="00343EE5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2.1</w:t>
      </w:r>
      <w:r w:rsidRPr="000A6D30">
        <w:rPr>
          <w:rFonts w:cs="Arial"/>
          <w:lang w:val="fr-FR"/>
        </w:rPr>
        <w:tab/>
      </w:r>
      <w:r w:rsidR="00B66B92" w:rsidRPr="000A6D30">
        <w:rPr>
          <w:rFonts w:cs="Arial"/>
          <w:lang w:val="fr-FR"/>
        </w:rPr>
        <w:t>Il est essentiel de former les nouveaux observateurs pour des raisons d</w:t>
      </w:r>
      <w:r w:rsidR="00343EE5" w:rsidRPr="000A6D30">
        <w:rPr>
          <w:rFonts w:cs="Arial"/>
          <w:lang w:val="fr-FR"/>
        </w:rPr>
        <w:t>’</w:t>
      </w:r>
      <w:r w:rsidR="00B66B92" w:rsidRPr="000A6D30">
        <w:rPr>
          <w:rFonts w:cs="Arial"/>
          <w:lang w:val="fr-FR"/>
        </w:rPr>
        <w:t>harmonisation et de continuité des observations</w:t>
      </w:r>
      <w:r w:rsidRPr="000A6D30">
        <w:rPr>
          <w:rFonts w:cs="Arial"/>
          <w:lang w:val="fr-FR"/>
        </w:rPr>
        <w:t xml:space="preserve">. </w:t>
      </w:r>
      <w:r w:rsidR="00B66B92" w:rsidRPr="000A6D30">
        <w:rPr>
          <w:rFonts w:cs="Arial"/>
          <w:lang w:val="fr-FR"/>
        </w:rPr>
        <w:t xml:space="preserve"> Les manuels d</w:t>
      </w:r>
      <w:r w:rsidR="00343EE5" w:rsidRPr="000A6D30">
        <w:rPr>
          <w:rFonts w:cs="Arial"/>
          <w:lang w:val="fr-FR"/>
        </w:rPr>
        <w:t>’</w:t>
      </w:r>
      <w:r w:rsidR="00B66B92" w:rsidRPr="000A6D30">
        <w:rPr>
          <w:rFonts w:cs="Arial"/>
          <w:lang w:val="fr-FR"/>
        </w:rPr>
        <w:t xml:space="preserve">étalonnage, </w:t>
      </w:r>
      <w:r w:rsidR="00AE6553" w:rsidRPr="000A6D30">
        <w:rPr>
          <w:rFonts w:cs="Arial"/>
          <w:lang w:val="fr-FR"/>
        </w:rPr>
        <w:t>la supervision et les conseils des observateurs expérimentés, de même que l</w:t>
      </w:r>
      <w:r w:rsidR="00343EE5" w:rsidRPr="000A6D30">
        <w:rPr>
          <w:rFonts w:cs="Arial"/>
          <w:lang w:val="fr-FR"/>
        </w:rPr>
        <w:t>’</w:t>
      </w:r>
      <w:r w:rsidR="00AE6553" w:rsidRPr="000A6D30">
        <w:rPr>
          <w:rFonts w:cs="Arial"/>
          <w:lang w:val="fr-FR"/>
        </w:rPr>
        <w:t>utilisation de variétés indiquées à titre d</w:t>
      </w:r>
      <w:r w:rsidR="00343EE5" w:rsidRPr="000A6D30">
        <w:rPr>
          <w:rFonts w:cs="Arial"/>
          <w:lang w:val="fr-FR"/>
        </w:rPr>
        <w:t>’</w:t>
      </w:r>
      <w:r w:rsidR="00AE6553" w:rsidRPr="000A6D30">
        <w:rPr>
          <w:rFonts w:cs="Arial"/>
          <w:lang w:val="fr-FR"/>
        </w:rPr>
        <w:t>exemple pour illustrer la gamme d</w:t>
      </w:r>
      <w:r w:rsidR="00343EE5" w:rsidRPr="000A6D30">
        <w:rPr>
          <w:rFonts w:cs="Arial"/>
          <w:lang w:val="fr-FR"/>
        </w:rPr>
        <w:t>’</w:t>
      </w:r>
      <w:r w:rsidR="00AE6553" w:rsidRPr="000A6D30">
        <w:rPr>
          <w:rFonts w:cs="Arial"/>
          <w:lang w:val="fr-FR"/>
        </w:rPr>
        <w:t xml:space="preserve">expression, sont autant de moyens </w:t>
      </w:r>
      <w:r w:rsidR="001A2626" w:rsidRPr="000A6D30">
        <w:rPr>
          <w:rFonts w:cs="Arial"/>
          <w:lang w:val="fr-FR"/>
        </w:rPr>
        <w:t>à</w:t>
      </w:r>
      <w:r w:rsidR="00AE6553" w:rsidRPr="000A6D30">
        <w:rPr>
          <w:rFonts w:cs="Arial"/>
          <w:lang w:val="fr-FR"/>
        </w:rPr>
        <w:t xml:space="preserve"> exploit</w:t>
      </w:r>
      <w:r w:rsidR="001A2626" w:rsidRPr="000A6D30">
        <w:rPr>
          <w:rFonts w:cs="Arial"/>
          <w:lang w:val="fr-FR"/>
        </w:rPr>
        <w:t>er</w:t>
      </w:r>
      <w:r w:rsidR="00AE6553" w:rsidRPr="000A6D30">
        <w:rPr>
          <w:rFonts w:cs="Arial"/>
          <w:lang w:val="fr-FR"/>
        </w:rPr>
        <w:t xml:space="preserve"> pour </w:t>
      </w:r>
      <w:r w:rsidR="001A2626" w:rsidRPr="000A6D30">
        <w:rPr>
          <w:rFonts w:cs="Arial"/>
          <w:lang w:val="fr-FR"/>
        </w:rPr>
        <w:t>y parvenir</w:t>
      </w:r>
      <w:r w:rsidRPr="000A6D30">
        <w:rPr>
          <w:rFonts w:cs="Arial"/>
          <w:lang w:val="fr-FR"/>
        </w:rPr>
        <w:t>.</w:t>
      </w:r>
    </w:p>
    <w:p w:rsidR="00343EE5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2.2</w:t>
      </w:r>
      <w:r w:rsidRPr="000A6D30">
        <w:rPr>
          <w:rFonts w:cs="Arial"/>
          <w:lang w:val="fr-FR"/>
        </w:rPr>
        <w:tab/>
      </w:r>
      <w:r w:rsidR="00566398" w:rsidRPr="000A6D30">
        <w:rPr>
          <w:rFonts w:cs="Arial"/>
          <w:lang w:val="fr-FR"/>
        </w:rPr>
        <w:t>Les principes directeurs d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examen de l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UPOV visent à harmoniser le processus de description variétale et à décrire aussi clairement que possible les caractères d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une plante et leurs niveaux d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expression</w:t>
      </w:r>
      <w:r w:rsidRPr="000A6D30">
        <w:rPr>
          <w:rFonts w:cs="Arial"/>
          <w:lang w:val="fr-FR"/>
        </w:rPr>
        <w:t xml:space="preserve">. </w:t>
      </w:r>
      <w:r w:rsidR="00AE6553" w:rsidRPr="000A6D30">
        <w:rPr>
          <w:rFonts w:cs="Arial"/>
          <w:lang w:val="fr-FR"/>
        </w:rPr>
        <w:t xml:space="preserve"> </w:t>
      </w:r>
      <w:r w:rsidR="003B1591" w:rsidRPr="000A6D30">
        <w:rPr>
          <w:rFonts w:cs="Arial"/>
          <w:lang w:val="fr-FR"/>
        </w:rPr>
        <w:t>Il s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agit de la première étape de contrôle de la variation et du biais.</w:t>
      </w:r>
      <w:r w:rsidRPr="000A6D30">
        <w:rPr>
          <w:lang w:val="fr-FR"/>
        </w:rPr>
        <w:t xml:space="preserve"> </w:t>
      </w:r>
      <w:r w:rsidR="00566398" w:rsidRPr="000A6D30">
        <w:rPr>
          <w:lang w:val="fr-FR"/>
        </w:rPr>
        <w:t xml:space="preserve"> </w:t>
      </w:r>
      <w:r w:rsidR="00566398" w:rsidRPr="000A6D30">
        <w:rPr>
          <w:rFonts w:cs="Arial"/>
          <w:lang w:val="fr-FR"/>
        </w:rPr>
        <w:t>Toutefois, la façon dont un caractère est observé ou mesuré peut varier en fonction du lieu ou du service chargé de l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examen.  Les manuels d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étalonnage mis au point par le service local chargé de l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examen sont très utiles pour l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adaptation locale des principes directeurs d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examen de l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UPOV.</w:t>
      </w:r>
      <w:r w:rsidRPr="000A6D30">
        <w:rPr>
          <w:lang w:val="fr-FR"/>
        </w:rPr>
        <w:t xml:space="preserve"> </w:t>
      </w:r>
      <w:r w:rsidR="00566398" w:rsidRPr="000A6D30">
        <w:rPr>
          <w:lang w:val="fr-FR"/>
        </w:rPr>
        <w:t xml:space="preserve"> </w:t>
      </w:r>
      <w:r w:rsidR="00566398" w:rsidRPr="000A6D30">
        <w:rPr>
          <w:rFonts w:cs="Arial"/>
          <w:lang w:val="fr-FR"/>
        </w:rPr>
        <w:t>Le cas échéant, ces manuels propres à une plante donnée expliquent plus en détail les caractères à observer, et précisent le lieu et les modalités d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observation.  En outre, ils peuvent contenir des photos et des dessins pour chaque caractère, souvent pour chaque niveau d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expression d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un caractère.</w:t>
      </w:r>
    </w:p>
    <w:p w:rsidR="00343EE5" w:rsidRPr="000A6D30" w:rsidRDefault="004857AD" w:rsidP="000A6D30">
      <w:pPr>
        <w:spacing w:before="120" w:after="120"/>
        <w:jc w:val="left"/>
        <w:rPr>
          <w:rFonts w:cs="Arial"/>
          <w:lang w:val="fr-FR"/>
        </w:rPr>
      </w:pPr>
      <w:r w:rsidRPr="000A6D30">
        <w:rPr>
          <w:rFonts w:cs="Arial"/>
          <w:lang w:val="fr-FR"/>
        </w:rPr>
        <w:t xml:space="preserve">2.4 </w:t>
      </w:r>
      <w:r w:rsidR="00566398" w:rsidRPr="000A6D30">
        <w:rPr>
          <w:rFonts w:cs="Arial"/>
          <w:lang w:val="fr-FR"/>
        </w:rPr>
        <w:tab/>
      </w:r>
      <w:r w:rsidR="00AE6553" w:rsidRPr="000A6D30">
        <w:rPr>
          <w:rFonts w:cs="Arial"/>
          <w:lang w:val="fr-FR"/>
        </w:rPr>
        <w:t>Le Glossaire des termes utilisés dans les documents de l</w:t>
      </w:r>
      <w:r w:rsidR="00343EE5" w:rsidRPr="000A6D30">
        <w:rPr>
          <w:rFonts w:cs="Arial"/>
          <w:lang w:val="fr-FR"/>
        </w:rPr>
        <w:t>’</w:t>
      </w:r>
      <w:r w:rsidR="00AE6553" w:rsidRPr="000A6D30">
        <w:rPr>
          <w:rFonts w:cs="Arial"/>
          <w:lang w:val="fr-FR"/>
        </w:rPr>
        <w:t xml:space="preserve">UPOV </w:t>
      </w:r>
      <w:r w:rsidRPr="000A6D30">
        <w:rPr>
          <w:rFonts w:cs="Arial"/>
          <w:lang w:val="fr-FR"/>
        </w:rPr>
        <w:t>(</w:t>
      </w:r>
      <w:r w:rsidR="00AE6553" w:rsidRPr="000A6D30">
        <w:rPr>
          <w:rFonts w:cs="Arial"/>
          <w:lang w:val="fr-FR"/>
        </w:rPr>
        <w:t xml:space="preserve">document </w:t>
      </w:r>
      <w:r w:rsidRPr="000A6D30">
        <w:rPr>
          <w:rFonts w:cs="Arial"/>
          <w:lang w:val="fr-FR"/>
        </w:rPr>
        <w:t xml:space="preserve">TGP/14/2) </w:t>
      </w:r>
      <w:r w:rsidR="00AE6553" w:rsidRPr="000A6D30">
        <w:rPr>
          <w:rFonts w:cs="Arial"/>
          <w:lang w:val="fr-FR"/>
        </w:rPr>
        <w:t>donne des précisions utiles sur de nombreux caractères, notamment les caractères PQ.</w:t>
      </w:r>
    </w:p>
    <w:p w:rsidR="00DF02B7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2.3</w:t>
      </w:r>
      <w:r w:rsidRPr="000A6D30">
        <w:rPr>
          <w:rFonts w:cs="Arial"/>
          <w:lang w:val="fr-FR"/>
        </w:rPr>
        <w:tab/>
      </w:r>
      <w:r w:rsidR="001A2626" w:rsidRPr="000A6D30">
        <w:rPr>
          <w:rFonts w:cs="Arial"/>
          <w:lang w:val="fr-FR"/>
        </w:rPr>
        <w:t>Après que l’</w:t>
      </w:r>
      <w:r w:rsidR="00AE6553" w:rsidRPr="000A6D30">
        <w:rPr>
          <w:rFonts w:cs="Arial"/>
          <w:lang w:val="fr-FR"/>
        </w:rPr>
        <w:t>observateur a été formé, il est important de veiller à ce qu</w:t>
      </w:r>
      <w:r w:rsidR="00343EE5" w:rsidRPr="000A6D30">
        <w:rPr>
          <w:rFonts w:cs="Arial"/>
          <w:lang w:val="fr-FR"/>
        </w:rPr>
        <w:t>’</w:t>
      </w:r>
      <w:r w:rsidR="00AE6553" w:rsidRPr="000A6D30">
        <w:rPr>
          <w:rFonts w:cs="Arial"/>
          <w:lang w:val="fr-FR"/>
        </w:rPr>
        <w:t xml:space="preserve">il bénéficie </w:t>
      </w:r>
      <w:r w:rsidR="001A2626" w:rsidRPr="000A6D30">
        <w:rPr>
          <w:rFonts w:cs="Arial"/>
          <w:lang w:val="fr-FR"/>
        </w:rPr>
        <w:t xml:space="preserve">régulièrement </w:t>
      </w:r>
      <w:r w:rsidR="00AE6553" w:rsidRPr="000A6D30">
        <w:rPr>
          <w:rFonts w:cs="Arial"/>
          <w:lang w:val="fr-FR"/>
        </w:rPr>
        <w:t xml:space="preserve">de cours de perfectionnement </w:t>
      </w:r>
      <w:r w:rsidR="00BF3D54" w:rsidRPr="000A6D30">
        <w:rPr>
          <w:rFonts w:cs="Arial"/>
          <w:lang w:val="fr-FR"/>
        </w:rPr>
        <w:t>et passe un test d</w:t>
      </w:r>
      <w:r w:rsidR="00343EE5" w:rsidRPr="000A6D30">
        <w:rPr>
          <w:rFonts w:cs="Arial"/>
          <w:lang w:val="fr-FR"/>
        </w:rPr>
        <w:t>’</w:t>
      </w:r>
      <w:r w:rsidR="00BF3D54" w:rsidRPr="000A6D30">
        <w:rPr>
          <w:rFonts w:cs="Arial"/>
          <w:lang w:val="fr-FR"/>
        </w:rPr>
        <w:t>étalonnage.</w:t>
      </w:r>
    </w:p>
    <w:p w:rsidR="00DF02B7" w:rsidRPr="000A6D30" w:rsidRDefault="00DF02B7" w:rsidP="000A6D30">
      <w:pPr>
        <w:spacing w:before="120" w:after="120"/>
        <w:rPr>
          <w:rFonts w:cs="Arial"/>
          <w:u w:val="single"/>
          <w:lang w:val="fr-FR"/>
        </w:rPr>
      </w:pPr>
    </w:p>
    <w:p w:rsidR="00DF02B7" w:rsidRPr="000A6D30" w:rsidRDefault="004857AD" w:rsidP="000A6D30">
      <w:pPr>
        <w:spacing w:before="120" w:after="120"/>
        <w:rPr>
          <w:rFonts w:cs="Arial"/>
          <w:u w:val="single"/>
          <w:lang w:val="fr-FR"/>
        </w:rPr>
      </w:pPr>
      <w:r w:rsidRPr="000A6D30">
        <w:rPr>
          <w:rFonts w:cs="Arial"/>
          <w:u w:val="single"/>
          <w:lang w:val="fr-FR"/>
        </w:rPr>
        <w:t xml:space="preserve">3. </w:t>
      </w:r>
      <w:r w:rsidR="00947858" w:rsidRPr="000A6D30">
        <w:rPr>
          <w:rFonts w:cs="Arial"/>
          <w:u w:val="single"/>
          <w:lang w:val="fr-FR"/>
        </w:rPr>
        <w:t xml:space="preserve"> </w:t>
      </w:r>
      <w:r w:rsidR="000A6D30">
        <w:rPr>
          <w:rFonts w:cs="Arial"/>
          <w:u w:val="single"/>
          <w:lang w:val="fr-FR"/>
        </w:rPr>
        <w:tab/>
      </w:r>
      <w:r w:rsidR="00566398" w:rsidRPr="000A6D30">
        <w:rPr>
          <w:rFonts w:cs="Arial"/>
          <w:u w:val="single"/>
          <w:lang w:val="fr-FR"/>
        </w:rPr>
        <w:t>Essai d</w:t>
      </w:r>
      <w:r w:rsidR="00343EE5" w:rsidRPr="000A6D30">
        <w:rPr>
          <w:rFonts w:cs="Arial"/>
          <w:u w:val="single"/>
          <w:lang w:val="fr-FR"/>
        </w:rPr>
        <w:t>’</w:t>
      </w:r>
      <w:r w:rsidR="00566398" w:rsidRPr="000A6D30">
        <w:rPr>
          <w:rFonts w:cs="Arial"/>
          <w:u w:val="single"/>
          <w:lang w:val="fr-FR"/>
        </w:rPr>
        <w:t>étalonnage</w:t>
      </w:r>
    </w:p>
    <w:p w:rsidR="00343EE5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3.1</w:t>
      </w:r>
      <w:r w:rsidRPr="000A6D30">
        <w:rPr>
          <w:rFonts w:cs="Arial"/>
          <w:lang w:val="fr-FR"/>
        </w:rPr>
        <w:tab/>
      </w:r>
      <w:r w:rsidR="00566398" w:rsidRPr="000A6D30">
        <w:rPr>
          <w:rFonts w:cs="Arial"/>
          <w:lang w:val="fr-FR"/>
        </w:rPr>
        <w:t>Après la formation d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un observateur, l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étape suivante consiste à vérifier les acquisitions des observateurs dans le cadre d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un essai d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étalonnage</w:t>
      </w:r>
      <w:r w:rsidRPr="000A6D30">
        <w:rPr>
          <w:rFonts w:cs="Arial"/>
          <w:lang w:val="fr-FR"/>
        </w:rPr>
        <w:t>.</w:t>
      </w:r>
      <w:r w:rsidRPr="000A6D30">
        <w:rPr>
          <w:lang w:val="fr-FR"/>
        </w:rPr>
        <w:t xml:space="preserve"> </w:t>
      </w:r>
      <w:r w:rsidR="00566398" w:rsidRPr="000A6D30">
        <w:rPr>
          <w:lang w:val="fr-FR"/>
        </w:rPr>
        <w:t xml:space="preserve"> </w:t>
      </w:r>
      <w:r w:rsidR="003B1591" w:rsidRPr="000A6D30">
        <w:rPr>
          <w:rFonts w:cs="Arial"/>
          <w:lang w:val="fr-FR"/>
        </w:rPr>
        <w:t>C</w:t>
      </w:r>
      <w:r w:rsidR="001A2626" w:rsidRPr="000A6D30">
        <w:rPr>
          <w:rFonts w:cs="Arial"/>
          <w:lang w:val="fr-FR"/>
        </w:rPr>
        <w:t>ela es</w:t>
      </w:r>
      <w:r w:rsidR="003B1591" w:rsidRPr="000A6D30">
        <w:rPr>
          <w:rFonts w:cs="Arial"/>
          <w:lang w:val="fr-FR"/>
        </w:rPr>
        <w:t>t particulièrement utile pour les observateurs inexpérimentés qui doivent procéder à des observations visuelles (caractères QN/VG</w:t>
      </w:r>
      <w:r w:rsidR="003B1591" w:rsidRPr="003F4587">
        <w:rPr>
          <w:rFonts w:cs="Arial"/>
          <w:lang w:val="fr-FR"/>
        </w:rPr>
        <w:t xml:space="preserve"> et QN/VS).</w:t>
      </w:r>
      <w:r w:rsidRPr="003F4587">
        <w:rPr>
          <w:lang w:val="fr-FR"/>
        </w:rPr>
        <w:t xml:space="preserve"> </w:t>
      </w:r>
      <w:r w:rsidR="00BF3D54" w:rsidRPr="000A6D30">
        <w:rPr>
          <w:lang w:val="fr-FR"/>
        </w:rPr>
        <w:t xml:space="preserve"> </w:t>
      </w:r>
      <w:r w:rsidR="003B1591" w:rsidRPr="000A6D30">
        <w:rPr>
          <w:rFonts w:cs="Arial"/>
          <w:lang w:val="fr-FR"/>
        </w:rPr>
        <w:t>S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ils se livrent à des observations visuelles, ils devraient de préférence faire un essai d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étalonnage avant de formuler des observations durant l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essai.</w:t>
      </w:r>
      <w:r w:rsidRPr="000A6D30">
        <w:rPr>
          <w:lang w:val="fr-FR"/>
        </w:rPr>
        <w:t xml:space="preserve"> </w:t>
      </w:r>
      <w:r w:rsidR="00BF3D54" w:rsidRPr="000A6D30">
        <w:rPr>
          <w:lang w:val="fr-FR"/>
        </w:rPr>
        <w:t xml:space="preserve"> </w:t>
      </w:r>
      <w:r w:rsidR="003B1591" w:rsidRPr="000A6D30">
        <w:rPr>
          <w:rFonts w:cs="Arial"/>
          <w:lang w:val="fr-FR"/>
        </w:rPr>
        <w:t>Mais il est aussi important que les observateurs expérimentés vérifient eux</w:t>
      </w:r>
      <w:r w:rsidR="00FF2E1F" w:rsidRPr="000A6D30">
        <w:rPr>
          <w:rFonts w:cs="Arial"/>
          <w:lang w:val="fr-FR"/>
        </w:rPr>
        <w:noBreakHyphen/>
      </w:r>
      <w:r w:rsidR="003B1591" w:rsidRPr="000A6D30">
        <w:rPr>
          <w:rFonts w:cs="Arial"/>
          <w:lang w:val="fr-FR"/>
        </w:rPr>
        <w:t>mêmes leurs connaissances régulièrement pour s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assurer qu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ils satisfont toujours aux critères d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étalonnage</w:t>
      </w:r>
      <w:r w:rsidR="00BF3D54" w:rsidRPr="000A6D30">
        <w:rPr>
          <w:rFonts w:cs="Arial"/>
          <w:lang w:val="fr-FR"/>
        </w:rPr>
        <w:t>.</w:t>
      </w:r>
    </w:p>
    <w:p w:rsidR="00343EE5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lastRenderedPageBreak/>
        <w:t>3.2</w:t>
      </w:r>
      <w:r w:rsidRPr="000A6D30">
        <w:rPr>
          <w:rFonts w:cs="Arial"/>
          <w:lang w:val="fr-FR"/>
        </w:rPr>
        <w:tab/>
      </w:r>
      <w:r w:rsidR="00566398" w:rsidRPr="000A6D30">
        <w:rPr>
          <w:rFonts w:cs="Arial"/>
          <w:lang w:val="fr-FR"/>
        </w:rPr>
        <w:t>Un essai d</w:t>
      </w:r>
      <w:r w:rsidR="00343EE5" w:rsidRPr="000A6D30">
        <w:rPr>
          <w:rFonts w:cs="Arial"/>
          <w:lang w:val="fr-FR"/>
        </w:rPr>
        <w:t>’</w:t>
      </w:r>
      <w:r w:rsidR="00566398" w:rsidRPr="000A6D30">
        <w:rPr>
          <w:rFonts w:cs="Arial"/>
          <w:lang w:val="fr-FR"/>
        </w:rPr>
        <w:t>étalonnage peut être organisé et analysé de différentes manières</w:t>
      </w:r>
      <w:r w:rsidRPr="000A6D30">
        <w:rPr>
          <w:rFonts w:cs="Arial"/>
          <w:lang w:val="fr-FR"/>
        </w:rPr>
        <w:t xml:space="preserve">. </w:t>
      </w:r>
      <w:r w:rsidR="00566398" w:rsidRPr="000A6D30">
        <w:rPr>
          <w:rFonts w:cs="Arial"/>
          <w:lang w:val="fr-FR"/>
        </w:rPr>
        <w:t xml:space="preserve"> </w:t>
      </w:r>
      <w:r w:rsidR="003B1591" w:rsidRPr="000A6D30">
        <w:rPr>
          <w:rFonts w:cs="Arial"/>
          <w:lang w:val="fr-FR"/>
        </w:rPr>
        <w:t>En général, il consiste à faire mesurer les mêmes éléments par plusieurs observateurs avant d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évaluer les différences entre eux.</w:t>
      </w:r>
    </w:p>
    <w:p w:rsidR="00DF02B7" w:rsidRPr="000A6D30" w:rsidRDefault="00DF02B7" w:rsidP="000A6D30">
      <w:pPr>
        <w:spacing w:before="120" w:after="120"/>
        <w:rPr>
          <w:rFonts w:cs="Arial"/>
          <w:u w:val="single"/>
          <w:lang w:val="fr-FR"/>
        </w:rPr>
      </w:pPr>
    </w:p>
    <w:p w:rsidR="00DF02B7" w:rsidRPr="000A6D30" w:rsidRDefault="004857AD" w:rsidP="000A6D30">
      <w:pPr>
        <w:spacing w:before="120" w:after="120"/>
        <w:rPr>
          <w:rFonts w:cs="Arial"/>
          <w:u w:val="single"/>
          <w:lang w:val="fr-FR"/>
        </w:rPr>
      </w:pPr>
      <w:r w:rsidRPr="000A6D30">
        <w:rPr>
          <w:rFonts w:cs="Arial"/>
          <w:u w:val="single"/>
          <w:lang w:val="fr-FR"/>
        </w:rPr>
        <w:t xml:space="preserve">4. </w:t>
      </w:r>
      <w:r w:rsidR="00947858" w:rsidRPr="000A6D30">
        <w:rPr>
          <w:rFonts w:cs="Arial"/>
          <w:u w:val="single"/>
          <w:lang w:val="fr-FR"/>
        </w:rPr>
        <w:t xml:space="preserve"> </w:t>
      </w:r>
      <w:r w:rsidR="000A6D30">
        <w:rPr>
          <w:rFonts w:cs="Arial"/>
          <w:u w:val="single"/>
          <w:lang w:val="fr-FR"/>
        </w:rPr>
        <w:tab/>
      </w:r>
      <w:r w:rsidR="009C0F76" w:rsidRPr="000A6D30">
        <w:rPr>
          <w:rFonts w:cs="Arial"/>
          <w:u w:val="single"/>
          <w:lang w:val="fr-FR"/>
        </w:rPr>
        <w:t>Essai d</w:t>
      </w:r>
      <w:r w:rsidR="00343EE5" w:rsidRPr="000A6D30">
        <w:rPr>
          <w:rFonts w:cs="Arial"/>
          <w:u w:val="single"/>
          <w:lang w:val="fr-FR"/>
        </w:rPr>
        <w:t>’</w:t>
      </w:r>
      <w:r w:rsidR="009C0F76" w:rsidRPr="000A6D30">
        <w:rPr>
          <w:rFonts w:cs="Arial"/>
          <w:u w:val="single"/>
          <w:lang w:val="fr-FR"/>
        </w:rPr>
        <w:t>étalonnage pour les caractères QN/MG ou QN/MS</w:t>
      </w:r>
    </w:p>
    <w:p w:rsidR="00343EE5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4.1</w:t>
      </w:r>
      <w:r w:rsidRPr="000A6D30">
        <w:rPr>
          <w:rFonts w:cs="Arial"/>
          <w:lang w:val="fr-FR"/>
        </w:rPr>
        <w:tab/>
      </w:r>
      <w:r w:rsidR="009C0F76" w:rsidRPr="000A6D30">
        <w:rPr>
          <w:rFonts w:cs="Arial"/>
          <w:lang w:val="fr-FR"/>
        </w:rPr>
        <w:t>Pour les observations effectuées à l</w:t>
      </w:r>
      <w:r w:rsidR="00343EE5" w:rsidRPr="000A6D30">
        <w:rPr>
          <w:rFonts w:cs="Arial"/>
          <w:lang w:val="fr-FR"/>
        </w:rPr>
        <w:t>’</w:t>
      </w:r>
      <w:r w:rsidR="009C0F76" w:rsidRPr="000A6D30">
        <w:rPr>
          <w:rFonts w:cs="Arial"/>
          <w:lang w:val="fr-FR"/>
        </w:rPr>
        <w:t>aide d</w:t>
      </w:r>
      <w:r w:rsidR="00343EE5" w:rsidRPr="000A6D30">
        <w:rPr>
          <w:rFonts w:cs="Arial"/>
          <w:lang w:val="fr-FR"/>
        </w:rPr>
        <w:t>’</w:t>
      </w:r>
      <w:r w:rsidR="009C0F76" w:rsidRPr="000A6D30">
        <w:rPr>
          <w:rFonts w:cs="Arial"/>
          <w:lang w:val="fr-FR"/>
        </w:rPr>
        <w:t>instruments de mesure, tels que des règles (généralement pour les caractères QN/MS), la mesure est souvent effectuée à l</w:t>
      </w:r>
      <w:r w:rsidR="00343EE5" w:rsidRPr="000A6D30">
        <w:rPr>
          <w:rFonts w:cs="Arial"/>
          <w:lang w:val="fr-FR"/>
        </w:rPr>
        <w:t>’</w:t>
      </w:r>
      <w:r w:rsidR="009C0F76" w:rsidRPr="000A6D30">
        <w:rPr>
          <w:rFonts w:cs="Arial"/>
          <w:lang w:val="fr-FR"/>
        </w:rPr>
        <w:t>aide d</w:t>
      </w:r>
      <w:r w:rsidR="00343EE5" w:rsidRPr="000A6D30">
        <w:rPr>
          <w:rFonts w:cs="Arial"/>
          <w:lang w:val="fr-FR"/>
        </w:rPr>
        <w:t>’</w:t>
      </w:r>
      <w:r w:rsidR="009C0F76" w:rsidRPr="000A6D30">
        <w:rPr>
          <w:rFonts w:cs="Arial"/>
          <w:lang w:val="fr-FR"/>
        </w:rPr>
        <w:t>une échelle d</w:t>
      </w:r>
      <w:r w:rsidR="00343EE5" w:rsidRPr="000A6D30">
        <w:rPr>
          <w:rFonts w:cs="Arial"/>
          <w:lang w:val="fr-FR"/>
        </w:rPr>
        <w:t>’</w:t>
      </w:r>
      <w:r w:rsidR="009C0F76" w:rsidRPr="000A6D30">
        <w:rPr>
          <w:rFonts w:cs="Arial"/>
          <w:lang w:val="fr-FR"/>
        </w:rPr>
        <w:t xml:space="preserve">intervalle ou de rapport.  Dans ce cas, la méthode de Bland et Altman (1986) peut être utilisée.  Cette méthode consiste à faire figurer les résultats obtenus par paire </w:t>
      </w:r>
      <w:r w:rsidR="00BF3D54" w:rsidRPr="000A6D30">
        <w:rPr>
          <w:rFonts w:cs="Arial"/>
          <w:lang w:val="fr-FR"/>
        </w:rPr>
        <w:t>d</w:t>
      </w:r>
      <w:r w:rsidR="00343EE5" w:rsidRPr="000A6D30">
        <w:rPr>
          <w:rFonts w:cs="Arial"/>
          <w:lang w:val="fr-FR"/>
        </w:rPr>
        <w:t>’</w:t>
      </w:r>
      <w:r w:rsidR="009C0F76" w:rsidRPr="000A6D30">
        <w:rPr>
          <w:rFonts w:cs="Arial"/>
          <w:lang w:val="fr-FR"/>
        </w:rPr>
        <w:t>observateurs dans un diagramme de dispersion et à les comparer avec la ligne y=x.  Cela permet d</w:t>
      </w:r>
      <w:r w:rsidR="00343EE5" w:rsidRPr="000A6D30">
        <w:rPr>
          <w:rFonts w:cs="Arial"/>
          <w:lang w:val="fr-FR"/>
        </w:rPr>
        <w:t>’</w:t>
      </w:r>
      <w:r w:rsidR="009C0F76" w:rsidRPr="000A6D30">
        <w:rPr>
          <w:rFonts w:cs="Arial"/>
          <w:lang w:val="fr-FR"/>
        </w:rPr>
        <w:t>évaluer à l</w:t>
      </w:r>
      <w:r w:rsidR="00343EE5" w:rsidRPr="000A6D30">
        <w:rPr>
          <w:rFonts w:cs="Arial"/>
          <w:lang w:val="fr-FR"/>
        </w:rPr>
        <w:t>’</w:t>
      </w:r>
      <w:r w:rsidR="009C0F76" w:rsidRPr="000A6D30">
        <w:rPr>
          <w:rFonts w:cs="Arial"/>
          <w:lang w:val="fr-FR"/>
        </w:rPr>
        <w:t>œil le degré de corrélation des mesures</w:t>
      </w:r>
      <w:r w:rsidRPr="000A6D30">
        <w:rPr>
          <w:rFonts w:cs="Arial"/>
          <w:lang w:val="fr-FR"/>
        </w:rPr>
        <w:t xml:space="preserve">. </w:t>
      </w:r>
      <w:r w:rsidR="009C0F76" w:rsidRPr="000A6D30">
        <w:rPr>
          <w:rFonts w:cs="Arial"/>
          <w:lang w:val="fr-FR"/>
        </w:rPr>
        <w:t xml:space="preserve"> </w:t>
      </w:r>
      <w:r w:rsidR="003B1591" w:rsidRPr="000A6D30">
        <w:rPr>
          <w:rFonts w:cs="Arial"/>
          <w:lang w:val="fr-FR"/>
        </w:rPr>
        <w:t>L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étape suivante consiste à prendre la différence par objet et à construire un graphique avec, sur l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axe y, la différence entre les observateurs et, sur l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axe x, l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indice ou la valeur moyenne de l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objet.</w:t>
      </w:r>
      <w:r w:rsidRPr="000A6D30">
        <w:rPr>
          <w:lang w:val="fr-FR"/>
        </w:rPr>
        <w:t xml:space="preserve"> </w:t>
      </w:r>
      <w:r w:rsidR="009C0F76" w:rsidRPr="000A6D30">
        <w:rPr>
          <w:lang w:val="fr-FR"/>
        </w:rPr>
        <w:t xml:space="preserve"> </w:t>
      </w:r>
      <w:r w:rsidR="009C0F76" w:rsidRPr="000A6D30">
        <w:rPr>
          <w:rFonts w:cs="Arial"/>
          <w:lang w:val="fr-FR"/>
        </w:rPr>
        <w:t>En traçant les lignes horizontales y=0, y=moyenne(dif) et les deux</w:t>
      </w:r>
      <w:r w:rsidR="00947858" w:rsidRPr="000A6D30">
        <w:rPr>
          <w:rFonts w:cs="Arial"/>
          <w:lang w:val="fr-FR"/>
        </w:rPr>
        <w:t> </w:t>
      </w:r>
      <w:r w:rsidR="009C0F76" w:rsidRPr="000A6D30">
        <w:rPr>
          <w:rFonts w:cs="Arial"/>
          <w:lang w:val="fr-FR"/>
        </w:rPr>
        <w:t>lignes y = moyenne(dif</w:t>
      </w:r>
      <w:proofErr w:type="gramStart"/>
      <w:r w:rsidR="009C0F76" w:rsidRPr="000A6D30">
        <w:rPr>
          <w:rFonts w:cs="Arial"/>
          <w:lang w:val="fr-FR"/>
        </w:rPr>
        <w:t>)+</w:t>
      </w:r>
      <w:proofErr w:type="gramEnd"/>
      <w:r w:rsidR="009C0F76" w:rsidRPr="000A6D30">
        <w:rPr>
          <w:rFonts w:cs="Arial"/>
          <w:lang w:val="fr-FR"/>
        </w:rPr>
        <w:t>/</w:t>
      </w:r>
      <w:r w:rsidR="00FF2E1F" w:rsidRPr="000A6D30">
        <w:rPr>
          <w:rFonts w:cs="Arial"/>
          <w:lang w:val="fr-FR"/>
        </w:rPr>
        <w:noBreakHyphen/>
      </w:r>
      <w:r w:rsidR="009C0F76" w:rsidRPr="000A6D30">
        <w:rPr>
          <w:rFonts w:cs="Arial"/>
          <w:lang w:val="fr-FR"/>
        </w:rPr>
        <w:t xml:space="preserve"> 2 x l</w:t>
      </w:r>
      <w:r w:rsidR="00343EE5" w:rsidRPr="000A6D30">
        <w:rPr>
          <w:rFonts w:cs="Arial"/>
          <w:lang w:val="fr-FR"/>
        </w:rPr>
        <w:t>’</w:t>
      </w:r>
      <w:r w:rsidR="009C0F76" w:rsidRPr="000A6D30">
        <w:rPr>
          <w:rFonts w:cs="Arial"/>
          <w:lang w:val="fr-FR"/>
        </w:rPr>
        <w:t>écart type, le biais entre observateurs et toute autre valeur atypique peuvent être facilement détectés</w:t>
      </w:r>
      <w:r w:rsidRPr="000A6D30">
        <w:rPr>
          <w:rFonts w:cs="Arial"/>
          <w:lang w:val="fr-FR"/>
        </w:rPr>
        <w:t xml:space="preserve">. </w:t>
      </w:r>
      <w:r w:rsidR="009C0F76" w:rsidRPr="000A6D30">
        <w:rPr>
          <w:rFonts w:cs="Arial"/>
          <w:lang w:val="fr-FR"/>
        </w:rPr>
        <w:t xml:space="preserve"> </w:t>
      </w:r>
      <w:r w:rsidR="00BF3D54" w:rsidRPr="000A6D30">
        <w:rPr>
          <w:rFonts w:cs="Arial"/>
          <w:lang w:val="fr-FR"/>
        </w:rPr>
        <w:t xml:space="preserve">De même, on peut </w:t>
      </w:r>
      <w:r w:rsidR="00FF2E1F" w:rsidRPr="000A6D30">
        <w:rPr>
          <w:rFonts w:cs="Arial"/>
          <w:lang w:val="fr-FR"/>
        </w:rPr>
        <w:t>également</w:t>
      </w:r>
      <w:r w:rsidR="00BF3D54" w:rsidRPr="000A6D30">
        <w:rPr>
          <w:rFonts w:cs="Arial"/>
          <w:lang w:val="fr-FR"/>
        </w:rPr>
        <w:t xml:space="preserve"> étudier la différence entre la mesure de chaque observateur et la moyenne de toutes les mesures des observateurs</w:t>
      </w:r>
      <w:r w:rsidRPr="000A6D30">
        <w:rPr>
          <w:rFonts w:cs="Arial"/>
          <w:lang w:val="fr-FR"/>
        </w:rPr>
        <w:t xml:space="preserve">. </w:t>
      </w:r>
      <w:r w:rsidR="00BF3D54" w:rsidRPr="000A6D30">
        <w:rPr>
          <w:rFonts w:cs="Arial"/>
          <w:lang w:val="fr-FR"/>
        </w:rPr>
        <w:t xml:space="preserve"> </w:t>
      </w:r>
      <w:r w:rsidR="003B1591" w:rsidRPr="000A6D30">
        <w:rPr>
          <w:rFonts w:cs="Arial"/>
          <w:lang w:val="fr-FR"/>
        </w:rPr>
        <w:t>Des méthodes d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essai telles que le test t par paire peuvent être utilisées en cas de différence importante d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un observateur à l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autre ou par rapport à la moyenne des autres observateurs.</w:t>
      </w:r>
    </w:p>
    <w:p w:rsidR="00343EE5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4.2</w:t>
      </w:r>
      <w:r w:rsidRPr="000A6D30">
        <w:rPr>
          <w:rFonts w:cs="Arial"/>
          <w:lang w:val="fr-FR"/>
        </w:rPr>
        <w:tab/>
      </w:r>
      <w:r w:rsidR="001A2626" w:rsidRPr="000A6D30">
        <w:rPr>
          <w:rFonts w:cs="Arial"/>
          <w:lang w:val="fr-FR"/>
        </w:rPr>
        <w:t>En prenant</w:t>
      </w:r>
      <w:r w:rsidR="00BF3D54" w:rsidRPr="000A6D30">
        <w:rPr>
          <w:rFonts w:cs="Arial"/>
          <w:lang w:val="fr-FR"/>
        </w:rPr>
        <w:t xml:space="preserve"> deux</w:t>
      </w:r>
      <w:r w:rsidR="00947858" w:rsidRPr="000A6D30">
        <w:rPr>
          <w:rFonts w:cs="Arial"/>
          <w:lang w:val="fr-FR"/>
        </w:rPr>
        <w:t> </w:t>
      </w:r>
      <w:r w:rsidR="00BF3D54" w:rsidRPr="000A6D30">
        <w:rPr>
          <w:rFonts w:cs="Arial"/>
          <w:lang w:val="fr-FR"/>
        </w:rPr>
        <w:t xml:space="preserve">mesures chez chaque observateur pour chaque objet, </w:t>
      </w:r>
      <w:r w:rsidR="00831A5F" w:rsidRPr="000A6D30">
        <w:rPr>
          <w:rFonts w:cs="Arial"/>
          <w:lang w:val="fr-FR"/>
        </w:rPr>
        <w:t>on peut observer les différences entre ces deux</w:t>
      </w:r>
      <w:r w:rsidR="00947858" w:rsidRPr="000A6D30">
        <w:rPr>
          <w:rFonts w:cs="Arial"/>
          <w:lang w:val="fr-FR"/>
        </w:rPr>
        <w:t> </w:t>
      </w:r>
      <w:r w:rsidR="00831A5F" w:rsidRPr="000A6D30">
        <w:rPr>
          <w:rFonts w:cs="Arial"/>
          <w:lang w:val="fr-FR"/>
        </w:rPr>
        <w:t>mesures.</w:t>
      </w:r>
      <w:r w:rsidRPr="000A6D30">
        <w:rPr>
          <w:rFonts w:cs="Arial"/>
          <w:lang w:val="fr-FR"/>
        </w:rPr>
        <w:t xml:space="preserve"> </w:t>
      </w:r>
      <w:r w:rsidR="00831A5F" w:rsidRPr="000A6D30">
        <w:rPr>
          <w:rFonts w:cs="Arial"/>
          <w:lang w:val="fr-FR"/>
        </w:rPr>
        <w:t xml:space="preserve"> Si ces différences sont importantes par rapport à celles d</w:t>
      </w:r>
      <w:r w:rsidR="00343EE5" w:rsidRPr="000A6D30">
        <w:rPr>
          <w:rFonts w:cs="Arial"/>
          <w:lang w:val="fr-FR"/>
        </w:rPr>
        <w:t>’</w:t>
      </w:r>
      <w:r w:rsidR="00831A5F" w:rsidRPr="000A6D30">
        <w:rPr>
          <w:rFonts w:cs="Arial"/>
          <w:lang w:val="fr-FR"/>
        </w:rPr>
        <w:t>autres observateurs, cet observateur pourrait avoir une faible reproductibilité.</w:t>
      </w:r>
      <w:r w:rsidRPr="000A6D30">
        <w:rPr>
          <w:rFonts w:cs="Arial"/>
          <w:lang w:val="fr-FR"/>
        </w:rPr>
        <w:t xml:space="preserve"> </w:t>
      </w:r>
      <w:r w:rsidR="00831A5F" w:rsidRPr="000A6D30">
        <w:rPr>
          <w:rFonts w:cs="Arial"/>
          <w:lang w:val="fr-FR"/>
        </w:rPr>
        <w:t>Si l</w:t>
      </w:r>
      <w:r w:rsidR="00343EE5" w:rsidRPr="000A6D30">
        <w:rPr>
          <w:rFonts w:cs="Arial"/>
          <w:lang w:val="fr-FR"/>
        </w:rPr>
        <w:t>’</w:t>
      </w:r>
      <w:r w:rsidR="00831A5F" w:rsidRPr="000A6D30">
        <w:rPr>
          <w:rFonts w:cs="Arial"/>
          <w:lang w:val="fr-FR"/>
        </w:rPr>
        <w:t>on compte pour chaque observateur le nombre de valeurs aberrantes modérées et élevées</w:t>
      </w:r>
      <w:r w:rsidRPr="000A6D30">
        <w:rPr>
          <w:rFonts w:cs="Arial"/>
          <w:lang w:val="fr-FR"/>
        </w:rPr>
        <w:t xml:space="preserve"> (</w:t>
      </w:r>
      <w:r w:rsidR="00831A5F" w:rsidRPr="000A6D30">
        <w:rPr>
          <w:rFonts w:cs="Arial"/>
          <w:lang w:val="fr-FR"/>
        </w:rPr>
        <w:t>p.</w:t>
      </w:r>
      <w:r w:rsidR="00947858" w:rsidRPr="000A6D30">
        <w:rPr>
          <w:rFonts w:cs="Arial"/>
          <w:lang w:val="fr-FR"/>
        </w:rPr>
        <w:t> </w:t>
      </w:r>
      <w:r w:rsidR="00831A5F" w:rsidRPr="000A6D30">
        <w:rPr>
          <w:rFonts w:cs="Arial"/>
          <w:lang w:val="fr-FR"/>
        </w:rPr>
        <w:t>ex. supérieures à 2 et 3 fois l</w:t>
      </w:r>
      <w:r w:rsidR="00343EE5" w:rsidRPr="000A6D30">
        <w:rPr>
          <w:rFonts w:cs="Arial"/>
          <w:lang w:val="fr-FR"/>
        </w:rPr>
        <w:t>’</w:t>
      </w:r>
      <w:r w:rsidR="00831A5F" w:rsidRPr="000A6D30">
        <w:rPr>
          <w:rFonts w:cs="Arial"/>
          <w:lang w:val="fr-FR"/>
        </w:rPr>
        <w:t>écart type respectivement</w:t>
      </w:r>
      <w:r w:rsidRPr="000A6D30">
        <w:rPr>
          <w:rFonts w:cs="Arial"/>
          <w:lang w:val="fr-FR"/>
        </w:rPr>
        <w:t>)</w:t>
      </w:r>
      <w:r w:rsidR="00831A5F" w:rsidRPr="000A6D30">
        <w:rPr>
          <w:rFonts w:cs="Arial"/>
          <w:lang w:val="fr-FR"/>
        </w:rPr>
        <w:t>, on obtient un tableau indiquant le nombre de valeurs aberrantes par observateur qui peut être utilisé pour déterminer si l</w:t>
      </w:r>
      <w:r w:rsidR="00343EE5" w:rsidRPr="000A6D30">
        <w:rPr>
          <w:rFonts w:cs="Arial"/>
          <w:lang w:val="fr-FR"/>
        </w:rPr>
        <w:t>’</w:t>
      </w:r>
      <w:r w:rsidR="00831A5F" w:rsidRPr="000A6D30">
        <w:rPr>
          <w:rFonts w:cs="Arial"/>
          <w:lang w:val="fr-FR"/>
        </w:rPr>
        <w:t xml:space="preserve">observateur </w:t>
      </w:r>
      <w:r w:rsidR="006E1045" w:rsidRPr="000A6D30">
        <w:rPr>
          <w:rFonts w:cs="Arial"/>
          <w:lang w:val="fr-FR"/>
        </w:rPr>
        <w:t xml:space="preserve">satisfait </w:t>
      </w:r>
      <w:r w:rsidR="00AE2756" w:rsidRPr="000A6D30">
        <w:rPr>
          <w:rFonts w:cs="Arial"/>
          <w:lang w:val="fr-FR"/>
        </w:rPr>
        <w:t>aux exigences d</w:t>
      </w:r>
      <w:r w:rsidR="00343EE5" w:rsidRPr="000A6D30">
        <w:rPr>
          <w:rFonts w:cs="Arial"/>
          <w:lang w:val="fr-FR"/>
        </w:rPr>
        <w:t>’</w:t>
      </w:r>
      <w:r w:rsidR="00AE2756" w:rsidRPr="000A6D30">
        <w:rPr>
          <w:rFonts w:cs="Arial"/>
          <w:lang w:val="fr-FR"/>
        </w:rPr>
        <w:t>assurance</w:t>
      </w:r>
      <w:r w:rsidR="00FF2E1F" w:rsidRPr="000A6D30">
        <w:rPr>
          <w:rFonts w:cs="Arial"/>
          <w:lang w:val="fr-FR"/>
        </w:rPr>
        <w:noBreakHyphen/>
      </w:r>
      <w:r w:rsidR="00AE2756" w:rsidRPr="000A6D30">
        <w:rPr>
          <w:rFonts w:cs="Arial"/>
          <w:lang w:val="fr-FR"/>
        </w:rPr>
        <w:t>qualité</w:t>
      </w:r>
      <w:r w:rsidRPr="000A6D30">
        <w:rPr>
          <w:rFonts w:cs="Arial"/>
          <w:lang w:val="fr-FR"/>
        </w:rPr>
        <w:t>.</w:t>
      </w:r>
    </w:p>
    <w:p w:rsidR="00DF02B7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4.3</w:t>
      </w:r>
      <w:r w:rsidRPr="000A6D30">
        <w:rPr>
          <w:rFonts w:cs="Arial"/>
          <w:lang w:val="fr-FR"/>
        </w:rPr>
        <w:tab/>
      </w:r>
      <w:r w:rsidR="00AE2756" w:rsidRPr="000A6D30">
        <w:rPr>
          <w:rFonts w:cs="Arial"/>
          <w:lang w:val="fr-FR"/>
        </w:rPr>
        <w:t>Les contrôles de la qualité peuvent également être fondés sur des essais de reproductibilité ou de répétabilité pour laboratoires tels que ceux décrits dans la norme</w:t>
      </w:r>
      <w:r w:rsidR="00947858" w:rsidRPr="000A6D30">
        <w:rPr>
          <w:rFonts w:cs="Arial"/>
          <w:lang w:val="fr-FR"/>
        </w:rPr>
        <w:t> </w:t>
      </w:r>
      <w:r w:rsidRPr="000A6D30">
        <w:rPr>
          <w:rFonts w:cs="Arial"/>
          <w:lang w:val="fr-FR"/>
        </w:rPr>
        <w:t>ISO 5725</w:t>
      </w:r>
      <w:r w:rsidR="00FF2E1F" w:rsidRPr="000A6D30">
        <w:rPr>
          <w:rFonts w:cs="Arial"/>
          <w:lang w:val="fr-FR"/>
        </w:rPr>
        <w:noBreakHyphen/>
      </w:r>
      <w:r w:rsidRPr="000A6D30">
        <w:rPr>
          <w:rFonts w:cs="Arial"/>
          <w:lang w:val="fr-FR"/>
        </w:rPr>
        <w:t xml:space="preserve">2. </w:t>
      </w:r>
      <w:r w:rsidR="00AE2756" w:rsidRPr="000A6D30">
        <w:rPr>
          <w:rFonts w:cs="Arial"/>
          <w:lang w:val="fr-FR"/>
        </w:rPr>
        <w:t xml:space="preserve"> Un logiciel gratuit disponible sur le site</w:t>
      </w:r>
      <w:r w:rsidR="00947858" w:rsidRPr="000A6D30">
        <w:rPr>
          <w:rFonts w:cs="Arial"/>
          <w:lang w:val="fr-FR"/>
        </w:rPr>
        <w:t> </w:t>
      </w:r>
      <w:r w:rsidR="00AE2756" w:rsidRPr="000A6D30">
        <w:rPr>
          <w:rFonts w:cs="Arial"/>
          <w:lang w:val="fr-FR"/>
        </w:rPr>
        <w:t>Web de l</w:t>
      </w:r>
      <w:r w:rsidR="00343EE5" w:rsidRPr="000A6D30">
        <w:rPr>
          <w:rFonts w:cs="Arial"/>
          <w:lang w:val="fr-FR"/>
        </w:rPr>
        <w:t>’</w:t>
      </w:r>
      <w:r w:rsidR="00AE2756" w:rsidRPr="000A6D30">
        <w:rPr>
          <w:rFonts w:cs="Arial"/>
          <w:lang w:val="fr-FR"/>
        </w:rPr>
        <w:t>ISTA permet d</w:t>
      </w:r>
      <w:r w:rsidR="00343EE5" w:rsidRPr="000A6D30">
        <w:rPr>
          <w:rFonts w:cs="Arial"/>
          <w:lang w:val="fr-FR"/>
        </w:rPr>
        <w:t>’</w:t>
      </w:r>
      <w:r w:rsidR="00AE2756" w:rsidRPr="000A6D30">
        <w:rPr>
          <w:rFonts w:cs="Arial"/>
          <w:lang w:val="fr-FR"/>
        </w:rPr>
        <w:t>obtenir des valeurs et des graphiques en accord avec cette norme</w:t>
      </w:r>
      <w:r w:rsidR="00947858" w:rsidRPr="000A6D30">
        <w:rPr>
          <w:rFonts w:cs="Arial"/>
          <w:lang w:val="fr-FR"/>
        </w:rPr>
        <w:t> </w:t>
      </w:r>
      <w:r w:rsidR="00AE2756" w:rsidRPr="000A6D30">
        <w:rPr>
          <w:rFonts w:cs="Arial"/>
          <w:lang w:val="fr-FR"/>
        </w:rPr>
        <w:t>ISO</w:t>
      </w:r>
      <w:r w:rsidRPr="000A6D30">
        <w:rPr>
          <w:rFonts w:cs="Arial"/>
          <w:lang w:val="fr-FR"/>
        </w:rPr>
        <w:t>.</w:t>
      </w:r>
    </w:p>
    <w:p w:rsidR="00343EE5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4.4</w:t>
      </w:r>
      <w:r w:rsidRPr="000A6D30">
        <w:rPr>
          <w:rFonts w:cs="Arial"/>
          <w:lang w:val="fr-FR"/>
        </w:rPr>
        <w:tab/>
      </w:r>
      <w:r w:rsidR="009060B1" w:rsidRPr="000A6D30">
        <w:rPr>
          <w:rFonts w:cs="Arial"/>
          <w:lang w:val="fr-FR"/>
        </w:rPr>
        <w:t>Dans de nombreux cas de</w:t>
      </w:r>
      <w:r w:rsidRPr="000A6D30">
        <w:rPr>
          <w:rFonts w:cs="Arial"/>
          <w:lang w:val="fr-FR"/>
        </w:rPr>
        <w:t xml:space="preserve"> QN/MG o</w:t>
      </w:r>
      <w:r w:rsidR="00AE2756" w:rsidRPr="000A6D30">
        <w:rPr>
          <w:rFonts w:cs="Arial"/>
          <w:lang w:val="fr-FR"/>
        </w:rPr>
        <w:t>u</w:t>
      </w:r>
      <w:r w:rsidRPr="000A6D30">
        <w:rPr>
          <w:rFonts w:cs="Arial"/>
          <w:lang w:val="fr-FR"/>
        </w:rPr>
        <w:t xml:space="preserve"> QN/MS, </w:t>
      </w:r>
      <w:r w:rsidR="009060B1" w:rsidRPr="000A6D30">
        <w:rPr>
          <w:rFonts w:cs="Arial"/>
          <w:lang w:val="fr-FR"/>
        </w:rPr>
        <w:t>des instructions claires sont en général suffisantes et la variation ou le biais dans les mesures entre observateurs est souvent négligeable.</w:t>
      </w:r>
      <w:r w:rsidRPr="000A6D30">
        <w:rPr>
          <w:rFonts w:cs="Arial"/>
          <w:lang w:val="fr-FR"/>
        </w:rPr>
        <w:t xml:space="preserve"> </w:t>
      </w:r>
      <w:r w:rsidR="00AE2756" w:rsidRPr="000A6D30">
        <w:rPr>
          <w:rFonts w:cs="Arial"/>
          <w:lang w:val="fr-FR"/>
        </w:rPr>
        <w:t xml:space="preserve"> </w:t>
      </w:r>
      <w:r w:rsidR="003B1591" w:rsidRPr="000A6D30">
        <w:rPr>
          <w:rFonts w:cs="Arial"/>
          <w:lang w:val="fr-FR"/>
        </w:rPr>
        <w:t>En cas de doute, des essais d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étalonnage tels que décrits ci</w:t>
      </w:r>
      <w:r w:rsidR="00FF2E1F" w:rsidRPr="000A6D30">
        <w:rPr>
          <w:rFonts w:cs="Arial"/>
          <w:lang w:val="fr-FR"/>
        </w:rPr>
        <w:noBreakHyphen/>
      </w:r>
      <w:r w:rsidR="003B1591" w:rsidRPr="000A6D30">
        <w:rPr>
          <w:rFonts w:cs="Arial"/>
          <w:lang w:val="fr-FR"/>
        </w:rPr>
        <w:t>dessus peuvent contribuer à préciser les choses.</w:t>
      </w:r>
    </w:p>
    <w:p w:rsidR="00DF02B7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4.5</w:t>
      </w:r>
      <w:r w:rsidRPr="000A6D30">
        <w:rPr>
          <w:rFonts w:cs="Arial"/>
          <w:lang w:val="fr-FR"/>
        </w:rPr>
        <w:tab/>
      </w:r>
      <w:r w:rsidR="00AE2756" w:rsidRPr="000A6D30">
        <w:rPr>
          <w:rFonts w:cs="Arial"/>
          <w:lang w:val="fr-FR"/>
        </w:rPr>
        <w:t xml:space="preserve">Dans le cas </w:t>
      </w:r>
      <w:r w:rsidR="009060B1" w:rsidRPr="000A6D30">
        <w:rPr>
          <w:rFonts w:cs="Arial"/>
          <w:lang w:val="fr-FR"/>
        </w:rPr>
        <w:t>de caractères</w:t>
      </w:r>
      <w:r w:rsidRPr="000A6D30">
        <w:rPr>
          <w:rFonts w:cs="Arial"/>
          <w:lang w:val="fr-FR"/>
        </w:rPr>
        <w:t xml:space="preserve"> QN/MG</w:t>
      </w:r>
      <w:r w:rsidR="009060B1" w:rsidRPr="000A6D30">
        <w:rPr>
          <w:rFonts w:cs="Arial"/>
          <w:lang w:val="fr-FR"/>
        </w:rPr>
        <w:t xml:space="preserve">, il faut </w:t>
      </w:r>
      <w:r w:rsidR="009060B1" w:rsidRPr="000A6D30">
        <w:rPr>
          <w:lang w:val="fr-FR"/>
        </w:rPr>
        <w:t>tenir compte de l</w:t>
      </w:r>
      <w:r w:rsidR="00343EE5" w:rsidRPr="000A6D30">
        <w:rPr>
          <w:lang w:val="fr-FR"/>
        </w:rPr>
        <w:t>’</w:t>
      </w:r>
      <w:r w:rsidR="009060B1" w:rsidRPr="000A6D30">
        <w:rPr>
          <w:lang w:val="fr-FR"/>
        </w:rPr>
        <w:t>effet que peut avoir une variation à l</w:t>
      </w:r>
      <w:r w:rsidR="00343EE5" w:rsidRPr="000A6D30">
        <w:rPr>
          <w:lang w:val="fr-FR"/>
        </w:rPr>
        <w:t>’</w:t>
      </w:r>
      <w:r w:rsidR="009060B1" w:rsidRPr="000A6D30">
        <w:rPr>
          <w:lang w:val="fr-FR"/>
        </w:rPr>
        <w:t>intérieur d</w:t>
      </w:r>
      <w:r w:rsidR="00343EE5" w:rsidRPr="000A6D30">
        <w:rPr>
          <w:lang w:val="fr-FR"/>
        </w:rPr>
        <w:t>’</w:t>
      </w:r>
      <w:r w:rsidR="009060B1" w:rsidRPr="000A6D30">
        <w:rPr>
          <w:lang w:val="fr-FR"/>
        </w:rPr>
        <w:t>une parcelle</w:t>
      </w:r>
      <w:r w:rsidRPr="000A6D30">
        <w:rPr>
          <w:rFonts w:cs="Arial"/>
          <w:lang w:val="fr-FR"/>
        </w:rPr>
        <w:t>.</w:t>
      </w:r>
    </w:p>
    <w:p w:rsidR="00DF02B7" w:rsidRPr="000A6D30" w:rsidRDefault="00DF02B7" w:rsidP="000A6D30">
      <w:pPr>
        <w:spacing w:before="120" w:after="120"/>
        <w:rPr>
          <w:rFonts w:cs="Arial"/>
          <w:u w:val="single"/>
          <w:lang w:val="fr-FR"/>
        </w:rPr>
      </w:pPr>
    </w:p>
    <w:p w:rsidR="00DF02B7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u w:val="single"/>
          <w:lang w:val="fr-FR"/>
        </w:rPr>
        <w:t xml:space="preserve">5. </w:t>
      </w:r>
      <w:r w:rsidR="00947858" w:rsidRPr="000A6D30">
        <w:rPr>
          <w:rFonts w:cs="Arial"/>
          <w:u w:val="single"/>
          <w:lang w:val="fr-FR"/>
        </w:rPr>
        <w:t xml:space="preserve"> </w:t>
      </w:r>
      <w:r w:rsidR="000A6D30">
        <w:rPr>
          <w:rFonts w:cs="Arial"/>
          <w:u w:val="single"/>
          <w:lang w:val="fr-FR"/>
        </w:rPr>
        <w:tab/>
      </w:r>
      <w:r w:rsidR="009C0F76" w:rsidRPr="000A6D30">
        <w:rPr>
          <w:rFonts w:cs="Arial"/>
          <w:u w:val="single"/>
          <w:lang w:val="fr-FR"/>
        </w:rPr>
        <w:t>Essai d</w:t>
      </w:r>
      <w:r w:rsidR="00343EE5" w:rsidRPr="000A6D30">
        <w:rPr>
          <w:rFonts w:cs="Arial"/>
          <w:u w:val="single"/>
          <w:lang w:val="fr-FR"/>
        </w:rPr>
        <w:t>’</w:t>
      </w:r>
      <w:r w:rsidR="009C0F76" w:rsidRPr="000A6D30">
        <w:rPr>
          <w:rFonts w:cs="Arial"/>
          <w:u w:val="single"/>
          <w:lang w:val="fr-FR"/>
        </w:rPr>
        <w:t>étalonnage pour les caractères QN/VS ou</w:t>
      </w:r>
      <w:r w:rsidRPr="000A6D30">
        <w:rPr>
          <w:rFonts w:cs="Arial"/>
          <w:u w:val="single"/>
          <w:lang w:val="fr-FR"/>
        </w:rPr>
        <w:t xml:space="preserve"> QN/VG</w:t>
      </w:r>
    </w:p>
    <w:p w:rsidR="00343EE5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5.1</w:t>
      </w:r>
      <w:r w:rsidRPr="000A6D30">
        <w:rPr>
          <w:rFonts w:cs="Arial"/>
          <w:lang w:val="fr-FR"/>
        </w:rPr>
        <w:tab/>
      </w:r>
      <w:r w:rsidR="009C0F76" w:rsidRPr="000A6D30">
        <w:rPr>
          <w:rFonts w:cs="Arial"/>
          <w:lang w:val="fr-FR"/>
        </w:rPr>
        <w:t>Aux fins de l</w:t>
      </w:r>
      <w:r w:rsidR="00343EE5" w:rsidRPr="000A6D30">
        <w:rPr>
          <w:rFonts w:cs="Arial"/>
          <w:lang w:val="fr-FR"/>
        </w:rPr>
        <w:t>’</w:t>
      </w:r>
      <w:r w:rsidR="009C0F76" w:rsidRPr="000A6D30">
        <w:rPr>
          <w:rFonts w:cs="Arial"/>
          <w:lang w:val="fr-FR"/>
        </w:rPr>
        <w:t>analyse des données ordinales (caractères QN/VS ou QN/VG), il est très instructif d</w:t>
      </w:r>
      <w:r w:rsidR="00343EE5" w:rsidRPr="000A6D30">
        <w:rPr>
          <w:rFonts w:cs="Arial"/>
          <w:lang w:val="fr-FR"/>
        </w:rPr>
        <w:t>’</w:t>
      </w:r>
      <w:r w:rsidR="009C0F76" w:rsidRPr="000A6D30">
        <w:rPr>
          <w:rFonts w:cs="Arial"/>
          <w:lang w:val="fr-FR"/>
        </w:rPr>
        <w:t>établir des tableaux de contingence par paire d</w:t>
      </w:r>
      <w:r w:rsidR="00343EE5" w:rsidRPr="000A6D30">
        <w:rPr>
          <w:rFonts w:cs="Arial"/>
          <w:lang w:val="fr-FR"/>
        </w:rPr>
        <w:t>’</w:t>
      </w:r>
      <w:r w:rsidR="009C0F76" w:rsidRPr="000A6D30">
        <w:rPr>
          <w:rFonts w:cs="Arial"/>
          <w:lang w:val="fr-FR"/>
        </w:rPr>
        <w:t>observateurs pour les résultats différents</w:t>
      </w:r>
      <w:r w:rsidRPr="000A6D30">
        <w:rPr>
          <w:rFonts w:cs="Arial"/>
          <w:lang w:val="fr-FR"/>
        </w:rPr>
        <w:t xml:space="preserve">. </w:t>
      </w:r>
      <w:r w:rsidR="009C0F76" w:rsidRPr="000A6D30">
        <w:rPr>
          <w:rFonts w:cs="Arial"/>
          <w:lang w:val="fr-FR"/>
        </w:rPr>
        <w:t xml:space="preserve"> </w:t>
      </w:r>
      <w:r w:rsidR="003B1591" w:rsidRPr="000A6D30">
        <w:rPr>
          <w:rFonts w:cs="Arial"/>
          <w:lang w:val="fr-FR"/>
        </w:rPr>
        <w:t>Le test de comparaison des données de </w:t>
      </w:r>
      <w:proofErr w:type="spellStart"/>
      <w:r w:rsidR="003B1591" w:rsidRPr="000A6D30">
        <w:rPr>
          <w:rFonts w:cs="Arial"/>
          <w:lang w:val="fr-FR"/>
        </w:rPr>
        <w:t>Wilcoxon</w:t>
      </w:r>
      <w:proofErr w:type="spellEnd"/>
      <w:r w:rsidR="003B1591" w:rsidRPr="000A6D30">
        <w:rPr>
          <w:rFonts w:cs="Arial"/>
          <w:lang w:val="fr-FR"/>
        </w:rPr>
        <w:t xml:space="preserve"> permet de mettre en évidence une différence structurelle (biais) entre deux observateurs.</w:t>
      </w:r>
    </w:p>
    <w:p w:rsidR="00DF02B7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5.2</w:t>
      </w:r>
      <w:r w:rsidRPr="000A6D30">
        <w:rPr>
          <w:rFonts w:cs="Arial"/>
          <w:lang w:val="fr-FR"/>
        </w:rPr>
        <w:tab/>
      </w:r>
      <w:r w:rsidR="009060B1" w:rsidRPr="000A6D30">
        <w:rPr>
          <w:rFonts w:cs="Arial"/>
          <w:lang w:val="fr-FR"/>
        </w:rPr>
        <w:t xml:space="preserve">Pour mesurer le degré de concordance, on recourt souvent au test du Kappa de Cohen (Cohen, 1960). </w:t>
      </w:r>
      <w:r w:rsidRPr="000A6D30">
        <w:rPr>
          <w:rFonts w:cs="Arial"/>
          <w:lang w:val="fr-FR"/>
        </w:rPr>
        <w:t xml:space="preserve"> </w:t>
      </w:r>
      <w:r w:rsidR="009060B1" w:rsidRPr="000A6D30">
        <w:rPr>
          <w:rFonts w:cs="Arial"/>
          <w:lang w:val="fr-FR"/>
        </w:rPr>
        <w:t>Ce test statistique s</w:t>
      </w:r>
      <w:r w:rsidR="00343EE5" w:rsidRPr="000A6D30">
        <w:rPr>
          <w:rFonts w:cs="Arial"/>
          <w:lang w:val="fr-FR"/>
        </w:rPr>
        <w:t>’</w:t>
      </w:r>
      <w:r w:rsidR="009060B1" w:rsidRPr="000A6D30">
        <w:rPr>
          <w:rFonts w:cs="Arial"/>
          <w:lang w:val="fr-FR"/>
        </w:rPr>
        <w:t>efforce de rendre compte des concordances aléatoires</w:t>
      </w:r>
      <w:r w:rsidR="00947858" w:rsidRPr="000A6D30">
        <w:rPr>
          <w:rFonts w:cs="Arial"/>
          <w:lang w:val="fr-FR"/>
        </w:rPr>
        <w:t> </w:t>
      </w:r>
      <w:r w:rsidR="009060B1" w:rsidRPr="000A6D30">
        <w:rPr>
          <w:rFonts w:cs="Arial"/>
          <w:lang w:val="fr-FR"/>
        </w:rPr>
        <w:t>: κ = P(concordance) – P(e) / (1</w:t>
      </w:r>
      <w:r w:rsidR="00FF2E1F" w:rsidRPr="000A6D30">
        <w:rPr>
          <w:rFonts w:cs="Arial"/>
          <w:lang w:val="fr-FR"/>
        </w:rPr>
        <w:noBreakHyphen/>
      </w:r>
      <w:r w:rsidR="009060B1" w:rsidRPr="000A6D30">
        <w:rPr>
          <w:rFonts w:cs="Arial"/>
          <w:lang w:val="fr-FR"/>
        </w:rPr>
        <w:t>P(e)), où P(concordance) est la fraction d</w:t>
      </w:r>
      <w:r w:rsidR="00343EE5" w:rsidRPr="000A6D30">
        <w:rPr>
          <w:rFonts w:cs="Arial"/>
          <w:lang w:val="fr-FR"/>
        </w:rPr>
        <w:t>’</w:t>
      </w:r>
      <w:r w:rsidR="009060B1" w:rsidRPr="000A6D30">
        <w:rPr>
          <w:rFonts w:cs="Arial"/>
          <w:lang w:val="fr-FR"/>
        </w:rPr>
        <w:t>objets se situant dans la même classe pour les deux</w:t>
      </w:r>
      <w:r w:rsidR="00947858" w:rsidRPr="000A6D30">
        <w:rPr>
          <w:rFonts w:cs="Arial"/>
          <w:lang w:val="fr-FR"/>
        </w:rPr>
        <w:t> </w:t>
      </w:r>
      <w:r w:rsidR="009060B1" w:rsidRPr="000A6D30">
        <w:rPr>
          <w:rFonts w:cs="Arial"/>
          <w:lang w:val="fr-FR"/>
        </w:rPr>
        <w:t>observateurs (la diagonale principale du tableau de contingence) et P(e) la probabilité de concordance aléatoire, compte tenu des valeurs marginales (comme dans le test du Khi carré).</w:t>
      </w:r>
      <w:r w:rsidRPr="000A6D30">
        <w:rPr>
          <w:rFonts w:cs="Arial"/>
          <w:lang w:val="fr-FR"/>
        </w:rPr>
        <w:t xml:space="preserve"> </w:t>
      </w:r>
      <w:r w:rsidR="009060B1" w:rsidRPr="000A6D30">
        <w:rPr>
          <w:rFonts w:cs="Arial"/>
          <w:lang w:val="fr-FR"/>
        </w:rPr>
        <w:t xml:space="preserve"> </w:t>
      </w:r>
      <w:r w:rsidR="003B1591" w:rsidRPr="000A6D30">
        <w:rPr>
          <w:rFonts w:cs="Arial"/>
          <w:lang w:val="fr-FR"/>
        </w:rPr>
        <w:t>Lorsque les observateurs sont en parfaite concordance, valeur Kappa κ = 1.  S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il n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y a pas de concordance entre les observateurs au</w:t>
      </w:r>
      <w:r w:rsidR="00FF2E1F" w:rsidRPr="000A6D30">
        <w:rPr>
          <w:rFonts w:cs="Arial"/>
          <w:lang w:val="fr-FR"/>
        </w:rPr>
        <w:noBreakHyphen/>
      </w:r>
      <w:r w:rsidR="003B1591" w:rsidRPr="000A6D30">
        <w:rPr>
          <w:rFonts w:cs="Arial"/>
          <w:lang w:val="fr-FR"/>
        </w:rPr>
        <w:t>delà des résultats pouvant être le fruit du hasard (P(e)), κ = 0.</w:t>
      </w:r>
    </w:p>
    <w:p w:rsidR="00DF02B7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5.3</w:t>
      </w:r>
      <w:r w:rsidRPr="000A6D30">
        <w:rPr>
          <w:rFonts w:cs="Arial"/>
          <w:lang w:val="fr-FR"/>
        </w:rPr>
        <w:tab/>
      </w:r>
      <w:r w:rsidR="00E37A60" w:rsidRPr="000A6D30">
        <w:rPr>
          <w:rFonts w:cs="Arial"/>
          <w:lang w:val="fr-FR"/>
        </w:rPr>
        <w:t>Le test statistique Kappa de Cohen standard envisage uniquement la possibilité d</w:t>
      </w:r>
      <w:r w:rsidR="00343EE5" w:rsidRPr="000A6D30">
        <w:rPr>
          <w:rFonts w:cs="Arial"/>
          <w:lang w:val="fr-FR"/>
        </w:rPr>
        <w:t>’</w:t>
      </w:r>
      <w:r w:rsidR="00E37A60" w:rsidRPr="000A6D30">
        <w:rPr>
          <w:rFonts w:cs="Arial"/>
          <w:lang w:val="fr-FR"/>
        </w:rPr>
        <w:t>une concordance parfaite ou d</w:t>
      </w:r>
      <w:r w:rsidR="00343EE5" w:rsidRPr="000A6D30">
        <w:rPr>
          <w:rFonts w:cs="Arial"/>
          <w:lang w:val="fr-FR"/>
        </w:rPr>
        <w:t>’</w:t>
      </w:r>
      <w:r w:rsidR="00E37A60" w:rsidRPr="000A6D30">
        <w:rPr>
          <w:rFonts w:cs="Arial"/>
          <w:lang w:val="fr-FR"/>
        </w:rPr>
        <w:t>une discordance</w:t>
      </w:r>
      <w:r w:rsidRPr="000A6D30">
        <w:rPr>
          <w:rFonts w:cs="Arial"/>
          <w:lang w:val="fr-FR"/>
        </w:rPr>
        <w:t xml:space="preserve">. </w:t>
      </w:r>
      <w:r w:rsidR="00E37A60" w:rsidRPr="000A6D30">
        <w:rPr>
          <w:rFonts w:cs="Arial"/>
          <w:lang w:val="fr-FR"/>
        </w:rPr>
        <w:t xml:space="preserve"> </w:t>
      </w:r>
      <w:r w:rsidR="003B1591" w:rsidRPr="000A6D30">
        <w:rPr>
          <w:rFonts w:cs="Arial"/>
          <w:lang w:val="fr-FR"/>
        </w:rPr>
        <w:t>Si l</w:t>
      </w:r>
      <w:r w:rsidR="00343EE5" w:rsidRPr="000A6D30">
        <w:rPr>
          <w:rFonts w:cs="Arial"/>
          <w:lang w:val="fr-FR"/>
        </w:rPr>
        <w:t>’</w:t>
      </w:r>
      <w:r w:rsidR="00FF2E1F" w:rsidRPr="000A6D30">
        <w:rPr>
          <w:rFonts w:cs="Arial"/>
          <w:lang w:val="fr-FR"/>
        </w:rPr>
        <w:t>on met</w:t>
      </w:r>
      <w:r w:rsidR="003B1591" w:rsidRPr="000A6D30">
        <w:rPr>
          <w:rFonts w:cs="Arial"/>
          <w:lang w:val="fr-FR"/>
        </w:rPr>
        <w:t xml:space="preserve"> en évidence le degré de discordance (par exemple, avec les caractères ordinaux), on peut appliquer un test du Kappa linéaire ou carré (Cohen, 1968).</w:t>
      </w:r>
      <w:r w:rsidRPr="000A6D30">
        <w:rPr>
          <w:lang w:val="fr-FR"/>
        </w:rPr>
        <w:t xml:space="preserve"> </w:t>
      </w:r>
      <w:r w:rsidR="00947858" w:rsidRPr="000A6D30">
        <w:rPr>
          <w:rFonts w:cs="Arial"/>
          <w:lang w:val="fr-FR"/>
        </w:rPr>
        <w:t xml:space="preserve"> </w:t>
      </w:r>
      <w:r w:rsidR="003B1591" w:rsidRPr="000A6D30">
        <w:rPr>
          <w:rFonts w:cs="Arial"/>
          <w:lang w:val="fr-FR"/>
        </w:rPr>
        <w:t>Si l</w:t>
      </w:r>
      <w:r w:rsidR="00343EE5" w:rsidRPr="000A6D30">
        <w:rPr>
          <w:rFonts w:cs="Arial"/>
          <w:lang w:val="fr-FR"/>
        </w:rPr>
        <w:t>’</w:t>
      </w:r>
      <w:r w:rsidR="003B1591" w:rsidRPr="000A6D30">
        <w:rPr>
          <w:rFonts w:cs="Arial"/>
          <w:lang w:val="fr-FR"/>
        </w:rPr>
        <w:t>on souhaite avoir une statistique unique pour tous les observateurs simultanément, on peut calculer un coefficient Kappa général.</w:t>
      </w:r>
      <w:r w:rsidRPr="000A6D30">
        <w:rPr>
          <w:lang w:val="fr-FR"/>
        </w:rPr>
        <w:t xml:space="preserve"> </w:t>
      </w:r>
      <w:r w:rsidR="00905075" w:rsidRPr="000A6D30">
        <w:rPr>
          <w:lang w:val="fr-FR"/>
        </w:rPr>
        <w:t xml:space="preserve"> </w:t>
      </w:r>
      <w:r w:rsidR="003B1591" w:rsidRPr="000A6D30">
        <w:rPr>
          <w:rFonts w:cs="Arial"/>
          <w:lang w:val="fr-FR"/>
        </w:rPr>
        <w:t xml:space="preserve">La plupart des programmes statistiques, dont SPSS, </w:t>
      </w:r>
      <w:proofErr w:type="spellStart"/>
      <w:r w:rsidR="003B1591" w:rsidRPr="000A6D30">
        <w:rPr>
          <w:rFonts w:cs="Arial"/>
          <w:lang w:val="fr-FR"/>
        </w:rPr>
        <w:t>Genstat</w:t>
      </w:r>
      <w:proofErr w:type="spellEnd"/>
      <w:r w:rsidR="003B1591" w:rsidRPr="000A6D30">
        <w:rPr>
          <w:rFonts w:cs="Arial"/>
          <w:lang w:val="fr-FR"/>
        </w:rPr>
        <w:t xml:space="preserve"> et R (programme Concord), fournissent des instruments de calcul du coefficient Kappa.</w:t>
      </w:r>
    </w:p>
    <w:p w:rsidR="00DF02B7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5.4</w:t>
      </w:r>
      <w:r w:rsidRPr="000A6D30">
        <w:rPr>
          <w:rFonts w:cs="Arial"/>
          <w:lang w:val="fr-FR"/>
        </w:rPr>
        <w:tab/>
      </w:r>
      <w:r w:rsidR="00E37A60" w:rsidRPr="000A6D30">
        <w:rPr>
          <w:rFonts w:cs="Arial"/>
          <w:lang w:val="fr-FR"/>
        </w:rPr>
        <w:t>Ainsi qu</w:t>
      </w:r>
      <w:r w:rsidR="00343EE5" w:rsidRPr="000A6D30">
        <w:rPr>
          <w:rFonts w:cs="Arial"/>
          <w:lang w:val="fr-FR"/>
        </w:rPr>
        <w:t>’</w:t>
      </w:r>
      <w:r w:rsidR="00E37A60" w:rsidRPr="000A6D30">
        <w:rPr>
          <w:rFonts w:cs="Arial"/>
          <w:lang w:val="fr-FR"/>
        </w:rPr>
        <w:t>il a été noté, une valeur κ faible indique une faible concordance alors que les valeurs avoisinant 1 indiquent une excellente concordance</w:t>
      </w:r>
      <w:r w:rsidRPr="000A6D30">
        <w:rPr>
          <w:rFonts w:cs="Arial"/>
          <w:lang w:val="fr-FR"/>
        </w:rPr>
        <w:t>.</w:t>
      </w:r>
      <w:r w:rsidR="00E37A60" w:rsidRPr="000A6D30">
        <w:rPr>
          <w:rFonts w:cs="Arial"/>
          <w:lang w:val="fr-FR"/>
        </w:rPr>
        <w:t xml:space="preserve"> </w:t>
      </w:r>
      <w:r w:rsidR="003B1591" w:rsidRPr="000A6D30">
        <w:rPr>
          <w:rFonts w:cs="Arial"/>
          <w:lang w:val="fr-FR"/>
        </w:rPr>
        <w:t>Souvent, les chiffres entre 0,6 et 0,8 sont réputés dénoter une concordance importante et les chiffres au</w:t>
      </w:r>
      <w:r w:rsidR="00FF2E1F" w:rsidRPr="000A6D30">
        <w:rPr>
          <w:rFonts w:cs="Arial"/>
          <w:lang w:val="fr-FR"/>
        </w:rPr>
        <w:noBreakHyphen/>
      </w:r>
      <w:r w:rsidR="003B1591" w:rsidRPr="000A6D30">
        <w:rPr>
          <w:rFonts w:cs="Arial"/>
          <w:lang w:val="fr-FR"/>
        </w:rPr>
        <w:t>dessus de 0,8 une concordance presque parfaite.</w:t>
      </w:r>
      <w:r w:rsidRPr="000A6D30">
        <w:rPr>
          <w:lang w:val="fr-FR"/>
        </w:rPr>
        <w:t xml:space="preserve"> </w:t>
      </w:r>
      <w:r w:rsidR="00530EBA" w:rsidRPr="000A6D30">
        <w:rPr>
          <w:rFonts w:cs="Arial"/>
          <w:lang w:val="fr-FR"/>
        </w:rPr>
        <w:t>Si</w:t>
      </w:r>
      <w:r w:rsidR="003F4587">
        <w:rPr>
          <w:rFonts w:cs="Arial"/>
          <w:lang w:val="fr-FR"/>
        </w:rPr>
        <w:t> </w:t>
      </w:r>
      <w:r w:rsidR="00530EBA" w:rsidRPr="000A6D30">
        <w:rPr>
          <w:rFonts w:cs="Arial"/>
          <w:lang w:val="fr-FR"/>
        </w:rPr>
        <w:t>nécessaire, il existe des écarts réduits pour Kappa (à supposer que la distribution est à peu près normale).</w:t>
      </w:r>
      <w:r w:rsidRPr="000A6D30">
        <w:rPr>
          <w:lang w:val="fr-FR"/>
        </w:rPr>
        <w:t xml:space="preserve"> </w:t>
      </w:r>
      <w:r w:rsidR="00905075" w:rsidRPr="000A6D30">
        <w:rPr>
          <w:rFonts w:cs="Arial"/>
          <w:lang w:val="fr-FR"/>
        </w:rPr>
        <w:t>Les critères appliqués aux experts DHS chevronnés pourraient être plus stricts que ceux appliqués aux personnes inexpérimentées</w:t>
      </w:r>
      <w:r w:rsidRPr="000A6D30">
        <w:rPr>
          <w:rFonts w:cs="Arial"/>
          <w:lang w:val="fr-FR"/>
        </w:rPr>
        <w:t>.</w:t>
      </w:r>
    </w:p>
    <w:p w:rsidR="00DF02B7" w:rsidRPr="000A6D30" w:rsidRDefault="00530EBA" w:rsidP="000A6D30">
      <w:pPr>
        <w:spacing w:before="120" w:after="120"/>
        <w:rPr>
          <w:rFonts w:cs="Arial"/>
          <w:u w:val="single"/>
          <w:lang w:val="fr-FR"/>
        </w:rPr>
      </w:pPr>
      <w:r w:rsidRPr="000A6D30">
        <w:rPr>
          <w:rFonts w:cs="Arial"/>
          <w:lang w:val="fr-FR"/>
        </w:rPr>
        <w:lastRenderedPageBreak/>
        <w:t xml:space="preserve">6 </w:t>
      </w:r>
      <w:r w:rsidR="000A6D30">
        <w:rPr>
          <w:rFonts w:cs="Arial"/>
          <w:lang w:val="fr-FR"/>
        </w:rPr>
        <w:tab/>
      </w:r>
      <w:r w:rsidRPr="000A6D30">
        <w:rPr>
          <w:rFonts w:cs="Arial"/>
          <w:u w:val="single"/>
          <w:lang w:val="fr-FR"/>
        </w:rPr>
        <w:t>Protocole d</w:t>
      </w:r>
      <w:r w:rsidR="00343EE5" w:rsidRPr="000A6D30">
        <w:rPr>
          <w:rFonts w:cs="Arial"/>
          <w:u w:val="single"/>
          <w:lang w:val="fr-FR"/>
        </w:rPr>
        <w:t>’</w:t>
      </w:r>
      <w:r w:rsidRPr="000A6D30">
        <w:rPr>
          <w:rFonts w:cs="Arial"/>
          <w:u w:val="single"/>
          <w:lang w:val="fr-FR"/>
        </w:rPr>
        <w:t>essai</w:t>
      </w:r>
    </w:p>
    <w:p w:rsidR="00DF02B7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6.1</w:t>
      </w:r>
      <w:r w:rsidRPr="000A6D30">
        <w:rPr>
          <w:rFonts w:cs="Arial"/>
          <w:lang w:val="fr-FR"/>
        </w:rPr>
        <w:tab/>
      </w:r>
      <w:r w:rsidR="00E37A60" w:rsidRPr="000A6D30">
        <w:rPr>
          <w:rFonts w:cs="Arial"/>
          <w:lang w:val="fr-FR"/>
        </w:rPr>
        <w:t>En cas de pluralité d</w:t>
      </w:r>
      <w:r w:rsidR="00343EE5" w:rsidRPr="000A6D30">
        <w:rPr>
          <w:rFonts w:cs="Arial"/>
          <w:lang w:val="fr-FR"/>
        </w:rPr>
        <w:t>’</w:t>
      </w:r>
      <w:r w:rsidR="00E37A60" w:rsidRPr="000A6D30">
        <w:rPr>
          <w:rFonts w:cs="Arial"/>
          <w:lang w:val="fr-FR"/>
        </w:rPr>
        <w:t>observateurs dans un essai, la meilleure méthode consiste à confier à une même personne l</w:t>
      </w:r>
      <w:r w:rsidR="00343EE5" w:rsidRPr="000A6D30">
        <w:rPr>
          <w:rFonts w:cs="Arial"/>
          <w:lang w:val="fr-FR"/>
        </w:rPr>
        <w:t>’</w:t>
      </w:r>
      <w:r w:rsidR="00E37A60" w:rsidRPr="000A6D30">
        <w:rPr>
          <w:rFonts w:cs="Arial"/>
          <w:lang w:val="fr-FR"/>
        </w:rPr>
        <w:t>observation d</w:t>
      </w:r>
      <w:r w:rsidR="00343EE5" w:rsidRPr="000A6D30">
        <w:rPr>
          <w:rFonts w:cs="Arial"/>
          <w:lang w:val="fr-FR"/>
        </w:rPr>
        <w:t>’</w:t>
      </w:r>
      <w:r w:rsidR="00E37A60" w:rsidRPr="000A6D30">
        <w:rPr>
          <w:rFonts w:cs="Arial"/>
          <w:lang w:val="fr-FR"/>
        </w:rPr>
        <w:t>une ou plusieurs répétitions complètes</w:t>
      </w:r>
      <w:r w:rsidRPr="000A6D30">
        <w:rPr>
          <w:rFonts w:cs="Arial"/>
          <w:lang w:val="fr-FR"/>
        </w:rPr>
        <w:t xml:space="preserve">. </w:t>
      </w:r>
      <w:r w:rsidR="00E37A60" w:rsidRPr="000A6D30">
        <w:rPr>
          <w:rFonts w:cs="Arial"/>
          <w:lang w:val="fr-FR"/>
        </w:rPr>
        <w:t xml:space="preserve"> </w:t>
      </w:r>
      <w:r w:rsidR="00530EBA" w:rsidRPr="000A6D30">
        <w:rPr>
          <w:rFonts w:cs="Arial"/>
          <w:lang w:val="fr-FR"/>
        </w:rPr>
        <w:t>Dans ce cas, la correction des effets de blocs tient aussi compte du biais entre observateurs.</w:t>
      </w:r>
      <w:r w:rsidRPr="000A6D30">
        <w:rPr>
          <w:lang w:val="fr-FR"/>
        </w:rPr>
        <w:t xml:space="preserve">  </w:t>
      </w:r>
      <w:r w:rsidR="00530EBA" w:rsidRPr="000A6D30">
        <w:rPr>
          <w:rFonts w:cs="Arial"/>
          <w:lang w:val="fr-FR"/>
        </w:rPr>
        <w:t>Lorsqu</w:t>
      </w:r>
      <w:r w:rsidR="00343EE5" w:rsidRPr="000A6D30">
        <w:rPr>
          <w:rFonts w:cs="Arial"/>
          <w:lang w:val="fr-FR"/>
        </w:rPr>
        <w:t>’</w:t>
      </w:r>
      <w:r w:rsidR="00530EBA" w:rsidRPr="000A6D30">
        <w:rPr>
          <w:rFonts w:cs="Arial"/>
          <w:lang w:val="fr-FR"/>
        </w:rPr>
        <w:t>il est nécessaire de recourir à plus d</w:t>
      </w:r>
      <w:r w:rsidR="00343EE5" w:rsidRPr="000A6D30">
        <w:rPr>
          <w:rFonts w:cs="Arial"/>
          <w:lang w:val="fr-FR"/>
        </w:rPr>
        <w:t>’</w:t>
      </w:r>
      <w:r w:rsidR="00530EBA" w:rsidRPr="000A6D30">
        <w:rPr>
          <w:rFonts w:cs="Arial"/>
          <w:lang w:val="fr-FR"/>
        </w:rPr>
        <w:t>un observateur par répétition, il convient d</w:t>
      </w:r>
      <w:r w:rsidR="00343EE5" w:rsidRPr="000A6D30">
        <w:rPr>
          <w:rFonts w:cs="Arial"/>
          <w:lang w:val="fr-FR"/>
        </w:rPr>
        <w:t>’</w:t>
      </w:r>
      <w:r w:rsidR="00530EBA" w:rsidRPr="000A6D30">
        <w:rPr>
          <w:rFonts w:cs="Arial"/>
          <w:lang w:val="fr-FR"/>
        </w:rPr>
        <w:t>accorder davantage d</w:t>
      </w:r>
      <w:r w:rsidR="00343EE5" w:rsidRPr="000A6D30">
        <w:rPr>
          <w:rFonts w:cs="Arial"/>
          <w:lang w:val="fr-FR"/>
        </w:rPr>
        <w:t>’</w:t>
      </w:r>
      <w:r w:rsidR="00530EBA" w:rsidRPr="000A6D30">
        <w:rPr>
          <w:rFonts w:cs="Arial"/>
          <w:lang w:val="fr-FR"/>
        </w:rPr>
        <w:t>attention à l</w:t>
      </w:r>
      <w:r w:rsidR="00343EE5" w:rsidRPr="000A6D30">
        <w:rPr>
          <w:rFonts w:cs="Arial"/>
          <w:lang w:val="fr-FR"/>
        </w:rPr>
        <w:t>’</w:t>
      </w:r>
      <w:r w:rsidR="00530EBA" w:rsidRPr="000A6D30">
        <w:rPr>
          <w:rFonts w:cs="Arial"/>
          <w:lang w:val="fr-FR"/>
        </w:rPr>
        <w:t>étalonnage et à</w:t>
      </w:r>
      <w:r w:rsidRPr="000A6D30">
        <w:rPr>
          <w:rFonts w:cs="Arial"/>
          <w:lang w:val="fr-FR"/>
        </w:rPr>
        <w:t xml:space="preserve"> </w:t>
      </w:r>
      <w:r w:rsidR="00530EBA" w:rsidRPr="000A6D30">
        <w:rPr>
          <w:rFonts w:cs="Arial"/>
          <w:lang w:val="fr-FR"/>
        </w:rPr>
        <w:t>la concordance. Dans certains cas, des plans en blocs incomplets (plans alpha) peuvent être utiles, et un observateur peut être affecté aux sous</w:t>
      </w:r>
      <w:r w:rsidR="00FF2E1F" w:rsidRPr="000A6D30">
        <w:rPr>
          <w:rFonts w:cs="Arial"/>
          <w:lang w:val="fr-FR"/>
        </w:rPr>
        <w:noBreakHyphen/>
      </w:r>
      <w:r w:rsidR="00530EBA" w:rsidRPr="000A6D30">
        <w:rPr>
          <w:rFonts w:cs="Arial"/>
          <w:lang w:val="fr-FR"/>
        </w:rPr>
        <w:t>blocs.</w:t>
      </w:r>
      <w:r w:rsidRPr="000A6D30">
        <w:rPr>
          <w:lang w:val="fr-FR"/>
        </w:rPr>
        <w:t xml:space="preserve"> </w:t>
      </w:r>
      <w:r w:rsidR="006E1045" w:rsidRPr="000A6D30">
        <w:rPr>
          <w:rFonts w:cs="Arial"/>
          <w:lang w:val="fr-FR"/>
        </w:rPr>
        <w:t>On peut ainsi</w:t>
      </w:r>
      <w:r w:rsidR="009509F4" w:rsidRPr="000A6D30">
        <w:rPr>
          <w:rFonts w:cs="Arial"/>
          <w:lang w:val="fr-FR"/>
        </w:rPr>
        <w:t xml:space="preserve"> corriger les différences systématiques entre observateurs</w:t>
      </w:r>
      <w:r w:rsidRPr="000A6D30">
        <w:rPr>
          <w:rFonts w:cs="Arial"/>
          <w:lang w:val="fr-FR"/>
        </w:rPr>
        <w:t>.</w:t>
      </w:r>
    </w:p>
    <w:p w:rsidR="00DF02B7" w:rsidRPr="000A6D30" w:rsidRDefault="00DF02B7" w:rsidP="000A6D30">
      <w:pPr>
        <w:spacing w:before="120" w:after="120"/>
        <w:rPr>
          <w:rFonts w:cs="Arial"/>
          <w:lang w:val="fr-FR"/>
        </w:rPr>
      </w:pPr>
    </w:p>
    <w:p w:rsidR="00DF02B7" w:rsidRPr="000A6D30" w:rsidRDefault="004857AD" w:rsidP="000A6D30">
      <w:pPr>
        <w:keepNext/>
        <w:keepLines/>
        <w:spacing w:before="120" w:after="120"/>
        <w:rPr>
          <w:rFonts w:cs="Arial"/>
          <w:u w:val="single"/>
          <w:lang w:val="fr-FR"/>
        </w:rPr>
      </w:pPr>
      <w:r w:rsidRPr="000A6D30">
        <w:rPr>
          <w:rFonts w:cs="Arial"/>
          <w:u w:val="single"/>
          <w:lang w:val="fr-FR"/>
        </w:rPr>
        <w:t xml:space="preserve">7. </w:t>
      </w:r>
      <w:r w:rsidR="00947858" w:rsidRPr="000A6D30">
        <w:rPr>
          <w:rFonts w:cs="Arial"/>
          <w:u w:val="single"/>
          <w:lang w:val="fr-FR"/>
        </w:rPr>
        <w:t xml:space="preserve"> </w:t>
      </w:r>
      <w:r w:rsidR="000A6D30">
        <w:rPr>
          <w:rFonts w:cs="Arial"/>
          <w:u w:val="single"/>
          <w:lang w:val="fr-FR"/>
        </w:rPr>
        <w:tab/>
      </w:r>
      <w:r w:rsidR="00E37A60" w:rsidRPr="000A6D30">
        <w:rPr>
          <w:rFonts w:cs="Arial"/>
          <w:u w:val="single"/>
          <w:lang w:val="fr-FR"/>
        </w:rPr>
        <w:t>Kappa de Cohen</w:t>
      </w:r>
      <w:r w:rsidR="00947858" w:rsidRPr="000A6D30">
        <w:rPr>
          <w:rFonts w:cs="Arial"/>
          <w:u w:val="single"/>
          <w:lang w:val="fr-FR"/>
        </w:rPr>
        <w:t> </w:t>
      </w:r>
      <w:r w:rsidR="00E37A60" w:rsidRPr="000A6D30">
        <w:rPr>
          <w:rFonts w:cs="Arial"/>
          <w:u w:val="single"/>
          <w:lang w:val="fr-FR"/>
        </w:rPr>
        <w:t>: exemple</w:t>
      </w:r>
    </w:p>
    <w:p w:rsidR="00DF02B7" w:rsidRPr="000A6D30" w:rsidRDefault="004857AD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7.1</w:t>
      </w:r>
      <w:r w:rsidRPr="000A6D30">
        <w:rPr>
          <w:rFonts w:cs="Arial"/>
          <w:lang w:val="fr-FR"/>
        </w:rPr>
        <w:tab/>
      </w:r>
      <w:r w:rsidR="00E37A60" w:rsidRPr="000A6D30">
        <w:rPr>
          <w:rFonts w:cs="Arial"/>
          <w:lang w:val="fr-FR"/>
        </w:rPr>
        <w:t>Dans cet exemple, il y a trois</w:t>
      </w:r>
      <w:r w:rsidR="00947858" w:rsidRPr="000A6D30">
        <w:rPr>
          <w:rFonts w:cs="Arial"/>
          <w:lang w:val="fr-FR"/>
        </w:rPr>
        <w:t> </w:t>
      </w:r>
      <w:r w:rsidR="00E37A60" w:rsidRPr="000A6D30">
        <w:rPr>
          <w:rFonts w:cs="Arial"/>
          <w:lang w:val="fr-FR"/>
        </w:rPr>
        <w:t>observateurs et 30 objets (parcelles ou variétés).  Le caractère est observé sur une échelle de 1 à 6.  Les données brutes et leurs notes figurent dans les tableaux qui suivent</w:t>
      </w:r>
      <w:r w:rsidRPr="000A6D30">
        <w:rPr>
          <w:rFonts w:cs="Arial"/>
          <w:lang w:val="fr-FR"/>
        </w:rPr>
        <w:t>.</w:t>
      </w:r>
    </w:p>
    <w:p w:rsidR="00DF02B7" w:rsidRPr="000A6D30" w:rsidRDefault="00DF02B7" w:rsidP="000A6D30">
      <w:pPr>
        <w:spacing w:before="120" w:after="120"/>
        <w:rPr>
          <w:rFonts w:cs="Arial"/>
          <w:lang w:val="fr-FR"/>
        </w:rPr>
      </w:pPr>
    </w:p>
    <w:p w:rsidR="00AB62C5" w:rsidRPr="000A6D30" w:rsidRDefault="00AB62C5" w:rsidP="000A6D30">
      <w:pPr>
        <w:spacing w:before="120" w:after="120"/>
        <w:rPr>
          <w:rFonts w:cs="Arial"/>
          <w:lang w:val="fr-FR"/>
        </w:rPr>
        <w:sectPr w:rsidR="00AB62C5" w:rsidRPr="000A6D30" w:rsidSect="00530EBA">
          <w:headerReference w:type="default" r:id="rId12"/>
          <w:headerReference w:type="first" r:id="rId1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tbl>
      <w:tblPr>
        <w:tblW w:w="3840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1052"/>
        <w:gridCol w:w="1052"/>
        <w:gridCol w:w="1052"/>
      </w:tblGrid>
      <w:tr w:rsidR="000A6D30" w:rsidRPr="000A6D30" w:rsidTr="00327134">
        <w:trPr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530EBA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lastRenderedPageBreak/>
              <w:t>Variété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3EE5" w:rsidRPr="000A6D30" w:rsidRDefault="00530EBA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Observateur</w:t>
            </w:r>
          </w:p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F02B7" w:rsidRPr="000A6D30" w:rsidRDefault="00530EBA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Observateur</w:t>
            </w:r>
          </w:p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2B7" w:rsidRPr="000A6D30" w:rsidRDefault="00530EBA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Observateur</w:t>
            </w:r>
          </w:p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0A6D30" w:rsidTr="0032713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V3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V4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V5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V6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V7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V8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V9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V11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V12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V13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V14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V15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V16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V17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V18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V19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V21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V22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V23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V24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V25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V26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V27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V28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V29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V30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</w:tr>
      <w:tr w:rsidR="000A6D30" w:rsidRPr="000A6D30" w:rsidTr="00327134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</w:tr>
    </w:tbl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p w:rsidR="00DF02B7" w:rsidRPr="000A6D30" w:rsidRDefault="00DF02B7" w:rsidP="000A6D30">
      <w:pPr>
        <w:rPr>
          <w:lang w:val="fr-FR"/>
        </w:rPr>
      </w:pPr>
    </w:p>
    <w:tbl>
      <w:tblPr>
        <w:tblW w:w="4536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567"/>
        <w:gridCol w:w="567"/>
        <w:gridCol w:w="567"/>
        <w:gridCol w:w="567"/>
        <w:gridCol w:w="567"/>
        <w:gridCol w:w="567"/>
      </w:tblGrid>
      <w:tr w:rsidR="000A6D30" w:rsidRPr="000A6D30" w:rsidTr="00327134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E37A60" w:rsidP="000A6D30">
            <w:pPr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Notes de la variété pour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</w:tr>
      <w:tr w:rsidR="000A6D30" w:rsidRPr="000A6D30" w:rsidTr="003271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V3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V4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V5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V6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V7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V8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V9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V11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V12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V13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V14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V15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V16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V17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V18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V19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V21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V22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V23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V24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V25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V26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V27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V28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V29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</w:tr>
      <w:tr w:rsidR="000A6D30" w:rsidRPr="000A6D30" w:rsidTr="00327134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V30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</w:tr>
    </w:tbl>
    <w:p w:rsidR="004857AD" w:rsidRPr="000A6D30" w:rsidRDefault="004857AD" w:rsidP="000A6D30">
      <w:pPr>
        <w:keepNext/>
        <w:spacing w:before="120" w:after="120"/>
        <w:rPr>
          <w:rFonts w:cs="Arial"/>
          <w:lang w:val="fr-FR"/>
        </w:rPr>
        <w:sectPr w:rsidR="004857AD" w:rsidRPr="000A6D30" w:rsidSect="00530EBA">
          <w:headerReference w:type="default" r:id="rId14"/>
          <w:type w:val="continuous"/>
          <w:pgSz w:w="11907" w:h="16840" w:code="9"/>
          <w:pgMar w:top="510" w:right="1134" w:bottom="1134" w:left="1134" w:header="510" w:footer="680" w:gutter="0"/>
          <w:cols w:num="2" w:space="720"/>
          <w:titlePg/>
          <w:docGrid w:linePitch="272"/>
        </w:sectPr>
      </w:pPr>
    </w:p>
    <w:p w:rsidR="004857AD" w:rsidRPr="000A6D30" w:rsidRDefault="00E37A60" w:rsidP="000A6D30">
      <w:pPr>
        <w:keepNext/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lastRenderedPageBreak/>
        <w:t>Le tableau de contingence pour les observateurs 1 et 2 est le suivant</w:t>
      </w:r>
      <w:r w:rsidR="00947858" w:rsidRPr="000A6D30">
        <w:rPr>
          <w:rFonts w:cs="Arial"/>
          <w:lang w:val="fr-FR"/>
        </w:rPr>
        <w:t> </w:t>
      </w:r>
      <w:r w:rsidRPr="000A6D30">
        <w:rPr>
          <w:rFonts w:cs="Arial"/>
          <w:lang w:val="fr-FR"/>
        </w:rPr>
        <w:t>:</w:t>
      </w:r>
    </w:p>
    <w:tbl>
      <w:tblPr>
        <w:tblW w:w="5542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0"/>
        <w:gridCol w:w="720"/>
        <w:gridCol w:w="700"/>
        <w:gridCol w:w="640"/>
        <w:gridCol w:w="680"/>
        <w:gridCol w:w="680"/>
        <w:gridCol w:w="673"/>
        <w:gridCol w:w="709"/>
      </w:tblGrid>
      <w:tr w:rsidR="000A6D30" w:rsidRPr="000A6D30" w:rsidTr="00327134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O1\O2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Total</w:t>
            </w:r>
          </w:p>
        </w:tc>
      </w:tr>
      <w:tr w:rsidR="000A6D30" w:rsidRPr="000A6D30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0A6D30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17</w:t>
            </w:r>
          </w:p>
        </w:tc>
      </w:tr>
      <w:tr w:rsidR="000A6D30" w:rsidRPr="000A6D30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0A6D30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</w:tr>
      <w:tr w:rsidR="000A6D30" w:rsidRPr="000A6D30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0A6D30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</w:tr>
      <w:tr w:rsidR="000A6D30" w:rsidRPr="000A6D30" w:rsidTr="0032713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7AD" w:rsidRPr="000A6D30" w:rsidRDefault="004857AD" w:rsidP="000A6D30">
            <w:pPr>
              <w:jc w:val="righ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0A6D30">
              <w:rPr>
                <w:rFonts w:ascii="Calibri" w:hAnsi="Calibri" w:cs="Calibri"/>
                <w:sz w:val="18"/>
                <w:szCs w:val="18"/>
                <w:lang w:val="fr-FR"/>
              </w:rPr>
              <w:t>30</w:t>
            </w:r>
          </w:p>
        </w:tc>
      </w:tr>
    </w:tbl>
    <w:p w:rsidR="00DF02B7" w:rsidRPr="000A6D30" w:rsidRDefault="00E37A60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Le coefficient Kappa entre l</w:t>
      </w:r>
      <w:r w:rsidR="00343EE5" w:rsidRPr="000A6D30">
        <w:rPr>
          <w:rFonts w:cs="Arial"/>
          <w:lang w:val="fr-FR"/>
        </w:rPr>
        <w:t>’</w:t>
      </w:r>
      <w:r w:rsidRPr="000A6D30">
        <w:rPr>
          <w:rFonts w:cs="Arial"/>
          <w:lang w:val="fr-FR"/>
        </w:rPr>
        <w:t>observateur 1 et l</w:t>
      </w:r>
      <w:r w:rsidR="00343EE5" w:rsidRPr="000A6D30">
        <w:rPr>
          <w:rFonts w:cs="Arial"/>
          <w:lang w:val="fr-FR"/>
        </w:rPr>
        <w:t>’</w:t>
      </w:r>
      <w:r w:rsidRPr="000A6D30">
        <w:rPr>
          <w:rFonts w:cs="Arial"/>
          <w:lang w:val="fr-FR"/>
        </w:rPr>
        <w:t xml:space="preserve">observateur 2, </w:t>
      </w:r>
      <w:proofErr w:type="gramStart"/>
      <w:r w:rsidRPr="000A6D30">
        <w:rPr>
          <w:rFonts w:cs="Arial"/>
          <w:lang w:val="fr-FR"/>
        </w:rPr>
        <w:t>κ(</w:t>
      </w:r>
      <w:proofErr w:type="gramEnd"/>
      <w:r w:rsidRPr="000A6D30">
        <w:rPr>
          <w:rFonts w:cs="Arial"/>
          <w:lang w:val="fr-FR"/>
        </w:rPr>
        <w:t>O1,O2), est calculé comme suit</w:t>
      </w:r>
      <w:r w:rsidR="00947858" w:rsidRPr="000A6D30">
        <w:rPr>
          <w:rFonts w:cs="Arial"/>
          <w:lang w:val="fr-FR"/>
        </w:rPr>
        <w:t> </w:t>
      </w:r>
      <w:r w:rsidRPr="000A6D30">
        <w:rPr>
          <w:rFonts w:cs="Arial"/>
          <w:lang w:val="fr-FR"/>
        </w:rPr>
        <w:t>:</w:t>
      </w:r>
    </w:p>
    <w:p w:rsidR="000410B2" w:rsidRPr="00651C69" w:rsidRDefault="000410B2" w:rsidP="000A6D30">
      <w:pPr>
        <w:numPr>
          <w:ilvl w:val="0"/>
          <w:numId w:val="4"/>
        </w:numPr>
        <w:spacing w:before="120" w:after="120"/>
        <w:contextualSpacing/>
        <w:rPr>
          <w:rFonts w:cs="Arial"/>
          <w:lang w:val="es-ES"/>
        </w:rPr>
      </w:pPr>
      <w:proofErr w:type="gramStart"/>
      <w:r w:rsidRPr="000A6D30">
        <w:rPr>
          <w:rFonts w:cs="Arial"/>
          <w:lang w:val="fr-FR"/>
        </w:rPr>
        <w:t>κ</w:t>
      </w:r>
      <w:r w:rsidRPr="00651C69">
        <w:rPr>
          <w:rFonts w:cs="Arial"/>
          <w:lang w:val="es-ES"/>
        </w:rPr>
        <w:t>(</w:t>
      </w:r>
      <w:proofErr w:type="gramEnd"/>
      <w:r w:rsidRPr="00651C69">
        <w:rPr>
          <w:rFonts w:cs="Arial"/>
          <w:lang w:val="es-ES"/>
        </w:rPr>
        <w:t xml:space="preserve">O1,O2) = P(concordance entre O1 et O2) – P(e)) / (1 – P(e)), </w:t>
      </w:r>
      <w:r w:rsidRPr="008B1C36">
        <w:rPr>
          <w:rFonts w:cs="Arial"/>
          <w:lang w:val="fr-CH"/>
        </w:rPr>
        <w:t>où</w:t>
      </w:r>
      <w:r w:rsidR="00947858" w:rsidRPr="00651C69">
        <w:rPr>
          <w:rFonts w:cs="Arial"/>
          <w:lang w:val="es-ES"/>
        </w:rPr>
        <w:t> </w:t>
      </w:r>
      <w:r w:rsidRPr="00651C69">
        <w:rPr>
          <w:rFonts w:cs="Arial"/>
          <w:lang w:val="es-ES"/>
        </w:rPr>
        <w:t>:</w:t>
      </w:r>
    </w:p>
    <w:p w:rsidR="000410B2" w:rsidRPr="000A6D30" w:rsidRDefault="000410B2" w:rsidP="000A6D30">
      <w:pPr>
        <w:numPr>
          <w:ilvl w:val="0"/>
          <w:numId w:val="4"/>
        </w:numPr>
        <w:spacing w:before="120" w:after="120"/>
        <w:contextualSpacing/>
        <w:rPr>
          <w:rFonts w:cs="Arial"/>
          <w:lang w:val="fr-FR"/>
        </w:rPr>
      </w:pPr>
      <w:proofErr w:type="gramStart"/>
      <w:r w:rsidRPr="000A6D30">
        <w:rPr>
          <w:rFonts w:cs="Arial"/>
          <w:lang w:val="fr-FR"/>
        </w:rPr>
        <w:t>P(</w:t>
      </w:r>
      <w:proofErr w:type="gramEnd"/>
      <w:r w:rsidRPr="000A6D30">
        <w:rPr>
          <w:rFonts w:cs="Arial"/>
          <w:lang w:val="fr-FR"/>
        </w:rPr>
        <w:t>concordance) = (3+5+0+1+0+2)/30 = 11/30 ≈ 0.3667 (éléments diagonaux)</w:t>
      </w:r>
    </w:p>
    <w:p w:rsidR="00DF02B7" w:rsidRPr="000A6D30" w:rsidRDefault="004857AD" w:rsidP="000A6D30">
      <w:pPr>
        <w:numPr>
          <w:ilvl w:val="0"/>
          <w:numId w:val="4"/>
        </w:numPr>
        <w:spacing w:before="120" w:after="120"/>
        <w:contextualSpacing/>
        <w:rPr>
          <w:rFonts w:cs="Arial"/>
          <w:lang w:val="fr-FR"/>
        </w:rPr>
      </w:pPr>
      <w:r w:rsidRPr="000A6D30">
        <w:rPr>
          <w:rFonts w:cs="Arial"/>
          <w:lang w:val="fr-FR"/>
        </w:rPr>
        <w:t xml:space="preserve">P(e) = (3/30).(15/30) + (17/30).(6/30) + (3/30).(1/30) + (1/30).(3/30) + (3/30).(0/30) + (3/30).(5/30) ≈ 0.1867. </w:t>
      </w:r>
      <w:r w:rsidR="00947858" w:rsidRPr="000A6D30">
        <w:rPr>
          <w:rFonts w:cs="Arial"/>
          <w:lang w:val="fr-FR"/>
        </w:rPr>
        <w:t xml:space="preserve"> </w:t>
      </w:r>
      <w:r w:rsidRPr="000A6D30">
        <w:rPr>
          <w:rFonts w:cs="Arial"/>
          <w:lang w:val="fr-FR"/>
        </w:rPr>
        <w:t>(</w:t>
      </w:r>
      <w:r w:rsidR="000410B2" w:rsidRPr="000A6D30">
        <w:rPr>
          <w:rFonts w:cs="Arial"/>
          <w:lang w:val="fr-FR"/>
        </w:rPr>
        <w:t>marges par paire</w:t>
      </w:r>
      <w:r w:rsidRPr="000A6D30">
        <w:rPr>
          <w:rFonts w:cs="Arial"/>
          <w:lang w:val="fr-FR"/>
        </w:rPr>
        <w:t>)</w:t>
      </w:r>
    </w:p>
    <w:p w:rsidR="00DF02B7" w:rsidRPr="000A6D30" w:rsidRDefault="000410B2" w:rsidP="000A6D30">
      <w:pPr>
        <w:numPr>
          <w:ilvl w:val="0"/>
          <w:numId w:val="4"/>
        </w:numPr>
        <w:spacing w:before="120" w:after="120"/>
        <w:contextualSpacing/>
        <w:rPr>
          <w:rFonts w:cs="Arial"/>
          <w:lang w:val="fr-FR"/>
        </w:rPr>
      </w:pPr>
      <w:r w:rsidRPr="000A6D30">
        <w:rPr>
          <w:rFonts w:cs="Arial"/>
          <w:lang w:val="fr-FR"/>
        </w:rPr>
        <w:t>Donc</w:t>
      </w:r>
      <w:r w:rsidR="004857AD" w:rsidRPr="000A6D30">
        <w:rPr>
          <w:rFonts w:cs="Arial"/>
          <w:lang w:val="fr-FR"/>
        </w:rPr>
        <w:t xml:space="preserve"> </w:t>
      </w:r>
      <w:proofErr w:type="gramStart"/>
      <w:r w:rsidR="004857AD" w:rsidRPr="000A6D30">
        <w:rPr>
          <w:rFonts w:cs="Arial"/>
          <w:lang w:val="fr-FR"/>
        </w:rPr>
        <w:t>κ(</w:t>
      </w:r>
      <w:proofErr w:type="gramEnd"/>
      <w:r w:rsidR="004857AD" w:rsidRPr="000A6D30">
        <w:rPr>
          <w:rFonts w:cs="Arial"/>
          <w:lang w:val="fr-FR"/>
        </w:rPr>
        <w:t>O1,O2) ≈ (0.3667</w:t>
      </w:r>
      <w:r w:rsidR="00FF2E1F" w:rsidRPr="000A6D30">
        <w:rPr>
          <w:rFonts w:cs="Arial"/>
          <w:lang w:val="fr-FR"/>
        </w:rPr>
        <w:noBreakHyphen/>
      </w:r>
      <w:r w:rsidR="004857AD" w:rsidRPr="000A6D30">
        <w:rPr>
          <w:rFonts w:cs="Arial"/>
          <w:lang w:val="fr-FR"/>
        </w:rPr>
        <w:t>0.1867) / (1</w:t>
      </w:r>
      <w:r w:rsidR="00FF2E1F" w:rsidRPr="000A6D30">
        <w:rPr>
          <w:rFonts w:cs="Arial"/>
          <w:lang w:val="fr-FR"/>
        </w:rPr>
        <w:noBreakHyphen/>
      </w:r>
      <w:r w:rsidR="004857AD" w:rsidRPr="000A6D30">
        <w:rPr>
          <w:rFonts w:cs="Arial"/>
          <w:lang w:val="fr-FR"/>
        </w:rPr>
        <w:t>0.1867) ≈ 0.22</w:t>
      </w:r>
    </w:p>
    <w:p w:rsidR="00DF02B7" w:rsidRPr="000A6D30" w:rsidRDefault="000410B2" w:rsidP="000A6D30">
      <w:pPr>
        <w:spacing w:before="120" w:after="120"/>
        <w:rPr>
          <w:rFonts w:cs="Arial"/>
          <w:lang w:val="fr-FR"/>
        </w:rPr>
      </w:pPr>
      <w:r w:rsidRPr="000A6D30">
        <w:rPr>
          <w:rFonts w:cs="Arial"/>
          <w:lang w:val="fr-FR"/>
        </w:rPr>
        <w:t>Il s</w:t>
      </w:r>
      <w:r w:rsidR="00343EE5" w:rsidRPr="000A6D30">
        <w:rPr>
          <w:rFonts w:cs="Arial"/>
          <w:lang w:val="fr-FR"/>
        </w:rPr>
        <w:t>’</w:t>
      </w:r>
      <w:r w:rsidRPr="000A6D30">
        <w:rPr>
          <w:rFonts w:cs="Arial"/>
          <w:lang w:val="fr-FR"/>
        </w:rPr>
        <w:t>agit d</w:t>
      </w:r>
      <w:r w:rsidR="00343EE5" w:rsidRPr="000A6D30">
        <w:rPr>
          <w:rFonts w:cs="Arial"/>
          <w:lang w:val="fr-FR"/>
        </w:rPr>
        <w:t>’</w:t>
      </w:r>
      <w:r w:rsidRPr="000A6D30">
        <w:rPr>
          <w:rFonts w:cs="Arial"/>
          <w:lang w:val="fr-FR"/>
        </w:rPr>
        <w:t>une valeur faible, indiquant une concordance très faible entre ces deux</w:t>
      </w:r>
      <w:r w:rsidR="00947858" w:rsidRPr="000A6D30">
        <w:rPr>
          <w:rFonts w:cs="Arial"/>
          <w:lang w:val="fr-FR"/>
        </w:rPr>
        <w:t> </w:t>
      </w:r>
      <w:r w:rsidRPr="000A6D30">
        <w:rPr>
          <w:rFonts w:cs="Arial"/>
          <w:lang w:val="fr-FR"/>
        </w:rPr>
        <w:t>observateurs. Cela</w:t>
      </w:r>
      <w:r w:rsidR="003F4587">
        <w:rPr>
          <w:rFonts w:cs="Arial"/>
          <w:lang w:val="fr-FR"/>
        </w:rPr>
        <w:t> </w:t>
      </w:r>
      <w:r w:rsidRPr="000A6D30">
        <w:rPr>
          <w:rFonts w:cs="Arial"/>
          <w:lang w:val="fr-FR"/>
        </w:rPr>
        <w:t>constitue un sujet de préoccupation et des mesures devraient être prises pour améliorer la concordance.</w:t>
      </w:r>
      <w:r w:rsidR="004857AD" w:rsidRPr="000A6D30">
        <w:rPr>
          <w:rFonts w:cs="Arial"/>
          <w:lang w:val="fr-FR"/>
        </w:rPr>
        <w:t xml:space="preserve"> </w:t>
      </w:r>
      <w:r w:rsidRPr="000A6D30">
        <w:rPr>
          <w:rFonts w:cs="Arial"/>
          <w:lang w:val="fr-FR"/>
        </w:rPr>
        <w:t>De</w:t>
      </w:r>
      <w:r w:rsidR="003F4587">
        <w:rPr>
          <w:rFonts w:cs="Arial"/>
          <w:lang w:val="fr-FR"/>
        </w:rPr>
        <w:t> </w:t>
      </w:r>
      <w:r w:rsidRPr="000A6D30">
        <w:rPr>
          <w:rFonts w:cs="Arial"/>
          <w:lang w:val="fr-FR"/>
        </w:rPr>
        <w:t>la même manière, les valeurs pour les autres paires peuvent être calculées comme suit</w:t>
      </w:r>
      <w:r w:rsidR="00947858" w:rsidRPr="000A6D30">
        <w:rPr>
          <w:rFonts w:cs="Arial"/>
          <w:lang w:val="fr-FR"/>
        </w:rPr>
        <w:t> </w:t>
      </w:r>
      <w:r w:rsidRPr="000A6D30">
        <w:rPr>
          <w:rFonts w:cs="Arial"/>
          <w:lang w:val="fr-FR"/>
        </w:rPr>
        <w:t xml:space="preserve">: </w:t>
      </w:r>
      <w:proofErr w:type="gramStart"/>
      <w:r w:rsidR="004857AD" w:rsidRPr="000A6D30">
        <w:rPr>
          <w:rFonts w:cs="Arial"/>
          <w:lang w:val="fr-FR"/>
        </w:rPr>
        <w:t>κ(</w:t>
      </w:r>
      <w:proofErr w:type="gramEnd"/>
      <w:r w:rsidR="004857AD" w:rsidRPr="000A6D30">
        <w:rPr>
          <w:rFonts w:cs="Arial"/>
          <w:lang w:val="fr-FR"/>
        </w:rPr>
        <w:t>O1,O3) ≈ 0.72, κ(O2,O3) ≈ 0.22.</w:t>
      </w:r>
      <w:r w:rsidRPr="000A6D30">
        <w:rPr>
          <w:rFonts w:cs="Arial"/>
          <w:lang w:val="fr-FR"/>
        </w:rPr>
        <w:t xml:space="preserve"> Les observateurs 1 et 3 affichent une bonne concordance. </w:t>
      </w:r>
      <w:r w:rsidR="009509F4" w:rsidRPr="000A6D30">
        <w:rPr>
          <w:rFonts w:cs="Arial"/>
          <w:lang w:val="fr-FR"/>
        </w:rPr>
        <w:t>L</w:t>
      </w:r>
      <w:r w:rsidR="00343EE5" w:rsidRPr="000A6D30">
        <w:rPr>
          <w:rFonts w:cs="Arial"/>
          <w:lang w:val="fr-FR"/>
        </w:rPr>
        <w:t>’</w:t>
      </w:r>
      <w:r w:rsidR="009509F4" w:rsidRPr="000A6D30">
        <w:rPr>
          <w:rFonts w:cs="Arial"/>
          <w:lang w:val="fr-FR"/>
        </w:rPr>
        <w:t xml:space="preserve">observateur 2 est clairement divergent et les raisons de cette </w:t>
      </w:r>
      <w:r w:rsidR="00C85571" w:rsidRPr="000A6D30">
        <w:rPr>
          <w:rFonts w:cs="Arial"/>
          <w:lang w:val="fr-FR"/>
        </w:rPr>
        <w:t xml:space="preserve">différence </w:t>
      </w:r>
      <w:r w:rsidR="00FF2E1F" w:rsidRPr="000A6D30">
        <w:rPr>
          <w:rFonts w:cs="Arial"/>
          <w:lang w:val="fr-FR"/>
        </w:rPr>
        <w:t>nécessitent</w:t>
      </w:r>
      <w:r w:rsidR="00C85571" w:rsidRPr="000A6D30">
        <w:rPr>
          <w:rFonts w:cs="Arial"/>
          <w:lang w:val="fr-FR"/>
        </w:rPr>
        <w:t xml:space="preserve"> un examen plus approfondi</w:t>
      </w:r>
      <w:r w:rsidR="004857AD" w:rsidRPr="000A6D30">
        <w:rPr>
          <w:rFonts w:cs="Arial"/>
          <w:lang w:val="fr-FR"/>
        </w:rPr>
        <w:t xml:space="preserve"> (</w:t>
      </w:r>
      <w:r w:rsidR="00C85571" w:rsidRPr="000A6D30">
        <w:rPr>
          <w:rFonts w:cs="Arial"/>
          <w:lang w:val="fr-FR"/>
        </w:rPr>
        <w:t>p.</w:t>
      </w:r>
      <w:r w:rsidR="00947858" w:rsidRPr="000A6D30">
        <w:rPr>
          <w:rFonts w:cs="Arial"/>
          <w:lang w:val="fr-FR"/>
        </w:rPr>
        <w:t> </w:t>
      </w:r>
      <w:r w:rsidR="00C85571" w:rsidRPr="000A6D30">
        <w:rPr>
          <w:rFonts w:cs="Arial"/>
          <w:lang w:val="fr-FR"/>
        </w:rPr>
        <w:t>ex.</w:t>
      </w:r>
      <w:r w:rsidR="003F4587">
        <w:rPr>
          <w:rFonts w:cs="Arial"/>
          <w:lang w:val="fr-FR"/>
        </w:rPr>
        <w:t> </w:t>
      </w:r>
      <w:r w:rsidR="00C85571" w:rsidRPr="000A6D30">
        <w:rPr>
          <w:rFonts w:cs="Arial"/>
          <w:lang w:val="fr-FR"/>
        </w:rPr>
        <w:t>envisager une formation supplémentaire</w:t>
      </w:r>
      <w:r w:rsidR="004857AD" w:rsidRPr="000A6D30">
        <w:rPr>
          <w:rFonts w:cs="Arial"/>
          <w:lang w:val="fr-FR"/>
        </w:rPr>
        <w:t>).</w:t>
      </w:r>
    </w:p>
    <w:p w:rsidR="00DF02B7" w:rsidRPr="000A6D30" w:rsidRDefault="00DF02B7" w:rsidP="000A6D30">
      <w:pPr>
        <w:spacing w:before="120" w:after="120"/>
        <w:rPr>
          <w:rFonts w:cs="Arial"/>
          <w:u w:val="single"/>
          <w:lang w:val="fr-FR"/>
        </w:rPr>
      </w:pPr>
    </w:p>
    <w:p w:rsidR="00DF02B7" w:rsidRPr="00651C69" w:rsidRDefault="000410B2" w:rsidP="000A6D30">
      <w:pPr>
        <w:spacing w:before="120" w:after="120"/>
        <w:rPr>
          <w:rFonts w:cs="Arial"/>
          <w:u w:val="single"/>
        </w:rPr>
      </w:pPr>
      <w:r w:rsidRPr="00651C69">
        <w:rPr>
          <w:rFonts w:cs="Arial"/>
          <w:u w:val="single"/>
        </w:rPr>
        <w:t xml:space="preserve">8. </w:t>
      </w:r>
      <w:r w:rsidR="00947858" w:rsidRPr="00651C69">
        <w:rPr>
          <w:rFonts w:cs="Arial"/>
          <w:u w:val="single"/>
        </w:rPr>
        <w:t xml:space="preserve"> </w:t>
      </w:r>
      <w:r w:rsidR="000A6D30" w:rsidRPr="00651C69">
        <w:rPr>
          <w:rFonts w:cs="Arial"/>
          <w:u w:val="single"/>
        </w:rPr>
        <w:tab/>
      </w:r>
      <w:r w:rsidRPr="008B1C36">
        <w:rPr>
          <w:rFonts w:cs="Arial"/>
          <w:u w:val="single"/>
          <w:lang w:val="fr-CH"/>
        </w:rPr>
        <w:t>Réfé</w:t>
      </w:r>
      <w:r w:rsidR="004857AD" w:rsidRPr="008B1C36">
        <w:rPr>
          <w:rFonts w:cs="Arial"/>
          <w:u w:val="single"/>
          <w:lang w:val="fr-CH"/>
        </w:rPr>
        <w:t>rences</w:t>
      </w:r>
    </w:p>
    <w:p w:rsidR="00DF02B7" w:rsidRPr="00651C69" w:rsidRDefault="004857AD" w:rsidP="000A6D30">
      <w:pPr>
        <w:spacing w:before="120" w:after="120"/>
        <w:rPr>
          <w:rFonts w:cs="Arial"/>
        </w:rPr>
      </w:pPr>
      <w:r w:rsidRPr="00651C69">
        <w:rPr>
          <w:rFonts w:cs="Arial"/>
          <w:b/>
        </w:rPr>
        <w:t>Cohen, J</w:t>
      </w:r>
      <w:r w:rsidRPr="00651C69">
        <w:rPr>
          <w:rFonts w:cs="Arial"/>
        </w:rPr>
        <w:t>. (1960) A coefficient of agreement for nominal scales. Educational and Psychological Measurement 20: 37</w:t>
      </w:r>
      <w:r w:rsidR="00FF2E1F" w:rsidRPr="00651C69">
        <w:rPr>
          <w:rFonts w:cs="Arial"/>
        </w:rPr>
        <w:noBreakHyphen/>
      </w:r>
      <w:r w:rsidRPr="00651C69">
        <w:rPr>
          <w:rFonts w:cs="Arial"/>
        </w:rPr>
        <w:t>46.</w:t>
      </w:r>
    </w:p>
    <w:p w:rsidR="00343EE5" w:rsidRPr="00651C69" w:rsidRDefault="004857AD" w:rsidP="000A6D30">
      <w:pPr>
        <w:spacing w:before="120" w:after="120"/>
        <w:rPr>
          <w:rFonts w:cs="Arial"/>
        </w:rPr>
      </w:pPr>
      <w:r w:rsidRPr="00651C69">
        <w:rPr>
          <w:rFonts w:cs="Arial"/>
          <w:b/>
        </w:rPr>
        <w:t>Cohen, J</w:t>
      </w:r>
      <w:r w:rsidRPr="00651C69">
        <w:rPr>
          <w:rFonts w:cs="Arial"/>
        </w:rPr>
        <w:t>. (1968) Weighted kappa: Nominal scale agreement provision for scaled disagreement or partial credit. Psychological Bulletin, 70(4): 213</w:t>
      </w:r>
      <w:r w:rsidR="00FF2E1F" w:rsidRPr="00651C69">
        <w:rPr>
          <w:rFonts w:cs="Arial"/>
        </w:rPr>
        <w:noBreakHyphen/>
      </w:r>
      <w:r w:rsidRPr="00651C69">
        <w:rPr>
          <w:rFonts w:cs="Arial"/>
        </w:rPr>
        <w:t>220.</w:t>
      </w:r>
    </w:p>
    <w:p w:rsidR="00DF02B7" w:rsidRPr="00651C69" w:rsidRDefault="004857AD" w:rsidP="000A6D30">
      <w:pPr>
        <w:spacing w:before="120" w:after="120"/>
        <w:rPr>
          <w:rFonts w:cs="Arial"/>
        </w:rPr>
      </w:pPr>
      <w:r w:rsidRPr="00651C69">
        <w:rPr>
          <w:rFonts w:cs="Arial"/>
          <w:b/>
        </w:rPr>
        <w:t>Bland, J. M. Altman D. G.</w:t>
      </w:r>
      <w:r w:rsidRPr="00651C69">
        <w:rPr>
          <w:rFonts w:cs="Arial"/>
        </w:rPr>
        <w:t xml:space="preserve"> (1986) Statistical methods for assessing agreement between two methods of clinical measurement, Lancet: 307–310.</w:t>
      </w:r>
    </w:p>
    <w:p w:rsidR="00DF02B7" w:rsidRPr="000A6D30" w:rsidRDefault="004E5D3F" w:rsidP="000A6D30">
      <w:pPr>
        <w:spacing w:before="120" w:after="120"/>
        <w:rPr>
          <w:lang w:val="fr-FR"/>
        </w:rPr>
      </w:pPr>
      <w:hyperlink r:id="rId15" w:history="1">
        <w:r w:rsidR="004857AD" w:rsidRPr="003F4587">
          <w:rPr>
            <w:color w:val="0000FF"/>
            <w:u w:val="single"/>
          </w:rPr>
          <w:t>http://www.seedtest.org/en/stats</w:t>
        </w:r>
        <w:r w:rsidR="00FF2E1F" w:rsidRPr="003F4587">
          <w:rPr>
            <w:color w:val="0000FF"/>
            <w:u w:val="single"/>
          </w:rPr>
          <w:noBreakHyphen/>
        </w:r>
        <w:r w:rsidR="004857AD" w:rsidRPr="003F4587">
          <w:rPr>
            <w:color w:val="0000FF"/>
            <w:u w:val="single"/>
          </w:rPr>
          <w:t>tool</w:t>
        </w:r>
        <w:r w:rsidR="00FF2E1F" w:rsidRPr="003F4587">
          <w:rPr>
            <w:color w:val="0000FF"/>
            <w:u w:val="single"/>
          </w:rPr>
          <w:noBreakHyphen/>
        </w:r>
        <w:r w:rsidR="004857AD" w:rsidRPr="003F4587">
          <w:rPr>
            <w:color w:val="0000FF"/>
            <w:u w:val="single"/>
          </w:rPr>
          <w:t>box</w:t>
        </w:r>
        <w:r w:rsidR="00FF2E1F" w:rsidRPr="003F4587">
          <w:rPr>
            <w:color w:val="0000FF"/>
            <w:u w:val="single"/>
          </w:rPr>
          <w:noBreakHyphen/>
        </w:r>
        <w:r w:rsidR="004857AD" w:rsidRPr="003F4587">
          <w:rPr>
            <w:color w:val="0000FF"/>
            <w:u w:val="single"/>
          </w:rPr>
          <w:t>_content</w:t>
        </w:r>
        <w:r w:rsidR="00FF2E1F" w:rsidRPr="003F4587">
          <w:rPr>
            <w:color w:val="0000FF"/>
            <w:u w:val="single"/>
          </w:rPr>
          <w:noBreakHyphen/>
        </w:r>
        <w:r w:rsidR="00FF2E1F" w:rsidRPr="003F4587">
          <w:rPr>
            <w:color w:val="0000FF"/>
            <w:u w:val="single"/>
          </w:rPr>
          <w:noBreakHyphen/>
        </w:r>
        <w:r w:rsidR="00FF2E1F" w:rsidRPr="003F4587">
          <w:rPr>
            <w:color w:val="0000FF"/>
            <w:u w:val="single"/>
          </w:rPr>
          <w:noBreakHyphen/>
        </w:r>
        <w:r w:rsidR="004857AD" w:rsidRPr="003F4587">
          <w:rPr>
            <w:color w:val="0000FF"/>
            <w:u w:val="single"/>
          </w:rPr>
          <w:t>1</w:t>
        </w:r>
        <w:r w:rsidR="00FF2E1F" w:rsidRPr="003F4587">
          <w:rPr>
            <w:color w:val="0000FF"/>
            <w:u w:val="single"/>
          </w:rPr>
          <w:noBreakHyphen/>
        </w:r>
        <w:r w:rsidR="00FF2E1F" w:rsidRPr="003F4587">
          <w:rPr>
            <w:color w:val="0000FF"/>
            <w:u w:val="single"/>
          </w:rPr>
          <w:noBreakHyphen/>
        </w:r>
        <w:r w:rsidR="004857AD" w:rsidRPr="003F4587">
          <w:rPr>
            <w:color w:val="0000FF"/>
            <w:u w:val="single"/>
          </w:rPr>
          <w:t>1143.html</w:t>
        </w:r>
      </w:hyperlink>
      <w:r w:rsidR="004857AD" w:rsidRPr="000A6D30">
        <w:rPr>
          <w:lang w:val="fr-FR"/>
        </w:rPr>
        <w:t xml:space="preserve"> (</w:t>
      </w:r>
      <w:r w:rsidR="0046798C" w:rsidRPr="000A6D30">
        <w:rPr>
          <w:lang w:val="fr-FR"/>
        </w:rPr>
        <w:t>logiciel fondé sur la norme</w:t>
      </w:r>
      <w:r w:rsidR="00947858" w:rsidRPr="000A6D30">
        <w:rPr>
          <w:lang w:val="fr-FR"/>
        </w:rPr>
        <w:t> </w:t>
      </w:r>
      <w:r w:rsidR="004857AD" w:rsidRPr="000A6D30">
        <w:rPr>
          <w:lang w:val="fr-FR"/>
        </w:rPr>
        <w:t>ISO 5725</w:t>
      </w:r>
      <w:r w:rsidR="00FF2E1F" w:rsidRPr="000A6D30">
        <w:rPr>
          <w:lang w:val="fr-FR"/>
        </w:rPr>
        <w:noBreakHyphen/>
      </w:r>
      <w:r w:rsidR="004857AD" w:rsidRPr="000A6D30">
        <w:rPr>
          <w:lang w:val="fr-FR"/>
        </w:rPr>
        <w:t>2)</w:t>
      </w:r>
    </w:p>
    <w:p w:rsidR="00DF02B7" w:rsidRPr="000A6D30" w:rsidRDefault="00DF02B7" w:rsidP="000A6D30">
      <w:pPr>
        <w:spacing w:before="120" w:after="120"/>
        <w:rPr>
          <w:lang w:val="fr-FR"/>
        </w:rPr>
      </w:pPr>
    </w:p>
    <w:p w:rsidR="00DF02B7" w:rsidRPr="000A6D30" w:rsidRDefault="000410B2" w:rsidP="000A6D30">
      <w:pPr>
        <w:spacing w:before="480"/>
        <w:ind w:left="567" w:hanging="567"/>
        <w:jc w:val="right"/>
        <w:rPr>
          <w:lang w:val="fr-FR"/>
        </w:rPr>
      </w:pPr>
      <w:r w:rsidRPr="000A6D30">
        <w:rPr>
          <w:lang w:val="fr-FR"/>
        </w:rPr>
        <w:t>[Fin</w:t>
      </w:r>
      <w:r w:rsidR="008B1C36">
        <w:rPr>
          <w:lang w:val="fr-FR"/>
        </w:rPr>
        <w:t xml:space="preserve"> de l’annexe et</w:t>
      </w:r>
      <w:r w:rsidRPr="000A6D30">
        <w:rPr>
          <w:lang w:val="fr-FR"/>
        </w:rPr>
        <w:t xml:space="preserve"> du</w:t>
      </w:r>
      <w:r w:rsidR="004857AD" w:rsidRPr="000A6D30">
        <w:rPr>
          <w:lang w:val="fr-FR"/>
        </w:rPr>
        <w:t xml:space="preserve"> document]</w:t>
      </w:r>
    </w:p>
    <w:p w:rsidR="00DF02B7" w:rsidRPr="000A6D30" w:rsidRDefault="00DF02B7" w:rsidP="000A6D30">
      <w:pPr>
        <w:rPr>
          <w:lang w:val="fr-FR"/>
        </w:rPr>
      </w:pPr>
    </w:p>
    <w:p w:rsidR="00701CCC" w:rsidRPr="000A6D30" w:rsidRDefault="00701CCC" w:rsidP="000A6D30">
      <w:pPr>
        <w:rPr>
          <w:lang w:val="fr-FR"/>
        </w:rPr>
      </w:pPr>
    </w:p>
    <w:sectPr w:rsidR="00701CCC" w:rsidRPr="000A6D30" w:rsidSect="00530EBA">
      <w:headerReference w:type="default" r:id="rId16"/>
      <w:headerReference w:type="first" r:id="rId17"/>
      <w:footerReference w:type="first" r:id="rId18"/>
      <w:pgSz w:w="11907" w:h="16840" w:code="9"/>
      <w:pgMar w:top="510" w:right="1134" w:bottom="1134" w:left="1134" w:header="510" w:footer="680" w:gutter="0"/>
      <w:pgNumType w:start="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26" w:rsidRDefault="001A2626" w:rsidP="006655D3">
      <w:r>
        <w:separator/>
      </w:r>
    </w:p>
    <w:p w:rsidR="001A2626" w:rsidRDefault="001A2626" w:rsidP="006655D3"/>
    <w:p w:rsidR="001A2626" w:rsidRDefault="001A2626" w:rsidP="006655D3"/>
  </w:endnote>
  <w:endnote w:type="continuationSeparator" w:id="0">
    <w:p w:rsidR="001A2626" w:rsidRDefault="001A2626" w:rsidP="006655D3">
      <w:r>
        <w:separator/>
      </w:r>
    </w:p>
    <w:p w:rsidR="001A2626" w:rsidRPr="00704EB7" w:rsidRDefault="001A2626">
      <w:pPr>
        <w:pStyle w:val="Footer"/>
        <w:spacing w:after="60"/>
        <w:rPr>
          <w:sz w:val="18"/>
          <w:lang w:val="fr-FR"/>
        </w:rPr>
      </w:pPr>
      <w:r w:rsidRPr="00704EB7">
        <w:rPr>
          <w:sz w:val="18"/>
          <w:lang w:val="fr-FR"/>
        </w:rPr>
        <w:t>[Suite de la note de la page précédente]</w:t>
      </w:r>
    </w:p>
    <w:p w:rsidR="001A2626" w:rsidRPr="00704EB7" w:rsidRDefault="001A2626" w:rsidP="006655D3">
      <w:pPr>
        <w:rPr>
          <w:lang w:val="fr-FR"/>
        </w:rPr>
      </w:pPr>
    </w:p>
    <w:p w:rsidR="001A2626" w:rsidRPr="00704EB7" w:rsidRDefault="001A2626" w:rsidP="006655D3">
      <w:pPr>
        <w:rPr>
          <w:lang w:val="fr-FR"/>
        </w:rPr>
      </w:pPr>
    </w:p>
  </w:endnote>
  <w:endnote w:type="continuationNotice" w:id="1">
    <w:p w:rsidR="001A2626" w:rsidRPr="00704EB7" w:rsidRDefault="001A2626" w:rsidP="006655D3">
      <w:pPr>
        <w:rPr>
          <w:lang w:val="fr-FR"/>
        </w:rPr>
      </w:pPr>
      <w:r w:rsidRPr="00704EB7">
        <w:rPr>
          <w:lang w:val="fr-FR"/>
        </w:rPr>
        <w:t>[Suite de la note page suivante]</w:t>
      </w:r>
    </w:p>
    <w:p w:rsidR="001A2626" w:rsidRPr="00704EB7" w:rsidRDefault="001A2626" w:rsidP="006655D3">
      <w:pPr>
        <w:rPr>
          <w:lang w:val="fr-FR"/>
        </w:rPr>
      </w:pPr>
    </w:p>
    <w:p w:rsidR="001A2626" w:rsidRPr="00704EB7" w:rsidRDefault="001A262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26" w:rsidRPr="00943195" w:rsidRDefault="001A2626" w:rsidP="00943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26" w:rsidRDefault="001A2626" w:rsidP="006655D3">
      <w:r>
        <w:separator/>
      </w:r>
    </w:p>
  </w:footnote>
  <w:footnote w:type="continuationSeparator" w:id="0">
    <w:p w:rsidR="001A2626" w:rsidRDefault="001A2626" w:rsidP="006655D3">
      <w:r>
        <w:separator/>
      </w:r>
    </w:p>
  </w:footnote>
  <w:footnote w:type="continuationNotice" w:id="1">
    <w:p w:rsidR="001A2626" w:rsidRPr="00AB530F" w:rsidRDefault="001A262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26" w:rsidRDefault="001A2626">
    <w:pPr>
      <w:pStyle w:val="Header"/>
    </w:pPr>
    <w:r>
      <w:t>TC/51/16</w:t>
    </w:r>
  </w:p>
  <w:p w:rsidR="001A2626" w:rsidRDefault="001A2626">
    <w:pPr>
      <w:pStyle w:val="Header"/>
    </w:pPr>
    <w:proofErr w:type="gramStart"/>
    <w:r>
      <w:t>page</w:t>
    </w:r>
    <w:proofErr w:type="gramEnd"/>
    <w:r>
      <w:t xml:space="preserve"> </w:t>
    </w:r>
    <w:sdt>
      <w:sdtPr>
        <w:id w:val="-19576394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D3F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1A2626" w:rsidRDefault="001A26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26" w:rsidRDefault="001A2626">
    <w:pPr>
      <w:pStyle w:val="Header"/>
    </w:pPr>
    <w:r>
      <w:t>TC/51/16</w:t>
    </w:r>
  </w:p>
  <w:p w:rsidR="001A2626" w:rsidRDefault="001A2626">
    <w:pPr>
      <w:pStyle w:val="Header"/>
    </w:pPr>
    <w:r>
      <w:t>Annex</w:t>
    </w:r>
    <w:r w:rsidR="00C679AB">
      <w:t>e</w:t>
    </w:r>
    <w:r>
      <w:t xml:space="preserve">, page </w:t>
    </w:r>
    <w:sdt>
      <w:sdtPr>
        <w:id w:val="-9580330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D3F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1A2626" w:rsidRPr="00D840A9" w:rsidRDefault="001A2626" w:rsidP="00D840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26" w:rsidRDefault="001A2626">
    <w:pPr>
      <w:pStyle w:val="Header"/>
    </w:pPr>
    <w:r>
      <w:t>TC/51/16</w:t>
    </w:r>
  </w:p>
  <w:p w:rsidR="001A2626" w:rsidRDefault="001A2626">
    <w:pPr>
      <w:pStyle w:val="Header"/>
    </w:pPr>
  </w:p>
  <w:p w:rsidR="001A2626" w:rsidRDefault="001A2626">
    <w:pPr>
      <w:pStyle w:val="Header"/>
    </w:pPr>
    <w:r>
      <w:t>ANNEXE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26" w:rsidRPr="005837C7" w:rsidRDefault="001A2626" w:rsidP="0032713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26" w:rsidRPr="00C5280D" w:rsidRDefault="001A262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TWO/47/15</w:t>
    </w:r>
  </w:p>
  <w:p w:rsidR="001A2626" w:rsidRDefault="001A2626" w:rsidP="00EB048E">
    <w:pPr>
      <w:pStyle w:val="Header"/>
      <w:rPr>
        <w:lang w:val="en-US"/>
      </w:rPr>
    </w:pPr>
  </w:p>
  <w:p w:rsidR="001A2626" w:rsidRDefault="001A2626" w:rsidP="00FD136C">
    <w:pPr>
      <w:pStyle w:val="Header"/>
      <w:rPr>
        <w:snapToGrid w:val="0"/>
        <w:lang w:val="en-US"/>
      </w:rPr>
    </w:pPr>
    <w:r>
      <w:rPr>
        <w:lang w:val="en-US"/>
      </w:rPr>
      <w:t>Annex Page 4</w:t>
    </w:r>
  </w:p>
  <w:p w:rsidR="001A2626" w:rsidRPr="00C5280D" w:rsidRDefault="001A2626" w:rsidP="00FD136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26" w:rsidRDefault="001A2626">
    <w:pPr>
      <w:pStyle w:val="Header"/>
    </w:pPr>
    <w:r>
      <w:t>TC/51/16</w:t>
    </w:r>
  </w:p>
  <w:p w:rsidR="001A2626" w:rsidRDefault="001A2626">
    <w:pPr>
      <w:pStyle w:val="Header"/>
    </w:pPr>
    <w:r>
      <w:t>Annex</w:t>
    </w:r>
    <w:r w:rsidR="00C679AB">
      <w:t>e</w:t>
    </w:r>
    <w:r>
      <w:t xml:space="preserve">, page </w:t>
    </w:r>
    <w:sdt>
      <w:sdtPr>
        <w:id w:val="3921719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D3F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1A2626" w:rsidRPr="00D840A9" w:rsidRDefault="001A2626" w:rsidP="00D840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BA4"/>
    <w:multiLevelType w:val="hybridMultilevel"/>
    <w:tmpl w:val="87B2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6B10"/>
    <w:multiLevelType w:val="hybridMultilevel"/>
    <w:tmpl w:val="20944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72CFC"/>
    <w:multiLevelType w:val="hybridMultilevel"/>
    <w:tmpl w:val="E3EC918C"/>
    <w:lvl w:ilvl="0" w:tplc="6C2C5380">
      <w:start w:val="1"/>
      <w:numFmt w:val="lowerLetter"/>
      <w:lvlText w:val="(%1)"/>
      <w:lvlJc w:val="lef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4781"/>
    <w:multiLevelType w:val="hybridMultilevel"/>
    <w:tmpl w:val="C748B13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10217"/>
    <w:multiLevelType w:val="hybridMultilevel"/>
    <w:tmpl w:val="C2C4937C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61FB7"/>
    <w:multiLevelType w:val="hybridMultilevel"/>
    <w:tmpl w:val="E0047C26"/>
    <w:lvl w:ilvl="0" w:tplc="17101ADC">
      <w:start w:val="1"/>
      <w:numFmt w:val="lowerLetter"/>
      <w:lvlText w:val="(%1)"/>
      <w:lvlJc w:val="right"/>
      <w:pPr>
        <w:ind w:left="6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93" w:hanging="360"/>
      </w:pPr>
    </w:lvl>
    <w:lvl w:ilvl="2" w:tplc="0409001B" w:tentative="1">
      <w:start w:val="1"/>
      <w:numFmt w:val="lowerRoman"/>
      <w:lvlText w:val="%3."/>
      <w:lvlJc w:val="right"/>
      <w:pPr>
        <w:ind w:left="7613" w:hanging="180"/>
      </w:pPr>
    </w:lvl>
    <w:lvl w:ilvl="3" w:tplc="0409000F" w:tentative="1">
      <w:start w:val="1"/>
      <w:numFmt w:val="decimal"/>
      <w:lvlText w:val="%4."/>
      <w:lvlJc w:val="left"/>
      <w:pPr>
        <w:ind w:left="8333" w:hanging="360"/>
      </w:pPr>
    </w:lvl>
    <w:lvl w:ilvl="4" w:tplc="04090019" w:tentative="1">
      <w:start w:val="1"/>
      <w:numFmt w:val="lowerLetter"/>
      <w:lvlText w:val="%5."/>
      <w:lvlJc w:val="left"/>
      <w:pPr>
        <w:ind w:left="9053" w:hanging="360"/>
      </w:pPr>
    </w:lvl>
    <w:lvl w:ilvl="5" w:tplc="0409001B" w:tentative="1">
      <w:start w:val="1"/>
      <w:numFmt w:val="lowerRoman"/>
      <w:lvlText w:val="%6."/>
      <w:lvlJc w:val="right"/>
      <w:pPr>
        <w:ind w:left="9773" w:hanging="180"/>
      </w:pPr>
    </w:lvl>
    <w:lvl w:ilvl="6" w:tplc="0409000F" w:tentative="1">
      <w:start w:val="1"/>
      <w:numFmt w:val="decimal"/>
      <w:lvlText w:val="%7."/>
      <w:lvlJc w:val="left"/>
      <w:pPr>
        <w:ind w:left="10493" w:hanging="360"/>
      </w:pPr>
    </w:lvl>
    <w:lvl w:ilvl="7" w:tplc="04090019" w:tentative="1">
      <w:start w:val="1"/>
      <w:numFmt w:val="lowerLetter"/>
      <w:lvlText w:val="%8."/>
      <w:lvlJc w:val="left"/>
      <w:pPr>
        <w:ind w:left="11213" w:hanging="360"/>
      </w:pPr>
    </w:lvl>
    <w:lvl w:ilvl="8" w:tplc="040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PreTradBeta|WIPONew|AT.WIPO"/>
    <w:docVar w:name="TermBaseURL" w:val="empty"/>
    <w:docVar w:name="TextBases" w:val="WorkspaceFTS\EN-FR\UPOV|UPOV\Meetings|UPOV\Other|UPOV\Publications|UPOV\Technical Guidelines|Patents\Meetings|Patents\Other|Patents\Publications|WorkspaceFTS\EN-FR\PCT|Administrative\Other|IP in General\Meetings|Copyright\Other"/>
    <w:docVar w:name="TextBaseURL" w:val="empty"/>
    <w:docVar w:name="UILng" w:val="en"/>
  </w:docVars>
  <w:rsids>
    <w:rsidRoot w:val="007D7322"/>
    <w:rsid w:val="00002FC2"/>
    <w:rsid w:val="00010CF3"/>
    <w:rsid w:val="00011E27"/>
    <w:rsid w:val="000148BC"/>
    <w:rsid w:val="00024AB8"/>
    <w:rsid w:val="00030854"/>
    <w:rsid w:val="00036028"/>
    <w:rsid w:val="000410B2"/>
    <w:rsid w:val="00044642"/>
    <w:rsid w:val="000446B9"/>
    <w:rsid w:val="00047E21"/>
    <w:rsid w:val="00050E16"/>
    <w:rsid w:val="0008292B"/>
    <w:rsid w:val="00085505"/>
    <w:rsid w:val="0009222B"/>
    <w:rsid w:val="00095079"/>
    <w:rsid w:val="000A4B8D"/>
    <w:rsid w:val="000A6D30"/>
    <w:rsid w:val="000C7021"/>
    <w:rsid w:val="000D6BBC"/>
    <w:rsid w:val="000D7780"/>
    <w:rsid w:val="000D77AD"/>
    <w:rsid w:val="000E1E8E"/>
    <w:rsid w:val="000E5320"/>
    <w:rsid w:val="000F2F11"/>
    <w:rsid w:val="000F51AB"/>
    <w:rsid w:val="00105929"/>
    <w:rsid w:val="001104F9"/>
    <w:rsid w:val="001131D5"/>
    <w:rsid w:val="00113A51"/>
    <w:rsid w:val="00130631"/>
    <w:rsid w:val="0013508D"/>
    <w:rsid w:val="00141DB8"/>
    <w:rsid w:val="0017474A"/>
    <w:rsid w:val="001758C6"/>
    <w:rsid w:val="00180609"/>
    <w:rsid w:val="00182B99"/>
    <w:rsid w:val="00193D5D"/>
    <w:rsid w:val="0019691C"/>
    <w:rsid w:val="001A2626"/>
    <w:rsid w:val="001D3FC0"/>
    <w:rsid w:val="001F76F5"/>
    <w:rsid w:val="0021332C"/>
    <w:rsid w:val="00213982"/>
    <w:rsid w:val="0024416D"/>
    <w:rsid w:val="0025430E"/>
    <w:rsid w:val="00256D98"/>
    <w:rsid w:val="00266A50"/>
    <w:rsid w:val="0027182F"/>
    <w:rsid w:val="00271911"/>
    <w:rsid w:val="00277E2D"/>
    <w:rsid w:val="00277FA7"/>
    <w:rsid w:val="002800A0"/>
    <w:rsid w:val="002801B3"/>
    <w:rsid w:val="00281060"/>
    <w:rsid w:val="002940E8"/>
    <w:rsid w:val="002A6E50"/>
    <w:rsid w:val="002B2127"/>
    <w:rsid w:val="002B2F14"/>
    <w:rsid w:val="002C256A"/>
    <w:rsid w:val="002D0CBC"/>
    <w:rsid w:val="002D5B74"/>
    <w:rsid w:val="002D630D"/>
    <w:rsid w:val="00305A7F"/>
    <w:rsid w:val="003152FE"/>
    <w:rsid w:val="00327134"/>
    <w:rsid w:val="00327436"/>
    <w:rsid w:val="00343EE5"/>
    <w:rsid w:val="00344BD6"/>
    <w:rsid w:val="0035528D"/>
    <w:rsid w:val="00361821"/>
    <w:rsid w:val="00364F87"/>
    <w:rsid w:val="00365D5B"/>
    <w:rsid w:val="003B1591"/>
    <w:rsid w:val="003D227C"/>
    <w:rsid w:val="003D2B4D"/>
    <w:rsid w:val="003F4587"/>
    <w:rsid w:val="00422B88"/>
    <w:rsid w:val="00435619"/>
    <w:rsid w:val="00444A88"/>
    <w:rsid w:val="004664C6"/>
    <w:rsid w:val="0046798C"/>
    <w:rsid w:val="004717F7"/>
    <w:rsid w:val="00472625"/>
    <w:rsid w:val="00474DA4"/>
    <w:rsid w:val="00476B4D"/>
    <w:rsid w:val="004805FA"/>
    <w:rsid w:val="004857AD"/>
    <w:rsid w:val="004B22BD"/>
    <w:rsid w:val="004B5768"/>
    <w:rsid w:val="004D047D"/>
    <w:rsid w:val="004D10CC"/>
    <w:rsid w:val="004E5D3F"/>
    <w:rsid w:val="004F305A"/>
    <w:rsid w:val="00511163"/>
    <w:rsid w:val="00512164"/>
    <w:rsid w:val="00520297"/>
    <w:rsid w:val="00530EBA"/>
    <w:rsid w:val="005338F9"/>
    <w:rsid w:val="0053429E"/>
    <w:rsid w:val="0054281C"/>
    <w:rsid w:val="00544A93"/>
    <w:rsid w:val="00547928"/>
    <w:rsid w:val="0055268D"/>
    <w:rsid w:val="00566398"/>
    <w:rsid w:val="00576BE4"/>
    <w:rsid w:val="00583A57"/>
    <w:rsid w:val="005A07BC"/>
    <w:rsid w:val="005A400A"/>
    <w:rsid w:val="00612379"/>
    <w:rsid w:val="0061555F"/>
    <w:rsid w:val="00621866"/>
    <w:rsid w:val="00641200"/>
    <w:rsid w:val="0065191D"/>
    <w:rsid w:val="00651C69"/>
    <w:rsid w:val="00661531"/>
    <w:rsid w:val="006622E4"/>
    <w:rsid w:val="006655D3"/>
    <w:rsid w:val="00667404"/>
    <w:rsid w:val="00687EB4"/>
    <w:rsid w:val="006A27B5"/>
    <w:rsid w:val="006B17D2"/>
    <w:rsid w:val="006C224E"/>
    <w:rsid w:val="006D780A"/>
    <w:rsid w:val="006E1045"/>
    <w:rsid w:val="00701CCC"/>
    <w:rsid w:val="00704EB7"/>
    <w:rsid w:val="00707047"/>
    <w:rsid w:val="00717B91"/>
    <w:rsid w:val="00732DEC"/>
    <w:rsid w:val="00735BD5"/>
    <w:rsid w:val="00737C00"/>
    <w:rsid w:val="00747690"/>
    <w:rsid w:val="007556F6"/>
    <w:rsid w:val="00760EEF"/>
    <w:rsid w:val="00777EE5"/>
    <w:rsid w:val="00784836"/>
    <w:rsid w:val="0079023E"/>
    <w:rsid w:val="00797356"/>
    <w:rsid w:val="007A2854"/>
    <w:rsid w:val="007D0B9D"/>
    <w:rsid w:val="007D19B0"/>
    <w:rsid w:val="007D7322"/>
    <w:rsid w:val="007F3AC1"/>
    <w:rsid w:val="007F498F"/>
    <w:rsid w:val="0080679D"/>
    <w:rsid w:val="008108B0"/>
    <w:rsid w:val="00811B20"/>
    <w:rsid w:val="0082008B"/>
    <w:rsid w:val="0082296E"/>
    <w:rsid w:val="00824099"/>
    <w:rsid w:val="00831A5F"/>
    <w:rsid w:val="00844CF0"/>
    <w:rsid w:val="00860745"/>
    <w:rsid w:val="00867AC1"/>
    <w:rsid w:val="008A743F"/>
    <w:rsid w:val="008B1C36"/>
    <w:rsid w:val="008C0970"/>
    <w:rsid w:val="008C63A0"/>
    <w:rsid w:val="008C77C1"/>
    <w:rsid w:val="008D2CF7"/>
    <w:rsid w:val="00900C26"/>
    <w:rsid w:val="0090197F"/>
    <w:rsid w:val="00903BA9"/>
    <w:rsid w:val="00905075"/>
    <w:rsid w:val="009060B1"/>
    <w:rsid w:val="00906DDC"/>
    <w:rsid w:val="009260EE"/>
    <w:rsid w:val="00934E09"/>
    <w:rsid w:val="00936253"/>
    <w:rsid w:val="00943195"/>
    <w:rsid w:val="009435B0"/>
    <w:rsid w:val="00947858"/>
    <w:rsid w:val="009509F4"/>
    <w:rsid w:val="00952DD4"/>
    <w:rsid w:val="009656B4"/>
    <w:rsid w:val="00970FED"/>
    <w:rsid w:val="009718E2"/>
    <w:rsid w:val="009805CC"/>
    <w:rsid w:val="00985BF8"/>
    <w:rsid w:val="00992D82"/>
    <w:rsid w:val="00997029"/>
    <w:rsid w:val="009A24AB"/>
    <w:rsid w:val="009C0F76"/>
    <w:rsid w:val="009D690D"/>
    <w:rsid w:val="009E2F45"/>
    <w:rsid w:val="009E65B6"/>
    <w:rsid w:val="009F03A1"/>
    <w:rsid w:val="00A05486"/>
    <w:rsid w:val="00A10C55"/>
    <w:rsid w:val="00A14599"/>
    <w:rsid w:val="00A24110"/>
    <w:rsid w:val="00A24C10"/>
    <w:rsid w:val="00A260DE"/>
    <w:rsid w:val="00A30001"/>
    <w:rsid w:val="00A32BB1"/>
    <w:rsid w:val="00A3305C"/>
    <w:rsid w:val="00A4133B"/>
    <w:rsid w:val="00A42AC3"/>
    <w:rsid w:val="00A430CF"/>
    <w:rsid w:val="00A54309"/>
    <w:rsid w:val="00A573A4"/>
    <w:rsid w:val="00A91576"/>
    <w:rsid w:val="00AA342C"/>
    <w:rsid w:val="00AA394F"/>
    <w:rsid w:val="00AB2B93"/>
    <w:rsid w:val="00AB530F"/>
    <w:rsid w:val="00AB62C5"/>
    <w:rsid w:val="00AB7E5B"/>
    <w:rsid w:val="00AC0278"/>
    <w:rsid w:val="00AD64D9"/>
    <w:rsid w:val="00AE0EF1"/>
    <w:rsid w:val="00AE1EA0"/>
    <w:rsid w:val="00AE2756"/>
    <w:rsid w:val="00AE2937"/>
    <w:rsid w:val="00AE6553"/>
    <w:rsid w:val="00B07301"/>
    <w:rsid w:val="00B224DE"/>
    <w:rsid w:val="00B27346"/>
    <w:rsid w:val="00B46575"/>
    <w:rsid w:val="00B54B63"/>
    <w:rsid w:val="00B66B92"/>
    <w:rsid w:val="00B723E6"/>
    <w:rsid w:val="00B8369D"/>
    <w:rsid w:val="00B84BBD"/>
    <w:rsid w:val="00B9171F"/>
    <w:rsid w:val="00BA43FB"/>
    <w:rsid w:val="00BA790A"/>
    <w:rsid w:val="00BB1296"/>
    <w:rsid w:val="00BC127D"/>
    <w:rsid w:val="00BC1FE6"/>
    <w:rsid w:val="00BD2C9F"/>
    <w:rsid w:val="00BE385C"/>
    <w:rsid w:val="00BF1888"/>
    <w:rsid w:val="00BF3D54"/>
    <w:rsid w:val="00C013B7"/>
    <w:rsid w:val="00C061B6"/>
    <w:rsid w:val="00C2446C"/>
    <w:rsid w:val="00C31582"/>
    <w:rsid w:val="00C347B7"/>
    <w:rsid w:val="00C36AE5"/>
    <w:rsid w:val="00C4034F"/>
    <w:rsid w:val="00C41F17"/>
    <w:rsid w:val="00C5280D"/>
    <w:rsid w:val="00C52D02"/>
    <w:rsid w:val="00C5791C"/>
    <w:rsid w:val="00C66290"/>
    <w:rsid w:val="00C679AB"/>
    <w:rsid w:val="00C715B3"/>
    <w:rsid w:val="00C72B7A"/>
    <w:rsid w:val="00C85571"/>
    <w:rsid w:val="00C973F2"/>
    <w:rsid w:val="00CA1453"/>
    <w:rsid w:val="00CA304C"/>
    <w:rsid w:val="00CA774A"/>
    <w:rsid w:val="00CC0462"/>
    <w:rsid w:val="00CC11B0"/>
    <w:rsid w:val="00CF7E36"/>
    <w:rsid w:val="00D042FD"/>
    <w:rsid w:val="00D12F1D"/>
    <w:rsid w:val="00D22DB2"/>
    <w:rsid w:val="00D3708D"/>
    <w:rsid w:val="00D40426"/>
    <w:rsid w:val="00D448E6"/>
    <w:rsid w:val="00D46830"/>
    <w:rsid w:val="00D57C96"/>
    <w:rsid w:val="00D840A9"/>
    <w:rsid w:val="00D865DD"/>
    <w:rsid w:val="00D91203"/>
    <w:rsid w:val="00D95174"/>
    <w:rsid w:val="00DA4C75"/>
    <w:rsid w:val="00DA5450"/>
    <w:rsid w:val="00DA6F36"/>
    <w:rsid w:val="00DB596E"/>
    <w:rsid w:val="00DB7773"/>
    <w:rsid w:val="00DC00EA"/>
    <w:rsid w:val="00DC36DB"/>
    <w:rsid w:val="00DF02B7"/>
    <w:rsid w:val="00E00DD4"/>
    <w:rsid w:val="00E1624B"/>
    <w:rsid w:val="00E32F7E"/>
    <w:rsid w:val="00E37A60"/>
    <w:rsid w:val="00E40EF4"/>
    <w:rsid w:val="00E72D49"/>
    <w:rsid w:val="00E7334B"/>
    <w:rsid w:val="00E7593C"/>
    <w:rsid w:val="00E7678A"/>
    <w:rsid w:val="00E8092E"/>
    <w:rsid w:val="00E935F1"/>
    <w:rsid w:val="00E94A81"/>
    <w:rsid w:val="00EA1FFB"/>
    <w:rsid w:val="00EB048E"/>
    <w:rsid w:val="00EB2182"/>
    <w:rsid w:val="00ED270B"/>
    <w:rsid w:val="00EE34DF"/>
    <w:rsid w:val="00EF2F89"/>
    <w:rsid w:val="00F035DB"/>
    <w:rsid w:val="00F1237A"/>
    <w:rsid w:val="00F22CBD"/>
    <w:rsid w:val="00F45372"/>
    <w:rsid w:val="00F560F7"/>
    <w:rsid w:val="00F6334D"/>
    <w:rsid w:val="00F807B3"/>
    <w:rsid w:val="00FA49AB"/>
    <w:rsid w:val="00FD136C"/>
    <w:rsid w:val="00FE39C7"/>
    <w:rsid w:val="00FF0FD6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25430E"/>
    <w:pPr>
      <w:tabs>
        <w:tab w:val="right" w:leader="dot" w:pos="9639"/>
      </w:tabs>
      <w:spacing w:before="120"/>
      <w:ind w:left="567" w:right="851"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5430E"/>
    <w:pPr>
      <w:tabs>
        <w:tab w:val="right" w:leader="dot" w:pos="9639"/>
      </w:tabs>
      <w:spacing w:before="120"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4EB7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4B5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25430E"/>
    <w:pPr>
      <w:tabs>
        <w:tab w:val="right" w:leader="dot" w:pos="9639"/>
      </w:tabs>
      <w:spacing w:before="120"/>
      <w:ind w:left="567" w:right="851"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5430E"/>
    <w:pPr>
      <w:tabs>
        <w:tab w:val="right" w:leader="dot" w:pos="9639"/>
      </w:tabs>
      <w:spacing w:before="120"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4EB7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4B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://www.seedtest.org/en/stats-tool-box-_content---1--1143.html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DEB8-C9BD-4DEE-898B-7E3524909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73D98-F5F9-474F-A246-1ABC8F40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4188</Words>
  <Characters>22091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26227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MHF</cp:keywords>
  <cp:lastModifiedBy>LONG Victoria</cp:lastModifiedBy>
  <cp:revision>48</cp:revision>
  <cp:lastPrinted>2015-02-19T10:42:00Z</cp:lastPrinted>
  <dcterms:created xsi:type="dcterms:W3CDTF">2015-02-13T07:14:00Z</dcterms:created>
  <dcterms:modified xsi:type="dcterms:W3CDTF">2015-02-19T10:42:00Z</dcterms:modified>
</cp:coreProperties>
</file>