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B36F1" w:rsidRPr="005650AB" w:rsidTr="001D09F2">
        <w:trPr>
          <w:trHeight w:val="1760"/>
        </w:trPr>
        <w:tc>
          <w:tcPr>
            <w:tcW w:w="4243" w:type="dxa"/>
          </w:tcPr>
          <w:p w:rsidR="00823255" w:rsidRPr="000B36F1" w:rsidRDefault="00823255" w:rsidP="000B36F1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823255" w:rsidRPr="000B36F1" w:rsidRDefault="00823255" w:rsidP="000B36F1">
            <w:pPr>
              <w:pStyle w:val="LogoUPOV"/>
              <w:rPr>
                <w:lang w:val="fr-FR"/>
              </w:rPr>
            </w:pPr>
            <w:r w:rsidRPr="000B36F1">
              <w:rPr>
                <w:noProof/>
              </w:rPr>
              <w:drawing>
                <wp:inline distT="0" distB="0" distL="0" distR="0" wp14:anchorId="48FF5BF2" wp14:editId="07773B1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823255" w:rsidRPr="000B36F1" w:rsidRDefault="00823255" w:rsidP="000B36F1">
            <w:pPr>
              <w:pStyle w:val="Lettrine"/>
              <w:spacing w:line="240" w:lineRule="auto"/>
              <w:rPr>
                <w:lang w:val="fr-FR"/>
              </w:rPr>
            </w:pPr>
            <w:r w:rsidRPr="000B36F1">
              <w:rPr>
                <w:lang w:val="fr-FR"/>
              </w:rPr>
              <w:t>F</w:t>
            </w:r>
          </w:p>
          <w:p w:rsidR="00823255" w:rsidRPr="000B36F1" w:rsidRDefault="00823255" w:rsidP="000B36F1">
            <w:pPr>
              <w:pStyle w:val="Docoriginal"/>
              <w:spacing w:line="240" w:lineRule="auto"/>
              <w:rPr>
                <w:lang w:val="fr-FR"/>
              </w:rPr>
            </w:pPr>
            <w:r w:rsidRPr="000B36F1">
              <w:rPr>
                <w:lang w:val="fr-FR"/>
              </w:rPr>
              <w:t>TC/51/</w:t>
            </w:r>
            <w:bookmarkStart w:id="0" w:name="Code"/>
            <w:bookmarkEnd w:id="0"/>
            <w:r w:rsidRPr="000B36F1">
              <w:rPr>
                <w:lang w:val="fr-FR"/>
              </w:rPr>
              <w:t>13</w:t>
            </w:r>
          </w:p>
          <w:p w:rsidR="00823255" w:rsidRPr="000B36F1" w:rsidRDefault="00823255" w:rsidP="000B36F1">
            <w:pPr>
              <w:pStyle w:val="Docoriginal"/>
              <w:spacing w:line="240" w:lineRule="auto"/>
              <w:rPr>
                <w:b w:val="0"/>
                <w:spacing w:val="0"/>
                <w:lang w:val="fr-FR"/>
              </w:rPr>
            </w:pPr>
            <w:r w:rsidRPr="000B36F1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6058A9" w:rsidRPr="000B36F1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0B36F1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0B36F1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0B36F1">
              <w:rPr>
                <w:b w:val="0"/>
                <w:spacing w:val="0"/>
                <w:lang w:val="fr-FR"/>
              </w:rPr>
              <w:t>anglais</w:t>
            </w:r>
          </w:p>
          <w:p w:rsidR="00823255" w:rsidRPr="000B36F1" w:rsidRDefault="00823255" w:rsidP="0035602E">
            <w:pPr>
              <w:pStyle w:val="Docoriginal"/>
              <w:spacing w:line="240" w:lineRule="auto"/>
              <w:rPr>
                <w:lang w:val="fr-FR"/>
              </w:rPr>
            </w:pPr>
            <w:r w:rsidRPr="000B36F1">
              <w:rPr>
                <w:spacing w:val="0"/>
                <w:lang w:val="fr-FR"/>
              </w:rPr>
              <w:t>DATE</w:t>
            </w:r>
            <w:r w:rsidR="006058A9" w:rsidRPr="000B36F1">
              <w:rPr>
                <w:spacing w:val="0"/>
                <w:lang w:val="fr-FR"/>
              </w:rPr>
              <w:t> </w:t>
            </w:r>
            <w:r w:rsidRPr="000B36F1">
              <w:rPr>
                <w:spacing w:val="0"/>
                <w:lang w:val="fr-FR"/>
              </w:rPr>
              <w:t>:</w:t>
            </w:r>
            <w:r w:rsidRPr="000B36F1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35602E">
              <w:rPr>
                <w:b w:val="0"/>
                <w:spacing w:val="0"/>
                <w:lang w:val="fr-FR"/>
              </w:rPr>
              <w:t>10</w:t>
            </w:r>
            <w:r w:rsidR="001F7818" w:rsidRPr="000B36F1">
              <w:rPr>
                <w:b w:val="0"/>
                <w:spacing w:val="0"/>
                <w:lang w:val="fr-FR"/>
              </w:rPr>
              <w:t> février 20</w:t>
            </w:r>
            <w:r w:rsidRPr="000B36F1">
              <w:rPr>
                <w:b w:val="0"/>
                <w:spacing w:val="0"/>
                <w:lang w:val="fr-FR"/>
              </w:rPr>
              <w:t>15</w:t>
            </w:r>
          </w:p>
        </w:tc>
      </w:tr>
      <w:tr w:rsidR="000B36F1" w:rsidRPr="005650AB" w:rsidTr="001D09F2">
        <w:tc>
          <w:tcPr>
            <w:tcW w:w="10131" w:type="dxa"/>
            <w:gridSpan w:val="3"/>
          </w:tcPr>
          <w:p w:rsidR="00823255" w:rsidRPr="000B36F1" w:rsidRDefault="00823255" w:rsidP="000B36F1">
            <w:pPr>
              <w:pStyle w:val="upove"/>
              <w:rPr>
                <w:sz w:val="28"/>
                <w:lang w:val="fr-FR"/>
              </w:rPr>
            </w:pPr>
            <w:r w:rsidRPr="000B36F1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B36F1" w:rsidRPr="000B36F1" w:rsidTr="001D09F2">
        <w:tc>
          <w:tcPr>
            <w:tcW w:w="10131" w:type="dxa"/>
            <w:gridSpan w:val="3"/>
          </w:tcPr>
          <w:p w:rsidR="00823255" w:rsidRPr="000B36F1" w:rsidRDefault="00823255" w:rsidP="000B36F1">
            <w:pPr>
              <w:pStyle w:val="Country"/>
              <w:rPr>
                <w:lang w:val="fr-FR"/>
              </w:rPr>
            </w:pPr>
            <w:r w:rsidRPr="000B36F1">
              <w:rPr>
                <w:lang w:val="fr-FR"/>
              </w:rPr>
              <w:t>Genève</w:t>
            </w:r>
          </w:p>
        </w:tc>
      </w:tr>
    </w:tbl>
    <w:p w:rsidR="00823255" w:rsidRPr="000B36F1" w:rsidRDefault="00823255" w:rsidP="000B36F1">
      <w:pPr>
        <w:pStyle w:val="Sessiontc"/>
        <w:rPr>
          <w:lang w:val="fr-FR"/>
        </w:rPr>
      </w:pPr>
      <w:r w:rsidRPr="000B36F1">
        <w:rPr>
          <w:lang w:val="fr-FR"/>
        </w:rPr>
        <w:t>Comité TECHNIQUE</w:t>
      </w:r>
    </w:p>
    <w:p w:rsidR="00823255" w:rsidRPr="000B36F1" w:rsidRDefault="008F3889" w:rsidP="000B36F1">
      <w:pPr>
        <w:pStyle w:val="Sessiontcplacedate"/>
        <w:rPr>
          <w:lang w:val="fr-FR"/>
        </w:rPr>
      </w:pPr>
      <w:r w:rsidRPr="000B36F1">
        <w:rPr>
          <w:lang w:val="fr-FR"/>
        </w:rPr>
        <w:t>Cinquante et </w:t>
      </w:r>
      <w:r w:rsidR="00823255" w:rsidRPr="000B36F1">
        <w:rPr>
          <w:lang w:val="fr-FR"/>
        </w:rPr>
        <w:t>unième</w:t>
      </w:r>
      <w:r w:rsidR="006058A9" w:rsidRPr="000B36F1">
        <w:rPr>
          <w:lang w:val="fr-FR"/>
        </w:rPr>
        <w:t> </w:t>
      </w:r>
      <w:r w:rsidR="00823255" w:rsidRPr="000B36F1">
        <w:rPr>
          <w:lang w:val="fr-FR"/>
        </w:rPr>
        <w:t xml:space="preserve">session </w:t>
      </w:r>
      <w:r w:rsidR="00823255" w:rsidRPr="000B36F1">
        <w:rPr>
          <w:lang w:val="fr-FR"/>
        </w:rPr>
        <w:br/>
        <w:t xml:space="preserve">Genève, </w:t>
      </w:r>
      <w:r w:rsidR="0035602E">
        <w:rPr>
          <w:lang w:val="fr-FR"/>
        </w:rPr>
        <w:t>23–</w:t>
      </w:r>
      <w:r w:rsidR="00823255" w:rsidRPr="000B36F1">
        <w:rPr>
          <w:lang w:val="fr-FR"/>
        </w:rPr>
        <w:t>2</w:t>
      </w:r>
      <w:r w:rsidR="001F7818" w:rsidRPr="000B36F1">
        <w:rPr>
          <w:lang w:val="fr-FR"/>
        </w:rPr>
        <w:t>5 mars 20</w:t>
      </w:r>
      <w:r w:rsidR="00823255" w:rsidRPr="000B36F1">
        <w:rPr>
          <w:lang w:val="fr-FR"/>
        </w:rPr>
        <w:t>15</w:t>
      </w:r>
    </w:p>
    <w:p w:rsidR="00823255" w:rsidRPr="000B36F1" w:rsidRDefault="00823255" w:rsidP="000B36F1">
      <w:pPr>
        <w:pStyle w:val="Titleofdoc0"/>
        <w:rPr>
          <w:lang w:val="fr-FR"/>
        </w:rPr>
      </w:pPr>
      <w:bookmarkStart w:id="3" w:name="TitleOfDoc"/>
      <w:bookmarkEnd w:id="3"/>
      <w:r w:rsidRPr="000B36F1">
        <w:rPr>
          <w:lang w:val="fr-FR"/>
        </w:rPr>
        <w:t>ATELIERS PRéPARATOIRES</w:t>
      </w:r>
    </w:p>
    <w:p w:rsidR="00823255" w:rsidRPr="005650AB" w:rsidRDefault="00823255" w:rsidP="000B36F1">
      <w:pPr>
        <w:pStyle w:val="preparedby1"/>
        <w:rPr>
          <w:color w:val="A6A6A6" w:themeColor="background1" w:themeShade="A6"/>
          <w:lang w:val="fr-CH"/>
        </w:rPr>
      </w:pPr>
      <w:bookmarkStart w:id="4" w:name="Prepared"/>
      <w:bookmarkEnd w:id="4"/>
      <w:r w:rsidRPr="000B36F1">
        <w:rPr>
          <w:lang w:val="fr-FR"/>
        </w:rPr>
        <w:t>Document établi par le Bureau de l</w:t>
      </w:r>
      <w:r w:rsidR="001F7818" w:rsidRPr="000B36F1">
        <w:rPr>
          <w:lang w:val="fr-FR"/>
        </w:rPr>
        <w:t>’</w:t>
      </w:r>
      <w:r w:rsidRPr="000B36F1">
        <w:rPr>
          <w:lang w:val="fr-FR"/>
        </w:rPr>
        <w:t>Union</w:t>
      </w:r>
      <w:r w:rsidRPr="000B36F1">
        <w:rPr>
          <w:lang w:val="fr-FR"/>
        </w:rPr>
        <w:br/>
      </w:r>
      <w:r w:rsidRPr="000B36F1">
        <w:rPr>
          <w:lang w:val="fr-FR"/>
        </w:rPr>
        <w:br/>
      </w:r>
      <w:r w:rsidRPr="005650AB">
        <w:rPr>
          <w:color w:val="A6A6A6" w:themeColor="background1" w:themeShade="A6"/>
          <w:lang w:val="fr-CH"/>
        </w:rPr>
        <w:t>Avertissement : le présent document ne représente pas les principes ou les orientations de l</w:t>
      </w:r>
      <w:r w:rsidR="001F7818" w:rsidRPr="005650AB">
        <w:rPr>
          <w:color w:val="A6A6A6" w:themeColor="background1" w:themeShade="A6"/>
          <w:lang w:val="fr-CH"/>
        </w:rPr>
        <w:t>’</w:t>
      </w:r>
      <w:r w:rsidRPr="005650AB">
        <w:rPr>
          <w:color w:val="A6A6A6" w:themeColor="background1" w:themeShade="A6"/>
          <w:lang w:val="fr-CH"/>
        </w:rPr>
        <w:t>UPOV</w:t>
      </w:r>
    </w:p>
    <w:p w:rsidR="00823255" w:rsidRPr="000B36F1" w:rsidRDefault="008F3889" w:rsidP="000B36F1">
      <w:pPr>
        <w:autoSpaceDE w:val="0"/>
        <w:autoSpaceDN w:val="0"/>
        <w:adjustRightInd w:val="0"/>
        <w:rPr>
          <w:rFonts w:cs="Arial"/>
          <w:snapToGrid w:val="0"/>
          <w:lang w:val="fr-FR"/>
        </w:rPr>
      </w:pPr>
      <w:r w:rsidRPr="000B36F1">
        <w:rPr>
          <w:rFonts w:cs="Arial"/>
          <w:lang w:val="fr-FR"/>
        </w:rPr>
        <w:fldChar w:fldCharType="begin"/>
      </w:r>
      <w:r w:rsidRPr="000B36F1">
        <w:rPr>
          <w:rFonts w:cs="Arial"/>
          <w:lang w:val="fr-FR"/>
        </w:rPr>
        <w:instrText xml:space="preserve"> AUTONUM  </w:instrText>
      </w:r>
      <w:r w:rsidRPr="000B36F1">
        <w:rPr>
          <w:rFonts w:cs="Arial"/>
          <w:lang w:val="fr-FR"/>
        </w:rPr>
        <w:fldChar w:fldCharType="end"/>
      </w:r>
      <w:r w:rsidRPr="000B36F1">
        <w:rPr>
          <w:rFonts w:cs="Arial"/>
          <w:lang w:val="fr-FR"/>
        </w:rPr>
        <w:tab/>
      </w:r>
      <w:r w:rsidR="00823255" w:rsidRPr="000B36F1">
        <w:rPr>
          <w:rFonts w:cs="Arial"/>
          <w:lang w:val="fr-FR"/>
        </w:rPr>
        <w:t>À sa trente</w:t>
      </w:r>
      <w:r w:rsidRPr="000B36F1">
        <w:rPr>
          <w:rFonts w:cs="Arial"/>
          <w:lang w:val="fr-FR"/>
        </w:rPr>
        <w:noBreakHyphen/>
      </w:r>
      <w:r w:rsidR="00823255" w:rsidRPr="000B36F1">
        <w:rPr>
          <w:rFonts w:cs="Arial"/>
          <w:lang w:val="fr-FR"/>
        </w:rPr>
        <w:t>huitième</w:t>
      </w:r>
      <w:r w:rsidR="006058A9" w:rsidRPr="000B36F1">
        <w:rPr>
          <w:rFonts w:cs="Arial"/>
          <w:lang w:val="fr-FR"/>
        </w:rPr>
        <w:t> </w:t>
      </w:r>
      <w:r w:rsidR="00823255" w:rsidRPr="000B36F1">
        <w:rPr>
          <w:rFonts w:cs="Arial"/>
          <w:lang w:val="fr-FR"/>
        </w:rPr>
        <w:t>session, tenue à Genève du 15 au 1</w:t>
      </w:r>
      <w:r w:rsidR="001F7818" w:rsidRPr="000B36F1">
        <w:rPr>
          <w:rFonts w:cs="Arial"/>
          <w:lang w:val="fr-FR"/>
        </w:rPr>
        <w:t>7 avril 20</w:t>
      </w:r>
      <w:r w:rsidR="00823255" w:rsidRPr="000B36F1">
        <w:rPr>
          <w:rFonts w:cs="Arial"/>
          <w:lang w:val="fr-FR"/>
        </w:rPr>
        <w:t xml:space="preserve">02, le Comité technique (TC) a décidé, sur la base du </w:t>
      </w:r>
      <w:r w:rsidR="001F7818" w:rsidRPr="000B36F1">
        <w:rPr>
          <w:rFonts w:cs="Arial"/>
          <w:lang w:val="fr-FR"/>
        </w:rPr>
        <w:t>document TC</w:t>
      </w:r>
      <w:r w:rsidR="00823255" w:rsidRPr="000B36F1">
        <w:rPr>
          <w:rFonts w:cs="Arial"/>
          <w:lang w:val="fr-FR"/>
        </w:rPr>
        <w:t>/38/12, de la tenue d</w:t>
      </w:r>
      <w:r w:rsidR="001F7818" w:rsidRPr="000B36F1">
        <w:rPr>
          <w:rFonts w:cs="Arial"/>
          <w:lang w:val="fr-FR"/>
        </w:rPr>
        <w:t>’</w:t>
      </w:r>
      <w:r w:rsidR="00823255" w:rsidRPr="000B36F1">
        <w:rPr>
          <w:rFonts w:cs="Arial"/>
          <w:lang w:val="fr-FR"/>
        </w:rPr>
        <w:t>un atelier préparatoire avant chaque réunion d</w:t>
      </w:r>
      <w:r w:rsidR="001F7818" w:rsidRPr="000B36F1">
        <w:rPr>
          <w:rFonts w:cs="Arial"/>
          <w:lang w:val="fr-FR"/>
        </w:rPr>
        <w:t>’</w:t>
      </w:r>
      <w:r w:rsidR="00823255" w:rsidRPr="000B36F1">
        <w:rPr>
          <w:rFonts w:cs="Arial"/>
          <w:lang w:val="fr-FR"/>
        </w:rPr>
        <w:t>un groupe de travail technique (TWP), afin d</w:t>
      </w:r>
      <w:r w:rsidR="001F7818" w:rsidRPr="000B36F1">
        <w:rPr>
          <w:rFonts w:cs="Arial"/>
          <w:lang w:val="fr-FR"/>
        </w:rPr>
        <w:t>’</w:t>
      </w:r>
      <w:r w:rsidR="00823255" w:rsidRPr="000B36F1">
        <w:rPr>
          <w:rFonts w:cs="Arial"/>
          <w:lang w:val="fr-FR"/>
        </w:rPr>
        <w:t>aider certains des délégués à participer plus activement à la réunion.</w:t>
      </w:r>
      <w:r w:rsidR="00A1690E" w:rsidRPr="000B36F1">
        <w:rPr>
          <w:lang w:val="fr-FR"/>
        </w:rPr>
        <w:t xml:space="preserve">  </w:t>
      </w:r>
      <w:r w:rsidR="00817D00" w:rsidRPr="000B36F1">
        <w:rPr>
          <w:rFonts w:cs="Arial"/>
          <w:lang w:val="fr-FR"/>
        </w:rPr>
        <w:t xml:space="preserve">À </w:t>
      </w:r>
      <w:r w:rsidR="001F7818" w:rsidRPr="000B36F1">
        <w:rPr>
          <w:rFonts w:cs="Arial"/>
          <w:lang w:val="fr-FR"/>
        </w:rPr>
        <w:t>s</w:t>
      </w:r>
      <w:r w:rsidR="00817D00" w:rsidRPr="000B36F1">
        <w:rPr>
          <w:rFonts w:cs="Arial"/>
          <w:lang w:val="fr-FR"/>
        </w:rPr>
        <w:t>a cinqu</w:t>
      </w:r>
      <w:r w:rsidR="001F7818" w:rsidRPr="000B36F1">
        <w:rPr>
          <w:rFonts w:cs="Arial"/>
          <w:lang w:val="fr-FR"/>
        </w:rPr>
        <w:t>antième</w:t>
      </w:r>
      <w:r w:rsidR="006058A9" w:rsidRPr="000B36F1">
        <w:rPr>
          <w:rFonts w:cs="Arial"/>
          <w:lang w:val="fr-FR"/>
        </w:rPr>
        <w:t> </w:t>
      </w:r>
      <w:r w:rsidR="001F7818" w:rsidRPr="000B36F1">
        <w:rPr>
          <w:rFonts w:cs="Arial"/>
          <w:lang w:val="fr-FR"/>
        </w:rPr>
        <w:t>session, tenue à Genève</w:t>
      </w:r>
      <w:r w:rsidR="00817D00" w:rsidRPr="000B36F1">
        <w:rPr>
          <w:rFonts w:cs="Arial"/>
          <w:lang w:val="fr-FR"/>
        </w:rPr>
        <w:t xml:space="preserve"> du 7 au </w:t>
      </w:r>
      <w:r w:rsidR="001F7818" w:rsidRPr="000B36F1">
        <w:rPr>
          <w:rFonts w:cs="Arial"/>
          <w:lang w:val="fr-FR"/>
        </w:rPr>
        <w:t>9 avril 20</w:t>
      </w:r>
      <w:r w:rsidR="00817D00" w:rsidRPr="000B36F1">
        <w:rPr>
          <w:rFonts w:cs="Arial"/>
          <w:lang w:val="fr-FR"/>
        </w:rPr>
        <w:t>14, le</w:t>
      </w:r>
      <w:r w:rsidR="001F7818" w:rsidRPr="000B36F1">
        <w:rPr>
          <w:rFonts w:cs="Arial"/>
          <w:lang w:val="fr-FR"/>
        </w:rPr>
        <w:t> TC</w:t>
      </w:r>
      <w:r w:rsidR="00817D00" w:rsidRPr="000B36F1">
        <w:rPr>
          <w:rFonts w:cs="Arial"/>
          <w:lang w:val="fr-FR"/>
        </w:rPr>
        <w:t xml:space="preserve"> a pris note du </w:t>
      </w:r>
      <w:r w:rsidR="001F7818" w:rsidRPr="000B36F1">
        <w:rPr>
          <w:rFonts w:cs="Arial"/>
          <w:lang w:val="fr-FR"/>
        </w:rPr>
        <w:t>compte rendu</w:t>
      </w:r>
      <w:r w:rsidR="00817D00" w:rsidRPr="000B36F1">
        <w:rPr>
          <w:rFonts w:cs="Arial"/>
          <w:lang w:val="fr-FR"/>
        </w:rPr>
        <w:t xml:space="preserve"> des ateliers préparatoires tenus en</w:t>
      </w:r>
      <w:r w:rsidR="006058A9" w:rsidRPr="000B36F1">
        <w:rPr>
          <w:rFonts w:cs="Arial"/>
          <w:lang w:val="fr-FR"/>
        </w:rPr>
        <w:t> </w:t>
      </w:r>
      <w:r w:rsidR="00817D00" w:rsidRPr="000B36F1">
        <w:rPr>
          <w:rFonts w:cs="Arial"/>
          <w:lang w:val="fr-FR"/>
        </w:rPr>
        <w:t>2013.  Il a approuvé le programme pour</w:t>
      </w:r>
      <w:r w:rsidR="006058A9" w:rsidRPr="000B36F1">
        <w:rPr>
          <w:rFonts w:cs="Arial"/>
          <w:lang w:val="fr-FR"/>
        </w:rPr>
        <w:t> </w:t>
      </w:r>
      <w:r w:rsidR="00817D00" w:rsidRPr="000B36F1">
        <w:rPr>
          <w:rFonts w:cs="Arial"/>
          <w:lang w:val="fr-FR"/>
        </w:rPr>
        <w:t xml:space="preserve">2014, comme indiqué dans le </w:t>
      </w:r>
      <w:r w:rsidR="001F7818" w:rsidRPr="000B36F1">
        <w:rPr>
          <w:rFonts w:cs="Arial"/>
          <w:lang w:val="fr-FR"/>
        </w:rPr>
        <w:t>document TC</w:t>
      </w:r>
      <w:r w:rsidR="00817D00" w:rsidRPr="000B36F1">
        <w:rPr>
          <w:rFonts w:cs="Arial"/>
          <w:lang w:val="fr-FR"/>
        </w:rPr>
        <w:t xml:space="preserve">/50/11 </w:t>
      </w:r>
      <w:r w:rsidR="00817D00" w:rsidRPr="000B36F1">
        <w:rPr>
          <w:rFonts w:cs="Arial"/>
          <w:snapToGrid w:val="0"/>
          <w:lang w:val="fr-FR"/>
        </w:rPr>
        <w:t xml:space="preserve">(voir </w:t>
      </w:r>
      <w:r w:rsidR="001F7818" w:rsidRPr="000B36F1">
        <w:rPr>
          <w:rFonts w:cs="Arial"/>
          <w:snapToGrid w:val="0"/>
          <w:lang w:val="fr-FR"/>
        </w:rPr>
        <w:t>les paragraphes</w:t>
      </w:r>
      <w:r w:rsidR="006058A9" w:rsidRPr="000B36F1">
        <w:rPr>
          <w:rFonts w:cs="Arial"/>
          <w:snapToGrid w:val="0"/>
          <w:lang w:val="fr-FR"/>
        </w:rPr>
        <w:t> </w:t>
      </w:r>
      <w:r w:rsidR="001F7818" w:rsidRPr="000B36F1">
        <w:rPr>
          <w:rFonts w:cs="Arial"/>
          <w:snapToGrid w:val="0"/>
          <w:lang w:val="fr-FR"/>
        </w:rPr>
        <w:t>128 à 131 du</w:t>
      </w:r>
      <w:r w:rsidR="002E0EA3" w:rsidRPr="000B36F1">
        <w:rPr>
          <w:rFonts w:cs="Arial"/>
          <w:snapToGrid w:val="0"/>
          <w:lang w:val="fr-FR"/>
        </w:rPr>
        <w:t xml:space="preserve"> </w:t>
      </w:r>
      <w:r w:rsidR="001F7818" w:rsidRPr="000B36F1">
        <w:rPr>
          <w:rFonts w:cs="Arial"/>
          <w:snapToGrid w:val="0"/>
          <w:lang w:val="fr-FR"/>
        </w:rPr>
        <w:t>document TC</w:t>
      </w:r>
      <w:r w:rsidR="002E0EA3" w:rsidRPr="000B36F1">
        <w:rPr>
          <w:rFonts w:cs="Arial"/>
          <w:snapToGrid w:val="0"/>
          <w:lang w:val="fr-FR"/>
        </w:rPr>
        <w:t>/50/36 “</w:t>
      </w:r>
      <w:r w:rsidR="00817D00" w:rsidRPr="000B36F1">
        <w:rPr>
          <w:rFonts w:cs="Arial"/>
          <w:snapToGrid w:val="0"/>
          <w:lang w:val="fr-FR"/>
        </w:rPr>
        <w:t>Compte rendu des conclusions</w:t>
      </w:r>
      <w:r w:rsidR="001F7818" w:rsidRPr="000B36F1">
        <w:rPr>
          <w:rFonts w:cs="Arial"/>
          <w:snapToGrid w:val="0"/>
          <w:lang w:val="fr-FR"/>
        </w:rPr>
        <w:t>”</w:t>
      </w:r>
      <w:r w:rsidR="00A1690E" w:rsidRPr="000B36F1">
        <w:rPr>
          <w:rFonts w:cs="Arial"/>
          <w:snapToGrid w:val="0"/>
          <w:lang w:val="fr-FR"/>
        </w:rPr>
        <w:t>).</w:t>
      </w:r>
    </w:p>
    <w:p w:rsidR="00823255" w:rsidRPr="000B36F1" w:rsidRDefault="00823255" w:rsidP="000B36F1">
      <w:pPr>
        <w:autoSpaceDE w:val="0"/>
        <w:autoSpaceDN w:val="0"/>
        <w:adjustRightInd w:val="0"/>
        <w:rPr>
          <w:rFonts w:cs="Arial"/>
          <w:lang w:val="fr-FR"/>
        </w:rPr>
      </w:pPr>
    </w:p>
    <w:p w:rsidR="00823255" w:rsidRPr="000B36F1" w:rsidRDefault="00A1690E" w:rsidP="000B36F1">
      <w:pPr>
        <w:rPr>
          <w:rFonts w:cs="Arial"/>
          <w:lang w:val="fr-FR"/>
        </w:rPr>
      </w:pPr>
      <w:r w:rsidRPr="000B36F1">
        <w:rPr>
          <w:rFonts w:cs="Arial"/>
          <w:lang w:val="fr-FR"/>
        </w:rPr>
        <w:fldChar w:fldCharType="begin"/>
      </w:r>
      <w:r w:rsidRPr="000B36F1">
        <w:rPr>
          <w:rFonts w:cs="Arial"/>
          <w:lang w:val="fr-FR"/>
        </w:rPr>
        <w:instrText xml:space="preserve"> AUTONUM  </w:instrText>
      </w:r>
      <w:r w:rsidRPr="000B36F1">
        <w:rPr>
          <w:rFonts w:cs="Arial"/>
          <w:lang w:val="fr-FR"/>
        </w:rPr>
        <w:fldChar w:fldCharType="end"/>
      </w:r>
      <w:r w:rsidRPr="000B36F1">
        <w:rPr>
          <w:rFonts w:cs="Arial"/>
          <w:lang w:val="fr-FR"/>
        </w:rPr>
        <w:tab/>
      </w:r>
      <w:r w:rsidR="005D6E44" w:rsidRPr="000B36F1">
        <w:rPr>
          <w:rFonts w:cs="Arial"/>
          <w:lang w:val="fr-FR"/>
        </w:rPr>
        <w:t>Le présent document a pour objet de rendre compte des ateliers préparatoires tenus en 2014 et de présenter les propositions pour 2015.</w:t>
      </w:r>
    </w:p>
    <w:p w:rsidR="00823255" w:rsidRPr="000B36F1" w:rsidRDefault="00823255" w:rsidP="000B36F1">
      <w:pPr>
        <w:rPr>
          <w:rFonts w:cs="Arial"/>
          <w:lang w:val="fr-FR"/>
        </w:rPr>
      </w:pPr>
    </w:p>
    <w:p w:rsidR="00823255" w:rsidRPr="000B36F1" w:rsidRDefault="00A1690E" w:rsidP="000B36F1">
      <w:pPr>
        <w:rPr>
          <w:rFonts w:cs="Arial"/>
          <w:lang w:val="fr-FR"/>
        </w:rPr>
      </w:pPr>
      <w:r w:rsidRPr="000B36F1">
        <w:rPr>
          <w:rFonts w:cs="Arial"/>
          <w:lang w:val="fr-FR"/>
        </w:rPr>
        <w:fldChar w:fldCharType="begin"/>
      </w:r>
      <w:r w:rsidRPr="000B36F1">
        <w:rPr>
          <w:rFonts w:cs="Arial"/>
          <w:lang w:val="fr-FR"/>
        </w:rPr>
        <w:instrText xml:space="preserve"> AUTONUM  </w:instrText>
      </w:r>
      <w:r w:rsidRPr="000B36F1">
        <w:rPr>
          <w:rFonts w:cs="Arial"/>
          <w:lang w:val="fr-FR"/>
        </w:rPr>
        <w:fldChar w:fldCharType="end"/>
      </w:r>
      <w:r w:rsidRPr="000B36F1">
        <w:rPr>
          <w:rFonts w:cs="Arial"/>
          <w:lang w:val="fr-FR"/>
        </w:rPr>
        <w:tab/>
      </w:r>
      <w:r w:rsidR="005D6E44" w:rsidRPr="000B36F1">
        <w:rPr>
          <w:rFonts w:cs="Arial"/>
          <w:lang w:val="fr-FR"/>
        </w:rPr>
        <w:t>Les abréviations ci</w:t>
      </w:r>
      <w:r w:rsidR="008F3889" w:rsidRPr="000B36F1">
        <w:rPr>
          <w:rFonts w:cs="Arial"/>
          <w:lang w:val="fr-FR"/>
        </w:rPr>
        <w:noBreakHyphen/>
      </w:r>
      <w:r w:rsidR="005D6E44" w:rsidRPr="000B36F1">
        <w:rPr>
          <w:rFonts w:cs="Arial"/>
          <w:lang w:val="fr-FR"/>
        </w:rPr>
        <w:t>après sont utilisées dans le présent document :</w:t>
      </w:r>
    </w:p>
    <w:p w:rsidR="00823255" w:rsidRPr="000B36F1" w:rsidRDefault="00823255" w:rsidP="000B36F1">
      <w:pPr>
        <w:rPr>
          <w:rFonts w:cs="Arial"/>
          <w:lang w:val="fr-FR"/>
        </w:rPr>
      </w:pPr>
    </w:p>
    <w:p w:rsidR="00823255" w:rsidRPr="000B36F1" w:rsidRDefault="005D6E44" w:rsidP="000B36F1">
      <w:pPr>
        <w:tabs>
          <w:tab w:val="left" w:pos="567"/>
        </w:tabs>
        <w:spacing w:after="60"/>
        <w:ind w:left="1418" w:hanging="851"/>
        <w:rPr>
          <w:rFonts w:cs="Arial"/>
          <w:lang w:val="fr-FR"/>
        </w:rPr>
      </w:pPr>
      <w:r w:rsidRPr="000B36F1">
        <w:rPr>
          <w:rFonts w:cs="Arial"/>
          <w:lang w:val="fr-FR"/>
        </w:rPr>
        <w:t>TC</w:t>
      </w:r>
      <w:r w:rsidR="006058A9" w:rsidRPr="000B36F1">
        <w:rPr>
          <w:rFonts w:cs="Arial"/>
          <w:lang w:val="fr-FR"/>
        </w:rPr>
        <w:t> :</w:t>
      </w:r>
      <w:r w:rsidRPr="000B36F1">
        <w:rPr>
          <w:rFonts w:cs="Arial"/>
          <w:lang w:val="fr-FR"/>
        </w:rPr>
        <w:t xml:space="preserve"> </w:t>
      </w:r>
      <w:r w:rsidR="00942420" w:rsidRPr="000B36F1">
        <w:rPr>
          <w:rFonts w:cs="Arial"/>
          <w:lang w:val="fr-FR"/>
        </w:rPr>
        <w:tab/>
      </w:r>
      <w:r w:rsidRPr="000B36F1">
        <w:rPr>
          <w:rFonts w:cs="Arial"/>
          <w:lang w:val="fr-FR"/>
        </w:rPr>
        <w:t>Comité technique</w:t>
      </w:r>
    </w:p>
    <w:p w:rsidR="00823255" w:rsidRPr="000B36F1" w:rsidRDefault="005D6E44" w:rsidP="000B36F1">
      <w:pPr>
        <w:tabs>
          <w:tab w:val="left" w:pos="567"/>
        </w:tabs>
        <w:spacing w:after="60"/>
        <w:ind w:left="1418" w:hanging="851"/>
        <w:rPr>
          <w:rFonts w:cs="Arial"/>
          <w:lang w:val="fr-FR"/>
        </w:rPr>
      </w:pPr>
      <w:r w:rsidRPr="000B36F1">
        <w:rPr>
          <w:rFonts w:cs="Arial"/>
          <w:lang w:val="fr-FR"/>
        </w:rPr>
        <w:t>TWA</w:t>
      </w:r>
      <w:r w:rsidR="006058A9" w:rsidRPr="000B36F1">
        <w:rPr>
          <w:rFonts w:cs="Arial"/>
          <w:lang w:val="fr-FR"/>
        </w:rPr>
        <w:t> :</w:t>
      </w:r>
      <w:r w:rsidRPr="000B36F1">
        <w:rPr>
          <w:rFonts w:cs="Arial"/>
          <w:lang w:val="fr-FR"/>
        </w:rPr>
        <w:t xml:space="preserve"> </w:t>
      </w:r>
      <w:r w:rsidR="00942420" w:rsidRPr="000B36F1">
        <w:rPr>
          <w:rFonts w:cs="Arial"/>
          <w:lang w:val="fr-FR"/>
        </w:rPr>
        <w:tab/>
      </w:r>
      <w:r w:rsidRPr="000B36F1">
        <w:rPr>
          <w:rFonts w:cs="Arial"/>
          <w:lang w:val="fr-FR"/>
        </w:rPr>
        <w:t>Groupe de travail technique sur les plantes agricoles</w:t>
      </w:r>
    </w:p>
    <w:p w:rsidR="00823255" w:rsidRPr="000B36F1" w:rsidRDefault="005D6E44" w:rsidP="000B36F1">
      <w:pPr>
        <w:spacing w:after="60"/>
        <w:ind w:left="1418" w:hanging="851"/>
        <w:rPr>
          <w:rFonts w:cs="Arial"/>
          <w:lang w:val="fr-FR"/>
        </w:rPr>
      </w:pPr>
      <w:r w:rsidRPr="000B36F1">
        <w:rPr>
          <w:rFonts w:cs="Arial"/>
          <w:lang w:val="fr-FR"/>
        </w:rPr>
        <w:t>TWC</w:t>
      </w:r>
      <w:r w:rsidR="006058A9" w:rsidRPr="000B36F1">
        <w:rPr>
          <w:rFonts w:cs="Arial"/>
          <w:lang w:val="fr-FR"/>
        </w:rPr>
        <w:t> :</w:t>
      </w:r>
      <w:r w:rsidRPr="000B36F1">
        <w:rPr>
          <w:rFonts w:cs="Arial"/>
          <w:lang w:val="fr-FR"/>
        </w:rPr>
        <w:t xml:space="preserve"> </w:t>
      </w:r>
      <w:r w:rsidR="00942420" w:rsidRPr="000B36F1">
        <w:rPr>
          <w:rFonts w:cs="Arial"/>
          <w:lang w:val="fr-FR"/>
        </w:rPr>
        <w:tab/>
      </w:r>
      <w:r w:rsidRPr="000B36F1">
        <w:rPr>
          <w:rFonts w:cs="Arial"/>
          <w:lang w:val="fr-FR"/>
        </w:rPr>
        <w:t>Groupe de travail technique sur les systèmes d</w:t>
      </w:r>
      <w:r w:rsidR="001F7818" w:rsidRPr="000B36F1">
        <w:rPr>
          <w:rFonts w:cs="Arial"/>
          <w:lang w:val="fr-FR"/>
        </w:rPr>
        <w:t>’</w:t>
      </w:r>
      <w:r w:rsidRPr="000B36F1">
        <w:rPr>
          <w:rFonts w:cs="Arial"/>
          <w:lang w:val="fr-FR"/>
        </w:rPr>
        <w:t>automatisation et les programmes d</w:t>
      </w:r>
      <w:r w:rsidR="001F7818" w:rsidRPr="000B36F1">
        <w:rPr>
          <w:rFonts w:cs="Arial"/>
          <w:lang w:val="fr-FR"/>
        </w:rPr>
        <w:t>’</w:t>
      </w:r>
      <w:r w:rsidRPr="000B36F1">
        <w:rPr>
          <w:rFonts w:cs="Arial"/>
          <w:lang w:val="fr-FR"/>
        </w:rPr>
        <w:t>ordinateur</w:t>
      </w:r>
      <w:bookmarkStart w:id="5" w:name="_GoBack"/>
      <w:bookmarkEnd w:id="5"/>
    </w:p>
    <w:p w:rsidR="00823255" w:rsidRPr="000B36F1" w:rsidRDefault="005D6E44" w:rsidP="000B36F1">
      <w:pPr>
        <w:spacing w:after="60"/>
        <w:ind w:left="1418" w:hanging="851"/>
        <w:rPr>
          <w:rFonts w:cs="Arial"/>
          <w:lang w:val="fr-FR"/>
        </w:rPr>
      </w:pPr>
      <w:r w:rsidRPr="000B36F1">
        <w:rPr>
          <w:rFonts w:cs="Arial"/>
          <w:lang w:val="fr-FR"/>
        </w:rPr>
        <w:t>TWF</w:t>
      </w:r>
      <w:r w:rsidR="006058A9" w:rsidRPr="000B36F1">
        <w:rPr>
          <w:rFonts w:cs="Arial"/>
          <w:lang w:val="fr-FR"/>
        </w:rPr>
        <w:t> </w:t>
      </w:r>
      <w:r w:rsidRPr="000B36F1">
        <w:rPr>
          <w:rFonts w:cs="Arial"/>
          <w:lang w:val="fr-FR"/>
        </w:rPr>
        <w:t xml:space="preserve">: </w:t>
      </w:r>
      <w:r w:rsidR="00942420" w:rsidRPr="000B36F1">
        <w:rPr>
          <w:rFonts w:cs="Arial"/>
          <w:lang w:val="fr-FR"/>
        </w:rPr>
        <w:tab/>
      </w:r>
      <w:r w:rsidRPr="000B36F1">
        <w:rPr>
          <w:rFonts w:cs="Arial"/>
          <w:lang w:val="fr-FR"/>
        </w:rPr>
        <w:t>Groupe de travail technique sur les plantes fruitières</w:t>
      </w:r>
    </w:p>
    <w:p w:rsidR="00823255" w:rsidRPr="000B36F1" w:rsidRDefault="00942420" w:rsidP="000B36F1">
      <w:pPr>
        <w:spacing w:after="60"/>
        <w:ind w:left="1418" w:hanging="851"/>
        <w:rPr>
          <w:rFonts w:cs="Arial"/>
          <w:lang w:val="fr-FR"/>
        </w:rPr>
      </w:pPr>
      <w:r w:rsidRPr="000B36F1">
        <w:rPr>
          <w:rFonts w:cs="Arial"/>
          <w:lang w:val="fr-FR"/>
        </w:rPr>
        <w:t>TWO :</w:t>
      </w:r>
      <w:r w:rsidR="006058A9" w:rsidRPr="000B36F1">
        <w:rPr>
          <w:rFonts w:cs="Arial"/>
          <w:lang w:val="fr-FR"/>
        </w:rPr>
        <w:t xml:space="preserve"> </w:t>
      </w:r>
      <w:r w:rsidRPr="000B36F1">
        <w:rPr>
          <w:rFonts w:cs="Arial"/>
          <w:lang w:val="fr-FR"/>
        </w:rPr>
        <w:tab/>
      </w:r>
      <w:r w:rsidR="005D6E44" w:rsidRPr="000B36F1">
        <w:rPr>
          <w:rFonts w:cs="Arial"/>
          <w:lang w:val="fr-FR"/>
        </w:rPr>
        <w:t>Groupe de travail technique sur les plantes ornementales et les arbres forestiers</w:t>
      </w:r>
    </w:p>
    <w:p w:rsidR="00823255" w:rsidRPr="000B36F1" w:rsidRDefault="005D6E44" w:rsidP="000B36F1">
      <w:pPr>
        <w:spacing w:after="60"/>
        <w:ind w:left="1418" w:hanging="851"/>
        <w:rPr>
          <w:rFonts w:cs="Arial"/>
          <w:lang w:val="fr-FR"/>
        </w:rPr>
      </w:pPr>
      <w:r w:rsidRPr="000B36F1">
        <w:rPr>
          <w:rFonts w:cs="Arial"/>
          <w:lang w:val="fr-FR"/>
        </w:rPr>
        <w:t>TWV</w:t>
      </w:r>
      <w:r w:rsidR="006058A9" w:rsidRPr="000B36F1">
        <w:rPr>
          <w:rFonts w:cs="Arial"/>
          <w:lang w:val="fr-FR"/>
        </w:rPr>
        <w:t> :</w:t>
      </w:r>
      <w:r w:rsidRPr="000B36F1">
        <w:rPr>
          <w:rFonts w:cs="Arial"/>
          <w:lang w:val="fr-FR"/>
        </w:rPr>
        <w:t xml:space="preserve"> </w:t>
      </w:r>
      <w:r w:rsidR="00942420" w:rsidRPr="000B36F1">
        <w:rPr>
          <w:rFonts w:cs="Arial"/>
          <w:lang w:val="fr-FR"/>
        </w:rPr>
        <w:tab/>
      </w:r>
      <w:r w:rsidRPr="000B36F1">
        <w:rPr>
          <w:rFonts w:cs="Arial"/>
          <w:lang w:val="fr-FR"/>
        </w:rPr>
        <w:t>Groupe de travail technique sur les plantes potagères</w:t>
      </w:r>
    </w:p>
    <w:p w:rsidR="00823255" w:rsidRPr="000B36F1" w:rsidRDefault="005D6E44" w:rsidP="000B36F1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color w:val="auto"/>
          <w:sz w:val="20"/>
          <w:szCs w:val="20"/>
          <w:lang w:val="fr-FR"/>
        </w:rPr>
      </w:pPr>
      <w:r w:rsidRPr="000B36F1">
        <w:rPr>
          <w:rFonts w:ascii="Arial" w:hAnsi="Arial" w:cs="Arial"/>
          <w:color w:val="auto"/>
          <w:sz w:val="20"/>
          <w:szCs w:val="20"/>
          <w:lang w:val="fr-FR"/>
        </w:rPr>
        <w:t>BMT</w:t>
      </w:r>
      <w:r w:rsidR="006058A9" w:rsidRPr="000B36F1">
        <w:rPr>
          <w:rFonts w:ascii="Arial" w:hAnsi="Arial" w:cs="Arial"/>
          <w:color w:val="auto"/>
          <w:sz w:val="20"/>
          <w:szCs w:val="20"/>
          <w:lang w:val="fr-FR"/>
        </w:rPr>
        <w:t> </w:t>
      </w:r>
      <w:r w:rsidRPr="000B36F1">
        <w:rPr>
          <w:rFonts w:ascii="Arial" w:hAnsi="Arial" w:cs="Arial"/>
          <w:color w:val="auto"/>
          <w:sz w:val="20"/>
          <w:szCs w:val="20"/>
          <w:lang w:val="fr-FR"/>
        </w:rPr>
        <w:t xml:space="preserve">: </w:t>
      </w:r>
      <w:r w:rsidR="00942420" w:rsidRPr="000B36F1">
        <w:rPr>
          <w:rFonts w:ascii="Arial" w:hAnsi="Arial" w:cs="Arial"/>
          <w:color w:val="auto"/>
          <w:sz w:val="20"/>
          <w:szCs w:val="20"/>
          <w:lang w:val="fr-FR"/>
        </w:rPr>
        <w:tab/>
      </w:r>
      <w:r w:rsidRPr="000B36F1">
        <w:rPr>
          <w:rFonts w:ascii="Arial" w:hAnsi="Arial" w:cs="Arial"/>
          <w:color w:val="auto"/>
          <w:sz w:val="20"/>
          <w:szCs w:val="20"/>
          <w:lang w:val="fr-FR"/>
        </w:rPr>
        <w:t>Groupe de travail sur les techniques biochimiques et moléculaires, notamment les profils d</w:t>
      </w:r>
      <w:r w:rsidR="001F7818" w:rsidRPr="000B36F1">
        <w:rPr>
          <w:rFonts w:ascii="Arial" w:hAnsi="Arial" w:cs="Arial"/>
          <w:color w:val="auto"/>
          <w:sz w:val="20"/>
          <w:szCs w:val="20"/>
          <w:lang w:val="fr-FR"/>
        </w:rPr>
        <w:t>’</w:t>
      </w:r>
      <w:r w:rsidRPr="000B36F1">
        <w:rPr>
          <w:rFonts w:ascii="Arial" w:hAnsi="Arial" w:cs="Arial"/>
          <w:color w:val="auto"/>
          <w:sz w:val="20"/>
          <w:szCs w:val="20"/>
          <w:lang w:val="fr-FR"/>
        </w:rPr>
        <w:t>ADN</w:t>
      </w:r>
    </w:p>
    <w:p w:rsidR="00823255" w:rsidRPr="000B36F1" w:rsidRDefault="005D6E44" w:rsidP="000B36F1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color w:val="auto"/>
          <w:sz w:val="20"/>
          <w:szCs w:val="20"/>
          <w:lang w:val="fr-FR"/>
        </w:rPr>
      </w:pPr>
      <w:r w:rsidRPr="000B36F1">
        <w:rPr>
          <w:rFonts w:ascii="Arial" w:hAnsi="Arial" w:cs="Arial"/>
          <w:color w:val="auto"/>
          <w:sz w:val="20"/>
          <w:szCs w:val="20"/>
          <w:lang w:val="fr-FR"/>
        </w:rPr>
        <w:t xml:space="preserve">TWP </w:t>
      </w:r>
      <w:r w:rsidR="00942420" w:rsidRPr="000B36F1">
        <w:rPr>
          <w:rFonts w:ascii="Arial" w:hAnsi="Arial" w:cs="Arial"/>
          <w:color w:val="auto"/>
          <w:sz w:val="20"/>
          <w:szCs w:val="20"/>
          <w:lang w:val="fr-FR"/>
        </w:rPr>
        <w:tab/>
      </w:r>
      <w:r w:rsidRPr="000B36F1">
        <w:rPr>
          <w:rFonts w:ascii="Arial" w:hAnsi="Arial" w:cs="Arial"/>
          <w:color w:val="auto"/>
          <w:sz w:val="20"/>
          <w:szCs w:val="20"/>
          <w:lang w:val="fr-FR"/>
        </w:rPr>
        <w:t>Groupe de travail technique</w:t>
      </w:r>
    </w:p>
    <w:p w:rsidR="00823255" w:rsidRPr="000B36F1" w:rsidRDefault="00A1690E" w:rsidP="000B36F1">
      <w:pPr>
        <w:pStyle w:val="Heading6"/>
        <w:keepNext w:val="0"/>
        <w:rPr>
          <w:rFonts w:ascii="Arial" w:hAnsi="Arial" w:cs="Arial"/>
          <w:sz w:val="20"/>
          <w:szCs w:val="20"/>
          <w:lang w:val="fr-FR"/>
        </w:rPr>
      </w:pPr>
      <w:r w:rsidRPr="000B36F1">
        <w:rPr>
          <w:rFonts w:ascii="Arial" w:hAnsi="Arial" w:cs="Arial"/>
          <w:sz w:val="20"/>
          <w:szCs w:val="20"/>
          <w:lang w:val="fr-FR"/>
        </w:rPr>
        <w:br w:type="page"/>
      </w:r>
    </w:p>
    <w:p w:rsidR="00823255" w:rsidRPr="000B36F1" w:rsidRDefault="005D6E44" w:rsidP="000B36F1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  <w:lang w:val="fr-FR"/>
        </w:rPr>
      </w:pPr>
      <w:r w:rsidRPr="000B36F1">
        <w:rPr>
          <w:rFonts w:ascii="Arial" w:hAnsi="Arial" w:cs="Arial"/>
          <w:i w:val="0"/>
          <w:sz w:val="20"/>
          <w:szCs w:val="20"/>
          <w:u w:val="single"/>
          <w:lang w:val="fr-FR"/>
        </w:rPr>
        <w:lastRenderedPageBreak/>
        <w:t>Compte rendu des ateliers préparatoires et des activités connexes en 2014</w:t>
      </w:r>
    </w:p>
    <w:p w:rsidR="00823255" w:rsidRPr="000B36F1" w:rsidRDefault="00823255" w:rsidP="000B36F1">
      <w:pPr>
        <w:rPr>
          <w:rFonts w:cs="Arial"/>
          <w:i/>
          <w:lang w:val="fr-FR"/>
        </w:rPr>
      </w:pPr>
    </w:p>
    <w:p w:rsidR="00823255" w:rsidRPr="000B36F1" w:rsidRDefault="00A1690E" w:rsidP="000B36F1">
      <w:pPr>
        <w:rPr>
          <w:rFonts w:cs="Arial"/>
          <w:lang w:val="fr-FR"/>
        </w:rPr>
      </w:pPr>
      <w:r w:rsidRPr="000B36F1">
        <w:rPr>
          <w:rFonts w:cs="Arial"/>
          <w:lang w:val="fr-FR"/>
        </w:rPr>
        <w:fldChar w:fldCharType="begin"/>
      </w:r>
      <w:r w:rsidRPr="000B36F1">
        <w:rPr>
          <w:rFonts w:cs="Arial"/>
          <w:lang w:val="fr-FR"/>
        </w:rPr>
        <w:instrText xml:space="preserve"> AUTONUM  </w:instrText>
      </w:r>
      <w:r w:rsidRPr="000B36F1">
        <w:rPr>
          <w:rFonts w:cs="Arial"/>
          <w:lang w:val="fr-FR"/>
        </w:rPr>
        <w:fldChar w:fldCharType="end"/>
      </w:r>
      <w:r w:rsidRPr="000B36F1">
        <w:rPr>
          <w:rFonts w:cs="Arial"/>
          <w:lang w:val="fr-FR"/>
        </w:rPr>
        <w:tab/>
      </w:r>
      <w:r w:rsidR="005D6E44" w:rsidRPr="000B36F1">
        <w:rPr>
          <w:rFonts w:cs="Arial"/>
          <w:lang w:val="fr-FR"/>
        </w:rPr>
        <w:t>En 2014, chaque atelier préparatoire a été tenu le jour précédant l</w:t>
      </w:r>
      <w:r w:rsidR="001F7818" w:rsidRPr="000B36F1">
        <w:rPr>
          <w:rFonts w:cs="Arial"/>
          <w:lang w:val="fr-FR"/>
        </w:rPr>
        <w:t>’</w:t>
      </w:r>
      <w:r w:rsidR="005D6E44" w:rsidRPr="000B36F1">
        <w:rPr>
          <w:rFonts w:cs="Arial"/>
          <w:lang w:val="fr-FR"/>
        </w:rPr>
        <w:t>ouverture de la réunion du groupe de travail technique concerné;  tous les ateliers ont été organisés de manière similaire pour le TWA, le TWF, le TWO et le TWV et ont porté sur les points suivants :</w:t>
      </w:r>
    </w:p>
    <w:p w:rsidR="00823255" w:rsidRPr="000B36F1" w:rsidRDefault="00823255" w:rsidP="000B36F1">
      <w:pPr>
        <w:rPr>
          <w:rFonts w:cs="Arial"/>
          <w:lang w:val="fr-FR"/>
        </w:rPr>
      </w:pPr>
    </w:p>
    <w:p w:rsidR="00823255" w:rsidRPr="000B36F1" w:rsidRDefault="00942420" w:rsidP="000B36F1">
      <w:pPr>
        <w:numPr>
          <w:ilvl w:val="0"/>
          <w:numId w:val="3"/>
        </w:numPr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P</w:t>
      </w:r>
      <w:r w:rsidR="005D6E44" w:rsidRPr="000B36F1">
        <w:rPr>
          <w:rFonts w:cs="Arial"/>
          <w:i/>
          <w:lang w:val="fr-FR"/>
        </w:rPr>
        <w:t>résentation de l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UPOV et du rôle des groupes de travail techniques (TWP)</w:t>
      </w:r>
    </w:p>
    <w:p w:rsidR="00823255" w:rsidRPr="000B36F1" w:rsidRDefault="005D6E44" w:rsidP="000B36F1">
      <w:pPr>
        <w:numPr>
          <w:ilvl w:val="0"/>
          <w:numId w:val="3"/>
        </w:numPr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Aperçu de l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introduction générale (document TG/1/et des documents TGP</w:t>
      </w:r>
      <w:r w:rsidR="00942420" w:rsidRPr="000B36F1">
        <w:rPr>
          <w:rFonts w:cs="Arial"/>
          <w:i/>
          <w:lang w:val="fr-FR"/>
        </w:rPr>
        <w:t>)</w:t>
      </w:r>
    </w:p>
    <w:p w:rsidR="00823255" w:rsidRPr="000B36F1" w:rsidRDefault="005D6E44" w:rsidP="000B36F1">
      <w:pPr>
        <w:numPr>
          <w:ilvl w:val="0"/>
          <w:numId w:val="6"/>
        </w:numPr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Les caractères comme base de l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examen DHS et sélection des caractères.</w:t>
      </w:r>
    </w:p>
    <w:p w:rsidR="001F7818" w:rsidRPr="000B36F1" w:rsidRDefault="00942420" w:rsidP="000B36F1">
      <w:pPr>
        <w:numPr>
          <w:ilvl w:val="0"/>
          <w:numId w:val="3"/>
        </w:numPr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Conseils pour l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élaboration des principes directeurs d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 xml:space="preserve">examen </w:t>
      </w:r>
      <w:r w:rsidR="005D6E44" w:rsidRPr="000B36F1">
        <w:rPr>
          <w:rFonts w:cs="Arial"/>
          <w:i/>
          <w:lang w:val="fr-FR"/>
        </w:rPr>
        <w:t>(document TGP/7)</w:t>
      </w:r>
    </w:p>
    <w:p w:rsidR="00823255" w:rsidRPr="000B36F1" w:rsidRDefault="00E17833" w:rsidP="000B36F1">
      <w:pPr>
        <w:numPr>
          <w:ilvl w:val="0"/>
          <w:numId w:val="2"/>
        </w:numPr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o</w:t>
      </w:r>
      <w:r w:rsidR="005D6E44" w:rsidRPr="000B36F1">
        <w:rPr>
          <w:rFonts w:cs="Arial"/>
          <w:i/>
          <w:lang w:val="fr-FR"/>
        </w:rPr>
        <w:t>bjet des principes directeurs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examen, matériel requis et méthode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examen;</w:t>
      </w:r>
    </w:p>
    <w:p w:rsidR="00823255" w:rsidRPr="000B36F1" w:rsidRDefault="00E17833" w:rsidP="000B36F1">
      <w:pPr>
        <w:numPr>
          <w:ilvl w:val="0"/>
          <w:numId w:val="2"/>
        </w:numPr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m</w:t>
      </w:r>
      <w:r w:rsidR="005D6E44" w:rsidRPr="000B36F1">
        <w:rPr>
          <w:rFonts w:cs="Arial"/>
          <w:i/>
          <w:lang w:val="fr-FR"/>
        </w:rPr>
        <w:t>éthode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observation (MS, MG, VS, VG);</w:t>
      </w:r>
    </w:p>
    <w:p w:rsidR="00823255" w:rsidRPr="000B36F1" w:rsidRDefault="00E17833" w:rsidP="000B36F1">
      <w:pPr>
        <w:numPr>
          <w:ilvl w:val="0"/>
          <w:numId w:val="2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t</w:t>
      </w:r>
      <w:r w:rsidR="005D6E44" w:rsidRPr="000B36F1">
        <w:rPr>
          <w:rFonts w:cs="Arial"/>
          <w:i/>
          <w:lang w:val="fr-FR"/>
        </w:rPr>
        <w:t>ypes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expression (QL, PQ, QN), notes et distinction;</w:t>
      </w:r>
    </w:p>
    <w:p w:rsidR="00823255" w:rsidRPr="000B36F1" w:rsidRDefault="00E17833" w:rsidP="000B36F1">
      <w:pPr>
        <w:numPr>
          <w:ilvl w:val="0"/>
          <w:numId w:val="2"/>
        </w:numPr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c</w:t>
      </w:r>
      <w:r w:rsidR="005D6E44" w:rsidRPr="000B36F1">
        <w:rPr>
          <w:rFonts w:cs="Arial"/>
          <w:i/>
          <w:lang w:val="fr-FR"/>
        </w:rPr>
        <w:t>aractères de forme et de couleur;</w:t>
      </w:r>
    </w:p>
    <w:p w:rsidR="00823255" w:rsidRPr="000B36F1" w:rsidRDefault="00E17833" w:rsidP="000B36F1">
      <w:pPr>
        <w:numPr>
          <w:ilvl w:val="0"/>
          <w:numId w:val="2"/>
        </w:numPr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v</w:t>
      </w:r>
      <w:r w:rsidR="005D6E44" w:rsidRPr="000B36F1">
        <w:rPr>
          <w:rFonts w:cs="Arial"/>
          <w:i/>
          <w:lang w:val="fr-FR"/>
        </w:rPr>
        <w:t>ariétés indiquées à titre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exemples</w:t>
      </w:r>
      <w:r w:rsidRPr="000B36F1">
        <w:rPr>
          <w:rFonts w:cs="Arial"/>
          <w:i/>
          <w:lang w:val="fr-FR"/>
        </w:rPr>
        <w:t>;</w:t>
      </w:r>
    </w:p>
    <w:p w:rsidR="00823255" w:rsidRPr="000B36F1" w:rsidRDefault="00E17833" w:rsidP="000B36F1">
      <w:pPr>
        <w:numPr>
          <w:ilvl w:val="0"/>
          <w:numId w:val="2"/>
        </w:numPr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p</w:t>
      </w:r>
      <w:r w:rsidR="005D6E44" w:rsidRPr="000B36F1">
        <w:rPr>
          <w:rFonts w:cs="Arial"/>
          <w:i/>
          <w:lang w:val="fr-FR"/>
        </w:rPr>
        <w:t>rocessus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élaboration des principes directeurs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 xml:space="preserve">examen, </w:t>
      </w:r>
      <w:r w:rsidR="001F7818" w:rsidRPr="000B36F1">
        <w:rPr>
          <w:rFonts w:cs="Arial"/>
          <w:i/>
          <w:lang w:val="fr-FR"/>
        </w:rPr>
        <w:t>y compris</w:t>
      </w:r>
      <w:r w:rsidR="005D6E44" w:rsidRPr="000B36F1">
        <w:rPr>
          <w:rFonts w:cs="Arial"/>
          <w:i/>
          <w:lang w:val="fr-FR"/>
        </w:rPr>
        <w:t xml:space="preserve"> modèle de principes directeurs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examen;  texte standard supplémentaire;  et notes indicatives</w:t>
      </w:r>
      <w:r w:rsidRPr="000B36F1">
        <w:rPr>
          <w:rFonts w:cs="Arial"/>
          <w:i/>
          <w:lang w:val="fr-FR"/>
        </w:rPr>
        <w:t>.</w:t>
      </w:r>
    </w:p>
    <w:p w:rsidR="00823255" w:rsidRPr="000B36F1" w:rsidRDefault="005D6E44" w:rsidP="000B36F1">
      <w:pPr>
        <w:numPr>
          <w:ilvl w:val="0"/>
          <w:numId w:val="3"/>
        </w:numPr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Ordre du jour de la session du TWP</w:t>
      </w:r>
    </w:p>
    <w:p w:rsidR="00823255" w:rsidRPr="000B36F1" w:rsidRDefault="00942420" w:rsidP="000B36F1">
      <w:pPr>
        <w:numPr>
          <w:ilvl w:val="0"/>
          <w:numId w:val="3"/>
        </w:numPr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 xml:space="preserve">Réaction </w:t>
      </w:r>
      <w:r w:rsidR="00EB0880">
        <w:rPr>
          <w:rFonts w:cs="Arial"/>
          <w:i/>
          <w:lang w:val="fr-FR"/>
        </w:rPr>
        <w:t>des participants</w:t>
      </w:r>
    </w:p>
    <w:p w:rsidR="00823255" w:rsidRPr="000B36F1" w:rsidRDefault="00823255" w:rsidP="000B36F1">
      <w:pPr>
        <w:rPr>
          <w:rFonts w:cs="Arial"/>
          <w:lang w:val="fr-FR"/>
        </w:rPr>
      </w:pPr>
    </w:p>
    <w:p w:rsidR="00823255" w:rsidRPr="000B36F1" w:rsidRDefault="00DE0087" w:rsidP="000B36F1">
      <w:pPr>
        <w:rPr>
          <w:rFonts w:cs="Arial"/>
          <w:lang w:val="fr-FR"/>
        </w:rPr>
      </w:pPr>
      <w:r w:rsidRPr="000B36F1">
        <w:rPr>
          <w:rFonts w:cs="Arial"/>
          <w:lang w:val="fr-FR"/>
        </w:rPr>
        <w:fldChar w:fldCharType="begin"/>
      </w:r>
      <w:r w:rsidRPr="000B36F1">
        <w:rPr>
          <w:rFonts w:cs="Arial"/>
          <w:lang w:val="fr-FR"/>
        </w:rPr>
        <w:instrText xml:space="preserve"> AUTONUM  </w:instrText>
      </w:r>
      <w:r w:rsidRPr="000B36F1">
        <w:rPr>
          <w:rFonts w:cs="Arial"/>
          <w:lang w:val="fr-FR"/>
        </w:rPr>
        <w:fldChar w:fldCharType="end"/>
      </w:r>
      <w:r w:rsidRPr="000B36F1">
        <w:rPr>
          <w:rFonts w:cs="Arial"/>
          <w:lang w:val="fr-FR"/>
        </w:rPr>
        <w:tab/>
      </w:r>
      <w:r w:rsidR="005D6E44" w:rsidRPr="000B36F1">
        <w:rPr>
          <w:rFonts w:cs="Arial"/>
          <w:lang w:val="fr-FR"/>
        </w:rPr>
        <w:t>L</w:t>
      </w:r>
      <w:r w:rsidR="001F7818" w:rsidRPr="000B36F1">
        <w:rPr>
          <w:rFonts w:cs="Arial"/>
          <w:lang w:val="fr-FR"/>
        </w:rPr>
        <w:t>’</w:t>
      </w:r>
      <w:r w:rsidR="005D6E44" w:rsidRPr="000B36F1">
        <w:rPr>
          <w:rFonts w:cs="Arial"/>
          <w:lang w:val="fr-FR"/>
        </w:rPr>
        <w:t>atelier préparatoire pour le TWC a porté sur les points suivants :</w:t>
      </w:r>
    </w:p>
    <w:p w:rsidR="00823255" w:rsidRPr="000B36F1" w:rsidRDefault="00823255" w:rsidP="000B36F1">
      <w:pPr>
        <w:rPr>
          <w:rFonts w:cs="Arial"/>
          <w:lang w:val="fr-FR"/>
        </w:rPr>
      </w:pPr>
    </w:p>
    <w:p w:rsidR="00823255" w:rsidRPr="000B36F1" w:rsidRDefault="00942420" w:rsidP="000B36F1">
      <w:pPr>
        <w:ind w:left="1134" w:hanging="567"/>
        <w:rPr>
          <w:i/>
          <w:lang w:val="fr-FR"/>
        </w:rPr>
      </w:pPr>
      <w:r w:rsidRPr="000B36F1">
        <w:rPr>
          <w:i/>
          <w:lang w:val="fr-FR"/>
        </w:rPr>
        <w:t>1.</w:t>
      </w:r>
      <w:r w:rsidRPr="000B36F1">
        <w:rPr>
          <w:i/>
          <w:lang w:val="fr-FR"/>
        </w:rPr>
        <w:tab/>
      </w:r>
      <w:r w:rsidR="005D6E44" w:rsidRPr="000B36F1">
        <w:rPr>
          <w:i/>
          <w:lang w:val="fr-FR"/>
        </w:rPr>
        <w:t>Présentation de l</w:t>
      </w:r>
      <w:r w:rsidR="001F7818" w:rsidRPr="000B36F1">
        <w:rPr>
          <w:i/>
          <w:lang w:val="fr-FR"/>
        </w:rPr>
        <w:t>’</w:t>
      </w:r>
      <w:r w:rsidR="005D6E44" w:rsidRPr="000B36F1">
        <w:rPr>
          <w:i/>
          <w:lang w:val="fr-FR"/>
        </w:rPr>
        <w:t>UPOV et du rôle des groupes de travail techniques (TWP)</w:t>
      </w:r>
    </w:p>
    <w:p w:rsidR="00942420" w:rsidRPr="000B36F1" w:rsidRDefault="00DE0087" w:rsidP="000B36F1">
      <w:pPr>
        <w:ind w:firstLine="567"/>
        <w:rPr>
          <w:i/>
          <w:lang w:val="fr-FR"/>
        </w:rPr>
      </w:pPr>
      <w:r w:rsidRPr="000B36F1">
        <w:rPr>
          <w:i/>
          <w:lang w:val="fr-FR"/>
        </w:rPr>
        <w:t>2.</w:t>
      </w:r>
      <w:r w:rsidRPr="000B36F1">
        <w:rPr>
          <w:i/>
          <w:lang w:val="fr-FR"/>
        </w:rPr>
        <w:tab/>
      </w:r>
      <w:r w:rsidR="00942420" w:rsidRPr="000B36F1">
        <w:rPr>
          <w:i/>
          <w:lang w:val="fr-FR"/>
        </w:rPr>
        <w:t>Aperçu des essais DHS et des principes directeurs d</w:t>
      </w:r>
      <w:r w:rsidR="001F7818" w:rsidRPr="000B36F1">
        <w:rPr>
          <w:i/>
          <w:lang w:val="fr-FR"/>
        </w:rPr>
        <w:t>’</w:t>
      </w:r>
      <w:r w:rsidR="00942420" w:rsidRPr="000B36F1">
        <w:rPr>
          <w:i/>
          <w:lang w:val="fr-FR"/>
        </w:rPr>
        <w:t>examen</w:t>
      </w:r>
    </w:p>
    <w:p w:rsidR="00823255" w:rsidRPr="000B36F1" w:rsidRDefault="00942420" w:rsidP="000B36F1">
      <w:pPr>
        <w:ind w:left="1134"/>
        <w:rPr>
          <w:i/>
          <w:lang w:val="fr-FR"/>
        </w:rPr>
      </w:pPr>
      <w:r w:rsidRPr="000B36F1">
        <w:rPr>
          <w:i/>
          <w:lang w:val="fr-FR"/>
        </w:rPr>
        <w:t>a)</w:t>
      </w:r>
      <w:r w:rsidRPr="000B36F1">
        <w:rPr>
          <w:i/>
          <w:lang w:val="fr-FR"/>
        </w:rPr>
        <w:tab/>
      </w:r>
      <w:r w:rsidR="005D6E44" w:rsidRPr="000B36F1">
        <w:rPr>
          <w:i/>
          <w:lang w:val="fr-FR"/>
        </w:rPr>
        <w:t>Méthode d</w:t>
      </w:r>
      <w:r w:rsidR="001F7818" w:rsidRPr="000B36F1">
        <w:rPr>
          <w:i/>
          <w:lang w:val="fr-FR"/>
        </w:rPr>
        <w:t>’</w:t>
      </w:r>
      <w:r w:rsidR="005D6E44" w:rsidRPr="000B36F1">
        <w:rPr>
          <w:i/>
          <w:lang w:val="fr-FR"/>
        </w:rPr>
        <w:t>observation et type de notation (MS, MG, VS, VG)</w:t>
      </w:r>
    </w:p>
    <w:p w:rsidR="00823255" w:rsidRPr="000B36F1" w:rsidRDefault="00942420" w:rsidP="000B36F1">
      <w:pPr>
        <w:ind w:left="1134"/>
        <w:rPr>
          <w:i/>
          <w:lang w:val="fr-FR"/>
        </w:rPr>
      </w:pPr>
      <w:r w:rsidRPr="000B36F1">
        <w:rPr>
          <w:i/>
          <w:lang w:val="fr-FR"/>
        </w:rPr>
        <w:t>b)</w:t>
      </w:r>
      <w:r w:rsidRPr="000B36F1">
        <w:rPr>
          <w:i/>
          <w:lang w:val="fr-FR"/>
        </w:rPr>
        <w:tab/>
      </w:r>
      <w:r w:rsidR="005D6E44" w:rsidRPr="000B36F1">
        <w:rPr>
          <w:i/>
          <w:lang w:val="fr-FR"/>
        </w:rPr>
        <w:t>Types d</w:t>
      </w:r>
      <w:r w:rsidR="001F7818" w:rsidRPr="000B36F1">
        <w:rPr>
          <w:i/>
          <w:lang w:val="fr-FR"/>
        </w:rPr>
        <w:t>’</w:t>
      </w:r>
      <w:r w:rsidR="005D6E44" w:rsidRPr="000B36F1">
        <w:rPr>
          <w:i/>
          <w:lang w:val="fr-FR"/>
        </w:rPr>
        <w:t>expression des caractères (QL, PQ et QN) et types d</w:t>
      </w:r>
      <w:r w:rsidR="001F7818" w:rsidRPr="000B36F1">
        <w:rPr>
          <w:i/>
          <w:lang w:val="fr-FR"/>
        </w:rPr>
        <w:t>’</w:t>
      </w:r>
      <w:r w:rsidR="005D6E44" w:rsidRPr="000B36F1">
        <w:rPr>
          <w:i/>
          <w:lang w:val="fr-FR"/>
        </w:rPr>
        <w:t>échelles de données</w:t>
      </w:r>
    </w:p>
    <w:p w:rsidR="00823255" w:rsidRPr="000B36F1" w:rsidRDefault="00942420" w:rsidP="000B36F1">
      <w:pPr>
        <w:ind w:left="1134" w:hanging="567"/>
        <w:rPr>
          <w:i/>
          <w:lang w:val="fr-FR"/>
        </w:rPr>
      </w:pPr>
      <w:r w:rsidRPr="000B36F1">
        <w:rPr>
          <w:i/>
          <w:lang w:val="fr-FR"/>
        </w:rPr>
        <w:t>3.</w:t>
      </w:r>
      <w:r w:rsidRPr="000B36F1">
        <w:rPr>
          <w:i/>
          <w:lang w:val="fr-FR"/>
        </w:rPr>
        <w:tab/>
      </w:r>
      <w:r w:rsidR="005D6E44" w:rsidRPr="000B36F1">
        <w:rPr>
          <w:i/>
          <w:lang w:val="fr-FR"/>
        </w:rPr>
        <w:t>Méthodes appliquées pour l</w:t>
      </w:r>
      <w:r w:rsidR="001F7818" w:rsidRPr="000B36F1">
        <w:rPr>
          <w:i/>
          <w:lang w:val="fr-FR"/>
        </w:rPr>
        <w:t>’</w:t>
      </w:r>
      <w:r w:rsidR="005D6E44" w:rsidRPr="000B36F1">
        <w:rPr>
          <w:i/>
          <w:lang w:val="fr-FR"/>
        </w:rPr>
        <w:t>analyse des données DHS et l</w:t>
      </w:r>
      <w:r w:rsidR="001F7818" w:rsidRPr="000B36F1">
        <w:rPr>
          <w:i/>
          <w:lang w:val="fr-FR"/>
        </w:rPr>
        <w:t>’</w:t>
      </w:r>
      <w:r w:rsidR="005D6E44" w:rsidRPr="000B36F1">
        <w:rPr>
          <w:i/>
          <w:lang w:val="fr-FR"/>
        </w:rPr>
        <w:t>élaboration des descriptions variétales</w:t>
      </w:r>
    </w:p>
    <w:p w:rsidR="00823255" w:rsidRPr="000B36F1" w:rsidRDefault="00DE0087" w:rsidP="000B36F1">
      <w:pPr>
        <w:ind w:left="1134"/>
        <w:rPr>
          <w:i/>
          <w:lang w:val="fr-FR"/>
        </w:rPr>
      </w:pPr>
      <w:r w:rsidRPr="000B36F1">
        <w:rPr>
          <w:i/>
          <w:lang w:val="fr-FR"/>
        </w:rPr>
        <w:t>a)</w:t>
      </w:r>
      <w:r w:rsidRPr="000B36F1">
        <w:rPr>
          <w:i/>
          <w:lang w:val="fr-FR"/>
        </w:rPr>
        <w:tab/>
      </w:r>
      <w:r w:rsidR="00942420" w:rsidRPr="000B36F1">
        <w:rPr>
          <w:i/>
          <w:lang w:val="fr-FR"/>
        </w:rPr>
        <w:t>Méthodes d</w:t>
      </w:r>
      <w:r w:rsidR="001F7818" w:rsidRPr="000B36F1">
        <w:rPr>
          <w:i/>
          <w:lang w:val="fr-FR"/>
        </w:rPr>
        <w:t>’</w:t>
      </w:r>
      <w:r w:rsidR="00942420" w:rsidRPr="000B36F1">
        <w:rPr>
          <w:i/>
          <w:lang w:val="fr-FR"/>
        </w:rPr>
        <w:t>exploitation appliquées dans le cadre de l</w:t>
      </w:r>
      <w:r w:rsidR="001F7818" w:rsidRPr="000B36F1">
        <w:rPr>
          <w:i/>
          <w:lang w:val="fr-FR"/>
        </w:rPr>
        <w:t>’</w:t>
      </w:r>
      <w:r w:rsidR="00942420" w:rsidRPr="000B36F1">
        <w:rPr>
          <w:i/>
          <w:lang w:val="fr-FR"/>
        </w:rPr>
        <w:t>examen</w:t>
      </w:r>
      <w:r w:rsidR="006058A9" w:rsidRPr="000B36F1">
        <w:rPr>
          <w:i/>
          <w:lang w:val="fr-FR"/>
        </w:rPr>
        <w:t> </w:t>
      </w:r>
      <w:r w:rsidR="00942420" w:rsidRPr="000B36F1">
        <w:rPr>
          <w:i/>
          <w:lang w:val="fr-FR"/>
        </w:rPr>
        <w:t>DHS en vue de la conversion des observations et des mesures en notes concernant la distinction et les descriptions variétales</w:t>
      </w:r>
    </w:p>
    <w:p w:rsidR="00823255" w:rsidRPr="000B36F1" w:rsidRDefault="00DE0087" w:rsidP="000B36F1">
      <w:pPr>
        <w:ind w:left="1134"/>
        <w:rPr>
          <w:i/>
          <w:lang w:val="fr-FR"/>
        </w:rPr>
      </w:pPr>
      <w:r w:rsidRPr="000B36F1">
        <w:rPr>
          <w:i/>
          <w:lang w:val="fr-FR"/>
        </w:rPr>
        <w:t>b)</w:t>
      </w:r>
      <w:r w:rsidRPr="000B36F1">
        <w:rPr>
          <w:i/>
          <w:lang w:val="fr-FR"/>
        </w:rPr>
        <w:tab/>
      </w:r>
      <w:r w:rsidR="00942420" w:rsidRPr="000B36F1">
        <w:rPr>
          <w:i/>
          <w:lang w:val="fr-FR"/>
        </w:rPr>
        <w:t>Méthode appliquée pour le protocole d</w:t>
      </w:r>
      <w:r w:rsidR="001F7818" w:rsidRPr="000B36F1">
        <w:rPr>
          <w:i/>
          <w:lang w:val="fr-FR"/>
        </w:rPr>
        <w:t>’</w:t>
      </w:r>
      <w:r w:rsidR="00942420" w:rsidRPr="000B36F1">
        <w:rPr>
          <w:i/>
          <w:lang w:val="fr-FR"/>
        </w:rPr>
        <w:t>essai DHS et l</w:t>
      </w:r>
      <w:r w:rsidR="001F7818" w:rsidRPr="000B36F1">
        <w:rPr>
          <w:i/>
          <w:lang w:val="fr-FR"/>
        </w:rPr>
        <w:t>’</w:t>
      </w:r>
      <w:r w:rsidR="00942420" w:rsidRPr="000B36F1">
        <w:rPr>
          <w:i/>
          <w:lang w:val="fr-FR"/>
        </w:rPr>
        <w:t>analyse des données</w:t>
      </w:r>
    </w:p>
    <w:p w:rsidR="00823255" w:rsidRPr="000B36F1" w:rsidRDefault="005D6E44" w:rsidP="000B36F1">
      <w:pPr>
        <w:ind w:left="1134" w:hanging="567"/>
        <w:rPr>
          <w:i/>
          <w:lang w:val="fr-FR"/>
        </w:rPr>
      </w:pPr>
      <w:r w:rsidRPr="000B36F1">
        <w:rPr>
          <w:i/>
          <w:lang w:val="fr-FR"/>
        </w:rPr>
        <w:t xml:space="preserve">4. </w:t>
      </w:r>
      <w:r w:rsidR="006058A9" w:rsidRPr="000B36F1">
        <w:rPr>
          <w:i/>
          <w:lang w:val="fr-FR"/>
        </w:rPr>
        <w:t xml:space="preserve"> </w:t>
      </w:r>
      <w:r w:rsidR="00942420" w:rsidRPr="000B36F1">
        <w:rPr>
          <w:i/>
          <w:lang w:val="fr-FR"/>
        </w:rPr>
        <w:tab/>
      </w:r>
      <w:r w:rsidRPr="000B36F1">
        <w:rPr>
          <w:i/>
          <w:lang w:val="fr-FR"/>
        </w:rPr>
        <w:t>Analyse d</w:t>
      </w:r>
      <w:r w:rsidR="001F7818" w:rsidRPr="000B36F1">
        <w:rPr>
          <w:i/>
          <w:lang w:val="fr-FR"/>
        </w:rPr>
        <w:t>’</w:t>
      </w:r>
      <w:r w:rsidRPr="000B36F1">
        <w:rPr>
          <w:i/>
          <w:lang w:val="fr-FR"/>
        </w:rPr>
        <w:t>images</w:t>
      </w:r>
    </w:p>
    <w:p w:rsidR="00823255" w:rsidRPr="000B36F1" w:rsidRDefault="00942420" w:rsidP="000B36F1">
      <w:pPr>
        <w:ind w:left="1134" w:hanging="567"/>
        <w:rPr>
          <w:i/>
          <w:lang w:val="fr-FR"/>
        </w:rPr>
      </w:pPr>
      <w:r w:rsidRPr="000B36F1">
        <w:rPr>
          <w:i/>
          <w:lang w:val="fr-FR"/>
        </w:rPr>
        <w:t>5.</w:t>
      </w:r>
      <w:r w:rsidRPr="000B36F1">
        <w:rPr>
          <w:i/>
          <w:lang w:val="fr-FR"/>
        </w:rPr>
        <w:tab/>
      </w:r>
      <w:r w:rsidR="005D6E44" w:rsidRPr="000B36F1">
        <w:rPr>
          <w:i/>
          <w:lang w:val="fr-FR"/>
        </w:rPr>
        <w:t>Le site</w:t>
      </w:r>
      <w:r w:rsidR="006058A9" w:rsidRPr="000B36F1">
        <w:rPr>
          <w:i/>
          <w:lang w:val="fr-FR"/>
        </w:rPr>
        <w:t> </w:t>
      </w:r>
      <w:r w:rsidR="005D6E44" w:rsidRPr="000B36F1">
        <w:rPr>
          <w:i/>
          <w:lang w:val="fr-FR"/>
        </w:rPr>
        <w:t>Web de l</w:t>
      </w:r>
      <w:r w:rsidR="001F7818" w:rsidRPr="000B36F1">
        <w:rPr>
          <w:i/>
          <w:lang w:val="fr-FR"/>
        </w:rPr>
        <w:t>’</w:t>
      </w:r>
      <w:r w:rsidR="005D6E44" w:rsidRPr="000B36F1">
        <w:rPr>
          <w:i/>
          <w:lang w:val="fr-FR"/>
        </w:rPr>
        <w:t>UPOV</w:t>
      </w:r>
    </w:p>
    <w:p w:rsidR="00823255" w:rsidRPr="000B36F1" w:rsidRDefault="00942420" w:rsidP="000B36F1">
      <w:pPr>
        <w:ind w:left="1134"/>
        <w:rPr>
          <w:i/>
          <w:lang w:val="fr-FR"/>
        </w:rPr>
      </w:pPr>
      <w:r w:rsidRPr="000B36F1">
        <w:rPr>
          <w:i/>
          <w:lang w:val="fr-FR"/>
        </w:rPr>
        <w:t>a)</w:t>
      </w:r>
      <w:r w:rsidRPr="000B36F1">
        <w:rPr>
          <w:i/>
          <w:lang w:val="fr-FR"/>
        </w:rPr>
        <w:tab/>
      </w:r>
      <w:r w:rsidR="005D6E44" w:rsidRPr="000B36F1">
        <w:rPr>
          <w:i/>
          <w:lang w:val="fr-FR"/>
        </w:rPr>
        <w:t>Bases de données (Code UPOV, GENIE, PLUTO, principes directeurs d</w:t>
      </w:r>
      <w:r w:rsidR="001F7818" w:rsidRPr="000B36F1">
        <w:rPr>
          <w:i/>
          <w:lang w:val="fr-FR"/>
        </w:rPr>
        <w:t>’</w:t>
      </w:r>
      <w:r w:rsidR="005D6E44" w:rsidRPr="000B36F1">
        <w:rPr>
          <w:i/>
          <w:lang w:val="fr-FR"/>
        </w:rPr>
        <w:t>examen et UPOV Lex)</w:t>
      </w:r>
    </w:p>
    <w:p w:rsidR="00823255" w:rsidRPr="000B36F1" w:rsidRDefault="00942420" w:rsidP="000B36F1">
      <w:pPr>
        <w:ind w:left="1134"/>
        <w:rPr>
          <w:i/>
          <w:lang w:val="fr-FR"/>
        </w:rPr>
      </w:pPr>
      <w:r w:rsidRPr="000B36F1">
        <w:rPr>
          <w:i/>
          <w:lang w:val="fr-FR"/>
        </w:rPr>
        <w:t>b)</w:t>
      </w:r>
      <w:r w:rsidRPr="000B36F1">
        <w:rPr>
          <w:i/>
          <w:lang w:val="fr-FR"/>
        </w:rPr>
        <w:tab/>
      </w:r>
      <w:r w:rsidR="005D6E44" w:rsidRPr="000B36F1">
        <w:rPr>
          <w:i/>
          <w:lang w:val="fr-FR"/>
        </w:rPr>
        <w:t>Autres sources d</w:t>
      </w:r>
      <w:r w:rsidR="001F7818" w:rsidRPr="000B36F1">
        <w:rPr>
          <w:i/>
          <w:lang w:val="fr-FR"/>
        </w:rPr>
        <w:t>’</w:t>
      </w:r>
      <w:r w:rsidR="005D6E44" w:rsidRPr="000B36F1">
        <w:rPr>
          <w:i/>
          <w:lang w:val="fr-FR"/>
        </w:rPr>
        <w:t>information disponibles (publications, Membres, collection, calendrier des réunions)</w:t>
      </w:r>
    </w:p>
    <w:p w:rsidR="00823255" w:rsidRPr="000B36F1" w:rsidRDefault="00DE0087" w:rsidP="000B36F1">
      <w:pPr>
        <w:ind w:left="1134" w:hanging="567"/>
        <w:rPr>
          <w:i/>
          <w:lang w:val="fr-FR"/>
        </w:rPr>
      </w:pPr>
      <w:r w:rsidRPr="000B36F1">
        <w:rPr>
          <w:i/>
          <w:lang w:val="fr-FR"/>
        </w:rPr>
        <w:t>6.</w:t>
      </w:r>
      <w:r w:rsidRPr="000B36F1">
        <w:rPr>
          <w:i/>
          <w:lang w:val="fr-FR"/>
        </w:rPr>
        <w:tab/>
      </w:r>
      <w:r w:rsidR="00942420" w:rsidRPr="000B36F1">
        <w:rPr>
          <w:i/>
          <w:lang w:val="fr-FR"/>
        </w:rPr>
        <w:t>Ordre du jour de la session</w:t>
      </w:r>
      <w:r w:rsidR="001F7818" w:rsidRPr="000B36F1">
        <w:rPr>
          <w:i/>
          <w:lang w:val="fr-FR"/>
        </w:rPr>
        <w:t xml:space="preserve"> du TWC</w:t>
      </w:r>
    </w:p>
    <w:p w:rsidR="00823255" w:rsidRPr="000B36F1" w:rsidRDefault="005D6E44" w:rsidP="000B36F1">
      <w:pPr>
        <w:ind w:left="1134" w:hanging="567"/>
        <w:rPr>
          <w:i/>
          <w:lang w:val="fr-FR"/>
        </w:rPr>
      </w:pPr>
      <w:r w:rsidRPr="000B36F1">
        <w:rPr>
          <w:i/>
          <w:lang w:val="fr-FR"/>
        </w:rPr>
        <w:t>7.</w:t>
      </w:r>
      <w:r w:rsidR="00942420" w:rsidRPr="000B36F1">
        <w:rPr>
          <w:i/>
          <w:lang w:val="fr-FR"/>
        </w:rPr>
        <w:tab/>
      </w:r>
      <w:r w:rsidRPr="000B36F1">
        <w:rPr>
          <w:i/>
          <w:lang w:val="fr-FR"/>
        </w:rPr>
        <w:t>Réactions des participants</w:t>
      </w:r>
    </w:p>
    <w:p w:rsidR="00823255" w:rsidRPr="000B36F1" w:rsidRDefault="00823255" w:rsidP="000B36F1">
      <w:pPr>
        <w:ind w:left="1134" w:hanging="567"/>
        <w:rPr>
          <w:i/>
          <w:lang w:val="fr-FR"/>
        </w:rPr>
      </w:pPr>
    </w:p>
    <w:p w:rsidR="00823255" w:rsidRPr="000B36F1" w:rsidRDefault="005228C5" w:rsidP="000B36F1">
      <w:pPr>
        <w:rPr>
          <w:rFonts w:cs="Arial"/>
          <w:lang w:val="fr-FR"/>
        </w:rPr>
      </w:pPr>
      <w:r w:rsidRPr="000B36F1">
        <w:rPr>
          <w:rFonts w:cs="Arial"/>
          <w:lang w:val="fr-FR"/>
        </w:rPr>
        <w:fldChar w:fldCharType="begin"/>
      </w:r>
      <w:r w:rsidRPr="000B36F1">
        <w:rPr>
          <w:rFonts w:cs="Arial"/>
          <w:lang w:val="fr-FR"/>
        </w:rPr>
        <w:instrText xml:space="preserve"> AUTONUM  </w:instrText>
      </w:r>
      <w:r w:rsidRPr="000B36F1">
        <w:rPr>
          <w:rFonts w:cs="Arial"/>
          <w:lang w:val="fr-FR"/>
        </w:rPr>
        <w:fldChar w:fldCharType="end"/>
      </w:r>
      <w:r w:rsidRPr="000B36F1">
        <w:rPr>
          <w:rFonts w:cs="Arial"/>
          <w:lang w:val="fr-FR"/>
        </w:rPr>
        <w:tab/>
      </w:r>
      <w:r w:rsidR="005D6E44" w:rsidRPr="000B36F1">
        <w:rPr>
          <w:rFonts w:cs="Arial"/>
          <w:lang w:val="fr-FR"/>
        </w:rPr>
        <w:t>L</w:t>
      </w:r>
      <w:r w:rsidR="001F7818" w:rsidRPr="000B36F1">
        <w:rPr>
          <w:rFonts w:cs="Arial"/>
          <w:lang w:val="fr-FR"/>
        </w:rPr>
        <w:t>’</w:t>
      </w:r>
      <w:r w:rsidR="005D6E44" w:rsidRPr="000B36F1">
        <w:rPr>
          <w:rFonts w:cs="Arial"/>
          <w:lang w:val="fr-FR"/>
        </w:rPr>
        <w:t>atelier préparatoire du BMT comprenait les éléments suivants :</w:t>
      </w:r>
    </w:p>
    <w:p w:rsidR="00823255" w:rsidRPr="000B36F1" w:rsidRDefault="00823255" w:rsidP="000B36F1">
      <w:pPr>
        <w:rPr>
          <w:rFonts w:cs="Arial"/>
          <w:lang w:val="fr-FR"/>
        </w:rPr>
      </w:pPr>
    </w:p>
    <w:p w:rsidR="00823255" w:rsidRPr="000B36F1" w:rsidRDefault="005D6E44" w:rsidP="000B36F1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  <w:lang w:val="fr-FR"/>
        </w:rPr>
      </w:pPr>
      <w:r w:rsidRPr="000B36F1">
        <w:rPr>
          <w:rFonts w:ascii="Arial" w:hAnsi="Arial" w:cs="Arial"/>
          <w:i/>
          <w:sz w:val="20"/>
          <w:szCs w:val="20"/>
          <w:lang w:val="fr-FR"/>
        </w:rPr>
        <w:t>Présentation de l</w:t>
      </w:r>
      <w:r w:rsidR="001F7818" w:rsidRPr="000B36F1">
        <w:rPr>
          <w:rFonts w:ascii="Arial" w:hAnsi="Arial" w:cs="Arial"/>
          <w:i/>
          <w:sz w:val="20"/>
          <w:szCs w:val="20"/>
          <w:lang w:val="fr-FR"/>
        </w:rPr>
        <w:t>’</w:t>
      </w:r>
      <w:r w:rsidRPr="000B36F1">
        <w:rPr>
          <w:rFonts w:ascii="Arial" w:hAnsi="Arial" w:cs="Arial"/>
          <w:i/>
          <w:sz w:val="20"/>
          <w:szCs w:val="20"/>
          <w:lang w:val="fr-FR"/>
        </w:rPr>
        <w:t>UPOV</w:t>
      </w:r>
    </w:p>
    <w:p w:rsidR="00823255" w:rsidRPr="000B36F1" w:rsidRDefault="005D6E44" w:rsidP="000B36F1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  <w:lang w:val="fr-FR"/>
        </w:rPr>
      </w:pPr>
      <w:r w:rsidRPr="000B36F1">
        <w:rPr>
          <w:rFonts w:ascii="Arial" w:hAnsi="Arial" w:cs="Arial"/>
          <w:i/>
          <w:sz w:val="20"/>
          <w:szCs w:val="20"/>
          <w:lang w:val="fr-FR"/>
        </w:rPr>
        <w:t>Aperçu des groupes de travail techniques (TWP)</w:t>
      </w:r>
    </w:p>
    <w:p w:rsidR="00823255" w:rsidRPr="000B36F1" w:rsidRDefault="005D6E44" w:rsidP="000B36F1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  <w:lang w:val="fr-FR"/>
        </w:rPr>
      </w:pPr>
      <w:r w:rsidRPr="000B36F1">
        <w:rPr>
          <w:rFonts w:ascii="Arial" w:hAnsi="Arial" w:cs="Arial"/>
          <w:i/>
          <w:sz w:val="20"/>
          <w:szCs w:val="20"/>
          <w:lang w:val="fr-FR"/>
        </w:rPr>
        <w:t>Conseils pour l</w:t>
      </w:r>
      <w:r w:rsidR="001F7818" w:rsidRPr="000B36F1">
        <w:rPr>
          <w:rFonts w:ascii="Arial" w:hAnsi="Arial" w:cs="Arial"/>
          <w:i/>
          <w:sz w:val="20"/>
          <w:szCs w:val="20"/>
          <w:lang w:val="fr-FR"/>
        </w:rPr>
        <w:t>’</w:t>
      </w:r>
      <w:r w:rsidRPr="000B36F1">
        <w:rPr>
          <w:rFonts w:ascii="Arial" w:hAnsi="Arial" w:cs="Arial"/>
          <w:i/>
          <w:sz w:val="20"/>
          <w:szCs w:val="20"/>
          <w:lang w:val="fr-FR"/>
        </w:rPr>
        <w:t>examen DHS</w:t>
      </w:r>
    </w:p>
    <w:p w:rsidR="00823255" w:rsidRPr="000B36F1" w:rsidRDefault="005D6E44" w:rsidP="000B36F1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  <w:lang w:val="fr-FR"/>
        </w:rPr>
      </w:pPr>
      <w:r w:rsidRPr="000B36F1">
        <w:rPr>
          <w:rFonts w:ascii="Arial" w:hAnsi="Arial" w:cs="Arial"/>
          <w:i/>
          <w:sz w:val="20"/>
          <w:szCs w:val="20"/>
          <w:lang w:val="fr-FR"/>
        </w:rPr>
        <w:t>Rôle des groupes de travail techniques et du BMT</w:t>
      </w:r>
    </w:p>
    <w:p w:rsidR="00823255" w:rsidRPr="000B36F1" w:rsidRDefault="005D6E44" w:rsidP="000B36F1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  <w:lang w:val="fr-FR"/>
        </w:rPr>
      </w:pPr>
      <w:r w:rsidRPr="000B36F1">
        <w:rPr>
          <w:rFonts w:ascii="Arial" w:hAnsi="Arial" w:cs="Arial"/>
          <w:i/>
          <w:sz w:val="20"/>
          <w:szCs w:val="20"/>
          <w:lang w:val="fr-FR"/>
        </w:rPr>
        <w:t>Situation à l</w:t>
      </w:r>
      <w:r w:rsidR="001F7818" w:rsidRPr="000B36F1">
        <w:rPr>
          <w:rFonts w:ascii="Arial" w:hAnsi="Arial" w:cs="Arial"/>
          <w:i/>
          <w:sz w:val="20"/>
          <w:szCs w:val="20"/>
          <w:lang w:val="fr-FR"/>
        </w:rPr>
        <w:t>’</w:t>
      </w:r>
      <w:r w:rsidRPr="000B36F1">
        <w:rPr>
          <w:rFonts w:ascii="Arial" w:hAnsi="Arial" w:cs="Arial"/>
          <w:i/>
          <w:sz w:val="20"/>
          <w:szCs w:val="20"/>
          <w:lang w:val="fr-FR"/>
        </w:rPr>
        <w:t>UPOV concernant l</w:t>
      </w:r>
      <w:r w:rsidR="001F7818" w:rsidRPr="000B36F1">
        <w:rPr>
          <w:rFonts w:ascii="Arial" w:hAnsi="Arial" w:cs="Arial"/>
          <w:i/>
          <w:sz w:val="20"/>
          <w:szCs w:val="20"/>
          <w:lang w:val="fr-FR"/>
        </w:rPr>
        <w:t>’</w:t>
      </w:r>
      <w:r w:rsidRPr="000B36F1">
        <w:rPr>
          <w:rFonts w:ascii="Arial" w:hAnsi="Arial" w:cs="Arial"/>
          <w:i/>
          <w:sz w:val="20"/>
          <w:szCs w:val="20"/>
          <w:lang w:val="fr-FR"/>
        </w:rPr>
        <w:t>utilisation éventuelle de techniques moléculaires dans l</w:t>
      </w:r>
      <w:r w:rsidR="001F7818" w:rsidRPr="000B36F1">
        <w:rPr>
          <w:rFonts w:ascii="Arial" w:hAnsi="Arial" w:cs="Arial"/>
          <w:i/>
          <w:sz w:val="20"/>
          <w:szCs w:val="20"/>
          <w:lang w:val="fr-FR"/>
        </w:rPr>
        <w:t>’</w:t>
      </w:r>
      <w:r w:rsidRPr="000B36F1">
        <w:rPr>
          <w:rFonts w:ascii="Arial" w:hAnsi="Arial" w:cs="Arial"/>
          <w:i/>
          <w:sz w:val="20"/>
          <w:szCs w:val="20"/>
          <w:lang w:val="fr-FR"/>
        </w:rPr>
        <w:t>examen DHS</w:t>
      </w:r>
    </w:p>
    <w:p w:rsidR="00823255" w:rsidRPr="000B36F1" w:rsidRDefault="005D6E44" w:rsidP="000B36F1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  <w:lang w:val="fr-FR"/>
        </w:rPr>
      </w:pPr>
      <w:r w:rsidRPr="000B36F1">
        <w:rPr>
          <w:rFonts w:ascii="Arial" w:hAnsi="Arial" w:cs="Arial"/>
          <w:i/>
          <w:sz w:val="20"/>
          <w:szCs w:val="20"/>
          <w:lang w:val="fr-FR"/>
        </w:rPr>
        <w:t>La notion de variétés essentiellement dérivées</w:t>
      </w:r>
    </w:p>
    <w:p w:rsidR="00823255" w:rsidRPr="000B36F1" w:rsidRDefault="005D6E44" w:rsidP="000B36F1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  <w:lang w:val="fr-FR"/>
        </w:rPr>
      </w:pPr>
      <w:r w:rsidRPr="000B36F1">
        <w:rPr>
          <w:rFonts w:ascii="Arial" w:hAnsi="Arial" w:cs="Arial"/>
          <w:i/>
          <w:sz w:val="20"/>
          <w:szCs w:val="20"/>
          <w:lang w:val="fr-FR"/>
        </w:rPr>
        <w:t>Le rôle de l</w:t>
      </w:r>
      <w:r w:rsidR="001F7818" w:rsidRPr="000B36F1">
        <w:rPr>
          <w:rFonts w:ascii="Arial" w:hAnsi="Arial" w:cs="Arial"/>
          <w:i/>
          <w:sz w:val="20"/>
          <w:szCs w:val="20"/>
          <w:lang w:val="fr-FR"/>
        </w:rPr>
        <w:t>’</w:t>
      </w:r>
      <w:r w:rsidRPr="000B36F1">
        <w:rPr>
          <w:rFonts w:ascii="Arial" w:hAnsi="Arial" w:cs="Arial"/>
          <w:i/>
          <w:sz w:val="20"/>
          <w:szCs w:val="20"/>
          <w:lang w:val="fr-FR"/>
        </w:rPr>
        <w:t>UPOV dans l</w:t>
      </w:r>
      <w:r w:rsidR="001F7818" w:rsidRPr="000B36F1">
        <w:rPr>
          <w:rFonts w:ascii="Arial" w:hAnsi="Arial" w:cs="Arial"/>
          <w:i/>
          <w:sz w:val="20"/>
          <w:szCs w:val="20"/>
          <w:lang w:val="fr-FR"/>
        </w:rPr>
        <w:t>’</w:t>
      </w:r>
      <w:r w:rsidRPr="000B36F1">
        <w:rPr>
          <w:rFonts w:ascii="Arial" w:hAnsi="Arial" w:cs="Arial"/>
          <w:i/>
          <w:sz w:val="20"/>
          <w:szCs w:val="20"/>
          <w:lang w:val="fr-FR"/>
        </w:rPr>
        <w:t>identification des variétés</w:t>
      </w:r>
    </w:p>
    <w:p w:rsidR="00823255" w:rsidRPr="000B36F1" w:rsidRDefault="008F3889" w:rsidP="000B36F1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  <w:lang w:val="fr-FR"/>
        </w:rPr>
      </w:pPr>
      <w:r w:rsidRPr="000B36F1">
        <w:rPr>
          <w:rFonts w:ascii="Arial" w:hAnsi="Arial" w:cs="Arial"/>
          <w:i/>
          <w:sz w:val="20"/>
          <w:szCs w:val="20"/>
          <w:lang w:val="fr-FR"/>
        </w:rPr>
        <w:t>S</w:t>
      </w:r>
      <w:r w:rsidR="005D6E44" w:rsidRPr="000B36F1">
        <w:rPr>
          <w:rFonts w:ascii="Arial" w:hAnsi="Arial" w:cs="Arial"/>
          <w:i/>
          <w:sz w:val="20"/>
          <w:szCs w:val="20"/>
          <w:lang w:val="fr-FR"/>
        </w:rPr>
        <w:t>ite Web de l</w:t>
      </w:r>
      <w:r w:rsidR="001F7818" w:rsidRPr="000B36F1">
        <w:rPr>
          <w:rFonts w:ascii="Arial" w:hAnsi="Arial" w:cs="Arial"/>
          <w:i/>
          <w:sz w:val="20"/>
          <w:szCs w:val="20"/>
          <w:lang w:val="fr-FR"/>
        </w:rPr>
        <w:t>’</w:t>
      </w:r>
      <w:r w:rsidR="005D6E44" w:rsidRPr="000B36F1">
        <w:rPr>
          <w:rFonts w:ascii="Arial" w:hAnsi="Arial" w:cs="Arial"/>
          <w:i/>
          <w:sz w:val="20"/>
          <w:szCs w:val="20"/>
          <w:lang w:val="fr-FR"/>
        </w:rPr>
        <w:t>UPOV</w:t>
      </w:r>
    </w:p>
    <w:p w:rsidR="008F3889" w:rsidRPr="000B36F1" w:rsidRDefault="005D6E44" w:rsidP="000B36F1">
      <w:pPr>
        <w:pStyle w:val="ListParagraph"/>
        <w:numPr>
          <w:ilvl w:val="0"/>
          <w:numId w:val="11"/>
        </w:numPr>
        <w:ind w:left="1134" w:hanging="567"/>
        <w:rPr>
          <w:rFonts w:ascii="Arial" w:hAnsi="Arial" w:cs="Arial"/>
          <w:i/>
          <w:sz w:val="20"/>
          <w:szCs w:val="20"/>
          <w:lang w:val="fr-FR"/>
        </w:rPr>
      </w:pPr>
      <w:r w:rsidRPr="000B36F1">
        <w:rPr>
          <w:rFonts w:ascii="Arial" w:hAnsi="Arial" w:cs="Arial"/>
          <w:i/>
          <w:sz w:val="20"/>
          <w:szCs w:val="20"/>
          <w:lang w:val="fr-FR"/>
        </w:rPr>
        <w:t>Ordre du jour de la session du BMT</w:t>
      </w:r>
    </w:p>
    <w:p w:rsidR="00823255" w:rsidRPr="000B36F1" w:rsidRDefault="00823255" w:rsidP="000B36F1">
      <w:pPr>
        <w:rPr>
          <w:rFonts w:cs="Arial"/>
          <w:lang w:val="fr-FR"/>
        </w:rPr>
      </w:pPr>
    </w:p>
    <w:p w:rsidR="008F3889" w:rsidRPr="000B36F1" w:rsidRDefault="00A1690E" w:rsidP="000B36F1">
      <w:pPr>
        <w:rPr>
          <w:rFonts w:cs="Arial"/>
          <w:lang w:val="fr-FR"/>
        </w:rPr>
      </w:pPr>
      <w:r w:rsidRPr="000B36F1">
        <w:rPr>
          <w:rFonts w:cs="Arial"/>
          <w:lang w:val="fr-FR"/>
        </w:rPr>
        <w:fldChar w:fldCharType="begin"/>
      </w:r>
      <w:r w:rsidRPr="000B36F1">
        <w:rPr>
          <w:rFonts w:cs="Arial"/>
          <w:lang w:val="fr-FR"/>
        </w:rPr>
        <w:instrText xml:space="preserve"> AUTONUM  </w:instrText>
      </w:r>
      <w:r w:rsidRPr="000B36F1">
        <w:rPr>
          <w:rFonts w:cs="Arial"/>
          <w:lang w:val="fr-FR"/>
        </w:rPr>
        <w:fldChar w:fldCharType="end"/>
      </w:r>
      <w:r w:rsidRPr="000B36F1">
        <w:rPr>
          <w:rFonts w:cs="Arial"/>
          <w:lang w:val="fr-FR"/>
        </w:rPr>
        <w:tab/>
      </w:r>
      <w:r w:rsidR="005D6E44" w:rsidRPr="000B36F1">
        <w:rPr>
          <w:rFonts w:cs="Arial"/>
          <w:lang w:val="fr-FR"/>
        </w:rPr>
        <w:t>Les ateliers préparatoires se sont déroulés sur une demi</w:t>
      </w:r>
      <w:r w:rsidR="008F3889" w:rsidRPr="000B36F1">
        <w:rPr>
          <w:rFonts w:cs="Arial"/>
          <w:lang w:val="fr-FR"/>
        </w:rPr>
        <w:noBreakHyphen/>
      </w:r>
      <w:r w:rsidR="005D6E44" w:rsidRPr="000B36F1">
        <w:rPr>
          <w:rFonts w:cs="Arial"/>
          <w:lang w:val="fr-FR"/>
        </w:rPr>
        <w:t>journée.</w:t>
      </w:r>
    </w:p>
    <w:p w:rsidR="008F3889" w:rsidRPr="000B36F1" w:rsidRDefault="008F3889" w:rsidP="000B36F1">
      <w:pPr>
        <w:jc w:val="left"/>
        <w:rPr>
          <w:rFonts w:cs="Arial"/>
          <w:lang w:val="fr-FR"/>
        </w:rPr>
      </w:pPr>
      <w:r w:rsidRPr="000B36F1">
        <w:rPr>
          <w:rFonts w:cs="Arial"/>
          <w:lang w:val="fr-FR"/>
        </w:rPr>
        <w:br w:type="page"/>
      </w:r>
    </w:p>
    <w:p w:rsidR="001F7818" w:rsidRPr="000B36F1" w:rsidRDefault="00A1690E" w:rsidP="000B36F1">
      <w:pPr>
        <w:rPr>
          <w:rFonts w:cs="Arial"/>
          <w:lang w:val="fr-FR"/>
        </w:rPr>
      </w:pPr>
      <w:r w:rsidRPr="000B36F1">
        <w:rPr>
          <w:rFonts w:cs="Arial"/>
          <w:lang w:val="fr-FR"/>
        </w:rPr>
        <w:lastRenderedPageBreak/>
        <w:fldChar w:fldCharType="begin"/>
      </w:r>
      <w:r w:rsidRPr="000B36F1">
        <w:rPr>
          <w:rFonts w:cs="Arial"/>
          <w:lang w:val="fr-FR"/>
        </w:rPr>
        <w:instrText xml:space="preserve"> AUTONUM  </w:instrText>
      </w:r>
      <w:r w:rsidRPr="000B36F1">
        <w:rPr>
          <w:rFonts w:cs="Arial"/>
          <w:lang w:val="fr-FR"/>
        </w:rPr>
        <w:fldChar w:fldCharType="end"/>
      </w:r>
      <w:r w:rsidRPr="000B36F1">
        <w:rPr>
          <w:rFonts w:cs="Arial"/>
          <w:lang w:val="fr-FR"/>
        </w:rPr>
        <w:tab/>
      </w:r>
      <w:r w:rsidR="005D6E44" w:rsidRPr="000B36F1">
        <w:rPr>
          <w:rFonts w:cs="Arial"/>
          <w:lang w:val="fr-FR"/>
        </w:rPr>
        <w:t>La participation aux ateliers préparatoires qui se sont tenus de 2003 à 2014 est résumée dans le tableau ci</w:t>
      </w:r>
      <w:r w:rsidR="008F3889" w:rsidRPr="000B36F1">
        <w:rPr>
          <w:rFonts w:cs="Arial"/>
          <w:lang w:val="fr-FR"/>
        </w:rPr>
        <w:noBreakHyphen/>
      </w:r>
      <w:r w:rsidR="005D6E44" w:rsidRPr="000B36F1">
        <w:rPr>
          <w:rFonts w:cs="Arial"/>
          <w:lang w:val="fr-FR"/>
        </w:rPr>
        <w:t>après.</w:t>
      </w:r>
      <w:r w:rsidR="00EB0880">
        <w:rPr>
          <w:lang w:val="fr-FR"/>
        </w:rPr>
        <w:t xml:space="preserve"> </w:t>
      </w:r>
      <w:r w:rsidR="005D6E44" w:rsidRPr="000B36F1">
        <w:rPr>
          <w:rFonts w:cs="Arial"/>
          <w:lang w:val="fr-FR"/>
        </w:rPr>
        <w:t>Le nombre de participants indiqué comprend les experts qui ont présenté des exposés lors de l</w:t>
      </w:r>
      <w:r w:rsidR="001F7818" w:rsidRPr="000B36F1">
        <w:rPr>
          <w:rFonts w:cs="Arial"/>
          <w:lang w:val="fr-FR"/>
        </w:rPr>
        <w:t>’</w:t>
      </w:r>
      <w:r w:rsidR="005D6E44" w:rsidRPr="000B36F1">
        <w:rPr>
          <w:rFonts w:cs="Arial"/>
          <w:lang w:val="fr-FR"/>
        </w:rPr>
        <w:t>atelier préparatoire.</w:t>
      </w:r>
    </w:p>
    <w:p w:rsidR="007626DA" w:rsidRPr="000B36F1" w:rsidRDefault="007626DA" w:rsidP="000B36F1">
      <w:pPr>
        <w:jc w:val="left"/>
        <w:rPr>
          <w:rFonts w:cs="Arial"/>
          <w:lang w:val="fr-FR"/>
        </w:rPr>
      </w:pPr>
    </w:p>
    <w:tbl>
      <w:tblPr>
        <w:tblW w:w="9923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2410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627"/>
      </w:tblGrid>
      <w:tr w:rsidR="000B36F1" w:rsidRPr="000B36F1" w:rsidTr="004536AD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3255" w:rsidRPr="000B36F1" w:rsidRDefault="00823255" w:rsidP="000B36F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  <w:p w:rsidR="005228C5" w:rsidRPr="000B36F1" w:rsidRDefault="005228C5" w:rsidP="000B36F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7513" w:type="dxa"/>
            <w:gridSpan w:val="12"/>
            <w:tcBorders>
              <w:left w:val="single" w:sz="4" w:space="0" w:color="auto"/>
            </w:tcBorders>
          </w:tcPr>
          <w:p w:rsidR="005228C5" w:rsidRPr="000B36F1" w:rsidRDefault="005D6E44" w:rsidP="000B36F1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u w:val="single"/>
                <w:lang w:val="fr-FR"/>
              </w:rPr>
              <w:t>Participation</w:t>
            </w:r>
          </w:p>
        </w:tc>
      </w:tr>
      <w:tr w:rsidR="000B36F1" w:rsidRPr="000B36F1" w:rsidTr="005228C5">
        <w:trPr>
          <w:cantSplit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823255" w:rsidRPr="000B36F1" w:rsidRDefault="00823255" w:rsidP="000B36F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  <w:p w:rsidR="005228C5" w:rsidRPr="000B36F1" w:rsidRDefault="005228C5" w:rsidP="000B36F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626" w:type="dxa"/>
            <w:tcBorders>
              <w:left w:val="single" w:sz="4" w:space="0" w:color="auto"/>
            </w:tcBorders>
          </w:tcPr>
          <w:p w:rsidR="005228C5" w:rsidRPr="000B36F1" w:rsidRDefault="005228C5" w:rsidP="000B36F1">
            <w:pPr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u w:val="single"/>
                <w:lang w:val="fr-FR"/>
              </w:rPr>
              <w:t>2003</w:t>
            </w:r>
          </w:p>
        </w:tc>
        <w:tc>
          <w:tcPr>
            <w:tcW w:w="626" w:type="dxa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u w:val="single"/>
                <w:lang w:val="fr-FR"/>
              </w:rPr>
              <w:t>2004</w:t>
            </w:r>
          </w:p>
        </w:tc>
        <w:tc>
          <w:tcPr>
            <w:tcW w:w="626" w:type="dxa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u w:val="single"/>
                <w:lang w:val="fr-FR"/>
              </w:rPr>
              <w:t>2005</w:t>
            </w:r>
          </w:p>
        </w:tc>
        <w:tc>
          <w:tcPr>
            <w:tcW w:w="626" w:type="dxa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u w:val="single"/>
                <w:lang w:val="fr-FR"/>
              </w:rPr>
              <w:t>2006</w:t>
            </w:r>
          </w:p>
        </w:tc>
        <w:tc>
          <w:tcPr>
            <w:tcW w:w="626" w:type="dxa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u w:val="single"/>
                <w:lang w:val="fr-FR"/>
              </w:rPr>
              <w:t>2007</w:t>
            </w:r>
          </w:p>
        </w:tc>
        <w:tc>
          <w:tcPr>
            <w:tcW w:w="626" w:type="dxa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u w:val="single"/>
                <w:lang w:val="fr-FR"/>
              </w:rPr>
              <w:t>2008</w:t>
            </w:r>
          </w:p>
        </w:tc>
        <w:tc>
          <w:tcPr>
            <w:tcW w:w="626" w:type="dxa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u w:val="single"/>
                <w:lang w:val="fr-FR"/>
              </w:rPr>
              <w:t>2009</w:t>
            </w:r>
          </w:p>
        </w:tc>
        <w:tc>
          <w:tcPr>
            <w:tcW w:w="626" w:type="dxa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u w:val="single"/>
                <w:lang w:val="fr-FR"/>
              </w:rPr>
              <w:t>2010</w:t>
            </w:r>
          </w:p>
        </w:tc>
        <w:tc>
          <w:tcPr>
            <w:tcW w:w="626" w:type="dxa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u w:val="single"/>
                <w:lang w:val="fr-FR"/>
              </w:rPr>
              <w:t>2011</w:t>
            </w:r>
          </w:p>
        </w:tc>
        <w:tc>
          <w:tcPr>
            <w:tcW w:w="626" w:type="dxa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u w:val="single"/>
                <w:lang w:val="fr-FR"/>
              </w:rPr>
              <w:t>2012</w:t>
            </w:r>
          </w:p>
        </w:tc>
        <w:tc>
          <w:tcPr>
            <w:tcW w:w="626" w:type="dxa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u w:val="single"/>
                <w:lang w:val="fr-FR"/>
              </w:rPr>
              <w:t>2013</w:t>
            </w:r>
          </w:p>
        </w:tc>
        <w:tc>
          <w:tcPr>
            <w:tcW w:w="627" w:type="dxa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u w:val="single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u w:val="single"/>
                <w:lang w:val="fr-FR"/>
              </w:rPr>
              <w:t>2014</w:t>
            </w:r>
          </w:p>
        </w:tc>
      </w:tr>
      <w:tr w:rsidR="000B36F1" w:rsidRPr="000B36F1" w:rsidTr="00933E4D">
        <w:trPr>
          <w:cantSplit/>
        </w:trPr>
        <w:tc>
          <w:tcPr>
            <w:tcW w:w="2410" w:type="dxa"/>
          </w:tcPr>
          <w:p w:rsidR="00823255" w:rsidRPr="000B36F1" w:rsidRDefault="005D6E44" w:rsidP="000B36F1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i/>
                <w:iCs/>
                <w:sz w:val="18"/>
                <w:szCs w:val="18"/>
                <w:lang w:val="fr-FR"/>
              </w:rPr>
              <w:t>Membres de l</w:t>
            </w:r>
            <w:r w:rsidR="001F7818" w:rsidRPr="000B36F1">
              <w:rPr>
                <w:rFonts w:cs="Arial"/>
                <w:i/>
                <w:iCs/>
                <w:sz w:val="18"/>
                <w:szCs w:val="18"/>
                <w:lang w:val="fr-FR"/>
              </w:rPr>
              <w:t>’</w:t>
            </w:r>
            <w:r w:rsidRPr="000B36F1">
              <w:rPr>
                <w:rFonts w:cs="Arial"/>
                <w:i/>
                <w:iCs/>
                <w:sz w:val="18"/>
                <w:szCs w:val="18"/>
                <w:lang w:val="fr-FR"/>
              </w:rPr>
              <w:t>Union</w:t>
            </w:r>
          </w:p>
          <w:p w:rsidR="005228C5" w:rsidRPr="000B36F1" w:rsidRDefault="00942420" w:rsidP="000B36F1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 xml:space="preserve">nombre de participants / </w:t>
            </w:r>
            <w:r w:rsidR="005D6E44" w:rsidRPr="000B36F1">
              <w:rPr>
                <w:rFonts w:cs="Arial"/>
                <w:sz w:val="18"/>
                <w:szCs w:val="18"/>
                <w:lang w:val="fr-FR"/>
              </w:rPr>
              <w:t>(nombre de membres de l</w:t>
            </w:r>
            <w:r w:rsidR="001F7818" w:rsidRPr="000B36F1">
              <w:rPr>
                <w:rFonts w:cs="Arial"/>
                <w:sz w:val="18"/>
                <w:szCs w:val="18"/>
                <w:lang w:val="fr-FR"/>
              </w:rPr>
              <w:t>’</w:t>
            </w:r>
            <w:r w:rsidR="005D6E44" w:rsidRPr="000B36F1">
              <w:rPr>
                <w:rFonts w:cs="Arial"/>
                <w:sz w:val="18"/>
                <w:szCs w:val="18"/>
                <w:lang w:val="fr-FR"/>
              </w:rPr>
              <w:t>Union)</w:t>
            </w:r>
            <w:r w:rsidR="005228C5" w:rsidRPr="000B36F1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55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 xml:space="preserve">(23) 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69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(20)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 xml:space="preserve">130 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(25)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136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(19)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167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(22)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162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(31)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95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(21)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117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(25)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115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(24)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114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(26)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125 (27)</w:t>
            </w:r>
          </w:p>
        </w:tc>
        <w:tc>
          <w:tcPr>
            <w:tcW w:w="627" w:type="dxa"/>
            <w:vAlign w:val="bottom"/>
          </w:tcPr>
          <w:p w:rsidR="005228C5" w:rsidRPr="000B36F1" w:rsidRDefault="00933E4D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132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(26)</w:t>
            </w:r>
          </w:p>
        </w:tc>
      </w:tr>
      <w:tr w:rsidR="000B36F1" w:rsidRPr="000B36F1" w:rsidTr="00933E4D">
        <w:trPr>
          <w:cantSplit/>
        </w:trPr>
        <w:tc>
          <w:tcPr>
            <w:tcW w:w="2410" w:type="dxa"/>
          </w:tcPr>
          <w:p w:rsidR="00823255" w:rsidRPr="000B36F1" w:rsidRDefault="005D6E44" w:rsidP="000B36F1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i/>
                <w:iCs/>
                <w:sz w:val="18"/>
                <w:szCs w:val="18"/>
                <w:lang w:val="fr-FR"/>
              </w:rPr>
              <w:t>États observateurs / services</w:t>
            </w:r>
          </w:p>
          <w:p w:rsidR="005228C5" w:rsidRPr="000B36F1" w:rsidRDefault="005D6E44" w:rsidP="000B36F1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nombre de participants / (nombre d</w:t>
            </w:r>
            <w:r w:rsidR="001F7818" w:rsidRPr="000B36F1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t>États / services)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10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(9)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2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 xml:space="preserve">3 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(3)</w:t>
            </w:r>
          </w:p>
        </w:tc>
        <w:tc>
          <w:tcPr>
            <w:tcW w:w="626" w:type="dxa"/>
            <w:vAlign w:val="bottom"/>
          </w:tcPr>
          <w:p w:rsidR="005228C5" w:rsidRPr="000B36F1" w:rsidRDefault="008F3889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noBreakHyphen/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3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(1)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3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0B36F1" w:rsidRDefault="008F3889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noBreakHyphen/>
            </w:r>
          </w:p>
        </w:tc>
        <w:tc>
          <w:tcPr>
            <w:tcW w:w="626" w:type="dxa"/>
            <w:vAlign w:val="bottom"/>
          </w:tcPr>
          <w:p w:rsidR="005228C5" w:rsidRPr="000B36F1" w:rsidRDefault="008F3889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noBreakHyphen/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15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(6)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8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(4)</w:t>
            </w:r>
          </w:p>
        </w:tc>
        <w:tc>
          <w:tcPr>
            <w:tcW w:w="626" w:type="dxa"/>
            <w:vAlign w:val="bottom"/>
          </w:tcPr>
          <w:p w:rsidR="0082325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12</w:t>
            </w:r>
          </w:p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(4)</w:t>
            </w:r>
          </w:p>
        </w:tc>
        <w:tc>
          <w:tcPr>
            <w:tcW w:w="627" w:type="dxa"/>
            <w:vAlign w:val="bottom"/>
          </w:tcPr>
          <w:p w:rsidR="005228C5" w:rsidRPr="000B36F1" w:rsidRDefault="00933E4D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15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(5)</w:t>
            </w:r>
          </w:p>
        </w:tc>
      </w:tr>
      <w:tr w:rsidR="000B36F1" w:rsidRPr="000B36F1" w:rsidTr="00933E4D">
        <w:trPr>
          <w:cantSplit/>
        </w:trPr>
        <w:tc>
          <w:tcPr>
            <w:tcW w:w="2410" w:type="dxa"/>
          </w:tcPr>
          <w:p w:rsidR="001F7818" w:rsidRPr="000B36F1" w:rsidRDefault="005D6E44" w:rsidP="000B36F1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i/>
                <w:iCs/>
                <w:sz w:val="18"/>
                <w:szCs w:val="18"/>
                <w:lang w:val="fr-FR"/>
              </w:rPr>
              <w:t>Organisations observatrices</w:t>
            </w:r>
          </w:p>
          <w:p w:rsidR="005228C5" w:rsidRPr="000B36F1" w:rsidRDefault="005D6E44" w:rsidP="000B36F1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nombre de participants / (nombre d</w:t>
            </w:r>
            <w:r w:rsidR="001F7818" w:rsidRPr="000B36F1">
              <w:rPr>
                <w:rFonts w:cs="Arial"/>
                <w:sz w:val="18"/>
                <w:szCs w:val="18"/>
                <w:lang w:val="fr-FR"/>
              </w:rPr>
              <w:t>’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t>organisations)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3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2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 xml:space="preserve">5 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(3)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2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4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25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3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10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5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</w:p>
        </w:tc>
        <w:tc>
          <w:tcPr>
            <w:tcW w:w="626" w:type="dxa"/>
            <w:vAlign w:val="bottom"/>
          </w:tcPr>
          <w:p w:rsidR="005228C5" w:rsidRPr="000B36F1" w:rsidRDefault="005228C5" w:rsidP="000B36F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bookmarkStart w:id="6" w:name="OLE_LINK3"/>
            <w:bookmarkStart w:id="7" w:name="OLE_LINK4"/>
            <w:r w:rsidRPr="000B36F1">
              <w:rPr>
                <w:rFonts w:cs="Arial"/>
                <w:sz w:val="18"/>
                <w:szCs w:val="18"/>
                <w:lang w:val="fr-FR"/>
              </w:rPr>
              <w:t>2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(2)</w:t>
            </w:r>
            <w:bookmarkEnd w:id="6"/>
            <w:bookmarkEnd w:id="7"/>
          </w:p>
        </w:tc>
        <w:tc>
          <w:tcPr>
            <w:tcW w:w="626" w:type="dxa"/>
            <w:vAlign w:val="bottom"/>
          </w:tcPr>
          <w:p w:rsidR="0082325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4</w:t>
            </w:r>
          </w:p>
          <w:p w:rsidR="005228C5" w:rsidRPr="000B36F1" w:rsidRDefault="005228C5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(2)</w:t>
            </w:r>
          </w:p>
        </w:tc>
        <w:tc>
          <w:tcPr>
            <w:tcW w:w="627" w:type="dxa"/>
            <w:vAlign w:val="bottom"/>
          </w:tcPr>
          <w:p w:rsidR="005228C5" w:rsidRPr="000B36F1" w:rsidRDefault="00933E4D" w:rsidP="000B36F1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2</w:t>
            </w:r>
            <w:r w:rsidRPr="000B36F1">
              <w:rPr>
                <w:rFonts w:cs="Arial"/>
                <w:sz w:val="18"/>
                <w:szCs w:val="18"/>
                <w:lang w:val="fr-FR"/>
              </w:rPr>
              <w:br/>
              <w:t>(</w:t>
            </w:r>
            <w:r w:rsidR="007A07B8" w:rsidRPr="000B36F1">
              <w:rPr>
                <w:rFonts w:cs="Arial"/>
                <w:sz w:val="18"/>
                <w:szCs w:val="18"/>
                <w:lang w:val="fr-FR"/>
              </w:rPr>
              <w:t>2)</w:t>
            </w:r>
          </w:p>
        </w:tc>
      </w:tr>
    </w:tbl>
    <w:p w:rsidR="00823255" w:rsidRPr="000B36F1" w:rsidRDefault="00823255" w:rsidP="000B36F1">
      <w:pPr>
        <w:ind w:left="567"/>
        <w:rPr>
          <w:rFonts w:cs="Arial"/>
          <w:sz w:val="16"/>
          <w:lang w:val="fr-FR"/>
        </w:rPr>
      </w:pPr>
    </w:p>
    <w:p w:rsidR="00823255" w:rsidRPr="000B36F1" w:rsidRDefault="00823255" w:rsidP="000B36F1">
      <w:pPr>
        <w:ind w:left="567"/>
        <w:rPr>
          <w:rFonts w:cs="Arial"/>
          <w:sz w:val="16"/>
          <w:lang w:val="fr-FR"/>
        </w:rPr>
      </w:pPr>
    </w:p>
    <w:p w:rsidR="00823255" w:rsidRPr="000B36F1" w:rsidRDefault="00A1690E" w:rsidP="000B36F1">
      <w:pPr>
        <w:keepNext/>
        <w:rPr>
          <w:rFonts w:cs="Arial"/>
          <w:lang w:val="fr-FR"/>
        </w:rPr>
      </w:pPr>
      <w:r w:rsidRPr="000B36F1">
        <w:rPr>
          <w:rFonts w:cs="Arial"/>
          <w:lang w:val="fr-FR"/>
        </w:rPr>
        <w:fldChar w:fldCharType="begin"/>
      </w:r>
      <w:r w:rsidRPr="000B36F1">
        <w:rPr>
          <w:rFonts w:cs="Arial"/>
          <w:lang w:val="fr-FR"/>
        </w:rPr>
        <w:instrText xml:space="preserve"> AUTONUM  </w:instrText>
      </w:r>
      <w:r w:rsidRPr="000B36F1">
        <w:rPr>
          <w:rFonts w:cs="Arial"/>
          <w:lang w:val="fr-FR"/>
        </w:rPr>
        <w:fldChar w:fldCharType="end"/>
      </w:r>
      <w:r w:rsidRPr="000B36F1">
        <w:rPr>
          <w:rFonts w:cs="Arial"/>
          <w:lang w:val="fr-FR"/>
        </w:rPr>
        <w:tab/>
      </w:r>
      <w:r w:rsidR="005D6E44" w:rsidRPr="000B36F1">
        <w:rPr>
          <w:rFonts w:cs="Arial"/>
          <w:lang w:val="fr-FR"/>
        </w:rPr>
        <w:t>Le nombre de participants aux ateliers préparatoires de 2014 est réparti comme suit (</w:t>
      </w:r>
      <w:r w:rsidR="001F7818" w:rsidRPr="000B36F1">
        <w:rPr>
          <w:rFonts w:cs="Arial"/>
          <w:lang w:val="fr-FR"/>
        </w:rPr>
        <w:t>y compris</w:t>
      </w:r>
      <w:r w:rsidR="005D6E44" w:rsidRPr="000B36F1">
        <w:rPr>
          <w:rFonts w:cs="Arial"/>
          <w:lang w:val="fr-FR"/>
        </w:rPr>
        <w:t xml:space="preserve"> participants locaux) :</w:t>
      </w:r>
    </w:p>
    <w:p w:rsidR="00F43A3F" w:rsidRPr="000B36F1" w:rsidRDefault="00F43A3F" w:rsidP="000B36F1">
      <w:pPr>
        <w:keepNext/>
        <w:rPr>
          <w:rFonts w:cs="Arial"/>
          <w:lang w:val="fr-FR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</w:tblGrid>
      <w:tr w:rsidR="000B36F1" w:rsidRPr="000B36F1" w:rsidTr="00267815">
        <w:tc>
          <w:tcPr>
            <w:tcW w:w="3686" w:type="dxa"/>
          </w:tcPr>
          <w:p w:rsidR="005228C5" w:rsidRPr="000B36F1" w:rsidRDefault="005228C5" w:rsidP="000B36F1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0B36F1">
              <w:rPr>
                <w:rFonts w:cs="Arial"/>
                <w:lang w:val="fr-FR"/>
              </w:rPr>
              <w:t xml:space="preserve">TWA </w:t>
            </w:r>
            <w:r w:rsidRPr="000B36F1">
              <w:rPr>
                <w:rFonts w:cs="Arial"/>
                <w:lang w:val="fr-FR"/>
              </w:rPr>
              <w:tab/>
              <w:t>(</w:t>
            </w:r>
            <w:r w:rsidR="00933E4D" w:rsidRPr="000B36F1">
              <w:rPr>
                <w:rFonts w:cs="Arial"/>
                <w:lang w:val="fr-FR"/>
              </w:rPr>
              <w:t>Argentin</w:t>
            </w:r>
            <w:r w:rsidR="00942420" w:rsidRPr="000B36F1">
              <w:rPr>
                <w:rFonts w:cs="Arial"/>
                <w:lang w:val="fr-FR"/>
              </w:rPr>
              <w:t>e</w:t>
            </w:r>
            <w:r w:rsidRPr="000B36F1">
              <w:rPr>
                <w:rFonts w:cs="Arial"/>
                <w:lang w:val="fr-FR"/>
              </w:rPr>
              <w:t>)</w:t>
            </w:r>
            <w:r w:rsidR="006058A9" w:rsidRPr="000B36F1">
              <w:rPr>
                <w:rFonts w:cs="Arial"/>
                <w:lang w:val="fr-FR"/>
              </w:rPr>
              <w:t> :</w:t>
            </w:r>
            <w:r w:rsidRPr="000B36F1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5228C5" w:rsidRPr="000B36F1" w:rsidRDefault="00386B41" w:rsidP="000B36F1">
            <w:pPr>
              <w:rPr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29</w:t>
            </w:r>
          </w:p>
        </w:tc>
      </w:tr>
      <w:tr w:rsidR="000B36F1" w:rsidRPr="000B36F1" w:rsidTr="00267815">
        <w:tc>
          <w:tcPr>
            <w:tcW w:w="3686" w:type="dxa"/>
          </w:tcPr>
          <w:p w:rsidR="005228C5" w:rsidRPr="000B36F1" w:rsidRDefault="005228C5" w:rsidP="000B36F1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0B36F1">
              <w:rPr>
                <w:rFonts w:cs="Arial"/>
                <w:lang w:val="fr-FR"/>
              </w:rPr>
              <w:t xml:space="preserve">TWC </w:t>
            </w:r>
            <w:r w:rsidRPr="000B36F1">
              <w:rPr>
                <w:rFonts w:cs="Arial"/>
                <w:lang w:val="fr-FR"/>
              </w:rPr>
              <w:tab/>
              <w:t>(</w:t>
            </w:r>
            <w:r w:rsidR="00933E4D" w:rsidRPr="000B36F1">
              <w:rPr>
                <w:rFonts w:cs="Arial"/>
                <w:lang w:val="fr-FR"/>
              </w:rPr>
              <w:t>Finland</w:t>
            </w:r>
            <w:r w:rsidR="00942420" w:rsidRPr="000B36F1">
              <w:rPr>
                <w:rFonts w:cs="Arial"/>
                <w:lang w:val="fr-FR"/>
              </w:rPr>
              <w:t>e</w:t>
            </w:r>
            <w:r w:rsidRPr="000B36F1">
              <w:rPr>
                <w:rFonts w:cs="Arial"/>
                <w:lang w:val="fr-FR"/>
              </w:rPr>
              <w:t>)</w:t>
            </w:r>
            <w:r w:rsidR="006058A9" w:rsidRPr="000B36F1">
              <w:rPr>
                <w:rFonts w:cs="Arial"/>
                <w:lang w:val="fr-FR"/>
              </w:rPr>
              <w:t> :</w:t>
            </w:r>
            <w:r w:rsidRPr="000B36F1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5228C5" w:rsidRPr="000B36F1" w:rsidRDefault="00386B41" w:rsidP="000B36F1">
            <w:pPr>
              <w:rPr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15</w:t>
            </w:r>
          </w:p>
        </w:tc>
      </w:tr>
      <w:tr w:rsidR="000B36F1" w:rsidRPr="000B36F1" w:rsidTr="00267815">
        <w:tc>
          <w:tcPr>
            <w:tcW w:w="3686" w:type="dxa"/>
          </w:tcPr>
          <w:p w:rsidR="005228C5" w:rsidRPr="000B36F1" w:rsidRDefault="005228C5" w:rsidP="000B36F1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0B36F1">
              <w:rPr>
                <w:rFonts w:cs="Arial"/>
                <w:lang w:val="fr-FR"/>
              </w:rPr>
              <w:t>TWF</w:t>
            </w:r>
            <w:r w:rsidRPr="000B36F1">
              <w:rPr>
                <w:rFonts w:cs="Arial"/>
                <w:lang w:val="fr-FR"/>
              </w:rPr>
              <w:tab/>
              <w:t>(</w:t>
            </w:r>
            <w:r w:rsidR="00933E4D" w:rsidRPr="000B36F1">
              <w:rPr>
                <w:rFonts w:cs="Arial"/>
                <w:lang w:val="fr-FR"/>
              </w:rPr>
              <w:t>M</w:t>
            </w:r>
            <w:r w:rsidR="00942420" w:rsidRPr="000B36F1">
              <w:rPr>
                <w:rFonts w:cs="Arial"/>
                <w:lang w:val="fr-FR"/>
              </w:rPr>
              <w:t>aroc</w:t>
            </w:r>
            <w:r w:rsidRPr="000B36F1">
              <w:rPr>
                <w:rFonts w:cs="Arial"/>
                <w:lang w:val="fr-FR"/>
              </w:rPr>
              <w:t>)</w:t>
            </w:r>
            <w:r w:rsidR="006058A9" w:rsidRPr="000B36F1">
              <w:rPr>
                <w:rFonts w:cs="Arial"/>
                <w:lang w:val="fr-FR"/>
              </w:rPr>
              <w:t> :</w:t>
            </w:r>
            <w:r w:rsidRPr="000B36F1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5228C5" w:rsidRPr="000B36F1" w:rsidRDefault="00386B41" w:rsidP="000B36F1">
            <w:pPr>
              <w:rPr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20</w:t>
            </w:r>
          </w:p>
        </w:tc>
      </w:tr>
      <w:tr w:rsidR="000B36F1" w:rsidRPr="000B36F1" w:rsidTr="00267815">
        <w:tc>
          <w:tcPr>
            <w:tcW w:w="3686" w:type="dxa"/>
          </w:tcPr>
          <w:p w:rsidR="005228C5" w:rsidRPr="000B36F1" w:rsidRDefault="005228C5" w:rsidP="000B36F1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0B36F1">
              <w:rPr>
                <w:rFonts w:cs="Arial"/>
                <w:lang w:val="fr-FR"/>
              </w:rPr>
              <w:t>TWO</w:t>
            </w:r>
            <w:r w:rsidRPr="000B36F1">
              <w:rPr>
                <w:rFonts w:cs="Arial"/>
                <w:lang w:val="fr-FR"/>
              </w:rPr>
              <w:tab/>
              <w:t>(</w:t>
            </w:r>
            <w:r w:rsidR="00933E4D" w:rsidRPr="000B36F1">
              <w:rPr>
                <w:rFonts w:cs="Arial"/>
                <w:lang w:val="fr-FR"/>
              </w:rPr>
              <w:t>Kenya</w:t>
            </w:r>
            <w:r w:rsidRPr="000B36F1">
              <w:rPr>
                <w:rFonts w:cs="Arial"/>
                <w:lang w:val="fr-FR"/>
              </w:rPr>
              <w:t>)</w:t>
            </w:r>
            <w:r w:rsidR="006058A9" w:rsidRPr="000B36F1">
              <w:rPr>
                <w:rFonts w:cs="Arial"/>
                <w:lang w:val="fr-FR"/>
              </w:rPr>
              <w:t> :</w:t>
            </w:r>
            <w:r w:rsidRPr="000B36F1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5228C5" w:rsidRPr="000B36F1" w:rsidRDefault="00386B41" w:rsidP="000B36F1">
            <w:pPr>
              <w:rPr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44</w:t>
            </w:r>
          </w:p>
        </w:tc>
      </w:tr>
      <w:tr w:rsidR="000B36F1" w:rsidRPr="000B36F1" w:rsidTr="00267815">
        <w:tc>
          <w:tcPr>
            <w:tcW w:w="3686" w:type="dxa"/>
          </w:tcPr>
          <w:p w:rsidR="005228C5" w:rsidRPr="000B36F1" w:rsidRDefault="005228C5" w:rsidP="000B36F1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0B36F1">
              <w:rPr>
                <w:rFonts w:cs="Arial"/>
                <w:lang w:val="fr-FR"/>
              </w:rPr>
              <w:t>TWV</w:t>
            </w:r>
            <w:r w:rsidRPr="000B36F1">
              <w:rPr>
                <w:rFonts w:cs="Arial"/>
                <w:lang w:val="fr-FR"/>
              </w:rPr>
              <w:tab/>
              <w:t>(</w:t>
            </w:r>
            <w:r w:rsidR="00942420" w:rsidRPr="000B36F1">
              <w:rPr>
                <w:rFonts w:cs="Arial"/>
                <w:lang w:val="fr-FR"/>
              </w:rPr>
              <w:t>Italie</w:t>
            </w:r>
            <w:r w:rsidRPr="000B36F1">
              <w:rPr>
                <w:rFonts w:cs="Arial"/>
                <w:lang w:val="fr-FR"/>
              </w:rPr>
              <w:t>)</w:t>
            </w:r>
            <w:r w:rsidR="006058A9" w:rsidRPr="000B36F1">
              <w:rPr>
                <w:rFonts w:cs="Arial"/>
                <w:lang w:val="fr-FR"/>
              </w:rPr>
              <w:t> :</w:t>
            </w:r>
            <w:r w:rsidRPr="000B36F1">
              <w:rPr>
                <w:rFonts w:cs="Arial"/>
                <w:lang w:val="fr-FR"/>
              </w:rPr>
              <w:t xml:space="preserve"> </w:t>
            </w:r>
          </w:p>
        </w:tc>
        <w:tc>
          <w:tcPr>
            <w:tcW w:w="1276" w:type="dxa"/>
          </w:tcPr>
          <w:p w:rsidR="005228C5" w:rsidRPr="000B36F1" w:rsidRDefault="00386B41" w:rsidP="000B36F1">
            <w:pPr>
              <w:rPr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16</w:t>
            </w:r>
          </w:p>
        </w:tc>
      </w:tr>
      <w:tr w:rsidR="000B36F1" w:rsidRPr="000B36F1" w:rsidTr="00267815">
        <w:tc>
          <w:tcPr>
            <w:tcW w:w="3686" w:type="dxa"/>
          </w:tcPr>
          <w:p w:rsidR="005228C5" w:rsidRPr="000B36F1" w:rsidRDefault="005D6E44" w:rsidP="000B36F1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  <w:r w:rsidRPr="000B36F1">
              <w:rPr>
                <w:rFonts w:cs="Arial"/>
                <w:lang w:val="fr-FR"/>
              </w:rPr>
              <w:t>BMT (République de Corée) :</w:t>
            </w:r>
          </w:p>
        </w:tc>
        <w:tc>
          <w:tcPr>
            <w:tcW w:w="1276" w:type="dxa"/>
          </w:tcPr>
          <w:p w:rsidR="005228C5" w:rsidRPr="000B36F1" w:rsidRDefault="00386B41" w:rsidP="000B36F1">
            <w:pPr>
              <w:rPr>
                <w:lang w:val="fr-FR"/>
              </w:rPr>
            </w:pPr>
            <w:r w:rsidRPr="000B36F1">
              <w:rPr>
                <w:rFonts w:cs="Arial"/>
                <w:sz w:val="18"/>
                <w:szCs w:val="18"/>
                <w:lang w:val="fr-FR"/>
              </w:rPr>
              <w:t>22</w:t>
            </w:r>
          </w:p>
        </w:tc>
      </w:tr>
      <w:tr w:rsidR="000B36F1" w:rsidRPr="000B36F1" w:rsidTr="00267815">
        <w:tc>
          <w:tcPr>
            <w:tcW w:w="3686" w:type="dxa"/>
          </w:tcPr>
          <w:p w:rsidR="00FF61F4" w:rsidRPr="000B36F1" w:rsidRDefault="00FF61F4" w:rsidP="000B36F1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fr-FR"/>
              </w:rPr>
            </w:pPr>
          </w:p>
        </w:tc>
        <w:tc>
          <w:tcPr>
            <w:tcW w:w="1276" w:type="dxa"/>
          </w:tcPr>
          <w:p w:rsidR="00FF61F4" w:rsidRPr="000B36F1" w:rsidRDefault="00FF61F4" w:rsidP="000B36F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</w:tbl>
    <w:p w:rsidR="00823255" w:rsidRPr="000B36F1" w:rsidRDefault="00823255" w:rsidP="000B36F1">
      <w:pPr>
        <w:rPr>
          <w:rFonts w:cs="Arial"/>
          <w:lang w:val="fr-FR"/>
        </w:rPr>
      </w:pPr>
    </w:p>
    <w:p w:rsidR="008F3889" w:rsidRPr="000B36F1" w:rsidRDefault="008F3889" w:rsidP="000B36F1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  <w:lang w:val="fr-FR"/>
        </w:rPr>
      </w:pPr>
    </w:p>
    <w:p w:rsidR="00823255" w:rsidRPr="000B36F1" w:rsidRDefault="005D6E44" w:rsidP="000B36F1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  <w:lang w:val="fr-FR"/>
        </w:rPr>
      </w:pPr>
      <w:r w:rsidRPr="000B36F1">
        <w:rPr>
          <w:rFonts w:ascii="Arial" w:hAnsi="Arial" w:cs="Arial"/>
          <w:i w:val="0"/>
          <w:sz w:val="20"/>
          <w:szCs w:val="20"/>
          <w:u w:val="single"/>
          <w:lang w:val="fr-FR"/>
        </w:rPr>
        <w:t>Programme des ateliers préparatoires en 2015</w:t>
      </w:r>
    </w:p>
    <w:p w:rsidR="00823255" w:rsidRPr="000B36F1" w:rsidRDefault="00823255" w:rsidP="000B36F1">
      <w:pPr>
        <w:rPr>
          <w:rFonts w:cs="Arial"/>
          <w:i/>
          <w:lang w:val="fr-FR"/>
        </w:rPr>
      </w:pPr>
    </w:p>
    <w:p w:rsidR="00823255" w:rsidRPr="000B36F1" w:rsidRDefault="00A1690E" w:rsidP="000B36F1">
      <w:pPr>
        <w:rPr>
          <w:rFonts w:cs="Arial"/>
          <w:lang w:val="fr-FR"/>
        </w:rPr>
      </w:pPr>
      <w:r w:rsidRPr="000B36F1">
        <w:rPr>
          <w:rFonts w:cs="Arial"/>
          <w:lang w:val="fr-FR"/>
        </w:rPr>
        <w:fldChar w:fldCharType="begin"/>
      </w:r>
      <w:r w:rsidRPr="000B36F1">
        <w:rPr>
          <w:rFonts w:cs="Arial"/>
          <w:lang w:val="fr-FR"/>
        </w:rPr>
        <w:instrText xml:space="preserve"> AUTONUM  </w:instrText>
      </w:r>
      <w:r w:rsidRPr="000B36F1">
        <w:rPr>
          <w:rFonts w:cs="Arial"/>
          <w:lang w:val="fr-FR"/>
        </w:rPr>
        <w:fldChar w:fldCharType="end"/>
      </w:r>
      <w:r w:rsidRPr="000B36F1">
        <w:rPr>
          <w:rFonts w:cs="Arial"/>
          <w:lang w:val="fr-FR"/>
        </w:rPr>
        <w:tab/>
      </w:r>
      <w:r w:rsidR="005D6E44" w:rsidRPr="000B36F1">
        <w:rPr>
          <w:rFonts w:cs="Arial"/>
          <w:lang w:val="fr-FR"/>
        </w:rPr>
        <w:t>Il est proposé que des ateliers préparatoires d</w:t>
      </w:r>
      <w:r w:rsidR="001F7818" w:rsidRPr="000B36F1">
        <w:rPr>
          <w:rFonts w:cs="Arial"/>
          <w:lang w:val="fr-FR"/>
        </w:rPr>
        <w:t>’</w:t>
      </w:r>
      <w:r w:rsidR="005D6E44" w:rsidRPr="000B36F1">
        <w:rPr>
          <w:rFonts w:cs="Arial"/>
          <w:lang w:val="fr-FR"/>
        </w:rPr>
        <w:t>une demi</w:t>
      </w:r>
      <w:r w:rsidR="008F3889" w:rsidRPr="000B36F1">
        <w:rPr>
          <w:rFonts w:cs="Arial"/>
          <w:lang w:val="fr-FR"/>
        </w:rPr>
        <w:noBreakHyphen/>
      </w:r>
      <w:r w:rsidR="005D6E44" w:rsidRPr="000B36F1">
        <w:rPr>
          <w:rFonts w:cs="Arial"/>
          <w:lang w:val="fr-FR"/>
        </w:rPr>
        <w:t>journée soient organisés à l</w:t>
      </w:r>
      <w:r w:rsidR="001F7818" w:rsidRPr="000B36F1">
        <w:rPr>
          <w:rFonts w:cs="Arial"/>
          <w:lang w:val="fr-FR"/>
        </w:rPr>
        <w:t>’</w:t>
      </w:r>
      <w:r w:rsidR="005D6E44" w:rsidRPr="000B36F1">
        <w:rPr>
          <w:rFonts w:cs="Arial"/>
          <w:lang w:val="fr-FR"/>
        </w:rPr>
        <w:t>occasion des sessions du TWA, du TWF, du TWO et du TWV en 2015, avec le programme suivant :</w:t>
      </w:r>
    </w:p>
    <w:p w:rsidR="001F7818" w:rsidRPr="000B36F1" w:rsidRDefault="001F7818" w:rsidP="000B36F1">
      <w:pPr>
        <w:rPr>
          <w:rFonts w:cs="Arial"/>
          <w:lang w:val="fr-FR"/>
        </w:rPr>
      </w:pPr>
    </w:p>
    <w:p w:rsidR="00823255" w:rsidRPr="000B36F1" w:rsidRDefault="005D6E44" w:rsidP="000B36F1">
      <w:pPr>
        <w:numPr>
          <w:ilvl w:val="0"/>
          <w:numId w:val="7"/>
        </w:numPr>
        <w:spacing w:after="120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Présentation de l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UPOV et du rôle des groupes de travail techniques (TWP)</w:t>
      </w:r>
    </w:p>
    <w:p w:rsidR="00823255" w:rsidRPr="000B36F1" w:rsidRDefault="005D6E44" w:rsidP="000B36F1">
      <w:pPr>
        <w:numPr>
          <w:ilvl w:val="0"/>
          <w:numId w:val="7"/>
        </w:numPr>
        <w:spacing w:after="120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Aperçu de l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introduction générale (document TG/1/et des documents TGP</w:t>
      </w:r>
      <w:r w:rsidR="008F3889" w:rsidRPr="000B36F1">
        <w:rPr>
          <w:rFonts w:cs="Arial"/>
          <w:i/>
          <w:lang w:val="fr-FR"/>
        </w:rPr>
        <w:t>)</w:t>
      </w:r>
    </w:p>
    <w:p w:rsidR="00823255" w:rsidRPr="000B36F1" w:rsidRDefault="005D6E44" w:rsidP="000B36F1">
      <w:pPr>
        <w:numPr>
          <w:ilvl w:val="0"/>
          <w:numId w:val="6"/>
        </w:numPr>
        <w:spacing w:after="120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Les caractères comme base de l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examen DHS et sélection des caractères.</w:t>
      </w:r>
    </w:p>
    <w:p w:rsidR="001F7818" w:rsidRPr="000B36F1" w:rsidRDefault="00942420" w:rsidP="000B36F1">
      <w:pPr>
        <w:numPr>
          <w:ilvl w:val="0"/>
          <w:numId w:val="7"/>
        </w:numPr>
        <w:spacing w:after="120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Conseils pour l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élaboration des principes directeurs d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 xml:space="preserve">examen </w:t>
      </w:r>
      <w:r w:rsidR="005D6E44" w:rsidRPr="000B36F1">
        <w:rPr>
          <w:rFonts w:cs="Arial"/>
          <w:i/>
          <w:lang w:val="fr-FR"/>
        </w:rPr>
        <w:t>(document TGP/7)</w:t>
      </w:r>
    </w:p>
    <w:p w:rsidR="00823255" w:rsidRPr="000B36F1" w:rsidRDefault="00E17833" w:rsidP="000B36F1">
      <w:pPr>
        <w:numPr>
          <w:ilvl w:val="0"/>
          <w:numId w:val="8"/>
        </w:numPr>
        <w:spacing w:before="60" w:after="60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o</w:t>
      </w:r>
      <w:r w:rsidR="005D6E44" w:rsidRPr="000B36F1">
        <w:rPr>
          <w:rFonts w:cs="Arial"/>
          <w:i/>
          <w:lang w:val="fr-FR"/>
        </w:rPr>
        <w:t>bjet des principes directeurs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examen, matériel requis et méthode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examen;</w:t>
      </w:r>
    </w:p>
    <w:p w:rsidR="00823255" w:rsidRPr="000B36F1" w:rsidRDefault="00E17833" w:rsidP="000B36F1">
      <w:pPr>
        <w:numPr>
          <w:ilvl w:val="0"/>
          <w:numId w:val="8"/>
        </w:numPr>
        <w:spacing w:before="60" w:after="60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m</w:t>
      </w:r>
      <w:r w:rsidR="005D6E44" w:rsidRPr="000B36F1">
        <w:rPr>
          <w:rFonts w:cs="Arial"/>
          <w:i/>
          <w:lang w:val="fr-FR"/>
        </w:rPr>
        <w:t>éthode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observation (MS, MG, VS, VG);</w:t>
      </w:r>
    </w:p>
    <w:p w:rsidR="00823255" w:rsidRPr="000B36F1" w:rsidRDefault="00E17833" w:rsidP="000B36F1">
      <w:pPr>
        <w:numPr>
          <w:ilvl w:val="0"/>
          <w:numId w:val="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t</w:t>
      </w:r>
      <w:r w:rsidR="005D6E44" w:rsidRPr="000B36F1">
        <w:rPr>
          <w:rFonts w:cs="Arial"/>
          <w:i/>
          <w:lang w:val="fr-FR"/>
        </w:rPr>
        <w:t>ypes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expression (QL, PQ, QN), notes et distinction;</w:t>
      </w:r>
    </w:p>
    <w:p w:rsidR="00823255" w:rsidRPr="000B36F1" w:rsidRDefault="00E17833" w:rsidP="000B36F1">
      <w:pPr>
        <w:numPr>
          <w:ilvl w:val="0"/>
          <w:numId w:val="8"/>
        </w:numPr>
        <w:spacing w:before="60" w:after="60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c</w:t>
      </w:r>
      <w:r w:rsidR="005D6E44" w:rsidRPr="000B36F1">
        <w:rPr>
          <w:rFonts w:cs="Arial"/>
          <w:i/>
          <w:lang w:val="fr-FR"/>
        </w:rPr>
        <w:t>aractères de forme et de couleur;</w:t>
      </w:r>
    </w:p>
    <w:p w:rsidR="00823255" w:rsidRPr="000B36F1" w:rsidRDefault="00E17833" w:rsidP="000B36F1">
      <w:pPr>
        <w:numPr>
          <w:ilvl w:val="0"/>
          <w:numId w:val="8"/>
        </w:numPr>
        <w:spacing w:before="60" w:after="60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v</w:t>
      </w:r>
      <w:r w:rsidR="005D6E44" w:rsidRPr="000B36F1">
        <w:rPr>
          <w:rFonts w:cs="Arial"/>
          <w:i/>
          <w:lang w:val="fr-FR"/>
        </w:rPr>
        <w:t>ariétés indiquées à titre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exemples</w:t>
      </w:r>
      <w:r w:rsidRPr="000B36F1">
        <w:rPr>
          <w:rFonts w:cs="Arial"/>
          <w:i/>
          <w:lang w:val="fr-FR"/>
        </w:rPr>
        <w:t>;</w:t>
      </w:r>
    </w:p>
    <w:p w:rsidR="00823255" w:rsidRPr="000B36F1" w:rsidRDefault="00E17833" w:rsidP="000B36F1">
      <w:pPr>
        <w:numPr>
          <w:ilvl w:val="0"/>
          <w:numId w:val="8"/>
        </w:numPr>
        <w:spacing w:before="60" w:after="60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p</w:t>
      </w:r>
      <w:r w:rsidR="005D6E44" w:rsidRPr="000B36F1">
        <w:rPr>
          <w:rFonts w:cs="Arial"/>
          <w:i/>
          <w:lang w:val="fr-FR"/>
        </w:rPr>
        <w:t>rocessus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élaboration des principes directeurs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 xml:space="preserve">examen, </w:t>
      </w:r>
      <w:r w:rsidR="001F7818" w:rsidRPr="000B36F1">
        <w:rPr>
          <w:rFonts w:cs="Arial"/>
          <w:i/>
          <w:lang w:val="fr-FR"/>
        </w:rPr>
        <w:t>y compris</w:t>
      </w:r>
      <w:r w:rsidR="005D6E44" w:rsidRPr="000B36F1">
        <w:rPr>
          <w:rFonts w:cs="Arial"/>
          <w:i/>
          <w:lang w:val="fr-FR"/>
        </w:rPr>
        <w:t xml:space="preserve"> modèle de principes directeurs d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examen;  texte standard supplé</w:t>
      </w:r>
      <w:r w:rsidRPr="000B36F1">
        <w:rPr>
          <w:rFonts w:cs="Arial"/>
          <w:i/>
          <w:lang w:val="fr-FR"/>
        </w:rPr>
        <w:t>mentaire;  et notes indicatives.</w:t>
      </w:r>
    </w:p>
    <w:p w:rsidR="00823255" w:rsidRPr="000B36F1" w:rsidRDefault="005D6E44" w:rsidP="000B36F1">
      <w:pPr>
        <w:numPr>
          <w:ilvl w:val="0"/>
          <w:numId w:val="7"/>
        </w:numPr>
        <w:spacing w:after="120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Ordre du jour de la session du TWP</w:t>
      </w:r>
    </w:p>
    <w:p w:rsidR="00823255" w:rsidRPr="000B36F1" w:rsidRDefault="00E17833" w:rsidP="000B36F1">
      <w:pPr>
        <w:numPr>
          <w:ilvl w:val="0"/>
          <w:numId w:val="7"/>
        </w:numPr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 xml:space="preserve">Réactions </w:t>
      </w:r>
      <w:r w:rsidR="005D6E44" w:rsidRPr="000B36F1">
        <w:rPr>
          <w:rFonts w:cs="Arial"/>
          <w:i/>
          <w:lang w:val="fr-FR"/>
        </w:rPr>
        <w:t>des participants.</w:t>
      </w:r>
    </w:p>
    <w:p w:rsidR="00823255" w:rsidRPr="000B36F1" w:rsidRDefault="00823255" w:rsidP="000B36F1">
      <w:pPr>
        <w:rPr>
          <w:rFonts w:cs="Arial"/>
          <w:lang w:val="fr-FR"/>
        </w:rPr>
      </w:pPr>
    </w:p>
    <w:p w:rsidR="00823255" w:rsidRPr="000B36F1" w:rsidRDefault="00A1690E" w:rsidP="000B36F1">
      <w:pPr>
        <w:keepNext/>
        <w:rPr>
          <w:rFonts w:cs="Arial"/>
          <w:lang w:val="fr-FR"/>
        </w:rPr>
      </w:pPr>
      <w:r w:rsidRPr="000B36F1">
        <w:rPr>
          <w:rFonts w:cs="Arial"/>
          <w:lang w:val="fr-FR"/>
        </w:rPr>
        <w:lastRenderedPageBreak/>
        <w:fldChar w:fldCharType="begin"/>
      </w:r>
      <w:r w:rsidRPr="000B36F1">
        <w:rPr>
          <w:rFonts w:cs="Arial"/>
          <w:lang w:val="fr-FR"/>
        </w:rPr>
        <w:instrText xml:space="preserve"> AUTONUM  </w:instrText>
      </w:r>
      <w:r w:rsidRPr="000B36F1">
        <w:rPr>
          <w:rFonts w:cs="Arial"/>
          <w:lang w:val="fr-FR"/>
        </w:rPr>
        <w:fldChar w:fldCharType="end"/>
      </w:r>
      <w:r w:rsidRPr="000B36F1">
        <w:rPr>
          <w:rFonts w:cs="Arial"/>
          <w:lang w:val="fr-FR"/>
        </w:rPr>
        <w:tab/>
      </w:r>
      <w:r w:rsidR="005D6E44" w:rsidRPr="000B36F1">
        <w:rPr>
          <w:rFonts w:cs="Arial"/>
          <w:lang w:val="fr-FR"/>
        </w:rPr>
        <w:t>Il est proposé qu</w:t>
      </w:r>
      <w:r w:rsidR="001F7818" w:rsidRPr="000B36F1">
        <w:rPr>
          <w:rFonts w:cs="Arial"/>
          <w:lang w:val="fr-FR"/>
        </w:rPr>
        <w:t>’</w:t>
      </w:r>
      <w:r w:rsidR="005D6E44" w:rsidRPr="000B36F1">
        <w:rPr>
          <w:rFonts w:cs="Arial"/>
          <w:lang w:val="fr-FR"/>
        </w:rPr>
        <w:t>un atelier préparatoire d</w:t>
      </w:r>
      <w:r w:rsidR="001F7818" w:rsidRPr="000B36F1">
        <w:rPr>
          <w:rFonts w:cs="Arial"/>
          <w:lang w:val="fr-FR"/>
        </w:rPr>
        <w:t>’</w:t>
      </w:r>
      <w:r w:rsidR="005D6E44" w:rsidRPr="000B36F1">
        <w:rPr>
          <w:rFonts w:cs="Arial"/>
          <w:lang w:val="fr-FR"/>
        </w:rPr>
        <w:t>une demi</w:t>
      </w:r>
      <w:r w:rsidR="008F3889" w:rsidRPr="000B36F1">
        <w:rPr>
          <w:rFonts w:cs="Arial"/>
          <w:lang w:val="fr-FR"/>
        </w:rPr>
        <w:noBreakHyphen/>
      </w:r>
      <w:r w:rsidR="005D6E44" w:rsidRPr="000B36F1">
        <w:rPr>
          <w:rFonts w:cs="Arial"/>
          <w:lang w:val="fr-FR"/>
        </w:rPr>
        <w:t>journée soit organisé à l</w:t>
      </w:r>
      <w:r w:rsidR="001F7818" w:rsidRPr="000B36F1">
        <w:rPr>
          <w:rFonts w:cs="Arial"/>
          <w:lang w:val="fr-FR"/>
        </w:rPr>
        <w:t>’</w:t>
      </w:r>
      <w:r w:rsidR="005D6E44" w:rsidRPr="000B36F1">
        <w:rPr>
          <w:rFonts w:cs="Arial"/>
          <w:lang w:val="fr-FR"/>
        </w:rPr>
        <w:t>occasion de la session du TWC en 2015, avec le programme suivant :</w:t>
      </w:r>
    </w:p>
    <w:p w:rsidR="00823255" w:rsidRPr="000B36F1" w:rsidRDefault="00823255" w:rsidP="000B36F1">
      <w:pPr>
        <w:keepNext/>
        <w:rPr>
          <w:rFonts w:cs="Arial"/>
          <w:lang w:val="fr-FR"/>
        </w:rPr>
      </w:pPr>
    </w:p>
    <w:p w:rsidR="00823255" w:rsidRPr="000B36F1" w:rsidRDefault="005D6E44" w:rsidP="000B36F1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Présentation de l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UPOV et du rôle des groupes de travail techniques (TWP)</w:t>
      </w:r>
    </w:p>
    <w:p w:rsidR="00823255" w:rsidRPr="000B36F1" w:rsidRDefault="005D6E44" w:rsidP="000B36F1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Aperçu de l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introduction générale (document TG/1/et des documents TGP</w:t>
      </w:r>
    </w:p>
    <w:p w:rsidR="00823255" w:rsidRPr="000B36F1" w:rsidRDefault="005D6E44" w:rsidP="000B36F1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Aperçu des essais DHS et des principes directeurs d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examen</w:t>
      </w:r>
    </w:p>
    <w:p w:rsidR="001F7818" w:rsidRPr="000B36F1" w:rsidRDefault="005D6E44" w:rsidP="000B36F1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Méthode d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observation et type de notation (MS, MG, VS, VG)</w:t>
      </w:r>
    </w:p>
    <w:p w:rsidR="001F7818" w:rsidRPr="000B36F1" w:rsidRDefault="005D6E44" w:rsidP="000B36F1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Types d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expression des caractères (QL, PQ et QN) et types d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échelles de données</w:t>
      </w:r>
    </w:p>
    <w:p w:rsidR="00823255" w:rsidRPr="000B36F1" w:rsidRDefault="005D6E44" w:rsidP="000B36F1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Analyse d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images</w:t>
      </w:r>
    </w:p>
    <w:p w:rsidR="00823255" w:rsidRPr="000B36F1" w:rsidRDefault="00E17833" w:rsidP="000B36F1">
      <w:pPr>
        <w:spacing w:after="120"/>
        <w:ind w:left="567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5.</w:t>
      </w:r>
      <w:r w:rsidRPr="000B36F1">
        <w:rPr>
          <w:rFonts w:cs="Arial"/>
          <w:i/>
          <w:lang w:val="fr-FR"/>
        </w:rPr>
        <w:tab/>
      </w:r>
      <w:r w:rsidR="005D6E44" w:rsidRPr="000B36F1">
        <w:rPr>
          <w:rFonts w:cs="Arial"/>
          <w:i/>
          <w:lang w:val="fr-FR"/>
        </w:rPr>
        <w:t>Le site</w:t>
      </w:r>
      <w:r w:rsidR="006058A9" w:rsidRPr="000B36F1">
        <w:rPr>
          <w:rFonts w:cs="Arial"/>
          <w:i/>
          <w:lang w:val="fr-FR"/>
        </w:rPr>
        <w:t> </w:t>
      </w:r>
      <w:r w:rsidR="005D6E44" w:rsidRPr="000B36F1">
        <w:rPr>
          <w:rFonts w:cs="Arial"/>
          <w:i/>
          <w:lang w:val="fr-FR"/>
        </w:rPr>
        <w:t>Web de l</w:t>
      </w:r>
      <w:r w:rsidR="001F7818" w:rsidRPr="000B36F1">
        <w:rPr>
          <w:rFonts w:cs="Arial"/>
          <w:i/>
          <w:lang w:val="fr-FR"/>
        </w:rPr>
        <w:t>’</w:t>
      </w:r>
      <w:r w:rsidR="005D6E44" w:rsidRPr="000B36F1">
        <w:rPr>
          <w:rFonts w:cs="Arial"/>
          <w:i/>
          <w:lang w:val="fr-FR"/>
        </w:rPr>
        <w:t>UPOV</w:t>
      </w:r>
    </w:p>
    <w:p w:rsidR="00823255" w:rsidRPr="000B36F1" w:rsidRDefault="005D6E44" w:rsidP="000B36F1">
      <w:pPr>
        <w:numPr>
          <w:ilvl w:val="2"/>
          <w:numId w:val="7"/>
        </w:numPr>
        <w:spacing w:after="120"/>
        <w:ind w:left="1701" w:hanging="567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Bases de données (Code UPOV, GENIE, PLUTO, principes directeurs d</w:t>
      </w:r>
      <w:r w:rsidR="001F7818" w:rsidRPr="000B36F1">
        <w:rPr>
          <w:rFonts w:cs="Arial"/>
          <w:i/>
          <w:lang w:val="fr-FR"/>
        </w:rPr>
        <w:t>’</w:t>
      </w:r>
      <w:r w:rsidRPr="000B36F1">
        <w:rPr>
          <w:rFonts w:cs="Arial"/>
          <w:i/>
          <w:lang w:val="fr-FR"/>
        </w:rPr>
        <w:t>examen et UPOV Lex)</w:t>
      </w:r>
    </w:p>
    <w:p w:rsidR="001F7818" w:rsidRPr="000B36F1" w:rsidRDefault="005D6E44" w:rsidP="000B36F1">
      <w:pPr>
        <w:numPr>
          <w:ilvl w:val="2"/>
          <w:numId w:val="7"/>
        </w:numPr>
        <w:spacing w:after="120"/>
        <w:ind w:left="1701" w:hanging="567"/>
        <w:rPr>
          <w:rFonts w:cs="Arial"/>
          <w:i/>
          <w:lang w:val="fr-FR"/>
        </w:rPr>
      </w:pPr>
      <w:r w:rsidRPr="000B36F1">
        <w:rPr>
          <w:rFonts w:cs="Arial"/>
          <w:lang w:val="fr-FR"/>
        </w:rPr>
        <w:t>Autres ressources</w:t>
      </w:r>
    </w:p>
    <w:p w:rsidR="00823255" w:rsidRPr="000B36F1" w:rsidRDefault="005D6E44" w:rsidP="000B36F1">
      <w:pPr>
        <w:spacing w:after="120"/>
        <w:ind w:left="1134" w:hanging="567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 xml:space="preserve">6. </w:t>
      </w:r>
      <w:r w:rsidR="006058A9" w:rsidRPr="000B36F1">
        <w:rPr>
          <w:rFonts w:cs="Arial"/>
          <w:i/>
          <w:lang w:val="fr-FR"/>
        </w:rPr>
        <w:t xml:space="preserve"> </w:t>
      </w:r>
      <w:r w:rsidR="00E17833" w:rsidRPr="000B36F1">
        <w:rPr>
          <w:rFonts w:cs="Arial"/>
          <w:i/>
          <w:lang w:val="fr-FR"/>
        </w:rPr>
        <w:tab/>
      </w:r>
      <w:r w:rsidRPr="000B36F1">
        <w:rPr>
          <w:rFonts w:cs="Arial"/>
          <w:i/>
          <w:lang w:val="fr-FR"/>
        </w:rPr>
        <w:t>Ordre du jour de la session du TWP</w:t>
      </w:r>
    </w:p>
    <w:p w:rsidR="00823255" w:rsidRPr="000B36F1" w:rsidRDefault="005D6E44" w:rsidP="000B36F1">
      <w:pPr>
        <w:ind w:firstLine="567"/>
        <w:rPr>
          <w:rFonts w:cs="Arial"/>
          <w:i/>
          <w:lang w:val="fr-FR"/>
        </w:rPr>
      </w:pPr>
      <w:r w:rsidRPr="000B36F1">
        <w:rPr>
          <w:rFonts w:cs="Arial"/>
          <w:i/>
          <w:lang w:val="fr-FR"/>
        </w:rPr>
        <w:t>7.</w:t>
      </w:r>
      <w:r w:rsidR="00E17833" w:rsidRPr="000B36F1">
        <w:rPr>
          <w:rFonts w:cs="Arial"/>
          <w:i/>
          <w:lang w:val="fr-FR"/>
        </w:rPr>
        <w:tab/>
      </w:r>
      <w:r w:rsidRPr="000B36F1">
        <w:rPr>
          <w:rFonts w:cs="Arial"/>
          <w:i/>
          <w:lang w:val="fr-FR"/>
        </w:rPr>
        <w:t>Réactions des participants</w:t>
      </w:r>
    </w:p>
    <w:p w:rsidR="00823255" w:rsidRPr="000B36F1" w:rsidRDefault="00A1690E" w:rsidP="000B36F1">
      <w:pPr>
        <w:pStyle w:val="DecisionParagraphs"/>
        <w:rPr>
          <w:rFonts w:cs="Arial"/>
          <w:lang w:val="fr-FR"/>
        </w:rPr>
      </w:pPr>
      <w:r w:rsidRPr="000B36F1">
        <w:rPr>
          <w:rFonts w:cs="Arial"/>
          <w:lang w:val="fr-FR"/>
        </w:rPr>
        <w:fldChar w:fldCharType="begin"/>
      </w:r>
      <w:r w:rsidRPr="000B36F1">
        <w:rPr>
          <w:rFonts w:cs="Arial"/>
          <w:lang w:val="fr-FR"/>
        </w:rPr>
        <w:instrText xml:space="preserve"> AUTONUM  </w:instrText>
      </w:r>
      <w:r w:rsidRPr="000B36F1">
        <w:rPr>
          <w:rFonts w:cs="Arial"/>
          <w:lang w:val="fr-FR"/>
        </w:rPr>
        <w:fldChar w:fldCharType="end"/>
      </w:r>
      <w:r w:rsidRPr="000B36F1">
        <w:rPr>
          <w:rFonts w:cs="Arial"/>
          <w:lang w:val="fr-FR"/>
        </w:rPr>
        <w:tab/>
      </w:r>
      <w:r w:rsidR="005650AB">
        <w:rPr>
          <w:rFonts w:cs="Arial"/>
          <w:lang w:val="fr-FR"/>
        </w:rPr>
        <w:t>Le TC</w:t>
      </w:r>
      <w:r w:rsidR="005D6E44" w:rsidRPr="000B36F1">
        <w:rPr>
          <w:rFonts w:cs="Arial"/>
          <w:lang w:val="fr-FR"/>
        </w:rPr>
        <w:t xml:space="preserve"> est invité à</w:t>
      </w:r>
      <w:r w:rsidR="006058A9" w:rsidRPr="000B36F1">
        <w:rPr>
          <w:rFonts w:cs="Arial"/>
          <w:lang w:val="fr-FR"/>
        </w:rPr>
        <w:t> </w:t>
      </w:r>
      <w:r w:rsidR="005D6E44" w:rsidRPr="000B36F1">
        <w:rPr>
          <w:rFonts w:cs="Arial"/>
          <w:lang w:val="fr-FR"/>
        </w:rPr>
        <w:t>:</w:t>
      </w:r>
    </w:p>
    <w:p w:rsidR="00823255" w:rsidRPr="000B36F1" w:rsidRDefault="00823255" w:rsidP="000B36F1">
      <w:pPr>
        <w:pStyle w:val="DecisionParagraphs"/>
        <w:rPr>
          <w:rFonts w:cs="Arial"/>
          <w:lang w:val="fr-FR"/>
        </w:rPr>
      </w:pPr>
    </w:p>
    <w:p w:rsidR="00823255" w:rsidRPr="000B36F1" w:rsidRDefault="005D6E44" w:rsidP="000B36F1">
      <w:pPr>
        <w:pStyle w:val="DecisionParagraphs"/>
        <w:numPr>
          <w:ilvl w:val="0"/>
          <w:numId w:val="1"/>
        </w:numPr>
        <w:tabs>
          <w:tab w:val="clear" w:pos="5387"/>
          <w:tab w:val="clear" w:pos="5960"/>
          <w:tab w:val="num" w:pos="4820"/>
        </w:tabs>
        <w:ind w:left="4820" w:firstLine="709"/>
        <w:rPr>
          <w:rFonts w:cs="Arial"/>
          <w:lang w:val="fr-FR"/>
        </w:rPr>
      </w:pPr>
      <w:r w:rsidRPr="000B36F1">
        <w:rPr>
          <w:rFonts w:cs="Arial"/>
          <w:lang w:val="fr-FR"/>
        </w:rPr>
        <w:t>prendre note du compte rendu des ateliers préparatoires tenus en 2014;</w:t>
      </w:r>
    </w:p>
    <w:p w:rsidR="00823255" w:rsidRPr="000B36F1" w:rsidRDefault="00823255" w:rsidP="000B36F1">
      <w:pPr>
        <w:pStyle w:val="DecisionParagraphs"/>
        <w:tabs>
          <w:tab w:val="clear" w:pos="5387"/>
        </w:tabs>
        <w:ind w:left="5529"/>
        <w:rPr>
          <w:rFonts w:cs="Arial"/>
          <w:lang w:val="fr-FR"/>
        </w:rPr>
      </w:pPr>
    </w:p>
    <w:p w:rsidR="00823255" w:rsidRPr="000B36F1" w:rsidRDefault="005D6E44" w:rsidP="000B36F1">
      <w:pPr>
        <w:pStyle w:val="DecisionParagraphs"/>
        <w:numPr>
          <w:ilvl w:val="0"/>
          <w:numId w:val="1"/>
        </w:numPr>
        <w:tabs>
          <w:tab w:val="clear" w:pos="5960"/>
          <w:tab w:val="num" w:pos="4820"/>
          <w:tab w:val="num" w:pos="5387"/>
        </w:tabs>
        <w:ind w:left="4820" w:firstLine="709"/>
        <w:rPr>
          <w:rFonts w:cs="Arial"/>
          <w:lang w:val="fr-FR"/>
        </w:rPr>
      </w:pPr>
      <w:r w:rsidRPr="000B36F1">
        <w:rPr>
          <w:rFonts w:cs="Arial"/>
          <w:lang w:val="fr-FR"/>
        </w:rPr>
        <w:t>examiner le programme proposé pour les ateliers préparatoires prévus en 2015, indiqué aux paragraphes 10 à 11 du présent document.</w:t>
      </w:r>
    </w:p>
    <w:p w:rsidR="00823255" w:rsidRPr="000B36F1" w:rsidRDefault="00823255" w:rsidP="000B36F1">
      <w:pPr>
        <w:pStyle w:val="EndOfDoc0"/>
        <w:jc w:val="both"/>
        <w:rPr>
          <w:rFonts w:ascii="Arial" w:hAnsi="Arial" w:cs="Arial"/>
          <w:sz w:val="20"/>
          <w:lang w:val="fr-FR"/>
        </w:rPr>
      </w:pPr>
    </w:p>
    <w:p w:rsidR="001F7818" w:rsidRPr="000B36F1" w:rsidRDefault="001F7818" w:rsidP="000B36F1">
      <w:pPr>
        <w:pStyle w:val="EndOfDoc0"/>
        <w:jc w:val="both"/>
        <w:rPr>
          <w:rFonts w:ascii="Arial" w:hAnsi="Arial" w:cs="Arial"/>
          <w:sz w:val="20"/>
          <w:lang w:val="fr-FR"/>
        </w:rPr>
      </w:pPr>
    </w:p>
    <w:p w:rsidR="00823255" w:rsidRPr="000B36F1" w:rsidRDefault="005D6E44" w:rsidP="000B36F1">
      <w:pPr>
        <w:jc w:val="right"/>
        <w:rPr>
          <w:lang w:val="fr-FR"/>
        </w:rPr>
      </w:pPr>
      <w:r w:rsidRPr="000B36F1">
        <w:rPr>
          <w:lang w:val="fr-FR"/>
        </w:rPr>
        <w:t>[Fin du document]</w:t>
      </w:r>
    </w:p>
    <w:p w:rsidR="00823255" w:rsidRPr="000B36F1" w:rsidRDefault="00823255" w:rsidP="000B36F1">
      <w:pPr>
        <w:jc w:val="right"/>
        <w:rPr>
          <w:lang w:val="fr-FR"/>
        </w:rPr>
      </w:pPr>
    </w:p>
    <w:p w:rsidR="00050E16" w:rsidRPr="000B36F1" w:rsidRDefault="00050E16" w:rsidP="000B36F1">
      <w:pPr>
        <w:jc w:val="right"/>
        <w:rPr>
          <w:lang w:val="fr-FR"/>
        </w:rPr>
      </w:pPr>
    </w:p>
    <w:sectPr w:rsidR="00050E16" w:rsidRPr="000B36F1" w:rsidSect="000B36F1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AA" w:rsidRDefault="00EF15AA" w:rsidP="006655D3">
      <w:r>
        <w:separator/>
      </w:r>
    </w:p>
    <w:p w:rsidR="00EF15AA" w:rsidRDefault="00EF15AA" w:rsidP="006655D3"/>
    <w:p w:rsidR="00EF15AA" w:rsidRDefault="00EF15AA" w:rsidP="006655D3"/>
  </w:endnote>
  <w:endnote w:type="continuationSeparator" w:id="0">
    <w:p w:rsidR="00EF15AA" w:rsidRDefault="00EF15AA" w:rsidP="006655D3">
      <w:r>
        <w:separator/>
      </w:r>
    </w:p>
    <w:p w:rsidR="00EF15AA" w:rsidRPr="00A1690E" w:rsidRDefault="00EF15AA">
      <w:pPr>
        <w:pStyle w:val="Footer"/>
        <w:spacing w:after="60"/>
        <w:rPr>
          <w:sz w:val="18"/>
          <w:lang w:val="fr-FR"/>
        </w:rPr>
      </w:pPr>
      <w:r w:rsidRPr="00A1690E">
        <w:rPr>
          <w:sz w:val="18"/>
          <w:lang w:val="fr-FR"/>
        </w:rPr>
        <w:t>[Suite de la note de la page précédente]</w:t>
      </w:r>
    </w:p>
    <w:p w:rsidR="00EF15AA" w:rsidRPr="00A1690E" w:rsidRDefault="00EF15AA" w:rsidP="006655D3">
      <w:pPr>
        <w:rPr>
          <w:lang w:val="fr-FR"/>
        </w:rPr>
      </w:pPr>
    </w:p>
    <w:p w:rsidR="00EF15AA" w:rsidRPr="00A1690E" w:rsidRDefault="00EF15AA" w:rsidP="006655D3">
      <w:pPr>
        <w:rPr>
          <w:lang w:val="fr-FR"/>
        </w:rPr>
      </w:pPr>
    </w:p>
  </w:endnote>
  <w:endnote w:type="continuationNotice" w:id="1">
    <w:p w:rsidR="00EF15AA" w:rsidRPr="00A1690E" w:rsidRDefault="00EF15AA" w:rsidP="006655D3">
      <w:pPr>
        <w:rPr>
          <w:lang w:val="fr-FR"/>
        </w:rPr>
      </w:pPr>
      <w:r w:rsidRPr="00A1690E">
        <w:rPr>
          <w:lang w:val="fr-FR"/>
        </w:rPr>
        <w:t>[Suite de la note page suivante]</w:t>
      </w:r>
    </w:p>
    <w:p w:rsidR="00EF15AA" w:rsidRPr="00A1690E" w:rsidRDefault="00EF15AA" w:rsidP="006655D3">
      <w:pPr>
        <w:rPr>
          <w:lang w:val="fr-FR"/>
        </w:rPr>
      </w:pPr>
    </w:p>
    <w:p w:rsidR="00EF15AA" w:rsidRPr="00A1690E" w:rsidRDefault="00EF15A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AA" w:rsidRDefault="00EF15AA" w:rsidP="006655D3">
      <w:r>
        <w:separator/>
      </w:r>
    </w:p>
  </w:footnote>
  <w:footnote w:type="continuationSeparator" w:id="0">
    <w:p w:rsidR="00EF15AA" w:rsidRDefault="00EF15AA" w:rsidP="006655D3">
      <w:r>
        <w:separator/>
      </w:r>
    </w:p>
  </w:footnote>
  <w:footnote w:type="continuationNotice" w:id="1">
    <w:p w:rsidR="00EF15AA" w:rsidRPr="00AB530F" w:rsidRDefault="00EF15A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6AD" w:rsidRPr="00C5280D" w:rsidRDefault="004536A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TC/51/13</w:t>
    </w:r>
  </w:p>
  <w:p w:rsidR="004536AD" w:rsidRPr="00C5280D" w:rsidRDefault="004536AD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650AB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4536AD" w:rsidRPr="00C5280D" w:rsidRDefault="004536AD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8C6EEC90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7707824"/>
    <w:multiLevelType w:val="hybridMultilevel"/>
    <w:tmpl w:val="AC70DD1C"/>
    <w:lvl w:ilvl="0" w:tplc="F8B00E96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0C45FFF"/>
    <w:multiLevelType w:val="hybridMultilevel"/>
    <w:tmpl w:val="E8B85A06"/>
    <w:lvl w:ilvl="0" w:tplc="04090017">
      <w:start w:val="1"/>
      <w:numFmt w:val="lowerLetter"/>
      <w:lvlText w:val="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3">
    <w:nsid w:val="15157BC9"/>
    <w:multiLevelType w:val="hybridMultilevel"/>
    <w:tmpl w:val="445257C2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C5DC7"/>
    <w:multiLevelType w:val="hybridMultilevel"/>
    <w:tmpl w:val="F9D872AC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EB2F5D"/>
    <w:multiLevelType w:val="hybridMultilevel"/>
    <w:tmpl w:val="AC70DD1C"/>
    <w:lvl w:ilvl="0" w:tplc="F8B00E96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6AF22E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5B976E75"/>
    <w:multiLevelType w:val="hybridMultilevel"/>
    <w:tmpl w:val="8E560A32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670B63C3"/>
    <w:multiLevelType w:val="hybridMultilevel"/>
    <w:tmpl w:val="7166C864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987130"/>
    <w:multiLevelType w:val="hybridMultilevel"/>
    <w:tmpl w:val="34307E80"/>
    <w:lvl w:ilvl="0" w:tplc="417A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0"/>
  </w:num>
  <w:num w:numId="5">
    <w:abstractNumId w:val="10"/>
  </w:num>
  <w:num w:numId="6">
    <w:abstractNumId w:val="11"/>
  </w:num>
  <w:num w:numId="7">
    <w:abstractNumId w:val="8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PreTradBeta|WIPONew|AT.WIPO"/>
    <w:docVar w:name="TermBaseURL" w:val="empty"/>
    <w:docVar w:name="TextBases" w:val="WorkspaceFTS\EN-FR\UPOV|UPOV\Meetings|UPOV\Other|UPOV\Publications|UPOV\Technical Guidelines|Patents\Meetings|Patents\Other|Patents\Publications|WorkspaceFTS\EN-FR\PCT|Administrative\Other|IP in General\Meetings|Copyright\Other"/>
    <w:docVar w:name="TextBaseURL" w:val="empty"/>
    <w:docVar w:name="UILng" w:val="en"/>
  </w:docVars>
  <w:rsids>
    <w:rsidRoot w:val="00534E24"/>
    <w:rsid w:val="00010CF3"/>
    <w:rsid w:val="00011E27"/>
    <w:rsid w:val="000148BC"/>
    <w:rsid w:val="00024AB8"/>
    <w:rsid w:val="00025B73"/>
    <w:rsid w:val="00030854"/>
    <w:rsid w:val="000333EA"/>
    <w:rsid w:val="00033BE0"/>
    <w:rsid w:val="00036028"/>
    <w:rsid w:val="00044642"/>
    <w:rsid w:val="000446B9"/>
    <w:rsid w:val="00047E21"/>
    <w:rsid w:val="00050E16"/>
    <w:rsid w:val="00085505"/>
    <w:rsid w:val="000923BC"/>
    <w:rsid w:val="000B36F1"/>
    <w:rsid w:val="000C7021"/>
    <w:rsid w:val="000D6BBC"/>
    <w:rsid w:val="000D7780"/>
    <w:rsid w:val="000F2F11"/>
    <w:rsid w:val="00105929"/>
    <w:rsid w:val="001131D5"/>
    <w:rsid w:val="00113BB5"/>
    <w:rsid w:val="00141DB8"/>
    <w:rsid w:val="0017474A"/>
    <w:rsid w:val="001758C6"/>
    <w:rsid w:val="00182B99"/>
    <w:rsid w:val="001F7818"/>
    <w:rsid w:val="0021332C"/>
    <w:rsid w:val="00213982"/>
    <w:rsid w:val="0024416D"/>
    <w:rsid w:val="00267815"/>
    <w:rsid w:val="00271911"/>
    <w:rsid w:val="002800A0"/>
    <w:rsid w:val="002801B3"/>
    <w:rsid w:val="00281060"/>
    <w:rsid w:val="002940E8"/>
    <w:rsid w:val="002A6E50"/>
    <w:rsid w:val="002C256A"/>
    <w:rsid w:val="002E0EA3"/>
    <w:rsid w:val="002F3772"/>
    <w:rsid w:val="00305A7F"/>
    <w:rsid w:val="003152FE"/>
    <w:rsid w:val="00327436"/>
    <w:rsid w:val="00344BD6"/>
    <w:rsid w:val="0035528D"/>
    <w:rsid w:val="0035602E"/>
    <w:rsid w:val="00361821"/>
    <w:rsid w:val="00386B41"/>
    <w:rsid w:val="003D227C"/>
    <w:rsid w:val="003D2B4D"/>
    <w:rsid w:val="004057A0"/>
    <w:rsid w:val="00444A88"/>
    <w:rsid w:val="004519FB"/>
    <w:rsid w:val="004536AD"/>
    <w:rsid w:val="00474DA4"/>
    <w:rsid w:val="00476B4D"/>
    <w:rsid w:val="004805FA"/>
    <w:rsid w:val="004A4533"/>
    <w:rsid w:val="004D047D"/>
    <w:rsid w:val="004D7498"/>
    <w:rsid w:val="004F305A"/>
    <w:rsid w:val="00512164"/>
    <w:rsid w:val="00520297"/>
    <w:rsid w:val="005228C5"/>
    <w:rsid w:val="005338F9"/>
    <w:rsid w:val="00534E24"/>
    <w:rsid w:val="0054281C"/>
    <w:rsid w:val="00547EE9"/>
    <w:rsid w:val="00551141"/>
    <w:rsid w:val="0055268D"/>
    <w:rsid w:val="005650AB"/>
    <w:rsid w:val="00576BE4"/>
    <w:rsid w:val="005A400A"/>
    <w:rsid w:val="005C2572"/>
    <w:rsid w:val="005D6E44"/>
    <w:rsid w:val="005E7437"/>
    <w:rsid w:val="006058A9"/>
    <w:rsid w:val="00612379"/>
    <w:rsid w:val="0061555F"/>
    <w:rsid w:val="00641200"/>
    <w:rsid w:val="006655D3"/>
    <w:rsid w:val="00667404"/>
    <w:rsid w:val="00687EB4"/>
    <w:rsid w:val="006B17D2"/>
    <w:rsid w:val="006B5DBC"/>
    <w:rsid w:val="006C224E"/>
    <w:rsid w:val="006D780A"/>
    <w:rsid w:val="00732DEC"/>
    <w:rsid w:val="00735BD5"/>
    <w:rsid w:val="007456DE"/>
    <w:rsid w:val="00754CC1"/>
    <w:rsid w:val="007556F6"/>
    <w:rsid w:val="00760EEF"/>
    <w:rsid w:val="007626DA"/>
    <w:rsid w:val="00777EE5"/>
    <w:rsid w:val="00784836"/>
    <w:rsid w:val="0079023E"/>
    <w:rsid w:val="007953E6"/>
    <w:rsid w:val="007A07B8"/>
    <w:rsid w:val="007A2854"/>
    <w:rsid w:val="007D0B9D"/>
    <w:rsid w:val="007D19B0"/>
    <w:rsid w:val="007E1B68"/>
    <w:rsid w:val="007F498F"/>
    <w:rsid w:val="0080679D"/>
    <w:rsid w:val="008108B0"/>
    <w:rsid w:val="00811B20"/>
    <w:rsid w:val="00814B54"/>
    <w:rsid w:val="00817D00"/>
    <w:rsid w:val="0082296E"/>
    <w:rsid w:val="00823255"/>
    <w:rsid w:val="00824099"/>
    <w:rsid w:val="0085699D"/>
    <w:rsid w:val="00867AC1"/>
    <w:rsid w:val="008A105D"/>
    <w:rsid w:val="008A743F"/>
    <w:rsid w:val="008C0970"/>
    <w:rsid w:val="008D2CF7"/>
    <w:rsid w:val="008F3889"/>
    <w:rsid w:val="00900C26"/>
    <w:rsid w:val="0090197F"/>
    <w:rsid w:val="00906DDC"/>
    <w:rsid w:val="00933E4D"/>
    <w:rsid w:val="00934E09"/>
    <w:rsid w:val="00936253"/>
    <w:rsid w:val="00942420"/>
    <w:rsid w:val="009438D5"/>
    <w:rsid w:val="00952DD4"/>
    <w:rsid w:val="00960E3D"/>
    <w:rsid w:val="00970FED"/>
    <w:rsid w:val="00992D82"/>
    <w:rsid w:val="00997029"/>
    <w:rsid w:val="009D690D"/>
    <w:rsid w:val="009E65B6"/>
    <w:rsid w:val="00A1690E"/>
    <w:rsid w:val="00A24C10"/>
    <w:rsid w:val="00A42AC3"/>
    <w:rsid w:val="00A430CF"/>
    <w:rsid w:val="00A54309"/>
    <w:rsid w:val="00A62BD0"/>
    <w:rsid w:val="00AB2B93"/>
    <w:rsid w:val="00AB530F"/>
    <w:rsid w:val="00AB7E5B"/>
    <w:rsid w:val="00AE0EF1"/>
    <w:rsid w:val="00AE2937"/>
    <w:rsid w:val="00B07301"/>
    <w:rsid w:val="00B224DE"/>
    <w:rsid w:val="00B46575"/>
    <w:rsid w:val="00B84BBD"/>
    <w:rsid w:val="00B86058"/>
    <w:rsid w:val="00BA43FB"/>
    <w:rsid w:val="00BC127D"/>
    <w:rsid w:val="00BC1FE6"/>
    <w:rsid w:val="00C061B6"/>
    <w:rsid w:val="00C11DDC"/>
    <w:rsid w:val="00C2446C"/>
    <w:rsid w:val="00C36AE5"/>
    <w:rsid w:val="00C41F17"/>
    <w:rsid w:val="00C5280D"/>
    <w:rsid w:val="00C5791C"/>
    <w:rsid w:val="00C66290"/>
    <w:rsid w:val="00C66BE1"/>
    <w:rsid w:val="00C72B7A"/>
    <w:rsid w:val="00C973F2"/>
    <w:rsid w:val="00CA1E42"/>
    <w:rsid w:val="00CA304C"/>
    <w:rsid w:val="00CA774A"/>
    <w:rsid w:val="00CC11B0"/>
    <w:rsid w:val="00CF7E36"/>
    <w:rsid w:val="00D36E8A"/>
    <w:rsid w:val="00D3708D"/>
    <w:rsid w:val="00D40426"/>
    <w:rsid w:val="00D57C96"/>
    <w:rsid w:val="00D65BF5"/>
    <w:rsid w:val="00D91203"/>
    <w:rsid w:val="00D95174"/>
    <w:rsid w:val="00DA6F36"/>
    <w:rsid w:val="00DB596E"/>
    <w:rsid w:val="00DB7773"/>
    <w:rsid w:val="00DC00EA"/>
    <w:rsid w:val="00DE0087"/>
    <w:rsid w:val="00E17833"/>
    <w:rsid w:val="00E32F7E"/>
    <w:rsid w:val="00E72D49"/>
    <w:rsid w:val="00E7593C"/>
    <w:rsid w:val="00E7678A"/>
    <w:rsid w:val="00E935F1"/>
    <w:rsid w:val="00E94A81"/>
    <w:rsid w:val="00EA1FFB"/>
    <w:rsid w:val="00EB048E"/>
    <w:rsid w:val="00EB0880"/>
    <w:rsid w:val="00EE34DF"/>
    <w:rsid w:val="00EF15AA"/>
    <w:rsid w:val="00EF2F89"/>
    <w:rsid w:val="00F01DE0"/>
    <w:rsid w:val="00F1237A"/>
    <w:rsid w:val="00F22CBD"/>
    <w:rsid w:val="00F43A3F"/>
    <w:rsid w:val="00F45372"/>
    <w:rsid w:val="00F51858"/>
    <w:rsid w:val="00F560F7"/>
    <w:rsid w:val="00F6334D"/>
    <w:rsid w:val="00FA49AB"/>
    <w:rsid w:val="00FE39C7"/>
    <w:rsid w:val="00FF61F4"/>
    <w:rsid w:val="00FF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1690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1690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A1690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A1690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90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A1690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1690E"/>
    <w:rPr>
      <w:rFonts w:ascii="Arial" w:hAnsi="Arial"/>
      <w:u w:val="single"/>
    </w:rPr>
  </w:style>
  <w:style w:type="paragraph" w:customStyle="1" w:styleId="Style1">
    <w:name w:val="Style1"/>
    <w:basedOn w:val="Normal"/>
    <w:rsid w:val="00267815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A62BD0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1690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1690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A1690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A1690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90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A1690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1690E"/>
    <w:rPr>
      <w:rFonts w:ascii="Arial" w:hAnsi="Arial"/>
      <w:u w:val="single"/>
    </w:rPr>
  </w:style>
  <w:style w:type="paragraph" w:customStyle="1" w:styleId="Style1">
    <w:name w:val="Style1"/>
    <w:basedOn w:val="Normal"/>
    <w:rsid w:val="00267815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A62BD0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D989C-0D72-46ED-AEF6-188EA24B30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F4D49C-6CF6-479D-915A-16B8B434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1221</Words>
  <Characters>6340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MHF</cp:keywords>
  <cp:lastModifiedBy>LONG Victoria</cp:lastModifiedBy>
  <cp:revision>14</cp:revision>
  <cp:lastPrinted>2015-02-19T09:03:00Z</cp:lastPrinted>
  <dcterms:created xsi:type="dcterms:W3CDTF">2015-02-12T09:35:00Z</dcterms:created>
  <dcterms:modified xsi:type="dcterms:W3CDTF">2015-02-19T09:04:00Z</dcterms:modified>
</cp:coreProperties>
</file>